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6698D" w14:textId="77777777" w:rsidR="00905011" w:rsidRDefault="00905011" w:rsidP="00905011">
      <w:pPr>
        <w:pStyle w:val="AppFigureCaption"/>
      </w:pPr>
      <w:r>
        <w:rPr>
          <w:noProof/>
          <w:sz w:val="16"/>
          <w:szCs w:val="16"/>
        </w:rPr>
        <w:drawing>
          <wp:anchor distT="0" distB="0" distL="114300" distR="114300" simplePos="0" relativeHeight="251658240" behindDoc="1" locked="0" layoutInCell="1" allowOverlap="1" wp14:anchorId="548AED72" wp14:editId="1E67ACCC">
            <wp:simplePos x="0" y="0"/>
            <wp:positionH relativeFrom="margin">
              <wp:align>center</wp:align>
            </wp:positionH>
            <wp:positionV relativeFrom="page">
              <wp:posOffset>1053389</wp:posOffset>
            </wp:positionV>
            <wp:extent cx="6375400" cy="2080260"/>
            <wp:effectExtent l="0" t="0" r="635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5400" cy="208026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p>
    <w:p w14:paraId="48FC1233" w14:textId="5D320177" w:rsidR="00905011" w:rsidRPr="004A4E4D" w:rsidRDefault="004F792A" w:rsidP="00905011">
      <w:pPr>
        <w:pStyle w:val="AppFigureCaption"/>
        <w:ind w:right="180"/>
        <w:contextualSpacing/>
        <w:jc w:val="right"/>
        <w:rPr>
          <w:rFonts w:ascii="Times New Roman" w:hAnsi="Times New Roman"/>
          <w:color w:val="FFFFFF" w:themeColor="background1"/>
          <w:sz w:val="24"/>
          <w:szCs w:val="24"/>
        </w:rPr>
      </w:pPr>
      <w:r>
        <w:rPr>
          <w:rFonts w:ascii="Times New Roman" w:hAnsi="Times New Roman"/>
          <w:color w:val="FFFFFF" w:themeColor="background1"/>
          <w:sz w:val="24"/>
          <w:szCs w:val="24"/>
        </w:rPr>
        <w:t>December</w:t>
      </w:r>
      <w:r w:rsidR="00047E06">
        <w:rPr>
          <w:rFonts w:ascii="Times New Roman" w:hAnsi="Times New Roman"/>
          <w:color w:val="FFFFFF" w:themeColor="background1"/>
          <w:sz w:val="24"/>
          <w:szCs w:val="24"/>
        </w:rPr>
        <w:t xml:space="preserve"> </w:t>
      </w:r>
      <w:r w:rsidR="00905011" w:rsidRPr="004A4E4D">
        <w:rPr>
          <w:rFonts w:ascii="Times New Roman" w:hAnsi="Times New Roman"/>
          <w:color w:val="FFFFFF" w:themeColor="background1"/>
          <w:sz w:val="24"/>
          <w:szCs w:val="24"/>
        </w:rPr>
        <w:t>202</w:t>
      </w:r>
      <w:r w:rsidR="00905011">
        <w:rPr>
          <w:rFonts w:ascii="Times New Roman" w:hAnsi="Times New Roman"/>
          <w:color w:val="FFFFFF" w:themeColor="background1"/>
          <w:sz w:val="24"/>
          <w:szCs w:val="24"/>
        </w:rPr>
        <w:t>4</w:t>
      </w:r>
    </w:p>
    <w:p w14:paraId="09530F6A" w14:textId="77777777" w:rsidR="00905011" w:rsidRDefault="00905011" w:rsidP="00905011">
      <w:pPr>
        <w:tabs>
          <w:tab w:val="left" w:pos="1560"/>
        </w:tabs>
        <w:spacing w:before="800"/>
        <w:ind w:left="-540"/>
        <w:contextualSpacing/>
        <w:rPr>
          <w:rFonts w:eastAsia="Calibri" w:cs="Times New Roman"/>
          <w:b/>
          <w:color w:val="FFFFFF" w:themeColor="background1"/>
          <w:sz w:val="24"/>
          <w:szCs w:val="24"/>
        </w:rPr>
      </w:pPr>
      <w:r>
        <w:rPr>
          <w:noProof/>
        </w:rPr>
        <mc:AlternateContent>
          <mc:Choice Requires="wpg">
            <w:drawing>
              <wp:anchor distT="0" distB="0" distL="114300" distR="114300" simplePos="0" relativeHeight="251658241" behindDoc="1" locked="0" layoutInCell="1" allowOverlap="1" wp14:anchorId="2C57ED75" wp14:editId="0A5CC316">
                <wp:simplePos x="0" y="0"/>
                <wp:positionH relativeFrom="margin">
                  <wp:align>center</wp:align>
                </wp:positionH>
                <wp:positionV relativeFrom="paragraph">
                  <wp:posOffset>289560</wp:posOffset>
                </wp:positionV>
                <wp:extent cx="6179820" cy="979167"/>
                <wp:effectExtent l="0" t="19050" r="49530" b="311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79820" cy="979167"/>
                          <a:chOff x="0" y="0"/>
                          <a:chExt cx="5669280" cy="913559"/>
                        </a:xfrm>
                      </wpg:grpSpPr>
                      <wps:wsp>
                        <wps:cNvPr id="27" name="Straight Connector 27"/>
                        <wps:cNvCnPr/>
                        <wps:spPr>
                          <a:xfrm>
                            <a:off x="0" y="0"/>
                            <a:ext cx="5669280" cy="0"/>
                          </a:xfrm>
                          <a:prstGeom prst="line">
                            <a:avLst/>
                          </a:prstGeom>
                          <a:ln w="50800">
                            <a:solidFill>
                              <a:srgbClr val="9CBD59"/>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0" y="913559"/>
                            <a:ext cx="5669280" cy="0"/>
                          </a:xfrm>
                          <a:prstGeom prst="line">
                            <a:avLst/>
                          </a:prstGeom>
                          <a:ln w="50800">
                            <a:solidFill>
                              <a:srgbClr val="9CBD5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30E0A7E4" id="Group 26" o:spid="_x0000_s1026" alt="&quot;&quot;" style="position:absolute;margin-left:0;margin-top:22.8pt;width:486.6pt;height:77.1pt;z-index:-251658239;mso-position-horizontal:center;mso-position-horizontal-relative:margin;mso-width-relative:margin;mso-height-relative:margin" coordsize="56692,9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">
                <v:line id="Straight Connector 27" o:spid="_x0000_s1027" style="position:absolute;visibility:visible;mso-wrap-style:square" from="0,0" to="56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" strokecolor="#9cbd59" strokeweight="4pt">
                  <v:stroke joinstyle="miter"/>
                </v:line>
                <v:line id="Straight Connector 28" o:spid="_x0000_s1028" style="position:absolute;visibility:visible;mso-wrap-style:square" from="0,9135" to="56692,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" strokecolor="#9cbd59" strokeweight="4pt">
                  <v:stroke joinstyle="miter"/>
                </v:line>
                <w10:wrap anchorx="margin"/>
              </v:group>
            </w:pict>
          </mc:Fallback>
        </mc:AlternateContent>
      </w:r>
    </w:p>
    <w:p w14:paraId="528303AA" w14:textId="77777777" w:rsidR="00905011" w:rsidRPr="00354D58" w:rsidRDefault="00905011" w:rsidP="00905011">
      <w:pPr>
        <w:tabs>
          <w:tab w:val="left" w:pos="1560"/>
        </w:tabs>
        <w:spacing w:before="800"/>
        <w:contextualSpacing/>
        <w:rPr>
          <w:rFonts w:eastAsia="Calibri" w:cs="Times New Roman"/>
          <w:b/>
          <w:color w:val="FFFFFF"/>
          <w:sz w:val="24"/>
          <w:szCs w:val="24"/>
        </w:rPr>
      </w:pPr>
      <w:r w:rsidRPr="22580B85">
        <w:rPr>
          <w:rFonts w:eastAsia="Calibri" w:cs="Times New Roman"/>
          <w:b/>
          <w:color w:val="FFFFFF" w:themeColor="background1"/>
          <w:sz w:val="24"/>
          <w:szCs w:val="24"/>
        </w:rPr>
        <w:t>BLM Utah 202</w:t>
      </w:r>
      <w:r>
        <w:rPr>
          <w:rFonts w:eastAsia="Calibri" w:cs="Times New Roman"/>
          <w:b/>
          <w:color w:val="FFFFFF" w:themeColor="background1"/>
          <w:sz w:val="24"/>
          <w:szCs w:val="24"/>
        </w:rPr>
        <w:t>5</w:t>
      </w:r>
      <w:r w:rsidRPr="22580B85">
        <w:rPr>
          <w:rFonts w:eastAsia="Calibri" w:cs="Times New Roman"/>
          <w:b/>
          <w:color w:val="FFFFFF" w:themeColor="background1"/>
          <w:sz w:val="24"/>
          <w:szCs w:val="24"/>
        </w:rPr>
        <w:t xml:space="preserve"> </w:t>
      </w:r>
      <w:r>
        <w:rPr>
          <w:rFonts w:eastAsia="Calibri" w:cs="Times New Roman"/>
          <w:b/>
          <w:color w:val="FFFFFF" w:themeColor="background1"/>
          <w:sz w:val="24"/>
          <w:szCs w:val="24"/>
        </w:rPr>
        <w:t>Second</w:t>
      </w:r>
      <w:r w:rsidRPr="22580B85">
        <w:rPr>
          <w:rFonts w:eastAsia="Calibri" w:cs="Times New Roman"/>
          <w:b/>
          <w:color w:val="FFFFFF" w:themeColor="background1"/>
          <w:sz w:val="24"/>
          <w:szCs w:val="24"/>
        </w:rPr>
        <w:t xml:space="preserve"> Quarter Competitive Oil and Gas Lease Sale Environmental Assessment</w:t>
      </w:r>
    </w:p>
    <w:p w14:paraId="07306668" w14:textId="77777777" w:rsidR="00905011" w:rsidRDefault="00905011" w:rsidP="00905011">
      <w:pPr>
        <w:contextualSpacing/>
        <w:rPr>
          <w:rFonts w:eastAsia="Calibri" w:cs="Times New Roman"/>
          <w:b/>
          <w:color w:val="FFFFFF" w:themeColor="background1"/>
          <w:sz w:val="24"/>
          <w:szCs w:val="24"/>
        </w:rPr>
      </w:pPr>
      <w:r w:rsidRPr="00611A96">
        <w:rPr>
          <w:rFonts w:eastAsia="Calibri" w:cs="Times New Roman"/>
          <w:b/>
          <w:color w:val="FFFFFF" w:themeColor="background1"/>
          <w:sz w:val="24"/>
          <w:szCs w:val="24"/>
        </w:rPr>
        <w:t>DOI-BLM-UT-0000-202</w:t>
      </w:r>
      <w:r>
        <w:rPr>
          <w:rFonts w:eastAsia="Calibri" w:cs="Times New Roman"/>
          <w:b/>
          <w:color w:val="FFFFFF" w:themeColor="background1"/>
          <w:sz w:val="24"/>
          <w:szCs w:val="24"/>
        </w:rPr>
        <w:t>4</w:t>
      </w:r>
      <w:r w:rsidRPr="00611A96">
        <w:rPr>
          <w:rFonts w:eastAsia="Calibri" w:cs="Times New Roman"/>
          <w:b/>
          <w:color w:val="FFFFFF" w:themeColor="background1"/>
          <w:sz w:val="24"/>
          <w:szCs w:val="24"/>
        </w:rPr>
        <w:t>-000</w:t>
      </w:r>
      <w:r>
        <w:rPr>
          <w:rFonts w:eastAsia="Calibri" w:cs="Times New Roman"/>
          <w:b/>
          <w:color w:val="FFFFFF" w:themeColor="background1"/>
          <w:sz w:val="24"/>
          <w:szCs w:val="24"/>
        </w:rPr>
        <w:t>1</w:t>
      </w:r>
      <w:r w:rsidRPr="00611A96">
        <w:rPr>
          <w:rFonts w:eastAsia="Calibri" w:cs="Times New Roman"/>
          <w:b/>
          <w:color w:val="FFFFFF" w:themeColor="background1"/>
          <w:sz w:val="24"/>
          <w:szCs w:val="24"/>
        </w:rPr>
        <w:t>-EA</w:t>
      </w:r>
    </w:p>
    <w:p w14:paraId="66D5487E" w14:textId="77777777" w:rsidR="00905011" w:rsidRPr="00354D58" w:rsidRDefault="00905011" w:rsidP="00905011">
      <w:pPr>
        <w:contextualSpacing/>
        <w:rPr>
          <w:rFonts w:eastAsia="Calibri" w:cs="Times New Roman"/>
          <w:b/>
          <w:color w:val="FFFFFF"/>
          <w:sz w:val="24"/>
          <w:szCs w:val="24"/>
        </w:rPr>
      </w:pPr>
      <w:r>
        <w:rPr>
          <w:rFonts w:eastAsia="Calibri" w:cs="Times New Roman"/>
          <w:b/>
          <w:color w:val="FFFFFF" w:themeColor="background1"/>
          <w:sz w:val="24"/>
          <w:szCs w:val="24"/>
        </w:rPr>
        <w:t>Uintah</w:t>
      </w:r>
      <w:r w:rsidRPr="1BBA27A8">
        <w:rPr>
          <w:rFonts w:eastAsia="Calibri" w:cs="Times New Roman"/>
          <w:b/>
          <w:color w:val="FFFFFF" w:themeColor="background1"/>
          <w:sz w:val="24"/>
          <w:szCs w:val="24"/>
        </w:rPr>
        <w:t xml:space="preserve"> Count</w:t>
      </w:r>
      <w:r>
        <w:rPr>
          <w:rFonts w:eastAsia="Calibri" w:cs="Times New Roman"/>
          <w:b/>
          <w:color w:val="FFFFFF" w:themeColor="background1"/>
          <w:sz w:val="24"/>
          <w:szCs w:val="24"/>
        </w:rPr>
        <w:t>y</w:t>
      </w:r>
      <w:r w:rsidRPr="1BBA27A8">
        <w:rPr>
          <w:rFonts w:eastAsia="Calibri" w:cs="Times New Roman"/>
          <w:b/>
          <w:color w:val="FFFFFF" w:themeColor="background1"/>
          <w:sz w:val="24"/>
          <w:szCs w:val="24"/>
        </w:rPr>
        <w:t>, Utah</w:t>
      </w:r>
    </w:p>
    <w:p w14:paraId="1F4B0A21" w14:textId="73E37284" w:rsidR="00905011" w:rsidRPr="00483090" w:rsidRDefault="003901E4" w:rsidP="00905011">
      <w:pPr>
        <w:ind w:left="-540"/>
        <w:rPr>
          <w:rFonts w:ascii="Roboto" w:eastAsia="Calibri" w:hAnsi="Roboto" w:cs="Times New Roman"/>
          <w:b/>
          <w:color w:val="FFFFFF" w:themeColor="background1"/>
          <w:sz w:val="24"/>
          <w:szCs w:val="24"/>
        </w:rPr>
      </w:pPr>
      <w:r w:rsidRPr="009A08E7">
        <w:rPr>
          <w:noProof/>
          <w:color w:val="FFFFFF" w:themeColor="background1"/>
        </w:rPr>
        <w:drawing>
          <wp:anchor distT="0" distB="0" distL="114300" distR="114300" simplePos="0" relativeHeight="251658242" behindDoc="0" locked="0" layoutInCell="1" allowOverlap="1" wp14:anchorId="04B4BC06" wp14:editId="63A7B244">
            <wp:simplePos x="0" y="0"/>
            <wp:positionH relativeFrom="margin">
              <wp:posOffset>-219075</wp:posOffset>
            </wp:positionH>
            <wp:positionV relativeFrom="page">
              <wp:posOffset>3143250</wp:posOffset>
            </wp:positionV>
            <wp:extent cx="6375400" cy="5295900"/>
            <wp:effectExtent l="0" t="0" r="6350" b="0"/>
            <wp:wrapTopAndBottom/>
            <wp:docPr id="373803029" name="Picture 37380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03029" name="Picture 373803029"/>
                    <pic:cNvPicPr/>
                  </pic:nvPicPr>
                  <pic:blipFill>
                    <a:blip r:embed="rId12">
                      <a:extLst>
                        <a:ext uri="{28A0092B-C50C-407E-A947-70E740481C1C}">
                          <a14:useLocalDpi xmlns:a14="http://schemas.microsoft.com/office/drawing/2010/main" val="0"/>
                        </a:ext>
                      </a:extLst>
                    </a:blip>
                    <a:stretch>
                      <a:fillRect/>
                    </a:stretch>
                  </pic:blipFill>
                  <pic:spPr>
                    <a:xfrm>
                      <a:off x="0" y="0"/>
                      <a:ext cx="6375400" cy="5295900"/>
                    </a:xfrm>
                    <a:prstGeom prst="rect">
                      <a:avLst/>
                    </a:prstGeom>
                    <a:ln w="15875">
                      <a:noFill/>
                    </a:ln>
                  </pic:spPr>
                </pic:pic>
              </a:graphicData>
            </a:graphic>
            <wp14:sizeRelH relativeFrom="margin">
              <wp14:pctWidth>0</wp14:pctWidth>
            </wp14:sizeRelH>
            <wp14:sizeRelV relativeFrom="margin">
              <wp14:pctHeight>0</wp14:pctHeight>
            </wp14:sizeRelV>
          </wp:anchor>
        </w:drawing>
      </w:r>
    </w:p>
    <w:p w14:paraId="6BDA75BF" w14:textId="7E197E4B" w:rsidR="00905011" w:rsidRPr="009A08E7" w:rsidRDefault="00905011" w:rsidP="00905011">
      <w:pPr>
        <w:jc w:val="center"/>
        <w:textAlignment w:val="baseline"/>
        <w:rPr>
          <w:rFonts w:ascii="Segoe UI" w:eastAsia="Times New Roman" w:hAnsi="Segoe UI" w:cs="Segoe UI"/>
          <w:color w:val="FFFFFF" w:themeColor="background1"/>
          <w:sz w:val="18"/>
          <w:szCs w:val="18"/>
        </w:rPr>
      </w:pPr>
      <w:r>
        <w:rPr>
          <w:rFonts w:eastAsia="Times New Roman" w:cs="Times New Roman"/>
          <w:b/>
          <w:bCs/>
          <w:color w:val="FFFFFF" w:themeColor="background1"/>
        </w:rPr>
        <w:t>:</w:t>
      </w:r>
    </w:p>
    <w:p w14:paraId="36E41F2B" w14:textId="3108E470" w:rsidR="00905011" w:rsidRPr="004821AA" w:rsidRDefault="00905011" w:rsidP="00905011">
      <w:pPr>
        <w:ind w:left="-540"/>
        <w:jc w:val="center"/>
        <w:textAlignment w:val="baseline"/>
        <w:rPr>
          <w:rFonts w:ascii="Segoe UI" w:eastAsia="Times New Roman" w:hAnsi="Segoe UI" w:cs="Segoe UI"/>
          <w:sz w:val="18"/>
          <w:szCs w:val="18"/>
        </w:rPr>
      </w:pPr>
      <w:r>
        <w:rPr>
          <w:rFonts w:eastAsia="Times New Roman" w:cs="Times New Roman"/>
        </w:rPr>
        <w:t>Utah State</w:t>
      </w:r>
      <w:r w:rsidRPr="004821AA">
        <w:rPr>
          <w:rFonts w:eastAsia="Times New Roman" w:cs="Times New Roman"/>
        </w:rPr>
        <w:t xml:space="preserve"> Office</w:t>
      </w:r>
    </w:p>
    <w:p w14:paraId="19B7506D" w14:textId="30B75A05" w:rsidR="005D2ABD" w:rsidRDefault="00905011" w:rsidP="005D2ABD">
      <w:pPr>
        <w:ind w:left="-540"/>
        <w:jc w:val="center"/>
        <w:textAlignment w:val="baseline"/>
        <w:rPr>
          <w:rFonts w:eastAsia="Times New Roman" w:cs="Times New Roman"/>
        </w:rPr>
      </w:pPr>
      <w:r w:rsidRPr="00A229A2">
        <w:rPr>
          <w:rFonts w:eastAsia="Times New Roman" w:cs="Times New Roman"/>
        </w:rPr>
        <w:t>440 W</w:t>
      </w:r>
      <w:r w:rsidR="005D2ABD">
        <w:rPr>
          <w:rFonts w:eastAsia="Times New Roman" w:cs="Times New Roman"/>
        </w:rPr>
        <w:t>est</w:t>
      </w:r>
      <w:r w:rsidRPr="00A229A2">
        <w:rPr>
          <w:rFonts w:eastAsia="Times New Roman" w:cs="Times New Roman"/>
        </w:rPr>
        <w:t xml:space="preserve"> 200 S</w:t>
      </w:r>
      <w:r w:rsidR="005D2ABD">
        <w:rPr>
          <w:rFonts w:eastAsia="Times New Roman" w:cs="Times New Roman"/>
        </w:rPr>
        <w:t>outh,</w:t>
      </w:r>
      <w:r w:rsidR="005D2ABD" w:rsidRPr="005D2ABD">
        <w:rPr>
          <w:rFonts w:eastAsia="Times New Roman" w:cs="Times New Roman"/>
        </w:rPr>
        <w:t xml:space="preserve"> </w:t>
      </w:r>
      <w:r w:rsidR="005D2ABD" w:rsidRPr="00A229A2">
        <w:rPr>
          <w:rFonts w:eastAsia="Times New Roman" w:cs="Times New Roman"/>
        </w:rPr>
        <w:t>Suite 500</w:t>
      </w:r>
    </w:p>
    <w:p w14:paraId="53E2E2B2" w14:textId="2E969AB1" w:rsidR="00905011" w:rsidRDefault="00905011" w:rsidP="00905011">
      <w:pPr>
        <w:ind w:left="-547"/>
        <w:jc w:val="center"/>
        <w:textAlignment w:val="baseline"/>
        <w:rPr>
          <w:rFonts w:eastAsia="Times New Roman" w:cs="Times New Roman"/>
        </w:rPr>
      </w:pPr>
      <w:r>
        <w:rPr>
          <w:rFonts w:eastAsia="Times New Roman" w:cs="Times New Roman"/>
        </w:rPr>
        <w:t>Salt Lake City</w:t>
      </w:r>
      <w:r w:rsidRPr="004821AA">
        <w:rPr>
          <w:rFonts w:eastAsia="Times New Roman" w:cs="Times New Roman"/>
        </w:rPr>
        <w:t xml:space="preserve">, </w:t>
      </w:r>
      <w:r>
        <w:rPr>
          <w:rFonts w:eastAsia="Times New Roman" w:cs="Times New Roman"/>
        </w:rPr>
        <w:t>Utah 84101</w:t>
      </w:r>
    </w:p>
    <w:p w14:paraId="73B102D7" w14:textId="2E6D5F46" w:rsidR="004A1529" w:rsidRPr="004A1529" w:rsidRDefault="008F233D" w:rsidP="008F233D">
      <w:pPr>
        <w:pStyle w:val="BackCoverStatement"/>
        <w:tabs>
          <w:tab w:val="left" w:pos="7820"/>
        </w:tabs>
        <w:spacing w:before="240"/>
        <w:ind w:left="0" w:right="0"/>
        <w:jc w:val="left"/>
        <w:rPr>
          <w:i/>
          <w:iCs/>
          <w:sz w:val="20"/>
          <w:szCs w:val="20"/>
        </w:rPr>
      </w:pPr>
      <w:r>
        <w:rPr>
          <w:i/>
          <w:iCs/>
          <w:sz w:val="20"/>
          <w:szCs w:val="20"/>
        </w:rPr>
        <w:lastRenderedPageBreak/>
        <w:tab/>
      </w:r>
    </w:p>
    <w:p w14:paraId="66DFD8A3" w14:textId="02259507" w:rsidR="00AD18EC" w:rsidRDefault="00AD18EC" w:rsidP="004B76E9">
      <w:pPr>
        <w:pStyle w:val="2ndlevel"/>
      </w:pPr>
      <w:bookmarkStart w:id="0" w:name="_Toc179464213"/>
      <w:bookmarkStart w:id="1" w:name="_Toc170114868"/>
      <w:r>
        <w:t>Table of Contents</w:t>
      </w:r>
      <w:bookmarkEnd w:id="0"/>
      <w:bookmarkEnd w:id="1"/>
    </w:p>
    <w:p w14:paraId="6FF06B92" w14:textId="361BDB56" w:rsidR="00B46AEF" w:rsidRDefault="00407356" w:rsidP="00222921">
      <w:pPr>
        <w:pStyle w:val="TOC3"/>
        <w:rPr>
          <w:rFonts w:asciiTheme="minorHAnsi" w:eastAsiaTheme="minorEastAsia" w:hAnsiTheme="minorHAnsi"/>
          <w:noProof/>
          <w:kern w:val="2"/>
          <w:sz w:val="24"/>
          <w:szCs w:val="24"/>
          <w14:ligatures w14:val="standardContextual"/>
        </w:rPr>
      </w:pPr>
      <w:r>
        <w:rPr>
          <w:i/>
          <w:iCs/>
        </w:rPr>
        <w:fldChar w:fldCharType="begin"/>
      </w:r>
      <w:r>
        <w:rPr>
          <w:i/>
          <w:iCs/>
        </w:rPr>
        <w:instrText xml:space="preserve"> TOC \o "1-3" \h \z \u </w:instrText>
      </w:r>
      <w:r>
        <w:rPr>
          <w:i/>
          <w:iCs/>
        </w:rPr>
        <w:fldChar w:fldCharType="separate"/>
      </w:r>
      <w:hyperlink w:anchor="_Toc179464213" w:history="1">
        <w:r w:rsidR="00B46AEF" w:rsidRPr="00D91A5D">
          <w:rPr>
            <w:rStyle w:val="Hyperlink"/>
            <w:noProof/>
          </w:rPr>
          <w:t>Table of Contents</w:t>
        </w:r>
        <w:r w:rsidR="00B46AEF">
          <w:rPr>
            <w:noProof/>
            <w:webHidden/>
          </w:rPr>
          <w:tab/>
        </w:r>
        <w:r w:rsidR="00B46AEF">
          <w:rPr>
            <w:noProof/>
            <w:webHidden/>
          </w:rPr>
          <w:fldChar w:fldCharType="begin"/>
        </w:r>
        <w:r w:rsidR="00B46AEF">
          <w:rPr>
            <w:noProof/>
            <w:webHidden/>
          </w:rPr>
          <w:instrText xml:space="preserve"> PAGEREF _Toc179464213 \h </w:instrText>
        </w:r>
        <w:r w:rsidR="00B46AEF">
          <w:rPr>
            <w:noProof/>
            <w:webHidden/>
          </w:rPr>
        </w:r>
        <w:r w:rsidR="00B46AEF">
          <w:rPr>
            <w:noProof/>
            <w:webHidden/>
          </w:rPr>
          <w:fldChar w:fldCharType="separate"/>
        </w:r>
        <w:r w:rsidR="00B46AEF">
          <w:rPr>
            <w:noProof/>
            <w:webHidden/>
          </w:rPr>
          <w:t>2</w:t>
        </w:r>
        <w:r w:rsidR="00B46AEF">
          <w:rPr>
            <w:noProof/>
            <w:webHidden/>
          </w:rPr>
          <w:fldChar w:fldCharType="end"/>
        </w:r>
      </w:hyperlink>
    </w:p>
    <w:p w14:paraId="755BA903" w14:textId="0195B944"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14" w:history="1">
        <w:r w:rsidR="00B46AEF" w:rsidRPr="00D91A5D">
          <w:rPr>
            <w:rStyle w:val="Hyperlink"/>
            <w:noProof/>
          </w:rPr>
          <w:t>Tables</w:t>
        </w:r>
        <w:r w:rsidR="00B46AEF">
          <w:rPr>
            <w:noProof/>
            <w:webHidden/>
          </w:rPr>
          <w:tab/>
        </w:r>
        <w:r w:rsidR="00B46AEF">
          <w:rPr>
            <w:noProof/>
            <w:webHidden/>
          </w:rPr>
          <w:fldChar w:fldCharType="begin"/>
        </w:r>
        <w:r w:rsidR="00B46AEF">
          <w:rPr>
            <w:noProof/>
            <w:webHidden/>
          </w:rPr>
          <w:instrText xml:space="preserve"> PAGEREF _Toc179464214 \h </w:instrText>
        </w:r>
        <w:r w:rsidR="00B46AEF">
          <w:rPr>
            <w:noProof/>
            <w:webHidden/>
          </w:rPr>
        </w:r>
        <w:r w:rsidR="00B46AEF">
          <w:rPr>
            <w:noProof/>
            <w:webHidden/>
          </w:rPr>
          <w:fldChar w:fldCharType="separate"/>
        </w:r>
        <w:r w:rsidR="00B46AEF">
          <w:rPr>
            <w:noProof/>
            <w:webHidden/>
          </w:rPr>
          <w:t>6</w:t>
        </w:r>
        <w:r w:rsidR="00B46AEF">
          <w:rPr>
            <w:noProof/>
            <w:webHidden/>
          </w:rPr>
          <w:fldChar w:fldCharType="end"/>
        </w:r>
      </w:hyperlink>
    </w:p>
    <w:p w14:paraId="586FC45C" w14:textId="1F61A99B"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15" w:history="1">
        <w:r w:rsidR="00B46AEF" w:rsidRPr="00D91A5D">
          <w:rPr>
            <w:rStyle w:val="Hyperlink"/>
            <w:noProof/>
          </w:rPr>
          <w:t>Table of Figures</w:t>
        </w:r>
        <w:r w:rsidR="00B46AEF">
          <w:rPr>
            <w:noProof/>
            <w:webHidden/>
          </w:rPr>
          <w:tab/>
        </w:r>
        <w:r w:rsidR="00B46AEF">
          <w:rPr>
            <w:noProof/>
            <w:webHidden/>
          </w:rPr>
          <w:fldChar w:fldCharType="begin"/>
        </w:r>
        <w:r w:rsidR="00B46AEF">
          <w:rPr>
            <w:noProof/>
            <w:webHidden/>
          </w:rPr>
          <w:instrText xml:space="preserve"> PAGEREF _Toc179464215 \h </w:instrText>
        </w:r>
        <w:r w:rsidR="00B46AEF">
          <w:rPr>
            <w:noProof/>
            <w:webHidden/>
          </w:rPr>
        </w:r>
        <w:r w:rsidR="00B46AEF">
          <w:rPr>
            <w:noProof/>
            <w:webHidden/>
          </w:rPr>
          <w:fldChar w:fldCharType="separate"/>
        </w:r>
        <w:r w:rsidR="00B46AEF">
          <w:rPr>
            <w:noProof/>
            <w:webHidden/>
          </w:rPr>
          <w:t>5</w:t>
        </w:r>
        <w:r w:rsidR="00B46AEF">
          <w:rPr>
            <w:noProof/>
            <w:webHidden/>
          </w:rPr>
          <w:fldChar w:fldCharType="end"/>
        </w:r>
      </w:hyperlink>
    </w:p>
    <w:p w14:paraId="52CCE965" w14:textId="779E9925"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16" w:history="1">
        <w:r w:rsidR="00B46AEF" w:rsidRPr="00D91A5D">
          <w:rPr>
            <w:rStyle w:val="Hyperlink"/>
            <w:noProof/>
          </w:rPr>
          <w:t>Table 1. Acronyms</w:t>
        </w:r>
        <w:r w:rsidR="00B46AEF">
          <w:rPr>
            <w:noProof/>
            <w:webHidden/>
          </w:rPr>
          <w:tab/>
        </w:r>
        <w:r w:rsidR="00B46AEF">
          <w:rPr>
            <w:noProof/>
            <w:webHidden/>
          </w:rPr>
          <w:fldChar w:fldCharType="begin"/>
        </w:r>
        <w:r w:rsidR="00B46AEF">
          <w:rPr>
            <w:noProof/>
            <w:webHidden/>
          </w:rPr>
          <w:instrText xml:space="preserve"> PAGEREF _Toc179464216 \h </w:instrText>
        </w:r>
        <w:r w:rsidR="00B46AEF">
          <w:rPr>
            <w:noProof/>
            <w:webHidden/>
          </w:rPr>
        </w:r>
        <w:r w:rsidR="00B46AEF">
          <w:rPr>
            <w:noProof/>
            <w:webHidden/>
          </w:rPr>
          <w:fldChar w:fldCharType="separate"/>
        </w:r>
        <w:r w:rsidR="00B46AEF">
          <w:rPr>
            <w:noProof/>
            <w:webHidden/>
          </w:rPr>
          <w:t>6</w:t>
        </w:r>
        <w:r w:rsidR="00B46AEF">
          <w:rPr>
            <w:noProof/>
            <w:webHidden/>
          </w:rPr>
          <w:fldChar w:fldCharType="end"/>
        </w:r>
      </w:hyperlink>
    </w:p>
    <w:p w14:paraId="1A2297B8" w14:textId="6F4C2DB2" w:rsidR="00B46AEF" w:rsidRDefault="00000000">
      <w:pPr>
        <w:pStyle w:val="TOC1"/>
        <w:tabs>
          <w:tab w:val="left" w:pos="1680"/>
        </w:tabs>
        <w:rPr>
          <w:rFonts w:asciiTheme="minorHAnsi" w:eastAsiaTheme="minorEastAsia" w:hAnsiTheme="minorHAnsi"/>
          <w:noProof/>
          <w:kern w:val="2"/>
          <w:sz w:val="24"/>
          <w:szCs w:val="24"/>
          <w14:ligatures w14:val="standardContextual"/>
        </w:rPr>
      </w:pPr>
      <w:hyperlink w:anchor="_Toc179464217" w:history="1">
        <w:r w:rsidR="00B46AEF" w:rsidRPr="00D91A5D">
          <w:rPr>
            <w:rStyle w:val="Hyperlink"/>
            <w:rFonts w:cs="Arial"/>
            <w:noProof/>
          </w:rPr>
          <w:t>CHAPTER 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Introduction</w:t>
        </w:r>
        <w:r w:rsidR="00B46AEF">
          <w:rPr>
            <w:noProof/>
            <w:webHidden/>
          </w:rPr>
          <w:tab/>
        </w:r>
        <w:r w:rsidR="00B46AEF">
          <w:rPr>
            <w:noProof/>
            <w:webHidden/>
          </w:rPr>
          <w:fldChar w:fldCharType="begin"/>
        </w:r>
        <w:r w:rsidR="00B46AEF">
          <w:rPr>
            <w:noProof/>
            <w:webHidden/>
          </w:rPr>
          <w:instrText xml:space="preserve"> PAGEREF _Toc179464217 \h </w:instrText>
        </w:r>
        <w:r w:rsidR="00B46AEF">
          <w:rPr>
            <w:noProof/>
            <w:webHidden/>
          </w:rPr>
        </w:r>
        <w:r w:rsidR="00B46AEF">
          <w:rPr>
            <w:noProof/>
            <w:webHidden/>
          </w:rPr>
          <w:fldChar w:fldCharType="separate"/>
        </w:r>
        <w:r w:rsidR="00B46AEF">
          <w:rPr>
            <w:noProof/>
            <w:webHidden/>
          </w:rPr>
          <w:t>9</w:t>
        </w:r>
        <w:r w:rsidR="00B46AEF">
          <w:rPr>
            <w:noProof/>
            <w:webHidden/>
          </w:rPr>
          <w:fldChar w:fldCharType="end"/>
        </w:r>
      </w:hyperlink>
    </w:p>
    <w:p w14:paraId="3C232105" w14:textId="51F064C3"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18" w:history="1">
        <w:r w:rsidR="00B46AEF" w:rsidRPr="00D91A5D">
          <w:rPr>
            <w:rStyle w:val="Hyperlink"/>
            <w:rFonts w:cs="Arial"/>
            <w:noProof/>
          </w:rPr>
          <w:t>1.1.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Background</w:t>
        </w:r>
        <w:r w:rsidR="00B46AEF">
          <w:rPr>
            <w:noProof/>
            <w:webHidden/>
          </w:rPr>
          <w:tab/>
        </w:r>
        <w:r w:rsidR="00B46AEF">
          <w:rPr>
            <w:noProof/>
            <w:webHidden/>
          </w:rPr>
          <w:fldChar w:fldCharType="begin"/>
        </w:r>
        <w:r w:rsidR="00B46AEF">
          <w:rPr>
            <w:noProof/>
            <w:webHidden/>
          </w:rPr>
          <w:instrText xml:space="preserve"> PAGEREF _Toc179464218 \h </w:instrText>
        </w:r>
        <w:r w:rsidR="00B46AEF">
          <w:rPr>
            <w:noProof/>
            <w:webHidden/>
          </w:rPr>
        </w:r>
        <w:r w:rsidR="00B46AEF">
          <w:rPr>
            <w:noProof/>
            <w:webHidden/>
          </w:rPr>
          <w:fldChar w:fldCharType="separate"/>
        </w:r>
        <w:r w:rsidR="00B46AEF">
          <w:rPr>
            <w:noProof/>
            <w:webHidden/>
          </w:rPr>
          <w:t>9</w:t>
        </w:r>
        <w:r w:rsidR="00B46AEF">
          <w:rPr>
            <w:noProof/>
            <w:webHidden/>
          </w:rPr>
          <w:fldChar w:fldCharType="end"/>
        </w:r>
      </w:hyperlink>
    </w:p>
    <w:p w14:paraId="2AB698FB" w14:textId="7469A610"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19" w:history="1">
        <w:r w:rsidR="00B46AEF" w:rsidRPr="00D91A5D">
          <w:rPr>
            <w:rStyle w:val="Hyperlink"/>
            <w:rFonts w:cs="Arial"/>
            <w:noProof/>
          </w:rPr>
          <w:t>1.2.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Purpose and Need</w:t>
        </w:r>
        <w:r w:rsidR="00B46AEF">
          <w:rPr>
            <w:noProof/>
            <w:webHidden/>
          </w:rPr>
          <w:tab/>
        </w:r>
        <w:r w:rsidR="00B46AEF">
          <w:rPr>
            <w:noProof/>
            <w:webHidden/>
          </w:rPr>
          <w:fldChar w:fldCharType="begin"/>
        </w:r>
        <w:r w:rsidR="00B46AEF">
          <w:rPr>
            <w:noProof/>
            <w:webHidden/>
          </w:rPr>
          <w:instrText xml:space="preserve"> PAGEREF _Toc179464219 \h </w:instrText>
        </w:r>
        <w:r w:rsidR="00B46AEF">
          <w:rPr>
            <w:noProof/>
            <w:webHidden/>
          </w:rPr>
        </w:r>
        <w:r w:rsidR="00B46AEF">
          <w:rPr>
            <w:noProof/>
            <w:webHidden/>
          </w:rPr>
          <w:fldChar w:fldCharType="separate"/>
        </w:r>
        <w:r w:rsidR="00B46AEF">
          <w:rPr>
            <w:noProof/>
            <w:webHidden/>
          </w:rPr>
          <w:t>9</w:t>
        </w:r>
        <w:r w:rsidR="00B46AEF">
          <w:rPr>
            <w:noProof/>
            <w:webHidden/>
          </w:rPr>
          <w:fldChar w:fldCharType="end"/>
        </w:r>
      </w:hyperlink>
    </w:p>
    <w:p w14:paraId="3A1798B2" w14:textId="307179C7"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0" w:history="1">
        <w:r w:rsidR="00B46AEF" w:rsidRPr="00D91A5D">
          <w:rPr>
            <w:rStyle w:val="Hyperlink"/>
            <w:rFonts w:cs="Arial"/>
            <w:noProof/>
          </w:rPr>
          <w:t>1.3.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Decision to be Made</w:t>
        </w:r>
        <w:r w:rsidR="00B46AEF">
          <w:rPr>
            <w:noProof/>
            <w:webHidden/>
          </w:rPr>
          <w:tab/>
        </w:r>
        <w:r w:rsidR="00B46AEF">
          <w:rPr>
            <w:noProof/>
            <w:webHidden/>
          </w:rPr>
          <w:fldChar w:fldCharType="begin"/>
        </w:r>
        <w:r w:rsidR="00B46AEF">
          <w:rPr>
            <w:noProof/>
            <w:webHidden/>
          </w:rPr>
          <w:instrText xml:space="preserve"> PAGEREF _Toc179464220 \h </w:instrText>
        </w:r>
        <w:r w:rsidR="00B46AEF">
          <w:rPr>
            <w:noProof/>
            <w:webHidden/>
          </w:rPr>
        </w:r>
        <w:r w:rsidR="00B46AEF">
          <w:rPr>
            <w:noProof/>
            <w:webHidden/>
          </w:rPr>
          <w:fldChar w:fldCharType="separate"/>
        </w:r>
        <w:r w:rsidR="00B46AEF">
          <w:rPr>
            <w:noProof/>
            <w:webHidden/>
          </w:rPr>
          <w:t>9</w:t>
        </w:r>
        <w:r w:rsidR="00B46AEF">
          <w:rPr>
            <w:noProof/>
            <w:webHidden/>
          </w:rPr>
          <w:fldChar w:fldCharType="end"/>
        </w:r>
      </w:hyperlink>
    </w:p>
    <w:p w14:paraId="3649B164" w14:textId="4FA1D222"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1" w:history="1">
        <w:r w:rsidR="00B46AEF" w:rsidRPr="00D91A5D">
          <w:rPr>
            <w:rStyle w:val="Hyperlink"/>
            <w:rFonts w:cs="Arial"/>
            <w:noProof/>
          </w:rPr>
          <w:t>1.4.</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BLM Land Use Plan Conformance</w:t>
        </w:r>
        <w:r w:rsidR="00B46AEF">
          <w:rPr>
            <w:noProof/>
            <w:webHidden/>
          </w:rPr>
          <w:tab/>
        </w:r>
        <w:r w:rsidR="00B46AEF">
          <w:rPr>
            <w:noProof/>
            <w:webHidden/>
          </w:rPr>
          <w:fldChar w:fldCharType="begin"/>
        </w:r>
        <w:r w:rsidR="00B46AEF">
          <w:rPr>
            <w:noProof/>
            <w:webHidden/>
          </w:rPr>
          <w:instrText xml:space="preserve"> PAGEREF _Toc179464221 \h </w:instrText>
        </w:r>
        <w:r w:rsidR="00B46AEF">
          <w:rPr>
            <w:noProof/>
            <w:webHidden/>
          </w:rPr>
        </w:r>
        <w:r w:rsidR="00B46AEF">
          <w:rPr>
            <w:noProof/>
            <w:webHidden/>
          </w:rPr>
          <w:fldChar w:fldCharType="separate"/>
        </w:r>
        <w:r w:rsidR="00B46AEF">
          <w:rPr>
            <w:noProof/>
            <w:webHidden/>
          </w:rPr>
          <w:t>9</w:t>
        </w:r>
        <w:r w:rsidR="00B46AEF">
          <w:rPr>
            <w:noProof/>
            <w:webHidden/>
          </w:rPr>
          <w:fldChar w:fldCharType="end"/>
        </w:r>
      </w:hyperlink>
    </w:p>
    <w:p w14:paraId="4427232B" w14:textId="6760251B"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2" w:history="1">
        <w:r w:rsidR="00B46AEF" w:rsidRPr="00D91A5D">
          <w:rPr>
            <w:rStyle w:val="Hyperlink"/>
            <w:rFonts w:cs="Arial"/>
            <w:noProof/>
          </w:rPr>
          <w:t>1.5.</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Relationship to Statutes, Regulations, Policies, and Other Plans</w:t>
        </w:r>
        <w:r w:rsidR="00B46AEF">
          <w:rPr>
            <w:noProof/>
            <w:webHidden/>
          </w:rPr>
          <w:tab/>
        </w:r>
        <w:r w:rsidR="00B46AEF">
          <w:rPr>
            <w:noProof/>
            <w:webHidden/>
          </w:rPr>
          <w:fldChar w:fldCharType="begin"/>
        </w:r>
        <w:r w:rsidR="00B46AEF">
          <w:rPr>
            <w:noProof/>
            <w:webHidden/>
          </w:rPr>
          <w:instrText xml:space="preserve"> PAGEREF _Toc179464222 \h </w:instrText>
        </w:r>
        <w:r w:rsidR="00B46AEF">
          <w:rPr>
            <w:noProof/>
            <w:webHidden/>
          </w:rPr>
        </w:r>
        <w:r w:rsidR="00B46AEF">
          <w:rPr>
            <w:noProof/>
            <w:webHidden/>
          </w:rPr>
          <w:fldChar w:fldCharType="separate"/>
        </w:r>
        <w:r w:rsidR="00B46AEF">
          <w:rPr>
            <w:noProof/>
            <w:webHidden/>
          </w:rPr>
          <w:t>10</w:t>
        </w:r>
        <w:r w:rsidR="00B46AEF">
          <w:rPr>
            <w:noProof/>
            <w:webHidden/>
          </w:rPr>
          <w:fldChar w:fldCharType="end"/>
        </w:r>
      </w:hyperlink>
    </w:p>
    <w:p w14:paraId="2C7CFA4B" w14:textId="56A361FF"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23" w:history="1">
        <w:r w:rsidR="00B46AEF" w:rsidRPr="00D91A5D">
          <w:rPr>
            <w:rStyle w:val="Hyperlink"/>
            <w:noProof/>
          </w:rPr>
          <w:t>1.5.1 Other Plans</w:t>
        </w:r>
        <w:r w:rsidR="00B46AEF">
          <w:rPr>
            <w:noProof/>
            <w:webHidden/>
          </w:rPr>
          <w:tab/>
        </w:r>
        <w:r w:rsidR="00B46AEF">
          <w:rPr>
            <w:noProof/>
            <w:webHidden/>
          </w:rPr>
          <w:fldChar w:fldCharType="begin"/>
        </w:r>
        <w:r w:rsidR="00B46AEF">
          <w:rPr>
            <w:noProof/>
            <w:webHidden/>
          </w:rPr>
          <w:instrText xml:space="preserve"> PAGEREF _Toc179464223 \h </w:instrText>
        </w:r>
        <w:r w:rsidR="00B46AEF">
          <w:rPr>
            <w:noProof/>
            <w:webHidden/>
          </w:rPr>
        </w:r>
        <w:r w:rsidR="00B46AEF">
          <w:rPr>
            <w:noProof/>
            <w:webHidden/>
          </w:rPr>
          <w:fldChar w:fldCharType="separate"/>
        </w:r>
        <w:r w:rsidR="00B46AEF">
          <w:rPr>
            <w:noProof/>
            <w:webHidden/>
          </w:rPr>
          <w:t>13</w:t>
        </w:r>
        <w:r w:rsidR="00B46AEF">
          <w:rPr>
            <w:noProof/>
            <w:webHidden/>
          </w:rPr>
          <w:fldChar w:fldCharType="end"/>
        </w:r>
      </w:hyperlink>
    </w:p>
    <w:p w14:paraId="519AE8A3" w14:textId="5E6CC888"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4" w:history="1">
        <w:r w:rsidR="00B46AEF" w:rsidRPr="00D91A5D">
          <w:rPr>
            <w:rStyle w:val="Hyperlink"/>
            <w:rFonts w:cs="Arial"/>
            <w:noProof/>
          </w:rPr>
          <w:t>1.6.</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Internal Scoping</w:t>
        </w:r>
        <w:r w:rsidR="00B46AEF">
          <w:rPr>
            <w:noProof/>
            <w:webHidden/>
          </w:rPr>
          <w:tab/>
        </w:r>
        <w:r w:rsidR="00B46AEF">
          <w:rPr>
            <w:noProof/>
            <w:webHidden/>
          </w:rPr>
          <w:fldChar w:fldCharType="begin"/>
        </w:r>
        <w:r w:rsidR="00B46AEF">
          <w:rPr>
            <w:noProof/>
            <w:webHidden/>
          </w:rPr>
          <w:instrText xml:space="preserve"> PAGEREF _Toc179464224 \h </w:instrText>
        </w:r>
        <w:r w:rsidR="00B46AEF">
          <w:rPr>
            <w:noProof/>
            <w:webHidden/>
          </w:rPr>
        </w:r>
        <w:r w:rsidR="00B46AEF">
          <w:rPr>
            <w:noProof/>
            <w:webHidden/>
          </w:rPr>
          <w:fldChar w:fldCharType="separate"/>
        </w:r>
        <w:r w:rsidR="00B46AEF">
          <w:rPr>
            <w:noProof/>
            <w:webHidden/>
          </w:rPr>
          <w:t>13</w:t>
        </w:r>
        <w:r w:rsidR="00B46AEF">
          <w:rPr>
            <w:noProof/>
            <w:webHidden/>
          </w:rPr>
          <w:fldChar w:fldCharType="end"/>
        </w:r>
      </w:hyperlink>
    </w:p>
    <w:p w14:paraId="3EDB8371" w14:textId="0375779B"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5" w:history="1">
        <w:r w:rsidR="00B46AEF" w:rsidRPr="00D91A5D">
          <w:rPr>
            <w:rStyle w:val="Hyperlink"/>
            <w:rFonts w:cs="Arial"/>
            <w:noProof/>
          </w:rPr>
          <w:t>1.7.</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External Scoping</w:t>
        </w:r>
        <w:r w:rsidR="00B46AEF">
          <w:rPr>
            <w:noProof/>
            <w:webHidden/>
          </w:rPr>
          <w:tab/>
        </w:r>
        <w:r w:rsidR="00B46AEF">
          <w:rPr>
            <w:noProof/>
            <w:webHidden/>
          </w:rPr>
          <w:fldChar w:fldCharType="begin"/>
        </w:r>
        <w:r w:rsidR="00B46AEF">
          <w:rPr>
            <w:noProof/>
            <w:webHidden/>
          </w:rPr>
          <w:instrText xml:space="preserve"> PAGEREF _Toc179464225 \h </w:instrText>
        </w:r>
        <w:r w:rsidR="00B46AEF">
          <w:rPr>
            <w:noProof/>
            <w:webHidden/>
          </w:rPr>
        </w:r>
        <w:r w:rsidR="00B46AEF">
          <w:rPr>
            <w:noProof/>
            <w:webHidden/>
          </w:rPr>
          <w:fldChar w:fldCharType="separate"/>
        </w:r>
        <w:r w:rsidR="00B46AEF">
          <w:rPr>
            <w:noProof/>
            <w:webHidden/>
          </w:rPr>
          <w:t>13</w:t>
        </w:r>
        <w:r w:rsidR="00B46AEF">
          <w:rPr>
            <w:noProof/>
            <w:webHidden/>
          </w:rPr>
          <w:fldChar w:fldCharType="end"/>
        </w:r>
      </w:hyperlink>
    </w:p>
    <w:p w14:paraId="064E51CF" w14:textId="2FCB6AE5"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6" w:history="1">
        <w:r w:rsidR="00B46AEF" w:rsidRPr="00D91A5D">
          <w:rPr>
            <w:rStyle w:val="Hyperlink"/>
            <w:rFonts w:cs="Arial"/>
            <w:noProof/>
          </w:rPr>
          <w:t>1.8.</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Issues</w:t>
        </w:r>
        <w:r w:rsidR="00B46AEF">
          <w:rPr>
            <w:noProof/>
            <w:webHidden/>
          </w:rPr>
          <w:tab/>
        </w:r>
        <w:r w:rsidR="00B46AEF">
          <w:rPr>
            <w:noProof/>
            <w:webHidden/>
          </w:rPr>
          <w:fldChar w:fldCharType="begin"/>
        </w:r>
        <w:r w:rsidR="00B46AEF">
          <w:rPr>
            <w:noProof/>
            <w:webHidden/>
          </w:rPr>
          <w:instrText xml:space="preserve"> PAGEREF _Toc179464226 \h </w:instrText>
        </w:r>
        <w:r w:rsidR="00B46AEF">
          <w:rPr>
            <w:noProof/>
            <w:webHidden/>
          </w:rPr>
        </w:r>
        <w:r w:rsidR="00B46AEF">
          <w:rPr>
            <w:noProof/>
            <w:webHidden/>
          </w:rPr>
          <w:fldChar w:fldCharType="separate"/>
        </w:r>
        <w:r w:rsidR="00B46AEF">
          <w:rPr>
            <w:noProof/>
            <w:webHidden/>
          </w:rPr>
          <w:t>14</w:t>
        </w:r>
        <w:r w:rsidR="00B46AEF">
          <w:rPr>
            <w:noProof/>
            <w:webHidden/>
          </w:rPr>
          <w:fldChar w:fldCharType="end"/>
        </w:r>
      </w:hyperlink>
    </w:p>
    <w:p w14:paraId="05A517D1" w14:textId="05A0731F"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7" w:history="1">
        <w:r w:rsidR="00B46AEF" w:rsidRPr="00D91A5D">
          <w:rPr>
            <w:rStyle w:val="Hyperlink"/>
            <w:rFonts w:cs="Arial"/>
            <w:noProof/>
          </w:rPr>
          <w:t>1.9.</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Public Protest Period</w:t>
        </w:r>
        <w:r w:rsidR="00B46AEF">
          <w:rPr>
            <w:noProof/>
            <w:webHidden/>
          </w:rPr>
          <w:tab/>
        </w:r>
        <w:r w:rsidR="00B46AEF">
          <w:rPr>
            <w:noProof/>
            <w:webHidden/>
          </w:rPr>
          <w:fldChar w:fldCharType="begin"/>
        </w:r>
        <w:r w:rsidR="00B46AEF">
          <w:rPr>
            <w:noProof/>
            <w:webHidden/>
          </w:rPr>
          <w:instrText xml:space="preserve"> PAGEREF _Toc179464227 \h </w:instrText>
        </w:r>
        <w:r w:rsidR="00B46AEF">
          <w:rPr>
            <w:noProof/>
            <w:webHidden/>
          </w:rPr>
        </w:r>
        <w:r w:rsidR="00B46AEF">
          <w:rPr>
            <w:noProof/>
            <w:webHidden/>
          </w:rPr>
          <w:fldChar w:fldCharType="separate"/>
        </w:r>
        <w:r w:rsidR="00B46AEF">
          <w:rPr>
            <w:noProof/>
            <w:webHidden/>
          </w:rPr>
          <w:t>15</w:t>
        </w:r>
        <w:r w:rsidR="00B46AEF">
          <w:rPr>
            <w:noProof/>
            <w:webHidden/>
          </w:rPr>
          <w:fldChar w:fldCharType="end"/>
        </w:r>
      </w:hyperlink>
    </w:p>
    <w:p w14:paraId="298F6772" w14:textId="122B2323" w:rsidR="00B46AEF" w:rsidRDefault="00000000">
      <w:pPr>
        <w:pStyle w:val="TOC1"/>
        <w:tabs>
          <w:tab w:val="left" w:pos="1680"/>
        </w:tabs>
        <w:rPr>
          <w:rFonts w:asciiTheme="minorHAnsi" w:eastAsiaTheme="minorEastAsia" w:hAnsiTheme="minorHAnsi"/>
          <w:noProof/>
          <w:kern w:val="2"/>
          <w:sz w:val="24"/>
          <w:szCs w:val="24"/>
          <w14:ligatures w14:val="standardContextual"/>
        </w:rPr>
      </w:pPr>
      <w:hyperlink w:anchor="_Toc179464228" w:history="1">
        <w:r w:rsidR="00B46AEF" w:rsidRPr="00D91A5D">
          <w:rPr>
            <w:rStyle w:val="Hyperlink"/>
            <w:rFonts w:cs="Arial"/>
            <w:noProof/>
          </w:rPr>
          <w:t>CHAPTER 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Description of Alternatives</w:t>
        </w:r>
        <w:r w:rsidR="00B46AEF">
          <w:rPr>
            <w:noProof/>
            <w:webHidden/>
          </w:rPr>
          <w:tab/>
        </w:r>
        <w:r w:rsidR="00B46AEF">
          <w:rPr>
            <w:noProof/>
            <w:webHidden/>
          </w:rPr>
          <w:fldChar w:fldCharType="begin"/>
        </w:r>
        <w:r w:rsidR="00B46AEF">
          <w:rPr>
            <w:noProof/>
            <w:webHidden/>
          </w:rPr>
          <w:instrText xml:space="preserve"> PAGEREF _Toc179464228 \h </w:instrText>
        </w:r>
        <w:r w:rsidR="00B46AEF">
          <w:rPr>
            <w:noProof/>
            <w:webHidden/>
          </w:rPr>
        </w:r>
        <w:r w:rsidR="00B46AEF">
          <w:rPr>
            <w:noProof/>
            <w:webHidden/>
          </w:rPr>
          <w:fldChar w:fldCharType="separate"/>
        </w:r>
        <w:r w:rsidR="00B46AEF">
          <w:rPr>
            <w:noProof/>
            <w:webHidden/>
          </w:rPr>
          <w:t>15</w:t>
        </w:r>
        <w:r w:rsidR="00B46AEF">
          <w:rPr>
            <w:noProof/>
            <w:webHidden/>
          </w:rPr>
          <w:fldChar w:fldCharType="end"/>
        </w:r>
      </w:hyperlink>
    </w:p>
    <w:p w14:paraId="7D8054EE" w14:textId="7326251D"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29" w:history="1">
        <w:r w:rsidR="00B46AEF" w:rsidRPr="00D91A5D">
          <w:rPr>
            <w:rStyle w:val="Hyperlink"/>
            <w:rFonts w:cs="Arial"/>
            <w:noProof/>
          </w:rPr>
          <w:t>2.1.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Introduction</w:t>
        </w:r>
        <w:r w:rsidR="00B46AEF">
          <w:rPr>
            <w:noProof/>
            <w:webHidden/>
          </w:rPr>
          <w:tab/>
        </w:r>
        <w:r w:rsidR="00B46AEF">
          <w:rPr>
            <w:noProof/>
            <w:webHidden/>
          </w:rPr>
          <w:fldChar w:fldCharType="begin"/>
        </w:r>
        <w:r w:rsidR="00B46AEF">
          <w:rPr>
            <w:noProof/>
            <w:webHidden/>
          </w:rPr>
          <w:instrText xml:space="preserve"> PAGEREF _Toc179464229 \h </w:instrText>
        </w:r>
        <w:r w:rsidR="00B46AEF">
          <w:rPr>
            <w:noProof/>
            <w:webHidden/>
          </w:rPr>
        </w:r>
        <w:r w:rsidR="00B46AEF">
          <w:rPr>
            <w:noProof/>
            <w:webHidden/>
          </w:rPr>
          <w:fldChar w:fldCharType="separate"/>
        </w:r>
        <w:r w:rsidR="00B46AEF">
          <w:rPr>
            <w:noProof/>
            <w:webHidden/>
          </w:rPr>
          <w:t>15</w:t>
        </w:r>
        <w:r w:rsidR="00B46AEF">
          <w:rPr>
            <w:noProof/>
            <w:webHidden/>
          </w:rPr>
          <w:fldChar w:fldCharType="end"/>
        </w:r>
      </w:hyperlink>
    </w:p>
    <w:p w14:paraId="3F472A78" w14:textId="499158E8"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30" w:history="1">
        <w:r w:rsidR="00B46AEF" w:rsidRPr="00D91A5D">
          <w:rPr>
            <w:rStyle w:val="Hyperlink"/>
            <w:rFonts w:cs="Arial"/>
            <w:noProof/>
          </w:rPr>
          <w:t>2.2.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Alternative A – Proposed Action</w:t>
        </w:r>
        <w:r w:rsidR="00B46AEF">
          <w:rPr>
            <w:noProof/>
            <w:webHidden/>
          </w:rPr>
          <w:tab/>
        </w:r>
        <w:r w:rsidR="00B46AEF">
          <w:rPr>
            <w:noProof/>
            <w:webHidden/>
          </w:rPr>
          <w:fldChar w:fldCharType="begin"/>
        </w:r>
        <w:r w:rsidR="00B46AEF">
          <w:rPr>
            <w:noProof/>
            <w:webHidden/>
          </w:rPr>
          <w:instrText xml:space="preserve"> PAGEREF _Toc179464230 \h </w:instrText>
        </w:r>
        <w:r w:rsidR="00B46AEF">
          <w:rPr>
            <w:noProof/>
            <w:webHidden/>
          </w:rPr>
        </w:r>
        <w:r w:rsidR="00B46AEF">
          <w:rPr>
            <w:noProof/>
            <w:webHidden/>
          </w:rPr>
          <w:fldChar w:fldCharType="separate"/>
        </w:r>
        <w:r w:rsidR="00B46AEF">
          <w:rPr>
            <w:noProof/>
            <w:webHidden/>
          </w:rPr>
          <w:t>16</w:t>
        </w:r>
        <w:r w:rsidR="00B46AEF">
          <w:rPr>
            <w:noProof/>
            <w:webHidden/>
          </w:rPr>
          <w:fldChar w:fldCharType="end"/>
        </w:r>
      </w:hyperlink>
    </w:p>
    <w:p w14:paraId="283508C0" w14:textId="6ADE8615"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31" w:history="1">
        <w:r w:rsidR="00B46AEF" w:rsidRPr="00D91A5D">
          <w:rPr>
            <w:rStyle w:val="Hyperlink"/>
            <w:rFonts w:cs="Arial"/>
            <w:noProof/>
          </w:rPr>
          <w:t>2.3.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Alternative B – No Action Alternative</w:t>
        </w:r>
        <w:r w:rsidR="00B46AEF">
          <w:rPr>
            <w:noProof/>
            <w:webHidden/>
          </w:rPr>
          <w:tab/>
        </w:r>
        <w:r w:rsidR="00B46AEF">
          <w:rPr>
            <w:noProof/>
            <w:webHidden/>
          </w:rPr>
          <w:fldChar w:fldCharType="begin"/>
        </w:r>
        <w:r w:rsidR="00B46AEF">
          <w:rPr>
            <w:noProof/>
            <w:webHidden/>
          </w:rPr>
          <w:instrText xml:space="preserve"> PAGEREF _Toc179464231 \h </w:instrText>
        </w:r>
        <w:r w:rsidR="00B46AEF">
          <w:rPr>
            <w:noProof/>
            <w:webHidden/>
          </w:rPr>
        </w:r>
        <w:r w:rsidR="00B46AEF">
          <w:rPr>
            <w:noProof/>
            <w:webHidden/>
          </w:rPr>
          <w:fldChar w:fldCharType="separate"/>
        </w:r>
        <w:r w:rsidR="00B46AEF">
          <w:rPr>
            <w:noProof/>
            <w:webHidden/>
          </w:rPr>
          <w:t>16</w:t>
        </w:r>
        <w:r w:rsidR="00B46AEF">
          <w:rPr>
            <w:noProof/>
            <w:webHidden/>
          </w:rPr>
          <w:fldChar w:fldCharType="end"/>
        </w:r>
      </w:hyperlink>
    </w:p>
    <w:p w14:paraId="159D6859" w14:textId="7A90E283"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32" w:history="1">
        <w:r w:rsidR="00B46AEF" w:rsidRPr="00D91A5D">
          <w:rPr>
            <w:rStyle w:val="Hyperlink"/>
            <w:rFonts w:cs="Arial"/>
            <w:noProof/>
          </w:rPr>
          <w:t>2.4.</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Alternatives Considered but Eliminated from Detailed Analysis</w:t>
        </w:r>
        <w:r w:rsidR="00B46AEF">
          <w:rPr>
            <w:noProof/>
            <w:webHidden/>
          </w:rPr>
          <w:tab/>
        </w:r>
        <w:r w:rsidR="00B46AEF">
          <w:rPr>
            <w:noProof/>
            <w:webHidden/>
          </w:rPr>
          <w:fldChar w:fldCharType="begin"/>
        </w:r>
        <w:r w:rsidR="00B46AEF">
          <w:rPr>
            <w:noProof/>
            <w:webHidden/>
          </w:rPr>
          <w:instrText xml:space="preserve"> PAGEREF _Toc179464232 \h </w:instrText>
        </w:r>
        <w:r w:rsidR="00B46AEF">
          <w:rPr>
            <w:noProof/>
            <w:webHidden/>
          </w:rPr>
        </w:r>
        <w:r w:rsidR="00B46AEF">
          <w:rPr>
            <w:noProof/>
            <w:webHidden/>
          </w:rPr>
          <w:fldChar w:fldCharType="separate"/>
        </w:r>
        <w:r w:rsidR="00B46AEF">
          <w:rPr>
            <w:noProof/>
            <w:webHidden/>
          </w:rPr>
          <w:t>16</w:t>
        </w:r>
        <w:r w:rsidR="00B46AEF">
          <w:rPr>
            <w:noProof/>
            <w:webHidden/>
          </w:rPr>
          <w:fldChar w:fldCharType="end"/>
        </w:r>
      </w:hyperlink>
    </w:p>
    <w:p w14:paraId="52B8D375" w14:textId="194CB0C4"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33" w:history="1">
        <w:r w:rsidR="00B46AEF" w:rsidRPr="00D91A5D">
          <w:rPr>
            <w:rStyle w:val="Hyperlink"/>
            <w:noProof/>
          </w:rPr>
          <w:t>2.4.1.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Implementing a Managed Decline of Production to GHG Emissions/Imposing a Climate Requirement on Leases Alternative</w:t>
        </w:r>
        <w:r w:rsidR="00B46AEF">
          <w:rPr>
            <w:noProof/>
            <w:webHidden/>
          </w:rPr>
          <w:tab/>
        </w:r>
        <w:r w:rsidR="00B46AEF">
          <w:rPr>
            <w:noProof/>
            <w:webHidden/>
          </w:rPr>
          <w:fldChar w:fldCharType="begin"/>
        </w:r>
        <w:r w:rsidR="00B46AEF">
          <w:rPr>
            <w:noProof/>
            <w:webHidden/>
          </w:rPr>
          <w:instrText xml:space="preserve"> PAGEREF _Toc179464233 \h </w:instrText>
        </w:r>
        <w:r w:rsidR="00B46AEF">
          <w:rPr>
            <w:noProof/>
            <w:webHidden/>
          </w:rPr>
        </w:r>
        <w:r w:rsidR="00B46AEF">
          <w:rPr>
            <w:noProof/>
            <w:webHidden/>
          </w:rPr>
          <w:fldChar w:fldCharType="separate"/>
        </w:r>
        <w:r w:rsidR="00B46AEF">
          <w:rPr>
            <w:noProof/>
            <w:webHidden/>
          </w:rPr>
          <w:t>16</w:t>
        </w:r>
        <w:r w:rsidR="00B46AEF">
          <w:rPr>
            <w:noProof/>
            <w:webHidden/>
          </w:rPr>
          <w:fldChar w:fldCharType="end"/>
        </w:r>
      </w:hyperlink>
    </w:p>
    <w:p w14:paraId="17950107" w14:textId="442252F8"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34" w:history="1">
        <w:r w:rsidR="00B46AEF" w:rsidRPr="00D91A5D">
          <w:rPr>
            <w:rStyle w:val="Hyperlink"/>
            <w:noProof/>
          </w:rPr>
          <w:t>2.4.2.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No New Greenhouse Gas Emissions Alternative</w:t>
        </w:r>
        <w:r w:rsidR="00B46AEF">
          <w:rPr>
            <w:noProof/>
            <w:webHidden/>
          </w:rPr>
          <w:tab/>
        </w:r>
        <w:r w:rsidR="00B46AEF">
          <w:rPr>
            <w:noProof/>
            <w:webHidden/>
          </w:rPr>
          <w:fldChar w:fldCharType="begin"/>
        </w:r>
        <w:r w:rsidR="00B46AEF">
          <w:rPr>
            <w:noProof/>
            <w:webHidden/>
          </w:rPr>
          <w:instrText xml:space="preserve"> PAGEREF _Toc179464234 \h </w:instrText>
        </w:r>
        <w:r w:rsidR="00B46AEF">
          <w:rPr>
            <w:noProof/>
            <w:webHidden/>
          </w:rPr>
        </w:r>
        <w:r w:rsidR="00B46AEF">
          <w:rPr>
            <w:noProof/>
            <w:webHidden/>
          </w:rPr>
          <w:fldChar w:fldCharType="separate"/>
        </w:r>
        <w:r w:rsidR="00B46AEF">
          <w:rPr>
            <w:noProof/>
            <w:webHidden/>
          </w:rPr>
          <w:t>17</w:t>
        </w:r>
        <w:r w:rsidR="00B46AEF">
          <w:rPr>
            <w:noProof/>
            <w:webHidden/>
          </w:rPr>
          <w:fldChar w:fldCharType="end"/>
        </w:r>
      </w:hyperlink>
    </w:p>
    <w:p w14:paraId="4A5534FF" w14:textId="43120EE4" w:rsidR="00B46AEF" w:rsidRDefault="00000000">
      <w:pPr>
        <w:pStyle w:val="TOC1"/>
        <w:tabs>
          <w:tab w:val="left" w:pos="1680"/>
        </w:tabs>
        <w:rPr>
          <w:rFonts w:asciiTheme="minorHAnsi" w:eastAsiaTheme="minorEastAsia" w:hAnsiTheme="minorHAnsi"/>
          <w:noProof/>
          <w:kern w:val="2"/>
          <w:sz w:val="24"/>
          <w:szCs w:val="24"/>
          <w14:ligatures w14:val="standardContextual"/>
        </w:rPr>
      </w:pPr>
      <w:hyperlink w:anchor="_Toc179464235" w:history="1">
        <w:r w:rsidR="00B46AEF" w:rsidRPr="00D91A5D">
          <w:rPr>
            <w:rStyle w:val="Hyperlink"/>
            <w:rFonts w:cs="Arial"/>
            <w:noProof/>
          </w:rPr>
          <w:t>CHAPTER 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Affected Environment and Environmental Effects</w:t>
        </w:r>
        <w:r w:rsidR="00B46AEF">
          <w:rPr>
            <w:noProof/>
            <w:webHidden/>
          </w:rPr>
          <w:tab/>
        </w:r>
        <w:r w:rsidR="00B46AEF">
          <w:rPr>
            <w:noProof/>
            <w:webHidden/>
          </w:rPr>
          <w:fldChar w:fldCharType="begin"/>
        </w:r>
        <w:r w:rsidR="00B46AEF">
          <w:rPr>
            <w:noProof/>
            <w:webHidden/>
          </w:rPr>
          <w:instrText xml:space="preserve"> PAGEREF _Toc179464235 \h </w:instrText>
        </w:r>
        <w:r w:rsidR="00B46AEF">
          <w:rPr>
            <w:noProof/>
            <w:webHidden/>
          </w:rPr>
        </w:r>
        <w:r w:rsidR="00B46AEF">
          <w:rPr>
            <w:noProof/>
            <w:webHidden/>
          </w:rPr>
          <w:fldChar w:fldCharType="separate"/>
        </w:r>
        <w:r w:rsidR="00B46AEF">
          <w:rPr>
            <w:noProof/>
            <w:webHidden/>
          </w:rPr>
          <w:t>17</w:t>
        </w:r>
        <w:r w:rsidR="00B46AEF">
          <w:rPr>
            <w:noProof/>
            <w:webHidden/>
          </w:rPr>
          <w:fldChar w:fldCharType="end"/>
        </w:r>
      </w:hyperlink>
    </w:p>
    <w:p w14:paraId="41DEF11B" w14:textId="24C07E69"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36" w:history="1">
        <w:r w:rsidR="00B46AEF" w:rsidRPr="00D91A5D">
          <w:rPr>
            <w:rStyle w:val="Hyperlink"/>
            <w:rFonts w:cs="Arial"/>
            <w:noProof/>
          </w:rPr>
          <w:t>3.1.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Introduction</w:t>
        </w:r>
        <w:r w:rsidR="00B46AEF">
          <w:rPr>
            <w:noProof/>
            <w:webHidden/>
          </w:rPr>
          <w:tab/>
        </w:r>
        <w:r w:rsidR="00B46AEF">
          <w:rPr>
            <w:noProof/>
            <w:webHidden/>
          </w:rPr>
          <w:fldChar w:fldCharType="begin"/>
        </w:r>
        <w:r w:rsidR="00B46AEF">
          <w:rPr>
            <w:noProof/>
            <w:webHidden/>
          </w:rPr>
          <w:instrText xml:space="preserve"> PAGEREF _Toc179464236 \h </w:instrText>
        </w:r>
        <w:r w:rsidR="00B46AEF">
          <w:rPr>
            <w:noProof/>
            <w:webHidden/>
          </w:rPr>
        </w:r>
        <w:r w:rsidR="00B46AEF">
          <w:rPr>
            <w:noProof/>
            <w:webHidden/>
          </w:rPr>
          <w:fldChar w:fldCharType="separate"/>
        </w:r>
        <w:r w:rsidR="00B46AEF">
          <w:rPr>
            <w:noProof/>
            <w:webHidden/>
          </w:rPr>
          <w:t>17</w:t>
        </w:r>
        <w:r w:rsidR="00B46AEF">
          <w:rPr>
            <w:noProof/>
            <w:webHidden/>
          </w:rPr>
          <w:fldChar w:fldCharType="end"/>
        </w:r>
      </w:hyperlink>
    </w:p>
    <w:p w14:paraId="20D463D0" w14:textId="035CF004"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37" w:history="1">
        <w:r w:rsidR="00B46AEF" w:rsidRPr="00D91A5D">
          <w:rPr>
            <w:rStyle w:val="Hyperlink"/>
            <w:rFonts w:cs="Arial"/>
            <w:noProof/>
          </w:rPr>
          <w:t>3.2.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Analysis Assumptions</w:t>
        </w:r>
        <w:r w:rsidR="00B46AEF">
          <w:rPr>
            <w:noProof/>
            <w:webHidden/>
          </w:rPr>
          <w:tab/>
        </w:r>
        <w:r w:rsidR="00B46AEF">
          <w:rPr>
            <w:noProof/>
            <w:webHidden/>
          </w:rPr>
          <w:fldChar w:fldCharType="begin"/>
        </w:r>
        <w:r w:rsidR="00B46AEF">
          <w:rPr>
            <w:noProof/>
            <w:webHidden/>
          </w:rPr>
          <w:instrText xml:space="preserve"> PAGEREF _Toc179464237 \h </w:instrText>
        </w:r>
        <w:r w:rsidR="00B46AEF">
          <w:rPr>
            <w:noProof/>
            <w:webHidden/>
          </w:rPr>
        </w:r>
        <w:r w:rsidR="00B46AEF">
          <w:rPr>
            <w:noProof/>
            <w:webHidden/>
          </w:rPr>
          <w:fldChar w:fldCharType="separate"/>
        </w:r>
        <w:r w:rsidR="00B46AEF">
          <w:rPr>
            <w:noProof/>
            <w:webHidden/>
          </w:rPr>
          <w:t>17</w:t>
        </w:r>
        <w:r w:rsidR="00B46AEF">
          <w:rPr>
            <w:noProof/>
            <w:webHidden/>
          </w:rPr>
          <w:fldChar w:fldCharType="end"/>
        </w:r>
      </w:hyperlink>
    </w:p>
    <w:p w14:paraId="0F05F596" w14:textId="3FDF9C19" w:rsidR="00B46AEF" w:rsidRDefault="00000000" w:rsidP="00222921">
      <w:pPr>
        <w:pStyle w:val="TOC3"/>
        <w:rPr>
          <w:rFonts w:asciiTheme="minorHAnsi" w:eastAsiaTheme="minorEastAsia" w:hAnsiTheme="minorHAnsi"/>
          <w:noProof/>
          <w:kern w:val="2"/>
          <w:sz w:val="24"/>
          <w:szCs w:val="24"/>
          <w14:ligatures w14:val="standardContextual"/>
        </w:rPr>
      </w:pPr>
      <w:hyperlink w:anchor="_Toc179464238" w:history="1">
        <w:r w:rsidR="00B46AEF" w:rsidRPr="00D91A5D">
          <w:rPr>
            <w:rStyle w:val="Hyperlink"/>
            <w:noProof/>
          </w:rPr>
          <w:t>3.2.1.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Methods Used for Estimating Number of Oil and Gas Wells, Surface Disturbance, and Production Volumes</w:t>
        </w:r>
        <w:r w:rsidR="00B46AEF">
          <w:rPr>
            <w:noProof/>
            <w:webHidden/>
          </w:rPr>
          <w:tab/>
        </w:r>
        <w:r w:rsidR="00B46AEF">
          <w:rPr>
            <w:noProof/>
            <w:webHidden/>
          </w:rPr>
          <w:fldChar w:fldCharType="begin"/>
        </w:r>
        <w:r w:rsidR="00B46AEF">
          <w:rPr>
            <w:noProof/>
            <w:webHidden/>
          </w:rPr>
          <w:instrText xml:space="preserve"> PAGEREF _Toc179464238 \h </w:instrText>
        </w:r>
        <w:r w:rsidR="00B46AEF">
          <w:rPr>
            <w:noProof/>
            <w:webHidden/>
          </w:rPr>
        </w:r>
        <w:r w:rsidR="00B46AEF">
          <w:rPr>
            <w:noProof/>
            <w:webHidden/>
          </w:rPr>
          <w:fldChar w:fldCharType="separate"/>
        </w:r>
        <w:r w:rsidR="00B46AEF">
          <w:rPr>
            <w:noProof/>
            <w:webHidden/>
          </w:rPr>
          <w:t>18</w:t>
        </w:r>
        <w:r w:rsidR="00B46AEF">
          <w:rPr>
            <w:noProof/>
            <w:webHidden/>
          </w:rPr>
          <w:fldChar w:fldCharType="end"/>
        </w:r>
      </w:hyperlink>
    </w:p>
    <w:p w14:paraId="72AB38DB" w14:textId="76DEDCE9"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39" w:history="1">
        <w:r w:rsidR="00B46AEF" w:rsidRPr="00D91A5D">
          <w:rPr>
            <w:rStyle w:val="Hyperlink"/>
            <w:rFonts w:cs="Arial"/>
            <w:noProof/>
          </w:rPr>
          <w:t>3.3.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Cumulative Effects Scenario</w:t>
        </w:r>
        <w:r w:rsidR="00B46AEF">
          <w:rPr>
            <w:noProof/>
            <w:webHidden/>
          </w:rPr>
          <w:tab/>
        </w:r>
        <w:r w:rsidR="00B46AEF">
          <w:rPr>
            <w:noProof/>
            <w:webHidden/>
          </w:rPr>
          <w:fldChar w:fldCharType="begin"/>
        </w:r>
        <w:r w:rsidR="00B46AEF">
          <w:rPr>
            <w:noProof/>
            <w:webHidden/>
          </w:rPr>
          <w:instrText xml:space="preserve"> PAGEREF _Toc179464239 \h </w:instrText>
        </w:r>
        <w:r w:rsidR="00B46AEF">
          <w:rPr>
            <w:noProof/>
            <w:webHidden/>
          </w:rPr>
        </w:r>
        <w:r w:rsidR="00B46AEF">
          <w:rPr>
            <w:noProof/>
            <w:webHidden/>
          </w:rPr>
          <w:fldChar w:fldCharType="separate"/>
        </w:r>
        <w:r w:rsidR="00B46AEF">
          <w:rPr>
            <w:noProof/>
            <w:webHidden/>
          </w:rPr>
          <w:t>19</w:t>
        </w:r>
        <w:r w:rsidR="00B46AEF">
          <w:rPr>
            <w:noProof/>
            <w:webHidden/>
          </w:rPr>
          <w:fldChar w:fldCharType="end"/>
        </w:r>
      </w:hyperlink>
    </w:p>
    <w:p w14:paraId="2DB120B2" w14:textId="3543B482"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40" w:history="1">
        <w:r w:rsidR="00B46AEF" w:rsidRPr="00D91A5D">
          <w:rPr>
            <w:rStyle w:val="Hyperlink"/>
            <w:rFonts w:cs="Arial"/>
            <w:noProof/>
          </w:rPr>
          <w:t>3.4.</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No Action Alternative Impact for All Issues</w:t>
        </w:r>
        <w:r w:rsidR="00B46AEF">
          <w:rPr>
            <w:noProof/>
            <w:webHidden/>
          </w:rPr>
          <w:tab/>
        </w:r>
        <w:r w:rsidR="00B46AEF">
          <w:rPr>
            <w:noProof/>
            <w:webHidden/>
          </w:rPr>
          <w:fldChar w:fldCharType="begin"/>
        </w:r>
        <w:r w:rsidR="00B46AEF">
          <w:rPr>
            <w:noProof/>
            <w:webHidden/>
          </w:rPr>
          <w:instrText xml:space="preserve"> PAGEREF _Toc179464240 \h </w:instrText>
        </w:r>
        <w:r w:rsidR="00B46AEF">
          <w:rPr>
            <w:noProof/>
            <w:webHidden/>
          </w:rPr>
        </w:r>
        <w:r w:rsidR="00B46AEF">
          <w:rPr>
            <w:noProof/>
            <w:webHidden/>
          </w:rPr>
          <w:fldChar w:fldCharType="separate"/>
        </w:r>
        <w:r w:rsidR="00B46AEF">
          <w:rPr>
            <w:noProof/>
            <w:webHidden/>
          </w:rPr>
          <w:t>21</w:t>
        </w:r>
        <w:r w:rsidR="00B46AEF">
          <w:rPr>
            <w:noProof/>
            <w:webHidden/>
          </w:rPr>
          <w:fldChar w:fldCharType="end"/>
        </w:r>
      </w:hyperlink>
    </w:p>
    <w:p w14:paraId="7F401F4E" w14:textId="16BF8429"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41" w:history="1">
        <w:r w:rsidR="00B46AEF" w:rsidRPr="00D91A5D">
          <w:rPr>
            <w:rStyle w:val="Hyperlink"/>
            <w:rFonts w:cs="Arial"/>
            <w:noProof/>
          </w:rPr>
          <w:t>3.5.</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Issues Analyzed in Brief (AIB)</w:t>
        </w:r>
        <w:r w:rsidR="00B46AEF">
          <w:rPr>
            <w:noProof/>
            <w:webHidden/>
          </w:rPr>
          <w:tab/>
        </w:r>
        <w:r w:rsidR="00B46AEF">
          <w:rPr>
            <w:noProof/>
            <w:webHidden/>
          </w:rPr>
          <w:fldChar w:fldCharType="begin"/>
        </w:r>
        <w:r w:rsidR="00B46AEF">
          <w:rPr>
            <w:noProof/>
            <w:webHidden/>
          </w:rPr>
          <w:instrText xml:space="preserve"> PAGEREF _Toc179464241 \h </w:instrText>
        </w:r>
        <w:r w:rsidR="00B46AEF">
          <w:rPr>
            <w:noProof/>
            <w:webHidden/>
          </w:rPr>
        </w:r>
        <w:r w:rsidR="00B46AEF">
          <w:rPr>
            <w:noProof/>
            <w:webHidden/>
          </w:rPr>
          <w:fldChar w:fldCharType="separate"/>
        </w:r>
        <w:r w:rsidR="00B46AEF">
          <w:rPr>
            <w:noProof/>
            <w:webHidden/>
          </w:rPr>
          <w:t>22</w:t>
        </w:r>
        <w:r w:rsidR="00B46AEF">
          <w:rPr>
            <w:noProof/>
            <w:webHidden/>
          </w:rPr>
          <w:fldChar w:fldCharType="end"/>
        </w:r>
      </w:hyperlink>
    </w:p>
    <w:p w14:paraId="59FE00F3" w14:textId="4EE1A662"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2" w:history="1">
        <w:r w:rsidR="00B46AEF" w:rsidRPr="00D91A5D">
          <w:rPr>
            <w:rStyle w:val="Hyperlink"/>
            <w:noProof/>
          </w:rPr>
          <w:t>AIB-1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Threatened and Endangered (T&amp;E) Species</w:t>
        </w:r>
        <w:r w:rsidR="00B46AEF">
          <w:rPr>
            <w:noProof/>
            <w:webHidden/>
          </w:rPr>
          <w:tab/>
        </w:r>
        <w:r w:rsidR="00B46AEF">
          <w:rPr>
            <w:noProof/>
            <w:webHidden/>
          </w:rPr>
          <w:fldChar w:fldCharType="begin"/>
        </w:r>
        <w:r w:rsidR="00B46AEF">
          <w:rPr>
            <w:noProof/>
            <w:webHidden/>
          </w:rPr>
          <w:instrText xml:space="preserve"> PAGEREF _Toc179464242 \h </w:instrText>
        </w:r>
        <w:r w:rsidR="00B46AEF">
          <w:rPr>
            <w:noProof/>
            <w:webHidden/>
          </w:rPr>
        </w:r>
        <w:r w:rsidR="00B46AEF">
          <w:rPr>
            <w:noProof/>
            <w:webHidden/>
          </w:rPr>
          <w:fldChar w:fldCharType="separate"/>
        </w:r>
        <w:r w:rsidR="00B46AEF">
          <w:rPr>
            <w:noProof/>
            <w:webHidden/>
          </w:rPr>
          <w:t>22</w:t>
        </w:r>
        <w:r w:rsidR="00B46AEF">
          <w:rPr>
            <w:noProof/>
            <w:webHidden/>
          </w:rPr>
          <w:fldChar w:fldCharType="end"/>
        </w:r>
      </w:hyperlink>
    </w:p>
    <w:p w14:paraId="00774FCF" w14:textId="1E5295F9"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3" w:history="1">
        <w:r w:rsidR="00B46AEF" w:rsidRPr="00D91A5D">
          <w:rPr>
            <w:rStyle w:val="Hyperlink"/>
            <w:noProof/>
          </w:rPr>
          <w:t>AIB-2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Utah BLM Sensitive Species</w:t>
        </w:r>
        <w:r w:rsidR="00B46AEF">
          <w:rPr>
            <w:noProof/>
            <w:webHidden/>
          </w:rPr>
          <w:tab/>
        </w:r>
        <w:r w:rsidR="00B46AEF">
          <w:rPr>
            <w:noProof/>
            <w:webHidden/>
          </w:rPr>
          <w:fldChar w:fldCharType="begin"/>
        </w:r>
        <w:r w:rsidR="00B46AEF">
          <w:rPr>
            <w:noProof/>
            <w:webHidden/>
          </w:rPr>
          <w:instrText xml:space="preserve"> PAGEREF _Toc179464243 \h </w:instrText>
        </w:r>
        <w:r w:rsidR="00B46AEF">
          <w:rPr>
            <w:noProof/>
            <w:webHidden/>
          </w:rPr>
        </w:r>
        <w:r w:rsidR="00B46AEF">
          <w:rPr>
            <w:noProof/>
            <w:webHidden/>
          </w:rPr>
          <w:fldChar w:fldCharType="separate"/>
        </w:r>
        <w:r w:rsidR="00B46AEF">
          <w:rPr>
            <w:noProof/>
            <w:webHidden/>
          </w:rPr>
          <w:t>24</w:t>
        </w:r>
        <w:r w:rsidR="00B46AEF">
          <w:rPr>
            <w:noProof/>
            <w:webHidden/>
          </w:rPr>
          <w:fldChar w:fldCharType="end"/>
        </w:r>
      </w:hyperlink>
    </w:p>
    <w:p w14:paraId="7C3D7064" w14:textId="4385F05C"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4" w:history="1">
        <w:r w:rsidR="00B46AEF" w:rsidRPr="00D91A5D">
          <w:rPr>
            <w:rStyle w:val="Hyperlink"/>
            <w:noProof/>
          </w:rPr>
          <w:t>AIB-3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Migratory Birds</w:t>
        </w:r>
        <w:r w:rsidR="00B46AEF">
          <w:rPr>
            <w:noProof/>
            <w:webHidden/>
          </w:rPr>
          <w:tab/>
        </w:r>
        <w:r w:rsidR="00B46AEF">
          <w:rPr>
            <w:noProof/>
            <w:webHidden/>
          </w:rPr>
          <w:fldChar w:fldCharType="begin"/>
        </w:r>
        <w:r w:rsidR="00B46AEF">
          <w:rPr>
            <w:noProof/>
            <w:webHidden/>
          </w:rPr>
          <w:instrText xml:space="preserve"> PAGEREF _Toc179464244 \h </w:instrText>
        </w:r>
        <w:r w:rsidR="00B46AEF">
          <w:rPr>
            <w:noProof/>
            <w:webHidden/>
          </w:rPr>
        </w:r>
        <w:r w:rsidR="00B46AEF">
          <w:rPr>
            <w:noProof/>
            <w:webHidden/>
          </w:rPr>
          <w:fldChar w:fldCharType="separate"/>
        </w:r>
        <w:r w:rsidR="00B46AEF">
          <w:rPr>
            <w:noProof/>
            <w:webHidden/>
          </w:rPr>
          <w:t>28</w:t>
        </w:r>
        <w:r w:rsidR="00B46AEF">
          <w:rPr>
            <w:noProof/>
            <w:webHidden/>
          </w:rPr>
          <w:fldChar w:fldCharType="end"/>
        </w:r>
      </w:hyperlink>
    </w:p>
    <w:p w14:paraId="5C0DB55F" w14:textId="7FD6B293"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5" w:history="1">
        <w:r w:rsidR="00B46AEF" w:rsidRPr="00D91A5D">
          <w:rPr>
            <w:rStyle w:val="Hyperlink"/>
            <w:noProof/>
          </w:rPr>
          <w:t>AIB-4</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Cultural Resources</w:t>
        </w:r>
        <w:r w:rsidR="00B46AEF">
          <w:rPr>
            <w:noProof/>
            <w:webHidden/>
          </w:rPr>
          <w:tab/>
        </w:r>
        <w:r w:rsidR="00B46AEF">
          <w:rPr>
            <w:noProof/>
            <w:webHidden/>
          </w:rPr>
          <w:fldChar w:fldCharType="begin"/>
        </w:r>
        <w:r w:rsidR="00B46AEF">
          <w:rPr>
            <w:noProof/>
            <w:webHidden/>
          </w:rPr>
          <w:instrText xml:space="preserve"> PAGEREF _Toc179464245 \h </w:instrText>
        </w:r>
        <w:r w:rsidR="00B46AEF">
          <w:rPr>
            <w:noProof/>
            <w:webHidden/>
          </w:rPr>
        </w:r>
        <w:r w:rsidR="00B46AEF">
          <w:rPr>
            <w:noProof/>
            <w:webHidden/>
          </w:rPr>
          <w:fldChar w:fldCharType="separate"/>
        </w:r>
        <w:r w:rsidR="00B46AEF">
          <w:rPr>
            <w:noProof/>
            <w:webHidden/>
          </w:rPr>
          <w:t>29</w:t>
        </w:r>
        <w:r w:rsidR="00B46AEF">
          <w:rPr>
            <w:noProof/>
            <w:webHidden/>
          </w:rPr>
          <w:fldChar w:fldCharType="end"/>
        </w:r>
      </w:hyperlink>
    </w:p>
    <w:p w14:paraId="14F3EB6F" w14:textId="79B154BB"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6" w:history="1">
        <w:r w:rsidR="00B46AEF" w:rsidRPr="00D91A5D">
          <w:rPr>
            <w:rStyle w:val="Hyperlink"/>
            <w:noProof/>
          </w:rPr>
          <w:t>AIB-5</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Paleontological Resources</w:t>
        </w:r>
        <w:r w:rsidR="00B46AEF">
          <w:rPr>
            <w:noProof/>
            <w:webHidden/>
          </w:rPr>
          <w:tab/>
        </w:r>
        <w:r w:rsidR="00B46AEF">
          <w:rPr>
            <w:noProof/>
            <w:webHidden/>
          </w:rPr>
          <w:fldChar w:fldCharType="begin"/>
        </w:r>
        <w:r w:rsidR="00B46AEF">
          <w:rPr>
            <w:noProof/>
            <w:webHidden/>
          </w:rPr>
          <w:instrText xml:space="preserve"> PAGEREF _Toc179464246 \h </w:instrText>
        </w:r>
        <w:r w:rsidR="00B46AEF">
          <w:rPr>
            <w:noProof/>
            <w:webHidden/>
          </w:rPr>
        </w:r>
        <w:r w:rsidR="00B46AEF">
          <w:rPr>
            <w:noProof/>
            <w:webHidden/>
          </w:rPr>
          <w:fldChar w:fldCharType="separate"/>
        </w:r>
        <w:r w:rsidR="00B46AEF">
          <w:rPr>
            <w:noProof/>
            <w:webHidden/>
          </w:rPr>
          <w:t>30</w:t>
        </w:r>
        <w:r w:rsidR="00B46AEF">
          <w:rPr>
            <w:noProof/>
            <w:webHidden/>
          </w:rPr>
          <w:fldChar w:fldCharType="end"/>
        </w:r>
      </w:hyperlink>
    </w:p>
    <w:p w14:paraId="6C9BC6B5" w14:textId="69D3A450"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7" w:history="1">
        <w:r w:rsidR="00B46AEF" w:rsidRPr="00D91A5D">
          <w:rPr>
            <w:rStyle w:val="Hyperlink"/>
            <w:noProof/>
          </w:rPr>
          <w:t>AIB-6</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Native American Concerns</w:t>
        </w:r>
        <w:r w:rsidR="00B46AEF">
          <w:rPr>
            <w:noProof/>
            <w:webHidden/>
          </w:rPr>
          <w:tab/>
        </w:r>
        <w:r w:rsidR="00B46AEF">
          <w:rPr>
            <w:noProof/>
            <w:webHidden/>
          </w:rPr>
          <w:fldChar w:fldCharType="begin"/>
        </w:r>
        <w:r w:rsidR="00B46AEF">
          <w:rPr>
            <w:noProof/>
            <w:webHidden/>
          </w:rPr>
          <w:instrText xml:space="preserve"> PAGEREF _Toc179464247 \h </w:instrText>
        </w:r>
        <w:r w:rsidR="00B46AEF">
          <w:rPr>
            <w:noProof/>
            <w:webHidden/>
          </w:rPr>
        </w:r>
        <w:r w:rsidR="00B46AEF">
          <w:rPr>
            <w:noProof/>
            <w:webHidden/>
          </w:rPr>
          <w:fldChar w:fldCharType="separate"/>
        </w:r>
        <w:r w:rsidR="00B46AEF">
          <w:rPr>
            <w:noProof/>
            <w:webHidden/>
          </w:rPr>
          <w:t>32</w:t>
        </w:r>
        <w:r w:rsidR="00B46AEF">
          <w:rPr>
            <w:noProof/>
            <w:webHidden/>
          </w:rPr>
          <w:fldChar w:fldCharType="end"/>
        </w:r>
      </w:hyperlink>
    </w:p>
    <w:p w14:paraId="2F22EF3D" w14:textId="4BB451D6"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8" w:history="1">
        <w:r w:rsidR="00B46AEF" w:rsidRPr="00D91A5D">
          <w:rPr>
            <w:rStyle w:val="Hyperlink"/>
            <w:noProof/>
          </w:rPr>
          <w:t>AIB-7</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Environmental Justice</w:t>
        </w:r>
        <w:r w:rsidR="00B46AEF">
          <w:rPr>
            <w:noProof/>
            <w:webHidden/>
          </w:rPr>
          <w:tab/>
        </w:r>
        <w:r w:rsidR="00B46AEF">
          <w:rPr>
            <w:noProof/>
            <w:webHidden/>
          </w:rPr>
          <w:fldChar w:fldCharType="begin"/>
        </w:r>
        <w:r w:rsidR="00B46AEF">
          <w:rPr>
            <w:noProof/>
            <w:webHidden/>
          </w:rPr>
          <w:instrText xml:space="preserve"> PAGEREF _Toc179464248 \h </w:instrText>
        </w:r>
        <w:r w:rsidR="00B46AEF">
          <w:rPr>
            <w:noProof/>
            <w:webHidden/>
          </w:rPr>
        </w:r>
        <w:r w:rsidR="00B46AEF">
          <w:rPr>
            <w:noProof/>
            <w:webHidden/>
          </w:rPr>
          <w:fldChar w:fldCharType="separate"/>
        </w:r>
        <w:r w:rsidR="00B46AEF">
          <w:rPr>
            <w:noProof/>
            <w:webHidden/>
          </w:rPr>
          <w:t>32</w:t>
        </w:r>
        <w:r w:rsidR="00B46AEF">
          <w:rPr>
            <w:noProof/>
            <w:webHidden/>
          </w:rPr>
          <w:fldChar w:fldCharType="end"/>
        </w:r>
      </w:hyperlink>
    </w:p>
    <w:p w14:paraId="6A40B6C6" w14:textId="003A99AB"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49" w:history="1">
        <w:r w:rsidR="00B46AEF" w:rsidRPr="00D91A5D">
          <w:rPr>
            <w:rStyle w:val="Hyperlink"/>
            <w:noProof/>
          </w:rPr>
          <w:t>AIB-8</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Pronghorn</w:t>
        </w:r>
        <w:r w:rsidR="00B46AEF">
          <w:rPr>
            <w:noProof/>
            <w:webHidden/>
          </w:rPr>
          <w:tab/>
        </w:r>
        <w:r w:rsidR="00B46AEF">
          <w:rPr>
            <w:noProof/>
            <w:webHidden/>
          </w:rPr>
          <w:fldChar w:fldCharType="begin"/>
        </w:r>
        <w:r w:rsidR="00B46AEF">
          <w:rPr>
            <w:noProof/>
            <w:webHidden/>
          </w:rPr>
          <w:instrText xml:space="preserve"> PAGEREF _Toc179464249 \h </w:instrText>
        </w:r>
        <w:r w:rsidR="00B46AEF">
          <w:rPr>
            <w:noProof/>
            <w:webHidden/>
          </w:rPr>
        </w:r>
        <w:r w:rsidR="00B46AEF">
          <w:rPr>
            <w:noProof/>
            <w:webHidden/>
          </w:rPr>
          <w:fldChar w:fldCharType="separate"/>
        </w:r>
        <w:r w:rsidR="00B46AEF">
          <w:rPr>
            <w:noProof/>
            <w:webHidden/>
          </w:rPr>
          <w:t>33</w:t>
        </w:r>
        <w:r w:rsidR="00B46AEF">
          <w:rPr>
            <w:noProof/>
            <w:webHidden/>
          </w:rPr>
          <w:fldChar w:fldCharType="end"/>
        </w:r>
      </w:hyperlink>
    </w:p>
    <w:p w14:paraId="4FB0ABEF" w14:textId="422BC554"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0" w:history="1">
        <w:r w:rsidR="00B46AEF" w:rsidRPr="00D91A5D">
          <w:rPr>
            <w:rStyle w:val="Hyperlink"/>
            <w:noProof/>
          </w:rPr>
          <w:t>AIB-9</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Vegetation Communities and Animal Habitat</w:t>
        </w:r>
        <w:r w:rsidR="00B46AEF">
          <w:rPr>
            <w:noProof/>
            <w:webHidden/>
          </w:rPr>
          <w:tab/>
        </w:r>
        <w:r w:rsidR="00B46AEF">
          <w:rPr>
            <w:noProof/>
            <w:webHidden/>
          </w:rPr>
          <w:fldChar w:fldCharType="begin"/>
        </w:r>
        <w:r w:rsidR="00B46AEF">
          <w:rPr>
            <w:noProof/>
            <w:webHidden/>
          </w:rPr>
          <w:instrText xml:space="preserve"> PAGEREF _Toc179464250 \h </w:instrText>
        </w:r>
        <w:r w:rsidR="00B46AEF">
          <w:rPr>
            <w:noProof/>
            <w:webHidden/>
          </w:rPr>
        </w:r>
        <w:r w:rsidR="00B46AEF">
          <w:rPr>
            <w:noProof/>
            <w:webHidden/>
          </w:rPr>
          <w:fldChar w:fldCharType="separate"/>
        </w:r>
        <w:r w:rsidR="00B46AEF">
          <w:rPr>
            <w:noProof/>
            <w:webHidden/>
          </w:rPr>
          <w:t>34</w:t>
        </w:r>
        <w:r w:rsidR="00B46AEF">
          <w:rPr>
            <w:noProof/>
            <w:webHidden/>
          </w:rPr>
          <w:fldChar w:fldCharType="end"/>
        </w:r>
      </w:hyperlink>
    </w:p>
    <w:p w14:paraId="47C0E024" w14:textId="53AE1EF6"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1" w:history="1">
        <w:r w:rsidR="00B46AEF" w:rsidRPr="00D91A5D">
          <w:rPr>
            <w:rStyle w:val="Hyperlink"/>
            <w:noProof/>
          </w:rPr>
          <w:t>AIB-10</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Invasive Species (Noxious Weeds)</w:t>
        </w:r>
        <w:r w:rsidR="00B46AEF">
          <w:rPr>
            <w:noProof/>
            <w:webHidden/>
          </w:rPr>
          <w:tab/>
        </w:r>
        <w:r w:rsidR="00B46AEF">
          <w:rPr>
            <w:noProof/>
            <w:webHidden/>
          </w:rPr>
          <w:fldChar w:fldCharType="begin"/>
        </w:r>
        <w:r w:rsidR="00B46AEF">
          <w:rPr>
            <w:noProof/>
            <w:webHidden/>
          </w:rPr>
          <w:instrText xml:space="preserve"> PAGEREF _Toc179464251 \h </w:instrText>
        </w:r>
        <w:r w:rsidR="00B46AEF">
          <w:rPr>
            <w:noProof/>
            <w:webHidden/>
          </w:rPr>
        </w:r>
        <w:r w:rsidR="00B46AEF">
          <w:rPr>
            <w:noProof/>
            <w:webHidden/>
          </w:rPr>
          <w:fldChar w:fldCharType="separate"/>
        </w:r>
        <w:r w:rsidR="00B46AEF">
          <w:rPr>
            <w:noProof/>
            <w:webHidden/>
          </w:rPr>
          <w:t>35</w:t>
        </w:r>
        <w:r w:rsidR="00B46AEF">
          <w:rPr>
            <w:noProof/>
            <w:webHidden/>
          </w:rPr>
          <w:fldChar w:fldCharType="end"/>
        </w:r>
      </w:hyperlink>
    </w:p>
    <w:p w14:paraId="4D63A9A2" w14:textId="7F9A386B"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2" w:history="1">
        <w:r w:rsidR="00B46AEF" w:rsidRPr="00D91A5D">
          <w:rPr>
            <w:rStyle w:val="Hyperlink"/>
            <w:noProof/>
          </w:rPr>
          <w:t>AIB-11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Surface Water</w:t>
        </w:r>
        <w:r w:rsidR="00B46AEF">
          <w:rPr>
            <w:noProof/>
            <w:webHidden/>
          </w:rPr>
          <w:tab/>
        </w:r>
        <w:r w:rsidR="00B46AEF">
          <w:rPr>
            <w:noProof/>
            <w:webHidden/>
          </w:rPr>
          <w:fldChar w:fldCharType="begin"/>
        </w:r>
        <w:r w:rsidR="00B46AEF">
          <w:rPr>
            <w:noProof/>
            <w:webHidden/>
          </w:rPr>
          <w:instrText xml:space="preserve"> PAGEREF _Toc179464252 \h </w:instrText>
        </w:r>
        <w:r w:rsidR="00B46AEF">
          <w:rPr>
            <w:noProof/>
            <w:webHidden/>
          </w:rPr>
        </w:r>
        <w:r w:rsidR="00B46AEF">
          <w:rPr>
            <w:noProof/>
            <w:webHidden/>
          </w:rPr>
          <w:fldChar w:fldCharType="separate"/>
        </w:r>
        <w:r w:rsidR="00B46AEF">
          <w:rPr>
            <w:noProof/>
            <w:webHidden/>
          </w:rPr>
          <w:t>36</w:t>
        </w:r>
        <w:r w:rsidR="00B46AEF">
          <w:rPr>
            <w:noProof/>
            <w:webHidden/>
          </w:rPr>
          <w:fldChar w:fldCharType="end"/>
        </w:r>
      </w:hyperlink>
    </w:p>
    <w:p w14:paraId="036F7C8E" w14:textId="023C4C34"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3" w:history="1">
        <w:r w:rsidR="00B46AEF" w:rsidRPr="00D91A5D">
          <w:rPr>
            <w:rStyle w:val="Hyperlink"/>
            <w:noProof/>
          </w:rPr>
          <w:t>AIB-12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Groundwater</w:t>
        </w:r>
        <w:r w:rsidR="00B46AEF">
          <w:rPr>
            <w:noProof/>
            <w:webHidden/>
          </w:rPr>
          <w:tab/>
        </w:r>
        <w:r w:rsidR="00B46AEF">
          <w:rPr>
            <w:noProof/>
            <w:webHidden/>
          </w:rPr>
          <w:fldChar w:fldCharType="begin"/>
        </w:r>
        <w:r w:rsidR="00B46AEF">
          <w:rPr>
            <w:noProof/>
            <w:webHidden/>
          </w:rPr>
          <w:instrText xml:space="preserve"> PAGEREF _Toc179464253 \h </w:instrText>
        </w:r>
        <w:r w:rsidR="00B46AEF">
          <w:rPr>
            <w:noProof/>
            <w:webHidden/>
          </w:rPr>
        </w:r>
        <w:r w:rsidR="00B46AEF">
          <w:rPr>
            <w:noProof/>
            <w:webHidden/>
          </w:rPr>
          <w:fldChar w:fldCharType="separate"/>
        </w:r>
        <w:r w:rsidR="00B46AEF">
          <w:rPr>
            <w:noProof/>
            <w:webHidden/>
          </w:rPr>
          <w:t>37</w:t>
        </w:r>
        <w:r w:rsidR="00B46AEF">
          <w:rPr>
            <w:noProof/>
            <w:webHidden/>
          </w:rPr>
          <w:fldChar w:fldCharType="end"/>
        </w:r>
      </w:hyperlink>
    </w:p>
    <w:p w14:paraId="6709F8C0" w14:textId="011C3B51"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4" w:history="1">
        <w:r w:rsidR="00B46AEF" w:rsidRPr="00D91A5D">
          <w:rPr>
            <w:rStyle w:val="Hyperlink"/>
            <w:noProof/>
          </w:rPr>
          <w:t>AIB-13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Sensitive Soils</w:t>
        </w:r>
        <w:r w:rsidR="00B46AEF">
          <w:rPr>
            <w:noProof/>
            <w:webHidden/>
          </w:rPr>
          <w:tab/>
        </w:r>
        <w:r w:rsidR="00B46AEF">
          <w:rPr>
            <w:noProof/>
            <w:webHidden/>
          </w:rPr>
          <w:fldChar w:fldCharType="begin"/>
        </w:r>
        <w:r w:rsidR="00B46AEF">
          <w:rPr>
            <w:noProof/>
            <w:webHidden/>
          </w:rPr>
          <w:instrText xml:space="preserve"> PAGEREF _Toc179464254 \h </w:instrText>
        </w:r>
        <w:r w:rsidR="00B46AEF">
          <w:rPr>
            <w:noProof/>
            <w:webHidden/>
          </w:rPr>
        </w:r>
        <w:r w:rsidR="00B46AEF">
          <w:rPr>
            <w:noProof/>
            <w:webHidden/>
          </w:rPr>
          <w:fldChar w:fldCharType="separate"/>
        </w:r>
        <w:r w:rsidR="00B46AEF">
          <w:rPr>
            <w:noProof/>
            <w:webHidden/>
          </w:rPr>
          <w:t>41</w:t>
        </w:r>
        <w:r w:rsidR="00B46AEF">
          <w:rPr>
            <w:noProof/>
            <w:webHidden/>
          </w:rPr>
          <w:fldChar w:fldCharType="end"/>
        </w:r>
      </w:hyperlink>
    </w:p>
    <w:p w14:paraId="0498BB31" w14:textId="6749880F"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5" w:history="1">
        <w:r w:rsidR="00B46AEF" w:rsidRPr="00D91A5D">
          <w:rPr>
            <w:rStyle w:val="Hyperlink"/>
            <w:noProof/>
          </w:rPr>
          <w:t>AIB-14</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Riparian Areas, Wetlands, and Floodplains</w:t>
        </w:r>
        <w:r w:rsidR="00B46AEF">
          <w:rPr>
            <w:noProof/>
            <w:webHidden/>
          </w:rPr>
          <w:tab/>
        </w:r>
        <w:r w:rsidR="00B46AEF">
          <w:rPr>
            <w:noProof/>
            <w:webHidden/>
          </w:rPr>
          <w:fldChar w:fldCharType="begin"/>
        </w:r>
        <w:r w:rsidR="00B46AEF">
          <w:rPr>
            <w:noProof/>
            <w:webHidden/>
          </w:rPr>
          <w:instrText xml:space="preserve"> PAGEREF _Toc179464255 \h </w:instrText>
        </w:r>
        <w:r w:rsidR="00B46AEF">
          <w:rPr>
            <w:noProof/>
            <w:webHidden/>
          </w:rPr>
        </w:r>
        <w:r w:rsidR="00B46AEF">
          <w:rPr>
            <w:noProof/>
            <w:webHidden/>
          </w:rPr>
          <w:fldChar w:fldCharType="separate"/>
        </w:r>
        <w:r w:rsidR="00B46AEF">
          <w:rPr>
            <w:noProof/>
            <w:webHidden/>
          </w:rPr>
          <w:t>42</w:t>
        </w:r>
        <w:r w:rsidR="00B46AEF">
          <w:rPr>
            <w:noProof/>
            <w:webHidden/>
          </w:rPr>
          <w:fldChar w:fldCharType="end"/>
        </w:r>
      </w:hyperlink>
    </w:p>
    <w:p w14:paraId="7251E751" w14:textId="420B3311"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6" w:history="1">
        <w:r w:rsidR="00B46AEF" w:rsidRPr="00D91A5D">
          <w:rPr>
            <w:rStyle w:val="Hyperlink"/>
            <w:noProof/>
          </w:rPr>
          <w:t>AIB-15</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Recreation</w:t>
        </w:r>
        <w:r w:rsidR="00B46AEF">
          <w:rPr>
            <w:noProof/>
            <w:webHidden/>
          </w:rPr>
          <w:tab/>
        </w:r>
        <w:r w:rsidR="00B46AEF">
          <w:rPr>
            <w:noProof/>
            <w:webHidden/>
          </w:rPr>
          <w:fldChar w:fldCharType="begin"/>
        </w:r>
        <w:r w:rsidR="00B46AEF">
          <w:rPr>
            <w:noProof/>
            <w:webHidden/>
          </w:rPr>
          <w:instrText xml:space="preserve"> PAGEREF _Toc179464256 \h </w:instrText>
        </w:r>
        <w:r w:rsidR="00B46AEF">
          <w:rPr>
            <w:noProof/>
            <w:webHidden/>
          </w:rPr>
        </w:r>
        <w:r w:rsidR="00B46AEF">
          <w:rPr>
            <w:noProof/>
            <w:webHidden/>
          </w:rPr>
          <w:fldChar w:fldCharType="separate"/>
        </w:r>
        <w:r w:rsidR="00B46AEF">
          <w:rPr>
            <w:noProof/>
            <w:webHidden/>
          </w:rPr>
          <w:t>43</w:t>
        </w:r>
        <w:r w:rsidR="00B46AEF">
          <w:rPr>
            <w:noProof/>
            <w:webHidden/>
          </w:rPr>
          <w:fldChar w:fldCharType="end"/>
        </w:r>
      </w:hyperlink>
    </w:p>
    <w:p w14:paraId="4B24082F" w14:textId="181FA95B"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7" w:history="1">
        <w:r w:rsidR="00B46AEF" w:rsidRPr="00D91A5D">
          <w:rPr>
            <w:rStyle w:val="Hyperlink"/>
            <w:noProof/>
          </w:rPr>
          <w:t>AIB-16</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Visual Resources</w:t>
        </w:r>
        <w:r w:rsidR="00B46AEF">
          <w:rPr>
            <w:noProof/>
            <w:webHidden/>
          </w:rPr>
          <w:tab/>
        </w:r>
        <w:r w:rsidR="00B46AEF">
          <w:rPr>
            <w:noProof/>
            <w:webHidden/>
          </w:rPr>
          <w:fldChar w:fldCharType="begin"/>
        </w:r>
        <w:r w:rsidR="00B46AEF">
          <w:rPr>
            <w:noProof/>
            <w:webHidden/>
          </w:rPr>
          <w:instrText xml:space="preserve"> PAGEREF _Toc179464257 \h </w:instrText>
        </w:r>
        <w:r w:rsidR="00B46AEF">
          <w:rPr>
            <w:noProof/>
            <w:webHidden/>
          </w:rPr>
        </w:r>
        <w:r w:rsidR="00B46AEF">
          <w:rPr>
            <w:noProof/>
            <w:webHidden/>
          </w:rPr>
          <w:fldChar w:fldCharType="separate"/>
        </w:r>
        <w:r w:rsidR="00B46AEF">
          <w:rPr>
            <w:noProof/>
            <w:webHidden/>
          </w:rPr>
          <w:t>43</w:t>
        </w:r>
        <w:r w:rsidR="00B46AEF">
          <w:rPr>
            <w:noProof/>
            <w:webHidden/>
          </w:rPr>
          <w:fldChar w:fldCharType="end"/>
        </w:r>
      </w:hyperlink>
    </w:p>
    <w:p w14:paraId="405AD35B" w14:textId="057BB51D"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8" w:history="1">
        <w:r w:rsidR="00B46AEF" w:rsidRPr="00D91A5D">
          <w:rPr>
            <w:rStyle w:val="Hyperlink"/>
            <w:noProof/>
          </w:rPr>
          <w:t>AIB-17</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Soundscapes</w:t>
        </w:r>
        <w:r w:rsidR="00B46AEF">
          <w:rPr>
            <w:noProof/>
            <w:webHidden/>
          </w:rPr>
          <w:tab/>
        </w:r>
        <w:r w:rsidR="00B46AEF">
          <w:rPr>
            <w:noProof/>
            <w:webHidden/>
          </w:rPr>
          <w:fldChar w:fldCharType="begin"/>
        </w:r>
        <w:r w:rsidR="00B46AEF">
          <w:rPr>
            <w:noProof/>
            <w:webHidden/>
          </w:rPr>
          <w:instrText xml:space="preserve"> PAGEREF _Toc179464258 \h </w:instrText>
        </w:r>
        <w:r w:rsidR="00B46AEF">
          <w:rPr>
            <w:noProof/>
            <w:webHidden/>
          </w:rPr>
        </w:r>
        <w:r w:rsidR="00B46AEF">
          <w:rPr>
            <w:noProof/>
            <w:webHidden/>
          </w:rPr>
          <w:fldChar w:fldCharType="separate"/>
        </w:r>
        <w:r w:rsidR="00B46AEF">
          <w:rPr>
            <w:noProof/>
            <w:webHidden/>
          </w:rPr>
          <w:t>44</w:t>
        </w:r>
        <w:r w:rsidR="00B46AEF">
          <w:rPr>
            <w:noProof/>
            <w:webHidden/>
          </w:rPr>
          <w:fldChar w:fldCharType="end"/>
        </w:r>
      </w:hyperlink>
    </w:p>
    <w:p w14:paraId="776B338E" w14:textId="07723DB3"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59" w:history="1">
        <w:r w:rsidR="00B46AEF" w:rsidRPr="00D91A5D">
          <w:rPr>
            <w:rStyle w:val="Hyperlink"/>
            <w:noProof/>
          </w:rPr>
          <w:t>AIB-18</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Dark Night Skies</w:t>
        </w:r>
        <w:r w:rsidR="00B46AEF">
          <w:rPr>
            <w:noProof/>
            <w:webHidden/>
          </w:rPr>
          <w:tab/>
        </w:r>
        <w:r w:rsidR="00B46AEF">
          <w:rPr>
            <w:noProof/>
            <w:webHidden/>
          </w:rPr>
          <w:fldChar w:fldCharType="begin"/>
        </w:r>
        <w:r w:rsidR="00B46AEF">
          <w:rPr>
            <w:noProof/>
            <w:webHidden/>
          </w:rPr>
          <w:instrText xml:space="preserve"> PAGEREF _Toc179464259 \h </w:instrText>
        </w:r>
        <w:r w:rsidR="00B46AEF">
          <w:rPr>
            <w:noProof/>
            <w:webHidden/>
          </w:rPr>
        </w:r>
        <w:r w:rsidR="00B46AEF">
          <w:rPr>
            <w:noProof/>
            <w:webHidden/>
          </w:rPr>
          <w:fldChar w:fldCharType="separate"/>
        </w:r>
        <w:r w:rsidR="00B46AEF">
          <w:rPr>
            <w:noProof/>
            <w:webHidden/>
          </w:rPr>
          <w:t>45</w:t>
        </w:r>
        <w:r w:rsidR="00B46AEF">
          <w:rPr>
            <w:noProof/>
            <w:webHidden/>
          </w:rPr>
          <w:fldChar w:fldCharType="end"/>
        </w:r>
      </w:hyperlink>
    </w:p>
    <w:p w14:paraId="66A5C532" w14:textId="2E832C53"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60" w:history="1">
        <w:r w:rsidR="00B46AEF" w:rsidRPr="00D91A5D">
          <w:rPr>
            <w:rStyle w:val="Hyperlink"/>
            <w:noProof/>
          </w:rPr>
          <w:t>AIB-19</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Livestock Grazing</w:t>
        </w:r>
        <w:r w:rsidR="00B46AEF">
          <w:rPr>
            <w:noProof/>
            <w:webHidden/>
          </w:rPr>
          <w:tab/>
        </w:r>
        <w:r w:rsidR="00B46AEF">
          <w:rPr>
            <w:noProof/>
            <w:webHidden/>
          </w:rPr>
          <w:fldChar w:fldCharType="begin"/>
        </w:r>
        <w:r w:rsidR="00B46AEF">
          <w:rPr>
            <w:noProof/>
            <w:webHidden/>
          </w:rPr>
          <w:instrText xml:space="preserve"> PAGEREF _Toc179464260 \h </w:instrText>
        </w:r>
        <w:r w:rsidR="00B46AEF">
          <w:rPr>
            <w:noProof/>
            <w:webHidden/>
          </w:rPr>
        </w:r>
        <w:r w:rsidR="00B46AEF">
          <w:rPr>
            <w:noProof/>
            <w:webHidden/>
          </w:rPr>
          <w:fldChar w:fldCharType="separate"/>
        </w:r>
        <w:r w:rsidR="00B46AEF">
          <w:rPr>
            <w:noProof/>
            <w:webHidden/>
          </w:rPr>
          <w:t>51</w:t>
        </w:r>
        <w:r w:rsidR="00B46AEF">
          <w:rPr>
            <w:noProof/>
            <w:webHidden/>
          </w:rPr>
          <w:fldChar w:fldCharType="end"/>
        </w:r>
      </w:hyperlink>
    </w:p>
    <w:p w14:paraId="008AFDB0" w14:textId="70D86941"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61" w:history="1">
        <w:r w:rsidR="00B46AEF" w:rsidRPr="00D91A5D">
          <w:rPr>
            <w:rStyle w:val="Hyperlink"/>
            <w:noProof/>
          </w:rPr>
          <w:t>AIB-20</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Mineral Resources and Energy Production</w:t>
        </w:r>
        <w:r w:rsidR="00B46AEF">
          <w:rPr>
            <w:noProof/>
            <w:webHidden/>
          </w:rPr>
          <w:tab/>
        </w:r>
        <w:r w:rsidR="00B46AEF">
          <w:rPr>
            <w:noProof/>
            <w:webHidden/>
          </w:rPr>
          <w:fldChar w:fldCharType="begin"/>
        </w:r>
        <w:r w:rsidR="00B46AEF">
          <w:rPr>
            <w:noProof/>
            <w:webHidden/>
          </w:rPr>
          <w:instrText xml:space="preserve"> PAGEREF _Toc179464261 \h </w:instrText>
        </w:r>
        <w:r w:rsidR="00B46AEF">
          <w:rPr>
            <w:noProof/>
            <w:webHidden/>
          </w:rPr>
        </w:r>
        <w:r w:rsidR="00B46AEF">
          <w:rPr>
            <w:noProof/>
            <w:webHidden/>
          </w:rPr>
          <w:fldChar w:fldCharType="separate"/>
        </w:r>
        <w:r w:rsidR="00B46AEF">
          <w:rPr>
            <w:noProof/>
            <w:webHidden/>
          </w:rPr>
          <w:t>52</w:t>
        </w:r>
        <w:r w:rsidR="00B46AEF">
          <w:rPr>
            <w:noProof/>
            <w:webHidden/>
          </w:rPr>
          <w:fldChar w:fldCharType="end"/>
        </w:r>
      </w:hyperlink>
    </w:p>
    <w:p w14:paraId="6F32F957" w14:textId="11A7FB62"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62" w:history="1">
        <w:r w:rsidR="00B46AEF" w:rsidRPr="00D91A5D">
          <w:rPr>
            <w:rStyle w:val="Hyperlink"/>
            <w:noProof/>
          </w:rPr>
          <w:t>AIB-21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Socioeconomics</w:t>
        </w:r>
        <w:r w:rsidR="00B46AEF">
          <w:rPr>
            <w:noProof/>
            <w:webHidden/>
          </w:rPr>
          <w:tab/>
        </w:r>
        <w:r w:rsidR="00B46AEF">
          <w:rPr>
            <w:noProof/>
            <w:webHidden/>
          </w:rPr>
          <w:fldChar w:fldCharType="begin"/>
        </w:r>
        <w:r w:rsidR="00B46AEF">
          <w:rPr>
            <w:noProof/>
            <w:webHidden/>
          </w:rPr>
          <w:instrText xml:space="preserve"> PAGEREF _Toc179464262 \h </w:instrText>
        </w:r>
        <w:r w:rsidR="00B46AEF">
          <w:rPr>
            <w:noProof/>
            <w:webHidden/>
          </w:rPr>
        </w:r>
        <w:r w:rsidR="00B46AEF">
          <w:rPr>
            <w:noProof/>
            <w:webHidden/>
          </w:rPr>
          <w:fldChar w:fldCharType="separate"/>
        </w:r>
        <w:r w:rsidR="00B46AEF">
          <w:rPr>
            <w:noProof/>
            <w:webHidden/>
          </w:rPr>
          <w:t>53</w:t>
        </w:r>
        <w:r w:rsidR="00B46AEF">
          <w:rPr>
            <w:noProof/>
            <w:webHidden/>
          </w:rPr>
          <w:fldChar w:fldCharType="end"/>
        </w:r>
      </w:hyperlink>
    </w:p>
    <w:p w14:paraId="1194657D" w14:textId="54A26FED" w:rsidR="00B46AEF" w:rsidRDefault="00000000" w:rsidP="00BA4532">
      <w:pPr>
        <w:pStyle w:val="TOC3"/>
        <w:rPr>
          <w:rFonts w:asciiTheme="minorHAnsi" w:eastAsiaTheme="minorEastAsia" w:hAnsiTheme="minorHAnsi"/>
          <w:noProof/>
          <w:kern w:val="2"/>
          <w:sz w:val="24"/>
          <w:szCs w:val="24"/>
          <w14:ligatures w14:val="standardContextual"/>
        </w:rPr>
      </w:pPr>
      <w:hyperlink w:anchor="_Toc179464263" w:history="1">
        <w:r w:rsidR="00B46AEF" w:rsidRPr="00D91A5D">
          <w:rPr>
            <w:rStyle w:val="Hyperlink"/>
            <w:noProof/>
          </w:rPr>
          <w:t>AIB-22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Human Health and Safety</w:t>
        </w:r>
        <w:r w:rsidR="00B46AEF">
          <w:rPr>
            <w:noProof/>
            <w:webHidden/>
          </w:rPr>
          <w:tab/>
        </w:r>
        <w:r w:rsidR="00B46AEF">
          <w:rPr>
            <w:noProof/>
            <w:webHidden/>
          </w:rPr>
          <w:fldChar w:fldCharType="begin"/>
        </w:r>
        <w:r w:rsidR="00B46AEF">
          <w:rPr>
            <w:noProof/>
            <w:webHidden/>
          </w:rPr>
          <w:instrText xml:space="preserve"> PAGEREF _Toc179464263 \h </w:instrText>
        </w:r>
        <w:r w:rsidR="00B46AEF">
          <w:rPr>
            <w:noProof/>
            <w:webHidden/>
          </w:rPr>
        </w:r>
        <w:r w:rsidR="00B46AEF">
          <w:rPr>
            <w:noProof/>
            <w:webHidden/>
          </w:rPr>
          <w:fldChar w:fldCharType="separate"/>
        </w:r>
        <w:r w:rsidR="00B46AEF">
          <w:rPr>
            <w:noProof/>
            <w:webHidden/>
          </w:rPr>
          <w:t>55</w:t>
        </w:r>
        <w:r w:rsidR="00B46AEF">
          <w:rPr>
            <w:noProof/>
            <w:webHidden/>
          </w:rPr>
          <w:fldChar w:fldCharType="end"/>
        </w:r>
      </w:hyperlink>
    </w:p>
    <w:p w14:paraId="05061433" w14:textId="7FEFE70E"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64" w:history="1">
        <w:r w:rsidR="00B46AEF" w:rsidRPr="00D91A5D">
          <w:rPr>
            <w:rStyle w:val="Hyperlink"/>
            <w:rFonts w:cs="Arial"/>
            <w:noProof/>
          </w:rPr>
          <w:t>3.6.</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Issues Analyzed in Detail</w:t>
        </w:r>
        <w:r w:rsidR="00B46AEF">
          <w:rPr>
            <w:noProof/>
            <w:webHidden/>
          </w:rPr>
          <w:tab/>
        </w:r>
        <w:r w:rsidR="00B46AEF">
          <w:rPr>
            <w:noProof/>
            <w:webHidden/>
          </w:rPr>
          <w:fldChar w:fldCharType="begin"/>
        </w:r>
        <w:r w:rsidR="00B46AEF">
          <w:rPr>
            <w:noProof/>
            <w:webHidden/>
          </w:rPr>
          <w:instrText xml:space="preserve"> PAGEREF _Toc179464264 \h </w:instrText>
        </w:r>
        <w:r w:rsidR="00B46AEF">
          <w:rPr>
            <w:noProof/>
            <w:webHidden/>
          </w:rPr>
        </w:r>
        <w:r w:rsidR="00B46AEF">
          <w:rPr>
            <w:noProof/>
            <w:webHidden/>
          </w:rPr>
          <w:fldChar w:fldCharType="separate"/>
        </w:r>
        <w:r w:rsidR="00B46AEF">
          <w:rPr>
            <w:noProof/>
            <w:webHidden/>
          </w:rPr>
          <w:t>57</w:t>
        </w:r>
        <w:r w:rsidR="00B46AEF">
          <w:rPr>
            <w:noProof/>
            <w:webHidden/>
          </w:rPr>
          <w:fldChar w:fldCharType="end"/>
        </w:r>
      </w:hyperlink>
    </w:p>
    <w:p w14:paraId="5541AD4F" w14:textId="1CCB1C1E" w:rsidR="00B46AEF" w:rsidRDefault="00000000">
      <w:pPr>
        <w:pStyle w:val="TOC3"/>
        <w:rPr>
          <w:rFonts w:asciiTheme="minorHAnsi" w:eastAsiaTheme="minorEastAsia" w:hAnsiTheme="minorHAnsi"/>
          <w:noProof/>
          <w:kern w:val="2"/>
          <w:sz w:val="24"/>
          <w:szCs w:val="24"/>
          <w14:ligatures w14:val="standardContextual"/>
        </w:rPr>
      </w:pPr>
      <w:hyperlink w:anchor="_Toc179464265" w:history="1">
        <w:r w:rsidR="00B46AEF" w:rsidRPr="00D91A5D">
          <w:rPr>
            <w:rStyle w:val="Hyperlink"/>
            <w:noProof/>
          </w:rPr>
          <w:t>3.6.1.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Issue 1: Air Quality</w:t>
        </w:r>
        <w:r w:rsidR="00B46AEF">
          <w:rPr>
            <w:noProof/>
            <w:webHidden/>
          </w:rPr>
          <w:tab/>
        </w:r>
        <w:r w:rsidR="00B46AEF">
          <w:rPr>
            <w:noProof/>
            <w:webHidden/>
          </w:rPr>
          <w:fldChar w:fldCharType="begin"/>
        </w:r>
        <w:r w:rsidR="00B46AEF">
          <w:rPr>
            <w:noProof/>
            <w:webHidden/>
          </w:rPr>
          <w:instrText xml:space="preserve"> PAGEREF _Toc179464265 \h </w:instrText>
        </w:r>
        <w:r w:rsidR="00B46AEF">
          <w:rPr>
            <w:noProof/>
            <w:webHidden/>
          </w:rPr>
        </w:r>
        <w:r w:rsidR="00B46AEF">
          <w:rPr>
            <w:noProof/>
            <w:webHidden/>
          </w:rPr>
          <w:fldChar w:fldCharType="separate"/>
        </w:r>
        <w:r w:rsidR="00B46AEF">
          <w:rPr>
            <w:noProof/>
            <w:webHidden/>
          </w:rPr>
          <w:t>57</w:t>
        </w:r>
        <w:r w:rsidR="00B46AEF">
          <w:rPr>
            <w:noProof/>
            <w:webHidden/>
          </w:rPr>
          <w:fldChar w:fldCharType="end"/>
        </w:r>
      </w:hyperlink>
    </w:p>
    <w:p w14:paraId="53A2A629" w14:textId="1D8BFCEA" w:rsidR="00B46AEF" w:rsidRDefault="00000000">
      <w:pPr>
        <w:pStyle w:val="TOC3"/>
        <w:rPr>
          <w:rFonts w:asciiTheme="minorHAnsi" w:eastAsiaTheme="minorEastAsia" w:hAnsiTheme="minorHAnsi"/>
          <w:noProof/>
          <w:kern w:val="2"/>
          <w:sz w:val="24"/>
          <w:szCs w:val="24"/>
          <w14:ligatures w14:val="standardContextual"/>
        </w:rPr>
      </w:pPr>
      <w:hyperlink w:anchor="_Toc179464266" w:history="1">
        <w:r w:rsidR="00B46AEF" w:rsidRPr="00D91A5D">
          <w:rPr>
            <w:rStyle w:val="Hyperlink"/>
            <w:rFonts w:cs="Times New Roman"/>
            <w:noProof/>
          </w:rPr>
          <w:t>3.6.2.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Issue 2: Greenhouse Gas and Climate Change</w:t>
        </w:r>
        <w:r w:rsidR="00B46AEF">
          <w:rPr>
            <w:noProof/>
            <w:webHidden/>
          </w:rPr>
          <w:tab/>
        </w:r>
        <w:r w:rsidR="00B46AEF">
          <w:rPr>
            <w:noProof/>
            <w:webHidden/>
          </w:rPr>
          <w:fldChar w:fldCharType="begin"/>
        </w:r>
        <w:r w:rsidR="00B46AEF">
          <w:rPr>
            <w:noProof/>
            <w:webHidden/>
          </w:rPr>
          <w:instrText xml:space="preserve"> PAGEREF _Toc179464266 \h </w:instrText>
        </w:r>
        <w:r w:rsidR="00B46AEF">
          <w:rPr>
            <w:noProof/>
            <w:webHidden/>
          </w:rPr>
        </w:r>
        <w:r w:rsidR="00B46AEF">
          <w:rPr>
            <w:noProof/>
            <w:webHidden/>
          </w:rPr>
          <w:fldChar w:fldCharType="separate"/>
        </w:r>
        <w:r w:rsidR="00B46AEF">
          <w:rPr>
            <w:noProof/>
            <w:webHidden/>
          </w:rPr>
          <w:t>64</w:t>
        </w:r>
        <w:r w:rsidR="00B46AEF">
          <w:rPr>
            <w:noProof/>
            <w:webHidden/>
          </w:rPr>
          <w:fldChar w:fldCharType="end"/>
        </w:r>
      </w:hyperlink>
    </w:p>
    <w:p w14:paraId="21CD5368" w14:textId="7C1E205A" w:rsidR="00B46AEF" w:rsidRDefault="00000000">
      <w:pPr>
        <w:pStyle w:val="TOC1"/>
        <w:tabs>
          <w:tab w:val="left" w:pos="1680"/>
        </w:tabs>
        <w:rPr>
          <w:rFonts w:asciiTheme="minorHAnsi" w:eastAsiaTheme="minorEastAsia" w:hAnsiTheme="minorHAnsi"/>
          <w:noProof/>
          <w:kern w:val="2"/>
          <w:sz w:val="24"/>
          <w:szCs w:val="24"/>
          <w14:ligatures w14:val="standardContextual"/>
        </w:rPr>
      </w:pPr>
      <w:hyperlink w:anchor="_Toc179464267" w:history="1">
        <w:r w:rsidR="00B46AEF" w:rsidRPr="00D91A5D">
          <w:rPr>
            <w:rStyle w:val="Hyperlink"/>
            <w:rFonts w:cs="Arial"/>
            <w:noProof/>
          </w:rPr>
          <w:t>CHAPTER 4.</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Consultation and Coordination</w:t>
        </w:r>
        <w:r w:rsidR="00B46AEF">
          <w:rPr>
            <w:noProof/>
            <w:webHidden/>
          </w:rPr>
          <w:tab/>
        </w:r>
        <w:r w:rsidR="00B46AEF">
          <w:rPr>
            <w:noProof/>
            <w:webHidden/>
          </w:rPr>
          <w:fldChar w:fldCharType="begin"/>
        </w:r>
        <w:r w:rsidR="00B46AEF">
          <w:rPr>
            <w:noProof/>
            <w:webHidden/>
          </w:rPr>
          <w:instrText xml:space="preserve"> PAGEREF _Toc179464267 \h </w:instrText>
        </w:r>
        <w:r w:rsidR="00B46AEF">
          <w:rPr>
            <w:noProof/>
            <w:webHidden/>
          </w:rPr>
        </w:r>
        <w:r w:rsidR="00B46AEF">
          <w:rPr>
            <w:noProof/>
            <w:webHidden/>
          </w:rPr>
          <w:fldChar w:fldCharType="separate"/>
        </w:r>
        <w:r w:rsidR="00B46AEF">
          <w:rPr>
            <w:noProof/>
            <w:webHidden/>
          </w:rPr>
          <w:t>76</w:t>
        </w:r>
        <w:r w:rsidR="00B46AEF">
          <w:rPr>
            <w:noProof/>
            <w:webHidden/>
          </w:rPr>
          <w:fldChar w:fldCharType="end"/>
        </w:r>
      </w:hyperlink>
    </w:p>
    <w:p w14:paraId="5D056E75" w14:textId="5A34E50A"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68" w:history="1">
        <w:r w:rsidR="00B46AEF" w:rsidRPr="00D91A5D">
          <w:rPr>
            <w:rStyle w:val="Hyperlink"/>
            <w:rFonts w:cs="Arial"/>
            <w:noProof/>
          </w:rPr>
          <w:t>4.1.</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Endangered Species Act Consultation</w:t>
        </w:r>
        <w:r w:rsidR="00B46AEF">
          <w:rPr>
            <w:noProof/>
            <w:webHidden/>
          </w:rPr>
          <w:tab/>
        </w:r>
        <w:r w:rsidR="00B46AEF">
          <w:rPr>
            <w:noProof/>
            <w:webHidden/>
          </w:rPr>
          <w:fldChar w:fldCharType="begin"/>
        </w:r>
        <w:r w:rsidR="00B46AEF">
          <w:rPr>
            <w:noProof/>
            <w:webHidden/>
          </w:rPr>
          <w:instrText xml:space="preserve"> PAGEREF _Toc179464268 \h </w:instrText>
        </w:r>
        <w:r w:rsidR="00B46AEF">
          <w:rPr>
            <w:noProof/>
            <w:webHidden/>
          </w:rPr>
        </w:r>
        <w:r w:rsidR="00B46AEF">
          <w:rPr>
            <w:noProof/>
            <w:webHidden/>
          </w:rPr>
          <w:fldChar w:fldCharType="separate"/>
        </w:r>
        <w:r w:rsidR="00B46AEF">
          <w:rPr>
            <w:noProof/>
            <w:webHidden/>
          </w:rPr>
          <w:t>76</w:t>
        </w:r>
        <w:r w:rsidR="00B46AEF">
          <w:rPr>
            <w:noProof/>
            <w:webHidden/>
          </w:rPr>
          <w:fldChar w:fldCharType="end"/>
        </w:r>
      </w:hyperlink>
    </w:p>
    <w:p w14:paraId="179E7D52" w14:textId="0F2E9184"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69" w:history="1">
        <w:r w:rsidR="00B46AEF" w:rsidRPr="00D91A5D">
          <w:rPr>
            <w:rStyle w:val="Hyperlink"/>
            <w:rFonts w:cs="Arial"/>
            <w:noProof/>
          </w:rPr>
          <w:t>4.2.</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Tribal Consultation</w:t>
        </w:r>
        <w:r w:rsidR="00B46AEF">
          <w:rPr>
            <w:noProof/>
            <w:webHidden/>
          </w:rPr>
          <w:tab/>
        </w:r>
        <w:r w:rsidR="00B46AEF">
          <w:rPr>
            <w:noProof/>
            <w:webHidden/>
          </w:rPr>
          <w:fldChar w:fldCharType="begin"/>
        </w:r>
        <w:r w:rsidR="00B46AEF">
          <w:rPr>
            <w:noProof/>
            <w:webHidden/>
          </w:rPr>
          <w:instrText xml:space="preserve"> PAGEREF _Toc179464269 \h </w:instrText>
        </w:r>
        <w:r w:rsidR="00B46AEF">
          <w:rPr>
            <w:noProof/>
            <w:webHidden/>
          </w:rPr>
        </w:r>
        <w:r w:rsidR="00B46AEF">
          <w:rPr>
            <w:noProof/>
            <w:webHidden/>
          </w:rPr>
          <w:fldChar w:fldCharType="separate"/>
        </w:r>
        <w:r w:rsidR="00B46AEF">
          <w:rPr>
            <w:noProof/>
            <w:webHidden/>
          </w:rPr>
          <w:t>77</w:t>
        </w:r>
        <w:r w:rsidR="00B46AEF">
          <w:rPr>
            <w:noProof/>
            <w:webHidden/>
          </w:rPr>
          <w:fldChar w:fldCharType="end"/>
        </w:r>
      </w:hyperlink>
    </w:p>
    <w:p w14:paraId="363A7806" w14:textId="5B7EA551" w:rsidR="00B46AEF" w:rsidRDefault="00000000">
      <w:pPr>
        <w:pStyle w:val="TOC2"/>
        <w:tabs>
          <w:tab w:val="left" w:pos="960"/>
          <w:tab w:val="right" w:leader="dot" w:pos="9350"/>
        </w:tabs>
        <w:rPr>
          <w:rFonts w:asciiTheme="minorHAnsi" w:eastAsiaTheme="minorEastAsia" w:hAnsiTheme="minorHAnsi"/>
          <w:noProof/>
          <w:kern w:val="2"/>
          <w:sz w:val="24"/>
          <w:szCs w:val="24"/>
          <w14:ligatures w14:val="standardContextual"/>
        </w:rPr>
      </w:pPr>
      <w:hyperlink w:anchor="_Toc179464270" w:history="1">
        <w:r w:rsidR="00B46AEF" w:rsidRPr="00D91A5D">
          <w:rPr>
            <w:rStyle w:val="Hyperlink"/>
            <w:rFonts w:cs="Arial"/>
            <w:noProof/>
          </w:rPr>
          <w:t>4.3.</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National Historic Preservation Act Consultation</w:t>
        </w:r>
        <w:r w:rsidR="00B46AEF">
          <w:rPr>
            <w:noProof/>
            <w:webHidden/>
          </w:rPr>
          <w:tab/>
        </w:r>
        <w:r w:rsidR="00B46AEF">
          <w:rPr>
            <w:noProof/>
            <w:webHidden/>
          </w:rPr>
          <w:fldChar w:fldCharType="begin"/>
        </w:r>
        <w:r w:rsidR="00B46AEF">
          <w:rPr>
            <w:noProof/>
            <w:webHidden/>
          </w:rPr>
          <w:instrText xml:space="preserve"> PAGEREF _Toc179464270 \h </w:instrText>
        </w:r>
        <w:r w:rsidR="00B46AEF">
          <w:rPr>
            <w:noProof/>
            <w:webHidden/>
          </w:rPr>
        </w:r>
        <w:r w:rsidR="00B46AEF">
          <w:rPr>
            <w:noProof/>
            <w:webHidden/>
          </w:rPr>
          <w:fldChar w:fldCharType="separate"/>
        </w:r>
        <w:r w:rsidR="00B46AEF">
          <w:rPr>
            <w:noProof/>
            <w:webHidden/>
          </w:rPr>
          <w:t>77</w:t>
        </w:r>
        <w:r w:rsidR="00B46AEF">
          <w:rPr>
            <w:noProof/>
            <w:webHidden/>
          </w:rPr>
          <w:fldChar w:fldCharType="end"/>
        </w:r>
      </w:hyperlink>
    </w:p>
    <w:p w14:paraId="7C1B51B9" w14:textId="6E9C339E" w:rsidR="00B46AEF" w:rsidRDefault="00000000">
      <w:pPr>
        <w:pStyle w:val="TOC1"/>
        <w:tabs>
          <w:tab w:val="left" w:pos="1680"/>
        </w:tabs>
        <w:rPr>
          <w:rFonts w:asciiTheme="minorHAnsi" w:eastAsiaTheme="minorEastAsia" w:hAnsiTheme="minorHAnsi"/>
          <w:noProof/>
          <w:kern w:val="2"/>
          <w:sz w:val="24"/>
          <w:szCs w:val="24"/>
          <w14:ligatures w14:val="standardContextual"/>
        </w:rPr>
      </w:pPr>
      <w:hyperlink w:anchor="_Toc179464271" w:history="1">
        <w:r w:rsidR="00B46AEF" w:rsidRPr="00D91A5D">
          <w:rPr>
            <w:rStyle w:val="Hyperlink"/>
            <w:rFonts w:cs="Arial"/>
            <w:noProof/>
          </w:rPr>
          <w:t>CHAPTER 5.</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List of Preparers</w:t>
        </w:r>
        <w:r w:rsidR="00B46AEF">
          <w:rPr>
            <w:noProof/>
            <w:webHidden/>
          </w:rPr>
          <w:tab/>
        </w:r>
        <w:r w:rsidR="00B46AEF">
          <w:rPr>
            <w:noProof/>
            <w:webHidden/>
          </w:rPr>
          <w:fldChar w:fldCharType="begin"/>
        </w:r>
        <w:r w:rsidR="00B46AEF">
          <w:rPr>
            <w:noProof/>
            <w:webHidden/>
          </w:rPr>
          <w:instrText xml:space="preserve"> PAGEREF _Toc179464271 \h </w:instrText>
        </w:r>
        <w:r w:rsidR="00B46AEF">
          <w:rPr>
            <w:noProof/>
            <w:webHidden/>
          </w:rPr>
        </w:r>
        <w:r w:rsidR="00B46AEF">
          <w:rPr>
            <w:noProof/>
            <w:webHidden/>
          </w:rPr>
          <w:fldChar w:fldCharType="separate"/>
        </w:r>
        <w:r w:rsidR="00B46AEF">
          <w:rPr>
            <w:noProof/>
            <w:webHidden/>
          </w:rPr>
          <w:t>80</w:t>
        </w:r>
        <w:r w:rsidR="00B46AEF">
          <w:rPr>
            <w:noProof/>
            <w:webHidden/>
          </w:rPr>
          <w:fldChar w:fldCharType="end"/>
        </w:r>
      </w:hyperlink>
    </w:p>
    <w:p w14:paraId="3F1B145A" w14:textId="5CD0B343" w:rsidR="00B46AEF" w:rsidRDefault="00000000">
      <w:pPr>
        <w:pStyle w:val="TOC1"/>
        <w:tabs>
          <w:tab w:val="left" w:pos="1680"/>
        </w:tabs>
        <w:rPr>
          <w:rFonts w:asciiTheme="minorHAnsi" w:eastAsiaTheme="minorEastAsia" w:hAnsiTheme="minorHAnsi"/>
          <w:noProof/>
          <w:kern w:val="2"/>
          <w:sz w:val="24"/>
          <w:szCs w:val="24"/>
          <w14:ligatures w14:val="standardContextual"/>
        </w:rPr>
      </w:pPr>
      <w:hyperlink w:anchor="_Toc179464272" w:history="1">
        <w:r w:rsidR="00B46AEF" w:rsidRPr="00D91A5D">
          <w:rPr>
            <w:rStyle w:val="Hyperlink"/>
            <w:rFonts w:cs="Arial"/>
            <w:noProof/>
          </w:rPr>
          <w:t>CHAPTER 6.</w:t>
        </w:r>
        <w:r w:rsidR="00B46AEF">
          <w:rPr>
            <w:rFonts w:asciiTheme="minorHAnsi" w:eastAsiaTheme="minorEastAsia" w:hAnsiTheme="minorHAnsi"/>
            <w:noProof/>
            <w:kern w:val="2"/>
            <w:sz w:val="24"/>
            <w:szCs w:val="24"/>
            <w14:ligatures w14:val="standardContextual"/>
          </w:rPr>
          <w:tab/>
        </w:r>
        <w:r w:rsidR="00B46AEF" w:rsidRPr="00D91A5D">
          <w:rPr>
            <w:rStyle w:val="Hyperlink"/>
            <w:noProof/>
          </w:rPr>
          <w:t>Literature Cited</w:t>
        </w:r>
        <w:r w:rsidR="00B46AEF">
          <w:rPr>
            <w:noProof/>
            <w:webHidden/>
          </w:rPr>
          <w:tab/>
        </w:r>
        <w:r w:rsidR="00B46AEF">
          <w:rPr>
            <w:noProof/>
            <w:webHidden/>
          </w:rPr>
          <w:fldChar w:fldCharType="begin"/>
        </w:r>
        <w:r w:rsidR="00B46AEF">
          <w:rPr>
            <w:noProof/>
            <w:webHidden/>
          </w:rPr>
          <w:instrText xml:space="preserve"> PAGEREF _Toc179464272 \h </w:instrText>
        </w:r>
        <w:r w:rsidR="00B46AEF">
          <w:rPr>
            <w:noProof/>
            <w:webHidden/>
          </w:rPr>
        </w:r>
        <w:r w:rsidR="00B46AEF">
          <w:rPr>
            <w:noProof/>
            <w:webHidden/>
          </w:rPr>
          <w:fldChar w:fldCharType="separate"/>
        </w:r>
        <w:r w:rsidR="00B46AEF">
          <w:rPr>
            <w:noProof/>
            <w:webHidden/>
          </w:rPr>
          <w:t>81</w:t>
        </w:r>
        <w:r w:rsidR="00B46AEF">
          <w:rPr>
            <w:noProof/>
            <w:webHidden/>
          </w:rPr>
          <w:fldChar w:fldCharType="end"/>
        </w:r>
      </w:hyperlink>
    </w:p>
    <w:p w14:paraId="0CE89B23" w14:textId="0C872B2A" w:rsidR="00B46AEF" w:rsidRDefault="00000000">
      <w:pPr>
        <w:pStyle w:val="TOC1"/>
        <w:rPr>
          <w:rFonts w:asciiTheme="minorHAnsi" w:eastAsiaTheme="minorEastAsia" w:hAnsiTheme="minorHAnsi"/>
          <w:noProof/>
          <w:kern w:val="2"/>
          <w:sz w:val="24"/>
          <w:szCs w:val="24"/>
          <w14:ligatures w14:val="standardContextual"/>
        </w:rPr>
      </w:pPr>
      <w:hyperlink w:anchor="_Toc179464273" w:history="1">
        <w:r w:rsidR="00B46AEF" w:rsidRPr="00D91A5D">
          <w:rPr>
            <w:rStyle w:val="Hyperlink"/>
            <w:noProof/>
          </w:rPr>
          <w:t>Appendix A. Figures/Maps</w:t>
        </w:r>
        <w:r w:rsidR="00B46AEF">
          <w:rPr>
            <w:noProof/>
            <w:webHidden/>
          </w:rPr>
          <w:tab/>
        </w:r>
        <w:r w:rsidR="00B46AEF">
          <w:rPr>
            <w:noProof/>
            <w:webHidden/>
          </w:rPr>
          <w:fldChar w:fldCharType="begin"/>
        </w:r>
        <w:r w:rsidR="00B46AEF">
          <w:rPr>
            <w:noProof/>
            <w:webHidden/>
          </w:rPr>
          <w:instrText xml:space="preserve"> PAGEREF _Toc179464273 \h </w:instrText>
        </w:r>
        <w:r w:rsidR="00B46AEF">
          <w:rPr>
            <w:noProof/>
            <w:webHidden/>
          </w:rPr>
        </w:r>
        <w:r w:rsidR="00B46AEF">
          <w:rPr>
            <w:noProof/>
            <w:webHidden/>
          </w:rPr>
          <w:fldChar w:fldCharType="separate"/>
        </w:r>
        <w:r w:rsidR="00B46AEF">
          <w:rPr>
            <w:noProof/>
            <w:webHidden/>
          </w:rPr>
          <w:t>84</w:t>
        </w:r>
        <w:r w:rsidR="00B46AEF">
          <w:rPr>
            <w:noProof/>
            <w:webHidden/>
          </w:rPr>
          <w:fldChar w:fldCharType="end"/>
        </w:r>
      </w:hyperlink>
    </w:p>
    <w:p w14:paraId="52944A68" w14:textId="739EE24D" w:rsidR="00B46AEF" w:rsidRDefault="00000000">
      <w:pPr>
        <w:pStyle w:val="TOC1"/>
        <w:rPr>
          <w:rFonts w:asciiTheme="minorHAnsi" w:eastAsiaTheme="minorEastAsia" w:hAnsiTheme="minorHAnsi"/>
          <w:noProof/>
          <w:kern w:val="2"/>
          <w:sz w:val="24"/>
          <w:szCs w:val="24"/>
          <w14:ligatures w14:val="standardContextual"/>
        </w:rPr>
      </w:pPr>
      <w:hyperlink w:anchor="_Toc179464274" w:history="1">
        <w:r w:rsidR="00B46AEF" w:rsidRPr="00D91A5D">
          <w:rPr>
            <w:rStyle w:val="Hyperlink"/>
            <w:noProof/>
          </w:rPr>
          <w:t>Appendix B. Stipulations</w:t>
        </w:r>
        <w:r w:rsidR="00B46AEF">
          <w:rPr>
            <w:noProof/>
            <w:webHidden/>
          </w:rPr>
          <w:tab/>
        </w:r>
        <w:r w:rsidR="00B46AEF">
          <w:rPr>
            <w:noProof/>
            <w:webHidden/>
          </w:rPr>
          <w:fldChar w:fldCharType="begin"/>
        </w:r>
        <w:r w:rsidR="00B46AEF">
          <w:rPr>
            <w:noProof/>
            <w:webHidden/>
          </w:rPr>
          <w:instrText xml:space="preserve"> PAGEREF _Toc179464274 \h </w:instrText>
        </w:r>
        <w:r w:rsidR="00B46AEF">
          <w:rPr>
            <w:noProof/>
            <w:webHidden/>
          </w:rPr>
        </w:r>
        <w:r w:rsidR="00B46AEF">
          <w:rPr>
            <w:noProof/>
            <w:webHidden/>
          </w:rPr>
          <w:fldChar w:fldCharType="separate"/>
        </w:r>
        <w:r w:rsidR="00B46AEF">
          <w:rPr>
            <w:noProof/>
            <w:webHidden/>
          </w:rPr>
          <w:t>85</w:t>
        </w:r>
        <w:r w:rsidR="00B46AEF">
          <w:rPr>
            <w:noProof/>
            <w:webHidden/>
          </w:rPr>
          <w:fldChar w:fldCharType="end"/>
        </w:r>
      </w:hyperlink>
    </w:p>
    <w:p w14:paraId="1DF75691" w14:textId="06E7BDFB" w:rsidR="00B46AEF"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9464275" w:history="1">
        <w:r w:rsidR="00B46AEF" w:rsidRPr="00D91A5D">
          <w:rPr>
            <w:rStyle w:val="Hyperlink"/>
            <w:noProof/>
          </w:rPr>
          <w:t>B.1 Lease Stipulations and Notices by Parcel</w:t>
        </w:r>
        <w:r w:rsidR="00B46AEF">
          <w:rPr>
            <w:noProof/>
            <w:webHidden/>
          </w:rPr>
          <w:tab/>
        </w:r>
        <w:r w:rsidR="00B46AEF">
          <w:rPr>
            <w:noProof/>
            <w:webHidden/>
          </w:rPr>
          <w:fldChar w:fldCharType="begin"/>
        </w:r>
        <w:r w:rsidR="00B46AEF">
          <w:rPr>
            <w:noProof/>
            <w:webHidden/>
          </w:rPr>
          <w:instrText xml:space="preserve"> PAGEREF _Toc179464275 \h </w:instrText>
        </w:r>
        <w:r w:rsidR="00B46AEF">
          <w:rPr>
            <w:noProof/>
            <w:webHidden/>
          </w:rPr>
        </w:r>
        <w:r w:rsidR="00B46AEF">
          <w:rPr>
            <w:noProof/>
            <w:webHidden/>
          </w:rPr>
          <w:fldChar w:fldCharType="separate"/>
        </w:r>
        <w:r w:rsidR="00B46AEF">
          <w:rPr>
            <w:noProof/>
            <w:webHidden/>
          </w:rPr>
          <w:t>85</w:t>
        </w:r>
        <w:r w:rsidR="00B46AEF">
          <w:rPr>
            <w:noProof/>
            <w:webHidden/>
          </w:rPr>
          <w:fldChar w:fldCharType="end"/>
        </w:r>
      </w:hyperlink>
    </w:p>
    <w:p w14:paraId="34C0C9E6" w14:textId="43C4FF13" w:rsidR="00B46AEF"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9464276" w:history="1">
        <w:r w:rsidR="00B46AEF" w:rsidRPr="00D91A5D">
          <w:rPr>
            <w:rStyle w:val="Hyperlink"/>
            <w:noProof/>
          </w:rPr>
          <w:t>B.2 Description of lease stipulation and notices</w:t>
        </w:r>
        <w:r w:rsidR="00B46AEF">
          <w:rPr>
            <w:noProof/>
            <w:webHidden/>
          </w:rPr>
          <w:tab/>
        </w:r>
        <w:r w:rsidR="00B46AEF">
          <w:rPr>
            <w:noProof/>
            <w:webHidden/>
          </w:rPr>
          <w:fldChar w:fldCharType="begin"/>
        </w:r>
        <w:r w:rsidR="00B46AEF">
          <w:rPr>
            <w:noProof/>
            <w:webHidden/>
          </w:rPr>
          <w:instrText xml:space="preserve"> PAGEREF _Toc179464276 \h </w:instrText>
        </w:r>
        <w:r w:rsidR="00B46AEF">
          <w:rPr>
            <w:noProof/>
            <w:webHidden/>
          </w:rPr>
        </w:r>
        <w:r w:rsidR="00B46AEF">
          <w:rPr>
            <w:noProof/>
            <w:webHidden/>
          </w:rPr>
          <w:fldChar w:fldCharType="separate"/>
        </w:r>
        <w:r w:rsidR="00B46AEF">
          <w:rPr>
            <w:noProof/>
            <w:webHidden/>
          </w:rPr>
          <w:t>87</w:t>
        </w:r>
        <w:r w:rsidR="00B46AEF">
          <w:rPr>
            <w:noProof/>
            <w:webHidden/>
          </w:rPr>
          <w:fldChar w:fldCharType="end"/>
        </w:r>
      </w:hyperlink>
    </w:p>
    <w:p w14:paraId="630E527F" w14:textId="28FD2766" w:rsidR="00B46AEF" w:rsidRDefault="00000000">
      <w:pPr>
        <w:pStyle w:val="TOC1"/>
        <w:rPr>
          <w:rFonts w:asciiTheme="minorHAnsi" w:eastAsiaTheme="minorEastAsia" w:hAnsiTheme="minorHAnsi"/>
          <w:noProof/>
          <w:kern w:val="2"/>
          <w:sz w:val="24"/>
          <w:szCs w:val="24"/>
          <w14:ligatures w14:val="standardContextual"/>
        </w:rPr>
      </w:pPr>
      <w:hyperlink w:anchor="_Toc179464277" w:history="1">
        <w:r w:rsidR="00B46AEF" w:rsidRPr="00D91A5D">
          <w:rPr>
            <w:rStyle w:val="Hyperlink"/>
            <w:noProof/>
          </w:rPr>
          <w:t>Appendix C. Comments And BLM Responses</w:t>
        </w:r>
        <w:r w:rsidR="00B46AEF">
          <w:rPr>
            <w:noProof/>
            <w:webHidden/>
          </w:rPr>
          <w:tab/>
        </w:r>
        <w:r w:rsidR="00B46AEF">
          <w:rPr>
            <w:noProof/>
            <w:webHidden/>
          </w:rPr>
          <w:fldChar w:fldCharType="begin"/>
        </w:r>
        <w:r w:rsidR="00B46AEF">
          <w:rPr>
            <w:noProof/>
            <w:webHidden/>
          </w:rPr>
          <w:instrText xml:space="preserve"> PAGEREF _Toc179464277 \h </w:instrText>
        </w:r>
        <w:r w:rsidR="00B46AEF">
          <w:rPr>
            <w:noProof/>
            <w:webHidden/>
          </w:rPr>
        </w:r>
        <w:r w:rsidR="00B46AEF">
          <w:rPr>
            <w:noProof/>
            <w:webHidden/>
          </w:rPr>
          <w:fldChar w:fldCharType="separate"/>
        </w:r>
        <w:r w:rsidR="00B46AEF">
          <w:rPr>
            <w:noProof/>
            <w:webHidden/>
          </w:rPr>
          <w:t>99</w:t>
        </w:r>
        <w:r w:rsidR="00B46AEF">
          <w:rPr>
            <w:noProof/>
            <w:webHidden/>
          </w:rPr>
          <w:fldChar w:fldCharType="end"/>
        </w:r>
      </w:hyperlink>
    </w:p>
    <w:p w14:paraId="377FB917" w14:textId="6E8DB554" w:rsidR="00B46AEF" w:rsidRDefault="00000000">
      <w:pPr>
        <w:pStyle w:val="TOC1"/>
        <w:rPr>
          <w:rFonts w:asciiTheme="minorHAnsi" w:eastAsiaTheme="minorEastAsia" w:hAnsiTheme="minorHAnsi"/>
          <w:noProof/>
          <w:kern w:val="2"/>
          <w:sz w:val="24"/>
          <w:szCs w:val="24"/>
          <w14:ligatures w14:val="standardContextual"/>
        </w:rPr>
      </w:pPr>
      <w:hyperlink w:anchor="_Toc179464278" w:history="1">
        <w:r w:rsidR="00B46AEF" w:rsidRPr="00D91A5D">
          <w:rPr>
            <w:rStyle w:val="Hyperlink"/>
            <w:noProof/>
          </w:rPr>
          <w:t>Appendix D. Leasing Preference Rating For Nominated Lease Parcels</w:t>
        </w:r>
        <w:r w:rsidR="00B46AEF">
          <w:rPr>
            <w:noProof/>
            <w:webHidden/>
          </w:rPr>
          <w:tab/>
        </w:r>
        <w:r w:rsidR="00B46AEF">
          <w:rPr>
            <w:noProof/>
            <w:webHidden/>
          </w:rPr>
          <w:fldChar w:fldCharType="begin"/>
        </w:r>
        <w:r w:rsidR="00B46AEF">
          <w:rPr>
            <w:noProof/>
            <w:webHidden/>
          </w:rPr>
          <w:instrText xml:space="preserve"> PAGEREF _Toc179464278 \h </w:instrText>
        </w:r>
        <w:r w:rsidR="00B46AEF">
          <w:rPr>
            <w:noProof/>
            <w:webHidden/>
          </w:rPr>
        </w:r>
        <w:r w:rsidR="00B46AEF">
          <w:rPr>
            <w:noProof/>
            <w:webHidden/>
          </w:rPr>
          <w:fldChar w:fldCharType="separate"/>
        </w:r>
        <w:r w:rsidR="00B46AEF">
          <w:rPr>
            <w:noProof/>
            <w:webHidden/>
          </w:rPr>
          <w:t>102</w:t>
        </w:r>
        <w:r w:rsidR="00B46AEF">
          <w:rPr>
            <w:noProof/>
            <w:webHidden/>
          </w:rPr>
          <w:fldChar w:fldCharType="end"/>
        </w:r>
      </w:hyperlink>
    </w:p>
    <w:p w14:paraId="39EC70DC" w14:textId="1657D084" w:rsidR="00B46AEF" w:rsidRDefault="00000000">
      <w:pPr>
        <w:pStyle w:val="TOC1"/>
        <w:rPr>
          <w:rFonts w:asciiTheme="minorHAnsi" w:eastAsiaTheme="minorEastAsia" w:hAnsiTheme="minorHAnsi"/>
          <w:noProof/>
          <w:kern w:val="2"/>
          <w:sz w:val="24"/>
          <w:szCs w:val="24"/>
          <w14:ligatures w14:val="standardContextual"/>
        </w:rPr>
      </w:pPr>
      <w:hyperlink w:anchor="_Toc179464279" w:history="1">
        <w:r w:rsidR="00B46AEF" w:rsidRPr="00D91A5D">
          <w:rPr>
            <w:rStyle w:val="Hyperlink"/>
            <w:noProof/>
          </w:rPr>
          <w:t>Appendix E. Summary of the Typical Phases of Oil and Gas Development</w:t>
        </w:r>
        <w:r w:rsidR="00B46AEF">
          <w:rPr>
            <w:noProof/>
            <w:webHidden/>
          </w:rPr>
          <w:tab/>
        </w:r>
        <w:r w:rsidR="00B46AEF">
          <w:rPr>
            <w:noProof/>
            <w:webHidden/>
          </w:rPr>
          <w:fldChar w:fldCharType="begin"/>
        </w:r>
        <w:r w:rsidR="00B46AEF">
          <w:rPr>
            <w:noProof/>
            <w:webHidden/>
          </w:rPr>
          <w:instrText xml:space="preserve"> PAGEREF _Toc179464279 \h </w:instrText>
        </w:r>
        <w:r w:rsidR="00B46AEF">
          <w:rPr>
            <w:noProof/>
            <w:webHidden/>
          </w:rPr>
        </w:r>
        <w:r w:rsidR="00B46AEF">
          <w:rPr>
            <w:noProof/>
            <w:webHidden/>
          </w:rPr>
          <w:fldChar w:fldCharType="separate"/>
        </w:r>
        <w:r w:rsidR="00B46AEF">
          <w:rPr>
            <w:noProof/>
            <w:webHidden/>
          </w:rPr>
          <w:t>104</w:t>
        </w:r>
        <w:r w:rsidR="00B46AEF">
          <w:rPr>
            <w:noProof/>
            <w:webHidden/>
          </w:rPr>
          <w:fldChar w:fldCharType="end"/>
        </w:r>
      </w:hyperlink>
    </w:p>
    <w:p w14:paraId="3EB28908" w14:textId="01B45CC8" w:rsidR="00B46AEF" w:rsidRDefault="00000000">
      <w:pPr>
        <w:pStyle w:val="TOC1"/>
        <w:rPr>
          <w:rFonts w:asciiTheme="minorHAnsi" w:eastAsiaTheme="minorEastAsia" w:hAnsiTheme="minorHAnsi"/>
          <w:noProof/>
          <w:kern w:val="2"/>
          <w:sz w:val="24"/>
          <w:szCs w:val="24"/>
          <w14:ligatures w14:val="standardContextual"/>
        </w:rPr>
      </w:pPr>
      <w:hyperlink w:anchor="_Toc179464280" w:history="1">
        <w:r w:rsidR="00B46AEF" w:rsidRPr="00D91A5D">
          <w:rPr>
            <w:rStyle w:val="Hyperlink"/>
            <w:noProof/>
          </w:rPr>
          <w:t>Appendix F. General Conformity Applicability</w:t>
        </w:r>
        <w:r w:rsidR="00B46AEF">
          <w:rPr>
            <w:noProof/>
            <w:webHidden/>
          </w:rPr>
          <w:tab/>
        </w:r>
        <w:r w:rsidR="00B46AEF">
          <w:rPr>
            <w:noProof/>
            <w:webHidden/>
          </w:rPr>
          <w:fldChar w:fldCharType="begin"/>
        </w:r>
        <w:r w:rsidR="00B46AEF">
          <w:rPr>
            <w:noProof/>
            <w:webHidden/>
          </w:rPr>
          <w:instrText xml:space="preserve"> PAGEREF _Toc179464280 \h </w:instrText>
        </w:r>
        <w:r w:rsidR="00B46AEF">
          <w:rPr>
            <w:noProof/>
            <w:webHidden/>
          </w:rPr>
        </w:r>
        <w:r w:rsidR="00B46AEF">
          <w:rPr>
            <w:noProof/>
            <w:webHidden/>
          </w:rPr>
          <w:fldChar w:fldCharType="separate"/>
        </w:r>
        <w:r w:rsidR="00B46AEF">
          <w:rPr>
            <w:noProof/>
            <w:webHidden/>
          </w:rPr>
          <w:t>110</w:t>
        </w:r>
        <w:r w:rsidR="00B46AEF">
          <w:rPr>
            <w:noProof/>
            <w:webHidden/>
          </w:rPr>
          <w:fldChar w:fldCharType="end"/>
        </w:r>
      </w:hyperlink>
    </w:p>
    <w:p w14:paraId="623FBAF7" w14:textId="1684EE31" w:rsidR="00B46AEF" w:rsidRDefault="00000000">
      <w:pPr>
        <w:pStyle w:val="TOC1"/>
        <w:rPr>
          <w:rFonts w:asciiTheme="minorHAnsi" w:eastAsiaTheme="minorEastAsia" w:hAnsiTheme="minorHAnsi"/>
          <w:noProof/>
          <w:kern w:val="2"/>
          <w:sz w:val="24"/>
          <w:szCs w:val="24"/>
          <w14:ligatures w14:val="standardContextual"/>
        </w:rPr>
      </w:pPr>
      <w:hyperlink w:anchor="_Toc179464281" w:history="1">
        <w:r w:rsidR="00B46AEF" w:rsidRPr="00D91A5D">
          <w:rPr>
            <w:rStyle w:val="Hyperlink"/>
            <w:noProof/>
          </w:rPr>
          <w:t>Appendix G. Emissions Tables</w:t>
        </w:r>
        <w:r w:rsidR="00B46AEF">
          <w:rPr>
            <w:noProof/>
            <w:webHidden/>
          </w:rPr>
          <w:tab/>
        </w:r>
        <w:r w:rsidR="00B46AEF">
          <w:rPr>
            <w:noProof/>
            <w:webHidden/>
          </w:rPr>
          <w:fldChar w:fldCharType="begin"/>
        </w:r>
        <w:r w:rsidR="00B46AEF">
          <w:rPr>
            <w:noProof/>
            <w:webHidden/>
          </w:rPr>
          <w:instrText xml:space="preserve"> PAGEREF _Toc179464281 \h </w:instrText>
        </w:r>
        <w:r w:rsidR="00B46AEF">
          <w:rPr>
            <w:noProof/>
            <w:webHidden/>
          </w:rPr>
        </w:r>
        <w:r w:rsidR="00B46AEF">
          <w:rPr>
            <w:noProof/>
            <w:webHidden/>
          </w:rPr>
          <w:fldChar w:fldCharType="separate"/>
        </w:r>
        <w:r w:rsidR="00B46AEF">
          <w:rPr>
            <w:noProof/>
            <w:webHidden/>
          </w:rPr>
          <w:t>112</w:t>
        </w:r>
        <w:r w:rsidR="00B46AEF">
          <w:rPr>
            <w:noProof/>
            <w:webHidden/>
          </w:rPr>
          <w:fldChar w:fldCharType="end"/>
        </w:r>
      </w:hyperlink>
    </w:p>
    <w:p w14:paraId="421FAF0A" w14:textId="2B657033" w:rsidR="00905011" w:rsidRDefault="00407356" w:rsidP="004B76E9">
      <w:pPr>
        <w:pStyle w:val="2ndlevel"/>
      </w:pPr>
      <w:r>
        <w:fldChar w:fldCharType="end"/>
      </w:r>
      <w:bookmarkStart w:id="2" w:name="_Toc179464214"/>
      <w:bookmarkStart w:id="3" w:name="_Toc170114869"/>
      <w:r w:rsidR="0005094B">
        <w:t>Tables</w:t>
      </w:r>
      <w:bookmarkEnd w:id="2"/>
      <w:bookmarkEnd w:id="3"/>
    </w:p>
    <w:p w14:paraId="4E7D2AEF" w14:textId="4D0D84CC" w:rsidR="00526371" w:rsidRDefault="00C544E0">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"Table" </w:instrText>
      </w:r>
      <w:r>
        <w:fldChar w:fldCharType="separate"/>
      </w:r>
      <w:hyperlink w:anchor="_Toc179464282" w:history="1">
        <w:r w:rsidR="00526371" w:rsidRPr="00C709B4">
          <w:rPr>
            <w:rStyle w:val="Hyperlink"/>
            <w:noProof/>
          </w:rPr>
          <w:t>Table 1. Acronyms</w:t>
        </w:r>
        <w:r w:rsidR="00526371">
          <w:rPr>
            <w:noProof/>
            <w:webHidden/>
          </w:rPr>
          <w:tab/>
        </w:r>
        <w:r w:rsidR="00526371">
          <w:rPr>
            <w:noProof/>
            <w:webHidden/>
          </w:rPr>
          <w:fldChar w:fldCharType="begin"/>
        </w:r>
        <w:r w:rsidR="00526371">
          <w:rPr>
            <w:noProof/>
            <w:webHidden/>
          </w:rPr>
          <w:instrText xml:space="preserve"> PAGEREF _Toc179464282 \h </w:instrText>
        </w:r>
        <w:r w:rsidR="00526371">
          <w:rPr>
            <w:noProof/>
            <w:webHidden/>
          </w:rPr>
        </w:r>
        <w:r w:rsidR="00526371">
          <w:rPr>
            <w:noProof/>
            <w:webHidden/>
          </w:rPr>
          <w:fldChar w:fldCharType="separate"/>
        </w:r>
        <w:r w:rsidR="00526371">
          <w:rPr>
            <w:noProof/>
            <w:webHidden/>
          </w:rPr>
          <w:t>7</w:t>
        </w:r>
        <w:r w:rsidR="00526371">
          <w:rPr>
            <w:noProof/>
            <w:webHidden/>
          </w:rPr>
          <w:fldChar w:fldCharType="end"/>
        </w:r>
      </w:hyperlink>
    </w:p>
    <w:p w14:paraId="32E4E77F" w14:textId="2B1A2627"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3" w:history="1">
        <w:r w:rsidR="00526371" w:rsidRPr="00C709B4">
          <w:rPr>
            <w:rStyle w:val="Hyperlink"/>
            <w:noProof/>
          </w:rPr>
          <w:t>Table 2 Surface Ownership</w:t>
        </w:r>
        <w:r w:rsidR="00526371">
          <w:rPr>
            <w:noProof/>
            <w:webHidden/>
          </w:rPr>
          <w:tab/>
        </w:r>
        <w:r w:rsidR="00526371">
          <w:rPr>
            <w:noProof/>
            <w:webHidden/>
          </w:rPr>
          <w:fldChar w:fldCharType="begin"/>
        </w:r>
        <w:r w:rsidR="00526371">
          <w:rPr>
            <w:noProof/>
            <w:webHidden/>
          </w:rPr>
          <w:instrText xml:space="preserve"> PAGEREF _Toc179464283 \h </w:instrText>
        </w:r>
        <w:r w:rsidR="00526371">
          <w:rPr>
            <w:noProof/>
            <w:webHidden/>
          </w:rPr>
        </w:r>
        <w:r w:rsidR="00526371">
          <w:rPr>
            <w:noProof/>
            <w:webHidden/>
          </w:rPr>
          <w:fldChar w:fldCharType="separate"/>
        </w:r>
        <w:r w:rsidR="00526371">
          <w:rPr>
            <w:noProof/>
            <w:webHidden/>
          </w:rPr>
          <w:t>10</w:t>
        </w:r>
        <w:r w:rsidR="00526371">
          <w:rPr>
            <w:noProof/>
            <w:webHidden/>
          </w:rPr>
          <w:fldChar w:fldCharType="end"/>
        </w:r>
      </w:hyperlink>
    </w:p>
    <w:p w14:paraId="1291B05B" w14:textId="57A4899D"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4" w:history="1">
        <w:r w:rsidR="00526371" w:rsidRPr="00C709B4">
          <w:rPr>
            <w:rStyle w:val="Hyperlink"/>
            <w:noProof/>
          </w:rPr>
          <w:t>Table 3 Relationship to Statutes, Regulations, and Policies</w:t>
        </w:r>
        <w:r w:rsidR="00526371">
          <w:rPr>
            <w:noProof/>
            <w:webHidden/>
          </w:rPr>
          <w:tab/>
        </w:r>
        <w:r w:rsidR="00526371">
          <w:rPr>
            <w:noProof/>
            <w:webHidden/>
          </w:rPr>
          <w:fldChar w:fldCharType="begin"/>
        </w:r>
        <w:r w:rsidR="00526371">
          <w:rPr>
            <w:noProof/>
            <w:webHidden/>
          </w:rPr>
          <w:instrText xml:space="preserve"> PAGEREF _Toc179464284 \h </w:instrText>
        </w:r>
        <w:r w:rsidR="00526371">
          <w:rPr>
            <w:noProof/>
            <w:webHidden/>
          </w:rPr>
        </w:r>
        <w:r w:rsidR="00526371">
          <w:rPr>
            <w:noProof/>
            <w:webHidden/>
          </w:rPr>
          <w:fldChar w:fldCharType="separate"/>
        </w:r>
        <w:r w:rsidR="00526371">
          <w:rPr>
            <w:noProof/>
            <w:webHidden/>
          </w:rPr>
          <w:t>11</w:t>
        </w:r>
        <w:r w:rsidR="00526371">
          <w:rPr>
            <w:noProof/>
            <w:webHidden/>
          </w:rPr>
          <w:fldChar w:fldCharType="end"/>
        </w:r>
      </w:hyperlink>
    </w:p>
    <w:p w14:paraId="7A2755E4" w14:textId="26985A92"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5" w:history="1">
        <w:r w:rsidR="00526371" w:rsidRPr="00C709B4">
          <w:rPr>
            <w:rStyle w:val="Hyperlink"/>
            <w:noProof/>
          </w:rPr>
          <w:t>Table 4 Resources not Analyzed in this EA</w:t>
        </w:r>
        <w:r w:rsidR="00526371">
          <w:rPr>
            <w:noProof/>
            <w:webHidden/>
          </w:rPr>
          <w:tab/>
        </w:r>
        <w:r w:rsidR="00526371">
          <w:rPr>
            <w:noProof/>
            <w:webHidden/>
          </w:rPr>
          <w:fldChar w:fldCharType="begin"/>
        </w:r>
        <w:r w:rsidR="00526371">
          <w:rPr>
            <w:noProof/>
            <w:webHidden/>
          </w:rPr>
          <w:instrText xml:space="preserve"> PAGEREF _Toc179464285 \h </w:instrText>
        </w:r>
        <w:r w:rsidR="00526371">
          <w:rPr>
            <w:noProof/>
            <w:webHidden/>
          </w:rPr>
        </w:r>
        <w:r w:rsidR="00526371">
          <w:rPr>
            <w:noProof/>
            <w:webHidden/>
          </w:rPr>
          <w:fldChar w:fldCharType="separate"/>
        </w:r>
        <w:r w:rsidR="00526371">
          <w:rPr>
            <w:noProof/>
            <w:webHidden/>
          </w:rPr>
          <w:t>15</w:t>
        </w:r>
        <w:r w:rsidR="00526371">
          <w:rPr>
            <w:noProof/>
            <w:webHidden/>
          </w:rPr>
          <w:fldChar w:fldCharType="end"/>
        </w:r>
      </w:hyperlink>
    </w:p>
    <w:p w14:paraId="52170CEE" w14:textId="4D7EED8B"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6" w:history="1">
        <w:r w:rsidR="00526371" w:rsidRPr="00C709B4">
          <w:rPr>
            <w:rStyle w:val="Hyperlink"/>
            <w:noProof/>
          </w:rPr>
          <w:t>Table 5 Reasonably Foreseeable Development</w:t>
        </w:r>
        <w:r w:rsidR="00526371">
          <w:rPr>
            <w:noProof/>
            <w:webHidden/>
          </w:rPr>
          <w:tab/>
        </w:r>
        <w:r w:rsidR="00526371">
          <w:rPr>
            <w:noProof/>
            <w:webHidden/>
          </w:rPr>
          <w:fldChar w:fldCharType="begin"/>
        </w:r>
        <w:r w:rsidR="00526371">
          <w:rPr>
            <w:noProof/>
            <w:webHidden/>
          </w:rPr>
          <w:instrText xml:space="preserve"> PAGEREF _Toc179464286 \h </w:instrText>
        </w:r>
        <w:r w:rsidR="00526371">
          <w:rPr>
            <w:noProof/>
            <w:webHidden/>
          </w:rPr>
        </w:r>
        <w:r w:rsidR="00526371">
          <w:rPr>
            <w:noProof/>
            <w:webHidden/>
          </w:rPr>
          <w:fldChar w:fldCharType="separate"/>
        </w:r>
        <w:r w:rsidR="00526371">
          <w:rPr>
            <w:noProof/>
            <w:webHidden/>
          </w:rPr>
          <w:t>20</w:t>
        </w:r>
        <w:r w:rsidR="00526371">
          <w:rPr>
            <w:noProof/>
            <w:webHidden/>
          </w:rPr>
          <w:fldChar w:fldCharType="end"/>
        </w:r>
      </w:hyperlink>
    </w:p>
    <w:p w14:paraId="5957DF1A" w14:textId="4C25E370"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7" w:history="1">
        <w:r w:rsidR="00526371" w:rsidRPr="00C709B4">
          <w:rPr>
            <w:rStyle w:val="Hyperlink"/>
            <w:noProof/>
          </w:rPr>
          <w:t>Table 6 Estimated Well Count and Production for the Nominated Lease Parcels</w:t>
        </w:r>
        <w:r w:rsidR="00526371">
          <w:rPr>
            <w:noProof/>
            <w:webHidden/>
          </w:rPr>
          <w:tab/>
        </w:r>
        <w:r w:rsidR="00526371">
          <w:rPr>
            <w:noProof/>
            <w:webHidden/>
          </w:rPr>
          <w:fldChar w:fldCharType="begin"/>
        </w:r>
        <w:r w:rsidR="00526371">
          <w:rPr>
            <w:noProof/>
            <w:webHidden/>
          </w:rPr>
          <w:instrText xml:space="preserve"> PAGEREF _Toc179464287 \h </w:instrText>
        </w:r>
        <w:r w:rsidR="00526371">
          <w:rPr>
            <w:noProof/>
            <w:webHidden/>
          </w:rPr>
        </w:r>
        <w:r w:rsidR="00526371">
          <w:rPr>
            <w:noProof/>
            <w:webHidden/>
          </w:rPr>
          <w:fldChar w:fldCharType="separate"/>
        </w:r>
        <w:r w:rsidR="00526371">
          <w:rPr>
            <w:noProof/>
            <w:webHidden/>
          </w:rPr>
          <w:t>20</w:t>
        </w:r>
        <w:r w:rsidR="00526371">
          <w:rPr>
            <w:noProof/>
            <w:webHidden/>
          </w:rPr>
          <w:fldChar w:fldCharType="end"/>
        </w:r>
      </w:hyperlink>
    </w:p>
    <w:p w14:paraId="1B16BDB7" w14:textId="5C6E43FC"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8" w:history="1">
        <w:r w:rsidR="00526371" w:rsidRPr="00C709B4">
          <w:rPr>
            <w:rStyle w:val="Hyperlink"/>
            <w:noProof/>
          </w:rPr>
          <w:t>Table 7 Sensitive terrestrial animal species potentially occurring in the nominated lease parcels</w:t>
        </w:r>
        <w:r w:rsidR="00526371">
          <w:rPr>
            <w:noProof/>
            <w:webHidden/>
          </w:rPr>
          <w:tab/>
        </w:r>
        <w:r w:rsidR="00526371">
          <w:rPr>
            <w:noProof/>
            <w:webHidden/>
          </w:rPr>
          <w:fldChar w:fldCharType="begin"/>
        </w:r>
        <w:r w:rsidR="00526371">
          <w:rPr>
            <w:noProof/>
            <w:webHidden/>
          </w:rPr>
          <w:instrText xml:space="preserve"> PAGEREF _Toc179464288 \h </w:instrText>
        </w:r>
        <w:r w:rsidR="00526371">
          <w:rPr>
            <w:noProof/>
            <w:webHidden/>
          </w:rPr>
        </w:r>
        <w:r w:rsidR="00526371">
          <w:rPr>
            <w:noProof/>
            <w:webHidden/>
          </w:rPr>
          <w:fldChar w:fldCharType="separate"/>
        </w:r>
        <w:r w:rsidR="00526371">
          <w:rPr>
            <w:noProof/>
            <w:webHidden/>
          </w:rPr>
          <w:t>26</w:t>
        </w:r>
        <w:r w:rsidR="00526371">
          <w:rPr>
            <w:noProof/>
            <w:webHidden/>
          </w:rPr>
          <w:fldChar w:fldCharType="end"/>
        </w:r>
      </w:hyperlink>
    </w:p>
    <w:p w14:paraId="5278E414" w14:textId="2557A61E"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89" w:history="1">
        <w:r w:rsidR="00526371" w:rsidRPr="00C709B4">
          <w:rPr>
            <w:rStyle w:val="Hyperlink"/>
            <w:noProof/>
          </w:rPr>
          <w:t>Table 8 Sensitive Plant Species with Potential to Occur within Nominated Lease Parcels</w:t>
        </w:r>
        <w:r w:rsidR="00526371">
          <w:rPr>
            <w:noProof/>
            <w:webHidden/>
          </w:rPr>
          <w:tab/>
        </w:r>
        <w:r w:rsidR="00526371">
          <w:rPr>
            <w:noProof/>
            <w:webHidden/>
          </w:rPr>
          <w:fldChar w:fldCharType="begin"/>
        </w:r>
        <w:r w:rsidR="00526371">
          <w:rPr>
            <w:noProof/>
            <w:webHidden/>
          </w:rPr>
          <w:instrText xml:space="preserve"> PAGEREF _Toc179464289 \h </w:instrText>
        </w:r>
        <w:r w:rsidR="00526371">
          <w:rPr>
            <w:noProof/>
            <w:webHidden/>
          </w:rPr>
        </w:r>
        <w:r w:rsidR="00526371">
          <w:rPr>
            <w:noProof/>
            <w:webHidden/>
          </w:rPr>
          <w:fldChar w:fldCharType="separate"/>
        </w:r>
        <w:r w:rsidR="00526371">
          <w:rPr>
            <w:noProof/>
            <w:webHidden/>
          </w:rPr>
          <w:t>28</w:t>
        </w:r>
        <w:r w:rsidR="00526371">
          <w:rPr>
            <w:noProof/>
            <w:webHidden/>
          </w:rPr>
          <w:fldChar w:fldCharType="end"/>
        </w:r>
      </w:hyperlink>
    </w:p>
    <w:p w14:paraId="02D2C1DD" w14:textId="209C979B"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0" w:history="1">
        <w:r w:rsidR="00526371" w:rsidRPr="00C709B4">
          <w:rPr>
            <w:rStyle w:val="Hyperlink"/>
            <w:noProof/>
          </w:rPr>
          <w:t>Table 9 Geologic Units and PFYC Designations of the Nominated Lease Parcels</w:t>
        </w:r>
        <w:r w:rsidR="00526371">
          <w:rPr>
            <w:noProof/>
            <w:webHidden/>
          </w:rPr>
          <w:tab/>
        </w:r>
        <w:r w:rsidR="00526371">
          <w:rPr>
            <w:noProof/>
            <w:webHidden/>
          </w:rPr>
          <w:fldChar w:fldCharType="begin"/>
        </w:r>
        <w:r w:rsidR="00526371">
          <w:rPr>
            <w:noProof/>
            <w:webHidden/>
          </w:rPr>
          <w:instrText xml:space="preserve"> PAGEREF _Toc179464290 \h </w:instrText>
        </w:r>
        <w:r w:rsidR="00526371">
          <w:rPr>
            <w:noProof/>
            <w:webHidden/>
          </w:rPr>
        </w:r>
        <w:r w:rsidR="00526371">
          <w:rPr>
            <w:noProof/>
            <w:webHidden/>
          </w:rPr>
          <w:fldChar w:fldCharType="separate"/>
        </w:r>
        <w:r w:rsidR="00526371">
          <w:rPr>
            <w:noProof/>
            <w:webHidden/>
          </w:rPr>
          <w:t>32</w:t>
        </w:r>
        <w:r w:rsidR="00526371">
          <w:rPr>
            <w:noProof/>
            <w:webHidden/>
          </w:rPr>
          <w:fldChar w:fldCharType="end"/>
        </w:r>
      </w:hyperlink>
    </w:p>
    <w:p w14:paraId="6A63F2A8" w14:textId="5D9DC75E"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1" w:history="1">
        <w:r w:rsidR="00526371" w:rsidRPr="00C709B4">
          <w:rPr>
            <w:rStyle w:val="Hyperlink"/>
            <w:noProof/>
          </w:rPr>
          <w:t>Table 10 Demographic data</w:t>
        </w:r>
        <w:r w:rsidR="00526371">
          <w:rPr>
            <w:noProof/>
            <w:webHidden/>
          </w:rPr>
          <w:tab/>
        </w:r>
        <w:r w:rsidR="00526371">
          <w:rPr>
            <w:noProof/>
            <w:webHidden/>
          </w:rPr>
          <w:fldChar w:fldCharType="begin"/>
        </w:r>
        <w:r w:rsidR="00526371">
          <w:rPr>
            <w:noProof/>
            <w:webHidden/>
          </w:rPr>
          <w:instrText xml:space="preserve"> PAGEREF _Toc179464291 \h </w:instrText>
        </w:r>
        <w:r w:rsidR="00526371">
          <w:rPr>
            <w:noProof/>
            <w:webHidden/>
          </w:rPr>
        </w:r>
        <w:r w:rsidR="00526371">
          <w:rPr>
            <w:noProof/>
            <w:webHidden/>
          </w:rPr>
          <w:fldChar w:fldCharType="separate"/>
        </w:r>
        <w:r w:rsidR="00526371">
          <w:rPr>
            <w:noProof/>
            <w:webHidden/>
          </w:rPr>
          <w:t>34</w:t>
        </w:r>
        <w:r w:rsidR="00526371">
          <w:rPr>
            <w:noProof/>
            <w:webHidden/>
          </w:rPr>
          <w:fldChar w:fldCharType="end"/>
        </w:r>
      </w:hyperlink>
    </w:p>
    <w:p w14:paraId="1760F9CB" w14:textId="712BAFD4"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2" w:history="1">
        <w:r w:rsidR="00526371" w:rsidRPr="00C709B4">
          <w:rPr>
            <w:rStyle w:val="Hyperlink"/>
            <w:noProof/>
          </w:rPr>
          <w:t>Table 11. Soil types</w:t>
        </w:r>
        <w:r w:rsidR="00526371">
          <w:rPr>
            <w:noProof/>
            <w:webHidden/>
          </w:rPr>
          <w:tab/>
        </w:r>
        <w:r w:rsidR="00526371">
          <w:rPr>
            <w:noProof/>
            <w:webHidden/>
          </w:rPr>
          <w:fldChar w:fldCharType="begin"/>
        </w:r>
        <w:r w:rsidR="00526371">
          <w:rPr>
            <w:noProof/>
            <w:webHidden/>
          </w:rPr>
          <w:instrText xml:space="preserve"> PAGEREF _Toc179464292 \h </w:instrText>
        </w:r>
        <w:r w:rsidR="00526371">
          <w:rPr>
            <w:noProof/>
            <w:webHidden/>
          </w:rPr>
        </w:r>
        <w:r w:rsidR="00526371">
          <w:rPr>
            <w:noProof/>
            <w:webHidden/>
          </w:rPr>
          <w:fldChar w:fldCharType="separate"/>
        </w:r>
        <w:r w:rsidR="00526371">
          <w:rPr>
            <w:noProof/>
            <w:webHidden/>
          </w:rPr>
          <w:t>43</w:t>
        </w:r>
        <w:r w:rsidR="00526371">
          <w:rPr>
            <w:noProof/>
            <w:webHidden/>
          </w:rPr>
          <w:fldChar w:fldCharType="end"/>
        </w:r>
      </w:hyperlink>
    </w:p>
    <w:p w14:paraId="7E5B944B" w14:textId="6CCD3A59"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3" w:history="1">
        <w:r w:rsidR="00526371" w:rsidRPr="00C709B4">
          <w:rPr>
            <w:rStyle w:val="Hyperlink"/>
            <w:noProof/>
          </w:rPr>
          <w:t>Table 12 Noise Levels Associated with Oil and Gas Activity</w:t>
        </w:r>
        <w:r w:rsidR="00526371">
          <w:rPr>
            <w:noProof/>
            <w:webHidden/>
          </w:rPr>
          <w:tab/>
        </w:r>
        <w:r w:rsidR="00526371">
          <w:rPr>
            <w:noProof/>
            <w:webHidden/>
          </w:rPr>
          <w:fldChar w:fldCharType="begin"/>
        </w:r>
        <w:r w:rsidR="00526371">
          <w:rPr>
            <w:noProof/>
            <w:webHidden/>
          </w:rPr>
          <w:instrText xml:space="preserve"> PAGEREF _Toc179464293 \h </w:instrText>
        </w:r>
        <w:r w:rsidR="00526371">
          <w:rPr>
            <w:noProof/>
            <w:webHidden/>
          </w:rPr>
        </w:r>
        <w:r w:rsidR="00526371">
          <w:rPr>
            <w:noProof/>
            <w:webHidden/>
          </w:rPr>
          <w:fldChar w:fldCharType="separate"/>
        </w:r>
        <w:r w:rsidR="00526371">
          <w:rPr>
            <w:noProof/>
            <w:webHidden/>
          </w:rPr>
          <w:t>45</w:t>
        </w:r>
        <w:r w:rsidR="00526371">
          <w:rPr>
            <w:noProof/>
            <w:webHidden/>
          </w:rPr>
          <w:fldChar w:fldCharType="end"/>
        </w:r>
      </w:hyperlink>
    </w:p>
    <w:p w14:paraId="1A550041" w14:textId="53486FD5"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4" w:history="1">
        <w:r w:rsidR="00526371" w:rsidRPr="00C709B4">
          <w:rPr>
            <w:rStyle w:val="Hyperlink"/>
            <w:noProof/>
          </w:rPr>
          <w:t>Table 13 Bortle Classes</w:t>
        </w:r>
        <w:r w:rsidR="00526371">
          <w:rPr>
            <w:noProof/>
            <w:webHidden/>
          </w:rPr>
          <w:tab/>
        </w:r>
        <w:r w:rsidR="00526371">
          <w:rPr>
            <w:noProof/>
            <w:webHidden/>
          </w:rPr>
          <w:fldChar w:fldCharType="begin"/>
        </w:r>
        <w:r w:rsidR="00526371">
          <w:rPr>
            <w:noProof/>
            <w:webHidden/>
          </w:rPr>
          <w:instrText xml:space="preserve"> PAGEREF _Toc179464294 \h </w:instrText>
        </w:r>
        <w:r w:rsidR="00526371">
          <w:rPr>
            <w:noProof/>
            <w:webHidden/>
          </w:rPr>
        </w:r>
        <w:r w:rsidR="00526371">
          <w:rPr>
            <w:noProof/>
            <w:webHidden/>
          </w:rPr>
          <w:fldChar w:fldCharType="separate"/>
        </w:r>
        <w:r w:rsidR="00526371">
          <w:rPr>
            <w:noProof/>
            <w:webHidden/>
          </w:rPr>
          <w:t>47</w:t>
        </w:r>
        <w:r w:rsidR="00526371">
          <w:rPr>
            <w:noProof/>
            <w:webHidden/>
          </w:rPr>
          <w:fldChar w:fldCharType="end"/>
        </w:r>
      </w:hyperlink>
    </w:p>
    <w:p w14:paraId="49F76C98" w14:textId="2BEA587B"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5" w:history="1">
        <w:r w:rsidR="00526371" w:rsidRPr="00C709B4">
          <w:rPr>
            <w:rStyle w:val="Hyperlink"/>
            <w:noProof/>
          </w:rPr>
          <w:t>Table 14 Split Mountain allotment</w:t>
        </w:r>
        <w:r w:rsidR="00526371">
          <w:rPr>
            <w:noProof/>
            <w:webHidden/>
          </w:rPr>
          <w:tab/>
        </w:r>
        <w:r w:rsidR="00526371">
          <w:rPr>
            <w:noProof/>
            <w:webHidden/>
          </w:rPr>
          <w:fldChar w:fldCharType="begin"/>
        </w:r>
        <w:r w:rsidR="00526371">
          <w:rPr>
            <w:noProof/>
            <w:webHidden/>
          </w:rPr>
          <w:instrText xml:space="preserve"> PAGEREF _Toc179464295 \h </w:instrText>
        </w:r>
        <w:r w:rsidR="00526371">
          <w:rPr>
            <w:noProof/>
            <w:webHidden/>
          </w:rPr>
        </w:r>
        <w:r w:rsidR="00526371">
          <w:rPr>
            <w:noProof/>
            <w:webHidden/>
          </w:rPr>
          <w:fldChar w:fldCharType="separate"/>
        </w:r>
        <w:r w:rsidR="00526371">
          <w:rPr>
            <w:noProof/>
            <w:webHidden/>
          </w:rPr>
          <w:t>52</w:t>
        </w:r>
        <w:r w:rsidR="00526371">
          <w:rPr>
            <w:noProof/>
            <w:webHidden/>
          </w:rPr>
          <w:fldChar w:fldCharType="end"/>
        </w:r>
      </w:hyperlink>
    </w:p>
    <w:p w14:paraId="340DD8CA" w14:textId="0833DD29"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6" w:history="1">
        <w:r w:rsidR="00526371" w:rsidRPr="00C709B4">
          <w:rPr>
            <w:rStyle w:val="Hyperlink"/>
            <w:noProof/>
          </w:rPr>
          <w:t>Table 15 Existing Criteria Air Pollutant Emissions in the Airshed in Tons Per Year (TPY)</w:t>
        </w:r>
        <w:r w:rsidR="00526371">
          <w:rPr>
            <w:noProof/>
            <w:webHidden/>
          </w:rPr>
          <w:tab/>
        </w:r>
        <w:r w:rsidR="00526371">
          <w:rPr>
            <w:noProof/>
            <w:webHidden/>
          </w:rPr>
          <w:fldChar w:fldCharType="begin"/>
        </w:r>
        <w:r w:rsidR="00526371">
          <w:rPr>
            <w:noProof/>
            <w:webHidden/>
          </w:rPr>
          <w:instrText xml:space="preserve"> PAGEREF _Toc179464296 \h </w:instrText>
        </w:r>
        <w:r w:rsidR="00526371">
          <w:rPr>
            <w:noProof/>
            <w:webHidden/>
          </w:rPr>
        </w:r>
        <w:r w:rsidR="00526371">
          <w:rPr>
            <w:noProof/>
            <w:webHidden/>
          </w:rPr>
          <w:fldChar w:fldCharType="separate"/>
        </w:r>
        <w:r w:rsidR="00526371">
          <w:rPr>
            <w:noProof/>
            <w:webHidden/>
          </w:rPr>
          <w:t>59</w:t>
        </w:r>
        <w:r w:rsidR="00526371">
          <w:rPr>
            <w:noProof/>
            <w:webHidden/>
          </w:rPr>
          <w:fldChar w:fldCharType="end"/>
        </w:r>
      </w:hyperlink>
    </w:p>
    <w:p w14:paraId="1242817F" w14:textId="00C1F3CE"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7" w:history="1">
        <w:r w:rsidR="00526371" w:rsidRPr="00C709B4">
          <w:rPr>
            <w:rStyle w:val="Hyperlink"/>
            <w:noProof/>
          </w:rPr>
          <w:t>Table 16 2021-2023 Criteria Air Pollutant Design Values</w:t>
        </w:r>
        <w:r w:rsidR="00526371">
          <w:rPr>
            <w:noProof/>
            <w:webHidden/>
          </w:rPr>
          <w:tab/>
        </w:r>
        <w:r w:rsidR="00526371">
          <w:rPr>
            <w:noProof/>
            <w:webHidden/>
          </w:rPr>
          <w:fldChar w:fldCharType="begin"/>
        </w:r>
        <w:r w:rsidR="00526371">
          <w:rPr>
            <w:noProof/>
            <w:webHidden/>
          </w:rPr>
          <w:instrText xml:space="preserve"> PAGEREF _Toc179464297 \h </w:instrText>
        </w:r>
        <w:r w:rsidR="00526371">
          <w:rPr>
            <w:noProof/>
            <w:webHidden/>
          </w:rPr>
        </w:r>
        <w:r w:rsidR="00526371">
          <w:rPr>
            <w:noProof/>
            <w:webHidden/>
          </w:rPr>
          <w:fldChar w:fldCharType="separate"/>
        </w:r>
        <w:r w:rsidR="00526371">
          <w:rPr>
            <w:noProof/>
            <w:webHidden/>
          </w:rPr>
          <w:t>59</w:t>
        </w:r>
        <w:r w:rsidR="00526371">
          <w:rPr>
            <w:noProof/>
            <w:webHidden/>
          </w:rPr>
          <w:fldChar w:fldCharType="end"/>
        </w:r>
      </w:hyperlink>
    </w:p>
    <w:p w14:paraId="1C6E9CE3" w14:textId="1B9A0CDC"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8" w:history="1">
        <w:r w:rsidR="00526371" w:rsidRPr="00C709B4">
          <w:rPr>
            <w:rStyle w:val="Hyperlink"/>
            <w:noProof/>
          </w:rPr>
          <w:t>Table 17 Hazardous Air Pollutant Emissions (TPY)</w:t>
        </w:r>
        <w:r w:rsidR="00526371">
          <w:rPr>
            <w:noProof/>
            <w:webHidden/>
          </w:rPr>
          <w:tab/>
        </w:r>
        <w:r w:rsidR="00526371">
          <w:rPr>
            <w:noProof/>
            <w:webHidden/>
          </w:rPr>
          <w:fldChar w:fldCharType="begin"/>
        </w:r>
        <w:r w:rsidR="00526371">
          <w:rPr>
            <w:noProof/>
            <w:webHidden/>
          </w:rPr>
          <w:instrText xml:space="preserve"> PAGEREF _Toc179464298 \h </w:instrText>
        </w:r>
        <w:r w:rsidR="00526371">
          <w:rPr>
            <w:noProof/>
            <w:webHidden/>
          </w:rPr>
        </w:r>
        <w:r w:rsidR="00526371">
          <w:rPr>
            <w:noProof/>
            <w:webHidden/>
          </w:rPr>
          <w:fldChar w:fldCharType="separate"/>
        </w:r>
        <w:r w:rsidR="00526371">
          <w:rPr>
            <w:noProof/>
            <w:webHidden/>
          </w:rPr>
          <w:t>60</w:t>
        </w:r>
        <w:r w:rsidR="00526371">
          <w:rPr>
            <w:noProof/>
            <w:webHidden/>
          </w:rPr>
          <w:fldChar w:fldCharType="end"/>
        </w:r>
      </w:hyperlink>
    </w:p>
    <w:p w14:paraId="5A856956" w14:textId="27CA09F0"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299" w:history="1">
        <w:r w:rsidR="00526371" w:rsidRPr="00C709B4">
          <w:rPr>
            <w:rStyle w:val="Hyperlink"/>
            <w:noProof/>
          </w:rPr>
          <w:t>Table 18 Total Cancer Risk and Noncancer Respiratory Hazard from Existing HAP Emissions (2019 Reporting Year).</w:t>
        </w:r>
        <w:r w:rsidR="00526371">
          <w:rPr>
            <w:noProof/>
            <w:webHidden/>
          </w:rPr>
          <w:tab/>
        </w:r>
        <w:r w:rsidR="00526371">
          <w:rPr>
            <w:noProof/>
            <w:webHidden/>
          </w:rPr>
          <w:fldChar w:fldCharType="begin"/>
        </w:r>
        <w:r w:rsidR="00526371">
          <w:rPr>
            <w:noProof/>
            <w:webHidden/>
          </w:rPr>
          <w:instrText xml:space="preserve"> PAGEREF _Toc179464299 \h </w:instrText>
        </w:r>
        <w:r w:rsidR="00526371">
          <w:rPr>
            <w:noProof/>
            <w:webHidden/>
          </w:rPr>
        </w:r>
        <w:r w:rsidR="00526371">
          <w:rPr>
            <w:noProof/>
            <w:webHidden/>
          </w:rPr>
          <w:fldChar w:fldCharType="separate"/>
        </w:r>
        <w:r w:rsidR="00526371">
          <w:rPr>
            <w:noProof/>
            <w:webHidden/>
          </w:rPr>
          <w:t>60</w:t>
        </w:r>
        <w:r w:rsidR="00526371">
          <w:rPr>
            <w:noProof/>
            <w:webHidden/>
          </w:rPr>
          <w:fldChar w:fldCharType="end"/>
        </w:r>
      </w:hyperlink>
    </w:p>
    <w:p w14:paraId="4B26DCE9" w14:textId="4E258DE1"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0" w:history="1">
        <w:r w:rsidR="00526371" w:rsidRPr="00C709B4">
          <w:rPr>
            <w:rStyle w:val="Hyperlink"/>
            <w:noProof/>
          </w:rPr>
          <w:t>Table 19 Estimated Annual Emissions Estimates from Well Development and Production Operations of the Lease Parcels (TPY)</w:t>
        </w:r>
        <w:r w:rsidR="00526371">
          <w:rPr>
            <w:noProof/>
            <w:webHidden/>
          </w:rPr>
          <w:tab/>
        </w:r>
        <w:r w:rsidR="00526371">
          <w:rPr>
            <w:noProof/>
            <w:webHidden/>
          </w:rPr>
          <w:fldChar w:fldCharType="begin"/>
        </w:r>
        <w:r w:rsidR="00526371">
          <w:rPr>
            <w:noProof/>
            <w:webHidden/>
          </w:rPr>
          <w:instrText xml:space="preserve"> PAGEREF _Toc179464300 \h </w:instrText>
        </w:r>
        <w:r w:rsidR="00526371">
          <w:rPr>
            <w:noProof/>
            <w:webHidden/>
          </w:rPr>
        </w:r>
        <w:r w:rsidR="00526371">
          <w:rPr>
            <w:noProof/>
            <w:webHidden/>
          </w:rPr>
          <w:fldChar w:fldCharType="separate"/>
        </w:r>
        <w:r w:rsidR="00526371">
          <w:rPr>
            <w:noProof/>
            <w:webHidden/>
          </w:rPr>
          <w:t>62</w:t>
        </w:r>
        <w:r w:rsidR="00526371">
          <w:rPr>
            <w:noProof/>
            <w:webHidden/>
          </w:rPr>
          <w:fldChar w:fldCharType="end"/>
        </w:r>
      </w:hyperlink>
    </w:p>
    <w:p w14:paraId="2CF5BA3A" w14:textId="3F8A069D"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1" w:history="1">
        <w:r w:rsidR="00526371" w:rsidRPr="00C709B4">
          <w:rPr>
            <w:rStyle w:val="Hyperlink"/>
            <w:noProof/>
          </w:rPr>
          <w:t>Table 20 Modeled Circa 2032 (New Plus Existing Wells) Oil and Gas Emissions in Utah by Mineral Owner</w:t>
        </w:r>
        <w:r w:rsidR="00526371">
          <w:rPr>
            <w:noProof/>
            <w:webHidden/>
          </w:rPr>
          <w:tab/>
        </w:r>
        <w:r w:rsidR="00526371">
          <w:rPr>
            <w:noProof/>
            <w:webHidden/>
          </w:rPr>
          <w:fldChar w:fldCharType="begin"/>
        </w:r>
        <w:r w:rsidR="00526371">
          <w:rPr>
            <w:noProof/>
            <w:webHidden/>
          </w:rPr>
          <w:instrText xml:space="preserve"> PAGEREF _Toc179464301 \h </w:instrText>
        </w:r>
        <w:r w:rsidR="00526371">
          <w:rPr>
            <w:noProof/>
            <w:webHidden/>
          </w:rPr>
        </w:r>
        <w:r w:rsidR="00526371">
          <w:rPr>
            <w:noProof/>
            <w:webHidden/>
          </w:rPr>
          <w:fldChar w:fldCharType="separate"/>
        </w:r>
        <w:r w:rsidR="00526371">
          <w:rPr>
            <w:noProof/>
            <w:webHidden/>
          </w:rPr>
          <w:t>64</w:t>
        </w:r>
        <w:r w:rsidR="00526371">
          <w:rPr>
            <w:noProof/>
            <w:webHidden/>
          </w:rPr>
          <w:fldChar w:fldCharType="end"/>
        </w:r>
      </w:hyperlink>
    </w:p>
    <w:p w14:paraId="69F605E7" w14:textId="63BDFB5A"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2" w:history="1">
        <w:r w:rsidR="00526371" w:rsidRPr="00C709B4">
          <w:rPr>
            <w:rStyle w:val="Hyperlink"/>
            <w:noProof/>
          </w:rPr>
          <w:t>Table 21 Global and U.S. Fossil Fuel GHG Emissions 2016 - 2021 (Mt CO2/yr)</w:t>
        </w:r>
        <w:r w:rsidR="00526371">
          <w:rPr>
            <w:noProof/>
            <w:webHidden/>
          </w:rPr>
          <w:tab/>
        </w:r>
        <w:r w:rsidR="00526371">
          <w:rPr>
            <w:noProof/>
            <w:webHidden/>
          </w:rPr>
          <w:fldChar w:fldCharType="begin"/>
        </w:r>
        <w:r w:rsidR="00526371">
          <w:rPr>
            <w:noProof/>
            <w:webHidden/>
          </w:rPr>
          <w:instrText xml:space="preserve"> PAGEREF _Toc179464302 \h </w:instrText>
        </w:r>
        <w:r w:rsidR="00526371">
          <w:rPr>
            <w:noProof/>
            <w:webHidden/>
          </w:rPr>
        </w:r>
        <w:r w:rsidR="00526371">
          <w:rPr>
            <w:noProof/>
            <w:webHidden/>
          </w:rPr>
          <w:fldChar w:fldCharType="separate"/>
        </w:r>
        <w:r w:rsidR="00526371">
          <w:rPr>
            <w:noProof/>
            <w:webHidden/>
          </w:rPr>
          <w:t>66</w:t>
        </w:r>
        <w:r w:rsidR="00526371">
          <w:rPr>
            <w:noProof/>
            <w:webHidden/>
          </w:rPr>
          <w:fldChar w:fldCharType="end"/>
        </w:r>
      </w:hyperlink>
    </w:p>
    <w:p w14:paraId="1E4D7006" w14:textId="76096074"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3" w:history="1">
        <w:r w:rsidR="00526371" w:rsidRPr="00C709B4">
          <w:rPr>
            <w:rStyle w:val="Hyperlink"/>
            <w:noProof/>
          </w:rPr>
          <w:t>Table 22 Estimated Direct and Indirect Emissions from Lease Parcels on an Annual and Life of Lease Basis (tonnes)</w:t>
        </w:r>
        <w:r w:rsidR="00526371">
          <w:rPr>
            <w:noProof/>
            <w:webHidden/>
          </w:rPr>
          <w:tab/>
        </w:r>
        <w:r w:rsidR="00526371">
          <w:rPr>
            <w:noProof/>
            <w:webHidden/>
          </w:rPr>
          <w:fldChar w:fldCharType="begin"/>
        </w:r>
        <w:r w:rsidR="00526371">
          <w:rPr>
            <w:noProof/>
            <w:webHidden/>
          </w:rPr>
          <w:instrText xml:space="preserve"> PAGEREF _Toc179464303 \h </w:instrText>
        </w:r>
        <w:r w:rsidR="00526371">
          <w:rPr>
            <w:noProof/>
            <w:webHidden/>
          </w:rPr>
        </w:r>
        <w:r w:rsidR="00526371">
          <w:rPr>
            <w:noProof/>
            <w:webHidden/>
          </w:rPr>
          <w:fldChar w:fldCharType="separate"/>
        </w:r>
        <w:r w:rsidR="00526371">
          <w:rPr>
            <w:noProof/>
            <w:webHidden/>
          </w:rPr>
          <w:t>68</w:t>
        </w:r>
        <w:r w:rsidR="00526371">
          <w:rPr>
            <w:noProof/>
            <w:webHidden/>
          </w:rPr>
          <w:fldChar w:fldCharType="end"/>
        </w:r>
      </w:hyperlink>
    </w:p>
    <w:p w14:paraId="1BCF4862" w14:textId="004A8CEA"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4" w:history="1">
        <w:r w:rsidR="00526371" w:rsidRPr="00C709B4">
          <w:rPr>
            <w:rStyle w:val="Hyperlink"/>
            <w:noProof/>
          </w:rPr>
          <w:t>Table 23 Estimated Life of Lease Emissions from Well Development, Well Production Operations, Mid-stream, and End-use (tonnes)</w:t>
        </w:r>
        <w:r w:rsidR="00526371">
          <w:rPr>
            <w:noProof/>
            <w:webHidden/>
          </w:rPr>
          <w:tab/>
        </w:r>
        <w:r w:rsidR="00526371">
          <w:rPr>
            <w:noProof/>
            <w:webHidden/>
          </w:rPr>
          <w:fldChar w:fldCharType="begin"/>
        </w:r>
        <w:r w:rsidR="00526371">
          <w:rPr>
            <w:noProof/>
            <w:webHidden/>
          </w:rPr>
          <w:instrText xml:space="preserve"> PAGEREF _Toc179464304 \h </w:instrText>
        </w:r>
        <w:r w:rsidR="00526371">
          <w:rPr>
            <w:noProof/>
            <w:webHidden/>
          </w:rPr>
        </w:r>
        <w:r w:rsidR="00526371">
          <w:rPr>
            <w:noProof/>
            <w:webHidden/>
          </w:rPr>
          <w:fldChar w:fldCharType="separate"/>
        </w:r>
        <w:r w:rsidR="00526371">
          <w:rPr>
            <w:noProof/>
            <w:webHidden/>
          </w:rPr>
          <w:t>68</w:t>
        </w:r>
        <w:r w:rsidR="00526371">
          <w:rPr>
            <w:noProof/>
            <w:webHidden/>
          </w:rPr>
          <w:fldChar w:fldCharType="end"/>
        </w:r>
      </w:hyperlink>
    </w:p>
    <w:p w14:paraId="7A18A5E6" w14:textId="74641856"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5" w:history="1">
        <w:r w:rsidR="00526371" w:rsidRPr="00C709B4">
          <w:rPr>
            <w:rStyle w:val="Hyperlink"/>
            <w:noProof/>
          </w:rPr>
          <w:t>Table 24 Comparison of Lease Sale Emissions to Other Sources (Megatonnes)</w:t>
        </w:r>
        <w:r w:rsidR="00526371">
          <w:rPr>
            <w:noProof/>
            <w:webHidden/>
          </w:rPr>
          <w:tab/>
        </w:r>
        <w:r w:rsidR="00526371">
          <w:rPr>
            <w:noProof/>
            <w:webHidden/>
          </w:rPr>
          <w:fldChar w:fldCharType="begin"/>
        </w:r>
        <w:r w:rsidR="00526371">
          <w:rPr>
            <w:noProof/>
            <w:webHidden/>
          </w:rPr>
          <w:instrText xml:space="preserve"> PAGEREF _Toc179464305 \h </w:instrText>
        </w:r>
        <w:r w:rsidR="00526371">
          <w:rPr>
            <w:noProof/>
            <w:webHidden/>
          </w:rPr>
        </w:r>
        <w:r w:rsidR="00526371">
          <w:rPr>
            <w:noProof/>
            <w:webHidden/>
          </w:rPr>
          <w:fldChar w:fldCharType="separate"/>
        </w:r>
        <w:r w:rsidR="00526371">
          <w:rPr>
            <w:noProof/>
            <w:webHidden/>
          </w:rPr>
          <w:t>69</w:t>
        </w:r>
        <w:r w:rsidR="00526371">
          <w:rPr>
            <w:noProof/>
            <w:webHidden/>
          </w:rPr>
          <w:fldChar w:fldCharType="end"/>
        </w:r>
      </w:hyperlink>
    </w:p>
    <w:p w14:paraId="1EA161A4" w14:textId="55DC9BA7"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6" w:history="1">
        <w:r w:rsidR="00526371" w:rsidRPr="00C709B4">
          <w:rPr>
            <w:rStyle w:val="Hyperlink"/>
            <w:noProof/>
          </w:rPr>
          <w:t>Table 25 SC-GHGs Associated with Future Potential Development</w:t>
        </w:r>
        <w:r w:rsidR="00526371">
          <w:rPr>
            <w:noProof/>
            <w:webHidden/>
          </w:rPr>
          <w:tab/>
        </w:r>
        <w:r w:rsidR="00526371">
          <w:rPr>
            <w:noProof/>
            <w:webHidden/>
          </w:rPr>
          <w:fldChar w:fldCharType="begin"/>
        </w:r>
        <w:r w:rsidR="00526371">
          <w:rPr>
            <w:noProof/>
            <w:webHidden/>
          </w:rPr>
          <w:instrText xml:space="preserve"> PAGEREF _Toc179464306 \h </w:instrText>
        </w:r>
        <w:r w:rsidR="00526371">
          <w:rPr>
            <w:noProof/>
            <w:webHidden/>
          </w:rPr>
        </w:r>
        <w:r w:rsidR="00526371">
          <w:rPr>
            <w:noProof/>
            <w:webHidden/>
          </w:rPr>
          <w:fldChar w:fldCharType="separate"/>
        </w:r>
        <w:r w:rsidR="00526371">
          <w:rPr>
            <w:noProof/>
            <w:webHidden/>
          </w:rPr>
          <w:t>71</w:t>
        </w:r>
        <w:r w:rsidR="00526371">
          <w:rPr>
            <w:noProof/>
            <w:webHidden/>
          </w:rPr>
          <w:fldChar w:fldCharType="end"/>
        </w:r>
      </w:hyperlink>
    </w:p>
    <w:p w14:paraId="302B9870" w14:textId="10886D76"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7" w:history="1">
        <w:r w:rsidR="00526371" w:rsidRPr="00C709B4">
          <w:rPr>
            <w:rStyle w:val="Hyperlink"/>
            <w:noProof/>
          </w:rPr>
          <w:t>Table 26 GHG Emissions from Past, Present, and Reasonably Foreseeable Federal Onshore Lease Development (Megatonnes CO2e)</w:t>
        </w:r>
        <w:r w:rsidR="00526371">
          <w:rPr>
            <w:noProof/>
            <w:webHidden/>
          </w:rPr>
          <w:tab/>
        </w:r>
        <w:r w:rsidR="00526371">
          <w:rPr>
            <w:noProof/>
            <w:webHidden/>
          </w:rPr>
          <w:fldChar w:fldCharType="begin"/>
        </w:r>
        <w:r w:rsidR="00526371">
          <w:rPr>
            <w:noProof/>
            <w:webHidden/>
          </w:rPr>
          <w:instrText xml:space="preserve"> PAGEREF _Toc179464307 \h </w:instrText>
        </w:r>
        <w:r w:rsidR="00526371">
          <w:rPr>
            <w:noProof/>
            <w:webHidden/>
          </w:rPr>
        </w:r>
        <w:r w:rsidR="00526371">
          <w:rPr>
            <w:noProof/>
            <w:webHidden/>
          </w:rPr>
          <w:fldChar w:fldCharType="separate"/>
        </w:r>
        <w:r w:rsidR="00526371">
          <w:rPr>
            <w:noProof/>
            <w:webHidden/>
          </w:rPr>
          <w:t>73</w:t>
        </w:r>
        <w:r w:rsidR="00526371">
          <w:rPr>
            <w:noProof/>
            <w:webHidden/>
          </w:rPr>
          <w:fldChar w:fldCharType="end"/>
        </w:r>
      </w:hyperlink>
    </w:p>
    <w:p w14:paraId="1383BB96" w14:textId="1EBF676D"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8" w:history="1">
        <w:r w:rsidR="00526371" w:rsidRPr="00C709B4">
          <w:rPr>
            <w:rStyle w:val="Hyperlink"/>
            <w:noProof/>
          </w:rPr>
          <w:t>Table 27 List of EA Preparers</w:t>
        </w:r>
        <w:r w:rsidR="00526371">
          <w:rPr>
            <w:noProof/>
            <w:webHidden/>
          </w:rPr>
          <w:tab/>
        </w:r>
        <w:r w:rsidR="00526371">
          <w:rPr>
            <w:noProof/>
            <w:webHidden/>
          </w:rPr>
          <w:fldChar w:fldCharType="begin"/>
        </w:r>
        <w:r w:rsidR="00526371">
          <w:rPr>
            <w:noProof/>
            <w:webHidden/>
          </w:rPr>
          <w:instrText xml:space="preserve"> PAGEREF _Toc179464308 \h </w:instrText>
        </w:r>
        <w:r w:rsidR="00526371">
          <w:rPr>
            <w:noProof/>
            <w:webHidden/>
          </w:rPr>
        </w:r>
        <w:r w:rsidR="00526371">
          <w:rPr>
            <w:noProof/>
            <w:webHidden/>
          </w:rPr>
          <w:fldChar w:fldCharType="separate"/>
        </w:r>
        <w:r w:rsidR="00526371">
          <w:rPr>
            <w:noProof/>
            <w:webHidden/>
          </w:rPr>
          <w:t>81</w:t>
        </w:r>
        <w:r w:rsidR="00526371">
          <w:rPr>
            <w:noProof/>
            <w:webHidden/>
          </w:rPr>
          <w:fldChar w:fldCharType="end"/>
        </w:r>
      </w:hyperlink>
    </w:p>
    <w:p w14:paraId="3FC01420" w14:textId="6F8521CC"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09" w:history="1">
        <w:r w:rsidR="00526371" w:rsidRPr="00C709B4">
          <w:rPr>
            <w:rStyle w:val="Hyperlink"/>
            <w:noProof/>
          </w:rPr>
          <w:t>Table 28: Parcel 7688</w:t>
        </w:r>
        <w:r w:rsidR="00526371">
          <w:rPr>
            <w:noProof/>
            <w:webHidden/>
          </w:rPr>
          <w:tab/>
        </w:r>
        <w:r w:rsidR="00526371">
          <w:rPr>
            <w:noProof/>
            <w:webHidden/>
          </w:rPr>
          <w:fldChar w:fldCharType="begin"/>
        </w:r>
        <w:r w:rsidR="00526371">
          <w:rPr>
            <w:noProof/>
            <w:webHidden/>
          </w:rPr>
          <w:instrText xml:space="preserve"> PAGEREF _Toc179464309 \h </w:instrText>
        </w:r>
        <w:r w:rsidR="00526371">
          <w:rPr>
            <w:noProof/>
            <w:webHidden/>
          </w:rPr>
        </w:r>
        <w:r w:rsidR="00526371">
          <w:rPr>
            <w:noProof/>
            <w:webHidden/>
          </w:rPr>
          <w:fldChar w:fldCharType="separate"/>
        </w:r>
        <w:r w:rsidR="00526371">
          <w:rPr>
            <w:noProof/>
            <w:webHidden/>
          </w:rPr>
          <w:t>86</w:t>
        </w:r>
        <w:r w:rsidR="00526371">
          <w:rPr>
            <w:noProof/>
            <w:webHidden/>
          </w:rPr>
          <w:fldChar w:fldCharType="end"/>
        </w:r>
      </w:hyperlink>
    </w:p>
    <w:p w14:paraId="46D0F707" w14:textId="1BE48CA2"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0" w:history="1">
        <w:r w:rsidR="00526371" w:rsidRPr="00C709B4">
          <w:rPr>
            <w:rStyle w:val="Hyperlink"/>
            <w:noProof/>
          </w:rPr>
          <w:t>Table 29: Parcel 1551</w:t>
        </w:r>
        <w:r w:rsidR="00526371">
          <w:rPr>
            <w:noProof/>
            <w:webHidden/>
          </w:rPr>
          <w:tab/>
        </w:r>
        <w:r w:rsidR="00526371">
          <w:rPr>
            <w:noProof/>
            <w:webHidden/>
          </w:rPr>
          <w:fldChar w:fldCharType="begin"/>
        </w:r>
        <w:r w:rsidR="00526371">
          <w:rPr>
            <w:noProof/>
            <w:webHidden/>
          </w:rPr>
          <w:instrText xml:space="preserve"> PAGEREF _Toc179464310 \h </w:instrText>
        </w:r>
        <w:r w:rsidR="00526371">
          <w:rPr>
            <w:noProof/>
            <w:webHidden/>
          </w:rPr>
        </w:r>
        <w:r w:rsidR="00526371">
          <w:rPr>
            <w:noProof/>
            <w:webHidden/>
          </w:rPr>
          <w:fldChar w:fldCharType="separate"/>
        </w:r>
        <w:r w:rsidR="00526371">
          <w:rPr>
            <w:noProof/>
            <w:webHidden/>
          </w:rPr>
          <w:t>87</w:t>
        </w:r>
        <w:r w:rsidR="00526371">
          <w:rPr>
            <w:noProof/>
            <w:webHidden/>
          </w:rPr>
          <w:fldChar w:fldCharType="end"/>
        </w:r>
      </w:hyperlink>
    </w:p>
    <w:p w14:paraId="59A1947E" w14:textId="0ADA258F"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1" w:history="1">
        <w:r w:rsidR="00526371" w:rsidRPr="00C709B4">
          <w:rPr>
            <w:rStyle w:val="Hyperlink"/>
            <w:noProof/>
          </w:rPr>
          <w:t>Table 30 Standard Lease Stipulations (from H-3120 – Competitive Leasing Handbook)</w:t>
        </w:r>
        <w:r w:rsidR="00526371">
          <w:rPr>
            <w:noProof/>
            <w:webHidden/>
          </w:rPr>
          <w:tab/>
        </w:r>
        <w:r w:rsidR="00526371">
          <w:rPr>
            <w:noProof/>
            <w:webHidden/>
          </w:rPr>
          <w:fldChar w:fldCharType="begin"/>
        </w:r>
        <w:r w:rsidR="00526371">
          <w:rPr>
            <w:noProof/>
            <w:webHidden/>
          </w:rPr>
          <w:instrText xml:space="preserve"> PAGEREF _Toc179464311 \h </w:instrText>
        </w:r>
        <w:r w:rsidR="00526371">
          <w:rPr>
            <w:noProof/>
            <w:webHidden/>
          </w:rPr>
        </w:r>
        <w:r w:rsidR="00526371">
          <w:rPr>
            <w:noProof/>
            <w:webHidden/>
          </w:rPr>
          <w:fldChar w:fldCharType="separate"/>
        </w:r>
        <w:r w:rsidR="00526371">
          <w:rPr>
            <w:noProof/>
            <w:webHidden/>
          </w:rPr>
          <w:t>88</w:t>
        </w:r>
        <w:r w:rsidR="00526371">
          <w:rPr>
            <w:noProof/>
            <w:webHidden/>
          </w:rPr>
          <w:fldChar w:fldCharType="end"/>
        </w:r>
      </w:hyperlink>
    </w:p>
    <w:p w14:paraId="26CA9485" w14:textId="28D5D017"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2" w:history="1">
        <w:r w:rsidR="00526371" w:rsidRPr="00C709B4">
          <w:rPr>
            <w:rStyle w:val="Hyperlink"/>
            <w:noProof/>
          </w:rPr>
          <w:t>Table 31. Public submissions with assigned commentor codes and resource/topic areas.</w:t>
        </w:r>
        <w:r w:rsidR="00526371">
          <w:rPr>
            <w:noProof/>
            <w:webHidden/>
          </w:rPr>
          <w:tab/>
        </w:r>
        <w:r w:rsidR="00526371">
          <w:rPr>
            <w:noProof/>
            <w:webHidden/>
          </w:rPr>
          <w:fldChar w:fldCharType="begin"/>
        </w:r>
        <w:r w:rsidR="00526371">
          <w:rPr>
            <w:noProof/>
            <w:webHidden/>
          </w:rPr>
          <w:instrText xml:space="preserve"> PAGEREF _Toc179464312 \h </w:instrText>
        </w:r>
        <w:r w:rsidR="00526371">
          <w:rPr>
            <w:noProof/>
            <w:webHidden/>
          </w:rPr>
        </w:r>
        <w:r w:rsidR="00526371">
          <w:rPr>
            <w:noProof/>
            <w:webHidden/>
          </w:rPr>
          <w:fldChar w:fldCharType="separate"/>
        </w:r>
        <w:r w:rsidR="00526371">
          <w:rPr>
            <w:noProof/>
            <w:webHidden/>
          </w:rPr>
          <w:t>100</w:t>
        </w:r>
        <w:r w:rsidR="00526371">
          <w:rPr>
            <w:noProof/>
            <w:webHidden/>
          </w:rPr>
          <w:fldChar w:fldCharType="end"/>
        </w:r>
      </w:hyperlink>
    </w:p>
    <w:p w14:paraId="44B077A0" w14:textId="778479A2"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3" w:history="1">
        <w:r w:rsidR="00526371" w:rsidRPr="00C709B4">
          <w:rPr>
            <w:rStyle w:val="Hyperlink"/>
            <w:noProof/>
          </w:rPr>
          <w:t>Table 32. Comment summary and BLM response.</w:t>
        </w:r>
        <w:r w:rsidR="00526371">
          <w:rPr>
            <w:noProof/>
            <w:webHidden/>
          </w:rPr>
          <w:tab/>
        </w:r>
        <w:r w:rsidR="00526371">
          <w:rPr>
            <w:noProof/>
            <w:webHidden/>
          </w:rPr>
          <w:fldChar w:fldCharType="begin"/>
        </w:r>
        <w:r w:rsidR="00526371">
          <w:rPr>
            <w:noProof/>
            <w:webHidden/>
          </w:rPr>
          <w:instrText xml:space="preserve"> PAGEREF _Toc179464313 \h </w:instrText>
        </w:r>
        <w:r w:rsidR="00526371">
          <w:rPr>
            <w:noProof/>
            <w:webHidden/>
          </w:rPr>
        </w:r>
        <w:r w:rsidR="00526371">
          <w:rPr>
            <w:noProof/>
            <w:webHidden/>
          </w:rPr>
          <w:fldChar w:fldCharType="separate"/>
        </w:r>
        <w:r w:rsidR="00526371">
          <w:rPr>
            <w:noProof/>
            <w:webHidden/>
          </w:rPr>
          <w:t>100</w:t>
        </w:r>
        <w:r w:rsidR="00526371">
          <w:rPr>
            <w:noProof/>
            <w:webHidden/>
          </w:rPr>
          <w:fldChar w:fldCharType="end"/>
        </w:r>
      </w:hyperlink>
    </w:p>
    <w:p w14:paraId="40EA0FA3" w14:textId="00D0960A"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4" w:history="1">
        <w:r w:rsidR="00526371" w:rsidRPr="00C709B4">
          <w:rPr>
            <w:rStyle w:val="Hyperlink"/>
            <w:noProof/>
          </w:rPr>
          <w:t>Table 33. Criteria for leasing related to IM-2023-007 for BLM’s Utah Lease Sale</w:t>
        </w:r>
        <w:r w:rsidR="00526371">
          <w:rPr>
            <w:noProof/>
            <w:webHidden/>
          </w:rPr>
          <w:tab/>
        </w:r>
        <w:r w:rsidR="00526371">
          <w:rPr>
            <w:noProof/>
            <w:webHidden/>
          </w:rPr>
          <w:fldChar w:fldCharType="begin"/>
        </w:r>
        <w:r w:rsidR="00526371">
          <w:rPr>
            <w:noProof/>
            <w:webHidden/>
          </w:rPr>
          <w:instrText xml:space="preserve"> PAGEREF _Toc179464314 \h </w:instrText>
        </w:r>
        <w:r w:rsidR="00526371">
          <w:rPr>
            <w:noProof/>
            <w:webHidden/>
          </w:rPr>
        </w:r>
        <w:r w:rsidR="00526371">
          <w:rPr>
            <w:noProof/>
            <w:webHidden/>
          </w:rPr>
          <w:fldChar w:fldCharType="separate"/>
        </w:r>
        <w:r w:rsidR="00526371">
          <w:rPr>
            <w:noProof/>
            <w:webHidden/>
          </w:rPr>
          <w:t>104</w:t>
        </w:r>
        <w:r w:rsidR="00526371">
          <w:rPr>
            <w:noProof/>
            <w:webHidden/>
          </w:rPr>
          <w:fldChar w:fldCharType="end"/>
        </w:r>
      </w:hyperlink>
    </w:p>
    <w:p w14:paraId="6E66CA3C" w14:textId="05D2F3DD"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5" w:history="1">
        <w:r w:rsidR="00526371" w:rsidRPr="00C709B4">
          <w:rPr>
            <w:rStyle w:val="Hyperlink"/>
            <w:noProof/>
          </w:rPr>
          <w:t>Table 34. Common Wastes Produced during Oil and Gas Development</w:t>
        </w:r>
        <w:r w:rsidR="00526371">
          <w:rPr>
            <w:noProof/>
            <w:webHidden/>
          </w:rPr>
          <w:tab/>
        </w:r>
        <w:r w:rsidR="00526371">
          <w:rPr>
            <w:noProof/>
            <w:webHidden/>
          </w:rPr>
          <w:fldChar w:fldCharType="begin"/>
        </w:r>
        <w:r w:rsidR="00526371">
          <w:rPr>
            <w:noProof/>
            <w:webHidden/>
          </w:rPr>
          <w:instrText xml:space="preserve"> PAGEREF _Toc179464315 \h </w:instrText>
        </w:r>
        <w:r w:rsidR="00526371">
          <w:rPr>
            <w:noProof/>
            <w:webHidden/>
          </w:rPr>
        </w:r>
        <w:r w:rsidR="00526371">
          <w:rPr>
            <w:noProof/>
            <w:webHidden/>
          </w:rPr>
          <w:fldChar w:fldCharType="separate"/>
        </w:r>
        <w:r w:rsidR="00526371">
          <w:rPr>
            <w:noProof/>
            <w:webHidden/>
          </w:rPr>
          <w:t>109</w:t>
        </w:r>
        <w:r w:rsidR="00526371">
          <w:rPr>
            <w:noProof/>
            <w:webHidden/>
          </w:rPr>
          <w:fldChar w:fldCharType="end"/>
        </w:r>
      </w:hyperlink>
    </w:p>
    <w:p w14:paraId="786960D2" w14:textId="7C06F04B"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6" w:history="1">
        <w:r w:rsidR="00526371" w:rsidRPr="00C709B4">
          <w:rPr>
            <w:rStyle w:val="Hyperlink"/>
            <w:noProof/>
          </w:rPr>
          <w:t>Table 35. Single Wll Emissions Factors in Tons Per Year (tpy), and Metric Tonnes (t)</w:t>
        </w:r>
        <w:r w:rsidR="00526371">
          <w:rPr>
            <w:noProof/>
            <w:webHidden/>
          </w:rPr>
          <w:tab/>
        </w:r>
        <w:r w:rsidR="00526371">
          <w:rPr>
            <w:noProof/>
            <w:webHidden/>
          </w:rPr>
          <w:fldChar w:fldCharType="begin"/>
        </w:r>
        <w:r w:rsidR="00526371">
          <w:rPr>
            <w:noProof/>
            <w:webHidden/>
          </w:rPr>
          <w:instrText xml:space="preserve"> PAGEREF _Toc179464316 \h </w:instrText>
        </w:r>
        <w:r w:rsidR="00526371">
          <w:rPr>
            <w:noProof/>
            <w:webHidden/>
          </w:rPr>
        </w:r>
        <w:r w:rsidR="00526371">
          <w:rPr>
            <w:noProof/>
            <w:webHidden/>
          </w:rPr>
          <w:fldChar w:fldCharType="separate"/>
        </w:r>
        <w:r w:rsidR="00526371">
          <w:rPr>
            <w:noProof/>
            <w:webHidden/>
          </w:rPr>
          <w:t>113</w:t>
        </w:r>
        <w:r w:rsidR="00526371">
          <w:rPr>
            <w:noProof/>
            <w:webHidden/>
          </w:rPr>
          <w:fldChar w:fldCharType="end"/>
        </w:r>
      </w:hyperlink>
    </w:p>
    <w:p w14:paraId="7DB45065" w14:textId="46BC66AE"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7" w:history="1">
        <w:r w:rsidR="00526371" w:rsidRPr="00C709B4">
          <w:rPr>
            <w:rStyle w:val="Hyperlink"/>
            <w:noProof/>
          </w:rPr>
          <w:t>Table 36 Annual CAP and HAP emissions for the Proposed Action Alternative (Alternative A) in Tons Per Year.</w:t>
        </w:r>
        <w:r w:rsidR="00526371">
          <w:rPr>
            <w:noProof/>
            <w:webHidden/>
          </w:rPr>
          <w:tab/>
        </w:r>
        <w:r w:rsidR="00526371">
          <w:rPr>
            <w:noProof/>
            <w:webHidden/>
          </w:rPr>
          <w:fldChar w:fldCharType="begin"/>
        </w:r>
        <w:r w:rsidR="00526371">
          <w:rPr>
            <w:noProof/>
            <w:webHidden/>
          </w:rPr>
          <w:instrText xml:space="preserve"> PAGEREF _Toc179464317 \h </w:instrText>
        </w:r>
        <w:r w:rsidR="00526371">
          <w:rPr>
            <w:noProof/>
            <w:webHidden/>
          </w:rPr>
        </w:r>
        <w:r w:rsidR="00526371">
          <w:rPr>
            <w:noProof/>
            <w:webHidden/>
          </w:rPr>
          <w:fldChar w:fldCharType="separate"/>
        </w:r>
        <w:r w:rsidR="00526371">
          <w:rPr>
            <w:noProof/>
            <w:webHidden/>
          </w:rPr>
          <w:t>114</w:t>
        </w:r>
        <w:r w:rsidR="00526371">
          <w:rPr>
            <w:noProof/>
            <w:webHidden/>
          </w:rPr>
          <w:fldChar w:fldCharType="end"/>
        </w:r>
      </w:hyperlink>
    </w:p>
    <w:p w14:paraId="097D397E" w14:textId="0C03FF9D" w:rsidR="00526371"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18" w:history="1">
        <w:r w:rsidR="00526371" w:rsidRPr="00C709B4">
          <w:rPr>
            <w:rStyle w:val="Hyperlink"/>
            <w:noProof/>
          </w:rPr>
          <w:t>Table 37 Annual GHG Emissions for the Proposed Action Alternative (Alternative A) in Metric Tonnes</w:t>
        </w:r>
        <w:r w:rsidR="00526371">
          <w:rPr>
            <w:noProof/>
            <w:webHidden/>
          </w:rPr>
          <w:tab/>
        </w:r>
        <w:r w:rsidR="00526371">
          <w:rPr>
            <w:noProof/>
            <w:webHidden/>
          </w:rPr>
          <w:fldChar w:fldCharType="begin"/>
        </w:r>
        <w:r w:rsidR="00526371">
          <w:rPr>
            <w:noProof/>
            <w:webHidden/>
          </w:rPr>
          <w:instrText xml:space="preserve"> PAGEREF _Toc179464318 \h </w:instrText>
        </w:r>
        <w:r w:rsidR="00526371">
          <w:rPr>
            <w:noProof/>
            <w:webHidden/>
          </w:rPr>
        </w:r>
        <w:r w:rsidR="00526371">
          <w:rPr>
            <w:noProof/>
            <w:webHidden/>
          </w:rPr>
          <w:fldChar w:fldCharType="separate"/>
        </w:r>
        <w:r w:rsidR="00526371">
          <w:rPr>
            <w:noProof/>
            <w:webHidden/>
          </w:rPr>
          <w:t>115</w:t>
        </w:r>
        <w:r w:rsidR="00526371">
          <w:rPr>
            <w:noProof/>
            <w:webHidden/>
          </w:rPr>
          <w:fldChar w:fldCharType="end"/>
        </w:r>
      </w:hyperlink>
    </w:p>
    <w:p w14:paraId="6C03EC5C" w14:textId="2E7C8323" w:rsidR="00567D00" w:rsidRPr="009378B4" w:rsidRDefault="00C544E0" w:rsidP="009378B4">
      <w:pPr>
        <w:sectPr w:rsidR="00567D00" w:rsidRPr="009378B4" w:rsidSect="00BB5D24">
          <w:headerReference w:type="default" r:id="rId13"/>
          <w:pgSz w:w="12240" w:h="15840"/>
          <w:pgMar w:top="1440" w:right="1440" w:bottom="1440" w:left="1440" w:header="720" w:footer="720" w:gutter="0"/>
          <w:cols w:space="720"/>
          <w:titlePg/>
          <w:docGrid w:linePitch="299"/>
        </w:sectPr>
      </w:pPr>
      <w:r>
        <w:fldChar w:fldCharType="end"/>
      </w:r>
    </w:p>
    <w:p w14:paraId="0272D1AB" w14:textId="50A3BAC2" w:rsidR="00150CE0" w:rsidRDefault="003F5726" w:rsidP="003F5726">
      <w:pPr>
        <w:pStyle w:val="2ndlevel"/>
      </w:pPr>
      <w:bookmarkStart w:id="4" w:name="_Toc179464215"/>
      <w:bookmarkStart w:id="5" w:name="_Toc170114870"/>
      <w:r>
        <w:lastRenderedPageBreak/>
        <w:t>Table of Figures</w:t>
      </w:r>
      <w:bookmarkEnd w:id="4"/>
      <w:bookmarkEnd w:id="5"/>
    </w:p>
    <w:p w14:paraId="796E24D4" w14:textId="7D122531" w:rsidR="00BC5EEC" w:rsidRDefault="003F5726">
      <w:pPr>
        <w:pStyle w:val="TableofFigures"/>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\h \z \c "Figure" </w:instrText>
      </w:r>
      <w:r>
        <w:fldChar w:fldCharType="separate"/>
      </w:r>
      <w:hyperlink w:anchor="_Toc179464319" w:history="1">
        <w:r w:rsidR="00BC5EEC" w:rsidRPr="00593409">
          <w:rPr>
            <w:rStyle w:val="Hyperlink"/>
            <w:noProof/>
          </w:rPr>
          <w:t>Figure 1 Bonanza/Diamond Mountain Spring Pronghorn Populations</w:t>
        </w:r>
        <w:r w:rsidR="00BC5EEC">
          <w:rPr>
            <w:noProof/>
            <w:webHidden/>
          </w:rPr>
          <w:tab/>
        </w:r>
        <w:r w:rsidR="00BC5EEC">
          <w:rPr>
            <w:noProof/>
            <w:webHidden/>
          </w:rPr>
          <w:fldChar w:fldCharType="begin"/>
        </w:r>
        <w:r w:rsidR="00BC5EEC">
          <w:rPr>
            <w:noProof/>
            <w:webHidden/>
          </w:rPr>
          <w:instrText xml:space="preserve"> PAGEREF _Toc179464319 \h </w:instrText>
        </w:r>
        <w:r w:rsidR="00BC5EEC">
          <w:rPr>
            <w:noProof/>
            <w:webHidden/>
          </w:rPr>
        </w:r>
        <w:r w:rsidR="00BC5EEC">
          <w:rPr>
            <w:noProof/>
            <w:webHidden/>
          </w:rPr>
          <w:fldChar w:fldCharType="separate"/>
        </w:r>
        <w:r w:rsidR="00BC5EEC">
          <w:rPr>
            <w:noProof/>
            <w:webHidden/>
          </w:rPr>
          <w:t>35</w:t>
        </w:r>
        <w:r w:rsidR="00BC5EEC">
          <w:rPr>
            <w:noProof/>
            <w:webHidden/>
          </w:rPr>
          <w:fldChar w:fldCharType="end"/>
        </w:r>
      </w:hyperlink>
    </w:p>
    <w:p w14:paraId="1187C045" w14:textId="4E78E045" w:rsidR="00BC5EEC"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20" w:history="1">
        <w:r w:rsidR="00BC5EEC" w:rsidRPr="00593409">
          <w:rPr>
            <w:rStyle w:val="Hyperlink"/>
            <w:noProof/>
          </w:rPr>
          <w:t>Figure 2 Stratigraphic column</w:t>
        </w:r>
        <w:r w:rsidR="00BC5EEC">
          <w:rPr>
            <w:noProof/>
            <w:webHidden/>
          </w:rPr>
          <w:tab/>
        </w:r>
        <w:r w:rsidR="00BC5EEC">
          <w:rPr>
            <w:noProof/>
            <w:webHidden/>
          </w:rPr>
          <w:fldChar w:fldCharType="begin"/>
        </w:r>
        <w:r w:rsidR="00BC5EEC">
          <w:rPr>
            <w:noProof/>
            <w:webHidden/>
          </w:rPr>
          <w:instrText xml:space="preserve"> PAGEREF _Toc179464320 \h </w:instrText>
        </w:r>
        <w:r w:rsidR="00BC5EEC">
          <w:rPr>
            <w:noProof/>
            <w:webHidden/>
          </w:rPr>
        </w:r>
        <w:r w:rsidR="00BC5EEC">
          <w:rPr>
            <w:noProof/>
            <w:webHidden/>
          </w:rPr>
          <w:fldChar w:fldCharType="separate"/>
        </w:r>
        <w:r w:rsidR="00BC5EEC">
          <w:rPr>
            <w:noProof/>
            <w:webHidden/>
          </w:rPr>
          <w:t>40</w:t>
        </w:r>
        <w:r w:rsidR="00BC5EEC">
          <w:rPr>
            <w:noProof/>
            <w:webHidden/>
          </w:rPr>
          <w:fldChar w:fldCharType="end"/>
        </w:r>
      </w:hyperlink>
    </w:p>
    <w:p w14:paraId="1FE7D63C" w14:textId="115BEC72" w:rsidR="00BC5EEC"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21" w:history="1">
        <w:r w:rsidR="00BC5EEC" w:rsidRPr="00593409">
          <w:rPr>
            <w:rStyle w:val="Hyperlink"/>
            <w:noProof/>
          </w:rPr>
          <w:t>Figure 3. Utah Geologic Survey, 2018. Schematic diagram showing oil and gas wells and hypothetical zones to dispose of the produced water (actual zones presented in Figure 2).</w:t>
        </w:r>
        <w:r w:rsidR="00BC5EEC">
          <w:rPr>
            <w:noProof/>
            <w:webHidden/>
          </w:rPr>
          <w:tab/>
        </w:r>
        <w:r w:rsidR="00BC5EEC">
          <w:rPr>
            <w:noProof/>
            <w:webHidden/>
          </w:rPr>
          <w:fldChar w:fldCharType="begin"/>
        </w:r>
        <w:r w:rsidR="00BC5EEC">
          <w:rPr>
            <w:noProof/>
            <w:webHidden/>
          </w:rPr>
          <w:instrText xml:space="preserve"> PAGEREF _Toc179464321 \h </w:instrText>
        </w:r>
        <w:r w:rsidR="00BC5EEC">
          <w:rPr>
            <w:noProof/>
            <w:webHidden/>
          </w:rPr>
        </w:r>
        <w:r w:rsidR="00BC5EEC">
          <w:rPr>
            <w:noProof/>
            <w:webHidden/>
          </w:rPr>
          <w:fldChar w:fldCharType="separate"/>
        </w:r>
        <w:r w:rsidR="00BC5EEC">
          <w:rPr>
            <w:noProof/>
            <w:webHidden/>
          </w:rPr>
          <w:t>41</w:t>
        </w:r>
        <w:r w:rsidR="00BC5EEC">
          <w:rPr>
            <w:noProof/>
            <w:webHidden/>
          </w:rPr>
          <w:fldChar w:fldCharType="end"/>
        </w:r>
      </w:hyperlink>
    </w:p>
    <w:p w14:paraId="1C1273FF" w14:textId="7324E9E1" w:rsidR="00BC5EEC"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22" w:history="1">
        <w:r w:rsidR="00BC5EEC" w:rsidRPr="00593409">
          <w:rPr>
            <w:rStyle w:val="Hyperlink"/>
            <w:noProof/>
          </w:rPr>
          <w:t>Figure 4 Light pollution sources near the nominated sale parcels (www.lightpollutionmap.info, accessed May 2024)</w:t>
        </w:r>
        <w:r w:rsidR="00BC5EEC">
          <w:rPr>
            <w:noProof/>
            <w:webHidden/>
          </w:rPr>
          <w:tab/>
        </w:r>
        <w:r w:rsidR="00BC5EEC">
          <w:rPr>
            <w:noProof/>
            <w:webHidden/>
          </w:rPr>
          <w:fldChar w:fldCharType="begin"/>
        </w:r>
        <w:r w:rsidR="00BC5EEC">
          <w:rPr>
            <w:noProof/>
            <w:webHidden/>
          </w:rPr>
          <w:instrText xml:space="preserve"> PAGEREF _Toc179464322 \h </w:instrText>
        </w:r>
        <w:r w:rsidR="00BC5EEC">
          <w:rPr>
            <w:noProof/>
            <w:webHidden/>
          </w:rPr>
        </w:r>
        <w:r w:rsidR="00BC5EEC">
          <w:rPr>
            <w:noProof/>
            <w:webHidden/>
          </w:rPr>
          <w:fldChar w:fldCharType="separate"/>
        </w:r>
        <w:r w:rsidR="00BC5EEC">
          <w:rPr>
            <w:noProof/>
            <w:webHidden/>
          </w:rPr>
          <w:t>51</w:t>
        </w:r>
        <w:r w:rsidR="00BC5EEC">
          <w:rPr>
            <w:noProof/>
            <w:webHidden/>
          </w:rPr>
          <w:fldChar w:fldCharType="end"/>
        </w:r>
      </w:hyperlink>
    </w:p>
    <w:p w14:paraId="0AF8B9F5" w14:textId="05451FD6" w:rsidR="00BC5EEC"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23" w:history="1">
        <w:r w:rsidR="00BC5EEC" w:rsidRPr="00593409">
          <w:rPr>
            <w:rStyle w:val="Hyperlink"/>
            <w:noProof/>
          </w:rPr>
          <w:t>Figure 5 Estimated GHG Emissions Profile over the Life of a Lease</w:t>
        </w:r>
        <w:r w:rsidR="00BC5EEC">
          <w:rPr>
            <w:noProof/>
            <w:webHidden/>
          </w:rPr>
          <w:tab/>
        </w:r>
        <w:r w:rsidR="00BC5EEC">
          <w:rPr>
            <w:noProof/>
            <w:webHidden/>
          </w:rPr>
          <w:fldChar w:fldCharType="begin"/>
        </w:r>
        <w:r w:rsidR="00BC5EEC">
          <w:rPr>
            <w:noProof/>
            <w:webHidden/>
          </w:rPr>
          <w:instrText xml:space="preserve"> PAGEREF _Toc179464323 \h </w:instrText>
        </w:r>
        <w:r w:rsidR="00BC5EEC">
          <w:rPr>
            <w:noProof/>
            <w:webHidden/>
          </w:rPr>
        </w:r>
        <w:r w:rsidR="00BC5EEC">
          <w:rPr>
            <w:noProof/>
            <w:webHidden/>
          </w:rPr>
          <w:fldChar w:fldCharType="separate"/>
        </w:r>
        <w:r w:rsidR="00BC5EEC">
          <w:rPr>
            <w:noProof/>
            <w:webHidden/>
          </w:rPr>
          <w:t>69</w:t>
        </w:r>
        <w:r w:rsidR="00BC5EEC">
          <w:rPr>
            <w:noProof/>
            <w:webHidden/>
          </w:rPr>
          <w:fldChar w:fldCharType="end"/>
        </w:r>
      </w:hyperlink>
    </w:p>
    <w:p w14:paraId="0302A7F3" w14:textId="3395D430" w:rsidR="00BC5EEC"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24" w:history="1">
        <w:r w:rsidR="00BC5EEC" w:rsidRPr="00593409">
          <w:rPr>
            <w:rStyle w:val="Hyperlink"/>
            <w:noProof/>
          </w:rPr>
          <w:t>Figure 6 Projected Short-Term Emissions Reductions Associated with the IRA</w:t>
        </w:r>
        <w:r w:rsidR="00BC5EEC">
          <w:rPr>
            <w:noProof/>
            <w:webHidden/>
          </w:rPr>
          <w:tab/>
        </w:r>
        <w:r w:rsidR="00BC5EEC">
          <w:rPr>
            <w:noProof/>
            <w:webHidden/>
          </w:rPr>
          <w:fldChar w:fldCharType="begin"/>
        </w:r>
        <w:r w:rsidR="00BC5EEC">
          <w:rPr>
            <w:noProof/>
            <w:webHidden/>
          </w:rPr>
          <w:instrText xml:space="preserve"> PAGEREF _Toc179464324 \h </w:instrText>
        </w:r>
        <w:r w:rsidR="00BC5EEC">
          <w:rPr>
            <w:noProof/>
            <w:webHidden/>
          </w:rPr>
        </w:r>
        <w:r w:rsidR="00BC5EEC">
          <w:rPr>
            <w:noProof/>
            <w:webHidden/>
          </w:rPr>
          <w:fldChar w:fldCharType="separate"/>
        </w:r>
        <w:r w:rsidR="00BC5EEC">
          <w:rPr>
            <w:noProof/>
            <w:webHidden/>
          </w:rPr>
          <w:t>77</w:t>
        </w:r>
        <w:r w:rsidR="00BC5EEC">
          <w:rPr>
            <w:noProof/>
            <w:webHidden/>
          </w:rPr>
          <w:fldChar w:fldCharType="end"/>
        </w:r>
      </w:hyperlink>
    </w:p>
    <w:p w14:paraId="17F1D4BF" w14:textId="134FAC2E" w:rsidR="00BC5EEC" w:rsidRDefault="00000000">
      <w:pPr>
        <w:pStyle w:val="TableofFigures"/>
        <w:tabs>
          <w:tab w:val="right" w:leader="dot" w:pos="9350"/>
        </w:tabs>
        <w:rPr>
          <w:rFonts w:asciiTheme="minorHAnsi" w:eastAsiaTheme="minorEastAsia" w:hAnsiTheme="minorHAnsi"/>
          <w:noProof/>
          <w:kern w:val="2"/>
          <w:sz w:val="24"/>
          <w:szCs w:val="24"/>
          <w14:ligatures w14:val="standardContextual"/>
        </w:rPr>
      </w:pPr>
      <w:hyperlink w:anchor="_Toc179464325" w:history="1">
        <w:r w:rsidR="00BC5EEC" w:rsidRPr="00593409">
          <w:rPr>
            <w:rStyle w:val="Hyperlink"/>
            <w:noProof/>
          </w:rPr>
          <w:t>Figure 7 Proposed 2025 Oil and Gas Lease Parcels</w:t>
        </w:r>
        <w:r w:rsidR="00BC5EEC">
          <w:rPr>
            <w:noProof/>
            <w:webHidden/>
          </w:rPr>
          <w:tab/>
        </w:r>
        <w:r w:rsidR="00BC5EEC">
          <w:rPr>
            <w:noProof/>
            <w:webHidden/>
          </w:rPr>
          <w:fldChar w:fldCharType="begin"/>
        </w:r>
        <w:r w:rsidR="00BC5EEC">
          <w:rPr>
            <w:noProof/>
            <w:webHidden/>
          </w:rPr>
          <w:instrText xml:space="preserve"> PAGEREF _Toc179464325 \h </w:instrText>
        </w:r>
        <w:r w:rsidR="00BC5EEC">
          <w:rPr>
            <w:noProof/>
            <w:webHidden/>
          </w:rPr>
        </w:r>
        <w:r w:rsidR="00BC5EEC">
          <w:rPr>
            <w:noProof/>
            <w:webHidden/>
          </w:rPr>
          <w:fldChar w:fldCharType="separate"/>
        </w:r>
        <w:r w:rsidR="00BC5EEC">
          <w:rPr>
            <w:noProof/>
            <w:webHidden/>
          </w:rPr>
          <w:t>85</w:t>
        </w:r>
        <w:r w:rsidR="00BC5EEC">
          <w:rPr>
            <w:noProof/>
            <w:webHidden/>
          </w:rPr>
          <w:fldChar w:fldCharType="end"/>
        </w:r>
      </w:hyperlink>
    </w:p>
    <w:p w14:paraId="5FAACCB1" w14:textId="7575EC8B" w:rsidR="005E44D6" w:rsidRDefault="003F5726" w:rsidP="00E57CBD">
      <w:r>
        <w:fldChar w:fldCharType="end"/>
      </w:r>
      <w:bookmarkStart w:id="6" w:name="_Ref165022621"/>
      <w:bookmarkStart w:id="7" w:name="_Toc163734280"/>
    </w:p>
    <w:p w14:paraId="35F6C576" w14:textId="77777777" w:rsidR="005E44D6" w:rsidRDefault="005E44D6">
      <w:pPr>
        <w:spacing w:after="160" w:line="259" w:lineRule="auto"/>
      </w:pPr>
      <w:r>
        <w:br w:type="page"/>
      </w:r>
    </w:p>
    <w:p w14:paraId="4E51CA84" w14:textId="77777777" w:rsidR="00C95D16" w:rsidRDefault="00905011" w:rsidP="00DC77F7">
      <w:pPr>
        <w:pStyle w:val="2ndlevel"/>
        <w:keepNext w:val="0"/>
        <w:keepLines w:val="0"/>
      </w:pPr>
      <w:bookmarkStart w:id="8" w:name="_Toc179464216"/>
      <w:bookmarkStart w:id="9" w:name="_Toc179464282"/>
      <w:bookmarkStart w:id="10" w:name="_Toc170114871"/>
      <w:bookmarkStart w:id="11" w:name="_Toc170114937"/>
      <w:r>
        <w:lastRenderedPageBreak/>
        <w:t xml:space="preserve">Table </w:t>
      </w:r>
      <w:r>
        <w:fldChar w:fldCharType="begin"/>
      </w:r>
      <w:r>
        <w:instrText>SEQ Table \* ARABIC</w:instrText>
      </w:r>
      <w:r>
        <w:fldChar w:fldCharType="separate"/>
      </w:r>
      <w:r w:rsidR="00BB3F01">
        <w:rPr>
          <w:noProof/>
        </w:rPr>
        <w:t>1</w:t>
      </w:r>
      <w:r>
        <w:fldChar w:fldCharType="end"/>
      </w:r>
      <w:bookmarkEnd w:id="6"/>
      <w:r>
        <w:rPr>
          <w:noProof/>
        </w:rPr>
        <w:t>.</w:t>
      </w:r>
      <w:r>
        <w:t xml:space="preserve"> Acronyms</w:t>
      </w:r>
      <w:bookmarkEnd w:id="7"/>
      <w:bookmarkEnd w:id="8"/>
      <w:bookmarkEnd w:id="9"/>
      <w:bookmarkEnd w:id="10"/>
      <w:bookmarkEnd w:id="1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43" w:type="dxa"/>
          <w:bottom w:w="43" w:type="dxa"/>
          <w:right w:w="43" w:type="dxa"/>
        </w:tblCellMar>
        <w:tblLook w:val="0400" w:firstRow="0" w:lastRow="0" w:firstColumn="0" w:lastColumn="0" w:noHBand="0" w:noVBand="1"/>
        <w:tblCaption w:val="Acronyms"/>
        <w:tblDescription w:val="Acronyms"/>
      </w:tblPr>
      <w:tblGrid>
        <w:gridCol w:w="1975"/>
        <w:gridCol w:w="7385"/>
      </w:tblGrid>
      <w:tr w:rsidR="00282248" w:rsidRPr="0092034C" w14:paraId="64548D83" w14:textId="77777777" w:rsidTr="00295F70">
        <w:trPr>
          <w:trHeight w:val="20"/>
        </w:trPr>
        <w:tc>
          <w:tcPr>
            <w:tcW w:w="1975" w:type="dxa"/>
            <w:shd w:val="clear" w:color="auto" w:fill="auto"/>
            <w:vAlign w:val="center"/>
          </w:tcPr>
          <w:p w14:paraId="5C7809A1"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ACHP</w:t>
            </w:r>
          </w:p>
        </w:tc>
        <w:tc>
          <w:tcPr>
            <w:tcW w:w="7385" w:type="dxa"/>
            <w:shd w:val="clear" w:color="auto" w:fill="auto"/>
          </w:tcPr>
          <w:p w14:paraId="04163DFC"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Advisory Council on Historic Preservation</w:t>
            </w:r>
          </w:p>
        </w:tc>
      </w:tr>
      <w:tr w:rsidR="00282248" w:rsidRPr="0092034C" w14:paraId="6729A9A2" w14:textId="77777777" w:rsidTr="00295F70">
        <w:trPr>
          <w:trHeight w:val="20"/>
        </w:trPr>
        <w:tc>
          <w:tcPr>
            <w:tcW w:w="1975" w:type="dxa"/>
            <w:shd w:val="clear" w:color="auto" w:fill="auto"/>
            <w:vAlign w:val="center"/>
          </w:tcPr>
          <w:p w14:paraId="1AC5D7CC" w14:textId="77777777" w:rsidR="00282248" w:rsidRDefault="00282248" w:rsidP="00295F70">
            <w:pPr>
              <w:pBdr>
                <w:top w:val="nil"/>
                <w:left w:val="nil"/>
                <w:bottom w:val="nil"/>
                <w:right w:val="nil"/>
                <w:between w:val="nil"/>
              </w:pBdr>
              <w:rPr>
                <w:rFonts w:cs="Times New Roman"/>
              </w:rPr>
            </w:pPr>
            <w:r>
              <w:rPr>
                <w:rFonts w:cs="Times New Roman"/>
              </w:rPr>
              <w:t>AIRFA</w:t>
            </w:r>
          </w:p>
        </w:tc>
        <w:tc>
          <w:tcPr>
            <w:tcW w:w="7385" w:type="dxa"/>
            <w:shd w:val="clear" w:color="auto" w:fill="auto"/>
          </w:tcPr>
          <w:p w14:paraId="32F47498" w14:textId="77777777" w:rsidR="00282248" w:rsidRDefault="00282248" w:rsidP="00295F70">
            <w:pPr>
              <w:pBdr>
                <w:top w:val="nil"/>
                <w:left w:val="nil"/>
                <w:bottom w:val="nil"/>
                <w:right w:val="nil"/>
                <w:between w:val="nil"/>
              </w:pBdr>
              <w:rPr>
                <w:rFonts w:cs="Times New Roman"/>
              </w:rPr>
            </w:pPr>
            <w:r w:rsidRPr="00477462">
              <w:t>American Indian Religious Freedom Act</w:t>
            </w:r>
          </w:p>
        </w:tc>
      </w:tr>
      <w:tr w:rsidR="00282248" w:rsidRPr="0092034C" w14:paraId="643422AE" w14:textId="77777777" w:rsidTr="00295F70">
        <w:trPr>
          <w:trHeight w:val="20"/>
        </w:trPr>
        <w:tc>
          <w:tcPr>
            <w:tcW w:w="1975" w:type="dxa"/>
            <w:shd w:val="clear" w:color="auto" w:fill="auto"/>
            <w:vAlign w:val="center"/>
          </w:tcPr>
          <w:p w14:paraId="445D9174" w14:textId="77777777" w:rsidR="00282248" w:rsidRDefault="00282248" w:rsidP="00295F70">
            <w:pPr>
              <w:pBdr>
                <w:top w:val="nil"/>
                <w:left w:val="nil"/>
                <w:bottom w:val="nil"/>
                <w:right w:val="nil"/>
                <w:between w:val="nil"/>
              </w:pBdr>
              <w:rPr>
                <w:rFonts w:cs="Times New Roman"/>
              </w:rPr>
            </w:pPr>
            <w:r>
              <w:rPr>
                <w:rFonts w:cs="Times New Roman"/>
              </w:rPr>
              <w:t>AMR</w:t>
            </w:r>
          </w:p>
        </w:tc>
        <w:tc>
          <w:tcPr>
            <w:tcW w:w="7385" w:type="dxa"/>
            <w:shd w:val="clear" w:color="auto" w:fill="auto"/>
          </w:tcPr>
          <w:p w14:paraId="54A1F4AB" w14:textId="77777777" w:rsidR="00282248" w:rsidRDefault="00282248" w:rsidP="00295F70">
            <w:pPr>
              <w:pBdr>
                <w:top w:val="nil"/>
                <w:left w:val="nil"/>
                <w:bottom w:val="nil"/>
                <w:right w:val="nil"/>
                <w:between w:val="nil"/>
              </w:pBdr>
              <w:rPr>
                <w:rFonts w:cs="Times New Roman"/>
              </w:rPr>
            </w:pPr>
            <w:r>
              <w:rPr>
                <w:rFonts w:cs="Times New Roman"/>
              </w:rPr>
              <w:t>Air Monitoring Report</w:t>
            </w:r>
          </w:p>
        </w:tc>
      </w:tr>
      <w:tr w:rsidR="00282248" w:rsidRPr="0092034C" w14:paraId="0C23BE2F" w14:textId="77777777" w:rsidTr="00295F70">
        <w:trPr>
          <w:trHeight w:val="20"/>
        </w:trPr>
        <w:tc>
          <w:tcPr>
            <w:tcW w:w="1975" w:type="dxa"/>
            <w:shd w:val="clear" w:color="auto" w:fill="auto"/>
            <w:vAlign w:val="center"/>
          </w:tcPr>
          <w:p w14:paraId="3F234FE4" w14:textId="77777777" w:rsidR="00282248" w:rsidRPr="0092034C" w:rsidRDefault="00282248" w:rsidP="00295F70">
            <w:pPr>
              <w:pBdr>
                <w:top w:val="nil"/>
                <w:left w:val="nil"/>
                <w:bottom w:val="nil"/>
                <w:right w:val="nil"/>
                <w:between w:val="nil"/>
              </w:pBdr>
              <w:rPr>
                <w:rFonts w:cs="Times New Roman"/>
              </w:rPr>
            </w:pPr>
            <w:r>
              <w:rPr>
                <w:rFonts w:cs="Times New Roman"/>
              </w:rPr>
              <w:t>AO</w:t>
            </w:r>
          </w:p>
        </w:tc>
        <w:tc>
          <w:tcPr>
            <w:tcW w:w="7385" w:type="dxa"/>
            <w:shd w:val="clear" w:color="auto" w:fill="auto"/>
          </w:tcPr>
          <w:p w14:paraId="48BCC022" w14:textId="77777777" w:rsidR="00282248" w:rsidRPr="0092034C" w:rsidRDefault="00282248" w:rsidP="00295F70">
            <w:pPr>
              <w:pBdr>
                <w:top w:val="nil"/>
                <w:left w:val="nil"/>
                <w:bottom w:val="nil"/>
                <w:right w:val="nil"/>
                <w:between w:val="nil"/>
              </w:pBdr>
              <w:rPr>
                <w:rFonts w:cs="Times New Roman"/>
              </w:rPr>
            </w:pPr>
            <w:r>
              <w:rPr>
                <w:rFonts w:cs="Times New Roman"/>
              </w:rPr>
              <w:t>Authorized Officer</w:t>
            </w:r>
          </w:p>
        </w:tc>
      </w:tr>
      <w:tr w:rsidR="00282248" w:rsidRPr="0092034C" w14:paraId="302B1F00" w14:textId="77777777" w:rsidTr="00295F70">
        <w:trPr>
          <w:trHeight w:val="20"/>
        </w:trPr>
        <w:tc>
          <w:tcPr>
            <w:tcW w:w="1975" w:type="dxa"/>
            <w:shd w:val="clear" w:color="auto" w:fill="auto"/>
            <w:vAlign w:val="center"/>
          </w:tcPr>
          <w:p w14:paraId="5243BEC8" w14:textId="77777777" w:rsidR="00282248" w:rsidRDefault="00282248" w:rsidP="00295F70">
            <w:pPr>
              <w:pBdr>
                <w:top w:val="nil"/>
                <w:left w:val="nil"/>
                <w:bottom w:val="nil"/>
                <w:right w:val="nil"/>
                <w:between w:val="nil"/>
              </w:pBdr>
              <w:rPr>
                <w:rFonts w:cs="Times New Roman"/>
              </w:rPr>
            </w:pPr>
            <w:r>
              <w:rPr>
                <w:rFonts w:cs="Times New Roman"/>
              </w:rPr>
              <w:t>AOI</w:t>
            </w:r>
          </w:p>
        </w:tc>
        <w:tc>
          <w:tcPr>
            <w:tcW w:w="7385" w:type="dxa"/>
            <w:shd w:val="clear" w:color="auto" w:fill="auto"/>
          </w:tcPr>
          <w:p w14:paraId="0BFAD0DB" w14:textId="77777777" w:rsidR="00282248" w:rsidRDefault="00282248" w:rsidP="00295F70">
            <w:pPr>
              <w:pBdr>
                <w:top w:val="nil"/>
                <w:left w:val="nil"/>
                <w:bottom w:val="nil"/>
                <w:right w:val="nil"/>
                <w:between w:val="nil"/>
              </w:pBdr>
              <w:rPr>
                <w:rFonts w:cs="Times New Roman"/>
              </w:rPr>
            </w:pPr>
            <w:r>
              <w:rPr>
                <w:rFonts w:cs="Times New Roman"/>
              </w:rPr>
              <w:t>Area of Influence</w:t>
            </w:r>
          </w:p>
        </w:tc>
      </w:tr>
      <w:tr w:rsidR="00282248" w:rsidRPr="0092034C" w14:paraId="688457BE" w14:textId="77777777" w:rsidTr="00295F70">
        <w:trPr>
          <w:trHeight w:val="20"/>
        </w:trPr>
        <w:tc>
          <w:tcPr>
            <w:tcW w:w="1975" w:type="dxa"/>
            <w:shd w:val="clear" w:color="auto" w:fill="auto"/>
            <w:vAlign w:val="center"/>
          </w:tcPr>
          <w:p w14:paraId="01511ABF"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APD</w:t>
            </w:r>
          </w:p>
        </w:tc>
        <w:tc>
          <w:tcPr>
            <w:tcW w:w="7385" w:type="dxa"/>
            <w:shd w:val="clear" w:color="auto" w:fill="auto"/>
          </w:tcPr>
          <w:p w14:paraId="1F7BB967"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Application for Permit to Drill</w:t>
            </w:r>
          </w:p>
        </w:tc>
      </w:tr>
      <w:tr w:rsidR="00282248" w:rsidRPr="0092034C" w14:paraId="0BCB48F4" w14:textId="77777777" w:rsidTr="00295F70">
        <w:trPr>
          <w:trHeight w:val="20"/>
        </w:trPr>
        <w:tc>
          <w:tcPr>
            <w:tcW w:w="1975" w:type="dxa"/>
            <w:shd w:val="clear" w:color="auto" w:fill="auto"/>
            <w:vAlign w:val="center"/>
          </w:tcPr>
          <w:p w14:paraId="382709A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APE</w:t>
            </w:r>
          </w:p>
        </w:tc>
        <w:tc>
          <w:tcPr>
            <w:tcW w:w="7385" w:type="dxa"/>
            <w:shd w:val="clear" w:color="auto" w:fill="auto"/>
          </w:tcPr>
          <w:p w14:paraId="4CA90901" w14:textId="77777777" w:rsidR="00282248" w:rsidRPr="0092034C" w:rsidRDefault="00282248" w:rsidP="00295F70">
            <w:pPr>
              <w:pBdr>
                <w:top w:val="nil"/>
                <w:left w:val="nil"/>
                <w:bottom w:val="nil"/>
                <w:right w:val="nil"/>
                <w:between w:val="nil"/>
              </w:pBdr>
              <w:rPr>
                <w:rFonts w:cs="Times New Roman"/>
              </w:rPr>
            </w:pPr>
            <w:r>
              <w:rPr>
                <w:rFonts w:cs="Times New Roman"/>
              </w:rPr>
              <w:t>A</w:t>
            </w:r>
            <w:r w:rsidRPr="0092034C">
              <w:rPr>
                <w:rFonts w:cs="Times New Roman"/>
              </w:rPr>
              <w:t xml:space="preserve">rea of </w:t>
            </w:r>
            <w:r>
              <w:rPr>
                <w:rFonts w:cs="Times New Roman"/>
              </w:rPr>
              <w:t>P</w:t>
            </w:r>
            <w:r w:rsidRPr="0092034C">
              <w:rPr>
                <w:rFonts w:cs="Times New Roman"/>
              </w:rPr>
              <w:t xml:space="preserve">otential </w:t>
            </w:r>
            <w:r>
              <w:rPr>
                <w:rFonts w:cs="Times New Roman"/>
              </w:rPr>
              <w:t>E</w:t>
            </w:r>
            <w:r w:rsidRPr="0092034C">
              <w:rPr>
                <w:rFonts w:cs="Times New Roman"/>
              </w:rPr>
              <w:t>ffects</w:t>
            </w:r>
          </w:p>
        </w:tc>
      </w:tr>
      <w:tr w:rsidR="00282248" w:rsidRPr="0092034C" w14:paraId="7DF9DFC0" w14:textId="77777777" w:rsidTr="00295F70">
        <w:trPr>
          <w:trHeight w:val="20"/>
        </w:trPr>
        <w:tc>
          <w:tcPr>
            <w:tcW w:w="1975" w:type="dxa"/>
            <w:shd w:val="clear" w:color="auto" w:fill="auto"/>
            <w:vAlign w:val="center"/>
          </w:tcPr>
          <w:p w14:paraId="10BA6719" w14:textId="77777777" w:rsidR="00282248" w:rsidRPr="0092034C" w:rsidRDefault="00282248" w:rsidP="00295F70">
            <w:pPr>
              <w:pBdr>
                <w:top w:val="nil"/>
                <w:left w:val="nil"/>
                <w:bottom w:val="nil"/>
                <w:right w:val="nil"/>
                <w:between w:val="nil"/>
              </w:pBdr>
              <w:rPr>
                <w:rFonts w:cs="Times New Roman"/>
              </w:rPr>
            </w:pPr>
            <w:proofErr w:type="spellStart"/>
            <w:r w:rsidRPr="0092034C">
              <w:rPr>
                <w:rFonts w:cs="Times New Roman"/>
              </w:rPr>
              <w:t>bbl</w:t>
            </w:r>
            <w:proofErr w:type="spellEnd"/>
          </w:p>
        </w:tc>
        <w:tc>
          <w:tcPr>
            <w:tcW w:w="7385" w:type="dxa"/>
            <w:shd w:val="clear" w:color="auto" w:fill="auto"/>
          </w:tcPr>
          <w:p w14:paraId="5A11F53C"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barrel(s)</w:t>
            </w:r>
          </w:p>
        </w:tc>
      </w:tr>
      <w:tr w:rsidR="00282248" w:rsidRPr="0092034C" w14:paraId="68FB71FD" w14:textId="77777777" w:rsidTr="00295F70">
        <w:trPr>
          <w:trHeight w:val="20"/>
        </w:trPr>
        <w:tc>
          <w:tcPr>
            <w:tcW w:w="1975" w:type="dxa"/>
            <w:shd w:val="clear" w:color="auto" w:fill="auto"/>
            <w:vAlign w:val="center"/>
          </w:tcPr>
          <w:p w14:paraId="7609CA99" w14:textId="77777777" w:rsidR="00282248" w:rsidRPr="0092034C" w:rsidRDefault="00282248" w:rsidP="00295F70">
            <w:pPr>
              <w:pBdr>
                <w:top w:val="nil"/>
                <w:left w:val="nil"/>
                <w:bottom w:val="nil"/>
                <w:right w:val="nil"/>
                <w:between w:val="nil"/>
              </w:pBdr>
              <w:rPr>
                <w:rFonts w:cs="Times New Roman"/>
              </w:rPr>
            </w:pPr>
            <w:r>
              <w:rPr>
                <w:rFonts w:cs="Times New Roman"/>
              </w:rPr>
              <w:t>Bcf</w:t>
            </w:r>
          </w:p>
        </w:tc>
        <w:tc>
          <w:tcPr>
            <w:tcW w:w="7385" w:type="dxa"/>
            <w:shd w:val="clear" w:color="auto" w:fill="auto"/>
          </w:tcPr>
          <w:p w14:paraId="70AE478A" w14:textId="77777777" w:rsidR="00282248" w:rsidRPr="0092034C" w:rsidRDefault="00282248" w:rsidP="00295F70">
            <w:pPr>
              <w:pBdr>
                <w:top w:val="nil"/>
                <w:left w:val="nil"/>
                <w:bottom w:val="nil"/>
                <w:right w:val="nil"/>
                <w:between w:val="nil"/>
              </w:pBdr>
              <w:rPr>
                <w:rFonts w:cs="Times New Roman"/>
              </w:rPr>
            </w:pPr>
            <w:r>
              <w:rPr>
                <w:rFonts w:cs="Times New Roman"/>
              </w:rPr>
              <w:t>Billion Cubic Feet</w:t>
            </w:r>
          </w:p>
        </w:tc>
      </w:tr>
      <w:tr w:rsidR="00282248" w:rsidRPr="0092034C" w14:paraId="0ED3804D" w14:textId="77777777" w:rsidTr="00295F70">
        <w:trPr>
          <w:trHeight w:val="20"/>
        </w:trPr>
        <w:tc>
          <w:tcPr>
            <w:tcW w:w="1975" w:type="dxa"/>
            <w:shd w:val="clear" w:color="auto" w:fill="auto"/>
            <w:vAlign w:val="center"/>
          </w:tcPr>
          <w:p w14:paraId="1150F6AB"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BLM</w:t>
            </w:r>
          </w:p>
        </w:tc>
        <w:tc>
          <w:tcPr>
            <w:tcW w:w="7385" w:type="dxa"/>
            <w:shd w:val="clear" w:color="auto" w:fill="auto"/>
          </w:tcPr>
          <w:p w14:paraId="6A13A5FB"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Bureau of Land Management</w:t>
            </w:r>
          </w:p>
        </w:tc>
      </w:tr>
      <w:tr w:rsidR="00282248" w:rsidRPr="0092034C" w14:paraId="7B1A7569" w14:textId="77777777" w:rsidTr="00295F70">
        <w:trPr>
          <w:trHeight w:val="20"/>
        </w:trPr>
        <w:tc>
          <w:tcPr>
            <w:tcW w:w="1975" w:type="dxa"/>
            <w:shd w:val="clear" w:color="auto" w:fill="auto"/>
            <w:vAlign w:val="center"/>
          </w:tcPr>
          <w:p w14:paraId="62EDD5F3"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CAA</w:t>
            </w:r>
          </w:p>
        </w:tc>
        <w:tc>
          <w:tcPr>
            <w:tcW w:w="7385" w:type="dxa"/>
            <w:shd w:val="clear" w:color="auto" w:fill="auto"/>
          </w:tcPr>
          <w:p w14:paraId="5935AC29"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Clean Air Act</w:t>
            </w:r>
          </w:p>
        </w:tc>
      </w:tr>
      <w:tr w:rsidR="00282248" w:rsidRPr="0092034C" w14:paraId="7C6122BE" w14:textId="77777777" w:rsidTr="00295F70">
        <w:trPr>
          <w:trHeight w:val="20"/>
        </w:trPr>
        <w:tc>
          <w:tcPr>
            <w:tcW w:w="1975" w:type="dxa"/>
            <w:shd w:val="clear" w:color="auto" w:fill="auto"/>
            <w:vAlign w:val="bottom"/>
          </w:tcPr>
          <w:p w14:paraId="41173927" w14:textId="77777777" w:rsidR="00282248" w:rsidRPr="0092034C" w:rsidRDefault="00282248" w:rsidP="00295F70">
            <w:pPr>
              <w:pBdr>
                <w:top w:val="nil"/>
                <w:left w:val="nil"/>
                <w:bottom w:val="nil"/>
                <w:right w:val="nil"/>
                <w:between w:val="nil"/>
              </w:pBdr>
              <w:rPr>
                <w:rFonts w:cs="Times New Roman"/>
              </w:rPr>
            </w:pPr>
            <w:r>
              <w:rPr>
                <w:rFonts w:cs="Times New Roman"/>
              </w:rPr>
              <w:t>CAP</w:t>
            </w:r>
          </w:p>
        </w:tc>
        <w:tc>
          <w:tcPr>
            <w:tcW w:w="7385" w:type="dxa"/>
            <w:shd w:val="clear" w:color="auto" w:fill="auto"/>
          </w:tcPr>
          <w:p w14:paraId="32F85852" w14:textId="77777777" w:rsidR="00282248" w:rsidRPr="0092034C" w:rsidRDefault="00282248" w:rsidP="00295F70">
            <w:pPr>
              <w:pBdr>
                <w:top w:val="nil"/>
                <w:left w:val="nil"/>
                <w:bottom w:val="nil"/>
                <w:right w:val="nil"/>
                <w:between w:val="nil"/>
              </w:pBdr>
              <w:rPr>
                <w:rFonts w:cs="Times New Roman"/>
              </w:rPr>
            </w:pPr>
            <w:r>
              <w:rPr>
                <w:rFonts w:cs="Times New Roman"/>
              </w:rPr>
              <w:t>Criteria Air Pollutants</w:t>
            </w:r>
          </w:p>
        </w:tc>
      </w:tr>
      <w:tr w:rsidR="00282248" w:rsidRPr="0092034C" w14:paraId="2CB030E1" w14:textId="77777777" w:rsidTr="00295F70">
        <w:trPr>
          <w:trHeight w:val="20"/>
        </w:trPr>
        <w:tc>
          <w:tcPr>
            <w:tcW w:w="1975" w:type="dxa"/>
            <w:shd w:val="clear" w:color="auto" w:fill="auto"/>
            <w:vAlign w:val="bottom"/>
          </w:tcPr>
          <w:p w14:paraId="357ED4E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CEQ</w:t>
            </w:r>
          </w:p>
        </w:tc>
        <w:tc>
          <w:tcPr>
            <w:tcW w:w="7385" w:type="dxa"/>
            <w:shd w:val="clear" w:color="auto" w:fill="auto"/>
          </w:tcPr>
          <w:p w14:paraId="5DB966F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Council on Environmental Quality</w:t>
            </w:r>
          </w:p>
        </w:tc>
      </w:tr>
      <w:tr w:rsidR="00282248" w:rsidRPr="0092034C" w14:paraId="11BAB12A" w14:textId="77777777" w:rsidTr="00295F70">
        <w:trPr>
          <w:trHeight w:val="20"/>
        </w:trPr>
        <w:tc>
          <w:tcPr>
            <w:tcW w:w="1975" w:type="dxa"/>
            <w:shd w:val="clear" w:color="auto" w:fill="auto"/>
            <w:vAlign w:val="center"/>
          </w:tcPr>
          <w:p w14:paraId="7E4FFA15"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CFR</w:t>
            </w:r>
          </w:p>
        </w:tc>
        <w:tc>
          <w:tcPr>
            <w:tcW w:w="7385" w:type="dxa"/>
            <w:shd w:val="clear" w:color="auto" w:fill="auto"/>
          </w:tcPr>
          <w:p w14:paraId="5D39E95E"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Code of Federal Regulations</w:t>
            </w:r>
          </w:p>
        </w:tc>
      </w:tr>
      <w:tr w:rsidR="00282248" w:rsidRPr="0092034C" w14:paraId="73D498C7" w14:textId="77777777" w:rsidTr="00295F70">
        <w:trPr>
          <w:trHeight w:val="20"/>
        </w:trPr>
        <w:tc>
          <w:tcPr>
            <w:tcW w:w="1975" w:type="dxa"/>
            <w:shd w:val="clear" w:color="auto" w:fill="auto"/>
            <w:vAlign w:val="center"/>
          </w:tcPr>
          <w:p w14:paraId="422B4EF5"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CH</w:t>
            </w:r>
            <w:r w:rsidRPr="0092034C">
              <w:rPr>
                <w:rFonts w:cs="Times New Roman"/>
                <w:vertAlign w:val="subscript"/>
              </w:rPr>
              <w:t>4</w:t>
            </w:r>
          </w:p>
        </w:tc>
        <w:tc>
          <w:tcPr>
            <w:tcW w:w="7385" w:type="dxa"/>
            <w:shd w:val="clear" w:color="auto" w:fill="auto"/>
          </w:tcPr>
          <w:p w14:paraId="1280D769"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methane</w:t>
            </w:r>
          </w:p>
        </w:tc>
      </w:tr>
      <w:tr w:rsidR="00282248" w:rsidRPr="0092034C" w14:paraId="4A073EE6" w14:textId="77777777" w:rsidTr="00295F70">
        <w:trPr>
          <w:trHeight w:val="20"/>
        </w:trPr>
        <w:tc>
          <w:tcPr>
            <w:tcW w:w="1975" w:type="dxa"/>
            <w:shd w:val="clear" w:color="auto" w:fill="auto"/>
            <w:vAlign w:val="center"/>
          </w:tcPr>
          <w:p w14:paraId="3DF60EFE"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w:t>
            </w:r>
          </w:p>
        </w:tc>
        <w:tc>
          <w:tcPr>
            <w:tcW w:w="7385" w:type="dxa"/>
            <w:shd w:val="clear" w:color="auto" w:fill="auto"/>
          </w:tcPr>
          <w:p w14:paraId="23A9F42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carbon monoxide</w:t>
            </w:r>
          </w:p>
        </w:tc>
      </w:tr>
      <w:tr w:rsidR="00282248" w:rsidRPr="0092034C" w14:paraId="49C37656" w14:textId="77777777" w:rsidTr="00295F70">
        <w:trPr>
          <w:trHeight w:val="20"/>
        </w:trPr>
        <w:tc>
          <w:tcPr>
            <w:tcW w:w="1975" w:type="dxa"/>
            <w:shd w:val="clear" w:color="auto" w:fill="auto"/>
            <w:vAlign w:val="center"/>
          </w:tcPr>
          <w:p w14:paraId="1304DE24"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w:t>
            </w:r>
            <w:r w:rsidRPr="0092034C">
              <w:rPr>
                <w:rFonts w:cs="Times New Roman"/>
                <w:vertAlign w:val="subscript"/>
              </w:rPr>
              <w:t>2</w:t>
            </w:r>
          </w:p>
        </w:tc>
        <w:tc>
          <w:tcPr>
            <w:tcW w:w="7385" w:type="dxa"/>
            <w:shd w:val="clear" w:color="auto" w:fill="auto"/>
          </w:tcPr>
          <w:p w14:paraId="3CCAC3B9"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carbon dioxide</w:t>
            </w:r>
          </w:p>
        </w:tc>
      </w:tr>
      <w:tr w:rsidR="00282248" w:rsidRPr="0092034C" w14:paraId="069F0F18" w14:textId="77777777" w:rsidTr="00295F70">
        <w:trPr>
          <w:trHeight w:val="20"/>
        </w:trPr>
        <w:tc>
          <w:tcPr>
            <w:tcW w:w="1975" w:type="dxa"/>
            <w:shd w:val="clear" w:color="auto" w:fill="auto"/>
            <w:vAlign w:val="center"/>
          </w:tcPr>
          <w:p w14:paraId="6A9F8AD2"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w:t>
            </w:r>
            <w:r w:rsidRPr="0092034C">
              <w:rPr>
                <w:rFonts w:cs="Times New Roman"/>
                <w:vertAlign w:val="subscript"/>
              </w:rPr>
              <w:t>2</w:t>
            </w:r>
            <w:r w:rsidRPr="0092034C">
              <w:rPr>
                <w:rFonts w:cs="Times New Roman"/>
              </w:rPr>
              <w:t>e</w:t>
            </w:r>
          </w:p>
        </w:tc>
        <w:tc>
          <w:tcPr>
            <w:tcW w:w="7385" w:type="dxa"/>
            <w:shd w:val="clear" w:color="auto" w:fill="auto"/>
          </w:tcPr>
          <w:p w14:paraId="059D825E"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carbon dioxide</w:t>
            </w:r>
            <w:r w:rsidRPr="0092034C" w:rsidDel="009E7926">
              <w:rPr>
                <w:rFonts w:cs="Times New Roman"/>
              </w:rPr>
              <w:t xml:space="preserve"> </w:t>
            </w:r>
            <w:r w:rsidRPr="0092034C">
              <w:rPr>
                <w:rFonts w:cs="Times New Roman"/>
              </w:rPr>
              <w:t>equivalent</w:t>
            </w:r>
          </w:p>
        </w:tc>
      </w:tr>
      <w:tr w:rsidR="00282248" w:rsidRPr="0092034C" w14:paraId="27993CC0" w14:textId="77777777" w:rsidTr="00295F70">
        <w:trPr>
          <w:trHeight w:val="20"/>
        </w:trPr>
        <w:tc>
          <w:tcPr>
            <w:tcW w:w="1975" w:type="dxa"/>
            <w:shd w:val="clear" w:color="auto" w:fill="auto"/>
            <w:vAlign w:val="center"/>
          </w:tcPr>
          <w:p w14:paraId="1F12AF03"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COA</w:t>
            </w:r>
          </w:p>
        </w:tc>
        <w:tc>
          <w:tcPr>
            <w:tcW w:w="7385" w:type="dxa"/>
            <w:shd w:val="clear" w:color="auto" w:fill="auto"/>
          </w:tcPr>
          <w:p w14:paraId="2AD0CEC6"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condition of approval</w:t>
            </w:r>
          </w:p>
        </w:tc>
      </w:tr>
      <w:tr w:rsidR="00282248" w:rsidRPr="0092034C" w14:paraId="75D33A80" w14:textId="77777777" w:rsidTr="00295F70">
        <w:trPr>
          <w:trHeight w:val="20"/>
        </w:trPr>
        <w:tc>
          <w:tcPr>
            <w:tcW w:w="1975" w:type="dxa"/>
            <w:shd w:val="clear" w:color="auto" w:fill="auto"/>
            <w:vAlign w:val="center"/>
          </w:tcPr>
          <w:p w14:paraId="3CBC5BC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CSU</w:t>
            </w:r>
          </w:p>
        </w:tc>
        <w:tc>
          <w:tcPr>
            <w:tcW w:w="7385" w:type="dxa"/>
            <w:shd w:val="clear" w:color="auto" w:fill="auto"/>
          </w:tcPr>
          <w:p w14:paraId="2119CCD1" w14:textId="77777777" w:rsidR="00282248" w:rsidRPr="0092034C" w:rsidRDefault="00282248" w:rsidP="00295F70">
            <w:pPr>
              <w:pBdr>
                <w:top w:val="nil"/>
                <w:left w:val="nil"/>
                <w:bottom w:val="nil"/>
                <w:right w:val="nil"/>
                <w:between w:val="nil"/>
              </w:pBdr>
              <w:rPr>
                <w:rFonts w:cs="Times New Roman"/>
              </w:rPr>
            </w:pPr>
            <w:r w:rsidRPr="0092034C">
              <w:t>Controlled Surface Use</w:t>
            </w:r>
          </w:p>
        </w:tc>
      </w:tr>
      <w:tr w:rsidR="00282248" w:rsidRPr="0092034C" w14:paraId="422A2E69" w14:textId="77777777" w:rsidTr="00295F70">
        <w:trPr>
          <w:trHeight w:val="20"/>
        </w:trPr>
        <w:tc>
          <w:tcPr>
            <w:tcW w:w="1975" w:type="dxa"/>
            <w:shd w:val="clear" w:color="auto" w:fill="auto"/>
            <w:vAlign w:val="center"/>
          </w:tcPr>
          <w:p w14:paraId="437832C4"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EA</w:t>
            </w:r>
          </w:p>
        </w:tc>
        <w:tc>
          <w:tcPr>
            <w:tcW w:w="7385" w:type="dxa"/>
            <w:shd w:val="clear" w:color="auto" w:fill="auto"/>
          </w:tcPr>
          <w:p w14:paraId="7540633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Environmental Assessment</w:t>
            </w:r>
          </w:p>
        </w:tc>
      </w:tr>
      <w:tr w:rsidR="00282248" w:rsidRPr="0092034C" w14:paraId="3DE0466B" w14:textId="77777777" w:rsidTr="00295F70">
        <w:trPr>
          <w:trHeight w:val="20"/>
        </w:trPr>
        <w:tc>
          <w:tcPr>
            <w:tcW w:w="1975" w:type="dxa"/>
            <w:shd w:val="clear" w:color="auto" w:fill="auto"/>
            <w:vAlign w:val="center"/>
          </w:tcPr>
          <w:p w14:paraId="6743434A" w14:textId="77777777" w:rsidR="00282248" w:rsidRPr="0092034C" w:rsidRDefault="00282248" w:rsidP="00295F70">
            <w:pPr>
              <w:pBdr>
                <w:top w:val="nil"/>
                <w:left w:val="nil"/>
                <w:bottom w:val="nil"/>
                <w:right w:val="nil"/>
                <w:between w:val="nil"/>
              </w:pBdr>
              <w:rPr>
                <w:rFonts w:cs="Times New Roman"/>
              </w:rPr>
            </w:pPr>
            <w:r>
              <w:rPr>
                <w:rFonts w:cs="Times New Roman"/>
              </w:rPr>
              <w:t>EIA</w:t>
            </w:r>
          </w:p>
        </w:tc>
        <w:tc>
          <w:tcPr>
            <w:tcW w:w="7385" w:type="dxa"/>
            <w:shd w:val="clear" w:color="auto" w:fill="auto"/>
          </w:tcPr>
          <w:p w14:paraId="1A796339" w14:textId="77777777" w:rsidR="00282248" w:rsidRPr="0092034C" w:rsidRDefault="00282248" w:rsidP="00295F70">
            <w:pPr>
              <w:pBdr>
                <w:top w:val="nil"/>
                <w:left w:val="nil"/>
                <w:bottom w:val="nil"/>
                <w:right w:val="nil"/>
                <w:between w:val="nil"/>
              </w:pBdr>
              <w:rPr>
                <w:rFonts w:cs="Times New Roman"/>
              </w:rPr>
            </w:pPr>
            <w:r>
              <w:t>U.S. Energy Information Administration</w:t>
            </w:r>
          </w:p>
        </w:tc>
      </w:tr>
      <w:tr w:rsidR="00282248" w:rsidRPr="0092034C" w14:paraId="35680C28" w14:textId="77777777" w:rsidTr="00295F70">
        <w:trPr>
          <w:trHeight w:val="20"/>
        </w:trPr>
        <w:tc>
          <w:tcPr>
            <w:tcW w:w="1975" w:type="dxa"/>
            <w:shd w:val="clear" w:color="auto" w:fill="auto"/>
            <w:vAlign w:val="center"/>
          </w:tcPr>
          <w:p w14:paraId="5FFA4000" w14:textId="77777777" w:rsidR="00282248" w:rsidRPr="0092034C" w:rsidRDefault="00282248" w:rsidP="00295F70">
            <w:pPr>
              <w:pBdr>
                <w:top w:val="nil"/>
                <w:left w:val="nil"/>
                <w:bottom w:val="nil"/>
                <w:right w:val="nil"/>
                <w:between w:val="nil"/>
              </w:pBdr>
              <w:rPr>
                <w:rFonts w:cs="Times New Roman"/>
              </w:rPr>
            </w:pPr>
            <w:r>
              <w:rPr>
                <w:rFonts w:cs="Times New Roman"/>
              </w:rPr>
              <w:t>EIS</w:t>
            </w:r>
          </w:p>
        </w:tc>
        <w:tc>
          <w:tcPr>
            <w:tcW w:w="7385" w:type="dxa"/>
            <w:shd w:val="clear" w:color="auto" w:fill="auto"/>
          </w:tcPr>
          <w:p w14:paraId="1E7624A2" w14:textId="77777777" w:rsidR="00282248" w:rsidRPr="0092034C" w:rsidRDefault="00282248" w:rsidP="00295F70">
            <w:pPr>
              <w:pBdr>
                <w:top w:val="nil"/>
                <w:left w:val="nil"/>
                <w:bottom w:val="nil"/>
                <w:right w:val="nil"/>
                <w:between w:val="nil"/>
              </w:pBdr>
            </w:pPr>
            <w:r>
              <w:t>Environmental Impact Statement</w:t>
            </w:r>
          </w:p>
        </w:tc>
      </w:tr>
      <w:tr w:rsidR="00282248" w:rsidRPr="0092034C" w14:paraId="0BFE0D5D" w14:textId="77777777" w:rsidTr="00295F70">
        <w:trPr>
          <w:trHeight w:val="20"/>
        </w:trPr>
        <w:tc>
          <w:tcPr>
            <w:tcW w:w="1975" w:type="dxa"/>
            <w:shd w:val="clear" w:color="auto" w:fill="auto"/>
            <w:vAlign w:val="center"/>
          </w:tcPr>
          <w:p w14:paraId="73A721EF"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EJ</w:t>
            </w:r>
          </w:p>
        </w:tc>
        <w:tc>
          <w:tcPr>
            <w:tcW w:w="7385" w:type="dxa"/>
            <w:shd w:val="clear" w:color="auto" w:fill="auto"/>
          </w:tcPr>
          <w:p w14:paraId="6DCDD1FF" w14:textId="25B684C1" w:rsidR="00282248" w:rsidRPr="0092034C" w:rsidRDefault="002E0C43" w:rsidP="00295F70">
            <w:pPr>
              <w:pBdr>
                <w:top w:val="nil"/>
                <w:left w:val="nil"/>
                <w:bottom w:val="nil"/>
                <w:right w:val="nil"/>
                <w:between w:val="nil"/>
              </w:pBdr>
            </w:pPr>
            <w:r>
              <w:t>E</w:t>
            </w:r>
            <w:r w:rsidR="00282248" w:rsidRPr="0092034C">
              <w:t>nvironmental justice</w:t>
            </w:r>
          </w:p>
        </w:tc>
      </w:tr>
      <w:tr w:rsidR="00282248" w:rsidRPr="0092034C" w14:paraId="4D3153DC" w14:textId="77777777" w:rsidTr="00295F70">
        <w:trPr>
          <w:trHeight w:val="20"/>
        </w:trPr>
        <w:tc>
          <w:tcPr>
            <w:tcW w:w="1975" w:type="dxa"/>
            <w:shd w:val="clear" w:color="auto" w:fill="auto"/>
            <w:vAlign w:val="center"/>
          </w:tcPr>
          <w:p w14:paraId="2C5367A7"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EOI</w:t>
            </w:r>
          </w:p>
        </w:tc>
        <w:tc>
          <w:tcPr>
            <w:tcW w:w="7385" w:type="dxa"/>
            <w:shd w:val="clear" w:color="auto" w:fill="auto"/>
          </w:tcPr>
          <w:p w14:paraId="16BC345B" w14:textId="77777777" w:rsidR="00282248" w:rsidRPr="0092034C" w:rsidRDefault="00282248" w:rsidP="00295F70">
            <w:pPr>
              <w:pBdr>
                <w:top w:val="nil"/>
                <w:left w:val="nil"/>
                <w:bottom w:val="nil"/>
                <w:right w:val="nil"/>
                <w:between w:val="nil"/>
              </w:pBdr>
            </w:pPr>
            <w:r w:rsidRPr="0092034C">
              <w:t>Expression of Interest</w:t>
            </w:r>
          </w:p>
        </w:tc>
      </w:tr>
      <w:tr w:rsidR="00282248" w:rsidRPr="0092034C" w14:paraId="538B4CE3" w14:textId="77777777" w:rsidTr="00295F70">
        <w:trPr>
          <w:trHeight w:val="20"/>
        </w:trPr>
        <w:tc>
          <w:tcPr>
            <w:tcW w:w="1975" w:type="dxa"/>
            <w:shd w:val="clear" w:color="auto" w:fill="auto"/>
            <w:vAlign w:val="center"/>
          </w:tcPr>
          <w:p w14:paraId="786AFFB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EPA</w:t>
            </w:r>
          </w:p>
        </w:tc>
        <w:tc>
          <w:tcPr>
            <w:tcW w:w="7385" w:type="dxa"/>
            <w:shd w:val="clear" w:color="auto" w:fill="auto"/>
          </w:tcPr>
          <w:p w14:paraId="3BE1767C" w14:textId="77777777" w:rsidR="00282248" w:rsidRPr="0092034C" w:rsidRDefault="00282248" w:rsidP="00295F70">
            <w:pPr>
              <w:pBdr>
                <w:top w:val="nil"/>
                <w:left w:val="nil"/>
                <w:bottom w:val="nil"/>
                <w:right w:val="nil"/>
                <w:between w:val="nil"/>
              </w:pBdr>
            </w:pPr>
            <w:r w:rsidRPr="0092034C">
              <w:rPr>
                <w:rFonts w:cs="Times New Roman"/>
              </w:rPr>
              <w:t>U.S. Environmental Protection Agency</w:t>
            </w:r>
          </w:p>
        </w:tc>
      </w:tr>
      <w:tr w:rsidR="00282248" w:rsidRPr="0092034C" w14:paraId="4F101408" w14:textId="77777777" w:rsidTr="00295F70">
        <w:trPr>
          <w:trHeight w:val="20"/>
        </w:trPr>
        <w:tc>
          <w:tcPr>
            <w:tcW w:w="1975" w:type="dxa"/>
            <w:shd w:val="clear" w:color="auto" w:fill="auto"/>
            <w:vAlign w:val="center"/>
          </w:tcPr>
          <w:p w14:paraId="22117224"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ESA</w:t>
            </w:r>
          </w:p>
        </w:tc>
        <w:tc>
          <w:tcPr>
            <w:tcW w:w="7385" w:type="dxa"/>
            <w:shd w:val="clear" w:color="auto" w:fill="auto"/>
          </w:tcPr>
          <w:p w14:paraId="1254821B"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Endangered Species Act</w:t>
            </w:r>
          </w:p>
        </w:tc>
      </w:tr>
      <w:tr w:rsidR="00282248" w:rsidRPr="0092034C" w14:paraId="58D4FA6A" w14:textId="77777777" w:rsidTr="00295F70">
        <w:trPr>
          <w:trHeight w:val="20"/>
        </w:trPr>
        <w:tc>
          <w:tcPr>
            <w:tcW w:w="1975" w:type="dxa"/>
            <w:shd w:val="clear" w:color="auto" w:fill="auto"/>
            <w:vAlign w:val="center"/>
          </w:tcPr>
          <w:p w14:paraId="36DD6906"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EUR</w:t>
            </w:r>
          </w:p>
        </w:tc>
        <w:tc>
          <w:tcPr>
            <w:tcW w:w="7385" w:type="dxa"/>
            <w:shd w:val="clear" w:color="auto" w:fill="auto"/>
          </w:tcPr>
          <w:p w14:paraId="6712D728" w14:textId="77777777" w:rsidR="00282248" w:rsidRPr="0092034C" w:rsidRDefault="00282248" w:rsidP="00295F70">
            <w:pPr>
              <w:pBdr>
                <w:top w:val="nil"/>
                <w:left w:val="nil"/>
                <w:bottom w:val="nil"/>
                <w:right w:val="nil"/>
                <w:between w:val="nil"/>
              </w:pBdr>
              <w:rPr>
                <w:rFonts w:cs="Times New Roman"/>
              </w:rPr>
            </w:pPr>
            <w:r>
              <w:rPr>
                <w:rFonts w:cs="Times New Roman"/>
              </w:rPr>
              <w:t>E</w:t>
            </w:r>
            <w:r w:rsidRPr="0092034C">
              <w:rPr>
                <w:rFonts w:cs="Times New Roman"/>
              </w:rPr>
              <w:t xml:space="preserve">stimated </w:t>
            </w:r>
            <w:r>
              <w:rPr>
                <w:rFonts w:cs="Times New Roman"/>
              </w:rPr>
              <w:t>U</w:t>
            </w:r>
            <w:r w:rsidRPr="0092034C">
              <w:rPr>
                <w:rFonts w:cs="Times New Roman"/>
              </w:rPr>
              <w:t xml:space="preserve">ltimate </w:t>
            </w:r>
            <w:r>
              <w:rPr>
                <w:rFonts w:cs="Times New Roman"/>
              </w:rPr>
              <w:t>R</w:t>
            </w:r>
            <w:r w:rsidRPr="0092034C">
              <w:rPr>
                <w:rFonts w:cs="Times New Roman"/>
              </w:rPr>
              <w:t>ecovery</w:t>
            </w:r>
          </w:p>
        </w:tc>
      </w:tr>
      <w:tr w:rsidR="00282248" w:rsidRPr="0092034C" w14:paraId="31CAA797" w14:textId="77777777" w:rsidTr="00295F70">
        <w:trPr>
          <w:trHeight w:val="20"/>
        </w:trPr>
        <w:tc>
          <w:tcPr>
            <w:tcW w:w="1975" w:type="dxa"/>
            <w:shd w:val="clear" w:color="auto" w:fill="auto"/>
            <w:vAlign w:val="center"/>
          </w:tcPr>
          <w:p w14:paraId="7D978906"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FLPMA</w:t>
            </w:r>
          </w:p>
        </w:tc>
        <w:tc>
          <w:tcPr>
            <w:tcW w:w="7385" w:type="dxa"/>
            <w:shd w:val="clear" w:color="auto" w:fill="auto"/>
          </w:tcPr>
          <w:p w14:paraId="3970A73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Federal Land Policy and Management Act of 1976</w:t>
            </w:r>
          </w:p>
        </w:tc>
      </w:tr>
      <w:tr w:rsidR="00282248" w:rsidRPr="0092034C" w14:paraId="37A1DB3F" w14:textId="77777777" w:rsidTr="00295F70">
        <w:trPr>
          <w:trHeight w:val="20"/>
        </w:trPr>
        <w:tc>
          <w:tcPr>
            <w:tcW w:w="1975" w:type="dxa"/>
            <w:shd w:val="clear" w:color="auto" w:fill="auto"/>
            <w:vAlign w:val="center"/>
          </w:tcPr>
          <w:p w14:paraId="468C2CD0" w14:textId="77777777" w:rsidR="00282248" w:rsidRPr="0092034C" w:rsidRDefault="00282248" w:rsidP="00295F70">
            <w:pPr>
              <w:pBdr>
                <w:top w:val="nil"/>
                <w:left w:val="nil"/>
                <w:bottom w:val="nil"/>
                <w:right w:val="nil"/>
                <w:between w:val="nil"/>
              </w:pBdr>
              <w:rPr>
                <w:rFonts w:cs="Times New Roman"/>
              </w:rPr>
            </w:pPr>
            <w:r>
              <w:rPr>
                <w:rFonts w:cs="Times New Roman"/>
              </w:rPr>
              <w:t>FOOGLRA</w:t>
            </w:r>
          </w:p>
        </w:tc>
        <w:tc>
          <w:tcPr>
            <w:tcW w:w="7385" w:type="dxa"/>
            <w:shd w:val="clear" w:color="auto" w:fill="auto"/>
          </w:tcPr>
          <w:p w14:paraId="0AA0030E" w14:textId="77777777" w:rsidR="00282248" w:rsidRPr="0092034C" w:rsidRDefault="00282248" w:rsidP="00295F70">
            <w:pPr>
              <w:pBdr>
                <w:top w:val="nil"/>
                <w:left w:val="nil"/>
                <w:bottom w:val="nil"/>
                <w:right w:val="nil"/>
                <w:between w:val="nil"/>
              </w:pBdr>
              <w:rPr>
                <w:rFonts w:cs="Times New Roman"/>
              </w:rPr>
            </w:pPr>
            <w:r w:rsidRPr="00483D1D">
              <w:rPr>
                <w:rFonts w:cs="Times New Roman"/>
              </w:rPr>
              <w:t>Federal Onshore Oil and Gas Leasing Reform Act</w:t>
            </w:r>
          </w:p>
        </w:tc>
      </w:tr>
      <w:tr w:rsidR="00282248" w:rsidRPr="0092034C" w14:paraId="47B866E8" w14:textId="77777777" w:rsidTr="00295F70">
        <w:trPr>
          <w:trHeight w:val="20"/>
        </w:trPr>
        <w:tc>
          <w:tcPr>
            <w:tcW w:w="1975" w:type="dxa"/>
            <w:shd w:val="clear" w:color="auto" w:fill="auto"/>
            <w:vAlign w:val="center"/>
          </w:tcPr>
          <w:p w14:paraId="5764CB57"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GHG</w:t>
            </w:r>
          </w:p>
        </w:tc>
        <w:tc>
          <w:tcPr>
            <w:tcW w:w="7385" w:type="dxa"/>
            <w:shd w:val="clear" w:color="auto" w:fill="auto"/>
          </w:tcPr>
          <w:p w14:paraId="50D99F12" w14:textId="77777777" w:rsidR="00282248" w:rsidRPr="0092034C" w:rsidRDefault="00282248" w:rsidP="00295F70">
            <w:pPr>
              <w:pBdr>
                <w:top w:val="nil"/>
                <w:left w:val="nil"/>
                <w:bottom w:val="nil"/>
                <w:right w:val="nil"/>
                <w:between w:val="nil"/>
              </w:pBdr>
              <w:rPr>
                <w:rFonts w:cs="Times New Roman"/>
              </w:rPr>
            </w:pPr>
            <w:r>
              <w:rPr>
                <w:rFonts w:cs="Times New Roman"/>
              </w:rPr>
              <w:t>G</w:t>
            </w:r>
            <w:r w:rsidRPr="0092034C">
              <w:rPr>
                <w:rFonts w:cs="Times New Roman"/>
              </w:rPr>
              <w:t xml:space="preserve">reenhouse </w:t>
            </w:r>
            <w:r>
              <w:rPr>
                <w:rFonts w:cs="Times New Roman"/>
              </w:rPr>
              <w:t>G</w:t>
            </w:r>
            <w:r w:rsidRPr="0092034C">
              <w:rPr>
                <w:rFonts w:cs="Times New Roman"/>
              </w:rPr>
              <w:t>as</w:t>
            </w:r>
          </w:p>
        </w:tc>
      </w:tr>
      <w:tr w:rsidR="00282248" w:rsidRPr="0092034C" w14:paraId="3F57F02A" w14:textId="77777777" w:rsidTr="00295F70">
        <w:trPr>
          <w:trHeight w:val="20"/>
        </w:trPr>
        <w:tc>
          <w:tcPr>
            <w:tcW w:w="1975" w:type="dxa"/>
            <w:shd w:val="clear" w:color="auto" w:fill="auto"/>
            <w:vAlign w:val="center"/>
          </w:tcPr>
          <w:p w14:paraId="0850A54E"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GIS</w:t>
            </w:r>
          </w:p>
        </w:tc>
        <w:tc>
          <w:tcPr>
            <w:tcW w:w="7385" w:type="dxa"/>
            <w:shd w:val="clear" w:color="auto" w:fill="auto"/>
          </w:tcPr>
          <w:p w14:paraId="18E25EB4" w14:textId="660FAD23" w:rsidR="00282248" w:rsidRPr="0092034C" w:rsidRDefault="002E0C43" w:rsidP="00295F70">
            <w:pPr>
              <w:pBdr>
                <w:top w:val="nil"/>
                <w:left w:val="nil"/>
                <w:bottom w:val="nil"/>
                <w:right w:val="nil"/>
                <w:between w:val="nil"/>
              </w:pBdr>
              <w:rPr>
                <w:rFonts w:cs="Times New Roman"/>
              </w:rPr>
            </w:pPr>
            <w:r>
              <w:rPr>
                <w:rFonts w:cs="Times New Roman"/>
              </w:rPr>
              <w:t>G</w:t>
            </w:r>
            <w:r w:rsidR="00282248" w:rsidRPr="0092034C">
              <w:rPr>
                <w:rFonts w:cs="Times New Roman"/>
              </w:rPr>
              <w:t>eographic information system</w:t>
            </w:r>
          </w:p>
        </w:tc>
      </w:tr>
      <w:tr w:rsidR="00282248" w:rsidRPr="0092034C" w14:paraId="6E2A4937" w14:textId="77777777" w:rsidTr="00295F70">
        <w:trPr>
          <w:trHeight w:val="20"/>
        </w:trPr>
        <w:tc>
          <w:tcPr>
            <w:tcW w:w="1975" w:type="dxa"/>
            <w:shd w:val="clear" w:color="auto" w:fill="auto"/>
            <w:vAlign w:val="center"/>
          </w:tcPr>
          <w:p w14:paraId="2BA54DC1"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HAP</w:t>
            </w:r>
          </w:p>
        </w:tc>
        <w:tc>
          <w:tcPr>
            <w:tcW w:w="7385" w:type="dxa"/>
            <w:shd w:val="clear" w:color="auto" w:fill="auto"/>
          </w:tcPr>
          <w:p w14:paraId="7FA4BE6D" w14:textId="02720D6E" w:rsidR="00282248" w:rsidRPr="0092034C" w:rsidRDefault="002E0C43" w:rsidP="00295F70">
            <w:pPr>
              <w:pBdr>
                <w:top w:val="nil"/>
                <w:left w:val="nil"/>
                <w:bottom w:val="nil"/>
                <w:right w:val="nil"/>
                <w:between w:val="nil"/>
              </w:pBdr>
              <w:rPr>
                <w:rFonts w:cs="Times New Roman"/>
              </w:rPr>
            </w:pPr>
            <w:r>
              <w:rPr>
                <w:rFonts w:cs="Times New Roman"/>
              </w:rPr>
              <w:t>H</w:t>
            </w:r>
            <w:r w:rsidR="00282248" w:rsidRPr="0092034C">
              <w:rPr>
                <w:rFonts w:cs="Times New Roman"/>
              </w:rPr>
              <w:t>azardous air pollutant</w:t>
            </w:r>
          </w:p>
        </w:tc>
      </w:tr>
      <w:tr w:rsidR="007C2620" w:rsidRPr="0092034C" w14:paraId="17A6CB19" w14:textId="77777777" w:rsidTr="00295F70">
        <w:trPr>
          <w:trHeight w:val="20"/>
        </w:trPr>
        <w:tc>
          <w:tcPr>
            <w:tcW w:w="1975" w:type="dxa"/>
            <w:shd w:val="clear" w:color="auto" w:fill="auto"/>
            <w:vAlign w:val="center"/>
          </w:tcPr>
          <w:p w14:paraId="19F80387" w14:textId="0276F7FD" w:rsidR="007C2620" w:rsidRPr="0092034C" w:rsidRDefault="007C2620" w:rsidP="00295F70">
            <w:pPr>
              <w:pBdr>
                <w:top w:val="nil"/>
                <w:left w:val="nil"/>
                <w:bottom w:val="nil"/>
                <w:right w:val="nil"/>
                <w:between w:val="nil"/>
              </w:pBdr>
              <w:rPr>
                <w:rFonts w:cs="Times New Roman"/>
              </w:rPr>
            </w:pPr>
            <w:r>
              <w:rPr>
                <w:rFonts w:cs="Times New Roman"/>
              </w:rPr>
              <w:t>HUD</w:t>
            </w:r>
          </w:p>
        </w:tc>
        <w:tc>
          <w:tcPr>
            <w:tcW w:w="7385" w:type="dxa"/>
            <w:shd w:val="clear" w:color="auto" w:fill="auto"/>
          </w:tcPr>
          <w:p w14:paraId="5AAC1B79" w14:textId="2063016B" w:rsidR="007C2620" w:rsidRPr="0092034C" w:rsidRDefault="00822506" w:rsidP="00295F70">
            <w:pPr>
              <w:pBdr>
                <w:top w:val="nil"/>
                <w:left w:val="nil"/>
                <w:bottom w:val="nil"/>
                <w:right w:val="nil"/>
                <w:between w:val="nil"/>
              </w:pBdr>
              <w:rPr>
                <w:rFonts w:cs="Times New Roman"/>
              </w:rPr>
            </w:pPr>
            <w:r>
              <w:rPr>
                <w:rFonts w:cs="Times New Roman"/>
              </w:rPr>
              <w:t>Hydrologic unit code</w:t>
            </w:r>
          </w:p>
        </w:tc>
      </w:tr>
      <w:tr w:rsidR="00282248" w:rsidRPr="0092034C" w14:paraId="170BC615" w14:textId="77777777" w:rsidTr="00295F70">
        <w:trPr>
          <w:trHeight w:val="20"/>
        </w:trPr>
        <w:tc>
          <w:tcPr>
            <w:tcW w:w="1975" w:type="dxa"/>
            <w:shd w:val="clear" w:color="auto" w:fill="auto"/>
            <w:vAlign w:val="center"/>
          </w:tcPr>
          <w:p w14:paraId="6747B94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IDT</w:t>
            </w:r>
          </w:p>
        </w:tc>
        <w:tc>
          <w:tcPr>
            <w:tcW w:w="7385" w:type="dxa"/>
            <w:shd w:val="clear" w:color="auto" w:fill="auto"/>
          </w:tcPr>
          <w:p w14:paraId="459C44E4" w14:textId="7DCB133E" w:rsidR="00282248" w:rsidRPr="0092034C" w:rsidRDefault="0026429A" w:rsidP="00295F70">
            <w:pPr>
              <w:pBdr>
                <w:top w:val="nil"/>
                <w:left w:val="nil"/>
                <w:bottom w:val="nil"/>
                <w:right w:val="nil"/>
                <w:between w:val="nil"/>
              </w:pBdr>
              <w:rPr>
                <w:rFonts w:cs="Times New Roman"/>
              </w:rPr>
            </w:pPr>
            <w:r>
              <w:rPr>
                <w:rFonts w:cs="Times New Roman"/>
              </w:rPr>
              <w:t>I</w:t>
            </w:r>
            <w:r w:rsidR="00282248" w:rsidRPr="0092034C">
              <w:rPr>
                <w:rFonts w:cs="Times New Roman"/>
              </w:rPr>
              <w:t>nterdisciplinary team</w:t>
            </w:r>
          </w:p>
        </w:tc>
      </w:tr>
      <w:tr w:rsidR="00282248" w:rsidRPr="0092034C" w14:paraId="78FA833B" w14:textId="77777777" w:rsidTr="00295F70">
        <w:trPr>
          <w:trHeight w:val="20"/>
        </w:trPr>
        <w:tc>
          <w:tcPr>
            <w:tcW w:w="1975" w:type="dxa"/>
            <w:shd w:val="clear" w:color="auto" w:fill="auto"/>
          </w:tcPr>
          <w:p w14:paraId="39BAD2A5"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lastRenderedPageBreak/>
              <w:t>IPCC</w:t>
            </w:r>
          </w:p>
        </w:tc>
        <w:tc>
          <w:tcPr>
            <w:tcW w:w="7385" w:type="dxa"/>
            <w:shd w:val="clear" w:color="auto" w:fill="auto"/>
          </w:tcPr>
          <w:p w14:paraId="4F2FD49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Intergovernmental Panel on Climate Change</w:t>
            </w:r>
          </w:p>
        </w:tc>
      </w:tr>
      <w:tr w:rsidR="00282248" w:rsidRPr="0092034C" w14:paraId="36621C56" w14:textId="77777777" w:rsidTr="00295F70">
        <w:trPr>
          <w:trHeight w:val="20"/>
        </w:trPr>
        <w:tc>
          <w:tcPr>
            <w:tcW w:w="1975" w:type="dxa"/>
            <w:shd w:val="clear" w:color="auto" w:fill="auto"/>
          </w:tcPr>
          <w:p w14:paraId="3D89765B"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IWG</w:t>
            </w:r>
          </w:p>
        </w:tc>
        <w:tc>
          <w:tcPr>
            <w:tcW w:w="7385" w:type="dxa"/>
            <w:shd w:val="clear" w:color="auto" w:fill="auto"/>
          </w:tcPr>
          <w:p w14:paraId="5D8E47B7"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 xml:space="preserve">Interagency Working Group on Social Cost of </w:t>
            </w:r>
            <w:r>
              <w:rPr>
                <w:rFonts w:cs="Times New Roman"/>
              </w:rPr>
              <w:t>Greenhouse Gases</w:t>
            </w:r>
            <w:r w:rsidRPr="0092034C">
              <w:rPr>
                <w:rFonts w:cs="Times New Roman"/>
              </w:rPr>
              <w:t>, United States Government</w:t>
            </w:r>
          </w:p>
        </w:tc>
      </w:tr>
      <w:tr w:rsidR="00282248" w:rsidRPr="0092034C" w14:paraId="0707B003" w14:textId="77777777" w:rsidTr="00295F70">
        <w:trPr>
          <w:trHeight w:val="20"/>
        </w:trPr>
        <w:tc>
          <w:tcPr>
            <w:tcW w:w="1975" w:type="dxa"/>
            <w:shd w:val="clear" w:color="auto" w:fill="auto"/>
          </w:tcPr>
          <w:p w14:paraId="6CE5D573" w14:textId="77777777" w:rsidR="00282248" w:rsidRPr="0092034C" w:rsidRDefault="00282248" w:rsidP="00295F70">
            <w:pPr>
              <w:pBdr>
                <w:top w:val="nil"/>
                <w:left w:val="nil"/>
                <w:bottom w:val="nil"/>
                <w:right w:val="nil"/>
                <w:between w:val="nil"/>
              </w:pBdr>
              <w:rPr>
                <w:rFonts w:cs="Times New Roman"/>
              </w:rPr>
            </w:pPr>
            <w:r>
              <w:rPr>
                <w:rFonts w:cs="Times New Roman"/>
              </w:rPr>
              <w:t>IRA</w:t>
            </w:r>
          </w:p>
        </w:tc>
        <w:tc>
          <w:tcPr>
            <w:tcW w:w="7385" w:type="dxa"/>
            <w:shd w:val="clear" w:color="auto" w:fill="auto"/>
          </w:tcPr>
          <w:p w14:paraId="483A7E2F" w14:textId="77777777" w:rsidR="00282248" w:rsidRPr="0092034C" w:rsidRDefault="00282248" w:rsidP="00295F70">
            <w:pPr>
              <w:pBdr>
                <w:top w:val="nil"/>
                <w:left w:val="nil"/>
                <w:bottom w:val="nil"/>
                <w:right w:val="nil"/>
                <w:between w:val="nil"/>
              </w:pBdr>
              <w:rPr>
                <w:rFonts w:cs="Times New Roman"/>
              </w:rPr>
            </w:pPr>
            <w:r>
              <w:rPr>
                <w:rFonts w:cs="Times New Roman"/>
              </w:rPr>
              <w:t>Inflation Reduction Act</w:t>
            </w:r>
          </w:p>
        </w:tc>
      </w:tr>
      <w:tr w:rsidR="00282248" w:rsidRPr="0092034C" w14:paraId="2DFDAFF6" w14:textId="77777777" w:rsidTr="00295F70">
        <w:trPr>
          <w:trHeight w:val="20"/>
        </w:trPr>
        <w:tc>
          <w:tcPr>
            <w:tcW w:w="1975" w:type="dxa"/>
            <w:shd w:val="clear" w:color="auto" w:fill="auto"/>
          </w:tcPr>
          <w:p w14:paraId="4CF81BE3" w14:textId="77777777" w:rsidR="00282248" w:rsidRPr="0092034C" w:rsidRDefault="00282248" w:rsidP="00295F70">
            <w:pPr>
              <w:pBdr>
                <w:top w:val="nil"/>
                <w:left w:val="nil"/>
                <w:bottom w:val="nil"/>
                <w:right w:val="nil"/>
                <w:between w:val="nil"/>
              </w:pBdr>
              <w:rPr>
                <w:rFonts w:cs="Times New Roman"/>
              </w:rPr>
            </w:pPr>
            <w:proofErr w:type="spellStart"/>
            <w:r w:rsidRPr="0092034C">
              <w:rPr>
                <w:rFonts w:cs="Times New Roman"/>
              </w:rPr>
              <w:t>kg</w:t>
            </w:r>
            <w:r>
              <w:rPr>
                <w:rFonts w:cs="Times New Roman"/>
              </w:rPr>
              <w:t>S</w:t>
            </w:r>
            <w:proofErr w:type="spellEnd"/>
            <w:r w:rsidRPr="0092034C">
              <w:rPr>
                <w:rFonts w:cs="Times New Roman"/>
              </w:rPr>
              <w:t>/ha/</w:t>
            </w:r>
            <w:proofErr w:type="spellStart"/>
            <w:r w:rsidRPr="0092034C">
              <w:rPr>
                <w:rFonts w:cs="Times New Roman"/>
              </w:rPr>
              <w:t>yr</w:t>
            </w:r>
            <w:proofErr w:type="spellEnd"/>
          </w:p>
        </w:tc>
        <w:tc>
          <w:tcPr>
            <w:tcW w:w="7385" w:type="dxa"/>
            <w:shd w:val="clear" w:color="auto" w:fill="auto"/>
          </w:tcPr>
          <w:p w14:paraId="6552A12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Kilogram</w:t>
            </w:r>
            <w:r>
              <w:rPr>
                <w:rFonts w:cs="Times New Roman"/>
              </w:rPr>
              <w:t>s of Sulfur</w:t>
            </w:r>
            <w:r w:rsidRPr="0092034C">
              <w:rPr>
                <w:rFonts w:cs="Times New Roman"/>
              </w:rPr>
              <w:t xml:space="preserve"> per hectare per year</w:t>
            </w:r>
          </w:p>
        </w:tc>
      </w:tr>
      <w:tr w:rsidR="00282248" w:rsidRPr="0092034C" w14:paraId="0B85E3C1" w14:textId="77777777" w:rsidTr="00295F70">
        <w:trPr>
          <w:trHeight w:val="20"/>
        </w:trPr>
        <w:tc>
          <w:tcPr>
            <w:tcW w:w="1975" w:type="dxa"/>
            <w:shd w:val="clear" w:color="auto" w:fill="auto"/>
          </w:tcPr>
          <w:p w14:paraId="785432D3"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km</w:t>
            </w:r>
          </w:p>
        </w:tc>
        <w:tc>
          <w:tcPr>
            <w:tcW w:w="7385" w:type="dxa"/>
            <w:shd w:val="clear" w:color="auto" w:fill="auto"/>
          </w:tcPr>
          <w:p w14:paraId="512ECD46" w14:textId="72AE268F" w:rsidR="00282248" w:rsidRPr="0092034C" w:rsidRDefault="00D21C06" w:rsidP="00295F70">
            <w:pPr>
              <w:pBdr>
                <w:top w:val="nil"/>
                <w:left w:val="nil"/>
                <w:bottom w:val="nil"/>
                <w:right w:val="nil"/>
                <w:between w:val="nil"/>
              </w:pBdr>
              <w:rPr>
                <w:rFonts w:cs="Times New Roman"/>
              </w:rPr>
            </w:pPr>
            <w:r>
              <w:rPr>
                <w:rFonts w:cs="Times New Roman"/>
              </w:rPr>
              <w:t>K</w:t>
            </w:r>
            <w:r w:rsidR="00282248" w:rsidRPr="0092034C">
              <w:rPr>
                <w:rFonts w:cs="Times New Roman"/>
              </w:rPr>
              <w:t>ilometer(s)</w:t>
            </w:r>
          </w:p>
        </w:tc>
      </w:tr>
      <w:tr w:rsidR="00282248" w:rsidRPr="0092034C" w14:paraId="58E0A9AA" w14:textId="77777777" w:rsidTr="00295F70">
        <w:trPr>
          <w:trHeight w:val="20"/>
        </w:trPr>
        <w:tc>
          <w:tcPr>
            <w:tcW w:w="1975" w:type="dxa"/>
            <w:shd w:val="clear" w:color="auto" w:fill="auto"/>
            <w:vAlign w:val="bottom"/>
          </w:tcPr>
          <w:p w14:paraId="2A7F171D"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m</w:t>
            </w:r>
          </w:p>
        </w:tc>
        <w:tc>
          <w:tcPr>
            <w:tcW w:w="7385" w:type="dxa"/>
            <w:shd w:val="clear" w:color="auto" w:fill="auto"/>
          </w:tcPr>
          <w:p w14:paraId="68A68F9F" w14:textId="1E0A31AA" w:rsidR="00282248" w:rsidRPr="0092034C" w:rsidRDefault="006F5194" w:rsidP="00295F70">
            <w:pPr>
              <w:pBdr>
                <w:top w:val="nil"/>
                <w:left w:val="nil"/>
                <w:bottom w:val="nil"/>
                <w:right w:val="nil"/>
                <w:between w:val="nil"/>
              </w:pBdr>
              <w:rPr>
                <w:rFonts w:cs="Times New Roman"/>
              </w:rPr>
            </w:pPr>
            <w:r>
              <w:rPr>
                <w:rFonts w:cs="Times New Roman"/>
              </w:rPr>
              <w:t>M</w:t>
            </w:r>
            <w:r w:rsidR="00282248" w:rsidRPr="0092034C">
              <w:rPr>
                <w:rFonts w:cs="Times New Roman"/>
              </w:rPr>
              <w:t>eter(s)</w:t>
            </w:r>
          </w:p>
        </w:tc>
      </w:tr>
      <w:tr w:rsidR="00282248" w:rsidRPr="0092034C" w14:paraId="36089725" w14:textId="77777777" w:rsidTr="00295F70">
        <w:trPr>
          <w:trHeight w:val="20"/>
        </w:trPr>
        <w:tc>
          <w:tcPr>
            <w:tcW w:w="1975" w:type="dxa"/>
            <w:shd w:val="clear" w:color="auto" w:fill="auto"/>
            <w:vAlign w:val="bottom"/>
          </w:tcPr>
          <w:p w14:paraId="3DD9D5F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mcf</w:t>
            </w:r>
          </w:p>
        </w:tc>
        <w:tc>
          <w:tcPr>
            <w:tcW w:w="7385" w:type="dxa"/>
            <w:shd w:val="clear" w:color="auto" w:fill="auto"/>
          </w:tcPr>
          <w:p w14:paraId="68F2648E" w14:textId="08200806" w:rsidR="00282248" w:rsidRPr="0092034C" w:rsidRDefault="00D21C06" w:rsidP="00295F70">
            <w:pPr>
              <w:pBdr>
                <w:top w:val="nil"/>
                <w:left w:val="nil"/>
                <w:bottom w:val="nil"/>
                <w:right w:val="nil"/>
                <w:between w:val="nil"/>
              </w:pBdr>
              <w:rPr>
                <w:rFonts w:cs="Times New Roman"/>
              </w:rPr>
            </w:pPr>
            <w:r>
              <w:rPr>
                <w:rFonts w:cs="Times New Roman"/>
              </w:rPr>
              <w:t>T</w:t>
            </w:r>
            <w:r w:rsidR="00282248" w:rsidRPr="0092034C">
              <w:rPr>
                <w:rFonts w:cs="Times New Roman"/>
              </w:rPr>
              <w:t>housand cubic feet</w:t>
            </w:r>
          </w:p>
        </w:tc>
      </w:tr>
      <w:tr w:rsidR="00282248" w:rsidRPr="0092034C" w14:paraId="3110A9FA" w14:textId="77777777" w:rsidTr="00295F70">
        <w:trPr>
          <w:trHeight w:val="20"/>
        </w:trPr>
        <w:tc>
          <w:tcPr>
            <w:tcW w:w="1975" w:type="dxa"/>
            <w:shd w:val="clear" w:color="auto" w:fill="auto"/>
            <w:vAlign w:val="bottom"/>
          </w:tcPr>
          <w:p w14:paraId="029B2E14"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MLA</w:t>
            </w:r>
          </w:p>
        </w:tc>
        <w:tc>
          <w:tcPr>
            <w:tcW w:w="7385" w:type="dxa"/>
            <w:shd w:val="clear" w:color="auto" w:fill="auto"/>
          </w:tcPr>
          <w:p w14:paraId="16435B42" w14:textId="77777777" w:rsidR="00282248" w:rsidRPr="0092034C" w:rsidRDefault="00282248" w:rsidP="00295F70">
            <w:pPr>
              <w:pBdr>
                <w:top w:val="nil"/>
                <w:left w:val="nil"/>
                <w:bottom w:val="nil"/>
                <w:right w:val="nil"/>
                <w:between w:val="nil"/>
              </w:pBdr>
              <w:tabs>
                <w:tab w:val="left" w:pos="2150"/>
              </w:tabs>
              <w:rPr>
                <w:rFonts w:cs="Times New Roman"/>
              </w:rPr>
            </w:pPr>
            <w:r w:rsidRPr="0092034C">
              <w:rPr>
                <w:rFonts w:cs="Times New Roman"/>
              </w:rPr>
              <w:t>Mineral Leasing Act of 1920</w:t>
            </w:r>
          </w:p>
        </w:tc>
      </w:tr>
      <w:tr w:rsidR="00282248" w:rsidRPr="0092034C" w14:paraId="489AD1D4" w14:textId="77777777" w:rsidTr="00295F70">
        <w:trPr>
          <w:trHeight w:val="20"/>
        </w:trPr>
        <w:tc>
          <w:tcPr>
            <w:tcW w:w="1975" w:type="dxa"/>
            <w:shd w:val="clear" w:color="auto" w:fill="auto"/>
            <w:vAlign w:val="bottom"/>
          </w:tcPr>
          <w:p w14:paraId="6755B2BC" w14:textId="77777777" w:rsidR="00282248" w:rsidRPr="0092034C" w:rsidRDefault="00282248" w:rsidP="00295F70">
            <w:pPr>
              <w:pBdr>
                <w:top w:val="nil"/>
                <w:left w:val="nil"/>
                <w:bottom w:val="nil"/>
                <w:right w:val="nil"/>
                <w:between w:val="nil"/>
              </w:pBdr>
              <w:rPr>
                <w:rFonts w:cs="Times New Roman"/>
              </w:rPr>
            </w:pPr>
            <w:r>
              <w:rPr>
                <w:rFonts w:cs="Times New Roman"/>
              </w:rPr>
              <w:t>Mt</w:t>
            </w:r>
          </w:p>
        </w:tc>
        <w:tc>
          <w:tcPr>
            <w:tcW w:w="7385" w:type="dxa"/>
            <w:shd w:val="clear" w:color="auto" w:fill="auto"/>
          </w:tcPr>
          <w:p w14:paraId="5DB6CB1C" w14:textId="4FE089AC" w:rsidR="00282248" w:rsidRPr="0092034C" w:rsidRDefault="002A1104" w:rsidP="00295F70">
            <w:pPr>
              <w:pBdr>
                <w:top w:val="nil"/>
                <w:left w:val="nil"/>
                <w:bottom w:val="nil"/>
                <w:right w:val="nil"/>
                <w:between w:val="nil"/>
              </w:pBdr>
              <w:tabs>
                <w:tab w:val="center" w:pos="3381"/>
              </w:tabs>
              <w:rPr>
                <w:rFonts w:cs="Times New Roman"/>
              </w:rPr>
            </w:pPr>
            <w:proofErr w:type="spellStart"/>
            <w:r>
              <w:rPr>
                <w:rFonts w:cs="Times New Roman"/>
              </w:rPr>
              <w:t>M</w:t>
            </w:r>
            <w:r w:rsidR="00282248">
              <w:rPr>
                <w:rFonts w:cs="Times New Roman"/>
              </w:rPr>
              <w:t>egatonnes</w:t>
            </w:r>
            <w:proofErr w:type="spellEnd"/>
          </w:p>
        </w:tc>
      </w:tr>
      <w:tr w:rsidR="00282248" w:rsidRPr="0092034C" w14:paraId="53670D1C" w14:textId="77777777" w:rsidTr="00295F70">
        <w:trPr>
          <w:trHeight w:val="20"/>
        </w:trPr>
        <w:tc>
          <w:tcPr>
            <w:tcW w:w="1975" w:type="dxa"/>
            <w:shd w:val="clear" w:color="auto" w:fill="auto"/>
            <w:vAlign w:val="center"/>
          </w:tcPr>
          <w:p w14:paraId="767097FD"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w:t>
            </w:r>
            <w:r w:rsidRPr="0092034C">
              <w:rPr>
                <w:rFonts w:cs="Times New Roman"/>
                <w:vertAlign w:val="subscript"/>
              </w:rPr>
              <w:t>2</w:t>
            </w:r>
            <w:r w:rsidRPr="0092034C">
              <w:rPr>
                <w:rFonts w:cs="Times New Roman"/>
              </w:rPr>
              <w:t>O</w:t>
            </w:r>
          </w:p>
        </w:tc>
        <w:tc>
          <w:tcPr>
            <w:tcW w:w="7385" w:type="dxa"/>
            <w:shd w:val="clear" w:color="auto" w:fill="auto"/>
          </w:tcPr>
          <w:p w14:paraId="5883CD47" w14:textId="740E6DDD" w:rsidR="00282248" w:rsidRPr="0092034C" w:rsidRDefault="002A1104" w:rsidP="00295F70">
            <w:pPr>
              <w:pBdr>
                <w:top w:val="nil"/>
                <w:left w:val="nil"/>
                <w:bottom w:val="nil"/>
                <w:right w:val="nil"/>
                <w:between w:val="nil"/>
              </w:pBdr>
              <w:tabs>
                <w:tab w:val="center" w:pos="3381"/>
              </w:tabs>
              <w:rPr>
                <w:rFonts w:cs="Times New Roman"/>
              </w:rPr>
            </w:pPr>
            <w:r>
              <w:rPr>
                <w:rFonts w:cs="Times New Roman"/>
              </w:rPr>
              <w:t>N</w:t>
            </w:r>
            <w:r w:rsidR="00282248" w:rsidRPr="0092034C">
              <w:rPr>
                <w:rFonts w:cs="Times New Roman"/>
              </w:rPr>
              <w:t>itrous oxide</w:t>
            </w:r>
          </w:p>
        </w:tc>
      </w:tr>
      <w:tr w:rsidR="00282248" w:rsidRPr="0092034C" w14:paraId="24D29999" w14:textId="77777777" w:rsidTr="00295F70">
        <w:trPr>
          <w:trHeight w:val="20"/>
        </w:trPr>
        <w:tc>
          <w:tcPr>
            <w:tcW w:w="1975" w:type="dxa"/>
            <w:shd w:val="clear" w:color="auto" w:fill="auto"/>
            <w:vAlign w:val="center"/>
          </w:tcPr>
          <w:p w14:paraId="336ECFB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NAAQS</w:t>
            </w:r>
          </w:p>
        </w:tc>
        <w:tc>
          <w:tcPr>
            <w:tcW w:w="7385" w:type="dxa"/>
            <w:shd w:val="clear" w:color="auto" w:fill="auto"/>
          </w:tcPr>
          <w:p w14:paraId="3D23E345"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National Ambient Air Quality Standards</w:t>
            </w:r>
          </w:p>
        </w:tc>
      </w:tr>
      <w:tr w:rsidR="00282248" w:rsidRPr="0092034C" w14:paraId="6FBFEC67" w14:textId="77777777" w:rsidTr="00295F70">
        <w:trPr>
          <w:trHeight w:val="20"/>
        </w:trPr>
        <w:tc>
          <w:tcPr>
            <w:tcW w:w="1975" w:type="dxa"/>
            <w:shd w:val="clear" w:color="auto" w:fill="auto"/>
            <w:vAlign w:val="center"/>
          </w:tcPr>
          <w:p w14:paraId="3E5B39A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NEPA</w:t>
            </w:r>
          </w:p>
        </w:tc>
        <w:tc>
          <w:tcPr>
            <w:tcW w:w="7385" w:type="dxa"/>
            <w:shd w:val="clear" w:color="auto" w:fill="auto"/>
          </w:tcPr>
          <w:p w14:paraId="4CBFA8E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National Environmental Policy Act of 1969</w:t>
            </w:r>
          </w:p>
        </w:tc>
      </w:tr>
      <w:tr w:rsidR="00282248" w:rsidRPr="0092034C" w14:paraId="33DE9067" w14:textId="77777777" w:rsidTr="00295F70">
        <w:trPr>
          <w:trHeight w:val="20"/>
        </w:trPr>
        <w:tc>
          <w:tcPr>
            <w:tcW w:w="1975" w:type="dxa"/>
            <w:shd w:val="clear" w:color="auto" w:fill="auto"/>
            <w:vAlign w:val="center"/>
          </w:tcPr>
          <w:p w14:paraId="30DD0BA1"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NHPA</w:t>
            </w:r>
          </w:p>
        </w:tc>
        <w:tc>
          <w:tcPr>
            <w:tcW w:w="7385" w:type="dxa"/>
            <w:shd w:val="clear" w:color="auto" w:fill="auto"/>
          </w:tcPr>
          <w:p w14:paraId="2B13DBA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National Historic Preservation Act of 1966</w:t>
            </w:r>
          </w:p>
        </w:tc>
      </w:tr>
      <w:tr w:rsidR="00282248" w:rsidRPr="0092034C" w14:paraId="48A68227" w14:textId="77777777" w:rsidTr="00295F70">
        <w:trPr>
          <w:trHeight w:val="20"/>
        </w:trPr>
        <w:tc>
          <w:tcPr>
            <w:tcW w:w="1975" w:type="dxa"/>
            <w:shd w:val="clear" w:color="auto" w:fill="auto"/>
            <w:vAlign w:val="center"/>
          </w:tcPr>
          <w:p w14:paraId="7C56871F"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NO</w:t>
            </w:r>
            <w:r w:rsidRPr="0092034C">
              <w:rPr>
                <w:rFonts w:cs="Times New Roman"/>
                <w:vertAlign w:val="subscript"/>
              </w:rPr>
              <w:t>2</w:t>
            </w:r>
          </w:p>
        </w:tc>
        <w:tc>
          <w:tcPr>
            <w:tcW w:w="7385" w:type="dxa"/>
            <w:shd w:val="clear" w:color="auto" w:fill="auto"/>
          </w:tcPr>
          <w:p w14:paraId="1E8AA9F3" w14:textId="6899A414" w:rsidR="00282248" w:rsidRPr="0092034C" w:rsidRDefault="00B9164A" w:rsidP="00295F70">
            <w:pPr>
              <w:pBdr>
                <w:top w:val="nil"/>
                <w:left w:val="nil"/>
                <w:bottom w:val="nil"/>
                <w:right w:val="nil"/>
                <w:between w:val="nil"/>
              </w:pBdr>
              <w:rPr>
                <w:rFonts w:cs="Times New Roman"/>
              </w:rPr>
            </w:pPr>
            <w:r>
              <w:rPr>
                <w:rFonts w:cs="Times New Roman"/>
              </w:rPr>
              <w:t>N</w:t>
            </w:r>
            <w:r w:rsidR="00282248" w:rsidRPr="0092034C">
              <w:rPr>
                <w:rFonts w:cs="Times New Roman"/>
              </w:rPr>
              <w:t>itrogen dioxide</w:t>
            </w:r>
          </w:p>
        </w:tc>
      </w:tr>
      <w:tr w:rsidR="00282248" w:rsidRPr="0092034C" w14:paraId="0E450FC0" w14:textId="77777777" w:rsidTr="00295F70">
        <w:trPr>
          <w:trHeight w:val="20"/>
        </w:trPr>
        <w:tc>
          <w:tcPr>
            <w:tcW w:w="1975" w:type="dxa"/>
            <w:shd w:val="clear" w:color="auto" w:fill="auto"/>
            <w:vAlign w:val="center"/>
          </w:tcPr>
          <w:p w14:paraId="36DBF8D2"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NO</w:t>
            </w:r>
            <w:r w:rsidRPr="0092034C">
              <w:rPr>
                <w:rFonts w:cs="Times New Roman"/>
                <w:vertAlign w:val="subscript"/>
              </w:rPr>
              <w:t>x</w:t>
            </w:r>
          </w:p>
        </w:tc>
        <w:tc>
          <w:tcPr>
            <w:tcW w:w="7385" w:type="dxa"/>
            <w:shd w:val="clear" w:color="auto" w:fill="auto"/>
          </w:tcPr>
          <w:p w14:paraId="2FE56449" w14:textId="69388993" w:rsidR="00282248" w:rsidRPr="0092034C" w:rsidRDefault="00B9164A" w:rsidP="00295F70">
            <w:pPr>
              <w:pBdr>
                <w:top w:val="nil"/>
                <w:left w:val="nil"/>
                <w:bottom w:val="nil"/>
                <w:right w:val="nil"/>
                <w:between w:val="nil"/>
              </w:pBdr>
              <w:rPr>
                <w:rFonts w:cs="Times New Roman"/>
              </w:rPr>
            </w:pPr>
            <w:r>
              <w:rPr>
                <w:rFonts w:cs="Times New Roman"/>
              </w:rPr>
              <w:t>N</w:t>
            </w:r>
            <w:r w:rsidR="00282248" w:rsidRPr="0092034C">
              <w:rPr>
                <w:rFonts w:cs="Times New Roman"/>
              </w:rPr>
              <w:t>itrogen oxide(s)</w:t>
            </w:r>
          </w:p>
        </w:tc>
      </w:tr>
      <w:tr w:rsidR="00282248" w:rsidRPr="0092034C" w14:paraId="6FF19BDB" w14:textId="77777777" w:rsidTr="00295F70">
        <w:trPr>
          <w:trHeight w:val="20"/>
        </w:trPr>
        <w:tc>
          <w:tcPr>
            <w:tcW w:w="1975" w:type="dxa"/>
            <w:shd w:val="clear" w:color="auto" w:fill="auto"/>
            <w:vAlign w:val="center"/>
          </w:tcPr>
          <w:p w14:paraId="0A79FA51"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NORM</w:t>
            </w:r>
          </w:p>
        </w:tc>
        <w:tc>
          <w:tcPr>
            <w:tcW w:w="7385" w:type="dxa"/>
            <w:shd w:val="clear" w:color="auto" w:fill="auto"/>
          </w:tcPr>
          <w:p w14:paraId="0484A66F" w14:textId="3902C556" w:rsidR="00282248" w:rsidRPr="0092034C" w:rsidRDefault="00B9164A" w:rsidP="00295F70">
            <w:pPr>
              <w:pBdr>
                <w:top w:val="nil"/>
                <w:left w:val="nil"/>
                <w:bottom w:val="nil"/>
                <w:right w:val="nil"/>
                <w:between w:val="nil"/>
              </w:pBdr>
              <w:rPr>
                <w:rFonts w:cs="Times New Roman"/>
              </w:rPr>
            </w:pPr>
            <w:r>
              <w:rPr>
                <w:rFonts w:cs="Times New Roman"/>
              </w:rPr>
              <w:t>N</w:t>
            </w:r>
            <w:r w:rsidR="00282248" w:rsidRPr="0092034C">
              <w:rPr>
                <w:rFonts w:cs="Times New Roman"/>
              </w:rPr>
              <w:t>aturally occurring radioactive material</w:t>
            </w:r>
          </w:p>
        </w:tc>
      </w:tr>
      <w:tr w:rsidR="00282248" w:rsidRPr="0092034C" w14:paraId="0E3B611D" w14:textId="77777777" w:rsidTr="00295F70">
        <w:trPr>
          <w:trHeight w:val="20"/>
        </w:trPr>
        <w:tc>
          <w:tcPr>
            <w:tcW w:w="1975" w:type="dxa"/>
            <w:shd w:val="clear" w:color="auto" w:fill="auto"/>
            <w:vAlign w:val="bottom"/>
          </w:tcPr>
          <w:p w14:paraId="22F50EDB" w14:textId="77777777" w:rsidR="00282248" w:rsidRPr="0092034C" w:rsidRDefault="00282248" w:rsidP="00295F70">
            <w:pPr>
              <w:pBdr>
                <w:top w:val="nil"/>
                <w:left w:val="nil"/>
                <w:bottom w:val="nil"/>
                <w:right w:val="nil"/>
                <w:between w:val="nil"/>
              </w:pBdr>
              <w:rPr>
                <w:rFonts w:cs="Times New Roman"/>
              </w:rPr>
            </w:pPr>
            <w:r>
              <w:rPr>
                <w:rFonts w:cs="Times New Roman"/>
              </w:rPr>
              <w:t>NRCS</w:t>
            </w:r>
          </w:p>
        </w:tc>
        <w:tc>
          <w:tcPr>
            <w:tcW w:w="7385" w:type="dxa"/>
            <w:shd w:val="clear" w:color="auto" w:fill="auto"/>
          </w:tcPr>
          <w:p w14:paraId="2E47A96C" w14:textId="77777777" w:rsidR="00282248" w:rsidRPr="0092034C" w:rsidRDefault="00282248" w:rsidP="00295F70">
            <w:pPr>
              <w:pBdr>
                <w:top w:val="nil"/>
                <w:left w:val="nil"/>
                <w:bottom w:val="nil"/>
                <w:right w:val="nil"/>
                <w:between w:val="nil"/>
              </w:pBdr>
              <w:rPr>
                <w:rFonts w:cs="Times New Roman"/>
              </w:rPr>
            </w:pPr>
            <w:r>
              <w:t>Natural Resources Conservation Service</w:t>
            </w:r>
          </w:p>
        </w:tc>
      </w:tr>
      <w:tr w:rsidR="00282248" w:rsidRPr="0092034C" w14:paraId="6E6C06E4" w14:textId="77777777" w:rsidTr="00295F70">
        <w:trPr>
          <w:trHeight w:val="20"/>
        </w:trPr>
        <w:tc>
          <w:tcPr>
            <w:tcW w:w="1975" w:type="dxa"/>
            <w:shd w:val="clear" w:color="auto" w:fill="auto"/>
            <w:vAlign w:val="bottom"/>
          </w:tcPr>
          <w:p w14:paraId="170956F3" w14:textId="77777777" w:rsidR="00282248" w:rsidRPr="0092034C" w:rsidRDefault="00282248" w:rsidP="00295F70">
            <w:pPr>
              <w:pBdr>
                <w:top w:val="nil"/>
                <w:left w:val="nil"/>
                <w:bottom w:val="nil"/>
                <w:right w:val="nil"/>
                <w:between w:val="nil"/>
              </w:pBdr>
              <w:rPr>
                <w:rFonts w:cs="Times New Roman"/>
              </w:rPr>
            </w:pPr>
            <w:r>
              <w:rPr>
                <w:rFonts w:cs="Times New Roman"/>
              </w:rPr>
              <w:t>National Register</w:t>
            </w:r>
          </w:p>
        </w:tc>
        <w:tc>
          <w:tcPr>
            <w:tcW w:w="7385" w:type="dxa"/>
            <w:shd w:val="clear" w:color="auto" w:fill="auto"/>
          </w:tcPr>
          <w:p w14:paraId="5C5971B5" w14:textId="77777777" w:rsidR="00282248" w:rsidRPr="0092034C" w:rsidRDefault="00282248" w:rsidP="00295F70">
            <w:pPr>
              <w:pBdr>
                <w:top w:val="nil"/>
                <w:left w:val="nil"/>
                <w:bottom w:val="nil"/>
                <w:right w:val="nil"/>
                <w:between w:val="nil"/>
              </w:pBdr>
              <w:rPr>
                <w:rFonts w:cs="Times New Roman"/>
              </w:rPr>
            </w:pPr>
            <w:r>
              <w:rPr>
                <w:rFonts w:cs="Times New Roman"/>
              </w:rPr>
              <w:t>National Register of Historic Places</w:t>
            </w:r>
          </w:p>
        </w:tc>
      </w:tr>
      <w:tr w:rsidR="00282248" w:rsidRPr="0092034C" w14:paraId="7FEF1D1E" w14:textId="77777777" w:rsidTr="00295F70">
        <w:trPr>
          <w:trHeight w:val="20"/>
        </w:trPr>
        <w:tc>
          <w:tcPr>
            <w:tcW w:w="1975" w:type="dxa"/>
            <w:shd w:val="clear" w:color="auto" w:fill="auto"/>
            <w:vAlign w:val="bottom"/>
          </w:tcPr>
          <w:p w14:paraId="4151466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NSO</w:t>
            </w:r>
          </w:p>
        </w:tc>
        <w:tc>
          <w:tcPr>
            <w:tcW w:w="7385" w:type="dxa"/>
            <w:shd w:val="clear" w:color="auto" w:fill="auto"/>
          </w:tcPr>
          <w:p w14:paraId="660599EE" w14:textId="3A595487" w:rsidR="00282248" w:rsidRPr="0092034C" w:rsidRDefault="00B9164A" w:rsidP="00295F70">
            <w:pPr>
              <w:pBdr>
                <w:top w:val="nil"/>
                <w:left w:val="nil"/>
                <w:bottom w:val="nil"/>
                <w:right w:val="nil"/>
                <w:between w:val="nil"/>
              </w:pBdr>
              <w:rPr>
                <w:rFonts w:cs="Times New Roman"/>
              </w:rPr>
            </w:pPr>
            <w:r>
              <w:rPr>
                <w:rFonts w:cs="Times New Roman"/>
              </w:rPr>
              <w:t>N</w:t>
            </w:r>
            <w:r w:rsidR="00282248" w:rsidRPr="0092034C">
              <w:rPr>
                <w:rFonts w:cs="Times New Roman"/>
              </w:rPr>
              <w:t>o surface occupancy</w:t>
            </w:r>
          </w:p>
        </w:tc>
      </w:tr>
      <w:tr w:rsidR="00282248" w:rsidRPr="0092034C" w14:paraId="404ABC51" w14:textId="77777777" w:rsidTr="00295F70">
        <w:trPr>
          <w:trHeight w:val="20"/>
        </w:trPr>
        <w:tc>
          <w:tcPr>
            <w:tcW w:w="1975" w:type="dxa"/>
            <w:shd w:val="clear" w:color="auto" w:fill="auto"/>
            <w:vAlign w:val="bottom"/>
          </w:tcPr>
          <w:p w14:paraId="133D0A0D"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O</w:t>
            </w:r>
            <w:r w:rsidRPr="0092034C">
              <w:rPr>
                <w:rFonts w:cs="Times New Roman"/>
                <w:vertAlign w:val="subscript"/>
              </w:rPr>
              <w:t>3</w:t>
            </w:r>
          </w:p>
        </w:tc>
        <w:tc>
          <w:tcPr>
            <w:tcW w:w="7385" w:type="dxa"/>
            <w:shd w:val="clear" w:color="auto" w:fill="auto"/>
          </w:tcPr>
          <w:p w14:paraId="27B75BD5" w14:textId="100C822F" w:rsidR="00282248" w:rsidRPr="0092034C" w:rsidRDefault="00702EA4" w:rsidP="00295F70">
            <w:pPr>
              <w:pBdr>
                <w:top w:val="nil"/>
                <w:left w:val="nil"/>
                <w:bottom w:val="nil"/>
                <w:right w:val="nil"/>
                <w:between w:val="nil"/>
              </w:pBdr>
              <w:rPr>
                <w:rFonts w:cs="Times New Roman"/>
              </w:rPr>
            </w:pPr>
            <w:r>
              <w:rPr>
                <w:rFonts w:cs="Times New Roman"/>
              </w:rPr>
              <w:t>O</w:t>
            </w:r>
            <w:r w:rsidR="00282248" w:rsidRPr="0092034C">
              <w:rPr>
                <w:rFonts w:cs="Times New Roman"/>
              </w:rPr>
              <w:t xml:space="preserve">zone </w:t>
            </w:r>
          </w:p>
        </w:tc>
      </w:tr>
      <w:tr w:rsidR="00282248" w:rsidRPr="0092034C" w14:paraId="7B7F3002" w14:textId="77777777" w:rsidTr="00295F70">
        <w:trPr>
          <w:trHeight w:val="20"/>
        </w:trPr>
        <w:tc>
          <w:tcPr>
            <w:tcW w:w="1975" w:type="dxa"/>
            <w:shd w:val="clear" w:color="auto" w:fill="auto"/>
            <w:vAlign w:val="bottom"/>
          </w:tcPr>
          <w:p w14:paraId="0E274346" w14:textId="77777777" w:rsidR="00282248" w:rsidRPr="0092034C" w:rsidRDefault="00282248" w:rsidP="00295F70">
            <w:pPr>
              <w:pBdr>
                <w:top w:val="nil"/>
                <w:left w:val="nil"/>
                <w:bottom w:val="nil"/>
                <w:right w:val="nil"/>
                <w:between w:val="nil"/>
              </w:pBdr>
              <w:rPr>
                <w:rFonts w:cs="Times New Roman"/>
              </w:rPr>
            </w:pPr>
            <w:r>
              <w:rPr>
                <w:rFonts w:cs="Times New Roman"/>
              </w:rPr>
              <w:t>OHV</w:t>
            </w:r>
          </w:p>
        </w:tc>
        <w:tc>
          <w:tcPr>
            <w:tcW w:w="7385" w:type="dxa"/>
            <w:shd w:val="clear" w:color="auto" w:fill="auto"/>
          </w:tcPr>
          <w:p w14:paraId="134C91B9" w14:textId="4AEAEEF5" w:rsidR="00282248" w:rsidRPr="0092034C" w:rsidRDefault="00702EA4" w:rsidP="00295F70">
            <w:pPr>
              <w:pBdr>
                <w:top w:val="nil"/>
                <w:left w:val="nil"/>
                <w:bottom w:val="nil"/>
                <w:right w:val="nil"/>
                <w:between w:val="nil"/>
              </w:pBdr>
              <w:rPr>
                <w:rFonts w:cs="Times New Roman"/>
              </w:rPr>
            </w:pPr>
            <w:r>
              <w:rPr>
                <w:rFonts w:cs="Times New Roman"/>
              </w:rPr>
              <w:t>O</w:t>
            </w:r>
            <w:r w:rsidR="00282248">
              <w:rPr>
                <w:rFonts w:cs="Times New Roman"/>
              </w:rPr>
              <w:t>ff highway vehicle</w:t>
            </w:r>
          </w:p>
        </w:tc>
      </w:tr>
      <w:tr w:rsidR="00282248" w:rsidRPr="0092034C" w14:paraId="41CBD071" w14:textId="77777777" w:rsidTr="00295F70">
        <w:trPr>
          <w:trHeight w:val="20"/>
        </w:trPr>
        <w:tc>
          <w:tcPr>
            <w:tcW w:w="1975" w:type="dxa"/>
            <w:shd w:val="clear" w:color="auto" w:fill="auto"/>
            <w:vAlign w:val="center"/>
          </w:tcPr>
          <w:p w14:paraId="5961B9B5"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PFYC</w:t>
            </w:r>
          </w:p>
        </w:tc>
        <w:tc>
          <w:tcPr>
            <w:tcW w:w="7385" w:type="dxa"/>
            <w:shd w:val="clear" w:color="auto" w:fill="auto"/>
          </w:tcPr>
          <w:p w14:paraId="151E2DB2"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Potential Fossil Yield Classification</w:t>
            </w:r>
          </w:p>
        </w:tc>
      </w:tr>
      <w:tr w:rsidR="00282248" w:rsidRPr="0092034C" w14:paraId="122D685E" w14:textId="77777777" w:rsidTr="00295F70">
        <w:trPr>
          <w:trHeight w:val="20"/>
        </w:trPr>
        <w:tc>
          <w:tcPr>
            <w:tcW w:w="1975" w:type="dxa"/>
            <w:shd w:val="clear" w:color="auto" w:fill="auto"/>
            <w:vAlign w:val="center"/>
          </w:tcPr>
          <w:p w14:paraId="43086388" w14:textId="77777777" w:rsidR="00282248" w:rsidRPr="0092034C" w:rsidRDefault="00282248" w:rsidP="00295F70">
            <w:pPr>
              <w:pBdr>
                <w:top w:val="nil"/>
                <w:left w:val="nil"/>
                <w:bottom w:val="nil"/>
                <w:right w:val="nil"/>
                <w:between w:val="nil"/>
              </w:pBdr>
              <w:rPr>
                <w:rFonts w:cs="Times New Roman"/>
              </w:rPr>
            </w:pPr>
            <w:r>
              <w:rPr>
                <w:rFonts w:cs="Times New Roman"/>
              </w:rPr>
              <w:t>PLPCO</w:t>
            </w:r>
          </w:p>
        </w:tc>
        <w:tc>
          <w:tcPr>
            <w:tcW w:w="7385" w:type="dxa"/>
            <w:shd w:val="clear" w:color="auto" w:fill="auto"/>
          </w:tcPr>
          <w:p w14:paraId="33DF2223" w14:textId="77777777" w:rsidR="00282248" w:rsidRPr="0092034C" w:rsidRDefault="00282248" w:rsidP="00295F70">
            <w:pPr>
              <w:pBdr>
                <w:top w:val="nil"/>
                <w:left w:val="nil"/>
                <w:bottom w:val="nil"/>
                <w:right w:val="nil"/>
                <w:between w:val="nil"/>
              </w:pBdr>
              <w:rPr>
                <w:rFonts w:cs="Times New Roman"/>
              </w:rPr>
            </w:pPr>
            <w:r w:rsidRPr="0032230D">
              <w:t>Utah Public Lands Policy Coordinating Office</w:t>
            </w:r>
          </w:p>
        </w:tc>
      </w:tr>
      <w:tr w:rsidR="00282248" w:rsidRPr="0092034C" w14:paraId="050ECCE0" w14:textId="77777777" w:rsidTr="00295F70">
        <w:trPr>
          <w:trHeight w:val="20"/>
        </w:trPr>
        <w:tc>
          <w:tcPr>
            <w:tcW w:w="1975" w:type="dxa"/>
            <w:shd w:val="clear" w:color="auto" w:fill="auto"/>
            <w:vAlign w:val="center"/>
          </w:tcPr>
          <w:p w14:paraId="730994D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PM</w:t>
            </w:r>
            <w:r w:rsidRPr="0092034C">
              <w:rPr>
                <w:rFonts w:cs="Times New Roman"/>
                <w:vertAlign w:val="subscript"/>
              </w:rPr>
              <w:t>2.5</w:t>
            </w:r>
          </w:p>
        </w:tc>
        <w:tc>
          <w:tcPr>
            <w:tcW w:w="7385" w:type="dxa"/>
            <w:shd w:val="clear" w:color="auto" w:fill="auto"/>
          </w:tcPr>
          <w:p w14:paraId="51A0133C" w14:textId="31DE1B73" w:rsidR="00282248" w:rsidRPr="0092034C" w:rsidRDefault="000D07F9" w:rsidP="00295F70">
            <w:pPr>
              <w:pBdr>
                <w:top w:val="nil"/>
                <w:left w:val="nil"/>
                <w:bottom w:val="nil"/>
                <w:right w:val="nil"/>
                <w:between w:val="nil"/>
              </w:pBdr>
              <w:rPr>
                <w:rFonts w:cs="Times New Roman"/>
              </w:rPr>
            </w:pPr>
            <w:r>
              <w:rPr>
                <w:rFonts w:cs="Times New Roman"/>
              </w:rPr>
              <w:t>P</w:t>
            </w:r>
            <w:r w:rsidR="00282248" w:rsidRPr="0092034C">
              <w:rPr>
                <w:rFonts w:cs="Times New Roman"/>
              </w:rPr>
              <w:t>articulate matter equal to or less than 2.5 microns in diameter</w:t>
            </w:r>
          </w:p>
        </w:tc>
      </w:tr>
      <w:tr w:rsidR="00282248" w:rsidRPr="0092034C" w14:paraId="2B62D350" w14:textId="77777777" w:rsidTr="00295F70">
        <w:trPr>
          <w:trHeight w:val="20"/>
        </w:trPr>
        <w:tc>
          <w:tcPr>
            <w:tcW w:w="1975" w:type="dxa"/>
            <w:shd w:val="clear" w:color="auto" w:fill="auto"/>
            <w:vAlign w:val="center"/>
          </w:tcPr>
          <w:p w14:paraId="23D66C51"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PM</w:t>
            </w:r>
            <w:r w:rsidRPr="0092034C">
              <w:rPr>
                <w:rFonts w:cs="Times New Roman"/>
                <w:vertAlign w:val="subscript"/>
              </w:rPr>
              <w:t>10</w:t>
            </w:r>
          </w:p>
        </w:tc>
        <w:tc>
          <w:tcPr>
            <w:tcW w:w="7385" w:type="dxa"/>
            <w:shd w:val="clear" w:color="auto" w:fill="auto"/>
          </w:tcPr>
          <w:p w14:paraId="74062914" w14:textId="30CFDA94" w:rsidR="00282248" w:rsidRPr="0092034C" w:rsidRDefault="000D07F9" w:rsidP="00295F70">
            <w:pPr>
              <w:pBdr>
                <w:top w:val="nil"/>
                <w:left w:val="nil"/>
                <w:bottom w:val="nil"/>
                <w:right w:val="nil"/>
                <w:between w:val="nil"/>
              </w:pBdr>
              <w:rPr>
                <w:rFonts w:cs="Times New Roman"/>
              </w:rPr>
            </w:pPr>
            <w:bookmarkStart w:id="12" w:name="_3znysh7" w:colFirst="0" w:colLast="0"/>
            <w:bookmarkEnd w:id="12"/>
            <w:r>
              <w:rPr>
                <w:rFonts w:cs="Times New Roman"/>
              </w:rPr>
              <w:t>P</w:t>
            </w:r>
            <w:r w:rsidR="00282248" w:rsidRPr="0092034C">
              <w:rPr>
                <w:rFonts w:cs="Times New Roman"/>
              </w:rPr>
              <w:t xml:space="preserve">articulate matter equal to or less than 10 microns in </w:t>
            </w:r>
            <w:r w:rsidR="00282248" w:rsidRPr="0092034C" w:rsidDel="00AE41EA">
              <w:rPr>
                <w:rFonts w:cs="Times New Roman"/>
              </w:rPr>
              <w:t>diameter</w:t>
            </w:r>
          </w:p>
        </w:tc>
      </w:tr>
      <w:tr w:rsidR="00282248" w:rsidRPr="0092034C" w14:paraId="49CA874B" w14:textId="77777777" w:rsidTr="00295F70">
        <w:trPr>
          <w:trHeight w:val="20"/>
        </w:trPr>
        <w:tc>
          <w:tcPr>
            <w:tcW w:w="1975" w:type="dxa"/>
            <w:shd w:val="clear" w:color="auto" w:fill="auto"/>
          </w:tcPr>
          <w:p w14:paraId="09515F09"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ppb</w:t>
            </w:r>
          </w:p>
        </w:tc>
        <w:tc>
          <w:tcPr>
            <w:tcW w:w="7385" w:type="dxa"/>
            <w:shd w:val="clear" w:color="auto" w:fill="auto"/>
          </w:tcPr>
          <w:p w14:paraId="11B78DE0" w14:textId="31012467" w:rsidR="00282248" w:rsidRPr="0092034C" w:rsidRDefault="004F453E" w:rsidP="00295F70">
            <w:pPr>
              <w:pBdr>
                <w:top w:val="nil"/>
                <w:left w:val="nil"/>
                <w:bottom w:val="nil"/>
                <w:right w:val="nil"/>
                <w:between w:val="nil"/>
              </w:pBdr>
              <w:rPr>
                <w:rFonts w:cs="Times New Roman"/>
              </w:rPr>
            </w:pPr>
            <w:r>
              <w:rPr>
                <w:rFonts w:cs="Times New Roman"/>
              </w:rPr>
              <w:t>P</w:t>
            </w:r>
            <w:r w:rsidR="00282248" w:rsidRPr="0092034C">
              <w:rPr>
                <w:rFonts w:cs="Times New Roman"/>
              </w:rPr>
              <w:t>arts per billion</w:t>
            </w:r>
          </w:p>
        </w:tc>
      </w:tr>
      <w:tr w:rsidR="00282248" w:rsidRPr="0092034C" w14:paraId="0BB17A7C" w14:textId="77777777" w:rsidTr="00295F70">
        <w:trPr>
          <w:trHeight w:val="20"/>
        </w:trPr>
        <w:tc>
          <w:tcPr>
            <w:tcW w:w="1975" w:type="dxa"/>
            <w:shd w:val="clear" w:color="auto" w:fill="auto"/>
          </w:tcPr>
          <w:p w14:paraId="79B51592"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 xml:space="preserve">ppm </w:t>
            </w:r>
          </w:p>
        </w:tc>
        <w:tc>
          <w:tcPr>
            <w:tcW w:w="7385" w:type="dxa"/>
            <w:shd w:val="clear" w:color="auto" w:fill="auto"/>
          </w:tcPr>
          <w:p w14:paraId="33096D43" w14:textId="13DE4595" w:rsidR="00282248" w:rsidRPr="0092034C" w:rsidRDefault="004F453E" w:rsidP="00295F70">
            <w:pPr>
              <w:pBdr>
                <w:top w:val="nil"/>
                <w:left w:val="nil"/>
                <w:bottom w:val="nil"/>
                <w:right w:val="nil"/>
                <w:between w:val="nil"/>
              </w:pBdr>
              <w:rPr>
                <w:rFonts w:cs="Times New Roman"/>
              </w:rPr>
            </w:pPr>
            <w:r>
              <w:rPr>
                <w:rFonts w:cs="Times New Roman"/>
              </w:rPr>
              <w:t>P</w:t>
            </w:r>
            <w:r w:rsidR="00282248" w:rsidRPr="0092034C">
              <w:rPr>
                <w:rFonts w:cs="Times New Roman"/>
              </w:rPr>
              <w:t>arts per million</w:t>
            </w:r>
          </w:p>
        </w:tc>
      </w:tr>
      <w:tr w:rsidR="00282248" w:rsidRPr="0092034C" w14:paraId="189F5634" w14:textId="77777777" w:rsidTr="00295F70">
        <w:trPr>
          <w:trHeight w:val="20"/>
        </w:trPr>
        <w:tc>
          <w:tcPr>
            <w:tcW w:w="1975" w:type="dxa"/>
            <w:shd w:val="clear" w:color="auto" w:fill="auto"/>
          </w:tcPr>
          <w:p w14:paraId="32B4A40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PRPA</w:t>
            </w:r>
          </w:p>
        </w:tc>
        <w:tc>
          <w:tcPr>
            <w:tcW w:w="7385" w:type="dxa"/>
            <w:shd w:val="clear" w:color="auto" w:fill="auto"/>
          </w:tcPr>
          <w:p w14:paraId="5705E7ED" w14:textId="77777777" w:rsidR="00282248" w:rsidRPr="0092034C" w:rsidRDefault="00282248" w:rsidP="00295F70">
            <w:pPr>
              <w:pBdr>
                <w:top w:val="nil"/>
                <w:left w:val="nil"/>
                <w:bottom w:val="nil"/>
                <w:right w:val="nil"/>
                <w:between w:val="nil"/>
              </w:pBdr>
              <w:rPr>
                <w:rFonts w:cs="Times New Roman"/>
              </w:rPr>
            </w:pPr>
            <w:r w:rsidRPr="0092034C">
              <w:t>Paleontological Resources Preservation Act</w:t>
            </w:r>
          </w:p>
        </w:tc>
      </w:tr>
      <w:tr w:rsidR="00282248" w:rsidRPr="0092034C" w14:paraId="67D89C2D" w14:textId="77777777" w:rsidTr="00295F70">
        <w:trPr>
          <w:trHeight w:val="20"/>
        </w:trPr>
        <w:tc>
          <w:tcPr>
            <w:tcW w:w="1975" w:type="dxa"/>
            <w:shd w:val="clear" w:color="auto" w:fill="auto"/>
          </w:tcPr>
          <w:p w14:paraId="33BAB9F8"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PSD</w:t>
            </w:r>
          </w:p>
        </w:tc>
        <w:tc>
          <w:tcPr>
            <w:tcW w:w="7385" w:type="dxa"/>
            <w:shd w:val="clear" w:color="auto" w:fill="auto"/>
          </w:tcPr>
          <w:p w14:paraId="1D7D37F6" w14:textId="51202784" w:rsidR="00282248" w:rsidRPr="0092034C" w:rsidRDefault="004F453E" w:rsidP="00295F70">
            <w:pPr>
              <w:pBdr>
                <w:top w:val="nil"/>
                <w:left w:val="nil"/>
                <w:bottom w:val="nil"/>
                <w:right w:val="nil"/>
                <w:between w:val="nil"/>
              </w:pBdr>
              <w:rPr>
                <w:rFonts w:cs="Times New Roman"/>
              </w:rPr>
            </w:pPr>
            <w:r>
              <w:rPr>
                <w:rFonts w:cs="Times New Roman"/>
              </w:rPr>
              <w:t>P</w:t>
            </w:r>
            <w:r w:rsidR="00282248" w:rsidRPr="0092034C">
              <w:rPr>
                <w:rFonts w:cs="Times New Roman"/>
              </w:rPr>
              <w:t>revention of significant degradation</w:t>
            </w:r>
          </w:p>
        </w:tc>
      </w:tr>
      <w:tr w:rsidR="00282248" w:rsidRPr="0092034C" w14:paraId="3CAD0319" w14:textId="77777777" w:rsidTr="00295F70">
        <w:trPr>
          <w:trHeight w:val="20"/>
        </w:trPr>
        <w:tc>
          <w:tcPr>
            <w:tcW w:w="1975" w:type="dxa"/>
            <w:shd w:val="clear" w:color="auto" w:fill="auto"/>
          </w:tcPr>
          <w:p w14:paraId="7BEC52F2"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RFD</w:t>
            </w:r>
          </w:p>
        </w:tc>
        <w:tc>
          <w:tcPr>
            <w:tcW w:w="7385" w:type="dxa"/>
            <w:shd w:val="clear" w:color="auto" w:fill="auto"/>
          </w:tcPr>
          <w:p w14:paraId="3436FDA2" w14:textId="5998CA3E" w:rsidR="00282248" w:rsidRPr="0092034C" w:rsidRDefault="004F453E" w:rsidP="00295F70">
            <w:pPr>
              <w:pBdr>
                <w:top w:val="nil"/>
                <w:left w:val="nil"/>
                <w:bottom w:val="nil"/>
                <w:right w:val="nil"/>
                <w:between w:val="nil"/>
              </w:pBdr>
              <w:rPr>
                <w:rFonts w:cs="Times New Roman"/>
              </w:rPr>
            </w:pPr>
            <w:r>
              <w:rPr>
                <w:rFonts w:cs="Times New Roman"/>
              </w:rPr>
              <w:t>R</w:t>
            </w:r>
            <w:r w:rsidR="00282248" w:rsidRPr="0092034C">
              <w:rPr>
                <w:rFonts w:cs="Times New Roman"/>
              </w:rPr>
              <w:t>easonably foreseeable development</w:t>
            </w:r>
          </w:p>
        </w:tc>
      </w:tr>
      <w:tr w:rsidR="00282248" w:rsidRPr="0092034C" w14:paraId="5BC82236" w14:textId="77777777" w:rsidTr="00295F70">
        <w:trPr>
          <w:trHeight w:val="20"/>
        </w:trPr>
        <w:tc>
          <w:tcPr>
            <w:tcW w:w="1975" w:type="dxa"/>
            <w:shd w:val="clear" w:color="auto" w:fill="auto"/>
            <w:vAlign w:val="center"/>
          </w:tcPr>
          <w:p w14:paraId="545CA85A"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RMP</w:t>
            </w:r>
          </w:p>
        </w:tc>
        <w:tc>
          <w:tcPr>
            <w:tcW w:w="7385" w:type="dxa"/>
            <w:shd w:val="clear" w:color="auto" w:fill="auto"/>
          </w:tcPr>
          <w:p w14:paraId="01B36F79" w14:textId="55939DD0" w:rsidR="00282248" w:rsidRPr="0092034C" w:rsidRDefault="00A33FAC" w:rsidP="00295F70">
            <w:pPr>
              <w:pBdr>
                <w:top w:val="nil"/>
                <w:left w:val="nil"/>
                <w:bottom w:val="nil"/>
                <w:right w:val="nil"/>
                <w:between w:val="nil"/>
              </w:pBdr>
              <w:rPr>
                <w:rFonts w:cs="Times New Roman"/>
              </w:rPr>
            </w:pPr>
            <w:r>
              <w:rPr>
                <w:rFonts w:cs="Times New Roman"/>
              </w:rPr>
              <w:t>R</w:t>
            </w:r>
            <w:r w:rsidR="00282248" w:rsidRPr="0092034C">
              <w:rPr>
                <w:rFonts w:cs="Times New Roman"/>
              </w:rPr>
              <w:t>esource management plan</w:t>
            </w:r>
          </w:p>
        </w:tc>
      </w:tr>
      <w:tr w:rsidR="00282248" w:rsidRPr="0092034C" w14:paraId="79DE353B" w14:textId="77777777" w:rsidTr="00295F70">
        <w:trPr>
          <w:trHeight w:val="20"/>
        </w:trPr>
        <w:tc>
          <w:tcPr>
            <w:tcW w:w="1975" w:type="dxa"/>
            <w:shd w:val="clear" w:color="auto" w:fill="auto"/>
            <w:vAlign w:val="center"/>
          </w:tcPr>
          <w:p w14:paraId="27D566BC" w14:textId="77777777" w:rsidR="00282248" w:rsidRPr="0092034C" w:rsidRDefault="00282248" w:rsidP="00295F70">
            <w:pPr>
              <w:pBdr>
                <w:top w:val="nil"/>
                <w:left w:val="nil"/>
                <w:bottom w:val="nil"/>
                <w:right w:val="nil"/>
                <w:between w:val="nil"/>
              </w:pBdr>
              <w:rPr>
                <w:rFonts w:cs="Times New Roman"/>
              </w:rPr>
            </w:pPr>
            <w:r>
              <w:rPr>
                <w:rFonts w:cs="Times New Roman"/>
              </w:rPr>
              <w:t>ROD</w:t>
            </w:r>
          </w:p>
        </w:tc>
        <w:tc>
          <w:tcPr>
            <w:tcW w:w="7385" w:type="dxa"/>
            <w:shd w:val="clear" w:color="auto" w:fill="auto"/>
          </w:tcPr>
          <w:p w14:paraId="40D3011B" w14:textId="77777777" w:rsidR="00282248" w:rsidRPr="0092034C" w:rsidRDefault="00282248" w:rsidP="00295F70">
            <w:pPr>
              <w:pBdr>
                <w:top w:val="nil"/>
                <w:left w:val="nil"/>
                <w:bottom w:val="nil"/>
                <w:right w:val="nil"/>
                <w:between w:val="nil"/>
              </w:pBdr>
              <w:rPr>
                <w:rFonts w:cs="Times New Roman"/>
              </w:rPr>
            </w:pPr>
            <w:r>
              <w:rPr>
                <w:rFonts w:cs="Times New Roman"/>
              </w:rPr>
              <w:t>Record of Decision</w:t>
            </w:r>
          </w:p>
        </w:tc>
      </w:tr>
      <w:tr w:rsidR="00282248" w:rsidRPr="0092034C" w14:paraId="440F046B" w14:textId="77777777" w:rsidTr="00295F70">
        <w:trPr>
          <w:trHeight w:val="20"/>
        </w:trPr>
        <w:tc>
          <w:tcPr>
            <w:tcW w:w="1975" w:type="dxa"/>
            <w:shd w:val="clear" w:color="auto" w:fill="auto"/>
            <w:vAlign w:val="center"/>
          </w:tcPr>
          <w:p w14:paraId="5CAD2320" w14:textId="77777777" w:rsidR="00282248" w:rsidRPr="0092034C" w:rsidRDefault="00282248" w:rsidP="00295F70">
            <w:pPr>
              <w:pBdr>
                <w:top w:val="nil"/>
                <w:left w:val="nil"/>
                <w:bottom w:val="nil"/>
                <w:right w:val="nil"/>
                <w:between w:val="nil"/>
              </w:pBdr>
              <w:rPr>
                <w:rFonts w:cs="Times New Roman"/>
              </w:rPr>
            </w:pPr>
            <w:r>
              <w:rPr>
                <w:rFonts w:cs="Times New Roman"/>
              </w:rPr>
              <w:t>ROW</w:t>
            </w:r>
          </w:p>
        </w:tc>
        <w:tc>
          <w:tcPr>
            <w:tcW w:w="7385" w:type="dxa"/>
            <w:shd w:val="clear" w:color="auto" w:fill="auto"/>
          </w:tcPr>
          <w:p w14:paraId="792964DA" w14:textId="1B1A26FB" w:rsidR="00282248" w:rsidRPr="0092034C" w:rsidRDefault="00A33FAC" w:rsidP="00295F70">
            <w:pPr>
              <w:pBdr>
                <w:top w:val="nil"/>
                <w:left w:val="nil"/>
                <w:bottom w:val="nil"/>
                <w:right w:val="nil"/>
                <w:between w:val="nil"/>
              </w:pBdr>
              <w:rPr>
                <w:rFonts w:cs="Times New Roman"/>
              </w:rPr>
            </w:pPr>
            <w:r>
              <w:rPr>
                <w:rFonts w:cs="Times New Roman"/>
              </w:rPr>
              <w:t>R</w:t>
            </w:r>
            <w:r w:rsidR="00282248">
              <w:rPr>
                <w:rFonts w:cs="Times New Roman"/>
              </w:rPr>
              <w:t>ight of way</w:t>
            </w:r>
          </w:p>
        </w:tc>
      </w:tr>
      <w:tr w:rsidR="00282248" w:rsidRPr="0092034C" w14:paraId="6497B9F5" w14:textId="77777777" w:rsidTr="00295F70">
        <w:trPr>
          <w:trHeight w:val="20"/>
        </w:trPr>
        <w:tc>
          <w:tcPr>
            <w:tcW w:w="1975" w:type="dxa"/>
            <w:shd w:val="clear" w:color="auto" w:fill="auto"/>
            <w:vAlign w:val="center"/>
          </w:tcPr>
          <w:p w14:paraId="0F295537"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SC</w:t>
            </w:r>
            <w:r>
              <w:rPr>
                <w:rFonts w:cs="Times New Roman"/>
              </w:rPr>
              <w:t>-GHG</w:t>
            </w:r>
          </w:p>
        </w:tc>
        <w:tc>
          <w:tcPr>
            <w:tcW w:w="7385" w:type="dxa"/>
            <w:shd w:val="clear" w:color="auto" w:fill="auto"/>
          </w:tcPr>
          <w:p w14:paraId="3FB6D860" w14:textId="55562CAC" w:rsidR="00282248" w:rsidRPr="0092034C" w:rsidRDefault="00A33FAC" w:rsidP="00295F70">
            <w:pPr>
              <w:pBdr>
                <w:top w:val="nil"/>
                <w:left w:val="nil"/>
                <w:bottom w:val="nil"/>
                <w:right w:val="nil"/>
                <w:between w:val="nil"/>
              </w:pBdr>
              <w:rPr>
                <w:rFonts w:cs="Times New Roman"/>
              </w:rPr>
            </w:pPr>
            <w:r>
              <w:rPr>
                <w:rFonts w:cs="Times New Roman"/>
              </w:rPr>
              <w:t>S</w:t>
            </w:r>
            <w:r w:rsidR="00282248" w:rsidRPr="0092034C">
              <w:rPr>
                <w:rFonts w:cs="Times New Roman"/>
              </w:rPr>
              <w:t xml:space="preserve">ocial cost of </w:t>
            </w:r>
            <w:r w:rsidR="00282248">
              <w:rPr>
                <w:rFonts w:cs="Times New Roman"/>
              </w:rPr>
              <w:t>greenhouse gases</w:t>
            </w:r>
          </w:p>
        </w:tc>
      </w:tr>
      <w:tr w:rsidR="00282248" w:rsidRPr="0092034C" w14:paraId="4005A95E" w14:textId="77777777" w:rsidTr="00295F70">
        <w:trPr>
          <w:trHeight w:val="20"/>
        </w:trPr>
        <w:tc>
          <w:tcPr>
            <w:tcW w:w="1975" w:type="dxa"/>
            <w:shd w:val="clear" w:color="auto" w:fill="auto"/>
            <w:vAlign w:val="center"/>
          </w:tcPr>
          <w:p w14:paraId="2BC5D91A" w14:textId="77777777" w:rsidR="00282248" w:rsidRPr="0092034C" w:rsidRDefault="00282248" w:rsidP="00295F70">
            <w:pPr>
              <w:pBdr>
                <w:top w:val="nil"/>
                <w:left w:val="nil"/>
                <w:bottom w:val="nil"/>
                <w:right w:val="nil"/>
                <w:between w:val="nil"/>
              </w:pBdr>
              <w:rPr>
                <w:rFonts w:cs="Times New Roman"/>
              </w:rPr>
            </w:pPr>
            <w:r>
              <w:rPr>
                <w:rFonts w:cs="Times New Roman"/>
              </w:rPr>
              <w:t>SE</w:t>
            </w:r>
          </w:p>
        </w:tc>
        <w:tc>
          <w:tcPr>
            <w:tcW w:w="7385" w:type="dxa"/>
            <w:shd w:val="clear" w:color="auto" w:fill="auto"/>
          </w:tcPr>
          <w:p w14:paraId="60267FE7" w14:textId="65FC92E1" w:rsidR="00282248" w:rsidRPr="0092034C" w:rsidRDefault="00A33FAC" w:rsidP="00295F70">
            <w:pPr>
              <w:pBdr>
                <w:top w:val="nil"/>
                <w:left w:val="nil"/>
                <w:bottom w:val="nil"/>
                <w:right w:val="nil"/>
                <w:between w:val="nil"/>
              </w:pBdr>
              <w:rPr>
                <w:rFonts w:cs="Times New Roman"/>
              </w:rPr>
            </w:pPr>
            <w:r>
              <w:rPr>
                <w:rFonts w:cs="Times New Roman"/>
              </w:rPr>
              <w:t>S</w:t>
            </w:r>
            <w:r w:rsidR="00282248">
              <w:rPr>
                <w:rFonts w:cs="Times New Roman"/>
              </w:rPr>
              <w:t>ocioeconomics</w:t>
            </w:r>
          </w:p>
        </w:tc>
      </w:tr>
      <w:tr w:rsidR="00282248" w:rsidRPr="0092034C" w14:paraId="2037E8EE" w14:textId="77777777" w:rsidTr="00295F70">
        <w:trPr>
          <w:trHeight w:val="20"/>
        </w:trPr>
        <w:tc>
          <w:tcPr>
            <w:tcW w:w="1975" w:type="dxa"/>
            <w:shd w:val="clear" w:color="auto" w:fill="auto"/>
            <w:vAlign w:val="center"/>
          </w:tcPr>
          <w:p w14:paraId="343F5CEE"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SHPO</w:t>
            </w:r>
          </w:p>
        </w:tc>
        <w:tc>
          <w:tcPr>
            <w:tcW w:w="7385" w:type="dxa"/>
            <w:shd w:val="clear" w:color="auto" w:fill="auto"/>
          </w:tcPr>
          <w:p w14:paraId="7DDCF1DF"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State Historic Preservation Office</w:t>
            </w:r>
          </w:p>
        </w:tc>
      </w:tr>
      <w:tr w:rsidR="00E915A8" w:rsidRPr="0092034C" w14:paraId="6FE82EA9" w14:textId="77777777" w:rsidTr="00295F70">
        <w:trPr>
          <w:trHeight w:val="20"/>
        </w:trPr>
        <w:tc>
          <w:tcPr>
            <w:tcW w:w="1975" w:type="dxa"/>
            <w:shd w:val="clear" w:color="auto" w:fill="auto"/>
            <w:vAlign w:val="center"/>
          </w:tcPr>
          <w:p w14:paraId="4429F150" w14:textId="2D379AB8" w:rsidR="00E915A8" w:rsidRPr="0092034C" w:rsidRDefault="00E915A8" w:rsidP="00295F70">
            <w:pPr>
              <w:pBdr>
                <w:top w:val="nil"/>
                <w:left w:val="nil"/>
                <w:bottom w:val="nil"/>
                <w:right w:val="nil"/>
                <w:between w:val="nil"/>
              </w:pBdr>
              <w:rPr>
                <w:rFonts w:cs="Times New Roman"/>
              </w:rPr>
            </w:pPr>
            <w:r>
              <w:rPr>
                <w:rFonts w:cs="Times New Roman"/>
              </w:rPr>
              <w:lastRenderedPageBreak/>
              <w:t>TMDL</w:t>
            </w:r>
          </w:p>
        </w:tc>
        <w:tc>
          <w:tcPr>
            <w:tcW w:w="7385" w:type="dxa"/>
            <w:shd w:val="clear" w:color="auto" w:fill="auto"/>
          </w:tcPr>
          <w:p w14:paraId="181B71C4" w14:textId="513B03CD" w:rsidR="00E915A8" w:rsidRPr="0092034C" w:rsidRDefault="00CF6D4E" w:rsidP="00295F70">
            <w:pPr>
              <w:pBdr>
                <w:top w:val="nil"/>
                <w:left w:val="nil"/>
                <w:bottom w:val="nil"/>
                <w:right w:val="nil"/>
                <w:between w:val="nil"/>
              </w:pBdr>
              <w:rPr>
                <w:rFonts w:cs="Times New Roman"/>
              </w:rPr>
            </w:pPr>
            <w:r>
              <w:rPr>
                <w:rFonts w:cs="Times New Roman"/>
              </w:rPr>
              <w:t>Total Maximum Daily Load</w:t>
            </w:r>
          </w:p>
        </w:tc>
      </w:tr>
      <w:tr w:rsidR="00282248" w:rsidRPr="0092034C" w14:paraId="27FB8D34" w14:textId="77777777" w:rsidTr="00295F70">
        <w:trPr>
          <w:trHeight w:val="20"/>
        </w:trPr>
        <w:tc>
          <w:tcPr>
            <w:tcW w:w="1975" w:type="dxa"/>
            <w:shd w:val="clear" w:color="auto" w:fill="auto"/>
            <w:vAlign w:val="center"/>
          </w:tcPr>
          <w:p w14:paraId="1BEFC21D" w14:textId="77777777" w:rsidR="00282248" w:rsidRPr="0092034C" w:rsidRDefault="00282248" w:rsidP="00295F70">
            <w:pPr>
              <w:pBdr>
                <w:top w:val="nil"/>
                <w:left w:val="nil"/>
                <w:bottom w:val="nil"/>
                <w:right w:val="nil"/>
                <w:between w:val="nil"/>
              </w:pBdr>
              <w:rPr>
                <w:rFonts w:cs="Times New Roman"/>
              </w:rPr>
            </w:pPr>
            <w:r>
              <w:rPr>
                <w:rFonts w:cs="Times New Roman"/>
              </w:rPr>
              <w:t>UTLA</w:t>
            </w:r>
          </w:p>
        </w:tc>
        <w:tc>
          <w:tcPr>
            <w:tcW w:w="7385" w:type="dxa"/>
            <w:shd w:val="clear" w:color="auto" w:fill="auto"/>
          </w:tcPr>
          <w:p w14:paraId="57F6893B" w14:textId="77777777" w:rsidR="00282248" w:rsidRPr="0092034C" w:rsidRDefault="00282248" w:rsidP="00295F70">
            <w:pPr>
              <w:pBdr>
                <w:top w:val="nil"/>
                <w:left w:val="nil"/>
                <w:bottom w:val="nil"/>
                <w:right w:val="nil"/>
                <w:between w:val="nil"/>
              </w:pBdr>
              <w:rPr>
                <w:rFonts w:cs="Times New Roman"/>
              </w:rPr>
            </w:pPr>
            <w:r w:rsidRPr="0032230D">
              <w:t>Utah Trust Lands Administration</w:t>
            </w:r>
          </w:p>
        </w:tc>
      </w:tr>
      <w:tr w:rsidR="00282248" w:rsidRPr="0092034C" w14:paraId="47671917" w14:textId="77777777" w:rsidTr="00295F70">
        <w:trPr>
          <w:trHeight w:val="20"/>
        </w:trPr>
        <w:tc>
          <w:tcPr>
            <w:tcW w:w="1975" w:type="dxa"/>
            <w:shd w:val="clear" w:color="auto" w:fill="auto"/>
            <w:vAlign w:val="center"/>
          </w:tcPr>
          <w:p w14:paraId="7864C586" w14:textId="77777777" w:rsidR="00282248" w:rsidRPr="0092034C" w:rsidRDefault="00282248" w:rsidP="00295F70">
            <w:pPr>
              <w:pBdr>
                <w:top w:val="nil"/>
                <w:left w:val="nil"/>
                <w:bottom w:val="nil"/>
                <w:right w:val="nil"/>
                <w:between w:val="nil"/>
              </w:pBdr>
              <w:rPr>
                <w:rFonts w:cs="Times New Roman"/>
              </w:rPr>
            </w:pPr>
            <w:r>
              <w:rPr>
                <w:rFonts w:cs="Times New Roman"/>
              </w:rPr>
              <w:t>SME</w:t>
            </w:r>
          </w:p>
        </w:tc>
        <w:tc>
          <w:tcPr>
            <w:tcW w:w="7385" w:type="dxa"/>
            <w:shd w:val="clear" w:color="auto" w:fill="auto"/>
          </w:tcPr>
          <w:p w14:paraId="4CFAAA61" w14:textId="77777777" w:rsidR="00282248" w:rsidRPr="0032230D" w:rsidRDefault="00282248" w:rsidP="00295F70">
            <w:pPr>
              <w:pBdr>
                <w:top w:val="nil"/>
                <w:left w:val="nil"/>
                <w:bottom w:val="nil"/>
                <w:right w:val="nil"/>
                <w:between w:val="nil"/>
              </w:pBdr>
              <w:rPr>
                <w:rFonts w:cs="Times New Roman"/>
              </w:rPr>
            </w:pPr>
            <w:r>
              <w:t>Surface Management Entity</w:t>
            </w:r>
          </w:p>
        </w:tc>
      </w:tr>
      <w:tr w:rsidR="00282248" w:rsidRPr="0092034C" w14:paraId="3FF2748C" w14:textId="77777777" w:rsidTr="00295F70">
        <w:trPr>
          <w:trHeight w:val="20"/>
        </w:trPr>
        <w:tc>
          <w:tcPr>
            <w:tcW w:w="1975" w:type="dxa"/>
            <w:shd w:val="clear" w:color="auto" w:fill="auto"/>
            <w:vAlign w:val="center"/>
          </w:tcPr>
          <w:p w14:paraId="593A56A1" w14:textId="77777777" w:rsidR="00282248" w:rsidRDefault="00282248" w:rsidP="00295F70">
            <w:pPr>
              <w:pBdr>
                <w:top w:val="nil"/>
                <w:left w:val="nil"/>
                <w:bottom w:val="nil"/>
                <w:right w:val="nil"/>
                <w:between w:val="nil"/>
              </w:pBdr>
              <w:rPr>
                <w:rFonts w:cs="Times New Roman"/>
              </w:rPr>
            </w:pPr>
            <w:r>
              <w:rPr>
                <w:rFonts w:cs="Times New Roman"/>
              </w:rPr>
              <w:t>SQM</w:t>
            </w:r>
          </w:p>
        </w:tc>
        <w:tc>
          <w:tcPr>
            <w:tcW w:w="7385" w:type="dxa"/>
            <w:shd w:val="clear" w:color="auto" w:fill="auto"/>
          </w:tcPr>
          <w:p w14:paraId="2E1A3F13" w14:textId="77777777" w:rsidR="00282248" w:rsidRDefault="00282248" w:rsidP="00295F70">
            <w:pPr>
              <w:pBdr>
                <w:top w:val="nil"/>
                <w:left w:val="nil"/>
                <w:bottom w:val="nil"/>
                <w:right w:val="nil"/>
                <w:between w:val="nil"/>
              </w:pBdr>
            </w:pPr>
            <w:r>
              <w:t>Sky Quality Meter</w:t>
            </w:r>
          </w:p>
        </w:tc>
      </w:tr>
      <w:tr w:rsidR="00282248" w:rsidRPr="0092034C" w14:paraId="3971CE7C" w14:textId="77777777" w:rsidTr="00295F70">
        <w:trPr>
          <w:trHeight w:val="20"/>
        </w:trPr>
        <w:tc>
          <w:tcPr>
            <w:tcW w:w="1975" w:type="dxa"/>
            <w:shd w:val="clear" w:color="auto" w:fill="auto"/>
            <w:vAlign w:val="center"/>
          </w:tcPr>
          <w:p w14:paraId="536E04FC" w14:textId="77777777" w:rsidR="00282248" w:rsidRDefault="00282248" w:rsidP="00295F70">
            <w:pPr>
              <w:pBdr>
                <w:top w:val="nil"/>
                <w:left w:val="nil"/>
                <w:bottom w:val="nil"/>
                <w:right w:val="nil"/>
                <w:between w:val="nil"/>
              </w:pBdr>
              <w:rPr>
                <w:rFonts w:cs="Times New Roman"/>
              </w:rPr>
            </w:pPr>
            <w:r w:rsidRPr="0092034C">
              <w:rPr>
                <w:rFonts w:cs="Times New Roman"/>
              </w:rPr>
              <w:t>SO</w:t>
            </w:r>
            <w:r w:rsidRPr="0092034C">
              <w:rPr>
                <w:rFonts w:cs="Times New Roman"/>
                <w:vertAlign w:val="subscript"/>
              </w:rPr>
              <w:t>2</w:t>
            </w:r>
          </w:p>
        </w:tc>
        <w:tc>
          <w:tcPr>
            <w:tcW w:w="7385" w:type="dxa"/>
            <w:shd w:val="clear" w:color="auto" w:fill="auto"/>
          </w:tcPr>
          <w:p w14:paraId="3EC2277D" w14:textId="259BBE1F" w:rsidR="00282248" w:rsidRPr="0032230D" w:rsidRDefault="00A33FAC" w:rsidP="00295F70">
            <w:pPr>
              <w:pBdr>
                <w:top w:val="nil"/>
                <w:left w:val="nil"/>
                <w:bottom w:val="nil"/>
                <w:right w:val="nil"/>
                <w:between w:val="nil"/>
              </w:pBdr>
            </w:pPr>
            <w:r>
              <w:rPr>
                <w:rFonts w:cs="Times New Roman"/>
              </w:rPr>
              <w:t>S</w:t>
            </w:r>
            <w:r w:rsidR="00282248" w:rsidRPr="0092034C">
              <w:rPr>
                <w:rFonts w:cs="Times New Roman"/>
              </w:rPr>
              <w:t>ulfur dioxide</w:t>
            </w:r>
          </w:p>
        </w:tc>
      </w:tr>
      <w:tr w:rsidR="00282248" w:rsidRPr="0092034C" w14:paraId="3AFB8360" w14:textId="77777777" w:rsidTr="00295F70">
        <w:trPr>
          <w:trHeight w:val="20"/>
        </w:trPr>
        <w:tc>
          <w:tcPr>
            <w:tcW w:w="1975" w:type="dxa"/>
            <w:shd w:val="clear" w:color="auto" w:fill="auto"/>
            <w:vAlign w:val="center"/>
          </w:tcPr>
          <w:p w14:paraId="5E0B5059" w14:textId="77777777" w:rsidR="00282248" w:rsidRPr="0092034C" w:rsidRDefault="00282248" w:rsidP="00295F70">
            <w:pPr>
              <w:pBdr>
                <w:top w:val="nil"/>
                <w:left w:val="nil"/>
                <w:bottom w:val="nil"/>
                <w:right w:val="nil"/>
                <w:between w:val="nil"/>
              </w:pBdr>
              <w:rPr>
                <w:rFonts w:cs="Times New Roman"/>
              </w:rPr>
            </w:pPr>
            <w:r>
              <w:rPr>
                <w:rFonts w:cs="Times New Roman"/>
              </w:rPr>
              <w:t>STEO</w:t>
            </w:r>
          </w:p>
        </w:tc>
        <w:tc>
          <w:tcPr>
            <w:tcW w:w="7385" w:type="dxa"/>
            <w:shd w:val="clear" w:color="auto" w:fill="auto"/>
          </w:tcPr>
          <w:p w14:paraId="73165659" w14:textId="62D972D1" w:rsidR="00282248" w:rsidRPr="0092034C" w:rsidRDefault="00FD203F" w:rsidP="00295F70">
            <w:pPr>
              <w:pBdr>
                <w:top w:val="nil"/>
                <w:left w:val="nil"/>
                <w:bottom w:val="nil"/>
                <w:right w:val="nil"/>
                <w:between w:val="nil"/>
              </w:pBdr>
              <w:rPr>
                <w:rFonts w:cs="Times New Roman"/>
              </w:rPr>
            </w:pPr>
            <w:r>
              <w:t>S</w:t>
            </w:r>
            <w:r w:rsidR="00282248">
              <w:t>hort-term energy outlook</w:t>
            </w:r>
          </w:p>
        </w:tc>
      </w:tr>
      <w:tr w:rsidR="00282248" w:rsidRPr="0092034C" w14:paraId="4B563FA0" w14:textId="77777777" w:rsidTr="00295F70">
        <w:trPr>
          <w:trHeight w:val="20"/>
        </w:trPr>
        <w:tc>
          <w:tcPr>
            <w:tcW w:w="1975" w:type="dxa"/>
            <w:shd w:val="clear" w:color="auto" w:fill="auto"/>
            <w:vAlign w:val="center"/>
          </w:tcPr>
          <w:p w14:paraId="5DEBDB35" w14:textId="77777777" w:rsidR="00282248" w:rsidRPr="0092034C" w:rsidRDefault="00282248" w:rsidP="00295F70">
            <w:pPr>
              <w:pBdr>
                <w:top w:val="nil"/>
                <w:left w:val="nil"/>
                <w:bottom w:val="nil"/>
                <w:right w:val="nil"/>
                <w:between w:val="nil"/>
              </w:pBdr>
              <w:rPr>
                <w:rFonts w:cs="Times New Roman"/>
              </w:rPr>
            </w:pPr>
            <w:r>
              <w:rPr>
                <w:rFonts w:cs="Times New Roman"/>
              </w:rPr>
              <w:t>T&amp;E</w:t>
            </w:r>
          </w:p>
        </w:tc>
        <w:tc>
          <w:tcPr>
            <w:tcW w:w="7385" w:type="dxa"/>
            <w:shd w:val="clear" w:color="auto" w:fill="auto"/>
          </w:tcPr>
          <w:p w14:paraId="3C455838" w14:textId="77777777" w:rsidR="00282248" w:rsidRPr="0092034C" w:rsidRDefault="00282248" w:rsidP="00295F70">
            <w:pPr>
              <w:pBdr>
                <w:top w:val="nil"/>
                <w:left w:val="nil"/>
                <w:bottom w:val="nil"/>
                <w:right w:val="nil"/>
                <w:between w:val="nil"/>
              </w:pBdr>
              <w:rPr>
                <w:rFonts w:cs="Times New Roman"/>
              </w:rPr>
            </w:pPr>
            <w:r>
              <w:t>Threatened and Endangered</w:t>
            </w:r>
          </w:p>
        </w:tc>
      </w:tr>
      <w:tr w:rsidR="00282248" w:rsidRPr="0092034C" w14:paraId="257D7C12" w14:textId="77777777" w:rsidTr="00295F70">
        <w:trPr>
          <w:trHeight w:val="20"/>
        </w:trPr>
        <w:tc>
          <w:tcPr>
            <w:tcW w:w="1975" w:type="dxa"/>
            <w:shd w:val="clear" w:color="auto" w:fill="auto"/>
            <w:vAlign w:val="center"/>
          </w:tcPr>
          <w:p w14:paraId="46D3AA73" w14:textId="77777777" w:rsidR="00282248" w:rsidRDefault="00282248" w:rsidP="00295F70">
            <w:pPr>
              <w:pBdr>
                <w:top w:val="nil"/>
                <w:left w:val="nil"/>
                <w:bottom w:val="nil"/>
                <w:right w:val="nil"/>
                <w:between w:val="nil"/>
              </w:pBdr>
              <w:rPr>
                <w:rFonts w:cs="Times New Roman"/>
              </w:rPr>
            </w:pPr>
            <w:r>
              <w:rPr>
                <w:rFonts w:cs="Times New Roman"/>
              </w:rPr>
              <w:t>THPO</w:t>
            </w:r>
          </w:p>
        </w:tc>
        <w:tc>
          <w:tcPr>
            <w:tcW w:w="7385" w:type="dxa"/>
            <w:shd w:val="clear" w:color="auto" w:fill="auto"/>
          </w:tcPr>
          <w:p w14:paraId="413EE900" w14:textId="77777777" w:rsidR="00282248" w:rsidRPr="00FB7346" w:rsidRDefault="00282248" w:rsidP="00295F70">
            <w:pPr>
              <w:pBdr>
                <w:top w:val="nil"/>
                <w:left w:val="nil"/>
                <w:bottom w:val="nil"/>
                <w:right w:val="nil"/>
                <w:between w:val="nil"/>
              </w:pBdr>
              <w:rPr>
                <w:rFonts w:cs="Times New Roman"/>
              </w:rPr>
            </w:pPr>
            <w:r>
              <w:rPr>
                <w:rFonts w:cs="Times New Roman"/>
              </w:rPr>
              <w:t>Tribal Historic Preservation Office</w:t>
            </w:r>
          </w:p>
        </w:tc>
      </w:tr>
      <w:tr w:rsidR="00282248" w:rsidRPr="0092034C" w14:paraId="41E6164C" w14:textId="77777777" w:rsidTr="00295F70">
        <w:trPr>
          <w:trHeight w:val="20"/>
        </w:trPr>
        <w:tc>
          <w:tcPr>
            <w:tcW w:w="1975" w:type="dxa"/>
            <w:shd w:val="clear" w:color="auto" w:fill="auto"/>
            <w:vAlign w:val="center"/>
          </w:tcPr>
          <w:p w14:paraId="5A0D7490" w14:textId="77777777" w:rsidR="00282248" w:rsidRDefault="00282248" w:rsidP="00295F70">
            <w:pPr>
              <w:pBdr>
                <w:top w:val="nil"/>
                <w:left w:val="nil"/>
                <w:bottom w:val="nil"/>
                <w:right w:val="nil"/>
                <w:between w:val="nil"/>
              </w:pBdr>
              <w:rPr>
                <w:rFonts w:cs="Times New Roman"/>
              </w:rPr>
            </w:pPr>
            <w:r>
              <w:rPr>
                <w:rFonts w:cs="Times New Roman"/>
              </w:rPr>
              <w:t>UDOGM</w:t>
            </w:r>
          </w:p>
        </w:tc>
        <w:tc>
          <w:tcPr>
            <w:tcW w:w="7385" w:type="dxa"/>
            <w:shd w:val="clear" w:color="auto" w:fill="auto"/>
          </w:tcPr>
          <w:p w14:paraId="513D90BA" w14:textId="77777777" w:rsidR="00282248" w:rsidRDefault="00282248" w:rsidP="00295F70">
            <w:pPr>
              <w:pBdr>
                <w:top w:val="nil"/>
                <w:left w:val="nil"/>
                <w:bottom w:val="nil"/>
                <w:right w:val="nil"/>
                <w:between w:val="nil"/>
              </w:pBdr>
            </w:pPr>
            <w:r>
              <w:t>Utah Division of Oil, Gas, and Mining</w:t>
            </w:r>
          </w:p>
        </w:tc>
      </w:tr>
      <w:tr w:rsidR="00282248" w:rsidRPr="0092034C" w14:paraId="3BD65587" w14:textId="77777777" w:rsidTr="00295F70">
        <w:trPr>
          <w:trHeight w:val="20"/>
        </w:trPr>
        <w:tc>
          <w:tcPr>
            <w:tcW w:w="1975" w:type="dxa"/>
            <w:shd w:val="clear" w:color="auto" w:fill="auto"/>
            <w:vAlign w:val="center"/>
          </w:tcPr>
          <w:p w14:paraId="32F23C93" w14:textId="77777777" w:rsidR="00282248" w:rsidRDefault="00282248" w:rsidP="00295F70">
            <w:pPr>
              <w:pBdr>
                <w:top w:val="nil"/>
                <w:left w:val="nil"/>
                <w:bottom w:val="nil"/>
                <w:right w:val="nil"/>
                <w:between w:val="nil"/>
              </w:pBdr>
              <w:rPr>
                <w:rFonts w:cs="Times New Roman"/>
              </w:rPr>
            </w:pPr>
            <w:r>
              <w:rPr>
                <w:rFonts w:cs="Times New Roman"/>
              </w:rPr>
              <w:t>UDWR</w:t>
            </w:r>
          </w:p>
        </w:tc>
        <w:tc>
          <w:tcPr>
            <w:tcW w:w="7385" w:type="dxa"/>
            <w:shd w:val="clear" w:color="auto" w:fill="auto"/>
          </w:tcPr>
          <w:p w14:paraId="120A9A83" w14:textId="77777777" w:rsidR="00282248" w:rsidRDefault="00282248" w:rsidP="00295F70">
            <w:pPr>
              <w:pBdr>
                <w:top w:val="nil"/>
                <w:left w:val="nil"/>
                <w:bottom w:val="nil"/>
                <w:right w:val="nil"/>
                <w:between w:val="nil"/>
              </w:pBdr>
              <w:rPr>
                <w:rFonts w:cs="Times New Roman"/>
              </w:rPr>
            </w:pPr>
            <w:r>
              <w:t>Utah Division of Wildlife Resources</w:t>
            </w:r>
          </w:p>
        </w:tc>
      </w:tr>
      <w:tr w:rsidR="00282248" w:rsidRPr="0092034C" w14:paraId="446D5E11" w14:textId="77777777" w:rsidTr="00295F70">
        <w:trPr>
          <w:trHeight w:val="20"/>
        </w:trPr>
        <w:tc>
          <w:tcPr>
            <w:tcW w:w="1975" w:type="dxa"/>
            <w:shd w:val="clear" w:color="auto" w:fill="auto"/>
            <w:vAlign w:val="center"/>
          </w:tcPr>
          <w:p w14:paraId="289BEFE4"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U</w:t>
            </w:r>
            <w:r>
              <w:rPr>
                <w:rFonts w:cs="Times New Roman"/>
              </w:rPr>
              <w:t>.</w:t>
            </w:r>
            <w:r w:rsidRPr="0092034C">
              <w:rPr>
                <w:rFonts w:cs="Times New Roman"/>
              </w:rPr>
              <w:t>S</w:t>
            </w:r>
            <w:r>
              <w:rPr>
                <w:rFonts w:cs="Times New Roman"/>
              </w:rPr>
              <w:t>.</w:t>
            </w:r>
            <w:r w:rsidRPr="0092034C">
              <w:rPr>
                <w:rFonts w:cs="Times New Roman"/>
              </w:rPr>
              <w:t>C</w:t>
            </w:r>
            <w:r>
              <w:rPr>
                <w:rFonts w:cs="Times New Roman"/>
              </w:rPr>
              <w:t>.</w:t>
            </w:r>
          </w:p>
        </w:tc>
        <w:tc>
          <w:tcPr>
            <w:tcW w:w="7385" w:type="dxa"/>
            <w:shd w:val="clear" w:color="auto" w:fill="auto"/>
          </w:tcPr>
          <w:p w14:paraId="014EBB20" w14:textId="77777777" w:rsidR="00282248" w:rsidRPr="0092034C" w:rsidRDefault="00282248" w:rsidP="00295F70">
            <w:pPr>
              <w:pBdr>
                <w:top w:val="nil"/>
                <w:left w:val="nil"/>
                <w:bottom w:val="nil"/>
                <w:right w:val="nil"/>
                <w:between w:val="nil"/>
              </w:pBdr>
            </w:pPr>
            <w:r w:rsidRPr="0092034C">
              <w:rPr>
                <w:rFonts w:cs="Times New Roman"/>
              </w:rPr>
              <w:t>United States Code</w:t>
            </w:r>
          </w:p>
        </w:tc>
      </w:tr>
      <w:tr w:rsidR="00282248" w:rsidRPr="0092034C" w14:paraId="61AF72ED" w14:textId="77777777" w:rsidTr="00295F70">
        <w:trPr>
          <w:trHeight w:val="20"/>
        </w:trPr>
        <w:tc>
          <w:tcPr>
            <w:tcW w:w="1975" w:type="dxa"/>
            <w:shd w:val="clear" w:color="auto" w:fill="auto"/>
            <w:vAlign w:val="center"/>
          </w:tcPr>
          <w:p w14:paraId="32BE88CC" w14:textId="77777777" w:rsidR="00282248" w:rsidRPr="0092034C" w:rsidRDefault="00282248" w:rsidP="00295F70">
            <w:pPr>
              <w:pBdr>
                <w:top w:val="nil"/>
                <w:left w:val="nil"/>
                <w:bottom w:val="nil"/>
                <w:right w:val="nil"/>
                <w:between w:val="nil"/>
              </w:pBdr>
              <w:rPr>
                <w:rFonts w:cs="Times New Roman"/>
              </w:rPr>
            </w:pPr>
            <w:r>
              <w:rPr>
                <w:rFonts w:cs="Times New Roman"/>
              </w:rPr>
              <w:t>USDA</w:t>
            </w:r>
          </w:p>
        </w:tc>
        <w:tc>
          <w:tcPr>
            <w:tcW w:w="7385" w:type="dxa"/>
            <w:shd w:val="clear" w:color="auto" w:fill="auto"/>
          </w:tcPr>
          <w:p w14:paraId="5292B826" w14:textId="77777777" w:rsidR="00282248" w:rsidRPr="0092034C" w:rsidRDefault="00282248" w:rsidP="00295F70">
            <w:pPr>
              <w:pBdr>
                <w:top w:val="nil"/>
                <w:left w:val="nil"/>
                <w:bottom w:val="nil"/>
                <w:right w:val="nil"/>
                <w:between w:val="nil"/>
              </w:pBdr>
              <w:rPr>
                <w:rFonts w:cs="Times New Roman"/>
              </w:rPr>
            </w:pPr>
            <w:r>
              <w:rPr>
                <w:rFonts w:cs="Times New Roman"/>
              </w:rPr>
              <w:t>U.S. Department of Agriculture</w:t>
            </w:r>
          </w:p>
        </w:tc>
      </w:tr>
      <w:tr w:rsidR="00282248" w:rsidRPr="0092034C" w14:paraId="4241FF30" w14:textId="77777777" w:rsidTr="00295F70">
        <w:trPr>
          <w:trHeight w:val="20"/>
        </w:trPr>
        <w:tc>
          <w:tcPr>
            <w:tcW w:w="1975" w:type="dxa"/>
            <w:tcBorders>
              <w:bottom w:val="single" w:sz="4" w:space="0" w:color="auto"/>
            </w:tcBorders>
            <w:shd w:val="clear" w:color="auto" w:fill="auto"/>
            <w:vAlign w:val="center"/>
          </w:tcPr>
          <w:p w14:paraId="22D8E83C" w14:textId="77777777" w:rsidR="00282248" w:rsidRPr="0092034C" w:rsidRDefault="00282248" w:rsidP="00295F70">
            <w:pPr>
              <w:pBdr>
                <w:top w:val="nil"/>
                <w:left w:val="nil"/>
                <w:bottom w:val="nil"/>
                <w:right w:val="nil"/>
                <w:between w:val="nil"/>
              </w:pBdr>
              <w:rPr>
                <w:rFonts w:cs="Times New Roman"/>
              </w:rPr>
            </w:pPr>
            <w:r>
              <w:rPr>
                <w:rFonts w:cs="Times New Roman"/>
              </w:rPr>
              <w:t>USFS</w:t>
            </w:r>
          </w:p>
        </w:tc>
        <w:tc>
          <w:tcPr>
            <w:tcW w:w="7385" w:type="dxa"/>
            <w:tcBorders>
              <w:bottom w:val="single" w:sz="4" w:space="0" w:color="auto"/>
            </w:tcBorders>
            <w:shd w:val="clear" w:color="auto" w:fill="auto"/>
          </w:tcPr>
          <w:p w14:paraId="7651FC1E" w14:textId="77777777" w:rsidR="00282248" w:rsidRPr="0092034C" w:rsidRDefault="00282248" w:rsidP="00295F70">
            <w:pPr>
              <w:pBdr>
                <w:top w:val="nil"/>
                <w:left w:val="nil"/>
                <w:bottom w:val="nil"/>
                <w:right w:val="nil"/>
                <w:between w:val="nil"/>
              </w:pBdr>
              <w:rPr>
                <w:rFonts w:cs="Times New Roman"/>
              </w:rPr>
            </w:pPr>
            <w:r>
              <w:rPr>
                <w:rFonts w:cs="Times New Roman"/>
              </w:rPr>
              <w:t>U.S. Forest Service</w:t>
            </w:r>
          </w:p>
        </w:tc>
      </w:tr>
      <w:tr w:rsidR="00282248" w:rsidRPr="0092034C" w14:paraId="0C2BF305" w14:textId="77777777" w:rsidTr="00295F70">
        <w:trPr>
          <w:trHeight w:val="20"/>
        </w:trPr>
        <w:tc>
          <w:tcPr>
            <w:tcW w:w="1975" w:type="dxa"/>
            <w:tcBorders>
              <w:bottom w:val="single" w:sz="4" w:space="0" w:color="auto"/>
            </w:tcBorders>
            <w:shd w:val="clear" w:color="auto" w:fill="auto"/>
            <w:vAlign w:val="center"/>
          </w:tcPr>
          <w:p w14:paraId="78E7AAAD"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 xml:space="preserve">USFWS </w:t>
            </w:r>
          </w:p>
        </w:tc>
        <w:tc>
          <w:tcPr>
            <w:tcW w:w="7385" w:type="dxa"/>
            <w:tcBorders>
              <w:bottom w:val="single" w:sz="4" w:space="0" w:color="auto"/>
            </w:tcBorders>
            <w:shd w:val="clear" w:color="auto" w:fill="auto"/>
          </w:tcPr>
          <w:p w14:paraId="6A8BB1AC"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 xml:space="preserve">U.S. Fish and Wildlife </w:t>
            </w:r>
            <w:r w:rsidDel="00AE41EA">
              <w:rPr>
                <w:rFonts w:cs="Times New Roman"/>
              </w:rPr>
              <w:t>Service</w:t>
            </w:r>
          </w:p>
        </w:tc>
      </w:tr>
      <w:tr w:rsidR="00282248" w:rsidRPr="0092034C" w14:paraId="5E8285A1" w14:textId="77777777" w:rsidTr="00295F70">
        <w:trPr>
          <w:trHeight w:val="20"/>
        </w:trPr>
        <w:tc>
          <w:tcPr>
            <w:tcW w:w="1975" w:type="dxa"/>
            <w:tcBorders>
              <w:bottom w:val="single" w:sz="4" w:space="0" w:color="auto"/>
            </w:tcBorders>
            <w:shd w:val="clear" w:color="auto" w:fill="auto"/>
            <w:vAlign w:val="center"/>
          </w:tcPr>
          <w:p w14:paraId="0D16D100"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USGS</w:t>
            </w:r>
          </w:p>
        </w:tc>
        <w:tc>
          <w:tcPr>
            <w:tcW w:w="7385" w:type="dxa"/>
            <w:tcBorders>
              <w:bottom w:val="single" w:sz="4" w:space="0" w:color="auto"/>
            </w:tcBorders>
            <w:shd w:val="clear" w:color="auto" w:fill="auto"/>
          </w:tcPr>
          <w:p w14:paraId="3F5C99BC"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U.S. Geological Survey</w:t>
            </w:r>
          </w:p>
        </w:tc>
      </w:tr>
      <w:tr w:rsidR="00282248" w:rsidRPr="0092034C" w14:paraId="0738B118" w14:textId="77777777" w:rsidTr="00295F70">
        <w:trPr>
          <w:trHeight w:val="20"/>
        </w:trPr>
        <w:tc>
          <w:tcPr>
            <w:tcW w:w="1975" w:type="dxa"/>
            <w:shd w:val="clear" w:color="auto" w:fill="auto"/>
            <w:vAlign w:val="center"/>
          </w:tcPr>
          <w:p w14:paraId="504D6481" w14:textId="77777777" w:rsidR="00282248" w:rsidRPr="0092034C" w:rsidRDefault="00282248" w:rsidP="00295F70">
            <w:pPr>
              <w:pBdr>
                <w:top w:val="nil"/>
                <w:left w:val="nil"/>
                <w:bottom w:val="nil"/>
                <w:right w:val="nil"/>
                <w:between w:val="nil"/>
              </w:pBdr>
              <w:rPr>
                <w:rFonts w:cs="Times New Roman"/>
              </w:rPr>
            </w:pPr>
            <w:r>
              <w:rPr>
                <w:rFonts w:cs="Times New Roman"/>
              </w:rPr>
              <w:t>VFO</w:t>
            </w:r>
          </w:p>
        </w:tc>
        <w:tc>
          <w:tcPr>
            <w:tcW w:w="7385" w:type="dxa"/>
            <w:shd w:val="clear" w:color="auto" w:fill="auto"/>
          </w:tcPr>
          <w:p w14:paraId="44157BBC" w14:textId="77777777" w:rsidR="00282248" w:rsidRPr="0092034C" w:rsidRDefault="00282248" w:rsidP="00295F70">
            <w:pPr>
              <w:pBdr>
                <w:top w:val="nil"/>
                <w:left w:val="nil"/>
                <w:bottom w:val="nil"/>
                <w:right w:val="nil"/>
                <w:between w:val="nil"/>
              </w:pBdr>
              <w:rPr>
                <w:rFonts w:cs="Times New Roman"/>
              </w:rPr>
            </w:pPr>
            <w:r>
              <w:rPr>
                <w:rFonts w:cs="Times New Roman"/>
              </w:rPr>
              <w:t>Vernal Field Office</w:t>
            </w:r>
          </w:p>
        </w:tc>
      </w:tr>
      <w:tr w:rsidR="00282248" w:rsidRPr="0092034C" w14:paraId="058C3257" w14:textId="77777777" w:rsidTr="00295F70">
        <w:trPr>
          <w:trHeight w:val="20"/>
        </w:trPr>
        <w:tc>
          <w:tcPr>
            <w:tcW w:w="1975" w:type="dxa"/>
            <w:shd w:val="clear" w:color="auto" w:fill="auto"/>
            <w:vAlign w:val="center"/>
          </w:tcPr>
          <w:p w14:paraId="24EE985F"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VOC</w:t>
            </w:r>
          </w:p>
        </w:tc>
        <w:tc>
          <w:tcPr>
            <w:tcW w:w="7385" w:type="dxa"/>
            <w:shd w:val="clear" w:color="auto" w:fill="auto"/>
          </w:tcPr>
          <w:p w14:paraId="70584642" w14:textId="4B16A7AC" w:rsidR="00282248" w:rsidRPr="0092034C" w:rsidRDefault="00116FB3" w:rsidP="00295F70">
            <w:pPr>
              <w:pBdr>
                <w:top w:val="nil"/>
                <w:left w:val="nil"/>
                <w:bottom w:val="nil"/>
                <w:right w:val="nil"/>
                <w:between w:val="nil"/>
              </w:pBdr>
              <w:rPr>
                <w:rFonts w:cs="Times New Roman"/>
              </w:rPr>
            </w:pPr>
            <w:r>
              <w:rPr>
                <w:rFonts w:cs="Times New Roman"/>
              </w:rPr>
              <w:t>V</w:t>
            </w:r>
            <w:r w:rsidR="00282248" w:rsidRPr="0092034C">
              <w:rPr>
                <w:rFonts w:cs="Times New Roman"/>
              </w:rPr>
              <w:t>olatile organic compound</w:t>
            </w:r>
          </w:p>
        </w:tc>
      </w:tr>
      <w:tr w:rsidR="00282248" w:rsidRPr="0092034C" w14:paraId="58E47441" w14:textId="77777777" w:rsidTr="00295F70">
        <w:trPr>
          <w:trHeight w:val="20"/>
        </w:trPr>
        <w:tc>
          <w:tcPr>
            <w:tcW w:w="1975" w:type="dxa"/>
            <w:tcBorders>
              <w:bottom w:val="single" w:sz="4" w:space="0" w:color="auto"/>
            </w:tcBorders>
            <w:shd w:val="clear" w:color="auto" w:fill="auto"/>
            <w:vAlign w:val="center"/>
          </w:tcPr>
          <w:p w14:paraId="6E73D77E"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VRM</w:t>
            </w:r>
          </w:p>
        </w:tc>
        <w:tc>
          <w:tcPr>
            <w:tcW w:w="7385" w:type="dxa"/>
            <w:tcBorders>
              <w:bottom w:val="single" w:sz="4" w:space="0" w:color="auto"/>
            </w:tcBorders>
            <w:shd w:val="clear" w:color="auto" w:fill="auto"/>
          </w:tcPr>
          <w:p w14:paraId="6D1EFD33" w14:textId="77777777" w:rsidR="00282248" w:rsidRPr="0092034C" w:rsidRDefault="00282248" w:rsidP="00295F70">
            <w:pPr>
              <w:pBdr>
                <w:top w:val="nil"/>
                <w:left w:val="nil"/>
                <w:bottom w:val="nil"/>
                <w:right w:val="nil"/>
                <w:between w:val="nil"/>
              </w:pBdr>
              <w:rPr>
                <w:rFonts w:cs="Times New Roman"/>
              </w:rPr>
            </w:pPr>
            <w:r w:rsidRPr="0092034C">
              <w:rPr>
                <w:rFonts w:cs="Times New Roman"/>
              </w:rPr>
              <w:t>Visual Resource Management</w:t>
            </w:r>
          </w:p>
        </w:tc>
      </w:tr>
    </w:tbl>
    <w:p w14:paraId="144B38CB" w14:textId="01A0EADE" w:rsidR="008D5451" w:rsidRDefault="008D5451" w:rsidP="00C95D16">
      <w:pPr>
        <w:pStyle w:val="2ndlevel"/>
        <w:rPr>
          <w:b w:val="0"/>
          <w:bCs w:val="0"/>
          <w:caps w:val="0"/>
        </w:rPr>
      </w:pPr>
      <w:r>
        <w:br w:type="page"/>
      </w:r>
    </w:p>
    <w:p w14:paraId="12B558D9" w14:textId="1F48E635" w:rsidR="00905011" w:rsidRDefault="00672285" w:rsidP="00905011">
      <w:pPr>
        <w:pStyle w:val="Heading1"/>
        <w:rPr>
          <w:rFonts w:hint="eastAsia"/>
        </w:rPr>
      </w:pPr>
      <w:r>
        <w:lastRenderedPageBreak/>
        <w:t xml:space="preserve"> </w:t>
      </w:r>
      <w:bookmarkStart w:id="13" w:name="_Toc179464217"/>
      <w:bookmarkStart w:id="14" w:name="_Toc170114872"/>
      <w:r w:rsidR="00B61009">
        <w:t>Introduction</w:t>
      </w:r>
      <w:bookmarkEnd w:id="13"/>
      <w:bookmarkEnd w:id="14"/>
    </w:p>
    <w:p w14:paraId="521E2ECF" w14:textId="0AA627A4" w:rsidR="00905011" w:rsidRDefault="00443529" w:rsidP="00905011">
      <w:pPr>
        <w:pStyle w:val="Heading2"/>
        <w:rPr>
          <w:rFonts w:hint="eastAsia"/>
        </w:rPr>
      </w:pPr>
      <w:bookmarkStart w:id="15" w:name="_Toc179464218"/>
      <w:bookmarkStart w:id="16" w:name="_Toc170114873"/>
      <w:r>
        <w:t>Background</w:t>
      </w:r>
      <w:bookmarkEnd w:id="15"/>
      <w:bookmarkEnd w:id="16"/>
    </w:p>
    <w:p w14:paraId="67295E8C" w14:textId="0463ADC3" w:rsidR="00212616" w:rsidRDefault="00905011" w:rsidP="009C2652">
      <w:pPr>
        <w:pStyle w:val="BodyText"/>
      </w:pPr>
      <w:r>
        <w:t>This Environmental Assessment</w:t>
      </w:r>
      <w:r w:rsidR="00613327">
        <w:rPr>
          <w:rStyle w:val="FootnoteReference"/>
        </w:rPr>
        <w:footnoteReference w:id="2"/>
      </w:r>
      <w:r>
        <w:t xml:space="preserve"> (EA) documents the Bureau of Land Management’s (BLM) review of two lease parcels (totaling </w:t>
      </w:r>
      <w:r w:rsidR="00384262">
        <w:t xml:space="preserve">833.28 </w:t>
      </w:r>
      <w:r>
        <w:t xml:space="preserve">acres) on public lands managed by the BLM’s Vernal Field Office (VFO) which have been nominated for auction in the BLM Utah Second Quarter 2025 Competitive Oil and Gas Lease Sale (Lease Sale). </w:t>
      </w:r>
      <w:r w:rsidR="006F74FB">
        <w:t xml:space="preserve">Maps of the nominated lease parcels are contained </w:t>
      </w:r>
      <w:r w:rsidR="006F74FB" w:rsidRPr="00EB159B">
        <w:t xml:space="preserve">in </w:t>
      </w:r>
      <w:hyperlink w:anchor="Bookmarked_Map_Series">
        <w:r w:rsidR="006F74FB" w:rsidRPr="00EB159B">
          <w:rPr>
            <w:rStyle w:val="Hyperlink"/>
          </w:rPr>
          <w:t>Appendix A</w:t>
        </w:r>
      </w:hyperlink>
      <w:r w:rsidR="006F74FB" w:rsidRPr="00EB159B">
        <w:t xml:space="preserve">. </w:t>
      </w:r>
    </w:p>
    <w:p w14:paraId="1C7B807B" w14:textId="2D947E54" w:rsidR="00346E79" w:rsidRDefault="00346E79" w:rsidP="00865AFF">
      <w:pPr>
        <w:pStyle w:val="Caption"/>
      </w:pPr>
      <w:bookmarkStart w:id="17" w:name="_Toc179464283"/>
      <w:bookmarkStart w:id="18" w:name="_Toc170114938"/>
      <w:r>
        <w:t xml:space="preserve">Table </w:t>
      </w:r>
      <w:r w:rsidR="00BB3F01">
        <w:fldChar w:fldCharType="begin"/>
      </w:r>
      <w:r w:rsidR="00BB3F01">
        <w:instrText xml:space="preserve"> SEQ Table \* ARABIC </w:instrText>
      </w:r>
      <w:r w:rsidR="00BB3F01">
        <w:fldChar w:fldCharType="separate"/>
      </w:r>
      <w:r w:rsidR="00BB3F01">
        <w:rPr>
          <w:noProof/>
        </w:rPr>
        <w:t>2</w:t>
      </w:r>
      <w:r w:rsidR="00BB3F01">
        <w:rPr>
          <w:noProof/>
        </w:rPr>
        <w:fldChar w:fldCharType="end"/>
      </w:r>
      <w:r>
        <w:t xml:space="preserve"> Surface Ownership</w:t>
      </w:r>
      <w:bookmarkEnd w:id="17"/>
      <w:bookmarkEnd w:id="18"/>
    </w:p>
    <w:tbl>
      <w:tblPr>
        <w:tblStyle w:val="TableGrid"/>
        <w:tblW w:w="0" w:type="auto"/>
        <w:tblLook w:val="04A0" w:firstRow="1" w:lastRow="0" w:firstColumn="1" w:lastColumn="0" w:noHBand="0" w:noVBand="1"/>
        <w:tblCaption w:val="Surface ownership"/>
        <w:tblDescription w:val="Surface ownership"/>
      </w:tblPr>
      <w:tblGrid>
        <w:gridCol w:w="1075"/>
        <w:gridCol w:w="3599"/>
        <w:gridCol w:w="3421"/>
        <w:gridCol w:w="1255"/>
      </w:tblGrid>
      <w:tr w:rsidR="00905011" w:rsidRPr="00B84E6A" w14:paraId="10E1EC9B" w14:textId="77777777">
        <w:tc>
          <w:tcPr>
            <w:tcW w:w="1075" w:type="dxa"/>
            <w:shd w:val="clear" w:color="auto" w:fill="EDEDED" w:themeFill="accent3" w:themeFillTint="33"/>
            <w:vAlign w:val="center"/>
          </w:tcPr>
          <w:p w14:paraId="781D4EB0" w14:textId="77777777" w:rsidR="00905011" w:rsidRPr="00BB6E81" w:rsidRDefault="00905011">
            <w:pPr>
              <w:jc w:val="center"/>
              <w:rPr>
                <w:rFonts w:eastAsia="Times New Roman" w:cs="Times New Roman"/>
                <w:b/>
              </w:rPr>
            </w:pPr>
            <w:r w:rsidRPr="00BB6E81">
              <w:rPr>
                <w:rFonts w:eastAsia="Times New Roman" w:cs="Times New Roman"/>
                <w:b/>
              </w:rPr>
              <w:t>County</w:t>
            </w:r>
          </w:p>
        </w:tc>
        <w:tc>
          <w:tcPr>
            <w:tcW w:w="3599" w:type="dxa"/>
            <w:shd w:val="clear" w:color="auto" w:fill="EDEDED" w:themeFill="accent3" w:themeFillTint="33"/>
            <w:vAlign w:val="center"/>
          </w:tcPr>
          <w:p w14:paraId="1760A775" w14:textId="79AA3A3C" w:rsidR="00905011" w:rsidRPr="00BB6E81" w:rsidRDefault="00905011">
            <w:pPr>
              <w:jc w:val="center"/>
              <w:rPr>
                <w:rFonts w:eastAsia="Times New Roman" w:cs="Times New Roman"/>
                <w:b/>
              </w:rPr>
            </w:pPr>
            <w:r w:rsidRPr="00BB6E81">
              <w:rPr>
                <w:rFonts w:eastAsia="Times New Roman" w:cs="Times New Roman"/>
                <w:b/>
              </w:rPr>
              <w:t>Parcel</w:t>
            </w:r>
          </w:p>
        </w:tc>
        <w:tc>
          <w:tcPr>
            <w:tcW w:w="3421" w:type="dxa"/>
            <w:shd w:val="clear" w:color="auto" w:fill="EDEDED" w:themeFill="accent3" w:themeFillTint="33"/>
            <w:vAlign w:val="center"/>
          </w:tcPr>
          <w:p w14:paraId="7204EE2C" w14:textId="77777777" w:rsidR="00905011" w:rsidRPr="00BB6E81" w:rsidRDefault="00905011">
            <w:pPr>
              <w:jc w:val="center"/>
              <w:rPr>
                <w:rFonts w:eastAsia="Times New Roman" w:cs="Times New Roman"/>
                <w:b/>
              </w:rPr>
            </w:pPr>
            <w:r>
              <w:rPr>
                <w:rFonts w:eastAsia="Times New Roman" w:cs="Times New Roman"/>
                <w:b/>
              </w:rPr>
              <w:t>Surface Management Entity (</w:t>
            </w:r>
            <w:r w:rsidRPr="00BB6E81">
              <w:rPr>
                <w:rFonts w:eastAsia="Times New Roman" w:cs="Times New Roman"/>
                <w:b/>
              </w:rPr>
              <w:t>SME</w:t>
            </w:r>
            <w:r>
              <w:rPr>
                <w:rFonts w:eastAsia="Times New Roman" w:cs="Times New Roman"/>
                <w:b/>
              </w:rPr>
              <w:t>)</w:t>
            </w:r>
          </w:p>
        </w:tc>
        <w:tc>
          <w:tcPr>
            <w:tcW w:w="1255" w:type="dxa"/>
            <w:shd w:val="clear" w:color="auto" w:fill="EDEDED" w:themeFill="accent3" w:themeFillTint="33"/>
            <w:vAlign w:val="center"/>
          </w:tcPr>
          <w:p w14:paraId="4231F071" w14:textId="77777777" w:rsidR="00905011" w:rsidRPr="00BB6E81" w:rsidRDefault="00905011">
            <w:pPr>
              <w:jc w:val="center"/>
              <w:rPr>
                <w:rFonts w:eastAsia="Times New Roman" w:cs="Times New Roman"/>
                <w:b/>
              </w:rPr>
            </w:pPr>
            <w:r w:rsidRPr="00BB6E81">
              <w:rPr>
                <w:rFonts w:eastAsia="Times New Roman" w:cs="Times New Roman"/>
                <w:b/>
              </w:rPr>
              <w:t>Acres</w:t>
            </w:r>
          </w:p>
        </w:tc>
      </w:tr>
      <w:tr w:rsidR="00905011" w:rsidRPr="00B84E6A" w14:paraId="1ECBF381" w14:textId="77777777">
        <w:tc>
          <w:tcPr>
            <w:tcW w:w="1075" w:type="dxa"/>
            <w:vAlign w:val="center"/>
          </w:tcPr>
          <w:p w14:paraId="463EA9B6" w14:textId="77777777" w:rsidR="00905011" w:rsidRPr="00BB6E81" w:rsidRDefault="00905011">
            <w:pPr>
              <w:jc w:val="center"/>
              <w:rPr>
                <w:rFonts w:eastAsia="Times New Roman" w:cs="Times New Roman"/>
              </w:rPr>
            </w:pPr>
            <w:r>
              <w:rPr>
                <w:rFonts w:eastAsia="Times New Roman" w:cs="Times New Roman"/>
              </w:rPr>
              <w:t>Uintah</w:t>
            </w:r>
          </w:p>
        </w:tc>
        <w:tc>
          <w:tcPr>
            <w:tcW w:w="3599" w:type="dxa"/>
            <w:vAlign w:val="center"/>
          </w:tcPr>
          <w:p w14:paraId="6D0175D1" w14:textId="77777777" w:rsidR="00905011" w:rsidRPr="00BB6E81" w:rsidRDefault="00905011">
            <w:pPr>
              <w:jc w:val="center"/>
              <w:rPr>
                <w:rFonts w:eastAsia="Times New Roman" w:cs="Times New Roman"/>
              </w:rPr>
            </w:pPr>
            <w:r>
              <w:rPr>
                <w:rFonts w:eastAsia="Times New Roman" w:cs="Times New Roman"/>
              </w:rPr>
              <w:t>7688</w:t>
            </w:r>
          </w:p>
        </w:tc>
        <w:tc>
          <w:tcPr>
            <w:tcW w:w="3421" w:type="dxa"/>
            <w:vAlign w:val="center"/>
          </w:tcPr>
          <w:p w14:paraId="6C11D6CC" w14:textId="77777777" w:rsidR="00905011" w:rsidRPr="00BB6E81" w:rsidRDefault="00905011">
            <w:pPr>
              <w:jc w:val="center"/>
              <w:rPr>
                <w:rFonts w:eastAsia="Times New Roman" w:cs="Times New Roman"/>
              </w:rPr>
            </w:pPr>
            <w:r w:rsidRPr="00BB6E81">
              <w:rPr>
                <w:rFonts w:eastAsia="Times New Roman" w:cs="Times New Roman"/>
              </w:rPr>
              <w:t>BLM</w:t>
            </w:r>
          </w:p>
        </w:tc>
        <w:tc>
          <w:tcPr>
            <w:tcW w:w="1255" w:type="dxa"/>
            <w:vAlign w:val="center"/>
          </w:tcPr>
          <w:p w14:paraId="036A4454" w14:textId="77777777" w:rsidR="00905011" w:rsidRPr="00BB6E81" w:rsidRDefault="00905011">
            <w:pPr>
              <w:jc w:val="center"/>
              <w:rPr>
                <w:rFonts w:eastAsia="Times New Roman" w:cs="Times New Roman"/>
              </w:rPr>
            </w:pPr>
            <w:r>
              <w:rPr>
                <w:rFonts w:eastAsia="Times New Roman" w:cs="Times New Roman"/>
              </w:rPr>
              <w:t>201.2</w:t>
            </w:r>
          </w:p>
        </w:tc>
      </w:tr>
      <w:tr w:rsidR="00905011" w:rsidRPr="00B84E6A" w14:paraId="37740A41" w14:textId="77777777">
        <w:tc>
          <w:tcPr>
            <w:tcW w:w="1075" w:type="dxa"/>
            <w:vAlign w:val="center"/>
          </w:tcPr>
          <w:p w14:paraId="11495D0E" w14:textId="77777777" w:rsidR="00905011" w:rsidRDefault="00905011">
            <w:pPr>
              <w:jc w:val="center"/>
              <w:rPr>
                <w:rFonts w:eastAsia="Times New Roman" w:cs="Times New Roman"/>
              </w:rPr>
            </w:pPr>
            <w:r>
              <w:rPr>
                <w:rFonts w:eastAsia="Times New Roman" w:cs="Times New Roman"/>
              </w:rPr>
              <w:t>Uintah</w:t>
            </w:r>
          </w:p>
        </w:tc>
        <w:tc>
          <w:tcPr>
            <w:tcW w:w="3599" w:type="dxa"/>
            <w:vAlign w:val="center"/>
          </w:tcPr>
          <w:p w14:paraId="4683969C" w14:textId="77777777" w:rsidR="00905011" w:rsidRPr="00BB6E81" w:rsidRDefault="00905011">
            <w:pPr>
              <w:jc w:val="center"/>
              <w:rPr>
                <w:rFonts w:eastAsia="Times New Roman" w:cs="Times New Roman"/>
              </w:rPr>
            </w:pPr>
            <w:r>
              <w:rPr>
                <w:rFonts w:eastAsia="Times New Roman" w:cs="Times New Roman"/>
              </w:rPr>
              <w:t>1551</w:t>
            </w:r>
          </w:p>
        </w:tc>
        <w:tc>
          <w:tcPr>
            <w:tcW w:w="3421" w:type="dxa"/>
            <w:vAlign w:val="center"/>
          </w:tcPr>
          <w:p w14:paraId="4135C52D" w14:textId="77777777" w:rsidR="00905011" w:rsidRPr="00BB6E81" w:rsidRDefault="00905011">
            <w:pPr>
              <w:jc w:val="center"/>
              <w:rPr>
                <w:rFonts w:eastAsia="Times New Roman" w:cs="Times New Roman"/>
              </w:rPr>
            </w:pPr>
            <w:r>
              <w:rPr>
                <w:rFonts w:eastAsia="Times New Roman" w:cs="Times New Roman"/>
              </w:rPr>
              <w:t>BLM</w:t>
            </w:r>
          </w:p>
        </w:tc>
        <w:tc>
          <w:tcPr>
            <w:tcW w:w="1255" w:type="dxa"/>
            <w:vAlign w:val="center"/>
          </w:tcPr>
          <w:p w14:paraId="46DA1568" w14:textId="74EF5188" w:rsidR="00905011" w:rsidRPr="00BB6E81" w:rsidRDefault="00905011">
            <w:pPr>
              <w:jc w:val="center"/>
              <w:rPr>
                <w:rFonts w:eastAsia="Times New Roman" w:cs="Times New Roman"/>
              </w:rPr>
            </w:pPr>
            <w:r>
              <w:rPr>
                <w:rFonts w:eastAsia="Times New Roman" w:cs="Times New Roman"/>
              </w:rPr>
              <w:t>632.08</w:t>
            </w:r>
          </w:p>
        </w:tc>
      </w:tr>
    </w:tbl>
    <w:p w14:paraId="144D4564" w14:textId="77777777" w:rsidR="00F86814" w:rsidRDefault="00F86814" w:rsidP="004C0F18">
      <w:pPr>
        <w:pStyle w:val="NoSpacing"/>
      </w:pPr>
    </w:p>
    <w:p w14:paraId="19D16B08" w14:textId="7A4613FF" w:rsidR="00560924" w:rsidRDefault="00F86814" w:rsidP="00624A4A">
      <w:pPr>
        <w:pStyle w:val="BodyText"/>
      </w:pPr>
      <w:r>
        <w:t>The</w:t>
      </w:r>
      <w:r w:rsidR="002A3D16">
        <w:t xml:space="preserve"> two lease parcels </w:t>
      </w:r>
      <w:r w:rsidR="5F7FAD25">
        <w:t xml:space="preserve">cover all acres of </w:t>
      </w:r>
      <w:r w:rsidR="00635F11">
        <w:t>previous</w:t>
      </w:r>
      <w:r w:rsidR="003B2B5F">
        <w:t>ly</w:t>
      </w:r>
      <w:r w:rsidR="00635F11">
        <w:t xml:space="preserve"> </w:t>
      </w:r>
      <w:r w:rsidR="01EC3DD6">
        <w:t>expired</w:t>
      </w:r>
      <w:r w:rsidR="00467B18">
        <w:t xml:space="preserve"> </w:t>
      </w:r>
      <w:r w:rsidR="00635F11">
        <w:t xml:space="preserve">leases </w:t>
      </w:r>
      <w:r w:rsidR="004658F6">
        <w:t>(UTU</w:t>
      </w:r>
      <w:r w:rsidR="005F1E86">
        <w:t xml:space="preserve">88053 </w:t>
      </w:r>
      <w:r w:rsidR="4EAB7ABE">
        <w:t xml:space="preserve">encompassing </w:t>
      </w:r>
      <w:r w:rsidR="5AD17ECF">
        <w:t>632.08</w:t>
      </w:r>
      <w:r w:rsidR="2516EDE4">
        <w:t xml:space="preserve"> acres </w:t>
      </w:r>
      <w:r w:rsidR="005F1E86">
        <w:t>and UTU82701</w:t>
      </w:r>
      <w:r w:rsidR="5C187E30">
        <w:t xml:space="preserve"> encompassing 201.2 acres</w:t>
      </w:r>
      <w:r w:rsidR="005F1E86">
        <w:t>)</w:t>
      </w:r>
      <w:r w:rsidR="0085543E">
        <w:t xml:space="preserve"> </w:t>
      </w:r>
      <w:r w:rsidR="00635F11">
        <w:t xml:space="preserve">that </w:t>
      </w:r>
      <w:r w:rsidR="45344FA3">
        <w:t xml:space="preserve">expired </w:t>
      </w:r>
      <w:r w:rsidR="00635F11">
        <w:t xml:space="preserve">within </w:t>
      </w:r>
      <w:r w:rsidR="0085543E">
        <w:t>their</w:t>
      </w:r>
      <w:r w:rsidR="00635F11">
        <w:t xml:space="preserve"> 10-year primary term. </w:t>
      </w:r>
      <w:r w:rsidR="003660D6">
        <w:t>Lease</w:t>
      </w:r>
      <w:r w:rsidR="00635F11">
        <w:t xml:space="preserve"> UTU88053 was issued on March 1, 2011, and expired on Feb. 28, 2021</w:t>
      </w:r>
      <w:r w:rsidR="004534A4">
        <w:t xml:space="preserve">. </w:t>
      </w:r>
      <w:r w:rsidR="008F0570">
        <w:t>L</w:t>
      </w:r>
      <w:r w:rsidR="006419AE">
        <w:t xml:space="preserve">ease </w:t>
      </w:r>
      <w:r w:rsidR="00635F11">
        <w:t xml:space="preserve">UTU82701 that was segregated out of UTU80636 on Feb. 16, 2005, and expired on Dec. 17, 2016. </w:t>
      </w:r>
      <w:r w:rsidR="00F44295">
        <w:t xml:space="preserve">The </w:t>
      </w:r>
      <w:r w:rsidR="078DD25B">
        <w:t>entirety of the</w:t>
      </w:r>
      <w:r w:rsidR="00F44295">
        <w:t xml:space="preserve"> </w:t>
      </w:r>
      <w:r w:rsidR="00C9030F">
        <w:t>acreage</w:t>
      </w:r>
      <w:r w:rsidR="00F44295">
        <w:t xml:space="preserve"> of these terminated leases </w:t>
      </w:r>
      <w:r w:rsidR="00362ACF">
        <w:t>was</w:t>
      </w:r>
      <w:r w:rsidR="00F44295">
        <w:t xml:space="preserve"> re-nominated for lease by Topaz Energy Resources.</w:t>
      </w:r>
      <w:r w:rsidR="001038E7">
        <w:t xml:space="preserve"> </w:t>
      </w:r>
      <w:r w:rsidR="51214E3D">
        <w:t xml:space="preserve">Lease parcel 1551 covers </w:t>
      </w:r>
      <w:r w:rsidR="53E0A19A">
        <w:t>acreage</w:t>
      </w:r>
      <w:r w:rsidR="51214E3D">
        <w:t xml:space="preserve"> of p</w:t>
      </w:r>
      <w:r w:rsidR="4789E161">
        <w:t>reviously terminated lease</w:t>
      </w:r>
      <w:r w:rsidR="753B58A5">
        <w:t xml:space="preserve"> UTU88053</w:t>
      </w:r>
      <w:r w:rsidR="3298F666">
        <w:t xml:space="preserve"> </w:t>
      </w:r>
      <w:r w:rsidR="4F3A2DF9">
        <w:t xml:space="preserve">which </w:t>
      </w:r>
      <w:r w:rsidR="3298F666">
        <w:t>had development</w:t>
      </w:r>
      <w:r w:rsidR="5972B8D2">
        <w:t xml:space="preserve"> in 1985 and 2012. A well was drilled in 1985, was a dry hole</w:t>
      </w:r>
      <w:r w:rsidR="49440423">
        <w:t xml:space="preserve"> and </w:t>
      </w:r>
      <w:r w:rsidR="5972B8D2">
        <w:t>immediately plugged</w:t>
      </w:r>
      <w:r w:rsidR="49440423">
        <w:t xml:space="preserve"> (</w:t>
      </w:r>
      <w:r w:rsidR="347A552E">
        <w:t>Horseshoe Bend Fed 21-4, API 43-047-31671</w:t>
      </w:r>
      <w:r w:rsidR="6119E9EF">
        <w:t>)</w:t>
      </w:r>
      <w:r w:rsidR="347A552E">
        <w:t xml:space="preserve">, and </w:t>
      </w:r>
      <w:r w:rsidR="22517464">
        <w:t>in 2012</w:t>
      </w:r>
      <w:r w:rsidR="347A552E">
        <w:t xml:space="preserve"> </w:t>
      </w:r>
      <w:r w:rsidR="22517464">
        <w:t xml:space="preserve">another </w:t>
      </w:r>
      <w:r w:rsidR="21B15381">
        <w:t xml:space="preserve">oil </w:t>
      </w:r>
      <w:r w:rsidR="22517464">
        <w:t>well was drilled by Anschutz Exploration</w:t>
      </w:r>
      <w:r w:rsidR="347A552E">
        <w:t xml:space="preserve"> </w:t>
      </w:r>
      <w:r w:rsidR="78436B34">
        <w:t xml:space="preserve">Corporation, </w:t>
      </w:r>
      <w:r w:rsidR="3B33FE3D">
        <w:t>produced for a short period</w:t>
      </w:r>
      <w:r w:rsidR="24216584">
        <w:t xml:space="preserve"> and plugged in 2021 (HSB Fed 2</w:t>
      </w:r>
      <w:r w:rsidR="0FE1A46D">
        <w:t>2-04, API 43-047-51790)</w:t>
      </w:r>
      <w:r w:rsidR="1C27F31D">
        <w:t>.</w:t>
      </w:r>
      <w:r w:rsidR="347A552E">
        <w:t xml:space="preserve"> </w:t>
      </w:r>
    </w:p>
    <w:p w14:paraId="2ABE3D13" w14:textId="2A5D2D07" w:rsidR="00905011" w:rsidRDefault="00443529" w:rsidP="004E68A8">
      <w:pPr>
        <w:pStyle w:val="Heading2"/>
        <w:rPr>
          <w:rFonts w:hint="eastAsia"/>
        </w:rPr>
      </w:pPr>
      <w:bookmarkStart w:id="19" w:name="_Toc179464219"/>
      <w:bookmarkStart w:id="20" w:name="_Toc170114874"/>
      <w:r>
        <w:t>Purpose and Need</w:t>
      </w:r>
      <w:bookmarkEnd w:id="19"/>
      <w:bookmarkEnd w:id="20"/>
    </w:p>
    <w:p w14:paraId="5F39D9CB" w14:textId="77777777" w:rsidR="00905011" w:rsidRDefault="00905011" w:rsidP="00467B18">
      <w:pPr>
        <w:pStyle w:val="BackCoverStatement"/>
        <w:spacing w:before="240"/>
        <w:ind w:left="0" w:right="90"/>
        <w:jc w:val="left"/>
      </w:pPr>
      <w:r>
        <w:t>The BLM’s purpose is to respond to Expressions of Interest (EOIs) to lease federal oil and gas resources through a competitive leasing process. The need for the action is established by the BLM’s responsibility under the Mineral Leasing Act of 1920 (MLA), as amended, to promote the exploration and development of oil and gas on the public domain.</w:t>
      </w:r>
    </w:p>
    <w:p w14:paraId="49651D0F" w14:textId="311894A5" w:rsidR="00905011" w:rsidRDefault="00905011" w:rsidP="00467B18">
      <w:pPr>
        <w:pStyle w:val="Heading2"/>
        <w:ind w:right="90"/>
        <w:rPr>
          <w:rFonts w:hint="eastAsia"/>
        </w:rPr>
      </w:pPr>
      <w:bookmarkStart w:id="21" w:name="_Toc179464220"/>
      <w:bookmarkStart w:id="22" w:name="_Toc170114875"/>
      <w:r>
        <w:t>D</w:t>
      </w:r>
      <w:r w:rsidR="006C3BD5">
        <w:t>ecision to be Made</w:t>
      </w:r>
      <w:bookmarkEnd w:id="21"/>
      <w:bookmarkEnd w:id="22"/>
    </w:p>
    <w:p w14:paraId="471899E5" w14:textId="0AA8C72E" w:rsidR="00905011" w:rsidRDefault="00905011" w:rsidP="00467B18">
      <w:pPr>
        <w:pStyle w:val="BackCoverStatement"/>
        <w:spacing w:before="240"/>
        <w:ind w:left="0" w:right="90"/>
        <w:jc w:val="left"/>
      </w:pPr>
      <w:r>
        <w:t xml:space="preserve">The BLM Authorized Officer </w:t>
      </w:r>
      <w:r w:rsidR="000E1F14">
        <w:t>(AO)</w:t>
      </w:r>
      <w:r>
        <w:t xml:space="preserve"> will decide whether to </w:t>
      </w:r>
      <w:r w:rsidR="008869A6">
        <w:t xml:space="preserve">offer for </w:t>
      </w:r>
      <w:r>
        <w:t xml:space="preserve">lease </w:t>
      </w:r>
      <w:r w:rsidR="004E5ACA">
        <w:t xml:space="preserve">one </w:t>
      </w:r>
      <w:r>
        <w:t>or</w:t>
      </w:r>
      <w:r w:rsidDel="004E5ACA">
        <w:t xml:space="preserve"> </w:t>
      </w:r>
      <w:r w:rsidR="004E5ACA">
        <w:t>both</w:t>
      </w:r>
      <w:r>
        <w:t xml:space="preserve"> nominated lease parcels with </w:t>
      </w:r>
      <w:proofErr w:type="gramStart"/>
      <w:r>
        <w:t>or</w:t>
      </w:r>
      <w:proofErr w:type="gramEnd"/>
      <w:r>
        <w:t xml:space="preserve"> without constraints, in the form of lease stipulations, as provided for in the approved land use plan. If the decision is to </w:t>
      </w:r>
      <w:r w:rsidR="00E95FA9">
        <w:t xml:space="preserve">offer the </w:t>
      </w:r>
      <w:r w:rsidR="00671882">
        <w:t>federal minerals</w:t>
      </w:r>
      <w:r>
        <w:t xml:space="preserve"> for lease, and to subsequently issue a lease</w:t>
      </w:r>
      <w:r w:rsidR="00217744">
        <w:t xml:space="preserve"> if a successful bid is received</w:t>
      </w:r>
      <w:r>
        <w:t xml:space="preserve">, standard terms and conditions under Section 6 of the BLM Lease Form (Form 3100-11, Offer to Lease and Lease for Oil and Gas), herein referred to as standard terms and conditions, would apply. The BLM </w:t>
      </w:r>
      <w:r w:rsidR="000E1F14">
        <w:t>AO</w:t>
      </w:r>
      <w:r>
        <w:t xml:space="preserve"> also has the authority to defer the parcels, based on the analysis of potential effects presented in this EA. The Decision Record will identify whether the BLM decided to </w:t>
      </w:r>
      <w:r w:rsidR="00C90253">
        <w:t xml:space="preserve">offer for </w:t>
      </w:r>
      <w:r>
        <w:t xml:space="preserve">lease the nominated lease parcels and the rationale for the decision. </w:t>
      </w:r>
    </w:p>
    <w:p w14:paraId="15D4D10B" w14:textId="290FE3C9" w:rsidR="00905011" w:rsidRDefault="00905011" w:rsidP="00467B18">
      <w:pPr>
        <w:pStyle w:val="Heading2"/>
        <w:ind w:right="90"/>
        <w:rPr>
          <w:rFonts w:hint="eastAsia"/>
        </w:rPr>
      </w:pPr>
      <w:bookmarkStart w:id="23" w:name="_Toc179464221"/>
      <w:bookmarkStart w:id="24" w:name="_Toc170114876"/>
      <w:r w:rsidRPr="00C82984">
        <w:t xml:space="preserve">BLM </w:t>
      </w:r>
      <w:r w:rsidR="00D76168">
        <w:t>L</w:t>
      </w:r>
      <w:r w:rsidR="00205893">
        <w:t>and Use Plan Conformance</w:t>
      </w:r>
      <w:bookmarkEnd w:id="23"/>
      <w:bookmarkEnd w:id="24"/>
    </w:p>
    <w:p w14:paraId="420D2056" w14:textId="3F468352" w:rsidR="00905011" w:rsidRDefault="00905011" w:rsidP="00467B18">
      <w:pPr>
        <w:pStyle w:val="BackCoverStatement"/>
        <w:spacing w:before="240"/>
        <w:ind w:left="0" w:right="90"/>
        <w:jc w:val="left"/>
      </w:pPr>
      <w:r>
        <w:t xml:space="preserve">The Proposed Action </w:t>
      </w:r>
      <w:r w:rsidR="00EF7D02">
        <w:t>complies</w:t>
      </w:r>
      <w:r>
        <w:t xml:space="preserve"> with the Vernal Field Office Resource Management Plan (</w:t>
      </w:r>
      <w:r w:rsidR="00E233DB">
        <w:t xml:space="preserve">Vernal </w:t>
      </w:r>
      <w:r>
        <w:t>RMP), October 2008, as amended (BLM, 2008</w:t>
      </w:r>
      <w:r w:rsidR="009833EF">
        <w:t>; 2015</w:t>
      </w:r>
      <w:r>
        <w:t>)</w:t>
      </w:r>
      <w:r w:rsidR="003809D7">
        <w:t>. The nominated lease parcels are in areas that are open to leasing (decisions MIN-10, MIN-11, MIN-12) under the Vernal RMP</w:t>
      </w:r>
      <w:r w:rsidR="00275921">
        <w:t>.</w:t>
      </w:r>
      <w:r w:rsidR="00DC6098">
        <w:t xml:space="preserve">  </w:t>
      </w:r>
      <w:r w:rsidR="002A22A9">
        <w:t xml:space="preserve">In addition, </w:t>
      </w:r>
      <w:r w:rsidR="00601702">
        <w:t xml:space="preserve">the </w:t>
      </w:r>
      <w:r w:rsidR="00A7240C">
        <w:t xml:space="preserve">Vernal RMP </w:t>
      </w:r>
      <w:r w:rsidR="00DC6098">
        <w:lastRenderedPageBreak/>
        <w:t xml:space="preserve">Appendix K </w:t>
      </w:r>
      <w:r w:rsidR="00FA70FE">
        <w:t>provides</w:t>
      </w:r>
      <w:r w:rsidR="00DC6098">
        <w:t xml:space="preserve"> </w:t>
      </w:r>
      <w:r w:rsidR="00407A54">
        <w:t>surface stipulations applicable to all surface-disturbing activities</w:t>
      </w:r>
      <w:r w:rsidR="00637B58">
        <w:t xml:space="preserve">. Stipulations </w:t>
      </w:r>
      <w:r w:rsidR="00512E9B">
        <w:t>attached to the nominated lease parcels</w:t>
      </w:r>
      <w:r w:rsidR="00637B58">
        <w:t xml:space="preserve"> </w:t>
      </w:r>
      <w:r w:rsidR="001941CD">
        <w:t xml:space="preserve">are </w:t>
      </w:r>
      <w:r w:rsidR="001E64B4">
        <w:t xml:space="preserve">identified and summarized in Appendix </w:t>
      </w:r>
      <w:r w:rsidR="00DC6098">
        <w:t>B</w:t>
      </w:r>
      <w:r w:rsidR="00EF427E">
        <w:t xml:space="preserve"> of this EA</w:t>
      </w:r>
      <w:r w:rsidR="003809D7">
        <w:t xml:space="preserve">. </w:t>
      </w:r>
    </w:p>
    <w:p w14:paraId="675409ED" w14:textId="78B113BB" w:rsidR="004E68A8" w:rsidRPr="007004E5" w:rsidRDefault="004E68A8" w:rsidP="00467B18">
      <w:pPr>
        <w:pStyle w:val="BodyText"/>
        <w:ind w:left="720" w:right="90"/>
      </w:pPr>
    </w:p>
    <w:p w14:paraId="38CD9DD1" w14:textId="2223FE1E" w:rsidR="006E2950" w:rsidRPr="006E2950" w:rsidRDefault="006E2950" w:rsidP="00822433">
      <w:pPr>
        <w:pStyle w:val="Heading2"/>
        <w:rPr>
          <w:rFonts w:hint="eastAsia"/>
        </w:rPr>
      </w:pPr>
      <w:bookmarkStart w:id="25" w:name="_Toc179464222"/>
      <w:bookmarkStart w:id="26" w:name="_Toc170114877"/>
      <w:r>
        <w:t xml:space="preserve">Relationship to </w:t>
      </w:r>
      <w:r w:rsidR="00822433">
        <w:t>S</w:t>
      </w:r>
      <w:r>
        <w:t xml:space="preserve">tatutes, </w:t>
      </w:r>
      <w:r w:rsidR="00822433">
        <w:t>R</w:t>
      </w:r>
      <w:r>
        <w:t xml:space="preserve">egulations, </w:t>
      </w:r>
      <w:r w:rsidR="00822433">
        <w:t>P</w:t>
      </w:r>
      <w:r>
        <w:t xml:space="preserve">olicies, and </w:t>
      </w:r>
      <w:r w:rsidR="00822433">
        <w:t>O</w:t>
      </w:r>
      <w:r>
        <w:t xml:space="preserve">ther </w:t>
      </w:r>
      <w:r w:rsidR="00822433">
        <w:t>P</w:t>
      </w:r>
      <w:r>
        <w:t>lans</w:t>
      </w:r>
      <w:bookmarkEnd w:id="25"/>
      <w:bookmarkEnd w:id="26"/>
    </w:p>
    <w:p w14:paraId="0F1361A0" w14:textId="77777777" w:rsidR="004E68A8" w:rsidRDefault="004E68A8" w:rsidP="004E68A8">
      <w:pPr>
        <w:pStyle w:val="BodyText"/>
      </w:pPr>
      <w:r>
        <w:t>One of</w:t>
      </w:r>
      <w:r w:rsidRPr="006B6F8D">
        <w:t xml:space="preserve"> </w:t>
      </w:r>
      <w:r>
        <w:t xml:space="preserve">BLM’s </w:t>
      </w:r>
      <w:r w:rsidRPr="006B6F8D">
        <w:t>mandates</w:t>
      </w:r>
      <w:r>
        <w:t xml:space="preserve">, </w:t>
      </w:r>
      <w:r w:rsidRPr="006B6F8D">
        <w:t xml:space="preserve">as derived from various laws, including the MLA and the </w:t>
      </w:r>
      <w:r>
        <w:t>Federal Land Policy and Management Act of 1976 (</w:t>
      </w:r>
      <w:r w:rsidRPr="006B6F8D">
        <w:t>FLPMA</w:t>
      </w:r>
      <w:r>
        <w:t>)</w:t>
      </w:r>
      <w:r w:rsidRPr="006B6F8D">
        <w:t xml:space="preserve">, as amended, </w:t>
      </w:r>
      <w:r>
        <w:t xml:space="preserve">is </w:t>
      </w:r>
      <w:r w:rsidRPr="006B6F8D">
        <w:t xml:space="preserve">to promote the exploration and development of oil and gas on the public domain. </w:t>
      </w:r>
    </w:p>
    <w:p w14:paraId="7594F935" w14:textId="77777777" w:rsidR="004E68A8" w:rsidRDefault="004E68A8" w:rsidP="004E68A8">
      <w:pPr>
        <w:pStyle w:val="BodyText"/>
      </w:pPr>
      <w:r>
        <w:t xml:space="preserve">The Federal Onshore Oil and Gas Leasing Reform Act of 1987 (FOOGLRA), </w:t>
      </w:r>
      <w:r w:rsidRPr="006B6F8D">
        <w:t xml:space="preserve">states that lease sales shall be held for each </w:t>
      </w:r>
      <w:r>
        <w:t>s</w:t>
      </w:r>
      <w:r w:rsidRPr="006B6F8D">
        <w:t>tate where eligible lands are available at least quarterly and more frequently if the Secretary of the Interior determines such sales are necessary.</w:t>
      </w:r>
    </w:p>
    <w:p w14:paraId="6F296E65" w14:textId="049B3E44" w:rsidR="004E68A8" w:rsidRDefault="004E68A8" w:rsidP="004E68A8">
      <w:pPr>
        <w:pStyle w:val="BodyText"/>
      </w:pPr>
      <w:r w:rsidRPr="006B6F8D">
        <w:t xml:space="preserve">Purchasers of oil and gas lease parcels are required to comply with all applicable federal, state, and local laws and regulations, including obtaining all necessary permits prior to any lease development activities. </w:t>
      </w:r>
      <w:r>
        <w:t xml:space="preserve"> A listing of</w:t>
      </w:r>
      <w:r w:rsidR="00327EF7">
        <w:t xml:space="preserve"> </w:t>
      </w:r>
      <w:r w:rsidR="00171374">
        <w:t>relevant</w:t>
      </w:r>
      <w:r>
        <w:t xml:space="preserve"> statutes, regulations, and policies is provided in </w:t>
      </w:r>
      <w:r>
        <w:fldChar w:fldCharType="begin"/>
      </w:r>
      <w:r>
        <w:instrText xml:space="preserve"> REF _Ref136427967 \h </w:instrText>
      </w:r>
      <w:r>
        <w:fldChar w:fldCharType="separate"/>
      </w:r>
      <w:r>
        <w:t xml:space="preserve">Table </w:t>
      </w:r>
      <w:r>
        <w:rPr>
          <w:rStyle w:val="TableLeasingEA"/>
          <w:rFonts w:eastAsiaTheme="minorHAnsi"/>
          <w:b w:val="0"/>
          <w:noProof/>
          <w:sz w:val="24"/>
          <w:szCs w:val="20"/>
        </w:rPr>
        <w:t>3</w:t>
      </w:r>
      <w:r>
        <w:fldChar w:fldCharType="end"/>
      </w:r>
      <w:r>
        <w:t>. Other plans are discussed in Section</w:t>
      </w:r>
      <w:r>
        <w:fldChar w:fldCharType="begin"/>
      </w:r>
      <w:r>
        <w:instrText xml:space="preserve"> REF _Ref128937815 \n \h </w:instrText>
      </w:r>
      <w:r>
        <w:fldChar w:fldCharType="separate"/>
      </w:r>
      <w:r>
        <w:t xml:space="preserve"> 1.5.1</w:t>
      </w:r>
      <w:r>
        <w:fldChar w:fldCharType="end"/>
      </w:r>
      <w:r>
        <w:t xml:space="preserve">. </w:t>
      </w:r>
    </w:p>
    <w:p w14:paraId="48483E37" w14:textId="4A288B10" w:rsidR="00BD16D4" w:rsidRDefault="00BD16D4" w:rsidP="00865AFF">
      <w:pPr>
        <w:pStyle w:val="Caption"/>
      </w:pPr>
      <w:bookmarkStart w:id="27" w:name="_Toc179464284"/>
      <w:bookmarkStart w:id="28" w:name="_Toc170114939"/>
      <w:bookmarkStart w:id="29" w:name="_Hlk164959513"/>
      <w:r>
        <w:t xml:space="preserve">Table </w:t>
      </w:r>
      <w:r w:rsidR="00BB3F01">
        <w:fldChar w:fldCharType="begin"/>
      </w:r>
      <w:r w:rsidR="00BB3F01">
        <w:instrText xml:space="preserve"> SEQ Table \* ARABIC </w:instrText>
      </w:r>
      <w:r w:rsidR="00BB3F01">
        <w:fldChar w:fldCharType="separate"/>
      </w:r>
      <w:r w:rsidR="00BB3F01">
        <w:rPr>
          <w:noProof/>
        </w:rPr>
        <w:t>3</w:t>
      </w:r>
      <w:r w:rsidR="00BB3F01">
        <w:rPr>
          <w:noProof/>
        </w:rPr>
        <w:fldChar w:fldCharType="end"/>
      </w:r>
      <w:r>
        <w:t xml:space="preserve"> </w:t>
      </w:r>
      <w:r w:rsidRPr="00612B9B">
        <w:t>Relationship to Statutes, Regulations, and Policies</w:t>
      </w:r>
      <w:bookmarkEnd w:id="27"/>
      <w:bookmarkEnd w:id="28"/>
    </w:p>
    <w:tbl>
      <w:tblPr>
        <w:tblStyle w:val="TableGrid"/>
        <w:tblW w:w="5000" w:type="pct"/>
        <w:tblLook w:val="04A0" w:firstRow="1" w:lastRow="0" w:firstColumn="1" w:lastColumn="0" w:noHBand="0" w:noVBand="1"/>
        <w:tblDescription w:val="Relationship to Statutes, Regulations and Policies"/>
      </w:tblPr>
      <w:tblGrid>
        <w:gridCol w:w="1975"/>
        <w:gridCol w:w="7375"/>
      </w:tblGrid>
      <w:tr w:rsidR="004E68A8" w:rsidRPr="00AA422B" w14:paraId="7B7392A8" w14:textId="77777777" w:rsidTr="00F03E91">
        <w:trPr>
          <w:cantSplit/>
          <w:tblHeader/>
        </w:trPr>
        <w:tc>
          <w:tcPr>
            <w:tcW w:w="1975" w:type="dxa"/>
            <w:shd w:val="clear" w:color="auto" w:fill="EDEDED" w:themeFill="accent3" w:themeFillTint="33"/>
            <w:vAlign w:val="center"/>
          </w:tcPr>
          <w:bookmarkEnd w:id="29"/>
          <w:p w14:paraId="2FB0906C" w14:textId="2C946B4F" w:rsidR="004E68A8" w:rsidRPr="001A37A6" w:rsidRDefault="004E68A8">
            <w:pPr>
              <w:pStyle w:val="TableHeading"/>
              <w:rPr>
                <w:rFonts w:ascii="Times New Roman" w:hAnsi="Times New Roman" w:cs="Times New Roman"/>
                <w:sz w:val="20"/>
              </w:rPr>
            </w:pPr>
            <w:r w:rsidRPr="001A37A6">
              <w:rPr>
                <w:rFonts w:ascii="Times New Roman" w:hAnsi="Times New Roman" w:cs="Times New Roman"/>
                <w:sz w:val="20"/>
              </w:rPr>
              <w:t>Relevant Statute, Regulation, or Policy</w:t>
            </w:r>
          </w:p>
        </w:tc>
        <w:tc>
          <w:tcPr>
            <w:tcW w:w="7375" w:type="dxa"/>
            <w:shd w:val="clear" w:color="auto" w:fill="EDEDED" w:themeFill="accent3" w:themeFillTint="33"/>
            <w:vAlign w:val="center"/>
          </w:tcPr>
          <w:p w14:paraId="23A13B7B" w14:textId="77777777" w:rsidR="004E68A8" w:rsidRPr="001A37A6" w:rsidRDefault="004E68A8">
            <w:pPr>
              <w:pStyle w:val="TableHeading"/>
              <w:rPr>
                <w:rFonts w:ascii="Times New Roman" w:hAnsi="Times New Roman" w:cs="Times New Roman"/>
                <w:sz w:val="20"/>
              </w:rPr>
            </w:pPr>
            <w:r w:rsidRPr="001A37A6">
              <w:rPr>
                <w:rFonts w:ascii="Times New Roman" w:hAnsi="Times New Roman" w:cs="Times New Roman"/>
                <w:sz w:val="20"/>
              </w:rPr>
              <w:t>Relationship to the Proposed Action</w:t>
            </w:r>
          </w:p>
        </w:tc>
      </w:tr>
      <w:tr w:rsidR="004E68A8" w:rsidRPr="00AA422B" w14:paraId="5B9E1D32" w14:textId="77777777" w:rsidTr="00F03E91">
        <w:trPr>
          <w:cantSplit/>
        </w:trPr>
        <w:tc>
          <w:tcPr>
            <w:tcW w:w="1975" w:type="dxa"/>
          </w:tcPr>
          <w:p w14:paraId="1BCE20FB"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Endangered Species Act (ESA)</w:t>
            </w:r>
          </w:p>
        </w:tc>
        <w:tc>
          <w:tcPr>
            <w:tcW w:w="7375" w:type="dxa"/>
          </w:tcPr>
          <w:p w14:paraId="4DD41107" w14:textId="77777777" w:rsidR="004E68A8" w:rsidRPr="00321D37" w:rsidRDefault="004E68A8">
            <w:pPr>
              <w:pStyle w:val="TableTextLeft"/>
              <w:rPr>
                <w:rFonts w:ascii="Times New Roman" w:hAnsi="Times New Roman"/>
                <w:sz w:val="20"/>
                <w:szCs w:val="20"/>
              </w:rPr>
            </w:pPr>
            <w:r w:rsidRPr="00321D37">
              <w:rPr>
                <w:rFonts w:ascii="Times New Roman" w:hAnsi="Times New Roman"/>
                <w:sz w:val="20"/>
                <w:szCs w:val="20"/>
              </w:rPr>
              <w:t xml:space="preserve">The ESA requires all federal departments and agencies to consult with the U.S. Fish and Wildlife Service on all actions authorized, funded, or carried out by the agency to ensure that the action will not likely jeopardize the continued existence of any threatened and endangered species or adversely modify critical habitat. See the text of stipulation </w:t>
            </w:r>
            <w:r w:rsidRPr="00321D37">
              <w:rPr>
                <w:rFonts w:ascii="Times New Roman" w:hAnsi="Times New Roman"/>
                <w:bCs/>
                <w:sz w:val="20"/>
                <w:szCs w:val="20"/>
              </w:rPr>
              <w:t>HQ-TES-1</w:t>
            </w:r>
            <w:r w:rsidRPr="00321D37">
              <w:rPr>
                <w:rFonts w:ascii="Times New Roman" w:hAnsi="Times New Roman"/>
                <w:b/>
                <w:sz w:val="20"/>
                <w:szCs w:val="20"/>
              </w:rPr>
              <w:t> </w:t>
            </w:r>
            <w:r w:rsidRPr="00321D37">
              <w:rPr>
                <w:rFonts w:ascii="Times New Roman" w:hAnsi="Times New Roman"/>
                <w:sz w:val="20"/>
                <w:szCs w:val="20"/>
              </w:rPr>
              <w:t xml:space="preserve">in </w:t>
            </w:r>
            <w:r w:rsidRPr="00321D37">
              <w:rPr>
                <w:rFonts w:ascii="Times New Roman" w:hAnsi="Times New Roman"/>
                <w:sz w:val="20"/>
                <w:szCs w:val="20"/>
              </w:rPr>
              <w:fldChar w:fldCharType="begin"/>
            </w:r>
            <w:r w:rsidRPr="00321D37">
              <w:rPr>
                <w:rFonts w:ascii="Times New Roman" w:hAnsi="Times New Roman"/>
                <w:sz w:val="20"/>
                <w:szCs w:val="20"/>
              </w:rPr>
              <w:instrText xml:space="preserve"> REF _Ref128938540 \h  \* MERGEFORMAT </w:instrText>
            </w:r>
            <w:r w:rsidRPr="00321D37">
              <w:rPr>
                <w:rFonts w:ascii="Times New Roman" w:hAnsi="Times New Roman"/>
                <w:sz w:val="20"/>
                <w:szCs w:val="20"/>
              </w:rPr>
            </w:r>
            <w:r w:rsidRPr="00321D37">
              <w:rPr>
                <w:rFonts w:ascii="Times New Roman" w:hAnsi="Times New Roman"/>
                <w:sz w:val="20"/>
                <w:szCs w:val="20"/>
              </w:rPr>
              <w:fldChar w:fldCharType="separate"/>
            </w:r>
            <w:r w:rsidRPr="006D6FF1">
              <w:rPr>
                <w:rFonts w:ascii="Times New Roman" w:hAnsi="Times New Roman"/>
                <w:sz w:val="20"/>
                <w:szCs w:val="20"/>
              </w:rPr>
              <w:t>Appendix C. Lease Stipulation and Notice Summary</w:t>
            </w:r>
            <w:r w:rsidRPr="00321D37">
              <w:rPr>
                <w:rFonts w:ascii="Times New Roman" w:hAnsi="Times New Roman"/>
                <w:sz w:val="20"/>
                <w:szCs w:val="20"/>
              </w:rPr>
              <w:fldChar w:fldCharType="end"/>
            </w:r>
            <w:r>
              <w:rPr>
                <w:rFonts w:ascii="Times New Roman" w:hAnsi="Times New Roman"/>
                <w:sz w:val="20"/>
                <w:szCs w:val="20"/>
              </w:rPr>
              <w:t xml:space="preserve"> </w:t>
            </w:r>
            <w:r w:rsidRPr="00321D37">
              <w:rPr>
                <w:rFonts w:ascii="Times New Roman" w:hAnsi="Times New Roman"/>
                <w:sz w:val="20"/>
                <w:szCs w:val="20"/>
              </w:rPr>
              <w:t>for details.</w:t>
            </w:r>
          </w:p>
        </w:tc>
      </w:tr>
      <w:tr w:rsidR="004E68A8" w:rsidRPr="00AA422B" w14:paraId="613B3713" w14:textId="77777777" w:rsidTr="00F03E91">
        <w:trPr>
          <w:cantSplit/>
        </w:trPr>
        <w:tc>
          <w:tcPr>
            <w:tcW w:w="1975" w:type="dxa"/>
          </w:tcPr>
          <w:p w14:paraId="5BD2F755"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Federal Land Policy and Management Act (FLPMA)</w:t>
            </w:r>
          </w:p>
        </w:tc>
        <w:tc>
          <w:tcPr>
            <w:tcW w:w="7375" w:type="dxa"/>
          </w:tcPr>
          <w:p w14:paraId="47674E7F"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FLPMA established guidelines to provide for the management, protection, development, and enhancement of public lands (Pub. L. No. 94-579). Section 103 of FLPMA defines public lands as any lands and interest in lands owned by the United States. For split-estate lands where the mineral estate is an interest owned by the United States, the BLM has no authority over use of the surface by the surface owner; however, the BLM is required to disclose potential effects connected to the authorization to lease and develop federal mineral estate and to declare how federal mineral estate is managed in the RMP, including identification of all appropriate lease stipulations (43 CFR 3101.1 and 43 CFR 1601.0-7(b); BLM Handbook H-1601.09 and H-1624-1</w:t>
            </w:r>
            <w:r>
              <w:rPr>
                <w:rFonts w:ascii="Times New Roman" w:hAnsi="Times New Roman"/>
                <w:sz w:val="20"/>
                <w:szCs w:val="20"/>
              </w:rPr>
              <w:t>)</w:t>
            </w:r>
            <w:r w:rsidRPr="001A37A6">
              <w:rPr>
                <w:rFonts w:ascii="Times New Roman" w:hAnsi="Times New Roman"/>
                <w:sz w:val="20"/>
                <w:szCs w:val="20"/>
              </w:rPr>
              <w:t>.</w:t>
            </w:r>
          </w:p>
        </w:tc>
      </w:tr>
      <w:tr w:rsidR="004E68A8" w:rsidRPr="00AA422B" w14:paraId="338AE10D" w14:textId="77777777" w:rsidTr="00F03E91">
        <w:trPr>
          <w:cantSplit/>
        </w:trPr>
        <w:tc>
          <w:tcPr>
            <w:tcW w:w="1975" w:type="dxa"/>
          </w:tcPr>
          <w:p w14:paraId="37BCC50B"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Federal Onshore Oil and Gas Leasing Reform Act (FOOGLRA)</w:t>
            </w:r>
          </w:p>
        </w:tc>
        <w:tc>
          <w:tcPr>
            <w:tcW w:w="7375" w:type="dxa"/>
          </w:tcPr>
          <w:p w14:paraId="5FE01B79" w14:textId="77777777" w:rsidR="004E68A8" w:rsidRPr="001A37A6" w:rsidRDefault="004E68A8">
            <w:pPr>
              <w:pStyle w:val="TableTextLeft"/>
              <w:rPr>
                <w:rFonts w:ascii="Times New Roman" w:hAnsi="Times New Roman"/>
                <w:sz w:val="20"/>
                <w:szCs w:val="20"/>
              </w:rPr>
            </w:pPr>
            <w:r w:rsidRPr="698A14CA">
              <w:rPr>
                <w:rFonts w:ascii="Times New Roman" w:hAnsi="Times New Roman"/>
                <w:sz w:val="20"/>
                <w:szCs w:val="20"/>
              </w:rPr>
              <w:t xml:space="preserve">This </w:t>
            </w:r>
            <w:r>
              <w:rPr>
                <w:rFonts w:ascii="Times New Roman" w:hAnsi="Times New Roman"/>
                <w:sz w:val="20"/>
                <w:szCs w:val="20"/>
              </w:rPr>
              <w:t>a</w:t>
            </w:r>
            <w:r w:rsidRPr="698A14CA">
              <w:rPr>
                <w:rFonts w:ascii="Times New Roman" w:hAnsi="Times New Roman"/>
                <w:sz w:val="20"/>
                <w:szCs w:val="20"/>
              </w:rPr>
              <w:t xml:space="preserve">ct directs the BLM to conduct quarterly oil and gas lease sales whenever eligible lands are available for leasing. </w:t>
            </w:r>
          </w:p>
        </w:tc>
      </w:tr>
      <w:tr w:rsidR="004E68A8" w:rsidRPr="00AA422B" w14:paraId="43E6E097" w14:textId="77777777" w:rsidTr="00F03E91">
        <w:trPr>
          <w:cantSplit/>
        </w:trPr>
        <w:tc>
          <w:tcPr>
            <w:tcW w:w="1975" w:type="dxa"/>
          </w:tcPr>
          <w:p w14:paraId="71E87F5E"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lastRenderedPageBreak/>
              <w:t>Inflation Reduction Act of 2022 (IRA)</w:t>
            </w:r>
          </w:p>
        </w:tc>
        <w:tc>
          <w:tcPr>
            <w:tcW w:w="7375" w:type="dxa"/>
          </w:tcPr>
          <w:p w14:paraId="20A56152" w14:textId="33737422"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Section 50265 of the IRA states that the BLM may not issue a right-of-way for wind or solar energy development on federal land unless it has 1) held an onshore oil and gas lease sale during the past 120 days and 2) offered the lesser of a “sum total” of either 2,000,000 acres or 50 percent of the acreage for which EOIs have been submitted for lease sales during the previous 1-year period.</w:t>
            </w:r>
          </w:p>
          <w:p w14:paraId="039345BC" w14:textId="67627864"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The BLM</w:t>
            </w:r>
            <w:r>
              <w:rPr>
                <w:rFonts w:ascii="Times New Roman" w:hAnsi="Times New Roman"/>
                <w:sz w:val="20"/>
                <w:szCs w:val="20"/>
              </w:rPr>
              <w:t xml:space="preserve"> </w:t>
            </w:r>
            <w:r w:rsidRPr="001A37A6">
              <w:rPr>
                <w:rFonts w:ascii="Times New Roman" w:hAnsi="Times New Roman"/>
                <w:sz w:val="20"/>
                <w:szCs w:val="20"/>
              </w:rPr>
              <w:t>issued policy guidance to implement the oil and gas leasing provisions in the IRA and provided updated direction on other program components (Headquarters Office [HQ]</w:t>
            </w:r>
            <w:r w:rsidRPr="001A37A6">
              <w:rPr>
                <w:rStyle w:val="FootnoteReference"/>
                <w:sz w:val="20"/>
                <w:szCs w:val="20"/>
              </w:rPr>
              <w:footnoteReference w:id="3"/>
            </w:r>
            <w:r w:rsidRPr="001A37A6">
              <w:rPr>
                <w:rFonts w:ascii="Times New Roman" w:hAnsi="Times New Roman"/>
                <w:sz w:val="20"/>
                <w:szCs w:val="20"/>
              </w:rPr>
              <w:t xml:space="preserve"> </w:t>
            </w:r>
            <w:hyperlink r:id="rId14" w:history="1">
              <w:r w:rsidRPr="00C93485">
                <w:rPr>
                  <w:rStyle w:val="Hyperlink"/>
                  <w:rFonts w:ascii="Times New Roman" w:hAnsi="Times New Roman"/>
                  <w:sz w:val="20"/>
                  <w:szCs w:val="20"/>
                </w:rPr>
                <w:t>Instruction Memorandum [IM] 2023-006</w:t>
              </w:r>
            </w:hyperlink>
            <w:r w:rsidRPr="001A37A6">
              <w:rPr>
                <w:rFonts w:ascii="Times New Roman" w:hAnsi="Times New Roman"/>
                <w:sz w:val="20"/>
                <w:szCs w:val="20"/>
              </w:rPr>
              <w:t xml:space="preserve">, </w:t>
            </w:r>
            <w:hyperlink r:id="rId15" w:history="1">
              <w:r w:rsidRPr="008B31B8">
                <w:rPr>
                  <w:rStyle w:val="Hyperlink"/>
                  <w:rFonts w:ascii="Times New Roman" w:hAnsi="Times New Roman"/>
                  <w:sz w:val="20"/>
                  <w:szCs w:val="20"/>
                </w:rPr>
                <w:t>IM 2023-007</w:t>
              </w:r>
            </w:hyperlink>
            <w:r w:rsidRPr="001A37A6">
              <w:rPr>
                <w:rFonts w:ascii="Times New Roman" w:hAnsi="Times New Roman"/>
                <w:sz w:val="20"/>
                <w:szCs w:val="20"/>
              </w:rPr>
              <w:t xml:space="preserve">, </w:t>
            </w:r>
            <w:hyperlink r:id="rId16" w:history="1">
              <w:r w:rsidRPr="008F219C">
                <w:rPr>
                  <w:rStyle w:val="Hyperlink"/>
                  <w:rFonts w:ascii="Times New Roman" w:hAnsi="Times New Roman"/>
                  <w:sz w:val="20"/>
                  <w:szCs w:val="20"/>
                </w:rPr>
                <w:t>IM 2023-008</w:t>
              </w:r>
            </w:hyperlink>
            <w:r w:rsidRPr="001A37A6">
              <w:rPr>
                <w:rFonts w:ascii="Times New Roman" w:hAnsi="Times New Roman"/>
                <w:sz w:val="20"/>
                <w:szCs w:val="20"/>
              </w:rPr>
              <w:t xml:space="preserve">, and </w:t>
            </w:r>
            <w:hyperlink r:id="rId17" w:history="1">
              <w:r w:rsidRPr="00D70918">
                <w:rPr>
                  <w:rStyle w:val="Hyperlink"/>
                  <w:rFonts w:ascii="Times New Roman" w:hAnsi="Times New Roman"/>
                  <w:sz w:val="20"/>
                  <w:szCs w:val="20"/>
                </w:rPr>
                <w:t>IM 2023-010</w:t>
              </w:r>
            </w:hyperlink>
            <w:r w:rsidRPr="001A37A6">
              <w:rPr>
                <w:rFonts w:ascii="Times New Roman" w:hAnsi="Times New Roman"/>
                <w:sz w:val="20"/>
                <w:szCs w:val="20"/>
              </w:rPr>
              <w:t>).</w:t>
            </w:r>
            <w:r w:rsidR="00407514">
              <w:rPr>
                <w:rFonts w:ascii="Times New Roman" w:hAnsi="Times New Roman"/>
                <w:sz w:val="20"/>
                <w:szCs w:val="20"/>
              </w:rPr>
              <w:t xml:space="preserve"> </w:t>
            </w:r>
          </w:p>
        </w:tc>
      </w:tr>
      <w:tr w:rsidR="004E68A8" w:rsidRPr="00AA422B" w14:paraId="0898F3AC" w14:textId="77777777" w:rsidTr="00F03E91">
        <w:trPr>
          <w:cantSplit/>
        </w:trPr>
        <w:tc>
          <w:tcPr>
            <w:tcW w:w="1975" w:type="dxa"/>
          </w:tcPr>
          <w:p w14:paraId="0B42C98A"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Mineral Leasing Act (MLA)</w:t>
            </w:r>
          </w:p>
        </w:tc>
        <w:tc>
          <w:tcPr>
            <w:tcW w:w="7375" w:type="dxa"/>
          </w:tcPr>
          <w:p w14:paraId="1C3A6DF4"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The MLA establishes that deposits of oil and gas owned by the United States are subject to disposition in the form and manner provided by the MLA under the rules and regulations prescribed by the Secretary of the Interior, where consistent with FLPMA, the National Environmental Policy Act of 1969, as amended (NEPA; Pub. L. No. 91-90, 42 United States Code [U.S.C.] Section 4321 et seq.), and other applicable laws, regulations, and policies.</w:t>
            </w:r>
          </w:p>
        </w:tc>
      </w:tr>
      <w:tr w:rsidR="004E68A8" w:rsidRPr="00AA422B" w14:paraId="73FADFFF" w14:textId="77777777" w:rsidTr="00F03E91">
        <w:trPr>
          <w:cantSplit/>
        </w:trPr>
        <w:tc>
          <w:tcPr>
            <w:tcW w:w="1975" w:type="dxa"/>
          </w:tcPr>
          <w:p w14:paraId="6EC8D2A4" w14:textId="54E58AD1"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National Historic Preservation Act (NHPA)</w:t>
            </w:r>
          </w:p>
        </w:tc>
        <w:tc>
          <w:tcPr>
            <w:tcW w:w="7375" w:type="dxa"/>
          </w:tcPr>
          <w:p w14:paraId="2945D085" w14:textId="31DF36B8" w:rsidR="004E68A8" w:rsidRDefault="004E68A8">
            <w:pPr>
              <w:pStyle w:val="TableTextLeft"/>
              <w:rPr>
                <w:rFonts w:ascii="Times New Roman" w:hAnsi="Times New Roman"/>
                <w:sz w:val="20"/>
                <w:szCs w:val="20"/>
              </w:rPr>
            </w:pPr>
            <w:r w:rsidRPr="00D55959">
              <w:rPr>
                <w:rFonts w:ascii="Times New Roman" w:hAnsi="Times New Roman"/>
                <w:sz w:val="20"/>
                <w:szCs w:val="20"/>
              </w:rPr>
              <w:t xml:space="preserve">Leasing is considered an undertaking pursuant to 54 U.S.C. Section 300101 et seq., commonly known as the NHPA, as amended, and 54 U.S.C. Section 306108, commonly known as Section 106 of the NHPA (Section 106). Section 106 requires all federal agencies to </w:t>
            </w:r>
            <w:proofErr w:type="gramStart"/>
            <w:r w:rsidRPr="00D55959">
              <w:rPr>
                <w:rFonts w:ascii="Times New Roman" w:hAnsi="Times New Roman"/>
                <w:sz w:val="20"/>
                <w:szCs w:val="20"/>
              </w:rPr>
              <w:t>take into account</w:t>
            </w:r>
            <w:proofErr w:type="gramEnd"/>
            <w:r w:rsidRPr="00D55959">
              <w:rPr>
                <w:rFonts w:ascii="Times New Roman" w:hAnsi="Times New Roman"/>
                <w:sz w:val="20"/>
                <w:szCs w:val="20"/>
              </w:rPr>
              <w:t xml:space="preserve"> the effects on historic properties from a federal undertaking. As a part of Section 106, federal agencies consult with the State Historic Preservation Office (SHPO) on all undertakings authorized, funded, or carried out by the agency. Agencies may follow a phased approach to Section 106 compliance. At the leasing level, </w:t>
            </w:r>
            <w:r w:rsidR="00BB2216">
              <w:rPr>
                <w:rFonts w:ascii="Times New Roman" w:hAnsi="Times New Roman"/>
                <w:sz w:val="20"/>
                <w:szCs w:val="20"/>
              </w:rPr>
              <w:t>BLM conduct</w:t>
            </w:r>
            <w:r w:rsidR="002446F2">
              <w:rPr>
                <w:rFonts w:ascii="Times New Roman" w:hAnsi="Times New Roman"/>
                <w:sz w:val="20"/>
                <w:szCs w:val="20"/>
              </w:rPr>
              <w:t xml:space="preserve">s an </w:t>
            </w:r>
            <w:r w:rsidRPr="00D55959">
              <w:rPr>
                <w:rFonts w:ascii="Times New Roman" w:hAnsi="Times New Roman"/>
                <w:sz w:val="20"/>
                <w:szCs w:val="20"/>
              </w:rPr>
              <w:t>existing records review and consultation with SHPO, Native American Tribes, consulting parties, and public</w:t>
            </w:r>
            <w:r>
              <w:rPr>
                <w:rFonts w:ascii="Times New Roman" w:hAnsi="Times New Roman"/>
                <w:sz w:val="20"/>
                <w:szCs w:val="20"/>
              </w:rPr>
              <w:t>-</w:t>
            </w:r>
            <w:r w:rsidRPr="00D55959">
              <w:rPr>
                <w:rFonts w:ascii="Times New Roman" w:hAnsi="Times New Roman"/>
                <w:sz w:val="20"/>
                <w:szCs w:val="20"/>
              </w:rPr>
              <w:t>drive</w:t>
            </w:r>
            <w:r>
              <w:rPr>
                <w:rFonts w:ascii="Times New Roman" w:hAnsi="Times New Roman"/>
                <w:sz w:val="20"/>
                <w:szCs w:val="20"/>
              </w:rPr>
              <w:t>n</w:t>
            </w:r>
            <w:r w:rsidRPr="00D55959">
              <w:rPr>
                <w:rFonts w:ascii="Times New Roman" w:hAnsi="Times New Roman"/>
                <w:sz w:val="20"/>
                <w:szCs w:val="20"/>
              </w:rPr>
              <w:t xml:space="preserve"> identification of historic properties. Class III cultural resource surveys are an important part of identification at the lease-development level. See the text of stipulation HQ-CR-1 in </w:t>
            </w:r>
            <w:r w:rsidRPr="00D55959">
              <w:rPr>
                <w:rFonts w:ascii="Times New Roman" w:hAnsi="Times New Roman"/>
                <w:sz w:val="20"/>
                <w:szCs w:val="20"/>
              </w:rPr>
              <w:fldChar w:fldCharType="begin"/>
            </w:r>
            <w:r w:rsidRPr="00D55959">
              <w:rPr>
                <w:rFonts w:ascii="Times New Roman" w:hAnsi="Times New Roman"/>
                <w:sz w:val="20"/>
                <w:szCs w:val="20"/>
              </w:rPr>
              <w:instrText xml:space="preserve"> REF _Ref129019012 \h  \* MERGEFORMAT </w:instrText>
            </w:r>
            <w:r w:rsidRPr="00D55959">
              <w:rPr>
                <w:rFonts w:ascii="Times New Roman" w:hAnsi="Times New Roman"/>
                <w:sz w:val="20"/>
                <w:szCs w:val="20"/>
              </w:rPr>
            </w:r>
            <w:r w:rsidRPr="00D55959">
              <w:rPr>
                <w:rFonts w:ascii="Times New Roman" w:hAnsi="Times New Roman"/>
                <w:sz w:val="20"/>
                <w:szCs w:val="20"/>
              </w:rPr>
              <w:fldChar w:fldCharType="separate"/>
            </w:r>
            <w:r w:rsidRPr="006D6FF1">
              <w:rPr>
                <w:rFonts w:ascii="Times New Roman" w:hAnsi="Times New Roman"/>
                <w:sz w:val="20"/>
                <w:szCs w:val="20"/>
              </w:rPr>
              <w:t>Appendix C. Lease Stipulation and Notice Summary</w:t>
            </w:r>
            <w:r w:rsidRPr="00D55959">
              <w:rPr>
                <w:rFonts w:ascii="Times New Roman" w:hAnsi="Times New Roman"/>
                <w:sz w:val="20"/>
                <w:szCs w:val="20"/>
              </w:rPr>
              <w:fldChar w:fldCharType="end"/>
            </w:r>
            <w:r w:rsidRPr="00D55959">
              <w:rPr>
                <w:rFonts w:ascii="Times New Roman" w:hAnsi="Times New Roman"/>
                <w:sz w:val="20"/>
                <w:szCs w:val="20"/>
              </w:rPr>
              <w:t xml:space="preserve"> for details</w:t>
            </w:r>
            <w:r w:rsidRPr="00D55959" w:rsidDel="00F315D5">
              <w:rPr>
                <w:rFonts w:ascii="Times New Roman" w:hAnsi="Times New Roman"/>
                <w:sz w:val="20"/>
                <w:szCs w:val="20"/>
              </w:rPr>
              <w:t>.</w:t>
            </w:r>
          </w:p>
          <w:p w14:paraId="765D4A5E" w14:textId="12E48338" w:rsidR="004E68A8" w:rsidRPr="00D55959" w:rsidRDefault="004E68A8">
            <w:pPr>
              <w:pStyle w:val="TableTextLeft"/>
              <w:rPr>
                <w:rFonts w:ascii="Times New Roman" w:hAnsi="Times New Roman"/>
                <w:sz w:val="20"/>
                <w:szCs w:val="20"/>
              </w:rPr>
            </w:pPr>
            <w:r w:rsidRPr="000614DE">
              <w:rPr>
                <w:rFonts w:ascii="Times New Roman" w:hAnsi="Times New Roman"/>
                <w:sz w:val="20"/>
                <w:szCs w:val="20"/>
              </w:rPr>
              <w:t xml:space="preserve">All </w:t>
            </w:r>
            <w:r>
              <w:rPr>
                <w:rFonts w:ascii="Times New Roman" w:hAnsi="Times New Roman"/>
                <w:sz w:val="20"/>
                <w:szCs w:val="20"/>
              </w:rPr>
              <w:t>nominated</w:t>
            </w:r>
            <w:r w:rsidRPr="000614DE">
              <w:rPr>
                <w:rFonts w:ascii="Times New Roman" w:hAnsi="Times New Roman"/>
                <w:sz w:val="20"/>
                <w:szCs w:val="20"/>
              </w:rPr>
              <w:t xml:space="preserve"> lease parcels</w:t>
            </w:r>
            <w:r>
              <w:rPr>
                <w:rFonts w:ascii="Times New Roman" w:hAnsi="Times New Roman"/>
                <w:sz w:val="20"/>
                <w:szCs w:val="20"/>
              </w:rPr>
              <w:t xml:space="preserve"> for this Lease Sale</w:t>
            </w:r>
            <w:r w:rsidRPr="000614DE">
              <w:rPr>
                <w:rFonts w:ascii="Times New Roman" w:hAnsi="Times New Roman"/>
                <w:sz w:val="20"/>
                <w:szCs w:val="20"/>
              </w:rPr>
              <w:t xml:space="preserve"> lie within the exterior boundary</w:t>
            </w:r>
            <w:r w:rsidR="009B600D">
              <w:rPr>
                <w:rStyle w:val="FootnoteReference"/>
                <w:szCs w:val="20"/>
              </w:rPr>
              <w:footnoteReference w:id="4"/>
            </w:r>
            <w:r w:rsidRPr="000614DE">
              <w:rPr>
                <w:rFonts w:ascii="Times New Roman" w:hAnsi="Times New Roman"/>
                <w:sz w:val="20"/>
                <w:szCs w:val="20"/>
              </w:rPr>
              <w:t xml:space="preserve"> of the </w:t>
            </w:r>
            <w:r>
              <w:rPr>
                <w:rFonts w:ascii="Times New Roman" w:hAnsi="Times New Roman"/>
                <w:sz w:val="20"/>
                <w:szCs w:val="20"/>
              </w:rPr>
              <w:t>reservation of the</w:t>
            </w:r>
            <w:r w:rsidRPr="000614DE">
              <w:rPr>
                <w:rFonts w:ascii="Times New Roman" w:hAnsi="Times New Roman"/>
                <w:sz w:val="20"/>
                <w:szCs w:val="20"/>
              </w:rPr>
              <w:t xml:space="preserve"> Ute Indian Tribe of the Uintah &amp; Ouray Reservation (Ute Indian Tribe). The Ute Indian Tribe entered into an agreement with the National Park Service and the U.S. Department of the Interior to establish a Tribal Historic Preservation Office (THPO) on September 22, 2021, and thereby assumed the functions of a SHPO overseeing Section 106 responsibilities and undertakings that lie within the exterior boundary of their reservation. Per 36 CFR 800.2(c)(2)(</w:t>
            </w:r>
            <w:proofErr w:type="spellStart"/>
            <w:r w:rsidRPr="000614DE">
              <w:rPr>
                <w:rFonts w:ascii="Times New Roman" w:hAnsi="Times New Roman"/>
                <w:sz w:val="20"/>
                <w:szCs w:val="20"/>
              </w:rPr>
              <w:t>i</w:t>
            </w:r>
            <w:proofErr w:type="spellEnd"/>
            <w:r w:rsidRPr="000614DE">
              <w:rPr>
                <w:rFonts w:ascii="Times New Roman" w:hAnsi="Times New Roman"/>
                <w:sz w:val="20"/>
                <w:szCs w:val="20"/>
              </w:rPr>
              <w:t>)(A), an Agency consults with the THPO “in lieu of the SHPO regarding undertakings occurring on or affecting historic properties on tribal lands.”</w:t>
            </w:r>
          </w:p>
        </w:tc>
      </w:tr>
      <w:tr w:rsidR="00273E8A" w:rsidRPr="00AA422B" w14:paraId="25341E96" w14:textId="77777777" w:rsidTr="00F03E91">
        <w:trPr>
          <w:cantSplit/>
        </w:trPr>
        <w:tc>
          <w:tcPr>
            <w:tcW w:w="1975" w:type="dxa"/>
          </w:tcPr>
          <w:p w14:paraId="525120DA" w14:textId="26C67904" w:rsidR="00273E8A" w:rsidRPr="001A37A6" w:rsidRDefault="004B33D5">
            <w:pPr>
              <w:pStyle w:val="TableTextLeft"/>
              <w:rPr>
                <w:rFonts w:ascii="Times New Roman" w:hAnsi="Times New Roman"/>
                <w:sz w:val="20"/>
                <w:szCs w:val="20"/>
              </w:rPr>
            </w:pPr>
            <w:r>
              <w:rPr>
                <w:rFonts w:ascii="Times New Roman" w:hAnsi="Times New Roman"/>
                <w:sz w:val="20"/>
                <w:szCs w:val="20"/>
              </w:rPr>
              <w:lastRenderedPageBreak/>
              <w:t xml:space="preserve">Clean </w:t>
            </w:r>
            <w:r w:rsidR="00057329">
              <w:rPr>
                <w:rFonts w:ascii="Times New Roman" w:hAnsi="Times New Roman"/>
                <w:sz w:val="20"/>
                <w:szCs w:val="20"/>
              </w:rPr>
              <w:t xml:space="preserve">Air Act </w:t>
            </w:r>
            <w:r w:rsidR="00FE1040">
              <w:rPr>
                <w:rFonts w:ascii="Times New Roman" w:hAnsi="Times New Roman"/>
                <w:sz w:val="20"/>
                <w:szCs w:val="20"/>
              </w:rPr>
              <w:t>(CAA)</w:t>
            </w:r>
          </w:p>
        </w:tc>
        <w:tc>
          <w:tcPr>
            <w:tcW w:w="7375" w:type="dxa"/>
          </w:tcPr>
          <w:p w14:paraId="0D66360C" w14:textId="3205ECBA" w:rsidR="00273E8A" w:rsidRPr="00D55959" w:rsidRDefault="00D12AC4">
            <w:pPr>
              <w:pStyle w:val="TableTextLeft"/>
              <w:rPr>
                <w:rFonts w:ascii="Times New Roman" w:hAnsi="Times New Roman"/>
                <w:sz w:val="20"/>
                <w:szCs w:val="20"/>
              </w:rPr>
            </w:pPr>
            <w:r w:rsidRPr="00D12AC4">
              <w:rPr>
                <w:rFonts w:ascii="Times New Roman" w:hAnsi="Times New Roman"/>
                <w:sz w:val="20"/>
                <w:szCs w:val="20"/>
              </w:rPr>
              <w:t xml:space="preserve">The Clean Air Act’s (CAA) General Conformity Rule mandates that Federal agencies evaluate reasonably foreseeable emissions that result from its actions in a nonattainment area to determine if they conform with the applicable regulatory agency implementation plans (40 CFR 93.153). The rule </w:t>
            </w:r>
            <w:proofErr w:type="gramStart"/>
            <w:r w:rsidRPr="00D12AC4">
              <w:rPr>
                <w:rFonts w:ascii="Times New Roman" w:hAnsi="Times New Roman"/>
                <w:sz w:val="20"/>
                <w:szCs w:val="20"/>
              </w:rPr>
              <w:t>takes into account</w:t>
            </w:r>
            <w:proofErr w:type="gramEnd"/>
            <w:r w:rsidRPr="00D12AC4">
              <w:rPr>
                <w:rFonts w:ascii="Times New Roman" w:hAnsi="Times New Roman"/>
                <w:sz w:val="20"/>
                <w:szCs w:val="20"/>
              </w:rPr>
              <w:t xml:space="preserve"> air pollution emissions associated with actions that are federally funded, licensed, permitted, or approved, and ensures emissions do not contribute to air quality degradation, thus preventing the achievement of state and federal air quality goals. In short, general conformity refers to the process of evaluating plans, programs, and projects to determine and demonstrate they meet the requirements of the CAA and an applicable implementation plan.</w:t>
            </w:r>
          </w:p>
        </w:tc>
      </w:tr>
      <w:tr w:rsidR="004E68A8" w:rsidRPr="00AA422B" w14:paraId="42F64730" w14:textId="77777777" w:rsidTr="00F03E91">
        <w:trPr>
          <w:cantSplit/>
        </w:trPr>
        <w:tc>
          <w:tcPr>
            <w:tcW w:w="1975" w:type="dxa"/>
          </w:tcPr>
          <w:p w14:paraId="7A70308B" w14:textId="6AD97AD1"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43 CFR </w:t>
            </w:r>
            <w:r>
              <w:rPr>
                <w:rFonts w:ascii="Times New Roman" w:hAnsi="Times New Roman"/>
                <w:sz w:val="20"/>
                <w:szCs w:val="20"/>
              </w:rPr>
              <w:t xml:space="preserve">Part </w:t>
            </w:r>
            <w:r w:rsidRPr="001A37A6">
              <w:rPr>
                <w:rFonts w:ascii="Times New Roman" w:hAnsi="Times New Roman"/>
                <w:sz w:val="20"/>
                <w:szCs w:val="20"/>
              </w:rPr>
              <w:t>3100</w:t>
            </w:r>
            <w:r w:rsidR="00FD007A">
              <w:rPr>
                <w:rFonts w:ascii="Times New Roman" w:hAnsi="Times New Roman"/>
                <w:sz w:val="20"/>
                <w:szCs w:val="20"/>
              </w:rPr>
              <w:t xml:space="preserve"> and </w:t>
            </w:r>
            <w:r w:rsidR="00FD007A" w:rsidRPr="001A37A6">
              <w:rPr>
                <w:rFonts w:ascii="Times New Roman" w:hAnsi="Times New Roman"/>
                <w:sz w:val="20"/>
                <w:szCs w:val="20"/>
              </w:rPr>
              <w:t>43 CFR Subpart 3120</w:t>
            </w:r>
          </w:p>
        </w:tc>
        <w:tc>
          <w:tcPr>
            <w:tcW w:w="7375" w:type="dxa"/>
          </w:tcPr>
          <w:p w14:paraId="1D010A45" w14:textId="15200E95" w:rsidR="004B6F68" w:rsidRDefault="004B6F68">
            <w:pPr>
              <w:pStyle w:val="TableTextLeft"/>
              <w:rPr>
                <w:rFonts w:ascii="Times New Roman" w:hAnsi="Times New Roman"/>
                <w:sz w:val="20"/>
                <w:szCs w:val="20"/>
              </w:rPr>
            </w:pPr>
            <w:r w:rsidRPr="6F4C83E2">
              <w:rPr>
                <w:rFonts w:ascii="Times New Roman" w:hAnsi="Times New Roman"/>
                <w:sz w:val="20"/>
                <w:szCs w:val="20"/>
              </w:rPr>
              <w:t xml:space="preserve">43 CFR Part 3100 </w:t>
            </w:r>
            <w:r w:rsidR="004E68A8" w:rsidRPr="001A37A6">
              <w:rPr>
                <w:rFonts w:ascii="Times New Roman" w:hAnsi="Times New Roman"/>
                <w:sz w:val="20"/>
                <w:szCs w:val="20"/>
              </w:rPr>
              <w:t>regulations govern onshore oil and gas leasing, development, and production of federal minerals.</w:t>
            </w:r>
            <w:r w:rsidR="00CD2C36">
              <w:rPr>
                <w:rFonts w:ascii="Times New Roman" w:hAnsi="Times New Roman"/>
                <w:sz w:val="20"/>
                <w:szCs w:val="20"/>
              </w:rPr>
              <w:t xml:space="preserve"> </w:t>
            </w:r>
            <w:r w:rsidRPr="6F4C83E2">
              <w:rPr>
                <w:rFonts w:ascii="Times New Roman" w:hAnsi="Times New Roman"/>
                <w:sz w:val="20"/>
                <w:szCs w:val="20"/>
              </w:rPr>
              <w:t xml:space="preserve">43 CFR Subpart 3120 regulations govern competitive oil and gas lease sales. </w:t>
            </w:r>
          </w:p>
          <w:p w14:paraId="3D034EE4" w14:textId="7D39FC7E" w:rsidR="004E68A8" w:rsidRPr="001A37A6" w:rsidRDefault="00CD2C36">
            <w:pPr>
              <w:pStyle w:val="TableTextLeft"/>
              <w:rPr>
                <w:rFonts w:ascii="Times New Roman" w:hAnsi="Times New Roman"/>
                <w:sz w:val="20"/>
                <w:szCs w:val="20"/>
              </w:rPr>
            </w:pPr>
            <w:r>
              <w:rPr>
                <w:rFonts w:ascii="Times New Roman" w:hAnsi="Times New Roman"/>
                <w:sz w:val="20"/>
                <w:szCs w:val="20"/>
              </w:rPr>
              <w:t xml:space="preserve">The BLM recently updated </w:t>
            </w:r>
            <w:r w:rsidR="004B6F68" w:rsidRPr="6F4C83E2">
              <w:rPr>
                <w:rFonts w:ascii="Times New Roman" w:hAnsi="Times New Roman"/>
                <w:sz w:val="20"/>
                <w:szCs w:val="20"/>
              </w:rPr>
              <w:t xml:space="preserve">these </w:t>
            </w:r>
            <w:r w:rsidR="009C4E25">
              <w:rPr>
                <w:rFonts w:ascii="Times New Roman" w:hAnsi="Times New Roman"/>
                <w:sz w:val="20"/>
                <w:szCs w:val="20"/>
              </w:rPr>
              <w:t xml:space="preserve">oil and gas leasing regulations to </w:t>
            </w:r>
            <w:r w:rsidR="009C4E25" w:rsidRPr="009C4E25">
              <w:rPr>
                <w:rFonts w:ascii="Times New Roman" w:hAnsi="Times New Roman"/>
                <w:sz w:val="20"/>
                <w:szCs w:val="20"/>
              </w:rPr>
              <w:t>implement provisions of the IRA pertaining to royalty rates, rentals, and minimum bids; update the bonding requirements for leasing, development, and production; and revise some operating requirements.</w:t>
            </w:r>
          </w:p>
        </w:tc>
      </w:tr>
      <w:tr w:rsidR="004E68A8" w:rsidRPr="00AA422B" w14:paraId="409D0674" w14:textId="77777777" w:rsidTr="00F03E91">
        <w:trPr>
          <w:cantSplit/>
        </w:trPr>
        <w:tc>
          <w:tcPr>
            <w:tcW w:w="1975" w:type="dxa"/>
          </w:tcPr>
          <w:p w14:paraId="6177453C"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HQ </w:t>
            </w:r>
            <w:hyperlink r:id="rId18" w:history="1">
              <w:r w:rsidRPr="002E6143">
                <w:rPr>
                  <w:rStyle w:val="Hyperlink"/>
                  <w:rFonts w:ascii="Times New Roman" w:hAnsi="Times New Roman"/>
                  <w:sz w:val="20"/>
                  <w:szCs w:val="20"/>
                </w:rPr>
                <w:t>IM 2023-006</w:t>
              </w:r>
            </w:hyperlink>
            <w:r w:rsidRPr="001A37A6">
              <w:rPr>
                <w:rFonts w:ascii="Times New Roman" w:hAnsi="Times New Roman"/>
                <w:sz w:val="20"/>
                <w:szCs w:val="20"/>
              </w:rPr>
              <w:t>, Implementation of Section 50265 in the Inflation Reduction Act for Expressions of Interest for Oil and Gas Lease Sales</w:t>
            </w:r>
          </w:p>
        </w:tc>
        <w:tc>
          <w:tcPr>
            <w:tcW w:w="7375" w:type="dxa"/>
          </w:tcPr>
          <w:p w14:paraId="37A7EF88" w14:textId="0A777015" w:rsidR="004E68A8" w:rsidRPr="001A37A6" w:rsidRDefault="00CF0CAD">
            <w:pPr>
              <w:pStyle w:val="TableTextLeft"/>
              <w:rPr>
                <w:rFonts w:ascii="Times New Roman" w:hAnsi="Times New Roman"/>
                <w:sz w:val="20"/>
                <w:szCs w:val="20"/>
              </w:rPr>
            </w:pPr>
            <w:r>
              <w:rPr>
                <w:rFonts w:ascii="Times New Roman" w:hAnsi="Times New Roman"/>
                <w:sz w:val="20"/>
                <w:szCs w:val="20"/>
              </w:rPr>
              <w:t>I</w:t>
            </w:r>
            <w:r w:rsidR="009C4E25" w:rsidRPr="009C4E25">
              <w:rPr>
                <w:rFonts w:ascii="Times New Roman" w:hAnsi="Times New Roman"/>
                <w:sz w:val="20"/>
                <w:szCs w:val="20"/>
              </w:rPr>
              <w:t>mplements provisions of the Inflation Reduction Act (IRA) pertaining to royalty rates, rentals, and minimum bids; updates the bonding requirements for leasing, development, and production; and revises some operating requirements.</w:t>
            </w:r>
          </w:p>
        </w:tc>
      </w:tr>
      <w:tr w:rsidR="004E68A8" w:rsidRPr="00AA422B" w14:paraId="274C25BF" w14:textId="77777777" w:rsidTr="00F03E91">
        <w:trPr>
          <w:cantSplit/>
        </w:trPr>
        <w:tc>
          <w:tcPr>
            <w:tcW w:w="1975" w:type="dxa"/>
          </w:tcPr>
          <w:p w14:paraId="630D6602"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HQ </w:t>
            </w:r>
            <w:hyperlink r:id="rId19" w:history="1">
              <w:r w:rsidRPr="002E6143">
                <w:rPr>
                  <w:rStyle w:val="Hyperlink"/>
                  <w:rFonts w:ascii="Times New Roman" w:hAnsi="Times New Roman"/>
                  <w:sz w:val="20"/>
                  <w:szCs w:val="20"/>
                </w:rPr>
                <w:t>IM 2023-007</w:t>
              </w:r>
            </w:hyperlink>
            <w:r w:rsidRPr="001A37A6">
              <w:rPr>
                <w:rFonts w:ascii="Times New Roman" w:hAnsi="Times New Roman"/>
                <w:sz w:val="20"/>
                <w:szCs w:val="20"/>
              </w:rPr>
              <w:t>, Evaluating Competitive Oil and Gas Lease Sale Parcels for Future Lease Sales*</w:t>
            </w:r>
          </w:p>
        </w:tc>
        <w:tc>
          <w:tcPr>
            <w:tcW w:w="7375" w:type="dxa"/>
          </w:tcPr>
          <w:p w14:paraId="140F3AB6"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This IM provides guidance to BLM offices in selecting parcels to be offered in oil and gas lease sales, and it also supplements HQ IM 2023-010, </w:t>
            </w:r>
            <w:r w:rsidRPr="001A37A6">
              <w:rPr>
                <w:rFonts w:ascii="Times New Roman" w:hAnsi="Times New Roman"/>
                <w:i/>
                <w:iCs/>
                <w:sz w:val="20"/>
                <w:szCs w:val="20"/>
              </w:rPr>
              <w:t>Oil and Gas Leasing – Land Use Planning and Lease Parcel Reviews</w:t>
            </w:r>
            <w:r w:rsidRPr="001A37A6">
              <w:rPr>
                <w:rFonts w:ascii="Times New Roman" w:hAnsi="Times New Roman"/>
                <w:sz w:val="20"/>
                <w:szCs w:val="20"/>
              </w:rPr>
              <w:t>. This IM informs the agency’s organization, procedures, and practice.</w:t>
            </w:r>
          </w:p>
        </w:tc>
      </w:tr>
      <w:tr w:rsidR="004E68A8" w:rsidRPr="00AA422B" w14:paraId="31098C56" w14:textId="77777777" w:rsidTr="00F03E91">
        <w:trPr>
          <w:cantSplit/>
        </w:trPr>
        <w:tc>
          <w:tcPr>
            <w:tcW w:w="1975" w:type="dxa"/>
          </w:tcPr>
          <w:p w14:paraId="2F50CAC2"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HQ </w:t>
            </w:r>
            <w:hyperlink r:id="rId20" w:history="1">
              <w:r w:rsidRPr="002E6143">
                <w:rPr>
                  <w:rStyle w:val="Hyperlink"/>
                  <w:rFonts w:ascii="Times New Roman" w:hAnsi="Times New Roman"/>
                  <w:sz w:val="20"/>
                  <w:szCs w:val="20"/>
                </w:rPr>
                <w:t>IM 2023-008</w:t>
              </w:r>
            </w:hyperlink>
            <w:r w:rsidRPr="001A37A6">
              <w:rPr>
                <w:rFonts w:ascii="Times New Roman" w:hAnsi="Times New Roman"/>
                <w:sz w:val="20"/>
                <w:szCs w:val="20"/>
              </w:rPr>
              <w:t>, Impacts of the Inflation Reduction Act of 2022 (Pub. L. No. 117-169) to the Oil and Natural Gas Leasing Program</w:t>
            </w:r>
          </w:p>
        </w:tc>
        <w:tc>
          <w:tcPr>
            <w:tcW w:w="7375" w:type="dxa"/>
          </w:tcPr>
          <w:p w14:paraId="497F3B0F"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This IM provides the BLM State Offices with guidance for implementing the provisions of the IRA pertaining to EOIs, noncompetitive lease offers, pending competitive leases, and reinstatements. This IM updates expired policy </w:t>
            </w:r>
            <w:r w:rsidRPr="00F878D8">
              <w:rPr>
                <w:rFonts w:ascii="Times New Roman" w:hAnsi="Times New Roman"/>
                <w:sz w:val="20"/>
                <w:szCs w:val="20"/>
              </w:rPr>
              <w:t>WO</w:t>
            </w:r>
            <w:r w:rsidRPr="001A37A6">
              <w:rPr>
                <w:rStyle w:val="FootnoteReference"/>
                <w:sz w:val="20"/>
                <w:szCs w:val="20"/>
              </w:rPr>
              <w:footnoteReference w:id="5"/>
            </w:r>
            <w:r w:rsidRPr="001A37A6">
              <w:rPr>
                <w:rFonts w:ascii="Times New Roman" w:hAnsi="Times New Roman"/>
                <w:sz w:val="20"/>
                <w:szCs w:val="20"/>
              </w:rPr>
              <w:t xml:space="preserve"> IM 2014-004, </w:t>
            </w:r>
            <w:r w:rsidRPr="001A37A6">
              <w:rPr>
                <w:rFonts w:ascii="Times New Roman" w:hAnsi="Times New Roman"/>
                <w:i/>
                <w:iCs/>
                <w:sz w:val="20"/>
                <w:szCs w:val="20"/>
              </w:rPr>
              <w:t>Oil and Gas Informal Expressions of Interest</w:t>
            </w:r>
            <w:r w:rsidRPr="001A37A6">
              <w:rPr>
                <w:rFonts w:ascii="Times New Roman" w:hAnsi="Times New Roman"/>
                <w:sz w:val="20"/>
                <w:szCs w:val="20"/>
              </w:rPr>
              <w:t>.</w:t>
            </w:r>
          </w:p>
        </w:tc>
      </w:tr>
      <w:tr w:rsidR="004E68A8" w:rsidRPr="00AA422B" w14:paraId="3CED9FFF" w14:textId="77777777" w:rsidTr="00F03E91">
        <w:trPr>
          <w:cantSplit/>
        </w:trPr>
        <w:tc>
          <w:tcPr>
            <w:tcW w:w="1975" w:type="dxa"/>
          </w:tcPr>
          <w:p w14:paraId="56598992"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 xml:space="preserve">HQ </w:t>
            </w:r>
            <w:hyperlink r:id="rId21" w:history="1">
              <w:r w:rsidRPr="002E6143">
                <w:rPr>
                  <w:rStyle w:val="Hyperlink"/>
                  <w:rFonts w:ascii="Times New Roman" w:hAnsi="Times New Roman"/>
                  <w:sz w:val="20"/>
                  <w:szCs w:val="20"/>
                </w:rPr>
                <w:t>IM 2023-010</w:t>
              </w:r>
            </w:hyperlink>
            <w:r w:rsidRPr="001A37A6">
              <w:rPr>
                <w:rFonts w:ascii="Times New Roman" w:hAnsi="Times New Roman"/>
                <w:sz w:val="20"/>
                <w:szCs w:val="20"/>
              </w:rPr>
              <w:t>, Oil and Gas Leasing – Land Use Planning and Lease Parcel Reviews</w:t>
            </w:r>
          </w:p>
        </w:tc>
        <w:tc>
          <w:tcPr>
            <w:tcW w:w="7375" w:type="dxa"/>
          </w:tcPr>
          <w:p w14:paraId="43FF8712" w14:textId="77777777" w:rsidR="004E68A8" w:rsidRPr="001A37A6" w:rsidRDefault="004E68A8">
            <w:pPr>
              <w:pStyle w:val="TableTextLeft"/>
              <w:rPr>
                <w:rFonts w:ascii="Times New Roman" w:hAnsi="Times New Roman"/>
                <w:sz w:val="20"/>
                <w:szCs w:val="20"/>
              </w:rPr>
            </w:pPr>
            <w:r w:rsidRPr="001A37A6">
              <w:rPr>
                <w:rFonts w:ascii="Times New Roman" w:hAnsi="Times New Roman"/>
                <w:sz w:val="20"/>
                <w:szCs w:val="20"/>
              </w:rPr>
              <w:t>This IM sets out the policy of the BLM to ensure that oil and gas lease sales are held in accordance with the MLA (30 U.S.C. 226), IRA (Pub. L. No. 117-169), and other applicable laws. This policy addresses land use planning, lease parcel review, lease sales, lease issuance, and IM implementation and directs the BLM to incorporate the revised policy, as appropriate, into the affected BLM handbooks and manuals.</w:t>
            </w:r>
          </w:p>
        </w:tc>
      </w:tr>
    </w:tbl>
    <w:p w14:paraId="031FC70B" w14:textId="77777777" w:rsidR="004E68A8" w:rsidRPr="0019069C" w:rsidRDefault="004E68A8">
      <w:pPr>
        <w:pStyle w:val="TableNote"/>
        <w:rPr>
          <w:rFonts w:ascii="Times New Roman" w:hAnsi="Times New Roman" w:cs="Times New Roman"/>
          <w:sz w:val="20"/>
          <w:szCs w:val="20"/>
        </w:rPr>
      </w:pPr>
      <w:r w:rsidRPr="0019069C">
        <w:rPr>
          <w:rFonts w:ascii="Times New Roman" w:hAnsi="Times New Roman" w:cs="Times New Roman"/>
          <w:sz w:val="20"/>
          <w:szCs w:val="20"/>
        </w:rPr>
        <w:t>* See Appendix E for BLM’s evaluation of the nominated lease sale parcels in accordance with HQ IM 2023-007.</w:t>
      </w:r>
    </w:p>
    <w:p w14:paraId="75239675" w14:textId="77777777" w:rsidR="004E68A8" w:rsidRDefault="004E68A8">
      <w:pPr>
        <w:pStyle w:val="Heading3"/>
        <w:numPr>
          <w:ilvl w:val="0"/>
          <w:numId w:val="0"/>
        </w:numPr>
        <w:rPr>
          <w:rFonts w:hint="eastAsia"/>
        </w:rPr>
      </w:pPr>
      <w:bookmarkStart w:id="30" w:name="_Ref128937815"/>
      <w:bookmarkStart w:id="31" w:name="_Toc163734167"/>
      <w:bookmarkStart w:id="32" w:name="_Toc179464223"/>
      <w:bookmarkStart w:id="33" w:name="_Toc170114878"/>
      <w:r>
        <w:lastRenderedPageBreak/>
        <w:t>1.5.1 Other Plans</w:t>
      </w:r>
      <w:bookmarkEnd w:id="30"/>
      <w:bookmarkEnd w:id="31"/>
      <w:bookmarkEnd w:id="32"/>
      <w:bookmarkEnd w:id="33"/>
    </w:p>
    <w:p w14:paraId="714FFFD0" w14:textId="594894FC" w:rsidR="004E68A8" w:rsidRPr="001111F2" w:rsidRDefault="004E68A8">
      <w:pPr>
        <w:pStyle w:val="BodyText"/>
      </w:pPr>
      <w:r>
        <w:t>There are</w:t>
      </w:r>
      <w:r w:rsidDel="00EA65BD">
        <w:t xml:space="preserve"> </w:t>
      </w:r>
      <w:r>
        <w:t xml:space="preserve">two non-federal resource management planning documents that have a relationship to the Proposed Action. Each of these is identified and discussed below. The Proposed Action directly aligns with these </w:t>
      </w:r>
      <w:r w:rsidR="005F604C">
        <w:t xml:space="preserve">plans </w:t>
      </w:r>
      <w:r>
        <w:t>because it contemplates making available for competitive leasing nominated oil and gas lease parcels.</w:t>
      </w:r>
    </w:p>
    <w:p w14:paraId="2515C254" w14:textId="56B89421" w:rsidR="004E68A8" w:rsidRDefault="004E68A8">
      <w:pPr>
        <w:pStyle w:val="Bullet1"/>
      </w:pPr>
      <w:r w:rsidRPr="00961FEA">
        <w:rPr>
          <w:bCs/>
        </w:rPr>
        <w:t xml:space="preserve">State </w:t>
      </w:r>
      <w:r w:rsidR="007A30FF">
        <w:rPr>
          <w:bCs/>
        </w:rPr>
        <w:t>of Utah</w:t>
      </w:r>
      <w:r w:rsidRPr="00961FEA">
        <w:rPr>
          <w:bCs/>
        </w:rPr>
        <w:t xml:space="preserve"> Resource Management Plan</w:t>
      </w:r>
      <w:r w:rsidR="007A30FF">
        <w:rPr>
          <w:bCs/>
        </w:rPr>
        <w:t xml:space="preserve"> (State RMP)</w:t>
      </w:r>
      <w:r w:rsidRPr="00961FEA">
        <w:rPr>
          <w:bCs/>
        </w:rPr>
        <w:t>.</w:t>
      </w:r>
      <w:r>
        <w:t xml:space="preserve"> The State RMP define</w:t>
      </w:r>
      <w:r w:rsidR="00C50C7D">
        <w:t>s</w:t>
      </w:r>
      <w:r>
        <w:t xml:space="preserve"> the State’s policies, goals, and objectives for the management of natural resources on public lands. With respect to energy production (including petroleum and natural gas), the State RMP indicates that “Utah’s general policy on energy production is that it supports all forms of energy. Utah is an ‘all-of-the-above’ state and believes there is room in its energy portfolio for all forms of energy” </w:t>
      </w:r>
      <w:sdt>
        <w:sdtPr>
          <w:id w:val="-279337885"/>
          <w:lock w:val="contentLocked"/>
          <w:citation/>
        </w:sdtPr>
        <w:sdtContent>
          <w:r>
            <w:fldChar w:fldCharType="begin"/>
          </w:r>
          <w:r>
            <w:instrText xml:space="preserve"> CITATION Sta211 \l 1033 </w:instrText>
          </w:r>
          <w:r>
            <w:fldChar w:fldCharType="separate"/>
          </w:r>
          <w:r w:rsidR="0093463A">
            <w:rPr>
              <w:noProof/>
            </w:rPr>
            <w:t>(State of Utah, 2023)</w:t>
          </w:r>
          <w:r>
            <w:fldChar w:fldCharType="end"/>
          </w:r>
        </w:sdtContent>
      </w:sdt>
      <w:r w:rsidR="004341AB">
        <w:t>.</w:t>
      </w:r>
      <w:r>
        <w:t xml:space="preserve"> </w:t>
      </w:r>
    </w:p>
    <w:p w14:paraId="4ECCDC6B" w14:textId="17338E0A" w:rsidR="004E68A8" w:rsidRDefault="004E68A8">
      <w:pPr>
        <w:pStyle w:val="Bullet1"/>
      </w:pPr>
      <w:r>
        <w:t xml:space="preserve">Uintah County Resource Management Plan </w:t>
      </w:r>
      <w:r w:rsidR="00FA044A">
        <w:t>(Uintah County RMP)</w:t>
      </w:r>
      <w:r>
        <w:t xml:space="preserve"> </w:t>
      </w:r>
      <w:r>
        <w:fldChar w:fldCharType="begin"/>
      </w:r>
      <w:r>
        <w:instrText xml:space="preserve"> CITATION Uin22 \l 1033 </w:instrText>
      </w:r>
      <w:r>
        <w:fldChar w:fldCharType="separate"/>
      </w:r>
      <w:r w:rsidR="0093463A">
        <w:rPr>
          <w:noProof/>
        </w:rPr>
        <w:t xml:space="preserve"> (Uintah County, 2022)</w:t>
      </w:r>
      <w:r>
        <w:fldChar w:fldCharType="end"/>
      </w:r>
      <w:r>
        <w:t xml:space="preserve"> The Uintah County RMP was updated on October 31, 2022. The objectives from chapter six “Energy” include:</w:t>
      </w:r>
    </w:p>
    <w:p w14:paraId="2430CEC9" w14:textId="77777777" w:rsidR="004E68A8" w:rsidRDefault="004E68A8">
      <w:pPr>
        <w:pStyle w:val="Bullet2"/>
      </w:pPr>
      <w:r>
        <w:t>“Support balanced and responsible natural-resource development that benefits the public and generates revenues for public service providers to help pay for public infrastructure improvements needed to achieve economic diversity.”</w:t>
      </w:r>
    </w:p>
    <w:p w14:paraId="7F79CDA8" w14:textId="77777777" w:rsidR="004E68A8" w:rsidRDefault="004E68A8">
      <w:pPr>
        <w:pStyle w:val="Bullet2"/>
      </w:pPr>
      <w:r>
        <w:t xml:space="preserve">“Expedite the processing, granting, and streamlining of mineral and energy leases and applications to drill, extract, and otherwise develop all existing energy and mineral resources located within the Uintah Basin Energy Zone, including oil, natural gas, oil shale, oil sands, </w:t>
      </w:r>
      <w:proofErr w:type="spellStart"/>
      <w:r>
        <w:t>gilsonite</w:t>
      </w:r>
      <w:proofErr w:type="spellEnd"/>
      <w:r>
        <w:t xml:space="preserve">, phosphate, gold, uranium, copper, solar, and wind resources.” </w:t>
      </w:r>
    </w:p>
    <w:p w14:paraId="7ED3A1A9" w14:textId="70A8DF78" w:rsidR="004E68A8" w:rsidRPr="004E68A8" w:rsidRDefault="004E68A8" w:rsidP="004E68A8">
      <w:pPr>
        <w:pStyle w:val="Heading2"/>
        <w:rPr>
          <w:rFonts w:hint="eastAsia"/>
        </w:rPr>
      </w:pPr>
      <w:bookmarkStart w:id="34" w:name="_Toc163734168"/>
      <w:bookmarkStart w:id="35" w:name="_Toc179464224"/>
      <w:bookmarkStart w:id="36" w:name="_Toc170114879"/>
      <w:r w:rsidRPr="004E68A8">
        <w:t>Internal Scoping</w:t>
      </w:r>
      <w:bookmarkEnd w:id="34"/>
      <w:bookmarkEnd w:id="35"/>
      <w:bookmarkEnd w:id="36"/>
    </w:p>
    <w:p w14:paraId="4A093ED5" w14:textId="4F792024" w:rsidR="009B4298" w:rsidRDefault="004E68A8">
      <w:pPr>
        <w:pStyle w:val="BodyText"/>
      </w:pPr>
      <w:r>
        <w:t>Beginning on December 18, 2023, t</w:t>
      </w:r>
      <w:r w:rsidRPr="37C8C107">
        <w:t xml:space="preserve">he </w:t>
      </w:r>
      <w:r>
        <w:t>BLM</w:t>
      </w:r>
      <w:r w:rsidRPr="37C8C107">
        <w:t xml:space="preserve"> </w:t>
      </w:r>
      <w:r>
        <w:t xml:space="preserve">interdisciplinary team (IDT) conducted internal scoping to identify issues, potential alternatives, and data needs by reviewing the leasing actions within the context of the applicable land use plan under the </w:t>
      </w:r>
      <w:r w:rsidR="0099463B">
        <w:t>National Environmental P</w:t>
      </w:r>
      <w:r w:rsidR="00D86443">
        <w:t>olicy</w:t>
      </w:r>
      <w:r w:rsidR="00C4010C">
        <w:t xml:space="preserve"> Act (</w:t>
      </w:r>
      <w:r>
        <w:t>NEPA</w:t>
      </w:r>
      <w:r w:rsidR="00C4010C">
        <w:t>)</w:t>
      </w:r>
      <w:r>
        <w:t xml:space="preserve"> framework. Weekly meetings were held with IDT members during the parcel review process. </w:t>
      </w:r>
      <w:r w:rsidR="008D4EED">
        <w:t>In addition</w:t>
      </w:r>
      <w:r w:rsidRPr="001519F8">
        <w:t xml:space="preserve">, other resource-specific meetings with resource specialists were held to aid in refining issues related to the </w:t>
      </w:r>
      <w:r>
        <w:t>nominated lease parcels</w:t>
      </w:r>
      <w:r w:rsidRPr="001519F8">
        <w:t>.</w:t>
      </w:r>
    </w:p>
    <w:p w14:paraId="17BEE279" w14:textId="2B8F044E" w:rsidR="004E68A8" w:rsidRPr="004E68A8" w:rsidRDefault="004E68A8" w:rsidP="004E68A8">
      <w:pPr>
        <w:pStyle w:val="Heading2"/>
        <w:rPr>
          <w:rFonts w:hint="eastAsia"/>
        </w:rPr>
      </w:pPr>
      <w:bookmarkStart w:id="37" w:name="_Toc11068549"/>
      <w:bookmarkStart w:id="38" w:name="_Toc163734169"/>
      <w:bookmarkStart w:id="39" w:name="_Toc179464225"/>
      <w:bookmarkStart w:id="40" w:name="_Toc170114880"/>
      <w:r w:rsidRPr="004E68A8">
        <w:t>External Scoping</w:t>
      </w:r>
      <w:bookmarkEnd w:id="37"/>
      <w:bookmarkEnd w:id="38"/>
      <w:bookmarkEnd w:id="39"/>
      <w:bookmarkEnd w:id="40"/>
    </w:p>
    <w:p w14:paraId="1446D690" w14:textId="77777777" w:rsidR="00B65BD7" w:rsidRDefault="004E68A8" w:rsidP="00CE6B4B">
      <w:pPr>
        <w:pStyle w:val="BodyText"/>
      </w:pPr>
      <w:r>
        <w:t>The BLM held a public scoping period from February 13</w:t>
      </w:r>
      <w:r w:rsidRPr="005D66DD">
        <w:t>, 202</w:t>
      </w:r>
      <w:r>
        <w:t>4</w:t>
      </w:r>
      <w:r w:rsidRPr="005D66DD">
        <w:t xml:space="preserve">, until </w:t>
      </w:r>
      <w:r>
        <w:t>March 14</w:t>
      </w:r>
      <w:r w:rsidRPr="005D66DD">
        <w:t>, 202</w:t>
      </w:r>
      <w:r>
        <w:t>4.</w:t>
      </w:r>
      <w:r w:rsidRPr="003924A7">
        <w:t xml:space="preserve"> BLM received 21 comment submittals via ePlanning during the scoping period. </w:t>
      </w:r>
      <w:r w:rsidR="00914496">
        <w:t xml:space="preserve">Comment submittals </w:t>
      </w:r>
      <w:r w:rsidR="00584CD4">
        <w:t>contained comments on the following</w:t>
      </w:r>
      <w:r w:rsidR="004E13F7">
        <w:t xml:space="preserve"> topics</w:t>
      </w:r>
      <w:r w:rsidR="00B65BD7">
        <w:t>:</w:t>
      </w:r>
    </w:p>
    <w:p w14:paraId="43D95D96" w14:textId="77777777" w:rsidR="00F03DB6" w:rsidRDefault="000D6E39" w:rsidP="0050637F">
      <w:pPr>
        <w:pStyle w:val="ListParagraph"/>
        <w:numPr>
          <w:ilvl w:val="0"/>
          <w:numId w:val="161"/>
        </w:numPr>
      </w:pPr>
      <w:r>
        <w:t>O</w:t>
      </w:r>
      <w:r w:rsidR="004E68A8" w:rsidRPr="003924A7">
        <w:t>bjections to oil and gas leasing in general</w:t>
      </w:r>
    </w:p>
    <w:p w14:paraId="1102F20F" w14:textId="6509CBB9" w:rsidR="004E68A8" w:rsidRDefault="0043474E" w:rsidP="0050637F">
      <w:pPr>
        <w:pStyle w:val="ListParagraph"/>
        <w:numPr>
          <w:ilvl w:val="0"/>
          <w:numId w:val="161"/>
        </w:numPr>
      </w:pPr>
      <w:r>
        <w:t>Potential</w:t>
      </w:r>
      <w:r w:rsidR="00097726">
        <w:t xml:space="preserve"> restriction</w:t>
      </w:r>
      <w:r>
        <w:t>s</w:t>
      </w:r>
      <w:r w:rsidR="00097726">
        <w:t xml:space="preserve"> </w:t>
      </w:r>
      <w:r>
        <w:t>on</w:t>
      </w:r>
      <w:r w:rsidR="00097726">
        <w:t xml:space="preserve"> </w:t>
      </w:r>
      <w:r w:rsidR="005A26D5">
        <w:t>p</w:t>
      </w:r>
      <w:r w:rsidR="00097726">
        <w:t xml:space="preserve">ublic </w:t>
      </w:r>
      <w:r w:rsidR="005A26D5">
        <w:t>a</w:t>
      </w:r>
      <w:r w:rsidR="00097726">
        <w:t>ccess</w:t>
      </w:r>
      <w:r w:rsidR="007E1426">
        <w:t xml:space="preserve"> to the area</w:t>
      </w:r>
    </w:p>
    <w:p w14:paraId="3C93E7B3" w14:textId="34199DE4" w:rsidR="00D1359A" w:rsidRDefault="007E1426" w:rsidP="0050637F">
      <w:pPr>
        <w:pStyle w:val="ListParagraph"/>
        <w:numPr>
          <w:ilvl w:val="0"/>
          <w:numId w:val="161"/>
        </w:numPr>
      </w:pPr>
      <w:r>
        <w:t xml:space="preserve">Potential harm to </w:t>
      </w:r>
      <w:r w:rsidR="005A26D5">
        <w:t>w</w:t>
      </w:r>
      <w:r>
        <w:t>aterways from spills</w:t>
      </w:r>
    </w:p>
    <w:p w14:paraId="5BBA29C7" w14:textId="76AFD36F" w:rsidR="00D1359A" w:rsidRDefault="006A119E" w:rsidP="0050637F">
      <w:pPr>
        <w:pStyle w:val="ListParagraph"/>
        <w:numPr>
          <w:ilvl w:val="0"/>
          <w:numId w:val="161"/>
        </w:numPr>
      </w:pPr>
      <w:r>
        <w:t xml:space="preserve">Climate </w:t>
      </w:r>
      <w:r w:rsidR="005A26D5">
        <w:t>c</w:t>
      </w:r>
      <w:r>
        <w:t>hange</w:t>
      </w:r>
    </w:p>
    <w:p w14:paraId="260D9619" w14:textId="506A2E35" w:rsidR="00D1359A" w:rsidRDefault="00A03164" w:rsidP="0050637F">
      <w:pPr>
        <w:pStyle w:val="ListParagraph"/>
        <w:numPr>
          <w:ilvl w:val="0"/>
          <w:numId w:val="161"/>
        </w:numPr>
      </w:pPr>
      <w:r>
        <w:t>Potential damage to Lands with Wilderness Characteristics</w:t>
      </w:r>
    </w:p>
    <w:p w14:paraId="33DF0BD2" w14:textId="2FD7DEF5" w:rsidR="00A03164" w:rsidRDefault="00BD5EDB" w:rsidP="0050637F">
      <w:pPr>
        <w:pStyle w:val="ListParagraph"/>
        <w:numPr>
          <w:ilvl w:val="0"/>
          <w:numId w:val="161"/>
        </w:numPr>
      </w:pPr>
      <w:r>
        <w:t xml:space="preserve">Potential harm to </w:t>
      </w:r>
      <w:r w:rsidR="005A26D5">
        <w:t>s</w:t>
      </w:r>
      <w:r>
        <w:t xml:space="preserve">pecial </w:t>
      </w:r>
      <w:r w:rsidR="005A26D5">
        <w:t>s</w:t>
      </w:r>
      <w:r w:rsidR="00745AC3">
        <w:t xml:space="preserve">tatus </w:t>
      </w:r>
      <w:r w:rsidR="005A26D5">
        <w:t>s</w:t>
      </w:r>
      <w:r w:rsidR="00745AC3">
        <w:t>pecies</w:t>
      </w:r>
    </w:p>
    <w:p w14:paraId="04902987" w14:textId="0F92AFC4" w:rsidR="00745AC3" w:rsidRDefault="0077622F" w:rsidP="0050637F">
      <w:pPr>
        <w:pStyle w:val="ListParagraph"/>
        <w:numPr>
          <w:ilvl w:val="0"/>
          <w:numId w:val="161"/>
        </w:numPr>
      </w:pPr>
      <w:r>
        <w:t xml:space="preserve">Concern for declining </w:t>
      </w:r>
      <w:r w:rsidR="005A26D5">
        <w:t>a</w:t>
      </w:r>
      <w:r>
        <w:t xml:space="preserve">ir </w:t>
      </w:r>
      <w:r w:rsidR="005A26D5">
        <w:t>q</w:t>
      </w:r>
      <w:r>
        <w:t xml:space="preserve">uality and contributions to </w:t>
      </w:r>
      <w:r w:rsidR="005A26D5">
        <w:t>w</w:t>
      </w:r>
      <w:r>
        <w:t xml:space="preserve">ater </w:t>
      </w:r>
      <w:r w:rsidR="005A26D5">
        <w:t>s</w:t>
      </w:r>
      <w:r>
        <w:t>hortages</w:t>
      </w:r>
    </w:p>
    <w:p w14:paraId="4409AB7E" w14:textId="3CC94C71" w:rsidR="0077622F" w:rsidRDefault="000A39BF" w:rsidP="0050637F">
      <w:pPr>
        <w:pStyle w:val="ListParagraph"/>
        <w:numPr>
          <w:ilvl w:val="0"/>
          <w:numId w:val="161"/>
        </w:numPr>
      </w:pPr>
      <w:r>
        <w:t xml:space="preserve">General support for </w:t>
      </w:r>
      <w:r w:rsidR="005A26D5">
        <w:t>r</w:t>
      </w:r>
      <w:r>
        <w:t xml:space="preserve">esource </w:t>
      </w:r>
      <w:r w:rsidR="005A26D5">
        <w:t>e</w:t>
      </w:r>
      <w:r>
        <w:t>xtraction</w:t>
      </w:r>
    </w:p>
    <w:p w14:paraId="390CE278" w14:textId="04D06D07" w:rsidR="004E68A8" w:rsidRPr="00354D58" w:rsidRDefault="004E68A8">
      <w:pPr>
        <w:pStyle w:val="BodyText"/>
      </w:pPr>
      <w:r w:rsidRPr="00F06903">
        <w:t xml:space="preserve">The </w:t>
      </w:r>
      <w:r>
        <w:t>preliminary</w:t>
      </w:r>
      <w:r w:rsidRPr="00F06903">
        <w:t xml:space="preserve"> Lease Sale EA </w:t>
      </w:r>
      <w:r w:rsidR="000B3AC8">
        <w:t>has been</w:t>
      </w:r>
      <w:r w:rsidR="000B3AC8" w:rsidRPr="00F06903">
        <w:t xml:space="preserve"> </w:t>
      </w:r>
      <w:r w:rsidRPr="00F06903">
        <w:t xml:space="preserve">made available for a public comment period from </w:t>
      </w:r>
      <w:r w:rsidRPr="007176A4">
        <w:t>Ju</w:t>
      </w:r>
      <w:r w:rsidR="003C2081" w:rsidRPr="007176A4">
        <w:t>ne 24</w:t>
      </w:r>
      <w:r w:rsidR="00BD3DE6" w:rsidRPr="007176A4">
        <w:t xml:space="preserve"> </w:t>
      </w:r>
      <w:r w:rsidRPr="007176A4">
        <w:t xml:space="preserve">to </w:t>
      </w:r>
      <w:r w:rsidR="003C2081" w:rsidRPr="007176A4">
        <w:t>July 24</w:t>
      </w:r>
      <w:r w:rsidRPr="007176A4">
        <w:t>, 2024.</w:t>
      </w:r>
      <w:r w:rsidRPr="00355CD0">
        <w:t xml:space="preserve"> All</w:t>
      </w:r>
      <w:r w:rsidRPr="00F06903">
        <w:t xml:space="preserve"> comments received </w:t>
      </w:r>
      <w:r w:rsidR="000B3AC8">
        <w:t>will be</w:t>
      </w:r>
      <w:r w:rsidRPr="00F06903">
        <w:t xml:space="preserve"> reviewed and analyzed. Substantive comments </w:t>
      </w:r>
      <w:r w:rsidR="000B3AC8">
        <w:t xml:space="preserve">will </w:t>
      </w:r>
      <w:r>
        <w:t>be</w:t>
      </w:r>
      <w:r w:rsidR="00BD3DE6">
        <w:t xml:space="preserve"> </w:t>
      </w:r>
      <w:r w:rsidRPr="00F06903">
        <w:t xml:space="preserve">responded to </w:t>
      </w:r>
      <w:r>
        <w:t>in Appendix D.</w:t>
      </w:r>
    </w:p>
    <w:p w14:paraId="3E58F833" w14:textId="0A1CB168" w:rsidR="004E68A8" w:rsidRPr="004E68A8" w:rsidRDefault="004E68A8" w:rsidP="004E68A8">
      <w:pPr>
        <w:pStyle w:val="Heading2"/>
        <w:rPr>
          <w:rFonts w:hint="eastAsia"/>
        </w:rPr>
      </w:pPr>
      <w:bookmarkStart w:id="41" w:name="_Toc163734170"/>
      <w:bookmarkStart w:id="42" w:name="_Toc179464226"/>
      <w:bookmarkStart w:id="43" w:name="_Toc170114881"/>
      <w:r w:rsidRPr="004E68A8">
        <w:lastRenderedPageBreak/>
        <w:t>Issues</w:t>
      </w:r>
      <w:bookmarkEnd w:id="41"/>
      <w:bookmarkEnd w:id="42"/>
      <w:bookmarkEnd w:id="43"/>
    </w:p>
    <w:p w14:paraId="763697DD" w14:textId="77777777" w:rsidR="004E68A8" w:rsidRDefault="004E68A8">
      <w:pPr>
        <w:pStyle w:val="BodyText"/>
        <w:rPr>
          <w:rFonts w:eastAsia="Times"/>
        </w:rPr>
      </w:pPr>
      <w:r w:rsidRPr="00C45E9F">
        <w:t>The Council on Environmental Quality (CEQ) regulations at 40 CFR 1500.4(</w:t>
      </w:r>
      <w:proofErr w:type="spellStart"/>
      <w:r w:rsidRPr="00C45E9F">
        <w:t>i</w:t>
      </w:r>
      <w:proofErr w:type="spellEnd"/>
      <w:r w:rsidRPr="00C45E9F">
        <w:t>) state that the scoping process should be used “not only to identify significant environmental issues deserving of study, but also to deemphasize insignificant issues narrowing the scope of the [NEPA] process accordingly.” 40 CFR 1501.9(f)(1)</w:t>
      </w:r>
      <w:r w:rsidRPr="00C45E9F" w:rsidDel="00D07D12">
        <w:t xml:space="preserve"> </w:t>
      </w:r>
      <w:r>
        <w:t>provides</w:t>
      </w:r>
      <w:r w:rsidRPr="00C45E9F">
        <w:t xml:space="preserve"> t</w:t>
      </w:r>
      <w:r>
        <w:rPr>
          <w:shd w:val="clear" w:color="auto" w:fill="FAF9F8"/>
        </w:rPr>
        <w:t>h</w:t>
      </w:r>
      <w:r w:rsidRPr="00C45E9F">
        <w:t>at the lead agency shall “[</w:t>
      </w:r>
      <w:proofErr w:type="spellStart"/>
      <w:r w:rsidRPr="00C45E9F">
        <w:t>i</w:t>
      </w:r>
      <w:proofErr w:type="spellEnd"/>
      <w:r w:rsidRPr="00C45E9F">
        <w:t>]</w:t>
      </w:r>
      <w:proofErr w:type="spellStart"/>
      <w:r w:rsidRPr="00C45E9F">
        <w:t>dentify</w:t>
      </w:r>
      <w:proofErr w:type="spellEnd"/>
      <w:r w:rsidRPr="00C45E9F">
        <w:t xml:space="preserve"> and eliminate from detailed study the issues that are not significant or have been covered by prior environmental review(s),  . . . narrowing the discussion of these issues in the statement to a brief presentation of why they </w:t>
      </w:r>
      <w:r>
        <w:t xml:space="preserve">will </w:t>
      </w:r>
      <w:r w:rsidRPr="00C45E9F">
        <w:t>not have a significant effect on the human environment or providing a reference to their coverage elsewhere.”</w:t>
      </w:r>
    </w:p>
    <w:p w14:paraId="276CE33C" w14:textId="4A3B926B" w:rsidR="004E68A8" w:rsidRDefault="004E68A8">
      <w:pPr>
        <w:pStyle w:val="BodyText"/>
      </w:pPr>
      <w:r>
        <w:t xml:space="preserve">Through internal and external scoping, the following </w:t>
      </w:r>
      <w:r w:rsidRPr="00175B3E">
        <w:t xml:space="preserve">issues </w:t>
      </w:r>
      <w:r>
        <w:t xml:space="preserve">were </w:t>
      </w:r>
      <w:r w:rsidRPr="00175B3E">
        <w:t xml:space="preserve">identified </w:t>
      </w:r>
      <w:r>
        <w:t>for detailed analysis in this EA:</w:t>
      </w:r>
    </w:p>
    <w:p w14:paraId="175648A5" w14:textId="183E79AA" w:rsidR="004E68A8" w:rsidRPr="008D029D" w:rsidRDefault="00F70282" w:rsidP="00E9021B">
      <w:pPr>
        <w:pStyle w:val="Bullet1"/>
        <w:numPr>
          <w:ilvl w:val="0"/>
          <w:numId w:val="50"/>
        </w:numPr>
        <w:rPr>
          <w:rFonts w:eastAsia="Times"/>
          <w:szCs w:val="22"/>
        </w:rPr>
      </w:pPr>
      <w:r>
        <w:rPr>
          <w:rStyle w:val="normaltextrun"/>
          <w:color w:val="000000"/>
          <w:szCs w:val="22"/>
          <w:shd w:val="clear" w:color="auto" w:fill="FFFFFF"/>
        </w:rPr>
        <w:t>What quantit</w:t>
      </w:r>
      <w:r w:rsidR="00D1480B">
        <w:rPr>
          <w:rStyle w:val="normaltextrun"/>
          <w:color w:val="000000"/>
          <w:szCs w:val="22"/>
          <w:shd w:val="clear" w:color="auto" w:fill="FFFFFF"/>
        </w:rPr>
        <w:t>ies</w:t>
      </w:r>
      <w:r>
        <w:rPr>
          <w:rStyle w:val="normaltextrun"/>
          <w:color w:val="000000"/>
          <w:szCs w:val="22"/>
          <w:shd w:val="clear" w:color="auto" w:fill="FFFFFF"/>
        </w:rPr>
        <w:t xml:space="preserve"> </w:t>
      </w:r>
      <w:r w:rsidR="009C7F30">
        <w:rPr>
          <w:rStyle w:val="normaltextrun"/>
          <w:color w:val="000000"/>
          <w:szCs w:val="22"/>
          <w:shd w:val="clear" w:color="auto" w:fill="FFFFFF"/>
        </w:rPr>
        <w:t>and types</w:t>
      </w:r>
      <w:r>
        <w:rPr>
          <w:rStyle w:val="normaltextrun"/>
          <w:color w:val="000000"/>
          <w:szCs w:val="22"/>
          <w:shd w:val="clear" w:color="auto" w:fill="FFFFFF"/>
        </w:rPr>
        <w:t xml:space="preserve"> of air pollutants would be produced </w:t>
      </w:r>
      <w:r w:rsidR="00B9493D">
        <w:rPr>
          <w:rStyle w:val="normaltextrun"/>
          <w:color w:val="000000"/>
          <w:szCs w:val="22"/>
          <w:shd w:val="clear" w:color="auto" w:fill="FFFFFF"/>
        </w:rPr>
        <w:t>from potential development of the nominated lease parcels</w:t>
      </w:r>
      <w:r>
        <w:rPr>
          <w:rStyle w:val="normaltextrun"/>
          <w:color w:val="000000"/>
          <w:szCs w:val="22"/>
          <w:shd w:val="clear" w:color="auto" w:fill="FFFFFF"/>
        </w:rPr>
        <w:t>? How would air pollutant emissions affect air quality and air quality related values? </w:t>
      </w:r>
      <w:r>
        <w:rPr>
          <w:rStyle w:val="eop"/>
          <w:color w:val="000000"/>
          <w:szCs w:val="22"/>
          <w:shd w:val="clear" w:color="auto" w:fill="FFFFFF"/>
        </w:rPr>
        <w:t> </w:t>
      </w:r>
      <w:r w:rsidR="004E68A8" w:rsidRPr="008D029D">
        <w:rPr>
          <w:rFonts w:eastAsia="Times"/>
        </w:rPr>
        <w:t xml:space="preserve"> </w:t>
      </w:r>
    </w:p>
    <w:p w14:paraId="72D8D31B" w14:textId="302869AA" w:rsidR="00200984" w:rsidRPr="00200984" w:rsidRDefault="007A79C3" w:rsidP="00E9021B">
      <w:pPr>
        <w:pStyle w:val="BodyText"/>
        <w:numPr>
          <w:ilvl w:val="0"/>
          <w:numId w:val="50"/>
        </w:numPr>
        <w:rPr>
          <w:rStyle w:val="eop"/>
          <w:rFonts w:eastAsia="Times" w:cs="Times New Roman"/>
          <w:szCs w:val="24"/>
        </w:rPr>
      </w:pPr>
      <w:r>
        <w:rPr>
          <w:rStyle w:val="normaltextrun"/>
          <w:color w:val="000000"/>
          <w:shd w:val="clear" w:color="auto" w:fill="FFFFFF"/>
        </w:rPr>
        <w:t>How would potential development of the nominated lease parcels contribute to greenhouse gas (GHG) emissions and climate change?</w:t>
      </w:r>
      <w:r>
        <w:rPr>
          <w:rStyle w:val="eop"/>
          <w:color w:val="000000"/>
          <w:shd w:val="clear" w:color="auto" w:fill="FFFFFF"/>
        </w:rPr>
        <w:t> </w:t>
      </w:r>
    </w:p>
    <w:p w14:paraId="24CC0C90" w14:textId="7051E859" w:rsidR="004E68A8" w:rsidRPr="00D968D3" w:rsidRDefault="004E68A8" w:rsidP="00250885">
      <w:pPr>
        <w:pStyle w:val="BodyText"/>
        <w:rPr>
          <w:shd w:val="clear" w:color="auto" w:fill="FAF9F8"/>
        </w:rPr>
      </w:pPr>
      <w:r w:rsidRPr="008D029D">
        <w:t xml:space="preserve">An additional </w:t>
      </w:r>
      <w:r w:rsidR="009A76FC">
        <w:t>two</w:t>
      </w:r>
      <w:r w:rsidRPr="008D029D">
        <w:t xml:space="preserve"> issues were identified, considered, and analyzed in brief during review of the Proposed Action. These issues, and rationale for why they were not analyzed in detail, are presented in </w:t>
      </w:r>
      <w:r w:rsidR="002F321A">
        <w:t>S</w:t>
      </w:r>
      <w:r w:rsidRPr="008D029D">
        <w:t>ection</w:t>
      </w:r>
      <w:r>
        <w:t xml:space="preserve"> </w:t>
      </w:r>
      <w:r w:rsidR="004634B9">
        <w:t>2</w:t>
      </w:r>
      <w:r>
        <w:t>.4</w:t>
      </w:r>
      <w:r w:rsidRPr="00D968D3">
        <w:rPr>
          <w:shd w:val="clear" w:color="auto" w:fill="FAF9F8"/>
        </w:rPr>
        <w:t xml:space="preserve">.  </w:t>
      </w:r>
    </w:p>
    <w:p w14:paraId="430AC941" w14:textId="77777777" w:rsidR="004E68A8" w:rsidRPr="00627F1C" w:rsidRDefault="004E68A8">
      <w:pPr>
        <w:pStyle w:val="BodyText"/>
      </w:pPr>
      <w:r>
        <w:fldChar w:fldCharType="begin"/>
      </w:r>
      <w:r>
        <w:instrText xml:space="preserve"> REF _Ref140467673 \h </w:instrText>
      </w:r>
      <w:r>
        <w:fldChar w:fldCharType="separate"/>
      </w:r>
      <w:r>
        <w:t xml:space="preserve">Table </w:t>
      </w:r>
      <w:r>
        <w:rPr>
          <w:rStyle w:val="TableLeasingEA"/>
          <w:rFonts w:eastAsiaTheme="minorHAnsi"/>
          <w:b w:val="0"/>
          <w:noProof/>
          <w:sz w:val="24"/>
          <w:szCs w:val="20"/>
        </w:rPr>
        <w:t>4</w:t>
      </w:r>
      <w:r>
        <w:fldChar w:fldCharType="end"/>
      </w:r>
      <w:r>
        <w:t xml:space="preserve"> </w:t>
      </w:r>
      <w:r w:rsidRPr="00627F1C">
        <w:t xml:space="preserve">lists resources or concerns that were considered but determined to not warrant </w:t>
      </w:r>
      <w:r>
        <w:t xml:space="preserve">further </w:t>
      </w:r>
      <w:r w:rsidRPr="00627F1C">
        <w:t>analysis in this EA</w:t>
      </w:r>
      <w:r>
        <w:t>.</w:t>
      </w:r>
    </w:p>
    <w:p w14:paraId="56DE3A57" w14:textId="6A630605" w:rsidR="001801FA" w:rsidRDefault="001801FA" w:rsidP="00865AFF">
      <w:pPr>
        <w:pStyle w:val="Caption"/>
      </w:pPr>
      <w:bookmarkStart w:id="44" w:name="_Toc179464285"/>
      <w:bookmarkStart w:id="45" w:name="_Toc170114940"/>
      <w:r>
        <w:t xml:space="preserve">Table </w:t>
      </w:r>
      <w:r w:rsidR="00BB3F01">
        <w:fldChar w:fldCharType="begin"/>
      </w:r>
      <w:r w:rsidR="00BB3F01">
        <w:instrText xml:space="preserve"> SEQ Table \* ARABIC </w:instrText>
      </w:r>
      <w:r w:rsidR="00BB3F01">
        <w:fldChar w:fldCharType="separate"/>
      </w:r>
      <w:r w:rsidR="00BB3F01">
        <w:rPr>
          <w:noProof/>
        </w:rPr>
        <w:t>4</w:t>
      </w:r>
      <w:r w:rsidR="00BB3F01">
        <w:rPr>
          <w:noProof/>
        </w:rPr>
        <w:fldChar w:fldCharType="end"/>
      </w:r>
      <w:r>
        <w:t xml:space="preserve"> </w:t>
      </w:r>
      <w:r w:rsidRPr="00614C32">
        <w:t>Resources not Analyzed in this EA</w:t>
      </w:r>
      <w:bookmarkEnd w:id="44"/>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sources not Analyzed in this EA"/>
      </w:tblPr>
      <w:tblGrid>
        <w:gridCol w:w="2245"/>
        <w:gridCol w:w="7105"/>
      </w:tblGrid>
      <w:tr w:rsidR="00105D46" w:rsidRPr="00AA422B" w14:paraId="644EF11C" w14:textId="77777777" w:rsidTr="005469A6">
        <w:trPr>
          <w:cantSplit/>
          <w:tblHeader/>
        </w:trPr>
        <w:tc>
          <w:tcPr>
            <w:tcW w:w="2245" w:type="dxa"/>
            <w:shd w:val="clear" w:color="auto" w:fill="F2F2F2" w:themeFill="background1" w:themeFillShade="F2"/>
            <w:hideMark/>
          </w:tcPr>
          <w:p w14:paraId="5B5819CE" w14:textId="77777777" w:rsidR="004E68A8" w:rsidRPr="00CA1A04" w:rsidRDefault="004E68A8" w:rsidP="004E68A8">
            <w:pPr>
              <w:pStyle w:val="TableHeading"/>
            </w:pPr>
            <w:r w:rsidRPr="00CA1A04">
              <w:t>Resource or Concern </w:t>
            </w:r>
          </w:p>
        </w:tc>
        <w:tc>
          <w:tcPr>
            <w:tcW w:w="7105" w:type="dxa"/>
            <w:shd w:val="clear" w:color="auto" w:fill="F2F2F2" w:themeFill="background1" w:themeFillShade="F2"/>
            <w:vAlign w:val="center"/>
            <w:hideMark/>
          </w:tcPr>
          <w:p w14:paraId="5DE2E3ED" w14:textId="38A222E9" w:rsidR="004E68A8" w:rsidRPr="00CA1A04" w:rsidRDefault="004E68A8" w:rsidP="004E68A8">
            <w:pPr>
              <w:pStyle w:val="TableHeading"/>
              <w:rPr>
                <w:highlight w:val="lightGray"/>
              </w:rPr>
            </w:pPr>
            <w:r w:rsidRPr="00CF5B68">
              <w:t>Rationale for not Analyzing in EA</w:t>
            </w:r>
            <w:r w:rsidRPr="00CA1A04">
              <w:t> </w:t>
            </w:r>
          </w:p>
        </w:tc>
      </w:tr>
      <w:tr w:rsidR="00E80304" w14:paraId="2BB5EDA2" w14:textId="77777777" w:rsidTr="005469A6">
        <w:trPr>
          <w:cantSplit/>
          <w:trHeight w:val="300"/>
        </w:trPr>
        <w:tc>
          <w:tcPr>
            <w:tcW w:w="2245" w:type="dxa"/>
          </w:tcPr>
          <w:p w14:paraId="0E990962" w14:textId="6C3438D4" w:rsidR="004E68A8" w:rsidRDefault="00F3410A">
            <w:pPr>
              <w:rPr>
                <w:rFonts w:cs="Times New Roman"/>
                <w:sz w:val="20"/>
                <w:szCs w:val="20"/>
              </w:rPr>
            </w:pPr>
            <w:r>
              <w:rPr>
                <w:rFonts w:cs="Times New Roman"/>
                <w:sz w:val="20"/>
                <w:szCs w:val="20"/>
              </w:rPr>
              <w:t>Special Designations</w:t>
            </w:r>
          </w:p>
        </w:tc>
        <w:tc>
          <w:tcPr>
            <w:tcW w:w="7105" w:type="dxa"/>
            <w:vAlign w:val="center"/>
          </w:tcPr>
          <w:p w14:paraId="20099C17" w14:textId="47AE6566" w:rsidR="004E68A8" w:rsidRDefault="00043E19">
            <w:pPr>
              <w:rPr>
                <w:rFonts w:cs="Times New Roman"/>
                <w:sz w:val="20"/>
                <w:szCs w:val="20"/>
              </w:rPr>
            </w:pPr>
            <w:r>
              <w:rPr>
                <w:rStyle w:val="normaltextrun"/>
                <w:color w:val="000000"/>
                <w:sz w:val="20"/>
                <w:szCs w:val="20"/>
                <w:shd w:val="clear" w:color="auto" w:fill="FFFFFF"/>
              </w:rPr>
              <w:t xml:space="preserve">Special designations include Areas of Critical Environmental Concern, National Scenic and Historic Trails, Research Natural Areas, Special Recreation Management Areas, designated Wilderness, National Monuments, National Conservation Areas, National Parks, </w:t>
            </w:r>
            <w:r w:rsidR="0070380E">
              <w:rPr>
                <w:rStyle w:val="normaltextrun"/>
                <w:color w:val="000000"/>
                <w:sz w:val="20"/>
                <w:szCs w:val="20"/>
                <w:shd w:val="clear" w:color="auto" w:fill="FFFFFF"/>
              </w:rPr>
              <w:t xml:space="preserve">National Wildlife Refuges, </w:t>
            </w:r>
            <w:r>
              <w:rPr>
                <w:rStyle w:val="normaltextrun"/>
                <w:color w:val="000000"/>
                <w:sz w:val="20"/>
                <w:szCs w:val="20"/>
                <w:shd w:val="clear" w:color="auto" w:fill="FFFFFF"/>
              </w:rPr>
              <w:t>Wilderness Study Areas, and Wild and Scenic Rivers. There are no special designations located within the nominated lease parcels.</w:t>
            </w:r>
            <w:r w:rsidR="00225D61">
              <w:rPr>
                <w:rStyle w:val="normaltextrun"/>
                <w:color w:val="000000"/>
                <w:sz w:val="20"/>
                <w:szCs w:val="20"/>
                <w:shd w:val="clear" w:color="auto" w:fill="FFFFFF"/>
              </w:rPr>
              <w:t xml:space="preserve"> </w:t>
            </w:r>
            <w:r w:rsidR="005D1DE8">
              <w:rPr>
                <w:rStyle w:val="normaltextrun"/>
                <w:color w:val="000000"/>
                <w:sz w:val="20"/>
                <w:szCs w:val="20"/>
                <w:shd w:val="clear" w:color="auto" w:fill="FFFFFF"/>
              </w:rPr>
              <w:t>The closest special designation is t</w:t>
            </w:r>
            <w:r w:rsidR="003225A0">
              <w:rPr>
                <w:rStyle w:val="normaltextrun"/>
                <w:color w:val="000000"/>
                <w:sz w:val="20"/>
                <w:szCs w:val="20"/>
                <w:shd w:val="clear" w:color="auto" w:fill="FFFFFF"/>
              </w:rPr>
              <w:t xml:space="preserve">he Ouray National Wildlife Refuge </w:t>
            </w:r>
            <w:r w:rsidR="00FD0522">
              <w:rPr>
                <w:rStyle w:val="normaltextrun"/>
                <w:color w:val="000000"/>
                <w:sz w:val="20"/>
                <w:szCs w:val="20"/>
                <w:shd w:val="clear" w:color="auto" w:fill="FFFFFF"/>
              </w:rPr>
              <w:t xml:space="preserve">which </w:t>
            </w:r>
            <w:r w:rsidR="003225A0">
              <w:rPr>
                <w:rStyle w:val="normaltextrun"/>
                <w:color w:val="000000"/>
                <w:sz w:val="20"/>
                <w:szCs w:val="20"/>
                <w:shd w:val="clear" w:color="auto" w:fill="FFFFFF"/>
              </w:rPr>
              <w:t>is over 3 miles away and topographically screened from the nearest parce</w:t>
            </w:r>
            <w:r w:rsidR="00752CFB">
              <w:rPr>
                <w:rStyle w:val="normaltextrun"/>
                <w:color w:val="000000"/>
                <w:sz w:val="20"/>
                <w:szCs w:val="20"/>
                <w:shd w:val="clear" w:color="auto" w:fill="FFFFFF"/>
              </w:rPr>
              <w:t>l</w:t>
            </w:r>
            <w:r w:rsidR="00043FD4">
              <w:rPr>
                <w:rStyle w:val="normaltextrun"/>
                <w:color w:val="000000"/>
                <w:sz w:val="20"/>
                <w:szCs w:val="20"/>
                <w:shd w:val="clear" w:color="auto" w:fill="FFFFFF"/>
              </w:rPr>
              <w:t xml:space="preserve">. </w:t>
            </w:r>
            <w:r w:rsidR="00844020">
              <w:rPr>
                <w:rStyle w:val="normaltextrun"/>
                <w:color w:val="000000"/>
                <w:sz w:val="20"/>
                <w:szCs w:val="20"/>
                <w:shd w:val="clear" w:color="auto" w:fill="FFFFFF"/>
              </w:rPr>
              <w:t>The nearest</w:t>
            </w:r>
            <w:r w:rsidR="004C3D57">
              <w:rPr>
                <w:rStyle w:val="normaltextrun"/>
                <w:color w:val="000000"/>
                <w:sz w:val="20"/>
                <w:szCs w:val="20"/>
                <w:shd w:val="clear" w:color="auto" w:fill="FFFFFF"/>
              </w:rPr>
              <w:t xml:space="preserve"> National Monument </w:t>
            </w:r>
            <w:r w:rsidR="0095498B">
              <w:rPr>
                <w:rStyle w:val="normaltextrun"/>
                <w:color w:val="000000"/>
                <w:sz w:val="20"/>
                <w:szCs w:val="20"/>
                <w:shd w:val="clear" w:color="auto" w:fill="FFFFFF"/>
              </w:rPr>
              <w:t>and Wilderness Study Area are</w:t>
            </w:r>
            <w:r w:rsidR="004C3D57">
              <w:rPr>
                <w:rStyle w:val="normaltextrun"/>
                <w:color w:val="000000"/>
                <w:sz w:val="20"/>
                <w:szCs w:val="20"/>
                <w:shd w:val="clear" w:color="auto" w:fill="FFFFFF"/>
              </w:rPr>
              <w:t xml:space="preserve"> over 17 miles to the northeast. </w:t>
            </w:r>
            <w:r w:rsidR="00036715">
              <w:rPr>
                <w:rStyle w:val="normaltextrun"/>
                <w:color w:val="000000"/>
                <w:sz w:val="20"/>
                <w:szCs w:val="20"/>
                <w:shd w:val="clear" w:color="auto" w:fill="FFFFFF"/>
              </w:rPr>
              <w:t xml:space="preserve">A </w:t>
            </w:r>
            <w:r w:rsidR="008F54E2">
              <w:rPr>
                <w:rStyle w:val="normaltextrun"/>
                <w:color w:val="000000"/>
                <w:sz w:val="20"/>
                <w:szCs w:val="20"/>
                <w:shd w:val="clear" w:color="auto" w:fill="FFFFFF"/>
              </w:rPr>
              <w:t xml:space="preserve">suitable </w:t>
            </w:r>
            <w:r w:rsidR="005F2D0D">
              <w:rPr>
                <w:rStyle w:val="normaltextrun"/>
                <w:color w:val="000000"/>
                <w:sz w:val="20"/>
                <w:szCs w:val="20"/>
                <w:shd w:val="clear" w:color="auto" w:fill="FFFFFF"/>
              </w:rPr>
              <w:t xml:space="preserve">Scenic </w:t>
            </w:r>
            <w:r w:rsidR="008F54E2">
              <w:rPr>
                <w:rStyle w:val="normaltextrun"/>
                <w:color w:val="000000"/>
                <w:sz w:val="20"/>
                <w:szCs w:val="20"/>
                <w:shd w:val="clear" w:color="auto" w:fill="FFFFFF"/>
              </w:rPr>
              <w:t xml:space="preserve">segment of the Green River is over </w:t>
            </w:r>
            <w:r w:rsidR="00F273A3">
              <w:rPr>
                <w:rStyle w:val="normaltextrun"/>
                <w:color w:val="000000"/>
                <w:sz w:val="20"/>
                <w:szCs w:val="20"/>
                <w:shd w:val="clear" w:color="auto" w:fill="FFFFFF"/>
              </w:rPr>
              <w:t xml:space="preserve">14 miles to the southwest. </w:t>
            </w:r>
            <w:r w:rsidR="007655AA">
              <w:rPr>
                <w:rStyle w:val="normaltextrun"/>
                <w:color w:val="000000"/>
                <w:sz w:val="20"/>
                <w:szCs w:val="20"/>
                <w:shd w:val="clear" w:color="auto" w:fill="FFFFFF"/>
              </w:rPr>
              <w:t xml:space="preserve">The closest </w:t>
            </w:r>
            <w:r w:rsidR="002C22CC">
              <w:rPr>
                <w:rStyle w:val="normaltextrun"/>
                <w:color w:val="000000"/>
                <w:sz w:val="20"/>
                <w:szCs w:val="20"/>
                <w:shd w:val="clear" w:color="auto" w:fill="FFFFFF"/>
              </w:rPr>
              <w:t xml:space="preserve">Special Recreation Management Areas are over 7 miles distant. </w:t>
            </w:r>
            <w:r w:rsidR="00450087">
              <w:rPr>
                <w:rStyle w:val="normaltextrun"/>
                <w:color w:val="000000"/>
                <w:sz w:val="20"/>
                <w:szCs w:val="20"/>
                <w:shd w:val="clear" w:color="auto" w:fill="FFFFFF"/>
              </w:rPr>
              <w:t>There are no issues associated with special designations because of their distance from the nominated lease parcels and the general topography that separates them.</w:t>
            </w:r>
          </w:p>
        </w:tc>
      </w:tr>
      <w:tr w:rsidR="00E80304" w:rsidRPr="00AA422B" w14:paraId="49D2CF17" w14:textId="77777777" w:rsidTr="005469A6">
        <w:trPr>
          <w:cantSplit/>
        </w:trPr>
        <w:tc>
          <w:tcPr>
            <w:tcW w:w="2245" w:type="dxa"/>
          </w:tcPr>
          <w:p w14:paraId="2F696E7E" w14:textId="35E261D7" w:rsidR="004E68A8" w:rsidRPr="00CA1A04" w:rsidRDefault="00076D6C">
            <w:pPr>
              <w:spacing w:before="60" w:after="60"/>
              <w:rPr>
                <w:rFonts w:cs="Times New Roman"/>
                <w:sz w:val="20"/>
                <w:szCs w:val="20"/>
              </w:rPr>
            </w:pPr>
            <w:r>
              <w:rPr>
                <w:rFonts w:cs="Times New Roman"/>
                <w:sz w:val="20"/>
                <w:szCs w:val="20"/>
              </w:rPr>
              <w:t>Lands With Wilderness Character</w:t>
            </w:r>
            <w:r w:rsidR="007524BB">
              <w:rPr>
                <w:rFonts w:cs="Times New Roman"/>
                <w:sz w:val="20"/>
                <w:szCs w:val="20"/>
              </w:rPr>
              <w:t>istics</w:t>
            </w:r>
          </w:p>
        </w:tc>
        <w:tc>
          <w:tcPr>
            <w:tcW w:w="7105" w:type="dxa"/>
            <w:vAlign w:val="center"/>
          </w:tcPr>
          <w:p w14:paraId="7AC099A2" w14:textId="442B7121" w:rsidR="004E68A8" w:rsidRPr="00CA1A04" w:rsidRDefault="00AA29FD">
            <w:pPr>
              <w:spacing w:before="60" w:after="60"/>
              <w:rPr>
                <w:rFonts w:cs="Times New Roman"/>
                <w:sz w:val="20"/>
                <w:szCs w:val="20"/>
              </w:rPr>
            </w:pPr>
            <w:r>
              <w:rPr>
                <w:rStyle w:val="normaltextrun"/>
                <w:color w:val="000000"/>
                <w:sz w:val="20"/>
                <w:szCs w:val="20"/>
                <w:shd w:val="clear" w:color="auto" w:fill="FFFFFF"/>
              </w:rPr>
              <w:t>There are no inventory findings or determinations per BLM Manual 6310 that any areas within the nominated lease parcels contain lands with wilderness characteristics</w:t>
            </w:r>
            <w:r w:rsidR="00D35FA4">
              <w:rPr>
                <w:rStyle w:val="normaltextrun"/>
                <w:color w:val="000000"/>
                <w:sz w:val="20"/>
                <w:szCs w:val="20"/>
                <w:shd w:val="clear" w:color="auto" w:fill="FFFFFF"/>
              </w:rPr>
              <w:t xml:space="preserve">. </w:t>
            </w:r>
            <w:r w:rsidR="00F828BE">
              <w:rPr>
                <w:rStyle w:val="normaltextrun"/>
                <w:color w:val="000000"/>
                <w:sz w:val="20"/>
                <w:szCs w:val="20"/>
                <w:shd w:val="clear" w:color="auto" w:fill="FFFFFF"/>
              </w:rPr>
              <w:t xml:space="preserve">The nearest </w:t>
            </w:r>
            <w:r w:rsidR="00F15DF6">
              <w:rPr>
                <w:rStyle w:val="normaltextrun"/>
                <w:color w:val="000000"/>
                <w:sz w:val="20"/>
                <w:szCs w:val="20"/>
                <w:shd w:val="clear" w:color="auto" w:fill="FFFFFF"/>
              </w:rPr>
              <w:t xml:space="preserve">area determined to possess lands with wilderness characteristics is over </w:t>
            </w:r>
            <w:r w:rsidR="00B65C95">
              <w:rPr>
                <w:rStyle w:val="normaltextrun"/>
                <w:color w:val="000000"/>
                <w:sz w:val="20"/>
                <w:szCs w:val="20"/>
                <w:shd w:val="clear" w:color="auto" w:fill="FFFFFF"/>
              </w:rPr>
              <w:t>7 miles away. T</w:t>
            </w:r>
            <w:r w:rsidR="0020504D">
              <w:rPr>
                <w:rStyle w:val="normaltextrun"/>
                <w:color w:val="000000"/>
                <w:sz w:val="20"/>
                <w:szCs w:val="20"/>
                <w:shd w:val="clear" w:color="auto" w:fill="FFFFFF"/>
              </w:rPr>
              <w:t>herefore</w:t>
            </w:r>
            <w:r w:rsidR="001E28FA">
              <w:rPr>
                <w:rStyle w:val="normaltextrun"/>
                <w:color w:val="000000"/>
                <w:sz w:val="20"/>
                <w:szCs w:val="20"/>
                <w:shd w:val="clear" w:color="auto" w:fill="FFFFFF"/>
              </w:rPr>
              <w:t>,</w:t>
            </w:r>
            <w:r w:rsidR="0020504D">
              <w:rPr>
                <w:rStyle w:val="normaltextrun"/>
                <w:color w:val="000000"/>
                <w:sz w:val="20"/>
                <w:szCs w:val="20"/>
                <w:shd w:val="clear" w:color="auto" w:fill="FFFFFF"/>
              </w:rPr>
              <w:t xml:space="preserve"> there are no issues </w:t>
            </w:r>
            <w:r w:rsidR="00A55DA3">
              <w:rPr>
                <w:rStyle w:val="normaltextrun"/>
                <w:color w:val="000000"/>
                <w:sz w:val="20"/>
                <w:szCs w:val="20"/>
                <w:shd w:val="clear" w:color="auto" w:fill="FFFFFF"/>
              </w:rPr>
              <w:t xml:space="preserve">with </w:t>
            </w:r>
            <w:r w:rsidR="009910A4">
              <w:rPr>
                <w:rStyle w:val="normaltextrun"/>
                <w:color w:val="000000"/>
                <w:sz w:val="20"/>
                <w:szCs w:val="20"/>
                <w:shd w:val="clear" w:color="auto" w:fill="FFFFFF"/>
              </w:rPr>
              <w:t>impacts associated</w:t>
            </w:r>
            <w:r w:rsidR="0020504D">
              <w:rPr>
                <w:rStyle w:val="normaltextrun"/>
                <w:color w:val="000000"/>
                <w:sz w:val="20"/>
                <w:szCs w:val="20"/>
                <w:shd w:val="clear" w:color="auto" w:fill="FFFFFF"/>
              </w:rPr>
              <w:t xml:space="preserve"> with </w:t>
            </w:r>
            <w:r w:rsidR="006F2F52">
              <w:rPr>
                <w:rStyle w:val="normaltextrun"/>
                <w:color w:val="000000"/>
                <w:sz w:val="20"/>
                <w:szCs w:val="20"/>
                <w:shd w:val="clear" w:color="auto" w:fill="FFFFFF"/>
              </w:rPr>
              <w:t>lands with wilderness characteristics.</w:t>
            </w:r>
          </w:p>
        </w:tc>
      </w:tr>
      <w:tr w:rsidR="00521ADF" w:rsidRPr="00AA422B" w14:paraId="6756DCA6" w14:textId="77777777" w:rsidTr="001F5372">
        <w:trPr>
          <w:cantSplit/>
        </w:trPr>
        <w:tc>
          <w:tcPr>
            <w:tcW w:w="2245" w:type="dxa"/>
          </w:tcPr>
          <w:p w14:paraId="79CC2B5E" w14:textId="47BE9549" w:rsidR="00521ADF" w:rsidRPr="00CA1A04" w:rsidRDefault="00C240AB">
            <w:pPr>
              <w:spacing w:before="60" w:after="60"/>
              <w:rPr>
                <w:rFonts w:cs="Times New Roman"/>
                <w:sz w:val="20"/>
                <w:szCs w:val="20"/>
              </w:rPr>
            </w:pPr>
            <w:r>
              <w:rPr>
                <w:rFonts w:cs="Times New Roman"/>
                <w:sz w:val="20"/>
                <w:szCs w:val="20"/>
              </w:rPr>
              <w:lastRenderedPageBreak/>
              <w:t>Prime and Unique Farmlands</w:t>
            </w:r>
          </w:p>
        </w:tc>
        <w:tc>
          <w:tcPr>
            <w:tcW w:w="7105" w:type="dxa"/>
            <w:vAlign w:val="center"/>
          </w:tcPr>
          <w:p w14:paraId="28A89B34" w14:textId="0F4056D8" w:rsidR="00521ADF" w:rsidRPr="00CA1A04" w:rsidRDefault="00195F3D">
            <w:pPr>
              <w:spacing w:before="60" w:after="60"/>
              <w:rPr>
                <w:rFonts w:cs="Times New Roman"/>
                <w:sz w:val="20"/>
                <w:szCs w:val="20"/>
              </w:rPr>
            </w:pPr>
            <w:r>
              <w:rPr>
                <w:rFonts w:cs="Times New Roman"/>
                <w:sz w:val="20"/>
                <w:szCs w:val="20"/>
              </w:rPr>
              <w:t xml:space="preserve">Based on </w:t>
            </w:r>
            <w:r w:rsidR="00BB51D0">
              <w:rPr>
                <w:rFonts w:cs="Times New Roman"/>
                <w:sz w:val="20"/>
                <w:szCs w:val="20"/>
              </w:rPr>
              <w:t>the Nat</w:t>
            </w:r>
            <w:r w:rsidR="000D5C51">
              <w:rPr>
                <w:rFonts w:cs="Times New Roman"/>
                <w:sz w:val="20"/>
                <w:szCs w:val="20"/>
              </w:rPr>
              <w:t>ural Resource Conservation</w:t>
            </w:r>
            <w:r>
              <w:rPr>
                <w:rFonts w:cs="Times New Roman"/>
                <w:sz w:val="20"/>
                <w:szCs w:val="20"/>
              </w:rPr>
              <w:t xml:space="preserve"> </w:t>
            </w:r>
            <w:r w:rsidR="007A1FC6">
              <w:rPr>
                <w:rFonts w:cs="Times New Roman"/>
                <w:sz w:val="20"/>
                <w:szCs w:val="20"/>
              </w:rPr>
              <w:t xml:space="preserve">Service’s </w:t>
            </w:r>
            <w:r w:rsidR="00934813">
              <w:rPr>
                <w:rFonts w:cs="Times New Roman"/>
                <w:sz w:val="20"/>
                <w:szCs w:val="20"/>
              </w:rPr>
              <w:t xml:space="preserve">Soil Survey Geographic Database (SSURGO </w:t>
            </w:r>
            <w:sdt>
              <w:sdtPr>
                <w:rPr>
                  <w:rFonts w:cs="Times New Roman"/>
                  <w:sz w:val="20"/>
                  <w:szCs w:val="20"/>
                </w:rPr>
                <w:id w:val="167680220"/>
                <w:citation/>
              </w:sdtPr>
              <w:sdtContent>
                <w:r w:rsidR="00934813">
                  <w:rPr>
                    <w:rFonts w:cs="Times New Roman"/>
                    <w:sz w:val="20"/>
                    <w:szCs w:val="20"/>
                  </w:rPr>
                  <w:fldChar w:fldCharType="begin"/>
                </w:r>
                <w:r w:rsidR="00934813">
                  <w:rPr>
                    <w:rFonts w:cs="Times New Roman"/>
                    <w:sz w:val="20"/>
                    <w:szCs w:val="20"/>
                  </w:rPr>
                  <w:instrText xml:space="preserve"> CITATION NRC24 \l 1033 </w:instrText>
                </w:r>
                <w:r w:rsidR="00934813">
                  <w:rPr>
                    <w:rFonts w:cs="Times New Roman"/>
                    <w:sz w:val="20"/>
                    <w:szCs w:val="20"/>
                  </w:rPr>
                  <w:fldChar w:fldCharType="separate"/>
                </w:r>
                <w:r w:rsidR="0093463A" w:rsidRPr="0093463A">
                  <w:rPr>
                    <w:rFonts w:cs="Times New Roman"/>
                    <w:noProof/>
                    <w:sz w:val="20"/>
                    <w:szCs w:val="20"/>
                  </w:rPr>
                  <w:t>(NRCS, 2024)</w:t>
                </w:r>
                <w:r w:rsidR="00934813">
                  <w:rPr>
                    <w:rFonts w:cs="Times New Roman"/>
                    <w:sz w:val="20"/>
                    <w:szCs w:val="20"/>
                  </w:rPr>
                  <w:fldChar w:fldCharType="end"/>
                </w:r>
              </w:sdtContent>
            </w:sdt>
            <w:r w:rsidR="00934813">
              <w:rPr>
                <w:rFonts w:cs="Times New Roman"/>
                <w:sz w:val="20"/>
                <w:szCs w:val="20"/>
              </w:rPr>
              <w:t>)</w:t>
            </w:r>
            <w:r w:rsidR="007A1FC6">
              <w:rPr>
                <w:rFonts w:cs="Times New Roman"/>
                <w:sz w:val="20"/>
                <w:szCs w:val="20"/>
              </w:rPr>
              <w:t>, p</w:t>
            </w:r>
            <w:r w:rsidR="001923B9">
              <w:rPr>
                <w:rFonts w:cs="Times New Roman"/>
                <w:sz w:val="20"/>
                <w:szCs w:val="20"/>
              </w:rPr>
              <w:t xml:space="preserve">arcel </w:t>
            </w:r>
            <w:r w:rsidR="006A3222">
              <w:rPr>
                <w:rFonts w:cs="Times New Roman"/>
                <w:sz w:val="20"/>
                <w:szCs w:val="20"/>
              </w:rPr>
              <w:t>7688</w:t>
            </w:r>
            <w:r w:rsidR="001923B9">
              <w:rPr>
                <w:rFonts w:cs="Times New Roman"/>
                <w:sz w:val="20"/>
                <w:szCs w:val="20"/>
              </w:rPr>
              <w:t xml:space="preserve"> contains </w:t>
            </w:r>
            <w:r w:rsidR="006A3222">
              <w:rPr>
                <w:rFonts w:cs="Times New Roman"/>
                <w:sz w:val="20"/>
                <w:szCs w:val="20"/>
              </w:rPr>
              <w:t>13</w:t>
            </w:r>
            <w:r w:rsidR="001923B9">
              <w:rPr>
                <w:rFonts w:cs="Times New Roman"/>
                <w:sz w:val="20"/>
                <w:szCs w:val="20"/>
              </w:rPr>
              <w:t xml:space="preserve"> acres of </w:t>
            </w:r>
            <w:r w:rsidR="006824C5">
              <w:rPr>
                <w:rFonts w:cs="Times New Roman"/>
                <w:sz w:val="20"/>
                <w:szCs w:val="20"/>
              </w:rPr>
              <w:t xml:space="preserve">land that could be </w:t>
            </w:r>
            <w:r w:rsidR="001923B9">
              <w:rPr>
                <w:rFonts w:cs="Times New Roman"/>
                <w:sz w:val="20"/>
                <w:szCs w:val="20"/>
              </w:rPr>
              <w:t xml:space="preserve">prime </w:t>
            </w:r>
            <w:r w:rsidR="00BF4146">
              <w:rPr>
                <w:rFonts w:cs="Times New Roman"/>
                <w:sz w:val="20"/>
                <w:szCs w:val="20"/>
              </w:rPr>
              <w:t xml:space="preserve">farmland </w:t>
            </w:r>
            <w:r w:rsidR="006824C5">
              <w:rPr>
                <w:rFonts w:cs="Times New Roman"/>
                <w:sz w:val="20"/>
                <w:szCs w:val="20"/>
              </w:rPr>
              <w:t xml:space="preserve">if irrigated. Based on the </w:t>
            </w:r>
            <w:r w:rsidR="00DB6557">
              <w:rPr>
                <w:rFonts w:cs="Times New Roman"/>
                <w:sz w:val="20"/>
                <w:szCs w:val="20"/>
              </w:rPr>
              <w:t xml:space="preserve">U.S. Department of Agriculture definition, prime farmland must also be available for </w:t>
            </w:r>
            <w:r w:rsidR="00FF13FC">
              <w:rPr>
                <w:rFonts w:cs="Times New Roman"/>
                <w:sz w:val="20"/>
                <w:szCs w:val="20"/>
              </w:rPr>
              <w:t>crop production</w:t>
            </w:r>
            <w:r w:rsidR="00DD4F80">
              <w:rPr>
                <w:rFonts w:cs="Times New Roman"/>
                <w:sz w:val="20"/>
                <w:szCs w:val="20"/>
              </w:rPr>
              <w:t>.</w:t>
            </w:r>
            <w:r w:rsidR="006D7303">
              <w:rPr>
                <w:rFonts w:cs="Times New Roman"/>
                <w:sz w:val="20"/>
                <w:szCs w:val="20"/>
              </w:rPr>
              <w:t xml:space="preserve"> </w:t>
            </w:r>
            <w:r w:rsidR="00561052">
              <w:rPr>
                <w:rFonts w:cs="Times New Roman"/>
                <w:sz w:val="20"/>
                <w:szCs w:val="20"/>
              </w:rPr>
              <w:t>There are no current agricult</w:t>
            </w:r>
            <w:r w:rsidR="006B39C0">
              <w:rPr>
                <w:rFonts w:cs="Times New Roman"/>
                <w:sz w:val="20"/>
                <w:szCs w:val="20"/>
              </w:rPr>
              <w:t>ural leases on parcel 7688</w:t>
            </w:r>
            <w:r w:rsidR="00872CD1">
              <w:rPr>
                <w:rFonts w:cs="Times New Roman"/>
                <w:sz w:val="20"/>
                <w:szCs w:val="20"/>
              </w:rPr>
              <w:t xml:space="preserve"> and there</w:t>
            </w:r>
            <w:r w:rsidR="00605D91">
              <w:rPr>
                <w:rFonts w:cs="Times New Roman"/>
                <w:sz w:val="20"/>
                <w:szCs w:val="20"/>
              </w:rPr>
              <w:t xml:space="preserve">fore there is no conflict between potential development and the area identified as </w:t>
            </w:r>
            <w:r w:rsidR="001F5372">
              <w:rPr>
                <w:rFonts w:cs="Times New Roman"/>
                <w:sz w:val="20"/>
                <w:szCs w:val="20"/>
              </w:rPr>
              <w:t>prime farmland if irrigated.</w:t>
            </w:r>
            <w:r w:rsidR="00B55902">
              <w:rPr>
                <w:rFonts w:cs="Times New Roman"/>
                <w:sz w:val="20"/>
                <w:szCs w:val="20"/>
              </w:rPr>
              <w:t xml:space="preserve"> </w:t>
            </w:r>
          </w:p>
        </w:tc>
      </w:tr>
      <w:tr w:rsidR="00521ADF" w:rsidRPr="00AA422B" w14:paraId="54AFBBC8" w14:textId="77777777" w:rsidTr="00D049B8">
        <w:trPr>
          <w:cantSplit/>
        </w:trPr>
        <w:tc>
          <w:tcPr>
            <w:tcW w:w="2245" w:type="dxa"/>
          </w:tcPr>
          <w:p w14:paraId="1DACE4F3" w14:textId="331D9F6C" w:rsidR="00521ADF" w:rsidRPr="00CA1A04" w:rsidRDefault="00C240AB">
            <w:pPr>
              <w:spacing w:before="60" w:after="60"/>
              <w:rPr>
                <w:rFonts w:cs="Times New Roman"/>
                <w:sz w:val="20"/>
                <w:szCs w:val="20"/>
              </w:rPr>
            </w:pPr>
            <w:r>
              <w:rPr>
                <w:rFonts w:cs="Times New Roman"/>
                <w:sz w:val="20"/>
                <w:szCs w:val="20"/>
              </w:rPr>
              <w:t>Wild Horses and Burros</w:t>
            </w:r>
          </w:p>
        </w:tc>
        <w:tc>
          <w:tcPr>
            <w:tcW w:w="7105" w:type="dxa"/>
            <w:vAlign w:val="center"/>
          </w:tcPr>
          <w:p w14:paraId="0CD7FA73" w14:textId="1961BD26" w:rsidR="00521ADF" w:rsidRPr="00CA1A04" w:rsidRDefault="00BC706E">
            <w:pPr>
              <w:spacing w:before="60" w:after="60"/>
              <w:rPr>
                <w:rFonts w:cs="Times New Roman"/>
                <w:sz w:val="20"/>
                <w:szCs w:val="20"/>
              </w:rPr>
            </w:pPr>
            <w:r>
              <w:rPr>
                <w:rStyle w:val="normaltextrun"/>
                <w:color w:val="000000"/>
                <w:sz w:val="20"/>
                <w:szCs w:val="20"/>
                <w:shd w:val="clear" w:color="auto" w:fill="FFFFFF"/>
              </w:rPr>
              <w:t>The nominated lease parcels do not intersect with any designated herd areas (HAs) or herd management areas (HMAs) for wild horses or burros</w:t>
            </w:r>
            <w:r w:rsidR="00770B95">
              <w:rPr>
                <w:rStyle w:val="normaltextrun"/>
                <w:color w:val="000000"/>
                <w:sz w:val="20"/>
                <w:szCs w:val="20"/>
                <w:shd w:val="clear" w:color="auto" w:fill="FFFFFF"/>
              </w:rPr>
              <w:t xml:space="preserve"> </w:t>
            </w:r>
            <w:r w:rsidR="00770B95" w:rsidRPr="00E10964">
              <w:rPr>
                <w:rStyle w:val="normaltextrun"/>
                <w:color w:val="000000"/>
                <w:sz w:val="20"/>
                <w:szCs w:val="20"/>
                <w:shd w:val="clear" w:color="auto" w:fill="FFFFFF"/>
              </w:rPr>
              <w:t>in the Vernal Field Office, therefore</w:t>
            </w:r>
            <w:r w:rsidR="004D4402" w:rsidRPr="00E10964">
              <w:rPr>
                <w:rStyle w:val="normaltextrun"/>
                <w:color w:val="000000"/>
                <w:sz w:val="20"/>
                <w:szCs w:val="20"/>
                <w:shd w:val="clear" w:color="auto" w:fill="FFFFFF"/>
              </w:rPr>
              <w:t xml:space="preserve"> there are no issues </w:t>
            </w:r>
            <w:r w:rsidR="00BB4346" w:rsidRPr="00E10964">
              <w:rPr>
                <w:rStyle w:val="normaltextrun"/>
                <w:color w:val="000000"/>
                <w:sz w:val="20"/>
                <w:szCs w:val="20"/>
                <w:shd w:val="clear" w:color="auto" w:fill="FFFFFF"/>
              </w:rPr>
              <w:t>for analysis</w:t>
            </w:r>
            <w:r w:rsidR="004D4402" w:rsidRPr="00E10964">
              <w:rPr>
                <w:rStyle w:val="normaltextrun"/>
                <w:color w:val="000000"/>
                <w:sz w:val="20"/>
                <w:szCs w:val="20"/>
                <w:shd w:val="clear" w:color="auto" w:fill="FFFFFF"/>
              </w:rPr>
              <w:t xml:space="preserve"> associated with wild horses and burros</w:t>
            </w:r>
            <w:r w:rsidR="004C503C">
              <w:rPr>
                <w:rStyle w:val="normaltextrun"/>
                <w:color w:val="000000"/>
                <w:sz w:val="20"/>
                <w:szCs w:val="20"/>
                <w:shd w:val="clear" w:color="auto" w:fill="FFFFFF"/>
              </w:rPr>
              <w:t>.</w:t>
            </w:r>
            <w:r>
              <w:rPr>
                <w:rStyle w:val="normaltextrun"/>
                <w:color w:val="000000"/>
                <w:sz w:val="20"/>
                <w:szCs w:val="20"/>
                <w:shd w:val="clear" w:color="auto" w:fill="FFFFFF"/>
              </w:rPr>
              <w:t xml:space="preserve"> </w:t>
            </w:r>
          </w:p>
        </w:tc>
      </w:tr>
      <w:tr w:rsidR="0022512C" w:rsidRPr="00AA422B" w14:paraId="62CA2CAF" w14:textId="77777777" w:rsidTr="00C44512">
        <w:trPr>
          <w:cantSplit/>
        </w:trPr>
        <w:tc>
          <w:tcPr>
            <w:tcW w:w="2245" w:type="dxa"/>
          </w:tcPr>
          <w:p w14:paraId="53629748" w14:textId="7E48ADCC" w:rsidR="0022512C" w:rsidRDefault="00C240AB">
            <w:pPr>
              <w:spacing w:before="60" w:after="60"/>
              <w:rPr>
                <w:rFonts w:cs="Times New Roman"/>
                <w:sz w:val="20"/>
                <w:szCs w:val="20"/>
              </w:rPr>
            </w:pPr>
            <w:r>
              <w:rPr>
                <w:rFonts w:cs="Times New Roman"/>
                <w:sz w:val="20"/>
                <w:szCs w:val="20"/>
              </w:rPr>
              <w:t>Greater Sage</w:t>
            </w:r>
            <w:r w:rsidR="00D463E2">
              <w:rPr>
                <w:rFonts w:cs="Times New Roman"/>
                <w:sz w:val="20"/>
                <w:szCs w:val="20"/>
              </w:rPr>
              <w:t>-</w:t>
            </w:r>
            <w:r>
              <w:rPr>
                <w:rFonts w:cs="Times New Roman"/>
                <w:sz w:val="20"/>
                <w:szCs w:val="20"/>
              </w:rPr>
              <w:t>Grouse</w:t>
            </w:r>
          </w:p>
        </w:tc>
        <w:tc>
          <w:tcPr>
            <w:tcW w:w="7105" w:type="dxa"/>
            <w:vAlign w:val="center"/>
          </w:tcPr>
          <w:p w14:paraId="0852927B" w14:textId="151FD136" w:rsidR="0022512C" w:rsidRPr="00CA1A04" w:rsidRDefault="00EC707B">
            <w:pPr>
              <w:spacing w:before="60" w:after="60"/>
              <w:rPr>
                <w:rFonts w:cs="Times New Roman"/>
                <w:sz w:val="20"/>
                <w:szCs w:val="20"/>
              </w:rPr>
            </w:pPr>
            <w:r>
              <w:rPr>
                <w:rFonts w:cs="Times New Roman"/>
                <w:sz w:val="20"/>
                <w:szCs w:val="20"/>
              </w:rPr>
              <w:t xml:space="preserve">The nearest </w:t>
            </w:r>
            <w:r w:rsidR="000F50E1">
              <w:rPr>
                <w:rFonts w:cs="Times New Roman"/>
                <w:sz w:val="20"/>
                <w:szCs w:val="20"/>
              </w:rPr>
              <w:t>identified greater sage-grouse (</w:t>
            </w:r>
            <w:r w:rsidR="009316D0" w:rsidRPr="00CB2293">
              <w:rPr>
                <w:rFonts w:cs="Times New Roman"/>
                <w:i/>
                <w:sz w:val="20"/>
                <w:szCs w:val="20"/>
              </w:rPr>
              <w:t>Centrocercus urophasianus</w:t>
            </w:r>
            <w:r w:rsidR="009316D0">
              <w:rPr>
                <w:rFonts w:cs="Times New Roman"/>
                <w:sz w:val="20"/>
                <w:szCs w:val="20"/>
              </w:rPr>
              <w:t xml:space="preserve">) </w:t>
            </w:r>
            <w:r w:rsidR="00B81E5B">
              <w:rPr>
                <w:rFonts w:cs="Times New Roman"/>
                <w:sz w:val="20"/>
                <w:szCs w:val="20"/>
              </w:rPr>
              <w:t xml:space="preserve">habitat is located </w:t>
            </w:r>
            <w:r w:rsidR="69614A2A" w:rsidRPr="6DFBB204">
              <w:rPr>
                <w:rFonts w:cs="Times New Roman"/>
                <w:sz w:val="20"/>
                <w:szCs w:val="20"/>
              </w:rPr>
              <w:t>4.9</w:t>
            </w:r>
            <w:r w:rsidR="00B81E5B">
              <w:rPr>
                <w:rFonts w:cs="Times New Roman"/>
                <w:sz w:val="20"/>
                <w:szCs w:val="20"/>
              </w:rPr>
              <w:t xml:space="preserve"> miles </w:t>
            </w:r>
            <w:r w:rsidR="119E60FF" w:rsidRPr="7017EF26">
              <w:rPr>
                <w:rFonts w:cs="Times New Roman"/>
                <w:sz w:val="20"/>
                <w:szCs w:val="20"/>
              </w:rPr>
              <w:t>northwest</w:t>
            </w:r>
            <w:r w:rsidR="00EA612E">
              <w:rPr>
                <w:rFonts w:cs="Times New Roman"/>
                <w:sz w:val="20"/>
                <w:szCs w:val="20"/>
              </w:rPr>
              <w:t xml:space="preserve"> of</w:t>
            </w:r>
            <w:r w:rsidR="00C52C3F">
              <w:rPr>
                <w:rFonts w:cs="Times New Roman"/>
                <w:sz w:val="20"/>
                <w:szCs w:val="20"/>
              </w:rPr>
              <w:t xml:space="preserve"> </w:t>
            </w:r>
            <w:r w:rsidR="003D3BB5">
              <w:rPr>
                <w:rFonts w:cs="Times New Roman"/>
                <w:sz w:val="20"/>
                <w:szCs w:val="20"/>
              </w:rPr>
              <w:t xml:space="preserve">parcel </w:t>
            </w:r>
            <w:r w:rsidR="4625FF9F" w:rsidRPr="6ADD06CE">
              <w:rPr>
                <w:rFonts w:cs="Times New Roman"/>
                <w:sz w:val="20"/>
                <w:szCs w:val="20"/>
              </w:rPr>
              <w:t>1551</w:t>
            </w:r>
            <w:r w:rsidR="00633331">
              <w:rPr>
                <w:rFonts w:cs="Times New Roman"/>
                <w:sz w:val="20"/>
                <w:szCs w:val="20"/>
              </w:rPr>
              <w:t xml:space="preserve"> therefore </w:t>
            </w:r>
            <w:r w:rsidR="009C1C2D">
              <w:rPr>
                <w:rFonts w:cs="Times New Roman"/>
                <w:sz w:val="20"/>
                <w:szCs w:val="20"/>
              </w:rPr>
              <w:t xml:space="preserve">there are no </w:t>
            </w:r>
            <w:r w:rsidR="00ED5FD3">
              <w:rPr>
                <w:rFonts w:cs="Times New Roman"/>
                <w:sz w:val="20"/>
                <w:szCs w:val="20"/>
              </w:rPr>
              <w:t xml:space="preserve">specific </w:t>
            </w:r>
            <w:r w:rsidR="009C1C2D">
              <w:rPr>
                <w:rFonts w:cs="Times New Roman"/>
                <w:sz w:val="20"/>
                <w:szCs w:val="20"/>
              </w:rPr>
              <w:t xml:space="preserve">issues </w:t>
            </w:r>
            <w:r w:rsidR="00EF5389">
              <w:rPr>
                <w:rFonts w:cs="Times New Roman"/>
                <w:sz w:val="20"/>
                <w:szCs w:val="20"/>
              </w:rPr>
              <w:t xml:space="preserve">associated with </w:t>
            </w:r>
            <w:r w:rsidR="00ED5FD3">
              <w:rPr>
                <w:rFonts w:cs="Times New Roman"/>
                <w:sz w:val="20"/>
                <w:szCs w:val="20"/>
              </w:rPr>
              <w:t xml:space="preserve">greater sage-grouse. </w:t>
            </w:r>
          </w:p>
        </w:tc>
      </w:tr>
      <w:tr w:rsidR="0022512C" w:rsidRPr="00AA422B" w14:paraId="2D0DB56D" w14:textId="77777777" w:rsidTr="00195E97">
        <w:trPr>
          <w:cantSplit/>
        </w:trPr>
        <w:tc>
          <w:tcPr>
            <w:tcW w:w="2245" w:type="dxa"/>
          </w:tcPr>
          <w:p w14:paraId="11389AFB" w14:textId="702E2C7C" w:rsidR="0022512C" w:rsidRDefault="00BC2106">
            <w:pPr>
              <w:spacing w:before="60" w:after="60"/>
              <w:rPr>
                <w:rFonts w:cs="Times New Roman"/>
                <w:sz w:val="20"/>
                <w:szCs w:val="20"/>
              </w:rPr>
            </w:pPr>
            <w:r>
              <w:rPr>
                <w:rFonts w:cs="Times New Roman"/>
                <w:sz w:val="20"/>
                <w:szCs w:val="20"/>
              </w:rPr>
              <w:t>Lands</w:t>
            </w:r>
            <w:r w:rsidR="003413DE">
              <w:rPr>
                <w:rFonts w:cs="Times New Roman"/>
                <w:sz w:val="20"/>
                <w:szCs w:val="20"/>
              </w:rPr>
              <w:t>,</w:t>
            </w:r>
            <w:r w:rsidR="003413DE">
              <w:rPr>
                <w:rFonts w:cs="Times New Roman"/>
              </w:rPr>
              <w:t xml:space="preserve"> Access,</w:t>
            </w:r>
            <w:r>
              <w:rPr>
                <w:rFonts w:cs="Times New Roman"/>
                <w:sz w:val="20"/>
                <w:szCs w:val="20"/>
              </w:rPr>
              <w:t xml:space="preserve"> and Realty</w:t>
            </w:r>
          </w:p>
        </w:tc>
        <w:tc>
          <w:tcPr>
            <w:tcW w:w="7105" w:type="dxa"/>
            <w:vAlign w:val="center"/>
          </w:tcPr>
          <w:p w14:paraId="439E5AC9" w14:textId="67012082" w:rsidR="0022512C" w:rsidRPr="00CA1A04" w:rsidRDefault="008A43EC">
            <w:pPr>
              <w:spacing w:before="60" w:after="60"/>
              <w:rPr>
                <w:rFonts w:cs="Times New Roman"/>
                <w:sz w:val="20"/>
                <w:szCs w:val="20"/>
              </w:rPr>
            </w:pPr>
            <w:r>
              <w:rPr>
                <w:rStyle w:val="normaltextrun"/>
                <w:color w:val="000000"/>
                <w:sz w:val="20"/>
                <w:szCs w:val="20"/>
                <w:bdr w:val="none" w:sz="0" w:space="0" w:color="auto" w:frame="1"/>
              </w:rPr>
              <w:t>P</w:t>
            </w:r>
            <w:r w:rsidR="00BC2106">
              <w:rPr>
                <w:rStyle w:val="normaltextrun"/>
                <w:color w:val="000000"/>
                <w:sz w:val="20"/>
                <w:szCs w:val="20"/>
                <w:bdr w:val="none" w:sz="0" w:space="0" w:color="auto" w:frame="1"/>
              </w:rPr>
              <w:t>otential development of the nominated lease parcels would be subject to existing land rights and interests (e.g., easements and water rights). Any potential land use conflicts would be resolved through other processes, such as administrative or legal proceedings, independent from this NEPA review.</w:t>
            </w:r>
            <w:r w:rsidR="00292A8A">
              <w:rPr>
                <w:rStyle w:val="normaltextrun"/>
                <w:color w:val="000000"/>
                <w:sz w:val="20"/>
                <w:szCs w:val="20"/>
                <w:bdr w:val="none" w:sz="0" w:space="0" w:color="auto" w:frame="1"/>
              </w:rPr>
              <w:t xml:space="preserve"> </w:t>
            </w:r>
            <w:r w:rsidR="0082354F">
              <w:rPr>
                <w:rStyle w:val="normaltextrun"/>
                <w:color w:val="000000"/>
                <w:sz w:val="20"/>
                <w:szCs w:val="20"/>
                <w:bdr w:val="none" w:sz="0" w:space="0" w:color="auto" w:frame="1"/>
              </w:rPr>
              <w:t>P</w:t>
            </w:r>
            <w:r w:rsidR="0082354F">
              <w:rPr>
                <w:rStyle w:val="normaltextrun"/>
                <w:sz w:val="20"/>
                <w:szCs w:val="20"/>
                <w:bdr w:val="none" w:sz="0" w:space="0" w:color="auto" w:frame="1"/>
              </w:rPr>
              <w:t xml:space="preserve">ublic </w:t>
            </w:r>
            <w:r w:rsidR="0082354F">
              <w:rPr>
                <w:rStyle w:val="normaltextrun"/>
                <w:color w:val="000000"/>
                <w:sz w:val="20"/>
                <w:szCs w:val="20"/>
                <w:bdr w:val="none" w:sz="0" w:space="0" w:color="auto" w:frame="1"/>
              </w:rPr>
              <w:t>a</w:t>
            </w:r>
            <w:r w:rsidR="00292A8A">
              <w:rPr>
                <w:rStyle w:val="normaltextrun"/>
                <w:color w:val="000000"/>
                <w:sz w:val="20"/>
                <w:szCs w:val="20"/>
                <w:bdr w:val="none" w:sz="0" w:space="0" w:color="auto" w:frame="1"/>
              </w:rPr>
              <w:t xml:space="preserve">ccess to the area would not </w:t>
            </w:r>
            <w:r w:rsidR="003413DE">
              <w:rPr>
                <w:rStyle w:val="normaltextrun"/>
                <w:color w:val="000000"/>
                <w:sz w:val="20"/>
                <w:szCs w:val="20"/>
                <w:bdr w:val="none" w:sz="0" w:space="0" w:color="auto" w:frame="1"/>
              </w:rPr>
              <w:t xml:space="preserve">be </w:t>
            </w:r>
            <w:r w:rsidR="00905A31">
              <w:rPr>
                <w:rStyle w:val="normaltextrun"/>
                <w:color w:val="000000"/>
                <w:sz w:val="20"/>
                <w:szCs w:val="20"/>
                <w:bdr w:val="none" w:sz="0" w:space="0" w:color="auto" w:frame="1"/>
              </w:rPr>
              <w:t>c</w:t>
            </w:r>
            <w:r w:rsidR="00905A31">
              <w:rPr>
                <w:rStyle w:val="normaltextrun"/>
                <w:sz w:val="20"/>
                <w:szCs w:val="20"/>
                <w:bdr w:val="none" w:sz="0" w:space="0" w:color="auto" w:frame="1"/>
              </w:rPr>
              <w:t xml:space="preserve">hanged </w:t>
            </w:r>
            <w:r w:rsidR="003E1105">
              <w:rPr>
                <w:rStyle w:val="normaltextrun"/>
                <w:sz w:val="20"/>
                <w:szCs w:val="20"/>
                <w:bdr w:val="none" w:sz="0" w:space="0" w:color="auto" w:frame="1"/>
              </w:rPr>
              <w:t>by new</w:t>
            </w:r>
            <w:r w:rsidR="00ED11E5">
              <w:rPr>
                <w:rStyle w:val="normaltextrun"/>
                <w:color w:val="000000"/>
                <w:sz w:val="20"/>
                <w:szCs w:val="20"/>
                <w:bdr w:val="none" w:sz="0" w:space="0" w:color="auto" w:frame="1"/>
              </w:rPr>
              <w:t xml:space="preserve"> roads </w:t>
            </w:r>
            <w:r w:rsidR="00754DF5">
              <w:rPr>
                <w:rStyle w:val="normaltextrun"/>
                <w:color w:val="000000"/>
                <w:sz w:val="20"/>
                <w:szCs w:val="20"/>
                <w:bdr w:val="none" w:sz="0" w:space="0" w:color="auto" w:frame="1"/>
              </w:rPr>
              <w:t>constructed for oil and gas development and production</w:t>
            </w:r>
            <w:r w:rsidR="00320144">
              <w:rPr>
                <w:rStyle w:val="normaltextrun"/>
                <w:color w:val="000000"/>
                <w:sz w:val="20"/>
                <w:szCs w:val="20"/>
                <w:bdr w:val="none" w:sz="0" w:space="0" w:color="auto" w:frame="1"/>
              </w:rPr>
              <w:t>. These roads are</w:t>
            </w:r>
            <w:r w:rsidR="00754DF5">
              <w:rPr>
                <w:rStyle w:val="normaltextrun"/>
                <w:color w:val="000000"/>
                <w:sz w:val="20"/>
                <w:szCs w:val="20"/>
                <w:bdr w:val="none" w:sz="0" w:space="0" w:color="auto" w:frame="1"/>
              </w:rPr>
              <w:t xml:space="preserve"> </w:t>
            </w:r>
            <w:r w:rsidR="006B5FC7">
              <w:rPr>
                <w:rStyle w:val="normaltextrun"/>
                <w:color w:val="000000"/>
                <w:sz w:val="20"/>
                <w:szCs w:val="20"/>
                <w:bdr w:val="none" w:sz="0" w:space="0" w:color="auto" w:frame="1"/>
              </w:rPr>
              <w:t>e</w:t>
            </w:r>
            <w:r w:rsidR="006B5FC7">
              <w:rPr>
                <w:rStyle w:val="normaltextrun"/>
                <w:sz w:val="20"/>
                <w:szCs w:val="20"/>
                <w:bdr w:val="none" w:sz="0" w:space="0" w:color="auto" w:frame="1"/>
              </w:rPr>
              <w:t xml:space="preserve">xclusively for </w:t>
            </w:r>
            <w:r w:rsidR="00732758">
              <w:rPr>
                <w:rStyle w:val="normaltextrun"/>
                <w:sz w:val="20"/>
                <w:szCs w:val="20"/>
                <w:bdr w:val="none" w:sz="0" w:space="0" w:color="auto" w:frame="1"/>
              </w:rPr>
              <w:t xml:space="preserve">industry use and are </w:t>
            </w:r>
            <w:r w:rsidR="00754DF5">
              <w:rPr>
                <w:rStyle w:val="normaltextrun"/>
                <w:color w:val="000000"/>
                <w:sz w:val="20"/>
                <w:szCs w:val="20"/>
                <w:bdr w:val="none" w:sz="0" w:space="0" w:color="auto" w:frame="1"/>
              </w:rPr>
              <w:t xml:space="preserve">not </w:t>
            </w:r>
            <w:r w:rsidR="00732758">
              <w:rPr>
                <w:rStyle w:val="normaltextrun"/>
                <w:color w:val="000000"/>
                <w:sz w:val="20"/>
                <w:szCs w:val="20"/>
                <w:bdr w:val="none" w:sz="0" w:space="0" w:color="auto" w:frame="1"/>
              </w:rPr>
              <w:t>d</w:t>
            </w:r>
            <w:r w:rsidR="00732758">
              <w:rPr>
                <w:rStyle w:val="normaltextrun"/>
                <w:sz w:val="20"/>
                <w:szCs w:val="20"/>
                <w:bdr w:val="none" w:sz="0" w:space="0" w:color="auto" w:frame="1"/>
              </w:rPr>
              <w:t xml:space="preserve">esignated as </w:t>
            </w:r>
            <w:r w:rsidR="00320144">
              <w:rPr>
                <w:rStyle w:val="normaltextrun"/>
                <w:color w:val="000000"/>
                <w:sz w:val="20"/>
                <w:szCs w:val="20"/>
                <w:bdr w:val="none" w:sz="0" w:space="0" w:color="auto" w:frame="1"/>
              </w:rPr>
              <w:t>open</w:t>
            </w:r>
            <w:r w:rsidR="00754DF5">
              <w:rPr>
                <w:rStyle w:val="normaltextrun"/>
                <w:color w:val="000000"/>
                <w:sz w:val="20"/>
                <w:szCs w:val="20"/>
                <w:bdr w:val="none" w:sz="0" w:space="0" w:color="auto" w:frame="1"/>
              </w:rPr>
              <w:t xml:space="preserve"> for </w:t>
            </w:r>
            <w:r w:rsidR="007D23BD">
              <w:rPr>
                <w:rStyle w:val="normaltextrun"/>
                <w:color w:val="000000"/>
                <w:sz w:val="20"/>
                <w:szCs w:val="20"/>
                <w:bdr w:val="none" w:sz="0" w:space="0" w:color="auto" w:frame="1"/>
              </w:rPr>
              <w:t>public use</w:t>
            </w:r>
            <w:r w:rsidR="00007CD1">
              <w:rPr>
                <w:rStyle w:val="normaltextrun"/>
                <w:color w:val="000000"/>
                <w:sz w:val="20"/>
                <w:szCs w:val="20"/>
                <w:bdr w:val="none" w:sz="0" w:space="0" w:color="auto" w:frame="1"/>
              </w:rPr>
              <w:t>.</w:t>
            </w:r>
          </w:p>
        </w:tc>
      </w:tr>
      <w:tr w:rsidR="0022512C" w:rsidRPr="00AA422B" w14:paraId="34FCAD02" w14:textId="77777777" w:rsidTr="00195E97">
        <w:trPr>
          <w:cantSplit/>
        </w:trPr>
        <w:tc>
          <w:tcPr>
            <w:tcW w:w="2245" w:type="dxa"/>
          </w:tcPr>
          <w:p w14:paraId="170A6CB3" w14:textId="3DCC5D60" w:rsidR="0022512C" w:rsidRDefault="00597A50">
            <w:pPr>
              <w:spacing w:before="60" w:after="60"/>
              <w:rPr>
                <w:rFonts w:cs="Times New Roman"/>
                <w:sz w:val="20"/>
                <w:szCs w:val="20"/>
              </w:rPr>
            </w:pPr>
            <w:r w:rsidRPr="002159F0">
              <w:rPr>
                <w:rFonts w:eastAsia="Calibri" w:cs="Times New Roman"/>
                <w:sz w:val="20"/>
                <w:szCs w:val="20"/>
              </w:rPr>
              <w:t>Woodland and Forest Resources</w:t>
            </w:r>
          </w:p>
        </w:tc>
        <w:tc>
          <w:tcPr>
            <w:tcW w:w="7105" w:type="dxa"/>
            <w:vAlign w:val="center"/>
          </w:tcPr>
          <w:p w14:paraId="05F8CDD2" w14:textId="7C9CE9D6" w:rsidR="0022512C" w:rsidRPr="00CA1A04" w:rsidRDefault="00497410">
            <w:pPr>
              <w:spacing w:before="60" w:after="60"/>
              <w:rPr>
                <w:rFonts w:cs="Times New Roman"/>
                <w:sz w:val="20"/>
                <w:szCs w:val="20"/>
              </w:rPr>
            </w:pPr>
            <w:r>
              <w:rPr>
                <w:rFonts w:cs="Times New Roman"/>
                <w:sz w:val="20"/>
                <w:szCs w:val="20"/>
              </w:rPr>
              <w:t>There are no woodland or forest resources on the nominated lease parcels</w:t>
            </w:r>
            <w:r w:rsidR="00F200A6">
              <w:rPr>
                <w:rFonts w:cs="Times New Roman"/>
                <w:sz w:val="20"/>
                <w:szCs w:val="20"/>
              </w:rPr>
              <w:t xml:space="preserve"> therefore there are no issues for analysis associated with these resources.</w:t>
            </w:r>
          </w:p>
        </w:tc>
      </w:tr>
      <w:tr w:rsidR="0022512C" w:rsidRPr="00AA422B" w14:paraId="4A169FC9" w14:textId="77777777" w:rsidTr="00195E97">
        <w:trPr>
          <w:cantSplit/>
        </w:trPr>
        <w:tc>
          <w:tcPr>
            <w:tcW w:w="2245" w:type="dxa"/>
          </w:tcPr>
          <w:p w14:paraId="4B3667C3" w14:textId="7365EAE5" w:rsidR="0022512C" w:rsidRPr="00B40C55" w:rsidRDefault="004C503C">
            <w:pPr>
              <w:spacing w:before="60" w:after="60"/>
              <w:rPr>
                <w:rFonts w:cs="Times New Roman"/>
                <w:sz w:val="20"/>
                <w:szCs w:val="20"/>
              </w:rPr>
            </w:pPr>
            <w:r w:rsidRPr="00B40C55">
              <w:rPr>
                <w:rFonts w:cs="Times New Roman"/>
                <w:sz w:val="20"/>
                <w:szCs w:val="20"/>
              </w:rPr>
              <w:t>F</w:t>
            </w:r>
            <w:r w:rsidRPr="006210EE">
              <w:rPr>
                <w:rFonts w:cs="Times New Roman"/>
                <w:sz w:val="20"/>
                <w:szCs w:val="20"/>
              </w:rPr>
              <w:t>uels and Fire Management</w:t>
            </w:r>
          </w:p>
        </w:tc>
        <w:tc>
          <w:tcPr>
            <w:tcW w:w="7105" w:type="dxa"/>
            <w:vAlign w:val="center"/>
          </w:tcPr>
          <w:p w14:paraId="013785DA" w14:textId="7CCD7E3C" w:rsidR="0022512C" w:rsidRPr="00CA1A04" w:rsidRDefault="002465EA">
            <w:pPr>
              <w:spacing w:before="60" w:after="60"/>
              <w:rPr>
                <w:rFonts w:cs="Times New Roman"/>
                <w:sz w:val="20"/>
                <w:szCs w:val="20"/>
              </w:rPr>
            </w:pPr>
            <w:r>
              <w:rPr>
                <w:rStyle w:val="normaltextrun"/>
                <w:color w:val="000000"/>
                <w:sz w:val="20"/>
                <w:szCs w:val="20"/>
                <w:shd w:val="clear" w:color="auto" w:fill="FFFFFF"/>
              </w:rPr>
              <w:t>The potential for ignition of wildland fire from activities associated with future potential development of the nominated lease parcels would be minimized to the extent practicable through adherence to all applicable federal, state, and local fire safety requirements. No specific concerns or conflicts were identified through internal scoping relating to the effects of future potential development following leasing on fuels and fire management.</w:t>
            </w:r>
            <w:r>
              <w:rPr>
                <w:rStyle w:val="eop"/>
                <w:color w:val="000000"/>
                <w:sz w:val="20"/>
                <w:szCs w:val="20"/>
                <w:shd w:val="clear" w:color="auto" w:fill="FFFFFF"/>
              </w:rPr>
              <w:t> </w:t>
            </w:r>
          </w:p>
        </w:tc>
      </w:tr>
      <w:tr w:rsidR="00DD33B6" w:rsidRPr="00AA422B" w14:paraId="140AC88D" w14:textId="77777777" w:rsidTr="00195E97">
        <w:trPr>
          <w:cantSplit/>
        </w:trPr>
        <w:tc>
          <w:tcPr>
            <w:tcW w:w="2245" w:type="dxa"/>
          </w:tcPr>
          <w:p w14:paraId="6F0F15FF" w14:textId="1BBD8F89" w:rsidR="00DD33B6" w:rsidRDefault="00DD33B6">
            <w:pPr>
              <w:spacing w:before="60" w:after="60"/>
              <w:rPr>
                <w:rFonts w:cs="Times New Roman"/>
                <w:sz w:val="20"/>
                <w:szCs w:val="20"/>
              </w:rPr>
            </w:pPr>
            <w:r>
              <w:rPr>
                <w:rFonts w:cs="Times New Roman"/>
                <w:sz w:val="20"/>
                <w:szCs w:val="20"/>
              </w:rPr>
              <w:t>Travel and Transportation Management</w:t>
            </w:r>
          </w:p>
        </w:tc>
        <w:tc>
          <w:tcPr>
            <w:tcW w:w="7105" w:type="dxa"/>
            <w:vAlign w:val="center"/>
          </w:tcPr>
          <w:p w14:paraId="30CBC329" w14:textId="360E99F3" w:rsidR="00DD33B6" w:rsidRDefault="00B35973">
            <w:pPr>
              <w:spacing w:before="60" w:after="60"/>
              <w:rPr>
                <w:rStyle w:val="normaltextrun"/>
                <w:color w:val="000000"/>
                <w:sz w:val="20"/>
                <w:szCs w:val="20"/>
                <w:shd w:val="clear" w:color="auto" w:fill="FFFFFF"/>
              </w:rPr>
            </w:pPr>
            <w:r>
              <w:rPr>
                <w:rStyle w:val="normaltextrun"/>
                <w:color w:val="000000"/>
                <w:sz w:val="20"/>
                <w:szCs w:val="20"/>
                <w:shd w:val="clear" w:color="auto" w:fill="FFFFFF"/>
              </w:rPr>
              <w:t>Leasing and potential development</w:t>
            </w:r>
            <w:r w:rsidR="009D181E" w:rsidRPr="009D181E">
              <w:rPr>
                <w:rStyle w:val="normaltextrun"/>
                <w:color w:val="000000"/>
                <w:sz w:val="20"/>
                <w:szCs w:val="20"/>
                <w:shd w:val="clear" w:color="auto" w:fill="FFFFFF"/>
              </w:rPr>
              <w:t xml:space="preserve"> of </w:t>
            </w:r>
            <w:r>
              <w:rPr>
                <w:rStyle w:val="normaltextrun"/>
                <w:color w:val="000000"/>
                <w:sz w:val="20"/>
                <w:szCs w:val="20"/>
                <w:shd w:val="clear" w:color="auto" w:fill="FFFFFF"/>
              </w:rPr>
              <w:t>the nominated lease</w:t>
            </w:r>
            <w:r w:rsidR="009D181E" w:rsidRPr="009D181E">
              <w:rPr>
                <w:rStyle w:val="normaltextrun"/>
                <w:color w:val="000000"/>
                <w:sz w:val="20"/>
                <w:szCs w:val="20"/>
                <w:shd w:val="clear" w:color="auto" w:fill="FFFFFF"/>
              </w:rPr>
              <w:t xml:space="preserve"> parcels would not affect the status</w:t>
            </w:r>
            <w:r w:rsidR="008A51A0">
              <w:rPr>
                <w:rStyle w:val="normaltextrun"/>
                <w:color w:val="000000"/>
                <w:sz w:val="20"/>
                <w:szCs w:val="20"/>
                <w:shd w:val="clear" w:color="auto" w:fill="FFFFFF"/>
              </w:rPr>
              <w:t xml:space="preserve"> (i.e., </w:t>
            </w:r>
            <w:r w:rsidR="00972FBE">
              <w:rPr>
                <w:rStyle w:val="normaltextrun"/>
                <w:color w:val="000000"/>
                <w:sz w:val="20"/>
                <w:szCs w:val="20"/>
                <w:shd w:val="clear" w:color="auto" w:fill="FFFFFF"/>
              </w:rPr>
              <w:t>OHV-</w:t>
            </w:r>
            <w:r w:rsidR="006360FE">
              <w:rPr>
                <w:rStyle w:val="normaltextrun"/>
                <w:color w:val="000000"/>
                <w:sz w:val="20"/>
                <w:szCs w:val="20"/>
                <w:shd w:val="clear" w:color="auto" w:fill="FFFFFF"/>
              </w:rPr>
              <w:t>O</w:t>
            </w:r>
            <w:r w:rsidR="008A51A0">
              <w:rPr>
                <w:rStyle w:val="normaltextrun"/>
                <w:color w:val="000000"/>
                <w:sz w:val="20"/>
                <w:szCs w:val="20"/>
                <w:shd w:val="clear" w:color="auto" w:fill="FFFFFF"/>
              </w:rPr>
              <w:t xml:space="preserve">pen, </w:t>
            </w:r>
            <w:r w:rsidR="006360FE">
              <w:rPr>
                <w:rStyle w:val="normaltextrun"/>
                <w:color w:val="000000"/>
                <w:sz w:val="20"/>
                <w:szCs w:val="20"/>
                <w:shd w:val="clear" w:color="auto" w:fill="FFFFFF"/>
              </w:rPr>
              <w:t>OHV-</w:t>
            </w:r>
            <w:r w:rsidR="005C0370">
              <w:rPr>
                <w:rStyle w:val="normaltextrun"/>
                <w:color w:val="000000"/>
                <w:sz w:val="20"/>
                <w:szCs w:val="20"/>
                <w:shd w:val="clear" w:color="auto" w:fill="FFFFFF"/>
              </w:rPr>
              <w:t>C</w:t>
            </w:r>
            <w:r w:rsidR="008A51A0">
              <w:rPr>
                <w:rStyle w:val="normaltextrun"/>
                <w:color w:val="000000"/>
                <w:sz w:val="20"/>
                <w:szCs w:val="20"/>
                <w:shd w:val="clear" w:color="auto" w:fill="FFFFFF"/>
              </w:rPr>
              <w:t xml:space="preserve">losed, </w:t>
            </w:r>
            <w:r w:rsidR="005C0370">
              <w:rPr>
                <w:rStyle w:val="normaltextrun"/>
                <w:color w:val="000000"/>
                <w:sz w:val="20"/>
                <w:szCs w:val="20"/>
                <w:shd w:val="clear" w:color="auto" w:fill="FFFFFF"/>
              </w:rPr>
              <w:t>OHV-L</w:t>
            </w:r>
            <w:r w:rsidR="008A51A0">
              <w:rPr>
                <w:rStyle w:val="normaltextrun"/>
                <w:color w:val="000000"/>
                <w:sz w:val="20"/>
                <w:szCs w:val="20"/>
                <w:shd w:val="clear" w:color="auto" w:fill="FFFFFF"/>
              </w:rPr>
              <w:t>imited)</w:t>
            </w:r>
            <w:r w:rsidR="009D181E" w:rsidRPr="009D181E">
              <w:rPr>
                <w:rStyle w:val="normaltextrun"/>
                <w:color w:val="000000"/>
                <w:sz w:val="20"/>
                <w:szCs w:val="20"/>
                <w:shd w:val="clear" w:color="auto" w:fill="FFFFFF"/>
              </w:rPr>
              <w:t xml:space="preserve"> of any routes designated by the BLM.</w:t>
            </w:r>
            <w:r w:rsidR="00E11895">
              <w:rPr>
                <w:rStyle w:val="normaltextrun"/>
                <w:color w:val="000000"/>
                <w:sz w:val="20"/>
                <w:szCs w:val="20"/>
                <w:shd w:val="clear" w:color="auto" w:fill="FFFFFF"/>
              </w:rPr>
              <w:t xml:space="preserve"> </w:t>
            </w:r>
            <w:r w:rsidR="00526DF7">
              <w:rPr>
                <w:rStyle w:val="normaltextrun"/>
                <w:color w:val="000000"/>
                <w:sz w:val="20"/>
                <w:szCs w:val="20"/>
                <w:shd w:val="clear" w:color="auto" w:fill="FFFFFF"/>
              </w:rPr>
              <w:t xml:space="preserve">New roads may be constructed and maintained for </w:t>
            </w:r>
            <w:r w:rsidR="00855128">
              <w:rPr>
                <w:rStyle w:val="normaltextrun"/>
                <w:color w:val="000000"/>
                <w:sz w:val="20"/>
                <w:szCs w:val="20"/>
                <w:shd w:val="clear" w:color="auto" w:fill="FFFFFF"/>
              </w:rPr>
              <w:t xml:space="preserve">purposes of oil and gas activities. However, these roads would not be available for public use. </w:t>
            </w:r>
            <w:r w:rsidR="00E620A2">
              <w:rPr>
                <w:rStyle w:val="normaltextrun"/>
                <w:color w:val="000000"/>
                <w:sz w:val="20"/>
                <w:szCs w:val="20"/>
                <w:shd w:val="clear" w:color="auto" w:fill="FFFFFF"/>
              </w:rPr>
              <w:t xml:space="preserve">Existing roads that are available for public use would continue to be available for this use regardless of </w:t>
            </w:r>
            <w:r w:rsidR="00EB0E63">
              <w:rPr>
                <w:rStyle w:val="normaltextrun"/>
                <w:color w:val="000000"/>
                <w:sz w:val="20"/>
                <w:szCs w:val="20"/>
                <w:shd w:val="clear" w:color="auto" w:fill="FFFFFF"/>
              </w:rPr>
              <w:t>leasing and potential development</w:t>
            </w:r>
            <w:r w:rsidR="009D181E" w:rsidRPr="009D181E">
              <w:rPr>
                <w:rStyle w:val="normaltextrun"/>
                <w:color w:val="000000"/>
                <w:sz w:val="20"/>
                <w:szCs w:val="20"/>
                <w:shd w:val="clear" w:color="auto" w:fill="FFFFFF"/>
              </w:rPr>
              <w:t>.</w:t>
            </w:r>
          </w:p>
        </w:tc>
      </w:tr>
    </w:tbl>
    <w:p w14:paraId="20AAADB3" w14:textId="3CA72608" w:rsidR="004E68A8" w:rsidRPr="004E68A8" w:rsidRDefault="004E68A8" w:rsidP="004E68A8">
      <w:pPr>
        <w:pStyle w:val="Heading2"/>
        <w:rPr>
          <w:rFonts w:hint="eastAsia"/>
        </w:rPr>
      </w:pPr>
      <w:bookmarkStart w:id="46" w:name="_Toc163734171"/>
      <w:bookmarkStart w:id="47" w:name="_Toc179464227"/>
      <w:bookmarkStart w:id="48" w:name="_Toc170114882"/>
      <w:r w:rsidRPr="004E68A8">
        <w:t>Public Protest Period</w:t>
      </w:r>
      <w:bookmarkEnd w:id="46"/>
      <w:bookmarkEnd w:id="47"/>
      <w:bookmarkEnd w:id="48"/>
    </w:p>
    <w:p w14:paraId="2D80E914" w14:textId="1A3BEF6D" w:rsidR="00F07165" w:rsidRDefault="004E68A8" w:rsidP="00CE5580">
      <w:pPr>
        <w:pStyle w:val="BodyText"/>
        <w:rPr>
          <w:shd w:val="clear" w:color="auto" w:fill="FFFFFF"/>
        </w:rPr>
      </w:pPr>
      <w:r w:rsidRPr="00C65ABF">
        <w:rPr>
          <w:shd w:val="clear" w:color="auto" w:fill="FFFFFF"/>
        </w:rPr>
        <w:t xml:space="preserve">In compliance with BLM IM 2023-010 </w:t>
      </w:r>
      <w:r w:rsidRPr="00246678">
        <w:rPr>
          <w:shd w:val="clear" w:color="auto" w:fill="FFFFFF"/>
        </w:rPr>
        <w:t xml:space="preserve">and </w:t>
      </w:r>
      <w:r w:rsidRPr="002F3BF4">
        <w:rPr>
          <w:rStyle w:val="cf01"/>
          <w:rFonts w:ascii="Times New Roman" w:hAnsi="Times New Roman" w:cs="Times New Roman"/>
          <w:sz w:val="22"/>
          <w:szCs w:val="22"/>
        </w:rPr>
        <w:t xml:space="preserve">43 CFR 3120.1-3, </w:t>
      </w:r>
      <w:r w:rsidRPr="00C65ABF">
        <w:rPr>
          <w:shd w:val="clear" w:color="auto" w:fill="FFFFFF"/>
        </w:rPr>
        <w:t xml:space="preserve">the Notice of a Competitive Lease Sale (NCLS) </w:t>
      </w:r>
      <w:r w:rsidR="31228332" w:rsidRPr="00C65ABF">
        <w:rPr>
          <w:shd w:val="clear" w:color="auto" w:fill="FFFFFF"/>
        </w:rPr>
        <w:t>will be</w:t>
      </w:r>
      <w:r w:rsidRPr="00C65ABF">
        <w:rPr>
          <w:shd w:val="clear" w:color="auto" w:fill="FFFFFF"/>
        </w:rPr>
        <w:t xml:space="preserve"> made available for a 30-day protest period</w:t>
      </w:r>
      <w:r w:rsidR="00992329">
        <w:rPr>
          <w:shd w:val="clear" w:color="auto" w:fill="FFFFFF"/>
        </w:rPr>
        <w:t>.</w:t>
      </w:r>
      <w:r w:rsidR="00BE1EB9">
        <w:rPr>
          <w:shd w:val="clear" w:color="auto" w:fill="FFFFFF"/>
        </w:rPr>
        <w:t xml:space="preserve"> If the BLM receives </w:t>
      </w:r>
      <w:r w:rsidR="00810DED">
        <w:rPr>
          <w:shd w:val="clear" w:color="auto" w:fill="FFFFFF"/>
        </w:rPr>
        <w:t>timely protests, it will resolve all protests prior to issuing leases related to those protests.</w:t>
      </w:r>
    </w:p>
    <w:p w14:paraId="7BD44E19" w14:textId="77777777" w:rsidR="00F07165" w:rsidRDefault="00F07165">
      <w:pPr>
        <w:spacing w:after="160" w:line="259" w:lineRule="auto"/>
        <w:rPr>
          <w:shd w:val="clear" w:color="auto" w:fill="FFFFFF"/>
        </w:rPr>
      </w:pPr>
      <w:r>
        <w:rPr>
          <w:shd w:val="clear" w:color="auto" w:fill="FFFFFF"/>
        </w:rPr>
        <w:br w:type="page"/>
      </w:r>
    </w:p>
    <w:p w14:paraId="5B8F625E" w14:textId="77777777" w:rsidR="004E68A8" w:rsidRPr="004E68A8" w:rsidRDefault="004E68A8" w:rsidP="004E68A8">
      <w:pPr>
        <w:pStyle w:val="Heading1"/>
        <w:rPr>
          <w:rFonts w:hint="eastAsia"/>
        </w:rPr>
      </w:pPr>
      <w:bookmarkStart w:id="49" w:name="_Toc163734173"/>
      <w:bookmarkStart w:id="50" w:name="_Toc179464228"/>
      <w:bookmarkStart w:id="51" w:name="_Toc170114883"/>
      <w:r w:rsidRPr="004E68A8">
        <w:lastRenderedPageBreak/>
        <w:t>Description of Alternatives</w:t>
      </w:r>
      <w:bookmarkEnd w:id="49"/>
      <w:bookmarkEnd w:id="50"/>
      <w:bookmarkEnd w:id="51"/>
    </w:p>
    <w:p w14:paraId="26BD947B" w14:textId="3FBBF386" w:rsidR="004E68A8" w:rsidRPr="004E68A8" w:rsidRDefault="004E68A8" w:rsidP="004E68A8">
      <w:pPr>
        <w:pStyle w:val="Heading2"/>
        <w:rPr>
          <w:rFonts w:hint="eastAsia"/>
        </w:rPr>
      </w:pPr>
      <w:bookmarkStart w:id="52" w:name="_Toc163734174"/>
      <w:bookmarkStart w:id="53" w:name="_Toc179464229"/>
      <w:bookmarkStart w:id="54" w:name="_Toc170114884"/>
      <w:r w:rsidRPr="004E68A8">
        <w:t>Introduction</w:t>
      </w:r>
      <w:bookmarkEnd w:id="52"/>
      <w:bookmarkEnd w:id="53"/>
      <w:bookmarkEnd w:id="54"/>
    </w:p>
    <w:p w14:paraId="62CA9636" w14:textId="2209A134" w:rsidR="004E68A8" w:rsidRDefault="004E68A8" w:rsidP="004E68A8">
      <w:pPr>
        <w:pStyle w:val="BodyText"/>
        <w:contextualSpacing/>
      </w:pPr>
      <w:r w:rsidRPr="002F5C03">
        <w:t xml:space="preserve">The BLM lease parcels are in Uintah County, between the Green and White Rivers in the central area of the VFO. Parcel 1551 is approximately 2.5 miles east of the Horseshoe </w:t>
      </w:r>
      <w:r w:rsidR="00B502BC">
        <w:t>B</w:t>
      </w:r>
      <w:r w:rsidRPr="002F5C03">
        <w:t xml:space="preserve">end area on the Green River and parcel 7688 is approximately three miles east of the Ouray National Wildlife Refuge boundary. The locations of the nominated lease parcels are depicted in </w:t>
      </w:r>
      <w:r w:rsidRPr="002F5C03">
        <w:rPr>
          <w:color w:val="0070C0"/>
          <w:u w:val="single"/>
        </w:rPr>
        <w:fldChar w:fldCharType="begin"/>
      </w:r>
      <w:r w:rsidRPr="002F5C03">
        <w:rPr>
          <w:color w:val="0070C0"/>
          <w:u w:val="single"/>
        </w:rPr>
        <w:instrText xml:space="preserve"> REF _Ref128865945 \h  \* MERGEFORMAT </w:instrText>
      </w:r>
      <w:r w:rsidRPr="002F5C03">
        <w:rPr>
          <w:color w:val="0070C0"/>
          <w:u w:val="single"/>
        </w:rPr>
      </w:r>
      <w:r w:rsidRPr="002F5C03">
        <w:rPr>
          <w:color w:val="0070C0"/>
          <w:u w:val="single"/>
        </w:rPr>
        <w:fldChar w:fldCharType="separate"/>
      </w:r>
      <w:r w:rsidRPr="002F5C03">
        <w:t>Appendix A. Figures/Maps</w:t>
      </w:r>
      <w:r w:rsidRPr="002F5C03">
        <w:rPr>
          <w:color w:val="0070C0"/>
          <w:u w:val="single"/>
        </w:rPr>
        <w:fldChar w:fldCharType="end"/>
      </w:r>
      <w:r w:rsidRPr="002F5C03">
        <w:t>.</w:t>
      </w:r>
    </w:p>
    <w:p w14:paraId="10F171EF" w14:textId="6FDA7B14" w:rsidR="004E68A8" w:rsidRPr="0072293F" w:rsidRDefault="004E68A8" w:rsidP="004E68A8">
      <w:pPr>
        <w:contextualSpacing/>
      </w:pPr>
      <w:r w:rsidRPr="004178E0">
        <w:t xml:space="preserve">This EA addresses </w:t>
      </w:r>
      <w:r w:rsidR="00D810F4">
        <w:t>two</w:t>
      </w:r>
      <w:r w:rsidR="00D810F4" w:rsidRPr="004178E0">
        <w:t xml:space="preserve"> </w:t>
      </w:r>
      <w:r w:rsidRPr="004178E0">
        <w:t>alternatives</w:t>
      </w:r>
      <w:r>
        <w:t xml:space="preserve"> in detail:</w:t>
      </w:r>
      <w:r w:rsidRPr="004178E0">
        <w:t xml:space="preserve"> </w:t>
      </w:r>
      <w:r>
        <w:t xml:space="preserve">Section </w:t>
      </w:r>
      <w:r>
        <w:fldChar w:fldCharType="begin"/>
      </w:r>
      <w:r>
        <w:instrText xml:space="preserve"> REF _Ref128865394 \h </w:instrText>
      </w:r>
      <w:r>
        <w:fldChar w:fldCharType="separate"/>
      </w:r>
      <w:r>
        <w:t xml:space="preserve">2.2 </w:t>
      </w:r>
      <w:r w:rsidRPr="004E545A">
        <w:t>Alternative</w:t>
      </w:r>
      <w:r w:rsidRPr="006A4A3D">
        <w:t xml:space="preserve"> A – Proposed Action</w:t>
      </w:r>
      <w:r>
        <w:fldChar w:fldCharType="end"/>
      </w:r>
      <w:r w:rsidR="002868C3">
        <w:t>,</w:t>
      </w:r>
      <w:r>
        <w:t xml:space="preserve"> Section</w:t>
      </w:r>
      <w:r w:rsidRPr="004178E0">
        <w:t xml:space="preserve"> </w:t>
      </w:r>
      <w:r>
        <w:fldChar w:fldCharType="begin"/>
      </w:r>
      <w:r>
        <w:instrText xml:space="preserve"> REF _Ref128865443 \h </w:instrText>
      </w:r>
      <w:r>
        <w:fldChar w:fldCharType="separate"/>
      </w:r>
      <w:r>
        <w:t xml:space="preserve">2.3 </w:t>
      </w:r>
      <w:r w:rsidRPr="006A4A3D">
        <w:t>Alternative B –</w:t>
      </w:r>
      <w:r w:rsidR="00D46EEE">
        <w:t xml:space="preserve"> </w:t>
      </w:r>
      <w:r>
        <w:t>No Action</w:t>
      </w:r>
      <w:r w:rsidRPr="006A4A3D">
        <w:t xml:space="preserve"> Alternative</w:t>
      </w:r>
      <w:r>
        <w:fldChar w:fldCharType="end"/>
      </w:r>
      <w:r>
        <w:t>.</w:t>
      </w:r>
      <w:r w:rsidRPr="0072293F">
        <w:t xml:space="preserve"> </w:t>
      </w:r>
    </w:p>
    <w:p w14:paraId="19AC88E9" w14:textId="69E57AF7" w:rsidR="004E68A8" w:rsidRPr="004E68A8" w:rsidRDefault="004E68A8" w:rsidP="004E68A8">
      <w:pPr>
        <w:pStyle w:val="Heading2"/>
        <w:rPr>
          <w:rFonts w:hint="eastAsia"/>
        </w:rPr>
      </w:pPr>
      <w:bookmarkStart w:id="55" w:name="_Ref128865394"/>
      <w:bookmarkStart w:id="56" w:name="_Toc163734175"/>
      <w:bookmarkStart w:id="57" w:name="_Toc179464230"/>
      <w:bookmarkStart w:id="58" w:name="_Toc170114885"/>
      <w:r w:rsidRPr="004E68A8">
        <w:t>Alternative A – Proposed Action</w:t>
      </w:r>
      <w:bookmarkEnd w:id="55"/>
      <w:bookmarkEnd w:id="56"/>
      <w:bookmarkEnd w:id="57"/>
      <w:bookmarkEnd w:id="58"/>
    </w:p>
    <w:p w14:paraId="0B0D1722" w14:textId="1E7F522F" w:rsidR="004E68A8" w:rsidRDefault="004E68A8" w:rsidP="004E68A8">
      <w:bookmarkStart w:id="59" w:name="_1ci93xb" w:colFirst="0" w:colLast="0"/>
      <w:bookmarkEnd w:id="59"/>
      <w:r>
        <w:t xml:space="preserve">Under the Proposed Action, the </w:t>
      </w:r>
      <w:r w:rsidRPr="2D7BA6E0">
        <w:t xml:space="preserve">BLM would offer </w:t>
      </w:r>
      <w:r>
        <w:t xml:space="preserve">for competitive leasing federal minerals associated with the two nominated lease parcels (see </w:t>
      </w:r>
      <w:r>
        <w:rPr>
          <w:color w:val="0070C0"/>
          <w:u w:val="single"/>
        </w:rPr>
        <w:fldChar w:fldCharType="begin"/>
      </w:r>
      <w:r w:rsidRPr="00F622F9">
        <w:rPr>
          <w:color w:val="0070C0"/>
          <w:u w:val="single"/>
        </w:rPr>
        <w:instrText xml:space="preserve"> REF _Ref130559370 \h </w:instrText>
      </w:r>
      <w:r>
        <w:rPr>
          <w:color w:val="0070C0"/>
          <w:u w:val="single"/>
        </w:rPr>
      </w:r>
      <w:r>
        <w:rPr>
          <w:color w:val="0070C0"/>
          <w:u w:val="single"/>
        </w:rPr>
        <w:fldChar w:fldCharType="separate"/>
      </w:r>
      <w:r w:rsidRPr="00737490">
        <w:t xml:space="preserve">Appendix A. </w:t>
      </w:r>
      <w:r>
        <w:t>Figures/Maps</w:t>
      </w:r>
      <w:r>
        <w:fldChar w:fldCharType="end"/>
      </w:r>
      <w:r>
        <w:t xml:space="preserve">). </w:t>
      </w:r>
      <w:r w:rsidRPr="00BE589F">
        <w:t xml:space="preserve">Surface management, the legal land description of the nominated lease parcels </w:t>
      </w:r>
      <w:r>
        <w:t>(</w:t>
      </w:r>
      <w:r w:rsidRPr="00BE589F">
        <w:t xml:space="preserve">totaling </w:t>
      </w:r>
      <w:r w:rsidRPr="00D57775">
        <w:rPr>
          <w:color w:val="000000" w:themeColor="text1"/>
        </w:rPr>
        <w:t>8</w:t>
      </w:r>
      <w:r>
        <w:rPr>
          <w:color w:val="000000" w:themeColor="text1"/>
        </w:rPr>
        <w:t>33.28</w:t>
      </w:r>
      <w:r w:rsidRPr="75303226">
        <w:rPr>
          <w:color w:val="000000" w:themeColor="text1"/>
        </w:rPr>
        <w:t xml:space="preserve"> </w:t>
      </w:r>
      <w:r w:rsidRPr="008376F1">
        <w:t>acres</w:t>
      </w:r>
      <w:r>
        <w:t>),</w:t>
      </w:r>
      <w:r w:rsidRPr="00BE589F">
        <w:t xml:space="preserve"> </w:t>
      </w:r>
      <w:r w:rsidR="00FB26A1">
        <w:t xml:space="preserve">and </w:t>
      </w:r>
      <w:r w:rsidRPr="00BE589F">
        <w:t xml:space="preserve">lease stipulations and notices attached to the parcels are included in </w:t>
      </w:r>
      <w:r w:rsidRPr="00214EC4">
        <w:t>Appendix B</w:t>
      </w:r>
      <w:r w:rsidRPr="00BE589F">
        <w:t>.</w:t>
      </w:r>
      <w:r w:rsidRPr="001F3D4D">
        <w:t xml:space="preserve"> </w:t>
      </w:r>
    </w:p>
    <w:p w14:paraId="5C4E745D" w14:textId="3A2D6D85" w:rsidR="004E68A8" w:rsidRDefault="004E68A8" w:rsidP="004E68A8">
      <w:pPr>
        <w:pStyle w:val="BodyText"/>
      </w:pPr>
      <w:r w:rsidRPr="006D6B18">
        <w:t xml:space="preserve">An issued lease may be held for ten years, after which the lease expires unless oil or gas is </w:t>
      </w:r>
      <w:r w:rsidR="00D549A5">
        <w:t>being produced in</w:t>
      </w:r>
      <w:r w:rsidRPr="006D6B18">
        <w:t xml:space="preserve"> paying quantities (43 CFR 3107.2</w:t>
      </w:r>
      <w:r>
        <w:t>-1</w:t>
      </w:r>
      <w:r w:rsidRPr="006D6B18">
        <w:t>).</w:t>
      </w:r>
      <w:r w:rsidRPr="3391673C">
        <w:rPr>
          <w:rStyle w:val="FootnoteReference"/>
          <w:rFonts w:eastAsia="Times"/>
        </w:rPr>
        <w:footnoteReference w:id="6"/>
      </w:r>
      <w:r w:rsidRPr="006D6B18">
        <w:t xml:space="preserve"> </w:t>
      </w:r>
      <w:r w:rsidRPr="00015139">
        <w:t>The drilling of wells on lease</w:t>
      </w:r>
      <w:r w:rsidR="00706903">
        <w:t>d</w:t>
      </w:r>
      <w:r w:rsidRPr="00015139">
        <w:t xml:space="preserve"> parcels is not permitted until the leaseholder submits, and the BLM approves (subsequent to additional site-specific environmental review documentation), a complete Application for Permit to Drill (APD) package (Form 3160-3) following the requirements specified under Onshore Oil and Gas Orders listed in 43 CFR </w:t>
      </w:r>
      <w:r>
        <w:t xml:space="preserve">Subpart </w:t>
      </w:r>
      <w:r w:rsidRPr="00015139">
        <w:t>3162.</w:t>
      </w:r>
      <w:r>
        <w:rPr>
          <w:rStyle w:val="FootnoteReference"/>
        </w:rPr>
        <w:footnoteReference w:id="7"/>
      </w:r>
      <w:r w:rsidRPr="00015139">
        <w:t xml:space="preserve"> The BLM has authority, according to the standard terms and conditions of the leases, to attach conditions of approval (COAs) to </w:t>
      </w:r>
      <w:r>
        <w:t>an</w:t>
      </w:r>
      <w:r w:rsidRPr="00015139">
        <w:t xml:space="preserve"> APD that reduce or avoid impacts to </w:t>
      </w:r>
      <w:r w:rsidR="00D31601">
        <w:t>BLM</w:t>
      </w:r>
      <w:r w:rsidR="006E4A72">
        <w:t>-</w:t>
      </w:r>
      <w:r w:rsidR="00D31601">
        <w:t>managed</w:t>
      </w:r>
      <w:r w:rsidR="006E4A72">
        <w:t xml:space="preserve"> </w:t>
      </w:r>
      <w:r w:rsidRPr="00015139">
        <w:t xml:space="preserve">public land, resources, and/or resource values. </w:t>
      </w:r>
    </w:p>
    <w:p w14:paraId="48D2F3EB" w14:textId="77777777" w:rsidR="004E68A8" w:rsidRPr="00354D58" w:rsidRDefault="004E68A8" w:rsidP="004E68A8">
      <w:pPr>
        <w:pStyle w:val="BodyText"/>
      </w:pPr>
      <w:r w:rsidRPr="00015139">
        <w:t>Under 43 CFR 3101</w:t>
      </w:r>
      <w:r>
        <w:t>.</w:t>
      </w:r>
      <w:r w:rsidRPr="00015139">
        <w:t xml:space="preserve">1-2, such reasonable measures may include, but are not limited to, modification to siting or design of facilities, timing of operations, and specification of interim and final reclamation measures. Measures shall be deemed consistent with lease rights granted </w:t>
      </w:r>
      <w:proofErr w:type="gramStart"/>
      <w:r w:rsidRPr="00015139">
        <w:t>provided that</w:t>
      </w:r>
      <w:proofErr w:type="gramEnd"/>
      <w:r w:rsidRPr="00015139">
        <w:t xml:space="preserve"> they do not require relocation of proposed operations by more than 200 meters (m); require that operations be sited off the leasehold; or prohibit new surface-disturbing operations for a period in excess of 60 days in any lease year. </w:t>
      </w:r>
    </w:p>
    <w:p w14:paraId="5FE459EF" w14:textId="3B29F2D0" w:rsidR="004E68A8" w:rsidRPr="002D682D" w:rsidRDefault="004E68A8" w:rsidP="002D682D">
      <w:pPr>
        <w:pStyle w:val="Heading2"/>
        <w:rPr>
          <w:rFonts w:hint="eastAsia"/>
        </w:rPr>
      </w:pPr>
      <w:bookmarkStart w:id="60" w:name="_Ref128865474"/>
      <w:bookmarkStart w:id="61" w:name="_Ref128865590"/>
      <w:bookmarkStart w:id="62" w:name="_Toc163734176"/>
      <w:bookmarkStart w:id="63" w:name="_Toc179464231"/>
      <w:bookmarkStart w:id="64" w:name="_Toc170114886"/>
      <w:r w:rsidRPr="002D682D">
        <w:t xml:space="preserve">Alternative </w:t>
      </w:r>
      <w:r w:rsidR="6864C398">
        <w:t>B</w:t>
      </w:r>
      <w:r w:rsidRPr="002D682D">
        <w:t xml:space="preserve"> – No Action Alternative</w:t>
      </w:r>
      <w:bookmarkEnd w:id="60"/>
      <w:bookmarkEnd w:id="61"/>
      <w:bookmarkEnd w:id="62"/>
      <w:bookmarkEnd w:id="63"/>
      <w:bookmarkEnd w:id="64"/>
    </w:p>
    <w:p w14:paraId="565AFE50" w14:textId="1D6FF3D3" w:rsidR="004E68A8" w:rsidRDefault="004E68A8" w:rsidP="004E68A8">
      <w:pPr>
        <w:pStyle w:val="BodyText"/>
      </w:pPr>
      <w:r>
        <w:t>Under t</w:t>
      </w:r>
      <w:r w:rsidRPr="006D6B18">
        <w:t>he No Action Alternative,</w:t>
      </w:r>
      <w:r>
        <w:t xml:space="preserve"> the BLM would </w:t>
      </w:r>
      <w:r w:rsidRPr="006D6B18">
        <w:t xml:space="preserve">not offer </w:t>
      </w:r>
      <w:r w:rsidR="000E0479">
        <w:t>either</w:t>
      </w:r>
      <w:r w:rsidR="000E0479" w:rsidRPr="006D6B18">
        <w:t xml:space="preserve"> </w:t>
      </w:r>
      <w:r w:rsidRPr="006D6B18">
        <w:t xml:space="preserve">of the nominated </w:t>
      </w:r>
      <w:r>
        <w:t xml:space="preserve">lease </w:t>
      </w:r>
      <w:r w:rsidRPr="006D6B18">
        <w:t xml:space="preserve">parcels </w:t>
      </w:r>
      <w:r>
        <w:t>for competitive leasing in th</w:t>
      </w:r>
      <w:r w:rsidR="2CEE2BE6">
        <w:t>is</w:t>
      </w:r>
      <w:r>
        <w:t xml:space="preserve"> Lease Sale.</w:t>
      </w:r>
      <w:r w:rsidRPr="006D6B18">
        <w:t xml:space="preserve"> </w:t>
      </w:r>
      <w:r>
        <w:t>However, in the absence of land use plan amendments closing the lands to leasing,</w:t>
      </w:r>
      <w:r w:rsidRPr="006D6B18">
        <w:t xml:space="preserve"> </w:t>
      </w:r>
      <w:r>
        <w:t>the nominated lease parcels</w:t>
      </w:r>
      <w:r w:rsidRPr="006D6B18">
        <w:t xml:space="preserve"> could be considered for inclusion in</w:t>
      </w:r>
      <w:r>
        <w:t xml:space="preserve"> one or more</w:t>
      </w:r>
      <w:r w:rsidRPr="006D6B18">
        <w:t xml:space="preserve"> future </w:t>
      </w:r>
      <w:r>
        <w:t xml:space="preserve">competitive oil and gas </w:t>
      </w:r>
      <w:r w:rsidRPr="006D6B18">
        <w:t xml:space="preserve">lease sales. </w:t>
      </w:r>
    </w:p>
    <w:p w14:paraId="7BDB30C1" w14:textId="48861BA8" w:rsidR="004E68A8" w:rsidRPr="002D682D" w:rsidRDefault="004E68A8" w:rsidP="002D682D">
      <w:pPr>
        <w:pStyle w:val="Heading2"/>
        <w:rPr>
          <w:rFonts w:hint="eastAsia"/>
        </w:rPr>
      </w:pPr>
      <w:bookmarkStart w:id="65" w:name="_Toc163734177"/>
      <w:bookmarkStart w:id="66" w:name="_Toc179464232"/>
      <w:bookmarkStart w:id="67" w:name="_Toc170114887"/>
      <w:r w:rsidRPr="002D682D">
        <w:lastRenderedPageBreak/>
        <w:t>Alternatives Considered but Eliminated from Detailed Analysis</w:t>
      </w:r>
      <w:bookmarkEnd w:id="65"/>
      <w:bookmarkEnd w:id="66"/>
      <w:bookmarkEnd w:id="67"/>
    </w:p>
    <w:p w14:paraId="10ACE51A" w14:textId="42721173" w:rsidR="004E68A8" w:rsidRPr="00F90E2B" w:rsidRDefault="004E68A8" w:rsidP="004E68A8">
      <w:pPr>
        <w:pStyle w:val="BodyText"/>
      </w:pPr>
      <w:r w:rsidRPr="00366C4A">
        <w:t xml:space="preserve">The BLM considered </w:t>
      </w:r>
      <w:r w:rsidR="00064CC6">
        <w:t>two</w:t>
      </w:r>
      <w:r w:rsidRPr="00366C4A">
        <w:t xml:space="preserve"> action alternatives in addition to Alternatives A</w:t>
      </w:r>
      <w:r w:rsidR="003E521E">
        <w:t xml:space="preserve"> and</w:t>
      </w:r>
      <w:r w:rsidRPr="00366C4A">
        <w:t xml:space="preserve"> B</w:t>
      </w:r>
      <w:r w:rsidRPr="00366C4A" w:rsidDel="003E521E">
        <w:t xml:space="preserve"> </w:t>
      </w:r>
      <w:r w:rsidRPr="00366C4A">
        <w:t xml:space="preserve">but eliminated these alternatives from detailed analysis. These alternatives, along with rationale for their dismissal from detailed analysis, are discussed below. </w:t>
      </w:r>
    </w:p>
    <w:p w14:paraId="53DDC38D" w14:textId="2A84B4EB" w:rsidR="004E68A8" w:rsidRPr="002D682D" w:rsidRDefault="004E68A8" w:rsidP="002D682D">
      <w:pPr>
        <w:pStyle w:val="Heading3"/>
        <w:rPr>
          <w:rFonts w:hint="eastAsia"/>
        </w:rPr>
      </w:pPr>
      <w:bookmarkStart w:id="68" w:name="_Toc163734181"/>
      <w:bookmarkStart w:id="69" w:name="_Toc179464233"/>
      <w:bookmarkStart w:id="70" w:name="_Toc170114888"/>
      <w:r w:rsidRPr="002D682D">
        <w:t xml:space="preserve">Implementing a Managed Decline of </w:t>
      </w:r>
      <w:r w:rsidR="001C1E2F">
        <w:t>Production to</w:t>
      </w:r>
      <w:r w:rsidR="001C1E2F" w:rsidRPr="002D682D">
        <w:t xml:space="preserve"> </w:t>
      </w:r>
      <w:r w:rsidRPr="002D682D">
        <w:t>GHG Emissions/Imposing a Climate Requirement on Leases Alternative</w:t>
      </w:r>
      <w:bookmarkEnd w:id="68"/>
      <w:bookmarkEnd w:id="69"/>
      <w:bookmarkEnd w:id="70"/>
    </w:p>
    <w:p w14:paraId="54D282CB" w14:textId="53048D2B" w:rsidR="000A77F3" w:rsidRDefault="004E68A8" w:rsidP="004E68A8">
      <w:pPr>
        <w:pStyle w:val="BodyText"/>
      </w:pPr>
      <w:r>
        <w:t>The MLA allows BLM, under certain circumstances, to ‘alter or modify from time to time the rate of prospecting and development and the quantity and rate of production under such plan.’ 30 U.S.C. § 226(m). Moreover, nearly every BLM lease for onshore oil and gas contains a provision allowing BLM to ‘reserve the right to specify rates of development and production in the public interest.”</w:t>
      </w:r>
      <w:r w:rsidR="00834DBE">
        <w:t xml:space="preserve"> For example</w:t>
      </w:r>
      <w:r w:rsidR="009846E5">
        <w:t>,</w:t>
      </w:r>
      <w:r w:rsidR="00834DBE">
        <w:t xml:space="preserve"> the recent updates to oil and gas </w:t>
      </w:r>
      <w:r w:rsidR="000A77F3">
        <w:t xml:space="preserve">leasing regulations </w:t>
      </w:r>
      <w:r w:rsidR="00241EA5">
        <w:t xml:space="preserve">in the </w:t>
      </w:r>
      <w:r w:rsidR="00241EA5" w:rsidRPr="00241EA5">
        <w:t>Waste Prevention, Production Subject to Royalties, and Resource Conservation Rule</w:t>
      </w:r>
      <w:r w:rsidR="00241EA5">
        <w:t xml:space="preserve"> says</w:t>
      </w:r>
      <w:r w:rsidR="00B611F2">
        <w:t xml:space="preserve"> that “</w:t>
      </w:r>
      <w:r w:rsidR="000A77F3" w:rsidRPr="000A77F3">
        <w:t>Where substantial volumes of oil-well gas are flared the BLM may order the operator to curtail or shut-in production as necessary to avoid the undue waste of Federal or Indian gas.</w:t>
      </w:r>
      <w:r w:rsidR="00B611F2">
        <w:t>”</w:t>
      </w:r>
      <w:r w:rsidR="00C6785D">
        <w:t xml:space="preserve"> </w:t>
      </w:r>
      <w:r w:rsidR="002D08B5">
        <w:t>43 CFR 31</w:t>
      </w:r>
      <w:r w:rsidR="00AB784A">
        <w:t>79.70 (b)</w:t>
      </w:r>
      <w:r w:rsidR="007C4EAC">
        <w:t>.</w:t>
      </w:r>
    </w:p>
    <w:p w14:paraId="12BE2A78" w14:textId="70A89923" w:rsidR="004E68A8" w:rsidRPr="00F90E2B" w:rsidRDefault="004E68A8" w:rsidP="004E68A8">
      <w:pPr>
        <w:pStyle w:val="BodyText"/>
      </w:pPr>
      <w:r>
        <w:t xml:space="preserve">This alternative does not respond to the purpose and need described in Section 1.2 and is beyond the scope of the decision to be made described in Section 1.3 because it relates to the approach to management of leased parcels rather than responding to EOIs as required under MLA. </w:t>
      </w:r>
    </w:p>
    <w:p w14:paraId="246FEBFA" w14:textId="77777777" w:rsidR="004E68A8" w:rsidRPr="002D682D" w:rsidRDefault="004E68A8" w:rsidP="002D682D">
      <w:pPr>
        <w:pStyle w:val="Heading3"/>
        <w:rPr>
          <w:rFonts w:hint="eastAsia"/>
        </w:rPr>
      </w:pPr>
      <w:bookmarkStart w:id="71" w:name="_Toc163734182"/>
      <w:bookmarkStart w:id="72" w:name="_Toc179464234"/>
      <w:bookmarkStart w:id="73" w:name="_Toc170114889"/>
      <w:r w:rsidRPr="002D682D">
        <w:t>No New Greenhouse Gas Emissions Alternative</w:t>
      </w:r>
      <w:bookmarkEnd w:id="71"/>
      <w:bookmarkEnd w:id="72"/>
      <w:bookmarkEnd w:id="73"/>
    </w:p>
    <w:p w14:paraId="74BC9A01" w14:textId="438FE682" w:rsidR="004E68A8" w:rsidRPr="00F90E2B" w:rsidRDefault="004E68A8" w:rsidP="004E68A8">
      <w:pPr>
        <w:pStyle w:val="BodyText"/>
      </w:pPr>
      <w:r>
        <w:t xml:space="preserve">Under this alternative the BLM would </w:t>
      </w:r>
      <w:r w:rsidR="00D1522E">
        <w:t>defer all lease parcels</w:t>
      </w:r>
      <w:r>
        <w:t xml:space="preserve"> so that no new greenhouse gas emissions would occur. This alternative was dismissed from detailed analysis because it is the same as the No Action Alternative</w:t>
      </w:r>
      <w:r w:rsidR="3D95C5E7">
        <w:t xml:space="preserve"> (Alternative B)</w:t>
      </w:r>
      <w:r>
        <w:t>, which is already analyzed.</w:t>
      </w:r>
    </w:p>
    <w:p w14:paraId="7A20B52D" w14:textId="6C303E75" w:rsidR="002D682D" w:rsidRPr="002D682D" w:rsidRDefault="002D682D" w:rsidP="002D682D">
      <w:pPr>
        <w:pStyle w:val="Heading1"/>
        <w:rPr>
          <w:rFonts w:hint="eastAsia"/>
        </w:rPr>
      </w:pPr>
      <w:bookmarkStart w:id="74" w:name="_Toc163734185"/>
      <w:bookmarkStart w:id="75" w:name="_Toc179464235"/>
      <w:bookmarkStart w:id="76" w:name="_Toc170114890"/>
      <w:r w:rsidRPr="002D682D">
        <w:t>Affected Environment and Environmental Effects</w:t>
      </w:r>
      <w:bookmarkEnd w:id="74"/>
      <w:bookmarkEnd w:id="75"/>
      <w:bookmarkEnd w:id="76"/>
    </w:p>
    <w:p w14:paraId="53D36C4B" w14:textId="77777777" w:rsidR="002D682D" w:rsidRPr="006A4A3D" w:rsidRDefault="002D682D" w:rsidP="002D682D">
      <w:pPr>
        <w:pStyle w:val="Heading2"/>
        <w:rPr>
          <w:rFonts w:hint="eastAsia"/>
        </w:rPr>
      </w:pPr>
      <w:bookmarkStart w:id="77" w:name="_Toc133589201"/>
      <w:bookmarkStart w:id="78" w:name="_Toc163734186"/>
      <w:bookmarkStart w:id="79" w:name="_Toc179464236"/>
      <w:bookmarkStart w:id="80" w:name="_Toc170114891"/>
      <w:r w:rsidRPr="006A4A3D">
        <w:t>Introduction</w:t>
      </w:r>
      <w:bookmarkEnd w:id="77"/>
      <w:bookmarkEnd w:id="78"/>
      <w:bookmarkEnd w:id="79"/>
      <w:bookmarkEnd w:id="80"/>
    </w:p>
    <w:p w14:paraId="70EE5747" w14:textId="1AB117C0" w:rsidR="002D682D" w:rsidRPr="00354D58" w:rsidRDefault="00837D05" w:rsidP="002D682D">
      <w:pPr>
        <w:pStyle w:val="BodyText"/>
      </w:pPr>
      <w:bookmarkStart w:id="81" w:name="_147n2zr" w:colFirst="0" w:colLast="0"/>
      <w:bookmarkEnd w:id="81"/>
      <w:r>
        <w:t>This c</w:t>
      </w:r>
      <w:r w:rsidR="002D682D" w:rsidRPr="00354D58">
        <w:t>hapter</w:t>
      </w:r>
      <w:r w:rsidR="002D682D" w:rsidRPr="00354D58" w:rsidDel="00837D05">
        <w:t xml:space="preserve"> </w:t>
      </w:r>
      <w:r w:rsidR="002D682D" w:rsidRPr="00354D58">
        <w:t>contains the effects analysis related to the issues. Section</w:t>
      </w:r>
      <w:r w:rsidR="002D682D">
        <w:fldChar w:fldCharType="begin"/>
      </w:r>
      <w:r w:rsidR="002D682D">
        <w:instrText xml:space="preserve"> REF _Ref128867519 \r \h </w:instrText>
      </w:r>
      <w:r w:rsidR="002D682D">
        <w:fldChar w:fldCharType="separate"/>
      </w:r>
      <w:r w:rsidR="002D682D">
        <w:t xml:space="preserve"> 3.2</w:t>
      </w:r>
      <w:r w:rsidR="002D682D">
        <w:fldChar w:fldCharType="end"/>
      </w:r>
      <w:r w:rsidR="002D682D" w:rsidRPr="00354D58">
        <w:t xml:space="preserve"> describes the analysis assumptions </w:t>
      </w:r>
      <w:r w:rsidR="002D682D">
        <w:t>for the future</w:t>
      </w:r>
      <w:r w:rsidR="002D682D" w:rsidRPr="00354D58">
        <w:t xml:space="preserve"> potential development of the nominated lease parcels. Section </w:t>
      </w:r>
      <w:r w:rsidR="002D682D">
        <w:t>3.3</w:t>
      </w:r>
      <w:r w:rsidR="002D682D" w:rsidRPr="00354D58">
        <w:t xml:space="preserve"> describes the effects of the No Action Alternative for all issues. Section</w:t>
      </w:r>
      <w:r w:rsidR="002D682D">
        <w:t xml:space="preserve"> 3.4</w:t>
      </w:r>
      <w:r w:rsidR="002D682D" w:rsidRPr="00354D58">
        <w:t xml:space="preserve"> presents the issues that are </w:t>
      </w:r>
      <w:r w:rsidR="002D682D">
        <w:t>analyzed in brief</w:t>
      </w:r>
      <w:r w:rsidR="002D682D" w:rsidRPr="00354D58">
        <w:t xml:space="preserve">. </w:t>
      </w:r>
      <w:r w:rsidR="002D682D" w:rsidRPr="004F72AA">
        <w:t>Section 3.5</w:t>
      </w:r>
      <w:r w:rsidR="002D682D" w:rsidRPr="00354D58">
        <w:t xml:space="preserve"> presents the issues that are analyzed in detail. </w:t>
      </w:r>
    </w:p>
    <w:p w14:paraId="02973D6D" w14:textId="4F56D3BE" w:rsidR="002D682D" w:rsidRPr="00354D58" w:rsidRDefault="002D682D" w:rsidP="002D682D">
      <w:pPr>
        <w:pStyle w:val="BodyText"/>
      </w:pPr>
      <w:r>
        <w:rPr>
          <w:rStyle w:val="ui-provider"/>
        </w:rPr>
        <w:t xml:space="preserve">Lease stipulations and notices are referred to throughout the analysis in Sections 3.4 and 3.5 in terms of their protective influence on resources that may be impacted by future potential development of the nominated lease parcels. Lease stipulations “are conditions of lease issuance which provide protection for other resources values or land uses by establishing authority for substantial delay or site changes or the denial of operations within the terms of the lease contract” </w:t>
      </w:r>
      <w:sdt>
        <w:sdtPr>
          <w:rPr>
            <w:rStyle w:val="ui-provider"/>
          </w:rPr>
          <w:id w:val="229886254"/>
          <w:citation/>
        </w:sdtPr>
        <w:sdtContent>
          <w:r>
            <w:rPr>
              <w:rStyle w:val="ui-provider"/>
            </w:rPr>
            <w:fldChar w:fldCharType="begin"/>
          </w:r>
          <w:r>
            <w:rPr>
              <w:rStyle w:val="ui-provider"/>
            </w:rPr>
            <w:instrText xml:space="preserve"> CITATION BLM90 \l 1033 </w:instrText>
          </w:r>
          <w:r>
            <w:rPr>
              <w:rStyle w:val="ui-provider"/>
            </w:rPr>
            <w:fldChar w:fldCharType="separate"/>
          </w:r>
          <w:r w:rsidR="0093463A">
            <w:rPr>
              <w:noProof/>
            </w:rPr>
            <w:t>(BLM, 1990)</w:t>
          </w:r>
          <w:r>
            <w:rPr>
              <w:rStyle w:val="ui-provider"/>
            </w:rPr>
            <w:fldChar w:fldCharType="end"/>
          </w:r>
        </w:sdtContent>
      </w:sdt>
      <w:r>
        <w:rPr>
          <w:rStyle w:val="ui-provider"/>
        </w:rPr>
        <w:t xml:space="preserve">. Lease stipulations are enforceable terms of the lease contract and supersede any inconsistent provisions of the standard lease form. Lease notices (also referred to as Information Notices in BLM Handbook H-1624) provide “notice of existing requirements and may be attached to a lease by the </w:t>
      </w:r>
      <w:r w:rsidR="0029229D">
        <w:rPr>
          <w:rStyle w:val="ui-provider"/>
        </w:rPr>
        <w:t>AO</w:t>
      </w:r>
      <w:r>
        <w:rPr>
          <w:rStyle w:val="ui-provider"/>
        </w:rPr>
        <w:t xml:space="preserve"> at the time of lease issuance to convey certain operational, procedural, or administrative requirements relative to lease management within the terms and conditions of the standard lease form” </w:t>
      </w:r>
      <w:sdt>
        <w:sdtPr>
          <w:rPr>
            <w:rStyle w:val="ui-provider"/>
          </w:rPr>
          <w:id w:val="546878826"/>
          <w:citation/>
        </w:sdtPr>
        <w:sdtContent>
          <w:r>
            <w:rPr>
              <w:rStyle w:val="ui-provider"/>
            </w:rPr>
            <w:fldChar w:fldCharType="begin"/>
          </w:r>
          <w:r>
            <w:rPr>
              <w:rStyle w:val="ui-provider"/>
            </w:rPr>
            <w:instrText xml:space="preserve"> CITATION BLM90 \l 1033 </w:instrText>
          </w:r>
          <w:r>
            <w:rPr>
              <w:rStyle w:val="ui-provider"/>
            </w:rPr>
            <w:fldChar w:fldCharType="separate"/>
          </w:r>
          <w:r w:rsidR="0093463A">
            <w:rPr>
              <w:noProof/>
            </w:rPr>
            <w:t>(BLM, 1990)</w:t>
          </w:r>
          <w:r>
            <w:rPr>
              <w:rStyle w:val="ui-provider"/>
            </w:rPr>
            <w:fldChar w:fldCharType="end"/>
          </w:r>
        </w:sdtContent>
      </w:sdt>
      <w:r>
        <w:rPr>
          <w:rStyle w:val="ui-provider"/>
        </w:rPr>
        <w:t xml:space="preserve">. </w:t>
      </w:r>
      <w:r w:rsidR="00CA0B69">
        <w:rPr>
          <w:rStyle w:val="ui-provider"/>
        </w:rPr>
        <w:t>L</w:t>
      </w:r>
      <w:r>
        <w:rPr>
          <w:rStyle w:val="ui-provider"/>
        </w:rPr>
        <w:t>ease notices may not serve as the basis for denial of lease operations</w:t>
      </w:r>
      <w:r w:rsidR="00CA0B69">
        <w:rPr>
          <w:rStyle w:val="ui-provider"/>
        </w:rPr>
        <w:t>. However</w:t>
      </w:r>
      <w:r>
        <w:rPr>
          <w:rStyle w:val="ui-provider"/>
        </w:rPr>
        <w:t xml:space="preserve">, they offer resource protections because they result in information gathering and the identification of resource values and land uses that the BLM, based on its authority </w:t>
      </w:r>
      <w:r>
        <w:rPr>
          <w:rStyle w:val="ui-provider"/>
        </w:rPr>
        <w:lastRenderedPageBreak/>
        <w:t xml:space="preserve">under section 6 of the lease form, can require protection for within the constraints enumerated in the lease form </w:t>
      </w:r>
      <w:r w:rsidRPr="00685958">
        <w:t xml:space="preserve">(e.g., terms and conditions that </w:t>
      </w:r>
      <w:r>
        <w:t>would</w:t>
      </w:r>
      <w:r w:rsidRPr="00685958">
        <w:t xml:space="preserve"> be attached at the APD stage)</w:t>
      </w:r>
      <w:r>
        <w:rPr>
          <w:rStyle w:val="ui-provider"/>
        </w:rPr>
        <w:t xml:space="preserve"> (also see Section 2.2).</w:t>
      </w:r>
    </w:p>
    <w:p w14:paraId="7F1C312C" w14:textId="77777777" w:rsidR="002D682D" w:rsidRPr="006A4A3D" w:rsidRDefault="002D682D" w:rsidP="002D682D">
      <w:pPr>
        <w:pStyle w:val="Heading2"/>
        <w:rPr>
          <w:rFonts w:hint="eastAsia"/>
        </w:rPr>
      </w:pPr>
      <w:bookmarkStart w:id="82" w:name="_Ref128867519"/>
      <w:bookmarkStart w:id="83" w:name="_Toc163734187"/>
      <w:bookmarkStart w:id="84" w:name="_Toc179464237"/>
      <w:bookmarkStart w:id="85" w:name="_Toc170114892"/>
      <w:r w:rsidRPr="006A4A3D">
        <w:t>Analysis Assumptions</w:t>
      </w:r>
      <w:bookmarkEnd w:id="82"/>
      <w:bookmarkEnd w:id="83"/>
      <w:bookmarkEnd w:id="84"/>
      <w:bookmarkEnd w:id="85"/>
    </w:p>
    <w:p w14:paraId="77975620" w14:textId="26E4B775" w:rsidR="002D682D" w:rsidRDefault="002D682D" w:rsidP="002D682D">
      <w:pPr>
        <w:pStyle w:val="BodyText"/>
      </w:pPr>
      <w:r w:rsidRPr="00354D58">
        <w:t xml:space="preserve">While leasing would not directly authorize any oil and gas development or production, future oil and gas development and production is a reasonable outcome of a granted lease right. </w:t>
      </w:r>
      <w:r w:rsidR="00A03C39">
        <w:t xml:space="preserve">Leasing is a </w:t>
      </w:r>
      <w:r w:rsidR="00353C06">
        <w:t>precursor</w:t>
      </w:r>
      <w:r w:rsidR="00A03C39">
        <w:t xml:space="preserve"> to development</w:t>
      </w:r>
      <w:r w:rsidR="00353C06">
        <w:t xml:space="preserve"> and</w:t>
      </w:r>
      <w:r w:rsidR="00B93E7A">
        <w:t>,</w:t>
      </w:r>
      <w:r w:rsidR="00353C06">
        <w:t xml:space="preserve"> therefore</w:t>
      </w:r>
      <w:r w:rsidR="00B93E7A">
        <w:t>,</w:t>
      </w:r>
      <w:r w:rsidRPr="00354D58">
        <w:t xml:space="preserve"> there are currently no development proposals for the nominated lease parcels</w:t>
      </w:r>
      <w:r w:rsidR="00423EEB">
        <w:t xml:space="preserve"> and</w:t>
      </w:r>
      <w:r w:rsidRPr="00354D58" w:rsidDel="00423EEB">
        <w:t xml:space="preserve"> </w:t>
      </w:r>
      <w:r w:rsidRPr="00354D58">
        <w:t xml:space="preserve">the BLM is unable to complete an analysis that uses information related to a specific proposed project or projects. However, </w:t>
      </w:r>
      <w:r w:rsidRPr="00E07A46">
        <w:t>for the purpose of this analysis</w:t>
      </w:r>
      <w:r w:rsidRPr="00354D58">
        <w:t>, Section 3.2.1 outline</w:t>
      </w:r>
      <w:r>
        <w:t>s</w:t>
      </w:r>
      <w:r w:rsidRPr="00354D58">
        <w:t xml:space="preserve"> the method</w:t>
      </w:r>
      <w:r w:rsidR="008003FE">
        <w:t>s</w:t>
      </w:r>
      <w:r w:rsidRPr="00354D58">
        <w:t xml:space="preserve"> for estimating number of wells, </w:t>
      </w:r>
      <w:r>
        <w:t xml:space="preserve">acres of surface disturbance, and </w:t>
      </w:r>
      <w:r w:rsidRPr="00354D58">
        <w:t>potential production volumes</w:t>
      </w:r>
      <w:r>
        <w:t xml:space="preserve"> </w:t>
      </w:r>
      <w:r w:rsidRPr="00354D58">
        <w:t xml:space="preserve">associated with the future potential development of the </w:t>
      </w:r>
      <w:r w:rsidR="005A5AD6">
        <w:t xml:space="preserve">two </w:t>
      </w:r>
      <w:r w:rsidRPr="00354D58">
        <w:t xml:space="preserve">nominated lease parcels. </w:t>
      </w:r>
    </w:p>
    <w:p w14:paraId="03D00530" w14:textId="6549F67D" w:rsidR="002D682D" w:rsidRPr="00354D58" w:rsidRDefault="002D682D" w:rsidP="002D682D">
      <w:pPr>
        <w:pStyle w:val="BodyText"/>
      </w:pPr>
      <w:r w:rsidRPr="00354D58">
        <w:t>It is unknown when, where, or to what extent subsequent well sites, roads, and associated infrastructure would be proposed in the event the BLM decides to lease the nominated lease parcels. Future potential development of the nominated lease parcels could include the following phases (</w:t>
      </w:r>
      <w:r w:rsidRPr="00F568FB">
        <w:t>Appendix </w:t>
      </w:r>
      <w:r w:rsidR="00EC6945">
        <w:t>E</w:t>
      </w:r>
      <w:r w:rsidRPr="00354D58">
        <w:t xml:space="preserve"> provides a summary of the phases of oil and gas development):</w:t>
      </w:r>
    </w:p>
    <w:p w14:paraId="5E63A3C7" w14:textId="77777777" w:rsidR="002D682D" w:rsidRPr="00354D58" w:rsidRDefault="002D682D" w:rsidP="002D682D">
      <w:pPr>
        <w:pStyle w:val="Bullet1"/>
      </w:pPr>
      <w:r w:rsidRPr="00354D58">
        <w:t>Construction of new access roads or expansion of existing roads</w:t>
      </w:r>
      <w:r>
        <w:t>,</w:t>
      </w:r>
    </w:p>
    <w:p w14:paraId="2F8F02FA" w14:textId="0EAF52AF" w:rsidR="002D682D" w:rsidRPr="00354D58" w:rsidRDefault="002D682D" w:rsidP="002D682D">
      <w:pPr>
        <w:pStyle w:val="Bullet1"/>
      </w:pPr>
      <w:r w:rsidRPr="00354D58">
        <w:t>Pad construction</w:t>
      </w:r>
      <w:r w:rsidR="008E0C6C">
        <w:t>/expansion</w:t>
      </w:r>
      <w:r>
        <w:t>,</w:t>
      </w:r>
    </w:p>
    <w:p w14:paraId="1C720A10" w14:textId="77777777" w:rsidR="002D682D" w:rsidRPr="00354D58" w:rsidRDefault="002D682D" w:rsidP="002D682D">
      <w:pPr>
        <w:pStyle w:val="Bullet1"/>
      </w:pPr>
      <w:r w:rsidRPr="00354D58">
        <w:t>Drilling of a well</w:t>
      </w:r>
      <w:r>
        <w:t>,</w:t>
      </w:r>
    </w:p>
    <w:p w14:paraId="5DF8C819" w14:textId="77777777" w:rsidR="002D682D" w:rsidRPr="00354D58" w:rsidRDefault="002D682D" w:rsidP="002D682D">
      <w:pPr>
        <w:pStyle w:val="Bullet1"/>
      </w:pPr>
      <w:r w:rsidRPr="00354D58">
        <w:t>Hydraulically fracturing a well</w:t>
      </w:r>
      <w:r>
        <w:t>,</w:t>
      </w:r>
    </w:p>
    <w:p w14:paraId="2C216171" w14:textId="77777777" w:rsidR="002D682D" w:rsidRPr="00354D58" w:rsidRDefault="002D682D" w:rsidP="002D682D">
      <w:pPr>
        <w:pStyle w:val="Bullet1"/>
      </w:pPr>
      <w:r w:rsidRPr="00354D58">
        <w:t>Installation of pipeline</w:t>
      </w:r>
      <w:r>
        <w:t>,</w:t>
      </w:r>
    </w:p>
    <w:p w14:paraId="17A3F748" w14:textId="693E76D9" w:rsidR="002D682D" w:rsidRPr="00354D58" w:rsidRDefault="00C64B4C" w:rsidP="002D682D">
      <w:pPr>
        <w:pStyle w:val="Bullet1"/>
      </w:pPr>
      <w:r>
        <w:t>Well p</w:t>
      </w:r>
      <w:r w:rsidR="002D682D" w:rsidRPr="00354D58">
        <w:t>roduction</w:t>
      </w:r>
      <w:r>
        <w:t xml:space="preserve"> operations</w:t>
      </w:r>
      <w:r w:rsidR="002D682D" w:rsidRPr="00354D58">
        <w:t>, including vehicle traffic</w:t>
      </w:r>
      <w:r w:rsidR="002D682D">
        <w:t>;</w:t>
      </w:r>
      <w:r w:rsidR="002D682D" w:rsidRPr="00354D58">
        <w:t xml:space="preserve"> hauling of produced fluids such as oil or produced water</w:t>
      </w:r>
      <w:r w:rsidR="002D682D">
        <w:t>;</w:t>
      </w:r>
      <w:r w:rsidR="002D682D" w:rsidRPr="00354D58">
        <w:t xml:space="preserve"> compression to move gas through pipeline systems</w:t>
      </w:r>
      <w:r w:rsidR="002D682D">
        <w:t>;</w:t>
      </w:r>
      <w:r w:rsidR="002D682D" w:rsidRPr="00354D58">
        <w:t xml:space="preserve"> potential venting from storage tanks</w:t>
      </w:r>
      <w:r w:rsidR="002D682D">
        <w:t>;</w:t>
      </w:r>
      <w:r w:rsidR="002D682D" w:rsidRPr="00354D58">
        <w:t xml:space="preserve"> regular well monitoring</w:t>
      </w:r>
      <w:r w:rsidR="002D682D">
        <w:t>;</w:t>
      </w:r>
      <w:r w:rsidR="002D682D" w:rsidRPr="00354D58">
        <w:t xml:space="preserve"> and work-over tasks for the life of the well</w:t>
      </w:r>
      <w:r w:rsidR="002D682D">
        <w:t>,</w:t>
      </w:r>
    </w:p>
    <w:p w14:paraId="085246B9" w14:textId="77777777" w:rsidR="002D682D" w:rsidRDefault="002D682D" w:rsidP="002D682D">
      <w:pPr>
        <w:pStyle w:val="Bullet1"/>
        <w:keepNext/>
      </w:pPr>
      <w:proofErr w:type="gramStart"/>
      <w:r w:rsidRPr="00354D58">
        <w:t>Well</w:t>
      </w:r>
      <w:proofErr w:type="gramEnd"/>
      <w:r w:rsidRPr="00354D58">
        <w:t xml:space="preserve"> plugging and abandonment</w:t>
      </w:r>
      <w:r>
        <w:t>, and</w:t>
      </w:r>
    </w:p>
    <w:p w14:paraId="576FD836" w14:textId="77777777" w:rsidR="002D682D" w:rsidRPr="00354D58" w:rsidRDefault="002D682D" w:rsidP="002D682D">
      <w:pPr>
        <w:pStyle w:val="Bullet1"/>
      </w:pPr>
      <w:r w:rsidRPr="00354D58">
        <w:t>Reclamation and remediation</w:t>
      </w:r>
      <w:r>
        <w:t>.</w:t>
      </w:r>
    </w:p>
    <w:p w14:paraId="6D97CCE2" w14:textId="4540439E" w:rsidR="002D682D" w:rsidRPr="002D682D" w:rsidRDefault="002D682D" w:rsidP="002D682D">
      <w:pPr>
        <w:pStyle w:val="Heading3"/>
        <w:rPr>
          <w:rFonts w:hint="eastAsia"/>
        </w:rPr>
      </w:pPr>
      <w:bookmarkStart w:id="86" w:name="_Ref127546029"/>
      <w:bookmarkStart w:id="87" w:name="_Ref132367024"/>
      <w:bookmarkStart w:id="88" w:name="_Toc163734188"/>
      <w:bookmarkStart w:id="89" w:name="_Toc179464238"/>
      <w:bookmarkStart w:id="90" w:name="_Toc170114893"/>
      <w:r w:rsidRPr="002D682D">
        <w:t>Method</w:t>
      </w:r>
      <w:r w:rsidR="008003FE">
        <w:t>s</w:t>
      </w:r>
      <w:r w:rsidR="008D3BF4">
        <w:t xml:space="preserve"> Used</w:t>
      </w:r>
      <w:r w:rsidRPr="002D682D">
        <w:t xml:space="preserve"> for Estimating Number of Oil and Gas Wells, Surface Disturbance, and Production Volumes</w:t>
      </w:r>
      <w:bookmarkEnd w:id="86"/>
      <w:bookmarkEnd w:id="87"/>
      <w:bookmarkEnd w:id="88"/>
      <w:bookmarkEnd w:id="89"/>
      <w:bookmarkEnd w:id="90"/>
    </w:p>
    <w:p w14:paraId="31482D0D" w14:textId="44702B66" w:rsidR="002D682D" w:rsidRDefault="002D682D" w:rsidP="000B1E49">
      <w:pPr>
        <w:pStyle w:val="BodyText"/>
        <w:rPr>
          <w:rFonts w:cs="Times New Roman"/>
        </w:rPr>
      </w:pPr>
      <w:r w:rsidRPr="00FF506F">
        <w:t xml:space="preserve">The Vernal RMP included a Reasonably Foreseeable Development Scenario for oil and gas development (RFD) in the Mineral Potential Report </w:t>
      </w:r>
      <w:r w:rsidR="000E18DB">
        <w:t>(</w:t>
      </w:r>
      <w:r w:rsidRPr="00FF506F">
        <w:t>Appendix A</w:t>
      </w:r>
      <w:r w:rsidR="00EF02E2">
        <w:t xml:space="preserve"> to the </w:t>
      </w:r>
      <w:r w:rsidR="008255FF">
        <w:t>Final EIS and Proposed RMP</w:t>
      </w:r>
      <w:r w:rsidR="000E18DB">
        <w:t>)</w:t>
      </w:r>
      <w:r w:rsidRPr="00FF506F">
        <w:t xml:space="preserve">. </w:t>
      </w:r>
      <w:r>
        <w:t>T</w:t>
      </w:r>
      <w:r w:rsidRPr="006D55DC">
        <w:t xml:space="preserve">he Vernal RMP </w:t>
      </w:r>
      <w:r>
        <w:t xml:space="preserve">addresses </w:t>
      </w:r>
      <w:r w:rsidR="00815048">
        <w:t>various</w:t>
      </w:r>
      <w:r w:rsidR="00815048" w:rsidRPr="006D55DC">
        <w:t xml:space="preserve"> </w:t>
      </w:r>
      <w:r w:rsidRPr="006D55DC">
        <w:t>RFD areas</w:t>
      </w:r>
      <w:r>
        <w:t>.</w:t>
      </w:r>
      <w:r w:rsidRPr="006D55DC">
        <w:t xml:space="preserve"> </w:t>
      </w:r>
      <w:r w:rsidR="00BC1E4E" w:rsidRPr="62F6EE0C">
        <w:rPr>
          <w:rFonts w:cs="Times New Roman"/>
        </w:rPr>
        <w:t>Parcels 1551 and 7688 are within the Vernal RMP’s Monument Butte-Red Wash RFD area. This RFD identified the area to have moderate to high potential for development with 3,100 gas wells and 1,799 oil wells projected</w:t>
      </w:r>
      <w:r w:rsidR="00BC1E4E">
        <w:rPr>
          <w:rFonts w:cs="Times New Roman"/>
        </w:rPr>
        <w:t xml:space="preserve"> if this area is fully developed</w:t>
      </w:r>
      <w:r w:rsidR="00F70535">
        <w:rPr>
          <w:rFonts w:cs="Times New Roman"/>
        </w:rPr>
        <w:t xml:space="preserve">. </w:t>
      </w:r>
      <w:r w:rsidRPr="00FF506F">
        <w:t>Th</w:t>
      </w:r>
      <w:r w:rsidR="00815048">
        <w:t>is</w:t>
      </w:r>
      <w:r w:rsidRPr="00FF506F">
        <w:t xml:space="preserve"> RFD </w:t>
      </w:r>
      <w:r w:rsidR="00815048">
        <w:t>is</w:t>
      </w:r>
      <w:r w:rsidR="00815048" w:rsidRPr="00FF506F">
        <w:t xml:space="preserve"> </w:t>
      </w:r>
      <w:r w:rsidRPr="00FF506F">
        <w:t>based on historic data, but also consider</w:t>
      </w:r>
      <w:r w:rsidR="008B0F23">
        <w:t>s</w:t>
      </w:r>
      <w:r w:rsidRPr="00FF506F">
        <w:t xml:space="preserve"> projected economic trends and advances in technology. As a planning and analysis tool, the RFD predict</w:t>
      </w:r>
      <w:r w:rsidR="00815048">
        <w:t>s</w:t>
      </w:r>
      <w:r w:rsidRPr="00FF506F">
        <w:t xml:space="preserve"> new development as well as continued production from existing fields. </w:t>
      </w:r>
      <w:r>
        <w:t>T</w:t>
      </w:r>
      <w:r w:rsidRPr="00FF506F">
        <w:t>he BLM recognizes that there will be a greater degree of predictive uncertainty associated with estimates of new discoveries. The BLM prepared the</w:t>
      </w:r>
      <w:r>
        <w:t>se</w:t>
      </w:r>
      <w:r w:rsidRPr="00FF506F">
        <w:t xml:space="preserve"> RFDs in compliance with Washington Office Instruction Memorandum 2004-89. </w:t>
      </w:r>
      <w:r w:rsidRPr="62F6EE0C">
        <w:rPr>
          <w:rFonts w:cs="Times New Roman"/>
        </w:rPr>
        <w:t xml:space="preserve"> </w:t>
      </w:r>
    </w:p>
    <w:p w14:paraId="675CC2FE" w14:textId="20DEF11B" w:rsidR="008F48AC" w:rsidRDefault="008F48AC" w:rsidP="00BE40CA">
      <w:pPr>
        <w:pStyle w:val="BodyText"/>
      </w:pPr>
      <w:r>
        <w:t xml:space="preserve">To estimate the 2025 Quarter 2 parcel-specific </w:t>
      </w:r>
      <w:r w:rsidR="00431C60">
        <w:t>potential</w:t>
      </w:r>
      <w:r>
        <w:t xml:space="preserve"> development for the purposes of NEPA analysis, the BLM considered the </w:t>
      </w:r>
      <w:r w:rsidR="00E37E4E" w:rsidRPr="62F6EE0C">
        <w:rPr>
          <w:rFonts w:cs="Times New Roman"/>
        </w:rPr>
        <w:t xml:space="preserve">Monument Butte-Red Wash </w:t>
      </w:r>
      <w:r>
        <w:t xml:space="preserve">RFD. The BLM also considered more recent data from BLM experience, existing well production, new permitting, geologic studies, and economic studies and projections. The BLM gathered the more recent information from BLM experts, industry </w:t>
      </w:r>
      <w:r>
        <w:lastRenderedPageBreak/>
        <w:t xml:space="preserve">professionals, the Energy </w:t>
      </w:r>
      <w:proofErr w:type="gramStart"/>
      <w:r>
        <w:t>Policy</w:t>
      </w:r>
      <w:proofErr w:type="gramEnd"/>
      <w:r>
        <w:t xml:space="preserve"> and Conservation Act (EPCA) Oil and Gas Inventory Report, the Utah Division of Oil, Gas, and Mining, and the Utah Geological Survey.</w:t>
      </w:r>
    </w:p>
    <w:p w14:paraId="38F51800" w14:textId="4049D997" w:rsidR="002D682D" w:rsidRPr="00FF506F" w:rsidRDefault="008F48AC" w:rsidP="009F5AD0">
      <w:pPr>
        <w:pStyle w:val="BodyText"/>
      </w:pPr>
      <w:r>
        <w:t>Based on current development of surrounding leases</w:t>
      </w:r>
      <w:r w:rsidR="004A04EA">
        <w:t>, i</w:t>
      </w:r>
      <w:r>
        <w:t xml:space="preserve">t is assumed that </w:t>
      </w:r>
      <w:r w:rsidR="008753B9">
        <w:t>potential development would occur</w:t>
      </w:r>
      <w:r>
        <w:t xml:space="preserve"> </w:t>
      </w:r>
      <w:r w:rsidR="00596EDF">
        <w:t xml:space="preserve">entirely on </w:t>
      </w:r>
      <w:r w:rsidR="00AE6E84">
        <w:t xml:space="preserve">the </w:t>
      </w:r>
      <w:r w:rsidR="008753B9">
        <w:t>nominated</w:t>
      </w:r>
      <w:r w:rsidR="00AE6E84">
        <w:t xml:space="preserve"> </w:t>
      </w:r>
      <w:r w:rsidR="00596EDF">
        <w:t xml:space="preserve">lease </w:t>
      </w:r>
      <w:r w:rsidR="00AE6E84">
        <w:t xml:space="preserve">parcels </w:t>
      </w:r>
      <w:r w:rsidR="00674BC7">
        <w:t>and</w:t>
      </w:r>
      <w:r w:rsidR="00596EDF">
        <w:t xml:space="preserve"> </w:t>
      </w:r>
      <w:r>
        <w:t xml:space="preserve">on multi-well pads. </w:t>
      </w:r>
      <w:r w:rsidR="00D53D5D">
        <w:t xml:space="preserve">It is assumed that </w:t>
      </w:r>
      <w:r w:rsidR="0074557B">
        <w:t xml:space="preserve">all development would </w:t>
      </w:r>
      <w:r w:rsidR="00200DDE">
        <w:t>occur</w:t>
      </w:r>
      <w:r w:rsidR="0074557B">
        <w:t xml:space="preserve"> on</w:t>
      </w:r>
      <w:r w:rsidR="00326A47">
        <w:t xml:space="preserve"> the parcels</w:t>
      </w:r>
      <w:r w:rsidR="0074557B">
        <w:t xml:space="preserve"> because</w:t>
      </w:r>
      <w:r w:rsidR="00D53D5D">
        <w:t xml:space="preserve"> </w:t>
      </w:r>
      <w:r w:rsidR="00D910CC">
        <w:t>applicable</w:t>
      </w:r>
      <w:r w:rsidR="0074557B">
        <w:t xml:space="preserve"> </w:t>
      </w:r>
      <w:r w:rsidR="005874B9">
        <w:t>no surface occupancy (</w:t>
      </w:r>
      <w:r w:rsidR="00D60CCE">
        <w:t>NSO</w:t>
      </w:r>
      <w:r w:rsidR="005874B9">
        <w:t>)</w:t>
      </w:r>
      <w:r w:rsidR="00D60CCE">
        <w:t xml:space="preserve"> stipulations </w:t>
      </w:r>
      <w:r w:rsidR="00AF712F">
        <w:t xml:space="preserve">target specific </w:t>
      </w:r>
      <w:r w:rsidR="002E4072">
        <w:t xml:space="preserve">resources </w:t>
      </w:r>
      <w:r w:rsidR="00FA6BE5">
        <w:t>that are</w:t>
      </w:r>
      <w:r w:rsidR="00361638">
        <w:t xml:space="preserve"> not</w:t>
      </w:r>
      <w:r w:rsidR="0072655D">
        <w:t xml:space="preserve"> </w:t>
      </w:r>
      <w:r w:rsidR="00FA6BE5">
        <w:t>present on</w:t>
      </w:r>
      <w:r w:rsidR="00BE4109">
        <w:t xml:space="preserve"> </w:t>
      </w:r>
      <w:r w:rsidR="00715B4B">
        <w:t>most</w:t>
      </w:r>
      <w:r w:rsidR="00BE4109">
        <w:t xml:space="preserve"> of the </w:t>
      </w:r>
      <w:r w:rsidR="0012650B">
        <w:t xml:space="preserve">proposed </w:t>
      </w:r>
      <w:r w:rsidR="009056E9">
        <w:t xml:space="preserve">lease area. </w:t>
      </w:r>
      <w:r>
        <w:t xml:space="preserve">Current development </w:t>
      </w:r>
      <w:r w:rsidR="00180C4E">
        <w:t xml:space="preserve">of </w:t>
      </w:r>
      <w:r w:rsidR="00A14743">
        <w:t>surrounding leases</w:t>
      </w:r>
      <w:r>
        <w:t xml:space="preserve"> is on 32-well pads that require 25 acres of disturbance for the pads, roads, pipelines, and powerlines. This results in a disturbance ratio of 0.8 acre per well bore. This ratio was rounded up to approximately </w:t>
      </w:r>
      <w:r w:rsidR="00750F03">
        <w:t>one</w:t>
      </w:r>
      <w:r>
        <w:t xml:space="preserve"> acre of disturbance per well bore to simplify the calculations and to account for the possibility of longer roads and routes for infrastructure.</w:t>
      </w:r>
    </w:p>
    <w:p w14:paraId="590AC2B6" w14:textId="35995D05" w:rsidR="002D682D" w:rsidRPr="00FF506F" w:rsidRDefault="002D682D" w:rsidP="002D682D">
      <w:pPr>
        <w:spacing w:after="160" w:line="259" w:lineRule="auto"/>
      </w:pPr>
      <w:r w:rsidRPr="00FF506F">
        <w:t xml:space="preserve">The number of wells on each parcel was estimated based on </w:t>
      </w:r>
      <w:r w:rsidR="00A44EA2">
        <w:t xml:space="preserve">the development pattern of </w:t>
      </w:r>
      <w:r w:rsidR="00B36465">
        <w:t xml:space="preserve">surrounding leases. </w:t>
      </w:r>
      <w:r w:rsidR="00FE7441">
        <w:t xml:space="preserve">The observed development pattern </w:t>
      </w:r>
      <w:r w:rsidR="00DF50A8">
        <w:t xml:space="preserve">for the surrounding leases is consistent with </w:t>
      </w:r>
      <w:r w:rsidR="001971C1">
        <w:t xml:space="preserve">the standard </w:t>
      </w:r>
      <w:r w:rsidR="003A4660">
        <w:t>S</w:t>
      </w:r>
      <w:r w:rsidR="001971C1">
        <w:t>tate siting rule</w:t>
      </w:r>
      <w:sdt>
        <w:sdtPr>
          <w:id w:val="-72130251"/>
          <w:citation/>
        </w:sdtPr>
        <w:sdtContent>
          <w:r w:rsidR="00E46E21">
            <w:fldChar w:fldCharType="begin"/>
          </w:r>
          <w:r w:rsidR="00E46E21">
            <w:instrText xml:space="preserve"> CITATION Uta20 \l 1033 </w:instrText>
          </w:r>
          <w:r w:rsidR="00E46E21">
            <w:fldChar w:fldCharType="separate"/>
          </w:r>
          <w:r w:rsidR="0093463A">
            <w:rPr>
              <w:noProof/>
            </w:rPr>
            <w:t xml:space="preserve"> (Utah, 2020)</w:t>
          </w:r>
          <w:r w:rsidR="00E46E21">
            <w:fldChar w:fldCharType="end"/>
          </w:r>
        </w:sdtContent>
      </w:sdt>
      <w:r w:rsidR="00C47914">
        <w:t xml:space="preserve"> </w:t>
      </w:r>
      <w:r w:rsidR="00C36F2A">
        <w:t>of</w:t>
      </w:r>
      <w:r w:rsidR="001971C1">
        <w:t xml:space="preserve"> one well</w:t>
      </w:r>
      <w:r w:rsidR="000B2C9C">
        <w:t xml:space="preserve"> per </w:t>
      </w:r>
      <w:r w:rsidR="001971C1">
        <w:t xml:space="preserve">40 acres. </w:t>
      </w:r>
    </w:p>
    <w:p w14:paraId="35B732AD" w14:textId="01CDDC2F" w:rsidR="008E6745" w:rsidRDefault="001D2905" w:rsidP="005A51C0">
      <w:pPr>
        <w:pStyle w:val="BodyText"/>
        <w:rPr>
          <w:b/>
          <w:bCs/>
        </w:rPr>
      </w:pPr>
      <w:r>
        <w:rPr>
          <w:rStyle w:val="BodyTextChar"/>
        </w:rPr>
        <w:t>The BLM identified and reviewed t</w:t>
      </w:r>
      <w:r w:rsidR="008E6745" w:rsidRPr="006115F7">
        <w:rPr>
          <w:rStyle w:val="BodyTextChar"/>
        </w:rPr>
        <w:t>en comparable wells in T7S-R22E Sec 15, 16, 21, and 22. Estimated gas production is based on the total Estimated Ultimate Recovery (EUR) of 5</w:t>
      </w:r>
      <w:r w:rsidR="00F14F46">
        <w:rPr>
          <w:rStyle w:val="BodyTextChar"/>
        </w:rPr>
        <w:t xml:space="preserve"> </w:t>
      </w:r>
      <w:r w:rsidR="00986EA3">
        <w:rPr>
          <w:rStyle w:val="BodyTextChar"/>
        </w:rPr>
        <w:t>billion</w:t>
      </w:r>
      <w:r w:rsidR="00F14F46">
        <w:rPr>
          <w:rStyle w:val="BodyTextChar"/>
        </w:rPr>
        <w:t xml:space="preserve"> Cubic Feet (</w:t>
      </w:r>
      <w:r w:rsidR="008E6745" w:rsidRPr="006115F7">
        <w:rPr>
          <w:rStyle w:val="BodyTextChar"/>
        </w:rPr>
        <w:t>B</w:t>
      </w:r>
      <w:r w:rsidR="00F14F46">
        <w:rPr>
          <w:rStyle w:val="BodyTextChar"/>
        </w:rPr>
        <w:t>cf)</w:t>
      </w:r>
      <w:r w:rsidR="008E6745" w:rsidRPr="006115F7">
        <w:rPr>
          <w:rStyle w:val="BodyTextChar"/>
        </w:rPr>
        <w:t xml:space="preserve"> (5</w:t>
      </w:r>
      <w:r w:rsidR="009B464B">
        <w:rPr>
          <w:rStyle w:val="BodyTextChar"/>
        </w:rPr>
        <w:t>,</w:t>
      </w:r>
      <w:r w:rsidR="008E6745" w:rsidRPr="006115F7">
        <w:rPr>
          <w:rStyle w:val="BodyTextChar"/>
        </w:rPr>
        <w:t>000</w:t>
      </w:r>
      <w:r w:rsidR="009B464B">
        <w:rPr>
          <w:rStyle w:val="BodyTextChar"/>
        </w:rPr>
        <w:t>,</w:t>
      </w:r>
      <w:r w:rsidR="008E6745" w:rsidRPr="006115F7">
        <w:rPr>
          <w:rStyle w:val="BodyTextChar"/>
        </w:rPr>
        <w:t xml:space="preserve">000 mcf) as reported on the ten wells reviewed. Estimated oil production is based on the ratio of 10 BBLs oil per </w:t>
      </w:r>
      <w:r w:rsidR="009B464B">
        <w:rPr>
          <w:rStyle w:val="BodyTextChar"/>
        </w:rPr>
        <w:t>one</w:t>
      </w:r>
      <w:r w:rsidR="00EE4678">
        <w:rPr>
          <w:rStyle w:val="BodyTextChar"/>
        </w:rPr>
        <w:t xml:space="preserve"> thousand cubic foot</w:t>
      </w:r>
      <w:r w:rsidR="008E6745" w:rsidRPr="006115F7">
        <w:rPr>
          <w:rStyle w:val="BodyTextChar"/>
        </w:rPr>
        <w:t xml:space="preserve"> </w:t>
      </w:r>
      <w:r w:rsidR="00EE4678">
        <w:rPr>
          <w:rStyle w:val="BodyTextChar"/>
        </w:rPr>
        <w:t>(</w:t>
      </w:r>
      <w:r w:rsidR="008E6745" w:rsidRPr="006115F7">
        <w:rPr>
          <w:rStyle w:val="BodyTextChar"/>
        </w:rPr>
        <w:t>mcf</w:t>
      </w:r>
      <w:r w:rsidR="00EE4678">
        <w:rPr>
          <w:rStyle w:val="BodyTextChar"/>
        </w:rPr>
        <w:t>)</w:t>
      </w:r>
      <w:r w:rsidR="008E6745" w:rsidRPr="006115F7">
        <w:rPr>
          <w:rStyle w:val="BodyTextChar"/>
        </w:rPr>
        <w:t xml:space="preserve"> gas. Estimated water production is based on the ratio of 70 BBLs water per 1,000 mcf gas. These ratios were developed from the production review of the ten wells.</w:t>
      </w:r>
    </w:p>
    <w:p w14:paraId="5D4A6A94" w14:textId="164BAFD9" w:rsidR="002D682D" w:rsidRPr="00544B50" w:rsidRDefault="00760902" w:rsidP="005A51C0">
      <w:pPr>
        <w:pStyle w:val="BodyText"/>
        <w:rPr>
          <w:b/>
          <w:bCs/>
        </w:rPr>
      </w:pPr>
      <w:r>
        <w:t xml:space="preserve">The </w:t>
      </w:r>
      <w:r w:rsidR="0057452E">
        <w:t>BLM’s e</w:t>
      </w:r>
      <w:r w:rsidR="00C924D8" w:rsidRPr="00D24361">
        <w:t>stimates of f</w:t>
      </w:r>
      <w:r w:rsidR="006831C2" w:rsidRPr="00D24361">
        <w:t xml:space="preserve">oreseeable </w:t>
      </w:r>
      <w:r w:rsidR="00C924D8">
        <w:t xml:space="preserve">well </w:t>
      </w:r>
      <w:r w:rsidR="006831C2" w:rsidRPr="00D24361">
        <w:t>development</w:t>
      </w:r>
      <w:r w:rsidR="00C924D8">
        <w:t xml:space="preserve">, surface disturbance, oil and gas production, and produced water </w:t>
      </w:r>
      <w:r w:rsidR="002270E3">
        <w:t>associated with</w:t>
      </w:r>
      <w:r w:rsidR="00963EAB" w:rsidRPr="00D24361">
        <w:t xml:space="preserve"> parcels</w:t>
      </w:r>
      <w:r w:rsidR="00DB1527">
        <w:t xml:space="preserve"> 1551 and 7688</w:t>
      </w:r>
      <w:r w:rsidR="00963EAB" w:rsidRPr="00D24361">
        <w:t xml:space="preserve"> </w:t>
      </w:r>
      <w:r w:rsidR="00C924D8">
        <w:t>are</w:t>
      </w:r>
      <w:r w:rsidR="00963EAB" w:rsidRPr="00D24361">
        <w:t xml:space="preserve"> </w:t>
      </w:r>
      <w:r w:rsidR="009B464B">
        <w:t>provided</w:t>
      </w:r>
      <w:r w:rsidR="00963EAB" w:rsidRPr="00D24361">
        <w:t xml:space="preserve"> in Tables 3 and 4.</w:t>
      </w:r>
    </w:p>
    <w:p w14:paraId="37F7A318" w14:textId="0A8D595F" w:rsidR="00E839B3" w:rsidRDefault="00E839B3" w:rsidP="00865AFF">
      <w:pPr>
        <w:pStyle w:val="Caption"/>
      </w:pPr>
      <w:bookmarkStart w:id="91" w:name="_Toc179464286"/>
      <w:bookmarkStart w:id="92" w:name="_Toc170114941"/>
      <w:r>
        <w:t xml:space="preserve">Table </w:t>
      </w:r>
      <w:r w:rsidR="00BB3F01">
        <w:fldChar w:fldCharType="begin"/>
      </w:r>
      <w:r w:rsidR="00BB3F01">
        <w:instrText xml:space="preserve"> SEQ Table \* ARABIC </w:instrText>
      </w:r>
      <w:r w:rsidR="00BB3F01">
        <w:fldChar w:fldCharType="separate"/>
      </w:r>
      <w:r w:rsidR="00BB3F01">
        <w:rPr>
          <w:noProof/>
        </w:rPr>
        <w:t>5</w:t>
      </w:r>
      <w:r w:rsidR="00BB3F01">
        <w:rPr>
          <w:noProof/>
        </w:rPr>
        <w:fldChar w:fldCharType="end"/>
      </w:r>
      <w:r>
        <w:t xml:space="preserve"> </w:t>
      </w:r>
      <w:r w:rsidRPr="00EF2F40">
        <w:t>Reasonably Foreseeable Development</w:t>
      </w:r>
      <w:bookmarkEnd w:id="91"/>
      <w:bookmarkEnd w:id="92"/>
    </w:p>
    <w:tbl>
      <w:tblPr>
        <w:tblStyle w:val="TableGrid"/>
        <w:tblW w:w="5000" w:type="pct"/>
        <w:tblLook w:val="04A0" w:firstRow="1" w:lastRow="0" w:firstColumn="1" w:lastColumn="0" w:noHBand="0" w:noVBand="1"/>
        <w:tblDescription w:val="Reasonably Foreseeable Development"/>
      </w:tblPr>
      <w:tblGrid>
        <w:gridCol w:w="3778"/>
        <w:gridCol w:w="2786"/>
        <w:gridCol w:w="2786"/>
      </w:tblGrid>
      <w:tr w:rsidR="002D682D" w:rsidRPr="00FF506F" w14:paraId="6AD4F84A" w14:textId="77777777" w:rsidTr="004B76E9">
        <w:trPr>
          <w:tblHeader/>
        </w:trPr>
        <w:tc>
          <w:tcPr>
            <w:tcW w:w="3778" w:type="dxa"/>
            <w:shd w:val="clear" w:color="auto" w:fill="F2F2F2" w:themeFill="background1" w:themeFillShade="F2"/>
          </w:tcPr>
          <w:p w14:paraId="720F3487" w14:textId="3797359D" w:rsidR="002D682D" w:rsidRPr="00FF506F" w:rsidRDefault="002D682D" w:rsidP="00A5060F">
            <w:pPr>
              <w:pStyle w:val="Caption"/>
            </w:pPr>
            <w:r w:rsidRPr="00FF506F">
              <w:t>Parcel</w:t>
            </w:r>
          </w:p>
        </w:tc>
        <w:tc>
          <w:tcPr>
            <w:tcW w:w="2786" w:type="dxa"/>
            <w:shd w:val="clear" w:color="auto" w:fill="F2F2F2" w:themeFill="background1" w:themeFillShade="F2"/>
          </w:tcPr>
          <w:p w14:paraId="4C5F0685" w14:textId="44EA36C4" w:rsidR="002D682D" w:rsidRPr="00FF506F" w:rsidRDefault="002D682D" w:rsidP="00A5060F">
            <w:pPr>
              <w:pStyle w:val="Caption"/>
            </w:pPr>
            <w:r w:rsidRPr="00FF506F">
              <w:t xml:space="preserve">Foreseeable Wells Assumption (For </w:t>
            </w:r>
            <w:r w:rsidR="000334EE" w:rsidRPr="00D92B41">
              <w:t>N</w:t>
            </w:r>
            <w:r w:rsidR="00F30444">
              <w:t>EPA</w:t>
            </w:r>
            <w:r w:rsidRPr="00FF506F">
              <w:t xml:space="preserve"> Analy</w:t>
            </w:r>
            <w:r>
              <w:t>s</w:t>
            </w:r>
            <w:r w:rsidRPr="00FF506F">
              <w:t>es)</w:t>
            </w:r>
          </w:p>
        </w:tc>
        <w:tc>
          <w:tcPr>
            <w:tcW w:w="2786" w:type="dxa"/>
            <w:shd w:val="clear" w:color="auto" w:fill="F2F2F2" w:themeFill="background1" w:themeFillShade="F2"/>
          </w:tcPr>
          <w:p w14:paraId="7489F04F" w14:textId="009C6183" w:rsidR="002D682D" w:rsidRPr="00FF506F" w:rsidRDefault="002D682D" w:rsidP="00A5060F">
            <w:pPr>
              <w:pStyle w:val="Caption"/>
            </w:pPr>
            <w:r w:rsidRPr="00FF506F">
              <w:t>Surface Disturbance Assumption (Acres)</w:t>
            </w:r>
          </w:p>
        </w:tc>
      </w:tr>
      <w:tr w:rsidR="002D682D" w:rsidRPr="00FF506F" w14:paraId="68283F39" w14:textId="77777777" w:rsidTr="004B76E9">
        <w:tc>
          <w:tcPr>
            <w:tcW w:w="3778" w:type="dxa"/>
          </w:tcPr>
          <w:p w14:paraId="074616D0" w14:textId="7AB53629" w:rsidR="002D682D" w:rsidRPr="00FF506F" w:rsidRDefault="002D682D">
            <w:pPr>
              <w:spacing w:after="160" w:line="259" w:lineRule="auto"/>
            </w:pPr>
            <w:r>
              <w:t>1551</w:t>
            </w:r>
          </w:p>
        </w:tc>
        <w:tc>
          <w:tcPr>
            <w:tcW w:w="2786" w:type="dxa"/>
          </w:tcPr>
          <w:p w14:paraId="26E5DAA4" w14:textId="77777777" w:rsidR="002D682D" w:rsidRPr="00FF506F" w:rsidRDefault="002D682D">
            <w:pPr>
              <w:spacing w:after="160" w:line="259" w:lineRule="auto"/>
            </w:pPr>
            <w:r>
              <w:t>15</w:t>
            </w:r>
          </w:p>
        </w:tc>
        <w:tc>
          <w:tcPr>
            <w:tcW w:w="2786" w:type="dxa"/>
          </w:tcPr>
          <w:p w14:paraId="5B019E71" w14:textId="77777777" w:rsidR="002D682D" w:rsidRPr="00FF506F" w:rsidRDefault="002D682D">
            <w:pPr>
              <w:spacing w:after="160" w:line="259" w:lineRule="auto"/>
            </w:pPr>
            <w:r>
              <w:t>15</w:t>
            </w:r>
          </w:p>
        </w:tc>
      </w:tr>
      <w:tr w:rsidR="002D682D" w:rsidRPr="00FF506F" w14:paraId="277A9927" w14:textId="77777777" w:rsidTr="004B76E9">
        <w:tc>
          <w:tcPr>
            <w:tcW w:w="3778" w:type="dxa"/>
          </w:tcPr>
          <w:p w14:paraId="6B0E564E" w14:textId="3140F017" w:rsidR="002D682D" w:rsidRPr="00FF506F" w:rsidRDefault="002D682D" w:rsidP="00A5060F">
            <w:pPr>
              <w:keepNext/>
              <w:spacing w:after="160" w:line="259" w:lineRule="auto"/>
            </w:pPr>
            <w:r>
              <w:t>7688</w:t>
            </w:r>
          </w:p>
        </w:tc>
        <w:tc>
          <w:tcPr>
            <w:tcW w:w="2786" w:type="dxa"/>
          </w:tcPr>
          <w:p w14:paraId="2011DE0E" w14:textId="77777777" w:rsidR="002D682D" w:rsidRPr="00FF506F" w:rsidRDefault="002D682D">
            <w:pPr>
              <w:spacing w:after="160" w:line="259" w:lineRule="auto"/>
            </w:pPr>
            <w:r>
              <w:t>5</w:t>
            </w:r>
          </w:p>
        </w:tc>
        <w:tc>
          <w:tcPr>
            <w:tcW w:w="2786" w:type="dxa"/>
          </w:tcPr>
          <w:p w14:paraId="68809254" w14:textId="77777777" w:rsidR="002D682D" w:rsidRPr="00FF506F" w:rsidRDefault="002D682D">
            <w:pPr>
              <w:spacing w:after="160" w:line="259" w:lineRule="auto"/>
            </w:pPr>
            <w:r>
              <w:t>5</w:t>
            </w:r>
          </w:p>
        </w:tc>
      </w:tr>
      <w:tr w:rsidR="002D682D" w:rsidRPr="00FF506F" w14:paraId="47A694A6" w14:textId="77777777" w:rsidTr="004B76E9">
        <w:tc>
          <w:tcPr>
            <w:tcW w:w="3778" w:type="dxa"/>
          </w:tcPr>
          <w:p w14:paraId="25523194" w14:textId="77777777" w:rsidR="002D682D" w:rsidRPr="00FF506F" w:rsidRDefault="002D682D">
            <w:pPr>
              <w:spacing w:after="160" w:line="259" w:lineRule="auto"/>
            </w:pPr>
            <w:r>
              <w:t>Total:</w:t>
            </w:r>
          </w:p>
        </w:tc>
        <w:tc>
          <w:tcPr>
            <w:tcW w:w="2786" w:type="dxa"/>
          </w:tcPr>
          <w:p w14:paraId="5D44CE62" w14:textId="77777777" w:rsidR="002D682D" w:rsidRPr="00FF506F" w:rsidRDefault="002D682D">
            <w:pPr>
              <w:spacing w:after="160" w:line="259" w:lineRule="auto"/>
            </w:pPr>
            <w:r>
              <w:t>20</w:t>
            </w:r>
          </w:p>
        </w:tc>
        <w:tc>
          <w:tcPr>
            <w:tcW w:w="2786" w:type="dxa"/>
          </w:tcPr>
          <w:p w14:paraId="33AE7AB7" w14:textId="205F0BEB" w:rsidR="002D682D" w:rsidRPr="00FF506F" w:rsidRDefault="002D682D">
            <w:pPr>
              <w:spacing w:after="160" w:line="259" w:lineRule="auto"/>
            </w:pPr>
            <w:r>
              <w:t>20</w:t>
            </w:r>
          </w:p>
        </w:tc>
      </w:tr>
    </w:tbl>
    <w:p w14:paraId="5CA179CC" w14:textId="6AEA87ED" w:rsidR="002D682D" w:rsidRPr="002D682D" w:rsidRDefault="002D682D" w:rsidP="002D682D">
      <w:pPr>
        <w:pStyle w:val="TableTitle"/>
        <w:rPr>
          <w:rFonts w:hint="eastAsia"/>
          <w:b w:val="0"/>
          <w:bCs w:val="0"/>
        </w:rPr>
      </w:pPr>
    </w:p>
    <w:p w14:paraId="31F4E706" w14:textId="2885949E" w:rsidR="00E839B3" w:rsidRDefault="00E839B3" w:rsidP="00865AFF">
      <w:pPr>
        <w:pStyle w:val="Caption"/>
      </w:pPr>
      <w:bookmarkStart w:id="93" w:name="_Toc179464287"/>
      <w:bookmarkStart w:id="94" w:name="_Toc170114942"/>
      <w:r>
        <w:t xml:space="preserve">Table </w:t>
      </w:r>
      <w:r w:rsidR="00BB3F01">
        <w:fldChar w:fldCharType="begin"/>
      </w:r>
      <w:r w:rsidR="00BB3F01">
        <w:instrText xml:space="preserve"> SEQ Table \* ARABIC </w:instrText>
      </w:r>
      <w:r w:rsidR="00BB3F01">
        <w:fldChar w:fldCharType="separate"/>
      </w:r>
      <w:r w:rsidR="00BB3F01">
        <w:rPr>
          <w:noProof/>
        </w:rPr>
        <w:t>6</w:t>
      </w:r>
      <w:r w:rsidR="00BB3F01">
        <w:rPr>
          <w:noProof/>
        </w:rPr>
        <w:fldChar w:fldCharType="end"/>
      </w:r>
      <w:r>
        <w:t xml:space="preserve"> </w:t>
      </w:r>
      <w:r w:rsidRPr="00142D55">
        <w:t>Estimated Well Count and Production for the Nominated Lease Parcels</w:t>
      </w:r>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00" w:firstRow="0" w:lastRow="0" w:firstColumn="0" w:lastColumn="0" w:noHBand="0" w:noVBand="1"/>
        <w:tblDescription w:val="Estimated Well Count and Production for the Nominated Lease Parcels"/>
      </w:tblPr>
      <w:tblGrid>
        <w:gridCol w:w="1312"/>
        <w:gridCol w:w="1275"/>
        <w:gridCol w:w="1275"/>
        <w:gridCol w:w="1275"/>
        <w:gridCol w:w="1275"/>
        <w:gridCol w:w="1275"/>
        <w:gridCol w:w="1663"/>
      </w:tblGrid>
      <w:tr w:rsidR="002D682D" w:rsidRPr="00FC0D2D" w14:paraId="42DE214A" w14:textId="77777777">
        <w:trPr>
          <w:cantSplit/>
          <w:tblHeader/>
        </w:trPr>
        <w:tc>
          <w:tcPr>
            <w:tcW w:w="1312" w:type="dxa"/>
            <w:shd w:val="clear" w:color="auto" w:fill="F2F2F2" w:themeFill="background1" w:themeFillShade="F2"/>
            <w:vAlign w:val="center"/>
          </w:tcPr>
          <w:p w14:paraId="39CA6A9D" w14:textId="57B41093" w:rsidR="002D682D" w:rsidRPr="006371E9" w:rsidRDefault="002D682D">
            <w:pPr>
              <w:pStyle w:val="TableHeading"/>
              <w:jc w:val="center"/>
              <w:rPr>
                <w:rFonts w:ascii="Times New Roman" w:eastAsia="Times" w:hAnsi="Times New Roman" w:cs="Times New Roman"/>
                <w:sz w:val="20"/>
                <w:vertAlign w:val="superscript"/>
              </w:rPr>
            </w:pPr>
            <w:r w:rsidRPr="006371E9">
              <w:rPr>
                <w:rFonts w:ascii="Times New Roman" w:eastAsia="Times" w:hAnsi="Times New Roman" w:cs="Times New Roman"/>
                <w:sz w:val="20"/>
              </w:rPr>
              <w:t>SME</w:t>
            </w:r>
            <w:r w:rsidR="009B464B">
              <w:rPr>
                <w:rFonts w:ascii="Times New Roman" w:eastAsia="Times" w:hAnsi="Times New Roman" w:cs="Times New Roman"/>
                <w:sz w:val="20"/>
              </w:rPr>
              <w:t>/</w:t>
            </w:r>
            <w:r w:rsidR="00D51E71">
              <w:rPr>
                <w:rFonts w:ascii="Times New Roman" w:eastAsia="Times" w:hAnsi="Times New Roman" w:cs="Times New Roman"/>
                <w:sz w:val="20"/>
              </w:rPr>
              <w:t xml:space="preserve"> </w:t>
            </w:r>
            <w:r w:rsidR="009B464B">
              <w:rPr>
                <w:rFonts w:ascii="Times New Roman" w:eastAsia="Times" w:hAnsi="Times New Roman" w:cs="Times New Roman"/>
                <w:sz w:val="20"/>
              </w:rPr>
              <w:t>PARCE</w:t>
            </w:r>
            <w:r w:rsidR="00D51E71">
              <w:rPr>
                <w:rFonts w:ascii="Times New Roman" w:eastAsia="Times" w:hAnsi="Times New Roman" w:cs="Times New Roman"/>
                <w:sz w:val="20"/>
              </w:rPr>
              <w:t>L</w:t>
            </w:r>
          </w:p>
        </w:tc>
        <w:tc>
          <w:tcPr>
            <w:tcW w:w="1275" w:type="dxa"/>
            <w:shd w:val="clear" w:color="auto" w:fill="F2F2F2" w:themeFill="background1" w:themeFillShade="F2"/>
            <w:vAlign w:val="center"/>
          </w:tcPr>
          <w:p w14:paraId="2568EB45" w14:textId="77777777" w:rsidR="002D682D" w:rsidRPr="006371E9" w:rsidRDefault="002D682D">
            <w:pPr>
              <w:pStyle w:val="TableHeadingCentered"/>
              <w:keepNext w:val="0"/>
              <w:keepLines w:val="0"/>
              <w:rPr>
                <w:rFonts w:ascii="Times New Roman" w:eastAsia="Times" w:hAnsi="Times New Roman" w:cs="Times New Roman"/>
                <w:sz w:val="20"/>
              </w:rPr>
            </w:pPr>
            <w:r w:rsidRPr="006371E9">
              <w:rPr>
                <w:rFonts w:ascii="Times New Roman" w:eastAsia="Times" w:hAnsi="Times New Roman" w:cs="Times New Roman"/>
                <w:sz w:val="20"/>
              </w:rPr>
              <w:t>Acres</w:t>
            </w:r>
          </w:p>
        </w:tc>
        <w:tc>
          <w:tcPr>
            <w:tcW w:w="1275" w:type="dxa"/>
            <w:shd w:val="clear" w:color="auto" w:fill="F2F2F2" w:themeFill="background1" w:themeFillShade="F2"/>
            <w:vAlign w:val="center"/>
          </w:tcPr>
          <w:p w14:paraId="45166E90" w14:textId="77777777" w:rsidR="002D682D" w:rsidRPr="006371E9" w:rsidRDefault="002D682D">
            <w:pPr>
              <w:pStyle w:val="TableHeadingCentered"/>
              <w:keepNext w:val="0"/>
              <w:keepLines w:val="0"/>
              <w:rPr>
                <w:rFonts w:ascii="Times New Roman" w:eastAsia="Times" w:hAnsi="Times New Roman" w:cs="Times New Roman"/>
                <w:sz w:val="20"/>
              </w:rPr>
            </w:pPr>
            <w:r w:rsidRPr="006371E9">
              <w:rPr>
                <w:rFonts w:ascii="Times New Roman" w:eastAsia="Times" w:hAnsi="Times New Roman" w:cs="Times New Roman"/>
                <w:sz w:val="20"/>
              </w:rPr>
              <w:t>Total Estimated Wells†</w:t>
            </w:r>
          </w:p>
        </w:tc>
        <w:tc>
          <w:tcPr>
            <w:tcW w:w="1275" w:type="dxa"/>
            <w:shd w:val="clear" w:color="auto" w:fill="F2F2F2" w:themeFill="background1" w:themeFillShade="F2"/>
            <w:vAlign w:val="center"/>
          </w:tcPr>
          <w:p w14:paraId="089C6282" w14:textId="77777777" w:rsidR="002D682D" w:rsidRPr="006371E9" w:rsidRDefault="002D682D">
            <w:pPr>
              <w:pStyle w:val="TableHeadingCentered"/>
              <w:keepNext w:val="0"/>
              <w:keepLines w:val="0"/>
              <w:rPr>
                <w:rFonts w:ascii="Times New Roman" w:eastAsia="Times" w:hAnsi="Times New Roman" w:cs="Times New Roman"/>
                <w:sz w:val="20"/>
              </w:rPr>
            </w:pPr>
            <w:r w:rsidRPr="006371E9">
              <w:rPr>
                <w:rFonts w:ascii="Times New Roman" w:eastAsia="Times" w:hAnsi="Times New Roman" w:cs="Times New Roman"/>
                <w:sz w:val="20"/>
              </w:rPr>
              <w:t>Surface Disturbance (acres)</w:t>
            </w:r>
          </w:p>
        </w:tc>
        <w:tc>
          <w:tcPr>
            <w:tcW w:w="1275" w:type="dxa"/>
            <w:shd w:val="clear" w:color="auto" w:fill="F2F2F2" w:themeFill="background1" w:themeFillShade="F2"/>
            <w:vAlign w:val="center"/>
          </w:tcPr>
          <w:p w14:paraId="727BC0AF" w14:textId="77777777" w:rsidR="002D682D" w:rsidRPr="006371E9" w:rsidRDefault="002D682D">
            <w:pPr>
              <w:pStyle w:val="TableHeadingCentered"/>
              <w:keepNext w:val="0"/>
              <w:keepLines w:val="0"/>
              <w:rPr>
                <w:rFonts w:ascii="Times New Roman" w:eastAsia="Times" w:hAnsi="Times New Roman" w:cs="Times New Roman"/>
                <w:sz w:val="20"/>
              </w:rPr>
            </w:pPr>
            <w:r w:rsidRPr="006371E9">
              <w:rPr>
                <w:rFonts w:ascii="Times New Roman" w:eastAsia="Times" w:hAnsi="Times New Roman" w:cs="Times New Roman"/>
                <w:sz w:val="20"/>
              </w:rPr>
              <w:t>Oil Production (</w:t>
            </w:r>
            <w:proofErr w:type="spellStart"/>
            <w:r w:rsidRPr="006371E9">
              <w:rPr>
                <w:rFonts w:ascii="Times New Roman" w:eastAsia="Times" w:hAnsi="Times New Roman" w:cs="Times New Roman"/>
                <w:sz w:val="20"/>
              </w:rPr>
              <w:t>bbl</w:t>
            </w:r>
            <w:proofErr w:type="spellEnd"/>
            <w:r w:rsidRPr="006371E9">
              <w:rPr>
                <w:rFonts w:ascii="Times New Roman" w:eastAsia="Times" w:hAnsi="Times New Roman" w:cs="Times New Roman"/>
                <w:sz w:val="20"/>
              </w:rPr>
              <w:t>)</w:t>
            </w:r>
          </w:p>
        </w:tc>
        <w:tc>
          <w:tcPr>
            <w:tcW w:w="1275" w:type="dxa"/>
            <w:shd w:val="clear" w:color="auto" w:fill="F2F2F2" w:themeFill="background1" w:themeFillShade="F2"/>
            <w:vAlign w:val="center"/>
          </w:tcPr>
          <w:p w14:paraId="109BE0E7" w14:textId="77777777" w:rsidR="002D682D" w:rsidRPr="006371E9" w:rsidRDefault="002D682D">
            <w:pPr>
              <w:pStyle w:val="TableHeadingCentered"/>
              <w:keepNext w:val="0"/>
              <w:keepLines w:val="0"/>
              <w:rPr>
                <w:rFonts w:ascii="Times New Roman" w:eastAsia="Times" w:hAnsi="Times New Roman" w:cs="Times New Roman"/>
                <w:sz w:val="20"/>
              </w:rPr>
            </w:pPr>
            <w:r w:rsidRPr="006371E9">
              <w:rPr>
                <w:rFonts w:ascii="Times New Roman" w:eastAsia="Times" w:hAnsi="Times New Roman" w:cs="Times New Roman"/>
                <w:sz w:val="20"/>
              </w:rPr>
              <w:t>Gas Production (mcf)</w:t>
            </w:r>
          </w:p>
        </w:tc>
        <w:tc>
          <w:tcPr>
            <w:tcW w:w="1663" w:type="dxa"/>
            <w:shd w:val="clear" w:color="auto" w:fill="F2F2F2" w:themeFill="background1" w:themeFillShade="F2"/>
            <w:vAlign w:val="center"/>
          </w:tcPr>
          <w:p w14:paraId="470FC3FA" w14:textId="77777777" w:rsidR="002D682D" w:rsidRPr="006371E9" w:rsidRDefault="002D682D">
            <w:pPr>
              <w:pStyle w:val="TableHeadingCentered"/>
              <w:keepNext w:val="0"/>
              <w:keepLines w:val="0"/>
              <w:rPr>
                <w:rFonts w:ascii="Times New Roman" w:eastAsia="Times" w:hAnsi="Times New Roman" w:cs="Times New Roman"/>
                <w:sz w:val="20"/>
              </w:rPr>
            </w:pPr>
            <w:r w:rsidRPr="006371E9">
              <w:rPr>
                <w:rFonts w:ascii="Times New Roman" w:eastAsia="Times" w:hAnsi="Times New Roman" w:cs="Times New Roman"/>
                <w:sz w:val="20"/>
              </w:rPr>
              <w:t>Produced Water Production</w:t>
            </w:r>
            <w:r>
              <w:rPr>
                <w:rFonts w:ascii="Times New Roman" w:eastAsia="Times" w:hAnsi="Times New Roman" w:cs="Times New Roman"/>
                <w:sz w:val="20"/>
              </w:rPr>
              <w:t>‡</w:t>
            </w:r>
            <w:r w:rsidRPr="006371E9">
              <w:rPr>
                <w:rFonts w:ascii="Times New Roman" w:eastAsia="Times" w:hAnsi="Times New Roman" w:cs="Times New Roman"/>
                <w:sz w:val="20"/>
              </w:rPr>
              <w:br/>
              <w:t>(</w:t>
            </w:r>
            <w:proofErr w:type="spellStart"/>
            <w:r w:rsidRPr="006371E9">
              <w:rPr>
                <w:rFonts w:ascii="Times New Roman" w:eastAsia="Times" w:hAnsi="Times New Roman" w:cs="Times New Roman"/>
                <w:sz w:val="20"/>
              </w:rPr>
              <w:t>bbl</w:t>
            </w:r>
            <w:proofErr w:type="spellEnd"/>
            <w:r w:rsidRPr="006371E9">
              <w:rPr>
                <w:rFonts w:ascii="Times New Roman" w:eastAsia="Times" w:hAnsi="Times New Roman" w:cs="Times New Roman"/>
                <w:sz w:val="20"/>
              </w:rPr>
              <w:t>)</w:t>
            </w:r>
          </w:p>
        </w:tc>
      </w:tr>
      <w:tr w:rsidR="00A42BE0" w:rsidRPr="00FC0D2D" w14:paraId="4D8F1811" w14:textId="77777777">
        <w:trPr>
          <w:cantSplit/>
        </w:trPr>
        <w:tc>
          <w:tcPr>
            <w:tcW w:w="1312" w:type="dxa"/>
          </w:tcPr>
          <w:p w14:paraId="310AAB6F" w14:textId="6F6022DA" w:rsidR="00A42BE0" w:rsidRPr="006371E9" w:rsidRDefault="00D51E71">
            <w:pPr>
              <w:pStyle w:val="TableTextLeft"/>
              <w:jc w:val="center"/>
              <w:rPr>
                <w:rFonts w:ascii="Times New Roman" w:hAnsi="Times New Roman"/>
                <w:color w:val="000000"/>
                <w:sz w:val="20"/>
                <w:szCs w:val="20"/>
              </w:rPr>
            </w:pPr>
            <w:r>
              <w:rPr>
                <w:rFonts w:ascii="Times New Roman" w:hAnsi="Times New Roman"/>
                <w:color w:val="000000"/>
                <w:sz w:val="20"/>
                <w:szCs w:val="20"/>
              </w:rPr>
              <w:t>BLM/</w:t>
            </w:r>
            <w:r w:rsidR="00A42BE0">
              <w:rPr>
                <w:rFonts w:ascii="Times New Roman" w:hAnsi="Times New Roman"/>
                <w:color w:val="000000"/>
                <w:sz w:val="20"/>
                <w:szCs w:val="20"/>
              </w:rPr>
              <w:t>1551</w:t>
            </w:r>
          </w:p>
        </w:tc>
        <w:tc>
          <w:tcPr>
            <w:tcW w:w="1275" w:type="dxa"/>
          </w:tcPr>
          <w:p w14:paraId="015F8896" w14:textId="7B50B844" w:rsidR="00A42BE0" w:rsidRDefault="00A7283D">
            <w:pPr>
              <w:pStyle w:val="TableTextCentered"/>
              <w:rPr>
                <w:rFonts w:ascii="Times New Roman" w:hAnsi="Times New Roman"/>
                <w:sz w:val="20"/>
                <w:szCs w:val="20"/>
              </w:rPr>
            </w:pPr>
            <w:r>
              <w:rPr>
                <w:rFonts w:ascii="Times New Roman" w:hAnsi="Times New Roman"/>
                <w:sz w:val="20"/>
                <w:szCs w:val="20"/>
              </w:rPr>
              <w:t>15</w:t>
            </w:r>
          </w:p>
        </w:tc>
        <w:tc>
          <w:tcPr>
            <w:tcW w:w="1275" w:type="dxa"/>
            <w:shd w:val="clear" w:color="auto" w:fill="auto"/>
          </w:tcPr>
          <w:p w14:paraId="49078C01" w14:textId="5D9503CB" w:rsidR="00A42BE0" w:rsidRDefault="00A7283D">
            <w:pPr>
              <w:pStyle w:val="TableTextCentered"/>
              <w:rPr>
                <w:rFonts w:ascii="Times New Roman" w:hAnsi="Times New Roman"/>
                <w:sz w:val="20"/>
                <w:szCs w:val="20"/>
              </w:rPr>
            </w:pPr>
            <w:r>
              <w:rPr>
                <w:rFonts w:ascii="Times New Roman" w:hAnsi="Times New Roman"/>
                <w:sz w:val="20"/>
                <w:szCs w:val="20"/>
              </w:rPr>
              <w:t>15</w:t>
            </w:r>
          </w:p>
        </w:tc>
        <w:tc>
          <w:tcPr>
            <w:tcW w:w="1275" w:type="dxa"/>
          </w:tcPr>
          <w:p w14:paraId="4192CDF8" w14:textId="134B8738" w:rsidR="00A42BE0" w:rsidRDefault="00A7283D">
            <w:pPr>
              <w:pStyle w:val="TableTextCentered"/>
              <w:rPr>
                <w:rFonts w:ascii="Times New Roman" w:hAnsi="Times New Roman"/>
                <w:sz w:val="20"/>
                <w:szCs w:val="20"/>
              </w:rPr>
            </w:pPr>
            <w:r>
              <w:rPr>
                <w:rFonts w:ascii="Times New Roman" w:hAnsi="Times New Roman"/>
                <w:sz w:val="20"/>
                <w:szCs w:val="20"/>
              </w:rPr>
              <w:t>15</w:t>
            </w:r>
          </w:p>
        </w:tc>
        <w:tc>
          <w:tcPr>
            <w:tcW w:w="1275" w:type="dxa"/>
            <w:shd w:val="clear" w:color="auto" w:fill="auto"/>
          </w:tcPr>
          <w:p w14:paraId="37F46C99" w14:textId="7120286D" w:rsidR="00A42BE0" w:rsidRPr="007364B4" w:rsidRDefault="007522B4">
            <w:pPr>
              <w:pStyle w:val="TableTextCentered"/>
              <w:rPr>
                <w:rFonts w:ascii="Times New Roman" w:hAnsi="Times New Roman"/>
                <w:sz w:val="20"/>
                <w:szCs w:val="20"/>
              </w:rPr>
            </w:pPr>
            <w:r>
              <w:rPr>
                <w:rFonts w:ascii="Times New Roman" w:hAnsi="Times New Roman"/>
                <w:sz w:val="20"/>
                <w:szCs w:val="20"/>
              </w:rPr>
              <w:t>3,750</w:t>
            </w:r>
          </w:p>
        </w:tc>
        <w:tc>
          <w:tcPr>
            <w:tcW w:w="1275" w:type="dxa"/>
            <w:shd w:val="clear" w:color="auto" w:fill="auto"/>
          </w:tcPr>
          <w:p w14:paraId="36F70AB1" w14:textId="7787E196" w:rsidR="00A42BE0" w:rsidRPr="007364B4" w:rsidRDefault="008556B0">
            <w:pPr>
              <w:pStyle w:val="TableTextCentered"/>
              <w:rPr>
                <w:rFonts w:ascii="Times New Roman" w:hAnsi="Times New Roman"/>
                <w:sz w:val="20"/>
                <w:szCs w:val="20"/>
              </w:rPr>
            </w:pPr>
            <w:r>
              <w:rPr>
                <w:rFonts w:ascii="Times New Roman" w:hAnsi="Times New Roman"/>
                <w:sz w:val="20"/>
                <w:szCs w:val="20"/>
              </w:rPr>
              <w:t>3,750,000</w:t>
            </w:r>
          </w:p>
        </w:tc>
        <w:tc>
          <w:tcPr>
            <w:tcW w:w="1663" w:type="dxa"/>
            <w:shd w:val="clear" w:color="auto" w:fill="auto"/>
          </w:tcPr>
          <w:p w14:paraId="3E61EB5D" w14:textId="53038F30" w:rsidR="00A42BE0" w:rsidRPr="007364B4" w:rsidRDefault="008877FC" w:rsidP="009B464B">
            <w:pPr>
              <w:pStyle w:val="TableTextCentered"/>
              <w:tabs>
                <w:tab w:val="left" w:pos="217"/>
              </w:tabs>
              <w:rPr>
                <w:rFonts w:ascii="Times New Roman" w:hAnsi="Times New Roman"/>
                <w:color w:val="000000"/>
                <w:sz w:val="20"/>
                <w:szCs w:val="20"/>
              </w:rPr>
            </w:pPr>
            <w:r>
              <w:rPr>
                <w:rFonts w:ascii="Times New Roman" w:hAnsi="Times New Roman"/>
                <w:color w:val="000000"/>
                <w:sz w:val="20"/>
                <w:szCs w:val="20"/>
              </w:rPr>
              <w:t>262,500</w:t>
            </w:r>
          </w:p>
        </w:tc>
      </w:tr>
      <w:tr w:rsidR="00A42BE0" w:rsidRPr="00FC0D2D" w14:paraId="76C7EFBA" w14:textId="77777777">
        <w:trPr>
          <w:cantSplit/>
        </w:trPr>
        <w:tc>
          <w:tcPr>
            <w:tcW w:w="1312" w:type="dxa"/>
          </w:tcPr>
          <w:p w14:paraId="059B1062" w14:textId="3C6A53F1" w:rsidR="00A42BE0" w:rsidRPr="006371E9" w:rsidRDefault="00D51E71">
            <w:pPr>
              <w:pStyle w:val="TableTextLeft"/>
              <w:jc w:val="center"/>
              <w:rPr>
                <w:rFonts w:ascii="Times New Roman" w:hAnsi="Times New Roman"/>
                <w:color w:val="000000"/>
                <w:sz w:val="20"/>
                <w:szCs w:val="20"/>
              </w:rPr>
            </w:pPr>
            <w:r>
              <w:rPr>
                <w:rFonts w:ascii="Times New Roman" w:hAnsi="Times New Roman"/>
                <w:color w:val="000000"/>
                <w:sz w:val="20"/>
                <w:szCs w:val="20"/>
              </w:rPr>
              <w:t>BLM/</w:t>
            </w:r>
            <w:r w:rsidR="00A7283D">
              <w:rPr>
                <w:rFonts w:ascii="Times New Roman" w:hAnsi="Times New Roman"/>
                <w:color w:val="000000"/>
                <w:sz w:val="20"/>
                <w:szCs w:val="20"/>
              </w:rPr>
              <w:t>7688</w:t>
            </w:r>
          </w:p>
        </w:tc>
        <w:tc>
          <w:tcPr>
            <w:tcW w:w="1275" w:type="dxa"/>
          </w:tcPr>
          <w:p w14:paraId="28D028AA" w14:textId="46EA55D2" w:rsidR="00A42BE0" w:rsidRDefault="00A7283D">
            <w:pPr>
              <w:pStyle w:val="TableTextCentered"/>
              <w:rPr>
                <w:rFonts w:ascii="Times New Roman" w:hAnsi="Times New Roman"/>
                <w:sz w:val="20"/>
                <w:szCs w:val="20"/>
              </w:rPr>
            </w:pPr>
            <w:r>
              <w:rPr>
                <w:rFonts w:ascii="Times New Roman" w:hAnsi="Times New Roman"/>
                <w:sz w:val="20"/>
                <w:szCs w:val="20"/>
              </w:rPr>
              <w:t>5</w:t>
            </w:r>
          </w:p>
        </w:tc>
        <w:tc>
          <w:tcPr>
            <w:tcW w:w="1275" w:type="dxa"/>
            <w:shd w:val="clear" w:color="auto" w:fill="auto"/>
          </w:tcPr>
          <w:p w14:paraId="54B4C9EA" w14:textId="3D9DFE66" w:rsidR="00A42BE0" w:rsidRDefault="00A7283D">
            <w:pPr>
              <w:pStyle w:val="TableTextCentered"/>
              <w:rPr>
                <w:rFonts w:ascii="Times New Roman" w:hAnsi="Times New Roman"/>
                <w:sz w:val="20"/>
                <w:szCs w:val="20"/>
              </w:rPr>
            </w:pPr>
            <w:r>
              <w:rPr>
                <w:rFonts w:ascii="Times New Roman" w:hAnsi="Times New Roman"/>
                <w:sz w:val="20"/>
                <w:szCs w:val="20"/>
              </w:rPr>
              <w:t>5</w:t>
            </w:r>
          </w:p>
        </w:tc>
        <w:tc>
          <w:tcPr>
            <w:tcW w:w="1275" w:type="dxa"/>
          </w:tcPr>
          <w:p w14:paraId="36B2ECC7" w14:textId="00587B3D" w:rsidR="00A42BE0" w:rsidRDefault="00A7283D">
            <w:pPr>
              <w:pStyle w:val="TableTextCentered"/>
              <w:rPr>
                <w:rFonts w:ascii="Times New Roman" w:hAnsi="Times New Roman"/>
                <w:sz w:val="20"/>
                <w:szCs w:val="20"/>
              </w:rPr>
            </w:pPr>
            <w:r>
              <w:rPr>
                <w:rFonts w:ascii="Times New Roman" w:hAnsi="Times New Roman"/>
                <w:sz w:val="20"/>
                <w:szCs w:val="20"/>
              </w:rPr>
              <w:t>5</w:t>
            </w:r>
          </w:p>
        </w:tc>
        <w:tc>
          <w:tcPr>
            <w:tcW w:w="1275" w:type="dxa"/>
            <w:shd w:val="clear" w:color="auto" w:fill="auto"/>
          </w:tcPr>
          <w:p w14:paraId="09324ECF" w14:textId="243AE4F3" w:rsidR="00A42BE0" w:rsidRPr="007364B4" w:rsidRDefault="007522B4">
            <w:pPr>
              <w:pStyle w:val="TableTextCentered"/>
              <w:rPr>
                <w:rFonts w:ascii="Times New Roman" w:hAnsi="Times New Roman"/>
                <w:sz w:val="20"/>
                <w:szCs w:val="20"/>
              </w:rPr>
            </w:pPr>
            <w:r>
              <w:rPr>
                <w:rFonts w:ascii="Times New Roman" w:hAnsi="Times New Roman"/>
                <w:sz w:val="20"/>
                <w:szCs w:val="20"/>
              </w:rPr>
              <w:t>1,250</w:t>
            </w:r>
          </w:p>
        </w:tc>
        <w:tc>
          <w:tcPr>
            <w:tcW w:w="1275" w:type="dxa"/>
            <w:shd w:val="clear" w:color="auto" w:fill="auto"/>
          </w:tcPr>
          <w:p w14:paraId="6A061DBC" w14:textId="2A3D040B" w:rsidR="00A42BE0" w:rsidRPr="007364B4" w:rsidRDefault="00E65202">
            <w:pPr>
              <w:pStyle w:val="TableTextCentered"/>
              <w:rPr>
                <w:rFonts w:ascii="Times New Roman" w:hAnsi="Times New Roman"/>
                <w:sz w:val="20"/>
                <w:szCs w:val="20"/>
              </w:rPr>
            </w:pPr>
            <w:r>
              <w:rPr>
                <w:rFonts w:ascii="Times New Roman" w:hAnsi="Times New Roman"/>
                <w:sz w:val="20"/>
                <w:szCs w:val="20"/>
              </w:rPr>
              <w:t>1,250,000</w:t>
            </w:r>
          </w:p>
        </w:tc>
        <w:tc>
          <w:tcPr>
            <w:tcW w:w="1663" w:type="dxa"/>
            <w:shd w:val="clear" w:color="auto" w:fill="auto"/>
          </w:tcPr>
          <w:p w14:paraId="07AF9A87" w14:textId="5C29AFBC" w:rsidR="00A42BE0" w:rsidRPr="007364B4" w:rsidRDefault="00D7525C" w:rsidP="009B464B">
            <w:pPr>
              <w:pStyle w:val="TableTextCentered"/>
              <w:tabs>
                <w:tab w:val="left" w:pos="217"/>
              </w:tabs>
              <w:rPr>
                <w:rFonts w:ascii="Times New Roman" w:hAnsi="Times New Roman"/>
                <w:color w:val="000000"/>
                <w:sz w:val="20"/>
                <w:szCs w:val="20"/>
              </w:rPr>
            </w:pPr>
            <w:r>
              <w:rPr>
                <w:rFonts w:ascii="Times New Roman" w:hAnsi="Times New Roman"/>
                <w:color w:val="000000"/>
                <w:sz w:val="20"/>
                <w:szCs w:val="20"/>
              </w:rPr>
              <w:t>87,500</w:t>
            </w:r>
          </w:p>
        </w:tc>
      </w:tr>
      <w:tr w:rsidR="009E79B8" w:rsidRPr="007364B4" w14:paraId="1F8CE8EE" w14:textId="77777777" w:rsidTr="009E79B8">
        <w:trPr>
          <w:cantSplit/>
        </w:trPr>
        <w:tc>
          <w:tcPr>
            <w:tcW w:w="1312" w:type="dxa"/>
            <w:tcBorders>
              <w:top w:val="single" w:sz="4" w:space="0" w:color="auto"/>
              <w:left w:val="single" w:sz="4" w:space="0" w:color="auto"/>
              <w:bottom w:val="single" w:sz="4" w:space="0" w:color="auto"/>
              <w:right w:val="single" w:sz="4" w:space="0" w:color="auto"/>
            </w:tcBorders>
          </w:tcPr>
          <w:p w14:paraId="2505200F" w14:textId="77777777" w:rsidR="009E79B8" w:rsidRPr="009E79B8" w:rsidRDefault="009E79B8">
            <w:pPr>
              <w:pStyle w:val="TableTextLeft"/>
              <w:jc w:val="center"/>
              <w:rPr>
                <w:rFonts w:ascii="Times New Roman" w:hAnsi="Times New Roman"/>
                <w:color w:val="000000"/>
                <w:sz w:val="20"/>
                <w:szCs w:val="20"/>
              </w:rPr>
            </w:pPr>
            <w:r w:rsidRPr="006371E9">
              <w:rPr>
                <w:rFonts w:ascii="Times New Roman" w:hAnsi="Times New Roman"/>
                <w:color w:val="000000"/>
                <w:sz w:val="20"/>
                <w:szCs w:val="20"/>
              </w:rPr>
              <w:t>BLM</w:t>
            </w:r>
            <w:r>
              <w:rPr>
                <w:rFonts w:ascii="Times New Roman" w:hAnsi="Times New Roman"/>
                <w:color w:val="000000"/>
                <w:sz w:val="20"/>
                <w:szCs w:val="20"/>
              </w:rPr>
              <w:t>/Totals</w:t>
            </w:r>
          </w:p>
        </w:tc>
        <w:tc>
          <w:tcPr>
            <w:tcW w:w="1275" w:type="dxa"/>
            <w:tcBorders>
              <w:top w:val="single" w:sz="4" w:space="0" w:color="auto"/>
              <w:left w:val="single" w:sz="4" w:space="0" w:color="auto"/>
              <w:bottom w:val="single" w:sz="4" w:space="0" w:color="auto"/>
              <w:right w:val="single" w:sz="4" w:space="0" w:color="auto"/>
            </w:tcBorders>
          </w:tcPr>
          <w:p w14:paraId="50ABB398" w14:textId="77777777" w:rsidR="009E79B8" w:rsidRPr="006371E9" w:rsidRDefault="009E79B8">
            <w:pPr>
              <w:pStyle w:val="TableTextCentered"/>
              <w:rPr>
                <w:rFonts w:ascii="Times New Roman" w:hAnsi="Times New Roman"/>
                <w:sz w:val="20"/>
                <w:szCs w:val="20"/>
              </w:rPr>
            </w:pPr>
            <w:r>
              <w:rPr>
                <w:rFonts w:ascii="Times New Roman" w:hAnsi="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15A762" w14:textId="77777777" w:rsidR="009E79B8" w:rsidRPr="00E76658" w:rsidRDefault="009E79B8">
            <w:pPr>
              <w:pStyle w:val="TableTextCentered"/>
              <w:rPr>
                <w:rFonts w:ascii="Times New Roman" w:hAnsi="Times New Roman"/>
                <w:sz w:val="20"/>
                <w:szCs w:val="20"/>
              </w:rPr>
            </w:pPr>
            <w:r>
              <w:rPr>
                <w:rFonts w:ascii="Times New Roman" w:hAnsi="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tcPr>
          <w:p w14:paraId="67C33A48" w14:textId="77777777" w:rsidR="009E79B8" w:rsidRPr="00E76658" w:rsidRDefault="009E79B8">
            <w:pPr>
              <w:pStyle w:val="TableTextCentered"/>
              <w:rPr>
                <w:rFonts w:ascii="Times New Roman" w:hAnsi="Times New Roman"/>
                <w:sz w:val="20"/>
                <w:szCs w:val="20"/>
              </w:rPr>
            </w:pPr>
            <w:r>
              <w:rPr>
                <w:rFonts w:ascii="Times New Roman" w:hAnsi="Times New Roman"/>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79FDAA3" w14:textId="77777777" w:rsidR="009E79B8" w:rsidRPr="007364B4" w:rsidRDefault="009E79B8">
            <w:pPr>
              <w:pStyle w:val="TableTextCentered"/>
              <w:rPr>
                <w:rFonts w:ascii="Times New Roman" w:hAnsi="Times New Roman"/>
                <w:sz w:val="20"/>
                <w:szCs w:val="20"/>
              </w:rPr>
            </w:pPr>
            <w:r w:rsidRPr="007364B4">
              <w:rPr>
                <w:rFonts w:ascii="Times New Roman" w:hAnsi="Times New Roman"/>
                <w:sz w:val="20"/>
                <w:szCs w:val="20"/>
              </w:rPr>
              <w:t>5</w:t>
            </w:r>
            <w:r>
              <w:rPr>
                <w:rFonts w:ascii="Times New Roman" w:hAnsi="Times New Roman"/>
                <w:sz w:val="20"/>
                <w:szCs w:val="20"/>
              </w:rPr>
              <w:t>,</w:t>
            </w:r>
            <w:r w:rsidRPr="007364B4">
              <w:rPr>
                <w:rFonts w:ascii="Times New Roman" w:hAnsi="Times New Roman"/>
                <w:sz w:val="20"/>
                <w:szCs w:val="20"/>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936A11" w14:textId="77777777" w:rsidR="009E79B8" w:rsidRPr="007364B4" w:rsidRDefault="009E79B8">
            <w:pPr>
              <w:pStyle w:val="TableTextCentered"/>
              <w:rPr>
                <w:rFonts w:ascii="Times New Roman" w:hAnsi="Times New Roman"/>
                <w:sz w:val="20"/>
                <w:szCs w:val="20"/>
              </w:rPr>
            </w:pPr>
            <w:r w:rsidRPr="007364B4">
              <w:rPr>
                <w:rFonts w:ascii="Times New Roman" w:hAnsi="Times New Roman"/>
                <w:sz w:val="20"/>
                <w:szCs w:val="20"/>
              </w:rPr>
              <w:t>5</w:t>
            </w:r>
            <w:r>
              <w:rPr>
                <w:rFonts w:ascii="Times New Roman" w:hAnsi="Times New Roman"/>
                <w:sz w:val="20"/>
                <w:szCs w:val="20"/>
              </w:rPr>
              <w:t>,</w:t>
            </w:r>
            <w:r w:rsidRPr="007364B4">
              <w:rPr>
                <w:rFonts w:ascii="Times New Roman" w:hAnsi="Times New Roman"/>
                <w:sz w:val="20"/>
                <w:szCs w:val="20"/>
              </w:rPr>
              <w:t>000</w:t>
            </w:r>
            <w:r>
              <w:rPr>
                <w:rFonts w:ascii="Times New Roman" w:hAnsi="Times New Roman"/>
                <w:sz w:val="20"/>
                <w:szCs w:val="20"/>
              </w:rPr>
              <w:t>,</w:t>
            </w:r>
            <w:r w:rsidRPr="007364B4">
              <w:rPr>
                <w:rFonts w:ascii="Times New Roman" w:hAnsi="Times New Roman"/>
                <w:sz w:val="20"/>
                <w:szCs w:val="20"/>
              </w:rPr>
              <w:t>000</w:t>
            </w:r>
          </w:p>
        </w:tc>
        <w:tc>
          <w:tcPr>
            <w:tcW w:w="1663" w:type="dxa"/>
            <w:tcBorders>
              <w:top w:val="single" w:sz="4" w:space="0" w:color="auto"/>
              <w:left w:val="single" w:sz="4" w:space="0" w:color="auto"/>
              <w:bottom w:val="single" w:sz="4" w:space="0" w:color="auto"/>
              <w:right w:val="single" w:sz="4" w:space="0" w:color="auto"/>
            </w:tcBorders>
            <w:shd w:val="clear" w:color="auto" w:fill="auto"/>
          </w:tcPr>
          <w:p w14:paraId="6458F99F" w14:textId="77777777" w:rsidR="009E79B8" w:rsidRPr="007364B4" w:rsidRDefault="009E79B8">
            <w:pPr>
              <w:pStyle w:val="TableTextCentered"/>
              <w:tabs>
                <w:tab w:val="left" w:pos="217"/>
              </w:tabs>
              <w:rPr>
                <w:rFonts w:ascii="Times New Roman" w:hAnsi="Times New Roman"/>
                <w:color w:val="000000"/>
                <w:sz w:val="20"/>
                <w:szCs w:val="20"/>
              </w:rPr>
            </w:pPr>
            <w:r w:rsidRPr="009E79B8">
              <w:rPr>
                <w:rFonts w:ascii="Times New Roman" w:hAnsi="Times New Roman"/>
                <w:color w:val="000000"/>
                <w:sz w:val="20"/>
                <w:szCs w:val="20"/>
              </w:rPr>
              <w:t>350,000</w:t>
            </w:r>
          </w:p>
        </w:tc>
      </w:tr>
    </w:tbl>
    <w:p w14:paraId="682C25C9" w14:textId="77777777" w:rsidR="002D682D" w:rsidRPr="00F56C2D" w:rsidRDefault="002D682D" w:rsidP="002D682D">
      <w:pPr>
        <w:pStyle w:val="TableNote"/>
        <w:rPr>
          <w:rFonts w:ascii="Times New Roman" w:hAnsi="Times New Roman" w:cs="Times New Roman"/>
          <w:sz w:val="18"/>
          <w:szCs w:val="18"/>
        </w:rPr>
      </w:pPr>
      <w:r w:rsidRPr="00F56C2D">
        <w:rPr>
          <w:rFonts w:ascii="Times New Roman" w:hAnsi="Times New Roman" w:cs="Times New Roman"/>
          <w:sz w:val="18"/>
          <w:szCs w:val="18"/>
        </w:rPr>
        <w:t xml:space="preserve">Note: </w:t>
      </w:r>
      <w:proofErr w:type="spellStart"/>
      <w:r w:rsidRPr="00F56C2D">
        <w:rPr>
          <w:rFonts w:ascii="Times New Roman" w:hAnsi="Times New Roman" w:cs="Times New Roman"/>
          <w:sz w:val="18"/>
          <w:szCs w:val="18"/>
        </w:rPr>
        <w:t>bbl</w:t>
      </w:r>
      <w:proofErr w:type="spellEnd"/>
      <w:r w:rsidRPr="00F56C2D">
        <w:rPr>
          <w:rFonts w:ascii="Times New Roman" w:hAnsi="Times New Roman" w:cs="Times New Roman"/>
          <w:sz w:val="18"/>
          <w:szCs w:val="18"/>
        </w:rPr>
        <w:t xml:space="preserve"> = barrels; mcf = thousand cubic feet. </w:t>
      </w:r>
    </w:p>
    <w:p w14:paraId="00B26CA3" w14:textId="77777777" w:rsidR="002D682D" w:rsidRPr="00F56C2D" w:rsidRDefault="002D682D" w:rsidP="002D682D">
      <w:pPr>
        <w:pStyle w:val="TableNote"/>
        <w:rPr>
          <w:rFonts w:ascii="Times New Roman" w:hAnsi="Times New Roman" w:cs="Times New Roman"/>
          <w:sz w:val="18"/>
          <w:szCs w:val="18"/>
        </w:rPr>
      </w:pPr>
      <w:r w:rsidRPr="00F56C2D">
        <w:rPr>
          <w:rFonts w:ascii="Times New Roman" w:hAnsi="Times New Roman" w:cs="Times New Roman"/>
          <w:sz w:val="18"/>
          <w:szCs w:val="18"/>
        </w:rPr>
        <w:t>* All acreages contained in the EA analysis</w:t>
      </w:r>
      <w:r w:rsidRPr="00F56C2D" w:rsidDel="00177531">
        <w:rPr>
          <w:rFonts w:ascii="Times New Roman" w:hAnsi="Times New Roman" w:cs="Times New Roman"/>
          <w:sz w:val="18"/>
          <w:szCs w:val="18"/>
        </w:rPr>
        <w:t xml:space="preserve"> </w:t>
      </w:r>
      <w:r w:rsidRPr="00F56C2D">
        <w:rPr>
          <w:rFonts w:ascii="Times New Roman" w:hAnsi="Times New Roman" w:cs="Times New Roman"/>
          <w:sz w:val="18"/>
          <w:szCs w:val="18"/>
        </w:rPr>
        <w:t xml:space="preserve">were calculated using geographic information system (GIS) data sets for resources and the parcels, which may differ slightly from the acreages contained in legal description here and. Difference in total acres between the parcels and acres analyzed in the EA can vary slightly due to geoprocessing operations where slivers of area are </w:t>
      </w:r>
      <w:r w:rsidRPr="00F56C2D">
        <w:rPr>
          <w:rFonts w:ascii="Times New Roman" w:hAnsi="Times New Roman" w:cs="Times New Roman"/>
          <w:sz w:val="18"/>
          <w:szCs w:val="18"/>
        </w:rPr>
        <w:lastRenderedPageBreak/>
        <w:t>created when two or more data sets intersect. Any inaccuracies are negligible and do not change the overall impact analysis conclusions presented in this EA.</w:t>
      </w:r>
    </w:p>
    <w:p w14:paraId="57FE49CF" w14:textId="244E32F4" w:rsidR="002D682D" w:rsidRDefault="002D682D" w:rsidP="002D682D">
      <w:pPr>
        <w:pStyle w:val="TableNote"/>
        <w:rPr>
          <w:rFonts w:ascii="Times New Roman" w:eastAsia="Times" w:hAnsi="Times New Roman" w:cs="Times New Roman"/>
          <w:sz w:val="18"/>
          <w:szCs w:val="18"/>
        </w:rPr>
      </w:pPr>
      <w:r w:rsidRPr="00F56C2D">
        <w:rPr>
          <w:rFonts w:ascii="Times New Roman" w:eastAsia="Times" w:hAnsi="Times New Roman" w:cs="Times New Roman"/>
          <w:sz w:val="18"/>
          <w:szCs w:val="18"/>
        </w:rPr>
        <w:t>† In cases where the method</w:t>
      </w:r>
      <w:r w:rsidR="008003FE">
        <w:rPr>
          <w:rFonts w:ascii="Times New Roman" w:eastAsia="Times" w:hAnsi="Times New Roman" w:cs="Times New Roman"/>
          <w:sz w:val="18"/>
          <w:szCs w:val="18"/>
        </w:rPr>
        <w:t>s</w:t>
      </w:r>
      <w:r w:rsidRPr="00F56C2D">
        <w:rPr>
          <w:rFonts w:ascii="Times New Roman" w:eastAsia="Times" w:hAnsi="Times New Roman" w:cs="Times New Roman"/>
          <w:sz w:val="18"/>
          <w:szCs w:val="18"/>
        </w:rPr>
        <w:t xml:space="preserve"> used for estimating the number of wells per nominated lease parcel resulted in a fractional value of less than one well per nominated lease parcel (because of low anticipated drilling rate), the fractional value was adjusted upward to the next whole number to represent a rational outcome of the number of potential wells that could be drilled and developed on the nominated lease parcel, as well as to provide meaningful inputs to the oil, gas, and produced water production projections.</w:t>
      </w:r>
    </w:p>
    <w:p w14:paraId="51626490" w14:textId="77777777" w:rsidR="002D682D" w:rsidRPr="00E36936" w:rsidRDefault="002D682D" w:rsidP="002D682D">
      <w:pPr>
        <w:pStyle w:val="TableNote"/>
        <w:rPr>
          <w:rFonts w:ascii="Times New Roman" w:hAnsi="Times New Roman" w:cs="Times New Roman"/>
          <w:sz w:val="18"/>
          <w:szCs w:val="18"/>
        </w:rPr>
      </w:pPr>
      <w:r w:rsidRPr="00E36936">
        <w:rPr>
          <w:rFonts w:ascii="Times New Roman" w:eastAsia="Times" w:hAnsi="Times New Roman" w:cs="Times New Roman"/>
          <w:sz w:val="18"/>
          <w:szCs w:val="18"/>
        </w:rPr>
        <w:t>‡Produced water amounts were estimated by using a ratio of 1:1 for water produced during oil production and 80</w:t>
      </w:r>
      <w:r>
        <w:rPr>
          <w:rFonts w:ascii="Times New Roman" w:eastAsia="Times" w:hAnsi="Times New Roman" w:cs="Times New Roman"/>
          <w:sz w:val="18"/>
          <w:szCs w:val="18"/>
        </w:rPr>
        <w:t xml:space="preserve"> bbl</w:t>
      </w:r>
      <w:r w:rsidRPr="00E36936">
        <w:rPr>
          <w:rFonts w:ascii="Times New Roman" w:eastAsia="Times" w:hAnsi="Times New Roman" w:cs="Times New Roman"/>
          <w:sz w:val="18"/>
          <w:szCs w:val="18"/>
        </w:rPr>
        <w:t xml:space="preserve">:1,000 </w:t>
      </w:r>
      <w:r>
        <w:rPr>
          <w:rFonts w:ascii="Times New Roman" w:eastAsia="Times" w:hAnsi="Times New Roman" w:cs="Times New Roman"/>
          <w:sz w:val="18"/>
          <w:szCs w:val="18"/>
        </w:rPr>
        <w:t xml:space="preserve">mcf </w:t>
      </w:r>
      <w:r w:rsidRPr="00E36936">
        <w:rPr>
          <w:rFonts w:ascii="Times New Roman" w:eastAsia="Times" w:hAnsi="Times New Roman" w:cs="Times New Roman"/>
          <w:sz w:val="18"/>
          <w:szCs w:val="18"/>
        </w:rPr>
        <w:t>for water produced from natural gas extraction.</w:t>
      </w:r>
    </w:p>
    <w:p w14:paraId="405724F1" w14:textId="3345C6DF" w:rsidR="009F5AD0" w:rsidRDefault="009B5F9C" w:rsidP="002D682D">
      <w:pPr>
        <w:pStyle w:val="Heading2"/>
        <w:rPr>
          <w:rFonts w:hint="eastAsia"/>
        </w:rPr>
      </w:pPr>
      <w:bookmarkStart w:id="95" w:name="_Ref164951783"/>
      <w:bookmarkStart w:id="96" w:name="_Toc179464239"/>
      <w:bookmarkStart w:id="97" w:name="_Toc170114894"/>
      <w:bookmarkStart w:id="98" w:name="_Ref128867489"/>
      <w:bookmarkStart w:id="99" w:name="_Toc163734189"/>
      <w:r>
        <w:t>Cumulative Effects Scenario</w:t>
      </w:r>
      <w:bookmarkEnd w:id="95"/>
      <w:bookmarkEnd w:id="96"/>
      <w:bookmarkEnd w:id="97"/>
    </w:p>
    <w:p w14:paraId="21993E2A" w14:textId="62CEE25D" w:rsidR="009F5AD0" w:rsidRPr="009F5AD0" w:rsidRDefault="00951731" w:rsidP="00FA06A3">
      <w:pPr>
        <w:pStyle w:val="BodyText"/>
      </w:pPr>
      <w:r w:rsidRPr="0068219F">
        <w:t xml:space="preserve">This section outlines past, present, and reasonably foreseeable future actions and </w:t>
      </w:r>
      <w:r w:rsidR="00DC778B">
        <w:t xml:space="preserve">environmental </w:t>
      </w:r>
      <w:r w:rsidRPr="0068219F">
        <w:t xml:space="preserve">trends in </w:t>
      </w:r>
      <w:r w:rsidR="00DE232C">
        <w:t xml:space="preserve">the vicinity of the nominated lease parcels </w:t>
      </w:r>
      <w:r w:rsidRPr="0068219F">
        <w:t xml:space="preserve">that have a relationship to potential resource effects associated with the alternatives. This section appears prior to the impacts analysis because it is intended to provide broad context for those analyses and the activities occurring </w:t>
      </w:r>
      <w:r w:rsidR="00800BBC">
        <w:t>and trends influencing the environment in the area</w:t>
      </w:r>
      <w:r w:rsidRPr="0068219F">
        <w:t xml:space="preserve">. In recent decades, the influences on the landscape in the </w:t>
      </w:r>
      <w:r w:rsidR="00F12F0C">
        <w:t>vicinity</w:t>
      </w:r>
      <w:r w:rsidRPr="0068219F">
        <w:t xml:space="preserve"> of </w:t>
      </w:r>
      <w:r w:rsidR="00645005">
        <w:t xml:space="preserve">the nominated lease parcels </w:t>
      </w:r>
      <w:r w:rsidRPr="0068219F">
        <w:t>include the following:</w:t>
      </w:r>
    </w:p>
    <w:p w14:paraId="241481B6" w14:textId="779B1B6C" w:rsidR="00F729AB" w:rsidRDefault="006037ED" w:rsidP="009659B9">
      <w:pPr>
        <w:pStyle w:val="Bullet1"/>
        <w:ind w:left="720"/>
      </w:pPr>
      <w:r>
        <w:t>Oil and gas development</w:t>
      </w:r>
      <w:r w:rsidR="00BE0D67">
        <w:t xml:space="preserve"> and reclamation</w:t>
      </w:r>
      <w:r w:rsidR="00FB3905">
        <w:t>:</w:t>
      </w:r>
      <w:r w:rsidR="00C07AA9">
        <w:t xml:space="preserve"> </w:t>
      </w:r>
      <w:r w:rsidR="000428C7">
        <w:t>T</w:t>
      </w:r>
      <w:r w:rsidR="003F7471" w:rsidRPr="003F7471">
        <w:t xml:space="preserve">he two parcels </w:t>
      </w:r>
      <w:r w:rsidR="00053A45">
        <w:t xml:space="preserve"> are</w:t>
      </w:r>
      <w:r w:rsidR="000428C7" w:rsidRPr="000428C7">
        <w:t xml:space="preserve"> </w:t>
      </w:r>
      <w:r w:rsidR="003F7471" w:rsidRPr="003F7471">
        <w:t xml:space="preserve">within the </w:t>
      </w:r>
      <w:r w:rsidR="000428C7">
        <w:t>Hydrologic Unit Code (</w:t>
      </w:r>
      <w:r w:rsidR="003F7471" w:rsidRPr="003F7471">
        <w:t>HUC</w:t>
      </w:r>
      <w:r w:rsidR="000428C7">
        <w:t>)</w:t>
      </w:r>
      <w:r w:rsidR="003F7471" w:rsidRPr="003F7471">
        <w:t xml:space="preserve"> 10 watersheds </w:t>
      </w:r>
      <w:r w:rsidR="00FD77F6" w:rsidRPr="00FD77F6">
        <w:t xml:space="preserve"> </w:t>
      </w:r>
      <w:r w:rsidR="003F7471" w:rsidRPr="003F7471">
        <w:t>(Pelican Lake -Green River 1406001012 and Walker Hollow-Green River 1406001011</w:t>
      </w:r>
      <w:r w:rsidR="00FD77F6" w:rsidRPr="003F7471">
        <w:t>)</w:t>
      </w:r>
      <w:r w:rsidR="00FD77F6">
        <w:t>.</w:t>
      </w:r>
      <w:r w:rsidR="003F7471" w:rsidRPr="003F7471">
        <w:t xml:space="preserve"> </w:t>
      </w:r>
      <w:r w:rsidR="003022D4">
        <w:t>HUCs provide a</w:t>
      </w:r>
      <w:r w:rsidR="009A410C">
        <w:t xml:space="preserve">n effective means of defining cumulative impact areas, because they </w:t>
      </w:r>
      <w:r w:rsidR="00EB7418">
        <w:t xml:space="preserve">encompass areas of similar </w:t>
      </w:r>
      <w:r w:rsidR="0029460E">
        <w:t>environment</w:t>
      </w:r>
      <w:r w:rsidR="00476DB0">
        <w:t xml:space="preserve">al </w:t>
      </w:r>
      <w:proofErr w:type="spellStart"/>
      <w:r w:rsidR="00F33B3A">
        <w:t>conditions.</w:t>
      </w:r>
      <w:r w:rsidR="00FD77F6">
        <w:t>A</w:t>
      </w:r>
      <w:r w:rsidR="003F7471" w:rsidRPr="003F7471">
        <w:t>s</w:t>
      </w:r>
      <w:proofErr w:type="spellEnd"/>
      <w:r w:rsidR="003F7471" w:rsidRPr="003F7471">
        <w:t xml:space="preserve"> of April 25, 2024, there are 1,023 drilled or drilling oil and gas or service wells, 475 plugged and abandoned well locations that may be at various levels of reclamation, and 529 proposed well locations. These watersheds overlap the 2008 RMP’s Monument Butte-Red Wash and Tabiona-Ashley Valley Reasonably Foreseeable Development areas which predicted 1,700 oil wells and 3,100 gas wells (Monument Butte-Red Wash) and 30 oil and gas wells (Tabiona-Shley Valley) drilled over 15 years</w:t>
      </w:r>
      <w:r w:rsidR="00D17FD1">
        <w:t xml:space="preserve"> </w:t>
      </w:r>
      <w:sdt>
        <w:sdtPr>
          <w:id w:val="-617214007"/>
          <w:citation/>
        </w:sdtPr>
        <w:sdtContent>
          <w:r w:rsidR="00CE2914">
            <w:fldChar w:fldCharType="begin"/>
          </w:r>
          <w:r w:rsidR="00FD3110">
            <w:instrText xml:space="preserve">CITATION BLM02 \l 1033 </w:instrText>
          </w:r>
          <w:r w:rsidR="00CE2914">
            <w:fldChar w:fldCharType="separate"/>
          </w:r>
          <w:r w:rsidR="0093463A">
            <w:rPr>
              <w:noProof/>
            </w:rPr>
            <w:t>(BLM, 2002)</w:t>
          </w:r>
          <w:r w:rsidR="00CE2914">
            <w:fldChar w:fldCharType="end"/>
          </w:r>
        </w:sdtContent>
      </w:sdt>
      <w:r w:rsidR="003F7471" w:rsidRPr="003F7471">
        <w:t xml:space="preserve">. Across the whole VFO, on all land management types, there are 13,375 drilled or drilling oil and gas or service wells, 4,400 plugged and abandoned well locations that may be at various levels of reclamation, and 1,386 proposed well locations. </w:t>
      </w:r>
    </w:p>
    <w:p w14:paraId="345E8710" w14:textId="18883839" w:rsidR="00CA78E5" w:rsidRDefault="00CA78E5" w:rsidP="009659B9">
      <w:pPr>
        <w:pStyle w:val="Bullet1"/>
        <w:ind w:left="720"/>
      </w:pPr>
      <w:r w:rsidRPr="00CA78E5">
        <w:t>Other minerals – within the HUC 10 watersheds that encompass the two parcels (Pelican Lake -Green River 1406001012 and Walker Hollow-Green River 1406001011), as of April 30, 2024, there are five mineral material sites.</w:t>
      </w:r>
    </w:p>
    <w:p w14:paraId="758A5171" w14:textId="424239A9" w:rsidR="00436B73" w:rsidRDefault="00436B73" w:rsidP="009659B9">
      <w:pPr>
        <w:pStyle w:val="Bullet1"/>
        <w:ind w:left="720"/>
      </w:pPr>
      <w:r>
        <w:t>Livestock grazing</w:t>
      </w:r>
      <w:r w:rsidR="00C60288">
        <w:t xml:space="preserve"> (in particular</w:t>
      </w:r>
      <w:r w:rsidR="009659B9">
        <w:t>,</w:t>
      </w:r>
      <w:r w:rsidR="00C60288">
        <w:t xml:space="preserve"> in the </w:t>
      </w:r>
      <w:r w:rsidR="00B4062D">
        <w:t>Split Mountain</w:t>
      </w:r>
      <w:r w:rsidR="00FB3905">
        <w:t xml:space="preserve"> Allotment</w:t>
      </w:r>
      <w:r w:rsidR="009659B9">
        <w:t>, which the nominated lease parcels fall within</w:t>
      </w:r>
      <w:r w:rsidR="00FB3905">
        <w:t xml:space="preserve">): </w:t>
      </w:r>
      <w:r w:rsidR="0008525B">
        <w:t>The Sp</w:t>
      </w:r>
      <w:r w:rsidR="00F70399">
        <w:t>l</w:t>
      </w:r>
      <w:r w:rsidR="0008525B">
        <w:t>it Mountain Allotment (</w:t>
      </w:r>
      <w:r w:rsidR="00165DDE">
        <w:t>1</w:t>
      </w:r>
      <w:r w:rsidR="00806953">
        <w:t>24,027</w:t>
      </w:r>
      <w:r w:rsidR="0008525B">
        <w:t xml:space="preserve"> acres in total inclusive of </w:t>
      </w:r>
      <w:r w:rsidR="00FC1B52">
        <w:t xml:space="preserve">non-BLM-managed lands) </w:t>
      </w:r>
      <w:r w:rsidR="00B63451">
        <w:t xml:space="preserve">is grazed by </w:t>
      </w:r>
      <w:r w:rsidR="00480483">
        <w:t>five</w:t>
      </w:r>
      <w:r w:rsidR="00B32172">
        <w:t xml:space="preserve"> permittees. </w:t>
      </w:r>
      <w:r w:rsidR="006A4CA9">
        <w:t xml:space="preserve">The season of use is </w:t>
      </w:r>
      <w:r w:rsidR="00E93A59">
        <w:t>October to May</w:t>
      </w:r>
      <w:r w:rsidR="006A4CA9">
        <w:t xml:space="preserve">. The allotment has been grazed for several decades. </w:t>
      </w:r>
      <w:r w:rsidR="00772DEC">
        <w:t>There are 111</w:t>
      </w:r>
      <w:r w:rsidR="00A946D5">
        <w:t xml:space="preserve"> </w:t>
      </w:r>
      <w:r w:rsidR="0097375A">
        <w:t>r</w:t>
      </w:r>
      <w:r w:rsidR="00AF653D">
        <w:t>ange improvement</w:t>
      </w:r>
      <w:r w:rsidR="009030F5">
        <w:t>s on the allotment</w:t>
      </w:r>
      <w:r w:rsidR="0097375A">
        <w:t>.</w:t>
      </w:r>
      <w:r w:rsidR="00886FAD">
        <w:t xml:space="preserve"> AIB-19 contains a </w:t>
      </w:r>
      <w:r w:rsidR="00D8058C">
        <w:t>more detailed analysis.</w:t>
      </w:r>
    </w:p>
    <w:p w14:paraId="46B49828" w14:textId="66615389" w:rsidR="00436B73" w:rsidRDefault="00254367" w:rsidP="00837B6D">
      <w:pPr>
        <w:pStyle w:val="Bullet1"/>
        <w:ind w:left="720"/>
      </w:pPr>
      <w:r>
        <w:t>Transmission lines</w:t>
      </w:r>
      <w:r w:rsidR="00FB3905">
        <w:t>:</w:t>
      </w:r>
      <w:r w:rsidR="009030F5">
        <w:t xml:space="preserve"> </w:t>
      </w:r>
      <w:r w:rsidR="00362DD9" w:rsidRPr="00362DD9">
        <w:t xml:space="preserve">within the HUC 10 watersheds that encompass the two parcels (Pelican Lake -Green River 1406001012 and Walker Hollow-Green River 1406001011), as of April 29, 2024, there are numerous existing and proposed pipelines associated with the oil and gas field development previously described. In addition, there are three existing high voltage transmission lines and one high voltage transmission lines approved for </w:t>
      </w:r>
      <w:r w:rsidR="00F306E9" w:rsidRPr="00362DD9">
        <w:t>construction,</w:t>
      </w:r>
      <w:r w:rsidR="00362DD9" w:rsidRPr="00362DD9">
        <w:t xml:space="preserve"> but the Utah portion has not yet been constructed. </w:t>
      </w:r>
      <w:r w:rsidR="00FD49A2">
        <w:t>Agricultur</w:t>
      </w:r>
      <w:r w:rsidR="009D5DCF">
        <w:t>al development (e.g., farm fields)</w:t>
      </w:r>
      <w:r w:rsidR="00FB3905">
        <w:t xml:space="preserve">: </w:t>
      </w:r>
      <w:r w:rsidR="00977E7F" w:rsidRPr="00977E7F">
        <w:t>within HUC 10 watersheds that encompass the two parcels (Pelican Lake -Green River 1406001012 and Walker Hollow-Green River 1406001011; approximately 210,000 acres), roughly 25,000 acres (12%) are private lands with agricultural developments such as plowed and planted fields and irrigation lines.</w:t>
      </w:r>
    </w:p>
    <w:p w14:paraId="640B7FA1" w14:textId="593F1DCB" w:rsidR="009D5DCF" w:rsidRDefault="00E40AD2" w:rsidP="009659B9">
      <w:pPr>
        <w:pStyle w:val="Bullet1"/>
        <w:ind w:left="720"/>
      </w:pPr>
      <w:r>
        <w:t xml:space="preserve">Interstate </w:t>
      </w:r>
      <w:r w:rsidR="00055863">
        <w:t>pipe</w:t>
      </w:r>
      <w:r>
        <w:t>lines</w:t>
      </w:r>
      <w:r w:rsidR="00055863">
        <w:t>:</w:t>
      </w:r>
      <w:r w:rsidR="00362DD9">
        <w:t xml:space="preserve"> </w:t>
      </w:r>
      <w:r w:rsidR="00362DD9" w:rsidRPr="00362DD9">
        <w:t xml:space="preserve">within the HUC 10 watersheds that encompass the two parcels (Pelican Lake -Green River 1406001012 and Walker Hollow-Green River 1406001011), as of April 29, 2024, there are numerous existing and proposed pipelines associated with the oil and gas field </w:t>
      </w:r>
      <w:r w:rsidR="00362DD9" w:rsidRPr="00362DD9">
        <w:lastRenderedPageBreak/>
        <w:t>development previously described. In addition, the watersheds contain three major interstate pipelines, and one major inter-field pipeline application the BLM is reviewing.</w:t>
      </w:r>
    </w:p>
    <w:p w14:paraId="726DA6E0" w14:textId="775B3215" w:rsidR="00E40AD2" w:rsidRDefault="00402E71" w:rsidP="009659B9">
      <w:pPr>
        <w:pStyle w:val="Bullet1"/>
        <w:ind w:left="720"/>
      </w:pPr>
      <w:r w:rsidRPr="00402E71">
        <w:t xml:space="preserve">Ouray National Wildlife Refuge: the HUC 10 watersheds that encompass the two parcels (Pelican Lake -Green River 1406001012 and Walker Hollow-Green River 1406001011; approximately 210,000 acres) completely contain the approximately </w:t>
      </w:r>
      <w:r w:rsidR="009A30AE" w:rsidRPr="00402E71">
        <w:t>12,000-acre</w:t>
      </w:r>
      <w:r w:rsidRPr="00402E71">
        <w:t xml:space="preserve"> Ouray National Wildlife Refuge managed by the USFWS. The Refuge was established in 1960, and it is managed to provide diverse habitats supporting over 350 fish and wildlife species.  </w:t>
      </w:r>
      <w:r w:rsidR="00960F37">
        <w:t xml:space="preserve"> </w:t>
      </w:r>
    </w:p>
    <w:p w14:paraId="625DAC16" w14:textId="68FA4BC9" w:rsidR="002E4A55" w:rsidRDefault="000C3E76" w:rsidP="009659B9">
      <w:pPr>
        <w:pStyle w:val="Bullet1"/>
        <w:ind w:left="720"/>
      </w:pPr>
      <w:r>
        <w:t>Towns</w:t>
      </w:r>
      <w:r w:rsidR="00055863">
        <w:t>:</w:t>
      </w:r>
      <w:r w:rsidR="00457E60">
        <w:t xml:space="preserve"> </w:t>
      </w:r>
      <w:r w:rsidR="00457E60" w:rsidRPr="00457E60">
        <w:t>within the HUC 10 watersheds that encompass the two parcels (Pelican Lake -Green River 1406001012 and Walker Hollow-Green River 1406001011), there are no municipalities. However, there are three unincorporated population areas: Jensen, Leota, and Ouray. These are rural areas containing mostly agricultural land and a few farm or ranch houses.</w:t>
      </w:r>
    </w:p>
    <w:p w14:paraId="439B49C3" w14:textId="426F466F" w:rsidR="00FB5DDE" w:rsidRDefault="00C700B5" w:rsidP="009659B9">
      <w:pPr>
        <w:pStyle w:val="Bullet1"/>
        <w:ind w:left="720"/>
      </w:pPr>
      <w:r>
        <w:t>Highways</w:t>
      </w:r>
      <w:r w:rsidR="00055863">
        <w:t>:</w:t>
      </w:r>
      <w:r w:rsidR="00D939ED" w:rsidRPr="00D939ED">
        <w:t xml:space="preserve"> within the HUC 10 watersheds that encompass the two parcels (Pelican Lake -Green River 1406001012 and Walker Hollow-Green River 1406001011), there are three highways, Highways 88, 40, and 45. Branching off the highways are numerous roads supporting access to various land ownerships (BLM, BOR, FWS, SITLA, and private), agricultural developments, oil and gas fields, recreational opportunities on the Green River. The highways are two to four lane roads, while other roads range from bladed </w:t>
      </w:r>
      <w:r w:rsidR="00F306E9" w:rsidRPr="00D939ED">
        <w:t>two-lane</w:t>
      </w:r>
      <w:r w:rsidR="00D939ED" w:rsidRPr="00D939ED">
        <w:t xml:space="preserve"> roads to unmaintained two tracks. Many of the roads are included in the BLM’s Ground Transportation Linear Feature (GTLF) system</w:t>
      </w:r>
      <w:sdt>
        <w:sdtPr>
          <w:id w:val="463313973"/>
          <w:citation/>
        </w:sdtPr>
        <w:sdtContent>
          <w:r w:rsidR="00FD3110">
            <w:fldChar w:fldCharType="begin"/>
          </w:r>
          <w:r w:rsidR="00FD3110">
            <w:instrText xml:space="preserve"> CITATION BLM16 \l 1033 </w:instrText>
          </w:r>
          <w:r w:rsidR="00FD3110">
            <w:fldChar w:fldCharType="separate"/>
          </w:r>
          <w:r w:rsidR="0093463A">
            <w:rPr>
              <w:noProof/>
            </w:rPr>
            <w:t xml:space="preserve"> (BLM, 2016)</w:t>
          </w:r>
          <w:r w:rsidR="00FD3110">
            <w:fldChar w:fldCharType="end"/>
          </w:r>
        </w:sdtContent>
      </w:sdt>
      <w:r w:rsidR="00FD3110">
        <w:t>.</w:t>
      </w:r>
    </w:p>
    <w:p w14:paraId="10F6EBEE" w14:textId="577AA243" w:rsidR="00AD4D39" w:rsidRDefault="0035060D" w:rsidP="009659B9">
      <w:pPr>
        <w:pStyle w:val="Bullet1"/>
        <w:ind w:left="720"/>
      </w:pPr>
      <w:r>
        <w:t>Recreation activities</w:t>
      </w:r>
      <w:r w:rsidR="00055863">
        <w:t>:</w:t>
      </w:r>
      <w:r w:rsidR="00FA2694" w:rsidRPr="00FA2694">
        <w:t xml:space="preserve"> within the HUC 10 watersheds that encompass the two parcels (Pelican Lake -Green River 1406001012 and Walker Hollow-Green River 1406001011), recreation activities on BLM-managed lands include dispersed recreation such as fishing, hunting, camping, OHV-riding, hiking, and Green River floating. The area is adjacent to but outside the McCoy Flats trail system designated by Public Law 116-9, the John D. Dingell Jr. Conservation, Management, and Recreation Act. However, a portion of the area encompassed by the watersheds is used for dispersed camping by people using that trail system.</w:t>
      </w:r>
    </w:p>
    <w:p w14:paraId="615AE753" w14:textId="7BDE8F92" w:rsidR="00A0004A" w:rsidRDefault="00A0004A" w:rsidP="0017017B">
      <w:pPr>
        <w:pStyle w:val="BodyText"/>
      </w:pPr>
      <w:r w:rsidRPr="00C72704">
        <w:t xml:space="preserve">Current ongoing global climate change is caused, in large part, by the atmospheric buildup of GHGs, which may persist for decades or even centuries.  The buildup of GHGs such as </w:t>
      </w:r>
      <w:r w:rsidR="001225A0">
        <w:t>carbon dioxide (</w:t>
      </w:r>
      <w:r w:rsidRPr="00C72704">
        <w:t>CO</w:t>
      </w:r>
      <w:r w:rsidRPr="00C72704">
        <w:rPr>
          <w:vertAlign w:val="subscript"/>
        </w:rPr>
        <w:t>2</w:t>
      </w:r>
      <w:r w:rsidR="001225A0" w:rsidRPr="00C72704">
        <w:t>)</w:t>
      </w:r>
      <w:r w:rsidRPr="00C72704">
        <w:t xml:space="preserve">, </w:t>
      </w:r>
      <w:r w:rsidR="00FB0385">
        <w:t>m</w:t>
      </w:r>
      <w:r w:rsidR="001225A0">
        <w:t>ethane (</w:t>
      </w:r>
      <w:r w:rsidRPr="00C72704">
        <w:t>CH</w:t>
      </w:r>
      <w:r w:rsidRPr="00C72704">
        <w:rPr>
          <w:vertAlign w:val="subscript"/>
        </w:rPr>
        <w:t>4</w:t>
      </w:r>
      <w:r w:rsidR="001225A0" w:rsidRPr="00C72704">
        <w:t>)</w:t>
      </w:r>
      <w:r w:rsidRPr="00C72704">
        <w:t xml:space="preserve">, </w:t>
      </w:r>
      <w:r w:rsidR="00FB0385">
        <w:t>n</w:t>
      </w:r>
      <w:r w:rsidR="004A7B5A">
        <w:t>itrous oxide (</w:t>
      </w:r>
      <w:r w:rsidRPr="00C72704">
        <w:t>N</w:t>
      </w:r>
      <w:r w:rsidRPr="00C72704">
        <w:rPr>
          <w:vertAlign w:val="subscript"/>
        </w:rPr>
        <w:t>2</w:t>
      </w:r>
      <w:r w:rsidRPr="00C72704">
        <w:t>O</w:t>
      </w:r>
      <w:r w:rsidR="004A7B5A">
        <w:t>)</w:t>
      </w:r>
      <w:r w:rsidRPr="00C72704">
        <w:t>, and fluorinated gases since the Industrial Revolution (1760</w:t>
      </w:r>
      <w:r w:rsidR="00CE5D5A">
        <w:t>-</w:t>
      </w:r>
      <w:r w:rsidRPr="00C72704">
        <w:t>1840) has substantially increased atmospheric concentrations of these compounds compared to background levels.  Several types of activities contribute to the phenomenon of climate change, including emissions of GHGs from fossil fuels used as a primary energy source, large wildfires, changes to the natural carbon cycle, and changes to radiative forces and reflectivity (</w:t>
      </w:r>
      <w:hyperlink r:id="rId22" w:anchor="def_14" w:history="1">
        <w:r w:rsidRPr="00C72704">
          <w:t>albedo</w:t>
        </w:r>
      </w:hyperlink>
      <w:r w:rsidRPr="00C72704">
        <w:t>).  Between 1850 and 2019, cumulative anthropogenic CO</w:t>
      </w:r>
      <w:r w:rsidRPr="00C72704">
        <w:rPr>
          <w:vertAlign w:val="subscript"/>
        </w:rPr>
        <w:t>2</w:t>
      </w:r>
      <w:r w:rsidRPr="00C72704">
        <w:t xml:space="preserve"> emissions emitted to the atmosphere were approximately 2,400 ± 240 </w:t>
      </w:r>
      <w:proofErr w:type="spellStart"/>
      <w:r w:rsidR="006F42CF">
        <w:t>Gigatonnes</w:t>
      </w:r>
      <w:proofErr w:type="spellEnd"/>
      <w:r w:rsidR="006F42CF">
        <w:t xml:space="preserve"> </w:t>
      </w:r>
      <w:r w:rsidR="00405BE2">
        <w:t>of CO</w:t>
      </w:r>
      <w:r w:rsidR="00405BE2" w:rsidRPr="00C72704">
        <w:rPr>
          <w:vertAlign w:val="subscript"/>
        </w:rPr>
        <w:t>2</w:t>
      </w:r>
      <w:r w:rsidR="00405BE2">
        <w:rPr>
          <w:vertAlign w:val="subscript"/>
        </w:rPr>
        <w:t xml:space="preserve"> </w:t>
      </w:r>
      <w:r w:rsidR="00405BE2">
        <w:t>(</w:t>
      </w:r>
      <w:r w:rsidRPr="00C72704">
        <w:t>GtCO</w:t>
      </w:r>
      <w:r w:rsidRPr="00C72704">
        <w:rPr>
          <w:vertAlign w:val="subscript"/>
        </w:rPr>
        <w:t>2</w:t>
      </w:r>
      <w:r w:rsidR="00405BE2" w:rsidRPr="00C72704">
        <w:t>)</w:t>
      </w:r>
      <w:r w:rsidRPr="00C72704">
        <w:t>.  About 43% of these emissions have remained in the atmosphere, while the rest was removed from the atmosphere and stored in natural terrestrial ecosystems (plants and soils – 29%) and in the oceans (28%).</w:t>
      </w:r>
    </w:p>
    <w:p w14:paraId="396B4EAD" w14:textId="12216E6F" w:rsidR="00AC7C62" w:rsidRDefault="002A38A9" w:rsidP="0017017B">
      <w:pPr>
        <w:pStyle w:val="BodyText"/>
        <w:rPr>
          <w:rFonts w:cs="Times New Roman"/>
        </w:rPr>
      </w:pPr>
      <w:r>
        <w:rPr>
          <w:rStyle w:val="normaltextrun"/>
          <w:color w:val="000000"/>
          <w:shd w:val="clear" w:color="auto" w:fill="FFFFFF"/>
        </w:rPr>
        <w:t>Multi-model climate projections under a high emissions scenario (SSP5-8.5) indicate that Utah could warm as much as 4 °C above current levels by 2074. Under a lower emissions scenario (SSP2-4.5), warming is projected to increase about 3 °C relative to the 1981-2010 mean</w:t>
      </w:r>
      <w:r w:rsidR="003A56F9">
        <w:rPr>
          <w:rStyle w:val="normaltextrun"/>
          <w:color w:val="000000"/>
          <w:shd w:val="clear" w:color="auto" w:fill="FFFFFF"/>
        </w:rPr>
        <w:t xml:space="preserve"> </w:t>
      </w:r>
      <w:sdt>
        <w:sdtPr>
          <w:rPr>
            <w:rStyle w:val="normaltextrun"/>
            <w:color w:val="000000"/>
            <w:shd w:val="clear" w:color="auto" w:fill="FFFFFF"/>
          </w:rPr>
          <w:id w:val="-1376695128"/>
          <w:citation/>
        </w:sdtPr>
        <w:sdtContent>
          <w:r w:rsidR="003A56F9">
            <w:rPr>
              <w:rStyle w:val="normaltextrun"/>
              <w:color w:val="000000"/>
              <w:shd w:val="clear" w:color="auto" w:fill="FFFFFF"/>
            </w:rPr>
            <w:fldChar w:fldCharType="begin"/>
          </w:r>
          <w:r w:rsidR="00BB3B5C">
            <w:rPr>
              <w:rStyle w:val="normaltextrun"/>
              <w:color w:val="000000"/>
              <w:shd w:val="clear" w:color="auto" w:fill="FFFFFF"/>
            </w:rPr>
            <w:instrText xml:space="preserve">CITATION Ald13 \l 1033 </w:instrText>
          </w:r>
          <w:r w:rsidR="003A56F9">
            <w:rPr>
              <w:rStyle w:val="normaltextrun"/>
              <w:color w:val="000000"/>
              <w:shd w:val="clear" w:color="auto" w:fill="FFFFFF"/>
            </w:rPr>
            <w:fldChar w:fldCharType="separate"/>
          </w:r>
          <w:r w:rsidR="0093463A" w:rsidRPr="0093463A">
            <w:rPr>
              <w:noProof/>
              <w:color w:val="000000"/>
              <w:shd w:val="clear" w:color="auto" w:fill="FFFFFF"/>
            </w:rPr>
            <w:t>(Alder &amp; Hostetler, 2013)</w:t>
          </w:r>
          <w:r w:rsidR="003A56F9">
            <w:rPr>
              <w:rStyle w:val="normaltextrun"/>
              <w:color w:val="000000"/>
              <w:shd w:val="clear" w:color="auto" w:fill="FFFFFF"/>
            </w:rPr>
            <w:fldChar w:fldCharType="end"/>
          </w:r>
        </w:sdtContent>
      </w:sdt>
      <w:r>
        <w:rPr>
          <w:rStyle w:val="normaltextrun"/>
          <w:color w:val="000000"/>
          <w:shd w:val="clear" w:color="auto" w:fill="FFFFFF"/>
        </w:rPr>
        <w:t xml:space="preserve">. </w:t>
      </w:r>
      <w:r w:rsidR="00B4776F">
        <w:rPr>
          <w:rFonts w:cs="Times New Roman"/>
        </w:rPr>
        <w:t xml:space="preserve">Increases in average temperatures </w:t>
      </w:r>
      <w:r w:rsidR="008E491A">
        <w:rPr>
          <w:rFonts w:cs="Times New Roman"/>
        </w:rPr>
        <w:t>would</w:t>
      </w:r>
      <w:r w:rsidR="00B4776F">
        <w:rPr>
          <w:rFonts w:cs="Times New Roman"/>
        </w:rPr>
        <w:t xml:space="preserve"> be accompanied by increases in heat wave intensity and decreases in cold wave intensity. </w:t>
      </w:r>
      <w:r w:rsidR="00DC14CC">
        <w:rPr>
          <w:rFonts w:cs="Times New Roman"/>
        </w:rPr>
        <w:t xml:space="preserve">Under these conditions, </w:t>
      </w:r>
      <w:r w:rsidR="006C0D2F">
        <w:rPr>
          <w:rFonts w:cs="Times New Roman"/>
        </w:rPr>
        <w:t xml:space="preserve">precipitation </w:t>
      </w:r>
      <w:r w:rsidR="008E491A">
        <w:rPr>
          <w:rFonts w:cs="Times New Roman"/>
        </w:rPr>
        <w:t>would</w:t>
      </w:r>
      <w:r w:rsidR="006C0D2F">
        <w:rPr>
          <w:rFonts w:cs="Times New Roman"/>
        </w:rPr>
        <w:t xml:space="preserve"> more likely fall as rain instead of snow, reducing water storage in the snowpac</w:t>
      </w:r>
      <w:r w:rsidR="006E7003">
        <w:rPr>
          <w:rFonts w:cs="Times New Roman"/>
        </w:rPr>
        <w:t>k.</w:t>
      </w:r>
    </w:p>
    <w:p w14:paraId="537582A3" w14:textId="0364398D" w:rsidR="0017017B" w:rsidRDefault="00144DF1" w:rsidP="0017017B">
      <w:pPr>
        <w:pStyle w:val="BodyText"/>
      </w:pPr>
      <w:r>
        <w:t>Uintah</w:t>
      </w:r>
      <w:r w:rsidRPr="00B54B6A">
        <w:t xml:space="preserve"> County</w:t>
      </w:r>
      <w:r w:rsidR="009C3018">
        <w:t>, where the</w:t>
      </w:r>
      <w:r w:rsidR="007C5154">
        <w:t xml:space="preserve"> nominated lease parcels are located,</w:t>
      </w:r>
      <w:r w:rsidRPr="00B54B6A">
        <w:t xml:space="preserve"> has been experiencing </w:t>
      </w:r>
      <w:r w:rsidR="004E4E57">
        <w:t>intermittent</w:t>
      </w:r>
      <w:r w:rsidRPr="00B54B6A">
        <w:t xml:space="preserve"> drought conditions for </w:t>
      </w:r>
      <w:r>
        <w:t xml:space="preserve">at least </w:t>
      </w:r>
      <w:r w:rsidRPr="00B54B6A">
        <w:t xml:space="preserve">the past </w:t>
      </w:r>
      <w:r>
        <w:t>24</w:t>
      </w:r>
      <w:r w:rsidRPr="00B54B6A">
        <w:t xml:space="preserve"> years, with the most notable drought periods </w:t>
      </w:r>
      <w:r w:rsidR="0012533B">
        <w:t>(</w:t>
      </w:r>
      <w:r w:rsidR="00640BC6">
        <w:t>severe, extreme, and exceptional drou</w:t>
      </w:r>
      <w:r w:rsidR="00781712">
        <w:t xml:space="preserve">ght) </w:t>
      </w:r>
      <w:r w:rsidRPr="00B54B6A">
        <w:t>in the following timeframes: 200</w:t>
      </w:r>
      <w:r>
        <w:t>2</w:t>
      </w:r>
      <w:r w:rsidRPr="00B54B6A">
        <w:t>-200</w:t>
      </w:r>
      <w:r>
        <w:t>5</w:t>
      </w:r>
      <w:r w:rsidRPr="00B54B6A">
        <w:t>, 20</w:t>
      </w:r>
      <w:r>
        <w:t>12</w:t>
      </w:r>
      <w:r w:rsidRPr="00B54B6A">
        <w:t>-20</w:t>
      </w:r>
      <w:r>
        <w:t>14</w:t>
      </w:r>
      <w:r w:rsidRPr="00B54B6A">
        <w:t>, 201</w:t>
      </w:r>
      <w:r>
        <w:t>8</w:t>
      </w:r>
      <w:r w:rsidRPr="00B54B6A">
        <w:t>-201</w:t>
      </w:r>
      <w:r>
        <w:t>9</w:t>
      </w:r>
      <w:r w:rsidRPr="00B54B6A">
        <w:t>, and 202</w:t>
      </w:r>
      <w:r>
        <w:t>1</w:t>
      </w:r>
      <w:r w:rsidRPr="00B54B6A">
        <w:t>-202</w:t>
      </w:r>
      <w:r>
        <w:t>3</w:t>
      </w:r>
      <w:r w:rsidRPr="00B54B6A">
        <w:t xml:space="preserve">. </w:t>
      </w:r>
      <w:r w:rsidR="004A748D">
        <w:rPr>
          <w:rFonts w:cs="Times New Roman"/>
        </w:rPr>
        <w:lastRenderedPageBreak/>
        <w:t>Droughts</w:t>
      </w:r>
      <w:r w:rsidR="007577D6">
        <w:rPr>
          <w:rFonts w:cs="Times New Roman"/>
        </w:rPr>
        <w:t xml:space="preserve"> such as those experienced in Uintah County</w:t>
      </w:r>
      <w:r w:rsidR="004A748D">
        <w:rPr>
          <w:rFonts w:cs="Times New Roman"/>
        </w:rPr>
        <w:t xml:space="preserve">, </w:t>
      </w:r>
      <w:r w:rsidR="007577D6">
        <w:rPr>
          <w:rFonts w:cs="Times New Roman"/>
        </w:rPr>
        <w:t xml:space="preserve">are </w:t>
      </w:r>
      <w:r w:rsidR="004A748D">
        <w:rPr>
          <w:rFonts w:cs="Times New Roman"/>
        </w:rPr>
        <w:t>a natural part of Utah’s climate</w:t>
      </w:r>
      <w:r w:rsidR="005D6C04">
        <w:rPr>
          <w:rFonts w:cs="Times New Roman"/>
        </w:rPr>
        <w:t>. However</w:t>
      </w:r>
      <w:r w:rsidR="004A748D">
        <w:rPr>
          <w:rFonts w:cs="Times New Roman"/>
        </w:rPr>
        <w:t xml:space="preserve">, </w:t>
      </w:r>
      <w:r w:rsidR="005D6C04">
        <w:rPr>
          <w:rFonts w:cs="Times New Roman"/>
        </w:rPr>
        <w:t xml:space="preserve">these droughts </w:t>
      </w:r>
      <w:r w:rsidR="004A748D">
        <w:rPr>
          <w:rFonts w:cs="Times New Roman"/>
        </w:rPr>
        <w:t>are expected to become more intense</w:t>
      </w:r>
      <w:r w:rsidR="006C1FE1">
        <w:rPr>
          <w:rFonts w:cs="Times New Roman"/>
        </w:rPr>
        <w:t xml:space="preserve"> with climate change</w:t>
      </w:r>
      <w:r w:rsidR="004A748D">
        <w:rPr>
          <w:rFonts w:cs="Times New Roman"/>
        </w:rPr>
        <w:t xml:space="preserve">. </w:t>
      </w:r>
      <w:r w:rsidR="00797D26">
        <w:rPr>
          <w:rFonts w:cs="Times New Roman"/>
        </w:rPr>
        <w:t xml:space="preserve">Higher temperatures will amplify the effects of naturally occurring dry spells by increasing the rate of loss of soil moisture. </w:t>
      </w:r>
      <w:r w:rsidR="00A32D55">
        <w:rPr>
          <w:rFonts w:cs="Times New Roman"/>
        </w:rPr>
        <w:t xml:space="preserve">Additionally, higher spring temperature can cause early </w:t>
      </w:r>
      <w:r w:rsidR="007B0AF2">
        <w:rPr>
          <w:rFonts w:cs="Times New Roman"/>
        </w:rPr>
        <w:t>melting</w:t>
      </w:r>
      <w:r w:rsidR="00A32D55">
        <w:rPr>
          <w:rFonts w:cs="Times New Roman"/>
        </w:rPr>
        <w:t xml:space="preserve"> of the snowpack, </w:t>
      </w:r>
      <w:r w:rsidR="00B65B23">
        <w:rPr>
          <w:rFonts w:cs="Times New Roman"/>
        </w:rPr>
        <w:t xml:space="preserve">decreasing </w:t>
      </w:r>
      <w:r w:rsidR="00CE58D6">
        <w:rPr>
          <w:rFonts w:cs="Times New Roman"/>
        </w:rPr>
        <w:t xml:space="preserve">water </w:t>
      </w:r>
      <w:r w:rsidR="00AC7C62">
        <w:rPr>
          <w:rFonts w:cs="Times New Roman"/>
        </w:rPr>
        <w:t>availability</w:t>
      </w:r>
      <w:r w:rsidR="00CE58D6">
        <w:rPr>
          <w:rFonts w:cs="Times New Roman"/>
        </w:rPr>
        <w:t xml:space="preserve"> during the already dry summer months.</w:t>
      </w:r>
      <w:r w:rsidR="0035747F">
        <w:rPr>
          <w:rFonts w:cs="Times New Roman"/>
        </w:rPr>
        <w:t xml:space="preserve"> The projected increase in the intensity of naturally occurring droughts will increase the occurrence and severity of wildfires.</w:t>
      </w:r>
    </w:p>
    <w:p w14:paraId="15BA272C" w14:textId="67CD4087" w:rsidR="00AB7B68" w:rsidRDefault="00213BDD" w:rsidP="0017017B">
      <w:pPr>
        <w:pStyle w:val="BodyText"/>
      </w:pPr>
      <w:r>
        <w:rPr>
          <w:rFonts w:cs="Times New Roman"/>
        </w:rPr>
        <w:t>Further discussion about</w:t>
      </w:r>
      <w:r w:rsidR="00AB7B68">
        <w:rPr>
          <w:rFonts w:cs="Times New Roman"/>
        </w:rPr>
        <w:t xml:space="preserve"> climate change</w:t>
      </w:r>
      <w:r>
        <w:rPr>
          <w:rFonts w:cs="Times New Roman"/>
        </w:rPr>
        <w:t xml:space="preserve"> science</w:t>
      </w:r>
      <w:r w:rsidR="00E157D5">
        <w:rPr>
          <w:rFonts w:cs="Times New Roman"/>
        </w:rPr>
        <w:t xml:space="preserve"> </w:t>
      </w:r>
      <w:r w:rsidR="004E445D">
        <w:rPr>
          <w:rFonts w:cs="Times New Roman"/>
        </w:rPr>
        <w:t>and predicted impacts</w:t>
      </w:r>
      <w:r w:rsidR="00E157D5">
        <w:rPr>
          <w:rFonts w:cs="Times New Roman"/>
        </w:rPr>
        <w:t xml:space="preserve"> </w:t>
      </w:r>
      <w:r w:rsidR="00184B51">
        <w:rPr>
          <w:rFonts w:cs="Times New Roman"/>
        </w:rPr>
        <w:t>can be found in the</w:t>
      </w:r>
      <w:r w:rsidR="008A504C">
        <w:rPr>
          <w:rFonts w:cs="Times New Roman"/>
        </w:rPr>
        <w:t xml:space="preserve"> </w:t>
      </w:r>
      <w:r w:rsidR="00F14F6D">
        <w:rPr>
          <w:rFonts w:cs="Times New Roman"/>
        </w:rPr>
        <w:t xml:space="preserve">2022 </w:t>
      </w:r>
      <w:r w:rsidR="00F14F6D" w:rsidRPr="2106DB67">
        <w:rPr>
          <w:rFonts w:cs="Times New Roman"/>
          <w:i/>
          <w:iCs/>
        </w:rPr>
        <w:t xml:space="preserve">BLM Specialist Report on Annual Greenhouse Gas Emissions and Climate Trends </w:t>
      </w:r>
      <w:sdt>
        <w:sdtPr>
          <w:rPr>
            <w:rFonts w:cs="Times New Roman"/>
            <w:i/>
            <w:iCs/>
          </w:rPr>
          <w:id w:val="-1280405574"/>
          <w:placeholder>
            <w:docPart w:val="5E06B01AF98748F0B578EA3D97358DB3"/>
          </w:placeholder>
          <w:citation/>
        </w:sdtPr>
        <w:sdtContent>
          <w:r w:rsidR="00F14F6D" w:rsidRPr="2106DB67">
            <w:rPr>
              <w:rFonts w:cs="Times New Roman"/>
              <w:i/>
              <w:iCs/>
            </w:rPr>
            <w:fldChar w:fldCharType="begin"/>
          </w:r>
          <w:r w:rsidR="00576585">
            <w:rPr>
              <w:rFonts w:cs="Times New Roman"/>
              <w:i/>
              <w:iCs/>
            </w:rPr>
            <w:instrText xml:space="preserve">CITATION Placeholder2 \l 1033 </w:instrText>
          </w:r>
          <w:r w:rsidR="00F14F6D" w:rsidRPr="2106DB67">
            <w:rPr>
              <w:rFonts w:cs="Times New Roman"/>
              <w:i/>
              <w:iCs/>
            </w:rPr>
            <w:fldChar w:fldCharType="separate"/>
          </w:r>
          <w:r w:rsidR="0093463A" w:rsidRPr="0093463A">
            <w:rPr>
              <w:rFonts w:cs="Times New Roman"/>
              <w:noProof/>
            </w:rPr>
            <w:t>(BLM, 2024)</w:t>
          </w:r>
          <w:r w:rsidR="00F14F6D" w:rsidRPr="2106DB67">
            <w:rPr>
              <w:rFonts w:cs="Times New Roman"/>
              <w:i/>
              <w:iCs/>
            </w:rPr>
            <w:fldChar w:fldCharType="end"/>
          </w:r>
        </w:sdtContent>
      </w:sdt>
      <w:r w:rsidR="00F14F6D" w:rsidRPr="2106DB67">
        <w:rPr>
          <w:rFonts w:cs="Times New Roman"/>
          <w:i/>
          <w:iCs/>
        </w:rPr>
        <w:t xml:space="preserve"> </w:t>
      </w:r>
      <w:r w:rsidR="00F14F6D">
        <w:rPr>
          <w:rFonts w:cs="Times New Roman"/>
        </w:rPr>
        <w:t>(</w:t>
      </w:r>
      <w:r w:rsidR="00F14F6D" w:rsidRPr="0FDA263F">
        <w:rPr>
          <w:rFonts w:cs="Times New Roman"/>
        </w:rPr>
        <w:t>Annual GHG Report</w:t>
      </w:r>
      <w:r w:rsidR="00F14F6D">
        <w:rPr>
          <w:rFonts w:cs="Times New Roman"/>
        </w:rPr>
        <w:t>).</w:t>
      </w:r>
      <w:r w:rsidR="00D005AA">
        <w:rPr>
          <w:rFonts w:cs="Times New Roman"/>
        </w:rPr>
        <w:t xml:space="preserve"> An emissions discussion detailing a quantitative analysis of GHGs </w:t>
      </w:r>
      <w:r w:rsidR="00E95F55">
        <w:rPr>
          <w:rFonts w:cs="Times New Roman"/>
        </w:rPr>
        <w:t>related to the potential develop of th</w:t>
      </w:r>
      <w:r w:rsidR="00FF6D53">
        <w:rPr>
          <w:rFonts w:cs="Times New Roman"/>
        </w:rPr>
        <w:t>e</w:t>
      </w:r>
      <w:r w:rsidR="00E95F55">
        <w:rPr>
          <w:rFonts w:cs="Times New Roman"/>
        </w:rPr>
        <w:t xml:space="preserve"> lease </w:t>
      </w:r>
      <w:r w:rsidR="00163DBA">
        <w:rPr>
          <w:rFonts w:cs="Times New Roman"/>
        </w:rPr>
        <w:t>parcels</w:t>
      </w:r>
      <w:r w:rsidR="00FF6D53">
        <w:rPr>
          <w:rFonts w:cs="Times New Roman"/>
        </w:rPr>
        <w:t xml:space="preserve"> </w:t>
      </w:r>
      <w:r w:rsidR="0049385E">
        <w:rPr>
          <w:rFonts w:cs="Times New Roman"/>
        </w:rPr>
        <w:t>can be found in Section</w:t>
      </w:r>
      <w:r w:rsidR="00D005AA">
        <w:rPr>
          <w:rFonts w:cs="Times New Roman"/>
        </w:rPr>
        <w:t xml:space="preserve"> </w:t>
      </w:r>
      <w:r w:rsidR="00A93F60">
        <w:rPr>
          <w:rFonts w:cs="Times New Roman"/>
        </w:rPr>
        <w:t>3.6.2.</w:t>
      </w:r>
    </w:p>
    <w:p w14:paraId="46B8CFDD" w14:textId="77777777" w:rsidR="002D682D" w:rsidRPr="006A4A3D" w:rsidRDefault="002D682D" w:rsidP="002D682D">
      <w:pPr>
        <w:pStyle w:val="Heading2"/>
        <w:rPr>
          <w:rFonts w:hint="eastAsia"/>
        </w:rPr>
      </w:pPr>
      <w:bookmarkStart w:id="100" w:name="_Toc179464240"/>
      <w:bookmarkStart w:id="101" w:name="_Toc170114895"/>
      <w:r w:rsidRPr="006A4A3D">
        <w:t xml:space="preserve">No Action Alternative </w:t>
      </w:r>
      <w:r>
        <w:t>Impact</w:t>
      </w:r>
      <w:r w:rsidRPr="006A4A3D">
        <w:t xml:space="preserve"> for All Issues</w:t>
      </w:r>
      <w:bookmarkEnd w:id="98"/>
      <w:bookmarkEnd w:id="99"/>
      <w:bookmarkEnd w:id="100"/>
      <w:bookmarkEnd w:id="101"/>
    </w:p>
    <w:p w14:paraId="3B0B2C2C" w14:textId="7C1EB591" w:rsidR="002D682D" w:rsidRPr="00B55969" w:rsidRDefault="002D682D" w:rsidP="002D682D">
      <w:pPr>
        <w:pStyle w:val="BodyText"/>
      </w:pPr>
      <w:r w:rsidRPr="00B55969">
        <w:t>Under the No Action Alternative, the BLM would not</w:t>
      </w:r>
      <w:r w:rsidR="00217387">
        <w:t xml:space="preserve"> offer</w:t>
      </w:r>
      <w:r w:rsidR="000775F3">
        <w:t xml:space="preserve"> for</w:t>
      </w:r>
      <w:r w:rsidRPr="00B55969">
        <w:t xml:space="preserve"> lease the nominated lease parcels and the existing conditions and trends related to each issue would continue. Potential impacts associated with future potential development of the nominated lease parcels would not occur</w:t>
      </w:r>
      <w:r w:rsidRPr="00B55969" w:rsidDel="00A23091">
        <w:t xml:space="preserve"> </w:t>
      </w:r>
      <w:r w:rsidRPr="00B55969">
        <w:t>under this alternative, current land and resource uses would continue, and the federal mineral acreage would remain open to future oil and gas leas</w:t>
      </w:r>
      <w:r>
        <w:t>ing</w:t>
      </w:r>
      <w:r w:rsidRPr="00B55969">
        <w:t xml:space="preserve"> </w:t>
      </w:r>
      <w:r>
        <w:t>unless land use plan amendments are completed to close these areas to leasing</w:t>
      </w:r>
      <w:r w:rsidRPr="00B55969">
        <w:t xml:space="preserve">. No natural gas or crude oil from the nominated lease parcels would be produced, and no royalties would accrue to federal or state treasuries. </w:t>
      </w:r>
      <w:r>
        <w:t xml:space="preserve">Selection of the No Action Alternative </w:t>
      </w:r>
      <w:r w:rsidRPr="00B55969">
        <w:t xml:space="preserve">would </w:t>
      </w:r>
      <w:r>
        <w:t>forgo new oil and gas development opportunities on approximately</w:t>
      </w:r>
      <w:r w:rsidR="0040001F">
        <w:t xml:space="preserve"> </w:t>
      </w:r>
      <w:r>
        <w:t>833.28 acres of federal minerals in the VFO</w:t>
      </w:r>
      <w:r w:rsidRPr="00B55969">
        <w:t>. Reducing total oil and gas development opportunities in the area is likely to incrementally reduce local and regional employment and revenue opportunities related to the oil and gas and service support industries over time. This is because the oil and gas sector of the economy relies on both ongoing operational activities (development of existing leases) and new development opportunities (acquisition and development of new leases</w:t>
      </w:r>
      <w:r w:rsidRPr="00550A23">
        <w:t xml:space="preserve">) to continue to provide local and regional jobs and revenue on a sustained basis. In the </w:t>
      </w:r>
      <w:r>
        <w:t>5</w:t>
      </w:r>
      <w:r w:rsidRPr="00550A23">
        <w:t>.</w:t>
      </w:r>
      <w:r>
        <w:t>5</w:t>
      </w:r>
      <w:r w:rsidRPr="00550A23">
        <w:t> million-acres</w:t>
      </w:r>
      <w:r>
        <w:t xml:space="preserve"> within the boundary of the VFO</w:t>
      </w:r>
      <w:r w:rsidRPr="00550A23">
        <w:t xml:space="preserve">, there are approximately 1.9 million acres of federal mineral estate that are open to oil and gas leasing. Of these acres, </w:t>
      </w:r>
      <w:r w:rsidRPr="00146473">
        <w:t>1,168,221 acres are already leased (62%</w:t>
      </w:r>
      <w:r w:rsidRPr="00550A23">
        <w:t xml:space="preserve"> of the federal mineral estate open to oil and gas leasing) across 1274 total </w:t>
      </w:r>
      <w:r>
        <w:t>leases</w:t>
      </w:r>
      <w:r w:rsidRPr="00550A23">
        <w:t xml:space="preserve">. </w:t>
      </w:r>
    </w:p>
    <w:p w14:paraId="36AA7A7D" w14:textId="77777777" w:rsidR="002D682D" w:rsidRPr="006A4A3D" w:rsidRDefault="002D682D" w:rsidP="002D682D">
      <w:pPr>
        <w:pStyle w:val="Heading2"/>
        <w:rPr>
          <w:rFonts w:hint="eastAsia"/>
        </w:rPr>
      </w:pPr>
      <w:bookmarkStart w:id="102" w:name="_Ref128864839"/>
      <w:bookmarkStart w:id="103" w:name="_Ref128865146"/>
      <w:bookmarkStart w:id="104" w:name="_Ref128865208"/>
      <w:bookmarkStart w:id="105" w:name="_Ref128867394"/>
      <w:bookmarkStart w:id="106" w:name="_Toc163734190"/>
      <w:bookmarkStart w:id="107" w:name="_Toc179464241"/>
      <w:bookmarkStart w:id="108" w:name="_Toc170114896"/>
      <w:r w:rsidRPr="006A4A3D">
        <w:t xml:space="preserve">Issues </w:t>
      </w:r>
      <w:bookmarkEnd w:id="102"/>
      <w:bookmarkEnd w:id="103"/>
      <w:bookmarkEnd w:id="104"/>
      <w:bookmarkEnd w:id="105"/>
      <w:r>
        <w:t>Analyzed in Brief</w:t>
      </w:r>
      <w:r w:rsidRPr="006A4A3D">
        <w:t xml:space="preserve"> (AIB)</w:t>
      </w:r>
      <w:bookmarkEnd w:id="106"/>
      <w:bookmarkEnd w:id="107"/>
      <w:bookmarkEnd w:id="108"/>
    </w:p>
    <w:p w14:paraId="4529D378" w14:textId="1938B637" w:rsidR="002D682D" w:rsidRPr="002C71DF" w:rsidRDefault="002D682D" w:rsidP="002C71DF">
      <w:pPr>
        <w:pStyle w:val="BodyText"/>
      </w:pPr>
      <w:r>
        <w:t xml:space="preserve">Following internal and external scoping, </w:t>
      </w:r>
      <w:r w:rsidR="00894BDF">
        <w:t>22</w:t>
      </w:r>
      <w:r>
        <w:t xml:space="preserve"> issues were identified, considered, and eliminated from </w:t>
      </w:r>
      <w:r w:rsidRPr="002C71DF">
        <w:t xml:space="preserve">detailed analysis by members of the IDT in review of the Proposed Action. </w:t>
      </w:r>
      <w:r w:rsidRPr="00420F6E">
        <w:t>Each of these issues is outlined below with a concise discussion regarding the context and intensity of the impact related to each issue.</w:t>
      </w:r>
      <w:r w:rsidRPr="002C71DF">
        <w:t xml:space="preserve"> Stipulations HQ-TES-1 (compliance with the ESA), HQ-CR-1 (compliance with the NHPA), and Lease Notice HQ-MLA-1 (compliance with the MLA), as well as standard terms and conditions as described in the lease form, would apply to all nominated lease parcels.</w:t>
      </w:r>
    </w:p>
    <w:p w14:paraId="70A27610" w14:textId="359D17B3" w:rsidR="002D682D" w:rsidRPr="002C71DF" w:rsidRDefault="002D682D" w:rsidP="002C71DF">
      <w:pPr>
        <w:pStyle w:val="BodyText"/>
      </w:pPr>
      <w:r w:rsidRPr="002C71DF">
        <w:t xml:space="preserve">For the purposes of this analysis, short-term effects are those that cease after well construction and completion (30–60 days) or cease after interim reclamation (2–5 years). Long-term effects </w:t>
      </w:r>
      <w:proofErr w:type="gramStart"/>
      <w:r w:rsidRPr="002C71DF">
        <w:t>are considered to be</w:t>
      </w:r>
      <w:proofErr w:type="gramEnd"/>
      <w:r w:rsidRPr="002C71DF">
        <w:t xml:space="preserve"> those associated with operation and production activities over the life of the well (for example, noise) or that otherwise extend beyond the short-term time period (for example, surface disturbance subject to final reclamation). As such, some long-term effects would cease immediately upon the end of operations, whereas other long-term effects would remain until successful landscape reclamation and remediation is accomplished. Note that the time frame for successful reclamation would vary by vegetation type and other factors such as the amount and timing of annual precipitation (see AIB-9 for more information).</w:t>
      </w:r>
      <w:r w:rsidR="00FA748E">
        <w:t xml:space="preserve"> No long-term effects are expected to persist after successful fina</w:t>
      </w:r>
      <w:r w:rsidR="00202453">
        <w:t>l reclamation</w:t>
      </w:r>
      <w:r w:rsidR="00230923">
        <w:t>.</w:t>
      </w:r>
    </w:p>
    <w:p w14:paraId="23982AFE" w14:textId="2BBA4AB9" w:rsidR="002D682D" w:rsidRPr="00B55969" w:rsidRDefault="002D682D" w:rsidP="00D94666">
      <w:pPr>
        <w:pStyle w:val="AIBChapter3"/>
        <w:rPr>
          <w:rFonts w:hint="eastAsia"/>
        </w:rPr>
      </w:pPr>
      <w:bookmarkStart w:id="109" w:name="_Toc163734191"/>
      <w:bookmarkStart w:id="110" w:name="_Toc179464242"/>
      <w:bookmarkStart w:id="111" w:name="_Toc170114897"/>
      <w:r>
        <w:lastRenderedPageBreak/>
        <w:t xml:space="preserve">Threatened and Endangered </w:t>
      </w:r>
      <w:r w:rsidR="00965FEC">
        <w:t xml:space="preserve">(T&amp;E) </w:t>
      </w:r>
      <w:r>
        <w:t>Species</w:t>
      </w:r>
      <w:bookmarkEnd w:id="109"/>
      <w:bookmarkEnd w:id="110"/>
      <w:bookmarkEnd w:id="111"/>
    </w:p>
    <w:p w14:paraId="1FB60A66" w14:textId="0F18CF83" w:rsidR="002D682D" w:rsidRPr="00B97512" w:rsidRDefault="002D682D" w:rsidP="002D682D">
      <w:pPr>
        <w:pStyle w:val="BodyText"/>
        <w:rPr>
          <w:b/>
          <w:bCs/>
        </w:rPr>
      </w:pPr>
      <w:r w:rsidRPr="00B97512">
        <w:rPr>
          <w:b/>
          <w:bCs/>
        </w:rPr>
        <w:t>How would potential development of the nominated lease parcels affect federally listed species or their habitats?</w:t>
      </w:r>
    </w:p>
    <w:p w14:paraId="25B9A068" w14:textId="7869F1E2" w:rsidR="002D682D" w:rsidRPr="002C71DF" w:rsidRDefault="002D682D" w:rsidP="002C71DF">
      <w:pPr>
        <w:pStyle w:val="BodyText"/>
      </w:pPr>
      <w:r w:rsidRPr="002C71DF">
        <w:t>The</w:t>
      </w:r>
      <w:r w:rsidRPr="002C71DF" w:rsidDel="00C121E5">
        <w:t xml:space="preserve"> </w:t>
      </w:r>
      <w:r w:rsidR="00C121E5">
        <w:t>nominated lease parcels</w:t>
      </w:r>
      <w:r w:rsidRPr="002C71DF">
        <w:t xml:space="preserve"> were analyzed individually for occurrence of federally listed species, in coordination with the USFWS. In accordance with lease stipulation HQ-TES-1, which applies to all the nominated lease parcels, the BLM would not approve any ground-disturbing activity that may affect listed species or critical habitat until it completes its obligations under the applicable requirements of the ESA. The BLM may also require modifications to or disapprove of a proposed activity that is likely to result in jeopardy to the continued existence of a proposed or listed threatened or endangered species, or result in the destruction or adverse modification of a designated or proposed critical habitat (see </w:t>
      </w:r>
      <w:r w:rsidRPr="002C71DF">
        <w:fldChar w:fldCharType="begin"/>
      </w:r>
      <w:r w:rsidRPr="002C71DF">
        <w:instrText xml:space="preserve"> REF _Ref128868168 \h </w:instrText>
      </w:r>
      <w:r w:rsidR="002C71DF" w:rsidRPr="002C71DF">
        <w:instrText xml:space="preserve"> \* MERGEFORMAT </w:instrText>
      </w:r>
      <w:r w:rsidRPr="002C71DF">
        <w:fldChar w:fldCharType="separate"/>
      </w:r>
      <w:r w:rsidRPr="002C71DF">
        <w:t>Appendix B. BLM Parcel List with Stipulations</w:t>
      </w:r>
      <w:r w:rsidRPr="002C71DF">
        <w:fldChar w:fldCharType="end"/>
      </w:r>
      <w:r w:rsidRPr="002C71DF">
        <w:t xml:space="preserve"> and </w:t>
      </w:r>
      <w:r w:rsidRPr="002C71DF">
        <w:fldChar w:fldCharType="begin"/>
      </w:r>
      <w:r w:rsidRPr="002C71DF">
        <w:instrText xml:space="preserve"> REF _Ref128868183 \h </w:instrText>
      </w:r>
      <w:r w:rsidR="002C71DF" w:rsidRPr="002C71DF">
        <w:instrText xml:space="preserve"> \* MERGEFORMAT </w:instrText>
      </w:r>
      <w:r w:rsidRPr="002C71DF">
        <w:fldChar w:fldCharType="separate"/>
      </w:r>
      <w:r w:rsidRPr="002C71DF">
        <w:t>Appendix C. Lease Stipulation and Notice Summary</w:t>
      </w:r>
      <w:r w:rsidRPr="002C71DF">
        <w:fldChar w:fldCharType="end"/>
      </w:r>
      <w:r w:rsidRPr="002C71DF">
        <w:t>). In addition, due to the potential for currently or future listed species to be identified within the parcels, lease notice T&amp;E-05 applies to all lease parcels. Section 4.1 further discusses how the Proposed Action would comply with threatened and endangered species management guidelines outlined in the</w:t>
      </w:r>
      <w:r w:rsidR="00521833">
        <w:t xml:space="preserve"> </w:t>
      </w:r>
      <w:r w:rsidR="00597C4E">
        <w:t>Vernal RMP</w:t>
      </w:r>
      <w:r w:rsidRPr="002C71DF">
        <w:t xml:space="preserve">, as well as ESA Section 7 consultation requirements. For all parcels, applying the identified T&amp;E lease notices – which were developed through formal ESA Section 7 </w:t>
      </w:r>
      <w:r w:rsidR="00890D16">
        <w:t>c</w:t>
      </w:r>
      <w:r w:rsidRPr="002C71DF">
        <w:t>onsultation with the USFWS during development of the applicable land use plan – would mitigate potential impacts from mineral development on the nominated lease parcels and adjacent lands. As discussed below, the application of the identified lease stipulations and notices to the nominated lease parcels, as well as the requirements outlined in the applicable land use plan, would adequately mitigate potential impacts to listed or candidate T&amp;E species at the leasing stage. At the lease development stage, site-specific ESA Section 7 consultation with USFWS would occur as necessary and would take into consideration infrastructure siting, habitat suitability determinations, survey results, and any additional site-specific considerations or avoidance measures. The following subsections describe the species whose USFWS published range map</w:t>
      </w:r>
      <w:r w:rsidR="00795769">
        <w:t xml:space="preserve"> (also referred to as an area of influence (AOI))</w:t>
      </w:r>
      <w:r w:rsidRPr="002C71DF">
        <w:t xml:space="preserve"> intersects one or more nominated parcels.</w:t>
      </w:r>
    </w:p>
    <w:p w14:paraId="5D4B75D8" w14:textId="7A95F8F8" w:rsidR="002D682D" w:rsidRPr="00C32DA1" w:rsidRDefault="007D03D4" w:rsidP="00DC10CB">
      <w:pPr>
        <w:pStyle w:val="BodyText"/>
        <w:rPr>
          <w:b/>
        </w:rPr>
      </w:pPr>
      <w:r w:rsidRPr="00DC10CB">
        <w:rPr>
          <w:b/>
          <w:i/>
        </w:rPr>
        <w:t>Uinta Basin hookless cactus (</w:t>
      </w:r>
      <w:proofErr w:type="spellStart"/>
      <w:r w:rsidRPr="00DC10CB">
        <w:rPr>
          <w:b/>
          <w:i/>
          <w:u w:val="single"/>
        </w:rPr>
        <w:t>Sclerocactus</w:t>
      </w:r>
      <w:proofErr w:type="spellEnd"/>
      <w:r w:rsidRPr="00DC10CB">
        <w:rPr>
          <w:b/>
          <w:i/>
          <w:u w:val="single"/>
        </w:rPr>
        <w:t xml:space="preserve"> </w:t>
      </w:r>
      <w:proofErr w:type="spellStart"/>
      <w:r w:rsidRPr="00DC10CB">
        <w:rPr>
          <w:b/>
          <w:i/>
          <w:u w:val="single"/>
        </w:rPr>
        <w:t>wetlandicus</w:t>
      </w:r>
      <w:proofErr w:type="spellEnd"/>
      <w:r w:rsidR="00282E5A" w:rsidRPr="00DC10CB">
        <w:rPr>
          <w:b/>
          <w:i/>
        </w:rPr>
        <w:t xml:space="preserve">) </w:t>
      </w:r>
      <w:r w:rsidR="00434FC9" w:rsidRPr="00DC10CB">
        <w:rPr>
          <w:b/>
          <w:i/>
        </w:rPr>
        <w:t>–</w:t>
      </w:r>
      <w:r w:rsidR="00282E5A" w:rsidRPr="00DC10CB">
        <w:rPr>
          <w:b/>
          <w:i/>
        </w:rPr>
        <w:t xml:space="preserve"> </w:t>
      </w:r>
      <w:r w:rsidR="00434FC9" w:rsidRPr="00DC10CB">
        <w:rPr>
          <w:b/>
          <w:i/>
        </w:rPr>
        <w:t>threatened</w:t>
      </w:r>
    </w:p>
    <w:p w14:paraId="4DD473B4" w14:textId="2F1F50B8" w:rsidR="00434FC9" w:rsidRDefault="00A92ABF" w:rsidP="0005692E">
      <w:pPr>
        <w:pStyle w:val="BodyText"/>
        <w:spacing w:before="0"/>
      </w:pPr>
      <w:r>
        <w:t>Parcel 7688 intersects the USFWS AOI for Uinta Basin hookless cactus</w:t>
      </w:r>
      <w:r w:rsidR="008069C4">
        <w:t xml:space="preserve"> and intersects</w:t>
      </w:r>
      <w:r w:rsidR="004C734D">
        <w:t xml:space="preserve"> </w:t>
      </w:r>
      <w:r w:rsidR="00581CE9">
        <w:t>modeled suitable habitat</w:t>
      </w:r>
      <w:r w:rsidR="00CA2BB8">
        <w:t>.</w:t>
      </w:r>
      <w:r w:rsidR="008069C4">
        <w:t xml:space="preserve"> However, no populations are </w:t>
      </w:r>
      <w:r w:rsidR="005B51BA">
        <w:t>located within the parcel</w:t>
      </w:r>
      <w:r w:rsidR="004E4F0A">
        <w:t xml:space="preserve"> and</w:t>
      </w:r>
      <w:r w:rsidR="005B51BA">
        <w:t xml:space="preserve"> nearest population is located approximately </w:t>
      </w:r>
      <w:r w:rsidR="00AC7013">
        <w:t>2.</w:t>
      </w:r>
      <w:r w:rsidR="00E70981">
        <w:t>2</w:t>
      </w:r>
      <w:r w:rsidR="00AC7013">
        <w:t xml:space="preserve"> miles to the west </w:t>
      </w:r>
      <w:r w:rsidR="00E70981">
        <w:t>of the parcel.</w:t>
      </w:r>
    </w:p>
    <w:p w14:paraId="1D464418" w14:textId="454874B3" w:rsidR="00EC51E7" w:rsidRDefault="00EC51E7" w:rsidP="008E3540">
      <w:pPr>
        <w:pStyle w:val="BodyText"/>
        <w:spacing w:before="0"/>
        <w:rPr>
          <w:rStyle w:val="normaltextrun"/>
          <w:color w:val="000000"/>
          <w:shd w:val="clear" w:color="auto" w:fill="FFFFFF"/>
        </w:rPr>
      </w:pPr>
      <w:r>
        <w:rPr>
          <w:rStyle w:val="normaltextrun"/>
          <w:color w:val="000000"/>
          <w:shd w:val="clear" w:color="auto" w:fill="FFFFFF"/>
        </w:rPr>
        <w:t xml:space="preserve">Using the </w:t>
      </w:r>
      <w:r w:rsidR="00ED47A5">
        <w:rPr>
          <w:rStyle w:val="normaltextrun"/>
          <w:color w:val="000000"/>
          <w:shd w:val="clear" w:color="auto" w:fill="FFFFFF"/>
        </w:rPr>
        <w:t>future development</w:t>
      </w:r>
      <w:r>
        <w:rPr>
          <w:rStyle w:val="normaltextrun"/>
          <w:color w:val="000000"/>
          <w:shd w:val="clear" w:color="auto" w:fill="FFFFFF"/>
        </w:rPr>
        <w:t xml:space="preserve"> assumptions in Section </w:t>
      </w:r>
      <w:r>
        <w:rPr>
          <w:rStyle w:val="normaltextrun"/>
          <w:color w:val="000000"/>
          <w:shd w:val="clear" w:color="auto" w:fill="FFFFFF"/>
        </w:rPr>
        <w:fldChar w:fldCharType="begin"/>
      </w:r>
      <w:r>
        <w:rPr>
          <w:rStyle w:val="normaltextrun"/>
          <w:color w:val="000000"/>
          <w:shd w:val="clear" w:color="auto" w:fill="FFFFFF"/>
        </w:rPr>
        <w:instrText xml:space="preserve"> REF _Ref128867519 \r \h </w:instrText>
      </w:r>
      <w:r>
        <w:rPr>
          <w:rStyle w:val="normaltextrun"/>
          <w:color w:val="000000"/>
          <w:shd w:val="clear" w:color="auto" w:fill="FFFFFF"/>
        </w:rPr>
      </w:r>
      <w:r>
        <w:rPr>
          <w:rStyle w:val="normaltextrun"/>
          <w:color w:val="000000"/>
          <w:shd w:val="clear" w:color="auto" w:fill="FFFFFF"/>
        </w:rPr>
        <w:fldChar w:fldCharType="separate"/>
      </w:r>
      <w:r>
        <w:rPr>
          <w:rStyle w:val="normaltextrun"/>
          <w:color w:val="000000"/>
          <w:shd w:val="clear" w:color="auto" w:fill="FFFFFF"/>
        </w:rPr>
        <w:t>3.2</w:t>
      </w:r>
      <w:r>
        <w:rPr>
          <w:rStyle w:val="normaltextrun"/>
          <w:color w:val="000000"/>
          <w:shd w:val="clear" w:color="auto" w:fill="FFFFFF"/>
        </w:rPr>
        <w:fldChar w:fldCharType="end"/>
      </w:r>
      <w:r>
        <w:rPr>
          <w:rStyle w:val="normaltextrun"/>
          <w:color w:val="000000"/>
          <w:shd w:val="clear" w:color="auto" w:fill="FFFFFF"/>
        </w:rPr>
        <w:t xml:space="preserve">, 5 acres of disturbance would occur within parcel 7688 and 5 acres of potential habitat would be directly impacted by the development (less than 0.1% of the </w:t>
      </w:r>
      <w:r w:rsidR="00042BE3">
        <w:rPr>
          <w:rStyle w:val="normaltextrun"/>
          <w:color w:val="000000"/>
          <w:shd w:val="clear" w:color="auto" w:fill="FFFFFF"/>
        </w:rPr>
        <w:t>516,674</w:t>
      </w:r>
      <w:r w:rsidR="003950D0">
        <w:rPr>
          <w:rStyle w:val="normaltextrun"/>
          <w:color w:val="000000"/>
          <w:shd w:val="clear" w:color="auto" w:fill="FFFFFF"/>
        </w:rPr>
        <w:t>-</w:t>
      </w:r>
      <w:r w:rsidR="00336D55">
        <w:rPr>
          <w:rStyle w:val="normaltextrun"/>
          <w:color w:val="000000"/>
          <w:shd w:val="clear" w:color="auto" w:fill="FFFFFF"/>
        </w:rPr>
        <w:t>acre potential habitat for the species</w:t>
      </w:r>
      <w:r>
        <w:rPr>
          <w:rStyle w:val="normaltextrun"/>
          <w:color w:val="000000"/>
          <w:shd w:val="clear" w:color="auto" w:fill="FFFFFF"/>
        </w:rPr>
        <w:t xml:space="preserve">). </w:t>
      </w:r>
      <w:r w:rsidR="00C56050">
        <w:rPr>
          <w:rStyle w:val="normaltextrun"/>
          <w:color w:val="000000"/>
          <w:shd w:val="clear" w:color="auto" w:fill="FFFFFF"/>
        </w:rPr>
        <w:t xml:space="preserve">Potential impacts </w:t>
      </w:r>
      <w:r w:rsidR="00371B56">
        <w:rPr>
          <w:rStyle w:val="normaltextrun"/>
          <w:color w:val="000000"/>
          <w:shd w:val="clear" w:color="auto" w:fill="FFFFFF"/>
        </w:rPr>
        <w:t>of lease development include</w:t>
      </w:r>
      <w:r>
        <w:rPr>
          <w:rStyle w:val="normaltextrun"/>
          <w:color w:val="000000"/>
          <w:shd w:val="clear" w:color="auto" w:fill="FFFFFF"/>
        </w:rPr>
        <w:t xml:space="preserve"> </w:t>
      </w:r>
      <w:r w:rsidR="008C4960">
        <w:rPr>
          <w:rStyle w:val="normaltextrun"/>
          <w:color w:val="000000"/>
          <w:shd w:val="clear" w:color="auto" w:fill="FFFFFF"/>
        </w:rPr>
        <w:t xml:space="preserve">the </w:t>
      </w:r>
      <w:r w:rsidR="00875F27">
        <w:rPr>
          <w:rStyle w:val="normaltextrun"/>
          <w:color w:val="000000"/>
          <w:shd w:val="clear" w:color="auto" w:fill="FFFFFF"/>
        </w:rPr>
        <w:t xml:space="preserve">loss of suitable </w:t>
      </w:r>
      <w:r w:rsidR="00A36080">
        <w:rPr>
          <w:rStyle w:val="normaltextrun"/>
          <w:color w:val="000000"/>
          <w:shd w:val="clear" w:color="auto" w:fill="FFFFFF"/>
        </w:rPr>
        <w:t xml:space="preserve">or potential habitat, </w:t>
      </w:r>
      <w:r w:rsidR="00A65F83">
        <w:rPr>
          <w:rStyle w:val="normaltextrun"/>
          <w:color w:val="000000"/>
          <w:shd w:val="clear" w:color="auto" w:fill="FFFFFF"/>
        </w:rPr>
        <w:t xml:space="preserve">fragmentation </w:t>
      </w:r>
      <w:r w:rsidR="006264D9">
        <w:rPr>
          <w:rStyle w:val="normaltextrun"/>
          <w:color w:val="000000"/>
          <w:shd w:val="clear" w:color="auto" w:fill="FFFFFF"/>
        </w:rPr>
        <w:t>of</w:t>
      </w:r>
      <w:r w:rsidR="00A65F83">
        <w:rPr>
          <w:rStyle w:val="normaltextrun"/>
          <w:color w:val="000000"/>
          <w:shd w:val="clear" w:color="auto" w:fill="FFFFFF"/>
        </w:rPr>
        <w:t xml:space="preserve"> </w:t>
      </w:r>
      <w:r w:rsidR="005D0E7F">
        <w:rPr>
          <w:rStyle w:val="normaltextrun"/>
          <w:color w:val="000000"/>
          <w:shd w:val="clear" w:color="auto" w:fill="FFFFFF"/>
        </w:rPr>
        <w:t xml:space="preserve">Uinta Basin hookless cactus habitat or habitat for </w:t>
      </w:r>
      <w:r w:rsidR="00564BAD">
        <w:rPr>
          <w:rStyle w:val="normaltextrun"/>
          <w:color w:val="000000"/>
          <w:shd w:val="clear" w:color="auto" w:fill="FFFFFF"/>
        </w:rPr>
        <w:t>its</w:t>
      </w:r>
      <w:r w:rsidR="005D0E7F">
        <w:rPr>
          <w:rStyle w:val="normaltextrun"/>
          <w:color w:val="000000"/>
          <w:shd w:val="clear" w:color="auto" w:fill="FFFFFF"/>
        </w:rPr>
        <w:t xml:space="preserve"> pollinators, </w:t>
      </w:r>
      <w:r w:rsidR="00821E69">
        <w:rPr>
          <w:rStyle w:val="normaltextrun"/>
          <w:color w:val="000000"/>
          <w:shd w:val="clear" w:color="auto" w:fill="FFFFFF"/>
        </w:rPr>
        <w:t>and</w:t>
      </w:r>
      <w:r w:rsidR="005D0E7F">
        <w:rPr>
          <w:rStyle w:val="normaltextrun"/>
          <w:color w:val="000000"/>
          <w:shd w:val="clear" w:color="auto" w:fill="FFFFFF"/>
        </w:rPr>
        <w:t xml:space="preserve"> increased fugitive dust.</w:t>
      </w:r>
      <w:r>
        <w:rPr>
          <w:rStyle w:val="normaltextrun"/>
          <w:color w:val="000000"/>
          <w:shd w:val="clear" w:color="auto" w:fill="FFFFFF"/>
        </w:rPr>
        <w:t xml:space="preserve"> Given the requirements to perform surveys and avoid individuals by 300-feet, it is expected that impacts to occupied habitat at the lease development stage would be </w:t>
      </w:r>
      <w:r w:rsidR="00C56050">
        <w:rPr>
          <w:rStyle w:val="normaltextrun"/>
          <w:color w:val="000000"/>
          <w:shd w:val="clear" w:color="auto" w:fill="FFFFFF"/>
        </w:rPr>
        <w:t>avoided</w:t>
      </w:r>
      <w:r>
        <w:rPr>
          <w:rStyle w:val="normaltextrun"/>
          <w:color w:val="000000"/>
          <w:shd w:val="clear" w:color="auto" w:fill="FFFFFF"/>
        </w:rPr>
        <w:t>.</w:t>
      </w:r>
    </w:p>
    <w:p w14:paraId="14448D73" w14:textId="63CBD766" w:rsidR="00974A91" w:rsidRDefault="00974A91" w:rsidP="00790A47">
      <w:pPr>
        <w:pStyle w:val="BodyText"/>
      </w:pPr>
      <w:r>
        <w:t xml:space="preserve">Potential impacts of future development of the nominated parcel on the potential habitat for Uinta Basin hookless cactus occurs within the context of the cumulative effects scenario (Section </w:t>
      </w:r>
      <w:r>
        <w:fldChar w:fldCharType="begin"/>
      </w:r>
      <w:r>
        <w:instrText xml:space="preserve"> REF _Ref164933687 \r \h </w:instrText>
      </w:r>
      <w:r>
        <w:fldChar w:fldCharType="separate"/>
      </w:r>
      <w:r>
        <w:t>3.3</w:t>
      </w:r>
      <w:r>
        <w:fldChar w:fldCharType="end"/>
      </w:r>
      <w:r>
        <w:t xml:space="preserve">). This includes within the </w:t>
      </w:r>
      <w:r w:rsidR="00B62555">
        <w:t>AOI for the species</w:t>
      </w:r>
      <w:r>
        <w:t xml:space="preserve"> (as of April 25, 2024) </w:t>
      </w:r>
      <w:r w:rsidR="00B9346A">
        <w:t>5</w:t>
      </w:r>
      <w:r w:rsidR="007D2FD0">
        <w:t>,</w:t>
      </w:r>
      <w:r w:rsidR="00B9346A">
        <w:t>949</w:t>
      </w:r>
      <w:r>
        <w:t xml:space="preserve"> drilled or drilling oil and gas or service wells, </w:t>
      </w:r>
      <w:r w:rsidR="008D6491">
        <w:t>1,349</w:t>
      </w:r>
      <w:r>
        <w:t xml:space="preserve"> plugged and abandoned well locations, </w:t>
      </w:r>
      <w:r w:rsidR="008D6491">
        <w:t>251</w:t>
      </w:r>
      <w:r>
        <w:t xml:space="preserve"> proposed well locations, conversion of native vegetation communities to agriculture or rural development, grazing across all land ownership types, existing transmission powerlines, existing interstate transmission pipelines</w:t>
      </w:r>
      <w:r w:rsidR="000C60AF">
        <w:t xml:space="preserve">, </w:t>
      </w:r>
      <w:r w:rsidR="00185B82">
        <w:t xml:space="preserve">paved and unpaved roads, and </w:t>
      </w:r>
      <w:r w:rsidR="00986E06">
        <w:t>community trends associated with global climate change</w:t>
      </w:r>
      <w:r>
        <w:t>.</w:t>
      </w:r>
    </w:p>
    <w:p w14:paraId="28B7EE15" w14:textId="0111172B" w:rsidR="00C96EAE" w:rsidRPr="00AE7D69" w:rsidRDefault="00C96EAE" w:rsidP="00C96EAE">
      <w:pPr>
        <w:pStyle w:val="BodyText"/>
      </w:pPr>
      <w:r>
        <w:lastRenderedPageBreak/>
        <w:t xml:space="preserve">Implementation of the below lease notices and </w:t>
      </w:r>
      <w:r w:rsidR="00D3699E">
        <w:t>S</w:t>
      </w:r>
      <w:r>
        <w:t xml:space="preserve">ection 6 of the standard terms and conditions of the lease would help minimize potential impacts to the species. </w:t>
      </w:r>
    </w:p>
    <w:p w14:paraId="3287B728" w14:textId="3BBDDDE1" w:rsidR="00F174B7" w:rsidRPr="008E3540" w:rsidRDefault="00C96EAE" w:rsidP="008E3540">
      <w:pPr>
        <w:pStyle w:val="BodyText"/>
        <w:rPr>
          <w:rStyle w:val="normaltextrun"/>
        </w:rPr>
      </w:pPr>
      <w:r>
        <w:rPr>
          <w:rStyle w:val="normaltextrun"/>
          <w:u w:val="single"/>
        </w:rPr>
        <w:t>Lease Notices</w:t>
      </w:r>
    </w:p>
    <w:p w14:paraId="5FBCE3B5" w14:textId="1C032382" w:rsidR="00F174B7" w:rsidRPr="006210EE" w:rsidRDefault="00F174B7" w:rsidP="00C96EAE">
      <w:pPr>
        <w:pStyle w:val="paragraph"/>
        <w:numPr>
          <w:ilvl w:val="0"/>
          <w:numId w:val="52"/>
        </w:numPr>
        <w:spacing w:before="0" w:beforeAutospacing="0" w:afterLines="100" w:after="240" w:afterAutospacing="0"/>
        <w:ind w:left="1080" w:firstLine="0"/>
        <w:textAlignment w:val="baseline"/>
        <w:rPr>
          <w:rStyle w:val="normaltextrun"/>
          <w:sz w:val="22"/>
          <w:szCs w:val="22"/>
        </w:rPr>
      </w:pPr>
      <w:r w:rsidRPr="006210EE">
        <w:rPr>
          <w:rStyle w:val="normaltextrun"/>
          <w:sz w:val="22"/>
          <w:szCs w:val="22"/>
        </w:rPr>
        <w:t xml:space="preserve">T&amp;E-05: </w:t>
      </w:r>
      <w:r w:rsidR="00AC7255" w:rsidRPr="006210EE">
        <w:rPr>
          <w:rStyle w:val="normaltextrun"/>
          <w:sz w:val="22"/>
          <w:szCs w:val="22"/>
        </w:rPr>
        <w:t>Listed Plant Species: All Parcels</w:t>
      </w:r>
    </w:p>
    <w:p w14:paraId="2FCF3B3C" w14:textId="357314E2" w:rsidR="00C96EAE" w:rsidRPr="008E3540" w:rsidRDefault="001C1CD3" w:rsidP="008E3540">
      <w:pPr>
        <w:pStyle w:val="paragraph"/>
        <w:numPr>
          <w:ilvl w:val="0"/>
          <w:numId w:val="52"/>
        </w:numPr>
        <w:spacing w:before="0" w:beforeAutospacing="0" w:afterLines="100" w:after="240" w:afterAutospacing="0"/>
        <w:ind w:left="1080" w:firstLine="0"/>
        <w:textAlignment w:val="baseline"/>
      </w:pPr>
      <w:r>
        <w:rPr>
          <w:rStyle w:val="normaltextrun"/>
          <w:sz w:val="22"/>
          <w:szCs w:val="22"/>
        </w:rPr>
        <w:t>T&amp;E-</w:t>
      </w:r>
      <w:r w:rsidR="007155E7">
        <w:rPr>
          <w:rStyle w:val="normaltextrun"/>
          <w:sz w:val="22"/>
          <w:szCs w:val="22"/>
        </w:rPr>
        <w:t>12</w:t>
      </w:r>
      <w:r>
        <w:rPr>
          <w:rStyle w:val="normaltextrun"/>
          <w:sz w:val="22"/>
          <w:szCs w:val="22"/>
        </w:rPr>
        <w:t xml:space="preserve">: </w:t>
      </w:r>
      <w:proofErr w:type="spellStart"/>
      <w:r w:rsidR="007155E7">
        <w:rPr>
          <w:rStyle w:val="normaltextrun"/>
          <w:sz w:val="22"/>
          <w:szCs w:val="22"/>
        </w:rPr>
        <w:t>Pariette</w:t>
      </w:r>
      <w:proofErr w:type="spellEnd"/>
      <w:r w:rsidR="007155E7" w:rsidRPr="007155E7">
        <w:rPr>
          <w:rStyle w:val="normaltextrun"/>
          <w:sz w:val="22"/>
          <w:szCs w:val="22"/>
        </w:rPr>
        <w:t xml:space="preserve"> </w:t>
      </w:r>
      <w:r w:rsidR="007155E7">
        <w:rPr>
          <w:rStyle w:val="normaltextrun"/>
          <w:sz w:val="22"/>
          <w:szCs w:val="22"/>
        </w:rPr>
        <w:t>cactus</w:t>
      </w:r>
      <w:r w:rsidR="007155E7" w:rsidRPr="007155E7">
        <w:rPr>
          <w:rStyle w:val="normaltextrun"/>
          <w:sz w:val="22"/>
          <w:szCs w:val="22"/>
        </w:rPr>
        <w:t xml:space="preserve"> (</w:t>
      </w:r>
      <w:proofErr w:type="spellStart"/>
      <w:r w:rsidR="007155E7" w:rsidRPr="008E3540">
        <w:rPr>
          <w:rStyle w:val="normaltextrun"/>
          <w:i/>
          <w:sz w:val="22"/>
          <w:szCs w:val="22"/>
        </w:rPr>
        <w:t>Sclerocactus</w:t>
      </w:r>
      <w:proofErr w:type="spellEnd"/>
      <w:r w:rsidR="007155E7" w:rsidRPr="008E3540">
        <w:rPr>
          <w:rStyle w:val="normaltextrun"/>
          <w:i/>
          <w:sz w:val="22"/>
          <w:szCs w:val="22"/>
        </w:rPr>
        <w:t xml:space="preserve"> </w:t>
      </w:r>
      <w:proofErr w:type="spellStart"/>
      <w:r w:rsidR="007155E7" w:rsidRPr="008E3540">
        <w:rPr>
          <w:rStyle w:val="normaltextrun"/>
          <w:i/>
          <w:sz w:val="22"/>
          <w:szCs w:val="22"/>
        </w:rPr>
        <w:t>brevispinus</w:t>
      </w:r>
      <w:proofErr w:type="spellEnd"/>
      <w:r w:rsidR="009B52C7">
        <w:rPr>
          <w:rStyle w:val="normaltextrun"/>
          <w:sz w:val="22"/>
          <w:szCs w:val="22"/>
        </w:rPr>
        <w:t>)</w:t>
      </w:r>
      <w:r w:rsidR="002E49C2">
        <w:rPr>
          <w:rStyle w:val="normaltextrun"/>
          <w:sz w:val="22"/>
          <w:szCs w:val="22"/>
        </w:rPr>
        <w:t xml:space="preserve"> and Uinta Basin hookless cactus</w:t>
      </w:r>
      <w:r w:rsidR="007155E7" w:rsidRPr="007155E7">
        <w:rPr>
          <w:rStyle w:val="normaltextrun"/>
          <w:sz w:val="22"/>
          <w:szCs w:val="22"/>
        </w:rPr>
        <w:t xml:space="preserve"> [</w:t>
      </w:r>
      <w:proofErr w:type="spellStart"/>
      <w:r w:rsidR="002E49C2" w:rsidRPr="008E3540">
        <w:rPr>
          <w:rStyle w:val="normaltextrun"/>
          <w:i/>
          <w:sz w:val="22"/>
          <w:szCs w:val="22"/>
        </w:rPr>
        <w:t>Sclerocactus</w:t>
      </w:r>
      <w:proofErr w:type="spellEnd"/>
      <w:r w:rsidR="002E49C2" w:rsidRPr="008E3540">
        <w:rPr>
          <w:rStyle w:val="normaltextrun"/>
          <w:i/>
          <w:sz w:val="22"/>
          <w:szCs w:val="22"/>
        </w:rPr>
        <w:t xml:space="preserve"> glaucus</w:t>
      </w:r>
      <w:r w:rsidR="007155E7" w:rsidRPr="007155E7">
        <w:rPr>
          <w:rStyle w:val="normaltextrun"/>
          <w:sz w:val="22"/>
          <w:szCs w:val="22"/>
        </w:rPr>
        <w:t xml:space="preserve"> (</w:t>
      </w:r>
      <w:proofErr w:type="spellStart"/>
      <w:r w:rsidR="002E49C2" w:rsidRPr="008E3540">
        <w:rPr>
          <w:rStyle w:val="normaltextrun"/>
          <w:i/>
          <w:sz w:val="22"/>
          <w:szCs w:val="22"/>
        </w:rPr>
        <w:t>brevispinus</w:t>
      </w:r>
      <w:proofErr w:type="spellEnd"/>
      <w:r w:rsidR="007155E7" w:rsidRPr="007155E7">
        <w:rPr>
          <w:rStyle w:val="normaltextrun"/>
          <w:sz w:val="22"/>
          <w:szCs w:val="22"/>
        </w:rPr>
        <w:t xml:space="preserve"> </w:t>
      </w:r>
      <w:r w:rsidR="002E49C2">
        <w:rPr>
          <w:rStyle w:val="normaltextrun"/>
          <w:sz w:val="22"/>
          <w:szCs w:val="22"/>
        </w:rPr>
        <w:t>and</w:t>
      </w:r>
      <w:r w:rsidR="007155E7" w:rsidRPr="007155E7">
        <w:rPr>
          <w:rStyle w:val="normaltextrun"/>
          <w:sz w:val="22"/>
          <w:szCs w:val="22"/>
        </w:rPr>
        <w:t xml:space="preserve"> </w:t>
      </w:r>
      <w:proofErr w:type="spellStart"/>
      <w:r w:rsidR="002E49C2" w:rsidRPr="008E3540">
        <w:rPr>
          <w:rStyle w:val="normaltextrun"/>
          <w:i/>
          <w:sz w:val="22"/>
          <w:szCs w:val="22"/>
        </w:rPr>
        <w:t>wetlandicus</w:t>
      </w:r>
      <w:proofErr w:type="spellEnd"/>
      <w:r w:rsidR="007155E7" w:rsidRPr="007155E7">
        <w:rPr>
          <w:rStyle w:val="normaltextrun"/>
          <w:sz w:val="22"/>
          <w:szCs w:val="22"/>
        </w:rPr>
        <w:t>)]</w:t>
      </w:r>
      <w:r w:rsidR="006B510E">
        <w:rPr>
          <w:rStyle w:val="normaltextrun"/>
          <w:sz w:val="22"/>
          <w:szCs w:val="22"/>
        </w:rPr>
        <w:t>: Parcel 7688</w:t>
      </w:r>
    </w:p>
    <w:p w14:paraId="3F1A5F44" w14:textId="7800277B" w:rsidR="007D03D4" w:rsidRPr="00797FC8" w:rsidRDefault="00335070" w:rsidP="00797FC8">
      <w:pPr>
        <w:pStyle w:val="BodyText"/>
        <w:rPr>
          <w:b/>
        </w:rPr>
      </w:pPr>
      <w:r w:rsidRPr="00797FC8">
        <w:rPr>
          <w:b/>
          <w:i/>
        </w:rPr>
        <w:t>Mexican spotted owl (</w:t>
      </w:r>
      <w:proofErr w:type="spellStart"/>
      <w:r w:rsidRPr="00797FC8">
        <w:rPr>
          <w:b/>
          <w:i/>
          <w:u w:val="single"/>
        </w:rPr>
        <w:t>Strix</w:t>
      </w:r>
      <w:proofErr w:type="spellEnd"/>
      <w:r w:rsidRPr="00797FC8">
        <w:rPr>
          <w:b/>
          <w:i/>
          <w:u w:val="single"/>
        </w:rPr>
        <w:t xml:space="preserve"> occidentalis lucida</w:t>
      </w:r>
      <w:r w:rsidR="00282E5A" w:rsidRPr="00797FC8">
        <w:rPr>
          <w:b/>
          <w:i/>
        </w:rPr>
        <w:t xml:space="preserve">) </w:t>
      </w:r>
      <w:r w:rsidR="00434FC9" w:rsidRPr="00797FC8">
        <w:rPr>
          <w:b/>
          <w:i/>
        </w:rPr>
        <w:t>–</w:t>
      </w:r>
      <w:r w:rsidR="00282E5A" w:rsidRPr="00797FC8">
        <w:rPr>
          <w:b/>
          <w:i/>
        </w:rPr>
        <w:t xml:space="preserve"> threatened</w:t>
      </w:r>
    </w:p>
    <w:p w14:paraId="39E18325" w14:textId="36EB2F72" w:rsidR="007D391A" w:rsidRPr="005249E9" w:rsidRDefault="00A865CE" w:rsidP="008E3540">
      <w:pPr>
        <w:pStyle w:val="BodyText"/>
      </w:pPr>
      <w:r w:rsidRPr="703705D6">
        <w:rPr>
          <w:rStyle w:val="normaltextrun"/>
        </w:rPr>
        <w:t>Parcel 7688 intersects the USFWS AOI for the Mexican spotted owl</w:t>
      </w:r>
      <w:r w:rsidR="00374716" w:rsidRPr="703705D6">
        <w:rPr>
          <w:rStyle w:val="normaltextrun"/>
        </w:rPr>
        <w:t xml:space="preserve"> and </w:t>
      </w:r>
      <w:r w:rsidR="0065249C" w:rsidRPr="703705D6">
        <w:rPr>
          <w:rStyle w:val="normaltextrun"/>
        </w:rPr>
        <w:t>intersects the 1997 Willey-</w:t>
      </w:r>
      <w:proofErr w:type="spellStart"/>
      <w:r w:rsidR="0065249C" w:rsidRPr="703705D6">
        <w:rPr>
          <w:rStyle w:val="normaltextrun"/>
        </w:rPr>
        <w:t>Spotskey</w:t>
      </w:r>
      <w:proofErr w:type="spellEnd"/>
      <w:r w:rsidR="0065249C" w:rsidRPr="703705D6">
        <w:rPr>
          <w:rStyle w:val="normaltextrun"/>
        </w:rPr>
        <w:t xml:space="preserve"> Mexican Spotted Owl Habitat Model. </w:t>
      </w:r>
      <w:r w:rsidR="0065249C" w:rsidRPr="703705D6">
        <w:rPr>
          <w:rStyle w:val="contentcontrolboundarysink"/>
        </w:rPr>
        <w:t>​</w:t>
      </w:r>
      <w:r w:rsidR="0065249C" w:rsidRPr="703705D6">
        <w:rPr>
          <w:rStyle w:val="normaltextrun"/>
        </w:rPr>
        <w:t xml:space="preserve">(Willey and </w:t>
      </w:r>
      <w:proofErr w:type="spellStart"/>
      <w:r w:rsidR="0065249C" w:rsidRPr="703705D6">
        <w:rPr>
          <w:rStyle w:val="normaltextrun"/>
        </w:rPr>
        <w:t>Spotskey</w:t>
      </w:r>
      <w:proofErr w:type="spellEnd"/>
      <w:r w:rsidR="0065249C" w:rsidRPr="703705D6">
        <w:rPr>
          <w:rStyle w:val="normaltextrun"/>
        </w:rPr>
        <w:t>, 1997)</w:t>
      </w:r>
      <w:r w:rsidR="0065249C" w:rsidRPr="703705D6">
        <w:rPr>
          <w:rStyle w:val="contentcontrolboundarysink"/>
        </w:rPr>
        <w:t>​</w:t>
      </w:r>
      <w:r w:rsidR="0065249C" w:rsidRPr="703705D6">
        <w:rPr>
          <w:rStyle w:val="normaltextrun"/>
        </w:rPr>
        <w:t xml:space="preserve">. However, </w:t>
      </w:r>
      <w:r w:rsidR="00C51EB7" w:rsidRPr="703705D6">
        <w:rPr>
          <w:rStyle w:val="normaltextrun"/>
        </w:rPr>
        <w:t>the</w:t>
      </w:r>
      <w:r w:rsidR="000B1881" w:rsidRPr="703705D6">
        <w:rPr>
          <w:rStyle w:val="normaltextrun"/>
        </w:rPr>
        <w:t xml:space="preserve">se areas are </w:t>
      </w:r>
      <w:r w:rsidR="00C96843" w:rsidRPr="703705D6">
        <w:rPr>
          <w:rStyle w:val="normaltextrun"/>
        </w:rPr>
        <w:t xml:space="preserve">isolated and </w:t>
      </w:r>
      <w:r w:rsidR="00944C03" w:rsidRPr="703705D6">
        <w:rPr>
          <w:rStyle w:val="normaltextrun"/>
        </w:rPr>
        <w:t>do not contain complex canyon habitats necessary to</w:t>
      </w:r>
      <w:r w:rsidR="00057567" w:rsidRPr="703705D6">
        <w:rPr>
          <w:rStyle w:val="normaltextrun"/>
        </w:rPr>
        <w:t xml:space="preserve"> support</w:t>
      </w:r>
      <w:r w:rsidR="00944C03" w:rsidRPr="703705D6">
        <w:rPr>
          <w:rStyle w:val="normaltextrun"/>
        </w:rPr>
        <w:t xml:space="preserve"> </w:t>
      </w:r>
      <w:r w:rsidR="00433664" w:rsidRPr="703705D6">
        <w:rPr>
          <w:rStyle w:val="normaltextrun"/>
        </w:rPr>
        <w:t xml:space="preserve">Mexican spotted owl. </w:t>
      </w:r>
      <w:r w:rsidR="002D0E48" w:rsidRPr="703705D6">
        <w:rPr>
          <w:rStyle w:val="normaltextrun"/>
        </w:rPr>
        <w:t xml:space="preserve">In </w:t>
      </w:r>
      <w:r w:rsidR="002336B9" w:rsidRPr="703705D6">
        <w:rPr>
          <w:rStyle w:val="normaltextrun"/>
        </w:rPr>
        <w:t>con</w:t>
      </w:r>
      <w:r w:rsidR="008E6793" w:rsidRPr="703705D6">
        <w:rPr>
          <w:rStyle w:val="normaltextrun"/>
        </w:rPr>
        <w:t>sultation with the USFWS</w:t>
      </w:r>
      <w:r w:rsidR="009236DA" w:rsidRPr="703705D6">
        <w:rPr>
          <w:rStyle w:val="normaltextrun"/>
        </w:rPr>
        <w:t xml:space="preserve">, it was determined that </w:t>
      </w:r>
      <w:r w:rsidR="00C37305" w:rsidRPr="703705D6">
        <w:rPr>
          <w:rStyle w:val="normaltextrun"/>
        </w:rPr>
        <w:t xml:space="preserve">there is no potential habitat for the species within ½ mile of the </w:t>
      </w:r>
      <w:r w:rsidR="007715FC" w:rsidRPr="703705D6">
        <w:rPr>
          <w:rStyle w:val="normaltextrun"/>
        </w:rPr>
        <w:t>nominated parcels</w:t>
      </w:r>
      <w:r w:rsidR="008F785F" w:rsidRPr="703705D6">
        <w:rPr>
          <w:rStyle w:val="normaltextrun"/>
        </w:rPr>
        <w:t>.</w:t>
      </w:r>
    </w:p>
    <w:p w14:paraId="2C92ADBC" w14:textId="31F56F4B" w:rsidR="00C72D46" w:rsidRPr="00797FC8" w:rsidRDefault="001A568A" w:rsidP="00797FC8">
      <w:pPr>
        <w:pStyle w:val="BodyText"/>
        <w:rPr>
          <w:b/>
        </w:rPr>
      </w:pPr>
      <w:r w:rsidRPr="00797FC8">
        <w:rPr>
          <w:b/>
          <w:i/>
        </w:rPr>
        <w:t>Listed Fish of the Upper Colorado River Drainage Basin</w:t>
      </w:r>
    </w:p>
    <w:p w14:paraId="405ED580" w14:textId="07B1C7CE" w:rsidR="00AA5D4E" w:rsidRPr="0050637F" w:rsidRDefault="00AA5D4E" w:rsidP="0050637F">
      <w:pPr>
        <w:spacing w:before="40" w:after="40"/>
        <w:rPr>
          <w:rStyle w:val="eop"/>
          <w:color w:val="000000" w:themeColor="text1"/>
        </w:rPr>
      </w:pPr>
      <w:r w:rsidRPr="008E3540">
        <w:t xml:space="preserve">The nominated </w:t>
      </w:r>
      <w:r w:rsidR="00914B7C">
        <w:t>lease</w:t>
      </w:r>
      <w:r w:rsidRPr="008E3540">
        <w:t xml:space="preserve"> parcels do not intersect the AOI for the four resident listed fish of the Upper Colorado River Basin</w:t>
      </w:r>
      <w:r w:rsidRPr="007C0C25">
        <w:rPr>
          <w:rStyle w:val="normaltextrun"/>
        </w:rPr>
        <w:t xml:space="preserve"> (bonytail [</w:t>
      </w:r>
      <w:r w:rsidRPr="007C0C25">
        <w:rPr>
          <w:rStyle w:val="normaltextrun"/>
          <w:i/>
          <w:iCs/>
        </w:rPr>
        <w:t>Gila elegans</w:t>
      </w:r>
      <w:r w:rsidRPr="007C0C25">
        <w:rPr>
          <w:rStyle w:val="normaltextrun"/>
        </w:rPr>
        <w:t>] endangered, Colorado pikeminnow [</w:t>
      </w:r>
      <w:proofErr w:type="spellStart"/>
      <w:r w:rsidRPr="007C0C25">
        <w:rPr>
          <w:rStyle w:val="normaltextrun"/>
          <w:i/>
          <w:iCs/>
        </w:rPr>
        <w:t>Ptychocheilus</w:t>
      </w:r>
      <w:proofErr w:type="spellEnd"/>
      <w:r w:rsidRPr="007C0C25">
        <w:rPr>
          <w:rStyle w:val="normaltextrun"/>
          <w:i/>
          <w:iCs/>
        </w:rPr>
        <w:t xml:space="preserve"> </w:t>
      </w:r>
      <w:proofErr w:type="spellStart"/>
      <w:r w:rsidRPr="007C0C25">
        <w:rPr>
          <w:rStyle w:val="normaltextrun"/>
          <w:i/>
          <w:iCs/>
        </w:rPr>
        <w:t>lucius</w:t>
      </w:r>
      <w:proofErr w:type="spellEnd"/>
      <w:r w:rsidRPr="007C0C25">
        <w:rPr>
          <w:rStyle w:val="normaltextrun"/>
        </w:rPr>
        <w:t xml:space="preserve"> endangered, humpback chub [</w:t>
      </w:r>
      <w:r w:rsidRPr="007C0C25">
        <w:rPr>
          <w:rStyle w:val="normaltextrun"/>
          <w:i/>
          <w:iCs/>
        </w:rPr>
        <w:t xml:space="preserve">Gila </w:t>
      </w:r>
      <w:proofErr w:type="spellStart"/>
      <w:r w:rsidRPr="007C0C25">
        <w:rPr>
          <w:rStyle w:val="normaltextrun"/>
          <w:i/>
          <w:iCs/>
        </w:rPr>
        <w:t>cypha</w:t>
      </w:r>
      <w:proofErr w:type="spellEnd"/>
      <w:r w:rsidRPr="007C0C25">
        <w:rPr>
          <w:rStyle w:val="normaltextrun"/>
        </w:rPr>
        <w:t>] threatened, and razorback sucker [</w:t>
      </w:r>
      <w:proofErr w:type="spellStart"/>
      <w:r w:rsidRPr="007C0C25">
        <w:rPr>
          <w:rStyle w:val="normaltextrun"/>
          <w:i/>
          <w:iCs/>
        </w:rPr>
        <w:t>Xyrauchen</w:t>
      </w:r>
      <w:proofErr w:type="spellEnd"/>
      <w:r w:rsidRPr="007C0C25">
        <w:rPr>
          <w:rStyle w:val="normaltextrun"/>
          <w:i/>
          <w:iCs/>
        </w:rPr>
        <w:t xml:space="preserve"> </w:t>
      </w:r>
      <w:proofErr w:type="spellStart"/>
      <w:r w:rsidRPr="007C0C25">
        <w:rPr>
          <w:rStyle w:val="normaltextrun"/>
          <w:i/>
          <w:iCs/>
        </w:rPr>
        <w:t>texanus</w:t>
      </w:r>
      <w:proofErr w:type="spellEnd"/>
      <w:r w:rsidRPr="007C0C25">
        <w:rPr>
          <w:rStyle w:val="normaltextrun"/>
        </w:rPr>
        <w:t xml:space="preserve">] endangered). However, water depletions from any portion of the Upper Colorado River drainage basin above Lake Powell are considered to adversely affect or adversely modify the critical habitat of the four resident listed fish species of the Upper Colorado River Basin and must be evaluated </w:t>
      </w:r>
      <w:proofErr w:type="gramStart"/>
      <w:r w:rsidRPr="007C0C25">
        <w:rPr>
          <w:rStyle w:val="normaltextrun"/>
        </w:rPr>
        <w:t>with regard to</w:t>
      </w:r>
      <w:proofErr w:type="gramEnd"/>
      <w:r w:rsidRPr="007C0C25">
        <w:rPr>
          <w:rStyle w:val="normaltextrun"/>
        </w:rPr>
        <w:t xml:space="preserve"> the criteria described in the Upper Colorado River Endangered Fish Recovery Program. At the leasing stage, it would be too speculative to identify the potential source and status of permitted water sources used in the lease development. </w:t>
      </w:r>
      <w:r w:rsidRPr="60A7FFD0">
        <w:rPr>
          <w:rStyle w:val="normaltextrun"/>
        </w:rPr>
        <w:t xml:space="preserve">However, to account for the potential that water from a non-historic source within the Upper Colorado River drainage is used, lease stipulations and lease notices </w:t>
      </w:r>
      <w:r w:rsidR="002E5A6E">
        <w:rPr>
          <w:rStyle w:val="normaltextrun"/>
        </w:rPr>
        <w:t xml:space="preserve">that notify the </w:t>
      </w:r>
      <w:proofErr w:type="spellStart"/>
      <w:r w:rsidR="008A291F">
        <w:rPr>
          <w:rStyle w:val="normaltextrun"/>
        </w:rPr>
        <w:t>leassee</w:t>
      </w:r>
      <w:proofErr w:type="spellEnd"/>
      <w:r w:rsidR="008A291F">
        <w:rPr>
          <w:rStyle w:val="normaltextrun"/>
        </w:rPr>
        <w:t xml:space="preserve"> that w</w:t>
      </w:r>
      <w:r w:rsidR="002E5A6E" w:rsidRPr="12A396A9">
        <w:rPr>
          <w:rFonts w:eastAsia="Times New Roman" w:cs="Times New Roman"/>
          <w:color w:val="000000" w:themeColor="text1"/>
        </w:rPr>
        <w:t xml:space="preserve">ater depletions from </w:t>
      </w:r>
      <w:r w:rsidR="002E5A6E" w:rsidRPr="12A396A9">
        <w:rPr>
          <w:rFonts w:eastAsia="Times New Roman" w:cs="Times New Roman"/>
          <w:i/>
          <w:color w:val="000000" w:themeColor="text1"/>
        </w:rPr>
        <w:t>any</w:t>
      </w:r>
      <w:r w:rsidR="002E5A6E" w:rsidRPr="12A396A9">
        <w:rPr>
          <w:rFonts w:eastAsia="Times New Roman" w:cs="Times New Roman"/>
          <w:color w:val="000000" w:themeColor="text1"/>
        </w:rPr>
        <w:t xml:space="preserve"> portion of the Upper Colorado River drainage basin above Lake Powell are considered to adversely affect or adversely modify the critical habitat of the four resident endangered fish species and must be evaluated with regard to the criteria described in the Upper Colorado River Endangered Fish Recovery Program. Formal consultation with USFWS is required for all depletions. All depletion amounts must be reported to BLM</w:t>
      </w:r>
      <w:r w:rsidR="008A291F">
        <w:rPr>
          <w:rFonts w:eastAsia="Times New Roman" w:cs="Times New Roman"/>
          <w:color w:val="000000" w:themeColor="text1"/>
        </w:rPr>
        <w:t>. This notice</w:t>
      </w:r>
      <w:r w:rsidR="008A291F">
        <w:rPr>
          <w:rStyle w:val="normaltextrun"/>
        </w:rPr>
        <w:t xml:space="preserve"> is</w:t>
      </w:r>
      <w:r w:rsidRPr="60A7FFD0">
        <w:rPr>
          <w:rStyle w:val="normaltextrun"/>
        </w:rPr>
        <w:t xml:space="preserve"> applied to all </w:t>
      </w:r>
      <w:r w:rsidR="006B5CCC" w:rsidRPr="60A7FFD0">
        <w:rPr>
          <w:rStyle w:val="normaltextrun"/>
        </w:rPr>
        <w:t xml:space="preserve">nominated </w:t>
      </w:r>
      <w:r w:rsidRPr="60A7FFD0">
        <w:rPr>
          <w:rStyle w:val="normaltextrun"/>
        </w:rPr>
        <w:t>lease parcels.</w:t>
      </w:r>
      <w:r w:rsidRPr="60A7FFD0">
        <w:rPr>
          <w:rStyle w:val="eop"/>
        </w:rPr>
        <w:t> </w:t>
      </w:r>
    </w:p>
    <w:p w14:paraId="6DDAD8DE" w14:textId="26AD0996" w:rsidR="0029021B" w:rsidRPr="00AE7D69" w:rsidRDefault="00161231" w:rsidP="0029021B">
      <w:pPr>
        <w:pStyle w:val="BodyText"/>
      </w:pPr>
      <w:r>
        <w:t>P</w:t>
      </w:r>
      <w:r w:rsidRPr="00951731">
        <w:t xml:space="preserve">ast, present, and reasonably foreseeable future </w:t>
      </w:r>
      <w:proofErr w:type="gramStart"/>
      <w:r w:rsidRPr="00951731">
        <w:t>actions</w:t>
      </w:r>
      <w:proofErr w:type="gramEnd"/>
      <w:r w:rsidRPr="00951731">
        <w:t xml:space="preserve"> and </w:t>
      </w:r>
      <w:r>
        <w:t xml:space="preserve">environmental </w:t>
      </w:r>
      <w:r w:rsidRPr="00951731">
        <w:t xml:space="preserve">trends </w:t>
      </w:r>
      <w:r>
        <w:rPr>
          <w:rStyle w:val="eop"/>
        </w:rPr>
        <w:t xml:space="preserve">as described in </w:t>
      </w:r>
      <w:r w:rsidR="006F0187">
        <w:rPr>
          <w:rStyle w:val="eop"/>
        </w:rPr>
        <w:t xml:space="preserve">Section 3.3 have resulted in </w:t>
      </w:r>
      <w:r w:rsidR="00F96AB3">
        <w:rPr>
          <w:rStyle w:val="eop"/>
        </w:rPr>
        <w:t>decreased flows and an altered hydrograph</w:t>
      </w:r>
      <w:r w:rsidR="004837A8">
        <w:rPr>
          <w:rStyle w:val="eop"/>
        </w:rPr>
        <w:t xml:space="preserve">, </w:t>
      </w:r>
      <w:r w:rsidR="00BB358C">
        <w:rPr>
          <w:rStyle w:val="eop"/>
        </w:rPr>
        <w:t>non-native fish</w:t>
      </w:r>
      <w:r w:rsidR="000C54A9">
        <w:rPr>
          <w:rStyle w:val="eop"/>
        </w:rPr>
        <w:t xml:space="preserve">, </w:t>
      </w:r>
      <w:r w:rsidR="005801E4">
        <w:rPr>
          <w:rStyle w:val="eop"/>
        </w:rPr>
        <w:t>and loss of habitat.</w:t>
      </w:r>
      <w:r w:rsidR="007A22CF">
        <w:rPr>
          <w:rStyle w:val="eop"/>
        </w:rPr>
        <w:t xml:space="preserve"> This has occurred through development within and beyond the</w:t>
      </w:r>
      <w:r w:rsidR="00C830EB">
        <w:rPr>
          <w:rStyle w:val="eop"/>
        </w:rPr>
        <w:t xml:space="preserve"> area of cumulative effects </w:t>
      </w:r>
      <w:r w:rsidR="008D12B3">
        <w:rPr>
          <w:rStyle w:val="eop"/>
        </w:rPr>
        <w:t>analysis</w:t>
      </w:r>
      <w:r w:rsidR="00372EF0">
        <w:t>.</w:t>
      </w:r>
      <w:r w:rsidR="00EF740F">
        <w:t xml:space="preserve"> </w:t>
      </w:r>
      <w:r w:rsidR="0029021B">
        <w:t xml:space="preserve">Implementation of the below lease notices and </w:t>
      </w:r>
      <w:r w:rsidR="005E3CF6">
        <w:t>S</w:t>
      </w:r>
      <w:r w:rsidR="0029021B">
        <w:t xml:space="preserve">ection 6 of the standard terms and conditions of the lease would help minimize potential impacts to the species. </w:t>
      </w:r>
    </w:p>
    <w:p w14:paraId="30D0D2B3" w14:textId="77777777" w:rsidR="00AA5D4E" w:rsidRDefault="00AA5D4E" w:rsidP="008E3540">
      <w:pPr>
        <w:pStyle w:val="BodyText"/>
      </w:pPr>
      <w:r>
        <w:rPr>
          <w:rStyle w:val="normaltextrun"/>
          <w:u w:val="single"/>
        </w:rPr>
        <w:t>Lease Notices:</w:t>
      </w:r>
      <w:r>
        <w:rPr>
          <w:rStyle w:val="eop"/>
        </w:rPr>
        <w:t> </w:t>
      </w:r>
    </w:p>
    <w:p w14:paraId="79267645" w14:textId="61178F72" w:rsidR="00434FC9" w:rsidRPr="008E3540" w:rsidRDefault="00AA5D4E" w:rsidP="008E3540">
      <w:pPr>
        <w:pStyle w:val="paragraph"/>
        <w:numPr>
          <w:ilvl w:val="0"/>
          <w:numId w:val="52"/>
        </w:numPr>
        <w:spacing w:before="0" w:beforeAutospacing="0" w:afterLines="100" w:after="240" w:afterAutospacing="0"/>
        <w:ind w:left="1080" w:firstLine="0"/>
        <w:textAlignment w:val="baseline"/>
      </w:pPr>
      <w:r>
        <w:rPr>
          <w:rStyle w:val="normaltextrun"/>
          <w:sz w:val="22"/>
          <w:szCs w:val="22"/>
        </w:rPr>
        <w:t>T&amp;E-03: Endangered Fish of the Upper Colorado River Drainage Basin: All Parcels</w:t>
      </w:r>
      <w:r>
        <w:rPr>
          <w:rStyle w:val="eop"/>
          <w:rFonts w:eastAsiaTheme="majorEastAsia"/>
          <w:sz w:val="22"/>
          <w:szCs w:val="22"/>
        </w:rPr>
        <w:t> </w:t>
      </w:r>
    </w:p>
    <w:p w14:paraId="52408386" w14:textId="1781AAF3" w:rsidR="002D682D" w:rsidRPr="00911C2F" w:rsidRDefault="002D682D" w:rsidP="00D94666">
      <w:pPr>
        <w:pStyle w:val="AIBChapter3"/>
        <w:rPr>
          <w:rFonts w:hint="eastAsia"/>
        </w:rPr>
      </w:pPr>
      <w:bookmarkStart w:id="112" w:name="_Toc163734192"/>
      <w:bookmarkStart w:id="113" w:name="_Toc179464243"/>
      <w:bookmarkStart w:id="114" w:name="_Toc170114898"/>
      <w:r>
        <w:lastRenderedPageBreak/>
        <w:t>Utah BLM Sensitive Species</w:t>
      </w:r>
      <w:bookmarkEnd w:id="112"/>
      <w:bookmarkEnd w:id="113"/>
      <w:bookmarkEnd w:id="114"/>
    </w:p>
    <w:p w14:paraId="30962FFE" w14:textId="12DD15BA" w:rsidR="00FA66F4" w:rsidRPr="00757A7B" w:rsidRDefault="00FA66F4" w:rsidP="00757A7B">
      <w:pPr>
        <w:pStyle w:val="BodyText"/>
        <w:keepNext/>
        <w:rPr>
          <w:b/>
        </w:rPr>
      </w:pPr>
      <w:r w:rsidRPr="00B97512">
        <w:rPr>
          <w:b/>
          <w:bCs/>
        </w:rPr>
        <w:t xml:space="preserve">How would potential development of the nominated lease parcels affect </w:t>
      </w:r>
      <w:r>
        <w:rPr>
          <w:b/>
          <w:bCs/>
        </w:rPr>
        <w:t>BLM sensitive</w:t>
      </w:r>
      <w:r w:rsidRPr="00B97512">
        <w:rPr>
          <w:b/>
          <w:bCs/>
        </w:rPr>
        <w:t xml:space="preserve"> species or their habitats?</w:t>
      </w:r>
    </w:p>
    <w:p w14:paraId="2053EF31" w14:textId="4F19C221" w:rsidR="00E1512F" w:rsidRPr="00E1512F" w:rsidRDefault="008F1377" w:rsidP="00127163">
      <w:pPr>
        <w:pStyle w:val="BodyText"/>
      </w:pPr>
      <w:r w:rsidRPr="008F1377">
        <w:t>BLM sensitive species are those species that require additional conservation to prevent the decline of populations to the point where they may be considered for listing under the Endangered Species Act.</w:t>
      </w:r>
    </w:p>
    <w:p w14:paraId="68996FA2" w14:textId="7EA0162A" w:rsidR="00327C7B" w:rsidRPr="00757A7B" w:rsidRDefault="00E1512F" w:rsidP="00127163">
      <w:pPr>
        <w:pStyle w:val="BodyText"/>
        <w:rPr>
          <w:b/>
          <w:i/>
        </w:rPr>
      </w:pPr>
      <w:r w:rsidRPr="00757A7B">
        <w:rPr>
          <w:b/>
          <w:i/>
        </w:rPr>
        <w:t>Aquatic Animal Species</w:t>
      </w:r>
      <w:r w:rsidRPr="00757A7B" w:rsidDel="00A2224A">
        <w:rPr>
          <w:b/>
          <w:i/>
        </w:rPr>
        <w:t xml:space="preserve"> </w:t>
      </w:r>
    </w:p>
    <w:p w14:paraId="35085521" w14:textId="0485BABB" w:rsidR="00570200" w:rsidRDefault="00570200" w:rsidP="00D166B5">
      <w:pPr>
        <w:pStyle w:val="BodyText"/>
      </w:pPr>
      <w:r>
        <w:t xml:space="preserve">Sensitive aquatic species are not known to occur within any of the </w:t>
      </w:r>
      <w:r w:rsidR="00734CA3">
        <w:t>nominated</w:t>
      </w:r>
      <w:r>
        <w:t xml:space="preserve"> lease parcels. The mainstem of the Green River downstream </w:t>
      </w:r>
      <w:r w:rsidR="008270BD">
        <w:t>and in the same</w:t>
      </w:r>
      <w:r w:rsidR="00DB161C">
        <w:t xml:space="preserve"> Hydrologic Unit Code (</w:t>
      </w:r>
      <w:r w:rsidR="008270BD">
        <w:t xml:space="preserve"> </w:t>
      </w:r>
      <w:r w:rsidR="00416906">
        <w:t>HUC</w:t>
      </w:r>
      <w:r w:rsidR="00DB161C">
        <w:t>)</w:t>
      </w:r>
      <w:r w:rsidR="00416906">
        <w:t xml:space="preserve"> 10s (Pelican Lake -Green River </w:t>
      </w:r>
      <w:r w:rsidR="00416906" w:rsidRPr="00340680">
        <w:t>1406001012</w:t>
      </w:r>
      <w:r w:rsidR="00416906">
        <w:t xml:space="preserve"> and </w:t>
      </w:r>
      <w:r w:rsidR="00416906" w:rsidRPr="00C00DCE">
        <w:t>Walker Hollow-Green River</w:t>
      </w:r>
      <w:r w:rsidR="00416906">
        <w:t xml:space="preserve"> </w:t>
      </w:r>
      <w:r w:rsidR="00416906" w:rsidRPr="00C3665A">
        <w:t>1406001011</w:t>
      </w:r>
      <w:r w:rsidR="00416906">
        <w:t>)</w:t>
      </w:r>
      <w:r>
        <w:t xml:space="preserve"> of the lease parcels have populations of </w:t>
      </w:r>
      <w:r w:rsidR="00416906">
        <w:t>b</w:t>
      </w:r>
      <w:r>
        <w:t>luehead sucker</w:t>
      </w:r>
      <w:r w:rsidR="00800A0C">
        <w:t xml:space="preserve"> (</w:t>
      </w:r>
      <w:r w:rsidR="00800A0C">
        <w:rPr>
          <w:i/>
          <w:iCs/>
        </w:rPr>
        <w:t>Catostomus discobolus</w:t>
      </w:r>
      <w:r w:rsidR="00800A0C">
        <w:t>)</w:t>
      </w:r>
      <w:r>
        <w:t xml:space="preserve">, </w:t>
      </w:r>
      <w:r w:rsidR="00416906">
        <w:t>f</w:t>
      </w:r>
      <w:r>
        <w:t>lannelmouth sucker</w:t>
      </w:r>
      <w:r w:rsidR="00800A0C">
        <w:t xml:space="preserve"> (</w:t>
      </w:r>
      <w:r w:rsidR="00800A0C">
        <w:rPr>
          <w:i/>
          <w:iCs/>
        </w:rPr>
        <w:t>Flannelmouth sucker</w:t>
      </w:r>
      <w:r w:rsidR="00800A0C">
        <w:t>)</w:t>
      </w:r>
      <w:r>
        <w:t xml:space="preserve">, and </w:t>
      </w:r>
      <w:proofErr w:type="spellStart"/>
      <w:r w:rsidR="00416906">
        <w:t>r</w:t>
      </w:r>
      <w:r>
        <w:t>oundtail</w:t>
      </w:r>
      <w:proofErr w:type="spellEnd"/>
      <w:r>
        <w:t xml:space="preserve"> chub</w:t>
      </w:r>
      <w:r w:rsidR="00800A0C">
        <w:t xml:space="preserve"> (</w:t>
      </w:r>
      <w:r w:rsidR="00800A0C">
        <w:rPr>
          <w:i/>
          <w:iCs/>
        </w:rPr>
        <w:t>Gila robusta</w:t>
      </w:r>
      <w:r w:rsidR="00800A0C">
        <w:t>)</w:t>
      </w:r>
      <w:r>
        <w:t xml:space="preserve">. While these species are not known and are unlikely to occur in the lease parcels, there is potential for impacts to downstream populations by increased sediment, or reduced water flows. </w:t>
      </w:r>
      <w:r w:rsidR="00416906">
        <w:t xml:space="preserve">Lease Notices T&amp;E-03 for the Endangered fish of the Upper Colorado River Basin will also protect these species from potential impacts of increased water withdrawals. Potential impacts to habitat through changes in surface water quality </w:t>
      </w:r>
      <w:r w:rsidR="00360B57">
        <w:t>is</w:t>
      </w:r>
      <w:r w:rsidR="00416906">
        <w:t xml:space="preserve"> covered in the water resource AIB. </w:t>
      </w:r>
    </w:p>
    <w:p w14:paraId="1274B6BE" w14:textId="2D465B43" w:rsidR="007F0525" w:rsidRPr="00AE7D69" w:rsidRDefault="007F0525" w:rsidP="007F0525">
      <w:pPr>
        <w:pStyle w:val="BodyText"/>
      </w:pPr>
      <w:r>
        <w:t>P</w:t>
      </w:r>
      <w:r w:rsidRPr="00951731">
        <w:t xml:space="preserve">ast, present, and reasonably foreseeable future </w:t>
      </w:r>
      <w:proofErr w:type="gramStart"/>
      <w:r w:rsidRPr="00951731">
        <w:t>actions</w:t>
      </w:r>
      <w:proofErr w:type="gramEnd"/>
      <w:r w:rsidRPr="00951731">
        <w:t xml:space="preserve"> and </w:t>
      </w:r>
      <w:r>
        <w:t xml:space="preserve">environmental </w:t>
      </w:r>
      <w:r w:rsidRPr="00951731">
        <w:t xml:space="preserve">trends </w:t>
      </w:r>
      <w:r>
        <w:rPr>
          <w:rStyle w:val="eop"/>
        </w:rPr>
        <w:t xml:space="preserve">as described in Section </w:t>
      </w:r>
      <w:r w:rsidR="00F358FE">
        <w:rPr>
          <w:rStyle w:val="eop"/>
        </w:rPr>
        <w:fldChar w:fldCharType="begin"/>
      </w:r>
      <w:r w:rsidR="00F358FE">
        <w:rPr>
          <w:rStyle w:val="eop"/>
        </w:rPr>
        <w:instrText xml:space="preserve"> REF _Ref164951783 \r \h </w:instrText>
      </w:r>
      <w:r w:rsidR="00F358FE">
        <w:rPr>
          <w:rStyle w:val="eop"/>
        </w:rPr>
      </w:r>
      <w:r w:rsidR="00F358FE">
        <w:rPr>
          <w:rStyle w:val="eop"/>
        </w:rPr>
        <w:fldChar w:fldCharType="separate"/>
      </w:r>
      <w:r w:rsidR="00F358FE">
        <w:rPr>
          <w:rStyle w:val="eop"/>
        </w:rPr>
        <w:t>3.3</w:t>
      </w:r>
      <w:r w:rsidR="00F358FE">
        <w:rPr>
          <w:rStyle w:val="eop"/>
        </w:rPr>
        <w:fldChar w:fldCharType="end"/>
      </w:r>
      <w:r>
        <w:rPr>
          <w:rStyle w:val="eop"/>
        </w:rPr>
        <w:t xml:space="preserve"> have resulted in decreased flows and an altered hydrograph, non-native fish, and loss of habitat. This has occurred through development within and beyond the area of cumulative effects analysis</w:t>
      </w:r>
      <w:r>
        <w:t xml:space="preserve">. Implementation of the below lease notices and Section 6 of the standard terms and conditions of the lease would help minimize potential impacts to the species. </w:t>
      </w:r>
    </w:p>
    <w:p w14:paraId="1BB6A1D1" w14:textId="387D9DF4" w:rsidR="00570200" w:rsidRDefault="00570200" w:rsidP="00570200">
      <w:pPr>
        <w:pStyle w:val="BodyText"/>
      </w:pPr>
      <w:bookmarkStart w:id="115" w:name="_Hlk127985384"/>
      <w:r>
        <w:t>The following lease notice is applied to all nominated lease parcels to inform the applicants of sensitive species</w:t>
      </w:r>
      <w:r w:rsidR="0006147E">
        <w:t>.</w:t>
      </w:r>
      <w:r>
        <w:t xml:space="preserve"> </w:t>
      </w:r>
      <w:r w:rsidR="00430D07">
        <w:t>Also see</w:t>
      </w:r>
      <w:r>
        <w:t xml:space="preserve"> </w:t>
      </w:r>
      <w:r>
        <w:fldChar w:fldCharType="begin"/>
      </w:r>
      <w:r>
        <w:instrText xml:space="preserve"> REF _Ref128868858 \h </w:instrText>
      </w:r>
      <w:r>
        <w:fldChar w:fldCharType="separate"/>
      </w:r>
      <w:r>
        <w:t>AIB-13 Riparian Areas, Wetlands, and Floodplains</w:t>
      </w:r>
      <w:r>
        <w:fldChar w:fldCharType="end"/>
      </w:r>
      <w:r>
        <w:t xml:space="preserve"> </w:t>
      </w:r>
      <w:r w:rsidR="009747B6">
        <w:t>for</w:t>
      </w:r>
      <w:r>
        <w:t xml:space="preserve"> stipulations and notices that provide buffers and NSO from streams, riparian areas, and wetlands that would reduce the potential for downstream impacts than could impact aquatic species.</w:t>
      </w:r>
    </w:p>
    <w:bookmarkEnd w:id="115"/>
    <w:p w14:paraId="486A85B3" w14:textId="77777777" w:rsidR="00570200" w:rsidRPr="00720163" w:rsidRDefault="00570200" w:rsidP="00570200">
      <w:pPr>
        <w:pStyle w:val="BodyText"/>
      </w:pPr>
      <w:r w:rsidRPr="3BADF660">
        <w:rPr>
          <w:u w:val="single"/>
        </w:rPr>
        <w:t>Lease Notices:</w:t>
      </w:r>
      <w:r>
        <w:t> </w:t>
      </w:r>
    </w:p>
    <w:p w14:paraId="58030E03" w14:textId="0859117D" w:rsidR="00603BB4" w:rsidRPr="00720163" w:rsidRDefault="00570200" w:rsidP="00452E14">
      <w:pPr>
        <w:pStyle w:val="Bullet1"/>
      </w:pPr>
      <w:r w:rsidRPr="00720163">
        <w:t>UT-LN-49</w:t>
      </w:r>
      <w:r>
        <w:t>:</w:t>
      </w:r>
      <w:r w:rsidRPr="00720163">
        <w:t xml:space="preserve"> Utah Sensitive Species: All Parcels  </w:t>
      </w:r>
    </w:p>
    <w:p w14:paraId="1D6BB926" w14:textId="77777777" w:rsidR="00603BB4" w:rsidRPr="008A7220" w:rsidRDefault="00603BB4" w:rsidP="0042086F">
      <w:pPr>
        <w:pStyle w:val="BodyText"/>
        <w:rPr>
          <w:b/>
        </w:rPr>
      </w:pPr>
      <w:r w:rsidRPr="0042086F">
        <w:rPr>
          <w:b/>
          <w:i/>
        </w:rPr>
        <w:t>Terrestrial Animal Species</w:t>
      </w:r>
    </w:p>
    <w:p w14:paraId="5DAFF2BD" w14:textId="67BBD766" w:rsidR="008B3C1D" w:rsidRDefault="004365B4" w:rsidP="002D682D">
      <w:pPr>
        <w:pStyle w:val="BodyText"/>
      </w:pPr>
      <w:r>
        <w:t xml:space="preserve">The </w:t>
      </w:r>
      <w:r w:rsidR="006A1174">
        <w:t xml:space="preserve">nominated lease parcels </w:t>
      </w:r>
      <w:r w:rsidR="00036360">
        <w:t>occur</w:t>
      </w:r>
      <w:r>
        <w:t xml:space="preserve"> in salt desert shrub habitat. There are hills and broken cliffs as well as flat areas. Development would cause the direct loss of 20 acres of habitat</w:t>
      </w:r>
      <w:r w:rsidR="00710B7D">
        <w:t xml:space="preserve">. Oil and gas development </w:t>
      </w:r>
      <w:r w:rsidR="004D024E">
        <w:t>may</w:t>
      </w:r>
      <w:r w:rsidR="00710B7D">
        <w:t xml:space="preserve"> cause raptors to flush from nests</w:t>
      </w:r>
      <w:r w:rsidR="00036360">
        <w:t>,</w:t>
      </w:r>
      <w:r w:rsidR="00710B7D">
        <w:t xml:space="preserve"> and </w:t>
      </w:r>
      <w:r w:rsidR="004D024E">
        <w:t xml:space="preserve">this may cause nest abandonment and lower </w:t>
      </w:r>
      <w:r w:rsidR="00684C83">
        <w:t>re</w:t>
      </w:r>
      <w:r w:rsidR="004D024E">
        <w:t>production</w:t>
      </w:r>
      <w:r w:rsidR="00684C83">
        <w:t>.</w:t>
      </w:r>
      <w:r w:rsidR="00317FEA">
        <w:t xml:space="preserve"> </w:t>
      </w:r>
      <w:r w:rsidR="001A35E9">
        <w:t>T</w:t>
      </w:r>
      <w:r w:rsidR="00710B7D">
        <w:t>he</w:t>
      </w:r>
      <w:r w:rsidR="001A35E9">
        <w:t>re</w:t>
      </w:r>
      <w:r w:rsidR="002B55CE">
        <w:t xml:space="preserve"> may be</w:t>
      </w:r>
      <w:r w:rsidR="00710B7D">
        <w:t xml:space="preserve"> direct loss of the </w:t>
      </w:r>
      <w:proofErr w:type="spellStart"/>
      <w:r w:rsidR="00710B7D">
        <w:t>preybase</w:t>
      </w:r>
      <w:proofErr w:type="spellEnd"/>
      <w:r w:rsidR="00710B7D">
        <w:t xml:space="preserve"> for raptors including rabbits and rodents</w:t>
      </w:r>
      <w:r w:rsidR="0010349B">
        <w:t>. It may also decrease the insects</w:t>
      </w:r>
      <w:r w:rsidR="0010164A">
        <w:t>,</w:t>
      </w:r>
      <w:r w:rsidR="0010349B">
        <w:t xml:space="preserve"> reducing the </w:t>
      </w:r>
      <w:proofErr w:type="spellStart"/>
      <w:r w:rsidR="0010349B">
        <w:t>preybase</w:t>
      </w:r>
      <w:proofErr w:type="spellEnd"/>
      <w:r w:rsidR="0010349B">
        <w:t xml:space="preserve"> for foraging bats. Development can cause direct loss of burrows used by many organisms for nesting </w:t>
      </w:r>
      <w:r w:rsidR="00F20CC3">
        <w:t>including prairie-dogs</w:t>
      </w:r>
      <w:r w:rsidR="00E46837">
        <w:t xml:space="preserve"> </w:t>
      </w:r>
      <w:r w:rsidR="0010164A">
        <w:t>and</w:t>
      </w:r>
      <w:r w:rsidR="00F20CC3">
        <w:t xml:space="preserve"> burrowing owls</w:t>
      </w:r>
      <w:r w:rsidR="004D024E">
        <w:t>.</w:t>
      </w:r>
      <w:r w:rsidR="002B55CE">
        <w:t xml:space="preserve"> An increase of traffic may cause direct mortalities </w:t>
      </w:r>
      <w:r w:rsidR="000A3ACE">
        <w:t xml:space="preserve">of </w:t>
      </w:r>
      <w:r w:rsidR="00C70461">
        <w:t>some individuals</w:t>
      </w:r>
      <w:r w:rsidR="000A3ACE">
        <w:t>.</w:t>
      </w:r>
    </w:p>
    <w:p w14:paraId="6D70C763" w14:textId="74B92CD2" w:rsidR="002D682D" w:rsidRDefault="002D682D" w:rsidP="002D682D">
      <w:pPr>
        <w:pStyle w:val="BodyText"/>
      </w:pPr>
      <w:r w:rsidRPr="00544B50">
        <w:t xml:space="preserve">Table </w:t>
      </w:r>
      <w:r w:rsidR="00865AFF">
        <w:t>7</w:t>
      </w:r>
      <w:r w:rsidR="00160326">
        <w:t xml:space="preserve"> </w:t>
      </w:r>
      <w:r>
        <w:t>identifies the sensitive terrestrial animal species and their habitat with potential to occur on the nominated lease parcels.</w:t>
      </w:r>
    </w:p>
    <w:p w14:paraId="1A9E09CB" w14:textId="00942072" w:rsidR="002D682D" w:rsidRPr="00D94666" w:rsidRDefault="002D682D" w:rsidP="004D39C4">
      <w:pPr>
        <w:pStyle w:val="TableTitle"/>
        <w:rPr>
          <w:rFonts w:hint="eastAsia"/>
        </w:rPr>
      </w:pPr>
    </w:p>
    <w:p w14:paraId="39CE372B" w14:textId="5D1EE169" w:rsidR="006A2FEB" w:rsidRDefault="006A2FEB" w:rsidP="00865AFF">
      <w:pPr>
        <w:pStyle w:val="Caption"/>
      </w:pPr>
      <w:bookmarkStart w:id="116" w:name="_Toc179464288"/>
      <w:bookmarkStart w:id="117" w:name="_Toc170114943"/>
      <w:r>
        <w:lastRenderedPageBreak/>
        <w:t xml:space="preserve">Table </w:t>
      </w:r>
      <w:r w:rsidR="00BB3F01">
        <w:fldChar w:fldCharType="begin"/>
      </w:r>
      <w:r w:rsidR="00BB3F01">
        <w:instrText xml:space="preserve"> SEQ Table \* ARABIC </w:instrText>
      </w:r>
      <w:r w:rsidR="00BB3F01">
        <w:fldChar w:fldCharType="separate"/>
      </w:r>
      <w:r w:rsidR="00BB3F01">
        <w:rPr>
          <w:noProof/>
        </w:rPr>
        <w:t>7</w:t>
      </w:r>
      <w:r w:rsidR="00BB3F01">
        <w:rPr>
          <w:noProof/>
        </w:rPr>
        <w:fldChar w:fldCharType="end"/>
      </w:r>
      <w:r>
        <w:t xml:space="preserve"> </w:t>
      </w:r>
      <w:r w:rsidRPr="00DD282D">
        <w:t>Sensitive terrestrial animal species potentially occurring in the nominated lease parcels</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ensitive terrestrial animal species potentially occurring in the nominated lease parcels"/>
      </w:tblPr>
      <w:tblGrid>
        <w:gridCol w:w="1586"/>
        <w:gridCol w:w="1707"/>
        <w:gridCol w:w="1348"/>
        <w:gridCol w:w="3134"/>
        <w:gridCol w:w="1575"/>
      </w:tblGrid>
      <w:tr w:rsidR="002D682D" w:rsidRPr="007005D7" w14:paraId="06AA482A" w14:textId="77777777" w:rsidTr="255E3205">
        <w:trPr>
          <w:trHeight w:val="557"/>
          <w:tblHeader/>
        </w:trPr>
        <w:tc>
          <w:tcPr>
            <w:tcW w:w="848" w:type="pct"/>
            <w:shd w:val="clear" w:color="auto" w:fill="F2F2F2" w:themeFill="background1" w:themeFillShade="F2"/>
            <w:hideMark/>
          </w:tcPr>
          <w:p w14:paraId="3BEA68B8" w14:textId="77777777" w:rsidR="002D682D" w:rsidRPr="00032403" w:rsidRDefault="002D682D">
            <w:pPr>
              <w:pStyle w:val="TableHeading"/>
              <w:rPr>
                <w:rFonts w:ascii="Times New Roman" w:hAnsi="Times New Roman" w:cs="Times New Roman"/>
                <w:sz w:val="20"/>
              </w:rPr>
            </w:pPr>
            <w:r w:rsidRPr="00032403">
              <w:rPr>
                <w:rFonts w:ascii="Times New Roman" w:hAnsi="Times New Roman" w:cs="Times New Roman"/>
                <w:sz w:val="20"/>
              </w:rPr>
              <w:t>Common Name</w:t>
            </w:r>
          </w:p>
        </w:tc>
        <w:tc>
          <w:tcPr>
            <w:tcW w:w="913" w:type="pct"/>
            <w:shd w:val="clear" w:color="auto" w:fill="F2F2F2" w:themeFill="background1" w:themeFillShade="F2"/>
            <w:hideMark/>
          </w:tcPr>
          <w:p w14:paraId="2AC0289F" w14:textId="77777777" w:rsidR="002D682D" w:rsidRPr="00032403" w:rsidRDefault="002D682D">
            <w:pPr>
              <w:pStyle w:val="TableHeading"/>
              <w:rPr>
                <w:rFonts w:ascii="Times New Roman" w:hAnsi="Times New Roman" w:cs="Times New Roman"/>
                <w:sz w:val="20"/>
              </w:rPr>
            </w:pPr>
            <w:r w:rsidRPr="00032403">
              <w:rPr>
                <w:rFonts w:ascii="Times New Roman" w:hAnsi="Times New Roman" w:cs="Times New Roman"/>
                <w:sz w:val="20"/>
              </w:rPr>
              <w:t xml:space="preserve">Scientific Name </w:t>
            </w:r>
          </w:p>
        </w:tc>
        <w:tc>
          <w:tcPr>
            <w:tcW w:w="721" w:type="pct"/>
            <w:shd w:val="clear" w:color="auto" w:fill="F2F2F2" w:themeFill="background1" w:themeFillShade="F2"/>
            <w:hideMark/>
          </w:tcPr>
          <w:p w14:paraId="28E32412" w14:textId="77777777" w:rsidR="002D682D" w:rsidRPr="00032403" w:rsidRDefault="002D682D">
            <w:pPr>
              <w:pStyle w:val="TableHeading"/>
              <w:rPr>
                <w:rFonts w:ascii="Times New Roman" w:hAnsi="Times New Roman" w:cs="Times New Roman"/>
                <w:sz w:val="20"/>
              </w:rPr>
            </w:pPr>
            <w:r w:rsidRPr="00032403">
              <w:rPr>
                <w:rFonts w:ascii="Times New Roman" w:hAnsi="Times New Roman" w:cs="Times New Roman"/>
                <w:sz w:val="20"/>
              </w:rPr>
              <w:t xml:space="preserve">Status </w:t>
            </w:r>
          </w:p>
        </w:tc>
        <w:tc>
          <w:tcPr>
            <w:tcW w:w="1676" w:type="pct"/>
            <w:shd w:val="clear" w:color="auto" w:fill="F2F2F2" w:themeFill="background1" w:themeFillShade="F2"/>
            <w:hideMark/>
          </w:tcPr>
          <w:p w14:paraId="2CEB84E2" w14:textId="77777777" w:rsidR="002D682D" w:rsidRPr="00032403" w:rsidRDefault="002D682D">
            <w:pPr>
              <w:pStyle w:val="TableHeading"/>
              <w:rPr>
                <w:rFonts w:ascii="Times New Roman" w:hAnsi="Times New Roman" w:cs="Times New Roman"/>
                <w:sz w:val="20"/>
              </w:rPr>
            </w:pPr>
            <w:r w:rsidRPr="00032403">
              <w:rPr>
                <w:rFonts w:ascii="Times New Roman" w:hAnsi="Times New Roman" w:cs="Times New Roman"/>
                <w:sz w:val="20"/>
              </w:rPr>
              <w:t xml:space="preserve">Background and documentation for Species/potential habitat occurrence in parcels </w:t>
            </w:r>
          </w:p>
        </w:tc>
        <w:tc>
          <w:tcPr>
            <w:tcW w:w="842" w:type="pct"/>
            <w:shd w:val="clear" w:color="auto" w:fill="F2F2F2" w:themeFill="background1" w:themeFillShade="F2"/>
            <w:hideMark/>
          </w:tcPr>
          <w:p w14:paraId="62558A5F" w14:textId="77777777" w:rsidR="002D682D" w:rsidRPr="00032403" w:rsidRDefault="002D682D">
            <w:pPr>
              <w:pStyle w:val="TableHeading"/>
              <w:rPr>
                <w:rFonts w:ascii="Times New Roman" w:hAnsi="Times New Roman" w:cs="Times New Roman"/>
                <w:sz w:val="20"/>
              </w:rPr>
            </w:pPr>
            <w:r w:rsidRPr="00032403">
              <w:rPr>
                <w:rFonts w:ascii="Times New Roman" w:hAnsi="Times New Roman" w:cs="Times New Roman"/>
                <w:sz w:val="20"/>
              </w:rPr>
              <w:t xml:space="preserve">Lease Parcel ID </w:t>
            </w:r>
          </w:p>
        </w:tc>
      </w:tr>
      <w:tr w:rsidR="002D682D" w:rsidRPr="007005D7" w14:paraId="7F5E7383" w14:textId="77777777" w:rsidTr="255E3205">
        <w:trPr>
          <w:trHeight w:val="890"/>
        </w:trPr>
        <w:tc>
          <w:tcPr>
            <w:tcW w:w="848" w:type="pct"/>
            <w:shd w:val="clear" w:color="auto" w:fill="auto"/>
          </w:tcPr>
          <w:p w14:paraId="4D9F2B14" w14:textId="3CAB07DF" w:rsidR="002D682D" w:rsidRPr="00032403" w:rsidRDefault="00AE3744">
            <w:pPr>
              <w:pStyle w:val="TableTextLeft"/>
              <w:rPr>
                <w:rFonts w:ascii="Times New Roman" w:hAnsi="Times New Roman"/>
                <w:sz w:val="20"/>
                <w:szCs w:val="20"/>
              </w:rPr>
            </w:pPr>
            <w:r>
              <w:rPr>
                <w:rFonts w:ascii="Times New Roman" w:hAnsi="Times New Roman"/>
                <w:sz w:val="20"/>
                <w:szCs w:val="20"/>
              </w:rPr>
              <w:t>w</w:t>
            </w:r>
            <w:r w:rsidR="002B707B">
              <w:rPr>
                <w:rFonts w:ascii="Times New Roman" w:hAnsi="Times New Roman"/>
                <w:sz w:val="20"/>
                <w:szCs w:val="20"/>
              </w:rPr>
              <w:t>h</w:t>
            </w:r>
            <w:r w:rsidR="00832B17">
              <w:rPr>
                <w:rFonts w:ascii="Times New Roman" w:hAnsi="Times New Roman"/>
                <w:sz w:val="20"/>
                <w:szCs w:val="20"/>
              </w:rPr>
              <w:t>ite-tailed prairie dog</w:t>
            </w:r>
          </w:p>
        </w:tc>
        <w:tc>
          <w:tcPr>
            <w:tcW w:w="913" w:type="pct"/>
            <w:shd w:val="clear" w:color="auto" w:fill="auto"/>
          </w:tcPr>
          <w:p w14:paraId="6E448477" w14:textId="02208E52" w:rsidR="002D682D" w:rsidRPr="00032403" w:rsidRDefault="00902B7E">
            <w:pPr>
              <w:pStyle w:val="TableTextLeft"/>
              <w:rPr>
                <w:rFonts w:ascii="Times New Roman" w:hAnsi="Times New Roman"/>
                <w:i/>
                <w:sz w:val="20"/>
                <w:szCs w:val="20"/>
              </w:rPr>
            </w:pPr>
            <w:r>
              <w:rPr>
                <w:rFonts w:ascii="Times New Roman" w:hAnsi="Times New Roman"/>
                <w:i/>
                <w:sz w:val="20"/>
                <w:szCs w:val="20"/>
              </w:rPr>
              <w:t xml:space="preserve">Cynomys </w:t>
            </w:r>
            <w:proofErr w:type="spellStart"/>
            <w:r>
              <w:rPr>
                <w:rFonts w:ascii="Times New Roman" w:hAnsi="Times New Roman"/>
                <w:i/>
                <w:sz w:val="20"/>
                <w:szCs w:val="20"/>
              </w:rPr>
              <w:t>leucu</w:t>
            </w:r>
            <w:r w:rsidR="0013295E">
              <w:rPr>
                <w:rFonts w:ascii="Times New Roman" w:hAnsi="Times New Roman"/>
                <w:i/>
                <w:sz w:val="20"/>
                <w:szCs w:val="20"/>
              </w:rPr>
              <w:t>rus</w:t>
            </w:r>
            <w:proofErr w:type="spellEnd"/>
          </w:p>
        </w:tc>
        <w:tc>
          <w:tcPr>
            <w:tcW w:w="721" w:type="pct"/>
            <w:shd w:val="clear" w:color="auto" w:fill="auto"/>
          </w:tcPr>
          <w:p w14:paraId="559AC024" w14:textId="39CF156A" w:rsidR="002D682D" w:rsidRPr="00032403" w:rsidRDefault="00404000">
            <w:pPr>
              <w:pStyle w:val="TableTextLeft"/>
              <w:rPr>
                <w:rFonts w:ascii="Times New Roman" w:hAnsi="Times New Roman"/>
                <w:sz w:val="20"/>
                <w:szCs w:val="20"/>
              </w:rPr>
            </w:pPr>
            <w:r>
              <w:rPr>
                <w:rFonts w:ascii="Times New Roman" w:hAnsi="Times New Roman"/>
                <w:sz w:val="20"/>
                <w:szCs w:val="20"/>
              </w:rPr>
              <w:t>BLM Sensitive</w:t>
            </w:r>
          </w:p>
        </w:tc>
        <w:tc>
          <w:tcPr>
            <w:tcW w:w="1676" w:type="pct"/>
            <w:shd w:val="clear" w:color="auto" w:fill="auto"/>
          </w:tcPr>
          <w:p w14:paraId="2CCA091C" w14:textId="2EEBBADA" w:rsidR="002D682D" w:rsidRPr="00032403" w:rsidRDefault="0060053A">
            <w:pPr>
              <w:pStyle w:val="TableTextLeft"/>
              <w:rPr>
                <w:rFonts w:ascii="Times New Roman" w:hAnsi="Times New Roman"/>
                <w:sz w:val="20"/>
                <w:szCs w:val="20"/>
              </w:rPr>
            </w:pPr>
            <w:r>
              <w:rPr>
                <w:rFonts w:ascii="Times New Roman" w:hAnsi="Times New Roman"/>
                <w:sz w:val="20"/>
                <w:szCs w:val="20"/>
              </w:rPr>
              <w:t xml:space="preserve">Known </w:t>
            </w:r>
            <w:r w:rsidR="009D3FB5">
              <w:rPr>
                <w:rFonts w:ascii="Times New Roman" w:hAnsi="Times New Roman"/>
                <w:sz w:val="20"/>
                <w:szCs w:val="20"/>
              </w:rPr>
              <w:t>occurrence</w:t>
            </w:r>
            <w:r w:rsidR="009501B8">
              <w:rPr>
                <w:rFonts w:ascii="Times New Roman" w:hAnsi="Times New Roman"/>
                <w:sz w:val="20"/>
                <w:szCs w:val="20"/>
              </w:rPr>
              <w:t xml:space="preserve">. </w:t>
            </w:r>
            <w:r w:rsidR="3C0841B2" w:rsidRPr="20FCA5AA">
              <w:rPr>
                <w:rFonts w:ascii="Times New Roman" w:hAnsi="Times New Roman"/>
                <w:sz w:val="20"/>
                <w:szCs w:val="20"/>
              </w:rPr>
              <w:t>Occupied</w:t>
            </w:r>
            <w:r w:rsidR="00071779">
              <w:rPr>
                <w:rFonts w:ascii="Times New Roman" w:hAnsi="Times New Roman"/>
                <w:sz w:val="20"/>
                <w:szCs w:val="20"/>
              </w:rPr>
              <w:t xml:space="preserve"> </w:t>
            </w:r>
            <w:r w:rsidR="008A0536">
              <w:rPr>
                <w:rFonts w:ascii="Times New Roman" w:hAnsi="Times New Roman"/>
                <w:sz w:val="20"/>
                <w:szCs w:val="20"/>
              </w:rPr>
              <w:t>habitat</w:t>
            </w:r>
          </w:p>
        </w:tc>
        <w:tc>
          <w:tcPr>
            <w:tcW w:w="842" w:type="pct"/>
            <w:shd w:val="clear" w:color="auto" w:fill="auto"/>
          </w:tcPr>
          <w:p w14:paraId="7228AF9C" w14:textId="3F2F6E18" w:rsidR="002D682D" w:rsidRDefault="5A197348">
            <w:pPr>
              <w:pStyle w:val="TableTextLeft"/>
              <w:rPr>
                <w:rFonts w:ascii="Times New Roman" w:hAnsi="Times New Roman"/>
                <w:sz w:val="20"/>
                <w:szCs w:val="20"/>
              </w:rPr>
            </w:pPr>
            <w:r w:rsidRPr="0516FAC1">
              <w:rPr>
                <w:rFonts w:ascii="Times New Roman" w:hAnsi="Times New Roman"/>
                <w:sz w:val="20"/>
                <w:szCs w:val="20"/>
              </w:rPr>
              <w:t>76</w:t>
            </w:r>
            <w:r w:rsidR="1547D78D" w:rsidRPr="0516FAC1">
              <w:rPr>
                <w:rFonts w:ascii="Times New Roman" w:hAnsi="Times New Roman"/>
                <w:sz w:val="20"/>
                <w:szCs w:val="20"/>
              </w:rPr>
              <w:t>8</w:t>
            </w:r>
            <w:r w:rsidRPr="0516FAC1">
              <w:rPr>
                <w:rFonts w:ascii="Times New Roman" w:hAnsi="Times New Roman"/>
                <w:sz w:val="20"/>
                <w:szCs w:val="20"/>
              </w:rPr>
              <w:t>8</w:t>
            </w:r>
          </w:p>
          <w:p w14:paraId="5DCC3D74" w14:textId="5D9215EB" w:rsidR="002D682D" w:rsidRPr="00032403" w:rsidRDefault="000A1B52">
            <w:pPr>
              <w:pStyle w:val="TableTextLeft"/>
              <w:rPr>
                <w:rFonts w:ascii="Times New Roman" w:hAnsi="Times New Roman"/>
                <w:sz w:val="20"/>
                <w:szCs w:val="20"/>
              </w:rPr>
            </w:pPr>
            <w:r w:rsidRPr="60A7FFD0">
              <w:rPr>
                <w:rFonts w:ascii="Times New Roman" w:hAnsi="Times New Roman"/>
                <w:sz w:val="20"/>
                <w:szCs w:val="20"/>
              </w:rPr>
              <w:t xml:space="preserve">1551 </w:t>
            </w:r>
            <w:r w:rsidR="390D8649" w:rsidRPr="20FCA5AA">
              <w:rPr>
                <w:rFonts w:ascii="Times New Roman" w:hAnsi="Times New Roman"/>
                <w:sz w:val="20"/>
                <w:szCs w:val="20"/>
              </w:rPr>
              <w:t>Occupied Habitat</w:t>
            </w:r>
          </w:p>
        </w:tc>
      </w:tr>
      <w:tr w:rsidR="00404000" w:rsidRPr="007005D7" w14:paraId="0E3772BA" w14:textId="77777777" w:rsidTr="255E3205">
        <w:trPr>
          <w:trHeight w:val="1160"/>
        </w:trPr>
        <w:tc>
          <w:tcPr>
            <w:tcW w:w="848" w:type="pct"/>
            <w:shd w:val="clear" w:color="auto" w:fill="auto"/>
          </w:tcPr>
          <w:p w14:paraId="658269C4" w14:textId="2DD33D32" w:rsidR="00404000" w:rsidRPr="00032403" w:rsidRDefault="00AE3744" w:rsidP="00404000">
            <w:pPr>
              <w:pStyle w:val="TableTextLeft"/>
              <w:rPr>
                <w:rFonts w:ascii="Times New Roman" w:hAnsi="Times New Roman"/>
                <w:sz w:val="20"/>
                <w:szCs w:val="20"/>
              </w:rPr>
            </w:pPr>
            <w:r>
              <w:rPr>
                <w:rFonts w:ascii="Times New Roman" w:hAnsi="Times New Roman"/>
                <w:sz w:val="20"/>
                <w:szCs w:val="20"/>
              </w:rPr>
              <w:t>b</w:t>
            </w:r>
            <w:r w:rsidR="00404000">
              <w:rPr>
                <w:rFonts w:ascii="Times New Roman" w:hAnsi="Times New Roman"/>
                <w:sz w:val="20"/>
                <w:szCs w:val="20"/>
              </w:rPr>
              <w:t>ig free-tailed bat</w:t>
            </w:r>
          </w:p>
        </w:tc>
        <w:tc>
          <w:tcPr>
            <w:tcW w:w="913" w:type="pct"/>
            <w:shd w:val="clear" w:color="auto" w:fill="auto"/>
          </w:tcPr>
          <w:p w14:paraId="572063BC" w14:textId="616CFD02" w:rsidR="00404000" w:rsidRPr="00032403" w:rsidRDefault="00A56E88" w:rsidP="00404000">
            <w:pPr>
              <w:pStyle w:val="TableTextLeft"/>
              <w:rPr>
                <w:rFonts w:ascii="Times New Roman" w:hAnsi="Times New Roman"/>
                <w:i/>
                <w:sz w:val="20"/>
                <w:szCs w:val="20"/>
              </w:rPr>
            </w:pPr>
            <w:proofErr w:type="spellStart"/>
            <w:r w:rsidRPr="00032403">
              <w:rPr>
                <w:rFonts w:ascii="Times New Roman" w:hAnsi="Times New Roman"/>
                <w:i/>
                <w:sz w:val="20"/>
                <w:szCs w:val="20"/>
              </w:rPr>
              <w:t>Nyctinomops</w:t>
            </w:r>
            <w:proofErr w:type="spellEnd"/>
            <w:r w:rsidRPr="00032403">
              <w:rPr>
                <w:rFonts w:ascii="Times New Roman" w:hAnsi="Times New Roman"/>
                <w:i/>
                <w:sz w:val="20"/>
                <w:szCs w:val="20"/>
              </w:rPr>
              <w:t xml:space="preserve"> </w:t>
            </w:r>
            <w:proofErr w:type="spellStart"/>
            <w:r w:rsidRPr="00032403">
              <w:rPr>
                <w:rFonts w:ascii="Times New Roman" w:hAnsi="Times New Roman"/>
                <w:i/>
                <w:sz w:val="20"/>
                <w:szCs w:val="20"/>
              </w:rPr>
              <w:t>macrotis</w:t>
            </w:r>
            <w:proofErr w:type="spellEnd"/>
          </w:p>
        </w:tc>
        <w:tc>
          <w:tcPr>
            <w:tcW w:w="721" w:type="pct"/>
            <w:shd w:val="clear" w:color="auto" w:fill="auto"/>
          </w:tcPr>
          <w:p w14:paraId="109F13D8" w14:textId="6F05B70F" w:rsidR="00404000" w:rsidRPr="00032403" w:rsidRDefault="00404000" w:rsidP="00404000">
            <w:pPr>
              <w:pStyle w:val="TableTextLeft"/>
              <w:rPr>
                <w:rFonts w:ascii="Times New Roman" w:hAnsi="Times New Roman"/>
                <w:sz w:val="20"/>
                <w:szCs w:val="20"/>
              </w:rPr>
            </w:pPr>
            <w:r>
              <w:rPr>
                <w:rFonts w:ascii="Times New Roman" w:hAnsi="Times New Roman"/>
                <w:sz w:val="20"/>
                <w:szCs w:val="20"/>
              </w:rPr>
              <w:t>BLM Sensitive</w:t>
            </w:r>
          </w:p>
        </w:tc>
        <w:tc>
          <w:tcPr>
            <w:tcW w:w="1676" w:type="pct"/>
            <w:shd w:val="clear" w:color="auto" w:fill="auto"/>
          </w:tcPr>
          <w:p w14:paraId="41C8F233" w14:textId="2D48A0F6" w:rsidR="00404000" w:rsidRPr="00032403" w:rsidRDefault="002323D6" w:rsidP="00404000">
            <w:pPr>
              <w:pStyle w:val="TableTextLeft"/>
              <w:rPr>
                <w:rFonts w:ascii="Times New Roman" w:hAnsi="Times New Roman"/>
                <w:sz w:val="20"/>
                <w:szCs w:val="20"/>
              </w:rPr>
            </w:pPr>
            <w:r>
              <w:rPr>
                <w:rFonts w:ascii="Times New Roman" w:hAnsi="Times New Roman"/>
                <w:sz w:val="20"/>
                <w:szCs w:val="20"/>
              </w:rPr>
              <w:t>H</w:t>
            </w:r>
            <w:r w:rsidR="00ED2926" w:rsidRPr="00032403">
              <w:rPr>
                <w:rFonts w:ascii="Times New Roman" w:hAnsi="Times New Roman"/>
                <w:sz w:val="20"/>
                <w:szCs w:val="20"/>
              </w:rPr>
              <w:t xml:space="preserve">abitat occurs within </w:t>
            </w:r>
            <w:r w:rsidR="00ED2926">
              <w:rPr>
                <w:rFonts w:ascii="Times New Roman" w:hAnsi="Times New Roman"/>
                <w:sz w:val="20"/>
                <w:szCs w:val="20"/>
              </w:rPr>
              <w:t>VFO</w:t>
            </w:r>
            <w:r w:rsidR="00ED2926" w:rsidRPr="00032403">
              <w:rPr>
                <w:rFonts w:ascii="Times New Roman" w:hAnsi="Times New Roman"/>
                <w:sz w:val="20"/>
                <w:szCs w:val="20"/>
              </w:rPr>
              <w:t xml:space="preserve"> managed </w:t>
            </w:r>
            <w:proofErr w:type="gramStart"/>
            <w:r w:rsidR="00ED2926" w:rsidRPr="00032403">
              <w:rPr>
                <w:rFonts w:ascii="Times New Roman" w:hAnsi="Times New Roman"/>
                <w:sz w:val="20"/>
                <w:szCs w:val="20"/>
              </w:rPr>
              <w:t>land</w:t>
            </w:r>
            <w:proofErr w:type="gramEnd"/>
            <w:r w:rsidR="00ED2926" w:rsidRPr="00032403">
              <w:rPr>
                <w:rFonts w:ascii="Times New Roman" w:hAnsi="Times New Roman"/>
                <w:sz w:val="20"/>
                <w:szCs w:val="20"/>
              </w:rPr>
              <w:t xml:space="preserve"> but the species is rare in Utah. Individuals rarely occur in northern Utah and species occurs primarily in southern portion of state. No known occurrences within parcels.  </w:t>
            </w:r>
          </w:p>
        </w:tc>
        <w:tc>
          <w:tcPr>
            <w:tcW w:w="842" w:type="pct"/>
            <w:shd w:val="clear" w:color="auto" w:fill="auto"/>
          </w:tcPr>
          <w:p w14:paraId="55007939" w14:textId="6973E761" w:rsidR="00404000" w:rsidRPr="00032403" w:rsidRDefault="00404000" w:rsidP="00404000">
            <w:pPr>
              <w:pStyle w:val="TableTextLeft"/>
              <w:rPr>
                <w:rFonts w:ascii="Times New Roman" w:hAnsi="Times New Roman"/>
                <w:sz w:val="20"/>
                <w:szCs w:val="20"/>
              </w:rPr>
            </w:pPr>
            <w:r>
              <w:rPr>
                <w:rFonts w:ascii="Times New Roman" w:hAnsi="Times New Roman"/>
                <w:sz w:val="20"/>
                <w:szCs w:val="20"/>
              </w:rPr>
              <w:t>7688, 1551</w:t>
            </w:r>
          </w:p>
        </w:tc>
      </w:tr>
      <w:tr w:rsidR="00D2794F" w:rsidRPr="007005D7" w14:paraId="5DC425D2" w14:textId="77777777" w:rsidTr="255E3205">
        <w:trPr>
          <w:trHeight w:val="557"/>
        </w:trPr>
        <w:tc>
          <w:tcPr>
            <w:tcW w:w="848" w:type="pct"/>
            <w:shd w:val="clear" w:color="auto" w:fill="auto"/>
          </w:tcPr>
          <w:p w14:paraId="0038F615" w14:textId="64C3F079" w:rsidR="00D2794F" w:rsidRPr="00032403" w:rsidRDefault="00AE3744" w:rsidP="00D2794F">
            <w:pPr>
              <w:pStyle w:val="TableTextLeft"/>
              <w:rPr>
                <w:rFonts w:ascii="Times New Roman" w:hAnsi="Times New Roman"/>
                <w:sz w:val="20"/>
                <w:szCs w:val="20"/>
              </w:rPr>
            </w:pPr>
            <w:r>
              <w:rPr>
                <w:rFonts w:ascii="Times New Roman" w:hAnsi="Times New Roman"/>
                <w:sz w:val="20"/>
                <w:szCs w:val="20"/>
              </w:rPr>
              <w:t>f</w:t>
            </w:r>
            <w:r w:rsidR="00D2794F">
              <w:rPr>
                <w:rFonts w:ascii="Times New Roman" w:hAnsi="Times New Roman"/>
                <w:sz w:val="20"/>
                <w:szCs w:val="20"/>
              </w:rPr>
              <w:t>ringed myotis</w:t>
            </w:r>
          </w:p>
        </w:tc>
        <w:tc>
          <w:tcPr>
            <w:tcW w:w="913" w:type="pct"/>
            <w:shd w:val="clear" w:color="auto" w:fill="auto"/>
          </w:tcPr>
          <w:p w14:paraId="2445330F" w14:textId="52EBB798" w:rsidR="00D2794F" w:rsidRPr="00032403" w:rsidRDefault="00EF62E7" w:rsidP="00D2794F">
            <w:pPr>
              <w:pStyle w:val="TableTextLeft"/>
              <w:rPr>
                <w:rFonts w:ascii="Times New Roman" w:hAnsi="Times New Roman"/>
                <w:i/>
                <w:sz w:val="20"/>
                <w:szCs w:val="20"/>
              </w:rPr>
            </w:pPr>
            <w:r w:rsidRPr="00DE1FB0">
              <w:rPr>
                <w:rFonts w:ascii="Times New Roman" w:hAnsi="Times New Roman"/>
                <w:i/>
                <w:sz w:val="20"/>
                <w:szCs w:val="20"/>
              </w:rPr>
              <w:t xml:space="preserve">Myotis </w:t>
            </w:r>
            <w:proofErr w:type="spellStart"/>
            <w:r w:rsidRPr="00DE1FB0">
              <w:rPr>
                <w:rFonts w:ascii="Times New Roman" w:hAnsi="Times New Roman"/>
                <w:i/>
                <w:sz w:val="20"/>
                <w:szCs w:val="20"/>
              </w:rPr>
              <w:t>thysanodes</w:t>
            </w:r>
            <w:proofErr w:type="spellEnd"/>
          </w:p>
        </w:tc>
        <w:tc>
          <w:tcPr>
            <w:tcW w:w="721" w:type="pct"/>
            <w:shd w:val="clear" w:color="auto" w:fill="auto"/>
          </w:tcPr>
          <w:p w14:paraId="0DC49F78" w14:textId="494CADFD" w:rsidR="00D2794F" w:rsidRPr="00032403" w:rsidRDefault="00D2794F" w:rsidP="00D2794F">
            <w:pPr>
              <w:pStyle w:val="TableTextLeft"/>
              <w:rPr>
                <w:rFonts w:ascii="Times New Roman" w:hAnsi="Times New Roman"/>
                <w:sz w:val="20"/>
                <w:szCs w:val="20"/>
              </w:rPr>
            </w:pPr>
            <w:r>
              <w:rPr>
                <w:rFonts w:ascii="Times New Roman" w:hAnsi="Times New Roman"/>
                <w:sz w:val="20"/>
                <w:szCs w:val="20"/>
              </w:rPr>
              <w:t>BLM Sensitive</w:t>
            </w:r>
          </w:p>
        </w:tc>
        <w:tc>
          <w:tcPr>
            <w:tcW w:w="1676" w:type="pct"/>
            <w:shd w:val="clear" w:color="auto" w:fill="auto"/>
          </w:tcPr>
          <w:p w14:paraId="4B26785D" w14:textId="417CE632" w:rsidR="00D2794F" w:rsidRPr="00032403" w:rsidRDefault="00ED2926" w:rsidP="00D2794F">
            <w:pPr>
              <w:pStyle w:val="TableTextLeft"/>
              <w:rPr>
                <w:rFonts w:ascii="Times New Roman" w:hAnsi="Times New Roman"/>
                <w:sz w:val="20"/>
                <w:szCs w:val="20"/>
              </w:rPr>
            </w:pPr>
            <w:r w:rsidRPr="00791F87">
              <w:rPr>
                <w:rFonts w:ascii="Times New Roman" w:hAnsi="Times New Roman"/>
                <w:sz w:val="20"/>
                <w:szCs w:val="20"/>
              </w:rPr>
              <w:t>Potential Habitat</w:t>
            </w:r>
            <w:r w:rsidR="00FE723C" w:rsidRPr="00032403">
              <w:rPr>
                <w:rFonts w:ascii="Times New Roman" w:hAnsi="Times New Roman"/>
                <w:sz w:val="20"/>
                <w:szCs w:val="20"/>
              </w:rPr>
              <w:t xml:space="preserve"> Species distribution is mostly in southern portion of state.</w:t>
            </w:r>
            <w:r w:rsidR="002E5AB5">
              <w:rPr>
                <w:rFonts w:ascii="Times New Roman" w:hAnsi="Times New Roman"/>
                <w:sz w:val="20"/>
                <w:szCs w:val="20"/>
              </w:rPr>
              <w:t xml:space="preserve"> </w:t>
            </w:r>
          </w:p>
        </w:tc>
        <w:tc>
          <w:tcPr>
            <w:tcW w:w="842" w:type="pct"/>
            <w:shd w:val="clear" w:color="auto" w:fill="auto"/>
          </w:tcPr>
          <w:p w14:paraId="1DE4635A" w14:textId="740F9C97" w:rsidR="00D2794F" w:rsidRPr="00032403" w:rsidRDefault="00D2794F" w:rsidP="00D2794F">
            <w:pPr>
              <w:pStyle w:val="TableTextLeft"/>
              <w:rPr>
                <w:rFonts w:ascii="Times New Roman" w:hAnsi="Times New Roman"/>
                <w:sz w:val="20"/>
                <w:szCs w:val="20"/>
              </w:rPr>
            </w:pPr>
            <w:r>
              <w:rPr>
                <w:rFonts w:ascii="Times New Roman" w:hAnsi="Times New Roman"/>
                <w:sz w:val="20"/>
                <w:szCs w:val="20"/>
              </w:rPr>
              <w:t>7688, 1551</w:t>
            </w:r>
          </w:p>
        </w:tc>
      </w:tr>
      <w:tr w:rsidR="00D2794F" w14:paraId="763518C2" w14:textId="77777777" w:rsidTr="255E3205">
        <w:trPr>
          <w:trHeight w:val="557"/>
        </w:trPr>
        <w:tc>
          <w:tcPr>
            <w:tcW w:w="848" w:type="pct"/>
            <w:shd w:val="clear" w:color="auto" w:fill="auto"/>
          </w:tcPr>
          <w:p w14:paraId="48EBD6FC" w14:textId="5606D941" w:rsidR="00D2794F" w:rsidRPr="00976DD5" w:rsidRDefault="00D2794F" w:rsidP="00D2794F">
            <w:pPr>
              <w:pStyle w:val="TableTextLeft"/>
              <w:rPr>
                <w:rFonts w:ascii="Times New Roman" w:hAnsi="Times New Roman"/>
                <w:sz w:val="20"/>
                <w:szCs w:val="20"/>
              </w:rPr>
            </w:pPr>
            <w:r w:rsidRPr="00976DD5">
              <w:rPr>
                <w:rFonts w:ascii="Times New Roman" w:hAnsi="Times New Roman"/>
                <w:sz w:val="20"/>
                <w:szCs w:val="20"/>
              </w:rPr>
              <w:t>Townsend’s’ bat</w:t>
            </w:r>
          </w:p>
        </w:tc>
        <w:tc>
          <w:tcPr>
            <w:tcW w:w="913" w:type="pct"/>
            <w:shd w:val="clear" w:color="auto" w:fill="auto"/>
          </w:tcPr>
          <w:p w14:paraId="1AA35864" w14:textId="330884DF" w:rsidR="00D2794F" w:rsidRPr="00976DD5" w:rsidRDefault="006D2941" w:rsidP="00D2794F">
            <w:pPr>
              <w:pStyle w:val="TableTextLeft"/>
              <w:rPr>
                <w:rFonts w:ascii="Times New Roman" w:hAnsi="Times New Roman"/>
                <w:sz w:val="20"/>
                <w:szCs w:val="20"/>
              </w:rPr>
            </w:pPr>
            <w:proofErr w:type="spellStart"/>
            <w:r w:rsidRPr="00032403">
              <w:rPr>
                <w:rFonts w:ascii="Times New Roman" w:hAnsi="Times New Roman"/>
                <w:i/>
                <w:sz w:val="20"/>
                <w:szCs w:val="20"/>
              </w:rPr>
              <w:t>Corynorhinus</w:t>
            </w:r>
            <w:proofErr w:type="spellEnd"/>
            <w:r w:rsidRPr="00032403">
              <w:rPr>
                <w:rFonts w:ascii="Times New Roman" w:hAnsi="Times New Roman"/>
                <w:i/>
                <w:sz w:val="20"/>
                <w:szCs w:val="20"/>
              </w:rPr>
              <w:t xml:space="preserve"> </w:t>
            </w:r>
            <w:proofErr w:type="spellStart"/>
            <w:r w:rsidRPr="00032403">
              <w:rPr>
                <w:rFonts w:ascii="Times New Roman" w:hAnsi="Times New Roman"/>
                <w:i/>
                <w:sz w:val="20"/>
                <w:szCs w:val="20"/>
              </w:rPr>
              <w:t>townsendii</w:t>
            </w:r>
            <w:proofErr w:type="spellEnd"/>
          </w:p>
        </w:tc>
        <w:tc>
          <w:tcPr>
            <w:tcW w:w="721" w:type="pct"/>
            <w:shd w:val="clear" w:color="auto" w:fill="auto"/>
          </w:tcPr>
          <w:p w14:paraId="0782BBD0" w14:textId="1DBBA059" w:rsidR="00D2794F" w:rsidRPr="00976DD5" w:rsidRDefault="00D2794F" w:rsidP="00D2794F">
            <w:pPr>
              <w:pStyle w:val="TableTextLeft"/>
              <w:rPr>
                <w:rFonts w:ascii="Times New Roman" w:hAnsi="Times New Roman"/>
                <w:sz w:val="20"/>
                <w:szCs w:val="20"/>
              </w:rPr>
            </w:pPr>
            <w:r>
              <w:rPr>
                <w:rFonts w:ascii="Times New Roman" w:hAnsi="Times New Roman"/>
                <w:sz w:val="20"/>
                <w:szCs w:val="20"/>
              </w:rPr>
              <w:t>BLM Sensitive</w:t>
            </w:r>
          </w:p>
        </w:tc>
        <w:tc>
          <w:tcPr>
            <w:tcW w:w="1676" w:type="pct"/>
            <w:shd w:val="clear" w:color="auto" w:fill="auto"/>
          </w:tcPr>
          <w:p w14:paraId="3D6BD8FA" w14:textId="443FC62A" w:rsidR="00D2794F" w:rsidRPr="00976DD5" w:rsidRDefault="009501B8" w:rsidP="00D2794F">
            <w:pPr>
              <w:pStyle w:val="TableTextLeft"/>
              <w:rPr>
                <w:rFonts w:ascii="Times New Roman" w:hAnsi="Times New Roman"/>
                <w:sz w:val="20"/>
                <w:szCs w:val="20"/>
              </w:rPr>
            </w:pPr>
            <w:r w:rsidRPr="00032403">
              <w:rPr>
                <w:rFonts w:ascii="Times New Roman" w:hAnsi="Times New Roman"/>
                <w:sz w:val="20"/>
                <w:szCs w:val="20"/>
              </w:rPr>
              <w:t xml:space="preserve">Species distribution is widely spread throughout </w:t>
            </w:r>
            <w:proofErr w:type="gramStart"/>
            <w:r w:rsidRPr="00032403">
              <w:rPr>
                <w:rFonts w:ascii="Times New Roman" w:hAnsi="Times New Roman"/>
                <w:sz w:val="20"/>
                <w:szCs w:val="20"/>
              </w:rPr>
              <w:t>state</w:t>
            </w:r>
            <w:proofErr w:type="gramEnd"/>
            <w:r w:rsidRPr="00032403">
              <w:rPr>
                <w:rFonts w:ascii="Times New Roman" w:hAnsi="Times New Roman"/>
                <w:sz w:val="20"/>
                <w:szCs w:val="20"/>
              </w:rPr>
              <w:t xml:space="preserve"> but no known occurrences of the species are documented within parcels.</w:t>
            </w:r>
          </w:p>
        </w:tc>
        <w:tc>
          <w:tcPr>
            <w:tcW w:w="842" w:type="pct"/>
            <w:shd w:val="clear" w:color="auto" w:fill="auto"/>
          </w:tcPr>
          <w:p w14:paraId="6D6FD46C" w14:textId="4F538F79" w:rsidR="00D2794F" w:rsidRPr="00976DD5" w:rsidRDefault="00D2794F" w:rsidP="00D2794F">
            <w:pPr>
              <w:pStyle w:val="TableTextLeft"/>
              <w:rPr>
                <w:rFonts w:ascii="Times New Roman" w:hAnsi="Times New Roman"/>
                <w:sz w:val="20"/>
                <w:szCs w:val="20"/>
              </w:rPr>
            </w:pPr>
            <w:r w:rsidRPr="004C5572">
              <w:rPr>
                <w:rFonts w:ascii="Times New Roman" w:hAnsi="Times New Roman"/>
                <w:sz w:val="20"/>
                <w:szCs w:val="20"/>
              </w:rPr>
              <w:t>7688, 1551</w:t>
            </w:r>
          </w:p>
        </w:tc>
      </w:tr>
      <w:tr w:rsidR="00D2794F" w14:paraId="137841AD" w14:textId="77777777" w:rsidTr="255E3205">
        <w:trPr>
          <w:trHeight w:val="557"/>
        </w:trPr>
        <w:tc>
          <w:tcPr>
            <w:tcW w:w="848" w:type="pct"/>
            <w:shd w:val="clear" w:color="auto" w:fill="auto"/>
          </w:tcPr>
          <w:p w14:paraId="6E03CF79" w14:textId="55A81A01" w:rsidR="00D2794F" w:rsidRPr="00976DD5" w:rsidRDefault="00AE3744" w:rsidP="00D2794F">
            <w:pPr>
              <w:pStyle w:val="TableTextLeft"/>
              <w:rPr>
                <w:rFonts w:ascii="Times New Roman" w:hAnsi="Times New Roman"/>
                <w:sz w:val="20"/>
                <w:szCs w:val="20"/>
              </w:rPr>
            </w:pPr>
            <w:r>
              <w:rPr>
                <w:rFonts w:ascii="Times New Roman" w:hAnsi="Times New Roman"/>
                <w:sz w:val="20"/>
                <w:szCs w:val="20"/>
              </w:rPr>
              <w:t>s</w:t>
            </w:r>
            <w:r w:rsidR="00D2794F" w:rsidRPr="00976DD5">
              <w:rPr>
                <w:rFonts w:ascii="Times New Roman" w:hAnsi="Times New Roman"/>
                <w:sz w:val="20"/>
                <w:szCs w:val="20"/>
              </w:rPr>
              <w:t>potted bat</w:t>
            </w:r>
          </w:p>
        </w:tc>
        <w:tc>
          <w:tcPr>
            <w:tcW w:w="913" w:type="pct"/>
            <w:shd w:val="clear" w:color="auto" w:fill="auto"/>
          </w:tcPr>
          <w:p w14:paraId="233B3EAF" w14:textId="76160F18" w:rsidR="00D2794F" w:rsidRPr="00976DD5" w:rsidRDefault="00042A9A" w:rsidP="00D2794F">
            <w:pPr>
              <w:pStyle w:val="TableTextLeft"/>
              <w:rPr>
                <w:rFonts w:ascii="Times New Roman" w:hAnsi="Times New Roman"/>
                <w:sz w:val="20"/>
                <w:szCs w:val="20"/>
              </w:rPr>
            </w:pPr>
            <w:proofErr w:type="spellStart"/>
            <w:r w:rsidRPr="00032403">
              <w:rPr>
                <w:rFonts w:ascii="Times New Roman" w:hAnsi="Times New Roman"/>
                <w:i/>
                <w:sz w:val="20"/>
                <w:szCs w:val="20"/>
              </w:rPr>
              <w:t>Euderma</w:t>
            </w:r>
            <w:proofErr w:type="spellEnd"/>
            <w:r w:rsidRPr="00032403">
              <w:rPr>
                <w:rFonts w:ascii="Times New Roman" w:hAnsi="Times New Roman"/>
                <w:i/>
                <w:sz w:val="20"/>
                <w:szCs w:val="20"/>
              </w:rPr>
              <w:t xml:space="preserve"> maculatum</w:t>
            </w:r>
          </w:p>
        </w:tc>
        <w:tc>
          <w:tcPr>
            <w:tcW w:w="721" w:type="pct"/>
            <w:shd w:val="clear" w:color="auto" w:fill="auto"/>
          </w:tcPr>
          <w:p w14:paraId="32E07E71" w14:textId="42033D37" w:rsidR="00D2794F" w:rsidRPr="00976DD5" w:rsidRDefault="00D2794F" w:rsidP="00D2794F">
            <w:pPr>
              <w:pStyle w:val="TableTextLeft"/>
              <w:rPr>
                <w:rFonts w:ascii="Times New Roman" w:hAnsi="Times New Roman"/>
                <w:sz w:val="20"/>
                <w:szCs w:val="20"/>
              </w:rPr>
            </w:pPr>
            <w:r>
              <w:rPr>
                <w:rFonts w:ascii="Times New Roman" w:hAnsi="Times New Roman"/>
                <w:sz w:val="20"/>
                <w:szCs w:val="20"/>
              </w:rPr>
              <w:t>BLM Sensitive</w:t>
            </w:r>
          </w:p>
        </w:tc>
        <w:tc>
          <w:tcPr>
            <w:tcW w:w="1676" w:type="pct"/>
            <w:shd w:val="clear" w:color="auto" w:fill="auto"/>
          </w:tcPr>
          <w:p w14:paraId="695F77BC" w14:textId="544E1878" w:rsidR="00D2794F" w:rsidRPr="00976DD5" w:rsidRDefault="00D2794F" w:rsidP="00D2794F">
            <w:pPr>
              <w:pStyle w:val="TableTextLeft"/>
              <w:rPr>
                <w:rFonts w:ascii="Times New Roman" w:hAnsi="Times New Roman"/>
                <w:sz w:val="20"/>
                <w:szCs w:val="20"/>
              </w:rPr>
            </w:pPr>
            <w:r w:rsidRPr="00791F87">
              <w:rPr>
                <w:rFonts w:ascii="Times New Roman" w:hAnsi="Times New Roman"/>
                <w:sz w:val="20"/>
                <w:szCs w:val="20"/>
              </w:rPr>
              <w:t>Potential Habitat</w:t>
            </w:r>
            <w:r w:rsidR="00230075">
              <w:rPr>
                <w:rFonts w:ascii="Times New Roman" w:hAnsi="Times New Roman"/>
                <w:sz w:val="20"/>
                <w:szCs w:val="20"/>
              </w:rPr>
              <w:t xml:space="preserve"> but no known </w:t>
            </w:r>
            <w:r w:rsidR="005477EA" w:rsidRPr="008574C5">
              <w:rPr>
                <w:rFonts w:ascii="Times New Roman" w:hAnsi="Times New Roman"/>
                <w:sz w:val="20"/>
                <w:szCs w:val="20"/>
              </w:rPr>
              <w:t>occurrences</w:t>
            </w:r>
          </w:p>
        </w:tc>
        <w:tc>
          <w:tcPr>
            <w:tcW w:w="842" w:type="pct"/>
            <w:shd w:val="clear" w:color="auto" w:fill="auto"/>
          </w:tcPr>
          <w:p w14:paraId="0E815A77" w14:textId="53B3EBCC" w:rsidR="00D2794F" w:rsidRPr="00976DD5" w:rsidRDefault="00D2794F" w:rsidP="00D2794F">
            <w:pPr>
              <w:pStyle w:val="TableTextLeft"/>
              <w:rPr>
                <w:rFonts w:ascii="Times New Roman" w:hAnsi="Times New Roman"/>
                <w:sz w:val="20"/>
                <w:szCs w:val="20"/>
              </w:rPr>
            </w:pPr>
            <w:r w:rsidRPr="004C5572">
              <w:rPr>
                <w:rFonts w:ascii="Times New Roman" w:hAnsi="Times New Roman"/>
                <w:sz w:val="20"/>
                <w:szCs w:val="20"/>
              </w:rPr>
              <w:t>7688, 1551</w:t>
            </w:r>
          </w:p>
        </w:tc>
      </w:tr>
      <w:tr w:rsidR="00D2794F" w14:paraId="34D6A25D" w14:textId="77777777" w:rsidTr="255E3205">
        <w:trPr>
          <w:trHeight w:val="557"/>
        </w:trPr>
        <w:tc>
          <w:tcPr>
            <w:tcW w:w="848" w:type="pct"/>
            <w:shd w:val="clear" w:color="auto" w:fill="auto"/>
          </w:tcPr>
          <w:p w14:paraId="077C5767" w14:textId="522453C5" w:rsidR="00D2794F" w:rsidRPr="00976DD5" w:rsidRDefault="00AE3744" w:rsidP="00D2794F">
            <w:pPr>
              <w:pStyle w:val="TableTextLeft"/>
              <w:rPr>
                <w:rFonts w:ascii="Times New Roman" w:hAnsi="Times New Roman"/>
                <w:sz w:val="20"/>
                <w:szCs w:val="20"/>
              </w:rPr>
            </w:pPr>
            <w:r>
              <w:rPr>
                <w:rFonts w:ascii="Times New Roman" w:hAnsi="Times New Roman"/>
                <w:sz w:val="20"/>
                <w:szCs w:val="20"/>
              </w:rPr>
              <w:t>b</w:t>
            </w:r>
            <w:r w:rsidR="00D2794F" w:rsidRPr="00976DD5">
              <w:rPr>
                <w:rFonts w:ascii="Times New Roman" w:hAnsi="Times New Roman"/>
                <w:sz w:val="20"/>
                <w:szCs w:val="20"/>
              </w:rPr>
              <w:t xml:space="preserve">urrowing </w:t>
            </w:r>
            <w:r>
              <w:rPr>
                <w:rFonts w:ascii="Times New Roman" w:hAnsi="Times New Roman"/>
                <w:sz w:val="20"/>
                <w:szCs w:val="20"/>
              </w:rPr>
              <w:t>o</w:t>
            </w:r>
            <w:r w:rsidR="00D2794F" w:rsidRPr="00976DD5">
              <w:rPr>
                <w:rFonts w:ascii="Times New Roman" w:hAnsi="Times New Roman"/>
                <w:sz w:val="20"/>
                <w:szCs w:val="20"/>
              </w:rPr>
              <w:t>wl</w:t>
            </w:r>
          </w:p>
        </w:tc>
        <w:tc>
          <w:tcPr>
            <w:tcW w:w="913" w:type="pct"/>
            <w:shd w:val="clear" w:color="auto" w:fill="auto"/>
          </w:tcPr>
          <w:p w14:paraId="4831BDD2" w14:textId="1F489C4A" w:rsidR="00D2794F" w:rsidRPr="00976DD5" w:rsidRDefault="002D7144" w:rsidP="00D2794F">
            <w:pPr>
              <w:pStyle w:val="TableTextLeft"/>
              <w:rPr>
                <w:rFonts w:ascii="Times New Roman" w:hAnsi="Times New Roman"/>
                <w:sz w:val="20"/>
                <w:szCs w:val="20"/>
              </w:rPr>
            </w:pPr>
            <w:r w:rsidRPr="00032403">
              <w:rPr>
                <w:rFonts w:ascii="Times New Roman" w:hAnsi="Times New Roman"/>
                <w:i/>
                <w:sz w:val="20"/>
                <w:szCs w:val="20"/>
              </w:rPr>
              <w:t xml:space="preserve">Athene </w:t>
            </w:r>
            <w:proofErr w:type="spellStart"/>
            <w:r w:rsidRPr="00032403">
              <w:rPr>
                <w:rFonts w:ascii="Times New Roman" w:hAnsi="Times New Roman"/>
                <w:i/>
                <w:sz w:val="20"/>
                <w:szCs w:val="20"/>
              </w:rPr>
              <w:t>cunicularia</w:t>
            </w:r>
            <w:proofErr w:type="spellEnd"/>
          </w:p>
        </w:tc>
        <w:tc>
          <w:tcPr>
            <w:tcW w:w="721" w:type="pct"/>
            <w:shd w:val="clear" w:color="auto" w:fill="auto"/>
          </w:tcPr>
          <w:p w14:paraId="374BEBFE" w14:textId="244053EE" w:rsidR="00D2794F" w:rsidRPr="00976DD5" w:rsidRDefault="006E3C02" w:rsidP="00D2794F">
            <w:pPr>
              <w:pStyle w:val="TableTextLeft"/>
              <w:rPr>
                <w:rFonts w:ascii="Times New Roman" w:hAnsi="Times New Roman"/>
                <w:sz w:val="20"/>
                <w:szCs w:val="20"/>
              </w:rPr>
            </w:pPr>
            <w:r w:rsidRPr="008574C5">
              <w:rPr>
                <w:rFonts w:ascii="Times New Roman" w:hAnsi="Times New Roman"/>
                <w:sz w:val="20"/>
                <w:szCs w:val="20"/>
              </w:rPr>
              <w:t>BLM Sensitive</w:t>
            </w:r>
          </w:p>
        </w:tc>
        <w:tc>
          <w:tcPr>
            <w:tcW w:w="1676" w:type="pct"/>
            <w:shd w:val="clear" w:color="auto" w:fill="auto"/>
          </w:tcPr>
          <w:p w14:paraId="76A94CC8" w14:textId="0911E7CC" w:rsidR="00D2794F" w:rsidRPr="00976DD5" w:rsidRDefault="00D2794F" w:rsidP="00D2794F">
            <w:pPr>
              <w:pStyle w:val="TableTextLeft"/>
              <w:rPr>
                <w:rFonts w:ascii="Times New Roman" w:hAnsi="Times New Roman"/>
                <w:sz w:val="20"/>
                <w:szCs w:val="20"/>
              </w:rPr>
            </w:pPr>
            <w:r w:rsidRPr="00791F87">
              <w:rPr>
                <w:rFonts w:ascii="Times New Roman" w:hAnsi="Times New Roman"/>
                <w:sz w:val="20"/>
                <w:szCs w:val="20"/>
              </w:rPr>
              <w:t xml:space="preserve">Potential </w:t>
            </w:r>
            <w:r w:rsidR="00134E97">
              <w:rPr>
                <w:rFonts w:ascii="Times New Roman" w:hAnsi="Times New Roman"/>
                <w:sz w:val="20"/>
                <w:szCs w:val="20"/>
              </w:rPr>
              <w:t>h</w:t>
            </w:r>
            <w:r w:rsidRPr="00791F87">
              <w:rPr>
                <w:rFonts w:ascii="Times New Roman" w:hAnsi="Times New Roman"/>
                <w:sz w:val="20"/>
                <w:szCs w:val="20"/>
              </w:rPr>
              <w:t>abitat</w:t>
            </w:r>
            <w:bookmarkStart w:id="118" w:name="_Hlk37661610"/>
            <w:r w:rsidR="003F67AE">
              <w:rPr>
                <w:rFonts w:ascii="Times New Roman" w:hAnsi="Times New Roman"/>
                <w:sz w:val="20"/>
                <w:szCs w:val="20"/>
              </w:rPr>
              <w:t xml:space="preserve">.  </w:t>
            </w:r>
            <w:r w:rsidR="00134E97" w:rsidRPr="00032403">
              <w:rPr>
                <w:rFonts w:ascii="Times New Roman" w:hAnsi="Times New Roman"/>
                <w:sz w:val="20"/>
                <w:szCs w:val="20"/>
              </w:rPr>
              <w:t>Primary and secondary breeding habitat is widely distributed throughout the state of Utah. This species prefers open areas within deserts, grasslands, and sagebrush steppe communities. This small owl nests and roosts in underground burrows in open and short-grass habitats. Habitat consists of well-drained, level to gently sloping areas characterized by sparse vegetation and bare ground such as moderately or heavily grazed pasture.</w:t>
            </w:r>
            <w:bookmarkEnd w:id="118"/>
          </w:p>
        </w:tc>
        <w:tc>
          <w:tcPr>
            <w:tcW w:w="842" w:type="pct"/>
            <w:shd w:val="clear" w:color="auto" w:fill="auto"/>
          </w:tcPr>
          <w:p w14:paraId="57F388DE" w14:textId="119944BD" w:rsidR="00D2794F" w:rsidRPr="00976DD5" w:rsidRDefault="00ED50F0" w:rsidP="00D2794F">
            <w:pPr>
              <w:pStyle w:val="TableTextLeft"/>
              <w:rPr>
                <w:rFonts w:ascii="Times New Roman" w:hAnsi="Times New Roman"/>
                <w:sz w:val="20"/>
                <w:szCs w:val="20"/>
              </w:rPr>
            </w:pPr>
            <w:r w:rsidRPr="00976DD5">
              <w:rPr>
                <w:rFonts w:ascii="Times New Roman" w:hAnsi="Times New Roman"/>
                <w:sz w:val="20"/>
                <w:szCs w:val="20"/>
              </w:rPr>
              <w:t>7688, 1551</w:t>
            </w:r>
          </w:p>
        </w:tc>
      </w:tr>
      <w:tr w:rsidR="002D682D" w14:paraId="7726D3DA" w14:textId="77777777" w:rsidTr="255E3205">
        <w:trPr>
          <w:trHeight w:val="557"/>
        </w:trPr>
        <w:tc>
          <w:tcPr>
            <w:tcW w:w="848" w:type="pct"/>
            <w:shd w:val="clear" w:color="auto" w:fill="auto"/>
          </w:tcPr>
          <w:p w14:paraId="291F8AF9" w14:textId="78223CA6" w:rsidR="002D682D" w:rsidRPr="00976DD5" w:rsidRDefault="00BB10C6">
            <w:pPr>
              <w:pStyle w:val="TableTextLeft"/>
              <w:rPr>
                <w:rFonts w:ascii="Times New Roman" w:hAnsi="Times New Roman"/>
                <w:sz w:val="20"/>
                <w:szCs w:val="20"/>
              </w:rPr>
            </w:pPr>
            <w:r>
              <w:rPr>
                <w:rFonts w:ascii="Times New Roman" w:hAnsi="Times New Roman"/>
                <w:sz w:val="20"/>
                <w:szCs w:val="20"/>
              </w:rPr>
              <w:t>g</w:t>
            </w:r>
            <w:r w:rsidR="00CE5068" w:rsidRPr="00976DD5">
              <w:rPr>
                <w:rFonts w:ascii="Times New Roman" w:hAnsi="Times New Roman"/>
                <w:sz w:val="20"/>
                <w:szCs w:val="20"/>
              </w:rPr>
              <w:t xml:space="preserve">olden </w:t>
            </w:r>
            <w:r w:rsidR="00AE3744">
              <w:rPr>
                <w:rFonts w:ascii="Times New Roman" w:hAnsi="Times New Roman"/>
                <w:sz w:val="20"/>
                <w:szCs w:val="20"/>
              </w:rPr>
              <w:t>e</w:t>
            </w:r>
            <w:r w:rsidR="00CE5068" w:rsidRPr="00976DD5">
              <w:rPr>
                <w:rFonts w:ascii="Times New Roman" w:hAnsi="Times New Roman"/>
                <w:sz w:val="20"/>
                <w:szCs w:val="20"/>
              </w:rPr>
              <w:t>agle</w:t>
            </w:r>
          </w:p>
        </w:tc>
        <w:tc>
          <w:tcPr>
            <w:tcW w:w="913" w:type="pct"/>
            <w:shd w:val="clear" w:color="auto" w:fill="auto"/>
          </w:tcPr>
          <w:p w14:paraId="3A234D59" w14:textId="0A3EC959" w:rsidR="002D682D" w:rsidRPr="00976DD5" w:rsidRDefault="00DA3EF2">
            <w:pPr>
              <w:pStyle w:val="TableTextLeft"/>
              <w:rPr>
                <w:rFonts w:ascii="Times New Roman" w:hAnsi="Times New Roman"/>
                <w:sz w:val="20"/>
                <w:szCs w:val="20"/>
              </w:rPr>
            </w:pPr>
            <w:r w:rsidRPr="00032403">
              <w:rPr>
                <w:rFonts w:ascii="Times New Roman" w:hAnsi="Times New Roman"/>
                <w:i/>
                <w:sz w:val="20"/>
                <w:szCs w:val="20"/>
              </w:rPr>
              <w:t xml:space="preserve">Aquila </w:t>
            </w:r>
            <w:proofErr w:type="spellStart"/>
            <w:r w:rsidRPr="00032403">
              <w:rPr>
                <w:rFonts w:ascii="Times New Roman" w:hAnsi="Times New Roman"/>
                <w:i/>
                <w:sz w:val="20"/>
                <w:szCs w:val="20"/>
              </w:rPr>
              <w:t>chrysaetos</w:t>
            </w:r>
            <w:proofErr w:type="spellEnd"/>
          </w:p>
        </w:tc>
        <w:tc>
          <w:tcPr>
            <w:tcW w:w="721" w:type="pct"/>
            <w:shd w:val="clear" w:color="auto" w:fill="auto"/>
          </w:tcPr>
          <w:p w14:paraId="775B0F78" w14:textId="5518A00F" w:rsidR="002D682D" w:rsidRPr="00976DD5" w:rsidRDefault="006E3C02">
            <w:pPr>
              <w:pStyle w:val="TableTextLeft"/>
              <w:rPr>
                <w:rFonts w:ascii="Times New Roman" w:hAnsi="Times New Roman"/>
                <w:sz w:val="20"/>
                <w:szCs w:val="20"/>
              </w:rPr>
            </w:pPr>
            <w:r w:rsidRPr="008574C5">
              <w:rPr>
                <w:rFonts w:ascii="Times New Roman" w:hAnsi="Times New Roman"/>
                <w:sz w:val="20"/>
                <w:szCs w:val="20"/>
              </w:rPr>
              <w:t>BLM Sensitive</w:t>
            </w:r>
          </w:p>
        </w:tc>
        <w:tc>
          <w:tcPr>
            <w:tcW w:w="1676" w:type="pct"/>
            <w:shd w:val="clear" w:color="auto" w:fill="auto"/>
          </w:tcPr>
          <w:p w14:paraId="7B6D5B03" w14:textId="4AE7B441" w:rsidR="002D682D" w:rsidRPr="00976DD5" w:rsidRDefault="00CE5068">
            <w:pPr>
              <w:pStyle w:val="TableTextLeft"/>
              <w:rPr>
                <w:rFonts w:ascii="Times New Roman" w:hAnsi="Times New Roman"/>
                <w:sz w:val="20"/>
                <w:szCs w:val="20"/>
              </w:rPr>
            </w:pPr>
            <w:r w:rsidRPr="255E3205">
              <w:rPr>
                <w:rFonts w:ascii="Times New Roman" w:hAnsi="Times New Roman"/>
                <w:sz w:val="20"/>
                <w:szCs w:val="20"/>
              </w:rPr>
              <w:t xml:space="preserve">Suitable habitat occurs within both  parcels and </w:t>
            </w:r>
            <w:r w:rsidR="009649AE" w:rsidRPr="255E3205">
              <w:rPr>
                <w:rFonts w:ascii="Times New Roman" w:hAnsi="Times New Roman"/>
                <w:sz w:val="20"/>
                <w:szCs w:val="20"/>
              </w:rPr>
              <w:t xml:space="preserve">the </w:t>
            </w:r>
            <w:r w:rsidRPr="255E3205">
              <w:rPr>
                <w:rFonts w:ascii="Times New Roman" w:hAnsi="Times New Roman"/>
                <w:sz w:val="20"/>
                <w:szCs w:val="20"/>
              </w:rPr>
              <w:t xml:space="preserve">species is widely distributed statewide. </w:t>
            </w:r>
            <w:r w:rsidR="009649AE" w:rsidRPr="255E3205">
              <w:rPr>
                <w:rFonts w:ascii="Times New Roman" w:hAnsi="Times New Roman"/>
                <w:sz w:val="20"/>
                <w:szCs w:val="20"/>
              </w:rPr>
              <w:t xml:space="preserve">A known nest </w:t>
            </w:r>
            <w:r w:rsidRPr="255E3205">
              <w:rPr>
                <w:rFonts w:ascii="Times New Roman" w:hAnsi="Times New Roman"/>
                <w:sz w:val="20"/>
                <w:szCs w:val="20"/>
              </w:rPr>
              <w:t xml:space="preserve"> occur</w:t>
            </w:r>
            <w:r w:rsidR="00B67CB9" w:rsidRPr="255E3205">
              <w:rPr>
                <w:rFonts w:ascii="Times New Roman" w:hAnsi="Times New Roman"/>
                <w:sz w:val="20"/>
                <w:szCs w:val="20"/>
              </w:rPr>
              <w:t>s</w:t>
            </w:r>
            <w:r w:rsidRPr="255E3205">
              <w:rPr>
                <w:rFonts w:ascii="Times New Roman" w:hAnsi="Times New Roman"/>
                <w:sz w:val="20"/>
                <w:szCs w:val="20"/>
              </w:rPr>
              <w:t xml:space="preserve"> within parcel</w:t>
            </w:r>
            <w:r w:rsidR="00B67CB9" w:rsidRPr="255E3205">
              <w:rPr>
                <w:rFonts w:ascii="Times New Roman" w:hAnsi="Times New Roman"/>
                <w:sz w:val="20"/>
                <w:szCs w:val="20"/>
              </w:rPr>
              <w:t xml:space="preserve"> </w:t>
            </w:r>
            <w:r w:rsidR="1B6F84A0" w:rsidRPr="255E3205">
              <w:rPr>
                <w:rFonts w:ascii="Times New Roman" w:hAnsi="Times New Roman"/>
                <w:sz w:val="20"/>
                <w:szCs w:val="20"/>
              </w:rPr>
              <w:t>768</w:t>
            </w:r>
            <w:r w:rsidR="1B6F84A0" w:rsidRPr="006210EE">
              <w:rPr>
                <w:rFonts w:ascii="Times New Roman" w:hAnsi="Times New Roman"/>
                <w:sz w:val="20"/>
                <w:szCs w:val="20"/>
              </w:rPr>
              <w:t>8</w:t>
            </w:r>
            <w:r w:rsidRPr="006210EE">
              <w:rPr>
                <w:rFonts w:ascii="Times New Roman" w:hAnsi="Times New Roman"/>
                <w:sz w:val="20"/>
                <w:szCs w:val="20"/>
              </w:rPr>
              <w:t>.</w:t>
            </w:r>
          </w:p>
        </w:tc>
        <w:tc>
          <w:tcPr>
            <w:tcW w:w="842" w:type="pct"/>
            <w:shd w:val="clear" w:color="auto" w:fill="auto"/>
          </w:tcPr>
          <w:p w14:paraId="2D497C00" w14:textId="656337BE" w:rsidR="002D682D" w:rsidRPr="00976DD5" w:rsidRDefault="00990B06">
            <w:pPr>
              <w:pStyle w:val="TableTextLeft"/>
              <w:rPr>
                <w:rFonts w:ascii="Times New Roman" w:hAnsi="Times New Roman"/>
                <w:sz w:val="20"/>
                <w:szCs w:val="20"/>
              </w:rPr>
            </w:pPr>
            <w:r w:rsidRPr="00976DD5">
              <w:rPr>
                <w:rFonts w:ascii="Times New Roman" w:hAnsi="Times New Roman"/>
                <w:sz w:val="20"/>
                <w:szCs w:val="20"/>
              </w:rPr>
              <w:t>7688, 1551</w:t>
            </w:r>
          </w:p>
        </w:tc>
      </w:tr>
      <w:tr w:rsidR="002D682D" w:rsidRPr="007005D7" w14:paraId="4FE193C8" w14:textId="77777777" w:rsidTr="255E3205">
        <w:trPr>
          <w:trHeight w:val="975"/>
        </w:trPr>
        <w:tc>
          <w:tcPr>
            <w:tcW w:w="848" w:type="pct"/>
            <w:shd w:val="clear" w:color="auto" w:fill="auto"/>
          </w:tcPr>
          <w:p w14:paraId="279A59D1" w14:textId="77C15B7F" w:rsidR="002D682D" w:rsidRPr="00032403" w:rsidRDefault="006E3C02" w:rsidP="00FA7835">
            <w:pPr>
              <w:pStyle w:val="TableTextLeft"/>
              <w:keepLines/>
              <w:rPr>
                <w:rFonts w:ascii="Times New Roman" w:hAnsi="Times New Roman"/>
                <w:sz w:val="20"/>
                <w:szCs w:val="20"/>
              </w:rPr>
            </w:pPr>
            <w:r w:rsidRPr="008574C5">
              <w:rPr>
                <w:rFonts w:ascii="Times New Roman" w:hAnsi="Times New Roman"/>
                <w:sz w:val="20"/>
                <w:szCs w:val="20"/>
              </w:rPr>
              <w:t>Monarch butterfly</w:t>
            </w:r>
          </w:p>
        </w:tc>
        <w:tc>
          <w:tcPr>
            <w:tcW w:w="913" w:type="pct"/>
            <w:shd w:val="clear" w:color="auto" w:fill="auto"/>
          </w:tcPr>
          <w:p w14:paraId="67747812" w14:textId="533297B5" w:rsidR="002D682D" w:rsidRPr="00032403" w:rsidRDefault="00EB383C" w:rsidP="00FA7835">
            <w:pPr>
              <w:pStyle w:val="TableTextLeft"/>
              <w:keepLines/>
              <w:rPr>
                <w:rFonts w:ascii="Times New Roman" w:hAnsi="Times New Roman"/>
                <w:i/>
                <w:sz w:val="20"/>
                <w:szCs w:val="20"/>
              </w:rPr>
            </w:pPr>
            <w:r w:rsidRPr="00976DD5">
              <w:rPr>
                <w:rFonts w:ascii="Times New Roman" w:hAnsi="Times New Roman"/>
                <w:i/>
                <w:sz w:val="20"/>
                <w:szCs w:val="20"/>
              </w:rPr>
              <w:t>Danaus Plexippus</w:t>
            </w:r>
          </w:p>
        </w:tc>
        <w:tc>
          <w:tcPr>
            <w:tcW w:w="721" w:type="pct"/>
            <w:shd w:val="clear" w:color="auto" w:fill="auto"/>
          </w:tcPr>
          <w:p w14:paraId="7A2F3FE0" w14:textId="386235FE" w:rsidR="002D682D" w:rsidRPr="00032403" w:rsidRDefault="006E3C02" w:rsidP="00FA7835">
            <w:pPr>
              <w:pStyle w:val="TableTextLeft"/>
              <w:keepLines/>
              <w:rPr>
                <w:rFonts w:ascii="Times New Roman" w:hAnsi="Times New Roman"/>
                <w:sz w:val="20"/>
                <w:szCs w:val="20"/>
              </w:rPr>
            </w:pPr>
            <w:r w:rsidRPr="00976DD5">
              <w:rPr>
                <w:rFonts w:ascii="Times New Roman" w:hAnsi="Times New Roman"/>
                <w:sz w:val="20"/>
                <w:szCs w:val="20"/>
              </w:rPr>
              <w:t>BLM Sensitive</w:t>
            </w:r>
          </w:p>
        </w:tc>
        <w:tc>
          <w:tcPr>
            <w:tcW w:w="1676" w:type="pct"/>
            <w:shd w:val="clear" w:color="auto" w:fill="auto"/>
          </w:tcPr>
          <w:p w14:paraId="01B25F74" w14:textId="43388242" w:rsidR="002D682D" w:rsidRPr="00032403" w:rsidRDefault="00FE048B" w:rsidP="00FA7835">
            <w:pPr>
              <w:pStyle w:val="TableTextLeft"/>
              <w:keepLines/>
              <w:rPr>
                <w:rFonts w:ascii="Times New Roman" w:hAnsi="Times New Roman"/>
                <w:sz w:val="20"/>
                <w:szCs w:val="20"/>
              </w:rPr>
            </w:pPr>
            <w:r w:rsidRPr="00976DD5">
              <w:rPr>
                <w:rFonts w:ascii="Times New Roman" w:hAnsi="Times New Roman"/>
                <w:sz w:val="20"/>
                <w:szCs w:val="20"/>
              </w:rPr>
              <w:t>Isolated breeding</w:t>
            </w:r>
            <w:r w:rsidR="00E43654" w:rsidRPr="00976DD5">
              <w:rPr>
                <w:rFonts w:ascii="Times New Roman" w:hAnsi="Times New Roman"/>
                <w:sz w:val="20"/>
                <w:szCs w:val="20"/>
              </w:rPr>
              <w:t xml:space="preserve"> </w:t>
            </w:r>
            <w:r w:rsidR="003F44D1">
              <w:rPr>
                <w:rFonts w:ascii="Times New Roman" w:hAnsi="Times New Roman"/>
                <w:sz w:val="20"/>
                <w:szCs w:val="20"/>
              </w:rPr>
              <w:t xml:space="preserve">or </w:t>
            </w:r>
            <w:proofErr w:type="spellStart"/>
            <w:r w:rsidR="003F44D1">
              <w:rPr>
                <w:rFonts w:ascii="Times New Roman" w:hAnsi="Times New Roman"/>
                <w:sz w:val="20"/>
                <w:szCs w:val="20"/>
              </w:rPr>
              <w:t>nectaring</w:t>
            </w:r>
            <w:proofErr w:type="spellEnd"/>
            <w:r w:rsidR="003F44D1">
              <w:rPr>
                <w:rFonts w:ascii="Times New Roman" w:hAnsi="Times New Roman"/>
                <w:sz w:val="20"/>
                <w:szCs w:val="20"/>
              </w:rPr>
              <w:t xml:space="preserve"> </w:t>
            </w:r>
            <w:r w:rsidR="00E43654" w:rsidRPr="00976DD5">
              <w:rPr>
                <w:rFonts w:ascii="Times New Roman" w:hAnsi="Times New Roman"/>
                <w:sz w:val="20"/>
                <w:szCs w:val="20"/>
              </w:rPr>
              <w:t xml:space="preserve">habitat may be found </w:t>
            </w:r>
            <w:r w:rsidRPr="00976DD5">
              <w:rPr>
                <w:rFonts w:ascii="Times New Roman" w:hAnsi="Times New Roman"/>
                <w:sz w:val="20"/>
                <w:szCs w:val="20"/>
              </w:rPr>
              <w:t xml:space="preserve">within both parcels. However, </w:t>
            </w:r>
            <w:r w:rsidR="00C15A68">
              <w:rPr>
                <w:rFonts w:ascii="Times New Roman" w:hAnsi="Times New Roman"/>
                <w:sz w:val="20"/>
                <w:szCs w:val="20"/>
              </w:rPr>
              <w:t xml:space="preserve">the habitat is modeled as low suitability for </w:t>
            </w:r>
            <w:r w:rsidR="002843B3">
              <w:rPr>
                <w:rFonts w:ascii="Times New Roman" w:hAnsi="Times New Roman"/>
                <w:sz w:val="20"/>
                <w:szCs w:val="20"/>
              </w:rPr>
              <w:t>both breeding and adults</w:t>
            </w:r>
            <w:sdt>
              <w:sdtPr>
                <w:rPr>
                  <w:rFonts w:ascii="Times New Roman" w:hAnsi="Times New Roman"/>
                  <w:sz w:val="20"/>
                  <w:szCs w:val="20"/>
                </w:rPr>
                <w:id w:val="410820904"/>
                <w:citation/>
              </w:sdtPr>
              <w:sdtContent>
                <w:r w:rsidR="002843B3">
                  <w:rPr>
                    <w:rFonts w:ascii="Times New Roman" w:hAnsi="Times New Roman"/>
                    <w:sz w:val="20"/>
                    <w:szCs w:val="20"/>
                  </w:rPr>
                  <w:fldChar w:fldCharType="begin"/>
                </w:r>
                <w:r w:rsidR="002843B3">
                  <w:rPr>
                    <w:rFonts w:ascii="Times New Roman" w:hAnsi="Times New Roman"/>
                    <w:sz w:val="20"/>
                    <w:szCs w:val="20"/>
                  </w:rPr>
                  <w:instrText xml:space="preserve"> CITATION Dil19 \l 1033 </w:instrText>
                </w:r>
                <w:r w:rsidR="002843B3">
                  <w:rPr>
                    <w:rFonts w:ascii="Times New Roman" w:hAnsi="Times New Roman"/>
                    <w:sz w:val="20"/>
                    <w:szCs w:val="20"/>
                  </w:rPr>
                  <w:fldChar w:fldCharType="separate"/>
                </w:r>
                <w:r w:rsidR="0093463A">
                  <w:rPr>
                    <w:rFonts w:ascii="Times New Roman" w:hAnsi="Times New Roman"/>
                    <w:noProof/>
                    <w:sz w:val="20"/>
                    <w:szCs w:val="20"/>
                  </w:rPr>
                  <w:t xml:space="preserve"> </w:t>
                </w:r>
                <w:r w:rsidR="0093463A" w:rsidRPr="0093463A">
                  <w:rPr>
                    <w:rFonts w:ascii="Times New Roman" w:hAnsi="Times New Roman"/>
                    <w:noProof/>
                    <w:sz w:val="20"/>
                    <w:szCs w:val="20"/>
                  </w:rPr>
                  <w:t>(Dilts, et al., 2019)</w:t>
                </w:r>
                <w:r w:rsidR="002843B3">
                  <w:rPr>
                    <w:rFonts w:ascii="Times New Roman" w:hAnsi="Times New Roman"/>
                    <w:sz w:val="20"/>
                    <w:szCs w:val="20"/>
                  </w:rPr>
                  <w:fldChar w:fldCharType="end"/>
                </w:r>
              </w:sdtContent>
            </w:sdt>
          </w:p>
        </w:tc>
        <w:tc>
          <w:tcPr>
            <w:tcW w:w="842" w:type="pct"/>
            <w:shd w:val="clear" w:color="auto" w:fill="auto"/>
          </w:tcPr>
          <w:p w14:paraId="330487FC" w14:textId="3E0EF55E" w:rsidR="002D682D" w:rsidRPr="00032403" w:rsidRDefault="006E3C02" w:rsidP="00FA7835">
            <w:pPr>
              <w:pStyle w:val="TableTextLeft"/>
              <w:keepLines/>
              <w:rPr>
                <w:rFonts w:ascii="Times New Roman" w:hAnsi="Times New Roman"/>
                <w:sz w:val="20"/>
                <w:szCs w:val="20"/>
              </w:rPr>
            </w:pPr>
            <w:r w:rsidRPr="00976DD5">
              <w:rPr>
                <w:rFonts w:ascii="Times New Roman" w:hAnsi="Times New Roman"/>
                <w:sz w:val="20"/>
                <w:szCs w:val="20"/>
              </w:rPr>
              <w:t>7688, 1551</w:t>
            </w:r>
          </w:p>
        </w:tc>
      </w:tr>
    </w:tbl>
    <w:p w14:paraId="147EA533" w14:textId="77777777" w:rsidR="002D682D" w:rsidRPr="007005D7" w:rsidRDefault="002D682D" w:rsidP="002D682D">
      <w:pPr>
        <w:pStyle w:val="Default"/>
        <w:rPr>
          <w:b/>
          <w:sz w:val="20"/>
          <w:szCs w:val="20"/>
        </w:rPr>
      </w:pPr>
    </w:p>
    <w:p w14:paraId="599449C0" w14:textId="3BC9E88C" w:rsidR="002D682D" w:rsidRPr="007005D7" w:rsidRDefault="002D682D" w:rsidP="002D682D">
      <w:pPr>
        <w:pStyle w:val="BodyText"/>
      </w:pPr>
      <w:r>
        <w:lastRenderedPageBreak/>
        <w:t xml:space="preserve">The following lease notices apply to nominated lease parcels to mitigate potential impacts to sensitive terrestrial animal species. </w:t>
      </w:r>
    </w:p>
    <w:p w14:paraId="70A6BE90" w14:textId="1C8B55CE" w:rsidR="002D682D" w:rsidRPr="00720163" w:rsidRDefault="002D682D" w:rsidP="002D682D">
      <w:pPr>
        <w:pStyle w:val="BodyText"/>
      </w:pPr>
      <w:r w:rsidRPr="68B599CE">
        <w:rPr>
          <w:u w:val="single"/>
        </w:rPr>
        <w:t>Lease Notices:</w:t>
      </w:r>
      <w:r>
        <w:t> </w:t>
      </w:r>
    </w:p>
    <w:p w14:paraId="3C2C5380" w14:textId="064A976E" w:rsidR="00B02042" w:rsidRDefault="002D0735" w:rsidP="00482ECF">
      <w:pPr>
        <w:pStyle w:val="BodyText"/>
      </w:pPr>
      <w:r w:rsidRPr="002D0735">
        <w:t>UT-LN-25</w:t>
      </w:r>
      <w:r w:rsidR="003A0408">
        <w:t>: White-tailed and Gunnison prairie dog: P</w:t>
      </w:r>
      <w:r w:rsidR="003A0408" w:rsidRPr="0034353C">
        <w:t>arcel 7688, 1551</w:t>
      </w:r>
    </w:p>
    <w:p w14:paraId="09D160B9" w14:textId="33CB8522" w:rsidR="002D0735" w:rsidRPr="00B03A87" w:rsidRDefault="002D0735" w:rsidP="00EC75DF">
      <w:pPr>
        <w:pStyle w:val="BodyText"/>
      </w:pPr>
      <w:r w:rsidRPr="002D0735">
        <w:t>UT-LN-49</w:t>
      </w:r>
      <w:r w:rsidR="001E4BFF">
        <w:t xml:space="preserve"> Utah Sensitive Species</w:t>
      </w:r>
      <w:r w:rsidR="00663BB2">
        <w:t>: P</w:t>
      </w:r>
      <w:r w:rsidRPr="0034353C">
        <w:t>arcel 7688</w:t>
      </w:r>
      <w:r w:rsidR="00CD321F" w:rsidRPr="0034353C">
        <w:t>, 1551</w:t>
      </w:r>
    </w:p>
    <w:p w14:paraId="12D949B5" w14:textId="3BA9CE2A" w:rsidR="00B02042" w:rsidRPr="00B02042" w:rsidRDefault="00B02042" w:rsidP="00EC75DF">
      <w:pPr>
        <w:pStyle w:val="BodyText"/>
        <w:rPr>
          <w:iCs/>
        </w:rPr>
      </w:pPr>
      <w:r>
        <w:rPr>
          <w:iCs/>
        </w:rPr>
        <w:t xml:space="preserve">UT- LN-156 Pollinators and Pollinator Habitat: </w:t>
      </w:r>
      <w:r>
        <w:t>P</w:t>
      </w:r>
      <w:r w:rsidRPr="0034353C">
        <w:t>arcel 7688, 1551</w:t>
      </w:r>
    </w:p>
    <w:p w14:paraId="47E992A6" w14:textId="77777777" w:rsidR="002D682D" w:rsidRPr="0034353C" w:rsidRDefault="002D682D" w:rsidP="00BD4A33">
      <w:pPr>
        <w:pStyle w:val="BodyText"/>
        <w:rPr>
          <w:b/>
          <w:i/>
        </w:rPr>
      </w:pPr>
      <w:r w:rsidRPr="0034353C">
        <w:rPr>
          <w:b/>
          <w:i/>
        </w:rPr>
        <w:t>Plant Species</w:t>
      </w:r>
    </w:p>
    <w:p w14:paraId="48926100" w14:textId="55608CB8" w:rsidR="00DD561D" w:rsidRPr="002C71DF" w:rsidRDefault="00DD561D" w:rsidP="002C71DF">
      <w:pPr>
        <w:pStyle w:val="BodyText"/>
        <w:rPr>
          <w:b/>
          <w:bCs/>
          <w:i/>
          <w:iCs/>
          <w:sz w:val="24"/>
          <w:szCs w:val="24"/>
        </w:rPr>
      </w:pPr>
      <w:r>
        <w:t xml:space="preserve">Within the nominated lease parcels, there are known populations of one BLM sensitive plant species, </w:t>
      </w:r>
      <w:r w:rsidR="00502BFE">
        <w:t>Horseshoe milkvetch</w:t>
      </w:r>
      <w:r>
        <w:t xml:space="preserve">. Based upon desktop review, </w:t>
      </w:r>
      <w:r w:rsidR="00AB53AE">
        <w:t>two</w:t>
      </w:r>
      <w:r>
        <w:t xml:space="preserve"> other sensitive species </w:t>
      </w:r>
      <w:r w:rsidR="00423E42">
        <w:t>were</w:t>
      </w:r>
      <w:r>
        <w:t xml:space="preserve"> determined to have potential habitat within the nominated lease parcels, see </w:t>
      </w:r>
      <w:r>
        <w:fldChar w:fldCharType="begin"/>
      </w:r>
      <w:r>
        <w:instrText xml:space="preserve"> REF _Ref158037937 \h </w:instrText>
      </w:r>
      <w:r>
        <w:fldChar w:fldCharType="separate"/>
      </w:r>
      <w:r>
        <w:t>Tab</w:t>
      </w:r>
      <w:bookmarkStart w:id="119" w:name="_Hlt164341832"/>
      <w:bookmarkStart w:id="120" w:name="_Hlt164341833"/>
      <w:r>
        <w:t>l</w:t>
      </w:r>
      <w:bookmarkEnd w:id="119"/>
      <w:bookmarkEnd w:id="120"/>
      <w:r>
        <w:t xml:space="preserve">e </w:t>
      </w:r>
      <w:r>
        <w:rPr>
          <w:noProof/>
        </w:rPr>
        <w:t>6.</w:t>
      </w:r>
      <w:r>
        <w:t xml:space="preserve"> </w:t>
      </w:r>
      <w:r w:rsidRPr="00BC1543">
        <w:t>Sensitive Plant Species with Potential to Occur within Nominated Lease Parcels</w:t>
      </w:r>
      <w:r>
        <w:fldChar w:fldCharType="end"/>
      </w:r>
      <w:r>
        <w:t>.</w:t>
      </w:r>
      <w:r w:rsidR="00AD75B9">
        <w:t xml:space="preserve"> The desktop review consisted of </w:t>
      </w:r>
      <w:r w:rsidR="000B65A3">
        <w:t xml:space="preserve">intersecting </w:t>
      </w:r>
      <w:r w:rsidR="00565750">
        <w:t xml:space="preserve">the General Soil Map </w:t>
      </w:r>
      <w:r w:rsidR="00702562">
        <w:t>of the United States</w:t>
      </w:r>
      <w:r w:rsidR="00BA5969">
        <w:t xml:space="preserve"> </w:t>
      </w:r>
      <w:r w:rsidR="00702562">
        <w:t>(</w:t>
      </w:r>
      <w:r w:rsidR="00AD75B9">
        <w:t>STATSGO2</w:t>
      </w:r>
      <w:r w:rsidR="00702562">
        <w:t>)</w:t>
      </w:r>
      <w:r w:rsidR="00AD75B9">
        <w:t xml:space="preserve"> soil units</w:t>
      </w:r>
      <w:sdt>
        <w:sdtPr>
          <w:id w:val="1215777697"/>
          <w:citation/>
        </w:sdtPr>
        <w:sdtContent>
          <w:r w:rsidR="00AD75B9">
            <w:fldChar w:fldCharType="begin"/>
          </w:r>
          <w:r w:rsidR="00AD75B9">
            <w:instrText xml:space="preserve">CITATION NRC \l 1033 </w:instrText>
          </w:r>
          <w:r w:rsidR="00AD75B9">
            <w:fldChar w:fldCharType="separate"/>
          </w:r>
          <w:r w:rsidR="0093463A">
            <w:rPr>
              <w:noProof/>
            </w:rPr>
            <w:t xml:space="preserve"> (NRCS, 2014)</w:t>
          </w:r>
          <w:r w:rsidR="00AD75B9">
            <w:fldChar w:fldCharType="end"/>
          </w:r>
        </w:sdtContent>
      </w:sdt>
      <w:r w:rsidR="00AD75B9">
        <w:t xml:space="preserve"> with </w:t>
      </w:r>
      <w:r w:rsidR="00F80277">
        <w:t>known plant locations.</w:t>
      </w:r>
      <w:r w:rsidR="00AD75B9">
        <w:t xml:space="preserve"> </w:t>
      </w:r>
      <w:r w:rsidR="00E8340B">
        <w:t>The</w:t>
      </w:r>
      <w:r w:rsidR="000D4194">
        <w:t xml:space="preserve">n </w:t>
      </w:r>
      <w:r w:rsidR="00745D30">
        <w:t xml:space="preserve">to </w:t>
      </w:r>
      <w:r w:rsidR="008564A7">
        <w:t xml:space="preserve">ensure all </w:t>
      </w:r>
      <w:r w:rsidR="005970D2">
        <w:t xml:space="preserve">potential habitat is </w:t>
      </w:r>
      <w:r w:rsidR="002765BE">
        <w:t>identified</w:t>
      </w:r>
      <w:r w:rsidR="005970D2">
        <w:t xml:space="preserve">, </w:t>
      </w:r>
      <w:r w:rsidR="00744E8E">
        <w:t>all additional</w:t>
      </w:r>
      <w:r w:rsidR="00AD75B9">
        <w:t xml:space="preserve"> STATSGO2 soil unit that </w:t>
      </w:r>
      <w:r w:rsidR="002765BE">
        <w:t>share</w:t>
      </w:r>
      <w:r w:rsidR="00AD75B9">
        <w:t xml:space="preserve"> soil component with </w:t>
      </w:r>
      <w:r w:rsidR="00851B49">
        <w:t xml:space="preserve">the previously intersected </w:t>
      </w:r>
      <w:r w:rsidR="002765BE">
        <w:t xml:space="preserve">soil </w:t>
      </w:r>
      <w:r w:rsidR="00851B49">
        <w:t xml:space="preserve">units </w:t>
      </w:r>
      <w:r w:rsidR="002765BE">
        <w:t>were also selected</w:t>
      </w:r>
      <w:r w:rsidR="00AD75B9">
        <w:t xml:space="preserve">. This identified area could be considered the outer </w:t>
      </w:r>
      <w:r w:rsidR="006C58A3">
        <w:t xml:space="preserve">potential </w:t>
      </w:r>
      <w:r w:rsidR="00AD75B9">
        <w:t xml:space="preserve">bounds of the species range. However, the identification of suitable habitat </w:t>
      </w:r>
      <w:r w:rsidR="1D9FBD7A">
        <w:t xml:space="preserve">(i.e. those habitats containing </w:t>
      </w:r>
      <w:r w:rsidR="0ADFFCA7">
        <w:t xml:space="preserve">the required biotic and abiotic components necessary to support the species) </w:t>
      </w:r>
      <w:r w:rsidR="00AD75B9">
        <w:t xml:space="preserve">within that broad range has not been completed for </w:t>
      </w:r>
      <w:proofErr w:type="gramStart"/>
      <w:r w:rsidR="00AD75B9">
        <w:t>the majority of</w:t>
      </w:r>
      <w:proofErr w:type="gramEnd"/>
      <w:r w:rsidR="00AD75B9">
        <w:t xml:space="preserve"> BLM sensitive plant species.</w:t>
      </w:r>
    </w:p>
    <w:p w14:paraId="66ABB95A" w14:textId="5BC70CA2" w:rsidR="002D682D" w:rsidRPr="00D94666" w:rsidRDefault="002D682D" w:rsidP="0034353C">
      <w:pPr>
        <w:pStyle w:val="TableTitle"/>
        <w:rPr>
          <w:rFonts w:hint="eastAsia"/>
        </w:rPr>
      </w:pPr>
    </w:p>
    <w:p w14:paraId="2BEDBF02" w14:textId="1A40FF7C" w:rsidR="006A2FEB" w:rsidRDefault="006A2FEB" w:rsidP="00865AFF">
      <w:pPr>
        <w:pStyle w:val="Caption"/>
      </w:pPr>
      <w:bookmarkStart w:id="121" w:name="_Toc179464289"/>
      <w:bookmarkStart w:id="122" w:name="_Toc170114944"/>
      <w:r>
        <w:t xml:space="preserve">Table </w:t>
      </w:r>
      <w:r w:rsidR="00BB3F01">
        <w:fldChar w:fldCharType="begin"/>
      </w:r>
      <w:r w:rsidR="00BB3F01">
        <w:instrText xml:space="preserve"> SEQ Table \* ARABIC </w:instrText>
      </w:r>
      <w:r w:rsidR="00BB3F01">
        <w:fldChar w:fldCharType="separate"/>
      </w:r>
      <w:r w:rsidR="00BB3F01">
        <w:rPr>
          <w:noProof/>
        </w:rPr>
        <w:t>8</w:t>
      </w:r>
      <w:r w:rsidR="00BB3F01">
        <w:rPr>
          <w:noProof/>
        </w:rPr>
        <w:fldChar w:fldCharType="end"/>
      </w:r>
      <w:r>
        <w:t xml:space="preserve"> </w:t>
      </w:r>
      <w:r w:rsidRPr="009D6688">
        <w:t>Sensitive Plant Species with Potential to Occur within Nominated Lease Parcels</w:t>
      </w:r>
      <w:bookmarkEnd w:id="121"/>
      <w:bookmarkEnd w:id="12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Sensitive Plant Species with Potential to Occur within Nominated Lease Parcels"/>
      </w:tblPr>
      <w:tblGrid>
        <w:gridCol w:w="1921"/>
        <w:gridCol w:w="2436"/>
        <w:gridCol w:w="4993"/>
      </w:tblGrid>
      <w:tr w:rsidR="0032022B" w:rsidRPr="00731503" w14:paraId="63212EC5" w14:textId="77777777">
        <w:trPr>
          <w:trHeight w:val="300"/>
          <w:tblHeader/>
        </w:trPr>
        <w:tc>
          <w:tcPr>
            <w:tcW w:w="1921" w:type="dxa"/>
            <w:shd w:val="clear" w:color="auto" w:fill="F2F2F2" w:themeFill="background1" w:themeFillShade="F2"/>
            <w:noWrap/>
            <w:hideMark/>
          </w:tcPr>
          <w:p w14:paraId="64F2A3BC" w14:textId="77777777" w:rsidR="002D682D" w:rsidRPr="00731503" w:rsidRDefault="002D682D">
            <w:pPr>
              <w:pStyle w:val="TableHeading"/>
              <w:rPr>
                <w:rFonts w:ascii="Times New Roman" w:hAnsi="Times New Roman" w:cs="Times New Roman"/>
                <w:b w:val="0"/>
                <w:color w:val="000000"/>
                <w:sz w:val="20"/>
              </w:rPr>
            </w:pPr>
            <w:r w:rsidRPr="00731503">
              <w:rPr>
                <w:rFonts w:ascii="Times New Roman" w:hAnsi="Times New Roman" w:cs="Times New Roman"/>
                <w:sz w:val="20"/>
              </w:rPr>
              <w:t>Common Name</w:t>
            </w:r>
          </w:p>
        </w:tc>
        <w:tc>
          <w:tcPr>
            <w:tcW w:w="2436" w:type="dxa"/>
            <w:shd w:val="clear" w:color="auto" w:fill="F2F2F2" w:themeFill="background1" w:themeFillShade="F2"/>
          </w:tcPr>
          <w:p w14:paraId="4B804EAB" w14:textId="77777777" w:rsidR="002D682D" w:rsidRPr="00731503" w:rsidRDefault="002D682D">
            <w:pPr>
              <w:pStyle w:val="TableHeading"/>
              <w:rPr>
                <w:rFonts w:ascii="Times New Roman" w:hAnsi="Times New Roman" w:cs="Times New Roman"/>
                <w:sz w:val="20"/>
              </w:rPr>
            </w:pPr>
            <w:r w:rsidRPr="00731503">
              <w:rPr>
                <w:rFonts w:ascii="Times New Roman" w:hAnsi="Times New Roman" w:cs="Times New Roman"/>
                <w:sz w:val="20"/>
              </w:rPr>
              <w:t>Scientific Name</w:t>
            </w:r>
          </w:p>
        </w:tc>
        <w:tc>
          <w:tcPr>
            <w:tcW w:w="4993" w:type="dxa"/>
            <w:shd w:val="clear" w:color="auto" w:fill="F2F2F2" w:themeFill="background1" w:themeFillShade="F2"/>
          </w:tcPr>
          <w:p w14:paraId="1456DB21" w14:textId="77777777" w:rsidR="002D682D" w:rsidRPr="00731503" w:rsidRDefault="002D682D">
            <w:pPr>
              <w:pStyle w:val="TableHeading"/>
              <w:rPr>
                <w:rFonts w:ascii="Times New Roman" w:hAnsi="Times New Roman" w:cs="Times New Roman"/>
                <w:sz w:val="20"/>
              </w:rPr>
            </w:pPr>
            <w:r w:rsidRPr="592E887A">
              <w:rPr>
                <w:rFonts w:ascii="Times New Roman" w:hAnsi="Times New Roman" w:cs="Times New Roman"/>
                <w:sz w:val="20"/>
              </w:rPr>
              <w:t xml:space="preserve">Background and documentation for Species/potential habitat occurrence in parcels </w:t>
            </w:r>
          </w:p>
        </w:tc>
      </w:tr>
      <w:tr w:rsidR="001528FC" w:rsidRPr="00731503" w14:paraId="652C14CE" w14:textId="77777777">
        <w:trPr>
          <w:trHeight w:val="300"/>
        </w:trPr>
        <w:tc>
          <w:tcPr>
            <w:tcW w:w="1921" w:type="dxa"/>
            <w:shd w:val="clear" w:color="auto" w:fill="auto"/>
            <w:noWrap/>
          </w:tcPr>
          <w:p w14:paraId="0B0C14BC" w14:textId="15EF4516" w:rsidR="002D682D" w:rsidRPr="00E27450" w:rsidRDefault="00867447">
            <w:pPr>
              <w:pStyle w:val="TableTextLeft"/>
              <w:rPr>
                <w:rFonts w:ascii="Times New Roman" w:hAnsi="Times New Roman"/>
                <w:sz w:val="22"/>
                <w:szCs w:val="22"/>
              </w:rPr>
            </w:pPr>
            <w:r w:rsidRPr="00A30C0A">
              <w:rPr>
                <w:rFonts w:ascii="Times New Roman" w:hAnsi="Times New Roman"/>
                <w:sz w:val="22"/>
                <w:szCs w:val="22"/>
              </w:rPr>
              <w:t>Horseshoe milkvetch</w:t>
            </w:r>
          </w:p>
        </w:tc>
        <w:tc>
          <w:tcPr>
            <w:tcW w:w="2436" w:type="dxa"/>
          </w:tcPr>
          <w:p w14:paraId="6984299D" w14:textId="12E84A95" w:rsidR="002D682D" w:rsidRPr="00E27450" w:rsidRDefault="001C0C44">
            <w:pPr>
              <w:pStyle w:val="TableTextLeft"/>
              <w:rPr>
                <w:rFonts w:ascii="Times New Roman" w:hAnsi="Times New Roman"/>
                <w:i/>
                <w:sz w:val="22"/>
                <w:szCs w:val="22"/>
              </w:rPr>
            </w:pPr>
            <w:r w:rsidRPr="00A30C0A">
              <w:rPr>
                <w:rFonts w:ascii="Times New Roman" w:hAnsi="Times New Roman"/>
                <w:i/>
                <w:sz w:val="22"/>
                <w:szCs w:val="22"/>
              </w:rPr>
              <w:t xml:space="preserve">Astragalus </w:t>
            </w:r>
            <w:proofErr w:type="spellStart"/>
            <w:r w:rsidRPr="00A30C0A">
              <w:rPr>
                <w:rFonts w:ascii="Times New Roman" w:hAnsi="Times New Roman"/>
                <w:i/>
                <w:sz w:val="22"/>
                <w:szCs w:val="22"/>
              </w:rPr>
              <w:t>equisolensis</w:t>
            </w:r>
            <w:proofErr w:type="spellEnd"/>
          </w:p>
        </w:tc>
        <w:tc>
          <w:tcPr>
            <w:tcW w:w="4993" w:type="dxa"/>
          </w:tcPr>
          <w:p w14:paraId="0E3D6A84" w14:textId="3A88D952" w:rsidR="002D682D" w:rsidRPr="00E27450" w:rsidRDefault="000F295C">
            <w:pPr>
              <w:pStyle w:val="TableTextLeft"/>
              <w:rPr>
                <w:rFonts w:ascii="Times New Roman" w:hAnsi="Times New Roman"/>
                <w:sz w:val="22"/>
                <w:szCs w:val="22"/>
              </w:rPr>
            </w:pPr>
            <w:r w:rsidRPr="00A30C0A">
              <w:rPr>
                <w:rFonts w:ascii="Times New Roman" w:hAnsi="Times New Roman"/>
                <w:sz w:val="22"/>
                <w:szCs w:val="22"/>
              </w:rPr>
              <w:t xml:space="preserve">Populations of the species have been identified within parcel </w:t>
            </w:r>
            <w:r w:rsidR="009277CE" w:rsidRPr="00A30C0A">
              <w:rPr>
                <w:rFonts w:ascii="Times New Roman" w:hAnsi="Times New Roman"/>
                <w:sz w:val="22"/>
                <w:szCs w:val="22"/>
              </w:rPr>
              <w:t>1551</w:t>
            </w:r>
            <w:r w:rsidRPr="00A30C0A">
              <w:rPr>
                <w:rFonts w:ascii="Times New Roman" w:hAnsi="Times New Roman"/>
                <w:sz w:val="22"/>
                <w:szCs w:val="22"/>
              </w:rPr>
              <w:t xml:space="preserve">. Additional potential habitat exists within parcel </w:t>
            </w:r>
            <w:r w:rsidR="009277CE" w:rsidRPr="00A30C0A">
              <w:rPr>
                <w:rFonts w:ascii="Times New Roman" w:hAnsi="Times New Roman"/>
                <w:sz w:val="22"/>
                <w:szCs w:val="22"/>
              </w:rPr>
              <w:t>7688</w:t>
            </w:r>
            <w:r w:rsidRPr="00A30C0A">
              <w:rPr>
                <w:rFonts w:ascii="Times New Roman" w:hAnsi="Times New Roman"/>
                <w:sz w:val="22"/>
                <w:szCs w:val="22"/>
              </w:rPr>
              <w:t>.</w:t>
            </w:r>
          </w:p>
        </w:tc>
      </w:tr>
      <w:tr w:rsidR="001528FC" w:rsidRPr="00731503" w14:paraId="34FBF2A1" w14:textId="77777777">
        <w:trPr>
          <w:trHeight w:val="300"/>
        </w:trPr>
        <w:tc>
          <w:tcPr>
            <w:tcW w:w="1921" w:type="dxa"/>
            <w:shd w:val="clear" w:color="auto" w:fill="auto"/>
            <w:noWrap/>
          </w:tcPr>
          <w:p w14:paraId="67270E48" w14:textId="64F96E42" w:rsidR="002D682D" w:rsidRPr="00E27450" w:rsidRDefault="008D6B6F">
            <w:pPr>
              <w:pStyle w:val="TableTextLeft"/>
              <w:rPr>
                <w:rFonts w:ascii="Times New Roman" w:hAnsi="Times New Roman"/>
                <w:sz w:val="22"/>
                <w:szCs w:val="22"/>
              </w:rPr>
            </w:pPr>
            <w:r w:rsidRPr="00A30C0A">
              <w:rPr>
                <w:rFonts w:ascii="Times New Roman" w:hAnsi="Times New Roman"/>
                <w:sz w:val="22"/>
                <w:szCs w:val="22"/>
              </w:rPr>
              <w:t>Hamilton milkvetch</w:t>
            </w:r>
          </w:p>
        </w:tc>
        <w:tc>
          <w:tcPr>
            <w:tcW w:w="2436" w:type="dxa"/>
          </w:tcPr>
          <w:p w14:paraId="605BCC20" w14:textId="78659AA6" w:rsidR="002D682D" w:rsidRPr="00E27450" w:rsidRDefault="001C0C44">
            <w:pPr>
              <w:pStyle w:val="TableTextLeft"/>
              <w:rPr>
                <w:rFonts w:ascii="Times New Roman" w:hAnsi="Times New Roman"/>
                <w:i/>
                <w:sz w:val="22"/>
                <w:szCs w:val="22"/>
              </w:rPr>
            </w:pPr>
            <w:r w:rsidRPr="00A30C0A">
              <w:rPr>
                <w:rFonts w:ascii="Times New Roman" w:hAnsi="Times New Roman"/>
                <w:i/>
                <w:sz w:val="22"/>
                <w:szCs w:val="22"/>
              </w:rPr>
              <w:t xml:space="preserve">Astragalus </w:t>
            </w:r>
            <w:proofErr w:type="spellStart"/>
            <w:r w:rsidRPr="00A30C0A">
              <w:rPr>
                <w:rFonts w:ascii="Times New Roman" w:hAnsi="Times New Roman"/>
                <w:i/>
                <w:sz w:val="22"/>
                <w:szCs w:val="22"/>
              </w:rPr>
              <w:t>hamiltonii</w:t>
            </w:r>
            <w:proofErr w:type="spellEnd"/>
          </w:p>
        </w:tc>
        <w:tc>
          <w:tcPr>
            <w:tcW w:w="4993" w:type="dxa"/>
          </w:tcPr>
          <w:p w14:paraId="3CB2DE03" w14:textId="4036C058" w:rsidR="002D682D" w:rsidRPr="00E27450" w:rsidRDefault="001C0782">
            <w:pPr>
              <w:pStyle w:val="TableTextLeft"/>
              <w:rPr>
                <w:rFonts w:ascii="Times New Roman" w:hAnsi="Times New Roman"/>
                <w:sz w:val="22"/>
                <w:szCs w:val="22"/>
              </w:rPr>
            </w:pPr>
            <w:r w:rsidRPr="00A30C0A">
              <w:rPr>
                <w:rFonts w:ascii="Times New Roman" w:hAnsi="Times New Roman"/>
                <w:sz w:val="22"/>
                <w:szCs w:val="22"/>
              </w:rPr>
              <w:t xml:space="preserve">No known populations exist within the nominated parcels. However, potential habitat exists within parcel </w:t>
            </w:r>
            <w:r w:rsidR="00405D61" w:rsidRPr="00A30C0A">
              <w:rPr>
                <w:rFonts w:ascii="Times New Roman" w:hAnsi="Times New Roman"/>
                <w:sz w:val="22"/>
                <w:szCs w:val="22"/>
              </w:rPr>
              <w:t>7688</w:t>
            </w:r>
          </w:p>
        </w:tc>
      </w:tr>
      <w:tr w:rsidR="001528FC" w:rsidRPr="00731503" w14:paraId="7E2EF29B" w14:textId="77777777">
        <w:trPr>
          <w:trHeight w:val="300"/>
        </w:trPr>
        <w:tc>
          <w:tcPr>
            <w:tcW w:w="1921" w:type="dxa"/>
            <w:shd w:val="clear" w:color="auto" w:fill="auto"/>
            <w:noWrap/>
          </w:tcPr>
          <w:p w14:paraId="5AD09859" w14:textId="79AE675C" w:rsidR="00AB53AE" w:rsidRPr="00AB53AE" w:rsidRDefault="00AB53AE">
            <w:pPr>
              <w:pStyle w:val="TableTextLeft"/>
              <w:rPr>
                <w:rFonts w:ascii="Times New Roman" w:hAnsi="Times New Roman"/>
                <w:sz w:val="22"/>
                <w:szCs w:val="22"/>
              </w:rPr>
            </w:pPr>
            <w:r>
              <w:rPr>
                <w:rFonts w:ascii="Times New Roman" w:hAnsi="Times New Roman"/>
                <w:sz w:val="22"/>
                <w:szCs w:val="22"/>
              </w:rPr>
              <w:t>Sterile yucca</w:t>
            </w:r>
          </w:p>
        </w:tc>
        <w:tc>
          <w:tcPr>
            <w:tcW w:w="2436" w:type="dxa"/>
          </w:tcPr>
          <w:p w14:paraId="0F717849" w14:textId="725347C4" w:rsidR="00AB53AE" w:rsidRPr="00AB53AE" w:rsidRDefault="00AB53AE">
            <w:pPr>
              <w:pStyle w:val="TableTextLeft"/>
              <w:rPr>
                <w:rFonts w:ascii="Times New Roman" w:hAnsi="Times New Roman"/>
                <w:i/>
                <w:iCs/>
                <w:sz w:val="22"/>
                <w:szCs w:val="22"/>
              </w:rPr>
            </w:pPr>
            <w:r>
              <w:rPr>
                <w:rFonts w:ascii="Times New Roman" w:hAnsi="Times New Roman"/>
                <w:i/>
                <w:iCs/>
                <w:sz w:val="22"/>
                <w:szCs w:val="22"/>
              </w:rPr>
              <w:t xml:space="preserve">Yucca </w:t>
            </w:r>
            <w:proofErr w:type="spellStart"/>
            <w:r>
              <w:rPr>
                <w:rFonts w:ascii="Times New Roman" w:hAnsi="Times New Roman"/>
                <w:i/>
                <w:iCs/>
                <w:sz w:val="22"/>
                <w:szCs w:val="22"/>
              </w:rPr>
              <w:t>sterilis</w:t>
            </w:r>
            <w:proofErr w:type="spellEnd"/>
          </w:p>
        </w:tc>
        <w:tc>
          <w:tcPr>
            <w:tcW w:w="4993" w:type="dxa"/>
          </w:tcPr>
          <w:p w14:paraId="0F2035DB" w14:textId="74035D36" w:rsidR="00AB53AE" w:rsidRPr="00AB53AE" w:rsidRDefault="006C58A3">
            <w:pPr>
              <w:pStyle w:val="TableTextLeft"/>
              <w:rPr>
                <w:rFonts w:ascii="Times New Roman" w:hAnsi="Times New Roman"/>
                <w:iCs/>
                <w:sz w:val="22"/>
                <w:szCs w:val="22"/>
              </w:rPr>
            </w:pPr>
            <w:r w:rsidRPr="00A30C0A">
              <w:rPr>
                <w:rFonts w:ascii="Times New Roman" w:hAnsi="Times New Roman"/>
                <w:sz w:val="22"/>
                <w:szCs w:val="22"/>
              </w:rPr>
              <w:t>No known populations exist within the nominated parcels.</w:t>
            </w:r>
            <w:r>
              <w:rPr>
                <w:rFonts w:ascii="Times New Roman" w:hAnsi="Times New Roman"/>
                <w:sz w:val="22"/>
                <w:szCs w:val="22"/>
              </w:rPr>
              <w:t xml:space="preserve"> </w:t>
            </w:r>
            <w:r w:rsidR="00842711" w:rsidRPr="00A30C0A">
              <w:rPr>
                <w:rStyle w:val="normaltextrun"/>
                <w:rFonts w:ascii="Times New Roman" w:hAnsi="Times New Roman"/>
                <w:i/>
                <w:color w:val="000000"/>
                <w:sz w:val="22"/>
                <w:szCs w:val="22"/>
                <w:shd w:val="clear" w:color="auto" w:fill="FFFFFF"/>
              </w:rPr>
              <w:t xml:space="preserve">Yucca </w:t>
            </w:r>
            <w:proofErr w:type="spellStart"/>
            <w:r w:rsidR="00842711" w:rsidRPr="00A30C0A">
              <w:rPr>
                <w:rStyle w:val="normaltextrun"/>
                <w:rFonts w:ascii="Times New Roman" w:hAnsi="Times New Roman"/>
                <w:i/>
                <w:color w:val="000000"/>
                <w:sz w:val="22"/>
                <w:szCs w:val="22"/>
                <w:shd w:val="clear" w:color="auto" w:fill="FFFFFF"/>
              </w:rPr>
              <w:t>sterilis</w:t>
            </w:r>
            <w:proofErr w:type="spellEnd"/>
            <w:r w:rsidR="00842711" w:rsidRPr="00A30C0A">
              <w:rPr>
                <w:rStyle w:val="normaltextrun"/>
                <w:rFonts w:ascii="Times New Roman" w:hAnsi="Times New Roman"/>
                <w:color w:val="000000"/>
                <w:sz w:val="22"/>
                <w:szCs w:val="22"/>
                <w:shd w:val="clear" w:color="auto" w:fill="FFFFFF"/>
              </w:rPr>
              <w:t xml:space="preserve"> is associated with sandy soils throughout the Uinta Basin and potential habitat may exist in </w:t>
            </w:r>
            <w:r w:rsidR="0085505F">
              <w:rPr>
                <w:rStyle w:val="normaltextrun"/>
                <w:rFonts w:ascii="Times New Roman" w:hAnsi="Times New Roman"/>
                <w:color w:val="000000"/>
                <w:sz w:val="22"/>
                <w:szCs w:val="22"/>
                <w:shd w:val="clear" w:color="auto" w:fill="FFFFFF"/>
              </w:rPr>
              <w:t>both</w:t>
            </w:r>
            <w:r w:rsidR="00842711" w:rsidRPr="00A30C0A">
              <w:rPr>
                <w:rStyle w:val="normaltextrun"/>
                <w:rFonts w:ascii="Times New Roman" w:hAnsi="Times New Roman"/>
                <w:color w:val="000000"/>
                <w:sz w:val="22"/>
                <w:szCs w:val="22"/>
                <w:shd w:val="clear" w:color="auto" w:fill="FFFFFF"/>
              </w:rPr>
              <w:t xml:space="preserve"> nominated parcels.</w:t>
            </w:r>
            <w:r w:rsidR="00842711" w:rsidRPr="00A30C0A">
              <w:rPr>
                <w:rStyle w:val="eop"/>
                <w:rFonts w:ascii="Times New Roman" w:hAnsi="Times New Roman"/>
                <w:color w:val="000000"/>
                <w:sz w:val="22"/>
                <w:szCs w:val="22"/>
                <w:shd w:val="clear" w:color="auto" w:fill="FFFFFF"/>
              </w:rPr>
              <w:t> </w:t>
            </w:r>
          </w:p>
        </w:tc>
      </w:tr>
    </w:tbl>
    <w:p w14:paraId="36AC10FC" w14:textId="1B70FC45" w:rsidR="002D682D" w:rsidRPr="00E51407" w:rsidRDefault="002D682D" w:rsidP="002D682D">
      <w:pPr>
        <w:pStyle w:val="BodyText"/>
      </w:pPr>
      <w:r>
        <w:t xml:space="preserve">Implementation of the below lease notices and </w:t>
      </w:r>
      <w:r w:rsidR="004130FE">
        <w:t>s</w:t>
      </w:r>
      <w:r w:rsidR="00BF212D">
        <w:t xml:space="preserve">ection 6 of the </w:t>
      </w:r>
      <w:r>
        <w:t xml:space="preserve">standard terms and conditions of the lease would help minimize potential impacts to the species. </w:t>
      </w:r>
    </w:p>
    <w:p w14:paraId="0214746F" w14:textId="77777777" w:rsidR="002D682D" w:rsidRDefault="002D682D" w:rsidP="002D682D">
      <w:pPr>
        <w:pStyle w:val="BodyText"/>
        <w:rPr>
          <w:u w:val="single"/>
        </w:rPr>
      </w:pPr>
      <w:r w:rsidRPr="003C0D8A">
        <w:rPr>
          <w:u w:val="single"/>
        </w:rPr>
        <w:t>Lease Notices:</w:t>
      </w:r>
    </w:p>
    <w:p w14:paraId="2B5F6273" w14:textId="47FCA462" w:rsidR="00867447" w:rsidRPr="001A0C6B" w:rsidRDefault="00867447" w:rsidP="00867447">
      <w:pPr>
        <w:pStyle w:val="Bullet1"/>
        <w:rPr>
          <w:rStyle w:val="normaltextrun"/>
          <w:color w:val="000000"/>
          <w:shd w:val="clear" w:color="auto" w:fill="FFFFFF"/>
        </w:rPr>
      </w:pPr>
      <w:r w:rsidRPr="001A0C6B">
        <w:rPr>
          <w:rStyle w:val="normaltextrun"/>
          <w:color w:val="000000"/>
          <w:shd w:val="clear" w:color="auto" w:fill="FFFFFF"/>
        </w:rPr>
        <w:t>UT-LN-49: Utah Sensitive Species: All Parcels</w:t>
      </w:r>
    </w:p>
    <w:p w14:paraId="0550965F" w14:textId="04BF0337" w:rsidR="00867447" w:rsidRPr="00A30C0A" w:rsidRDefault="00867447" w:rsidP="004158F9">
      <w:pPr>
        <w:pStyle w:val="Bullet1"/>
        <w:spacing w:afterLines="100" w:after="240"/>
        <w:rPr>
          <w:rStyle w:val="normaltextrun"/>
        </w:rPr>
      </w:pPr>
      <w:r w:rsidRPr="109A5BFD">
        <w:rPr>
          <w:rStyle w:val="normaltextrun"/>
          <w:color w:val="000000" w:themeColor="text1"/>
        </w:rPr>
        <w:t>UT-LN-51: Special Status Plants Not Federally Listed: All Parcels</w:t>
      </w:r>
    </w:p>
    <w:p w14:paraId="7B782CC4" w14:textId="77777777" w:rsidR="004158F9" w:rsidRPr="00E27450" w:rsidRDefault="004158F9" w:rsidP="00E27450">
      <w:pPr>
        <w:pStyle w:val="BodyText"/>
        <w:rPr>
          <w:b/>
          <w:i/>
        </w:rPr>
      </w:pPr>
      <w:r w:rsidRPr="00E27450">
        <w:rPr>
          <w:b/>
          <w:i/>
        </w:rPr>
        <w:t xml:space="preserve">Horseshoe milkvetch (Astragalus </w:t>
      </w:r>
      <w:proofErr w:type="spellStart"/>
      <w:r w:rsidRPr="00E27450">
        <w:rPr>
          <w:b/>
          <w:i/>
        </w:rPr>
        <w:t>equisolensis</w:t>
      </w:r>
      <w:proofErr w:type="spellEnd"/>
      <w:r w:rsidRPr="00E27450">
        <w:rPr>
          <w:b/>
          <w:i/>
        </w:rPr>
        <w:t>)</w:t>
      </w:r>
    </w:p>
    <w:p w14:paraId="4C5A4A79" w14:textId="76D9E3EF" w:rsidR="004158F9" w:rsidRDefault="004158F9" w:rsidP="004158F9">
      <w:pPr>
        <w:pStyle w:val="BodyText"/>
        <w:rPr>
          <w:rStyle w:val="normaltextrun"/>
          <w:color w:val="000000"/>
          <w:shd w:val="clear" w:color="auto" w:fill="FFFFFF"/>
        </w:rPr>
      </w:pPr>
      <w:r>
        <w:lastRenderedPageBreak/>
        <w:t xml:space="preserve">Lease parcel 1551 intersects known occupied habitat for Horseshoe milkvetch. </w:t>
      </w:r>
      <w:r>
        <w:rPr>
          <w:rStyle w:val="normaltextrun"/>
          <w:color w:val="000000"/>
          <w:shd w:val="clear" w:color="auto" w:fill="FFFFFF"/>
        </w:rPr>
        <w:t>Using a 2-kilometer separation distance to delineate subpopulations</w:t>
      </w:r>
      <w:sdt>
        <w:sdtPr>
          <w:rPr>
            <w:rStyle w:val="normaltextrun"/>
            <w:color w:val="000000"/>
            <w:shd w:val="clear" w:color="auto" w:fill="FFFFFF"/>
          </w:rPr>
          <w:id w:val="-2089373637"/>
          <w:citation/>
        </w:sdtPr>
        <w:sdtEndPr>
          <w:rPr>
            <w:rStyle w:val="normaltextrun"/>
            <w:color w:val="000000" w:themeColor="text1"/>
          </w:rPr>
        </w:sdtEndPr>
        <w:sdtContent>
          <w:r>
            <w:rPr>
              <w:rStyle w:val="normaltextrun"/>
              <w:color w:val="000000"/>
              <w:shd w:val="clear" w:color="auto" w:fill="FFFFFF"/>
            </w:rPr>
            <w:fldChar w:fldCharType="begin"/>
          </w:r>
          <w:r>
            <w:rPr>
              <w:rStyle w:val="normaltextrun"/>
              <w:color w:val="000000"/>
              <w:shd w:val="clear" w:color="auto" w:fill="FFFFFF"/>
            </w:rPr>
            <w:instrText xml:space="preserve"> CITATION Nat20 \l 1033 </w:instrText>
          </w:r>
          <w:r>
            <w:rPr>
              <w:rStyle w:val="normaltextrun"/>
              <w:color w:val="000000"/>
              <w:shd w:val="clear" w:color="auto" w:fill="FFFFFF"/>
            </w:rPr>
            <w:fldChar w:fldCharType="separate"/>
          </w:r>
          <w:r w:rsidR="0093463A">
            <w:rPr>
              <w:rStyle w:val="normaltextrun"/>
              <w:noProof/>
              <w:color w:val="000000"/>
              <w:shd w:val="clear" w:color="auto" w:fill="FFFFFF"/>
            </w:rPr>
            <w:t xml:space="preserve"> </w:t>
          </w:r>
          <w:r w:rsidR="0093463A" w:rsidRPr="0093463A">
            <w:rPr>
              <w:noProof/>
              <w:color w:val="000000"/>
              <w:shd w:val="clear" w:color="auto" w:fill="FFFFFF"/>
            </w:rPr>
            <w:t>(NatureServe, 2020)</w:t>
          </w:r>
          <w:r>
            <w:rPr>
              <w:rStyle w:val="normaltextrun"/>
              <w:color w:val="000000"/>
              <w:shd w:val="clear" w:color="auto" w:fill="FFFFFF"/>
            </w:rPr>
            <w:fldChar w:fldCharType="end"/>
          </w:r>
        </w:sdtContent>
      </w:sdt>
      <w:r>
        <w:rPr>
          <w:rStyle w:val="normaltextrun"/>
          <w:color w:val="000000"/>
          <w:shd w:val="clear" w:color="auto" w:fill="FFFFFF"/>
        </w:rPr>
        <w:t xml:space="preserve">, one subpopulation intersects the parcel. This subpopulation is the primary subpopulation for the species and covers </w:t>
      </w:r>
      <w:proofErr w:type="gramStart"/>
      <w:r>
        <w:rPr>
          <w:rStyle w:val="normaltextrun"/>
          <w:color w:val="000000"/>
          <w:shd w:val="clear" w:color="auto" w:fill="FFFFFF"/>
        </w:rPr>
        <w:t>the majority of</w:t>
      </w:r>
      <w:proofErr w:type="gramEnd"/>
      <w:r>
        <w:rPr>
          <w:rStyle w:val="normaltextrun"/>
          <w:color w:val="000000"/>
          <w:shd w:val="clear" w:color="auto" w:fill="FFFFFF"/>
        </w:rPr>
        <w:t xml:space="preserve"> the occupied habitat for the species. The subpopulation covers 15,263.2 acres of occupied habitat and covers all of lease parcel 1551.</w:t>
      </w:r>
    </w:p>
    <w:p w14:paraId="3EE7D3C2" w14:textId="732E2F9C" w:rsidR="004158F9" w:rsidRDefault="004158F9" w:rsidP="004158F9">
      <w:pPr>
        <w:pStyle w:val="BodyText"/>
        <w:rPr>
          <w:rStyle w:val="eop"/>
          <w:color w:val="000000"/>
          <w:shd w:val="clear" w:color="auto" w:fill="FFFFFF"/>
        </w:rPr>
      </w:pPr>
      <w:r>
        <w:rPr>
          <w:rStyle w:val="normaltextrun"/>
          <w:color w:val="000000"/>
          <w:shd w:val="clear" w:color="auto" w:fill="FFFFFF"/>
        </w:rPr>
        <w:t xml:space="preserve">Using the reasonably foreseeable disturbance assumptions in Section </w:t>
      </w:r>
      <w:r>
        <w:rPr>
          <w:rStyle w:val="normaltextrun"/>
          <w:color w:val="000000"/>
          <w:shd w:val="clear" w:color="auto" w:fill="FFFFFF"/>
        </w:rPr>
        <w:fldChar w:fldCharType="begin"/>
      </w:r>
      <w:r>
        <w:rPr>
          <w:rStyle w:val="normaltextrun"/>
          <w:color w:val="000000"/>
          <w:shd w:val="clear" w:color="auto" w:fill="FFFFFF"/>
        </w:rPr>
        <w:instrText xml:space="preserve"> REF _Ref128867519 \r \h </w:instrText>
      </w:r>
      <w:r>
        <w:rPr>
          <w:rStyle w:val="normaltextrun"/>
          <w:color w:val="000000"/>
          <w:shd w:val="clear" w:color="auto" w:fill="FFFFFF"/>
        </w:rPr>
      </w:r>
      <w:r>
        <w:rPr>
          <w:rStyle w:val="normaltextrun"/>
          <w:color w:val="000000"/>
          <w:shd w:val="clear" w:color="auto" w:fill="FFFFFF"/>
        </w:rPr>
        <w:fldChar w:fldCharType="separate"/>
      </w:r>
      <w:r>
        <w:rPr>
          <w:rStyle w:val="normaltextrun"/>
          <w:color w:val="000000"/>
          <w:shd w:val="clear" w:color="auto" w:fill="FFFFFF"/>
        </w:rPr>
        <w:t>3.2</w:t>
      </w:r>
      <w:r>
        <w:rPr>
          <w:rStyle w:val="normaltextrun"/>
          <w:color w:val="000000"/>
          <w:shd w:val="clear" w:color="auto" w:fill="FFFFFF"/>
        </w:rPr>
        <w:fldChar w:fldCharType="end"/>
      </w:r>
      <w:r>
        <w:rPr>
          <w:rStyle w:val="normaltextrun"/>
          <w:color w:val="000000"/>
          <w:shd w:val="clear" w:color="auto" w:fill="FFFFFF"/>
        </w:rPr>
        <w:t>, 15 acres of disturbance would occur within parcel 1551</w:t>
      </w:r>
      <w:r w:rsidR="0055412E">
        <w:rPr>
          <w:rStyle w:val="normaltextrun"/>
          <w:color w:val="000000"/>
          <w:shd w:val="clear" w:color="auto" w:fill="FFFFFF"/>
        </w:rPr>
        <w:t xml:space="preserve"> and 15</w:t>
      </w:r>
      <w:r>
        <w:rPr>
          <w:rStyle w:val="normaltextrun"/>
          <w:color w:val="000000"/>
          <w:shd w:val="clear" w:color="auto" w:fill="FFFFFF"/>
        </w:rPr>
        <w:t xml:space="preserve"> acres of occupied habitat in </w:t>
      </w:r>
      <w:r w:rsidR="009F0971">
        <w:rPr>
          <w:rStyle w:val="normaltextrun"/>
          <w:color w:val="000000"/>
          <w:shd w:val="clear" w:color="auto" w:fill="FFFFFF"/>
        </w:rPr>
        <w:t xml:space="preserve">the </w:t>
      </w:r>
      <w:r>
        <w:rPr>
          <w:rStyle w:val="normaltextrun"/>
          <w:color w:val="000000"/>
          <w:shd w:val="clear" w:color="auto" w:fill="FFFFFF"/>
        </w:rPr>
        <w:t xml:space="preserve">parcel would be directly impacted by the development (less than 0.1% of the occupied habitat in the </w:t>
      </w:r>
      <w:r w:rsidR="0055451B">
        <w:rPr>
          <w:rStyle w:val="normaltextrun"/>
          <w:color w:val="000000"/>
          <w:shd w:val="clear" w:color="auto" w:fill="FFFFFF"/>
        </w:rPr>
        <w:t xml:space="preserve">15,263-acre </w:t>
      </w:r>
      <w:r>
        <w:rPr>
          <w:rStyle w:val="normaltextrun"/>
          <w:color w:val="000000"/>
          <w:shd w:val="clear" w:color="auto" w:fill="FFFFFF"/>
        </w:rPr>
        <w:t>subpopulation intersecting the lease parcel). Given the requirements to perform surveys and avoid individuals by 300-feet where feasible, it is expected that impacts to occupied habitat at the lease development stage would be less than those presented.</w:t>
      </w:r>
      <w:r>
        <w:rPr>
          <w:rStyle w:val="eop"/>
          <w:color w:val="000000"/>
          <w:shd w:val="clear" w:color="auto" w:fill="FFFFFF"/>
        </w:rPr>
        <w:t> </w:t>
      </w:r>
    </w:p>
    <w:p w14:paraId="6A3D2034" w14:textId="30EDAE38" w:rsidR="00610140" w:rsidRPr="00BD0D2E" w:rsidRDefault="00610140" w:rsidP="004158F9">
      <w:pPr>
        <w:pStyle w:val="BodyText"/>
      </w:pPr>
      <w:r>
        <w:t xml:space="preserve">Potential impacts of future development of the nominated </w:t>
      </w:r>
      <w:r w:rsidR="00577D2B">
        <w:t xml:space="preserve">lease </w:t>
      </w:r>
      <w:r>
        <w:t xml:space="preserve">parcel on the occupied subpopulation of Horseshoe milkvetch occurs within the context of the cumulative effects scenario (Section </w:t>
      </w:r>
      <w:r>
        <w:fldChar w:fldCharType="begin"/>
      </w:r>
      <w:r>
        <w:instrText xml:space="preserve"> REF _Ref164933687 \r \h </w:instrText>
      </w:r>
      <w:r>
        <w:fldChar w:fldCharType="separate"/>
      </w:r>
      <w:r>
        <w:t>3.3</w:t>
      </w:r>
      <w:r>
        <w:fldChar w:fldCharType="end"/>
      </w:r>
      <w:r>
        <w:t xml:space="preserve">). This includes within the </w:t>
      </w:r>
      <w:r w:rsidR="0055451B">
        <w:t>subpopulation</w:t>
      </w:r>
      <w:r>
        <w:t xml:space="preserve"> (as of April 25, 2024) </w:t>
      </w:r>
      <w:r w:rsidR="00F83A49">
        <w:t>79</w:t>
      </w:r>
      <w:r>
        <w:t xml:space="preserve"> drilled or drilling oil and gas or service wells, </w:t>
      </w:r>
      <w:r w:rsidR="0055451B">
        <w:t>48</w:t>
      </w:r>
      <w:r>
        <w:t xml:space="preserve"> plugged and abandoned well locations, </w:t>
      </w:r>
      <w:r w:rsidR="00A422A5">
        <w:t>99</w:t>
      </w:r>
      <w:r>
        <w:t xml:space="preserve"> proposed well locations, grazing across all land ownership types, existing transmission powerlines</w:t>
      </w:r>
      <w:r w:rsidR="00986E06">
        <w:t>, paved and unpaved roads, and community trends associated with global climate change</w:t>
      </w:r>
      <w:r>
        <w:t>.</w:t>
      </w:r>
    </w:p>
    <w:p w14:paraId="7ED1B17E" w14:textId="7FDD253A" w:rsidR="0029021B" w:rsidRPr="00874D48" w:rsidRDefault="0029021B" w:rsidP="00874D48">
      <w:pPr>
        <w:pStyle w:val="BodyText"/>
      </w:pPr>
      <w:r>
        <w:t xml:space="preserve">Implementation of the below lease notices and section 6 of the standard terms and conditions of the lease would help minimize potential impacts to the species. </w:t>
      </w:r>
    </w:p>
    <w:p w14:paraId="5EB37E1C" w14:textId="77777777" w:rsidR="004158F9" w:rsidRDefault="004158F9" w:rsidP="004158F9">
      <w:pPr>
        <w:pStyle w:val="BodyText"/>
        <w:keepNext/>
        <w:rPr>
          <w:u w:val="single"/>
        </w:rPr>
      </w:pPr>
      <w:r w:rsidRPr="003C0D8A">
        <w:rPr>
          <w:u w:val="single"/>
        </w:rPr>
        <w:t>Lease Notices:</w:t>
      </w:r>
    </w:p>
    <w:p w14:paraId="390BFDBB" w14:textId="2F6DCA2C" w:rsidR="00867447" w:rsidRPr="004158F9" w:rsidRDefault="008912A0" w:rsidP="00874D48">
      <w:pPr>
        <w:pStyle w:val="Bullet1"/>
      </w:pPr>
      <w:r>
        <w:rPr>
          <w:rStyle w:val="normaltextrun"/>
          <w:color w:val="000000" w:themeColor="text1"/>
        </w:rPr>
        <w:t>UT-LN-89: Horseshoe milkvetch (</w:t>
      </w:r>
      <w:r>
        <w:rPr>
          <w:rStyle w:val="normaltextrun"/>
          <w:i/>
          <w:iCs/>
          <w:color w:val="000000" w:themeColor="text1"/>
        </w:rPr>
        <w:t xml:space="preserve">Astragalus </w:t>
      </w:r>
      <w:proofErr w:type="spellStart"/>
      <w:r>
        <w:rPr>
          <w:rStyle w:val="normaltextrun"/>
          <w:i/>
          <w:iCs/>
          <w:color w:val="000000" w:themeColor="text1"/>
        </w:rPr>
        <w:t>equisolensis</w:t>
      </w:r>
      <w:proofErr w:type="spellEnd"/>
      <w:r w:rsidR="00083259">
        <w:rPr>
          <w:rStyle w:val="normaltextrun"/>
          <w:color w:val="000000" w:themeColor="text1"/>
        </w:rPr>
        <w:t xml:space="preserve">): Parcel </w:t>
      </w:r>
      <w:r w:rsidR="00286140">
        <w:rPr>
          <w:rStyle w:val="normaltextrun"/>
          <w:color w:val="000000" w:themeColor="text1"/>
        </w:rPr>
        <w:t>1551</w:t>
      </w:r>
    </w:p>
    <w:p w14:paraId="65C3747A" w14:textId="2A35C751" w:rsidR="002D682D" w:rsidRPr="00B13F0B" w:rsidRDefault="002D682D" w:rsidP="00D94666">
      <w:pPr>
        <w:pStyle w:val="AIBChapter3"/>
        <w:rPr>
          <w:rFonts w:hint="eastAsia"/>
        </w:rPr>
      </w:pPr>
      <w:bookmarkStart w:id="123" w:name="_Toc163734193"/>
      <w:bookmarkStart w:id="124" w:name="_Toc179464244"/>
      <w:bookmarkStart w:id="125" w:name="_Toc170114899"/>
      <w:r>
        <w:t>Migratory Birds</w:t>
      </w:r>
      <w:bookmarkEnd w:id="123"/>
      <w:bookmarkEnd w:id="124"/>
      <w:bookmarkEnd w:id="125"/>
    </w:p>
    <w:p w14:paraId="03ECC369" w14:textId="77777777" w:rsidR="00010C8C" w:rsidRDefault="002D682D" w:rsidP="00145F12">
      <w:pPr>
        <w:pStyle w:val="BodyText"/>
        <w:rPr>
          <w:b/>
        </w:rPr>
      </w:pPr>
      <w:r w:rsidRPr="00FE061C">
        <w:rPr>
          <w:b/>
        </w:rPr>
        <w:t>How would future potential development of the nominated lease parcels impact migratory birds</w:t>
      </w:r>
      <w:r w:rsidR="000B5997" w:rsidRPr="00FE061C">
        <w:rPr>
          <w:b/>
        </w:rPr>
        <w:t xml:space="preserve"> in Bird Conservation</w:t>
      </w:r>
      <w:r w:rsidR="002177BB" w:rsidRPr="00FE061C">
        <w:rPr>
          <w:b/>
        </w:rPr>
        <w:t xml:space="preserve"> </w:t>
      </w:r>
      <w:r w:rsidR="00972F0F" w:rsidRPr="00FE061C">
        <w:rPr>
          <w:b/>
        </w:rPr>
        <w:t>Region</w:t>
      </w:r>
      <w:r w:rsidR="001560CE" w:rsidRPr="00FE061C">
        <w:rPr>
          <w:b/>
        </w:rPr>
        <w:t xml:space="preserve"> </w:t>
      </w:r>
      <w:r w:rsidR="00366C49" w:rsidRPr="00FE061C">
        <w:rPr>
          <w:b/>
        </w:rPr>
        <w:t>16</w:t>
      </w:r>
      <w:r w:rsidRPr="00FE061C">
        <w:rPr>
          <w:b/>
        </w:rPr>
        <w:t>?</w:t>
      </w:r>
    </w:p>
    <w:p w14:paraId="71933B41" w14:textId="52AF9507" w:rsidR="00433380" w:rsidRPr="00145F12" w:rsidRDefault="00E33980" w:rsidP="00964D42">
      <w:pPr>
        <w:spacing w:before="120" w:after="120"/>
        <w:rPr>
          <w:rFonts w:eastAsia="Times New Roman" w:cs="Times New Roman"/>
          <w:sz w:val="24"/>
          <w:szCs w:val="24"/>
        </w:rPr>
      </w:pPr>
      <w:r>
        <w:t xml:space="preserve">Both </w:t>
      </w:r>
      <w:r w:rsidR="0062532C">
        <w:t xml:space="preserve">parcels occur </w:t>
      </w:r>
      <w:r w:rsidR="008B3DA0">
        <w:t>primarily</w:t>
      </w:r>
      <w:r w:rsidR="0062532C">
        <w:t xml:space="preserve"> in salt des</w:t>
      </w:r>
      <w:r w:rsidR="001E0C39">
        <w:t>ert</w:t>
      </w:r>
      <w:r w:rsidR="0062532C">
        <w:t xml:space="preserve"> shrub communities</w:t>
      </w:r>
      <w:r w:rsidR="005C6AAE">
        <w:t xml:space="preserve"> in Bird Conservation Region </w:t>
      </w:r>
      <w:r w:rsidR="00DB0972">
        <w:t>(BCR)</w:t>
      </w:r>
      <w:r w:rsidR="005C6AAE">
        <w:t>16</w:t>
      </w:r>
      <w:r w:rsidR="00331930">
        <w:t xml:space="preserve">. </w:t>
      </w:r>
      <w:r w:rsidR="502C2C2D">
        <w:t>The habitat includes geographical features in the area with cliffs and hills along with flat topography.</w:t>
      </w:r>
      <w:r w:rsidR="00145F12">
        <w:t xml:space="preserve"> </w:t>
      </w:r>
      <w:r w:rsidR="00F44A90">
        <w:t xml:space="preserve">A </w:t>
      </w:r>
      <w:r w:rsidR="00255365">
        <w:t>f</w:t>
      </w:r>
      <w:r w:rsidR="002D3DD1">
        <w:t>erruginous</w:t>
      </w:r>
      <w:r w:rsidR="00FB6F3E">
        <w:t xml:space="preserve"> hawk nest is know</w:t>
      </w:r>
      <w:r w:rsidR="584422CB">
        <w:t>n</w:t>
      </w:r>
      <w:r w:rsidR="00FB6F3E">
        <w:t xml:space="preserve"> to occu</w:t>
      </w:r>
      <w:r w:rsidR="009472AE">
        <w:t xml:space="preserve">r in parcel </w:t>
      </w:r>
      <w:r w:rsidR="0037312D">
        <w:t xml:space="preserve">1551 </w:t>
      </w:r>
      <w:r w:rsidR="00997D3B">
        <w:t xml:space="preserve">and </w:t>
      </w:r>
      <w:r w:rsidR="00442183">
        <w:t>red-tailed</w:t>
      </w:r>
      <w:r w:rsidR="00997D3B">
        <w:t xml:space="preserve"> hawk</w:t>
      </w:r>
      <w:r w:rsidR="00AF1D52">
        <w:t xml:space="preserve"> nests </w:t>
      </w:r>
      <w:r w:rsidR="006E7126">
        <w:t xml:space="preserve">are known </w:t>
      </w:r>
      <w:r w:rsidR="002A31C8">
        <w:t xml:space="preserve">within a half mile </w:t>
      </w:r>
      <w:r w:rsidR="009D25FA">
        <w:t>of the parcels</w:t>
      </w:r>
      <w:r w:rsidR="006039E0">
        <w:t xml:space="preserve">. </w:t>
      </w:r>
      <w:r w:rsidR="003C62E2">
        <w:t xml:space="preserve">There is a golden eagle nest in parcel </w:t>
      </w:r>
      <w:r w:rsidR="238F8F21">
        <w:t>7688</w:t>
      </w:r>
      <w:r w:rsidR="549F0F60">
        <w:t>.</w:t>
      </w:r>
      <w:r w:rsidR="005530A9">
        <w:t xml:space="preserve"> </w:t>
      </w:r>
      <w:r w:rsidR="00145F12">
        <w:t>The Migratory Bird Treaty Act (MBTA) protects migratory birds;</w:t>
      </w:r>
      <w:r w:rsidR="2EB61E51" w:rsidRPr="2AE7147D">
        <w:rPr>
          <w:rFonts w:eastAsia="Times New Roman" w:cs="Times New Roman"/>
          <w:sz w:val="24"/>
          <w:szCs w:val="24"/>
        </w:rPr>
        <w:t xml:space="preserve"> </w:t>
      </w:r>
      <w:r w:rsidR="2EB61E51" w:rsidRPr="00964D42">
        <w:rPr>
          <w:rFonts w:eastAsia="Times New Roman" w:cs="Times New Roman"/>
        </w:rPr>
        <w:t>Executive Order 131186 requires the BLM to address the potential effects of the projects on migratory bird populations and their habitat and implement best management practices to avoid or minimize the possibility of impacts, through such measures as timing limitations during nesting seasons, surveys for bird nests, and monitoring.</w:t>
      </w:r>
    </w:p>
    <w:p w14:paraId="5CBF3CF4" w14:textId="03B1824C" w:rsidR="00433380" w:rsidRPr="00145F12" w:rsidRDefault="00145F12" w:rsidP="00145F12">
      <w:pPr>
        <w:pStyle w:val="BodyText"/>
      </w:pPr>
      <w:r>
        <w:t xml:space="preserve">  </w:t>
      </w:r>
      <w:r w:rsidR="23B43819">
        <w:t xml:space="preserve">The BLM monitors many birds using Integrated Bird Monitoring </w:t>
      </w:r>
      <w:r w:rsidR="00EC5095">
        <w:t xml:space="preserve">in </w:t>
      </w:r>
      <w:r w:rsidR="23B43819">
        <w:t xml:space="preserve">Bird Conservation </w:t>
      </w:r>
      <w:r w:rsidR="00EC5095">
        <w:t>Regions</w:t>
      </w:r>
      <w:r w:rsidR="23B43819">
        <w:t xml:space="preserve"> (IMBCR</w:t>
      </w:r>
      <w:r w:rsidR="00C82E2F">
        <w:t>)</w:t>
      </w:r>
      <w:r w:rsidR="00CF1375">
        <w:t xml:space="preserve"> program</w:t>
      </w:r>
      <w:r w:rsidR="00C82E2F">
        <w:t>.</w:t>
      </w:r>
      <w:r w:rsidR="23B43819">
        <w:t xml:space="preserve"> This </w:t>
      </w:r>
      <w:r w:rsidR="002B350B">
        <w:t>program provides BLM with</w:t>
      </w:r>
      <w:r w:rsidR="23B43819">
        <w:t xml:space="preserve"> informa</w:t>
      </w:r>
      <w:r w:rsidR="187B6B36">
        <w:t>tion on species present and density trends. There are two IMBCR inventory grids located ne</w:t>
      </w:r>
      <w:r w:rsidR="04596508">
        <w:t>ar the parcels</w:t>
      </w:r>
      <w:r w:rsidR="001627E5">
        <w:t>,</w:t>
      </w:r>
      <w:r w:rsidR="71F0EA23">
        <w:t xml:space="preserve"> UT-BCR16-VE6 and VE4</w:t>
      </w:r>
      <w:r w:rsidR="001627E5">
        <w:t>;</w:t>
      </w:r>
      <w:r w:rsidR="71F0EA23">
        <w:t xml:space="preserve"> they have i</w:t>
      </w:r>
      <w:r w:rsidR="008B3C1D">
        <w:t>d</w:t>
      </w:r>
      <w:r w:rsidR="71F0EA23">
        <w:t>e</w:t>
      </w:r>
      <w:r w:rsidR="008B3C1D">
        <w:t>n</w:t>
      </w:r>
      <w:r w:rsidR="71F0EA23">
        <w:t xml:space="preserve">tified the following bird species: American </w:t>
      </w:r>
      <w:proofErr w:type="spellStart"/>
      <w:r w:rsidR="00255365">
        <w:t>k</w:t>
      </w:r>
      <w:r w:rsidR="71F0EA23">
        <w:t>estral</w:t>
      </w:r>
      <w:proofErr w:type="spellEnd"/>
      <w:r w:rsidR="71F0EA23">
        <w:t xml:space="preserve">, </w:t>
      </w:r>
      <w:r w:rsidR="00255365">
        <w:t>a</w:t>
      </w:r>
      <w:r w:rsidR="7256C424">
        <w:t xml:space="preserve">sh-throated </w:t>
      </w:r>
      <w:r w:rsidR="00255365">
        <w:t>f</w:t>
      </w:r>
      <w:r w:rsidR="7256C424">
        <w:t xml:space="preserve">lycatcher, </w:t>
      </w:r>
      <w:r w:rsidR="00255365">
        <w:t>b</w:t>
      </w:r>
      <w:r w:rsidR="7256C424">
        <w:t xml:space="preserve">ank </w:t>
      </w:r>
      <w:r w:rsidR="00255365">
        <w:t>s</w:t>
      </w:r>
      <w:r w:rsidR="7256C424">
        <w:t xml:space="preserve">wallow, </w:t>
      </w:r>
      <w:r w:rsidR="00255365">
        <w:t>b</w:t>
      </w:r>
      <w:r w:rsidR="7256C424">
        <w:t xml:space="preserve">lack-billed </w:t>
      </w:r>
      <w:r w:rsidR="00255365">
        <w:t>m</w:t>
      </w:r>
      <w:r w:rsidR="7256C424">
        <w:t xml:space="preserve">agpie, </w:t>
      </w:r>
      <w:r w:rsidR="00255365">
        <w:t>b</w:t>
      </w:r>
      <w:r w:rsidR="7256C424">
        <w:t xml:space="preserve">lack-chinned </w:t>
      </w:r>
      <w:r w:rsidR="00255365">
        <w:t>h</w:t>
      </w:r>
      <w:r w:rsidR="7256C424">
        <w:t>ummingbird</w:t>
      </w:r>
      <w:r w:rsidR="72B77CC3">
        <w:t xml:space="preserve">, </w:t>
      </w:r>
      <w:r w:rsidR="00255365">
        <w:t>b</w:t>
      </w:r>
      <w:r w:rsidR="72B77CC3">
        <w:t>lack-throated Sparrow,</w:t>
      </w:r>
      <w:r w:rsidR="00133DC7">
        <w:t xml:space="preserve"> </w:t>
      </w:r>
      <w:r w:rsidR="00255365">
        <w:t>b</w:t>
      </w:r>
      <w:r w:rsidR="00133DC7">
        <w:t>lue</w:t>
      </w:r>
      <w:r w:rsidR="000D546F">
        <w:t xml:space="preserve">-gray </w:t>
      </w:r>
      <w:r w:rsidR="00255365">
        <w:t>g</w:t>
      </w:r>
      <w:r w:rsidR="000D546F">
        <w:t xml:space="preserve">natcatcher, </w:t>
      </w:r>
      <w:r w:rsidR="00672B60">
        <w:t>b</w:t>
      </w:r>
      <w:r w:rsidR="00B83FE4">
        <w:t xml:space="preserve">rewers Sparrow, </w:t>
      </w:r>
      <w:r w:rsidR="00672B60">
        <w:t>b</w:t>
      </w:r>
      <w:r w:rsidR="00B83FE4">
        <w:t xml:space="preserve">rown-headed </w:t>
      </w:r>
      <w:r w:rsidR="00672B60">
        <w:t>c</w:t>
      </w:r>
      <w:r w:rsidR="00B83FE4">
        <w:t>owb</w:t>
      </w:r>
      <w:r w:rsidR="00755E50">
        <w:t xml:space="preserve">ird, Bullock’s </w:t>
      </w:r>
      <w:r w:rsidR="00672B60">
        <w:t>o</w:t>
      </w:r>
      <w:r w:rsidR="00755E50">
        <w:t>riole</w:t>
      </w:r>
      <w:r w:rsidR="009D444E">
        <w:t xml:space="preserve">, </w:t>
      </w:r>
      <w:r w:rsidR="00672B60">
        <w:t>b</w:t>
      </w:r>
      <w:r w:rsidR="009D444E">
        <w:t xml:space="preserve">urrowing </w:t>
      </w:r>
      <w:r w:rsidR="00672B60">
        <w:t>o</w:t>
      </w:r>
      <w:r w:rsidR="009D444E">
        <w:t xml:space="preserve">wl, </w:t>
      </w:r>
      <w:r w:rsidR="00672B60">
        <w:t>c</w:t>
      </w:r>
      <w:r w:rsidR="009D444E">
        <w:t xml:space="preserve">hipping </w:t>
      </w:r>
      <w:r w:rsidR="00672B60">
        <w:t>s</w:t>
      </w:r>
      <w:r w:rsidR="009D444E">
        <w:t xml:space="preserve">parrow, </w:t>
      </w:r>
      <w:r w:rsidR="00672B60">
        <w:t>c</w:t>
      </w:r>
      <w:r w:rsidR="009D444E">
        <w:t xml:space="preserve">liff </w:t>
      </w:r>
      <w:r w:rsidR="00672B60">
        <w:t>s</w:t>
      </w:r>
      <w:r w:rsidR="009D444E">
        <w:t>wallow</w:t>
      </w:r>
      <w:r w:rsidR="00073E4D">
        <w:t xml:space="preserve">, </w:t>
      </w:r>
      <w:r w:rsidR="00672B60">
        <w:t>c</w:t>
      </w:r>
      <w:r w:rsidR="00073E4D">
        <w:t xml:space="preserve">ommon </w:t>
      </w:r>
      <w:r w:rsidR="00672B60">
        <w:t>n</w:t>
      </w:r>
      <w:r w:rsidR="00073E4D">
        <w:t>ighthawk,</w:t>
      </w:r>
      <w:r w:rsidR="00DE2B52">
        <w:t xml:space="preserve"> </w:t>
      </w:r>
      <w:r w:rsidR="00672B60">
        <w:t>c</w:t>
      </w:r>
      <w:r w:rsidR="00073E4D">
        <w:t xml:space="preserve">ommon </w:t>
      </w:r>
      <w:r w:rsidR="00672B60">
        <w:t>r</w:t>
      </w:r>
      <w:r w:rsidR="00073E4D">
        <w:t xml:space="preserve">aven, </w:t>
      </w:r>
      <w:r w:rsidR="00672B60">
        <w:t>g</w:t>
      </w:r>
      <w:r w:rsidR="00073E4D">
        <w:t xml:space="preserve">olden </w:t>
      </w:r>
      <w:r w:rsidR="00672B60">
        <w:t>e</w:t>
      </w:r>
      <w:r w:rsidR="00073E4D">
        <w:t>agle</w:t>
      </w:r>
      <w:r w:rsidR="007F1CD4">
        <w:t>,</w:t>
      </w:r>
      <w:r w:rsidR="00073E4D">
        <w:t xml:space="preserve"> </w:t>
      </w:r>
      <w:r w:rsidR="00672B60">
        <w:t>g</w:t>
      </w:r>
      <w:r w:rsidR="00073E4D">
        <w:t xml:space="preserve">ray </w:t>
      </w:r>
      <w:r w:rsidR="00672B60">
        <w:t>f</w:t>
      </w:r>
      <w:r w:rsidR="00073E4D">
        <w:t>lycatcher</w:t>
      </w:r>
      <w:r w:rsidR="00433380">
        <w:t xml:space="preserve">, </w:t>
      </w:r>
      <w:r w:rsidR="00672B60">
        <w:t>h</w:t>
      </w:r>
      <w:r w:rsidR="00433380">
        <w:t xml:space="preserve">orned </w:t>
      </w:r>
      <w:r w:rsidR="00672B60">
        <w:t>l</w:t>
      </w:r>
      <w:r w:rsidR="00433380">
        <w:t>ark,</w:t>
      </w:r>
      <w:r w:rsidR="00167AED">
        <w:t xml:space="preserve"> </w:t>
      </w:r>
      <w:r w:rsidR="00672B60">
        <w:t>l</w:t>
      </w:r>
      <w:r w:rsidR="00433380">
        <w:t xml:space="preserve">ark </w:t>
      </w:r>
      <w:r w:rsidR="00672B60">
        <w:t>s</w:t>
      </w:r>
      <w:r w:rsidR="00433380">
        <w:t xml:space="preserve">parrow, </w:t>
      </w:r>
      <w:r w:rsidR="00672B60">
        <w:t>h</w:t>
      </w:r>
      <w:r w:rsidR="00167AED">
        <w:t xml:space="preserve">ouse </w:t>
      </w:r>
      <w:r w:rsidR="00672B60">
        <w:t>f</w:t>
      </w:r>
      <w:r w:rsidR="00167AED">
        <w:t xml:space="preserve">inch, </w:t>
      </w:r>
      <w:r w:rsidR="00672B60">
        <w:t>l</w:t>
      </w:r>
      <w:r w:rsidR="007F1CD4">
        <w:t xml:space="preserve">oggerhead </w:t>
      </w:r>
      <w:r w:rsidR="00672B60">
        <w:t>s</w:t>
      </w:r>
      <w:r w:rsidR="007F1CD4">
        <w:t xml:space="preserve">hrike, </w:t>
      </w:r>
      <w:r w:rsidR="00672B60">
        <w:t>m</w:t>
      </w:r>
      <w:r w:rsidR="007F1CD4">
        <w:t xml:space="preserve">ountain </w:t>
      </w:r>
      <w:r w:rsidR="00672B60">
        <w:t>b</w:t>
      </w:r>
      <w:r w:rsidR="007F1CD4">
        <w:t xml:space="preserve">luebird, </w:t>
      </w:r>
      <w:r w:rsidR="00672B60">
        <w:t>m</w:t>
      </w:r>
      <w:r w:rsidR="007F1CD4">
        <w:t>o</w:t>
      </w:r>
      <w:r w:rsidR="00995760">
        <w:t>u</w:t>
      </w:r>
      <w:r w:rsidR="007F1CD4">
        <w:t xml:space="preserve">rning </w:t>
      </w:r>
      <w:r w:rsidR="00672B60">
        <w:t>d</w:t>
      </w:r>
      <w:r w:rsidR="007F1CD4">
        <w:t>ove</w:t>
      </w:r>
      <w:r w:rsidR="00F259CC">
        <w:t xml:space="preserve">, </w:t>
      </w:r>
      <w:r w:rsidR="00063C46">
        <w:t>n</w:t>
      </w:r>
      <w:r w:rsidR="00DE2B52">
        <w:t>o</w:t>
      </w:r>
      <w:r w:rsidR="00F259CC">
        <w:t xml:space="preserve">rthern </w:t>
      </w:r>
      <w:r w:rsidR="00672B60">
        <w:t>m</w:t>
      </w:r>
      <w:r w:rsidR="00F259CC">
        <w:t xml:space="preserve">ockingbird, </w:t>
      </w:r>
      <w:r w:rsidR="00672B60">
        <w:t>p</w:t>
      </w:r>
      <w:r w:rsidR="00F259CC">
        <w:t xml:space="preserve">ine </w:t>
      </w:r>
      <w:r w:rsidR="00DE2B52">
        <w:t>s</w:t>
      </w:r>
      <w:r w:rsidR="00F259CC">
        <w:t>iskin</w:t>
      </w:r>
      <w:r w:rsidR="00335E11">
        <w:t xml:space="preserve">, </w:t>
      </w:r>
      <w:r w:rsidR="00DE2B52">
        <w:t>p</w:t>
      </w:r>
      <w:r w:rsidR="00335E11">
        <w:t xml:space="preserve">inyon </w:t>
      </w:r>
      <w:r w:rsidR="00672B60">
        <w:t>j</w:t>
      </w:r>
      <w:r w:rsidR="00335E11">
        <w:t xml:space="preserve">ay, </w:t>
      </w:r>
      <w:proofErr w:type="spellStart"/>
      <w:r w:rsidR="00672B60">
        <w:t>p</w:t>
      </w:r>
      <w:r w:rsidR="00335E11">
        <w:t>lumbus</w:t>
      </w:r>
      <w:proofErr w:type="spellEnd"/>
      <w:r w:rsidR="00335E11">
        <w:t xml:space="preserve"> </w:t>
      </w:r>
      <w:r w:rsidR="00672B60">
        <w:t>v</w:t>
      </w:r>
      <w:r w:rsidR="00335E11">
        <w:t xml:space="preserve">ireo, </w:t>
      </w:r>
      <w:r w:rsidR="00672B60">
        <w:t>r</w:t>
      </w:r>
      <w:r w:rsidR="00335E11">
        <w:t xml:space="preserve">ock </w:t>
      </w:r>
      <w:r w:rsidR="00063C46">
        <w:t>w</w:t>
      </w:r>
      <w:r w:rsidR="00335E11">
        <w:t>ren</w:t>
      </w:r>
      <w:r w:rsidR="00585C0C">
        <w:t xml:space="preserve">, </w:t>
      </w:r>
      <w:r w:rsidR="00063C46">
        <w:t>s</w:t>
      </w:r>
      <w:r w:rsidR="00585C0C">
        <w:t xml:space="preserve">age </w:t>
      </w:r>
      <w:r w:rsidR="00063C46">
        <w:t>t</w:t>
      </w:r>
      <w:r w:rsidR="00585C0C">
        <w:t xml:space="preserve">hrasher, </w:t>
      </w:r>
      <w:r w:rsidR="00063C46">
        <w:t>s</w:t>
      </w:r>
      <w:r w:rsidR="00585C0C">
        <w:t xml:space="preserve">agebrush </w:t>
      </w:r>
      <w:r w:rsidR="00063C46">
        <w:t>s</w:t>
      </w:r>
      <w:r w:rsidR="00585C0C">
        <w:t xml:space="preserve">parrow, Say’s </w:t>
      </w:r>
      <w:r w:rsidR="00063C46">
        <w:t>p</w:t>
      </w:r>
      <w:r w:rsidR="00585C0C">
        <w:t xml:space="preserve">hoebe, Scott’s </w:t>
      </w:r>
      <w:r w:rsidR="00063C46">
        <w:t>o</w:t>
      </w:r>
      <w:r w:rsidR="00E37A0F">
        <w:t xml:space="preserve">riole, </w:t>
      </w:r>
      <w:r w:rsidR="00063C46">
        <w:t>t</w:t>
      </w:r>
      <w:r w:rsidR="00E37A0F">
        <w:t xml:space="preserve">ree </w:t>
      </w:r>
      <w:r w:rsidR="00063C46">
        <w:t>s</w:t>
      </w:r>
      <w:r w:rsidR="00E37A0F">
        <w:t xml:space="preserve">wallow, </w:t>
      </w:r>
      <w:r w:rsidR="00063C46">
        <w:t>v</w:t>
      </w:r>
      <w:r w:rsidR="00D4785B">
        <w:t xml:space="preserve">iolet-green </w:t>
      </w:r>
      <w:r w:rsidR="00063C46">
        <w:t>s</w:t>
      </w:r>
      <w:r w:rsidR="00D4785B">
        <w:t xml:space="preserve">wallow, </w:t>
      </w:r>
      <w:r w:rsidR="00063C46">
        <w:t>w</w:t>
      </w:r>
      <w:r w:rsidR="00D4785B">
        <w:t xml:space="preserve">estern </w:t>
      </w:r>
      <w:r w:rsidR="00063C46">
        <w:t>k</w:t>
      </w:r>
      <w:r w:rsidR="00E7711C">
        <w:t xml:space="preserve">ingbird, </w:t>
      </w:r>
      <w:r w:rsidR="00063C46">
        <w:t>w</w:t>
      </w:r>
      <w:r w:rsidR="00E7711C">
        <w:t xml:space="preserve">estern </w:t>
      </w:r>
      <w:r w:rsidR="00063C46">
        <w:t>m</w:t>
      </w:r>
      <w:r w:rsidR="00E7711C">
        <w:t xml:space="preserve">eadowlark, </w:t>
      </w:r>
      <w:r w:rsidR="00063C46">
        <w:t>w</w:t>
      </w:r>
      <w:r w:rsidR="00E7711C">
        <w:t xml:space="preserve">estern </w:t>
      </w:r>
      <w:r w:rsidR="00063C46">
        <w:t>t</w:t>
      </w:r>
      <w:r w:rsidR="00E7711C">
        <w:t xml:space="preserve">anager, </w:t>
      </w:r>
      <w:r w:rsidR="00063C46">
        <w:t>w</w:t>
      </w:r>
      <w:r w:rsidR="00E7711C">
        <w:t>hite</w:t>
      </w:r>
      <w:r w:rsidR="00807471">
        <w:t xml:space="preserve">-throated </w:t>
      </w:r>
      <w:r w:rsidR="00063C46">
        <w:t>s</w:t>
      </w:r>
      <w:r w:rsidR="00807471">
        <w:t xml:space="preserve">wift, </w:t>
      </w:r>
      <w:r w:rsidR="00063C46">
        <w:lastRenderedPageBreak/>
        <w:t>w</w:t>
      </w:r>
      <w:r w:rsidR="00807471">
        <w:t xml:space="preserve">oodhouse, </w:t>
      </w:r>
      <w:r w:rsidR="00063C46">
        <w:t>s</w:t>
      </w:r>
      <w:r w:rsidR="00CF48F0">
        <w:t>crub-</w:t>
      </w:r>
      <w:r w:rsidR="00063C46">
        <w:t>j</w:t>
      </w:r>
      <w:r w:rsidR="00CF48F0">
        <w:t xml:space="preserve">ay, </w:t>
      </w:r>
      <w:r w:rsidR="00063C46">
        <w:t>y</w:t>
      </w:r>
      <w:r w:rsidR="00CF48F0">
        <w:t>ellow-</w:t>
      </w:r>
      <w:proofErr w:type="spellStart"/>
      <w:r w:rsidR="00CF48F0">
        <w:t>rumped</w:t>
      </w:r>
      <w:proofErr w:type="spellEnd"/>
      <w:r w:rsidR="00CF48F0">
        <w:t xml:space="preserve"> </w:t>
      </w:r>
      <w:r w:rsidR="00063C46">
        <w:t>w</w:t>
      </w:r>
      <w:r w:rsidR="00CF48F0">
        <w:t>arbler</w:t>
      </w:r>
      <w:r w:rsidR="00662BC7">
        <w:t>.</w:t>
      </w:r>
      <w:r w:rsidR="00C82E2F">
        <w:t xml:space="preserve"> </w:t>
      </w:r>
      <w:r w:rsidR="00662BC7">
        <w:t>Not all these species are expected to occupy the parcels h</w:t>
      </w:r>
      <w:r w:rsidR="00052573">
        <w:t xml:space="preserve">owever they may fly over or use the area for </w:t>
      </w:r>
      <w:r w:rsidR="00B74C28">
        <w:t>foraging.</w:t>
      </w:r>
      <w:r w:rsidR="00807471">
        <w:t xml:space="preserve"> </w:t>
      </w:r>
    </w:p>
    <w:p w14:paraId="47CCD86B" w14:textId="7A6E4BDB" w:rsidR="006673DF" w:rsidRDefault="007D0C02" w:rsidP="003C52F1">
      <w:pPr>
        <w:pStyle w:val="BodyText"/>
        <w:rPr>
          <w:rFonts w:cs="Times New Roman"/>
        </w:rPr>
      </w:pPr>
      <w:r>
        <w:t xml:space="preserve">Oil and gas </w:t>
      </w:r>
      <w:r w:rsidR="001D5FB9">
        <w:t>development fragments the habitat</w:t>
      </w:r>
      <w:r w:rsidR="00AE7F55">
        <w:t xml:space="preserve"> and causes direct loss of habitat</w:t>
      </w:r>
      <w:r w:rsidR="00A07789">
        <w:t xml:space="preserve"> including foraging</w:t>
      </w:r>
      <w:r w:rsidR="00C226E3">
        <w:t xml:space="preserve"> and</w:t>
      </w:r>
      <w:r w:rsidR="00693706">
        <w:t xml:space="preserve"> nesting</w:t>
      </w:r>
      <w:r w:rsidR="00A07789">
        <w:t xml:space="preserve"> </w:t>
      </w:r>
      <w:r w:rsidR="009A4006">
        <w:t xml:space="preserve">areas. Also, lighting associated with </w:t>
      </w:r>
      <w:r w:rsidR="0019597B">
        <w:t xml:space="preserve">developments can cause problems </w:t>
      </w:r>
      <w:r w:rsidR="00FF0486">
        <w:t>during migration</w:t>
      </w:r>
      <w:r w:rsidR="00333F80">
        <w:t xml:space="preserve"> such as interfer</w:t>
      </w:r>
      <w:r w:rsidR="00174760">
        <w:t>ing</w:t>
      </w:r>
      <w:r w:rsidR="00333F80">
        <w:t xml:space="preserve"> with navigation</w:t>
      </w:r>
      <w:r w:rsidR="00FF0486">
        <w:t xml:space="preserve">. Construction </w:t>
      </w:r>
      <w:r w:rsidR="00DD00AF">
        <w:t>of new developments</w:t>
      </w:r>
      <w:r w:rsidR="00333F80">
        <w:t xml:space="preserve"> </w:t>
      </w:r>
      <w:r w:rsidR="00381CF7">
        <w:t xml:space="preserve">causes </w:t>
      </w:r>
      <w:r w:rsidR="007E6FCF">
        <w:t xml:space="preserve">perturbation </w:t>
      </w:r>
      <w:r w:rsidR="003C52F1">
        <w:t xml:space="preserve">to the area by </w:t>
      </w:r>
      <w:r w:rsidR="001E0C39">
        <w:t>increasing</w:t>
      </w:r>
      <w:r w:rsidR="003C52F1">
        <w:t xml:space="preserve"> </w:t>
      </w:r>
      <w:r w:rsidR="007E6FCF">
        <w:t>noise</w:t>
      </w:r>
      <w:r w:rsidR="001E0C39">
        <w:t xml:space="preserve"> and </w:t>
      </w:r>
      <w:r w:rsidR="00D64164">
        <w:t>increased human and vehicle traffic</w:t>
      </w:r>
      <w:r w:rsidR="00AF23F3">
        <w:t>.</w:t>
      </w:r>
      <w:r w:rsidR="00145F12" w:rsidRPr="00145F12">
        <w:rPr>
          <w:rFonts w:cs="Times New Roman"/>
        </w:rPr>
        <w:t xml:space="preserve"> </w:t>
      </w:r>
    </w:p>
    <w:p w14:paraId="6A772F32" w14:textId="18889971" w:rsidR="00145F12" w:rsidRPr="00145F12" w:rsidRDefault="797BAFCC" w:rsidP="0077112A">
      <w:pPr>
        <w:pStyle w:val="BodyText"/>
        <w:rPr>
          <w:rFonts w:cs="Times New Roman"/>
        </w:rPr>
      </w:pPr>
      <w:r w:rsidRPr="13851A63">
        <w:rPr>
          <w:rFonts w:cs="Times New Roman"/>
        </w:rPr>
        <w:t xml:space="preserve">To minimize effects to migratory birds </w:t>
      </w:r>
      <w:r w:rsidR="00145F12" w:rsidRPr="13851A63">
        <w:rPr>
          <w:rFonts w:cs="Times New Roman"/>
        </w:rPr>
        <w:t xml:space="preserve">Utah BLM has several lease notices </w:t>
      </w:r>
      <w:r w:rsidR="2DBEF574" w:rsidRPr="13851A63">
        <w:rPr>
          <w:rFonts w:cs="Times New Roman"/>
        </w:rPr>
        <w:t xml:space="preserve">and stipulations </w:t>
      </w:r>
      <w:r w:rsidR="00145F12" w:rsidRPr="13851A63">
        <w:rPr>
          <w:rFonts w:cs="Times New Roman"/>
        </w:rPr>
        <w:t xml:space="preserve">that  </w:t>
      </w:r>
      <w:r w:rsidR="56B636A7" w:rsidRPr="13851A63">
        <w:rPr>
          <w:rFonts w:cs="Times New Roman"/>
        </w:rPr>
        <w:t xml:space="preserve">are applied </w:t>
      </w:r>
      <w:r w:rsidR="00145F12" w:rsidRPr="13851A63">
        <w:rPr>
          <w:rFonts w:cs="Times New Roman"/>
        </w:rPr>
        <w:t>during lease sales, ranging from those applied statewide (UT-LN-45: Stipulations and Notices of this document) to more narrow groups of taxa (see UT-LN-44 Raptors). In addition, several migratory birds have been designated as BLM Sensitive Species, and these may have additional protections through notices to potential buyers of potential for occurrence on a given parcel</w:t>
      </w:r>
      <w:r w:rsidR="00E54FBB" w:rsidRPr="13851A63">
        <w:rPr>
          <w:rFonts w:cs="Times New Roman"/>
        </w:rPr>
        <w:t>.</w:t>
      </w:r>
      <w:r w:rsidR="00145F12" w:rsidRPr="13851A63">
        <w:rPr>
          <w:rFonts w:cs="Times New Roman"/>
        </w:rPr>
        <w:t xml:space="preserve"> UT-LN-49).</w:t>
      </w:r>
    </w:p>
    <w:p w14:paraId="795A726B" w14:textId="77777777" w:rsidR="00145F12" w:rsidRPr="00145F12" w:rsidRDefault="00145F12" w:rsidP="0077112A">
      <w:pPr>
        <w:pStyle w:val="BodyText"/>
        <w:rPr>
          <w:rFonts w:cs="Times New Roman"/>
        </w:rPr>
      </w:pPr>
      <w:r w:rsidRPr="00145F12">
        <w:rPr>
          <w:rFonts w:cs="Times New Roman"/>
        </w:rPr>
        <w:t xml:space="preserve">For the lease sale, the BLM analysis of potential for occurrence indicated that application of the following lease notices was appropriate for every parcel in the sale: </w:t>
      </w:r>
      <w:bookmarkStart w:id="126" w:name="_Hlk164858048"/>
      <w:r w:rsidRPr="00145F12">
        <w:rPr>
          <w:rFonts w:cs="Times New Roman"/>
        </w:rPr>
        <w:t>UT-LN-44 Raptors</w:t>
      </w:r>
      <w:bookmarkEnd w:id="126"/>
      <w:r w:rsidRPr="00145F12">
        <w:rPr>
          <w:rFonts w:cs="Times New Roman"/>
        </w:rPr>
        <w:t xml:space="preserve">, and UT-LN-45: Migratory Birds. </w:t>
      </w:r>
    </w:p>
    <w:p w14:paraId="1DE46A3C" w14:textId="4BE0610B" w:rsidR="00145F12" w:rsidRPr="00145F12" w:rsidRDefault="00145F12" w:rsidP="0077112A">
      <w:pPr>
        <w:pStyle w:val="BodyText"/>
        <w:rPr>
          <w:rFonts w:cs="Times New Roman"/>
        </w:rPr>
      </w:pPr>
      <w:r w:rsidRPr="00145F12">
        <w:rPr>
          <w:rFonts w:cs="Times New Roman"/>
        </w:rPr>
        <w:t xml:space="preserve">UT-LN-44 provides that raptor habitat exists </w:t>
      </w:r>
      <w:proofErr w:type="gramStart"/>
      <w:r w:rsidRPr="00145F12">
        <w:rPr>
          <w:rFonts w:cs="Times New Roman"/>
        </w:rPr>
        <w:t>in a given</w:t>
      </w:r>
      <w:proofErr w:type="gramEnd"/>
      <w:r w:rsidRPr="00145F12">
        <w:rPr>
          <w:rFonts w:cs="Times New Roman"/>
        </w:rPr>
        <w:t xml:space="preserve"> parcel, and surveys will be required to identify any nesting birds. UT-LN-45 gives prospective buyers notice that surveys for nesting migratory birds may be required during migratory bird breeding season whenever surface disturbances and/or occupancy is proposed in association with fluid mineral exploration and development within priority habitats. Based on these surveys, buffers and timing limitations may be applied. In combination, these lease notices provide mitigation measures which will mitigate impacts to migratory birds by allowing the opportunity to </w:t>
      </w:r>
      <w:proofErr w:type="gramStart"/>
      <w:r w:rsidRPr="00145F12">
        <w:rPr>
          <w:rFonts w:cs="Times New Roman"/>
        </w:rPr>
        <w:t>make adjustments</w:t>
      </w:r>
      <w:proofErr w:type="gramEnd"/>
      <w:r w:rsidRPr="00145F12">
        <w:rPr>
          <w:rFonts w:cs="Times New Roman"/>
        </w:rPr>
        <w:t>, such as design modifications, at the site-specific level when an Application for Permit to Drill is received.</w:t>
      </w:r>
    </w:p>
    <w:p w14:paraId="5FCE0187" w14:textId="04207868" w:rsidR="002A153F" w:rsidRPr="001E612C" w:rsidRDefault="1CF87A92" w:rsidP="0077112A">
      <w:pPr>
        <w:pStyle w:val="BodyText"/>
      </w:pPr>
      <w:r w:rsidRPr="0AF54237">
        <w:rPr>
          <w:rFonts w:cs="Times New Roman"/>
        </w:rPr>
        <w:t>Lease stipulations:  UT-S-</w:t>
      </w:r>
      <w:r w:rsidR="25876608" w:rsidRPr="0AF54237">
        <w:rPr>
          <w:rFonts w:cs="Times New Roman"/>
        </w:rPr>
        <w:t>261 Timing Limitation and Raptor Buffers</w:t>
      </w:r>
      <w:r w:rsidR="3AB766A8" w:rsidRPr="0AF54237">
        <w:rPr>
          <w:rFonts w:cs="Times New Roman"/>
        </w:rPr>
        <w:t xml:space="preserve">:  </w:t>
      </w:r>
      <w:r w:rsidR="4AD8A519" w:rsidRPr="0AF54237">
        <w:rPr>
          <w:rFonts w:cs="Times New Roman"/>
        </w:rPr>
        <w:t xml:space="preserve">All </w:t>
      </w:r>
      <w:r w:rsidR="3AB766A8" w:rsidRPr="0AF54237">
        <w:rPr>
          <w:rFonts w:cs="Times New Roman"/>
        </w:rPr>
        <w:t>Parcel</w:t>
      </w:r>
      <w:r w:rsidR="2BFDC352" w:rsidRPr="0AF54237">
        <w:rPr>
          <w:rFonts w:cs="Times New Roman"/>
        </w:rPr>
        <w:t>s</w:t>
      </w:r>
    </w:p>
    <w:p w14:paraId="2948D451" w14:textId="5B897D10" w:rsidR="0085253C" w:rsidRPr="001E612C" w:rsidRDefault="00A12A18" w:rsidP="0077112A">
      <w:pPr>
        <w:pStyle w:val="BodyText"/>
      </w:pPr>
      <w:r>
        <w:rPr>
          <w:rFonts w:cs="Times New Roman"/>
        </w:rPr>
        <w:t>Lease notices:</w:t>
      </w:r>
      <w:r w:rsidRPr="00A12A18">
        <w:rPr>
          <w:rFonts w:cs="Times New Roman"/>
        </w:rPr>
        <w:t xml:space="preserve"> </w:t>
      </w:r>
      <w:r w:rsidRPr="00145F12">
        <w:rPr>
          <w:rFonts w:cs="Times New Roman"/>
        </w:rPr>
        <w:t>UT-LN-44 Raptors</w:t>
      </w:r>
      <w:r w:rsidR="000B2F6E">
        <w:rPr>
          <w:rFonts w:cs="Times New Roman"/>
        </w:rPr>
        <w:t>,</w:t>
      </w:r>
      <w:r>
        <w:rPr>
          <w:rFonts w:cs="Times New Roman"/>
        </w:rPr>
        <w:t xml:space="preserve"> </w:t>
      </w:r>
      <w:r w:rsidR="00A57409">
        <w:rPr>
          <w:rFonts w:cs="Times New Roman"/>
        </w:rPr>
        <w:t>UT-LN</w:t>
      </w:r>
      <w:r w:rsidR="5EF15546" w:rsidRPr="4B905B08">
        <w:rPr>
          <w:rFonts w:cs="Times New Roman"/>
        </w:rPr>
        <w:t>-</w:t>
      </w:r>
      <w:r w:rsidR="00A57409">
        <w:rPr>
          <w:rFonts w:cs="Times New Roman"/>
        </w:rPr>
        <w:t>45</w:t>
      </w:r>
      <w:r w:rsidR="0085253C">
        <w:rPr>
          <w:rFonts w:cs="Times New Roman"/>
        </w:rPr>
        <w:t>:</w:t>
      </w:r>
      <w:r w:rsidR="00A57409">
        <w:rPr>
          <w:rFonts w:cs="Times New Roman"/>
        </w:rPr>
        <w:t xml:space="preserve"> Migratory Birds</w:t>
      </w:r>
      <w:r w:rsidR="7809ACCA">
        <w:rPr>
          <w:rFonts w:cs="Times New Roman"/>
        </w:rPr>
        <w:t xml:space="preserve">: </w:t>
      </w:r>
      <w:r w:rsidR="318B7601">
        <w:rPr>
          <w:rFonts w:cs="Times New Roman"/>
        </w:rPr>
        <w:t xml:space="preserve">All </w:t>
      </w:r>
      <w:r w:rsidR="0032602C">
        <w:rPr>
          <w:rFonts w:cs="Times New Roman"/>
        </w:rPr>
        <w:t>Parcels</w:t>
      </w:r>
    </w:p>
    <w:p w14:paraId="58A74098" w14:textId="3D388F74" w:rsidR="002D682D" w:rsidRPr="00B13F0B" w:rsidRDefault="002D682D" w:rsidP="00D94666">
      <w:pPr>
        <w:pStyle w:val="AIBChapter3"/>
        <w:rPr>
          <w:rFonts w:hint="eastAsia"/>
        </w:rPr>
      </w:pPr>
      <w:bookmarkStart w:id="127" w:name="_Toc179464245"/>
      <w:bookmarkStart w:id="128" w:name="_Toc170114900"/>
      <w:r>
        <w:t>Cultural</w:t>
      </w:r>
      <w:bookmarkStart w:id="129" w:name="_Toc163734194"/>
      <w:r>
        <w:t xml:space="preserve"> Resources</w:t>
      </w:r>
      <w:bookmarkEnd w:id="127"/>
      <w:bookmarkEnd w:id="128"/>
      <w:bookmarkEnd w:id="129"/>
    </w:p>
    <w:p w14:paraId="2365FE82" w14:textId="047AF603" w:rsidR="002D682D" w:rsidRPr="00B35A0C" w:rsidRDefault="002D682D" w:rsidP="002D682D">
      <w:pPr>
        <w:pStyle w:val="BodyText"/>
        <w:keepNext/>
        <w:rPr>
          <w:b/>
          <w:bCs/>
        </w:rPr>
      </w:pPr>
      <w:r w:rsidRPr="00B35A0C">
        <w:rPr>
          <w:b/>
          <w:bCs/>
        </w:rPr>
        <w:t>How would future potential development of the nominated lease parcels impact cultural resources?</w:t>
      </w:r>
    </w:p>
    <w:p w14:paraId="1A2152DB" w14:textId="76441114" w:rsidR="00EE6247" w:rsidRPr="00E50BEF" w:rsidRDefault="00EE6247" w:rsidP="00E50BEF">
      <w:pPr>
        <w:pStyle w:val="BodyText"/>
      </w:pPr>
      <w:r w:rsidRPr="00E50BEF">
        <w:t xml:space="preserve">The BLM conducted a literature review for the </w:t>
      </w:r>
      <w:r w:rsidR="005C4A32">
        <w:t>nominated lease parcels</w:t>
      </w:r>
      <w:r w:rsidRPr="00E50BEF">
        <w:t xml:space="preserve"> using survey and site information from BLM Utah’s cultural resources database (CURES), Utah Division of State History Sego database, J. Willard Marriott Library of the University of Utah online archaeological record collection (UDAM), and </w:t>
      </w:r>
      <w:r w:rsidR="00315D7B">
        <w:t>VFO</w:t>
      </w:r>
      <w:r w:rsidRPr="00E50BEF">
        <w:t xml:space="preserve"> to identify currently known sites within the lease parcels. These data sources contain information on all the recorded cultural resource sites and cultural resource surveys conducted w</w:t>
      </w:r>
      <w:r>
        <w:t>i</w:t>
      </w:r>
      <w:r w:rsidRPr="00E50BEF">
        <w:t>thin and adjacent to the nominated lease parcels. See Chapter 4 for the NHPA Section 106 process that is used to help inform, but is separate from, the NEPA analysis of impacts to cultural resources.</w:t>
      </w:r>
    </w:p>
    <w:p w14:paraId="5407A1B9" w14:textId="033ADBCF" w:rsidR="00EE6247" w:rsidRPr="00E50BEF" w:rsidRDefault="00EE6247" w:rsidP="00452C5C">
      <w:pPr>
        <w:pStyle w:val="BodyText"/>
      </w:pPr>
      <w:r w:rsidRPr="00E50BEF">
        <w:t xml:space="preserve">To broadly summarize the results of the literature review, within these </w:t>
      </w:r>
      <w:r w:rsidR="00864633">
        <w:t>two</w:t>
      </w:r>
      <w:r w:rsidRPr="00E50BEF">
        <w:t xml:space="preserve"> parcels, </w:t>
      </w:r>
      <w:r w:rsidR="00914F6B">
        <w:t>seventeen</w:t>
      </w:r>
      <w:r w:rsidRPr="00E50BEF">
        <w:t xml:space="preserve"> cultural resource surveys have been completed. Previous cultural resource inventory intensity varies widely across the parcels covering up to 3</w:t>
      </w:r>
      <w:r w:rsidR="00914F6B">
        <w:t>4</w:t>
      </w:r>
      <w:r w:rsidRPr="00E50BEF">
        <w:t xml:space="preserve">%. </w:t>
      </w:r>
      <w:r w:rsidR="004624AB">
        <w:t>One</w:t>
      </w:r>
      <w:r w:rsidRPr="00E50BEF">
        <w:t xml:space="preserve"> cultural resource </w:t>
      </w:r>
      <w:r w:rsidR="002B0D9F">
        <w:t>site has</w:t>
      </w:r>
      <w:r w:rsidRPr="00E50BEF">
        <w:t xml:space="preserve"> been documented within the parcels, which</w:t>
      </w:r>
      <w:r w:rsidRPr="00D65BD3">
        <w:t xml:space="preserve"> </w:t>
      </w:r>
      <w:r w:rsidR="00564A6C">
        <w:t>is not</w:t>
      </w:r>
      <w:r w:rsidRPr="00E50BEF">
        <w:t xml:space="preserve"> eligible for listing in the National Register of Historic Places (</w:t>
      </w:r>
      <w:r w:rsidR="0050355E">
        <w:t>National Register</w:t>
      </w:r>
      <w:r w:rsidDel="00F40D0B">
        <w:t>)</w:t>
      </w:r>
      <w:r w:rsidRPr="00EF4299">
        <w:t xml:space="preserve">. Within a 0.5 mile-buffer of the </w:t>
      </w:r>
      <w:r w:rsidR="00815BAE">
        <w:t>two</w:t>
      </w:r>
      <w:r w:rsidRPr="00E50BEF">
        <w:t xml:space="preserve"> parcels, </w:t>
      </w:r>
      <w:r w:rsidR="00815BAE">
        <w:t>four</w:t>
      </w:r>
      <w:r w:rsidRPr="00E50BEF">
        <w:t xml:space="preserve"> cultural resources have been documented. Of these </w:t>
      </w:r>
      <w:r w:rsidR="00B21BAA">
        <w:t>four</w:t>
      </w:r>
      <w:r w:rsidRPr="00E50BEF">
        <w:t xml:space="preserve"> sites, </w:t>
      </w:r>
      <w:r w:rsidR="00B21BAA">
        <w:t>one is</w:t>
      </w:r>
      <w:r w:rsidRPr="00E50BEF">
        <w:t xml:space="preserve"> eligible for the </w:t>
      </w:r>
      <w:r w:rsidR="0050355E">
        <w:t>National Register</w:t>
      </w:r>
      <w:r w:rsidRPr="00E50BEF">
        <w:t>.</w:t>
      </w:r>
    </w:p>
    <w:p w14:paraId="2B4ED8A6" w14:textId="441E0C5B" w:rsidR="00EE6247" w:rsidRPr="00E50BEF" w:rsidRDefault="00EE6247" w:rsidP="00E50BEF">
      <w:pPr>
        <w:pStyle w:val="BodyText"/>
      </w:pPr>
      <w:r w:rsidRPr="00E50BEF">
        <w:lastRenderedPageBreak/>
        <w:t>BLM Archaeologists at the Field and State Office reviewed this data against the lease sale parcel locations, including their respective applicable stipulations and lease notices, to determine if oil and gas development could occur, without incurring adverse effects to historic properties, taking into consideration impacts to all known cultural resources as well.</w:t>
      </w:r>
    </w:p>
    <w:p w14:paraId="3A9B719C" w14:textId="46325AD8" w:rsidR="001B2A2F" w:rsidRDefault="00EE6247" w:rsidP="00287A53">
      <w:pPr>
        <w:pStyle w:val="BodyText"/>
      </w:pPr>
      <w:r w:rsidRPr="00E50BEF">
        <w:t xml:space="preserve">The Cultural Resource Stipulation, as required by BLM Handbook H-3120-1, applies to all parcels on BLM-managed lands. </w:t>
      </w:r>
      <w:r w:rsidR="00687883">
        <w:t>The stipulation reads as follows:</w:t>
      </w:r>
    </w:p>
    <w:p w14:paraId="07042AD7" w14:textId="77777777" w:rsidR="00192035" w:rsidRDefault="00EE6247" w:rsidP="00E50BEF">
      <w:pPr>
        <w:pStyle w:val="BodyText"/>
        <w:ind w:left="720"/>
      </w:pPr>
      <w:r w:rsidRPr="00E50BEF">
        <w:t xml:space="preserve">This lease may be found to contain historic properties and/or resources protected under the National Historic Preservation Act, American Indian Religious Freedom Act, Native American Graves Protection and Repatriation Act, E.O. 13007, or other statutes and executive orders. The BLM would not approve any ground disturbing activities that may affect any such properties or resources until it completes its obligations under applicable requirements of the NHPA and other authorities. The BLM may require modification to exploration or development proposals to protect such properties or disapprove any activity that is likely to result in adverse effects that cannot be </w:t>
      </w:r>
      <w:proofErr w:type="gramStart"/>
      <w:r w:rsidRPr="00E50BEF">
        <w:t>successfully avoided</w:t>
      </w:r>
      <w:proofErr w:type="gramEnd"/>
      <w:r w:rsidRPr="00E50BEF">
        <w:t>, minimized or mitigated</w:t>
      </w:r>
      <w:r>
        <w:t>.</w:t>
      </w:r>
      <w:r w:rsidR="001F4365">
        <w:t xml:space="preserve"> </w:t>
      </w:r>
    </w:p>
    <w:p w14:paraId="48AE21DA" w14:textId="3FFD5A6E" w:rsidR="008B1F43" w:rsidRDefault="00EE6247" w:rsidP="00287A53">
      <w:pPr>
        <w:pStyle w:val="BodyText"/>
      </w:pPr>
      <w:r w:rsidRPr="00E50BEF">
        <w:t xml:space="preserve">Based on </w:t>
      </w:r>
      <w:r w:rsidR="003D2CB4">
        <w:t xml:space="preserve">the </w:t>
      </w:r>
      <w:r w:rsidR="00244778">
        <w:t>current</w:t>
      </w:r>
      <w:r w:rsidR="003D2CB4">
        <w:t>ly</w:t>
      </w:r>
      <w:r w:rsidR="00244778">
        <w:t xml:space="preserve"> known cultural resources within the two parcels</w:t>
      </w:r>
      <w:r w:rsidR="003E749B">
        <w:t>, which consists of</w:t>
      </w:r>
      <w:r w:rsidRPr="00E50BEF">
        <w:t xml:space="preserve"> </w:t>
      </w:r>
      <w:r w:rsidR="0062706E">
        <w:t xml:space="preserve">a </w:t>
      </w:r>
      <w:r w:rsidR="00EF4299">
        <w:t xml:space="preserve">single </w:t>
      </w:r>
      <w:r w:rsidR="006B01EB">
        <w:t xml:space="preserve">non-National Register eligible lithic scatter within </w:t>
      </w:r>
      <w:r w:rsidR="00013517">
        <w:t>the parcels</w:t>
      </w:r>
      <w:r w:rsidR="00C2041A">
        <w:t>,</w:t>
      </w:r>
      <w:r w:rsidR="00ED2667">
        <w:t xml:space="preserve"> </w:t>
      </w:r>
      <w:r w:rsidR="00C2041A">
        <w:t>three</w:t>
      </w:r>
      <w:r w:rsidRPr="00E50BEF">
        <w:t xml:space="preserve"> </w:t>
      </w:r>
      <w:r w:rsidR="00AB2A73">
        <w:t>non-National Register eligible historic artifact scatters and one National Register-eligible historic rock writing site within 0.5 mile of the parce</w:t>
      </w:r>
      <w:r w:rsidR="000B364A">
        <w:t>ls,</w:t>
      </w:r>
      <w:r w:rsidR="007A0E0C">
        <w:t xml:space="preserve"> </w:t>
      </w:r>
      <w:r w:rsidR="00164D1E">
        <w:t xml:space="preserve">current cultural resource survey coverage </w:t>
      </w:r>
      <w:r w:rsidR="00930A6E">
        <w:t xml:space="preserve">within the parcels, </w:t>
      </w:r>
      <w:r w:rsidR="007A0E0C">
        <w:t xml:space="preserve">and </w:t>
      </w:r>
      <w:r w:rsidR="00D56B65">
        <w:t>the previous oil and gas development history of the area,</w:t>
      </w:r>
      <w:r w:rsidR="00B705DC">
        <w:t xml:space="preserve"> the BLM anticipates</w:t>
      </w:r>
      <w:r w:rsidR="0096353C">
        <w:t xml:space="preserve"> </w:t>
      </w:r>
      <w:r w:rsidR="003E2296">
        <w:t>to encounter similar site types and density</w:t>
      </w:r>
      <w:r w:rsidR="00167B08">
        <w:t xml:space="preserve"> across both parcels</w:t>
      </w:r>
      <w:r w:rsidR="00CD5E5B">
        <w:t xml:space="preserve"> should future development necessitate</w:t>
      </w:r>
      <w:r w:rsidR="00BA7CDF">
        <w:t xml:space="preserve"> add</w:t>
      </w:r>
      <w:r w:rsidR="00F64D9B">
        <w:t>itional cultural resource survey</w:t>
      </w:r>
      <w:r w:rsidR="008D1962">
        <w:t xml:space="preserve"> and </w:t>
      </w:r>
      <w:r w:rsidR="005A5AF8">
        <w:t>identification</w:t>
      </w:r>
      <w:r w:rsidR="00167B08">
        <w:t>.</w:t>
      </w:r>
      <w:r w:rsidR="0070084F">
        <w:t xml:space="preserve"> Additionally,</w:t>
      </w:r>
      <w:r w:rsidR="00EA2A4C">
        <w:t xml:space="preserve"> based on</w:t>
      </w:r>
      <w:r w:rsidRPr="00E50BEF">
        <w:t xml:space="preserve"> the individual sizes of the parcels, the application of the cultural </w:t>
      </w:r>
      <w:proofErr w:type="gramStart"/>
      <w:r w:rsidRPr="00E50BEF">
        <w:t>resources</w:t>
      </w:r>
      <w:proofErr w:type="gramEnd"/>
      <w:r w:rsidRPr="00E50BEF">
        <w:t xml:space="preserve"> protection stipulation, </w:t>
      </w:r>
      <w:r w:rsidR="009A002C">
        <w:t xml:space="preserve">and </w:t>
      </w:r>
      <w:r w:rsidRPr="00E50BEF">
        <w:t>the</w:t>
      </w:r>
      <w:r w:rsidRPr="000E3340">
        <w:t xml:space="preserve"> </w:t>
      </w:r>
      <w:r w:rsidR="008B2FE3">
        <w:t xml:space="preserve">existing disturbance from previous development </w:t>
      </w:r>
      <w:r w:rsidR="0026598D">
        <w:t>within each parcel</w:t>
      </w:r>
      <w:r w:rsidRPr="0055430D">
        <w:t xml:space="preserve">, the </w:t>
      </w:r>
      <w:r w:rsidRPr="00E50BEF">
        <w:t xml:space="preserve">BLM anticipates that </w:t>
      </w:r>
      <w:r w:rsidR="00754CB1">
        <w:t>potential</w:t>
      </w:r>
      <w:r w:rsidRPr="00E50BEF">
        <w:t xml:space="preserve"> development can occur within the </w:t>
      </w:r>
      <w:commentRangeStart w:id="130"/>
      <w:r w:rsidR="00754CB1">
        <w:t>two</w:t>
      </w:r>
      <w:r w:rsidRPr="00E50BEF">
        <w:t xml:space="preserve"> parcels without adverse impacts </w:t>
      </w:r>
      <w:commentRangeEnd w:id="130"/>
      <w:r w:rsidR="004D7736">
        <w:rPr>
          <w:rStyle w:val="CommentReference"/>
        </w:rPr>
        <w:commentReference w:id="130"/>
      </w:r>
      <w:r w:rsidRPr="00E50BEF">
        <w:t>to cultural resources and without an adverse effect to historic properties. The NHPA Section 106 review process</w:t>
      </w:r>
      <w:r w:rsidR="002B7705">
        <w:t xml:space="preserve"> is ongoing (see Chapter 4) and will conclude before BLM makes a final decision for the lease sale.</w:t>
      </w:r>
    </w:p>
    <w:p w14:paraId="1763CD72" w14:textId="17C0A727" w:rsidR="00807E9D" w:rsidRDefault="00EE6247" w:rsidP="00287A53">
      <w:pPr>
        <w:pStyle w:val="BodyText"/>
      </w:pPr>
      <w:r w:rsidRPr="00E50BEF">
        <w:t xml:space="preserve">For future oil and gas developments related to this lease sale, the BLM would not approve any ground disturbing activities until it completes its obligations to consider cultural resources and historic properties under the NEPA, the NHPA, and other authorities specific to those future developments. </w:t>
      </w:r>
      <w:r w:rsidR="006D3CE2">
        <w:t xml:space="preserve">This includes the Native American </w:t>
      </w:r>
      <w:r w:rsidR="00E34203">
        <w:t>Graves Protection and Repatriation Act (</w:t>
      </w:r>
      <w:r w:rsidR="00985CFB">
        <w:t>NAGPRA)</w:t>
      </w:r>
      <w:r w:rsidR="002A0202">
        <w:t xml:space="preserve">, which </w:t>
      </w:r>
      <w:r w:rsidR="00415610">
        <w:t>may</w:t>
      </w:r>
      <w:r w:rsidR="002A0202">
        <w:t xml:space="preserve"> require the development of a Plan of Action </w:t>
      </w:r>
      <w:r w:rsidR="00C70A56">
        <w:t>for potential inadvertent discover</w:t>
      </w:r>
      <w:r w:rsidR="0021703C">
        <w:t xml:space="preserve">ies, as defined by </w:t>
      </w:r>
      <w:r w:rsidR="00F14ACD">
        <w:t xml:space="preserve">43 CFR </w:t>
      </w:r>
      <w:r w:rsidR="00FC79F3">
        <w:t>Subtitle A</w:t>
      </w:r>
      <w:r w:rsidR="0006276F">
        <w:t xml:space="preserve"> </w:t>
      </w:r>
      <w:r w:rsidR="00B37C22">
        <w:rPr>
          <w:rFonts w:cs="Times New Roman"/>
        </w:rPr>
        <w:t>§</w:t>
      </w:r>
      <w:r w:rsidR="00257AB6">
        <w:rPr>
          <w:rFonts w:cs="Times New Roman"/>
        </w:rPr>
        <w:t> </w:t>
      </w:r>
      <w:r w:rsidR="00F14ACD">
        <w:t>10</w:t>
      </w:r>
      <w:r w:rsidR="0021703C">
        <w:t>.</w:t>
      </w:r>
      <w:r w:rsidR="00286D04">
        <w:t>2</w:t>
      </w:r>
      <w:r w:rsidR="0021703C">
        <w:t>.</w:t>
      </w:r>
      <w:r w:rsidR="000D4780">
        <w:t xml:space="preserve"> </w:t>
      </w:r>
      <w:r w:rsidRPr="00E50BEF">
        <w:t>New analysis of impacts to cultural resources and potential adverse effects to historic properties would be conducted during the review stage of any future site-specific development plans through new NEPA and NHPA Section 106 review processes. Future site-specific analysis may identify and document currently unknown and unrecorded cultural resources.</w:t>
      </w:r>
    </w:p>
    <w:p w14:paraId="3F571C66" w14:textId="3F689C4F" w:rsidR="00205C42" w:rsidRDefault="00205C42" w:rsidP="00E50BEF">
      <w:pPr>
        <w:spacing w:before="220"/>
      </w:pPr>
      <w:r w:rsidRPr="0AF54237">
        <w:rPr>
          <w:rFonts w:cs="Times New Roman"/>
        </w:rPr>
        <w:t xml:space="preserve">Lease stipulations:  </w:t>
      </w:r>
      <w:r w:rsidR="00862A96">
        <w:t>HQ-CR</w:t>
      </w:r>
      <w:r w:rsidRPr="009D0558">
        <w:t>-1</w:t>
      </w:r>
      <w:r>
        <w:rPr>
          <w:rFonts w:cs="Times New Roman"/>
        </w:rPr>
        <w:t xml:space="preserve"> Cultural Resource Protection</w:t>
      </w:r>
      <w:r w:rsidRPr="0AF54237">
        <w:rPr>
          <w:rFonts w:cs="Times New Roman"/>
        </w:rPr>
        <w:t>: All Parcels</w:t>
      </w:r>
    </w:p>
    <w:p w14:paraId="6D6373B3" w14:textId="163008C4" w:rsidR="00807E9D" w:rsidRDefault="002D682D" w:rsidP="006E606F">
      <w:pPr>
        <w:pStyle w:val="AIBChapter3"/>
        <w:rPr>
          <w:rFonts w:hint="eastAsia"/>
        </w:rPr>
      </w:pPr>
      <w:bookmarkStart w:id="131" w:name="_Toc179464246"/>
      <w:bookmarkStart w:id="132" w:name="_Toc170114901"/>
      <w:r w:rsidRPr="00D94666">
        <w:t>Paleontological Resources</w:t>
      </w:r>
      <w:bookmarkEnd w:id="131"/>
      <w:bookmarkEnd w:id="132"/>
    </w:p>
    <w:p w14:paraId="513D3F5B" w14:textId="14BC49E9" w:rsidR="00807E9D" w:rsidRPr="00C34815" w:rsidRDefault="002D682D" w:rsidP="00272CA7">
      <w:pPr>
        <w:pStyle w:val="BodyText"/>
        <w:keepNext/>
        <w:rPr>
          <w:b/>
        </w:rPr>
      </w:pPr>
      <w:r w:rsidRPr="00FB301A">
        <w:rPr>
          <w:b/>
        </w:rPr>
        <w:t xml:space="preserve">How would potential development of the nominated lease parcels affect </w:t>
      </w:r>
      <w:r w:rsidR="004F7A4F" w:rsidRPr="00FB301A">
        <w:rPr>
          <w:b/>
        </w:rPr>
        <w:t xml:space="preserve">known or unknown </w:t>
      </w:r>
      <w:r w:rsidRPr="00FB301A">
        <w:rPr>
          <w:b/>
        </w:rPr>
        <w:t>paleontological resources?</w:t>
      </w:r>
    </w:p>
    <w:p w14:paraId="3622E18E" w14:textId="11475623" w:rsidR="00C34815" w:rsidRDefault="00AD1CDC" w:rsidP="00F73934">
      <w:pPr>
        <w:pStyle w:val="BodyText"/>
      </w:pPr>
      <w:r w:rsidRPr="00AD1CDC">
        <w:t xml:space="preserve">Paleontological resources are defined by the Paleontological Resources Preservation Act of 2009 (PRPA) as </w:t>
      </w:r>
      <w:r w:rsidR="005A6E8E">
        <w:t>“any</w:t>
      </w:r>
      <w:r w:rsidR="005A6E8E" w:rsidRPr="00AD1CDC">
        <w:t xml:space="preserve"> </w:t>
      </w:r>
      <w:r w:rsidRPr="00AD1CDC">
        <w:t>fossilized remains, traces, or imprints of organisms, preserved in or on the earth’s crust, that are of paleontological interest and that provide information about the history of life on earth</w:t>
      </w:r>
      <w:r w:rsidR="008C4EB6">
        <w:t>”</w:t>
      </w:r>
      <w:r w:rsidRPr="00AD1CDC">
        <w:t xml:space="preserve"> (16 U.S.C. 470aaa</w:t>
      </w:r>
      <w:r w:rsidR="000020A2">
        <w:t>(4)</w:t>
      </w:r>
      <w:r w:rsidRPr="00AD1CDC">
        <w:t xml:space="preserve">). </w:t>
      </w:r>
      <w:r w:rsidR="00F22F58">
        <w:t>Department of the Interior reg</w:t>
      </w:r>
      <w:r w:rsidR="00E60F46">
        <w:t>ulations</w:t>
      </w:r>
      <w:r w:rsidR="00A1651F">
        <w:t>,</w:t>
      </w:r>
      <w:r w:rsidR="00E60F46">
        <w:t xml:space="preserve"> implementing </w:t>
      </w:r>
      <w:r w:rsidRPr="00AD1CDC">
        <w:t>PRPA</w:t>
      </w:r>
      <w:r w:rsidR="00E60F46">
        <w:t>,</w:t>
      </w:r>
      <w:r w:rsidRPr="00AD1CDC">
        <w:t xml:space="preserve"> direct the BLM to </w:t>
      </w:r>
      <w:r w:rsidR="00E60F46">
        <w:t>“</w:t>
      </w:r>
      <w:r w:rsidRPr="00AD1CDC">
        <w:t>preserve, manage, and protect paleontological resources’ on Federal land using scientific principles and expertise</w:t>
      </w:r>
      <w:r w:rsidR="00E60F46">
        <w:t>”</w:t>
      </w:r>
      <w:r w:rsidRPr="00AD1CDC">
        <w:t xml:space="preserve"> </w:t>
      </w:r>
      <w:r w:rsidRPr="00AD1CDC">
        <w:lastRenderedPageBreak/>
        <w:t>(43 CFR  49.1(a) and 49.30(b)). The Potential Fossil Yield Classification (PFYC) system is a tool used to assess resource impacts and mitigation needs by providing estimates of the potential for paleontological resources within a geologic unit (BLM PIM 2022-009) which allows the 5.5-million-acre BLM VFO to predict the likelihood of encountering paleontological resources. The PFYC system is based on numeric classes of 1–5 and unknown (U). A geologic unit identified as PFYC 1 has very low likelihood of containing paleontological resources, whereas a geological unit identified as PFYC 5 is a geologic unit that has a very high likelihood to contain and predictably produces scientifically significant paleontological resources. A class U assignment indicates that there is not enough information available for a formal class assignment. Until additional information is available, and a provisional or formal assignment made, these units should be considered to have paleontological potential. Within areas identified as PFYC 2 or 3, paleontological resource management concern is generally low to moderate because the likelihood of encountering scientifically significant fossils is relatively low to moderate. Within areas identified as PFYC 4, paleontological resource management concerns are moderate to high, as the probability of affecting scientifically significant paleontological resources is generally high. Areas of moderate to very high and unknown PFYC class (3-5, U) should be assessed prior to authorizing land use action (BLM PIM 2022-009).</w:t>
      </w:r>
    </w:p>
    <w:p w14:paraId="5CA8003D" w14:textId="79F7CF1D" w:rsidR="00AD1CDC" w:rsidRDefault="00C60EB7" w:rsidP="00F73934">
      <w:pPr>
        <w:pStyle w:val="BodyText"/>
      </w:pPr>
      <w:r w:rsidRPr="00C60EB7">
        <w:t>Utilizing 1:100,000 scale published geological mapping</w:t>
      </w:r>
      <w:r w:rsidR="00F54E15">
        <w:t>,</w:t>
      </w:r>
      <w:r w:rsidRPr="00C60EB7">
        <w:t xml:space="preserve"> the BLM has determined that both lease parcels, 7688 and 1551, are primarily in areas of mapped geologic units with a PFYC 5 designation and a limited amount of PFYC 2 (</w:t>
      </w:r>
      <w:r w:rsidRPr="00D56662">
        <w:t xml:space="preserve">Table </w:t>
      </w:r>
      <w:r w:rsidR="006169F3" w:rsidRPr="00D56662">
        <w:t>9</w:t>
      </w:r>
      <w:r w:rsidRPr="00C60EB7">
        <w:t xml:space="preserve">). The two PFYC 5 geological units within the lease areas are the Eocene Uinta Formation and Duchesne River Formation (46 to 36 million years ago). These geological units cover over 1,577,465 total acres within the Uinta Basin and are known to contain a diverse assemblage </w:t>
      </w:r>
      <w:r w:rsidR="00065695">
        <w:t xml:space="preserve">of </w:t>
      </w:r>
      <w:r w:rsidRPr="00C60EB7">
        <w:t>vertebrate</w:t>
      </w:r>
      <w:r w:rsidR="00065695">
        <w:t>s</w:t>
      </w:r>
      <w:r w:rsidRPr="00C60EB7">
        <w:t xml:space="preserve"> including mammals, turtles, crocodilians, lizards, </w:t>
      </w:r>
      <w:r w:rsidR="00F45E79" w:rsidRPr="00C60EB7">
        <w:t>invertebrates</w:t>
      </w:r>
      <w:r w:rsidRPr="00C60EB7">
        <w:t xml:space="preserve"> plant body and trace fossils</w:t>
      </w:r>
      <w:r w:rsidR="006F1222">
        <w:t xml:space="preserve"> </w:t>
      </w:r>
      <w:sdt>
        <w:sdtPr>
          <w:id w:val="1776984198"/>
          <w:citation/>
        </w:sdtPr>
        <w:sdtContent>
          <w:r w:rsidR="006F1222">
            <w:fldChar w:fldCharType="begin"/>
          </w:r>
          <w:r w:rsidR="00115D16">
            <w:instrText xml:space="preserve">CITATION Pau17 \l 1033 </w:instrText>
          </w:r>
          <w:r w:rsidR="006F1222">
            <w:fldChar w:fldCharType="separate"/>
          </w:r>
          <w:r w:rsidR="0093463A">
            <w:rPr>
              <w:noProof/>
            </w:rPr>
            <w:t>(Murphey, et al., 2017)</w:t>
          </w:r>
          <w:r w:rsidR="006F1222">
            <w:fldChar w:fldCharType="end"/>
          </w:r>
        </w:sdtContent>
      </w:sdt>
      <w:r w:rsidR="00D94D74">
        <w:t xml:space="preserve"> </w:t>
      </w:r>
      <w:r w:rsidRPr="00C60EB7">
        <w:t xml:space="preserve"> According to confidential paleontological locality data managed by the Utah Geological Survey (UGS)</w:t>
      </w:r>
      <w:r w:rsidR="00713103">
        <w:t>,</w:t>
      </w:r>
      <w:r w:rsidRPr="00C60EB7">
        <w:t xml:space="preserve"> approximately 7,280 localities within the Unita Basin occur within the Uinta or Duchesne River Formations. </w:t>
      </w:r>
      <w:r w:rsidR="006C5B98">
        <w:t>Based on t</w:t>
      </w:r>
      <w:r w:rsidRPr="00C60EB7">
        <w:t>h</w:t>
      </w:r>
      <w:r w:rsidR="006C5B98">
        <w:t>is</w:t>
      </w:r>
      <w:r w:rsidRPr="00C60EB7">
        <w:t xml:space="preserve"> UGS managed data</w:t>
      </w:r>
      <w:r w:rsidR="00054B20">
        <w:t>,</w:t>
      </w:r>
      <w:r w:rsidRPr="00C60EB7">
        <w:t xml:space="preserve"> there is one known paleontological locality within the</w:t>
      </w:r>
      <w:r w:rsidR="00B90F94">
        <w:t xml:space="preserve"> nominated</w:t>
      </w:r>
      <w:r w:rsidRPr="00C60EB7">
        <w:t xml:space="preserve"> lease parcels</w:t>
      </w:r>
      <w:r w:rsidR="00D070F0">
        <w:t xml:space="preserve"> and </w:t>
      </w:r>
      <w:r w:rsidRPr="00C60EB7">
        <w:t xml:space="preserve">that it is located near the edge of one parcel. Additionally, both </w:t>
      </w:r>
      <w:r w:rsidR="00E31ED7">
        <w:t xml:space="preserve">nominated lease </w:t>
      </w:r>
      <w:r w:rsidRPr="00C60EB7">
        <w:t>parcels have extensive exposures of geologic units with paleontological potential.</w:t>
      </w:r>
    </w:p>
    <w:p w14:paraId="49CEAFD4" w14:textId="5FCA2333" w:rsidR="009D4111" w:rsidRDefault="009D4111" w:rsidP="009D4111">
      <w:pPr>
        <w:pStyle w:val="TableTitle"/>
        <w:keepNext/>
        <w:rPr>
          <w:rFonts w:hint="eastAsia"/>
        </w:rPr>
      </w:pPr>
    </w:p>
    <w:p w14:paraId="30ABF127" w14:textId="74C91722" w:rsidR="009441E7" w:rsidRDefault="009441E7" w:rsidP="00865AFF">
      <w:pPr>
        <w:pStyle w:val="Caption"/>
      </w:pPr>
      <w:bookmarkStart w:id="133" w:name="_Toc179464290"/>
      <w:bookmarkStart w:id="134" w:name="_Toc170114945"/>
      <w:r>
        <w:t xml:space="preserve">Table </w:t>
      </w:r>
      <w:r w:rsidR="00BB3F01">
        <w:fldChar w:fldCharType="begin"/>
      </w:r>
      <w:r w:rsidR="00BB3F01">
        <w:instrText xml:space="preserve"> SEQ Table \* ARABIC </w:instrText>
      </w:r>
      <w:r w:rsidR="00BB3F01">
        <w:fldChar w:fldCharType="separate"/>
      </w:r>
      <w:r w:rsidR="00BB3F01">
        <w:rPr>
          <w:noProof/>
        </w:rPr>
        <w:t>9</w:t>
      </w:r>
      <w:r w:rsidR="00BB3F01">
        <w:rPr>
          <w:noProof/>
        </w:rPr>
        <w:fldChar w:fldCharType="end"/>
      </w:r>
      <w:r>
        <w:t xml:space="preserve"> </w:t>
      </w:r>
      <w:r w:rsidRPr="00E36B47">
        <w:t>Geologic Units and PFYC Designations of the Nominated Lease Parcels</w:t>
      </w:r>
      <w:bookmarkEnd w:id="133"/>
      <w:bookmarkEnd w:id="134"/>
    </w:p>
    <w:tbl>
      <w:tblPr>
        <w:tblStyle w:val="TableGrid"/>
        <w:tblW w:w="0" w:type="auto"/>
        <w:tblLook w:val="04A0" w:firstRow="1" w:lastRow="0" w:firstColumn="1" w:lastColumn="0" w:noHBand="0" w:noVBand="1"/>
      </w:tblPr>
      <w:tblGrid>
        <w:gridCol w:w="2965"/>
        <w:gridCol w:w="1350"/>
        <w:gridCol w:w="2697"/>
        <w:gridCol w:w="2338"/>
      </w:tblGrid>
      <w:tr w:rsidR="00EE3E3B" w:rsidRPr="009D6A44" w14:paraId="4AC8920E" w14:textId="77777777" w:rsidTr="00DB7DBC">
        <w:tc>
          <w:tcPr>
            <w:tcW w:w="2965" w:type="dxa"/>
            <w:shd w:val="clear" w:color="auto" w:fill="F2F2F2" w:themeFill="background1" w:themeFillShade="F2"/>
          </w:tcPr>
          <w:p w14:paraId="40092563" w14:textId="4D549323"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Mapped Geologic Unit</w:t>
            </w:r>
          </w:p>
        </w:tc>
        <w:tc>
          <w:tcPr>
            <w:tcW w:w="1350" w:type="dxa"/>
            <w:shd w:val="clear" w:color="auto" w:fill="F2F2F2" w:themeFill="background1" w:themeFillShade="F2"/>
          </w:tcPr>
          <w:p w14:paraId="39EC21B4" w14:textId="5689E6FE"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 xml:space="preserve">PFYC Class </w:t>
            </w:r>
          </w:p>
        </w:tc>
        <w:tc>
          <w:tcPr>
            <w:tcW w:w="2697" w:type="dxa"/>
            <w:shd w:val="clear" w:color="auto" w:fill="F2F2F2" w:themeFill="background1" w:themeFillShade="F2"/>
          </w:tcPr>
          <w:p w14:paraId="32D5CEF5" w14:textId="036F7904"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 xml:space="preserve">Parcel number: acres of PFYC class (percent of total parcel acreage) </w:t>
            </w:r>
          </w:p>
        </w:tc>
        <w:tc>
          <w:tcPr>
            <w:tcW w:w="2338" w:type="dxa"/>
            <w:shd w:val="clear" w:color="auto" w:fill="F2F2F2" w:themeFill="background1" w:themeFillShade="F2"/>
          </w:tcPr>
          <w:p w14:paraId="4F715B4E" w14:textId="668240A7"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Total Acres of Geologic Unit</w:t>
            </w:r>
          </w:p>
        </w:tc>
      </w:tr>
      <w:tr w:rsidR="00EE3E3B" w:rsidRPr="009D6A44" w14:paraId="1531FB8E" w14:textId="77777777" w:rsidTr="009D6A44">
        <w:tc>
          <w:tcPr>
            <w:tcW w:w="2965" w:type="dxa"/>
          </w:tcPr>
          <w:p w14:paraId="0B98114F" w14:textId="2DF73B55"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Mixed alluvium and colluvium</w:t>
            </w:r>
          </w:p>
        </w:tc>
        <w:tc>
          <w:tcPr>
            <w:tcW w:w="1350" w:type="dxa"/>
          </w:tcPr>
          <w:p w14:paraId="63DCBE97" w14:textId="00ABFE9B"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Class 2</w:t>
            </w:r>
          </w:p>
        </w:tc>
        <w:tc>
          <w:tcPr>
            <w:tcW w:w="2697" w:type="dxa"/>
          </w:tcPr>
          <w:p w14:paraId="26889E38" w14:textId="615321CD"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7688: 3 (1%)</w:t>
            </w:r>
          </w:p>
        </w:tc>
        <w:tc>
          <w:tcPr>
            <w:tcW w:w="2338" w:type="dxa"/>
          </w:tcPr>
          <w:p w14:paraId="622A8B61" w14:textId="4D4496BB"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3</w:t>
            </w:r>
          </w:p>
        </w:tc>
      </w:tr>
      <w:tr w:rsidR="00EE3E3B" w:rsidRPr="009D6A44" w14:paraId="03F9CDB7" w14:textId="77777777" w:rsidTr="009D6A44">
        <w:tc>
          <w:tcPr>
            <w:tcW w:w="2965" w:type="dxa"/>
          </w:tcPr>
          <w:p w14:paraId="398C3EF8" w14:textId="5B576065"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Mixed alluvium and eolian deposits</w:t>
            </w:r>
          </w:p>
        </w:tc>
        <w:tc>
          <w:tcPr>
            <w:tcW w:w="1350" w:type="dxa"/>
          </w:tcPr>
          <w:p w14:paraId="54587567" w14:textId="4219E213"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Class 2</w:t>
            </w:r>
          </w:p>
        </w:tc>
        <w:tc>
          <w:tcPr>
            <w:tcW w:w="2697" w:type="dxa"/>
          </w:tcPr>
          <w:p w14:paraId="609CCAEE" w14:textId="7602D581"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7688: 22 (10%)</w:t>
            </w:r>
          </w:p>
        </w:tc>
        <w:tc>
          <w:tcPr>
            <w:tcW w:w="2338" w:type="dxa"/>
          </w:tcPr>
          <w:p w14:paraId="7A21F67B" w14:textId="65C5B790"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22</w:t>
            </w:r>
          </w:p>
        </w:tc>
      </w:tr>
      <w:tr w:rsidR="00EE3E3B" w:rsidRPr="009D6A44" w14:paraId="0D05E5DF" w14:textId="77777777" w:rsidTr="009D6A44">
        <w:tc>
          <w:tcPr>
            <w:tcW w:w="2965" w:type="dxa"/>
          </w:tcPr>
          <w:p w14:paraId="215590DE" w14:textId="6D1FF955" w:rsidR="00EE3E3B" w:rsidRPr="009D6A44" w:rsidRDefault="00EE3E3B" w:rsidP="009D4111">
            <w:pPr>
              <w:pStyle w:val="BodyText"/>
              <w:keepNext/>
              <w:keepLines/>
              <w:spacing w:before="100" w:beforeAutospacing="1" w:after="100" w:afterAutospacing="1"/>
              <w:rPr>
                <w:b/>
                <w:bCs/>
                <w:sz w:val="20"/>
                <w:szCs w:val="20"/>
              </w:rPr>
            </w:pPr>
            <w:r w:rsidRPr="009D6A44">
              <w:rPr>
                <w:b/>
                <w:bCs/>
                <w:sz w:val="20"/>
                <w:szCs w:val="20"/>
              </w:rPr>
              <w:t>Brennan Basin Member of Duchesne River Formation</w:t>
            </w:r>
          </w:p>
        </w:tc>
        <w:tc>
          <w:tcPr>
            <w:tcW w:w="1350" w:type="dxa"/>
          </w:tcPr>
          <w:p w14:paraId="6AA34EA4" w14:textId="7EAD32E7"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Class 5</w:t>
            </w:r>
          </w:p>
        </w:tc>
        <w:tc>
          <w:tcPr>
            <w:tcW w:w="2697" w:type="dxa"/>
          </w:tcPr>
          <w:p w14:paraId="04B0293C" w14:textId="77777777"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1551: 634 (100%)</w:t>
            </w:r>
          </w:p>
          <w:p w14:paraId="160CDA0C" w14:textId="5E51D6F4"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7688: 147 (72%)</w:t>
            </w:r>
          </w:p>
        </w:tc>
        <w:tc>
          <w:tcPr>
            <w:tcW w:w="2338" w:type="dxa"/>
          </w:tcPr>
          <w:p w14:paraId="0615CA7E" w14:textId="26D91330" w:rsidR="00EE3E3B" w:rsidRPr="009D6A44" w:rsidRDefault="00EE3E3B" w:rsidP="009D4111">
            <w:pPr>
              <w:pStyle w:val="BodyText"/>
              <w:keepNext/>
              <w:keepLines/>
              <w:spacing w:before="100" w:beforeAutospacing="1" w:after="100" w:afterAutospacing="1"/>
              <w:rPr>
                <w:sz w:val="20"/>
                <w:szCs w:val="20"/>
              </w:rPr>
            </w:pPr>
            <w:r w:rsidRPr="009D6A44">
              <w:rPr>
                <w:sz w:val="20"/>
                <w:szCs w:val="20"/>
              </w:rPr>
              <w:t>781</w:t>
            </w:r>
          </w:p>
        </w:tc>
      </w:tr>
      <w:tr w:rsidR="009D6A44" w:rsidRPr="009D6A44" w14:paraId="7E4838F5" w14:textId="77777777" w:rsidTr="009D6A44">
        <w:tc>
          <w:tcPr>
            <w:tcW w:w="2965" w:type="dxa"/>
          </w:tcPr>
          <w:p w14:paraId="365041ED" w14:textId="6A56170D" w:rsidR="009D6A44" w:rsidRPr="009D6A44" w:rsidRDefault="009D6A44" w:rsidP="009D4111">
            <w:pPr>
              <w:pStyle w:val="BodyText"/>
              <w:keepLines/>
              <w:spacing w:before="100" w:beforeAutospacing="1" w:after="100" w:afterAutospacing="1"/>
              <w:rPr>
                <w:b/>
                <w:bCs/>
                <w:sz w:val="20"/>
                <w:szCs w:val="20"/>
              </w:rPr>
            </w:pPr>
            <w:r w:rsidRPr="009D6A44">
              <w:rPr>
                <w:b/>
                <w:bCs/>
                <w:sz w:val="20"/>
                <w:szCs w:val="20"/>
              </w:rPr>
              <w:t>Member</w:t>
            </w:r>
            <w:r w:rsidR="00DB7DBC">
              <w:rPr>
                <w:b/>
                <w:bCs/>
                <w:sz w:val="20"/>
                <w:szCs w:val="20"/>
              </w:rPr>
              <w:t xml:space="preserve"> </w:t>
            </w:r>
            <w:r w:rsidRPr="009D6A44">
              <w:rPr>
                <w:b/>
                <w:bCs/>
                <w:sz w:val="20"/>
                <w:szCs w:val="20"/>
              </w:rPr>
              <w:t>C of Uinta Formation</w:t>
            </w:r>
          </w:p>
        </w:tc>
        <w:tc>
          <w:tcPr>
            <w:tcW w:w="1350" w:type="dxa"/>
          </w:tcPr>
          <w:p w14:paraId="3FFDF77E" w14:textId="069678E5" w:rsidR="009D6A44" w:rsidRPr="009D6A44" w:rsidRDefault="009D6A44" w:rsidP="009D4111">
            <w:pPr>
              <w:pStyle w:val="BodyText"/>
              <w:keepLines/>
              <w:spacing w:before="100" w:beforeAutospacing="1" w:after="100" w:afterAutospacing="1"/>
              <w:rPr>
                <w:sz w:val="20"/>
                <w:szCs w:val="20"/>
              </w:rPr>
            </w:pPr>
            <w:r w:rsidRPr="009D6A44">
              <w:rPr>
                <w:sz w:val="20"/>
                <w:szCs w:val="20"/>
              </w:rPr>
              <w:t>Class 5</w:t>
            </w:r>
          </w:p>
        </w:tc>
        <w:tc>
          <w:tcPr>
            <w:tcW w:w="2697" w:type="dxa"/>
          </w:tcPr>
          <w:p w14:paraId="0D0C60D0" w14:textId="55A89B18" w:rsidR="009D6A44" w:rsidRPr="009D6A44" w:rsidRDefault="009D6A44" w:rsidP="009D4111">
            <w:pPr>
              <w:pStyle w:val="BodyText"/>
              <w:keepLines/>
              <w:spacing w:before="100" w:beforeAutospacing="1" w:after="100" w:afterAutospacing="1"/>
              <w:rPr>
                <w:sz w:val="20"/>
                <w:szCs w:val="20"/>
              </w:rPr>
            </w:pPr>
            <w:r w:rsidRPr="009D6A44">
              <w:rPr>
                <w:sz w:val="20"/>
                <w:szCs w:val="20"/>
              </w:rPr>
              <w:t>7688: 33 (16%)</w:t>
            </w:r>
          </w:p>
        </w:tc>
        <w:tc>
          <w:tcPr>
            <w:tcW w:w="2338" w:type="dxa"/>
          </w:tcPr>
          <w:p w14:paraId="2EEABC58" w14:textId="4052C082" w:rsidR="009D6A44" w:rsidRPr="009D6A44" w:rsidRDefault="009D6A44" w:rsidP="009D4111">
            <w:pPr>
              <w:pStyle w:val="BodyText"/>
              <w:keepLines/>
              <w:spacing w:before="100" w:beforeAutospacing="1" w:after="100" w:afterAutospacing="1"/>
              <w:rPr>
                <w:sz w:val="20"/>
                <w:szCs w:val="20"/>
              </w:rPr>
            </w:pPr>
            <w:r w:rsidRPr="009D6A44">
              <w:rPr>
                <w:sz w:val="20"/>
                <w:szCs w:val="20"/>
              </w:rPr>
              <w:t>33</w:t>
            </w:r>
          </w:p>
        </w:tc>
      </w:tr>
    </w:tbl>
    <w:p w14:paraId="271F9653" w14:textId="7BAAB3C5" w:rsidR="00C34815" w:rsidRDefault="000A3045" w:rsidP="00F73934">
      <w:pPr>
        <w:pStyle w:val="BodyText"/>
      </w:pPr>
      <w:r>
        <w:t>P</w:t>
      </w:r>
      <w:r w:rsidR="00C77CD4" w:rsidRPr="00C77CD4">
        <w:t>otential development of both nominated lease parcels would result in up to 20 acres of surface disturbance all of which could occur within areas of higher potential for paleontological resources. Effects could result in the immediate physical loss of fossils and their contextual data. Ground disturbance could also subject fossils to long-term damage or destruction from erosion and create improved access to the public and increased visibility, potentially resulting in unauthorized collection or vandalism. Ground disturbance can also reveal scientifically significant fossils that would otherwise remain buried and unavailable for scientific study. Such fossils can be collected properly and curated into the museum collection of a qualified repository, making them available for scientific study and education.</w:t>
      </w:r>
    </w:p>
    <w:p w14:paraId="77784CB0" w14:textId="465E901C" w:rsidR="00E0611F" w:rsidRDefault="00A95E57" w:rsidP="703705D6">
      <w:pPr>
        <w:pStyle w:val="BodyText"/>
      </w:pPr>
      <w:r>
        <w:lastRenderedPageBreak/>
        <w:t>E</w:t>
      </w:r>
      <w:r w:rsidR="00E0611F">
        <w:t xml:space="preserve">ffects to paleontological resources would be mitigated as </w:t>
      </w:r>
      <w:r>
        <w:t>future</w:t>
      </w:r>
      <w:r w:rsidR="00E0611F">
        <w:t xml:space="preserve"> development of the nominated lease parcels would be analyzed further through separate NEPA processes, as directed by </w:t>
      </w:r>
      <w:r w:rsidR="00074BC0">
        <w:t xml:space="preserve">FLPMA, BLM </w:t>
      </w:r>
      <w:r w:rsidR="00E0611F">
        <w:t>regulations</w:t>
      </w:r>
      <w:r w:rsidR="00074BC0">
        <w:t>,</w:t>
      </w:r>
      <w:r w:rsidR="00E0611F">
        <w:t xml:space="preserve"> and current policy. For these two </w:t>
      </w:r>
      <w:r>
        <w:t xml:space="preserve">nominated lease </w:t>
      </w:r>
      <w:r w:rsidR="00E0611F">
        <w:t xml:space="preserve">parcels </w:t>
      </w:r>
      <w:r w:rsidR="002A57E9">
        <w:t>specifically</w:t>
      </w:r>
      <w:r w:rsidR="00E0611F">
        <w:t xml:space="preserve">, the BLM </w:t>
      </w:r>
      <w:r w:rsidR="00C80282">
        <w:t xml:space="preserve">has </w:t>
      </w:r>
      <w:r w:rsidR="00E0611F">
        <w:t>applied Lease Notice UT-LN-72 (High Potential Paleontological Resources)</w:t>
      </w:r>
      <w:r w:rsidR="00C80282">
        <w:t>,</w:t>
      </w:r>
      <w:r w:rsidR="00E0611F">
        <w:t xml:space="preserve"> which specifies that surveys will be required and modifications to the Surface Use Plan of Operations may be required </w:t>
      </w:r>
      <w:proofErr w:type="gramStart"/>
      <w:r w:rsidR="00E0611F">
        <w:t>in order to</w:t>
      </w:r>
      <w:proofErr w:type="gramEnd"/>
      <w:r w:rsidR="00E0611F">
        <w:t xml:space="preserve"> protect paleontological resources from surface disturbing activities in accordance with Section 6 of the lease terms and 43 CFR 3101.1-2. In addition, monitoring may be required during surface disturbing activities. If an APD is filed, specific clearances would be conducted and incorporated into that future NEPA process at the development stage. Additional mitigation measures such as BMPs, standard operating procedures (SOPs), and site-specific mitigation may be applied at the APD stage as COAs. </w:t>
      </w:r>
      <w:r w:rsidR="7AD9CA6B">
        <w:t>F</w:t>
      </w:r>
      <w:r w:rsidR="00E0611F">
        <w:t xml:space="preserve">or example, </w:t>
      </w:r>
      <w:r w:rsidR="4C700459">
        <w:t xml:space="preserve">pursuant to </w:t>
      </w:r>
      <w:r w:rsidR="6366003E">
        <w:t xml:space="preserve">a </w:t>
      </w:r>
      <w:proofErr w:type="gramStart"/>
      <w:r w:rsidR="4C700459">
        <w:t>standard discovery requirements</w:t>
      </w:r>
      <w:proofErr w:type="gramEnd"/>
      <w:r w:rsidR="4C700459">
        <w:t>,</w:t>
      </w:r>
      <w:r w:rsidR="664F349B">
        <w:t xml:space="preserve"> </w:t>
      </w:r>
      <w:r w:rsidR="00E0611F">
        <w:t xml:space="preserve">if </w:t>
      </w:r>
      <w:r w:rsidR="67CE3E15">
        <w:t xml:space="preserve">paleontological resources are discovered </w:t>
      </w:r>
      <w:r w:rsidR="00E0611F">
        <w:t>during operations within the nominated lease parcels</w:t>
      </w:r>
      <w:r w:rsidR="08E1FE45">
        <w:t xml:space="preserve"> </w:t>
      </w:r>
      <w:r w:rsidR="00E0611F">
        <w:t xml:space="preserve"> they would be protected  </w:t>
      </w:r>
      <w:r w:rsidR="0050367C">
        <w:t>whe</w:t>
      </w:r>
      <w:r w:rsidR="200AD81B">
        <w:t>n</w:t>
      </w:r>
      <w:r w:rsidR="0050367C">
        <w:t xml:space="preserve"> </w:t>
      </w:r>
      <w:r w:rsidR="00E0611F">
        <w:t xml:space="preserve">the lessee must cease any operations that would result in the destruction of such specimens and contact the BLM </w:t>
      </w:r>
      <w:r w:rsidR="00CF4EB0">
        <w:t>AO</w:t>
      </w:r>
      <w:r w:rsidR="00E0611F">
        <w:t>.</w:t>
      </w:r>
      <w:r w:rsidR="3C04A2F8">
        <w:t xml:space="preserve"> Scientifically significant paleontological resources discovered through surveys or monitoring would be collected by a qualified paleontologist and curated at an appropriate repository (43 CFR Part 49).</w:t>
      </w:r>
    </w:p>
    <w:p w14:paraId="5D22F1B9" w14:textId="05B930D8" w:rsidR="00E0611F" w:rsidRDefault="00E0611F" w:rsidP="00E0611F">
      <w:pPr>
        <w:pStyle w:val="BodyText"/>
      </w:pPr>
      <w:r>
        <w:t xml:space="preserve"> Additionally, the BLM applied stipulation UT-S-123 for Riparian, Floodplains, and Public Water Reserves</w:t>
      </w:r>
      <w:r w:rsidR="002F7D78">
        <w:t xml:space="preserve"> and UT-S-99, UT-S-100 Fragile Soils/Slopes for both parcels 76</w:t>
      </w:r>
      <w:r w:rsidR="3BFB302B">
        <w:t>8</w:t>
      </w:r>
      <w:r w:rsidR="002F7D78">
        <w:t>8 and 1551, and US-S-96 Fragile</w:t>
      </w:r>
      <w:r>
        <w:t xml:space="preserve"> Soils/Slopes for parcel 76</w:t>
      </w:r>
      <w:r w:rsidR="1A25BF28">
        <w:t>8</w:t>
      </w:r>
      <w:r>
        <w:t xml:space="preserve">8 (see Appendix B.1) which would provide protection for geologic exposures along drainages and on slopes that may have paleontological potential. With consideration of these protections, potential effects on paleontological resources of scientific interest would be avoided or mitigated. </w:t>
      </w:r>
    </w:p>
    <w:p w14:paraId="7487FC55" w14:textId="43FC7D96" w:rsidR="00E0611F" w:rsidRDefault="00E0611F" w:rsidP="00E0611F">
      <w:pPr>
        <w:pStyle w:val="BodyText"/>
      </w:pPr>
      <w:r>
        <w:t xml:space="preserve">The cumulative impact scenario described in </w:t>
      </w:r>
      <w:r w:rsidR="00713D12">
        <w:t xml:space="preserve">Section </w:t>
      </w:r>
      <w:r>
        <w:t xml:space="preserve">3.3 provides an overview of cumulative actions. The risk of impacts on paleontological resources from the cumulative scenarios would depend on the locations of proposed disturbance relative to PFYC class. When the potential development of these lease parcels </w:t>
      </w:r>
      <w:r w:rsidR="000E19C2">
        <w:t>is</w:t>
      </w:r>
      <w:r>
        <w:t xml:space="preserve"> combined with these other actions</w:t>
      </w:r>
      <w:r w:rsidR="001E3FF3">
        <w:t>,</w:t>
      </w:r>
      <w:r>
        <w:t xml:space="preserve"> the cumulative impacts to paleontological resources are anticipated to be minimal due to the requirements for resource assessments and mitigation combined with the low </w:t>
      </w:r>
      <w:r w:rsidR="005C1341">
        <w:t xml:space="preserve">percent of total </w:t>
      </w:r>
      <w:r>
        <w:t>acreage that could be impacted by ground disturbing activities or increases in human use of areas.</w:t>
      </w:r>
    </w:p>
    <w:p w14:paraId="2E2B40F5" w14:textId="40DEF0D1" w:rsidR="00DC54FF" w:rsidRPr="00F73934" w:rsidRDefault="00DC54FF" w:rsidP="00DC54FF">
      <w:pPr>
        <w:pStyle w:val="BodyText"/>
      </w:pPr>
      <w:r>
        <w:t>Lease Notices: UT-LN-72: High Potential Paleontological Resources:</w:t>
      </w:r>
      <w:r w:rsidR="00E56469">
        <w:t xml:space="preserve"> </w:t>
      </w:r>
      <w:r w:rsidR="00E56469" w:rsidRPr="00E56469">
        <w:t>All Parcels</w:t>
      </w:r>
    </w:p>
    <w:p w14:paraId="2EDC5974" w14:textId="2039AB53" w:rsidR="00E8591F" w:rsidRDefault="00A83F60" w:rsidP="00E8591F">
      <w:pPr>
        <w:pStyle w:val="AIBChapter3"/>
        <w:rPr>
          <w:rFonts w:hint="eastAsia"/>
        </w:rPr>
      </w:pPr>
      <w:bookmarkStart w:id="135" w:name="_Toc179464247"/>
      <w:bookmarkStart w:id="136" w:name="_Toc170114902"/>
      <w:r w:rsidRPr="00F73934">
        <w:t>Native American Concerns</w:t>
      </w:r>
      <w:bookmarkEnd w:id="135"/>
      <w:bookmarkEnd w:id="136"/>
    </w:p>
    <w:p w14:paraId="4CA4A22A" w14:textId="1CF80257" w:rsidR="00E8591F" w:rsidRPr="00534BFB" w:rsidRDefault="002D682D" w:rsidP="00534BFB">
      <w:pPr>
        <w:pStyle w:val="BodyText"/>
        <w:keepNext/>
        <w:rPr>
          <w:b/>
        </w:rPr>
      </w:pPr>
      <w:r w:rsidRPr="00534BFB">
        <w:rPr>
          <w:b/>
        </w:rPr>
        <w:t>How would future potential development of the nominated lease parcels impact Native American Concerns?</w:t>
      </w:r>
    </w:p>
    <w:p w14:paraId="5080A785" w14:textId="25DCAC2D" w:rsidR="00E8591F" w:rsidRDefault="00E754AE" w:rsidP="00E102AE">
      <w:pPr>
        <w:pStyle w:val="BodyText"/>
      </w:pPr>
      <w:r>
        <w:t xml:space="preserve">As discussed in further detail in </w:t>
      </w:r>
      <w:r w:rsidRPr="00B1317E">
        <w:t xml:space="preserve">Section </w:t>
      </w:r>
      <w:r w:rsidR="00A46FFF" w:rsidRPr="007528B9">
        <w:t>4.2</w:t>
      </w:r>
      <w:r w:rsidR="00FB6BEC" w:rsidRPr="00B1317E">
        <w:fldChar w:fldCharType="begin"/>
      </w:r>
      <w:r w:rsidR="00FB6BEC" w:rsidRPr="00B1317E">
        <w:instrText xml:space="preserve"> REF _Ref164952891 \r \h </w:instrText>
      </w:r>
      <w:r w:rsidR="00FD25BF" w:rsidRPr="009330FB">
        <w:instrText xml:space="preserve"> \* MERGEFORMAT </w:instrText>
      </w:r>
      <w:r w:rsidR="00000000">
        <w:fldChar w:fldCharType="separate"/>
      </w:r>
      <w:r w:rsidR="00FB6BEC" w:rsidRPr="00B1317E">
        <w:fldChar w:fldCharType="end"/>
      </w:r>
      <w:r w:rsidRPr="00B1317E">
        <w:t>,</w:t>
      </w:r>
      <w:r>
        <w:t xml:space="preserve"> the BLM provided project information and an invitation to consult on </w:t>
      </w:r>
      <w:r w:rsidR="00D35B5A">
        <w:t xml:space="preserve">resources of concern to potentially affected Tribes </w:t>
      </w:r>
      <w:r w:rsidR="00FF580E">
        <w:t xml:space="preserve">on </w:t>
      </w:r>
      <w:r w:rsidR="0053665F">
        <w:t>February 13, 2024.</w:t>
      </w:r>
      <w:r w:rsidR="00FF580E">
        <w:t xml:space="preserve"> </w:t>
      </w:r>
      <w:r w:rsidR="00F941A3">
        <w:t xml:space="preserve">To-date, </w:t>
      </w:r>
      <w:r w:rsidR="00E004FA">
        <w:t>n</w:t>
      </w:r>
      <w:r w:rsidR="009366A1">
        <w:t xml:space="preserve">o Tribes have </w:t>
      </w:r>
      <w:r w:rsidR="004D0B8F">
        <w:t>requested government-t</w:t>
      </w:r>
      <w:r w:rsidR="00E004FA">
        <w:t>o</w:t>
      </w:r>
      <w:r w:rsidR="004D0B8F">
        <w:t>-government consultation for the lease sale</w:t>
      </w:r>
      <w:r w:rsidR="00D62144">
        <w:t xml:space="preserve"> or identified any</w:t>
      </w:r>
      <w:r w:rsidR="00267007">
        <w:t xml:space="preserve"> </w:t>
      </w:r>
      <w:r w:rsidR="00941A5E">
        <w:t xml:space="preserve">specific areas </w:t>
      </w:r>
      <w:r w:rsidR="00D62144">
        <w:t xml:space="preserve">or resources </w:t>
      </w:r>
      <w:r w:rsidR="00941A5E">
        <w:t>of concern</w:t>
      </w:r>
      <w:r w:rsidR="00267007">
        <w:t>.</w:t>
      </w:r>
      <w:r w:rsidR="00097513">
        <w:t xml:space="preserve"> </w:t>
      </w:r>
      <w:r w:rsidR="009F20BA">
        <w:t>Data available to the</w:t>
      </w:r>
      <w:r w:rsidR="00097513">
        <w:t xml:space="preserve"> BLM </w:t>
      </w:r>
      <w:r w:rsidR="008D4481">
        <w:t xml:space="preserve">does </w:t>
      </w:r>
      <w:r w:rsidR="00B37DA4">
        <w:t>not</w:t>
      </w:r>
      <w:r w:rsidR="008D4481">
        <w:t xml:space="preserve"> </w:t>
      </w:r>
      <w:r w:rsidR="009F20BA">
        <w:t>indicate any</w:t>
      </w:r>
      <w:r w:rsidR="007B7EF6">
        <w:t xml:space="preserve"> documented Traditional Cultural Properties or Sacred Sites located within or proximal to the nominated lease parcels</w:t>
      </w:r>
      <w:r w:rsidR="006820EC">
        <w:t xml:space="preserve">; however, resources and locations of </w:t>
      </w:r>
      <w:r w:rsidR="00264359">
        <w:t xml:space="preserve">concern to Native American Tribes may </w:t>
      </w:r>
      <w:r w:rsidR="00C373D8">
        <w:t>be present.</w:t>
      </w:r>
      <w:r w:rsidR="00A21ADC">
        <w:t xml:space="preserve"> Further information regarding the potential for additional resources of concern for Tribes may be obtained through on-going outreach, coordination, or consultation.</w:t>
      </w:r>
      <w:r w:rsidR="00EA7EDD">
        <w:t xml:space="preserve"> Additional opportunities to </w:t>
      </w:r>
      <w:r w:rsidR="00AC3C0E">
        <w:t>engage with Tribes regarding</w:t>
      </w:r>
      <w:r w:rsidR="00A21ADC">
        <w:t xml:space="preserve"> areas o</w:t>
      </w:r>
      <w:r w:rsidR="00AC3C0E">
        <w:t>r</w:t>
      </w:r>
      <w:r w:rsidR="00A21ADC">
        <w:t xml:space="preserve"> resource</w:t>
      </w:r>
      <w:r w:rsidR="00AC3C0E">
        <w:t>s</w:t>
      </w:r>
      <w:r w:rsidR="00A21ADC">
        <w:t xml:space="preserve"> </w:t>
      </w:r>
      <w:r w:rsidR="00AC3C0E">
        <w:t xml:space="preserve">of </w:t>
      </w:r>
      <w:r w:rsidR="00A21ADC">
        <w:t>concern</w:t>
      </w:r>
      <w:r w:rsidR="00AC3C0E">
        <w:t xml:space="preserve"> remain available</w:t>
      </w:r>
      <w:r w:rsidR="006D7C1E">
        <w:t xml:space="preserve"> throughout the leasing process and </w:t>
      </w:r>
      <w:r w:rsidR="007D7004">
        <w:t xml:space="preserve">in subsequent NEPA and NHPA reviews that would be required if the nominated parcels are </w:t>
      </w:r>
      <w:proofErr w:type="gramStart"/>
      <w:r w:rsidR="007D7004">
        <w:t>leased</w:t>
      </w:r>
      <w:proofErr w:type="gramEnd"/>
      <w:r w:rsidR="007D7004">
        <w:t xml:space="preserve"> and development is proposed.</w:t>
      </w:r>
    </w:p>
    <w:p w14:paraId="3CE37A5E" w14:textId="46B3A9B8" w:rsidR="00534BFB" w:rsidRPr="00534BFB" w:rsidRDefault="002D682D" w:rsidP="00534BFB">
      <w:pPr>
        <w:pStyle w:val="AIBChapter3"/>
        <w:rPr>
          <w:rFonts w:hint="eastAsia"/>
        </w:rPr>
      </w:pPr>
      <w:bookmarkStart w:id="137" w:name="_Toc179464248"/>
      <w:bookmarkStart w:id="138" w:name="_Toc170114903"/>
      <w:r>
        <w:lastRenderedPageBreak/>
        <w:t xml:space="preserve">Environmental </w:t>
      </w:r>
      <w:r w:rsidRPr="00534BFB">
        <w:t>Justice</w:t>
      </w:r>
      <w:bookmarkEnd w:id="137"/>
      <w:bookmarkEnd w:id="138"/>
    </w:p>
    <w:p w14:paraId="10701BC7" w14:textId="38030458" w:rsidR="00534BFB" w:rsidRPr="00534BFB" w:rsidRDefault="002D682D" w:rsidP="00534BFB">
      <w:pPr>
        <w:pStyle w:val="BodyText"/>
        <w:keepNext/>
        <w:rPr>
          <w:b/>
          <w:bCs/>
        </w:rPr>
      </w:pPr>
      <w:r w:rsidRPr="00534BFB">
        <w:rPr>
          <w:b/>
          <w:bCs/>
        </w:rPr>
        <w:t>How</w:t>
      </w:r>
      <w:r w:rsidRPr="00534BFB">
        <w:rPr>
          <w:b/>
        </w:rPr>
        <w:t xml:space="preserve"> would future potential development of the nominated lease parcels </w:t>
      </w:r>
      <w:r w:rsidR="008A5278" w:rsidRPr="00534BFB">
        <w:rPr>
          <w:b/>
        </w:rPr>
        <w:t xml:space="preserve">impact </w:t>
      </w:r>
      <w:r w:rsidRPr="00534BFB">
        <w:rPr>
          <w:b/>
        </w:rPr>
        <w:t>Environmental Justice (EJ) populations</w:t>
      </w:r>
      <w:r w:rsidR="008A5278" w:rsidRPr="00534BFB">
        <w:rPr>
          <w:b/>
        </w:rPr>
        <w:t xml:space="preserve"> in Uintah and Duchesne Count</w:t>
      </w:r>
      <w:r w:rsidR="00003F3B" w:rsidRPr="00534BFB">
        <w:rPr>
          <w:b/>
        </w:rPr>
        <w:t>ies</w:t>
      </w:r>
      <w:r w:rsidRPr="00534BFB">
        <w:rPr>
          <w:b/>
        </w:rPr>
        <w:t>?</w:t>
      </w:r>
    </w:p>
    <w:p w14:paraId="5069C36F" w14:textId="1C7782C6" w:rsidR="008D3DF6" w:rsidRDefault="008D3DF6" w:rsidP="003D5FB7">
      <w:pPr>
        <w:pStyle w:val="BodyText"/>
      </w:pPr>
      <w:r w:rsidRPr="008D3DF6">
        <w:t xml:space="preserve"> </w:t>
      </w:r>
      <w:r>
        <w:t>Environmental justice refers to the fair treatment and meaningful involvement of people of all races, cultures, and incomes with respect to the development, implementation, and enforcement of environmental laws, regulations, programs, and policies (CEQ, 1997). Executive Order 12898, Federal Actions to Address Environmental Justice in Minority Populations and Low-Income Populations (February 16, 1994), requires federal agencies to determine whether proposed actions would have disproportionately high and adverse environmental impacts to minority, low-income, and American Indian populations of concern. BLM policy, as contained in BLM Land Use Planning Handbook H-1601- 1 and BLM IM 2022-059, provides direction on how to fulfill agency responsibilities under Executive Order 12898.</w:t>
      </w:r>
    </w:p>
    <w:p w14:paraId="047B6599" w14:textId="32403CD2" w:rsidR="008D3DF6" w:rsidRDefault="008D3DF6" w:rsidP="003D5FB7">
      <w:pPr>
        <w:pStyle w:val="BodyText"/>
      </w:pPr>
      <w:r>
        <w:t xml:space="preserve">The CEQ developed guidance </w:t>
      </w:r>
      <w:sdt>
        <w:sdtPr>
          <w:id w:val="1007861623"/>
          <w:citation/>
        </w:sdtPr>
        <w:sdtContent>
          <w:r w:rsidR="00D04C77">
            <w:fldChar w:fldCharType="begin"/>
          </w:r>
          <w:r w:rsidR="00D04C77">
            <w:instrText xml:space="preserve"> CITATION CEQ231 \l 1033 </w:instrText>
          </w:r>
          <w:r w:rsidR="00D04C77">
            <w:fldChar w:fldCharType="separate"/>
          </w:r>
          <w:r w:rsidR="0093463A">
            <w:rPr>
              <w:noProof/>
            </w:rPr>
            <w:t>(CEQ, 2023)</w:t>
          </w:r>
          <w:r w:rsidR="00D04C77">
            <w:fldChar w:fldCharType="end"/>
          </w:r>
        </w:sdtContent>
      </w:sdt>
      <w:r>
        <w:t xml:space="preserve"> to assist federal agencies with their NEPA procedures so that EJ concerns are effectively identified and addressed. The guidance focuses on identifying minority and low-income EJ populations using census data. The BLM’s IM 2022-059 builds upon CEQ’s guidance and provides further direction for considering EJ concerns in BLM-prepared NEPA documents, including a detailed framework for identifying EJ populations using census data as well as several other recommended data sources.</w:t>
      </w:r>
    </w:p>
    <w:p w14:paraId="21C8431F" w14:textId="77777777" w:rsidR="008D3DF6" w:rsidRDefault="008D3DF6" w:rsidP="003D5FB7">
      <w:pPr>
        <w:pStyle w:val="BodyText"/>
      </w:pPr>
      <w:r>
        <w:t>The environmental justice analysis areas for this lease sale are Duchesne and Uintah Counties, Utah because this is where the parcels are located. The reference area is the State of Utah. Additionally, several census tracts in the immediate vicinity of the Proposed Action are included.</w:t>
      </w:r>
    </w:p>
    <w:p w14:paraId="3C9A2ECC" w14:textId="4FF14DF6" w:rsidR="00CE19AA" w:rsidRDefault="00CE19AA" w:rsidP="00CE19AA">
      <w:pPr>
        <w:spacing w:before="241"/>
        <w:ind w:left="120"/>
        <w:jc w:val="both"/>
        <w:rPr>
          <w:b/>
          <w:sz w:val="24"/>
        </w:rPr>
      </w:pPr>
    </w:p>
    <w:p w14:paraId="770C128C" w14:textId="48EF2226" w:rsidR="009441E7" w:rsidRDefault="009441E7" w:rsidP="00E5737B">
      <w:pPr>
        <w:pStyle w:val="Caption"/>
      </w:pPr>
      <w:bookmarkStart w:id="139" w:name="_Toc179464291"/>
      <w:bookmarkStart w:id="140" w:name="_Toc170114946"/>
      <w:r>
        <w:t xml:space="preserve">Table </w:t>
      </w:r>
      <w:r w:rsidR="00BB3F01">
        <w:fldChar w:fldCharType="begin"/>
      </w:r>
      <w:r w:rsidR="00BB3F01">
        <w:instrText xml:space="preserve"> SEQ Table \* ARABIC </w:instrText>
      </w:r>
      <w:r w:rsidR="00BB3F01">
        <w:fldChar w:fldCharType="separate"/>
      </w:r>
      <w:r w:rsidR="00BB3F01">
        <w:rPr>
          <w:noProof/>
        </w:rPr>
        <w:t>10</w:t>
      </w:r>
      <w:r w:rsidR="00BB3F01">
        <w:rPr>
          <w:noProof/>
        </w:rPr>
        <w:fldChar w:fldCharType="end"/>
      </w:r>
      <w:r>
        <w:t xml:space="preserve"> </w:t>
      </w:r>
      <w:r w:rsidRPr="008E40BF">
        <w:t>Demographic data</w:t>
      </w:r>
      <w:bookmarkEnd w:id="139"/>
      <w:bookmarkEnd w:id="140"/>
    </w:p>
    <w:tbl>
      <w:tblPr>
        <w:tblW w:w="9350" w:type="dxa"/>
        <w:tblInd w:w="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10"/>
        <w:gridCol w:w="1342"/>
        <w:gridCol w:w="1342"/>
        <w:gridCol w:w="1553"/>
        <w:gridCol w:w="1403"/>
      </w:tblGrid>
      <w:tr w:rsidR="00CE19AA" w14:paraId="29B5BF4F" w14:textId="77777777" w:rsidTr="004B76E9">
        <w:trPr>
          <w:trHeight w:val="506"/>
        </w:trPr>
        <w:tc>
          <w:tcPr>
            <w:tcW w:w="3710" w:type="dxa"/>
            <w:shd w:val="clear" w:color="auto" w:fill="F1F1F1"/>
            <w:vAlign w:val="bottom"/>
          </w:tcPr>
          <w:p w14:paraId="02021C7C" w14:textId="77777777" w:rsidR="00CE19AA" w:rsidRDefault="00CE19AA">
            <w:pPr>
              <w:pStyle w:val="TableParagraph"/>
              <w:spacing w:before="253" w:line="233" w:lineRule="exact"/>
              <w:ind w:left="107"/>
              <w:jc w:val="left"/>
            </w:pPr>
            <w:r>
              <w:rPr>
                <w:spacing w:val="-2"/>
              </w:rPr>
              <w:t>Geography</w:t>
            </w:r>
          </w:p>
        </w:tc>
        <w:tc>
          <w:tcPr>
            <w:tcW w:w="1342" w:type="dxa"/>
            <w:shd w:val="clear" w:color="auto" w:fill="F1F1F1"/>
            <w:vAlign w:val="bottom"/>
          </w:tcPr>
          <w:p w14:paraId="260B6264" w14:textId="77777777" w:rsidR="00CE19AA" w:rsidRDefault="00CE19AA">
            <w:pPr>
              <w:pStyle w:val="TableParagraph"/>
              <w:spacing w:before="253" w:line="233" w:lineRule="exact"/>
              <w:ind w:right="3"/>
            </w:pPr>
            <w:r>
              <w:rPr>
                <w:spacing w:val="-2"/>
              </w:rPr>
              <w:t>Population (2022)</w:t>
            </w:r>
          </w:p>
        </w:tc>
        <w:tc>
          <w:tcPr>
            <w:tcW w:w="1342" w:type="dxa"/>
            <w:shd w:val="clear" w:color="auto" w:fill="F1F1F1"/>
            <w:vAlign w:val="bottom"/>
          </w:tcPr>
          <w:p w14:paraId="1DCA69A7" w14:textId="77777777" w:rsidR="00CE19AA" w:rsidRDefault="00CE19AA">
            <w:pPr>
              <w:pStyle w:val="TableParagraph"/>
              <w:spacing w:before="253" w:line="233" w:lineRule="exact"/>
              <w:ind w:right="2"/>
            </w:pPr>
            <w:r>
              <w:t>Low</w:t>
            </w:r>
            <w:r>
              <w:rPr>
                <w:spacing w:val="-6"/>
              </w:rPr>
              <w:t xml:space="preserve"> </w:t>
            </w:r>
            <w:r>
              <w:rPr>
                <w:spacing w:val="-2"/>
              </w:rPr>
              <w:t>Income</w:t>
            </w:r>
          </w:p>
        </w:tc>
        <w:tc>
          <w:tcPr>
            <w:tcW w:w="1553" w:type="dxa"/>
            <w:shd w:val="clear" w:color="auto" w:fill="F1F1F1"/>
            <w:vAlign w:val="bottom"/>
          </w:tcPr>
          <w:p w14:paraId="7943F58B" w14:textId="77777777" w:rsidR="00CE19AA" w:rsidRDefault="00CE19AA">
            <w:pPr>
              <w:pStyle w:val="TableParagraph"/>
              <w:spacing w:before="253" w:line="233" w:lineRule="exact"/>
              <w:ind w:left="9"/>
            </w:pPr>
            <w:r>
              <w:rPr>
                <w:spacing w:val="-2"/>
              </w:rPr>
              <w:t>Minority</w:t>
            </w:r>
          </w:p>
        </w:tc>
        <w:tc>
          <w:tcPr>
            <w:tcW w:w="1403" w:type="dxa"/>
            <w:shd w:val="clear" w:color="auto" w:fill="F1F1F1"/>
            <w:vAlign w:val="bottom"/>
          </w:tcPr>
          <w:p w14:paraId="3F2FD972" w14:textId="77777777" w:rsidR="00CE19AA" w:rsidRDefault="00CE19AA">
            <w:pPr>
              <w:pStyle w:val="TableParagraph"/>
              <w:spacing w:line="254" w:lineRule="exact"/>
              <w:ind w:left="270" w:right="256" w:firstLine="140"/>
            </w:pPr>
            <w:r>
              <w:rPr>
                <w:spacing w:val="-2"/>
              </w:rPr>
              <w:t>Native American</w:t>
            </w:r>
          </w:p>
        </w:tc>
      </w:tr>
      <w:tr w:rsidR="00CE19AA" w14:paraId="74737865" w14:textId="77777777" w:rsidTr="004B76E9">
        <w:trPr>
          <w:trHeight w:val="297"/>
        </w:trPr>
        <w:tc>
          <w:tcPr>
            <w:tcW w:w="3710" w:type="dxa"/>
          </w:tcPr>
          <w:p w14:paraId="3C790BD2" w14:textId="77777777" w:rsidR="00CE19AA" w:rsidRDefault="00CE19AA">
            <w:pPr>
              <w:pStyle w:val="TableParagraph"/>
              <w:spacing w:before="44" w:line="233" w:lineRule="exact"/>
              <w:ind w:left="107"/>
              <w:jc w:val="left"/>
            </w:pPr>
            <w:r>
              <w:t>Duchesne County</w:t>
            </w:r>
          </w:p>
        </w:tc>
        <w:tc>
          <w:tcPr>
            <w:tcW w:w="1342" w:type="dxa"/>
          </w:tcPr>
          <w:p w14:paraId="0AC75421" w14:textId="77777777" w:rsidR="00CE19AA" w:rsidRDefault="00CE19AA">
            <w:pPr>
              <w:pStyle w:val="TableParagraph"/>
              <w:spacing w:line="251" w:lineRule="exact"/>
              <w:ind w:right="3"/>
              <w:rPr>
                <w:spacing w:val="-2"/>
              </w:rPr>
            </w:pPr>
            <w:r>
              <w:rPr>
                <w:spacing w:val="-2"/>
              </w:rPr>
              <w:t>19,443</w:t>
            </w:r>
          </w:p>
        </w:tc>
        <w:tc>
          <w:tcPr>
            <w:tcW w:w="1342" w:type="dxa"/>
          </w:tcPr>
          <w:p w14:paraId="1BF32B7D" w14:textId="77777777" w:rsidR="00CE19AA" w:rsidRDefault="00CE19AA">
            <w:pPr>
              <w:pStyle w:val="TableParagraph"/>
              <w:spacing w:line="251" w:lineRule="exact"/>
              <w:rPr>
                <w:spacing w:val="-5"/>
              </w:rPr>
            </w:pPr>
            <w:r>
              <w:rPr>
                <w:spacing w:val="-5"/>
              </w:rPr>
              <w:t>32.9%</w:t>
            </w:r>
          </w:p>
        </w:tc>
        <w:tc>
          <w:tcPr>
            <w:tcW w:w="1553" w:type="dxa"/>
          </w:tcPr>
          <w:p w14:paraId="5AD82869" w14:textId="77777777" w:rsidR="00CE19AA" w:rsidRDefault="00CE19AA">
            <w:pPr>
              <w:pStyle w:val="TableParagraph"/>
              <w:spacing w:line="251" w:lineRule="exact"/>
              <w:ind w:left="9"/>
              <w:rPr>
                <w:spacing w:val="-2"/>
              </w:rPr>
            </w:pPr>
            <w:r>
              <w:rPr>
                <w:spacing w:val="-2"/>
              </w:rPr>
              <w:t>15.7%</w:t>
            </w:r>
          </w:p>
        </w:tc>
        <w:tc>
          <w:tcPr>
            <w:tcW w:w="1403" w:type="dxa"/>
          </w:tcPr>
          <w:p w14:paraId="3193215B" w14:textId="77777777" w:rsidR="00CE19AA" w:rsidRDefault="00CE19AA">
            <w:pPr>
              <w:pStyle w:val="TableParagraph"/>
              <w:spacing w:line="251" w:lineRule="exact"/>
              <w:ind w:left="10" w:right="1"/>
              <w:rPr>
                <w:spacing w:val="-4"/>
              </w:rPr>
            </w:pPr>
            <w:r>
              <w:rPr>
                <w:spacing w:val="-4"/>
              </w:rPr>
              <w:t>3.4%</w:t>
            </w:r>
          </w:p>
        </w:tc>
      </w:tr>
      <w:tr w:rsidR="00CE19AA" w14:paraId="6A457B5A" w14:textId="77777777" w:rsidTr="004B76E9">
        <w:trPr>
          <w:trHeight w:val="297"/>
        </w:trPr>
        <w:tc>
          <w:tcPr>
            <w:tcW w:w="3710" w:type="dxa"/>
          </w:tcPr>
          <w:p w14:paraId="0CDEC0D1" w14:textId="77777777" w:rsidR="00CE19AA" w:rsidRDefault="00CE19AA">
            <w:pPr>
              <w:pStyle w:val="TableParagraph"/>
              <w:spacing w:before="44" w:line="233" w:lineRule="exact"/>
              <w:ind w:left="107"/>
              <w:jc w:val="left"/>
            </w:pPr>
            <w:r>
              <w:t>Uintah</w:t>
            </w:r>
            <w:r>
              <w:rPr>
                <w:spacing w:val="-8"/>
              </w:rPr>
              <w:t xml:space="preserve"> </w:t>
            </w:r>
            <w:r>
              <w:rPr>
                <w:spacing w:val="-2"/>
              </w:rPr>
              <w:t>County</w:t>
            </w:r>
          </w:p>
        </w:tc>
        <w:tc>
          <w:tcPr>
            <w:tcW w:w="1342" w:type="dxa"/>
          </w:tcPr>
          <w:p w14:paraId="5897CACC" w14:textId="77777777" w:rsidR="00CE19AA" w:rsidRDefault="00CE19AA">
            <w:pPr>
              <w:pStyle w:val="TableParagraph"/>
              <w:spacing w:line="251" w:lineRule="exact"/>
              <w:ind w:right="3"/>
            </w:pPr>
            <w:r>
              <w:rPr>
                <w:spacing w:val="-2"/>
              </w:rPr>
              <w:t>35,473</w:t>
            </w:r>
          </w:p>
        </w:tc>
        <w:tc>
          <w:tcPr>
            <w:tcW w:w="1342" w:type="dxa"/>
          </w:tcPr>
          <w:p w14:paraId="524BC8C7" w14:textId="77777777" w:rsidR="00CE19AA" w:rsidRDefault="00CE19AA">
            <w:pPr>
              <w:pStyle w:val="TableParagraph"/>
              <w:spacing w:line="251" w:lineRule="exact"/>
            </w:pPr>
            <w:r>
              <w:rPr>
                <w:spacing w:val="-5"/>
              </w:rPr>
              <w:t>34.3 %</w:t>
            </w:r>
          </w:p>
        </w:tc>
        <w:tc>
          <w:tcPr>
            <w:tcW w:w="1553" w:type="dxa"/>
          </w:tcPr>
          <w:p w14:paraId="40625DDF" w14:textId="77777777" w:rsidR="00CE19AA" w:rsidRDefault="00CE19AA">
            <w:pPr>
              <w:pStyle w:val="TableParagraph"/>
              <w:spacing w:line="251" w:lineRule="exact"/>
              <w:ind w:left="9"/>
            </w:pPr>
            <w:r>
              <w:rPr>
                <w:spacing w:val="-2"/>
              </w:rPr>
              <w:t>20.0%</w:t>
            </w:r>
          </w:p>
        </w:tc>
        <w:tc>
          <w:tcPr>
            <w:tcW w:w="1403" w:type="dxa"/>
          </w:tcPr>
          <w:p w14:paraId="18B81D37" w14:textId="77777777" w:rsidR="00CE19AA" w:rsidRDefault="00CE19AA">
            <w:pPr>
              <w:pStyle w:val="TableParagraph"/>
              <w:spacing w:line="251" w:lineRule="exact"/>
              <w:ind w:left="10" w:right="1"/>
            </w:pPr>
            <w:r>
              <w:rPr>
                <w:spacing w:val="-4"/>
              </w:rPr>
              <w:t>6.1%</w:t>
            </w:r>
          </w:p>
        </w:tc>
      </w:tr>
      <w:tr w:rsidR="00CE19AA" w14:paraId="1FDD0F87" w14:textId="77777777" w:rsidTr="004B76E9">
        <w:trPr>
          <w:trHeight w:val="299"/>
        </w:trPr>
        <w:tc>
          <w:tcPr>
            <w:tcW w:w="3710" w:type="dxa"/>
          </w:tcPr>
          <w:p w14:paraId="069A2AA1" w14:textId="77777777" w:rsidR="00CE19AA" w:rsidRPr="00C23E6C" w:rsidRDefault="00CE19AA">
            <w:pPr>
              <w:pStyle w:val="TableParagraph"/>
              <w:spacing w:before="46" w:line="233" w:lineRule="exact"/>
              <w:ind w:left="107"/>
              <w:jc w:val="left"/>
            </w:pPr>
            <w:r>
              <w:t xml:space="preserve">Census </w:t>
            </w:r>
            <w:r w:rsidRPr="00C23E6C">
              <w:t>Block</w:t>
            </w:r>
            <w:r w:rsidRPr="00C23E6C">
              <w:rPr>
                <w:spacing w:val="-7"/>
              </w:rPr>
              <w:t xml:space="preserve"> </w:t>
            </w:r>
            <w:r w:rsidRPr="00C23E6C">
              <w:t>Group</w:t>
            </w:r>
            <w:r w:rsidRPr="00C23E6C">
              <w:rPr>
                <w:spacing w:val="-8"/>
              </w:rPr>
              <w:t xml:space="preserve"> </w:t>
            </w:r>
            <w:r w:rsidRPr="00C23E6C">
              <w:rPr>
                <w:spacing w:val="-2"/>
              </w:rPr>
              <w:t>490479402011</w:t>
            </w:r>
          </w:p>
        </w:tc>
        <w:tc>
          <w:tcPr>
            <w:tcW w:w="1342" w:type="dxa"/>
          </w:tcPr>
          <w:p w14:paraId="63620A6C" w14:textId="77777777" w:rsidR="00CE19AA" w:rsidRPr="00C23E6C" w:rsidRDefault="00CE19AA">
            <w:pPr>
              <w:pStyle w:val="TableParagraph"/>
              <w:ind w:right="1"/>
            </w:pPr>
            <w:r w:rsidRPr="00C23E6C">
              <w:rPr>
                <w:spacing w:val="-5"/>
              </w:rPr>
              <w:t>324</w:t>
            </w:r>
          </w:p>
        </w:tc>
        <w:tc>
          <w:tcPr>
            <w:tcW w:w="1342" w:type="dxa"/>
          </w:tcPr>
          <w:p w14:paraId="4336CA52" w14:textId="77777777" w:rsidR="00CE19AA" w:rsidRPr="00C23E6C" w:rsidRDefault="00CE19AA">
            <w:pPr>
              <w:pStyle w:val="TableParagraph"/>
            </w:pPr>
            <w:r w:rsidRPr="00C23E6C">
              <w:rPr>
                <w:spacing w:val="-5"/>
              </w:rPr>
              <w:t>46%</w:t>
            </w:r>
          </w:p>
        </w:tc>
        <w:tc>
          <w:tcPr>
            <w:tcW w:w="1553" w:type="dxa"/>
          </w:tcPr>
          <w:p w14:paraId="27FC73A6" w14:textId="77777777" w:rsidR="00CE19AA" w:rsidRPr="00C23E6C" w:rsidRDefault="00CE19AA">
            <w:pPr>
              <w:pStyle w:val="TableParagraph"/>
              <w:ind w:left="9"/>
            </w:pPr>
            <w:r w:rsidRPr="00C23E6C">
              <w:rPr>
                <w:spacing w:val="-5"/>
              </w:rPr>
              <w:t>49%</w:t>
            </w:r>
          </w:p>
        </w:tc>
        <w:tc>
          <w:tcPr>
            <w:tcW w:w="1403" w:type="dxa"/>
          </w:tcPr>
          <w:p w14:paraId="1AED6233" w14:textId="77777777" w:rsidR="00CE19AA" w:rsidRPr="00C23E6C" w:rsidRDefault="00CE19AA">
            <w:pPr>
              <w:pStyle w:val="TableParagraph"/>
              <w:ind w:left="10"/>
            </w:pPr>
            <w:r w:rsidRPr="00C23E6C">
              <w:rPr>
                <w:spacing w:val="-2"/>
              </w:rPr>
              <w:t>22%</w:t>
            </w:r>
          </w:p>
        </w:tc>
      </w:tr>
      <w:tr w:rsidR="00CE19AA" w14:paraId="44C88767" w14:textId="77777777" w:rsidTr="004B76E9">
        <w:trPr>
          <w:trHeight w:val="301"/>
        </w:trPr>
        <w:tc>
          <w:tcPr>
            <w:tcW w:w="3710" w:type="dxa"/>
          </w:tcPr>
          <w:p w14:paraId="7EA96F14" w14:textId="77777777" w:rsidR="00CE19AA" w:rsidRDefault="00CE19AA">
            <w:pPr>
              <w:pStyle w:val="TableParagraph"/>
              <w:spacing w:before="47" w:line="233" w:lineRule="exact"/>
              <w:ind w:left="107"/>
              <w:jc w:val="left"/>
            </w:pPr>
            <w:r>
              <w:t>Reference</w:t>
            </w:r>
            <w:r>
              <w:rPr>
                <w:spacing w:val="-8"/>
              </w:rPr>
              <w:t xml:space="preserve"> </w:t>
            </w:r>
            <w:r>
              <w:t>Area:</w:t>
            </w:r>
            <w:r>
              <w:rPr>
                <w:spacing w:val="-7"/>
              </w:rPr>
              <w:t xml:space="preserve"> </w:t>
            </w:r>
            <w:r>
              <w:t>State</w:t>
            </w:r>
            <w:r>
              <w:rPr>
                <w:spacing w:val="-8"/>
              </w:rPr>
              <w:t xml:space="preserve"> </w:t>
            </w:r>
            <w:r>
              <w:t>of</w:t>
            </w:r>
            <w:r>
              <w:rPr>
                <w:spacing w:val="-7"/>
              </w:rPr>
              <w:t xml:space="preserve"> </w:t>
            </w:r>
            <w:r>
              <w:rPr>
                <w:spacing w:val="-4"/>
              </w:rPr>
              <w:t>Utah</w:t>
            </w:r>
          </w:p>
        </w:tc>
        <w:tc>
          <w:tcPr>
            <w:tcW w:w="1342" w:type="dxa"/>
          </w:tcPr>
          <w:p w14:paraId="45174595" w14:textId="77777777" w:rsidR="00CE19AA" w:rsidRDefault="00CE19AA">
            <w:pPr>
              <w:pStyle w:val="TableParagraph"/>
              <w:ind w:right="2"/>
            </w:pPr>
            <w:r>
              <w:rPr>
                <w:spacing w:val="-2"/>
              </w:rPr>
              <w:t>3,151,239</w:t>
            </w:r>
          </w:p>
        </w:tc>
        <w:tc>
          <w:tcPr>
            <w:tcW w:w="1342" w:type="dxa"/>
          </w:tcPr>
          <w:p w14:paraId="28D52D96" w14:textId="77777777" w:rsidR="00CE19AA" w:rsidRDefault="00CE19AA">
            <w:pPr>
              <w:pStyle w:val="TableParagraph"/>
              <w:spacing w:before="47" w:line="233" w:lineRule="exact"/>
            </w:pPr>
            <w:r>
              <w:rPr>
                <w:spacing w:val="-5"/>
              </w:rPr>
              <w:t>26%</w:t>
            </w:r>
          </w:p>
        </w:tc>
        <w:tc>
          <w:tcPr>
            <w:tcW w:w="1553" w:type="dxa"/>
          </w:tcPr>
          <w:p w14:paraId="15429FC6" w14:textId="77777777" w:rsidR="00CE19AA" w:rsidRDefault="00CE19AA">
            <w:pPr>
              <w:pStyle w:val="TableParagraph"/>
              <w:spacing w:before="47" w:line="233" w:lineRule="exact"/>
              <w:ind w:left="9"/>
            </w:pPr>
            <w:r>
              <w:rPr>
                <w:spacing w:val="-2"/>
              </w:rPr>
              <w:t>22.7%</w:t>
            </w:r>
          </w:p>
        </w:tc>
        <w:tc>
          <w:tcPr>
            <w:tcW w:w="1403" w:type="dxa"/>
          </w:tcPr>
          <w:p w14:paraId="37F81EF6" w14:textId="77777777" w:rsidR="00CE19AA" w:rsidRDefault="00CE19AA">
            <w:pPr>
              <w:pStyle w:val="TableParagraph"/>
              <w:ind w:left="10"/>
            </w:pPr>
            <w:r>
              <w:rPr>
                <w:spacing w:val="-4"/>
              </w:rPr>
              <w:t>2.0%</w:t>
            </w:r>
            <w:r>
              <w:rPr>
                <w:rStyle w:val="FootnoteReference"/>
                <w:rFonts w:eastAsiaTheme="majorEastAsia"/>
                <w:spacing w:val="-4"/>
              </w:rPr>
              <w:footnoteReference w:id="8"/>
            </w:r>
          </w:p>
        </w:tc>
      </w:tr>
    </w:tbl>
    <w:p w14:paraId="3E44445F" w14:textId="77777777" w:rsidR="005A2211" w:rsidRPr="005A2211" w:rsidRDefault="00CE19AA" w:rsidP="005A2211">
      <w:pPr>
        <w:pStyle w:val="BodyText"/>
        <w:rPr>
          <w:rStyle w:val="BodyTextChar"/>
          <w:sz w:val="18"/>
          <w:szCs w:val="18"/>
        </w:rPr>
      </w:pPr>
      <w:r w:rsidRPr="005A2211">
        <w:rPr>
          <w:rStyle w:val="BodyTextChar"/>
          <w:sz w:val="18"/>
          <w:szCs w:val="18"/>
        </w:rPr>
        <w:t xml:space="preserve">Data sources: EPA </w:t>
      </w:r>
      <w:proofErr w:type="spellStart"/>
      <w:r w:rsidRPr="005A2211">
        <w:rPr>
          <w:rStyle w:val="BodyTextChar"/>
          <w:sz w:val="18"/>
          <w:szCs w:val="18"/>
        </w:rPr>
        <w:t>EJScreen</w:t>
      </w:r>
      <w:proofErr w:type="spellEnd"/>
      <w:r w:rsidRPr="005A2211">
        <w:rPr>
          <w:rStyle w:val="BodyTextChar"/>
          <w:sz w:val="18"/>
          <w:szCs w:val="18"/>
        </w:rPr>
        <w:t xml:space="preserve">: </w:t>
      </w:r>
      <w:hyperlink r:id="rId27">
        <w:r w:rsidRPr="005A2211">
          <w:rPr>
            <w:rStyle w:val="BodyTextChar"/>
            <w:sz w:val="18"/>
            <w:szCs w:val="18"/>
          </w:rPr>
          <w:t>http://www.epa.gov/ejscreen</w:t>
        </w:r>
      </w:hyperlink>
      <w:r w:rsidRPr="005A2211">
        <w:rPr>
          <w:rStyle w:val="BodyTextChar"/>
          <w:sz w:val="18"/>
          <w:szCs w:val="18"/>
        </w:rPr>
        <w:t xml:space="preserve"> (accessed April 2024); BLM Environmental Justice Mapping Tool; not publicly available (accessed April 2024). Both rely on the same Census Bureau American Community Survey data.</w:t>
      </w:r>
      <w:r w:rsidR="008A3F3F" w:rsidRPr="005A2211">
        <w:rPr>
          <w:rStyle w:val="BodyTextChar"/>
          <w:sz w:val="18"/>
          <w:szCs w:val="18"/>
        </w:rPr>
        <w:t xml:space="preserve"> </w:t>
      </w:r>
    </w:p>
    <w:p w14:paraId="481FF6FE" w14:textId="5728A8AD" w:rsidR="001F39D8" w:rsidRDefault="007159C2" w:rsidP="005A2211">
      <w:pPr>
        <w:pStyle w:val="BodyText"/>
      </w:pPr>
      <w:r w:rsidRPr="001F39D8">
        <w:rPr>
          <w:rStyle w:val="BodyTextChar"/>
        </w:rPr>
        <w:t>A low-income community of concern is present if a low-income population in one or more study area geographies is at or above the low-income level of the reference area or is at or above 50 percent. This screening identified that both counties and the very sparsely populated census block group met or exceeded these criteria. A low-income EJ community of concern, therefore, is identified for the purposes of this analysis. It should be noted that the low-income data for these areas is of relatively low reliability, according to the Census Bureau, due to sampling error inherent in small populations.</w:t>
      </w:r>
      <w:r w:rsidR="0005483A">
        <w:rPr>
          <w:rStyle w:val="BodyTextChar"/>
        </w:rPr>
        <w:t xml:space="preserve"> </w:t>
      </w:r>
      <w:r w:rsidRPr="001F39D8">
        <w:rPr>
          <w:rStyle w:val="BodyTextChar"/>
        </w:rPr>
        <w:t xml:space="preserve">A minority community of concern is present if the percentage of the population identified as belonging to a minority group in a study area is equal to or greater than 50 percent, or it is more than 10 percentage points higher </w:t>
      </w:r>
      <w:r w:rsidRPr="001F39D8">
        <w:rPr>
          <w:rStyle w:val="BodyTextChar"/>
        </w:rPr>
        <w:lastRenderedPageBreak/>
        <w:t>than that of the reference area; neither county meets this threshold, but the census block group does. BLM has defined a separate threshold for Native American populations, to distinguish this group from other minority populations. Since the Native American population in both counties exceeds the state reference level, it</w:t>
      </w:r>
      <w:r w:rsidR="005B20BB">
        <w:rPr>
          <w:rStyle w:val="BodyTextChar"/>
        </w:rPr>
        <w:t xml:space="preserve"> </w:t>
      </w:r>
      <w:r w:rsidRPr="001F39D8">
        <w:rPr>
          <w:rStyle w:val="BodyTextChar"/>
        </w:rPr>
        <w:t xml:space="preserve">is considered a population of concern (BLM 2024).  It is also worth noting that lease parcel 7688 lies in very close proximity to the </w:t>
      </w:r>
      <w:proofErr w:type="spellStart"/>
      <w:r w:rsidRPr="001F39D8">
        <w:rPr>
          <w:rStyle w:val="BodyTextChar"/>
        </w:rPr>
        <w:t>Hill</w:t>
      </w:r>
      <w:r w:rsidR="004B321B">
        <w:rPr>
          <w:rStyle w:val="BodyTextChar"/>
        </w:rPr>
        <w:t>creek</w:t>
      </w:r>
      <w:proofErr w:type="spellEnd"/>
      <w:r w:rsidR="004B321B">
        <w:rPr>
          <w:rStyle w:val="BodyTextChar"/>
        </w:rPr>
        <w:t xml:space="preserve"> Extension of the Uinta</w:t>
      </w:r>
      <w:r w:rsidR="00AC008D">
        <w:rPr>
          <w:rStyle w:val="BodyTextChar"/>
        </w:rPr>
        <w:t>h</w:t>
      </w:r>
      <w:r w:rsidR="008F67A4">
        <w:rPr>
          <w:rStyle w:val="BodyTextChar"/>
        </w:rPr>
        <w:t xml:space="preserve"> &amp; </w:t>
      </w:r>
      <w:r w:rsidRPr="001F39D8">
        <w:rPr>
          <w:rStyle w:val="BodyTextChar"/>
        </w:rPr>
        <w:t>Ouray Reservation.</w:t>
      </w:r>
      <w:r w:rsidR="0005483A">
        <w:rPr>
          <w:rStyle w:val="BodyTextChar"/>
        </w:rPr>
        <w:t xml:space="preserve"> </w:t>
      </w:r>
      <w:r w:rsidRPr="001F39D8">
        <w:rPr>
          <w:rStyle w:val="BodyTextChar"/>
        </w:rPr>
        <w:t>The BLM realizes that additional adverse impacts may be identified by local communities as specific development locations and types are proposed. The parcels in question are far removed from population centers</w:t>
      </w:r>
      <w:r w:rsidR="004F61D7">
        <w:rPr>
          <w:rStyle w:val="BodyTextChar"/>
        </w:rPr>
        <w:t>, r</w:t>
      </w:r>
      <w:r w:rsidRPr="001F39D8">
        <w:rPr>
          <w:rStyle w:val="BodyTextChar"/>
        </w:rPr>
        <w:t xml:space="preserve">educing the likelihood of adverse impacts to </w:t>
      </w:r>
      <w:proofErr w:type="gramStart"/>
      <w:r w:rsidRPr="001F39D8">
        <w:rPr>
          <w:rStyle w:val="BodyTextChar"/>
        </w:rPr>
        <w:t>local residents</w:t>
      </w:r>
      <w:proofErr w:type="gramEnd"/>
      <w:r w:rsidRPr="001F39D8">
        <w:rPr>
          <w:rStyle w:val="BodyTextChar"/>
        </w:rPr>
        <w:t xml:space="preserve">, including identified EJ communities. </w:t>
      </w:r>
      <w:commentRangeStart w:id="141"/>
      <w:r w:rsidRPr="001F39D8">
        <w:rPr>
          <w:rStyle w:val="BodyTextChar"/>
        </w:rPr>
        <w:t>The</w:t>
      </w:r>
      <w:commentRangeEnd w:id="141"/>
      <w:r w:rsidR="00356AD1">
        <w:rPr>
          <w:rStyle w:val="CommentReference"/>
        </w:rPr>
        <w:commentReference w:id="141"/>
      </w:r>
      <w:r w:rsidRPr="001F39D8">
        <w:rPr>
          <w:rStyle w:val="BodyTextChar"/>
        </w:rPr>
        <w:t xml:space="preserve"> BLM would provide EJ communities of concern with opportunities to identify any perceived adverse environmental impacts at the time of site- specific analysis during the APD stage. As a result, the </w:t>
      </w:r>
      <w:r w:rsidR="0B3C8761" w:rsidRPr="50B28F42">
        <w:rPr>
          <w:rStyle w:val="BodyTextChar"/>
        </w:rPr>
        <w:t>above</w:t>
      </w:r>
      <w:r w:rsidRPr="001F39D8">
        <w:rPr>
          <w:rStyle w:val="BodyTextChar"/>
        </w:rPr>
        <w:t xml:space="preserve"> discussion assesses only the effects for the issues identified by the BLM during scoping associated with this leasing process. </w:t>
      </w:r>
      <w:r w:rsidR="00785ADE" w:rsidRPr="00785ADE">
        <w:rPr>
          <w:rStyle w:val="BodyTextChar"/>
        </w:rPr>
        <w:t xml:space="preserve">BLM Utah uses stipulations and COAs to minimize effects to nearby populations, including communities of concern, during construction and operations, to the extent </w:t>
      </w:r>
      <w:r w:rsidR="00C35C68" w:rsidRPr="00785ADE">
        <w:rPr>
          <w:rStyle w:val="BodyTextChar"/>
        </w:rPr>
        <w:t xml:space="preserve">practicable. </w:t>
      </w:r>
      <w:r w:rsidR="00C35C68" w:rsidRPr="001F39D8">
        <w:rPr>
          <w:rStyle w:val="BodyTextChar"/>
        </w:rPr>
        <w:t>The</w:t>
      </w:r>
      <w:r w:rsidRPr="001F39D8">
        <w:rPr>
          <w:rStyle w:val="BodyTextChar"/>
        </w:rPr>
        <w:t xml:space="preserve"> BLM would continue to work with potentially affected communities of concern to identify and address additional EJ issues as they arise.</w:t>
      </w:r>
      <w:r w:rsidR="0005483A">
        <w:rPr>
          <w:rStyle w:val="BodyTextChar"/>
        </w:rPr>
        <w:t xml:space="preserve"> </w:t>
      </w:r>
      <w:r w:rsidR="68DCEA75" w:rsidRPr="001F39D8">
        <w:rPr>
          <w:rStyle w:val="BodyTextChar"/>
        </w:rPr>
        <w:t xml:space="preserve">Oil and gas activity is expected to continue within the project area for the foreseeable </w:t>
      </w:r>
      <w:r w:rsidR="00620AB2" w:rsidRPr="001F39D8">
        <w:rPr>
          <w:rStyle w:val="BodyTextChar"/>
        </w:rPr>
        <w:t>future</w:t>
      </w:r>
      <w:r w:rsidR="68DCEA75" w:rsidRPr="001F39D8">
        <w:rPr>
          <w:rStyle w:val="BodyTextChar"/>
        </w:rPr>
        <w:t xml:space="preserve">, with attendant potential impacts to EJ </w:t>
      </w:r>
      <w:r w:rsidR="00D1737B" w:rsidRPr="001F39D8">
        <w:rPr>
          <w:rStyle w:val="BodyTextChar"/>
        </w:rPr>
        <w:t>communities</w:t>
      </w:r>
      <w:r w:rsidR="68DCEA75" w:rsidRPr="001F39D8">
        <w:rPr>
          <w:rStyle w:val="BodyTextChar"/>
        </w:rPr>
        <w:t>, as described above</w:t>
      </w:r>
      <w:r w:rsidR="431EBB83" w:rsidRPr="001F39D8">
        <w:rPr>
          <w:rStyle w:val="BodyTextChar"/>
        </w:rPr>
        <w:t>.</w:t>
      </w:r>
      <w:r w:rsidR="00C61968">
        <w:t xml:space="preserve">  </w:t>
      </w:r>
    </w:p>
    <w:p w14:paraId="5B4FBB6A" w14:textId="551CACD9" w:rsidR="002D682D" w:rsidRPr="000162F0" w:rsidRDefault="00612BD9" w:rsidP="0013773E">
      <w:pPr>
        <w:pStyle w:val="AIBChapter3"/>
        <w:rPr>
          <w:rFonts w:hint="eastAsia"/>
        </w:rPr>
      </w:pPr>
      <w:bookmarkStart w:id="144" w:name="_Toc179464249"/>
      <w:bookmarkStart w:id="145" w:name="_Toc170114904"/>
      <w:r>
        <w:t>Pronghorn</w:t>
      </w:r>
      <w:bookmarkEnd w:id="144"/>
      <w:bookmarkEnd w:id="145"/>
    </w:p>
    <w:p w14:paraId="1CD5BD68" w14:textId="67381393" w:rsidR="002D682D" w:rsidRPr="005965FB" w:rsidRDefault="002D682D" w:rsidP="002D682D">
      <w:pPr>
        <w:pStyle w:val="BodyText"/>
        <w:keepNext/>
        <w:rPr>
          <w:b/>
          <w:bCs/>
        </w:rPr>
      </w:pPr>
      <w:r w:rsidRPr="005965FB">
        <w:rPr>
          <w:b/>
          <w:bCs/>
        </w:rPr>
        <w:t xml:space="preserve">How would future potential development of the nominated lease parcels impact </w:t>
      </w:r>
      <w:r w:rsidR="00CD653A">
        <w:rPr>
          <w:b/>
          <w:bCs/>
        </w:rPr>
        <w:t>pro</w:t>
      </w:r>
      <w:r w:rsidR="00E41D2F">
        <w:rPr>
          <w:b/>
          <w:bCs/>
        </w:rPr>
        <w:t xml:space="preserve">nghorn </w:t>
      </w:r>
      <w:r w:rsidR="00F66197">
        <w:rPr>
          <w:b/>
          <w:bCs/>
        </w:rPr>
        <w:t>and pronghorn crucial year long and crucial fawning habitat</w:t>
      </w:r>
      <w:r w:rsidRPr="005965FB">
        <w:rPr>
          <w:b/>
          <w:bCs/>
        </w:rPr>
        <w:t>?</w:t>
      </w:r>
    </w:p>
    <w:p w14:paraId="3E825058" w14:textId="694BCB3C" w:rsidR="00C85875" w:rsidRDefault="0087347F" w:rsidP="009C0DFD">
      <w:pPr>
        <w:pStyle w:val="BodyText"/>
      </w:pPr>
      <w:r>
        <w:t xml:space="preserve">The </w:t>
      </w:r>
      <w:r w:rsidR="00B350CD">
        <w:t xml:space="preserve">parcels both occur </w:t>
      </w:r>
      <w:r w:rsidR="0042396C">
        <w:t xml:space="preserve">in the Utah Division of Wildlife Resources </w:t>
      </w:r>
      <w:r w:rsidR="007D1AF2">
        <w:t>(UDWR)</w:t>
      </w:r>
      <w:r w:rsidR="00212F05">
        <w:t xml:space="preserve"> Pronghorn </w:t>
      </w:r>
      <w:r w:rsidR="004E3589">
        <w:t>M</w:t>
      </w:r>
      <w:r w:rsidR="00212F05">
        <w:t xml:space="preserve">anagement </w:t>
      </w:r>
      <w:r w:rsidR="004E3589">
        <w:t>U</w:t>
      </w:r>
      <w:r w:rsidR="00212F05">
        <w:t xml:space="preserve">nit Bonanza </w:t>
      </w:r>
      <w:r w:rsidR="009B4038">
        <w:t xml:space="preserve">and Diamond Mountain. </w:t>
      </w:r>
      <w:r w:rsidR="00BE66F7">
        <w:t xml:space="preserve">The entire management unit </w:t>
      </w:r>
      <w:r w:rsidR="00A87461">
        <w:t>(approximately</w:t>
      </w:r>
      <w:r w:rsidR="00A533B6">
        <w:t xml:space="preserve"> 521,000 acres</w:t>
      </w:r>
      <w:r w:rsidR="00A87461">
        <w:t>)</w:t>
      </w:r>
      <w:r w:rsidR="00A533B6">
        <w:t xml:space="preserve"> </w:t>
      </w:r>
      <w:r w:rsidR="00BE66F7">
        <w:t xml:space="preserve">is </w:t>
      </w:r>
      <w:r w:rsidR="00A92689">
        <w:t xml:space="preserve">in </w:t>
      </w:r>
      <w:r w:rsidR="00BE66F7">
        <w:t xml:space="preserve">year-long crucial </w:t>
      </w:r>
      <w:r w:rsidR="00A92689">
        <w:t>habitat</w:t>
      </w:r>
      <w:r w:rsidR="00965AEE">
        <w:t xml:space="preserve">. </w:t>
      </w:r>
      <w:r w:rsidR="00911A3B">
        <w:t xml:space="preserve">These parcels </w:t>
      </w:r>
      <w:r w:rsidR="007903BD">
        <w:t>may contain fawning habitat, however, UDWR has not delin</w:t>
      </w:r>
      <w:r w:rsidR="008209D0">
        <w:t>e</w:t>
      </w:r>
      <w:r w:rsidR="007903BD">
        <w:t xml:space="preserve">ated </w:t>
      </w:r>
      <w:r w:rsidR="00AE4ABC">
        <w:t>fawning habitat for this area.</w:t>
      </w:r>
      <w:r w:rsidR="007903BD">
        <w:t xml:space="preserve"> </w:t>
      </w:r>
      <w:r w:rsidR="003448F2">
        <w:t xml:space="preserve">Both parcels are </w:t>
      </w:r>
      <w:r w:rsidR="00C02CFD">
        <w:t xml:space="preserve">contained in the salt desert shrub habitat type. </w:t>
      </w:r>
      <w:r w:rsidR="00C85875">
        <w:t xml:space="preserve">The </w:t>
      </w:r>
      <w:r w:rsidR="00AE0C0F">
        <w:t xml:space="preserve">Unit contains areas </w:t>
      </w:r>
      <w:r w:rsidR="00D22666">
        <w:t>with large flats and varied geography including hills and cliffs</w:t>
      </w:r>
      <w:r w:rsidR="009D3D6D">
        <w:t>.</w:t>
      </w:r>
      <w:r w:rsidR="00D055B2">
        <w:t xml:space="preserve"> </w:t>
      </w:r>
      <w:r w:rsidR="00E63789">
        <w:t xml:space="preserve">There is a large oil field south of the parcels that </w:t>
      </w:r>
      <w:r w:rsidR="009C2370">
        <w:t>was observed in a</w:t>
      </w:r>
      <w:r w:rsidR="1EBF9ECC">
        <w:t>e</w:t>
      </w:r>
      <w:r w:rsidR="009C2370">
        <w:t>r</w:t>
      </w:r>
      <w:r w:rsidR="00D0056E">
        <w:t>i</w:t>
      </w:r>
      <w:r w:rsidR="009C2370">
        <w:t>a</w:t>
      </w:r>
      <w:r w:rsidR="00F26E7E">
        <w:t>l</w:t>
      </w:r>
      <w:r w:rsidR="009C2370">
        <w:t xml:space="preserve"> photos</w:t>
      </w:r>
      <w:r w:rsidR="004D7C9F">
        <w:t xml:space="preserve"> and other </w:t>
      </w:r>
      <w:r w:rsidR="00FF5598">
        <w:t xml:space="preserve">oil and gas development </w:t>
      </w:r>
      <w:r w:rsidR="00F41E6F">
        <w:t xml:space="preserve">along with </w:t>
      </w:r>
      <w:r w:rsidR="00BA1E58">
        <w:t xml:space="preserve">service </w:t>
      </w:r>
      <w:r w:rsidR="00FF5598">
        <w:t xml:space="preserve">roads </w:t>
      </w:r>
      <w:r w:rsidR="00806F20">
        <w:t xml:space="preserve">nearby. </w:t>
      </w:r>
      <w:r w:rsidR="59F48CAF">
        <w:t>Oil and gas f</w:t>
      </w:r>
      <w:r w:rsidR="41E85433">
        <w:t>ields</w:t>
      </w:r>
      <w:r w:rsidR="59F48CAF">
        <w:t xml:space="preserve"> can have negative effects on populations however they appear to not have a population effec</w:t>
      </w:r>
      <w:r w:rsidR="1403CA38">
        <w:t>t on this herd unit.  See figure 1 below.</w:t>
      </w:r>
      <w:r w:rsidR="004C59D1">
        <w:t xml:space="preserve"> </w:t>
      </w:r>
      <w:r w:rsidR="000438C5">
        <w:t xml:space="preserve">The </w:t>
      </w:r>
      <w:r w:rsidR="00FA2110">
        <w:t xml:space="preserve">pronghorn </w:t>
      </w:r>
      <w:r w:rsidR="00B62265">
        <w:t xml:space="preserve">generally </w:t>
      </w:r>
      <w:proofErr w:type="gramStart"/>
      <w:r w:rsidR="00B62265">
        <w:t>prefer</w:t>
      </w:r>
      <w:proofErr w:type="gramEnd"/>
      <w:r w:rsidR="00B62265">
        <w:t xml:space="preserve"> the flatter more open areas because the</w:t>
      </w:r>
      <w:r w:rsidR="00D56271">
        <w:t>y</w:t>
      </w:r>
      <w:r w:rsidR="00B62265">
        <w:t xml:space="preserve"> have very powerful eyesi</w:t>
      </w:r>
      <w:r w:rsidR="005A708B">
        <w:t>gh</w:t>
      </w:r>
      <w:r w:rsidR="00B62265">
        <w:t>t and can detect predators better in open country</w:t>
      </w:r>
      <w:r w:rsidR="0072062E">
        <w:t xml:space="preserve">, however they can be found in the broken county as well. The flats in the unit </w:t>
      </w:r>
      <w:r w:rsidR="00731969">
        <w:t xml:space="preserve">have oil and gas development but </w:t>
      </w:r>
      <w:r w:rsidR="0077112A">
        <w:t>some</w:t>
      </w:r>
      <w:r w:rsidR="002A61B3">
        <w:t xml:space="preserve"> are still unoccupied. There is also domestic livestock grazing </w:t>
      </w:r>
      <w:r w:rsidR="00DF731C">
        <w:t xml:space="preserve">in the unit where some competition for forbs </w:t>
      </w:r>
      <w:r w:rsidR="00CE1AA4">
        <w:t>occurs between the pronghorn and domestic livestock.</w:t>
      </w:r>
      <w:r w:rsidR="00731969">
        <w:t xml:space="preserve"> </w:t>
      </w:r>
      <w:r w:rsidR="00973491">
        <w:t>There are a few agricultural center piv</w:t>
      </w:r>
      <w:r w:rsidR="00C316DF">
        <w:t>o</w:t>
      </w:r>
      <w:r w:rsidR="00973491">
        <w:t>ts mostly located near the Green River and some in the south end of the Unit</w:t>
      </w:r>
      <w:r w:rsidR="009D3422">
        <w:t xml:space="preserve">. Pronghorn probably </w:t>
      </w:r>
      <w:r w:rsidR="00825024">
        <w:t>benefit by using those as forage.</w:t>
      </w:r>
    </w:p>
    <w:p w14:paraId="6B29A6CC" w14:textId="315650CD" w:rsidR="00764A3B" w:rsidRDefault="00977A31" w:rsidP="009C0DFD">
      <w:pPr>
        <w:pStyle w:val="BodyText"/>
      </w:pPr>
      <w:r>
        <w:t>Pronghorn population number</w:t>
      </w:r>
      <w:r w:rsidR="008777A6">
        <w:t>s</w:t>
      </w:r>
      <w:r>
        <w:t xml:space="preserve"> have varied widely </w:t>
      </w:r>
      <w:r w:rsidR="00681CC3">
        <w:t>in this herd unit and have range</w:t>
      </w:r>
      <w:r w:rsidR="008777A6">
        <w:t>d</w:t>
      </w:r>
      <w:r w:rsidR="00681CC3">
        <w:t xml:space="preserve"> from </w:t>
      </w:r>
      <w:r w:rsidR="003B3084">
        <w:t>295</w:t>
      </w:r>
      <w:r w:rsidR="00CC4125">
        <w:t xml:space="preserve"> </w:t>
      </w:r>
      <w:r w:rsidR="008572BB">
        <w:t>to</w:t>
      </w:r>
      <w:r w:rsidR="003B3084">
        <w:t xml:space="preserve"> </w:t>
      </w:r>
      <w:r w:rsidR="00CC4125">
        <w:t>389</w:t>
      </w:r>
      <w:r w:rsidR="00BB66A4">
        <w:t xml:space="preserve"> </w:t>
      </w:r>
      <w:r w:rsidR="00E36F83">
        <w:t>between 2000 and</w:t>
      </w:r>
      <w:r w:rsidR="00BB66A4">
        <w:t xml:space="preserve"> 2022</w:t>
      </w:r>
      <w:r w:rsidR="00E36F83">
        <w:t xml:space="preserve"> (see </w:t>
      </w:r>
      <w:r w:rsidR="00643F77">
        <w:t>Figure 1</w:t>
      </w:r>
      <w:r w:rsidR="00E36F83">
        <w:t>)</w:t>
      </w:r>
      <w:r w:rsidR="00927459">
        <w:t xml:space="preserve">. </w:t>
      </w:r>
      <w:r w:rsidR="001C0DEB">
        <w:t>Potential</w:t>
      </w:r>
      <w:r w:rsidR="00927459">
        <w:t xml:space="preserve"> development </w:t>
      </w:r>
      <w:r w:rsidR="001C0DEB">
        <w:t>of the nominated lease parcels</w:t>
      </w:r>
      <w:r w:rsidR="00927459">
        <w:t xml:space="preserve"> would result </w:t>
      </w:r>
      <w:r w:rsidR="006C2965">
        <w:t xml:space="preserve">is direct loss of vegetation </w:t>
      </w:r>
      <w:r w:rsidR="008D356D">
        <w:t xml:space="preserve">on 20 acres and habitat fragmentation </w:t>
      </w:r>
      <w:r w:rsidR="00FC6046">
        <w:t>would be increased in the herd u</w:t>
      </w:r>
      <w:r w:rsidR="00B72484">
        <w:t>nit</w:t>
      </w:r>
      <w:r w:rsidR="00261113">
        <w:t xml:space="preserve"> </w:t>
      </w:r>
      <w:r w:rsidR="002F2C9C">
        <w:t xml:space="preserve">with any additional roads built and </w:t>
      </w:r>
      <w:r w:rsidR="00327BCF">
        <w:t>pad construction</w:t>
      </w:r>
      <w:r w:rsidR="00B72484">
        <w:t xml:space="preserve">. </w:t>
      </w:r>
      <w:r w:rsidR="00A45205">
        <w:t xml:space="preserve">Habitat fragmentation </w:t>
      </w:r>
      <w:r w:rsidR="00F37BAD">
        <w:t xml:space="preserve">is a major concern for pronghorn and may reduce </w:t>
      </w:r>
      <w:r w:rsidR="0086015C">
        <w:t>population growth,</w:t>
      </w:r>
      <w:r w:rsidR="00F37BAD">
        <w:t xml:space="preserve"> especially if development occurs on migration corridors</w:t>
      </w:r>
      <w:r w:rsidR="000A4A19">
        <w:t xml:space="preserve"> </w:t>
      </w:r>
      <w:sdt>
        <w:sdtPr>
          <w:id w:val="989982353"/>
          <w:citation/>
        </w:sdtPr>
        <w:sdtContent>
          <w:r w:rsidR="009B192C">
            <w:fldChar w:fldCharType="begin"/>
          </w:r>
          <w:r w:rsidR="009B192C">
            <w:instrText xml:space="preserve"> CITATION San22 \l 1033 </w:instrText>
          </w:r>
          <w:r w:rsidR="009B192C">
            <w:fldChar w:fldCharType="separate"/>
          </w:r>
          <w:r w:rsidR="0093463A">
            <w:rPr>
              <w:noProof/>
            </w:rPr>
            <w:t>(Sandoval Lambert, 2022)</w:t>
          </w:r>
          <w:r w:rsidR="009B192C">
            <w:fldChar w:fldCharType="end"/>
          </w:r>
        </w:sdtContent>
      </w:sdt>
      <w:r w:rsidR="00F37BAD">
        <w:t xml:space="preserve">. </w:t>
      </w:r>
      <w:r w:rsidR="000A4A19">
        <w:t xml:space="preserve">There </w:t>
      </w:r>
      <w:proofErr w:type="gramStart"/>
      <w:r w:rsidR="000A4A19">
        <w:t>are</w:t>
      </w:r>
      <w:proofErr w:type="gramEnd"/>
      <w:r w:rsidR="000A4A19">
        <w:t xml:space="preserve"> no GPS collared pronghorn in this area</w:t>
      </w:r>
      <w:r w:rsidR="00B72484">
        <w:t xml:space="preserve"> </w:t>
      </w:r>
      <w:r w:rsidR="00D051F7">
        <w:t xml:space="preserve">that could show migration </w:t>
      </w:r>
      <w:commentRangeStart w:id="146"/>
      <w:r w:rsidR="00D051F7">
        <w:t>patterns</w:t>
      </w:r>
      <w:commentRangeEnd w:id="146"/>
      <w:r w:rsidR="005A078A">
        <w:rPr>
          <w:rStyle w:val="CommentReference"/>
        </w:rPr>
        <w:commentReference w:id="146"/>
      </w:r>
      <w:r w:rsidR="00D051F7">
        <w:t xml:space="preserve">. </w:t>
      </w:r>
      <w:r w:rsidR="00975132" w:rsidRPr="00975132">
        <w:t xml:space="preserve">UT-LN-13 Pronghorn Fawning Habitat UT-LN-14 are applied </w:t>
      </w:r>
      <w:r w:rsidR="006D3193">
        <w:t xml:space="preserve">to both parcels and </w:t>
      </w:r>
      <w:r w:rsidR="00975132" w:rsidRPr="00975132">
        <w:t xml:space="preserve">are sufficient to protect pronghorn species according to BLM and/or State data. </w:t>
      </w:r>
      <w:r w:rsidR="00D051F7">
        <w:t xml:space="preserve"> </w:t>
      </w:r>
    </w:p>
    <w:p w14:paraId="64E6EC0F" w14:textId="7391D157" w:rsidR="00D0226A" w:rsidRDefault="00D0226A" w:rsidP="004B76E9">
      <w:pPr>
        <w:pStyle w:val="Caption"/>
        <w:jc w:val="center"/>
      </w:pPr>
    </w:p>
    <w:p w14:paraId="22992B6B" w14:textId="77777777" w:rsidR="002C4D28" w:rsidRDefault="000713BA" w:rsidP="002C4D28">
      <w:pPr>
        <w:pStyle w:val="BodyText"/>
        <w:keepNext/>
        <w:jc w:val="center"/>
      </w:pPr>
      <w:r>
        <w:rPr>
          <w:noProof/>
          <w14:ligatures w14:val="standardContextual"/>
        </w:rPr>
        <w:drawing>
          <wp:inline distT="0" distB="0" distL="0" distR="0" wp14:anchorId="78B210E6" wp14:editId="70770B7F">
            <wp:extent cx="4572000" cy="2743200"/>
            <wp:effectExtent l="0" t="0" r="0" b="0"/>
            <wp:docPr id="192752857" name="Chart 1">
              <a:extLst xmlns:a="http://schemas.openxmlformats.org/drawingml/2006/main">
                <a:ext uri="{FF2B5EF4-FFF2-40B4-BE49-F238E27FC236}">
                  <a16:creationId xmlns:a16="http://schemas.microsoft.com/office/drawing/2014/main" id="{BB54D874-17EA-3A05-EB8E-A630777F85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A31886" w14:textId="50D3BB67" w:rsidR="009441E7" w:rsidRDefault="002C4D28" w:rsidP="00DC3451">
      <w:pPr>
        <w:pStyle w:val="Caption"/>
        <w:jc w:val="center"/>
      </w:pPr>
      <w:bookmarkStart w:id="147" w:name="_Toc179464319"/>
      <w:bookmarkStart w:id="148" w:name="_Toc170114974"/>
      <w:r>
        <w:t xml:space="preserve">Figure </w:t>
      </w:r>
      <w:r w:rsidR="00821807">
        <w:fldChar w:fldCharType="begin"/>
      </w:r>
      <w:r w:rsidR="00821807">
        <w:instrText xml:space="preserve"> SEQ Figure \* ARABIC </w:instrText>
      </w:r>
      <w:r w:rsidR="00821807">
        <w:fldChar w:fldCharType="separate"/>
      </w:r>
      <w:r w:rsidR="00821807">
        <w:rPr>
          <w:noProof/>
        </w:rPr>
        <w:t>1</w:t>
      </w:r>
      <w:r w:rsidR="00821807">
        <w:rPr>
          <w:noProof/>
        </w:rPr>
        <w:fldChar w:fldCharType="end"/>
      </w:r>
      <w:r>
        <w:t xml:space="preserve"> </w:t>
      </w:r>
      <w:r w:rsidRPr="002931CA">
        <w:t>Bonanza/Diamond Mountain Spring Pronghorn Populations</w:t>
      </w:r>
      <w:bookmarkEnd w:id="147"/>
      <w:bookmarkEnd w:id="148"/>
    </w:p>
    <w:p w14:paraId="7D456B58" w14:textId="0FB23A8F" w:rsidR="00C85306" w:rsidRDefault="009441E7" w:rsidP="009C0DFD">
      <w:pPr>
        <w:pStyle w:val="BodyText"/>
      </w:pPr>
      <w:r w:rsidRPr="00777644">
        <w:t>Bonanza/Diamond Mountain Pronghorn Unit</w:t>
      </w:r>
      <w:r w:rsidR="00297B35">
        <w:t xml:space="preserve"> </w:t>
      </w:r>
      <w:r w:rsidR="00C85306">
        <w:t>Lease Notices:</w:t>
      </w:r>
    </w:p>
    <w:p w14:paraId="79E2F83B" w14:textId="19044091" w:rsidR="00003F3B" w:rsidRPr="00297B35" w:rsidRDefault="00B450B5" w:rsidP="009C0DFD">
      <w:pPr>
        <w:pStyle w:val="BodyText"/>
      </w:pPr>
      <w:r>
        <w:t>UT-LN-</w:t>
      </w:r>
      <w:r w:rsidR="00CA5F2C">
        <w:t xml:space="preserve">13 Pronghorn Fawning </w:t>
      </w:r>
      <w:r w:rsidR="00504B52">
        <w:t>H</w:t>
      </w:r>
      <w:r w:rsidR="00CA5F2C">
        <w:t>abitat</w:t>
      </w:r>
      <w:r w:rsidR="00A81094">
        <w:t xml:space="preserve"> UT-LN-</w:t>
      </w:r>
      <w:r w:rsidR="002C6090">
        <w:t>14</w:t>
      </w:r>
    </w:p>
    <w:p w14:paraId="4ED007D6" w14:textId="76C3C18B" w:rsidR="002D682D" w:rsidRPr="00011BCF" w:rsidRDefault="002D682D" w:rsidP="0013773E">
      <w:pPr>
        <w:pStyle w:val="AIBChapter3"/>
        <w:rPr>
          <w:rFonts w:hint="eastAsia"/>
        </w:rPr>
      </w:pPr>
      <w:bookmarkStart w:id="149" w:name="_Toc163734199"/>
      <w:bookmarkStart w:id="150" w:name="_Toc179464250"/>
      <w:bookmarkStart w:id="151" w:name="_Toc170114905"/>
      <w:r>
        <w:t>Vegetation</w:t>
      </w:r>
      <w:bookmarkEnd w:id="149"/>
      <w:r w:rsidR="00BD66E2">
        <w:t xml:space="preserve"> </w:t>
      </w:r>
      <w:r w:rsidR="000C51E9">
        <w:t xml:space="preserve">Communities and </w:t>
      </w:r>
      <w:r w:rsidR="00D537AE">
        <w:t xml:space="preserve">Animal </w:t>
      </w:r>
      <w:r w:rsidR="000C51E9">
        <w:t>Habitat</w:t>
      </w:r>
      <w:bookmarkEnd w:id="150"/>
      <w:bookmarkEnd w:id="151"/>
    </w:p>
    <w:p w14:paraId="1DC97A68" w14:textId="38728F3E" w:rsidR="002D682D" w:rsidRPr="00110987" w:rsidRDefault="002D682D" w:rsidP="002D682D">
      <w:pPr>
        <w:pStyle w:val="BodyText"/>
        <w:keepNext/>
        <w:rPr>
          <w:b/>
          <w:bCs/>
        </w:rPr>
      </w:pPr>
      <w:r w:rsidRPr="00110987">
        <w:rPr>
          <w:b/>
          <w:bCs/>
        </w:rPr>
        <w:t xml:space="preserve">How would potential development of the nominated lease parcels impact </w:t>
      </w:r>
      <w:r w:rsidR="00612BD9">
        <w:rPr>
          <w:b/>
          <w:bCs/>
        </w:rPr>
        <w:t xml:space="preserve">terrestrial </w:t>
      </w:r>
      <w:r w:rsidRPr="00110987">
        <w:rPr>
          <w:b/>
          <w:bCs/>
        </w:rPr>
        <w:t>vegetation</w:t>
      </w:r>
      <w:r w:rsidR="00451C88">
        <w:rPr>
          <w:b/>
          <w:bCs/>
        </w:rPr>
        <w:t xml:space="preserve"> communities and the animals that use them</w:t>
      </w:r>
      <w:r w:rsidR="00BA3A25">
        <w:rPr>
          <w:b/>
          <w:bCs/>
        </w:rPr>
        <w:t xml:space="preserve"> as habitat</w:t>
      </w:r>
      <w:r w:rsidRPr="00110987">
        <w:rPr>
          <w:b/>
          <w:bCs/>
        </w:rPr>
        <w:t>?</w:t>
      </w:r>
    </w:p>
    <w:p w14:paraId="153FB307" w14:textId="577B4650" w:rsidR="00007D86" w:rsidRDefault="00BD66E2" w:rsidP="00007D86">
      <w:pPr>
        <w:pStyle w:val="BodyText"/>
      </w:pPr>
      <w:r>
        <w:t>Potential</w:t>
      </w:r>
      <w:r w:rsidR="00007D86">
        <w:t xml:space="preserve"> development of the </w:t>
      </w:r>
      <w:r w:rsidR="00503347">
        <w:t>nominated lease parcels</w:t>
      </w:r>
      <w:r w:rsidR="00007D86">
        <w:t xml:space="preserve"> would result in new surface disturbance and potential loss of vegetation in approximately 20 acres of the 833.3 acres based on the RFD in Section </w:t>
      </w:r>
      <w:r w:rsidR="00007D86" w:rsidRPr="008D1CDF">
        <w:fldChar w:fldCharType="begin"/>
      </w:r>
      <w:r w:rsidR="00007D86" w:rsidRPr="008D1CDF">
        <w:instrText xml:space="preserve"> REF _Ref127546029 \r \h </w:instrText>
      </w:r>
      <w:r w:rsidR="008D1CDF" w:rsidRPr="008D1CDF">
        <w:instrText xml:space="preserve"> \* MERGEFORMAT </w:instrText>
      </w:r>
      <w:r w:rsidR="00007D86" w:rsidRPr="008D1CDF">
        <w:fldChar w:fldCharType="separate"/>
      </w:r>
      <w:r w:rsidR="00007D86" w:rsidRPr="008D1CDF">
        <w:t>3.2.1</w:t>
      </w:r>
      <w:r w:rsidR="00007D86" w:rsidRPr="008D1CDF">
        <w:fldChar w:fldCharType="end"/>
      </w:r>
      <w:r w:rsidR="00007D86" w:rsidRPr="008D1CDF">
        <w:t>.</w:t>
      </w:r>
      <w:r w:rsidR="00007D86">
        <w:t xml:space="preserve"> Any activity that involves surface disturbance or direct resource impacts would have to be authorized as a lease operation through future NEPA analysis, on a case-by-case basis, at the APD stage. Reclamation provisions/procedures including re-vegetation (utilizing appropriate seed mix based on the ecological site, elevation, and topography) would be a part of the APD analysis. </w:t>
      </w:r>
    </w:p>
    <w:p w14:paraId="47C3D674" w14:textId="353C8888" w:rsidR="00007D86" w:rsidRDefault="00007D86" w:rsidP="00007D86">
      <w:pPr>
        <w:pStyle w:val="BodyText"/>
      </w:pPr>
      <w:r>
        <w:t xml:space="preserve">Terrestrial upland vegetation within the </w:t>
      </w:r>
      <w:r w:rsidR="00503347">
        <w:t xml:space="preserve">nominated lease </w:t>
      </w:r>
      <w:r>
        <w:t>parcel</w:t>
      </w:r>
      <w:r w:rsidR="00503347">
        <w:t>s</w:t>
      </w:r>
      <w:r>
        <w:t xml:space="preserve"> is dominated by globally and regionally common vegetation communities </w:t>
      </w:r>
      <w:r w:rsidR="00A5387B">
        <w:t>including</w:t>
      </w:r>
      <w:r>
        <w:t xml:space="preserve"> </w:t>
      </w:r>
      <w:r w:rsidR="0064110D" w:rsidRPr="00CF6C3F">
        <w:t>Great Basin</w:t>
      </w:r>
      <w:r w:rsidR="00B95239" w:rsidRPr="00CF6C3F">
        <w:t xml:space="preserve"> </w:t>
      </w:r>
      <w:r w:rsidR="00697DAB" w:rsidRPr="00CF6C3F">
        <w:t>saltbush scrub</w:t>
      </w:r>
      <w:r w:rsidR="00112048" w:rsidRPr="00CF6C3F">
        <w:t xml:space="preserve"> and</w:t>
      </w:r>
      <w:r w:rsidR="00697DAB" w:rsidRPr="00CF6C3F">
        <w:t xml:space="preserve"> </w:t>
      </w:r>
      <w:r w:rsidR="000E4B79" w:rsidRPr="00CF6C3F">
        <w:t xml:space="preserve">Intermountain </w:t>
      </w:r>
      <w:r w:rsidRPr="00CF6C3F">
        <w:t>shadscale – saltbush scrub</w:t>
      </w:r>
      <w:r w:rsidR="00112048" w:rsidRPr="00CF6C3F">
        <w:t>.</w:t>
      </w:r>
      <w:r w:rsidRPr="00CF6C3F">
        <w:t xml:space="preserve"> Additional upland terrestrial vegetation communities within the parcels that are more uncommon at the watershed scale include: Intermountain </w:t>
      </w:r>
      <w:r w:rsidR="00B35BE4" w:rsidRPr="00CF6C3F">
        <w:t xml:space="preserve">Basins cliff scree &amp; badland sparse </w:t>
      </w:r>
      <w:r w:rsidR="00B56582" w:rsidRPr="00CF6C3F">
        <w:t>vegetation</w:t>
      </w:r>
      <w:r w:rsidR="00B7133E">
        <w:t xml:space="preserve"> and Great Basin &amp; </w:t>
      </w:r>
      <w:r w:rsidR="00B7133E" w:rsidRPr="008D1CDF">
        <w:t>Intermounta</w:t>
      </w:r>
      <w:r w:rsidR="008D1CDF" w:rsidRPr="008D1CDF">
        <w:t>in tall sagebrush shrubland &amp; steppe.</w:t>
      </w:r>
    </w:p>
    <w:p w14:paraId="5B176F94" w14:textId="1E65828F" w:rsidR="00007D86" w:rsidRPr="00CF6C3F" w:rsidRDefault="00007D86" w:rsidP="00CF6C3F">
      <w:pPr>
        <w:pStyle w:val="BodyText"/>
      </w:pPr>
      <w:r>
        <w:t>Potential impacts to different vegetation communities are highly dependent upon the siting of facilities a</w:t>
      </w:r>
      <w:r w:rsidR="00D62D6B">
        <w:t>t</w:t>
      </w:r>
      <w:r>
        <w:t xml:space="preserve"> the APD stage. Considering the analysis assumptions in Section </w:t>
      </w:r>
      <w:r>
        <w:fldChar w:fldCharType="begin"/>
      </w:r>
      <w:r>
        <w:instrText xml:space="preserve"> REF _Ref128867519 \r \h </w:instrText>
      </w:r>
      <w:r>
        <w:fldChar w:fldCharType="separate"/>
      </w:r>
      <w:r>
        <w:t>3.2</w:t>
      </w:r>
      <w:r>
        <w:fldChar w:fldCharType="end"/>
      </w:r>
      <w:r>
        <w:t xml:space="preserve">, the median percentage of disturbance to vegetation communities at the watershed level would be less than </w:t>
      </w:r>
      <w:r w:rsidRPr="00862795">
        <w:t>0.</w:t>
      </w:r>
      <w:r w:rsidR="003C60FF" w:rsidRPr="00862795">
        <w:t>1</w:t>
      </w:r>
      <w:r w:rsidRPr="00862795">
        <w:t>%</w:t>
      </w:r>
      <w:r>
        <w:t xml:space="preserve"> assuming random distribution of disturbance and </w:t>
      </w:r>
      <w:r w:rsidR="00AC0FA5" w:rsidRPr="00862795">
        <w:t>3.</w:t>
      </w:r>
      <w:r w:rsidRPr="00862795">
        <w:t>0%</w:t>
      </w:r>
      <w:r>
        <w:t xml:space="preserve"> assuming disturbance in each watershed was fully placed within one upland terrestrial vegetation type.</w:t>
      </w:r>
    </w:p>
    <w:p w14:paraId="06497980" w14:textId="03DD3BCC" w:rsidR="00DF5614" w:rsidRPr="000A3284" w:rsidRDefault="0099552D" w:rsidP="006A7F93">
      <w:pPr>
        <w:pStyle w:val="BodyText"/>
      </w:pPr>
      <w:r>
        <w:lastRenderedPageBreak/>
        <w:t xml:space="preserve">Animal </w:t>
      </w:r>
      <w:r w:rsidR="0006329A">
        <w:t xml:space="preserve">community composition </w:t>
      </w:r>
      <w:r w:rsidR="009910AE">
        <w:t xml:space="preserve">is correlated with the vegetation community composition </w:t>
      </w:r>
      <w:r w:rsidR="00B941BA">
        <w:t>and structure</w:t>
      </w:r>
      <w:r w:rsidR="00B83497">
        <w:t>. Impacts</w:t>
      </w:r>
      <w:r w:rsidR="00DC0BF6">
        <w:t xml:space="preserve"> associated with future potential development</w:t>
      </w:r>
      <w:r w:rsidR="00B83497">
        <w:t xml:space="preserve"> </w:t>
      </w:r>
      <w:r w:rsidR="00F41954">
        <w:t xml:space="preserve">to the animal community would likely follow the </w:t>
      </w:r>
      <w:r w:rsidR="00E41083">
        <w:t>vegetation community trends</w:t>
      </w:r>
      <w:r w:rsidR="00B67019">
        <w:t xml:space="preserve">. </w:t>
      </w:r>
      <w:r w:rsidR="000A3284">
        <w:t>There are many species of wildlife that occur</w:t>
      </w:r>
      <w:r w:rsidR="000C1A0A">
        <w:t xml:space="preserve"> in the salt</w:t>
      </w:r>
      <w:r w:rsidR="00CA7AB5">
        <w:t xml:space="preserve"> desert scrub and shrublands</w:t>
      </w:r>
      <w:r w:rsidR="00027DCD">
        <w:t xml:space="preserve"> including </w:t>
      </w:r>
      <w:r w:rsidR="007C604F">
        <w:t xml:space="preserve">many </w:t>
      </w:r>
      <w:r w:rsidR="00A56EFB">
        <w:t xml:space="preserve">species of rodents </w:t>
      </w:r>
      <w:r w:rsidR="007C604F">
        <w:t>(e.g.</w:t>
      </w:r>
      <w:r w:rsidR="00A56EFB">
        <w:t xml:space="preserve"> </w:t>
      </w:r>
      <w:r w:rsidR="0077057E">
        <w:t>mice, voles, kangaroo rats</w:t>
      </w:r>
      <w:r w:rsidR="007C604F">
        <w:t>),</w:t>
      </w:r>
      <w:r w:rsidR="00580AC8">
        <w:t xml:space="preserve"> jackrabbits, foxes, </w:t>
      </w:r>
      <w:proofErr w:type="gramStart"/>
      <w:r w:rsidR="00580AC8">
        <w:t>coyotes</w:t>
      </w:r>
      <w:proofErr w:type="gramEnd"/>
      <w:r w:rsidR="00AA644F">
        <w:t xml:space="preserve"> and many reptiles such as snakes and </w:t>
      </w:r>
      <w:r w:rsidR="00047CB7">
        <w:t>lizards</w:t>
      </w:r>
      <w:r w:rsidR="00955519">
        <w:t xml:space="preserve">.  </w:t>
      </w:r>
      <w:r w:rsidR="00C23A90">
        <w:t xml:space="preserve">Additionally, a large variety </w:t>
      </w:r>
      <w:r w:rsidR="00955519">
        <w:t xml:space="preserve">of insects </w:t>
      </w:r>
      <w:r w:rsidR="00C23A90">
        <w:t xml:space="preserve">species from </w:t>
      </w:r>
      <w:r w:rsidR="00AE5E0E">
        <w:t>many different insect orders</w:t>
      </w:r>
      <w:r w:rsidR="00955519">
        <w:t xml:space="preserve"> are also </w:t>
      </w:r>
      <w:r w:rsidR="009C2DD3">
        <w:t xml:space="preserve">found in this </w:t>
      </w:r>
      <w:r w:rsidR="008573D5">
        <w:t xml:space="preserve">ecotype including pollinators.  </w:t>
      </w:r>
      <w:r w:rsidR="00516A57">
        <w:t>All</w:t>
      </w:r>
      <w:r w:rsidR="009F5D1F">
        <w:t xml:space="preserve"> species of wildlife </w:t>
      </w:r>
      <w:r w:rsidR="007D1E11">
        <w:t xml:space="preserve">are involved in many food webs as either predators </w:t>
      </w:r>
      <w:r w:rsidR="00AA0AF6">
        <w:t xml:space="preserve">or prey and direct loss of habitat could lower the </w:t>
      </w:r>
      <w:r w:rsidR="00291CAD">
        <w:t>prey base</w:t>
      </w:r>
      <w:r w:rsidR="00BF5D46">
        <w:t xml:space="preserve"> </w:t>
      </w:r>
      <w:r w:rsidR="00AA0AF6">
        <w:t>for raptors</w:t>
      </w:r>
      <w:r w:rsidR="00BF5D46">
        <w:t xml:space="preserve"> </w:t>
      </w:r>
      <w:r w:rsidR="007D2472">
        <w:t xml:space="preserve">including rabbits, </w:t>
      </w:r>
      <w:proofErr w:type="gramStart"/>
      <w:r w:rsidR="007D2472">
        <w:t>mice</w:t>
      </w:r>
      <w:proofErr w:type="gramEnd"/>
      <w:r w:rsidR="007D2472">
        <w:t xml:space="preserve"> and prairie </w:t>
      </w:r>
      <w:r w:rsidR="00BF5D46">
        <w:t>dogs</w:t>
      </w:r>
      <w:r w:rsidR="007D2472">
        <w:t>. L</w:t>
      </w:r>
      <w:r w:rsidR="00BF5D46">
        <w:t>oss of insect</w:t>
      </w:r>
      <w:r w:rsidR="00BE665F">
        <w:t xml:space="preserve"> diversity and abundance </w:t>
      </w:r>
      <w:r w:rsidR="00C60EBD">
        <w:t>many reduce prey base</w:t>
      </w:r>
      <w:r w:rsidR="00BF5D46">
        <w:t xml:space="preserve"> for </w:t>
      </w:r>
      <w:r w:rsidR="00580C77">
        <w:t>bats</w:t>
      </w:r>
      <w:r w:rsidR="00BF5D46">
        <w:t xml:space="preserve"> and </w:t>
      </w:r>
      <w:r w:rsidR="00C60EBD">
        <w:t xml:space="preserve">lead to a </w:t>
      </w:r>
      <w:r w:rsidR="002A2567">
        <w:t>reduction in pollinators for</w:t>
      </w:r>
      <w:r w:rsidR="00BF5D46">
        <w:t xml:space="preserve"> plant community.</w:t>
      </w:r>
    </w:p>
    <w:p w14:paraId="1C427C9E" w14:textId="09E41122" w:rsidR="000A3284" w:rsidRDefault="00403CF7" w:rsidP="00FC2AAD">
      <w:pPr>
        <w:pStyle w:val="BodyText"/>
      </w:pPr>
      <w:bookmarkStart w:id="152" w:name="_Toc163734200"/>
      <w:r>
        <w:t xml:space="preserve">Potential impacts of future development of the nominated </w:t>
      </w:r>
      <w:r w:rsidR="00503347">
        <w:t xml:space="preserve">lease </w:t>
      </w:r>
      <w:r>
        <w:t>parcel</w:t>
      </w:r>
      <w:r w:rsidR="00503347">
        <w:t>s</w:t>
      </w:r>
      <w:r>
        <w:t xml:space="preserve"> on the vegetation communities and the </w:t>
      </w:r>
      <w:r w:rsidR="00F6354C">
        <w:t xml:space="preserve">associated </w:t>
      </w:r>
      <w:r>
        <w:t xml:space="preserve">animal communities occurs within the context of the cumulative effects scenario (Section </w:t>
      </w:r>
      <w:r>
        <w:fldChar w:fldCharType="begin"/>
      </w:r>
      <w:r>
        <w:instrText xml:space="preserve"> REF _Ref164933687 \r \h </w:instrText>
      </w:r>
      <w:r>
        <w:fldChar w:fldCharType="separate"/>
      </w:r>
      <w:r>
        <w:t>3.3</w:t>
      </w:r>
      <w:r>
        <w:fldChar w:fldCharType="end"/>
      </w:r>
      <w:r>
        <w:t>). This includes within the encompassing HUC 10 watersheds (as of April 25, 2024) 1,023 drilled or drilling oil and gas or service wells, 475 plugged and abandoned well locations, 529 proposed well locations, conversion of native vegetation communities to agriculture or rural development, grazing across all land ownership types, existing transmission powerlines, existing interstate transmission pipelines</w:t>
      </w:r>
      <w:r w:rsidR="00C77211">
        <w:t>, paved and unpaved roads, and community trends associated with global climate change</w:t>
      </w:r>
      <w:r w:rsidR="004D7635">
        <w:t>.</w:t>
      </w:r>
    </w:p>
    <w:p w14:paraId="55699D34" w14:textId="5B06A6CE" w:rsidR="002D682D" w:rsidRPr="005F3B69" w:rsidRDefault="002D682D" w:rsidP="0013773E">
      <w:pPr>
        <w:pStyle w:val="AIBChapter3"/>
        <w:rPr>
          <w:rFonts w:hint="eastAsia"/>
        </w:rPr>
      </w:pPr>
      <w:bookmarkStart w:id="153" w:name="_Toc179464251"/>
      <w:bookmarkStart w:id="154" w:name="_Toc170114906"/>
      <w:r>
        <w:t>Invasive Species (Noxious Weeds)</w:t>
      </w:r>
      <w:bookmarkEnd w:id="152"/>
      <w:bookmarkEnd w:id="153"/>
      <w:bookmarkEnd w:id="154"/>
    </w:p>
    <w:p w14:paraId="4FC0C149" w14:textId="0DBC406B" w:rsidR="002D682D" w:rsidRPr="00F74E32" w:rsidRDefault="002D682D" w:rsidP="002D682D">
      <w:pPr>
        <w:pStyle w:val="BodyText"/>
        <w:keepNext/>
        <w:rPr>
          <w:b/>
          <w:bCs/>
        </w:rPr>
      </w:pPr>
      <w:r w:rsidRPr="00F74E32">
        <w:rPr>
          <w:b/>
          <w:bCs/>
        </w:rPr>
        <w:t xml:space="preserve">How would potential development of the nominated lease parcels </w:t>
      </w:r>
      <w:r w:rsidR="0056078C">
        <w:rPr>
          <w:b/>
          <w:bCs/>
        </w:rPr>
        <w:t xml:space="preserve">impact the introduction and/or </w:t>
      </w:r>
      <w:r>
        <w:rPr>
          <w:b/>
          <w:bCs/>
        </w:rPr>
        <w:t>spread of</w:t>
      </w:r>
      <w:r w:rsidRPr="00F74E32">
        <w:rPr>
          <w:b/>
          <w:bCs/>
        </w:rPr>
        <w:t xml:space="preserve"> invasive species and noxious weeds?</w:t>
      </w:r>
    </w:p>
    <w:p w14:paraId="0268E8C5" w14:textId="68CAF60C" w:rsidR="00AD11CA" w:rsidRPr="009330FB" w:rsidRDefault="00AD11CA" w:rsidP="00B45BE7">
      <w:pPr>
        <w:spacing w:after="200"/>
        <w:rPr>
          <w:rFonts w:eastAsiaTheme="majorEastAsia" w:cstheme="majorBidi"/>
        </w:rPr>
      </w:pPr>
      <w:r w:rsidRPr="009330FB">
        <w:rPr>
          <w:rFonts w:eastAsiaTheme="majorEastAsia" w:cstheme="majorBidi"/>
        </w:rPr>
        <w:t>There are currently various populations of noxious weeds in the larger overall area of the leased parcels. Noxious and invasive weeds present in the general area are primarily associated with existing areas of development and disturbance. These species are present along roads, ditches, well locations, and other disturbance areas near the parcels. Typical early seral species in this area are Russian thistle, Halogeton, tumble mustard, annual wheatgrass and cheatgrass. Existing roads</w:t>
      </w:r>
      <w:r w:rsidR="003576BE" w:rsidRPr="009330FB">
        <w:rPr>
          <w:rFonts w:eastAsiaTheme="majorEastAsia" w:cstheme="majorBidi"/>
        </w:rPr>
        <w:t>,</w:t>
      </w:r>
      <w:r w:rsidRPr="009330FB">
        <w:rPr>
          <w:rFonts w:eastAsiaTheme="majorEastAsia" w:cstheme="majorBidi"/>
        </w:rPr>
        <w:t xml:space="preserve"> wildlife and livestock grazing throughout the general area are a common source of weeds, </w:t>
      </w:r>
      <w:r w:rsidR="0062489A" w:rsidRPr="009330FB">
        <w:rPr>
          <w:rFonts w:eastAsiaTheme="majorEastAsia" w:cstheme="majorBidi"/>
        </w:rPr>
        <w:t>therefore,</w:t>
      </w:r>
      <w:r w:rsidRPr="009330FB">
        <w:rPr>
          <w:rFonts w:eastAsiaTheme="majorEastAsia" w:cstheme="majorBidi"/>
        </w:rPr>
        <w:t xml:space="preserve"> elimination of weedy species from the general area is unlikely. The extent of infestation and persistence of weeds would be dependent on monitoring and treatment in accordance with the site-specific implementation level actions. </w:t>
      </w:r>
    </w:p>
    <w:p w14:paraId="0DB68671" w14:textId="77777777" w:rsidR="00AD11CA" w:rsidRPr="009330FB" w:rsidRDefault="00AD11CA" w:rsidP="00B45BE7">
      <w:pPr>
        <w:spacing w:after="200"/>
        <w:rPr>
          <w:rFonts w:eastAsiaTheme="majorEastAsia" w:cstheme="majorBidi"/>
        </w:rPr>
      </w:pPr>
      <w:r w:rsidRPr="009330FB">
        <w:rPr>
          <w:rFonts w:eastAsiaTheme="majorEastAsia" w:cstheme="majorBidi"/>
        </w:rPr>
        <w:t>Anticipated total surface disturbance for the Proposed Action is approximately 20 acres. The proposed surface disturbance would remove native herbaceous and woody shrub vegetation, primarily from the desert shrub community. Some surface disturbance would be temporary in overall nature (areas used for initial staging would be interim reclaimed), taking potentially a minimum of three growing years to establish vegetation once reclamation begins.</w:t>
      </w:r>
    </w:p>
    <w:p w14:paraId="2E504B5C" w14:textId="515B5318" w:rsidR="00AD11CA" w:rsidRPr="009330FB" w:rsidRDefault="00AD11CA" w:rsidP="00B45BE7">
      <w:pPr>
        <w:spacing w:after="200"/>
        <w:rPr>
          <w:rFonts w:eastAsiaTheme="majorEastAsia" w:cstheme="majorBidi"/>
        </w:rPr>
      </w:pPr>
      <w:r w:rsidRPr="009330FB">
        <w:rPr>
          <w:rFonts w:eastAsiaTheme="majorEastAsia" w:cstheme="majorBidi"/>
        </w:rPr>
        <w:t xml:space="preserve">Removal of topsoil and native vegetation would result in a localized loss of individual plants and a chemical and spatial niche for invasive and noxious weed species to proliferate. New ground disturbance that exposes underlying soils creates the ideal seed bed for invasive and non-native weeds species to germinate. Disturbance from heavy construction exposes subsurface parent material which is </w:t>
      </w:r>
      <w:r w:rsidR="003C722C" w:rsidRPr="009330FB">
        <w:rPr>
          <w:rFonts w:eastAsiaTheme="majorEastAsia" w:cstheme="majorBidi"/>
        </w:rPr>
        <w:t>often</w:t>
      </w:r>
      <w:r w:rsidRPr="009330FB">
        <w:rPr>
          <w:rFonts w:eastAsiaTheme="majorEastAsia" w:cstheme="majorBidi"/>
        </w:rPr>
        <w:t xml:space="preserve"> high in salts and low in organic matter – creating potential niches for invasive species like cheatgrass and </w:t>
      </w:r>
      <w:r w:rsidR="00EF5D29" w:rsidRPr="009330FB">
        <w:rPr>
          <w:rFonts w:eastAsiaTheme="majorEastAsia" w:cstheme="majorBidi"/>
        </w:rPr>
        <w:t>Halogeton</w:t>
      </w:r>
      <w:r w:rsidRPr="009330FB">
        <w:rPr>
          <w:rFonts w:eastAsiaTheme="majorEastAsia" w:cstheme="majorBidi"/>
        </w:rPr>
        <w:t xml:space="preserve"> as well as other potential noxious weeds like </w:t>
      </w:r>
      <w:r w:rsidR="003C722C" w:rsidRPr="009330FB">
        <w:rPr>
          <w:rFonts w:eastAsiaTheme="majorEastAsia" w:cstheme="majorBidi"/>
        </w:rPr>
        <w:t>k</w:t>
      </w:r>
      <w:r w:rsidRPr="009330FB">
        <w:rPr>
          <w:rFonts w:eastAsiaTheme="majorEastAsia" w:cstheme="majorBidi"/>
        </w:rPr>
        <w:t xml:space="preserve">napweed found along transportation routes within this area of the VFO. Uncleaned construction equipment and vehicles entering the project area are potential vectors for introducing invasive weeds not currently present. </w:t>
      </w:r>
    </w:p>
    <w:p w14:paraId="707E69B0" w14:textId="77777777" w:rsidR="00AD11CA" w:rsidRPr="009330FB" w:rsidRDefault="00AD11CA" w:rsidP="00B45BE7">
      <w:pPr>
        <w:spacing w:after="200"/>
        <w:rPr>
          <w:rFonts w:eastAsiaTheme="majorEastAsia" w:cstheme="majorBidi"/>
        </w:rPr>
      </w:pPr>
      <w:r w:rsidRPr="009330FB">
        <w:rPr>
          <w:rFonts w:eastAsiaTheme="majorEastAsia" w:cstheme="majorBidi"/>
        </w:rPr>
        <w:t xml:space="preserve">Reasonably foreseeable effects to the resources, when added to effects from other actions in and near the project area and the local watersheds, would include short-term and long-term effects from removal of existing herbaceous and shrubland vegetation that creates niches for invasive species. This removal is expected to increase with the current level of oil and gas development, and the recent filing pattern of </w:t>
      </w:r>
      <w:r w:rsidRPr="009330FB">
        <w:rPr>
          <w:rFonts w:eastAsiaTheme="majorEastAsia" w:cstheme="majorBidi"/>
        </w:rPr>
        <w:lastRenderedPageBreak/>
        <w:t xml:space="preserve">Applications for Permits to Drill and right-of-way applications within the VFO BLM during 2023 and 2024. </w:t>
      </w:r>
    </w:p>
    <w:p w14:paraId="3C6DA0EA" w14:textId="2BD523F6" w:rsidR="00DE6A82" w:rsidRPr="009330FB" w:rsidRDefault="00AD11CA" w:rsidP="00B45BE7">
      <w:pPr>
        <w:spacing w:after="200"/>
        <w:rPr>
          <w:rFonts w:eastAsiaTheme="majorEastAsia" w:cstheme="majorBidi"/>
        </w:rPr>
      </w:pPr>
      <w:r w:rsidRPr="009330FB">
        <w:rPr>
          <w:rFonts w:eastAsiaTheme="majorEastAsia" w:cstheme="majorBidi"/>
        </w:rPr>
        <w:t xml:space="preserve">Industry practices that minimize weed transport from construction equipment such as power washing and appropriate staging (avoiding weed infestation areas) and proper spraying (both timing and herbicide selection) may lessen the density of new weed colonization within the construction area and aid in reclamation efforts. </w:t>
      </w:r>
      <w:r w:rsidR="00D03B3E">
        <w:rPr>
          <w:rFonts w:eastAsiaTheme="majorEastAsia" w:cstheme="majorBidi"/>
        </w:rPr>
        <w:t>Additionally, LN-52</w:t>
      </w:r>
      <w:r w:rsidR="00523D66">
        <w:rPr>
          <w:rFonts w:eastAsiaTheme="majorEastAsia" w:cstheme="majorBidi"/>
        </w:rPr>
        <w:t xml:space="preserve"> – Noxious Weeds, is attached to both parcels in the sale (See </w:t>
      </w:r>
      <w:r w:rsidR="00EE11CE">
        <w:rPr>
          <w:rFonts w:eastAsiaTheme="majorEastAsia" w:cstheme="majorBidi"/>
        </w:rPr>
        <w:t xml:space="preserve">Appendix B.1 for more information). </w:t>
      </w:r>
      <w:r w:rsidRPr="009330FB">
        <w:rPr>
          <w:rFonts w:eastAsiaTheme="majorEastAsia" w:cstheme="majorBidi"/>
        </w:rPr>
        <w:t xml:space="preserve">Seed mixes that maximize management of weed emergence are important for returning the site’s sustainability and production. </w:t>
      </w:r>
    </w:p>
    <w:p w14:paraId="00885FB7" w14:textId="7A6A7E55" w:rsidR="00AD11CA" w:rsidRPr="009330FB" w:rsidRDefault="00114E51" w:rsidP="00B45BE7">
      <w:pPr>
        <w:spacing w:after="200"/>
        <w:rPr>
          <w:rFonts w:eastAsiaTheme="majorEastAsia" w:cstheme="majorBidi"/>
        </w:rPr>
      </w:pPr>
      <w:r w:rsidRPr="00114E51">
        <w:rPr>
          <w:rFonts w:eastAsiaTheme="majorEastAsia" w:cstheme="majorBidi"/>
        </w:rPr>
        <w:t>Prior to any potential development authorized under an APD or a right-of-way application, the lessee or applicant would be required to contact BLM prior to any seeding and weed management to document the activities occurring and coordinate potential site visits by the BLM</w:t>
      </w:r>
      <w:r w:rsidR="00A41C31" w:rsidRPr="00114E51">
        <w:rPr>
          <w:rFonts w:eastAsiaTheme="majorEastAsia" w:cstheme="majorBidi"/>
        </w:rPr>
        <w:t>.</w:t>
      </w:r>
      <w:r w:rsidR="00AD11CA" w:rsidRPr="009330FB">
        <w:rPr>
          <w:rFonts w:eastAsiaTheme="majorEastAsia" w:cstheme="majorBidi"/>
        </w:rPr>
        <w:t xml:space="preserve"> Weed management would be in adherence to the Vernal Planning Area Invasive Weed Management Plan DOI-BLM-UT-G010-2016-011-EA, signed May 2017 and the 2008 VFO RMP ROD</w:t>
      </w:r>
      <w:r w:rsidR="009A137D" w:rsidRPr="009330FB">
        <w:rPr>
          <w:rFonts w:eastAsiaTheme="majorEastAsia" w:cstheme="majorBidi"/>
        </w:rPr>
        <w:t xml:space="preserve"> (Record of Decision)</w:t>
      </w:r>
      <w:r w:rsidR="00AD11CA" w:rsidRPr="009330FB">
        <w:rPr>
          <w:rFonts w:eastAsiaTheme="majorEastAsia" w:cstheme="majorBidi"/>
        </w:rPr>
        <w:t xml:space="preserve"> MCA; page 65 Goals and Objective, bullet no. 3. The well pads, roads, access corridors and any other long-term exposed surface would be treated through either chemical or mechanical means to control weeds. It is mandatory that a Pesticide Use Permit be obtained for applying herbicides on public lands managed by BLM.</w:t>
      </w:r>
    </w:p>
    <w:p w14:paraId="00A2CF0A" w14:textId="77777777" w:rsidR="00AD11CA" w:rsidRPr="009330FB" w:rsidRDefault="00AD11CA" w:rsidP="00B45BE7">
      <w:pPr>
        <w:spacing w:after="200"/>
        <w:rPr>
          <w:rFonts w:eastAsiaTheme="majorEastAsia" w:cstheme="majorBidi"/>
        </w:rPr>
      </w:pPr>
      <w:r w:rsidRPr="009330FB">
        <w:rPr>
          <w:rFonts w:eastAsiaTheme="majorEastAsia" w:cstheme="majorBidi"/>
        </w:rPr>
        <w:t>Denial of the Proposed Action would have little impact on the cumulative effects of oil and gas development impacts to the vegetative communities within the area because other similar projects have been implemented and are ongoing.</w:t>
      </w:r>
    </w:p>
    <w:p w14:paraId="4F9EADF7" w14:textId="77777777" w:rsidR="00003F3B" w:rsidRPr="00393172" w:rsidRDefault="00003F3B" w:rsidP="00297B35">
      <w:pPr>
        <w:pStyle w:val="BodyText"/>
      </w:pPr>
    </w:p>
    <w:p w14:paraId="30C3EEDA" w14:textId="64396E2F" w:rsidR="002D682D" w:rsidRPr="005F3B69" w:rsidRDefault="00B421A6" w:rsidP="0013773E">
      <w:pPr>
        <w:pStyle w:val="AIBChapter3"/>
        <w:rPr>
          <w:rFonts w:hint="eastAsia"/>
        </w:rPr>
      </w:pPr>
      <w:bookmarkStart w:id="155" w:name="_Toc179464252"/>
      <w:bookmarkStart w:id="156" w:name="_Toc170114907"/>
      <w:r>
        <w:t>Surface Water</w:t>
      </w:r>
      <w:bookmarkEnd w:id="155"/>
      <w:bookmarkEnd w:id="156"/>
    </w:p>
    <w:p w14:paraId="16901231" w14:textId="50E93A03" w:rsidR="001E45F5" w:rsidRDefault="00B00833" w:rsidP="009C29AE">
      <w:pPr>
        <w:pStyle w:val="BodyText"/>
        <w:rPr>
          <w:b/>
          <w:bCs/>
        </w:rPr>
      </w:pPr>
      <w:r w:rsidRPr="00B00833">
        <w:rPr>
          <w:b/>
          <w:bCs/>
        </w:rPr>
        <w:t xml:space="preserve">How would potential development of the nominated lease parcels impact the quality of surface water resources? </w:t>
      </w:r>
    </w:p>
    <w:p w14:paraId="10D91D18" w14:textId="4799B69F" w:rsidR="00411B36" w:rsidRPr="00CE2530" w:rsidRDefault="00411B36" w:rsidP="00411B36">
      <w:pPr>
        <w:pStyle w:val="BodyText"/>
      </w:pPr>
      <w:r>
        <w:t xml:space="preserve">The lease parcels have been reviewed for proximity to surface waters. </w:t>
      </w:r>
      <w:r w:rsidR="1E30D534">
        <w:t xml:space="preserve">The </w:t>
      </w:r>
      <w:r w:rsidR="53CBA223">
        <w:t>t</w:t>
      </w:r>
      <w:r>
        <w:t>wo parcels are within the Zone 4 surface drinking water area, which is an area upstream from a public water supply intake to the extent of the watershed boundary</w:t>
      </w:r>
      <w:r w:rsidR="441B3563">
        <w:t xml:space="preserve"> above the Green River Intake</w:t>
      </w:r>
      <w:r>
        <w:t xml:space="preserve"> per Utah Division of Drinking Water Source Protection rules. The site-specific SOPs, BMPs, COAs, and lease stipulations attached to each parcel would minimize impacts from the Proposed Action to surface water resources because surface disturbing activities would occur outside of riparian and wetland areas where surface water is present, refer to UT-LN-56 in Appendix </w:t>
      </w:r>
      <w:r w:rsidR="003D0AA5">
        <w:t>B</w:t>
      </w:r>
      <w:r>
        <w:t xml:space="preserve"> for further details. Other development activity with potential impact on surface water such as stream crossings and culvert installations would be designed per BLM standards with existing SOPs and BMPs. Surface water resources would not be impacted to the degree that requires detailed analysis in the EA.  </w:t>
      </w:r>
    </w:p>
    <w:p w14:paraId="7024295D" w14:textId="0C7B4D42" w:rsidR="00C3665A" w:rsidRPr="004A4227" w:rsidRDefault="002A1632" w:rsidP="00393172">
      <w:pPr>
        <w:pStyle w:val="BodyText"/>
      </w:pPr>
      <w:r>
        <w:t xml:space="preserve">The </w:t>
      </w:r>
      <w:r w:rsidR="00503347">
        <w:t>nominated</w:t>
      </w:r>
      <w:r>
        <w:t xml:space="preserve"> </w:t>
      </w:r>
      <w:r w:rsidR="0059025A">
        <w:t xml:space="preserve">lease parcels </w:t>
      </w:r>
      <w:proofErr w:type="gramStart"/>
      <w:r w:rsidR="0059025A">
        <w:t>are located in</w:t>
      </w:r>
      <w:proofErr w:type="gramEnd"/>
      <w:r w:rsidR="0059025A">
        <w:t xml:space="preserve"> the Green River-2 Tribs-4 DEQ water quality assessment unit. </w:t>
      </w:r>
      <w:r w:rsidR="00C31F92">
        <w:t xml:space="preserve">The </w:t>
      </w:r>
      <w:r w:rsidR="005761D4">
        <w:t>bene</w:t>
      </w:r>
      <w:r w:rsidR="009B5994">
        <w:t>ficial uses of this</w:t>
      </w:r>
      <w:r w:rsidR="0059025A">
        <w:t xml:space="preserve"> unit </w:t>
      </w:r>
      <w:r w:rsidR="009B5994">
        <w:t>are</w:t>
      </w:r>
      <w:r w:rsidR="00C31F92">
        <w:t xml:space="preserve"> Class 1C = Domestic/Drinking Water Source, Class 2A = Frequent Primary Contact Recreation (e.g. swimming), Class 3B = Warm Water Fishery/Aquatic Life, Use Class 4 = Agriculture (crop irrigation, stock watering)</w:t>
      </w:r>
      <w:r w:rsidR="00976503">
        <w:t>. This unit</w:t>
      </w:r>
      <w:r w:rsidR="00716E04">
        <w:t xml:space="preserve"> is listed as impaired </w:t>
      </w:r>
      <w:r w:rsidR="008669FE">
        <w:t>Total Maximum Daily Load (</w:t>
      </w:r>
      <w:r w:rsidR="00716E04">
        <w:t>TMDL</w:t>
      </w:r>
      <w:r w:rsidR="008669FE">
        <w:t>)</w:t>
      </w:r>
      <w:r w:rsidR="00716E04">
        <w:t xml:space="preserve"> required for </w:t>
      </w:r>
      <w:r w:rsidR="00FB2EF9">
        <w:t xml:space="preserve">E. </w:t>
      </w:r>
      <w:r w:rsidR="00716E04">
        <w:t xml:space="preserve">coli </w:t>
      </w:r>
      <w:r w:rsidR="00FB2EF9">
        <w:t xml:space="preserve">in Class 1C and 2A. </w:t>
      </w:r>
    </w:p>
    <w:p w14:paraId="71203ED0" w14:textId="0B182ADE" w:rsidR="00130446" w:rsidRPr="00CE2530" w:rsidRDefault="23259A29" w:rsidP="00130446">
      <w:pPr>
        <w:pStyle w:val="BodyText"/>
      </w:pPr>
      <w:r>
        <w:t>While a TMDL and identification of sources of this</w:t>
      </w:r>
      <w:r w:rsidR="472EB904">
        <w:t xml:space="preserve"> surface water</w:t>
      </w:r>
      <w:r>
        <w:t xml:space="preserve"> contamination has not been completed for these assessment units, </w:t>
      </w:r>
      <w:r w:rsidR="67B91017">
        <w:t xml:space="preserve">E. coli contamination </w:t>
      </w:r>
      <w:r w:rsidR="43257A5A">
        <w:t xml:space="preserve">may be from </w:t>
      </w:r>
      <w:r w:rsidR="3832B9E6">
        <w:t xml:space="preserve">fecal </w:t>
      </w:r>
      <w:r w:rsidR="2F67292E">
        <w:t xml:space="preserve">matter or may be </w:t>
      </w:r>
      <w:r w:rsidR="7BBD7C1C">
        <w:t>natural in the environment.</w:t>
      </w:r>
      <w:r w:rsidR="26D47670">
        <w:t xml:space="preserve"> </w:t>
      </w:r>
      <w:r w:rsidR="18E9CAFF">
        <w:t>Surface water is limited in the analysis area outside of the Green and White Rivers</w:t>
      </w:r>
      <w:r w:rsidR="647A9CAC">
        <w:t xml:space="preserve"> and not present within the parcels</w:t>
      </w:r>
      <w:r w:rsidR="3136F5C1">
        <w:t xml:space="preserve"> </w:t>
      </w:r>
      <w:proofErr w:type="gramStart"/>
      <w:r w:rsidR="3136F5C1">
        <w:t>with the exception of</w:t>
      </w:r>
      <w:proofErr w:type="gramEnd"/>
      <w:r w:rsidR="3136F5C1">
        <w:t xml:space="preserve"> ephemeral flow following storm events</w:t>
      </w:r>
      <w:r w:rsidR="18E9CAFF">
        <w:t xml:space="preserve">. </w:t>
      </w:r>
      <w:r w:rsidR="41693964">
        <w:t>Changes</w:t>
      </w:r>
      <w:r w:rsidR="3260A7CF">
        <w:t xml:space="preserve"> in status </w:t>
      </w:r>
      <w:r w:rsidR="3260A7CF">
        <w:lastRenderedPageBreak/>
        <w:t>of streams from perennial to intermittent or intermittent to ephemeral have occurred</w:t>
      </w:r>
      <w:r w:rsidR="40E97BA7">
        <w:t xml:space="preserve"> regionally</w:t>
      </w:r>
      <w:r w:rsidR="3260A7CF">
        <w:t xml:space="preserve"> due to water development and drought as described in the </w:t>
      </w:r>
      <w:r w:rsidR="2E6FCBFD">
        <w:t>cumulative effects scenario</w:t>
      </w:r>
      <w:r w:rsidR="2156DCEB">
        <w:t xml:space="preserve"> Section 3.3</w:t>
      </w:r>
      <w:r w:rsidR="2E6FCBFD">
        <w:t xml:space="preserve">. </w:t>
      </w:r>
      <w:r w:rsidR="00130446">
        <w:t>The site-specific SOPs, BMPs, COAs, and lease stipulations attached to each parcel would minimize impacts from the Proposed Action to surface water resources because surface disturbing activities would occur outside of riparian and wetland areas where surface water is present</w:t>
      </w:r>
      <w:r w:rsidR="003C3E79">
        <w:t xml:space="preserve">. </w:t>
      </w:r>
      <w:r w:rsidR="00130446">
        <w:t xml:space="preserve">Other development activity with potential impact on surface water such as stream crossings and culvert installations would be designed per BLM standards with existing SOPs and BMPs. Surface water resources would not be impacted to the degree that requires detailed analysis in the EA.  </w:t>
      </w:r>
    </w:p>
    <w:p w14:paraId="1BED1B05" w14:textId="738AADB5" w:rsidR="001C6466" w:rsidRDefault="001C6466" w:rsidP="00130446">
      <w:pPr>
        <w:pStyle w:val="BodyText"/>
      </w:pPr>
      <w:r>
        <w:t>While there are no</w:t>
      </w:r>
      <w:r w:rsidR="01F65682">
        <w:t xml:space="preserve"> specific BLM Utah</w:t>
      </w:r>
      <w:r>
        <w:t xml:space="preserve"> water quality specific </w:t>
      </w:r>
      <w:r w:rsidR="00845B19">
        <w:t>notices or stipulations</w:t>
      </w:r>
      <w:r w:rsidR="007F2428">
        <w:t xml:space="preserve">, </w:t>
      </w:r>
      <w:r w:rsidR="00C91BC6">
        <w:t xml:space="preserve">the buffers on </w:t>
      </w:r>
      <w:r w:rsidR="005A2666">
        <w:t xml:space="preserve">surface occupancy in </w:t>
      </w:r>
      <w:r w:rsidR="00562DE8">
        <w:t xml:space="preserve">riparian areas and </w:t>
      </w:r>
      <w:r w:rsidR="005A2666">
        <w:t xml:space="preserve">floodplains, </w:t>
      </w:r>
      <w:r w:rsidR="00B36D2D">
        <w:t>UT-</w:t>
      </w:r>
      <w:r w:rsidR="005A2666">
        <w:t>LN</w:t>
      </w:r>
      <w:r w:rsidR="00637096">
        <w:t>-53</w:t>
      </w:r>
      <w:r w:rsidR="00B36D2D">
        <w:t xml:space="preserve"> and </w:t>
      </w:r>
      <w:r w:rsidR="008D25EC">
        <w:t xml:space="preserve">UT-LN-128 </w:t>
      </w:r>
      <w:r w:rsidR="003D25DD">
        <w:t>as well as those associated with sensitive soils and steep slopes, UT-S-96, UT-S-99, and UT-S-100</w:t>
      </w:r>
      <w:r w:rsidR="0094257D">
        <w:t xml:space="preserve"> will result in protection of water quality by minimizing sediment inputs and other water quality contaminants. </w:t>
      </w:r>
      <w:r w:rsidR="62E73772">
        <w:t xml:space="preserve">A construction storm water permit is required by the Utah Division of Water Quality if </w:t>
      </w:r>
      <w:r w:rsidR="15324C51">
        <w:t xml:space="preserve">the development </w:t>
      </w:r>
      <w:r w:rsidR="62E73772">
        <w:t>activities (industrial or construction) result in a discharge of a reportable quantity release or that contribute pollutants to a violation of a water quality standard</w:t>
      </w:r>
      <w:r w:rsidR="46E8BC9F">
        <w:t>.</w:t>
      </w:r>
    </w:p>
    <w:p w14:paraId="6902806C" w14:textId="256095BA" w:rsidR="00CB3D2C" w:rsidRPr="00CE2530" w:rsidRDefault="00330943" w:rsidP="00130446">
      <w:pPr>
        <w:pStyle w:val="BodyText"/>
      </w:pPr>
      <w:r>
        <w:t>Surface water demands from similar activities</w:t>
      </w:r>
      <w:r w:rsidR="003937DB">
        <w:t xml:space="preserve"> within the basin</w:t>
      </w:r>
      <w:r>
        <w:t xml:space="preserve"> require </w:t>
      </w:r>
      <w:r w:rsidR="003937DB">
        <w:t>water for the use of dust suppression along routes</w:t>
      </w:r>
      <w:r w:rsidR="00303229">
        <w:t xml:space="preserve"> which are typically obtained from municipal sources or through a temporary change application on valid existing water right</w:t>
      </w:r>
      <w:r w:rsidR="00DB1F87">
        <w:t>s</w:t>
      </w:r>
      <w:r w:rsidR="000F5688">
        <w:t xml:space="preserve">. </w:t>
      </w:r>
      <w:r w:rsidR="0094642D">
        <w:t xml:space="preserve">Surface water sources typically include rivers, streams, or canals that are in proximity to potential development </w:t>
      </w:r>
      <w:r w:rsidR="001C0417">
        <w:t xml:space="preserve">areas. </w:t>
      </w:r>
      <w:r w:rsidR="000F5688">
        <w:t>Th</w:t>
      </w:r>
      <w:r w:rsidR="00853B64">
        <w:t>e Utah Division of Water Rights (</w:t>
      </w:r>
      <w:proofErr w:type="spellStart"/>
      <w:r w:rsidR="00853B64">
        <w:t>UDWRi</w:t>
      </w:r>
      <w:proofErr w:type="spellEnd"/>
      <w:r w:rsidR="00853B64">
        <w:t xml:space="preserve">) </w:t>
      </w:r>
      <w:r w:rsidR="00303229">
        <w:t>are</w:t>
      </w:r>
      <w:r w:rsidR="00DB1F87">
        <w:t xml:space="preserve"> responsible for the approval of such applications.</w:t>
      </w:r>
      <w:r w:rsidR="00303229">
        <w:t xml:space="preserve"> </w:t>
      </w:r>
      <w:r w:rsidR="00C640CA">
        <w:t xml:space="preserve">These water sources would be from state permitted sources with valid water rights as managed by Utah water appropriation policy per each water basin. Valid permits and supporting water rights, if necessary, that involve these beneficial uses are verified and analyzed for potential impacts prior to approval at the APD stage.  </w:t>
      </w:r>
    </w:p>
    <w:p w14:paraId="37AD3FB3" w14:textId="7BF7B520" w:rsidR="00144689" w:rsidRDefault="00144689" w:rsidP="00393172">
      <w:pPr>
        <w:pStyle w:val="AIBChapter3"/>
        <w:rPr>
          <w:rFonts w:hint="eastAsia"/>
        </w:rPr>
      </w:pPr>
      <w:bookmarkStart w:id="157" w:name="_Toc179464253"/>
      <w:bookmarkStart w:id="158" w:name="_Toc170114908"/>
      <w:r>
        <w:t>Groundwater</w:t>
      </w:r>
      <w:bookmarkEnd w:id="157"/>
      <w:bookmarkEnd w:id="158"/>
    </w:p>
    <w:p w14:paraId="52F41520" w14:textId="35FCA7AD" w:rsidR="00130446" w:rsidRPr="004A4ED3" w:rsidRDefault="002A28F8" w:rsidP="002D682D">
      <w:pPr>
        <w:pStyle w:val="BodyText"/>
        <w:keepNext/>
        <w:rPr>
          <w:b/>
          <w:bCs/>
        </w:rPr>
      </w:pPr>
      <w:r w:rsidRPr="005F3B69">
        <w:rPr>
          <w:b/>
        </w:rPr>
        <w:t>How would potential development of the nominated lease parcels impact</w:t>
      </w:r>
      <w:r w:rsidR="00EC6F84">
        <w:rPr>
          <w:b/>
        </w:rPr>
        <w:t xml:space="preserve"> groundwater quality and quantity?</w:t>
      </w:r>
    </w:p>
    <w:p w14:paraId="32184B82" w14:textId="71C179D3" w:rsidR="00B07A46" w:rsidRDefault="21DFEC99">
      <w:pPr>
        <w:pStyle w:val="BodyText"/>
      </w:pPr>
      <w:r w:rsidRPr="667CBB38">
        <w:rPr>
          <w:u w:val="single"/>
        </w:rPr>
        <w:t>Groundw</w:t>
      </w:r>
      <w:r w:rsidR="00B07A46" w:rsidRPr="667CBB38">
        <w:rPr>
          <w:u w:val="single"/>
        </w:rPr>
        <w:t>ater Resources- Quantity/Needs</w:t>
      </w:r>
    </w:p>
    <w:p w14:paraId="69158381" w14:textId="45FFA2F8" w:rsidR="00B07A46" w:rsidRDefault="00B07A46">
      <w:pPr>
        <w:pStyle w:val="BodyText"/>
      </w:pPr>
      <w:r w:rsidRPr="00CE2530">
        <w:t>Water obtained from aquifers and surface water could result in the drawing down of the water table and reduction of available water resources for wildlife, vegetation, springs, streams, or public consumption. Withdrawal could affect local groundwater flow pattern</w:t>
      </w:r>
      <w:r>
        <w:t>s</w:t>
      </w:r>
      <w:r w:rsidRPr="00CE2530">
        <w:t xml:space="preserve"> and create changes in quality and quantity of the remaining groundwater</w:t>
      </w:r>
      <w:r>
        <w:t xml:space="preserve"> based on the quantity of water required for surface management and downhole operations.</w:t>
      </w:r>
      <w:r w:rsidRPr="00CE2530">
        <w:t xml:space="preserve"> </w:t>
      </w:r>
      <w:r>
        <w:t>The quantity and quality of water used, produced, and disposed of or re-used varies enormously depending on local geology, financial constraints, and regulations, with implications for the environmental impacts of oil and gas production</w:t>
      </w:r>
      <w:sdt>
        <w:sdtPr>
          <w:id w:val="-1954780842"/>
          <w:citation/>
        </w:sdtPr>
        <w:sdtContent>
          <w:r>
            <w:fldChar w:fldCharType="begin"/>
          </w:r>
          <w:r>
            <w:instrText xml:space="preserve">CITATION Ame18 \l 1033 </w:instrText>
          </w:r>
          <w:r>
            <w:fldChar w:fldCharType="separate"/>
          </w:r>
          <w:r w:rsidR="0093463A">
            <w:rPr>
              <w:noProof/>
            </w:rPr>
            <w:t xml:space="preserve"> (American Geosciences Institute, 2018)</w:t>
          </w:r>
          <w:r>
            <w:fldChar w:fldCharType="end"/>
          </w:r>
        </w:sdtContent>
      </w:sdt>
      <w:r>
        <w:t xml:space="preserve">. </w:t>
      </w:r>
    </w:p>
    <w:p w14:paraId="7962DE6D" w14:textId="14EB9B23" w:rsidR="00B07A46" w:rsidRDefault="00B07A46">
      <w:pPr>
        <w:pStyle w:val="BodyText"/>
      </w:pPr>
      <w:r>
        <w:t xml:space="preserve">Water produced along with oil and gas is often naturally salty and may contain oil residues, chemicals from hydraulic fracturing and drilling fluids, and natural contaminants from the rocks themselves. It is usually either disposed of deep underground or treated and reused, though some is allowed to partially evaporate in surface pits. During the production phase the amount of water produced by a well can vary from almost none to over 100 barrels of water per barrel of oil. Nationally, an average of about 10 barrels of water are produced for each barrel of oil </w:t>
      </w:r>
      <w:sdt>
        <w:sdtPr>
          <w:id w:val="462629890"/>
          <w:citation/>
        </w:sdtPr>
        <w:sdtContent>
          <w:r>
            <w:fldChar w:fldCharType="begin"/>
          </w:r>
          <w:r>
            <w:instrText xml:space="preserve">CITATION Ame18 \l 1033 </w:instrText>
          </w:r>
          <w:r>
            <w:fldChar w:fldCharType="separate"/>
          </w:r>
          <w:r w:rsidR="0093463A">
            <w:rPr>
              <w:noProof/>
            </w:rPr>
            <w:t>(American Geosciences Institute, 2018)</w:t>
          </w:r>
          <w:r>
            <w:fldChar w:fldCharType="end"/>
          </w:r>
        </w:sdtContent>
      </w:sdt>
      <w:r>
        <w:t>.</w:t>
      </w:r>
    </w:p>
    <w:p w14:paraId="60FBF162" w14:textId="719A9CA2" w:rsidR="00B07A46" w:rsidRDefault="0097619C">
      <w:pPr>
        <w:pStyle w:val="BodyText"/>
      </w:pPr>
      <w:r>
        <w:t>A</w:t>
      </w:r>
      <w:r w:rsidR="00B07A46">
        <w:t xml:space="preserve"> Survey Note </w:t>
      </w:r>
      <w:r>
        <w:t>was</w:t>
      </w:r>
      <w:r w:rsidR="00B07A46">
        <w:t xml:space="preserve"> produced by the Utah Geological Survey regarding water use and production within the Uintah Basin</w:t>
      </w:r>
      <w:r w:rsidR="5E25F54F">
        <w:t>, where these parcels are located</w:t>
      </w:r>
      <w:r w:rsidR="00B07A46">
        <w:t xml:space="preserve"> (Volume 50, No 2)</w:t>
      </w:r>
      <w:r>
        <w:t>.</w:t>
      </w:r>
      <w:r w:rsidR="00B07A46">
        <w:t xml:space="preserve"> The study evaluated the thickness, structure, porosity, permeability, water quality, and temperature of all aquifer/reservoir units in the basin </w:t>
      </w:r>
      <w:r w:rsidR="00B07A46">
        <w:lastRenderedPageBreak/>
        <w:t>from the Eocene-age Green River Formation through the Jurassic-age Glen Canyon Group. Large volumes of produced saline water are typically disposed of by several techniques. Less than 3 percent of the produced water is used for hydraulic fracking in the Uinta Basin. As of 2018, the hydrocarbon production generates over 78 million barrels of saline (briny) non-potable water that requires disposal.</w:t>
      </w:r>
    </w:p>
    <w:p w14:paraId="3C682B1F" w14:textId="77777777" w:rsidR="00B07A46" w:rsidRDefault="00B07A46">
      <w:pPr>
        <w:pStyle w:val="BodyText"/>
      </w:pPr>
      <w:r>
        <w:t>About 11 percent of produced water is hauled from the well site to specially designed, lined storage ponds where it evaporates; evaporation rates are often increased by huge water sprayers (about 8 percent of the water evaporates from these ponds, allowing continued delivery of new water annually). Extensive drilling for gas in tight sandstones in the eastern part of the basin (e.g., Natural Buttes field) generates significant quantities of water, while in the central basin (e.g., Monument Buttes field) expanding enhanced oil recovery (EOR) programs, called waterflooding recovery (injecting oil-bearing sandstone reservoirs with water to push remaining oil towards producing wells to increase recovery), creates a need for water.</w:t>
      </w:r>
    </w:p>
    <w:p w14:paraId="034B1B08" w14:textId="605691CB" w:rsidR="00B07A46" w:rsidRDefault="00B07A46">
      <w:pPr>
        <w:pStyle w:val="BodyText"/>
      </w:pPr>
      <w:r>
        <w:t xml:space="preserve">Waterflooding projects use 18 percent of the total produced water, but this accounts for only 50 percent of the need, so the shortage is made up with freshwater supplies. Thus, excess compatible produced water from gas wells could increasingly be transported to oil fields undergoing EOR. Finally, about 60 percent of the produced water in the </w:t>
      </w:r>
      <w:r w:rsidRPr="00C01A19">
        <w:t>Uinta</w:t>
      </w:r>
      <w:r w:rsidR="00860177" w:rsidRPr="00C1216C">
        <w:t>h</w:t>
      </w:r>
      <w:r w:rsidRPr="00C01A19">
        <w:t xml:space="preserve"> Basin</w:t>
      </w:r>
      <w:r>
        <w:t xml:space="preserve"> is injected via wells into porous rock at a sufficient depth as to not cause contamination of shallow freshwater aquifers </w:t>
      </w:r>
      <w:sdt>
        <w:sdtPr>
          <w:id w:val="878508560"/>
          <w:citation/>
        </w:sdtPr>
        <w:sdtContent>
          <w:r>
            <w:fldChar w:fldCharType="begin"/>
          </w:r>
          <w:r>
            <w:instrText xml:space="preserve"> CITATION Uta18 \l 1033 </w:instrText>
          </w:r>
          <w:r>
            <w:fldChar w:fldCharType="separate"/>
          </w:r>
          <w:r w:rsidR="0093463A">
            <w:rPr>
              <w:noProof/>
            </w:rPr>
            <w:t>(Utah Geological Survey, 2018)</w:t>
          </w:r>
          <w:r>
            <w:fldChar w:fldCharType="end"/>
          </w:r>
        </w:sdtContent>
      </w:sdt>
      <w:r>
        <w:t xml:space="preserve"> </w:t>
      </w:r>
    </w:p>
    <w:p w14:paraId="7358C26B" w14:textId="208607F1" w:rsidR="00B07A46" w:rsidRDefault="6BFF905D">
      <w:pPr>
        <w:pStyle w:val="BodyText"/>
      </w:pPr>
      <w:r>
        <w:t xml:space="preserve">The amount of water used depends on the rock formation, the operator, whether the well is vertical or horizontal, and the number of portions (or stages) of the well that are fractured. </w:t>
      </w:r>
      <w:sdt>
        <w:sdtPr>
          <w:id w:val="1234423284"/>
          <w:citation/>
        </w:sdtPr>
        <w:sdtContent>
          <w:r w:rsidR="00B07A46">
            <w:fldChar w:fldCharType="begin"/>
          </w:r>
          <w:r w:rsidR="00B07A46">
            <w:instrText xml:space="preserve"> CITATION USG19 \l 1033 </w:instrText>
          </w:r>
          <w:r w:rsidR="00B07A46">
            <w:fldChar w:fldCharType="separate"/>
          </w:r>
          <w:r w:rsidR="0093463A">
            <w:rPr>
              <w:noProof/>
            </w:rPr>
            <w:t>(USGS, 2019)</w:t>
          </w:r>
          <w:r w:rsidR="00B07A46">
            <w:fldChar w:fldCharType="end"/>
          </w:r>
        </w:sdtContent>
      </w:sdt>
    </w:p>
    <w:p w14:paraId="378D9B89" w14:textId="77777777" w:rsidR="008A5675" w:rsidRDefault="74B9D22A" w:rsidP="00297B35">
      <w:pPr>
        <w:pStyle w:val="BodyText"/>
        <w:keepNext/>
      </w:pPr>
      <w:r>
        <w:rPr>
          <w:noProof/>
        </w:rPr>
        <w:lastRenderedPageBreak/>
        <w:drawing>
          <wp:inline distT="0" distB="0" distL="0" distR="0" wp14:anchorId="50B126EF" wp14:editId="6B0C2618">
            <wp:extent cx="2057400" cy="4702631"/>
            <wp:effectExtent l="0" t="0" r="0" b="0"/>
            <wp:docPr id="935940558" name="Picture 93594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9405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7400" cy="4702631"/>
                    </a:xfrm>
                    <a:prstGeom prst="rect">
                      <a:avLst/>
                    </a:prstGeom>
                  </pic:spPr>
                </pic:pic>
              </a:graphicData>
            </a:graphic>
          </wp:inline>
        </w:drawing>
      </w:r>
    </w:p>
    <w:p w14:paraId="5CBDEB7C" w14:textId="3258C159" w:rsidR="002636FD" w:rsidRDefault="008A5675" w:rsidP="00297B35">
      <w:pPr>
        <w:pStyle w:val="Caption"/>
      </w:pPr>
      <w:bookmarkStart w:id="159" w:name="_Toc179464320"/>
      <w:bookmarkStart w:id="160" w:name="_Toc170114975"/>
      <w:r>
        <w:t xml:space="preserve">Figure </w:t>
      </w:r>
      <w:r w:rsidR="00821807">
        <w:fldChar w:fldCharType="begin"/>
      </w:r>
      <w:r w:rsidR="00821807">
        <w:instrText xml:space="preserve"> SEQ Figure \* ARABIC </w:instrText>
      </w:r>
      <w:r w:rsidR="00821807">
        <w:fldChar w:fldCharType="separate"/>
      </w:r>
      <w:r w:rsidR="00821807">
        <w:rPr>
          <w:noProof/>
        </w:rPr>
        <w:t>2</w:t>
      </w:r>
      <w:r w:rsidR="00821807">
        <w:rPr>
          <w:noProof/>
        </w:rPr>
        <w:fldChar w:fldCharType="end"/>
      </w:r>
      <w:r>
        <w:t xml:space="preserve"> </w:t>
      </w:r>
      <w:r w:rsidRPr="00327955">
        <w:t>Stratigraphic column</w:t>
      </w:r>
      <w:bookmarkEnd w:id="159"/>
      <w:bookmarkEnd w:id="160"/>
      <w:r w:rsidR="00AD67E2">
        <w:t xml:space="preserve"> Utah Geological Survey, 2018.</w:t>
      </w:r>
    </w:p>
    <w:p w14:paraId="2F276BC6" w14:textId="025F084E" w:rsidR="268E7CEC" w:rsidRDefault="002F2E3C" w:rsidP="768AF2FD">
      <w:pPr>
        <w:pStyle w:val="BodyText"/>
      </w:pPr>
      <w:r>
        <w:t>Figure 2 shows the s</w:t>
      </w:r>
      <w:r w:rsidR="6CB8D99D">
        <w:t>tratigraphic column from the surface down through the Upper Triassic-Lower Jurassic-age Nugget Sandstone in the Uinta Basin showing major oil- and gas-producing reservoirs, seals, water disposal zones, and shallow groundwater aquifers. Modified from Hintze and Kowallis (2009), Geologic History of Utah.</w:t>
      </w:r>
    </w:p>
    <w:p w14:paraId="781C2970" w14:textId="0A7A5B01" w:rsidR="1D15413F" w:rsidRDefault="1D15413F" w:rsidP="1D15413F">
      <w:pPr>
        <w:pStyle w:val="BodyText"/>
      </w:pPr>
    </w:p>
    <w:p w14:paraId="165E60E0" w14:textId="77777777" w:rsidR="00B07A46" w:rsidRDefault="00B07A46">
      <w:pPr>
        <w:pStyle w:val="BodyText"/>
        <w:keepNext/>
      </w:pPr>
      <w:r>
        <w:rPr>
          <w:noProof/>
        </w:rPr>
        <w:lastRenderedPageBreak/>
        <w:drawing>
          <wp:inline distT="0" distB="0" distL="0" distR="0" wp14:anchorId="2934988E" wp14:editId="61CD4498">
            <wp:extent cx="5943600" cy="3392424"/>
            <wp:effectExtent l="19050" t="19050" r="19050" b="17780"/>
            <wp:docPr id="852146410" name="Picture 852146410" descr="Schematic diagram showing oil and gas wells and hypothetical zones to dispose of the produc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6410" name="Picture 852146410" descr="Schematic diagram showing oil and gas wells and hypothetical zones to dispose of the produced wate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392424"/>
                    </a:xfrm>
                    <a:prstGeom prst="rect">
                      <a:avLst/>
                    </a:prstGeom>
                    <a:ln w="12700">
                      <a:solidFill>
                        <a:schemeClr val="tx1"/>
                      </a:solidFill>
                    </a:ln>
                  </pic:spPr>
                </pic:pic>
              </a:graphicData>
            </a:graphic>
          </wp:inline>
        </w:drawing>
      </w:r>
    </w:p>
    <w:p w14:paraId="3DB731F7" w14:textId="18CE7485" w:rsidR="00B07A46" w:rsidRPr="007B5427" w:rsidRDefault="6BFF905D" w:rsidP="065727AB">
      <w:pPr>
        <w:pStyle w:val="Caption"/>
        <w:rPr>
          <w:sz w:val="22"/>
          <w:szCs w:val="22"/>
        </w:rPr>
      </w:pPr>
      <w:bookmarkStart w:id="161" w:name="_Toc151039413"/>
      <w:bookmarkStart w:id="162" w:name="_Toc179464321"/>
      <w:bookmarkStart w:id="163" w:name="_Toc170114976"/>
      <w:r w:rsidRPr="00297B35">
        <w:rPr>
          <w:sz w:val="22"/>
          <w:szCs w:val="22"/>
        </w:rPr>
        <w:t xml:space="preserve">Figure </w:t>
      </w:r>
      <w:r>
        <w:fldChar w:fldCharType="begin"/>
      </w:r>
      <w:r>
        <w:instrText>SEQ Figure \* ARABIC</w:instrText>
      </w:r>
      <w:r>
        <w:fldChar w:fldCharType="separate"/>
      </w:r>
      <w:r w:rsidR="00821807">
        <w:rPr>
          <w:noProof/>
        </w:rPr>
        <w:t>3</w:t>
      </w:r>
      <w:r>
        <w:fldChar w:fldCharType="end"/>
      </w:r>
      <w:r w:rsidRPr="00297B35">
        <w:rPr>
          <w:noProof/>
          <w:sz w:val="22"/>
          <w:szCs w:val="22"/>
        </w:rPr>
        <w:t>.</w:t>
      </w:r>
      <w:r w:rsidRPr="00297B35">
        <w:rPr>
          <w:sz w:val="22"/>
          <w:szCs w:val="22"/>
        </w:rPr>
        <w:t xml:space="preserve"> </w:t>
      </w:r>
      <w:r w:rsidR="751727F0" w:rsidRPr="00297B35">
        <w:rPr>
          <w:sz w:val="22"/>
          <w:szCs w:val="22"/>
        </w:rPr>
        <w:t xml:space="preserve">Utah Geologic Survey, 2018. </w:t>
      </w:r>
      <w:r w:rsidRPr="00297B35">
        <w:rPr>
          <w:sz w:val="22"/>
          <w:szCs w:val="22"/>
        </w:rPr>
        <w:t>Schematic diagram showing oil and gas wells and hypothetical zones to dispose of the produced water</w:t>
      </w:r>
      <w:r w:rsidR="03D6A51A" w:rsidRPr="00297B35">
        <w:rPr>
          <w:sz w:val="22"/>
          <w:szCs w:val="22"/>
        </w:rPr>
        <w:t xml:space="preserve"> (ac</w:t>
      </w:r>
      <w:r w:rsidR="03D6A51A">
        <w:t>tua</w:t>
      </w:r>
      <w:r w:rsidR="03D6A51A" w:rsidRPr="007B5427">
        <w:rPr>
          <w:sz w:val="22"/>
          <w:szCs w:val="22"/>
        </w:rPr>
        <w:t xml:space="preserve">l zones presented in Figure </w:t>
      </w:r>
      <w:r w:rsidR="007B5427">
        <w:rPr>
          <w:sz w:val="22"/>
          <w:szCs w:val="22"/>
        </w:rPr>
        <w:t>2</w:t>
      </w:r>
      <w:r w:rsidR="03D6A51A" w:rsidRPr="007B5427">
        <w:rPr>
          <w:sz w:val="22"/>
          <w:szCs w:val="22"/>
        </w:rPr>
        <w:t>)</w:t>
      </w:r>
      <w:r w:rsidRPr="007B5427">
        <w:rPr>
          <w:sz w:val="22"/>
          <w:szCs w:val="22"/>
        </w:rPr>
        <w:t>.</w:t>
      </w:r>
      <w:bookmarkEnd w:id="161"/>
      <w:bookmarkEnd w:id="162"/>
      <w:bookmarkEnd w:id="163"/>
    </w:p>
    <w:p w14:paraId="38049A3C" w14:textId="40F15ECD" w:rsidR="00B07A46" w:rsidRDefault="00B07A46">
      <w:pPr>
        <w:pStyle w:val="BodyText"/>
      </w:pPr>
      <w:r>
        <w:t>The source, volume of water, and transportation methods involved is identified in the drilling plan per 43 CFR Subpart 3171</w:t>
      </w:r>
      <w:r>
        <w:rPr>
          <w:rStyle w:val="FootnoteReference"/>
        </w:rPr>
        <w:footnoteReference w:id="9"/>
      </w:r>
      <w:sdt>
        <w:sdtPr>
          <w:id w:val="-1333990037"/>
          <w:citation/>
        </w:sdtPr>
        <w:sdtContent>
          <w:r>
            <w:fldChar w:fldCharType="begin"/>
          </w:r>
          <w:r>
            <w:instrText xml:space="preserve"> CITATION BLM23a \l 1033 </w:instrText>
          </w:r>
          <w:r>
            <w:fldChar w:fldCharType="separate"/>
          </w:r>
          <w:r w:rsidR="0093463A">
            <w:rPr>
              <w:noProof/>
            </w:rPr>
            <w:t xml:space="preserve"> (BLM, 2023)</w:t>
          </w:r>
          <w:r>
            <w:fldChar w:fldCharType="end"/>
          </w:r>
        </w:sdtContent>
      </w:sdt>
      <w:r>
        <w:t xml:space="preserve">. </w:t>
      </w:r>
    </w:p>
    <w:p w14:paraId="239DD0E8" w14:textId="3DD2F41F" w:rsidR="00B07A46" w:rsidRDefault="00B07A46" w:rsidP="00893F07">
      <w:r>
        <w:t xml:space="preserve">Detailed impacts of this water use cannot be addressed until site specific operations identify the water source. The </w:t>
      </w:r>
      <w:r w:rsidR="005E48EA" w:rsidRPr="0092034C">
        <w:rPr>
          <w:rFonts w:cs="Times New Roman"/>
        </w:rPr>
        <w:t>U.S. Geological Survey</w:t>
      </w:r>
      <w:r w:rsidR="005E48EA">
        <w:rPr>
          <w:rFonts w:cs="Times New Roman"/>
        </w:rPr>
        <w:t xml:space="preserve"> (</w:t>
      </w:r>
      <w:r>
        <w:t>USGS</w:t>
      </w:r>
      <w:r w:rsidR="005E48EA">
        <w:t>)</w:t>
      </w:r>
      <w:r>
        <w:t xml:space="preserve"> estimates that well use per well can range from 1.5 million gallons to about 16 million gallons </w:t>
      </w:r>
      <w:sdt>
        <w:sdtPr>
          <w:id w:val="-32957440"/>
          <w:citation/>
        </w:sdtPr>
        <w:sdtContent>
          <w:r>
            <w:fldChar w:fldCharType="begin"/>
          </w:r>
          <w:r>
            <w:instrText xml:space="preserve"> CITATION USG23 \l 1033 </w:instrText>
          </w:r>
          <w:r>
            <w:fldChar w:fldCharType="separate"/>
          </w:r>
          <w:r w:rsidR="0093463A">
            <w:rPr>
              <w:noProof/>
            </w:rPr>
            <w:t>(USGS, 2023)</w:t>
          </w:r>
          <w:r>
            <w:fldChar w:fldCharType="end"/>
          </w:r>
        </w:sdtContent>
      </w:sdt>
      <w:r>
        <w:t xml:space="preserve"> however, much of this water is often recycled from other nearby operations depending on local conditions. 43 CFR Subpart 3171 requires the submission of a drilling plan and surface use management plan where the source and transportation of usable water is identified.</w:t>
      </w:r>
      <w:r w:rsidR="00160160" w:rsidRPr="00160160">
        <w:rPr>
          <w:rFonts w:eastAsia="Calibri" w:cs="Arial"/>
        </w:rPr>
        <w:t xml:space="preserve"> </w:t>
      </w:r>
      <w:r w:rsidR="00160160" w:rsidRPr="008B4833">
        <w:rPr>
          <w:rFonts w:eastAsia="Calibri" w:cs="Arial"/>
        </w:rPr>
        <w:t xml:space="preserve">The site-specific SOPs, BMPs, COAs, and lease stipulations attached to each parcel would minimize impacts from the Proposed Action to </w:t>
      </w:r>
      <w:r w:rsidR="00D554FF">
        <w:rPr>
          <w:rFonts w:eastAsia="Calibri" w:cs="Arial"/>
        </w:rPr>
        <w:t>Groundwater</w:t>
      </w:r>
      <w:r w:rsidR="00160160">
        <w:rPr>
          <w:rFonts w:eastAsia="Calibri" w:cs="Arial"/>
        </w:rPr>
        <w:t xml:space="preserve"> </w:t>
      </w:r>
      <w:r w:rsidR="00160160" w:rsidRPr="008B4833">
        <w:rPr>
          <w:rFonts w:eastAsia="Calibri" w:cs="Arial"/>
        </w:rPr>
        <w:t>resources because surface disturbing activities would occur outside of areas where surface water is present</w:t>
      </w:r>
      <w:r w:rsidR="009F3BC3">
        <w:rPr>
          <w:rFonts w:eastAsia="Calibri" w:cs="Arial"/>
        </w:rPr>
        <w:t xml:space="preserve"> (which influences </w:t>
      </w:r>
      <w:r w:rsidR="001F1387">
        <w:rPr>
          <w:rFonts w:eastAsia="Calibri" w:cs="Arial"/>
        </w:rPr>
        <w:t>groundwater)</w:t>
      </w:r>
      <w:r w:rsidR="00160160" w:rsidRPr="008B4833">
        <w:rPr>
          <w:rFonts w:eastAsia="Calibri" w:cs="Arial"/>
        </w:rPr>
        <w:t>, refer to UT-</w:t>
      </w:r>
      <w:r w:rsidR="00536CE4">
        <w:rPr>
          <w:rFonts w:eastAsia="Calibri" w:cs="Arial"/>
        </w:rPr>
        <w:t>S-123</w:t>
      </w:r>
      <w:r w:rsidR="00160160" w:rsidRPr="008B4833">
        <w:rPr>
          <w:rFonts w:eastAsia="Calibri" w:cs="Arial"/>
        </w:rPr>
        <w:t xml:space="preserve"> in Appendix B for further details.</w:t>
      </w:r>
      <w:r>
        <w:t xml:space="preserve"> Potential site-specific impacts relating to future authorizations would be reviewed and possibly analyzed in detail when an APD is received. Prior to approving an APD, hydrologic and engineering reviews would be conducted on all proposed down-hole activities, including hydraulic fracturing (if proposed). All appropriate regulatory and mitigation measures would be included in any approved APD, and all potential impacts would be identified and addressed during the site-specific NEPA process.</w:t>
      </w:r>
    </w:p>
    <w:p w14:paraId="78641757" w14:textId="39190870" w:rsidR="00B07A46" w:rsidRPr="00CE2530" w:rsidRDefault="6BFF905D">
      <w:pPr>
        <w:pStyle w:val="BodyText"/>
        <w:rPr>
          <w:u w:val="single"/>
        </w:rPr>
      </w:pPr>
      <w:r w:rsidRPr="768AF2FD">
        <w:rPr>
          <w:u w:val="single"/>
        </w:rPr>
        <w:t>Groundwater</w:t>
      </w:r>
      <w:r w:rsidR="5D0336AD" w:rsidRPr="768AF2FD">
        <w:rPr>
          <w:u w:val="single"/>
        </w:rPr>
        <w:t xml:space="preserve"> Quality</w:t>
      </w:r>
    </w:p>
    <w:p w14:paraId="32E05440" w14:textId="56AC3D15" w:rsidR="00B07A46" w:rsidRPr="00234EC3" w:rsidRDefault="00B07A46">
      <w:pPr>
        <w:pStyle w:val="BodyText"/>
      </w:pPr>
      <w:r>
        <w:t xml:space="preserve">The lease parcels have been reviewed for proximity of Sole Source Aquifers or Public Drinking Water Source Protection Zones as designated and delineated by the U.S. Environmental Protection Agency </w:t>
      </w:r>
      <w:r>
        <w:lastRenderedPageBreak/>
        <w:t>(EPA) and State of Utah Division of Drinking Water. Lease parcels that have been identified to fall within these protection zones have</w:t>
      </w:r>
      <w:r w:rsidR="00101618">
        <w:t xml:space="preserve"> a</w:t>
      </w:r>
      <w:r>
        <w:t xml:space="preserve"> lease notice and or stipulation attached. Refer to UT-LN-56 in Appendix </w:t>
      </w:r>
      <w:r w:rsidR="00E8531C">
        <w:t>B</w:t>
      </w:r>
      <w:r>
        <w:t xml:space="preserve"> for further details. No parcels within this lease sale are within delineated groundwater</w:t>
      </w:r>
      <w:r w:rsidR="29075762">
        <w:t xml:space="preserve"> source</w:t>
      </w:r>
      <w:r>
        <w:t xml:space="preserve"> protection zones</w:t>
      </w:r>
      <w:r w:rsidR="3025440C">
        <w:t xml:space="preserve"> or sole source aquifers</w:t>
      </w:r>
      <w:r>
        <w:t>. The parcels were also reviewed for potential water right conflicts for potential water quality degradation or quantity impairment</w:t>
      </w:r>
      <w:r w:rsidR="00490891">
        <w:t xml:space="preserve">. </w:t>
      </w:r>
      <w:r w:rsidR="00F058D0">
        <w:t>Per</w:t>
      </w:r>
      <w:r w:rsidR="0029101C">
        <w:t xml:space="preserve"> State of </w:t>
      </w:r>
      <w:r w:rsidR="00285D15">
        <w:t>Utah An</w:t>
      </w:r>
      <w:r w:rsidR="0029101C">
        <w:t xml:space="preserve">ti-Degradation </w:t>
      </w:r>
      <w:r w:rsidR="00E33BDC">
        <w:t>policy (UAC R317-2-3) w</w:t>
      </w:r>
      <w:r>
        <w:t>ater quality must continue to be acceptable to meet the beneficial uses of the water right under all conditions.</w:t>
      </w:r>
    </w:p>
    <w:p w14:paraId="630CE79A" w14:textId="2C481DF9" w:rsidR="00B07A46" w:rsidRPr="00CE2530" w:rsidRDefault="00B07A46">
      <w:pPr>
        <w:pStyle w:val="BodyText"/>
      </w:pPr>
      <w:r w:rsidRPr="00CE2530">
        <w:t xml:space="preserve">Groundwater quality protection for oil and gas leasing, exploration and development </w:t>
      </w:r>
      <w:r>
        <w:t>are</w:t>
      </w:r>
      <w:r w:rsidRPr="00CE2530">
        <w:t xml:space="preserve"> outlined in Instruction Memorandum (IM) No. UT 2010-055: Protection of Ground Water Associated with Oil and Gas Leasing, Exploration and Development- Utah BLM. The purpose of this IM is to clarify the process for the protection of usable ground water zones (</w:t>
      </w:r>
      <w:r w:rsidRPr="007B23E8">
        <w:t>&lt;</w:t>
      </w:r>
      <w:r w:rsidRPr="00CE2530">
        <w:t xml:space="preserve"> 10,000 mg/L as defined in Onshore Oil and Gas Order No. 2) associated with oil and gas exploration and development activities. </w:t>
      </w:r>
      <w:r>
        <w:t xml:space="preserve">The downhole intervals of water aquifers with usable water would be fully cased and cemented to prevent comingling of water. </w:t>
      </w:r>
      <w:r w:rsidRPr="00CE2530">
        <w:t xml:space="preserve">All potential usable water aquifers would be cased and cemented. Well casings would be pressure tested to ensure </w:t>
      </w:r>
      <w:r>
        <w:t xml:space="preserve">long-term </w:t>
      </w:r>
      <w:r w:rsidRPr="00CE2530">
        <w:t>integrity</w:t>
      </w:r>
      <w:r>
        <w:t xml:space="preserve"> throughout the life of the well.</w:t>
      </w:r>
      <w:r w:rsidRPr="00CE2530">
        <w:t xml:space="preserve"> </w:t>
      </w:r>
      <w:r>
        <w:t>The appropriate selection of casing materials and cementing schedule is required and reviewed by the BLM, for the prevention of intermixing or water quality degradation of identified usable water formations.</w:t>
      </w:r>
      <w:r w:rsidR="000A125C" w:rsidRPr="000A125C">
        <w:rPr>
          <w:rFonts w:ascii="Segoe UI" w:hAnsi="Segoe UI" w:cs="Segoe UI"/>
          <w:sz w:val="18"/>
          <w:szCs w:val="18"/>
        </w:rPr>
        <w:t xml:space="preserve"> </w:t>
      </w:r>
      <w:r w:rsidR="000A125C" w:rsidRPr="000A125C">
        <w:t>The proper casing and cementing would prevent intermixing of ground water from various aquifers encountered during the drilling process</w:t>
      </w:r>
      <w:r w:rsidR="00456A76">
        <w:t>.</w:t>
      </w:r>
      <w:r w:rsidRPr="00CE2530">
        <w:t xml:space="preserve"> </w:t>
      </w:r>
      <w:r>
        <w:t xml:space="preserve"> </w:t>
      </w:r>
    </w:p>
    <w:p w14:paraId="3E997D2D" w14:textId="77CD79F9" w:rsidR="002D682D" w:rsidRPr="005F3B69" w:rsidRDefault="002D682D" w:rsidP="0013773E">
      <w:pPr>
        <w:pStyle w:val="AIBChapter3"/>
        <w:rPr>
          <w:rFonts w:hint="eastAsia"/>
        </w:rPr>
      </w:pPr>
      <w:bookmarkStart w:id="164" w:name="_Toc163734202"/>
      <w:bookmarkStart w:id="165" w:name="_Toc179464254"/>
      <w:bookmarkStart w:id="166" w:name="_Toc170114909"/>
      <w:r>
        <w:t>Sensitive Soils</w:t>
      </w:r>
      <w:bookmarkEnd w:id="164"/>
      <w:bookmarkEnd w:id="165"/>
      <w:bookmarkEnd w:id="166"/>
    </w:p>
    <w:p w14:paraId="2163F4AD" w14:textId="0BD46F78" w:rsidR="002D682D" w:rsidRPr="005F3B69" w:rsidRDefault="002D682D" w:rsidP="00393172">
      <w:pPr>
        <w:pStyle w:val="BodyText"/>
        <w:keepNext/>
        <w:rPr>
          <w:b/>
        </w:rPr>
      </w:pPr>
      <w:r w:rsidRPr="005F3B69">
        <w:rPr>
          <w:b/>
        </w:rPr>
        <w:t xml:space="preserve">How would potential development of the nominated lease parcels impact </w:t>
      </w:r>
      <w:r>
        <w:rPr>
          <w:b/>
        </w:rPr>
        <w:t>sensitive soils</w:t>
      </w:r>
      <w:r w:rsidRPr="005F3B69">
        <w:rPr>
          <w:b/>
        </w:rPr>
        <w:t>?</w:t>
      </w:r>
    </w:p>
    <w:p w14:paraId="129465AE" w14:textId="763C4AA6" w:rsidR="00FF5D37" w:rsidRPr="00FB2869" w:rsidRDefault="00FF5D37" w:rsidP="00FF5D37">
      <w:pPr>
        <w:pStyle w:val="BodyText"/>
      </w:pPr>
      <w:r>
        <w:t>Soil movement disrupts the existing structure of the soil horizons to the depth of disturbance. Soil forming processes are halted, and compaction of underlying horizons and loss or degradation of soil microbes may occur. These issues are compounded when fragile and/or sensitive soils are present. Fragile soils are soil types that are easily damaged by use or disturbance and/or are those that are difficult to reclaim to pre-disturbance condition. Additionally, sensitive soils may include those that have components that can be characterized as susceptible to compaction or other mechanical damage and/or are highly erodible when disturbed. Surface disturbance of fragile and/or sensitive soils occurring on increased slope profiles has the potential to affect soil stability and may lead to accelerated soil erosion and potential sedimentation to proximal water bodies</w:t>
      </w:r>
      <w:r w:rsidR="4405201F">
        <w:t xml:space="preserve"> during saturated and runoff conditions within the soil profile</w:t>
      </w:r>
      <w:r>
        <w:t>.</w:t>
      </w:r>
    </w:p>
    <w:p w14:paraId="620D7C1B" w14:textId="77777777" w:rsidR="00FF5D37" w:rsidRPr="001037D0" w:rsidRDefault="00FF5D37" w:rsidP="00FF5D37">
      <w:pPr>
        <w:pStyle w:val="BodyText"/>
      </w:pPr>
      <w:r>
        <w:t>S</w:t>
      </w:r>
      <w:r w:rsidRPr="001037D0">
        <w:t>oils can be rated based on their susceptibility to degradation.</w:t>
      </w:r>
      <w:r w:rsidRPr="001037D0" w:rsidDel="29AC2B56">
        <w:t xml:space="preserve"> </w:t>
      </w:r>
      <w:r w:rsidRPr="001037D0">
        <w:t>Fragile soils are those that are most vulnerable to degradation. In other words, they can be easily degraded and</w:t>
      </w:r>
      <w:r w:rsidDel="29AC2B56">
        <w:t xml:space="preserve"> </w:t>
      </w:r>
      <w:r w:rsidRPr="001037D0">
        <w:t>have a low resistance to degradation processes. They tend to be highly susceptible to erosion and can have a low capacity to recover after degradation has occurred (low resilience). Fragile soils are generally characterized by a low content of organic matter, low aggregate stability, and weak soil structure. They are generally located on sloping ground, have sparse plant cover, and tend to be in arid or semiarid regions. The index can be used for conservation and watershed planning to assist in identifying soils and areas highly vulnerable to degradation.</w:t>
      </w:r>
    </w:p>
    <w:p w14:paraId="3A5F04FB" w14:textId="77777777" w:rsidR="00FF5D37" w:rsidRPr="001037D0" w:rsidRDefault="00FF5D37" w:rsidP="00FF5D37">
      <w:pPr>
        <w:pStyle w:val="BodyText"/>
      </w:pPr>
      <w:r w:rsidRPr="001037D0">
        <w:t>Depending on inherent soil characteristics and the climate, soils can vary from highly resistant, or stable, to vulnerable and extremely sensitive to degradation. Under stress, fragile soils can degrade to a new altered state, which may be less favorable or unfavorable for plant growth and less capable of performing soil functions. To assess the fragility of the soil, indicators of vulnerability to degradation processes are used. They include organic matter, soil structure, rooting depth, vegetative cover, slope, and aridity.</w:t>
      </w:r>
    </w:p>
    <w:p w14:paraId="6A4EDD9C" w14:textId="2E75E139" w:rsidR="00FF5D37" w:rsidRDefault="00FF5D37" w:rsidP="00FF5D37">
      <w:pPr>
        <w:pStyle w:val="BodyText"/>
      </w:pPr>
      <w:r>
        <w:lastRenderedPageBreak/>
        <w:t>Within the lease parcels there are fragile soils, soils that are on slopes greater than 40%, and soils that are not suitable for road construction. The nominated lease parcels contain the following Soil Map Units:</w:t>
      </w:r>
    </w:p>
    <w:p w14:paraId="6E988E00" w14:textId="41DCF82C" w:rsidR="00FF5D37" w:rsidRDefault="00FF5D37" w:rsidP="00FF5D37">
      <w:pPr>
        <w:pStyle w:val="Caption"/>
      </w:pPr>
      <w:bookmarkStart w:id="167" w:name="_Toc151039444"/>
      <w:bookmarkStart w:id="168" w:name="_Toc179464292"/>
      <w:bookmarkStart w:id="169" w:name="_Toc170114947"/>
      <w:r>
        <w:t xml:space="preserve">Table </w:t>
      </w:r>
      <w:r>
        <w:fldChar w:fldCharType="begin"/>
      </w:r>
      <w:r>
        <w:instrText>SEQ Table \* ARABIC</w:instrText>
      </w:r>
      <w:r>
        <w:fldChar w:fldCharType="separate"/>
      </w:r>
      <w:r w:rsidR="00BB3F01">
        <w:rPr>
          <w:noProof/>
        </w:rPr>
        <w:t>11</w:t>
      </w:r>
      <w:r>
        <w:fldChar w:fldCharType="end"/>
      </w:r>
      <w:r>
        <w:t>. Soil types</w:t>
      </w:r>
      <w:bookmarkEnd w:id="167"/>
      <w:bookmarkEnd w:id="168"/>
      <w:bookmarkEnd w:id="169"/>
    </w:p>
    <w:tbl>
      <w:tblPr>
        <w:tblStyle w:val="TableGrid"/>
        <w:tblW w:w="5000" w:type="pct"/>
        <w:tblLook w:val="04A0" w:firstRow="1" w:lastRow="0" w:firstColumn="1" w:lastColumn="0" w:noHBand="0" w:noVBand="1"/>
        <w:tblCaption w:val="Soil Map Units"/>
        <w:tblDescription w:val="Soil types"/>
      </w:tblPr>
      <w:tblGrid>
        <w:gridCol w:w="1705"/>
        <w:gridCol w:w="7645"/>
      </w:tblGrid>
      <w:tr w:rsidR="00FF5D37" w14:paraId="7CA0C15C" w14:textId="77777777">
        <w:tc>
          <w:tcPr>
            <w:tcW w:w="1705" w:type="dxa"/>
            <w:shd w:val="clear" w:color="auto" w:fill="EDEDED" w:themeFill="accent3" w:themeFillTint="33"/>
          </w:tcPr>
          <w:p w14:paraId="6D8C7827" w14:textId="77777777" w:rsidR="00FF5D37" w:rsidRPr="00CE5D94" w:rsidRDefault="00FF5D37">
            <w:pPr>
              <w:pStyle w:val="BodyText"/>
              <w:rPr>
                <w:b/>
                <w:bCs/>
              </w:rPr>
            </w:pPr>
            <w:r w:rsidRPr="00CE5D94">
              <w:rPr>
                <w:b/>
                <w:bCs/>
              </w:rPr>
              <w:t>Lease Parcel</w:t>
            </w:r>
          </w:p>
        </w:tc>
        <w:tc>
          <w:tcPr>
            <w:tcW w:w="7645" w:type="dxa"/>
            <w:shd w:val="clear" w:color="auto" w:fill="EDEDED" w:themeFill="accent3" w:themeFillTint="33"/>
          </w:tcPr>
          <w:p w14:paraId="40EA6E93" w14:textId="77777777" w:rsidR="00FF5D37" w:rsidRPr="00CE5D94" w:rsidRDefault="00FF5D37">
            <w:pPr>
              <w:pStyle w:val="BodyText"/>
              <w:rPr>
                <w:b/>
                <w:bCs/>
              </w:rPr>
            </w:pPr>
            <w:r w:rsidRPr="00CE5D94">
              <w:rPr>
                <w:b/>
                <w:bCs/>
              </w:rPr>
              <w:t>Soil Map Unit</w:t>
            </w:r>
          </w:p>
        </w:tc>
      </w:tr>
      <w:tr w:rsidR="00FF5D37" w14:paraId="7A8E2457" w14:textId="77777777">
        <w:tc>
          <w:tcPr>
            <w:tcW w:w="1705" w:type="dxa"/>
          </w:tcPr>
          <w:p w14:paraId="3E26DCF5" w14:textId="43AB207C" w:rsidR="00FF5D37" w:rsidRDefault="0069665E">
            <w:pPr>
              <w:pStyle w:val="BodyText"/>
            </w:pPr>
            <w:r>
              <w:t>7688</w:t>
            </w:r>
          </w:p>
        </w:tc>
        <w:tc>
          <w:tcPr>
            <w:tcW w:w="7645" w:type="dxa"/>
          </w:tcPr>
          <w:p w14:paraId="34DD5F2A" w14:textId="2CDF9DDB" w:rsidR="00FF5D37" w:rsidRDefault="34F670BA">
            <w:pPr>
              <w:pStyle w:val="BodyText"/>
            </w:pPr>
            <w:r>
              <w:t>Badland-Rock outcrop complex, 1 to 100 percent slopes</w:t>
            </w:r>
            <w:r w:rsidR="40405654">
              <w:t xml:space="preserve">, </w:t>
            </w:r>
            <w:r w:rsidR="62C08EB5">
              <w:t>103</w:t>
            </w:r>
            <w:r w:rsidR="40405654">
              <w:t xml:space="preserve"> acres</w:t>
            </w:r>
          </w:p>
          <w:p w14:paraId="4A00CB03" w14:textId="5FD40B57" w:rsidR="00FF5D37" w:rsidRDefault="40405654">
            <w:pPr>
              <w:pStyle w:val="BodyText"/>
            </w:pPr>
            <w:r>
              <w:t>Badland-</w:t>
            </w:r>
            <w:proofErr w:type="spellStart"/>
            <w:r>
              <w:t>Denco</w:t>
            </w:r>
            <w:proofErr w:type="spellEnd"/>
            <w:r>
              <w:t xml:space="preserve"> complex, 4 to 25 percent slopes</w:t>
            </w:r>
            <w:r w:rsidR="120066F3">
              <w:t>, 92 acres</w:t>
            </w:r>
          </w:p>
          <w:p w14:paraId="73F78AA0" w14:textId="6F5189B2" w:rsidR="00FF5D37" w:rsidRDefault="40405654" w:rsidP="00C5310D">
            <w:pPr>
              <w:pStyle w:val="BodyText"/>
            </w:pPr>
            <w:proofErr w:type="spellStart"/>
            <w:r>
              <w:t>Nakoy</w:t>
            </w:r>
            <w:proofErr w:type="spellEnd"/>
            <w:r>
              <w:t xml:space="preserve"> loamy fine sand, 1 to 5 percent slopes</w:t>
            </w:r>
            <w:r w:rsidR="38B5DE6B">
              <w:t>, 12 acres</w:t>
            </w:r>
          </w:p>
        </w:tc>
      </w:tr>
      <w:tr w:rsidR="00FF5D37" w14:paraId="47C6A297" w14:textId="77777777">
        <w:tc>
          <w:tcPr>
            <w:tcW w:w="1705" w:type="dxa"/>
          </w:tcPr>
          <w:p w14:paraId="3A152680" w14:textId="1D11091F" w:rsidR="00FF5D37" w:rsidRDefault="0069665E">
            <w:pPr>
              <w:pStyle w:val="BodyText"/>
            </w:pPr>
            <w:r>
              <w:t>1551</w:t>
            </w:r>
          </w:p>
        </w:tc>
        <w:tc>
          <w:tcPr>
            <w:tcW w:w="7645" w:type="dxa"/>
          </w:tcPr>
          <w:p w14:paraId="5872D0F1" w14:textId="33E9B5E6" w:rsidR="00FF5D37" w:rsidRDefault="61624F9D" w:rsidP="00C038B6">
            <w:pPr>
              <w:pStyle w:val="BodyText"/>
            </w:pPr>
            <w:proofErr w:type="spellStart"/>
            <w:r>
              <w:t>Milok</w:t>
            </w:r>
            <w:proofErr w:type="spellEnd"/>
            <w:r>
              <w:t>-</w:t>
            </w:r>
            <w:proofErr w:type="spellStart"/>
            <w:r>
              <w:t>Montwel</w:t>
            </w:r>
            <w:proofErr w:type="spellEnd"/>
            <w:r>
              <w:t xml:space="preserve">-Badland association, </w:t>
            </w:r>
            <w:r w:rsidR="1EC8D84E">
              <w:t>fine sandy loam, 3</w:t>
            </w:r>
            <w:r>
              <w:t xml:space="preserve"> to 25 percent slopes</w:t>
            </w:r>
            <w:r w:rsidR="1EC8D84E">
              <w:t>- 620 Acres</w:t>
            </w:r>
          </w:p>
        </w:tc>
      </w:tr>
    </w:tbl>
    <w:p w14:paraId="048A5994" w14:textId="511BCD26" w:rsidR="00FF5D37" w:rsidRPr="00FB2869" w:rsidRDefault="00FF5D37" w:rsidP="00FF5D37">
      <w:pPr>
        <w:pStyle w:val="BodyText"/>
      </w:pPr>
      <w:r>
        <w:t xml:space="preserve">It is expected that reclamation procedures would be required to ensure long-term vegetation, physical and biological impacts to affected soil profiles are minimized.  Reclamation provisions/procedures would include re-vegetation (utilizing appropriate seed mix based on the ecological site, </w:t>
      </w:r>
      <w:proofErr w:type="gramStart"/>
      <w:r>
        <w:t>elevation</w:t>
      </w:r>
      <w:proofErr w:type="gramEnd"/>
      <w:r>
        <w:t xml:space="preserve"> and topography), topsoil preservation, road reclamation, noxious weed controls, etc. The parcels contain</w:t>
      </w:r>
      <w:r w:rsidR="4454CB09">
        <w:t xml:space="preserve"> areas of </w:t>
      </w:r>
      <w:r>
        <w:t>steep topography, so SOPs, BMPs and site-specific design features applied at the APD stage, including reclamation, would be applied as COAs.</w:t>
      </w:r>
    </w:p>
    <w:p w14:paraId="4A9B46BA" w14:textId="77777777" w:rsidR="00FF5D37" w:rsidRDefault="00FF5D37" w:rsidP="00FF5D37">
      <w:pPr>
        <w:pStyle w:val="BodyText"/>
      </w:pPr>
      <w:r w:rsidRPr="003A0BF7">
        <w:rPr>
          <w:u w:val="single"/>
        </w:rPr>
        <w:t>Lease Stipulations</w:t>
      </w:r>
      <w:r>
        <w:t xml:space="preserve">: </w:t>
      </w:r>
    </w:p>
    <w:p w14:paraId="41F51DBE" w14:textId="77777777" w:rsidR="00FF5D37" w:rsidRDefault="00FF5D37" w:rsidP="00FF5D37">
      <w:pPr>
        <w:pStyle w:val="BodyText"/>
        <w:numPr>
          <w:ilvl w:val="0"/>
          <w:numId w:val="53"/>
        </w:numPr>
        <w:spacing w:before="220" w:after="0"/>
      </w:pPr>
      <w:r>
        <w:t>UT-S-96: No Surface Occupancy – Fragile Soils/Slopes Greater than 40%: All parcels</w:t>
      </w:r>
    </w:p>
    <w:p w14:paraId="7382E97F" w14:textId="77777777" w:rsidR="00FF5D37" w:rsidRDefault="00FF5D37" w:rsidP="00FF5D37">
      <w:pPr>
        <w:pStyle w:val="BodyText"/>
        <w:numPr>
          <w:ilvl w:val="0"/>
          <w:numId w:val="53"/>
        </w:numPr>
        <w:spacing w:before="220" w:after="0"/>
      </w:pPr>
      <w:r>
        <w:t xml:space="preserve">UT-S-99: </w:t>
      </w:r>
      <w:r w:rsidRPr="006472AA">
        <w:t>C</w:t>
      </w:r>
      <w:r>
        <w:t>ontrolled</w:t>
      </w:r>
      <w:r w:rsidRPr="006472AA">
        <w:t xml:space="preserve"> S</w:t>
      </w:r>
      <w:r>
        <w:t>urface</w:t>
      </w:r>
      <w:r w:rsidRPr="006472AA">
        <w:t xml:space="preserve"> U</w:t>
      </w:r>
      <w:r>
        <w:t>se</w:t>
      </w:r>
      <w:r w:rsidRPr="006472AA">
        <w:t xml:space="preserve"> – </w:t>
      </w:r>
      <w:r>
        <w:t>Fragile Soils</w:t>
      </w:r>
      <w:r w:rsidRPr="006472AA">
        <w:t>/S</w:t>
      </w:r>
      <w:r>
        <w:t>lopes: All parcels</w:t>
      </w:r>
    </w:p>
    <w:p w14:paraId="0044A76D" w14:textId="77777777" w:rsidR="00FF5D37" w:rsidRPr="00FB2869" w:rsidRDefault="00FF5D37" w:rsidP="00FF5D37">
      <w:pPr>
        <w:pStyle w:val="BodyText"/>
        <w:numPr>
          <w:ilvl w:val="0"/>
          <w:numId w:val="53"/>
        </w:numPr>
        <w:spacing w:before="220" w:after="0"/>
      </w:pPr>
      <w:r w:rsidRPr="00767971">
        <w:t>UT-S-10</w:t>
      </w:r>
      <w:r>
        <w:t xml:space="preserve">0: </w:t>
      </w:r>
      <w:r w:rsidRPr="006472AA">
        <w:t>C</w:t>
      </w:r>
      <w:r>
        <w:t>ontrolled</w:t>
      </w:r>
      <w:r w:rsidRPr="006472AA">
        <w:t xml:space="preserve"> S</w:t>
      </w:r>
      <w:r>
        <w:t>urface</w:t>
      </w:r>
      <w:r w:rsidRPr="006472AA">
        <w:t xml:space="preserve"> U</w:t>
      </w:r>
      <w:r>
        <w:t>se</w:t>
      </w:r>
      <w:r w:rsidRPr="006472AA">
        <w:t xml:space="preserve"> – </w:t>
      </w:r>
      <w:r>
        <w:t>Fragile Soils</w:t>
      </w:r>
      <w:r w:rsidRPr="006472AA">
        <w:t>/S</w:t>
      </w:r>
      <w:r>
        <w:t>lopes (21%-40%):</w:t>
      </w:r>
      <w:r w:rsidRPr="00767971">
        <w:t xml:space="preserve"> </w:t>
      </w:r>
      <w:r>
        <w:t>A</w:t>
      </w:r>
      <w:r w:rsidRPr="00767971">
        <w:t>ll parce</w:t>
      </w:r>
      <w:r>
        <w:t>ls</w:t>
      </w:r>
    </w:p>
    <w:p w14:paraId="58AD269F" w14:textId="77777777" w:rsidR="00003F3B" w:rsidRPr="00393172" w:rsidRDefault="00003F3B" w:rsidP="00003F3B">
      <w:pPr>
        <w:pStyle w:val="BodyText"/>
      </w:pPr>
    </w:p>
    <w:p w14:paraId="12AE55B6" w14:textId="278C9505" w:rsidR="002D682D" w:rsidRPr="005F3B69" w:rsidDel="00CA640F" w:rsidRDefault="002D682D" w:rsidP="0013773E">
      <w:pPr>
        <w:pStyle w:val="AIBChapter3"/>
        <w:rPr>
          <w:rFonts w:hint="eastAsia"/>
        </w:rPr>
      </w:pPr>
      <w:bookmarkStart w:id="170" w:name="_Ref128868858"/>
      <w:bookmarkStart w:id="171" w:name="_Toc163734203"/>
      <w:bookmarkStart w:id="172" w:name="_Toc179464255"/>
      <w:bookmarkStart w:id="173" w:name="_Toc170114910"/>
      <w:r>
        <w:t>Riparian Areas, Wetlands, and Floodplains</w:t>
      </w:r>
      <w:bookmarkEnd w:id="170"/>
      <w:bookmarkEnd w:id="171"/>
      <w:bookmarkEnd w:id="172"/>
      <w:bookmarkEnd w:id="173"/>
    </w:p>
    <w:p w14:paraId="451AD7D2" w14:textId="55501E68" w:rsidR="002D682D" w:rsidRPr="007559C9" w:rsidRDefault="002D682D" w:rsidP="00393172">
      <w:pPr>
        <w:pStyle w:val="BodyText"/>
        <w:keepNext/>
        <w:rPr>
          <w:b/>
          <w:bCs/>
        </w:rPr>
      </w:pPr>
      <w:r w:rsidRPr="007559C9">
        <w:rPr>
          <w:b/>
          <w:bCs/>
        </w:rPr>
        <w:t xml:space="preserve">How would </w:t>
      </w:r>
      <w:r>
        <w:rPr>
          <w:b/>
          <w:bCs/>
        </w:rPr>
        <w:t xml:space="preserve">potential </w:t>
      </w:r>
      <w:r w:rsidRPr="007559C9">
        <w:rPr>
          <w:b/>
          <w:bCs/>
        </w:rPr>
        <w:t>development of the nominated lease parcels impact riparian areas, wetlands, and floodplains?</w:t>
      </w:r>
    </w:p>
    <w:p w14:paraId="1B467AC1" w14:textId="5BB52DE3" w:rsidR="001E3956" w:rsidRDefault="001E3956" w:rsidP="001E3956">
      <w:pPr>
        <w:pStyle w:val="BodyText"/>
      </w:pPr>
      <w:r w:rsidRPr="003B4BA2">
        <w:t xml:space="preserve">The </w:t>
      </w:r>
      <w:r w:rsidR="00503347">
        <w:t>nominated</w:t>
      </w:r>
      <w:r w:rsidRPr="003B4BA2">
        <w:t xml:space="preserve"> lease parcels</w:t>
      </w:r>
      <w:r>
        <w:t xml:space="preserve"> have been reviewed for proximity to riparian areas, wetlands, and floodplains. Through resource knowledge and/or GIS analysis of the National Wetlands Inventory layer, the BLM identified intermittent drainages and mapped wetland habitats within the lease parcels</w:t>
      </w:r>
      <w:r w:rsidDel="009D4263">
        <w:t>.</w:t>
      </w:r>
      <w:r>
        <w:t xml:space="preserve"> Wetlands were identified in parcel </w:t>
      </w:r>
      <w:r w:rsidR="004C6913">
        <w:t>1551</w:t>
      </w:r>
      <w:r>
        <w:t xml:space="preserve"> that intersect the</w:t>
      </w:r>
      <w:r w:rsidR="00B348D3">
        <w:t xml:space="preserve"> </w:t>
      </w:r>
      <w:r w:rsidR="00680810">
        <w:t>United States Forest Service</w:t>
      </w:r>
      <w:r>
        <w:t xml:space="preserve"> </w:t>
      </w:r>
      <w:r w:rsidR="00680810">
        <w:t>(</w:t>
      </w:r>
      <w:r>
        <w:t>USFS</w:t>
      </w:r>
      <w:r w:rsidR="00680810">
        <w:t>)</w:t>
      </w:r>
      <w:r>
        <w:t xml:space="preserve"> National Wetland Inventory data layer. The other parcel contain</w:t>
      </w:r>
      <w:r w:rsidR="004E6CFA">
        <w:t>s</w:t>
      </w:r>
      <w:r>
        <w:t xml:space="preserve"> intermittent drainages. Floodplains (as defined in EO 11988) are associated with perennial lentic and lotic systems as well as intermittent/ephemeral streams which are present on all parcels.</w:t>
      </w:r>
    </w:p>
    <w:p w14:paraId="5264379B" w14:textId="12C92BED" w:rsidR="00B509EA" w:rsidRDefault="00B509EA" w:rsidP="001E3956">
      <w:pPr>
        <w:pStyle w:val="BodyText"/>
      </w:pPr>
      <w:r>
        <w:t xml:space="preserve">Riparian and wetland habitats </w:t>
      </w:r>
      <w:r w:rsidR="00297729">
        <w:t xml:space="preserve">naturally </w:t>
      </w:r>
      <w:r>
        <w:t>comprise a very small percentage of habitat</w:t>
      </w:r>
      <w:r w:rsidR="00297729">
        <w:t xml:space="preserve"> in the analysis area. Some of this habitat has likely been lost due</w:t>
      </w:r>
      <w:r w:rsidR="0073755E">
        <w:t xml:space="preserve"> to development and water use</w:t>
      </w:r>
      <w:r w:rsidR="00C04C5C">
        <w:t xml:space="preserve"> </w:t>
      </w:r>
      <w:r w:rsidR="0035516A">
        <w:t xml:space="preserve">as described in the cumulative effects scenario Section 3.3. </w:t>
      </w:r>
    </w:p>
    <w:p w14:paraId="79E00DAF" w14:textId="77777777" w:rsidR="001E3956" w:rsidRDefault="001E3956" w:rsidP="001E3956">
      <w:pPr>
        <w:pStyle w:val="BodyText"/>
      </w:pPr>
      <w:r>
        <w:lastRenderedPageBreak/>
        <w:t>Notice LN-128 would be added to all parcels to inform potential lessees of the requirements of EO 11988: UT- Federal Flood Risk Management Standard.</w:t>
      </w:r>
    </w:p>
    <w:p w14:paraId="17D3D482" w14:textId="262EF869" w:rsidR="001E3956" w:rsidRDefault="001E3956" w:rsidP="002B1E71">
      <w:pPr>
        <w:pStyle w:val="BodyText"/>
      </w:pPr>
      <w:r w:rsidRPr="009B5596">
        <w:t xml:space="preserve">BMPs, SOPs, and site-specific mitigation may be applied at the APD stage as COAs. Protective measures for riparian and wetland areas and floodplains </w:t>
      </w:r>
      <w:r>
        <w:t>would</w:t>
      </w:r>
      <w:r w:rsidRPr="009B5596">
        <w:t xml:space="preserve"> include no surface </w:t>
      </w:r>
      <w:r>
        <w:t xml:space="preserve">occupancy </w:t>
      </w:r>
      <w:r w:rsidRPr="641AFC5F">
        <w:rPr>
          <w:color w:val="000000" w:themeColor="text1"/>
        </w:rPr>
        <w:t>within active flood plains, wetlands, public water reserves, or 100 meters of riparian areas</w:t>
      </w:r>
      <w:r w:rsidRPr="009B5596">
        <w:t xml:space="preserve"> (UT-</w:t>
      </w:r>
      <w:r>
        <w:t>S-123</w:t>
      </w:r>
      <w:r w:rsidRPr="009B5596">
        <w:t xml:space="preserve">), or </w:t>
      </w:r>
      <w:r>
        <w:t xml:space="preserve">avoidance of </w:t>
      </w:r>
      <w:r w:rsidRPr="009B5596">
        <w:t xml:space="preserve">disruptive activity within </w:t>
      </w:r>
      <w:r w:rsidRPr="006B0693">
        <w:rPr>
          <w:color w:val="222222"/>
        </w:rPr>
        <w:t>100-year floodplain</w:t>
      </w:r>
      <w:r>
        <w:rPr>
          <w:color w:val="222222"/>
        </w:rPr>
        <w:t>s</w:t>
      </w:r>
      <w:r w:rsidRPr="009B5596">
        <w:t xml:space="preserve"> (UT-LN-</w:t>
      </w:r>
      <w:r>
        <w:t>128</w:t>
      </w:r>
      <w:r w:rsidRPr="009B5596">
        <w:t>)</w:t>
      </w:r>
      <w:r>
        <w:t xml:space="preserve"> </w:t>
      </w:r>
      <w:r w:rsidRPr="009B5596">
        <w:t xml:space="preserve">or a combination of all of these. </w:t>
      </w:r>
      <w:r>
        <w:t xml:space="preserve"> </w:t>
      </w:r>
    </w:p>
    <w:p w14:paraId="348C4775" w14:textId="77777777" w:rsidR="001E3956" w:rsidRPr="00983D0E" w:rsidRDefault="001E3956" w:rsidP="001E3956">
      <w:pPr>
        <w:pStyle w:val="Body1"/>
        <w:rPr>
          <w:rFonts w:ascii="Times New Roman" w:hAnsi="Times New Roman" w:cs="Times New Roman"/>
          <w:sz w:val="22"/>
          <w:szCs w:val="22"/>
        </w:rPr>
      </w:pPr>
      <w:r w:rsidRPr="006A6B2D">
        <w:rPr>
          <w:rFonts w:ascii="Times New Roman" w:hAnsi="Times New Roman" w:cs="Times New Roman"/>
          <w:sz w:val="22"/>
          <w:szCs w:val="22"/>
        </w:rPr>
        <w:t xml:space="preserve">Applying these protective measures (stipulations and lease notices) at the time of leasing </w:t>
      </w:r>
      <w:r>
        <w:rPr>
          <w:rFonts w:ascii="Times New Roman" w:hAnsi="Times New Roman" w:cs="Times New Roman"/>
          <w:sz w:val="22"/>
          <w:szCs w:val="22"/>
        </w:rPr>
        <w:t>would</w:t>
      </w:r>
      <w:r w:rsidRPr="006A6B2D">
        <w:rPr>
          <w:rFonts w:ascii="Times New Roman" w:hAnsi="Times New Roman" w:cs="Times New Roman"/>
          <w:sz w:val="22"/>
          <w:szCs w:val="22"/>
        </w:rPr>
        <w:t xml:space="preserve"> inform the lessee of the resource. No further analysis is needed at the leasing stage, but additional mitigation measures and buffers may be applied at the APD stage, as necessary to protect these areas. Additional site-specific NEPA analysis </w:t>
      </w:r>
      <w:r>
        <w:rPr>
          <w:rFonts w:ascii="Times New Roman" w:hAnsi="Times New Roman" w:cs="Times New Roman"/>
          <w:sz w:val="22"/>
          <w:szCs w:val="22"/>
        </w:rPr>
        <w:t>would</w:t>
      </w:r>
      <w:r w:rsidRPr="006A6B2D">
        <w:rPr>
          <w:rFonts w:ascii="Times New Roman" w:hAnsi="Times New Roman" w:cs="Times New Roman"/>
          <w:sz w:val="22"/>
          <w:szCs w:val="22"/>
        </w:rPr>
        <w:t xml:space="preserve"> occur at that time.</w:t>
      </w:r>
    </w:p>
    <w:p w14:paraId="049E313E" w14:textId="77777777" w:rsidR="001E3956" w:rsidRDefault="001E3956" w:rsidP="001E3956">
      <w:pPr>
        <w:pStyle w:val="BodyText"/>
        <w:rPr>
          <w:u w:val="single"/>
        </w:rPr>
      </w:pPr>
      <w:r>
        <w:rPr>
          <w:u w:val="single"/>
        </w:rPr>
        <w:t xml:space="preserve">Lease </w:t>
      </w:r>
      <w:r w:rsidRPr="39077634">
        <w:rPr>
          <w:u w:val="single"/>
        </w:rPr>
        <w:t>Stipulations</w:t>
      </w:r>
      <w:r>
        <w:rPr>
          <w:u w:val="single"/>
        </w:rPr>
        <w:t>:</w:t>
      </w:r>
      <w:r w:rsidRPr="39077634">
        <w:rPr>
          <w:u w:val="single"/>
        </w:rPr>
        <w:t> </w:t>
      </w:r>
    </w:p>
    <w:p w14:paraId="77750385" w14:textId="40801640" w:rsidR="00F10245" w:rsidRDefault="00C10036" w:rsidP="001E3956">
      <w:pPr>
        <w:pStyle w:val="BodyText"/>
        <w:numPr>
          <w:ilvl w:val="0"/>
          <w:numId w:val="53"/>
        </w:numPr>
        <w:spacing w:before="220" w:after="0"/>
      </w:pPr>
      <w:r>
        <w:t>UT-S-123: NSO within 100 meters of riparian, floodplains, or wetlands</w:t>
      </w:r>
    </w:p>
    <w:p w14:paraId="0E9C4B1C" w14:textId="4C2621C7" w:rsidR="001E3956" w:rsidRDefault="001E3956" w:rsidP="001E3956">
      <w:pPr>
        <w:pStyle w:val="BodyText"/>
        <w:rPr>
          <w:u w:val="single"/>
        </w:rPr>
      </w:pPr>
      <w:r>
        <w:rPr>
          <w:u w:val="single"/>
        </w:rPr>
        <w:t xml:space="preserve">Lease </w:t>
      </w:r>
      <w:r w:rsidRPr="39077634">
        <w:rPr>
          <w:u w:val="single"/>
        </w:rPr>
        <w:t>Notices</w:t>
      </w:r>
      <w:r>
        <w:rPr>
          <w:u w:val="single"/>
        </w:rPr>
        <w:t>:</w:t>
      </w:r>
    </w:p>
    <w:p w14:paraId="2BB928DD" w14:textId="01E900F1" w:rsidR="001E3956" w:rsidRDefault="001E3956" w:rsidP="001E3956">
      <w:pPr>
        <w:pStyle w:val="BodyText"/>
        <w:numPr>
          <w:ilvl w:val="0"/>
          <w:numId w:val="53"/>
        </w:numPr>
        <w:spacing w:before="220" w:after="0"/>
      </w:pPr>
      <w:r w:rsidRPr="00E55EB7">
        <w:t>UT-LN-</w:t>
      </w:r>
      <w:r w:rsidR="00B041CB">
        <w:t>53</w:t>
      </w:r>
      <w:r w:rsidR="00B914AB">
        <w:t>: NSO within 100 meters of riparian areas</w:t>
      </w:r>
    </w:p>
    <w:p w14:paraId="540BBC4F" w14:textId="530447DB" w:rsidR="006B0345" w:rsidRDefault="006B0345" w:rsidP="001E3956">
      <w:pPr>
        <w:pStyle w:val="BodyText"/>
        <w:numPr>
          <w:ilvl w:val="0"/>
          <w:numId w:val="53"/>
        </w:numPr>
        <w:spacing w:before="220" w:after="0"/>
      </w:pPr>
      <w:r>
        <w:t xml:space="preserve">UT-LN-128: </w:t>
      </w:r>
      <w:r w:rsidR="006A4A64">
        <w:t>locate facilities outside 100</w:t>
      </w:r>
      <w:r w:rsidR="002B1E71">
        <w:t>-</w:t>
      </w:r>
      <w:r w:rsidR="006A4A64">
        <w:t>year floodplain</w:t>
      </w:r>
    </w:p>
    <w:p w14:paraId="31D66FAD" w14:textId="631A1A09" w:rsidR="002D682D" w:rsidRPr="005F3B69" w:rsidRDefault="002D682D" w:rsidP="0013773E">
      <w:pPr>
        <w:pStyle w:val="AIBChapter3"/>
        <w:rPr>
          <w:rFonts w:hint="eastAsia"/>
        </w:rPr>
      </w:pPr>
      <w:bookmarkStart w:id="174" w:name="_Toc163734204"/>
      <w:bookmarkStart w:id="175" w:name="_Toc179464256"/>
      <w:bookmarkStart w:id="176" w:name="_Toc170114911"/>
      <w:r>
        <w:t>Recreation</w:t>
      </w:r>
      <w:bookmarkEnd w:id="174"/>
      <w:bookmarkEnd w:id="175"/>
      <w:bookmarkEnd w:id="176"/>
    </w:p>
    <w:p w14:paraId="671963F5" w14:textId="758411BD" w:rsidR="00037207" w:rsidRDefault="002D682D" w:rsidP="00393172">
      <w:pPr>
        <w:pStyle w:val="BodyText"/>
        <w:keepNext/>
        <w:rPr>
          <w:b/>
          <w:bCs/>
        </w:rPr>
      </w:pPr>
      <w:r w:rsidRPr="005F3B69">
        <w:rPr>
          <w:b/>
        </w:rPr>
        <w:t xml:space="preserve">How would potential development of the nominated lease parcels affect </w:t>
      </w:r>
      <w:r>
        <w:rPr>
          <w:b/>
        </w:rPr>
        <w:t>recreation</w:t>
      </w:r>
      <w:r w:rsidR="009A4058">
        <w:rPr>
          <w:b/>
        </w:rPr>
        <w:t xml:space="preserve"> opportunities and activities</w:t>
      </w:r>
      <w:r w:rsidRPr="005F3B69">
        <w:rPr>
          <w:b/>
        </w:rPr>
        <w:t>?</w:t>
      </w:r>
    </w:p>
    <w:p w14:paraId="19661C9B" w14:textId="726D985C" w:rsidR="009A4058" w:rsidRPr="00695B90" w:rsidRDefault="009A4058">
      <w:pPr>
        <w:spacing w:before="220"/>
      </w:pPr>
      <w:r w:rsidRPr="00695B90">
        <w:t xml:space="preserve">Recreational opportunities and activities within or near the nominated lease parcels consist mainly of off-highway vehicle (OHV) driving, hunting, and wildlife viewing. There are no designated Special Recreation Management Areas or developed recreation sites located within the parcels. Recreational visitor use within the project area is dispersed, seasonal, and low intensity. </w:t>
      </w:r>
    </w:p>
    <w:p w14:paraId="7D642D43" w14:textId="576CD8A1" w:rsidR="009A4058" w:rsidRPr="00695B90" w:rsidRDefault="52B593C9">
      <w:pPr>
        <w:spacing w:before="220"/>
        <w:rPr>
          <w:rFonts w:cs="Times New Roman"/>
        </w:rPr>
      </w:pPr>
      <w:r w:rsidRPr="007A13D2">
        <w:t>The VFO att</w:t>
      </w:r>
      <w:r w:rsidR="40978630" w:rsidRPr="007A13D2">
        <w:t>rac</w:t>
      </w:r>
      <w:r w:rsidRPr="007A13D2">
        <w:t xml:space="preserve">ted 510,000 </w:t>
      </w:r>
      <w:r w:rsidR="001D2069">
        <w:t>visitors</w:t>
      </w:r>
      <w:r w:rsidRPr="00DD0D0E">
        <w:t xml:space="preserve"> to BLM lands in 2023 </w:t>
      </w:r>
      <w:sdt>
        <w:sdtPr>
          <w:id w:val="1968231312"/>
          <w:citation/>
        </w:sdtPr>
        <w:sdtContent>
          <w:r w:rsidR="00440FC3">
            <w:fldChar w:fldCharType="begin"/>
          </w:r>
          <w:r w:rsidR="00440FC3">
            <w:instrText xml:space="preserve"> CITATION BLM24 \l 1033 </w:instrText>
          </w:r>
          <w:r w:rsidR="00440FC3">
            <w:fldChar w:fldCharType="separate"/>
          </w:r>
          <w:r w:rsidR="0093463A">
            <w:rPr>
              <w:noProof/>
            </w:rPr>
            <w:t>(BLM, 2024)</w:t>
          </w:r>
          <w:r w:rsidR="00440FC3">
            <w:fldChar w:fldCharType="end"/>
          </w:r>
        </w:sdtContent>
      </w:sdt>
      <w:r w:rsidR="000B00C1">
        <w:t>.</w:t>
      </w:r>
      <w:r w:rsidRPr="000B00C1">
        <w:t xml:space="preserve"> The two parcels prop</w:t>
      </w:r>
      <w:r w:rsidR="4D78D648" w:rsidRPr="000B00C1">
        <w:t>o</w:t>
      </w:r>
      <w:r w:rsidRPr="000B00C1">
        <w:t>sed for lease are in an Exten</w:t>
      </w:r>
      <w:r w:rsidR="6ED4EE19" w:rsidRPr="000B00C1">
        <w:t>sive</w:t>
      </w:r>
      <w:r w:rsidRPr="000B00C1">
        <w:t xml:space="preserve"> Recreation Management Area (ERMA), which is managed to provide a more </w:t>
      </w:r>
      <w:r w:rsidR="002C35EC">
        <w:t>primitive</w:t>
      </w:r>
      <w:r w:rsidRPr="00DD0D0E">
        <w:t xml:space="preserve"> recreation experience with minimal facilities and development.  The closest developed recreation site to Parcel 7688 is the Fantasy Canyon Geologic Site, </w:t>
      </w:r>
      <w:r w:rsidR="1F874E04">
        <w:t>9</w:t>
      </w:r>
      <w:r w:rsidRPr="00DD0D0E">
        <w:t xml:space="preserve"> aerial miles distant, </w:t>
      </w:r>
      <w:r w:rsidR="002C35EC">
        <w:t>which</w:t>
      </w:r>
      <w:r w:rsidRPr="00DD0D0E">
        <w:t xml:space="preserve"> attracted 11,500 visitors in 2023. The closest recreation </w:t>
      </w:r>
      <w:r w:rsidR="002C35EC">
        <w:t>facility</w:t>
      </w:r>
      <w:r w:rsidRPr="00DD0D0E">
        <w:t xml:space="preserve"> to Parcel 1551 is the </w:t>
      </w:r>
      <w:r w:rsidR="29CA981D">
        <w:t>McCoy Flats Mountain Biking Area,</w:t>
      </w:r>
      <w:r w:rsidRPr="00DD0D0E">
        <w:t xml:space="preserve"> </w:t>
      </w:r>
      <w:r w:rsidR="7D8D2B01">
        <w:t>9</w:t>
      </w:r>
      <w:r w:rsidRPr="00DD0D0E">
        <w:t xml:space="preserve"> aerial miles</w:t>
      </w:r>
      <w:r w:rsidR="737A986C" w:rsidRPr="00DD0D0E">
        <w:t xml:space="preserve"> distant</w:t>
      </w:r>
      <w:r w:rsidRPr="00DD0D0E">
        <w:t>, but on the opposite side of the Green River and not readil</w:t>
      </w:r>
      <w:r w:rsidR="41C42F30" w:rsidRPr="00DD0D0E">
        <w:t xml:space="preserve">y accessible </w:t>
      </w:r>
      <w:r w:rsidR="065845E8">
        <w:t xml:space="preserve">by vehicle </w:t>
      </w:r>
      <w:r w:rsidR="41C42F30" w:rsidRPr="00DD0D0E">
        <w:t xml:space="preserve">from the parcel.  The closest accessible site by road </w:t>
      </w:r>
      <w:r w:rsidR="22254B7C" w:rsidRPr="00DD0D0E">
        <w:t>to Parcel 1551</w:t>
      </w:r>
      <w:r w:rsidR="41C42F30" w:rsidRPr="00DD0D0E">
        <w:t xml:space="preserve"> is the Musket Shot Spring S</w:t>
      </w:r>
      <w:r w:rsidR="150FFB01" w:rsidRPr="00DD0D0E">
        <w:t xml:space="preserve">cenic Overlook on US Highway 40, which attracted 53,000 </w:t>
      </w:r>
      <w:r w:rsidR="00E1418C">
        <w:t>visitors</w:t>
      </w:r>
      <w:r w:rsidR="150FFB01" w:rsidRPr="00DD0D0E">
        <w:t xml:space="preserve"> in 2023.  Most of these presumabl</w:t>
      </w:r>
      <w:r w:rsidR="51C452C6" w:rsidRPr="00DD0D0E">
        <w:t>y</w:t>
      </w:r>
      <w:r w:rsidR="150FFB01" w:rsidRPr="00DD0D0E">
        <w:t xml:space="preserve"> were highway </w:t>
      </w:r>
      <w:r w:rsidR="00E1418C">
        <w:t>travelers</w:t>
      </w:r>
      <w:r w:rsidR="150FFB01" w:rsidRPr="00DD0D0E">
        <w:t xml:space="preserve"> not necessarily recreating on </w:t>
      </w:r>
      <w:r w:rsidR="45F8BBC7">
        <w:t xml:space="preserve">or near </w:t>
      </w:r>
      <w:r w:rsidR="3E7DE34D" w:rsidRPr="007A13D2">
        <w:t xml:space="preserve">Parcel </w:t>
      </w:r>
      <w:r w:rsidR="26F04E6F" w:rsidRPr="007A13D2">
        <w:t>1551</w:t>
      </w:r>
      <w:r w:rsidR="3E7DE34D" w:rsidRPr="007A13D2">
        <w:t>.</w:t>
      </w:r>
    </w:p>
    <w:p w14:paraId="2268399B" w14:textId="2DC2E321" w:rsidR="00003F3B" w:rsidRPr="007A13D2" w:rsidRDefault="009A4058" w:rsidP="00DD0D0E">
      <w:pPr>
        <w:spacing w:before="220"/>
      </w:pPr>
      <w:r w:rsidRPr="00695B90">
        <w:rPr>
          <w:rFonts w:cs="Times New Roman"/>
        </w:rPr>
        <w:t xml:space="preserve">Per the </w:t>
      </w:r>
      <w:r w:rsidRPr="00695B90">
        <w:rPr>
          <w:rFonts w:eastAsia="Times New Roman" w:cs="Times New Roman"/>
          <w:color w:val="000000" w:themeColor="text1"/>
        </w:rPr>
        <w:t xml:space="preserve">Surface Operating Standards and Guidelines for Oil and Gas Exploration and Development – The Gold Book </w:t>
      </w:r>
      <w:sdt>
        <w:sdtPr>
          <w:rPr>
            <w:rFonts w:eastAsia="Times New Roman" w:cs="Times New Roman"/>
            <w:color w:val="000000" w:themeColor="text1"/>
          </w:rPr>
          <w:id w:val="1029757133"/>
          <w:lock w:val="contentLocked"/>
          <w:citation/>
        </w:sdtPr>
        <w:sdtContent>
          <w:r w:rsidRPr="00695B90">
            <w:rPr>
              <w:rFonts w:eastAsia="Times New Roman" w:cs="Times New Roman"/>
              <w:color w:val="000000" w:themeColor="text1"/>
            </w:rPr>
            <w:fldChar w:fldCharType="begin"/>
          </w:r>
          <w:r w:rsidRPr="00695B90">
            <w:rPr>
              <w:rFonts w:eastAsia="Times New Roman" w:cs="Times New Roman"/>
              <w:color w:val="000000" w:themeColor="text1"/>
            </w:rPr>
            <w:instrText xml:space="preserve"> CITATION BLM07a \l 1033 </w:instrText>
          </w:r>
          <w:r w:rsidRPr="00695B90">
            <w:rPr>
              <w:rFonts w:eastAsia="Times New Roman" w:cs="Times New Roman"/>
              <w:color w:val="000000" w:themeColor="text1"/>
            </w:rPr>
            <w:fldChar w:fldCharType="separate"/>
          </w:r>
          <w:r w:rsidR="0093463A" w:rsidRPr="0093463A">
            <w:rPr>
              <w:rFonts w:eastAsia="Times New Roman" w:cs="Times New Roman"/>
              <w:noProof/>
              <w:color w:val="000000" w:themeColor="text1"/>
            </w:rPr>
            <w:t>(BLM, 2007)</w:t>
          </w:r>
          <w:r w:rsidRPr="00695B90">
            <w:rPr>
              <w:rFonts w:eastAsia="Times New Roman" w:cs="Times New Roman"/>
              <w:color w:val="000000" w:themeColor="text1"/>
            </w:rPr>
            <w:fldChar w:fldCharType="end"/>
          </w:r>
        </w:sdtContent>
      </w:sdt>
      <w:r w:rsidRPr="00695B90">
        <w:rPr>
          <w:rFonts w:eastAsia="Times New Roman" w:cs="Times New Roman"/>
          <w:color w:val="000000" w:themeColor="text1"/>
        </w:rPr>
        <w:t xml:space="preserve">, </w:t>
      </w:r>
      <w:r w:rsidRPr="00695B90">
        <w:rPr>
          <w:rFonts w:cs="Times New Roman"/>
        </w:rPr>
        <w:t xml:space="preserve">temporary or longer-term impacts from the Proposed Action, such as road upgrades, increased vehicle traffic, construction, noise, dust, and/or surface disturbances, would be localized and minimally disruptive to recreational access and dispersed recreation opportunities within the parcels as alternative travel routes and public lands would still be available in the vicinity. </w:t>
      </w:r>
    </w:p>
    <w:p w14:paraId="7BBAA910" w14:textId="280C946A" w:rsidR="002D682D" w:rsidRPr="00747592" w:rsidRDefault="002D682D" w:rsidP="0013773E">
      <w:pPr>
        <w:pStyle w:val="AIBChapter3"/>
        <w:rPr>
          <w:rFonts w:hint="eastAsia"/>
        </w:rPr>
      </w:pPr>
      <w:bookmarkStart w:id="177" w:name="_Toc163734205"/>
      <w:bookmarkStart w:id="178" w:name="_Toc179464257"/>
      <w:bookmarkStart w:id="179" w:name="_Toc170114912"/>
      <w:r w:rsidRPr="00747592">
        <w:lastRenderedPageBreak/>
        <w:t>Visual Resources</w:t>
      </w:r>
      <w:bookmarkEnd w:id="177"/>
      <w:bookmarkEnd w:id="178"/>
      <w:bookmarkEnd w:id="179"/>
    </w:p>
    <w:p w14:paraId="42F4CC24" w14:textId="47020C3B" w:rsidR="002D682D" w:rsidRPr="005F3B69" w:rsidRDefault="002D682D" w:rsidP="002D682D">
      <w:pPr>
        <w:pStyle w:val="BodyText"/>
        <w:keepNext/>
        <w:rPr>
          <w:b/>
        </w:rPr>
      </w:pPr>
      <w:r w:rsidRPr="00344BF4">
        <w:rPr>
          <w:b/>
        </w:rPr>
        <w:t>How would</w:t>
      </w:r>
      <w:r w:rsidRPr="005F3B69">
        <w:rPr>
          <w:b/>
        </w:rPr>
        <w:t xml:space="preserve"> </w:t>
      </w:r>
      <w:r>
        <w:rPr>
          <w:b/>
        </w:rPr>
        <w:t xml:space="preserve">potential development of the lease parcels affect </w:t>
      </w:r>
      <w:r w:rsidRPr="005F3B69">
        <w:rPr>
          <w:b/>
        </w:rPr>
        <w:t>the visual landscape?</w:t>
      </w:r>
    </w:p>
    <w:p w14:paraId="5EC6BC60" w14:textId="450E14B3" w:rsidR="00261566" w:rsidRPr="00A93A4E" w:rsidRDefault="49F5264E" w:rsidP="0517AEC6">
      <w:pPr>
        <w:spacing w:before="220"/>
      </w:pPr>
      <w:r w:rsidRPr="00A93A4E">
        <w:t xml:space="preserve">Lease parcel 1551 is located </w:t>
      </w:r>
      <w:r w:rsidR="71F2A44A" w:rsidRPr="00A93A4E">
        <w:t>mostly</w:t>
      </w:r>
      <w:r w:rsidRPr="00A93A4E">
        <w:t xml:space="preserve"> within Visual Resource Management (VRM) Class </w:t>
      </w:r>
      <w:r w:rsidR="416616FE" w:rsidRPr="00A93A4E">
        <w:t xml:space="preserve">3 and partly in Class </w:t>
      </w:r>
      <w:r w:rsidRPr="00A93A4E">
        <w:t>4. Lease parcel 76</w:t>
      </w:r>
      <w:r w:rsidR="7207A85F" w:rsidRPr="00A93A4E">
        <w:t>8</w:t>
      </w:r>
      <w:r w:rsidRPr="00A93A4E">
        <w:t xml:space="preserve">8 is located </w:t>
      </w:r>
      <w:r w:rsidR="4E06C654" w:rsidRPr="00A93A4E">
        <w:t>entirely</w:t>
      </w:r>
      <w:r w:rsidRPr="00A93A4E">
        <w:t xml:space="preserve"> within VRM Class 4</w:t>
      </w:r>
      <w:r w:rsidR="4A0368EE" w:rsidRPr="00A93A4E">
        <w:t>.</w:t>
      </w:r>
      <w:r w:rsidRPr="00A93A4E">
        <w:t xml:space="preserve"> Management goals and objectives for VRM Class </w:t>
      </w:r>
      <w:r w:rsidR="618A7207" w:rsidRPr="00A93A4E">
        <w:t>3</w:t>
      </w:r>
      <w:r w:rsidR="46496232" w:rsidRPr="00A93A4E">
        <w:t xml:space="preserve"> </w:t>
      </w:r>
      <w:r w:rsidRPr="00A93A4E">
        <w:t xml:space="preserve">allow for a </w:t>
      </w:r>
      <w:r w:rsidR="27C26B21" w:rsidRPr="00A93A4E">
        <w:t xml:space="preserve">moderate </w:t>
      </w:r>
      <w:r w:rsidRPr="00A93A4E">
        <w:t xml:space="preserve">degree of change or visual contrast with the landscape. </w:t>
      </w:r>
      <w:r w:rsidR="15AF58B5" w:rsidRPr="009330FB">
        <w:rPr>
          <w:rFonts w:eastAsia="Times New Roman" w:cs="Times New Roman"/>
        </w:rPr>
        <w:t xml:space="preserve">Management activities may attract the attention of the casual observer but should not dominate the view of the casual observer. </w:t>
      </w:r>
      <w:r w:rsidRPr="00A93A4E">
        <w:t xml:space="preserve"> The management objective for VRM class 4 is to provide for management activities which require major modification of the existing character of the landscape.  The level of change to the characteristic landscape can be high. Management activities may dominate the view and may be the major focus of viewer attention. However</w:t>
      </w:r>
      <w:r w:rsidR="006441AA" w:rsidRPr="00A93A4E">
        <w:t>,</w:t>
      </w:r>
      <w:r w:rsidR="06DCD0B0" w:rsidRPr="00A93A4E">
        <w:t xml:space="preserve"> in all VRM Classes</w:t>
      </w:r>
      <w:r w:rsidRPr="00A93A4E">
        <w:t xml:space="preserve">, the impact of these activities should be minimized through careful siting, minimal disturbance, and repeating the basic elements of form, line, color, and texture within the existing setting (BLM 2024). </w:t>
      </w:r>
    </w:p>
    <w:p w14:paraId="0C905D27" w14:textId="131A8249" w:rsidR="00261566" w:rsidRPr="00A93A4E" w:rsidRDefault="49F5264E" w:rsidP="00261566">
      <w:pPr>
        <w:spacing w:before="220"/>
      </w:pPr>
      <w:r w:rsidRPr="00A93A4E">
        <w:t>Lease parcel 7688 is</w:t>
      </w:r>
      <w:r w:rsidR="00261566" w:rsidRPr="00A93A4E">
        <w:t xml:space="preserve"> adjacent to previously developed gas fields of the Uinta Basin where the landscape is generally flat and uniform in form, line, texture, and color. </w:t>
      </w:r>
      <w:r w:rsidRPr="00A93A4E">
        <w:t>Parcel 76</w:t>
      </w:r>
      <w:r w:rsidR="054EAF51" w:rsidRPr="00A93A4E">
        <w:t>8</w:t>
      </w:r>
      <w:r w:rsidRPr="00A93A4E">
        <w:t>8 is</w:t>
      </w:r>
      <w:r w:rsidR="00261566" w:rsidRPr="00A93A4E">
        <w:t xml:space="preserve"> already crisscrossed with linear disturbances such as roads, well pads, and/or pipelines. Lease parcel </w:t>
      </w:r>
      <w:r w:rsidRPr="00A93A4E">
        <w:t>1551 is more distant from</w:t>
      </w:r>
      <w:r w:rsidR="00261566" w:rsidRPr="00A93A4E" w:rsidDel="00AC4316">
        <w:t xml:space="preserve"> </w:t>
      </w:r>
      <w:r w:rsidR="00261566" w:rsidRPr="00A93A4E">
        <w:t xml:space="preserve">existing </w:t>
      </w:r>
      <w:r w:rsidRPr="00A93A4E">
        <w:t>development but still bisected by existing roads.</w:t>
      </w:r>
      <w:r w:rsidR="00261566" w:rsidRPr="00A93A4E">
        <w:t xml:space="preserve"> The presence of existing linear disturbances within or adjacent to the parcels would</w:t>
      </w:r>
      <w:r w:rsidR="00261566" w:rsidRPr="00A93A4E" w:rsidDel="00B372D0">
        <w:t xml:space="preserve"> </w:t>
      </w:r>
      <w:r w:rsidR="00261566" w:rsidRPr="00A93A4E">
        <w:t xml:space="preserve">reduce the level of visual contrast with any new surface disturbances associated with lease development. For these reasons, potential changes or visible contrast with the form, line, texture, and color of the characteristic landscape are likely to be low for </w:t>
      </w:r>
      <w:r w:rsidRPr="00A93A4E">
        <w:t xml:space="preserve">these </w:t>
      </w:r>
      <w:r w:rsidR="00261566" w:rsidRPr="00A93A4E">
        <w:t>lease parcels and would meet the prescribed objectives for VRM management</w:t>
      </w:r>
      <w:r w:rsidRPr="00A93A4E">
        <w:t xml:space="preserve">. </w:t>
      </w:r>
      <w:r w:rsidR="00E45EE7">
        <w:t>V</w:t>
      </w:r>
      <w:r w:rsidR="000B5DA0">
        <w:t>RM resources will also be analyzed at the APD stage.</w:t>
      </w:r>
      <w:r w:rsidR="00261566" w:rsidRPr="00A93A4E">
        <w:t xml:space="preserve"> </w:t>
      </w:r>
    </w:p>
    <w:p w14:paraId="729D155D" w14:textId="7F2F3D45" w:rsidR="00E75938" w:rsidRPr="00A93A4E" w:rsidRDefault="34D68635" w:rsidP="00EA19F3">
      <w:pPr>
        <w:spacing w:before="220"/>
      </w:pPr>
      <w:r w:rsidRPr="00A93A4E">
        <w:t>Past and reasonably foreseeable oil and gas development in the areas adjacent to the lease parcels will continue to cause alterations and</w:t>
      </w:r>
      <w:r w:rsidR="16407F5C" w:rsidRPr="00A93A4E">
        <w:t xml:space="preserve"> impacts to the visual landscape, but within the objectives of the relevant VRM </w:t>
      </w:r>
      <w:r w:rsidR="00EA19F3" w:rsidRPr="00A93A4E">
        <w:t>management</w:t>
      </w:r>
      <w:r w:rsidR="16407F5C" w:rsidRPr="00A93A4E">
        <w:t xml:space="preserve"> </w:t>
      </w:r>
      <w:r w:rsidR="00EA19F3" w:rsidRPr="00A93A4E">
        <w:t>classes</w:t>
      </w:r>
      <w:r w:rsidR="16407F5C" w:rsidRPr="00A93A4E">
        <w:t>.</w:t>
      </w:r>
    </w:p>
    <w:p w14:paraId="3F0A5F21" w14:textId="38B62E46" w:rsidR="00003F3B" w:rsidRDefault="00C15194" w:rsidP="0013773E">
      <w:pPr>
        <w:pStyle w:val="AIBChapter3"/>
        <w:rPr>
          <w:rFonts w:hint="eastAsia"/>
        </w:rPr>
      </w:pPr>
      <w:bookmarkStart w:id="180" w:name="_Toc179464258"/>
      <w:bookmarkStart w:id="181" w:name="_Toc170114913"/>
      <w:r>
        <w:t>Soundscapes</w:t>
      </w:r>
      <w:bookmarkEnd w:id="180"/>
      <w:bookmarkEnd w:id="181"/>
    </w:p>
    <w:p w14:paraId="236FE3A7" w14:textId="72FFF68B" w:rsidR="00BA6938" w:rsidRPr="007A13D2" w:rsidRDefault="00273403" w:rsidP="00273403">
      <w:pPr>
        <w:pStyle w:val="BodyText"/>
        <w:rPr>
          <w:b/>
        </w:rPr>
      </w:pPr>
      <w:r w:rsidRPr="007A13D2">
        <w:rPr>
          <w:b/>
        </w:rPr>
        <w:t>How would</w:t>
      </w:r>
      <w:r w:rsidR="002D23C9" w:rsidRPr="007A13D2">
        <w:rPr>
          <w:b/>
        </w:rPr>
        <w:t xml:space="preserve"> noise associated with</w:t>
      </w:r>
      <w:r w:rsidRPr="007A13D2">
        <w:rPr>
          <w:b/>
        </w:rPr>
        <w:t xml:space="preserve"> potential development of the </w:t>
      </w:r>
      <w:r w:rsidR="00F1055D" w:rsidRPr="007A13D2">
        <w:rPr>
          <w:b/>
        </w:rPr>
        <w:t xml:space="preserve">nominated </w:t>
      </w:r>
      <w:r w:rsidRPr="007A13D2">
        <w:rPr>
          <w:b/>
        </w:rPr>
        <w:t>lease</w:t>
      </w:r>
      <w:r w:rsidR="00F1055D" w:rsidRPr="007A13D2">
        <w:rPr>
          <w:b/>
        </w:rPr>
        <w:t xml:space="preserve"> parcels</w:t>
      </w:r>
      <w:r w:rsidRPr="007A13D2">
        <w:rPr>
          <w:b/>
        </w:rPr>
        <w:t xml:space="preserve"> </w:t>
      </w:r>
      <w:r w:rsidR="00F1055D" w:rsidRPr="007A13D2">
        <w:rPr>
          <w:b/>
        </w:rPr>
        <w:t>imp</w:t>
      </w:r>
      <w:r w:rsidR="00C6680F" w:rsidRPr="007A13D2">
        <w:rPr>
          <w:b/>
        </w:rPr>
        <w:t>act</w:t>
      </w:r>
      <w:r w:rsidRPr="007A13D2">
        <w:rPr>
          <w:b/>
        </w:rPr>
        <w:t xml:space="preserve"> the </w:t>
      </w:r>
      <w:r w:rsidR="00E279CE" w:rsidRPr="007A13D2">
        <w:rPr>
          <w:b/>
        </w:rPr>
        <w:t xml:space="preserve">local </w:t>
      </w:r>
      <w:r w:rsidR="00413E0A" w:rsidRPr="007A13D2">
        <w:rPr>
          <w:b/>
        </w:rPr>
        <w:t>soundscape</w:t>
      </w:r>
      <w:r w:rsidRPr="007A13D2">
        <w:rPr>
          <w:b/>
        </w:rPr>
        <w:t xml:space="preserve">? </w:t>
      </w:r>
    </w:p>
    <w:p w14:paraId="73CB74DB" w14:textId="58D6B5A1" w:rsidR="00CD7DC4" w:rsidRDefault="00CA2289" w:rsidP="004B6BA8">
      <w:pPr>
        <w:textAlignment w:val="baseline"/>
        <w:rPr>
          <w:rFonts w:eastAsia="Times New Roman" w:cs="Times New Roman"/>
        </w:rPr>
      </w:pPr>
      <w:r w:rsidRPr="00CA2289">
        <w:rPr>
          <w:rFonts w:eastAsia="Times New Roman" w:cs="Times New Roman"/>
        </w:rPr>
        <w:t xml:space="preserve">The EPA has identified a 24-hour exposure level of 70 dBA as the level of environmental noise </w:t>
      </w:r>
      <w:r w:rsidR="00B66F09">
        <w:rPr>
          <w:rFonts w:eastAsia="Times New Roman" w:cs="Times New Roman"/>
        </w:rPr>
        <w:t>to</w:t>
      </w:r>
      <w:r w:rsidRPr="00CA2289">
        <w:rPr>
          <w:rFonts w:eastAsia="Times New Roman" w:cs="Times New Roman"/>
        </w:rPr>
        <w:t xml:space="preserve"> prevent any measurable hearing loss over a </w:t>
      </w:r>
      <w:proofErr w:type="spellStart"/>
      <w:proofErr w:type="gramStart"/>
      <w:r w:rsidR="00B66F09">
        <w:rPr>
          <w:rFonts w:eastAsia="Times New Roman" w:cs="Times New Roman"/>
        </w:rPr>
        <w:t>persons</w:t>
      </w:r>
      <w:proofErr w:type="spellEnd"/>
      <w:proofErr w:type="gramEnd"/>
      <w:r w:rsidRPr="00CA2289">
        <w:rPr>
          <w:rFonts w:eastAsia="Times New Roman" w:cs="Times New Roman"/>
        </w:rPr>
        <w:t xml:space="preserve"> lifetime. Likewise, levels of 55 decibels outdoors and 45 decibels indoors are identified as preventing activity interference and annoyance. The levels are not single even</w:t>
      </w:r>
      <w:r w:rsidR="009F0FEC">
        <w:rPr>
          <w:rFonts w:eastAsia="Times New Roman" w:cs="Times New Roman"/>
        </w:rPr>
        <w:t>t</w:t>
      </w:r>
      <w:r w:rsidRPr="00CA2289">
        <w:rPr>
          <w:rFonts w:eastAsia="Times New Roman" w:cs="Times New Roman"/>
        </w:rPr>
        <w:t xml:space="preserve">, or “peak” levels. Instead, they represent averages of acoustic energy over periods of time such as 8 hours or 24 hours, and over long periods of time such as years. </w:t>
      </w:r>
      <w:r w:rsidR="00D8092C">
        <w:rPr>
          <w:rFonts w:eastAsia="Times New Roman" w:cs="Times New Roman"/>
        </w:rPr>
        <w:t xml:space="preserve">The </w:t>
      </w:r>
      <w:r w:rsidRPr="00CA2289">
        <w:rPr>
          <w:rFonts w:eastAsia="Times New Roman" w:cs="Times New Roman"/>
        </w:rPr>
        <w:t>55 dBA</w:t>
      </w:r>
      <w:r w:rsidR="00D8092C">
        <w:rPr>
          <w:rFonts w:eastAsia="Times New Roman" w:cs="Times New Roman"/>
        </w:rPr>
        <w:t xml:space="preserve"> threshold</w:t>
      </w:r>
      <w:r w:rsidRPr="00CA2289">
        <w:rPr>
          <w:rFonts w:eastAsia="Times New Roman" w:cs="Times New Roman"/>
        </w:rPr>
        <w:t xml:space="preserve"> is generally recognized as a level below which no public health or safety risks to the general population would be anticipated to occur.</w:t>
      </w:r>
    </w:p>
    <w:p w14:paraId="4208E4A5" w14:textId="77777777" w:rsidR="00CD7DC4" w:rsidRDefault="00CD7DC4" w:rsidP="004B6BA8">
      <w:pPr>
        <w:textAlignment w:val="baseline"/>
        <w:rPr>
          <w:rFonts w:eastAsia="Times New Roman" w:cs="Times New Roman"/>
        </w:rPr>
      </w:pPr>
    </w:p>
    <w:p w14:paraId="26B1B710" w14:textId="0A359403" w:rsidR="004B6BA8" w:rsidRDefault="004B6BA8" w:rsidP="004B6BA8">
      <w:pPr>
        <w:textAlignment w:val="baseline"/>
        <w:rPr>
          <w:rFonts w:eastAsia="Times New Roman" w:cs="Times New Roman"/>
        </w:rPr>
      </w:pPr>
      <w:r w:rsidRPr="004B6BA8">
        <w:rPr>
          <w:rFonts w:eastAsia="Times New Roman" w:cs="Times New Roman"/>
        </w:rPr>
        <w:t>In rural areas, ambient sound levels are typically 30 to 40 A-weighted decibels (dBA)</w:t>
      </w:r>
      <w:sdt>
        <w:sdtPr>
          <w:rPr>
            <w:rFonts w:eastAsia="Times New Roman" w:cs="Times New Roman"/>
          </w:rPr>
          <w:id w:val="1051649471"/>
          <w:citation/>
        </w:sdtPr>
        <w:sdtContent>
          <w:r w:rsidR="0073470C">
            <w:rPr>
              <w:rFonts w:eastAsia="Times New Roman" w:cs="Times New Roman"/>
            </w:rPr>
            <w:fldChar w:fldCharType="begin"/>
          </w:r>
          <w:r w:rsidR="0073470C">
            <w:rPr>
              <w:rFonts w:eastAsia="Times New Roman" w:cs="Times New Roman"/>
            </w:rPr>
            <w:instrText xml:space="preserve">CITATION EPA74 \l 1033 </w:instrText>
          </w:r>
          <w:r w:rsidR="0073470C">
            <w:rPr>
              <w:rFonts w:eastAsia="Times New Roman" w:cs="Times New Roman"/>
            </w:rPr>
            <w:fldChar w:fldCharType="separate"/>
          </w:r>
          <w:r w:rsidR="0093463A">
            <w:rPr>
              <w:rFonts w:eastAsia="Times New Roman" w:cs="Times New Roman"/>
              <w:noProof/>
            </w:rPr>
            <w:t xml:space="preserve"> </w:t>
          </w:r>
          <w:r w:rsidR="0093463A" w:rsidRPr="0093463A">
            <w:rPr>
              <w:rFonts w:eastAsia="Times New Roman" w:cs="Times New Roman"/>
              <w:noProof/>
            </w:rPr>
            <w:t>(EPA, 1974)</w:t>
          </w:r>
          <w:r w:rsidR="0073470C">
            <w:rPr>
              <w:rFonts w:eastAsia="Times New Roman" w:cs="Times New Roman"/>
            </w:rPr>
            <w:fldChar w:fldCharType="end"/>
          </w:r>
        </w:sdtContent>
      </w:sdt>
      <w:r w:rsidRPr="004B6BA8">
        <w:rPr>
          <w:rFonts w:eastAsia="Times New Roman" w:cs="Times New Roman"/>
        </w:rPr>
        <w:t xml:space="preserve">. As a basis for comparison, the sound level of a normal conversation between two people standing 5 feet apart is 60 dBA. Highway traffic noise typically range from 70 to 80 dB(A) at </w:t>
      </w:r>
      <w:proofErr w:type="gramStart"/>
      <w:r w:rsidRPr="004B6BA8">
        <w:rPr>
          <w:rFonts w:eastAsia="Times New Roman" w:cs="Times New Roman"/>
        </w:rPr>
        <w:t>a distance of 50</w:t>
      </w:r>
      <w:proofErr w:type="gramEnd"/>
      <w:r w:rsidRPr="004B6BA8">
        <w:rPr>
          <w:rFonts w:eastAsia="Times New Roman" w:cs="Times New Roman"/>
        </w:rPr>
        <w:t xml:space="preserve"> feet from the highway </w:t>
      </w:r>
      <w:sdt>
        <w:sdtPr>
          <w:rPr>
            <w:rFonts w:eastAsia="Times New Roman" w:cs="Times New Roman"/>
          </w:rPr>
          <w:id w:val="-1759590061"/>
          <w:citation/>
        </w:sdtPr>
        <w:sdtContent>
          <w:r w:rsidR="00E60DC5">
            <w:rPr>
              <w:rFonts w:eastAsia="Times New Roman" w:cs="Times New Roman"/>
            </w:rPr>
            <w:fldChar w:fldCharType="begin"/>
          </w:r>
          <w:r w:rsidR="00E60DC5">
            <w:rPr>
              <w:rFonts w:eastAsia="Times New Roman" w:cs="Times New Roman"/>
            </w:rPr>
            <w:instrText xml:space="preserve">CITATION USD03 \l 1033 </w:instrText>
          </w:r>
          <w:r w:rsidR="00E60DC5">
            <w:rPr>
              <w:rFonts w:eastAsia="Times New Roman" w:cs="Times New Roman"/>
            </w:rPr>
            <w:fldChar w:fldCharType="separate"/>
          </w:r>
          <w:r w:rsidR="0093463A" w:rsidRPr="0093463A">
            <w:rPr>
              <w:rFonts w:eastAsia="Times New Roman" w:cs="Times New Roman"/>
              <w:noProof/>
            </w:rPr>
            <w:t>(USDOT, 2003)</w:t>
          </w:r>
          <w:r w:rsidR="00E60DC5">
            <w:rPr>
              <w:rFonts w:eastAsia="Times New Roman" w:cs="Times New Roman"/>
            </w:rPr>
            <w:fldChar w:fldCharType="end"/>
          </w:r>
        </w:sdtContent>
      </w:sdt>
      <w:r w:rsidRPr="004B6BA8">
        <w:rPr>
          <w:rFonts w:eastAsia="Times New Roman" w:cs="Times New Roman"/>
        </w:rPr>
        <w:t xml:space="preserve">. </w:t>
      </w:r>
      <w:r w:rsidR="006F5628">
        <w:rPr>
          <w:rFonts w:eastAsia="Times New Roman" w:cs="Times New Roman"/>
        </w:rPr>
        <w:t>Typical noise levels associated with</w:t>
      </w:r>
      <w:r w:rsidR="00605E75">
        <w:rPr>
          <w:rFonts w:eastAsia="Times New Roman" w:cs="Times New Roman"/>
        </w:rPr>
        <w:t xml:space="preserve"> oil and gas activity are presented in </w:t>
      </w:r>
      <w:r w:rsidR="004A605B">
        <w:rPr>
          <w:rFonts w:eastAsia="Times New Roman" w:cs="Times New Roman"/>
        </w:rPr>
        <w:fldChar w:fldCharType="begin"/>
      </w:r>
      <w:r w:rsidR="004A605B">
        <w:rPr>
          <w:rFonts w:eastAsia="Times New Roman" w:cs="Times New Roman"/>
        </w:rPr>
        <w:instrText xml:space="preserve"> REF _Ref165022650 \h </w:instrText>
      </w:r>
      <w:r w:rsidR="004A605B">
        <w:rPr>
          <w:rFonts w:eastAsia="Times New Roman" w:cs="Times New Roman"/>
        </w:rPr>
      </w:r>
      <w:r w:rsidR="004A605B">
        <w:rPr>
          <w:rFonts w:eastAsia="Times New Roman" w:cs="Times New Roman"/>
        </w:rPr>
        <w:fldChar w:fldCharType="separate"/>
      </w:r>
      <w:r w:rsidR="004A605B">
        <w:t xml:space="preserve">Table </w:t>
      </w:r>
      <w:r w:rsidR="004A605B">
        <w:rPr>
          <w:noProof/>
        </w:rPr>
        <w:t>3</w:t>
      </w:r>
      <w:r w:rsidR="004A605B">
        <w:rPr>
          <w:rFonts w:eastAsia="Times New Roman" w:cs="Times New Roman"/>
        </w:rPr>
        <w:fldChar w:fldCharType="end"/>
      </w:r>
      <w:r w:rsidR="004A605B">
        <w:rPr>
          <w:rFonts w:eastAsia="Times New Roman" w:cs="Times New Roman"/>
        </w:rPr>
        <w:t>.</w:t>
      </w:r>
    </w:p>
    <w:p w14:paraId="3FEEDB4B" w14:textId="59515AA3" w:rsidR="003702E0" w:rsidRDefault="003702E0" w:rsidP="009105C7">
      <w:pPr>
        <w:pStyle w:val="Caption"/>
      </w:pPr>
      <w:bookmarkStart w:id="182" w:name="_Ref165022650"/>
      <w:bookmarkStart w:id="183" w:name="_Ref165022564"/>
      <w:bookmarkStart w:id="184" w:name="_Toc179464293"/>
      <w:bookmarkStart w:id="185" w:name="_Toc170114948"/>
      <w:r w:rsidRPr="002A3354">
        <w:t xml:space="preserve">Table </w:t>
      </w:r>
      <w:r w:rsidR="00BB3F01">
        <w:fldChar w:fldCharType="begin"/>
      </w:r>
      <w:r w:rsidR="00BB3F01">
        <w:instrText xml:space="preserve"> SEQ Table \* ARABIC </w:instrText>
      </w:r>
      <w:r w:rsidR="00BB3F01">
        <w:fldChar w:fldCharType="separate"/>
      </w:r>
      <w:r w:rsidR="00BB3F01">
        <w:rPr>
          <w:noProof/>
        </w:rPr>
        <w:t>12</w:t>
      </w:r>
      <w:r w:rsidR="00BB3F01">
        <w:rPr>
          <w:noProof/>
        </w:rPr>
        <w:fldChar w:fldCharType="end"/>
      </w:r>
      <w:bookmarkEnd w:id="182"/>
      <w:r>
        <w:t xml:space="preserve"> </w:t>
      </w:r>
      <w:r w:rsidRPr="00CF6FCF">
        <w:t>Noise Levels Associated with Oil and Gas Activity</w:t>
      </w:r>
      <w:bookmarkEnd w:id="183"/>
      <w:bookmarkEnd w:id="184"/>
      <w:bookmarkEnd w:id="185"/>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4B6BA8" w:rsidRPr="004B6BA8" w14:paraId="5D9B0F12" w14:textId="77777777" w:rsidTr="007A13D2">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E7A2F32" w14:textId="77777777" w:rsidR="004B6BA8" w:rsidRPr="004B6BA8" w:rsidRDefault="004B6BA8" w:rsidP="004B6BA8">
            <w:pPr>
              <w:textAlignment w:val="baseline"/>
              <w:rPr>
                <w:rFonts w:eastAsia="Times New Roman" w:cs="Times New Roman"/>
                <w:b/>
                <w:bCs/>
                <w:smallCaps/>
                <w:sz w:val="24"/>
                <w:szCs w:val="24"/>
              </w:rPr>
            </w:pPr>
            <w:r w:rsidRPr="004B6BA8">
              <w:rPr>
                <w:rFonts w:ascii="Times New Roman Bold" w:eastAsia="Times New Roman" w:hAnsi="Times New Roman Bold" w:cs="Times New Roman"/>
                <w:b/>
                <w:bCs/>
                <w:smallCaps/>
              </w:rPr>
              <w:t>Noise Source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0718228" w14:textId="17B75871" w:rsidR="004B6BA8" w:rsidRPr="004B6BA8" w:rsidRDefault="004B6BA8" w:rsidP="004B6BA8">
            <w:pPr>
              <w:jc w:val="center"/>
              <w:textAlignment w:val="baseline"/>
              <w:rPr>
                <w:rFonts w:eastAsia="Times New Roman" w:cs="Times New Roman"/>
                <w:b/>
                <w:bCs/>
                <w:smallCaps/>
                <w:sz w:val="24"/>
                <w:szCs w:val="24"/>
              </w:rPr>
            </w:pPr>
            <w:r w:rsidRPr="004B6BA8">
              <w:rPr>
                <w:rFonts w:ascii="Times New Roman Bold" w:eastAsia="Times New Roman" w:hAnsi="Times New Roman Bold" w:cs="Times New Roman"/>
                <w:b/>
                <w:bCs/>
                <w:smallCaps/>
              </w:rPr>
              <w:t xml:space="preserve">Sound Level </w:t>
            </w:r>
            <w:r w:rsidR="0071567D">
              <w:rPr>
                <w:rFonts w:ascii="Times New Roman Bold" w:eastAsia="Times New Roman" w:hAnsi="Times New Roman Bold" w:cs="Times New Roman"/>
                <w:b/>
                <w:bCs/>
                <w:smallCaps/>
              </w:rPr>
              <w:t>at</w:t>
            </w:r>
            <w:r w:rsidR="0071567D" w:rsidRPr="004B6BA8">
              <w:rPr>
                <w:rFonts w:ascii="Times New Roman Bold" w:eastAsia="Times New Roman" w:hAnsi="Times New Roman Bold" w:cs="Times New Roman"/>
                <w:b/>
                <w:bCs/>
                <w:smallCaps/>
              </w:rPr>
              <w:t xml:space="preserve"> </w:t>
            </w:r>
            <w:r w:rsidRPr="004B6BA8">
              <w:rPr>
                <w:rFonts w:ascii="Times New Roman Bold" w:eastAsia="Times New Roman" w:hAnsi="Times New Roman Bold" w:cs="Times New Roman"/>
                <w:b/>
                <w:bCs/>
                <w:smallCaps/>
              </w:rPr>
              <w:t>50 Feet (dBA) </w:t>
            </w:r>
          </w:p>
        </w:tc>
      </w:tr>
      <w:tr w:rsidR="004B6BA8" w:rsidRPr="004B6BA8" w14:paraId="57BE0688" w14:textId="77777777" w:rsidTr="007A13D2">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09E1DE0" w14:textId="77777777" w:rsidR="004B6BA8" w:rsidRPr="004B6BA8" w:rsidRDefault="004B6BA8" w:rsidP="004B6BA8">
            <w:pPr>
              <w:textAlignment w:val="baseline"/>
              <w:rPr>
                <w:rFonts w:eastAsia="Times New Roman" w:cs="Times New Roman"/>
                <w:sz w:val="24"/>
                <w:szCs w:val="24"/>
              </w:rPr>
            </w:pPr>
            <w:r w:rsidRPr="004B6BA8">
              <w:rPr>
                <w:rFonts w:eastAsia="Times New Roman" w:cs="Times New Roman"/>
              </w:rPr>
              <w:t>Well drilling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CECE946" w14:textId="77777777" w:rsidR="004B6BA8" w:rsidRPr="004B6BA8" w:rsidRDefault="004B6BA8" w:rsidP="004B6BA8">
            <w:pPr>
              <w:jc w:val="center"/>
              <w:textAlignment w:val="baseline"/>
              <w:rPr>
                <w:rFonts w:eastAsia="Times New Roman" w:cs="Times New Roman"/>
                <w:sz w:val="24"/>
                <w:szCs w:val="24"/>
              </w:rPr>
            </w:pPr>
            <w:r w:rsidRPr="004B6BA8">
              <w:rPr>
                <w:rFonts w:eastAsia="Times New Roman" w:cs="Times New Roman"/>
              </w:rPr>
              <w:t>83   </w:t>
            </w:r>
          </w:p>
        </w:tc>
      </w:tr>
      <w:tr w:rsidR="004B6BA8" w:rsidRPr="004B6BA8" w14:paraId="66AEFCBA" w14:textId="77777777" w:rsidTr="007A13D2">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00D8306" w14:textId="77777777" w:rsidR="004B6BA8" w:rsidRPr="004B6BA8" w:rsidRDefault="004B6BA8" w:rsidP="004B6BA8">
            <w:pPr>
              <w:textAlignment w:val="baseline"/>
              <w:rPr>
                <w:rFonts w:eastAsia="Times New Roman" w:cs="Times New Roman"/>
                <w:sz w:val="24"/>
                <w:szCs w:val="24"/>
              </w:rPr>
            </w:pPr>
            <w:r w:rsidRPr="004B6BA8">
              <w:rPr>
                <w:rFonts w:eastAsia="Times New Roman" w:cs="Times New Roman"/>
              </w:rPr>
              <w:lastRenderedPageBreak/>
              <w:t>Pump jack operation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1683B13" w14:textId="77777777" w:rsidR="004B6BA8" w:rsidRPr="004B6BA8" w:rsidRDefault="004B6BA8" w:rsidP="004B6BA8">
            <w:pPr>
              <w:jc w:val="center"/>
              <w:textAlignment w:val="baseline"/>
              <w:rPr>
                <w:rFonts w:eastAsia="Times New Roman" w:cs="Times New Roman"/>
                <w:sz w:val="24"/>
                <w:szCs w:val="24"/>
              </w:rPr>
            </w:pPr>
            <w:r w:rsidRPr="004B6BA8">
              <w:rPr>
                <w:rFonts w:eastAsia="Times New Roman" w:cs="Times New Roman"/>
              </w:rPr>
              <w:t>82   </w:t>
            </w:r>
          </w:p>
        </w:tc>
      </w:tr>
      <w:tr w:rsidR="004B6BA8" w:rsidRPr="004B6BA8" w14:paraId="044C9026" w14:textId="77777777" w:rsidTr="007A13D2">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2224795" w14:textId="77777777" w:rsidR="004B6BA8" w:rsidRPr="004B6BA8" w:rsidRDefault="004B6BA8" w:rsidP="004B6BA8">
            <w:pPr>
              <w:textAlignment w:val="baseline"/>
              <w:rPr>
                <w:rFonts w:eastAsia="Times New Roman" w:cs="Times New Roman"/>
                <w:sz w:val="24"/>
                <w:szCs w:val="24"/>
              </w:rPr>
            </w:pPr>
            <w:r w:rsidRPr="004B6BA8">
              <w:rPr>
                <w:rFonts w:eastAsia="Times New Roman" w:cs="Times New Roman"/>
              </w:rPr>
              <w:t>Produced water injection facilities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820FB11" w14:textId="77777777" w:rsidR="004B6BA8" w:rsidRPr="004B6BA8" w:rsidRDefault="004B6BA8" w:rsidP="004B6BA8">
            <w:pPr>
              <w:jc w:val="center"/>
              <w:textAlignment w:val="baseline"/>
              <w:rPr>
                <w:rFonts w:eastAsia="Times New Roman" w:cs="Times New Roman"/>
                <w:sz w:val="24"/>
                <w:szCs w:val="24"/>
              </w:rPr>
            </w:pPr>
            <w:r w:rsidRPr="004B6BA8">
              <w:rPr>
                <w:rFonts w:eastAsia="Times New Roman" w:cs="Times New Roman"/>
              </w:rPr>
              <w:t>71   </w:t>
            </w:r>
          </w:p>
        </w:tc>
      </w:tr>
      <w:tr w:rsidR="004B6BA8" w:rsidRPr="004B6BA8" w14:paraId="6C02E77F" w14:textId="77777777" w:rsidTr="007A13D2">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842B489" w14:textId="77777777" w:rsidR="004B6BA8" w:rsidRPr="004B6BA8" w:rsidRDefault="004B6BA8" w:rsidP="004B6BA8">
            <w:pPr>
              <w:textAlignment w:val="baseline"/>
              <w:rPr>
                <w:rFonts w:eastAsia="Times New Roman" w:cs="Times New Roman"/>
                <w:sz w:val="24"/>
                <w:szCs w:val="24"/>
              </w:rPr>
            </w:pPr>
            <w:r w:rsidRPr="004B6BA8">
              <w:rPr>
                <w:rFonts w:eastAsia="Times New Roman" w:cs="Times New Roman"/>
              </w:rPr>
              <w:t>Gas compressor facilities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2149E20" w14:textId="77777777" w:rsidR="004B6BA8" w:rsidRPr="004B6BA8" w:rsidRDefault="004B6BA8" w:rsidP="004B6BA8">
            <w:pPr>
              <w:jc w:val="center"/>
              <w:textAlignment w:val="baseline"/>
              <w:rPr>
                <w:rFonts w:eastAsia="Times New Roman" w:cs="Times New Roman"/>
                <w:sz w:val="24"/>
                <w:szCs w:val="24"/>
              </w:rPr>
            </w:pPr>
            <w:r w:rsidRPr="004B6BA8">
              <w:rPr>
                <w:rFonts w:eastAsia="Times New Roman" w:cs="Times New Roman"/>
              </w:rPr>
              <w:t>89   </w:t>
            </w:r>
          </w:p>
        </w:tc>
      </w:tr>
    </w:tbl>
    <w:p w14:paraId="4677E3FB" w14:textId="38CB8B35" w:rsidR="004B6BA8" w:rsidRPr="004B6BA8" w:rsidRDefault="004B6BA8" w:rsidP="004B6BA8">
      <w:pPr>
        <w:textAlignment w:val="baseline"/>
        <w:rPr>
          <w:rFonts w:ascii="Segoe UI" w:eastAsia="Times New Roman" w:hAnsi="Segoe UI" w:cs="Segoe UI"/>
          <w:sz w:val="18"/>
          <w:szCs w:val="18"/>
        </w:rPr>
      </w:pPr>
      <w:r w:rsidRPr="009D2E15">
        <w:rPr>
          <w:rFonts w:eastAsia="Times New Roman" w:cs="Times New Roman"/>
          <w:sz w:val="14"/>
          <w:szCs w:val="14"/>
        </w:rPr>
        <w:t>Source: BLM</w:t>
      </w:r>
      <w:r w:rsidR="00F03BC7">
        <w:rPr>
          <w:rFonts w:eastAsia="Times New Roman" w:cs="Times New Roman"/>
          <w:sz w:val="14"/>
          <w:szCs w:val="14"/>
        </w:rPr>
        <w:t xml:space="preserve"> (</w:t>
      </w:r>
      <w:r w:rsidR="002E2780">
        <w:rPr>
          <w:rFonts w:eastAsia="Times New Roman" w:cs="Times New Roman"/>
          <w:sz w:val="14"/>
          <w:szCs w:val="14"/>
        </w:rPr>
        <w:t>2000:4-29)</w:t>
      </w:r>
      <w:r w:rsidRPr="009D2E15">
        <w:rPr>
          <w:rFonts w:eastAsia="Times New Roman" w:cs="Times New Roman"/>
          <w:sz w:val="14"/>
          <w:szCs w:val="14"/>
        </w:rPr>
        <w:t>. </w:t>
      </w:r>
      <w:r w:rsidRPr="004B6BA8">
        <w:rPr>
          <w:rFonts w:eastAsia="Times New Roman" w:cs="Times New Roman"/>
          <w:sz w:val="14"/>
          <w:szCs w:val="14"/>
        </w:rPr>
        <w:t> </w:t>
      </w:r>
    </w:p>
    <w:p w14:paraId="0071F3DF" w14:textId="707F42D1" w:rsidR="004B6BA8" w:rsidRPr="004B6BA8" w:rsidRDefault="004B6BA8" w:rsidP="004B6BA8">
      <w:pPr>
        <w:textAlignment w:val="baseline"/>
        <w:rPr>
          <w:rFonts w:ascii="Segoe UI" w:eastAsia="Times New Roman" w:hAnsi="Segoe UI" w:cs="Segoe UI"/>
          <w:sz w:val="18"/>
          <w:szCs w:val="18"/>
        </w:rPr>
      </w:pPr>
      <w:r w:rsidRPr="004B6BA8">
        <w:rPr>
          <w:rFonts w:eastAsia="Times New Roman" w:cs="Times New Roman"/>
          <w:sz w:val="14"/>
          <w:szCs w:val="14"/>
        </w:rPr>
        <w:t xml:space="preserve">Note: Sound levels are based on highest measured sound levels and are normalized to </w:t>
      </w:r>
      <w:proofErr w:type="gramStart"/>
      <w:r w:rsidRPr="004B6BA8">
        <w:rPr>
          <w:rFonts w:eastAsia="Times New Roman" w:cs="Times New Roman"/>
          <w:sz w:val="14"/>
          <w:szCs w:val="14"/>
        </w:rPr>
        <w:t>a distance of 50</w:t>
      </w:r>
      <w:proofErr w:type="gramEnd"/>
      <w:r w:rsidRPr="004B6BA8">
        <w:rPr>
          <w:rFonts w:eastAsia="Times New Roman" w:cs="Times New Roman"/>
          <w:sz w:val="14"/>
          <w:szCs w:val="14"/>
        </w:rPr>
        <w:t xml:space="preserve"> feet from the source.</w:t>
      </w:r>
      <w:r w:rsidRPr="0C845B3C">
        <w:rPr>
          <w:rFonts w:eastAsia="Times New Roman" w:cs="Times New Roman"/>
          <w:sz w:val="16"/>
          <w:szCs w:val="16"/>
        </w:rPr>
        <w:t>  </w:t>
      </w:r>
      <w:r w:rsidRPr="004B6BA8">
        <w:rPr>
          <w:rFonts w:eastAsia="Times New Roman" w:cs="Times New Roman"/>
          <w:sz w:val="16"/>
          <w:szCs w:val="16"/>
        </w:rPr>
        <w:t> </w:t>
      </w:r>
    </w:p>
    <w:p w14:paraId="2EA563C4" w14:textId="77777777" w:rsidR="004B6BA8" w:rsidRDefault="004B6BA8" w:rsidP="004B6BA8">
      <w:pPr>
        <w:textAlignment w:val="baseline"/>
        <w:rPr>
          <w:rFonts w:eastAsia="Times New Roman" w:cs="Times New Roman"/>
        </w:rPr>
      </w:pPr>
      <w:r w:rsidRPr="004B6BA8">
        <w:rPr>
          <w:rFonts w:eastAsia="Times New Roman" w:cs="Times New Roman"/>
        </w:rPr>
        <w:t> </w:t>
      </w:r>
    </w:p>
    <w:p w14:paraId="70F76232" w14:textId="342A1963" w:rsidR="008F0DB2" w:rsidRDefault="004B6BA8" w:rsidP="004B6BA8">
      <w:pPr>
        <w:textAlignment w:val="baseline"/>
        <w:rPr>
          <w:rFonts w:eastAsia="Times New Roman" w:cs="Times New Roman"/>
        </w:rPr>
      </w:pPr>
      <w:r w:rsidRPr="004B6BA8">
        <w:rPr>
          <w:rFonts w:eastAsia="Times New Roman" w:cs="Times New Roman"/>
        </w:rPr>
        <w:t xml:space="preserve">It is estimated that noise levels could be approximately </w:t>
      </w:r>
      <w:r w:rsidR="003C571D">
        <w:rPr>
          <w:rFonts w:eastAsia="Times New Roman" w:cs="Times New Roman"/>
        </w:rPr>
        <w:t>83 dBA</w:t>
      </w:r>
      <w:r w:rsidRPr="004B6BA8">
        <w:rPr>
          <w:rFonts w:eastAsia="Times New Roman" w:cs="Times New Roman"/>
        </w:rPr>
        <w:t xml:space="preserve"> during the drilling phase. The Inverse Square Law, which states that noise decreases by 6 dBA with every doubling of distance from the source, is often used to estimate noise impacts from a specific source. As such, if the noise level is 83 dBA at </w:t>
      </w:r>
      <w:r w:rsidR="003C571D">
        <w:rPr>
          <w:rFonts w:eastAsia="Times New Roman" w:cs="Times New Roman"/>
        </w:rPr>
        <w:t>5</w:t>
      </w:r>
      <w:r w:rsidRPr="004B6BA8">
        <w:rPr>
          <w:rFonts w:eastAsia="Times New Roman" w:cs="Times New Roman"/>
        </w:rPr>
        <w:t xml:space="preserve">0 feet from drilling operations, then the noise level would be 77 dBA at </w:t>
      </w:r>
      <w:r w:rsidR="00A53CC7">
        <w:rPr>
          <w:rFonts w:eastAsia="Times New Roman" w:cs="Times New Roman"/>
        </w:rPr>
        <w:t>1</w:t>
      </w:r>
      <w:r w:rsidRPr="004B6BA8">
        <w:rPr>
          <w:rFonts w:eastAsia="Times New Roman" w:cs="Times New Roman"/>
        </w:rPr>
        <w:t xml:space="preserve">00 feet and 71 dBA at </w:t>
      </w:r>
      <w:r w:rsidR="008F0DB2">
        <w:rPr>
          <w:rFonts w:eastAsia="Times New Roman" w:cs="Times New Roman"/>
        </w:rPr>
        <w:t>2</w:t>
      </w:r>
      <w:r w:rsidRPr="004B6BA8">
        <w:rPr>
          <w:rFonts w:eastAsia="Times New Roman" w:cs="Times New Roman"/>
        </w:rPr>
        <w:t>00 feet.</w:t>
      </w:r>
      <w:r w:rsidR="003C571D">
        <w:rPr>
          <w:rFonts w:eastAsia="Times New Roman" w:cs="Times New Roman"/>
        </w:rPr>
        <w:t xml:space="preserve"> </w:t>
      </w:r>
      <w:r w:rsidR="00840614">
        <w:rPr>
          <w:rFonts w:eastAsia="Times New Roman" w:cs="Times New Roman"/>
        </w:rPr>
        <w:t>At approximately 1250 f</w:t>
      </w:r>
      <w:r w:rsidR="00E34B41">
        <w:rPr>
          <w:rFonts w:eastAsia="Times New Roman" w:cs="Times New Roman"/>
        </w:rPr>
        <w:t xml:space="preserve">eet </w:t>
      </w:r>
      <w:r w:rsidR="002B074D">
        <w:rPr>
          <w:rFonts w:eastAsia="Times New Roman" w:cs="Times New Roman"/>
        </w:rPr>
        <w:t>(</w:t>
      </w:r>
      <w:r w:rsidR="00EE0A50">
        <w:rPr>
          <w:rFonts w:eastAsia="Times New Roman" w:cs="Times New Roman"/>
        </w:rPr>
        <w:t>0.2</w:t>
      </w:r>
      <w:r w:rsidR="00A3754A">
        <w:rPr>
          <w:rFonts w:eastAsia="Times New Roman" w:cs="Times New Roman"/>
        </w:rPr>
        <w:t>4</w:t>
      </w:r>
      <w:r w:rsidR="00EE0A50">
        <w:rPr>
          <w:rFonts w:eastAsia="Times New Roman" w:cs="Times New Roman"/>
        </w:rPr>
        <w:t xml:space="preserve"> miles)</w:t>
      </w:r>
      <w:r w:rsidR="00E34B41">
        <w:rPr>
          <w:rFonts w:eastAsia="Times New Roman" w:cs="Times New Roman"/>
        </w:rPr>
        <w:t xml:space="preserve"> from the drilling, sound levels will drop below the </w:t>
      </w:r>
      <w:r w:rsidR="00684353">
        <w:rPr>
          <w:rFonts w:eastAsia="Times New Roman" w:cs="Times New Roman"/>
        </w:rPr>
        <w:t xml:space="preserve">EPA threshold of 55 dBA. </w:t>
      </w:r>
      <w:r w:rsidR="003C571D" w:rsidRPr="004B6BA8">
        <w:rPr>
          <w:rFonts w:eastAsia="Times New Roman" w:cs="Times New Roman"/>
        </w:rPr>
        <w:t>However, the actual noise levels experienced by the receptor will depend on the distance between the receptor and the equipment, vegetation (e.g. trees), meteorological conditions (e.g. wind speed and directions, temperature, humidity), the type of equipment used, etc., so sound levels could vary</w:t>
      </w:r>
      <w:r w:rsidR="00684353">
        <w:rPr>
          <w:rFonts w:eastAsia="Times New Roman" w:cs="Times New Roman"/>
        </w:rPr>
        <w:t xml:space="preserve"> slightly</w:t>
      </w:r>
      <w:r w:rsidR="003C571D" w:rsidRPr="004B6BA8">
        <w:rPr>
          <w:rFonts w:eastAsia="Times New Roman" w:cs="Times New Roman"/>
        </w:rPr>
        <w:t>.</w:t>
      </w:r>
      <w:r w:rsidR="00840614">
        <w:rPr>
          <w:rFonts w:eastAsia="Times New Roman" w:cs="Times New Roman"/>
        </w:rPr>
        <w:t xml:space="preserve"> </w:t>
      </w:r>
    </w:p>
    <w:p w14:paraId="629637BC" w14:textId="77777777" w:rsidR="005F36B5" w:rsidRDefault="005F36B5" w:rsidP="004B6BA8">
      <w:pPr>
        <w:textAlignment w:val="baseline"/>
        <w:rPr>
          <w:rFonts w:eastAsia="Times New Roman" w:cs="Times New Roman"/>
        </w:rPr>
      </w:pPr>
    </w:p>
    <w:p w14:paraId="4302A9E9" w14:textId="3E313309" w:rsidR="005F36B5" w:rsidRDefault="005F36B5" w:rsidP="005F36B5">
      <w:pPr>
        <w:textAlignment w:val="baseline"/>
        <w:rPr>
          <w:rFonts w:eastAsia="Times New Roman" w:cs="Times New Roman"/>
        </w:rPr>
      </w:pPr>
      <w:r w:rsidRPr="004B6BA8">
        <w:rPr>
          <w:rFonts w:eastAsia="Times New Roman" w:cs="Times New Roman"/>
        </w:rPr>
        <w:t xml:space="preserve">A review </w:t>
      </w:r>
      <w:r w:rsidR="00301E0D">
        <w:rPr>
          <w:rFonts w:eastAsia="Times New Roman" w:cs="Times New Roman"/>
        </w:rPr>
        <w:t>other noise sources with</w:t>
      </w:r>
      <w:r w:rsidR="00B908AF">
        <w:rPr>
          <w:rFonts w:eastAsia="Times New Roman" w:cs="Times New Roman"/>
        </w:rPr>
        <w:t xml:space="preserve"> a quarter mile of the lease parcels</w:t>
      </w:r>
      <w:r w:rsidR="003D6886">
        <w:rPr>
          <w:rFonts w:eastAsia="Times New Roman" w:cs="Times New Roman"/>
        </w:rPr>
        <w:t xml:space="preserve"> shows that</w:t>
      </w:r>
      <w:r w:rsidRPr="004B6BA8">
        <w:rPr>
          <w:rFonts w:eastAsia="Times New Roman" w:cs="Times New Roman"/>
        </w:rPr>
        <w:t xml:space="preserve"> common noise sources within this rural area are expected to be from livestock, oil and gas development activities, vehicular traffic, and wildlife. </w:t>
      </w:r>
      <w:r w:rsidR="00A24822" w:rsidRPr="004B6BA8">
        <w:rPr>
          <w:rFonts w:eastAsia="Times New Roman" w:cs="Times New Roman"/>
        </w:rPr>
        <w:t xml:space="preserve">Parcel 1551 is from 0.2 miles to 2 miles from Highway 45 and Parcel 7688 is from 1.2 miles to 2 miles from Wonsits Valley Road. </w:t>
      </w:r>
      <w:r w:rsidR="00B728EE" w:rsidRPr="004B6BA8">
        <w:rPr>
          <w:rFonts w:eastAsia="Times New Roman" w:cs="Times New Roman"/>
        </w:rPr>
        <w:t xml:space="preserve">Potential development of the nominated lease parcels is expected to generate noise above ambient </w:t>
      </w:r>
      <w:r w:rsidR="00B728EE">
        <w:rPr>
          <w:rFonts w:eastAsia="Times New Roman" w:cs="Times New Roman"/>
        </w:rPr>
        <w:t>levels for the area</w:t>
      </w:r>
      <w:r w:rsidR="00B728EE" w:rsidRPr="004B6BA8">
        <w:rPr>
          <w:rFonts w:eastAsia="Times New Roman" w:cs="Times New Roman"/>
        </w:rPr>
        <w:t xml:space="preserve"> during drilling and completion of the well</w:t>
      </w:r>
      <w:r w:rsidR="00B728EE">
        <w:rPr>
          <w:rFonts w:eastAsia="Times New Roman" w:cs="Times New Roman"/>
        </w:rPr>
        <w:t xml:space="preserve"> </w:t>
      </w:r>
      <w:r w:rsidR="00B728EE" w:rsidRPr="004B6BA8">
        <w:rPr>
          <w:rFonts w:eastAsia="Times New Roman" w:cs="Times New Roman"/>
        </w:rPr>
        <w:t xml:space="preserve">Noise impacts during these phases of development would be short-term. As discussed, </w:t>
      </w:r>
      <w:r w:rsidR="00B728EE">
        <w:rPr>
          <w:rFonts w:eastAsia="Times New Roman" w:cs="Times New Roman"/>
        </w:rPr>
        <w:t xml:space="preserve">development, </w:t>
      </w:r>
      <w:r w:rsidR="00B728EE" w:rsidRPr="004B6BA8">
        <w:rPr>
          <w:rFonts w:eastAsia="Times New Roman" w:cs="Times New Roman"/>
        </w:rPr>
        <w:t>drilling</w:t>
      </w:r>
      <w:r w:rsidR="00B728EE">
        <w:rPr>
          <w:rFonts w:eastAsia="Times New Roman" w:cs="Times New Roman"/>
        </w:rPr>
        <w:t>, including spudding and completion,</w:t>
      </w:r>
      <w:r w:rsidR="00B728EE" w:rsidRPr="004B6BA8">
        <w:rPr>
          <w:rFonts w:eastAsia="Times New Roman" w:cs="Times New Roman"/>
        </w:rPr>
        <w:t xml:space="preserve"> is estimated to take </w:t>
      </w:r>
      <w:r w:rsidR="00B728EE">
        <w:rPr>
          <w:rFonts w:eastAsia="Times New Roman" w:cs="Times New Roman"/>
        </w:rPr>
        <w:t>30-60</w:t>
      </w:r>
      <w:r w:rsidR="00B728EE" w:rsidRPr="004B6BA8">
        <w:rPr>
          <w:rFonts w:eastAsia="Times New Roman" w:cs="Times New Roman"/>
        </w:rPr>
        <w:t xml:space="preserve"> days</w:t>
      </w:r>
      <w:r w:rsidR="00B728EE">
        <w:rPr>
          <w:rFonts w:eastAsia="Times New Roman" w:cs="Times New Roman"/>
        </w:rPr>
        <w:t>.</w:t>
      </w:r>
    </w:p>
    <w:p w14:paraId="4FF7602F" w14:textId="77777777" w:rsidR="008F0DB2" w:rsidRDefault="008F0DB2" w:rsidP="004B6BA8">
      <w:pPr>
        <w:textAlignment w:val="baseline"/>
        <w:rPr>
          <w:rFonts w:eastAsia="Times New Roman" w:cs="Times New Roman"/>
        </w:rPr>
      </w:pPr>
    </w:p>
    <w:p w14:paraId="528E0D09" w14:textId="7CE39411" w:rsidR="004B6BA8" w:rsidRDefault="004B6BA8" w:rsidP="004B6BA8">
      <w:pPr>
        <w:textAlignment w:val="baseline"/>
        <w:rPr>
          <w:rFonts w:eastAsia="Times New Roman" w:cs="Times New Roman"/>
        </w:rPr>
      </w:pPr>
      <w:r w:rsidRPr="004B6BA8">
        <w:rPr>
          <w:rFonts w:eastAsia="Times New Roman" w:cs="Times New Roman"/>
        </w:rPr>
        <w:t>Over the long-term (approx. 30 years), noise impacts would decrease during the production phase. Production from gas wells does not require pumping, therefore the main source of noise during production would be traffic associated with monitoring and maintenance of the well. However, during maintenance and well workover operations, noise levels would temporarily increase above those associated with routine well production. In addition, during final abandonment of the well and reclamation, there would be temporarily increased noise levels associated with operation of earth moving construction equipment. Overall, increases in noise levels above ambient rural levels would only occur for short durations during drilling and completion, maintenance and well workover (if needed) and reclamation. </w:t>
      </w:r>
      <w:r w:rsidR="00817B6A">
        <w:rPr>
          <w:rFonts w:eastAsia="Times New Roman" w:cs="Times New Roman"/>
        </w:rPr>
        <w:t>As o</w:t>
      </w:r>
      <w:r w:rsidR="00817B6A" w:rsidRPr="004B6BA8">
        <w:rPr>
          <w:rFonts w:eastAsia="Times New Roman" w:cs="Times New Roman"/>
        </w:rPr>
        <w:t>il and gas development has been ongoing in the area for decades</w:t>
      </w:r>
      <w:r w:rsidR="00817B6A">
        <w:rPr>
          <w:rFonts w:eastAsia="Times New Roman" w:cs="Times New Roman"/>
        </w:rPr>
        <w:t xml:space="preserve"> the potential development of lease parcels will not substantially change</w:t>
      </w:r>
      <w:r w:rsidR="00E60DC5">
        <w:rPr>
          <w:rFonts w:eastAsia="Times New Roman" w:cs="Times New Roman"/>
        </w:rPr>
        <w:t xml:space="preserve"> the soundscape.</w:t>
      </w:r>
    </w:p>
    <w:p w14:paraId="5D56DDEA" w14:textId="77777777" w:rsidR="00717851" w:rsidRPr="004B6BA8" w:rsidRDefault="00717851" w:rsidP="004B6BA8">
      <w:pPr>
        <w:textAlignment w:val="baseline"/>
        <w:rPr>
          <w:rFonts w:ascii="Segoe UI" w:eastAsia="Times New Roman" w:hAnsi="Segoe UI" w:cs="Segoe UI"/>
          <w:sz w:val="18"/>
          <w:szCs w:val="18"/>
        </w:rPr>
      </w:pPr>
    </w:p>
    <w:p w14:paraId="55BB9900" w14:textId="2A3FFD12" w:rsidR="00EB0BCF" w:rsidRDefault="00C15194" w:rsidP="00F87532">
      <w:pPr>
        <w:pStyle w:val="AIBChapter3"/>
        <w:rPr>
          <w:rFonts w:hint="eastAsia"/>
        </w:rPr>
      </w:pPr>
      <w:bookmarkStart w:id="186" w:name="_Toc179464259"/>
      <w:bookmarkStart w:id="187" w:name="_Toc170114914"/>
      <w:r>
        <w:t>Dark Night Skies</w:t>
      </w:r>
      <w:bookmarkEnd w:id="186"/>
      <w:bookmarkEnd w:id="187"/>
    </w:p>
    <w:p w14:paraId="6647902F" w14:textId="77777777" w:rsidR="003B7805" w:rsidRDefault="00F62246" w:rsidP="003B7805">
      <w:pPr>
        <w:pStyle w:val="BodyText"/>
        <w:rPr>
          <w:b/>
        </w:rPr>
      </w:pPr>
      <w:r w:rsidRPr="006C1FE1">
        <w:rPr>
          <w:b/>
        </w:rPr>
        <w:t xml:space="preserve">How would potential development of the </w:t>
      </w:r>
      <w:r w:rsidR="001A6655" w:rsidRPr="006C1FE1">
        <w:rPr>
          <w:b/>
        </w:rPr>
        <w:t xml:space="preserve">nominated </w:t>
      </w:r>
      <w:r w:rsidRPr="006C1FE1">
        <w:rPr>
          <w:b/>
        </w:rPr>
        <w:t xml:space="preserve">lease parcels </w:t>
      </w:r>
      <w:r w:rsidR="001A6655" w:rsidRPr="006C1FE1">
        <w:rPr>
          <w:b/>
        </w:rPr>
        <w:t xml:space="preserve">impact </w:t>
      </w:r>
      <w:r w:rsidR="00F023EA">
        <w:rPr>
          <w:b/>
          <w:bCs/>
        </w:rPr>
        <w:t>the quality of</w:t>
      </w:r>
      <w:r>
        <w:rPr>
          <w:b/>
        </w:rPr>
        <w:t xml:space="preserve"> night </w:t>
      </w:r>
      <w:r w:rsidR="00F023EA">
        <w:rPr>
          <w:b/>
          <w:bCs/>
        </w:rPr>
        <w:t>skies</w:t>
      </w:r>
      <w:r w:rsidRPr="006C1FE1">
        <w:rPr>
          <w:b/>
        </w:rPr>
        <w:t xml:space="preserve"> </w:t>
      </w:r>
      <w:r w:rsidR="00F31734">
        <w:rPr>
          <w:b/>
        </w:rPr>
        <w:t xml:space="preserve">on public lands? </w:t>
      </w:r>
      <w:bookmarkStart w:id="188" w:name="_Hlk159857913"/>
    </w:p>
    <w:p w14:paraId="32E13172" w14:textId="2F4EE729" w:rsidR="009526A6" w:rsidRPr="009105C7" w:rsidRDefault="009526A6" w:rsidP="009526A6">
      <w:pPr>
        <w:spacing w:after="160" w:line="259" w:lineRule="auto"/>
        <w:rPr>
          <w:rFonts w:cs="Times New Roman"/>
          <w:kern w:val="2"/>
          <w14:ligatures w14:val="standardContextual"/>
        </w:rPr>
      </w:pPr>
      <w:r w:rsidRPr="009105C7">
        <w:rPr>
          <w:rFonts w:cs="Times New Roman"/>
          <w:kern w:val="2"/>
          <w14:ligatures w14:val="standardContextual"/>
        </w:rPr>
        <w:t>Dark night skies contribute to the remote experience that many people seek when they remote public lands. Light pollution diminishes the aesthetic and values of the night sky by making it difficult to see fainter stars or other faint celestial objects</w:t>
      </w:r>
      <w:r w:rsidR="00FE1B61">
        <w:rPr>
          <w:rFonts w:cs="Times New Roman"/>
          <w:kern w:val="2"/>
          <w14:ligatures w14:val="standardContextual"/>
        </w:rPr>
        <w:t xml:space="preserve"> </w:t>
      </w:r>
      <w:sdt>
        <w:sdtPr>
          <w:rPr>
            <w:rFonts w:cs="Times New Roman"/>
            <w:kern w:val="2"/>
            <w14:ligatures w14:val="standardContextual"/>
          </w:rPr>
          <w:id w:val="1146785236"/>
          <w:citation/>
        </w:sdtPr>
        <w:sdtContent>
          <w:r w:rsidR="00FE1B61">
            <w:rPr>
              <w:rFonts w:cs="Times New Roman"/>
              <w:kern w:val="2"/>
              <w14:ligatures w14:val="standardContextual"/>
            </w:rPr>
            <w:fldChar w:fldCharType="begin"/>
          </w:r>
          <w:r w:rsidR="00FE1B61">
            <w:rPr>
              <w:rFonts w:cs="Times New Roman"/>
              <w:kern w:val="2"/>
              <w14:ligatures w14:val="standardContextual"/>
            </w:rPr>
            <w:instrText xml:space="preserve"> CITATION BLM231 \l 1033 </w:instrText>
          </w:r>
          <w:r w:rsidR="00FE1B61">
            <w:rPr>
              <w:rFonts w:cs="Times New Roman"/>
              <w:kern w:val="2"/>
              <w14:ligatures w14:val="standardContextual"/>
            </w:rPr>
            <w:fldChar w:fldCharType="separate"/>
          </w:r>
          <w:r w:rsidR="0093463A" w:rsidRPr="0093463A">
            <w:rPr>
              <w:rFonts w:cs="Times New Roman"/>
              <w:noProof/>
              <w:kern w:val="2"/>
              <w14:ligatures w14:val="standardContextual"/>
            </w:rPr>
            <w:t>(BLM, 2023)</w:t>
          </w:r>
          <w:r w:rsidR="00FE1B61">
            <w:rPr>
              <w:rFonts w:cs="Times New Roman"/>
              <w:kern w:val="2"/>
              <w14:ligatures w14:val="standardContextual"/>
            </w:rPr>
            <w:fldChar w:fldCharType="end"/>
          </w:r>
        </w:sdtContent>
      </w:sdt>
      <w:r w:rsidRPr="009105C7">
        <w:rPr>
          <w:rFonts w:cs="Times New Roman"/>
          <w:kern w:val="2"/>
          <w14:ligatures w14:val="standardContextual"/>
        </w:rPr>
        <w:t>. Optimal night skies are free of scattered light or skyglow, which is generated by anthropogenic light from development, transportation, or industrial operations. The scattering of artificial light in the atmosphere increases night sky luminance and erodes the visual appearance of stars and planets</w:t>
      </w:r>
      <w:sdt>
        <w:sdtPr>
          <w:rPr>
            <w:rFonts w:cs="Times New Roman"/>
            <w:kern w:val="2"/>
            <w14:ligatures w14:val="standardContextual"/>
          </w:rPr>
          <w:id w:val="-307624641"/>
          <w:citation/>
        </w:sdtPr>
        <w:sdtContent>
          <w:r w:rsidR="00FA6BFA">
            <w:rPr>
              <w:rFonts w:cs="Times New Roman"/>
              <w:kern w:val="2"/>
              <w14:ligatures w14:val="standardContextual"/>
            </w:rPr>
            <w:fldChar w:fldCharType="begin"/>
          </w:r>
          <w:r w:rsidR="004E2012">
            <w:rPr>
              <w:rFonts w:cs="Times New Roman"/>
              <w:kern w:val="2"/>
              <w14:ligatures w14:val="standardContextual"/>
            </w:rPr>
            <w:instrText xml:space="preserve">CITATION BLM8a \l 1033 </w:instrText>
          </w:r>
          <w:r w:rsidR="00FA6BFA">
            <w:rPr>
              <w:rFonts w:cs="Times New Roman"/>
              <w:kern w:val="2"/>
              <w14:ligatures w14:val="standardContextual"/>
            </w:rPr>
            <w:fldChar w:fldCharType="separate"/>
          </w:r>
          <w:r w:rsidR="0093463A">
            <w:rPr>
              <w:rFonts w:cs="Times New Roman"/>
              <w:noProof/>
              <w:kern w:val="2"/>
              <w14:ligatures w14:val="standardContextual"/>
            </w:rPr>
            <w:t xml:space="preserve"> </w:t>
          </w:r>
          <w:r w:rsidR="0093463A" w:rsidRPr="0093463A">
            <w:rPr>
              <w:rFonts w:cs="Times New Roman"/>
              <w:noProof/>
              <w:kern w:val="2"/>
              <w14:ligatures w14:val="standardContextual"/>
            </w:rPr>
            <w:t>(BLM, 2018a)</w:t>
          </w:r>
          <w:r w:rsidR="00FA6BFA">
            <w:rPr>
              <w:rFonts w:cs="Times New Roman"/>
              <w:kern w:val="2"/>
              <w14:ligatures w14:val="standardContextual"/>
            </w:rPr>
            <w:fldChar w:fldCharType="end"/>
          </w:r>
        </w:sdtContent>
      </w:sdt>
      <w:r w:rsidRPr="009105C7">
        <w:rPr>
          <w:rFonts w:cs="Times New Roman"/>
          <w:kern w:val="2"/>
          <w14:ligatures w14:val="standardContextual"/>
        </w:rPr>
        <w:t xml:space="preserve">. </w:t>
      </w:r>
    </w:p>
    <w:p w14:paraId="0432A002" w14:textId="77777777" w:rsidR="009526A6" w:rsidRPr="009105C7" w:rsidRDefault="009526A6" w:rsidP="009526A6">
      <w:pPr>
        <w:spacing w:after="160" w:line="259" w:lineRule="auto"/>
        <w:rPr>
          <w:rFonts w:cs="Times New Roman"/>
          <w:kern w:val="2"/>
          <w14:ligatures w14:val="standardContextual"/>
        </w:rPr>
      </w:pPr>
      <w:r w:rsidRPr="009105C7">
        <w:rPr>
          <w:rFonts w:cs="Times New Roman"/>
          <w:kern w:val="2"/>
          <w14:ligatures w14:val="standardContextual"/>
        </w:rPr>
        <w:t xml:space="preserve">The Bortle Dark-Sky Scale is a nine-level numeric scale that measures the night sky and star brightness (naked-eye and stellar limiting magnitude) of a particular location. It quantifies the observability of celestial objects (significant naturally occurring physical entities, associations or structures which current </w:t>
      </w:r>
      <w:r w:rsidRPr="009105C7">
        <w:rPr>
          <w:rFonts w:cs="Times New Roman"/>
          <w:kern w:val="2"/>
          <w14:ligatures w14:val="standardContextual"/>
        </w:rPr>
        <w:lastRenderedPageBreak/>
        <w:t>science has demonstrated to exist in outer space</w:t>
      </w:r>
      <w:proofErr w:type="gramStart"/>
      <w:r w:rsidRPr="009105C7">
        <w:rPr>
          <w:rFonts w:cs="Times New Roman"/>
          <w:kern w:val="2"/>
          <w14:ligatures w14:val="standardContextual"/>
        </w:rPr>
        <w:t>)</w:t>
      </w:r>
      <w:proofErr w:type="gramEnd"/>
      <w:r w:rsidRPr="009105C7">
        <w:rPr>
          <w:rFonts w:cs="Times New Roman"/>
          <w:kern w:val="2"/>
          <w14:ligatures w14:val="standardContextual"/>
        </w:rPr>
        <w:t xml:space="preserve"> and the interference caused by artificial light pollution and skyglow (wide scale illumination of the sky or parts of the sky at night). The most common cause of skyglow is man-made lights that give off light pollution. John E. Bortle created the scale and published it in the February 2001 edition of Sky &amp; Telescope magazine to help amateur astronomers compare the darkness of observing sites. The scale ranges from class 1, the darkest skies available on Earth, through class 9, inner-city skies.</w:t>
      </w:r>
    </w:p>
    <w:p w14:paraId="25312C0B" w14:textId="6007D693" w:rsidR="009526A6" w:rsidRPr="009105C7" w:rsidRDefault="009526A6" w:rsidP="009526A6">
      <w:pPr>
        <w:spacing w:after="160" w:line="259" w:lineRule="auto"/>
        <w:rPr>
          <w:rFonts w:cs="Times New Roman"/>
          <w:kern w:val="2"/>
          <w14:ligatures w14:val="standardContextual"/>
        </w:rPr>
      </w:pPr>
      <w:r w:rsidRPr="009105C7">
        <w:rPr>
          <w:rFonts w:cs="Times New Roman"/>
          <w:kern w:val="2"/>
          <w14:ligatures w14:val="standardContextual"/>
        </w:rPr>
        <w:t xml:space="preserve">Bortle scale classes are correlated with a sky quality meter (SQM) rating that is derived from an instrument used to measure the luminance of the night sky. It is used, typically by amateur astronomers, to quantify the skyglow aspect of light pollution and uses units of "magnitudes per square arcsecond" favored by astronomers. Scientists, in the process of creating the SQM, devised a scale between the numbers of 16.00-22.00. At the lowest number—16.00—the sky is the brightest. Customarily, this class would transpire in urbanized areas. Meanwhile, </w:t>
      </w:r>
      <w:proofErr w:type="gramStart"/>
      <w:r w:rsidRPr="009105C7">
        <w:rPr>
          <w:rFonts w:cs="Times New Roman"/>
          <w:kern w:val="2"/>
          <w14:ligatures w14:val="standardContextual"/>
        </w:rPr>
        <w:t>a number of</w:t>
      </w:r>
      <w:proofErr w:type="gramEnd"/>
      <w:r w:rsidRPr="009105C7">
        <w:rPr>
          <w:rFonts w:cs="Times New Roman"/>
          <w:kern w:val="2"/>
          <w14:ligatures w14:val="standardContextual"/>
        </w:rPr>
        <w:t xml:space="preserve"> 22.00 represents the least luminance—in other words, the least light pollution and the very darkest night sky. Typically, this reading would generally materialize in remote, uninhabited areas. </w:t>
      </w:r>
    </w:p>
    <w:p w14:paraId="11555765" w14:textId="27BFB486" w:rsidR="009526A6" w:rsidRPr="00B0463E" w:rsidRDefault="009526A6" w:rsidP="009526A6">
      <w:pPr>
        <w:spacing w:after="160" w:line="259" w:lineRule="auto"/>
        <w:rPr>
          <w:rFonts w:cs="Times New Roman"/>
          <w:kern w:val="2"/>
          <w14:ligatures w14:val="standardContextual"/>
        </w:rPr>
      </w:pPr>
      <w:r w:rsidRPr="009105C7">
        <w:rPr>
          <w:rFonts w:cs="Times New Roman"/>
          <w:kern w:val="2"/>
          <w14:ligatures w14:val="standardContextual"/>
        </w:rPr>
        <w:t xml:space="preserve">SQM values for any point on Earth can be determined from </w:t>
      </w:r>
      <w:hyperlink r:id="rId31" w:history="1">
        <w:r w:rsidRPr="00B0463E">
          <w:rPr>
            <w:rFonts w:cs="Times New Roman"/>
            <w:color w:val="0563C1" w:themeColor="hyperlink"/>
            <w:kern w:val="2"/>
            <w:u w:val="single"/>
            <w14:ligatures w14:val="standardContextual"/>
          </w:rPr>
          <w:t>http://www.lightpollutionmap.info</w:t>
        </w:r>
      </w:hyperlink>
      <w:r w:rsidRPr="00B0463E">
        <w:rPr>
          <w:rFonts w:cs="Times New Roman"/>
          <w:kern w:val="2"/>
          <w14:ligatures w14:val="standardContextual"/>
        </w:rPr>
        <w:t xml:space="preserve">. This global map of artificial night sky radiance is produced by the Light Pollution Science and Technology Institute (ISTIL) using both satellite imagery and SQM readings, as described in the paper "The New World Atlas of Artificial Night Sky Brightness" </w:t>
      </w:r>
      <w:sdt>
        <w:sdtPr>
          <w:rPr>
            <w:rFonts w:cs="Times New Roman"/>
            <w:kern w:val="2"/>
            <w14:ligatures w14:val="standardContextual"/>
          </w:rPr>
          <w:id w:val="-1059702743"/>
          <w:citation/>
        </w:sdtPr>
        <w:sdtContent>
          <w:r w:rsidR="0048540A">
            <w:rPr>
              <w:rFonts w:cs="Times New Roman"/>
              <w:kern w:val="2"/>
              <w14:ligatures w14:val="standardContextual"/>
            </w:rPr>
            <w:fldChar w:fldCharType="begin"/>
          </w:r>
          <w:r w:rsidR="0048540A">
            <w:rPr>
              <w:rFonts w:cs="Times New Roman"/>
              <w:kern w:val="2"/>
              <w14:ligatures w14:val="standardContextual"/>
            </w:rPr>
            <w:instrText xml:space="preserve"> CITATION Fal16 \l 1033 </w:instrText>
          </w:r>
          <w:r w:rsidR="0048540A">
            <w:rPr>
              <w:rFonts w:cs="Times New Roman"/>
              <w:kern w:val="2"/>
              <w14:ligatures w14:val="standardContextual"/>
            </w:rPr>
            <w:fldChar w:fldCharType="separate"/>
          </w:r>
          <w:r w:rsidR="0093463A">
            <w:rPr>
              <w:rFonts w:cs="Times New Roman"/>
              <w:noProof/>
              <w:kern w:val="2"/>
              <w14:ligatures w14:val="standardContextual"/>
            </w:rPr>
            <w:t xml:space="preserve"> </w:t>
          </w:r>
          <w:r w:rsidR="0093463A" w:rsidRPr="0093463A">
            <w:rPr>
              <w:rFonts w:cs="Times New Roman"/>
              <w:noProof/>
              <w:kern w:val="2"/>
              <w14:ligatures w14:val="standardContextual"/>
            </w:rPr>
            <w:t>(Falchi, et al., 2016)</w:t>
          </w:r>
          <w:r w:rsidR="0048540A">
            <w:rPr>
              <w:rFonts w:cs="Times New Roman"/>
              <w:kern w:val="2"/>
              <w14:ligatures w14:val="standardContextual"/>
            </w:rPr>
            <w:fldChar w:fldCharType="end"/>
          </w:r>
        </w:sdtContent>
      </w:sdt>
      <w:r w:rsidRPr="00B0463E">
        <w:rPr>
          <w:rFonts w:cs="Times New Roman"/>
          <w:kern w:val="2"/>
          <w14:ligatures w14:val="standardContextual"/>
        </w:rPr>
        <w:t xml:space="preserve">. </w:t>
      </w:r>
    </w:p>
    <w:p w14:paraId="406F0677" w14:textId="646668A2" w:rsidR="007F7FB7" w:rsidRDefault="00F61D6E" w:rsidP="006F05D2">
      <w:pPr>
        <w:spacing w:before="120" w:after="120"/>
        <w:rPr>
          <w:rFonts w:eastAsia="Times New Roman" w:cs="Times New Roman"/>
          <w:bCs/>
          <w:kern w:val="32"/>
        </w:rPr>
      </w:pPr>
      <w:r w:rsidRPr="00F61D6E">
        <w:rPr>
          <w:rFonts w:eastAsia="Times New Roman" w:cs="Times New Roman"/>
          <w:bCs/>
          <w:kern w:val="32"/>
        </w:rPr>
        <w:t xml:space="preserve">Based on 2023 data from </w:t>
      </w:r>
      <w:hyperlink r:id="rId32">
        <w:r w:rsidRPr="00F61D6E">
          <w:rPr>
            <w:rFonts w:eastAsia="Times New Roman" w:cs="Times New Roman"/>
            <w:bCs/>
            <w:kern w:val="32"/>
            <w:u w:val="single"/>
          </w:rPr>
          <w:t>http://www.lightpollutionmap.info</w:t>
        </w:r>
      </w:hyperlink>
      <w:r w:rsidRPr="00F61D6E">
        <w:rPr>
          <w:rFonts w:eastAsia="Times New Roman" w:cs="Times New Roman"/>
          <w:bCs/>
          <w:kern w:val="32"/>
        </w:rPr>
        <w:t>,</w:t>
      </w:r>
      <w:r>
        <w:rPr>
          <w:rFonts w:eastAsia="Times New Roman" w:cs="Times New Roman"/>
          <w:bCs/>
          <w:kern w:val="32"/>
        </w:rPr>
        <w:t xml:space="preserve"> b</w:t>
      </w:r>
      <w:r w:rsidR="00E05B4F">
        <w:rPr>
          <w:bCs/>
        </w:rPr>
        <w:t xml:space="preserve">oth nominated lease parcels 1551 and 7668 are located </w:t>
      </w:r>
      <w:r w:rsidR="00F13191">
        <w:rPr>
          <w:bCs/>
        </w:rPr>
        <w:t xml:space="preserve">in </w:t>
      </w:r>
      <w:r w:rsidR="009A095B">
        <w:rPr>
          <w:bCs/>
        </w:rPr>
        <w:t>areas of SQM scores b</w:t>
      </w:r>
      <w:r w:rsidR="00040776">
        <w:rPr>
          <w:bCs/>
        </w:rPr>
        <w:t>etween 22</w:t>
      </w:r>
      <w:r w:rsidR="00077145">
        <w:rPr>
          <w:bCs/>
        </w:rPr>
        <w:t>.0 and 21.8</w:t>
      </w:r>
      <w:r w:rsidR="007F7716">
        <w:rPr>
          <w:bCs/>
        </w:rPr>
        <w:t>, placing them in Bortle Class 1</w:t>
      </w:r>
      <w:r>
        <w:rPr>
          <w:bCs/>
        </w:rPr>
        <w:t xml:space="preserve">, </w:t>
      </w:r>
      <w:r w:rsidRPr="00F61D6E">
        <w:rPr>
          <w:rFonts w:eastAsia="Times New Roman" w:cs="Times New Roman"/>
          <w:bCs/>
          <w:kern w:val="32"/>
        </w:rPr>
        <w:t>the highest quality of dark night skies possible. Bort</w:t>
      </w:r>
      <w:r w:rsidR="0032271F">
        <w:rPr>
          <w:rFonts w:eastAsia="Times New Roman" w:cs="Times New Roman"/>
          <w:bCs/>
          <w:kern w:val="32"/>
        </w:rPr>
        <w:t>l</w:t>
      </w:r>
      <w:r w:rsidRPr="00F61D6E">
        <w:rPr>
          <w:rFonts w:eastAsia="Times New Roman" w:cs="Times New Roman"/>
          <w:bCs/>
          <w:kern w:val="32"/>
        </w:rPr>
        <w:t>e Class 1 areas are described as Excellent Night Sky sites where portions of the Milky Way cast obvious shadows, many constellations are difficult to distinguish within the heavy background of visible stars, sources of zodiacal light, airglow, and globular clusters are readily visible to the naked eye, and both Jupiter and Venus are bright enough to affect night adaptation.</w:t>
      </w:r>
      <w:r w:rsidR="00D90F38">
        <w:rPr>
          <w:rFonts w:eastAsia="Times New Roman" w:cs="Times New Roman"/>
          <w:bCs/>
          <w:kern w:val="32"/>
        </w:rPr>
        <w:t xml:space="preserve"> However, </w:t>
      </w:r>
      <w:r w:rsidR="005B7799">
        <w:rPr>
          <w:rFonts w:eastAsia="Times New Roman" w:cs="Times New Roman"/>
          <w:bCs/>
          <w:kern w:val="32"/>
        </w:rPr>
        <w:t>P</w:t>
      </w:r>
      <w:r w:rsidR="00E3043A">
        <w:rPr>
          <w:rFonts w:eastAsia="Times New Roman" w:cs="Times New Roman"/>
          <w:bCs/>
          <w:kern w:val="32"/>
        </w:rPr>
        <w:t xml:space="preserve">arcel 1551 is </w:t>
      </w:r>
      <w:r w:rsidR="00D50683">
        <w:rPr>
          <w:rFonts w:eastAsia="Times New Roman" w:cs="Times New Roman"/>
          <w:bCs/>
          <w:kern w:val="32"/>
        </w:rPr>
        <w:t>just north of and immediately adjacent to numerous</w:t>
      </w:r>
      <w:r w:rsidR="00E3043A">
        <w:rPr>
          <w:rFonts w:eastAsia="Times New Roman" w:cs="Times New Roman"/>
          <w:bCs/>
          <w:kern w:val="32"/>
        </w:rPr>
        <w:t xml:space="preserve"> light pollution sources </w:t>
      </w:r>
      <w:r w:rsidR="00AB493F">
        <w:rPr>
          <w:rFonts w:eastAsia="Times New Roman" w:cs="Times New Roman"/>
          <w:bCs/>
          <w:kern w:val="32"/>
        </w:rPr>
        <w:t xml:space="preserve">to the south and </w:t>
      </w:r>
      <w:r w:rsidR="00293264">
        <w:rPr>
          <w:rFonts w:eastAsia="Times New Roman" w:cs="Times New Roman"/>
          <w:bCs/>
          <w:kern w:val="32"/>
        </w:rPr>
        <w:t>east</w:t>
      </w:r>
      <w:r w:rsidR="00AB493F">
        <w:rPr>
          <w:rFonts w:eastAsia="Times New Roman" w:cs="Times New Roman"/>
          <w:bCs/>
          <w:kern w:val="32"/>
        </w:rPr>
        <w:t xml:space="preserve"> t</w:t>
      </w:r>
      <w:r w:rsidR="00EA22AF">
        <w:rPr>
          <w:rFonts w:eastAsia="Times New Roman" w:cs="Times New Roman"/>
          <w:bCs/>
          <w:kern w:val="32"/>
        </w:rPr>
        <w:t xml:space="preserve">hat have SQM values </w:t>
      </w:r>
      <w:r w:rsidR="00C8649F">
        <w:rPr>
          <w:rFonts w:eastAsia="Times New Roman" w:cs="Times New Roman"/>
          <w:bCs/>
          <w:kern w:val="32"/>
        </w:rPr>
        <w:t>up to</w:t>
      </w:r>
      <w:r w:rsidR="0021085A">
        <w:rPr>
          <w:rFonts w:eastAsia="Times New Roman" w:cs="Times New Roman"/>
          <w:bCs/>
          <w:kern w:val="32"/>
        </w:rPr>
        <w:t xml:space="preserve"> Bortle Class </w:t>
      </w:r>
      <w:r w:rsidR="000E4FF6">
        <w:rPr>
          <w:rFonts w:eastAsia="Times New Roman" w:cs="Times New Roman"/>
          <w:bCs/>
          <w:kern w:val="32"/>
        </w:rPr>
        <w:t xml:space="preserve">4, Brighter Rural </w:t>
      </w:r>
      <w:r w:rsidR="00BB4DAB">
        <w:rPr>
          <w:rFonts w:eastAsia="Times New Roman" w:cs="Times New Roman"/>
          <w:bCs/>
          <w:kern w:val="32"/>
        </w:rPr>
        <w:t xml:space="preserve">sky. </w:t>
      </w:r>
      <w:r w:rsidR="005B7799">
        <w:rPr>
          <w:rFonts w:eastAsia="Times New Roman" w:cs="Times New Roman"/>
          <w:bCs/>
          <w:kern w:val="32"/>
        </w:rPr>
        <w:t xml:space="preserve">Parcel </w:t>
      </w:r>
      <w:r w:rsidR="00566CC4">
        <w:rPr>
          <w:rFonts w:eastAsia="Times New Roman" w:cs="Times New Roman"/>
          <w:bCs/>
          <w:kern w:val="32"/>
        </w:rPr>
        <w:t xml:space="preserve">7668 is </w:t>
      </w:r>
      <w:r w:rsidR="001611CF">
        <w:rPr>
          <w:rFonts w:eastAsia="Times New Roman" w:cs="Times New Roman"/>
          <w:bCs/>
          <w:kern w:val="32"/>
        </w:rPr>
        <w:t xml:space="preserve">approximately 1.5 </w:t>
      </w:r>
      <w:r w:rsidR="00206FAE">
        <w:rPr>
          <w:rFonts w:eastAsia="Times New Roman" w:cs="Times New Roman"/>
          <w:bCs/>
          <w:kern w:val="32"/>
        </w:rPr>
        <w:t xml:space="preserve">kilometers </w:t>
      </w:r>
      <w:r w:rsidR="005F605B">
        <w:rPr>
          <w:rFonts w:eastAsia="Times New Roman" w:cs="Times New Roman"/>
          <w:bCs/>
          <w:kern w:val="32"/>
        </w:rPr>
        <w:t>north of</w:t>
      </w:r>
      <w:r w:rsidR="00206FAE">
        <w:rPr>
          <w:rFonts w:eastAsia="Times New Roman" w:cs="Times New Roman"/>
          <w:bCs/>
          <w:kern w:val="32"/>
        </w:rPr>
        <w:t xml:space="preserve"> </w:t>
      </w:r>
      <w:r w:rsidR="006D0C31">
        <w:rPr>
          <w:rFonts w:eastAsia="Times New Roman" w:cs="Times New Roman"/>
          <w:bCs/>
          <w:kern w:val="32"/>
        </w:rPr>
        <w:t xml:space="preserve">a </w:t>
      </w:r>
      <w:r w:rsidR="005F605B">
        <w:rPr>
          <w:rFonts w:eastAsia="Times New Roman" w:cs="Times New Roman"/>
          <w:bCs/>
          <w:kern w:val="32"/>
        </w:rPr>
        <w:t xml:space="preserve">similar </w:t>
      </w:r>
      <w:r w:rsidR="00A95396">
        <w:rPr>
          <w:rFonts w:eastAsia="Times New Roman" w:cs="Times New Roman"/>
          <w:bCs/>
          <w:kern w:val="32"/>
        </w:rPr>
        <w:t xml:space="preserve">area of Bortle Class 4 light pollution. </w:t>
      </w:r>
      <w:r w:rsidR="006448BB">
        <w:rPr>
          <w:rFonts w:eastAsia="Times New Roman" w:cs="Times New Roman"/>
          <w:bCs/>
          <w:kern w:val="32"/>
        </w:rPr>
        <w:t>See figure below.</w:t>
      </w:r>
    </w:p>
    <w:p w14:paraId="248EFF0F" w14:textId="77777777" w:rsidR="007B54A3" w:rsidRDefault="007B54A3" w:rsidP="006F05D2">
      <w:pPr>
        <w:spacing w:before="120" w:after="120"/>
        <w:rPr>
          <w:rFonts w:eastAsia="Times New Roman" w:cs="Times New Roman"/>
          <w:bCs/>
          <w:kern w:val="32"/>
        </w:rPr>
      </w:pPr>
    </w:p>
    <w:p w14:paraId="56ADECC5" w14:textId="77777777" w:rsidR="00403C5B" w:rsidRDefault="009F19A2" w:rsidP="009105C7">
      <w:pPr>
        <w:keepNext/>
        <w:spacing w:before="120" w:after="120"/>
      </w:pPr>
      <w:r>
        <w:rPr>
          <w:noProof/>
          <w14:ligatures w14:val="standardContextual"/>
        </w:rPr>
        <w:lastRenderedPageBreak/>
        <w:drawing>
          <wp:inline distT="0" distB="0" distL="0" distR="0" wp14:anchorId="078E069F" wp14:editId="21795762">
            <wp:extent cx="5943600" cy="3816350"/>
            <wp:effectExtent l="0" t="0" r="0" b="0"/>
            <wp:docPr id="1887790646"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90646" name="Picture 2"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816350"/>
                    </a:xfrm>
                    <a:prstGeom prst="rect">
                      <a:avLst/>
                    </a:prstGeom>
                  </pic:spPr>
                </pic:pic>
              </a:graphicData>
            </a:graphic>
          </wp:inline>
        </w:drawing>
      </w:r>
    </w:p>
    <w:p w14:paraId="3428F04F" w14:textId="4E572C87" w:rsidR="000411A5" w:rsidRDefault="00403C5B" w:rsidP="009105C7">
      <w:pPr>
        <w:pStyle w:val="Caption"/>
      </w:pPr>
      <w:bookmarkStart w:id="189" w:name="_Toc179464322"/>
      <w:bookmarkStart w:id="190" w:name="_Toc170114977"/>
      <w:r>
        <w:t xml:space="preserve">Figure </w:t>
      </w:r>
      <w:r w:rsidR="00821807">
        <w:fldChar w:fldCharType="begin"/>
      </w:r>
      <w:r w:rsidR="00821807">
        <w:instrText xml:space="preserve"> SEQ Figure \* ARABIC </w:instrText>
      </w:r>
      <w:r w:rsidR="00821807">
        <w:fldChar w:fldCharType="separate"/>
      </w:r>
      <w:r w:rsidR="00821807">
        <w:rPr>
          <w:noProof/>
        </w:rPr>
        <w:t>4</w:t>
      </w:r>
      <w:r w:rsidR="00821807">
        <w:rPr>
          <w:noProof/>
        </w:rPr>
        <w:fldChar w:fldCharType="end"/>
      </w:r>
      <w:r>
        <w:t xml:space="preserve"> </w:t>
      </w:r>
      <w:r w:rsidRPr="00C532D8">
        <w:t>Light pollution sources near the nominated sale parcels (www.lightpollutionmap.info, accessed May 2024)</w:t>
      </w:r>
      <w:bookmarkEnd w:id="189"/>
      <w:bookmarkEnd w:id="190"/>
    </w:p>
    <w:p w14:paraId="02F6B9E3" w14:textId="7EB51A68" w:rsidR="003B7805" w:rsidRDefault="003B7805" w:rsidP="003B7805">
      <w:pPr>
        <w:pStyle w:val="BodyText"/>
      </w:pPr>
      <w:r>
        <w:t>Potential impacts to night skies associated with development of the leases</w:t>
      </w:r>
      <w:r w:rsidDel="00F84517">
        <w:t xml:space="preserve"> </w:t>
      </w:r>
      <w:r>
        <w:t>would include flaring and temporary lighting during nighttime construction activities. Long-term nighttime impacts would include lighting at facilities as well as oil and gas developments as needed for safety and security that would contribute to sky glow and adversely affect night skies. I</w:t>
      </w:r>
      <w:r w:rsidRPr="00485089">
        <w:t xml:space="preserve">mpacts </w:t>
      </w:r>
      <w:r>
        <w:t>on night skies</w:t>
      </w:r>
      <w:r w:rsidRPr="00485089">
        <w:t xml:space="preserve"> would last for the duration of the</w:t>
      </w:r>
      <w:r w:rsidRPr="00485089" w:rsidDel="001F1846">
        <w:t xml:space="preserve"> </w:t>
      </w:r>
      <w:r>
        <w:t>leases, if developed,</w:t>
      </w:r>
      <w:r w:rsidRPr="00485089">
        <w:t xml:space="preserve"> and would begin during construction</w:t>
      </w:r>
      <w:r>
        <w:t xml:space="preserve"> and would last</w:t>
      </w:r>
      <w:r w:rsidRPr="00485089">
        <w:t xml:space="preserve"> th</w:t>
      </w:r>
      <w:r>
        <w:t>r</w:t>
      </w:r>
      <w:r w:rsidRPr="00485089">
        <w:t xml:space="preserve">ough </w:t>
      </w:r>
      <w:r>
        <w:t>operations, maintenance,</w:t>
      </w:r>
      <w:r w:rsidRPr="00485089">
        <w:t xml:space="preserve"> and decommissioning until the reclamation process is completed.</w:t>
      </w:r>
      <w:r w:rsidRPr="00E96487">
        <w:t xml:space="preserve"> </w:t>
      </w:r>
      <w:r>
        <w:t>These effects would be temporary and transient in nature and would vary based on conditions such as cloud cover, weather (precipitation events), and wind speed or direction. For example, most artificial lighting would occur during the drilling, completion, and potential flaring of a well. Lighting from the other phases of development and production would occur from vehicle traffic or safety lighting.</w:t>
      </w:r>
      <w:r w:rsidDel="00430CAE">
        <w:t xml:space="preserve"> </w:t>
      </w:r>
      <w:r>
        <w:t xml:space="preserve">While these impacts would be temporary, they would also be considered long-term as the lighting impacts would remain in effect for more than 2 years. This analysis assumes that lease areas will be developed in the future, with up to </w:t>
      </w:r>
      <w:r w:rsidR="00F3157A">
        <w:t>20</w:t>
      </w:r>
      <w:r>
        <w:t xml:space="preserve"> wells totaling </w:t>
      </w:r>
      <w:r w:rsidR="00F3157A">
        <w:t>20</w:t>
      </w:r>
      <w:r>
        <w:t xml:space="preserve"> acres of disturbance spanning over 10 years. </w:t>
      </w:r>
      <w:r w:rsidR="004F38DD">
        <w:t xml:space="preserve">Whether potential impacts would change the SQM values </w:t>
      </w:r>
      <w:r w:rsidR="00587262">
        <w:t xml:space="preserve">in the </w:t>
      </w:r>
      <w:r w:rsidR="00897802">
        <w:t>sale parcels or immediate vicinity is difficult to determine</w:t>
      </w:r>
      <w:r w:rsidR="00DD01A5">
        <w:t xml:space="preserve"> at the leasing phase. </w:t>
      </w:r>
      <w:r w:rsidRPr="00174CF5">
        <w:t xml:space="preserve">Further detailed analysis of the potential impacts to </w:t>
      </w:r>
      <w:r>
        <w:t>night skies</w:t>
      </w:r>
      <w:r w:rsidRPr="00174CF5">
        <w:t xml:space="preserve"> would be analyzed as appropriate when oil and gas development plans and </w:t>
      </w:r>
      <w:r>
        <w:t>APDs</w:t>
      </w:r>
      <w:r w:rsidRPr="00174CF5">
        <w:t xml:space="preserve"> are submitted.</w:t>
      </w:r>
      <w:r w:rsidR="008B7BA3">
        <w:t xml:space="preserve"> </w:t>
      </w:r>
    </w:p>
    <w:p w14:paraId="4E45DBB5" w14:textId="77777777" w:rsidR="003B7805" w:rsidRDefault="003B7805" w:rsidP="003B7805">
      <w:pPr>
        <w:pStyle w:val="BodyText"/>
      </w:pPr>
      <w:r>
        <w:t xml:space="preserve">Impacts related to light pollution of night skies would be mitigated and minimized through development of a lighting plan at the APD stage, including the planning principles and the identification of BMPs, as detailed in </w:t>
      </w:r>
      <w:r w:rsidRPr="6FED2C34">
        <w:rPr>
          <w:i/>
          <w:iCs/>
        </w:rPr>
        <w:t>Night Sky and Dark Environments: Best Management Practices for Artificial Light at Night on BLM-Managed Lands</w:t>
      </w:r>
      <w:r>
        <w:t xml:space="preserve"> (BLM 2023d). </w:t>
      </w:r>
      <w:bookmarkEnd w:id="188"/>
      <w:r>
        <w:t>Six principles</w:t>
      </w:r>
      <w:r w:rsidDel="00C0497C">
        <w:t xml:space="preserve"> </w:t>
      </w:r>
      <w:r>
        <w:t>frame the selection and presentation of artificial light at night, as follows:</w:t>
      </w:r>
    </w:p>
    <w:p w14:paraId="690A88F8" w14:textId="77777777" w:rsidR="003B7805" w:rsidRPr="00706CF1" w:rsidRDefault="003B7805" w:rsidP="003B7805">
      <w:pPr>
        <w:pStyle w:val="NumberedList1"/>
      </w:pPr>
      <w:r>
        <w:lastRenderedPageBreak/>
        <w:t xml:space="preserve">Light </w:t>
      </w:r>
      <w:r w:rsidRPr="00706CF1">
        <w:t>only if needed: Use alternatives to permanent lighting.</w:t>
      </w:r>
    </w:p>
    <w:p w14:paraId="5435773F" w14:textId="77777777" w:rsidR="003B7805" w:rsidRPr="00706CF1" w:rsidRDefault="003B7805" w:rsidP="003B7805">
      <w:pPr>
        <w:pStyle w:val="NumberedList1"/>
      </w:pPr>
      <w:r w:rsidRPr="00706CF1">
        <w:t>Light only when needed: Use lighting control technologies.</w:t>
      </w:r>
    </w:p>
    <w:p w14:paraId="222C8DF8" w14:textId="77777777" w:rsidR="003B7805" w:rsidRPr="00706CF1" w:rsidRDefault="003B7805" w:rsidP="003B7805">
      <w:pPr>
        <w:pStyle w:val="NumberedList1"/>
      </w:pPr>
      <w:r w:rsidRPr="00706CF1">
        <w:t>Light only where needed: Shield lights and direct them properly.</w:t>
      </w:r>
    </w:p>
    <w:p w14:paraId="224F3405" w14:textId="77777777" w:rsidR="003B7805" w:rsidRPr="00706CF1" w:rsidRDefault="003B7805" w:rsidP="003B7805">
      <w:pPr>
        <w:pStyle w:val="NumberedList1"/>
      </w:pPr>
      <w:r w:rsidRPr="00706CF1">
        <w:t>Light color matters: Select amber, orange, or red whenever possible.</w:t>
      </w:r>
    </w:p>
    <w:p w14:paraId="538B5DE3" w14:textId="77777777" w:rsidR="003B7805" w:rsidRPr="00706CF1" w:rsidRDefault="003B7805" w:rsidP="003B7805">
      <w:pPr>
        <w:pStyle w:val="NumberedList1"/>
      </w:pPr>
      <w:r w:rsidRPr="00706CF1">
        <w:t>Use the minimum level of illumination necessary: Avoid over-illumination.</w:t>
      </w:r>
    </w:p>
    <w:p w14:paraId="249D9E8A" w14:textId="77777777" w:rsidR="003B7805" w:rsidRDefault="003B7805" w:rsidP="003B7805">
      <w:pPr>
        <w:pStyle w:val="NumberedList1"/>
      </w:pPr>
      <w:r w:rsidRPr="00706CF1">
        <w:t>Use energy</w:t>
      </w:r>
      <w:r>
        <w:t>-efficient lights and advanced lighting controls: Save energy while adding useful lighting capabilities</w:t>
      </w:r>
      <w:r w:rsidDel="00407EA8">
        <w:t>.</w:t>
      </w:r>
      <w:r>
        <w:t xml:space="preserve"> </w:t>
      </w:r>
    </w:p>
    <w:p w14:paraId="4DD7DC23" w14:textId="77777777" w:rsidR="003B7805" w:rsidRDefault="003B7805" w:rsidP="003B7805">
      <w:pPr>
        <w:pStyle w:val="BodyText"/>
      </w:pPr>
      <w:r>
        <w:t>Specific BMPs include having a lighting plan prepared by a qualified lighting designer, selecting luminaires certified to minimize light pollution, identifying light-sensitive receptors, conducting a baseline study of existing light pollution and night sky conditions, and establishing a lighting and light pollution monitoring program</w:t>
      </w:r>
      <w:r w:rsidRPr="005A214D">
        <w:t xml:space="preserve">. Additionally, mitigation measures for impacts to night skies associated with oil and gas development </w:t>
      </w:r>
      <w:r>
        <w:t>such as</w:t>
      </w:r>
      <w:r w:rsidRPr="005A214D">
        <w:t xml:space="preserve"> flaring would include using enclosed flare systems for gas flaring and similar operations to shield light, noise</w:t>
      </w:r>
      <w:r>
        <w:t>,</w:t>
      </w:r>
      <w:r w:rsidRPr="005A214D">
        <w:t xml:space="preserve"> and heat release. This would result in no visible flame protruding above the structures</w:t>
      </w:r>
      <w:r>
        <w:t xml:space="preserve"> and</w:t>
      </w:r>
      <w:r w:rsidRPr="005A214D">
        <w:t xml:space="preserve"> could include shaded or directional lighting on structures and shrouded gas flare stacks. The application of BMPs and design features would mitigate, limit</w:t>
      </w:r>
      <w:r>
        <w:t>,</w:t>
      </w:r>
      <w:r w:rsidRPr="005A214D">
        <w:t xml:space="preserve"> and prevent</w:t>
      </w:r>
      <w:r>
        <w:t xml:space="preserve"> impacts on night skies associated with future development of any of the leases.</w:t>
      </w:r>
      <w:r w:rsidDel="002F605A">
        <w:t xml:space="preserve"> </w:t>
      </w:r>
      <w:r>
        <w:t>The</w:t>
      </w:r>
      <w:r w:rsidDel="00412B7D">
        <w:t xml:space="preserve"> </w:t>
      </w:r>
      <w:r>
        <w:t>MFO ROD and RMP does not mention night skies as a resource and does not provide any direction or management for</w:t>
      </w:r>
      <w:r w:rsidDel="002F605A">
        <w:t xml:space="preserve"> the </w:t>
      </w:r>
      <w:r>
        <w:t>leases</w:t>
      </w:r>
      <w:r w:rsidDel="007F213D">
        <w:t xml:space="preserve"> </w:t>
      </w:r>
      <w:r>
        <w:t>identified; therefore, conformance with the MFO ROD and RMP was not assessed.</w:t>
      </w:r>
    </w:p>
    <w:p w14:paraId="6D2519E8" w14:textId="77777777" w:rsidR="003B7805" w:rsidRDefault="003B7805" w:rsidP="003B7805">
      <w:pPr>
        <w:pStyle w:val="BodyText"/>
      </w:pPr>
      <w:r>
        <w:t>Lease Notices:</w:t>
      </w:r>
    </w:p>
    <w:p w14:paraId="435FC866" w14:textId="77777777" w:rsidR="003B7805" w:rsidRDefault="003B7805" w:rsidP="003B7805">
      <w:pPr>
        <w:pStyle w:val="Bullet1"/>
        <w:ind w:left="720"/>
      </w:pPr>
      <w:r>
        <w:t>None.</w:t>
      </w:r>
    </w:p>
    <w:p w14:paraId="4C97D948" w14:textId="77777777" w:rsidR="003B7805" w:rsidRDefault="003B7805" w:rsidP="003B7805">
      <w:pPr>
        <w:pStyle w:val="BodyText"/>
      </w:pPr>
      <w:r>
        <w:t>Lease Stipulations:</w:t>
      </w:r>
    </w:p>
    <w:p w14:paraId="78776C08" w14:textId="77777777" w:rsidR="003B7805" w:rsidRPr="00806A16" w:rsidRDefault="003B7805" w:rsidP="003B7805">
      <w:pPr>
        <w:pStyle w:val="Bullet1"/>
        <w:ind w:left="720"/>
      </w:pPr>
      <w:r>
        <w:t>None.</w:t>
      </w:r>
    </w:p>
    <w:p w14:paraId="4D3A73BB" w14:textId="187856AF" w:rsidR="00F31734" w:rsidRPr="00B0463E" w:rsidRDefault="00F31734" w:rsidP="00990AC1">
      <w:pPr>
        <w:pStyle w:val="BodyText"/>
        <w:rPr>
          <w:bCs/>
        </w:rPr>
      </w:pPr>
    </w:p>
    <w:p w14:paraId="51939D8A" w14:textId="673B355A" w:rsidR="00EB0BCF" w:rsidRDefault="002D682D" w:rsidP="00D8058C">
      <w:pPr>
        <w:pStyle w:val="AIBChapter3"/>
        <w:rPr>
          <w:rFonts w:hint="eastAsia"/>
        </w:rPr>
      </w:pPr>
      <w:bookmarkStart w:id="191" w:name="_Toc179464260"/>
      <w:bookmarkStart w:id="192" w:name="_Toc170114915"/>
      <w:r w:rsidRPr="007D0359">
        <w:t>Livestock Grazing</w:t>
      </w:r>
      <w:bookmarkEnd w:id="191"/>
      <w:bookmarkEnd w:id="192"/>
    </w:p>
    <w:p w14:paraId="6DF72D93" w14:textId="2185800D" w:rsidR="008B762F" w:rsidRDefault="002D682D" w:rsidP="009B007C">
      <w:pPr>
        <w:pStyle w:val="BodyText"/>
      </w:pPr>
      <w:r w:rsidRPr="00B55969">
        <w:rPr>
          <w:b/>
        </w:rPr>
        <w:t>How would</w:t>
      </w:r>
      <w:r w:rsidR="00AE1D0C">
        <w:rPr>
          <w:b/>
        </w:rPr>
        <w:t xml:space="preserve"> surface disturbance</w:t>
      </w:r>
      <w:r w:rsidR="00FE0AFA">
        <w:rPr>
          <w:b/>
        </w:rPr>
        <w:t xml:space="preserve"> associated with</w:t>
      </w:r>
      <w:r w:rsidRPr="00B55969">
        <w:rPr>
          <w:b/>
        </w:rPr>
        <w:t xml:space="preserve"> potential development of the nominated lease parcels </w:t>
      </w:r>
      <w:r w:rsidRPr="001C710F">
        <w:rPr>
          <w:b/>
        </w:rPr>
        <w:t xml:space="preserve">impact </w:t>
      </w:r>
      <w:r w:rsidR="00F92EC4">
        <w:rPr>
          <w:b/>
        </w:rPr>
        <w:t>the availability of forage in the Split Mountain Allotment</w:t>
      </w:r>
      <w:r w:rsidRPr="00B55969">
        <w:rPr>
          <w:b/>
        </w:rPr>
        <w:t>?</w:t>
      </w:r>
    </w:p>
    <w:p w14:paraId="147D3C18" w14:textId="7F667F10" w:rsidR="008D7DB9" w:rsidRDefault="008D7DB9" w:rsidP="009B007C">
      <w:pPr>
        <w:pStyle w:val="BodyText"/>
      </w:pPr>
      <w:r>
        <w:t xml:space="preserve">The parcels are located within </w:t>
      </w:r>
      <w:r w:rsidR="00A53B3C">
        <w:t>a permitted livestock allotment</w:t>
      </w:r>
      <w:r w:rsidR="00A918AA">
        <w:t xml:space="preserve">; </w:t>
      </w:r>
      <w:r w:rsidR="00A53B3C">
        <w:t>Split Mountain</w:t>
      </w:r>
      <w:r w:rsidR="006E3415">
        <w:t xml:space="preserve"> (UT03111). The Split Mountain allotment consists of </w:t>
      </w:r>
      <w:r w:rsidR="00343923">
        <w:t>the following acres</w:t>
      </w:r>
      <w:r w:rsidR="0077570C">
        <w:t xml:space="preserve"> and animal unit months (AUMs):</w:t>
      </w:r>
    </w:p>
    <w:p w14:paraId="59D4AE14" w14:textId="07A85E2E" w:rsidR="00805C40" w:rsidRDefault="00805C40" w:rsidP="003F07DA">
      <w:pPr>
        <w:pStyle w:val="Caption"/>
      </w:pPr>
      <w:bookmarkStart w:id="193" w:name="_Toc179464295"/>
      <w:bookmarkStart w:id="194" w:name="_Toc170114950"/>
      <w:r>
        <w:t xml:space="preserve">Table </w:t>
      </w:r>
      <w:r w:rsidR="00BB3F01">
        <w:fldChar w:fldCharType="begin"/>
      </w:r>
      <w:r w:rsidR="00BB3F01">
        <w:instrText xml:space="preserve"> SEQ Table \* ARABIC </w:instrText>
      </w:r>
      <w:r w:rsidR="00BB3F01">
        <w:fldChar w:fldCharType="separate"/>
      </w:r>
      <w:r w:rsidR="00BB3F01">
        <w:rPr>
          <w:noProof/>
        </w:rPr>
        <w:t>14</w:t>
      </w:r>
      <w:r w:rsidR="00BB3F01">
        <w:rPr>
          <w:noProof/>
        </w:rPr>
        <w:fldChar w:fldCharType="end"/>
      </w:r>
      <w:r>
        <w:t xml:space="preserve"> </w:t>
      </w:r>
      <w:r w:rsidRPr="00B513DB">
        <w:t>Split Mountain allotment</w:t>
      </w:r>
      <w:bookmarkEnd w:id="193"/>
      <w:bookmarkEnd w:id="194"/>
    </w:p>
    <w:tbl>
      <w:tblPr>
        <w:tblStyle w:val="TableGrid"/>
        <w:tblW w:w="0" w:type="auto"/>
        <w:tblInd w:w="-5" w:type="dxa"/>
        <w:tblLook w:val="04A0" w:firstRow="1" w:lastRow="0" w:firstColumn="1" w:lastColumn="0" w:noHBand="0" w:noVBand="1"/>
      </w:tblPr>
      <w:tblGrid>
        <w:gridCol w:w="1980"/>
        <w:gridCol w:w="1468"/>
        <w:gridCol w:w="962"/>
      </w:tblGrid>
      <w:tr w:rsidR="00BC48CB" w:rsidRPr="00BC48CB" w14:paraId="67309123" w14:textId="77777777" w:rsidTr="0050637F">
        <w:trPr>
          <w:trHeight w:val="485"/>
          <w:tblHeader/>
        </w:trPr>
        <w:tc>
          <w:tcPr>
            <w:tcW w:w="1980" w:type="dxa"/>
          </w:tcPr>
          <w:p w14:paraId="144BC6F3" w14:textId="77777777" w:rsidR="00BC48CB" w:rsidRPr="00BC48CB" w:rsidRDefault="00BC48CB" w:rsidP="00BC48CB">
            <w:pPr>
              <w:pStyle w:val="BodyText"/>
            </w:pPr>
          </w:p>
        </w:tc>
        <w:tc>
          <w:tcPr>
            <w:tcW w:w="1468" w:type="dxa"/>
          </w:tcPr>
          <w:p w14:paraId="3A1C212F" w14:textId="77777777" w:rsidR="00BC48CB" w:rsidRPr="00BC48CB" w:rsidRDefault="00BC48CB" w:rsidP="00BC48CB">
            <w:pPr>
              <w:pStyle w:val="BodyText"/>
              <w:rPr>
                <w:b/>
                <w:bCs/>
              </w:rPr>
            </w:pPr>
            <w:r w:rsidRPr="00BC48CB">
              <w:rPr>
                <w:b/>
                <w:bCs/>
              </w:rPr>
              <w:t>Acres</w:t>
            </w:r>
          </w:p>
        </w:tc>
        <w:tc>
          <w:tcPr>
            <w:tcW w:w="962" w:type="dxa"/>
          </w:tcPr>
          <w:p w14:paraId="6431D7CC" w14:textId="77777777" w:rsidR="00BC48CB" w:rsidRPr="00BC48CB" w:rsidRDefault="00BC48CB" w:rsidP="00BC48CB">
            <w:pPr>
              <w:pStyle w:val="BodyText"/>
              <w:rPr>
                <w:b/>
                <w:bCs/>
              </w:rPr>
            </w:pPr>
            <w:r w:rsidRPr="00BC48CB">
              <w:rPr>
                <w:b/>
                <w:bCs/>
              </w:rPr>
              <w:t>AUMs</w:t>
            </w:r>
          </w:p>
        </w:tc>
      </w:tr>
      <w:tr w:rsidR="00BC48CB" w:rsidRPr="00BC48CB" w14:paraId="0A90AA46" w14:textId="77777777" w:rsidTr="003677C0">
        <w:trPr>
          <w:trHeight w:val="377"/>
        </w:trPr>
        <w:tc>
          <w:tcPr>
            <w:tcW w:w="1980" w:type="dxa"/>
          </w:tcPr>
          <w:p w14:paraId="4D3CD85C" w14:textId="77777777" w:rsidR="00BC48CB" w:rsidRPr="00BC48CB" w:rsidRDefault="00BC48CB" w:rsidP="00BC48CB">
            <w:pPr>
              <w:pStyle w:val="BodyText"/>
              <w:rPr>
                <w:b/>
                <w:bCs/>
              </w:rPr>
            </w:pPr>
            <w:r w:rsidRPr="00BC48CB">
              <w:rPr>
                <w:b/>
                <w:bCs/>
              </w:rPr>
              <w:t xml:space="preserve">Public </w:t>
            </w:r>
          </w:p>
        </w:tc>
        <w:tc>
          <w:tcPr>
            <w:tcW w:w="1468" w:type="dxa"/>
          </w:tcPr>
          <w:p w14:paraId="324529CC" w14:textId="77777777" w:rsidR="00BC48CB" w:rsidRPr="00BC48CB" w:rsidRDefault="00BC48CB" w:rsidP="00BC48CB">
            <w:pPr>
              <w:pStyle w:val="BodyText"/>
            </w:pPr>
            <w:r w:rsidRPr="00BC48CB">
              <w:t>103,973</w:t>
            </w:r>
          </w:p>
        </w:tc>
        <w:tc>
          <w:tcPr>
            <w:tcW w:w="962" w:type="dxa"/>
          </w:tcPr>
          <w:p w14:paraId="226151ED" w14:textId="77777777" w:rsidR="00BC48CB" w:rsidRPr="00BC48CB" w:rsidRDefault="00BC48CB" w:rsidP="00BC48CB">
            <w:pPr>
              <w:pStyle w:val="BodyText"/>
            </w:pPr>
            <w:r w:rsidRPr="00BC48CB">
              <w:t>7,974</w:t>
            </w:r>
          </w:p>
        </w:tc>
      </w:tr>
      <w:tr w:rsidR="00BC48CB" w:rsidRPr="00BC48CB" w14:paraId="0E449FA1" w14:textId="77777777" w:rsidTr="003677C0">
        <w:trPr>
          <w:trHeight w:val="422"/>
        </w:trPr>
        <w:tc>
          <w:tcPr>
            <w:tcW w:w="1980" w:type="dxa"/>
          </w:tcPr>
          <w:p w14:paraId="6AE0E33E" w14:textId="77777777" w:rsidR="00BC48CB" w:rsidRPr="00BC48CB" w:rsidRDefault="00BC48CB" w:rsidP="00BC48CB">
            <w:pPr>
              <w:pStyle w:val="BodyText"/>
              <w:rPr>
                <w:b/>
                <w:bCs/>
              </w:rPr>
            </w:pPr>
            <w:r w:rsidRPr="00BC48CB">
              <w:rPr>
                <w:b/>
                <w:bCs/>
              </w:rPr>
              <w:t>Other Federal</w:t>
            </w:r>
          </w:p>
        </w:tc>
        <w:tc>
          <w:tcPr>
            <w:tcW w:w="1468" w:type="dxa"/>
          </w:tcPr>
          <w:p w14:paraId="507ABAFB" w14:textId="77777777" w:rsidR="00BC48CB" w:rsidRPr="00BC48CB" w:rsidRDefault="00BC48CB" w:rsidP="00BC48CB">
            <w:pPr>
              <w:pStyle w:val="BodyText"/>
            </w:pPr>
            <w:r w:rsidRPr="00BC48CB">
              <w:t>301</w:t>
            </w:r>
          </w:p>
        </w:tc>
        <w:tc>
          <w:tcPr>
            <w:tcW w:w="962" w:type="dxa"/>
          </w:tcPr>
          <w:p w14:paraId="0F6419F6" w14:textId="77777777" w:rsidR="00BC48CB" w:rsidRPr="00BC48CB" w:rsidRDefault="00BC48CB" w:rsidP="00BC48CB">
            <w:pPr>
              <w:pStyle w:val="BodyText"/>
            </w:pPr>
            <w:r w:rsidRPr="00BC48CB">
              <w:t>0</w:t>
            </w:r>
          </w:p>
        </w:tc>
      </w:tr>
      <w:tr w:rsidR="00BC48CB" w:rsidRPr="00BC48CB" w14:paraId="25F9883C" w14:textId="77777777" w:rsidTr="003677C0">
        <w:trPr>
          <w:trHeight w:val="288"/>
        </w:trPr>
        <w:tc>
          <w:tcPr>
            <w:tcW w:w="1980" w:type="dxa"/>
          </w:tcPr>
          <w:p w14:paraId="79AC8BDF" w14:textId="77777777" w:rsidR="00BC48CB" w:rsidRPr="00BC48CB" w:rsidRDefault="00BC48CB" w:rsidP="00BC48CB">
            <w:pPr>
              <w:pStyle w:val="BodyText"/>
              <w:rPr>
                <w:b/>
                <w:bCs/>
              </w:rPr>
            </w:pPr>
            <w:r w:rsidRPr="00BC48CB">
              <w:rPr>
                <w:b/>
                <w:bCs/>
              </w:rPr>
              <w:t>State</w:t>
            </w:r>
          </w:p>
        </w:tc>
        <w:tc>
          <w:tcPr>
            <w:tcW w:w="1468" w:type="dxa"/>
          </w:tcPr>
          <w:p w14:paraId="6B7EE68A" w14:textId="77777777" w:rsidR="00BC48CB" w:rsidRPr="00BC48CB" w:rsidRDefault="00BC48CB" w:rsidP="00BC48CB">
            <w:pPr>
              <w:pStyle w:val="BodyText"/>
            </w:pPr>
            <w:r w:rsidRPr="00BC48CB">
              <w:t>12,607</w:t>
            </w:r>
          </w:p>
        </w:tc>
        <w:tc>
          <w:tcPr>
            <w:tcW w:w="962" w:type="dxa"/>
          </w:tcPr>
          <w:p w14:paraId="7E5F3823" w14:textId="77777777" w:rsidR="00BC48CB" w:rsidRPr="00BC48CB" w:rsidRDefault="00BC48CB" w:rsidP="00BC48CB">
            <w:pPr>
              <w:pStyle w:val="BodyText"/>
            </w:pPr>
            <w:r w:rsidRPr="00BC48CB">
              <w:t>859</w:t>
            </w:r>
          </w:p>
        </w:tc>
      </w:tr>
      <w:tr w:rsidR="00BC48CB" w:rsidRPr="00BC48CB" w14:paraId="57DE3D2C" w14:textId="77777777" w:rsidTr="003677C0">
        <w:trPr>
          <w:trHeight w:val="288"/>
        </w:trPr>
        <w:tc>
          <w:tcPr>
            <w:tcW w:w="1980" w:type="dxa"/>
          </w:tcPr>
          <w:p w14:paraId="70EC2077" w14:textId="77777777" w:rsidR="00BC48CB" w:rsidRPr="00BC48CB" w:rsidRDefault="00BC48CB" w:rsidP="00BC48CB">
            <w:pPr>
              <w:pStyle w:val="BodyText"/>
              <w:rPr>
                <w:b/>
                <w:bCs/>
              </w:rPr>
            </w:pPr>
            <w:r w:rsidRPr="00BC48CB">
              <w:rPr>
                <w:b/>
                <w:bCs/>
              </w:rPr>
              <w:lastRenderedPageBreak/>
              <w:t>Private</w:t>
            </w:r>
          </w:p>
        </w:tc>
        <w:tc>
          <w:tcPr>
            <w:tcW w:w="1468" w:type="dxa"/>
          </w:tcPr>
          <w:p w14:paraId="2DA657B0" w14:textId="77777777" w:rsidR="00BC48CB" w:rsidRPr="00BC48CB" w:rsidRDefault="00BC48CB" w:rsidP="00BC48CB">
            <w:pPr>
              <w:pStyle w:val="BodyText"/>
            </w:pPr>
            <w:r w:rsidRPr="00BC48CB">
              <w:t>7,146</w:t>
            </w:r>
          </w:p>
        </w:tc>
        <w:tc>
          <w:tcPr>
            <w:tcW w:w="962" w:type="dxa"/>
          </w:tcPr>
          <w:p w14:paraId="617EC87D" w14:textId="77777777" w:rsidR="00BC48CB" w:rsidRPr="00BC48CB" w:rsidRDefault="00BC48CB" w:rsidP="00BC48CB">
            <w:pPr>
              <w:pStyle w:val="BodyText"/>
            </w:pPr>
            <w:r w:rsidRPr="00BC48CB">
              <w:t>906</w:t>
            </w:r>
          </w:p>
        </w:tc>
      </w:tr>
    </w:tbl>
    <w:p w14:paraId="2F9AB639" w14:textId="10F7CFF3" w:rsidR="00EE279C" w:rsidRDefault="000D413E" w:rsidP="009B007C">
      <w:pPr>
        <w:pStyle w:val="BodyText"/>
      </w:pPr>
      <w:r>
        <w:t xml:space="preserve">There are currently </w:t>
      </w:r>
      <w:r w:rsidR="00310DEF">
        <w:t>five</w:t>
      </w:r>
      <w:r w:rsidR="001012F4">
        <w:t xml:space="preserve"> BLM issued</w:t>
      </w:r>
      <w:r w:rsidR="00310DEF">
        <w:t xml:space="preserve"> term permits authorized for grazing privileges within the Split Mountain allotment. </w:t>
      </w:r>
      <w:r w:rsidR="0043257F">
        <w:t xml:space="preserve">Sheep and cattle use are authorized for grazing </w:t>
      </w:r>
      <w:r w:rsidR="00DA58F1">
        <w:t xml:space="preserve">between October and May of each year. </w:t>
      </w:r>
      <w:r w:rsidR="00310DEF">
        <w:t>The current permits</w:t>
      </w:r>
      <w:r w:rsidR="00452A4D">
        <w:t xml:space="preserve"> were</w:t>
      </w:r>
      <w:r w:rsidR="00AA1805">
        <w:t xml:space="preserve"> fully processed initially through the NEPA process; however, they have been renewed “as is” under the </w:t>
      </w:r>
      <w:r w:rsidR="005176B0">
        <w:t>existing terms and conditions</w:t>
      </w:r>
      <w:r w:rsidR="000178AC">
        <w:t xml:space="preserve"> and are presently authorized</w:t>
      </w:r>
      <w:r w:rsidR="005176B0">
        <w:t xml:space="preserve"> per </w:t>
      </w:r>
      <w:r w:rsidR="00876D63">
        <w:t>the</w:t>
      </w:r>
      <w:r w:rsidR="000C427D">
        <w:t xml:space="preserve"> </w:t>
      </w:r>
      <w:r w:rsidR="005176B0">
        <w:t xml:space="preserve">FLMPA section </w:t>
      </w:r>
      <w:r w:rsidR="000E67C8">
        <w:t xml:space="preserve">402 (c) </w:t>
      </w:r>
      <w:r w:rsidR="00FA181A">
        <w:t>stated authority</w:t>
      </w:r>
      <w:r w:rsidR="006B00C0">
        <w:t>.</w:t>
      </w:r>
      <w:r w:rsidR="00EE279C">
        <w:t xml:space="preserve"> </w:t>
      </w:r>
      <w:r w:rsidR="008E38A6">
        <w:t xml:space="preserve">Oil and gas development </w:t>
      </w:r>
      <w:r w:rsidR="00A67A0D">
        <w:t xml:space="preserve">has and continues to occur </w:t>
      </w:r>
      <w:r w:rsidR="00E722D3">
        <w:t>throughout</w:t>
      </w:r>
      <w:r w:rsidR="00A67A0D">
        <w:t xml:space="preserve"> this allotment; however, the BLM does not currently have </w:t>
      </w:r>
      <w:r w:rsidR="009F7BC2">
        <w:t xml:space="preserve">spatial data </w:t>
      </w:r>
      <w:r w:rsidR="00AA77B1">
        <w:t>quantifying the amount of disturbance that has occurred or what stage the re</w:t>
      </w:r>
      <w:r w:rsidR="00C23DF2">
        <w:t>clamation of such disturbance is.</w:t>
      </w:r>
    </w:p>
    <w:p w14:paraId="17879A61" w14:textId="2682D99F" w:rsidR="005E3C8F" w:rsidRDefault="00EE279C" w:rsidP="009B007C">
      <w:pPr>
        <w:pStyle w:val="BodyText"/>
        <w:rPr>
          <w:rStyle w:val="normaltextrun"/>
          <w:color w:val="000000"/>
          <w:shd w:val="clear" w:color="auto" w:fill="FFFFFF"/>
        </w:rPr>
      </w:pPr>
      <w:r>
        <w:t>T</w:t>
      </w:r>
      <w:r w:rsidR="005E3C8F">
        <w:rPr>
          <w:rStyle w:val="normaltextrun"/>
          <w:color w:val="000000"/>
          <w:shd w:val="clear" w:color="auto" w:fill="FFFFFF"/>
        </w:rPr>
        <w:t>he</w:t>
      </w:r>
      <w:r w:rsidR="00DA0C53">
        <w:rPr>
          <w:rStyle w:val="normaltextrun"/>
          <w:color w:val="000000"/>
          <w:shd w:val="clear" w:color="auto" w:fill="FFFFFF"/>
        </w:rPr>
        <w:t xml:space="preserve">re are approximately </w:t>
      </w:r>
      <w:r w:rsidR="004D4D47">
        <w:rPr>
          <w:rStyle w:val="normaltextrun"/>
          <w:color w:val="000000"/>
          <w:shd w:val="clear" w:color="auto" w:fill="FFFFFF"/>
        </w:rPr>
        <w:t>111 recorded range improvements on the allotment</w:t>
      </w:r>
      <w:r w:rsidR="00DD0B1B">
        <w:rPr>
          <w:rStyle w:val="normaltextrun"/>
          <w:color w:val="000000"/>
          <w:shd w:val="clear" w:color="auto" w:fill="FFFFFF"/>
        </w:rPr>
        <w:t xml:space="preserve"> that include: </w:t>
      </w:r>
      <w:r w:rsidR="00DF71A4">
        <w:rPr>
          <w:rStyle w:val="normaltextrun"/>
          <w:color w:val="000000"/>
          <w:shd w:val="clear" w:color="auto" w:fill="FFFFFF"/>
        </w:rPr>
        <w:t xml:space="preserve">11 cattleguards, 10 corrals, 1 study </w:t>
      </w:r>
      <w:proofErr w:type="spellStart"/>
      <w:r w:rsidR="00DF71A4">
        <w:rPr>
          <w:rStyle w:val="normaltextrun"/>
          <w:color w:val="000000"/>
          <w:shd w:val="clear" w:color="auto" w:fill="FFFFFF"/>
        </w:rPr>
        <w:t>exclosure</w:t>
      </w:r>
      <w:proofErr w:type="spellEnd"/>
      <w:r w:rsidR="00DF71A4">
        <w:rPr>
          <w:rStyle w:val="normaltextrun"/>
          <w:color w:val="000000"/>
          <w:shd w:val="clear" w:color="auto" w:fill="FFFFFF"/>
        </w:rPr>
        <w:t xml:space="preserve">, 1 guzzler, </w:t>
      </w:r>
      <w:r w:rsidR="001E4093">
        <w:rPr>
          <w:rStyle w:val="normaltextrun"/>
          <w:color w:val="000000"/>
          <w:shd w:val="clear" w:color="auto" w:fill="FFFFFF"/>
        </w:rPr>
        <w:t xml:space="preserve">5 springs, </w:t>
      </w:r>
      <w:r w:rsidR="00CA1C5D">
        <w:rPr>
          <w:rStyle w:val="normaltextrun"/>
          <w:color w:val="000000"/>
          <w:shd w:val="clear" w:color="auto" w:fill="FFFFFF"/>
        </w:rPr>
        <w:t>1 permanent trough</w:t>
      </w:r>
      <w:r w:rsidR="00E27671">
        <w:rPr>
          <w:rStyle w:val="normaltextrun"/>
          <w:color w:val="000000"/>
          <w:shd w:val="clear" w:color="auto" w:fill="FFFFFF"/>
        </w:rPr>
        <w:t xml:space="preserve">, </w:t>
      </w:r>
      <w:r w:rsidR="00E50145">
        <w:rPr>
          <w:rStyle w:val="normaltextrun"/>
          <w:color w:val="000000"/>
          <w:shd w:val="clear" w:color="auto" w:fill="FFFFFF"/>
        </w:rPr>
        <w:t>7 sites connected to a pipeline and trough syste</w:t>
      </w:r>
      <w:r w:rsidR="00E671EC">
        <w:rPr>
          <w:rStyle w:val="normaltextrun"/>
          <w:color w:val="000000"/>
          <w:shd w:val="clear" w:color="auto" w:fill="FFFFFF"/>
        </w:rPr>
        <w:t xml:space="preserve">m, 1 well, 11 gates and </w:t>
      </w:r>
      <w:r w:rsidR="00005166">
        <w:rPr>
          <w:rStyle w:val="normaltextrun"/>
          <w:color w:val="000000"/>
          <w:shd w:val="clear" w:color="auto" w:fill="FFFFFF"/>
        </w:rPr>
        <w:t>62 reservoirs</w:t>
      </w:r>
      <w:r w:rsidR="00B55418">
        <w:rPr>
          <w:rStyle w:val="normaltextrun"/>
          <w:color w:val="000000"/>
          <w:shd w:val="clear" w:color="auto" w:fill="FFFFFF"/>
        </w:rPr>
        <w:t xml:space="preserve"> (water impoundments). One of the reservoirs is the Horseshoe</w:t>
      </w:r>
      <w:r w:rsidR="00001E97">
        <w:rPr>
          <w:rStyle w:val="normaltextrun"/>
          <w:color w:val="000000"/>
          <w:shd w:val="clear" w:color="auto" w:fill="FFFFFF"/>
        </w:rPr>
        <w:t xml:space="preserve"> B</w:t>
      </w:r>
      <w:r w:rsidR="004D4D47">
        <w:rPr>
          <w:rStyle w:val="normaltextrun"/>
          <w:color w:val="000000"/>
          <w:shd w:val="clear" w:color="auto" w:fill="FFFFFF"/>
        </w:rPr>
        <w:t>end reservoir</w:t>
      </w:r>
      <w:r w:rsidR="00E31C2B">
        <w:rPr>
          <w:rStyle w:val="normaltextrun"/>
          <w:color w:val="000000"/>
          <w:shd w:val="clear" w:color="auto" w:fill="FFFFFF"/>
        </w:rPr>
        <w:t xml:space="preserve"> (</w:t>
      </w:r>
      <w:r w:rsidR="00075452" w:rsidRPr="0016768B">
        <w:rPr>
          <w:rStyle w:val="normaltextrun"/>
          <w:i/>
          <w:iCs/>
          <w:color w:val="000000"/>
          <w:shd w:val="clear" w:color="auto" w:fill="FFFFFF"/>
        </w:rPr>
        <w:t>water right 49-746</w:t>
      </w:r>
      <w:r w:rsidR="00E31C2B">
        <w:rPr>
          <w:rStyle w:val="normaltextrun"/>
          <w:color w:val="000000"/>
          <w:shd w:val="clear" w:color="auto" w:fill="FFFFFF"/>
        </w:rPr>
        <w:t>),</w:t>
      </w:r>
      <w:r w:rsidR="00C3450E">
        <w:rPr>
          <w:rStyle w:val="normaltextrun"/>
          <w:color w:val="000000"/>
          <w:shd w:val="clear" w:color="auto" w:fill="FFFFFF"/>
        </w:rPr>
        <w:t xml:space="preserve"> located </w:t>
      </w:r>
      <w:r w:rsidR="001F0A10">
        <w:rPr>
          <w:rStyle w:val="normaltextrun"/>
          <w:color w:val="000000"/>
          <w:shd w:val="clear" w:color="auto" w:fill="FFFFFF"/>
        </w:rPr>
        <w:t xml:space="preserve">on the boundary of </w:t>
      </w:r>
      <w:r w:rsidR="0031715D">
        <w:rPr>
          <w:rStyle w:val="normaltextrun"/>
          <w:color w:val="000000"/>
          <w:shd w:val="clear" w:color="auto" w:fill="FFFFFF"/>
        </w:rPr>
        <w:t xml:space="preserve">lease </w:t>
      </w:r>
      <w:r w:rsidR="001F0A10">
        <w:rPr>
          <w:rStyle w:val="normaltextrun"/>
          <w:color w:val="000000"/>
          <w:shd w:val="clear" w:color="auto" w:fill="FFFFFF"/>
        </w:rPr>
        <w:t>parcel</w:t>
      </w:r>
      <w:r w:rsidR="000D413E">
        <w:rPr>
          <w:rStyle w:val="normaltextrun"/>
          <w:color w:val="000000"/>
          <w:shd w:val="clear" w:color="auto" w:fill="FFFFFF"/>
        </w:rPr>
        <w:t>, UT-</w:t>
      </w:r>
      <w:r w:rsidR="000849D0">
        <w:rPr>
          <w:rStyle w:val="normaltextrun"/>
          <w:color w:val="000000"/>
          <w:shd w:val="clear" w:color="auto" w:fill="FFFFFF"/>
        </w:rPr>
        <w:t>2025-03-1551</w:t>
      </w:r>
      <w:r w:rsidR="001F0A10">
        <w:rPr>
          <w:rStyle w:val="normaltextrun"/>
          <w:color w:val="000000"/>
          <w:shd w:val="clear" w:color="auto" w:fill="FFFFFF"/>
        </w:rPr>
        <w:t>.</w:t>
      </w:r>
      <w:r w:rsidR="000D413E">
        <w:rPr>
          <w:rStyle w:val="normaltextrun"/>
          <w:color w:val="000000"/>
          <w:shd w:val="clear" w:color="auto" w:fill="FFFFFF"/>
        </w:rPr>
        <w:t xml:space="preserve"> </w:t>
      </w:r>
      <w:r w:rsidR="005E3C8F">
        <w:rPr>
          <w:rStyle w:val="normaltextrun"/>
          <w:color w:val="000000"/>
          <w:shd w:val="clear" w:color="auto" w:fill="FFFFFF"/>
        </w:rPr>
        <w:t>Water on these desert allotments is crucial for livestock survival and proper dispers</w:t>
      </w:r>
      <w:r w:rsidR="00E31C2B">
        <w:rPr>
          <w:rStyle w:val="normaltextrun"/>
          <w:color w:val="000000"/>
          <w:shd w:val="clear" w:color="auto" w:fill="FFFFFF"/>
        </w:rPr>
        <w:t>al</w:t>
      </w:r>
      <w:r w:rsidR="005E3C8F">
        <w:rPr>
          <w:rStyle w:val="normaltextrun"/>
          <w:color w:val="000000"/>
          <w:shd w:val="clear" w:color="auto" w:fill="FFFFFF"/>
        </w:rPr>
        <w:t xml:space="preserve"> of animals for proper forage utilization.  The </w:t>
      </w:r>
      <w:r w:rsidR="00DE04A7">
        <w:rPr>
          <w:rStyle w:val="normaltextrun"/>
          <w:color w:val="000000"/>
          <w:shd w:val="clear" w:color="auto" w:fill="FFFFFF"/>
        </w:rPr>
        <w:t xml:space="preserve">potential </w:t>
      </w:r>
      <w:r w:rsidR="00195EAE">
        <w:rPr>
          <w:rStyle w:val="normaltextrun"/>
          <w:color w:val="000000"/>
          <w:shd w:val="clear" w:color="auto" w:fill="FFFFFF"/>
        </w:rPr>
        <w:t xml:space="preserve">full </w:t>
      </w:r>
      <w:r w:rsidR="00DE04A7">
        <w:rPr>
          <w:rStyle w:val="normaltextrun"/>
          <w:color w:val="000000"/>
          <w:shd w:val="clear" w:color="auto" w:fill="FFFFFF"/>
        </w:rPr>
        <w:t xml:space="preserve">development of </w:t>
      </w:r>
      <w:r w:rsidR="00444469">
        <w:rPr>
          <w:rStyle w:val="normaltextrun"/>
          <w:color w:val="000000"/>
          <w:shd w:val="clear" w:color="auto" w:fill="FFFFFF"/>
        </w:rPr>
        <w:t xml:space="preserve">the parcel </w:t>
      </w:r>
      <w:r w:rsidR="00195EAE">
        <w:rPr>
          <w:rStyle w:val="normaltextrun"/>
          <w:color w:val="000000"/>
          <w:shd w:val="clear" w:color="auto" w:fill="FFFFFF"/>
        </w:rPr>
        <w:t xml:space="preserve">with access </w:t>
      </w:r>
      <w:r w:rsidR="00FF3D0D">
        <w:rPr>
          <w:rStyle w:val="normaltextrun"/>
          <w:color w:val="000000"/>
          <w:shd w:val="clear" w:color="auto" w:fill="FFFFFF"/>
        </w:rPr>
        <w:t>from th</w:t>
      </w:r>
      <w:r w:rsidR="00C27730">
        <w:rPr>
          <w:rStyle w:val="normaltextrun"/>
          <w:color w:val="000000"/>
          <w:shd w:val="clear" w:color="auto" w:fill="FFFFFF"/>
        </w:rPr>
        <w:t>e Split Mountain allotment,</w:t>
      </w:r>
      <w:r w:rsidR="00444469">
        <w:rPr>
          <w:rStyle w:val="normaltextrun"/>
          <w:color w:val="000000"/>
          <w:shd w:val="clear" w:color="auto" w:fill="FFFFFF"/>
        </w:rPr>
        <w:t xml:space="preserve"> </w:t>
      </w:r>
      <w:r w:rsidR="005E3C8F">
        <w:rPr>
          <w:rStyle w:val="normaltextrun"/>
          <w:color w:val="000000"/>
          <w:shd w:val="clear" w:color="auto" w:fill="FFFFFF"/>
        </w:rPr>
        <w:t xml:space="preserve">may affect the functionality of </w:t>
      </w:r>
      <w:r w:rsidR="00444469">
        <w:rPr>
          <w:rStyle w:val="normaltextrun"/>
          <w:color w:val="000000"/>
          <w:shd w:val="clear" w:color="auto" w:fill="FFFFFF"/>
        </w:rPr>
        <w:t xml:space="preserve">the </w:t>
      </w:r>
      <w:r w:rsidR="005E3C8F">
        <w:rPr>
          <w:rStyle w:val="normaltextrun"/>
          <w:color w:val="000000"/>
          <w:shd w:val="clear" w:color="auto" w:fill="FFFFFF"/>
        </w:rPr>
        <w:t>water impoundment</w:t>
      </w:r>
      <w:r w:rsidR="00E01913">
        <w:rPr>
          <w:rStyle w:val="normaltextrun"/>
          <w:color w:val="000000"/>
          <w:shd w:val="clear" w:color="auto" w:fill="FFFFFF"/>
        </w:rPr>
        <w:t>; t</w:t>
      </w:r>
      <w:r w:rsidR="00430FEA">
        <w:rPr>
          <w:rStyle w:val="normaltextrun"/>
          <w:color w:val="000000"/>
          <w:shd w:val="clear" w:color="auto" w:fill="FFFFFF"/>
        </w:rPr>
        <w:t xml:space="preserve">his would be addressed at the </w:t>
      </w:r>
      <w:r w:rsidR="003776FB">
        <w:rPr>
          <w:rStyle w:val="normaltextrun"/>
          <w:color w:val="000000"/>
          <w:shd w:val="clear" w:color="auto" w:fill="FFFFFF"/>
        </w:rPr>
        <w:t>site-specific</w:t>
      </w:r>
      <w:r w:rsidR="00430FEA">
        <w:rPr>
          <w:rStyle w:val="normaltextrun"/>
          <w:color w:val="000000"/>
          <w:shd w:val="clear" w:color="auto" w:fill="FFFFFF"/>
        </w:rPr>
        <w:t xml:space="preserve"> scale to address any potential APD and/or </w:t>
      </w:r>
      <w:r w:rsidR="002D591E">
        <w:rPr>
          <w:rStyle w:val="normaltextrun"/>
          <w:color w:val="000000"/>
          <w:shd w:val="clear" w:color="auto" w:fill="FFFFFF"/>
        </w:rPr>
        <w:t>Right of Way (</w:t>
      </w:r>
      <w:r w:rsidR="00430FEA">
        <w:rPr>
          <w:rStyle w:val="normaltextrun"/>
          <w:color w:val="000000"/>
          <w:shd w:val="clear" w:color="auto" w:fill="FFFFFF"/>
        </w:rPr>
        <w:t>ROW</w:t>
      </w:r>
      <w:r w:rsidR="002D591E">
        <w:rPr>
          <w:rStyle w:val="normaltextrun"/>
          <w:color w:val="000000"/>
          <w:shd w:val="clear" w:color="auto" w:fill="FFFFFF"/>
        </w:rPr>
        <w:t>)</w:t>
      </w:r>
      <w:r w:rsidR="00430FEA">
        <w:rPr>
          <w:rStyle w:val="normaltextrun"/>
          <w:color w:val="000000"/>
          <w:shd w:val="clear" w:color="auto" w:fill="FFFFFF"/>
        </w:rPr>
        <w:t xml:space="preserve"> request.</w:t>
      </w:r>
    </w:p>
    <w:p w14:paraId="234721FC" w14:textId="23D9BB62" w:rsidR="00727C29" w:rsidRDefault="00EC29CB" w:rsidP="009B007C">
      <w:pPr>
        <w:pStyle w:val="BodyText"/>
        <w:rPr>
          <w:rStyle w:val="eop"/>
          <w:color w:val="000000"/>
          <w:shd w:val="clear" w:color="auto" w:fill="FFFFFF"/>
        </w:rPr>
      </w:pPr>
      <w:r>
        <w:rPr>
          <w:rStyle w:val="normaltextrun"/>
          <w:color w:val="000000"/>
          <w:shd w:val="clear" w:color="auto" w:fill="FFFFFF"/>
        </w:rPr>
        <w:t>Reasonably foreseeable cumulative actions within the</w:t>
      </w:r>
      <w:r w:rsidR="00475EEE">
        <w:rPr>
          <w:rStyle w:val="normaltextrun"/>
          <w:color w:val="000000"/>
          <w:shd w:val="clear" w:color="auto" w:fill="FFFFFF"/>
        </w:rPr>
        <w:t xml:space="preserve"> parcels </w:t>
      </w:r>
      <w:r w:rsidR="005622E9">
        <w:rPr>
          <w:rStyle w:val="normaltextrun"/>
          <w:color w:val="000000"/>
          <w:shd w:val="clear" w:color="auto" w:fill="FFFFFF"/>
        </w:rPr>
        <w:t>proposed for leasing would result in an estimated</w:t>
      </w:r>
      <w:r w:rsidR="00093999">
        <w:rPr>
          <w:rStyle w:val="normaltextrun"/>
          <w:color w:val="000000"/>
          <w:shd w:val="clear" w:color="auto" w:fill="FFFFFF"/>
        </w:rPr>
        <w:t xml:space="preserve"> 20 </w:t>
      </w:r>
      <w:r w:rsidR="005622E9">
        <w:rPr>
          <w:rStyle w:val="normaltextrun"/>
          <w:color w:val="000000"/>
          <w:shd w:val="clear" w:color="auto" w:fill="FFFFFF"/>
        </w:rPr>
        <w:t>acres</w:t>
      </w:r>
      <w:r w:rsidR="00093999">
        <w:rPr>
          <w:rStyle w:val="normaltextrun"/>
          <w:color w:val="000000"/>
          <w:shd w:val="clear" w:color="auto" w:fill="FFFFFF"/>
        </w:rPr>
        <w:t xml:space="preserve"> (Table 5)</w:t>
      </w:r>
      <w:r w:rsidR="005622E9">
        <w:rPr>
          <w:rStyle w:val="normaltextrun"/>
          <w:color w:val="000000"/>
          <w:shd w:val="clear" w:color="auto" w:fill="FFFFFF"/>
        </w:rPr>
        <w:t xml:space="preserve"> of new surface disturbance on the Split Mountain allotment.</w:t>
      </w:r>
      <w:r w:rsidR="00093999">
        <w:rPr>
          <w:rStyle w:val="normaltextrun"/>
          <w:color w:val="000000"/>
          <w:shd w:val="clear" w:color="auto" w:fill="FFFFFF"/>
        </w:rPr>
        <w:t xml:space="preserve"> F</w:t>
      </w:r>
      <w:r w:rsidR="00ED6C70">
        <w:rPr>
          <w:rStyle w:val="normaltextrun"/>
          <w:color w:val="000000"/>
          <w:shd w:val="clear" w:color="auto" w:fill="FFFFFF"/>
        </w:rPr>
        <w:t xml:space="preserve">ragmentation of the allotment from the proposed action may affect forage availability; however, permitted readjustments occur through a separate process (NEPA and Decision Records). Rangeland Health Evaluation have not been assessed for more than 10 years for </w:t>
      </w:r>
      <w:r w:rsidR="00C608E9">
        <w:rPr>
          <w:rStyle w:val="normaltextrun"/>
          <w:color w:val="000000"/>
          <w:shd w:val="clear" w:color="auto" w:fill="FFFFFF"/>
        </w:rPr>
        <w:t xml:space="preserve">this </w:t>
      </w:r>
      <w:r w:rsidR="00ED6C70">
        <w:rPr>
          <w:rStyle w:val="normaltextrun"/>
          <w:color w:val="000000"/>
          <w:shd w:val="clear" w:color="auto" w:fill="FFFFFF"/>
        </w:rPr>
        <w:t xml:space="preserve">allotment.  The evaluation of </w:t>
      </w:r>
      <w:r w:rsidR="00C608E9">
        <w:rPr>
          <w:rStyle w:val="normaltextrun"/>
          <w:color w:val="000000"/>
          <w:shd w:val="clear" w:color="auto" w:fill="FFFFFF"/>
        </w:rPr>
        <w:t>rangeland health</w:t>
      </w:r>
      <w:r w:rsidR="00ED6C70">
        <w:rPr>
          <w:rStyle w:val="normaltextrun"/>
          <w:color w:val="000000"/>
          <w:shd w:val="clear" w:color="auto" w:fill="FFFFFF"/>
        </w:rPr>
        <w:t xml:space="preserve"> for attainment of </w:t>
      </w:r>
      <w:r w:rsidR="00ED6C70" w:rsidRPr="0016768B">
        <w:rPr>
          <w:rStyle w:val="normaltextrun"/>
          <w:i/>
          <w:iCs/>
          <w:color w:val="000000"/>
          <w:shd w:val="clear" w:color="auto" w:fill="FFFFFF"/>
        </w:rPr>
        <w:t>Standards</w:t>
      </w:r>
      <w:r w:rsidR="00ED6C70">
        <w:rPr>
          <w:rStyle w:val="normaltextrun"/>
          <w:color w:val="000000"/>
          <w:shd w:val="clear" w:color="auto" w:fill="FFFFFF"/>
        </w:rPr>
        <w:t xml:space="preserve"> per 43 CFR 4180 regulations is a separate action and facilitated most often through the permit renewal process. Therefore, it is not within the scope and scale of this project analysis.</w:t>
      </w:r>
      <w:r w:rsidR="00ED6C70">
        <w:rPr>
          <w:rStyle w:val="eop"/>
          <w:color w:val="000000"/>
          <w:shd w:val="clear" w:color="auto" w:fill="FFFFFF"/>
        </w:rPr>
        <w:t> </w:t>
      </w:r>
      <w:r w:rsidR="00E6664C">
        <w:rPr>
          <w:rStyle w:val="eop"/>
          <w:color w:val="000000"/>
          <w:shd w:val="clear" w:color="auto" w:fill="FFFFFF"/>
        </w:rPr>
        <w:t xml:space="preserve">Reclamation </w:t>
      </w:r>
      <w:r w:rsidR="00853886">
        <w:rPr>
          <w:rStyle w:val="eop"/>
          <w:color w:val="000000"/>
          <w:shd w:val="clear" w:color="auto" w:fill="FFFFFF"/>
        </w:rPr>
        <w:t>actions of disturbed areas within th</w:t>
      </w:r>
      <w:r w:rsidR="00D81326">
        <w:rPr>
          <w:rStyle w:val="eop"/>
          <w:color w:val="000000"/>
          <w:shd w:val="clear" w:color="auto" w:fill="FFFFFF"/>
        </w:rPr>
        <w:t>e allotment</w:t>
      </w:r>
      <w:r w:rsidR="00D90DD1">
        <w:rPr>
          <w:rStyle w:val="eop"/>
          <w:color w:val="000000"/>
          <w:shd w:val="clear" w:color="auto" w:fill="FFFFFF"/>
        </w:rPr>
        <w:t xml:space="preserve"> may offset </w:t>
      </w:r>
      <w:r w:rsidR="00FD03F1">
        <w:rPr>
          <w:rStyle w:val="eop"/>
          <w:color w:val="000000"/>
          <w:shd w:val="clear" w:color="auto" w:fill="FFFFFF"/>
        </w:rPr>
        <w:t xml:space="preserve">potential impacts on </w:t>
      </w:r>
      <w:r w:rsidR="0047678F">
        <w:rPr>
          <w:rStyle w:val="eop"/>
          <w:color w:val="000000"/>
          <w:shd w:val="clear" w:color="auto" w:fill="FFFFFF"/>
        </w:rPr>
        <w:t xml:space="preserve">allotment fragmentation and </w:t>
      </w:r>
      <w:r w:rsidR="00FD03F1">
        <w:rPr>
          <w:rStyle w:val="eop"/>
          <w:color w:val="000000"/>
          <w:shd w:val="clear" w:color="auto" w:fill="FFFFFF"/>
        </w:rPr>
        <w:t>forage available for livestock</w:t>
      </w:r>
      <w:r w:rsidR="0047678F">
        <w:rPr>
          <w:rStyle w:val="eop"/>
          <w:color w:val="000000"/>
          <w:shd w:val="clear" w:color="auto" w:fill="FFFFFF"/>
        </w:rPr>
        <w:t>.</w:t>
      </w:r>
    </w:p>
    <w:p w14:paraId="04511ECC" w14:textId="77777777" w:rsidR="00874332" w:rsidRDefault="00874332" w:rsidP="009B007C">
      <w:pPr>
        <w:pStyle w:val="BodyText"/>
      </w:pPr>
    </w:p>
    <w:p w14:paraId="0C0D5134" w14:textId="654580CE" w:rsidR="004A2C35" w:rsidRDefault="002D682D" w:rsidP="00F87532">
      <w:pPr>
        <w:pStyle w:val="AIBChapter3"/>
        <w:rPr>
          <w:rFonts w:hint="eastAsia"/>
        </w:rPr>
      </w:pPr>
      <w:bookmarkStart w:id="195" w:name="_Toc179464261"/>
      <w:bookmarkStart w:id="196" w:name="_Toc170114916"/>
      <w:r w:rsidRPr="007D0359">
        <w:t>Mineral Resources and Energy Production</w:t>
      </w:r>
      <w:bookmarkEnd w:id="195"/>
      <w:bookmarkEnd w:id="196"/>
    </w:p>
    <w:p w14:paraId="76C02214" w14:textId="30116291" w:rsidR="007052F7" w:rsidRPr="0050637F" w:rsidRDefault="002D682D" w:rsidP="00B0463E">
      <w:pPr>
        <w:rPr>
          <w:b/>
        </w:rPr>
      </w:pPr>
      <w:r w:rsidRPr="00A16EE1">
        <w:rPr>
          <w:b/>
        </w:rPr>
        <w:t>How would potential development o</w:t>
      </w:r>
      <w:r w:rsidR="00834F38" w:rsidRPr="0050637F">
        <w:rPr>
          <w:b/>
        </w:rPr>
        <w:t>f</w:t>
      </w:r>
      <w:r w:rsidRPr="0050637F">
        <w:rPr>
          <w:b/>
        </w:rPr>
        <w:t xml:space="preserve"> the nominated lease parcels impact mineral resources and energy production?</w:t>
      </w:r>
    </w:p>
    <w:p w14:paraId="61772BA5" w14:textId="3359F8B4" w:rsidR="007052F7" w:rsidRDefault="009A4B65" w:rsidP="008A2DC5">
      <w:pPr>
        <w:pStyle w:val="BodyText"/>
      </w:pPr>
      <w:r w:rsidRPr="009A4B65">
        <w:t xml:space="preserve">There are currently </w:t>
      </w:r>
      <w:r w:rsidR="00E03037">
        <w:t>1,</w:t>
      </w:r>
      <w:r w:rsidR="00897EB8">
        <w:t>168</w:t>
      </w:r>
      <w:r w:rsidR="00535F5C">
        <w:t>,221</w:t>
      </w:r>
      <w:r w:rsidRPr="009A4B65">
        <w:t xml:space="preserve"> acres leased within the BLM </w:t>
      </w:r>
      <w:r w:rsidR="00EC4C4D">
        <w:t>VF</w:t>
      </w:r>
      <w:r w:rsidRPr="009A4B65">
        <w:t xml:space="preserve">O. Current annual production within </w:t>
      </w:r>
      <w:r w:rsidR="003C5C50">
        <w:t>VFO</w:t>
      </w:r>
      <w:r w:rsidRPr="009A4B65">
        <w:t xml:space="preserve"> area is estimated to be </w:t>
      </w:r>
      <w:r w:rsidR="00FB4640">
        <w:t>8,944,611</w:t>
      </w:r>
      <w:r w:rsidRPr="009A4B65">
        <w:t xml:space="preserve"> </w:t>
      </w:r>
      <w:proofErr w:type="spellStart"/>
      <w:r w:rsidRPr="009A4B65">
        <w:t>bbl</w:t>
      </w:r>
      <w:proofErr w:type="spellEnd"/>
      <w:r w:rsidRPr="009A4B65">
        <w:t xml:space="preserve"> of oil and </w:t>
      </w:r>
      <w:r w:rsidR="00475BF0">
        <w:t>43,488,525</w:t>
      </w:r>
      <w:r w:rsidRPr="009A4B65">
        <w:t xml:space="preserve"> mcf of gas </w:t>
      </w:r>
      <w:r w:rsidRPr="009330FB">
        <w:rPr>
          <w:highlight w:val="yellow"/>
        </w:rPr>
        <w:t>(</w:t>
      </w:r>
      <w:r w:rsidR="00EC4C4D" w:rsidRPr="009330FB">
        <w:rPr>
          <w:highlight w:val="yellow"/>
        </w:rPr>
        <w:t>CITE</w:t>
      </w:r>
      <w:r w:rsidRPr="009330FB">
        <w:rPr>
          <w:highlight w:val="yellow"/>
        </w:rPr>
        <w:t>).</w:t>
      </w:r>
      <w:r w:rsidRPr="009A4B65">
        <w:t xml:space="preserve"> </w:t>
      </w:r>
      <w:r w:rsidR="003D3F4F">
        <w:t>The two lease parcels cover all acres of the previously terminated leases (UTU88053 encompassing 632.08 acres and UTU82701 encompassing 201.2 acres) that terminated within their 10-year primary term. Lease UTU88053 was issued on March 1, 2011, and expired on Feb. 28, 2021. Lease UTU82701 that was segregated out of UTU80636 on Feb. 16, 2005, and expired on Dec. 17, 2016. The entirety of the acreage of these terminated leases were re-nominated for lease by Topaz Energy Resources. Lease parcel 1551 covers acreage of previously terminated lease UTU88053 which had development in 1985 and 2012. A well was drilled in 1985, was a dry hole and immediately plugged (Horseshoe Bend Fed 21-4, API 43-047-31671), and in 2012 another oil well was drilled by Anschutz Exploration Corporation in 2012, produced for a short period and plugged in 2021 (HSB Fed 22-04, API 43-047-51790).</w:t>
      </w:r>
      <w:r w:rsidR="008D7D63">
        <w:t xml:space="preserve"> </w:t>
      </w:r>
      <w:r w:rsidRPr="009A4B65">
        <w:t xml:space="preserve">Reasonably foreseeable cumulative actions (which includes the RFD scenarios for </w:t>
      </w:r>
      <w:r w:rsidR="00EC4C4D">
        <w:t>VF</w:t>
      </w:r>
      <w:r w:rsidRPr="009A4B65">
        <w:t xml:space="preserve">O) would result in potential for </w:t>
      </w:r>
      <w:r w:rsidRPr="009A4B65">
        <w:lastRenderedPageBreak/>
        <w:t xml:space="preserve">development of </w:t>
      </w:r>
      <w:r w:rsidR="00E01727">
        <w:t xml:space="preserve">20 </w:t>
      </w:r>
      <w:r w:rsidRPr="009A4B65">
        <w:t xml:space="preserve">wells in addition to other mineral development. As with the potential development of the nominated lease parcels, development of the RFD scenario is consistent with laws mandating development of mineral resources on public lands. Oil and gas development associated with reasonably foreseeable cumulative actions, including development of the nominated lease parcels, is consistent with various laws, including FLPMA (43 U.S.C. § 1701 et seq.), that mandate that the BLM administer the exploration and development of these mineral resources on public lands for the benefit of the citizens of the United States. </w:t>
      </w:r>
      <w:r w:rsidR="00CE0C47">
        <w:t>P</w:t>
      </w:r>
      <w:r w:rsidRPr="009A4B65">
        <w:t xml:space="preserve">otential development of the nominated lease parcels would include </w:t>
      </w:r>
      <w:r w:rsidR="00CE0C47">
        <w:t>20</w:t>
      </w:r>
      <w:r w:rsidRPr="009A4B65">
        <w:t xml:space="preserve"> acres of surface disturbance and would add </w:t>
      </w:r>
      <w:r w:rsidR="00DB0818">
        <w:t>833.28</w:t>
      </w:r>
      <w:r w:rsidRPr="009A4B65">
        <w:t xml:space="preserve"> acres (</w:t>
      </w:r>
      <w:r w:rsidR="004C4F1D">
        <w:t>0.</w:t>
      </w:r>
      <w:r w:rsidR="00C47438">
        <w:t>004</w:t>
      </w:r>
      <w:r w:rsidRPr="009A4B65">
        <w:t xml:space="preserve">% increase) to the total amount of the </w:t>
      </w:r>
      <w:r w:rsidR="000043FF">
        <w:t>1,1</w:t>
      </w:r>
      <w:r w:rsidR="00B92F99">
        <w:t>68,221</w:t>
      </w:r>
      <w:r w:rsidRPr="009A4B65">
        <w:t xml:space="preserve">-million-acre </w:t>
      </w:r>
      <w:r w:rsidR="00CE0C47">
        <w:t>VF</w:t>
      </w:r>
      <w:r w:rsidRPr="009A4B65">
        <w:t xml:space="preserve">O that is leased. The total future estimated production from the nominated lease parcels is </w:t>
      </w:r>
      <w:r w:rsidR="00103427">
        <w:t>5,000</w:t>
      </w:r>
      <w:r w:rsidRPr="009A4B65">
        <w:t xml:space="preserve"> </w:t>
      </w:r>
      <w:proofErr w:type="spellStart"/>
      <w:r w:rsidRPr="009A4B65">
        <w:t>bbl</w:t>
      </w:r>
      <w:proofErr w:type="spellEnd"/>
      <w:r w:rsidRPr="009A4B65">
        <w:t xml:space="preserve"> of oil and </w:t>
      </w:r>
      <w:r w:rsidR="002C4D6E">
        <w:t>5</w:t>
      </w:r>
      <w:r w:rsidR="00C600E6">
        <w:t>,000,000</w:t>
      </w:r>
      <w:r w:rsidRPr="009A4B65">
        <w:t xml:space="preserve"> mcf of gas (see Table </w:t>
      </w:r>
      <w:r w:rsidR="006C23AA">
        <w:t>6</w:t>
      </w:r>
      <w:r w:rsidRPr="009A4B65">
        <w:t xml:space="preserve">) and would contribute an additional </w:t>
      </w:r>
      <w:r w:rsidR="009102C9">
        <w:t>.055</w:t>
      </w:r>
      <w:r w:rsidRPr="009A4B65">
        <w:t xml:space="preserve">% oil and </w:t>
      </w:r>
      <w:r w:rsidR="003C6103">
        <w:t>12</w:t>
      </w:r>
      <w:r w:rsidRPr="009A4B65">
        <w:t xml:space="preserve">% gas production within the </w:t>
      </w:r>
      <w:r w:rsidR="00295441">
        <w:t>VFO</w:t>
      </w:r>
      <w:r w:rsidRPr="009A4B65">
        <w:t xml:space="preserve">. </w:t>
      </w:r>
      <w:r w:rsidR="00295441">
        <w:t>P</w:t>
      </w:r>
      <w:r w:rsidRPr="009A4B65">
        <w:t>otential development of the nominated lease parcels (</w:t>
      </w:r>
      <w:r w:rsidR="00295441">
        <w:t>20</w:t>
      </w:r>
      <w:r w:rsidRPr="009A4B65">
        <w:t xml:space="preserve"> wells) would comprise </w:t>
      </w:r>
      <w:r w:rsidR="00846922">
        <w:t>1.1</w:t>
      </w:r>
      <w:r w:rsidRPr="009A4B65">
        <w:t>% of all past and reasonably foreseeable future oil and gas development (</w:t>
      </w:r>
      <w:r w:rsidR="00154AAF">
        <w:t>0</w:t>
      </w:r>
      <w:r w:rsidR="00711ABC">
        <w:t>%</w:t>
      </w:r>
      <w:r w:rsidRPr="009A4B65">
        <w:t xml:space="preserve"> wells) and depending on the success of oil and gas well drilling, non-renewable natural gas and/or oil would be extracted and delivered to market.</w:t>
      </w:r>
    </w:p>
    <w:p w14:paraId="2AD710EC" w14:textId="77777777" w:rsidR="00874332" w:rsidRDefault="00874332" w:rsidP="008A2DC5">
      <w:pPr>
        <w:pStyle w:val="BodyText"/>
      </w:pPr>
    </w:p>
    <w:p w14:paraId="03A49079" w14:textId="5F44F146" w:rsidR="007052F7" w:rsidRDefault="002D682D" w:rsidP="007D0073">
      <w:pPr>
        <w:pStyle w:val="AIBChapter3"/>
        <w:rPr>
          <w:rFonts w:hint="eastAsia"/>
        </w:rPr>
      </w:pPr>
      <w:bookmarkStart w:id="197" w:name="_Toc179464262"/>
      <w:bookmarkStart w:id="198" w:name="_Toc170114917"/>
      <w:r>
        <w:t>Socioeconomics</w:t>
      </w:r>
      <w:bookmarkEnd w:id="197"/>
      <w:bookmarkEnd w:id="198"/>
    </w:p>
    <w:p w14:paraId="70943F8F" w14:textId="77777777" w:rsidR="00A56C17" w:rsidRPr="00CD735A" w:rsidRDefault="002D682D" w:rsidP="00016396">
      <w:pPr>
        <w:rPr>
          <w:b/>
          <w:bCs/>
        </w:rPr>
      </w:pPr>
      <w:r w:rsidRPr="0050637F">
        <w:rPr>
          <w:b/>
        </w:rPr>
        <w:t>How would potential development of the nominated lease parcels affect socioeconomics, including quality-of-life?</w:t>
      </w:r>
      <w:r w:rsidR="002D3A78" w:rsidRPr="0050637F">
        <w:rPr>
          <w:b/>
        </w:rPr>
        <w:t xml:space="preserve"> </w:t>
      </w:r>
    </w:p>
    <w:p w14:paraId="36CCC3A5" w14:textId="1D5F6AE3" w:rsidR="00834F38" w:rsidRPr="00834F38" w:rsidRDefault="2B5EA7F7" w:rsidP="00834F38">
      <w:pPr>
        <w:pStyle w:val="BodyText"/>
      </w:pPr>
      <w:r>
        <w:t>The study area includes Uintah County in the State of Utah, which encompasses 2,882,592 acres. Because socioeconomic (SE) data are typically available at the county level, county boundaries are used to define the SE study area. Data were obtained from the U.S. Department of Labor, the Bureau of Labor Statistics, local area unemployment statistics, the U.S. Department of Commerce, and the Census Bureau, as compiled by the Headwaters Economics Socioeconomic Profiles Tool developed for the BLM (BLM, 2023).</w:t>
      </w:r>
    </w:p>
    <w:p w14:paraId="72D4783C" w14:textId="09910EFE" w:rsidR="00834F38" w:rsidRPr="00834F38" w:rsidRDefault="2B5EA7F7" w:rsidP="008A2DC5">
      <w:pPr>
        <w:pStyle w:val="BodyText"/>
      </w:pPr>
      <w:r>
        <w:t>Of the total study area, 1,677,915 acres – 58.2 percent of the total – are federally owned lands, and 1,347,482 of those acres are managed by BLM. 507,201 acres within the study area are privately owned, 426,229 are Tribal lands, and 271,255 are owned by state, county, city, or other non-federal agencies. The</w:t>
      </w:r>
      <w:r w:rsidR="005D4921">
        <w:t xml:space="preserve"> </w:t>
      </w:r>
      <w:r>
        <w:t>total population in the study area was 37,141 in 2022, representing an increase of 14.5 percent from 2010 to 2022. The largest contributor to this change in total population was natural change. The number of employed workers in the study area in 2022 was 19,510. In 2022, the average annual unemployment rate was 3.6 percent. In 2022, 87 percent of workers aged 16 and over within the study area worked in their county of residence. Per capita income in the study area in 2022 was $37,958.</w:t>
      </w:r>
    </w:p>
    <w:p w14:paraId="1AC05409" w14:textId="5856CD5A" w:rsidR="00834F38" w:rsidRPr="00834F38" w:rsidRDefault="2B5EA7F7" w:rsidP="008A2DC5">
      <w:pPr>
        <w:pStyle w:val="BodyText"/>
      </w:pPr>
      <w:r>
        <w:t>In 2022, the total number of people living in poverty, as defined by the U.S. Census Bureau, was 11.6 percent of the population. Out of all persons living within the study area in 2022, 7,205, or 20 percent, self-identified as being a member of a minority group. Of those, 2,209, or 6.1 percent of the total population, self-identified as American Indians. The total number of housing units was 13,689 of which</w:t>
      </w:r>
      <w:r w:rsidR="00F573CC">
        <w:t xml:space="preserve"> </w:t>
      </w:r>
      <w:r>
        <w:t>84.4 percent were occupied</w:t>
      </w:r>
      <w:r w:rsidR="38BCDFD4">
        <w:t>,</w:t>
      </w:r>
      <w:r>
        <w:t xml:space="preserve"> and 1.8 percent were seasonal, recreational, or occasionally occupied properties. Of those living within the study area aged 25 or older, 18 percent had earned a bachelor’s degree or higher in 2022. In 2022, there were approximately 5,127 total jobs in non-services industries in the study area. In the same year there were approximately 11,158 jobs in services related industries, and there approximately 3,225 jobs in the government sector. This total includes federal, state, county, and local government jobs. In 2022, the industries employing the largest numbers of employees in the study area were: government (primarily state, county, and local government); retail trade, and mining (including fossil fuels).</w:t>
      </w:r>
    </w:p>
    <w:p w14:paraId="7A340284" w14:textId="4910D536" w:rsidR="00834F38" w:rsidRPr="00834F38" w:rsidRDefault="2B5EA7F7" w:rsidP="008A2DC5">
      <w:pPr>
        <w:pStyle w:val="BodyText"/>
      </w:pPr>
      <w:r>
        <w:lastRenderedPageBreak/>
        <w:t xml:space="preserve">Within the study area, the average annual wage for all reported jobs was $48,166 in 2022. The highest paying industries, on average, were mining, financial activities, and construction. Non-labor income— which includes dividends, interest payments, rent, age-related transfer payments, hardship-related payments, and other transfer payments—can be important in local economies. Where non-labor income is a relatively high percentage of all income, it is likely that there are a higher number of retirees and/or families receiving assistance, in comparison to other regions. In 2022, total non-labor income within the study area represented 39 per cent of all income. The highest category of non-labor income was dividends, interest, and rent, at 16.2 per cent of total county income. In fiscal year 2019, a total of $4,235,474 (2023 dollars) was paid by federal land management agencies to state and local governments. Of those payments, $3,663,407 were Payments In Lieu of Taxes (PILT). </w:t>
      </w:r>
    </w:p>
    <w:p w14:paraId="55CECC33" w14:textId="7907D1CD" w:rsidR="00834F38" w:rsidRPr="00834F38" w:rsidRDefault="2B5EA7F7" w:rsidP="008A2DC5">
      <w:pPr>
        <w:pStyle w:val="BodyText"/>
      </w:pPr>
      <w:r>
        <w:t xml:space="preserve">The only direct impact of issuing new oil and gas leases on quantifiable market socioeconomic values within the analysis area would be generation of revenue from the lease sale, as the State of Utah retains approximately 49 percent of the proceeds. Revenues generated by royalties on production totaled $138.79 million in the county study area for calendar year 2022. (ONRR, 2023). Subsequent oil and gas exploration, development and production could affect the local economy in terms of additional jobs, </w:t>
      </w:r>
      <w:proofErr w:type="gramStart"/>
      <w:r>
        <w:t>income</w:t>
      </w:r>
      <w:proofErr w:type="gramEnd"/>
      <w:r>
        <w:t xml:space="preserve"> and tax revenues. Subsequent oil and gas exploration and development activities could include road and drill pad construction, which could be contracted to local contractors. Wells would typically be drilled over </w:t>
      </w:r>
      <w:proofErr w:type="gramStart"/>
      <w:r>
        <w:t>a period of time</w:t>
      </w:r>
      <w:proofErr w:type="gramEnd"/>
      <w:r>
        <w:t xml:space="preserve"> and not at the same time. Local businesses may realize increased revenue from the purchase of supplies, meals, rooms, etc. Local trucking and delivery companies may also benefit economically by transporting supplies, building materials and oil products.</w:t>
      </w:r>
    </w:p>
    <w:p w14:paraId="1BAAB355" w14:textId="69B92BD0" w:rsidR="00834F38" w:rsidRPr="00834F38" w:rsidRDefault="2B5EA7F7" w:rsidP="008A2DC5">
      <w:pPr>
        <w:pStyle w:val="BodyText"/>
      </w:pPr>
      <w:r>
        <w:t>Oil production from federal lands is subject to a 16.67 percent royalty payment to the federal government. Approximately 49 percent of that amount is provided to the state government, which then provides a portion to the county. Fiscal impacts could result from bonus bids (the amount paid at time of auction), annual rent fees (for 10 years regardless of activity on a leased parcel), and royalties (</w:t>
      </w:r>
      <w:proofErr w:type="gramStart"/>
      <w:r>
        <w:t>if and when</w:t>
      </w:r>
      <w:proofErr w:type="gramEnd"/>
      <w:r>
        <w:t xml:space="preserve"> production occurs). These may provide income to the county government for schools and other expenditures. The Proposed Action would not be expected to induce substantial growth or concentration of population, displace many people, cause a substantial reduction in employment, reduce wage and salary earnings, cause a substantial net increase in county expenditures, or create a substantial demand for public services. With a reduction in output from the oil and gas sector, converse effects would be expected to occur. Increased activity in oil and gas development and operations could have an impact on the demand for community services as well as having some effect on available housing and demand for goods and services within the affected county.</w:t>
      </w:r>
    </w:p>
    <w:p w14:paraId="0AF01890" w14:textId="54DAD6E6" w:rsidR="00834F38" w:rsidRPr="00834F38" w:rsidRDefault="2B5EA7F7" w:rsidP="008A2DC5">
      <w:pPr>
        <w:pStyle w:val="BodyText"/>
      </w:pPr>
      <w:r>
        <w:t>Under the Proposed Action, BLM would offer two parcels for lease, totaling 833 acres. In the 5.5 million-acres within the boundary of the VFO, there are approximately 1.9 million acres of federal mineral estate that are open to oil and gas leasing. Of these acres, 1,168,221 acres are already leased (62% of the federal mineral estate open to oil and gas leasing) across 1274 total leases. Total oil and gas employment in Uintah County totaled 1,823 employees in September 2023</w:t>
      </w:r>
      <w:sdt>
        <w:sdtPr>
          <w:id w:val="1017041310"/>
          <w:citation/>
        </w:sdtPr>
        <w:sdtContent>
          <w:r w:rsidR="00990A8D">
            <w:fldChar w:fldCharType="begin"/>
          </w:r>
          <w:r w:rsidR="00990A8D">
            <w:instrText xml:space="preserve"> CITATION BLS24 \l 1033 </w:instrText>
          </w:r>
          <w:r w:rsidR="00990A8D">
            <w:fldChar w:fldCharType="separate"/>
          </w:r>
          <w:r w:rsidR="0093463A">
            <w:rPr>
              <w:noProof/>
            </w:rPr>
            <w:t xml:space="preserve"> (BLS Bureau of Labor and Statistics, 2024)</w:t>
          </w:r>
          <w:r w:rsidR="00990A8D">
            <w:fldChar w:fldCharType="end"/>
          </w:r>
        </w:sdtContent>
      </w:sdt>
      <w:r>
        <w:t>. Given the number of employees relative to the acreage currently under lease, impacts even if the six parcels were eventually developed, would be very minor relative to the current level of activity in the county.</w:t>
      </w:r>
    </w:p>
    <w:p w14:paraId="4A687C48" w14:textId="4B156BDB" w:rsidR="00834F38" w:rsidRPr="00834F38" w:rsidRDefault="2B5EA7F7" w:rsidP="008A2DC5">
      <w:pPr>
        <w:pStyle w:val="BodyText"/>
      </w:pPr>
      <w:r>
        <w:t xml:space="preserve">Expansion of the oil and gas industry may be perceived as having a negative effect on quality-of-life considerations for people who value undeveloped landscapes, opportunities for isolation, and activities such as wildlife viewing, other forms of recreation, or rangeland management. The total landscape-level surface disturbance associated with reasonably foreseeable environmental trends and planned actions would include activities that generate increased human activity, traffic, noise, dust, odor, light pollution, and visual effects. These activities have the potential to affect quality of life of any existing nearby residences or facilities, depending on the intensity of development activities and proximity of structures to </w:t>
      </w:r>
      <w:r>
        <w:lastRenderedPageBreak/>
        <w:t>a given parcel. While the majority of these impacts to any significantly proximal residences or facilities would be short term and cease during operations (e.g., increased human activity, traffic, noise, dust, and odor during drilling and completion phases), residences may continue to experience long-term visual or other impacts that have potential to affect quality of life if they are located in areas in which oil and gas development is not currently nearby or visible.</w:t>
      </w:r>
    </w:p>
    <w:p w14:paraId="26D0A07D" w14:textId="318D94C3" w:rsidR="00660DD2" w:rsidRDefault="71A359F4" w:rsidP="00660DD2">
      <w:pPr>
        <w:pStyle w:val="BodyText"/>
      </w:pPr>
      <w:r>
        <w:t xml:space="preserve">Oil and gas </w:t>
      </w:r>
      <w:r w:rsidR="001869EB">
        <w:t>activity</w:t>
      </w:r>
      <w:r>
        <w:t xml:space="preserve"> is expected to continue at current </w:t>
      </w:r>
      <w:r w:rsidR="001869EB">
        <w:t>levels</w:t>
      </w:r>
      <w:r>
        <w:t xml:space="preserve"> for the foreseeable future.  As such, this activity will continue to impact the local econ</w:t>
      </w:r>
      <w:r w:rsidR="2197FAF7">
        <w:t xml:space="preserve">omy in </w:t>
      </w:r>
      <w:r w:rsidR="001869EB">
        <w:t>terms</w:t>
      </w:r>
      <w:r w:rsidR="2197FAF7">
        <w:t xml:space="preserve"> of economic and fi</w:t>
      </w:r>
      <w:r w:rsidR="6C4B9EDC">
        <w:t>s</w:t>
      </w:r>
      <w:r w:rsidR="2197FAF7">
        <w:t>cal effects.  Issues identified to qual</w:t>
      </w:r>
      <w:r w:rsidR="0F3D14D9">
        <w:t>i</w:t>
      </w:r>
      <w:r w:rsidR="2197FAF7">
        <w:t>ty of life will continue to be present.</w:t>
      </w:r>
    </w:p>
    <w:p w14:paraId="58B3EB6E" w14:textId="77777777" w:rsidR="003C6AA8" w:rsidRPr="00CA6114" w:rsidRDefault="003C6AA8" w:rsidP="00660DD2">
      <w:pPr>
        <w:pStyle w:val="BodyText"/>
      </w:pPr>
    </w:p>
    <w:p w14:paraId="59A65198" w14:textId="29B5DC6C" w:rsidR="002D682D" w:rsidRPr="00D94666" w:rsidRDefault="002D682D" w:rsidP="0013773E">
      <w:pPr>
        <w:pStyle w:val="AIBChapter3"/>
        <w:rPr>
          <w:rFonts w:hint="eastAsia"/>
        </w:rPr>
      </w:pPr>
      <w:bookmarkStart w:id="199" w:name="_Toc163734212"/>
      <w:bookmarkStart w:id="200" w:name="_Toc179464263"/>
      <w:bookmarkStart w:id="201" w:name="_Toc170114918"/>
      <w:r>
        <w:t>Human Health and Safety</w:t>
      </w:r>
      <w:bookmarkEnd w:id="199"/>
      <w:bookmarkEnd w:id="200"/>
      <w:bookmarkEnd w:id="201"/>
    </w:p>
    <w:p w14:paraId="5DB66235" w14:textId="3180C0F9" w:rsidR="002D682D" w:rsidRPr="00D94666" w:rsidRDefault="002D682D" w:rsidP="00BF4009">
      <w:pPr>
        <w:pStyle w:val="BodyText"/>
        <w:keepNext/>
        <w:spacing w:before="0"/>
        <w:rPr>
          <w:b/>
          <w:bCs/>
        </w:rPr>
      </w:pPr>
      <w:r w:rsidRPr="009B2704">
        <w:rPr>
          <w:b/>
          <w:bCs/>
        </w:rPr>
        <w:t>How would potential development of the nominated lease parcels contribute risks to human</w:t>
      </w:r>
      <w:r>
        <w:rPr>
          <w:b/>
          <w:bCs/>
        </w:rPr>
        <w:t xml:space="preserve"> </w:t>
      </w:r>
      <w:r w:rsidRPr="009B2704">
        <w:rPr>
          <w:b/>
          <w:bCs/>
        </w:rPr>
        <w:t>health and safety concerns?</w:t>
      </w:r>
    </w:p>
    <w:p w14:paraId="042FD1AB" w14:textId="0CDEE762" w:rsidR="00E54BDF" w:rsidRPr="006743F6" w:rsidRDefault="00E54BDF" w:rsidP="00E54BDF">
      <w:pPr>
        <w:pStyle w:val="BodyText"/>
        <w:rPr>
          <w:color w:val="000000" w:themeColor="text1"/>
        </w:rPr>
      </w:pPr>
      <w:r w:rsidRPr="005D2ABD">
        <w:t xml:space="preserve">Within the </w:t>
      </w:r>
      <w:r w:rsidR="004C0DFC" w:rsidRPr="003479C5">
        <w:t>5.5</w:t>
      </w:r>
      <w:r w:rsidRPr="005D2ABD">
        <w:t xml:space="preserve"> million-acre </w:t>
      </w:r>
      <w:r w:rsidR="00935EAC" w:rsidRPr="003479C5">
        <w:t>VFO</w:t>
      </w:r>
      <w:r w:rsidRPr="003479C5">
        <w:t xml:space="preserve"> </w:t>
      </w:r>
      <w:r w:rsidR="00BB2527" w:rsidRPr="003479C5">
        <w:t>planning</w:t>
      </w:r>
      <w:r w:rsidRPr="005D2ABD">
        <w:t xml:space="preserve"> area encompassing </w:t>
      </w:r>
      <w:r w:rsidR="00E93CF5" w:rsidRPr="00E93CF5">
        <w:t xml:space="preserve">lands </w:t>
      </w:r>
      <w:r w:rsidR="00BD4BDA">
        <w:t xml:space="preserve">in </w:t>
      </w:r>
      <w:r w:rsidR="00E93CF5" w:rsidRPr="00E93CF5">
        <w:t>Daggett, Duchesne, and Uintah Counties</w:t>
      </w:r>
      <w:r>
        <w:t xml:space="preserve">, </w:t>
      </w:r>
      <w:r w:rsidRPr="00974542">
        <w:t xml:space="preserve">there are </w:t>
      </w:r>
      <w:r w:rsidR="00946DA6" w:rsidRPr="00974542">
        <w:t>11,362</w:t>
      </w:r>
      <w:r w:rsidRPr="00974542">
        <w:t xml:space="preserve"> existing active well bores of all well types across all land jurisdictions as of </w:t>
      </w:r>
      <w:r w:rsidR="00B06855" w:rsidRPr="00974542">
        <w:t>January 2024</w:t>
      </w:r>
      <w:r w:rsidR="00D27367">
        <w:t xml:space="preserve"> </w:t>
      </w:r>
      <w:sdt>
        <w:sdtPr>
          <w:id w:val="1670051613"/>
          <w:citation/>
        </w:sdtPr>
        <w:sdtContent>
          <w:r w:rsidR="000651A3">
            <w:fldChar w:fldCharType="begin"/>
          </w:r>
          <w:r w:rsidR="000651A3" w:rsidRPr="00635802">
            <w:rPr>
              <w:color w:val="000000" w:themeColor="text1"/>
            </w:rPr>
            <w:instrText xml:space="preserve"> CITATION UDO24 \l 1033 </w:instrText>
          </w:r>
          <w:r w:rsidR="000651A3">
            <w:fldChar w:fldCharType="separate"/>
          </w:r>
          <w:r w:rsidR="0093463A" w:rsidRPr="0093463A">
            <w:rPr>
              <w:noProof/>
              <w:color w:val="000000" w:themeColor="text1"/>
            </w:rPr>
            <w:t>(UDOGM, 2024)</w:t>
          </w:r>
          <w:r w:rsidR="000651A3">
            <w:fldChar w:fldCharType="end"/>
          </w:r>
        </w:sdtContent>
      </w:sdt>
      <w:r w:rsidRPr="00A62729">
        <w:rPr>
          <w:color w:val="000000" w:themeColor="text1"/>
        </w:rPr>
        <w:t>.</w:t>
      </w:r>
      <w:r w:rsidRPr="47319EE8">
        <w:rPr>
          <w:color w:val="000000" w:themeColor="text1"/>
        </w:rPr>
        <w:t xml:space="preserve"> This level of development has resulted in the following public health and safety–related risks: occasional fire starts; spills of hazardous materials, hydrocarbons, produced water, or hydraulic fracturing fluid (see Appendix </w:t>
      </w:r>
      <w:r w:rsidR="00957E6F">
        <w:rPr>
          <w:color w:val="000000" w:themeColor="text1"/>
        </w:rPr>
        <w:t>E</w:t>
      </w:r>
      <w:r w:rsidRPr="47319EE8">
        <w:rPr>
          <w:color w:val="000000" w:themeColor="text1"/>
        </w:rPr>
        <w:t xml:space="preserve">) and corresponding potential contamination of air, soil, or water; exposure to naturally occurring radioactive material (NORM) in drill cuttings or produced water (see Appendix </w:t>
      </w:r>
      <w:r w:rsidR="00957E6F">
        <w:rPr>
          <w:color w:val="000000" w:themeColor="text1"/>
        </w:rPr>
        <w:t>E</w:t>
      </w:r>
      <w:r w:rsidRPr="47319EE8">
        <w:rPr>
          <w:color w:val="000000" w:themeColor="text1"/>
        </w:rPr>
        <w:t xml:space="preserve">); traffic congestion and collisions from commercial vehicles and heavy use, especially along Highway </w:t>
      </w:r>
      <w:r w:rsidR="000A0B42">
        <w:rPr>
          <w:color w:val="000000" w:themeColor="text1"/>
        </w:rPr>
        <w:t>40</w:t>
      </w:r>
      <w:r w:rsidRPr="47319EE8">
        <w:rPr>
          <w:color w:val="000000" w:themeColor="text1"/>
        </w:rPr>
        <w:t>; infrequent industrial accidents; presence of hydrogen sulfide (H</w:t>
      </w:r>
      <w:r w:rsidRPr="47319EE8">
        <w:rPr>
          <w:color w:val="000000" w:themeColor="text1"/>
          <w:vertAlign w:val="subscript"/>
        </w:rPr>
        <w:t>2</w:t>
      </w:r>
      <w:r w:rsidRPr="47319EE8">
        <w:rPr>
          <w:color w:val="000000" w:themeColor="text1"/>
        </w:rPr>
        <w:t>S); or increased levels of fugitive dust (PM</w:t>
      </w:r>
      <w:r w:rsidRPr="00111240">
        <w:rPr>
          <w:color w:val="000000" w:themeColor="text1"/>
          <w:vertAlign w:val="subscript"/>
        </w:rPr>
        <w:t>10</w:t>
      </w:r>
      <w:r w:rsidRPr="47319EE8">
        <w:rPr>
          <w:color w:val="000000" w:themeColor="text1"/>
        </w:rPr>
        <w:t xml:space="preserve"> and PM</w:t>
      </w:r>
      <w:r w:rsidRPr="00111240">
        <w:rPr>
          <w:color w:val="000000" w:themeColor="text1"/>
          <w:vertAlign w:val="subscript"/>
        </w:rPr>
        <w:t>2.5</w:t>
      </w:r>
      <w:r w:rsidRPr="47319EE8">
        <w:rPr>
          <w:color w:val="000000" w:themeColor="text1"/>
        </w:rPr>
        <w:t>), other criteria air pollutants (CAPs), volatile organic compounds (VOCs), and hazardous air pollutants (HAPs). See the air quality analysis in Section 3.</w:t>
      </w:r>
      <w:r w:rsidR="00D34565">
        <w:rPr>
          <w:color w:val="000000" w:themeColor="text1"/>
        </w:rPr>
        <w:t>6</w:t>
      </w:r>
      <w:r w:rsidRPr="47319EE8">
        <w:rPr>
          <w:color w:val="000000" w:themeColor="text1"/>
        </w:rPr>
        <w:t>.1 (Air Quality) for projected levels of CAPs</w:t>
      </w:r>
      <w:r>
        <w:rPr>
          <w:color w:val="000000" w:themeColor="text1"/>
        </w:rPr>
        <w:t xml:space="preserve"> and</w:t>
      </w:r>
      <w:r w:rsidRPr="47319EE8">
        <w:rPr>
          <w:color w:val="000000" w:themeColor="text1"/>
        </w:rPr>
        <w:t xml:space="preserve"> HAPs</w:t>
      </w:r>
      <w:r w:rsidR="00D46A35">
        <w:rPr>
          <w:color w:val="000000" w:themeColor="text1"/>
        </w:rPr>
        <w:t>,</w:t>
      </w:r>
      <w:r w:rsidRPr="47319EE8">
        <w:rPr>
          <w:color w:val="000000" w:themeColor="text1"/>
        </w:rPr>
        <w:t xml:space="preserve"> </w:t>
      </w:r>
      <w:r w:rsidR="00A31867" w:rsidRPr="47319EE8">
        <w:rPr>
          <w:color w:val="000000" w:themeColor="text1"/>
        </w:rPr>
        <w:t>their effects on air quality</w:t>
      </w:r>
      <w:r w:rsidR="00A31867">
        <w:rPr>
          <w:color w:val="000000" w:themeColor="text1"/>
        </w:rPr>
        <w:t xml:space="preserve">, and the air quality notices and stipulations that </w:t>
      </w:r>
      <w:r w:rsidR="00336A70">
        <w:rPr>
          <w:color w:val="000000" w:themeColor="text1"/>
        </w:rPr>
        <w:t>may impact</w:t>
      </w:r>
      <w:r w:rsidR="00A31867">
        <w:rPr>
          <w:color w:val="000000" w:themeColor="text1"/>
        </w:rPr>
        <w:t xml:space="preserve"> human health and safety</w:t>
      </w:r>
      <w:r w:rsidR="00A31867" w:rsidRPr="47319EE8">
        <w:rPr>
          <w:color w:val="000000" w:themeColor="text1"/>
        </w:rPr>
        <w:t>.</w:t>
      </w:r>
    </w:p>
    <w:p w14:paraId="398B3150" w14:textId="73FD05D4" w:rsidR="00E54BDF" w:rsidRPr="006743F6" w:rsidRDefault="00E54BDF" w:rsidP="00E54BDF">
      <w:pPr>
        <w:pStyle w:val="BodyText"/>
      </w:pPr>
      <w:r w:rsidRPr="47319EE8">
        <w:t xml:space="preserve">HAPs are known or suspected to cause cancer or other serious health effects, such as compromises to immune and reproductive systems, birth defects, developmental disorders, or adverse environmental effects resulting from either chronic (long-term) and/or acute (short-term) exposure, and/or adverse environmental effects. Breathing </w:t>
      </w:r>
      <w:r>
        <w:t xml:space="preserve">ground-level </w:t>
      </w:r>
      <w:r w:rsidRPr="47319EE8">
        <w:t>ozone (O</w:t>
      </w:r>
      <w:r w:rsidRPr="47319EE8">
        <w:rPr>
          <w:vertAlign w:val="subscript"/>
        </w:rPr>
        <w:t>3</w:t>
      </w:r>
      <w:r w:rsidRPr="47319EE8">
        <w:t>) can trigger a variety of health problems, including coughing and sore or scratchy throat; difficulty breathing deeply and vigorously and pain when taking deep breaths; inflammation and damage to the airways; increased susceptibility to lung infections; aggravation of lung diseases such as asthma, emphysema, and chronic bronchitis; and an increase in the frequency of asthma attacks. Some of these effects have been found even in healthy people, but effects are more serious in people with lung diseases such as asthma. Particulate matter, also known as particle pollution or PM, is a complex mixture of extremely small particles and liquid droplets. Smaller particles</w:t>
      </w:r>
      <w:r>
        <w:t xml:space="preserve"> (PM2.5 or smaller) </w:t>
      </w:r>
      <w:r w:rsidRPr="47319EE8">
        <w:t xml:space="preserve">are associated with more negative health effects, including respiratory and cardiovascular problems, because they can become more deeply embedded in the lungs and may even get into the bloodstream. </w:t>
      </w:r>
    </w:p>
    <w:p w14:paraId="2BEF99A3" w14:textId="392B3B36" w:rsidR="00E54BDF" w:rsidRPr="006743F6" w:rsidRDefault="00E54BDF" w:rsidP="00E54BDF">
      <w:pPr>
        <w:pStyle w:val="BodyText"/>
      </w:pPr>
      <w:r w:rsidRPr="47319EE8">
        <w:t xml:space="preserve">The following </w:t>
      </w:r>
      <w:r w:rsidR="00D72F9B">
        <w:t>sources</w:t>
      </w:r>
      <w:r w:rsidRPr="47319EE8">
        <w:t xml:space="preserve"> provide additional information on air pollution health effects</w:t>
      </w:r>
      <w:r>
        <w:t xml:space="preserve"> from the six criteria air pollutants and HAPs:</w:t>
      </w:r>
    </w:p>
    <w:p w14:paraId="21E5D84F" w14:textId="3EC761C4" w:rsidR="00E54BDF" w:rsidRPr="00C54645" w:rsidRDefault="00E54BDF" w:rsidP="00E54BDF">
      <w:pPr>
        <w:pStyle w:val="Bullet1"/>
        <w:rPr>
          <w:color w:val="000000" w:themeColor="text1"/>
          <w:szCs w:val="22"/>
          <w:lang w:val="da-DK"/>
        </w:rPr>
      </w:pPr>
      <w:r w:rsidRPr="00C54645">
        <w:rPr>
          <w:color w:val="000000" w:themeColor="text1"/>
          <w:lang w:val="da-DK"/>
        </w:rPr>
        <w:t xml:space="preserve">Ozone </w:t>
      </w:r>
      <w:sdt>
        <w:sdtPr>
          <w:rPr>
            <w:color w:val="000000" w:themeColor="text1"/>
          </w:rPr>
          <w:id w:val="-1332221794"/>
          <w:citation/>
        </w:sdtPr>
        <w:sdtContent>
          <w:r w:rsidR="008003B0">
            <w:rPr>
              <w:color w:val="000000" w:themeColor="text1"/>
            </w:rPr>
            <w:fldChar w:fldCharType="begin"/>
          </w:r>
          <w:r w:rsidR="008003B0" w:rsidRPr="00C54645">
            <w:rPr>
              <w:color w:val="000000" w:themeColor="text1"/>
              <w:lang w:val="da-DK"/>
            </w:rPr>
            <w:instrText xml:space="preserve"> CITATION EPA23a \l 1033 </w:instrText>
          </w:r>
          <w:r w:rsidR="008003B0">
            <w:rPr>
              <w:color w:val="000000" w:themeColor="text1"/>
            </w:rPr>
            <w:fldChar w:fldCharType="separate"/>
          </w:r>
          <w:r w:rsidR="0093463A" w:rsidRPr="0093463A">
            <w:rPr>
              <w:noProof/>
              <w:color w:val="000000" w:themeColor="text1"/>
              <w:lang w:val="da-DK"/>
            </w:rPr>
            <w:t>(EPA, 2023a)</w:t>
          </w:r>
          <w:r w:rsidR="008003B0">
            <w:rPr>
              <w:color w:val="000000" w:themeColor="text1"/>
            </w:rPr>
            <w:fldChar w:fldCharType="end"/>
          </w:r>
        </w:sdtContent>
      </w:sdt>
    </w:p>
    <w:p w14:paraId="09A81D3A" w14:textId="2939D217" w:rsidR="00E54BDF" w:rsidRPr="006743F6" w:rsidRDefault="00E54BDF" w:rsidP="00E54BDF">
      <w:pPr>
        <w:pStyle w:val="Bullet1"/>
        <w:rPr>
          <w:color w:val="000000" w:themeColor="text1"/>
          <w:szCs w:val="22"/>
        </w:rPr>
      </w:pPr>
      <w:r w:rsidRPr="3288B755">
        <w:rPr>
          <w:color w:val="000000" w:themeColor="text1"/>
        </w:rPr>
        <w:t xml:space="preserve">Particulates </w:t>
      </w:r>
      <w:sdt>
        <w:sdtPr>
          <w:rPr>
            <w:color w:val="000000" w:themeColor="text1"/>
          </w:rPr>
          <w:id w:val="-1385177265"/>
          <w:citation/>
        </w:sdtPr>
        <w:sdtContent>
          <w:r w:rsidR="008003B0">
            <w:rPr>
              <w:color w:val="000000" w:themeColor="text1"/>
            </w:rPr>
            <w:fldChar w:fldCharType="begin"/>
          </w:r>
          <w:r w:rsidR="008003B0">
            <w:rPr>
              <w:color w:val="000000" w:themeColor="text1"/>
            </w:rPr>
            <w:instrText xml:space="preserve"> CITATION EPA3b \l 1033 </w:instrText>
          </w:r>
          <w:r w:rsidR="008003B0">
            <w:rPr>
              <w:color w:val="000000" w:themeColor="text1"/>
            </w:rPr>
            <w:fldChar w:fldCharType="separate"/>
          </w:r>
          <w:r w:rsidR="0093463A" w:rsidRPr="0093463A">
            <w:rPr>
              <w:noProof/>
              <w:color w:val="000000" w:themeColor="text1"/>
            </w:rPr>
            <w:t>(EPA, 2023b)</w:t>
          </w:r>
          <w:r w:rsidR="008003B0">
            <w:rPr>
              <w:color w:val="000000" w:themeColor="text1"/>
            </w:rPr>
            <w:fldChar w:fldCharType="end"/>
          </w:r>
        </w:sdtContent>
      </w:sdt>
      <w:r w:rsidRPr="47319EE8">
        <w:rPr>
          <w:color w:val="000000" w:themeColor="text1"/>
          <w:szCs w:val="22"/>
        </w:rPr>
        <w:t xml:space="preserve"> </w:t>
      </w:r>
    </w:p>
    <w:p w14:paraId="1175FB56" w14:textId="67970C41" w:rsidR="00E54BDF" w:rsidRPr="0029501C" w:rsidRDefault="00E54BDF" w:rsidP="00E54BDF">
      <w:pPr>
        <w:pStyle w:val="Bullet1"/>
        <w:rPr>
          <w:color w:val="000000" w:themeColor="text1"/>
          <w:szCs w:val="22"/>
          <w:lang w:val="de-DE"/>
        </w:rPr>
      </w:pPr>
      <w:r w:rsidRPr="0029501C">
        <w:rPr>
          <w:color w:val="000000" w:themeColor="text1"/>
          <w:lang w:val="de-DE"/>
        </w:rPr>
        <w:t xml:space="preserve">Nitrogen dioxide </w:t>
      </w:r>
      <w:sdt>
        <w:sdtPr>
          <w:rPr>
            <w:color w:val="000000" w:themeColor="text1"/>
            <w:lang w:val="de-DE"/>
          </w:rPr>
          <w:id w:val="420525639"/>
          <w:citation/>
        </w:sdtPr>
        <w:sdtContent>
          <w:r w:rsidR="00CE2759">
            <w:rPr>
              <w:color w:val="000000" w:themeColor="text1"/>
              <w:lang w:val="de-DE"/>
            </w:rPr>
            <w:fldChar w:fldCharType="begin"/>
          </w:r>
          <w:r w:rsidR="00CE2759" w:rsidRPr="00C54645">
            <w:rPr>
              <w:color w:val="000000" w:themeColor="text1"/>
              <w:lang w:val="da-DK"/>
            </w:rPr>
            <w:instrText xml:space="preserve"> CITATION EPA3c \l 1033 </w:instrText>
          </w:r>
          <w:r w:rsidR="00CE2759">
            <w:rPr>
              <w:color w:val="000000" w:themeColor="text1"/>
              <w:lang w:val="de-DE"/>
            </w:rPr>
            <w:fldChar w:fldCharType="separate"/>
          </w:r>
          <w:r w:rsidR="0093463A" w:rsidRPr="0093463A">
            <w:rPr>
              <w:noProof/>
              <w:color w:val="000000" w:themeColor="text1"/>
              <w:lang w:val="da-DK"/>
            </w:rPr>
            <w:t>(EPA, 2023c)</w:t>
          </w:r>
          <w:r w:rsidR="00CE2759">
            <w:rPr>
              <w:color w:val="000000" w:themeColor="text1"/>
              <w:lang w:val="de-DE"/>
            </w:rPr>
            <w:fldChar w:fldCharType="end"/>
          </w:r>
        </w:sdtContent>
      </w:sdt>
      <w:r w:rsidRPr="0029501C">
        <w:rPr>
          <w:color w:val="000000" w:themeColor="text1"/>
          <w:lang w:val="de-DE"/>
        </w:rPr>
        <w:t xml:space="preserve"> </w:t>
      </w:r>
    </w:p>
    <w:p w14:paraId="7637CDBB" w14:textId="46F0118A" w:rsidR="00E54BDF" w:rsidRPr="006743F6" w:rsidRDefault="00E54BDF" w:rsidP="00E54BDF">
      <w:pPr>
        <w:pStyle w:val="Bullet1"/>
        <w:rPr>
          <w:color w:val="000000" w:themeColor="text1"/>
          <w:szCs w:val="22"/>
        </w:rPr>
      </w:pPr>
      <w:r w:rsidRPr="3288B755">
        <w:rPr>
          <w:color w:val="000000" w:themeColor="text1"/>
        </w:rPr>
        <w:t xml:space="preserve">Carbon monoxide </w:t>
      </w:r>
      <w:sdt>
        <w:sdtPr>
          <w:rPr>
            <w:color w:val="000000" w:themeColor="text1"/>
          </w:rPr>
          <w:id w:val="-1977366707"/>
          <w:citation/>
        </w:sdtPr>
        <w:sdtContent>
          <w:r w:rsidR="00CE2759">
            <w:rPr>
              <w:color w:val="000000" w:themeColor="text1"/>
            </w:rPr>
            <w:fldChar w:fldCharType="begin"/>
          </w:r>
          <w:r w:rsidR="00CE2759">
            <w:rPr>
              <w:color w:val="000000" w:themeColor="text1"/>
            </w:rPr>
            <w:instrText xml:space="preserve"> CITATION EPA3d \l 1033 </w:instrText>
          </w:r>
          <w:r w:rsidR="00CE2759">
            <w:rPr>
              <w:color w:val="000000" w:themeColor="text1"/>
            </w:rPr>
            <w:fldChar w:fldCharType="separate"/>
          </w:r>
          <w:r w:rsidR="0093463A" w:rsidRPr="0093463A">
            <w:rPr>
              <w:noProof/>
              <w:color w:val="000000" w:themeColor="text1"/>
            </w:rPr>
            <w:t>(EPA, 2023d)</w:t>
          </w:r>
          <w:r w:rsidR="00CE2759">
            <w:rPr>
              <w:color w:val="000000" w:themeColor="text1"/>
            </w:rPr>
            <w:fldChar w:fldCharType="end"/>
          </w:r>
        </w:sdtContent>
      </w:sdt>
    </w:p>
    <w:p w14:paraId="55DC87AD" w14:textId="1A86F4A9" w:rsidR="00E54BDF" w:rsidRPr="006743F6" w:rsidRDefault="00E54BDF" w:rsidP="00E54BDF">
      <w:pPr>
        <w:pStyle w:val="Bullet1"/>
        <w:rPr>
          <w:color w:val="000000" w:themeColor="text1"/>
          <w:szCs w:val="22"/>
        </w:rPr>
      </w:pPr>
      <w:r w:rsidRPr="3288B755">
        <w:rPr>
          <w:color w:val="000000" w:themeColor="text1"/>
        </w:rPr>
        <w:lastRenderedPageBreak/>
        <w:t xml:space="preserve">Lead </w:t>
      </w:r>
      <w:sdt>
        <w:sdtPr>
          <w:rPr>
            <w:color w:val="000000" w:themeColor="text1"/>
          </w:rPr>
          <w:id w:val="258348363"/>
          <w:citation/>
        </w:sdtPr>
        <w:sdtContent>
          <w:r w:rsidR="001F63A9">
            <w:rPr>
              <w:color w:val="000000" w:themeColor="text1"/>
            </w:rPr>
            <w:fldChar w:fldCharType="begin"/>
          </w:r>
          <w:r w:rsidR="001F63A9">
            <w:rPr>
              <w:color w:val="000000" w:themeColor="text1"/>
            </w:rPr>
            <w:instrText xml:space="preserve"> CITATION EPA2313 \l 1033 </w:instrText>
          </w:r>
          <w:r w:rsidR="001F63A9">
            <w:rPr>
              <w:color w:val="000000" w:themeColor="text1"/>
            </w:rPr>
            <w:fldChar w:fldCharType="separate"/>
          </w:r>
          <w:r w:rsidR="0093463A" w:rsidRPr="0093463A">
            <w:rPr>
              <w:noProof/>
              <w:color w:val="000000" w:themeColor="text1"/>
            </w:rPr>
            <w:t>(EPA, 2023)</w:t>
          </w:r>
          <w:r w:rsidR="001F63A9">
            <w:rPr>
              <w:color w:val="000000" w:themeColor="text1"/>
            </w:rPr>
            <w:fldChar w:fldCharType="end"/>
          </w:r>
        </w:sdtContent>
      </w:sdt>
    </w:p>
    <w:p w14:paraId="084DE4B9" w14:textId="573A5BAE" w:rsidR="00E54BDF" w:rsidRPr="006743F6" w:rsidRDefault="00E54BDF" w:rsidP="00E54BDF">
      <w:pPr>
        <w:pStyle w:val="Bullet1"/>
        <w:rPr>
          <w:color w:val="000000" w:themeColor="text1"/>
          <w:szCs w:val="22"/>
        </w:rPr>
      </w:pPr>
      <w:r w:rsidRPr="3288B755">
        <w:rPr>
          <w:color w:val="000000" w:themeColor="text1"/>
        </w:rPr>
        <w:t xml:space="preserve">Sulfur dioxide </w:t>
      </w:r>
      <w:sdt>
        <w:sdtPr>
          <w:rPr>
            <w:color w:val="000000" w:themeColor="text1"/>
          </w:rPr>
          <w:id w:val="720629149"/>
          <w:citation/>
        </w:sdtPr>
        <w:sdtContent>
          <w:r w:rsidR="001F63A9">
            <w:rPr>
              <w:color w:val="000000" w:themeColor="text1"/>
            </w:rPr>
            <w:fldChar w:fldCharType="begin"/>
          </w:r>
          <w:r w:rsidR="001F63A9">
            <w:rPr>
              <w:color w:val="000000" w:themeColor="text1"/>
            </w:rPr>
            <w:instrText xml:space="preserve"> CITATION EPA3f \l 1033 </w:instrText>
          </w:r>
          <w:r w:rsidR="001F63A9">
            <w:rPr>
              <w:color w:val="000000" w:themeColor="text1"/>
            </w:rPr>
            <w:fldChar w:fldCharType="separate"/>
          </w:r>
          <w:r w:rsidR="0093463A" w:rsidRPr="0093463A">
            <w:rPr>
              <w:noProof/>
              <w:color w:val="000000" w:themeColor="text1"/>
            </w:rPr>
            <w:t>(EPA, 2023f)</w:t>
          </w:r>
          <w:r w:rsidR="001F63A9">
            <w:rPr>
              <w:color w:val="000000" w:themeColor="text1"/>
            </w:rPr>
            <w:fldChar w:fldCharType="end"/>
          </w:r>
        </w:sdtContent>
      </w:sdt>
    </w:p>
    <w:p w14:paraId="2F4C3DC3" w14:textId="597A948E" w:rsidR="00E54BDF" w:rsidRPr="006743F6" w:rsidRDefault="00E54BDF" w:rsidP="00E54BDF">
      <w:pPr>
        <w:pStyle w:val="Bullet1"/>
        <w:rPr>
          <w:color w:val="000000" w:themeColor="text1"/>
          <w:szCs w:val="22"/>
        </w:rPr>
      </w:pPr>
      <w:r w:rsidRPr="3288B755">
        <w:rPr>
          <w:color w:val="000000" w:themeColor="text1"/>
        </w:rPr>
        <w:t xml:space="preserve">Hazardous air pollutants </w:t>
      </w:r>
      <w:sdt>
        <w:sdtPr>
          <w:rPr>
            <w:color w:val="000000" w:themeColor="text1"/>
          </w:rPr>
          <w:id w:val="1614638030"/>
          <w:citation/>
        </w:sdtPr>
        <w:sdtContent>
          <w:r w:rsidR="00830B7B">
            <w:rPr>
              <w:color w:val="000000" w:themeColor="text1"/>
            </w:rPr>
            <w:fldChar w:fldCharType="begin"/>
          </w:r>
          <w:r w:rsidR="00830B7B">
            <w:rPr>
              <w:color w:val="000000" w:themeColor="text1"/>
            </w:rPr>
            <w:instrText xml:space="preserve"> CITATION EPA3g \l 1033 </w:instrText>
          </w:r>
          <w:r w:rsidR="00830B7B">
            <w:rPr>
              <w:color w:val="000000" w:themeColor="text1"/>
            </w:rPr>
            <w:fldChar w:fldCharType="separate"/>
          </w:r>
          <w:r w:rsidR="0093463A" w:rsidRPr="0093463A">
            <w:rPr>
              <w:noProof/>
              <w:color w:val="000000" w:themeColor="text1"/>
            </w:rPr>
            <w:t>(EPA, 2023g)</w:t>
          </w:r>
          <w:r w:rsidR="00830B7B">
            <w:rPr>
              <w:color w:val="000000" w:themeColor="text1"/>
            </w:rPr>
            <w:fldChar w:fldCharType="end"/>
          </w:r>
        </w:sdtContent>
      </w:sdt>
    </w:p>
    <w:p w14:paraId="1AEA304B" w14:textId="6E11C625" w:rsidR="00E54BDF" w:rsidRPr="006743F6" w:rsidRDefault="00E54BDF" w:rsidP="00E54BDF">
      <w:pPr>
        <w:pStyle w:val="BodyText"/>
        <w:rPr>
          <w:color w:val="000000" w:themeColor="text1"/>
        </w:rPr>
      </w:pPr>
      <w:r>
        <w:t xml:space="preserve">The </w:t>
      </w:r>
      <w:r w:rsidRPr="47319EE8">
        <w:t>air quality analysis</w:t>
      </w:r>
      <w:r>
        <w:t xml:space="preserve"> in</w:t>
      </w:r>
      <w:r w:rsidRPr="47319EE8">
        <w:t xml:space="preserve"> Section 3.</w:t>
      </w:r>
      <w:r w:rsidR="003F312A">
        <w:rPr>
          <w:color w:val="000000" w:themeColor="text1"/>
        </w:rPr>
        <w:t>6</w:t>
      </w:r>
      <w:r w:rsidRPr="47319EE8">
        <w:rPr>
          <w:color w:val="000000" w:themeColor="text1"/>
        </w:rPr>
        <w:t>.1 estimates the risk of cancer</w:t>
      </w:r>
      <w:r>
        <w:rPr>
          <w:color w:val="000000" w:themeColor="text1"/>
        </w:rPr>
        <w:t xml:space="preserve"> from </w:t>
      </w:r>
      <w:r w:rsidR="00EE4678">
        <w:rPr>
          <w:color w:val="000000" w:themeColor="text1"/>
        </w:rPr>
        <w:t>Hazardous Air Pollutants (</w:t>
      </w:r>
      <w:r>
        <w:rPr>
          <w:color w:val="000000" w:themeColor="text1"/>
        </w:rPr>
        <w:t>HAPs</w:t>
      </w:r>
      <w:r w:rsidR="00EE4678">
        <w:rPr>
          <w:color w:val="000000" w:themeColor="text1"/>
        </w:rPr>
        <w:t>)</w:t>
      </w:r>
      <w:r w:rsidRPr="47319EE8">
        <w:rPr>
          <w:color w:val="000000" w:themeColor="text1"/>
        </w:rPr>
        <w:t xml:space="preserve"> and</w:t>
      </w:r>
      <w:r>
        <w:rPr>
          <w:color w:val="000000" w:themeColor="text1"/>
        </w:rPr>
        <w:t xml:space="preserve"> the risk of </w:t>
      </w:r>
      <w:r w:rsidRPr="47319EE8">
        <w:rPr>
          <w:color w:val="000000" w:themeColor="text1"/>
        </w:rPr>
        <w:t xml:space="preserve">other health impacts based on exposure to </w:t>
      </w:r>
      <w:r>
        <w:rPr>
          <w:color w:val="000000" w:themeColor="text1"/>
        </w:rPr>
        <w:t xml:space="preserve">CAPs. In addition to HAP and </w:t>
      </w:r>
      <w:r w:rsidR="006A7AB7">
        <w:rPr>
          <w:color w:val="000000" w:themeColor="text1"/>
        </w:rPr>
        <w:t>Criteria Air Pol</w:t>
      </w:r>
      <w:r w:rsidR="002F0190">
        <w:rPr>
          <w:color w:val="000000" w:themeColor="text1"/>
        </w:rPr>
        <w:t>lutants (</w:t>
      </w:r>
      <w:r>
        <w:rPr>
          <w:color w:val="000000" w:themeColor="text1"/>
        </w:rPr>
        <w:t>CAP</w:t>
      </w:r>
      <w:r w:rsidR="002F0190">
        <w:rPr>
          <w:color w:val="000000" w:themeColor="text1"/>
        </w:rPr>
        <w:t>)</w:t>
      </w:r>
      <w:r>
        <w:rPr>
          <w:color w:val="000000" w:themeColor="text1"/>
        </w:rPr>
        <w:t xml:space="preserve"> levels</w:t>
      </w:r>
      <w:r w:rsidRPr="47319EE8">
        <w:rPr>
          <w:color w:val="000000" w:themeColor="text1"/>
        </w:rPr>
        <w:t>,</w:t>
      </w:r>
      <w:r>
        <w:rPr>
          <w:color w:val="000000" w:themeColor="text1"/>
        </w:rPr>
        <w:t xml:space="preserve"> </w:t>
      </w:r>
      <w:r w:rsidRPr="47319EE8">
        <w:rPr>
          <w:color w:val="000000" w:themeColor="text1"/>
        </w:rPr>
        <w:t>economic or social indicators can also influence the general health risks of a population, such as poverty status, educational attainment, or language proficiency. Headwaters Economics data for populations at risk (i.e., more likely to experience adverse health outcomes due to demographic or socioeconomic factors) show that most of the indicators for populations at risk are lower for Utah compared with the nation as a whole</w:t>
      </w:r>
      <w:sdt>
        <w:sdtPr>
          <w:rPr>
            <w:color w:val="000000" w:themeColor="text1"/>
          </w:rPr>
          <w:id w:val="1770891404"/>
          <w:citation/>
        </w:sdtPr>
        <w:sdtContent>
          <w:r w:rsidR="007D147D">
            <w:rPr>
              <w:color w:val="000000" w:themeColor="text1"/>
            </w:rPr>
            <w:fldChar w:fldCharType="begin"/>
          </w:r>
          <w:r w:rsidR="007D147D">
            <w:rPr>
              <w:color w:val="000000" w:themeColor="text1"/>
            </w:rPr>
            <w:instrText xml:space="preserve"> CITATION Hea24 \l 1033 </w:instrText>
          </w:r>
          <w:r w:rsidR="007D147D">
            <w:rPr>
              <w:color w:val="000000" w:themeColor="text1"/>
            </w:rPr>
            <w:fldChar w:fldCharType="separate"/>
          </w:r>
          <w:r w:rsidR="0093463A">
            <w:rPr>
              <w:noProof/>
              <w:color w:val="000000" w:themeColor="text1"/>
            </w:rPr>
            <w:t xml:space="preserve"> </w:t>
          </w:r>
          <w:r w:rsidR="0093463A" w:rsidRPr="0093463A">
            <w:rPr>
              <w:noProof/>
              <w:color w:val="000000" w:themeColor="text1"/>
            </w:rPr>
            <w:t>(Headwaters Economics, 2024)</w:t>
          </w:r>
          <w:r w:rsidR="007D147D">
            <w:rPr>
              <w:color w:val="000000" w:themeColor="text1"/>
            </w:rPr>
            <w:fldChar w:fldCharType="end"/>
          </w:r>
        </w:sdtContent>
      </w:sdt>
      <w:r w:rsidR="007D147D">
        <w:rPr>
          <w:color w:val="000000" w:themeColor="text1"/>
        </w:rPr>
        <w:t>.</w:t>
      </w:r>
      <w:r w:rsidRPr="47319EE8">
        <w:rPr>
          <w:color w:val="000000" w:themeColor="text1"/>
        </w:rPr>
        <w:t xml:space="preserve"> Compared with Utah, several of the indicators for populations at risk in </w:t>
      </w:r>
      <w:r w:rsidR="006B5CF2">
        <w:rPr>
          <w:color w:val="000000" w:themeColor="text1"/>
        </w:rPr>
        <w:t xml:space="preserve">the </w:t>
      </w:r>
      <w:r w:rsidR="00F331C3">
        <w:rPr>
          <w:color w:val="000000" w:themeColor="text1"/>
        </w:rPr>
        <w:t>combined</w:t>
      </w:r>
      <w:r w:rsidR="006B5CF2">
        <w:rPr>
          <w:color w:val="000000" w:themeColor="text1"/>
        </w:rPr>
        <w:t xml:space="preserve"> counties in the VFO</w:t>
      </w:r>
      <w:r w:rsidR="00591828">
        <w:rPr>
          <w:color w:val="000000" w:themeColor="text1"/>
        </w:rPr>
        <w:t xml:space="preserve"> </w:t>
      </w:r>
      <w:r w:rsidR="00C87327">
        <w:rPr>
          <w:color w:val="000000" w:themeColor="text1"/>
        </w:rPr>
        <w:t xml:space="preserve">planning area </w:t>
      </w:r>
      <w:r w:rsidR="00591828">
        <w:rPr>
          <w:color w:val="000000" w:themeColor="text1"/>
        </w:rPr>
        <w:t>(Daggett, Duchesne, and Uintah</w:t>
      </w:r>
      <w:r w:rsidR="006A6924">
        <w:rPr>
          <w:color w:val="000000" w:themeColor="text1"/>
        </w:rPr>
        <w:t xml:space="preserve"> Counties</w:t>
      </w:r>
      <w:r w:rsidR="00591828">
        <w:rPr>
          <w:color w:val="000000" w:themeColor="text1"/>
        </w:rPr>
        <w:t>)</w:t>
      </w:r>
      <w:r w:rsidRPr="47319EE8">
        <w:rPr>
          <w:color w:val="000000" w:themeColor="text1"/>
        </w:rPr>
        <w:t xml:space="preserve"> are </w:t>
      </w:r>
      <w:proofErr w:type="gramStart"/>
      <w:r w:rsidRPr="47319EE8">
        <w:rPr>
          <w:color w:val="000000" w:themeColor="text1"/>
        </w:rPr>
        <w:t>similar to</w:t>
      </w:r>
      <w:proofErr w:type="gramEnd"/>
      <w:r w:rsidRPr="47319EE8">
        <w:rPr>
          <w:color w:val="000000" w:themeColor="text1"/>
        </w:rPr>
        <w:t xml:space="preserve"> state levels. However, certain indicators are noticeably higher </w:t>
      </w:r>
      <w:r w:rsidR="00390EBE">
        <w:rPr>
          <w:color w:val="000000" w:themeColor="text1"/>
        </w:rPr>
        <w:t>in the combined counties</w:t>
      </w:r>
      <w:r w:rsidRPr="47319EE8">
        <w:rPr>
          <w:color w:val="000000" w:themeColor="text1"/>
        </w:rPr>
        <w:t xml:space="preserve"> than those of Utah</w:t>
      </w:r>
      <w:r w:rsidR="005203B8">
        <w:rPr>
          <w:color w:val="000000" w:themeColor="text1"/>
        </w:rPr>
        <w:t xml:space="preserve"> as a whole</w:t>
      </w:r>
      <w:r w:rsidRPr="47319EE8">
        <w:rPr>
          <w:color w:val="000000" w:themeColor="text1"/>
        </w:rPr>
        <w:t xml:space="preserve">: these include </w:t>
      </w:r>
      <w:r w:rsidR="001F013E">
        <w:rPr>
          <w:color w:val="000000" w:themeColor="text1"/>
        </w:rPr>
        <w:t xml:space="preserve">indicators such as </w:t>
      </w:r>
      <w:r w:rsidR="003C1CBA">
        <w:rPr>
          <w:color w:val="000000" w:themeColor="text1"/>
        </w:rPr>
        <w:t>percent of p</w:t>
      </w:r>
      <w:r w:rsidR="00FB7359">
        <w:rPr>
          <w:color w:val="000000" w:themeColor="text1"/>
        </w:rPr>
        <w:t>opulation</w:t>
      </w:r>
      <w:r w:rsidR="003C1CBA">
        <w:rPr>
          <w:color w:val="000000" w:themeColor="text1"/>
        </w:rPr>
        <w:t xml:space="preserve"> without a high school diploma, </w:t>
      </w:r>
      <w:r w:rsidR="00404EA9">
        <w:rPr>
          <w:color w:val="000000" w:themeColor="text1"/>
        </w:rPr>
        <w:t>percent of population in “deep poverty”</w:t>
      </w:r>
      <w:r w:rsidR="00697A7A">
        <w:rPr>
          <w:color w:val="000000" w:themeColor="text1"/>
        </w:rPr>
        <w:t xml:space="preserve"> (</w:t>
      </w:r>
      <w:r w:rsidR="00697A7A" w:rsidRPr="00697A7A">
        <w:rPr>
          <w:color w:val="000000" w:themeColor="text1"/>
        </w:rPr>
        <w:t>earning less than half of the federal poverty level</w:t>
      </w:r>
      <w:r w:rsidR="00697A7A">
        <w:rPr>
          <w:color w:val="000000" w:themeColor="text1"/>
        </w:rPr>
        <w:t>)</w:t>
      </w:r>
      <w:r w:rsidR="00404EA9">
        <w:rPr>
          <w:color w:val="000000" w:themeColor="text1"/>
        </w:rPr>
        <w:t xml:space="preserve">, </w:t>
      </w:r>
      <w:r w:rsidR="005C3CB3">
        <w:rPr>
          <w:color w:val="000000" w:themeColor="text1"/>
        </w:rPr>
        <w:t xml:space="preserve">percent of families below poverty, </w:t>
      </w:r>
      <w:r w:rsidR="002764E4">
        <w:rPr>
          <w:color w:val="000000" w:themeColor="text1"/>
        </w:rPr>
        <w:t xml:space="preserve">percent of </w:t>
      </w:r>
      <w:r w:rsidR="00684583">
        <w:rPr>
          <w:color w:val="000000" w:themeColor="text1"/>
        </w:rPr>
        <w:t>households</w:t>
      </w:r>
      <w:r w:rsidR="002764E4">
        <w:rPr>
          <w:color w:val="000000" w:themeColor="text1"/>
        </w:rPr>
        <w:t xml:space="preserve"> receiving food stamps, </w:t>
      </w:r>
      <w:r w:rsidR="000B2C44">
        <w:rPr>
          <w:color w:val="000000" w:themeColor="text1"/>
        </w:rPr>
        <w:t xml:space="preserve">percent of </w:t>
      </w:r>
      <w:r w:rsidR="00094E1A">
        <w:rPr>
          <w:color w:val="000000" w:themeColor="text1"/>
        </w:rPr>
        <w:t xml:space="preserve">housing that are mobile homes, </w:t>
      </w:r>
      <w:r w:rsidR="00A92887">
        <w:rPr>
          <w:color w:val="000000" w:themeColor="text1"/>
        </w:rPr>
        <w:t xml:space="preserve">and percent of population without health </w:t>
      </w:r>
      <w:r w:rsidRPr="47319EE8">
        <w:rPr>
          <w:color w:val="000000" w:themeColor="text1"/>
        </w:rPr>
        <w:t xml:space="preserve">insurance </w:t>
      </w:r>
      <w:sdt>
        <w:sdtPr>
          <w:rPr>
            <w:color w:val="000000" w:themeColor="text1"/>
          </w:rPr>
          <w:id w:val="236058134"/>
          <w:citation/>
        </w:sdtPr>
        <w:sdtContent>
          <w:r w:rsidR="00000AA9">
            <w:rPr>
              <w:color w:val="000000" w:themeColor="text1"/>
            </w:rPr>
            <w:fldChar w:fldCharType="begin"/>
          </w:r>
          <w:r w:rsidR="00000AA9">
            <w:rPr>
              <w:color w:val="000000" w:themeColor="text1"/>
            </w:rPr>
            <w:instrText xml:space="preserve"> CITATION Hea24 \l 1033 </w:instrText>
          </w:r>
          <w:r w:rsidR="00000AA9">
            <w:rPr>
              <w:color w:val="000000" w:themeColor="text1"/>
            </w:rPr>
            <w:fldChar w:fldCharType="separate"/>
          </w:r>
          <w:r w:rsidR="0093463A" w:rsidRPr="0093463A">
            <w:rPr>
              <w:noProof/>
              <w:color w:val="000000" w:themeColor="text1"/>
            </w:rPr>
            <w:t>(Headwaters Economics, 2024)</w:t>
          </w:r>
          <w:r w:rsidR="00000AA9">
            <w:rPr>
              <w:color w:val="000000" w:themeColor="text1"/>
            </w:rPr>
            <w:fldChar w:fldCharType="end"/>
          </w:r>
        </w:sdtContent>
      </w:sdt>
      <w:r w:rsidR="00000AA9">
        <w:rPr>
          <w:color w:val="000000" w:themeColor="text1"/>
        </w:rPr>
        <w:t>.</w:t>
      </w:r>
    </w:p>
    <w:p w14:paraId="254B678B" w14:textId="06FBC046" w:rsidR="00E54BDF" w:rsidRPr="006743F6" w:rsidRDefault="00E54BDF" w:rsidP="00E54BDF">
      <w:pPr>
        <w:pStyle w:val="BodyText"/>
        <w:rPr>
          <w:color w:val="000000" w:themeColor="text1"/>
        </w:rPr>
      </w:pPr>
      <w:r w:rsidRPr="47319EE8">
        <w:t>Human health risk assessments cannot b</w:t>
      </w:r>
      <w:r w:rsidRPr="47319EE8">
        <w:rPr>
          <w:color w:val="000000" w:themeColor="text1"/>
        </w:rPr>
        <w:t xml:space="preserve">e performed until project-specific details are known so that frequency, timing, and levels of contact with potential stressors may be identified </w:t>
      </w:r>
      <w:sdt>
        <w:sdtPr>
          <w:rPr>
            <w:color w:val="000000" w:themeColor="text1"/>
          </w:rPr>
          <w:id w:val="1435327418"/>
          <w:citation/>
        </w:sdtPr>
        <w:sdtContent>
          <w:r w:rsidR="002C5D0A">
            <w:rPr>
              <w:color w:val="000000" w:themeColor="text1"/>
            </w:rPr>
            <w:fldChar w:fldCharType="begin"/>
          </w:r>
          <w:r w:rsidR="002C5D0A">
            <w:rPr>
              <w:color w:val="000000" w:themeColor="text1"/>
            </w:rPr>
            <w:instrText xml:space="preserve"> CITATION EPA3h \l 1033 </w:instrText>
          </w:r>
          <w:r w:rsidR="002C5D0A">
            <w:rPr>
              <w:color w:val="000000" w:themeColor="text1"/>
            </w:rPr>
            <w:fldChar w:fldCharType="separate"/>
          </w:r>
          <w:r w:rsidR="0093463A" w:rsidRPr="0093463A">
            <w:rPr>
              <w:noProof/>
              <w:color w:val="000000" w:themeColor="text1"/>
            </w:rPr>
            <w:t>(EPA, 2023h)</w:t>
          </w:r>
          <w:r w:rsidR="002C5D0A">
            <w:rPr>
              <w:color w:val="000000" w:themeColor="text1"/>
            </w:rPr>
            <w:fldChar w:fldCharType="end"/>
          </w:r>
        </w:sdtContent>
      </w:sdt>
      <w:r w:rsidR="002C5D0A">
        <w:rPr>
          <w:color w:val="000000" w:themeColor="text1"/>
        </w:rPr>
        <w:t>.</w:t>
      </w:r>
      <w:r w:rsidRPr="47319EE8">
        <w:rPr>
          <w:color w:val="000000" w:themeColor="text1"/>
        </w:rPr>
        <w:t xml:space="preserve"> However, each of the reasonably foreseeable environmental trends and planned actions have been, or will be, subject to relevant rules and regulations regarding public health and safety. Ongoing and potential development would continue to present aggregate risks to human health as detailed above. When wells reach the end of their useful life and are properly plugged and reclaimed, they would no longer contribute to health and safety effects; however, depending on the level and duration of individual’s exposure during well operation, some of the public health effects from air pollution may endure beyond the life of the wells (e.g., chronic respiratory problems such as asthma). </w:t>
      </w:r>
    </w:p>
    <w:p w14:paraId="58CFFF1C" w14:textId="71E47C2C" w:rsidR="00E54BDF" w:rsidRPr="006743F6" w:rsidRDefault="00D33359" w:rsidP="00E54BDF">
      <w:pPr>
        <w:pStyle w:val="BodyText"/>
        <w:rPr>
          <w:color w:val="000000" w:themeColor="text1"/>
        </w:rPr>
      </w:pPr>
      <w:r w:rsidRPr="008014C2">
        <w:t>P</w:t>
      </w:r>
      <w:r w:rsidR="00E54BDF" w:rsidRPr="008014C2">
        <w:t xml:space="preserve">otential development on the </w:t>
      </w:r>
      <w:r w:rsidR="00DD0A3C" w:rsidRPr="008014C2">
        <w:t>nominated</w:t>
      </w:r>
      <w:r w:rsidR="00E54BDF" w:rsidRPr="008014C2">
        <w:t xml:space="preserve"> </w:t>
      </w:r>
      <w:r w:rsidRPr="008014C2">
        <w:t>lease</w:t>
      </w:r>
      <w:r w:rsidR="00E54BDF" w:rsidRPr="008014C2">
        <w:t xml:space="preserve"> </w:t>
      </w:r>
      <w:r w:rsidR="00563080" w:rsidRPr="008014C2">
        <w:t>parcels</w:t>
      </w:r>
      <w:r w:rsidR="00E54BDF" w:rsidRPr="008014C2">
        <w:rPr>
          <w:color w:val="000000" w:themeColor="text1"/>
        </w:rPr>
        <w:t xml:space="preserve"> is estimated to be </w:t>
      </w:r>
      <w:r w:rsidR="007A66C6" w:rsidRPr="008014C2">
        <w:rPr>
          <w:color w:val="000000" w:themeColor="text1"/>
        </w:rPr>
        <w:t>20</w:t>
      </w:r>
      <w:r w:rsidR="00E54BDF" w:rsidRPr="008014C2">
        <w:rPr>
          <w:color w:val="000000" w:themeColor="text1"/>
        </w:rPr>
        <w:t xml:space="preserve"> new wells. This is a </w:t>
      </w:r>
      <w:r w:rsidR="002A5992" w:rsidRPr="008014C2">
        <w:rPr>
          <w:color w:val="000000" w:themeColor="text1"/>
        </w:rPr>
        <w:t>0.2</w:t>
      </w:r>
      <w:r w:rsidR="00E54BDF" w:rsidRPr="008014C2">
        <w:rPr>
          <w:color w:val="000000" w:themeColor="text1"/>
        </w:rPr>
        <w:t xml:space="preserve">% increase to the </w:t>
      </w:r>
      <w:r w:rsidR="002A5992" w:rsidRPr="008014C2">
        <w:rPr>
          <w:color w:val="000000" w:themeColor="text1"/>
        </w:rPr>
        <w:t>11,362</w:t>
      </w:r>
      <w:r w:rsidR="00E54BDF" w:rsidRPr="008014C2">
        <w:rPr>
          <w:color w:val="000000" w:themeColor="text1"/>
        </w:rPr>
        <w:t xml:space="preserve"> existing active wells in </w:t>
      </w:r>
      <w:r w:rsidR="00B92193" w:rsidRPr="008014C2">
        <w:rPr>
          <w:color w:val="000000" w:themeColor="text1"/>
        </w:rPr>
        <w:t>Daggett, Duchesne, and Uintah C</w:t>
      </w:r>
      <w:r w:rsidR="004B12F6" w:rsidRPr="008014C2">
        <w:rPr>
          <w:color w:val="000000" w:themeColor="text1"/>
        </w:rPr>
        <w:t>ounties</w:t>
      </w:r>
      <w:r w:rsidR="00E54BDF" w:rsidRPr="47319EE8">
        <w:rPr>
          <w:color w:val="000000" w:themeColor="text1"/>
        </w:rPr>
        <w:t xml:space="preserve">. When authorizing development, federal and state laws, regulations, and policy are applied to reduce effects or respond to incidents. These include the following: </w:t>
      </w:r>
    </w:p>
    <w:p w14:paraId="3E7AB72E" w14:textId="77777777" w:rsidR="00E54BDF" w:rsidRPr="006743F6" w:rsidRDefault="00E54BDF" w:rsidP="00E54BDF">
      <w:pPr>
        <w:pStyle w:val="Bullet1"/>
        <w:rPr>
          <w:color w:val="000000" w:themeColor="text1"/>
          <w:szCs w:val="22"/>
        </w:rPr>
      </w:pPr>
      <w:r w:rsidRPr="47319EE8">
        <w:t xml:space="preserve">Federal, state, county, and municipal fire managers shall coordinate fire response and mitigation. </w:t>
      </w:r>
    </w:p>
    <w:p w14:paraId="04D229AB" w14:textId="77777777" w:rsidR="00E54BDF" w:rsidRPr="006743F6" w:rsidRDefault="00E54BDF" w:rsidP="00E54BDF">
      <w:pPr>
        <w:pStyle w:val="Bullet1"/>
        <w:rPr>
          <w:color w:val="000000" w:themeColor="text1"/>
          <w:szCs w:val="22"/>
        </w:rPr>
      </w:pPr>
      <w:r w:rsidRPr="47319EE8">
        <w:t xml:space="preserve">Developers who install and operate oil and gas wells, facilities, and pipelines are responsible for complying </w:t>
      </w:r>
      <w:r w:rsidRPr="3288B755">
        <w:rPr>
          <w:color w:val="000000" w:themeColor="text1"/>
        </w:rPr>
        <w:t xml:space="preserve">with the applicable laws and regulations governing hazardous materials and for following all hazardous spill response plans and stipulations. The Utah Division of Oil, Gas and Mining requires similar spill response measures after release of hydrocarbons, produced water, or hydraulic fracturing fluids. </w:t>
      </w:r>
    </w:p>
    <w:p w14:paraId="0D954351" w14:textId="77777777" w:rsidR="00E54BDF" w:rsidRPr="006743F6" w:rsidRDefault="00E54BDF" w:rsidP="00E54BDF">
      <w:pPr>
        <w:pStyle w:val="Bullet1"/>
        <w:rPr>
          <w:color w:val="000000" w:themeColor="text1"/>
          <w:szCs w:val="22"/>
        </w:rPr>
      </w:pPr>
      <w:r w:rsidRPr="47319EE8">
        <w:t xml:space="preserve">All well pads, vehicles, and other workplaces must comply with worker safety laws as stipulated by the Occupational Safety and Health Administration (OSHA). </w:t>
      </w:r>
    </w:p>
    <w:p w14:paraId="324424C3" w14:textId="77777777" w:rsidR="00E54BDF" w:rsidRPr="006743F6" w:rsidRDefault="00E54BDF" w:rsidP="00E54BDF">
      <w:pPr>
        <w:pStyle w:val="Bullet1"/>
        <w:rPr>
          <w:color w:val="000000" w:themeColor="text1"/>
          <w:szCs w:val="22"/>
        </w:rPr>
      </w:pPr>
      <w:r w:rsidRPr="47319EE8">
        <w:t>Vehicular traffic and pipelines are regula</w:t>
      </w:r>
      <w:r w:rsidRPr="3288B755">
        <w:rPr>
          <w:color w:val="000000" w:themeColor="text1"/>
        </w:rPr>
        <w:t xml:space="preserve">ted according to safety laws as stipulated by the Department of Transportation. </w:t>
      </w:r>
    </w:p>
    <w:p w14:paraId="7B43185D" w14:textId="470A9CCB" w:rsidR="00E54BDF" w:rsidRPr="006743F6" w:rsidRDefault="00AC51DE" w:rsidP="00E54BDF">
      <w:pPr>
        <w:pStyle w:val="Bullet1"/>
        <w:rPr>
          <w:color w:val="000000" w:themeColor="text1"/>
          <w:szCs w:val="22"/>
        </w:rPr>
      </w:pPr>
      <w:r>
        <w:t>43</w:t>
      </w:r>
      <w:r w:rsidR="00D515E4">
        <w:t xml:space="preserve"> CFR 3176</w:t>
      </w:r>
      <w:r w:rsidR="00E54BDF" w:rsidRPr="47319EE8">
        <w:t xml:space="preserve"> provides the requirements and standards for conducting oil and gas operations in an environment known to or expected to contain H</w:t>
      </w:r>
      <w:r w:rsidR="00E54BDF" w:rsidRPr="3288B755">
        <w:rPr>
          <w:color w:val="000000" w:themeColor="text1"/>
          <w:vertAlign w:val="subscript"/>
        </w:rPr>
        <w:t>2</w:t>
      </w:r>
      <w:r w:rsidR="00E54BDF" w:rsidRPr="3288B755">
        <w:rPr>
          <w:color w:val="000000" w:themeColor="text1"/>
        </w:rPr>
        <w:t xml:space="preserve">S. Compliance with this Order will protect public health and safety and those personnel essential to maintaining control of the well. </w:t>
      </w:r>
    </w:p>
    <w:p w14:paraId="2C656073" w14:textId="61FFA887" w:rsidR="00E54BDF" w:rsidRDefault="00E54BDF" w:rsidP="00E54BDF">
      <w:pPr>
        <w:pStyle w:val="BodyText"/>
      </w:pPr>
      <w:r>
        <w:lastRenderedPageBreak/>
        <w:t xml:space="preserve">Hazardous materials are not known to exist on any lease. Hazardous materials associated with oil and gas operations, if not handled properly, have the potential to be spilled at the lease/drill site and would be handled during that stage of development. Such materials could include methanol, diesel fuel, unrefined petroleum, produced water, and acid. Spills during operation would be contained, reported, and cleaned up by the operator as written in the Spill Prevention, Control, and Countermeasure (SPCC) rule for wells. </w:t>
      </w:r>
    </w:p>
    <w:p w14:paraId="260CEB57" w14:textId="354A1207" w:rsidR="002D682D" w:rsidRDefault="008270D6" w:rsidP="00D72F9B">
      <w:pPr>
        <w:pStyle w:val="BodyText"/>
        <w:rPr>
          <w:color w:val="000000" w:themeColor="text1"/>
        </w:rPr>
      </w:pPr>
      <w:r w:rsidRPr="00D514A4">
        <w:t>See AIB-10 and AIB-11</w:t>
      </w:r>
      <w:r>
        <w:t xml:space="preserve"> for further information regarding potential surface and groundwater effects and relevant regulations, stipulations, a</w:t>
      </w:r>
      <w:r w:rsidRPr="3AFEE8D7">
        <w:rPr>
          <w:color w:val="000000" w:themeColor="text1"/>
        </w:rPr>
        <w:t xml:space="preserve">nd lease notices offering protections to groundwater and surface water quality. </w:t>
      </w:r>
      <w:r>
        <w:t xml:space="preserve">While there are no water quality specific notices or stipulations, the buffers on surface occupancy in riparian areas and floodplains, UT-LN-53 and UT-LN-128 as well as those associated with sensitive soils and steep slopes, UT-S-96, UT-S-99, and UT-S-100 would result in protection of water quality by minimizing sediment inputs and other water quality contaminants. </w:t>
      </w:r>
      <w:r w:rsidRPr="3AFEE8D7">
        <w:rPr>
          <w:color w:val="000000" w:themeColor="text1"/>
        </w:rPr>
        <w:t>Risks from hazardous or solid wastes would be mitigated by BMPs, SOPs, and site-specific COAs.</w:t>
      </w:r>
    </w:p>
    <w:p w14:paraId="07CE1F6E" w14:textId="77777777" w:rsidR="003C6AA8" w:rsidRDefault="003C6AA8" w:rsidP="00D72F9B">
      <w:pPr>
        <w:pStyle w:val="BodyText"/>
        <w:rPr>
          <w:b/>
          <w:bCs/>
        </w:rPr>
      </w:pPr>
    </w:p>
    <w:p w14:paraId="58AD1D94" w14:textId="77777777" w:rsidR="002D682D" w:rsidRPr="00D94666" w:rsidRDefault="002D682D" w:rsidP="00D94666">
      <w:pPr>
        <w:pStyle w:val="Heading2"/>
        <w:rPr>
          <w:rFonts w:hint="eastAsia"/>
        </w:rPr>
      </w:pPr>
      <w:bookmarkStart w:id="202" w:name="_Ref128867431"/>
      <w:bookmarkStart w:id="203" w:name="_Toc163734214"/>
      <w:bookmarkStart w:id="204" w:name="_Toc179464264"/>
      <w:bookmarkStart w:id="205" w:name="_Toc170114919"/>
      <w:r w:rsidRPr="00D94666">
        <w:t>Issues Analyzed in Detail</w:t>
      </w:r>
      <w:bookmarkEnd w:id="202"/>
      <w:bookmarkEnd w:id="203"/>
      <w:bookmarkEnd w:id="204"/>
      <w:bookmarkEnd w:id="205"/>
    </w:p>
    <w:p w14:paraId="0454A0B8" w14:textId="766188E2" w:rsidR="002D682D" w:rsidRPr="00011BCF" w:rsidRDefault="002D682D" w:rsidP="002D682D">
      <w:pPr>
        <w:pStyle w:val="BodyText"/>
      </w:pPr>
      <w:r w:rsidRPr="00011BCF">
        <w:t xml:space="preserve">The issues identified for detailed analysis in this EA were developed in accordance with CEQ regulations and the guidelines set forth in </w:t>
      </w:r>
      <w:r w:rsidRPr="0074568D">
        <w:t xml:space="preserve">the BLM NEPA Handbook H-1790-1 </w:t>
      </w:r>
      <w:sdt>
        <w:sdtPr>
          <w:id w:val="-1260210647"/>
          <w:citation/>
        </w:sdtPr>
        <w:sdtContent>
          <w:r w:rsidRPr="0074568D">
            <w:fldChar w:fldCharType="begin"/>
          </w:r>
          <w:r w:rsidRPr="0074568D">
            <w:instrText xml:space="preserve"> CITATION BLM8b \l 1033 </w:instrText>
          </w:r>
          <w:r w:rsidRPr="0074568D">
            <w:fldChar w:fldCharType="separate"/>
          </w:r>
          <w:r w:rsidR="0093463A">
            <w:rPr>
              <w:noProof/>
            </w:rPr>
            <w:t>(BLM, 2008b)</w:t>
          </w:r>
          <w:r w:rsidRPr="0074568D">
            <w:fldChar w:fldCharType="end"/>
          </w:r>
        </w:sdtContent>
      </w:sdt>
      <w:r w:rsidRPr="00011BCF">
        <w:t xml:space="preserve"> using input from internal and external scoping. Issues were retained for detailed analysis if that analysis is necessary to make a reasoned choice between alternatives; to determine significance; if there is disagreement about the best way to use a resource; or if there is conflict between resource impacts or uses.</w:t>
      </w:r>
    </w:p>
    <w:p w14:paraId="3DA6602D" w14:textId="3EC8AAB5" w:rsidR="002D682D" w:rsidRPr="00703733" w:rsidRDefault="002D682D" w:rsidP="00D94666">
      <w:pPr>
        <w:pStyle w:val="Heading3"/>
        <w:rPr>
          <w:rFonts w:hint="eastAsia"/>
        </w:rPr>
      </w:pPr>
      <w:bookmarkStart w:id="206" w:name="_Toc163734215"/>
      <w:bookmarkStart w:id="207" w:name="_Toc179464265"/>
      <w:bookmarkStart w:id="208" w:name="_Toc170114920"/>
      <w:bookmarkStart w:id="209" w:name="_Toc11068563"/>
      <w:bookmarkStart w:id="210" w:name="_Hlk10805601"/>
      <w:r w:rsidRPr="00703733">
        <w:t>Issue 1:</w:t>
      </w:r>
      <w:bookmarkEnd w:id="206"/>
      <w:r w:rsidRPr="00703733">
        <w:t xml:space="preserve"> </w:t>
      </w:r>
      <w:r w:rsidR="00DA75FF">
        <w:t>Air Quality</w:t>
      </w:r>
      <w:bookmarkEnd w:id="207"/>
      <w:bookmarkEnd w:id="208"/>
    </w:p>
    <w:bookmarkEnd w:id="209"/>
    <w:p w14:paraId="4188BD54" w14:textId="656F8E7B" w:rsidR="008E7A66" w:rsidRPr="008E7A66" w:rsidRDefault="006D3856" w:rsidP="003B5758">
      <w:pPr>
        <w:pStyle w:val="BodyText"/>
        <w:keepNext/>
      </w:pPr>
      <w:r w:rsidRPr="003B5758">
        <w:rPr>
          <w:rStyle w:val="normaltextrun"/>
          <w:rFonts w:cs="Times New Roman"/>
          <w:b/>
          <w:color w:val="000000"/>
          <w:shd w:val="clear" w:color="auto" w:fill="FFFFFF"/>
        </w:rPr>
        <w:t>What</w:t>
      </w:r>
      <w:r w:rsidRPr="008E7A66">
        <w:rPr>
          <w:rStyle w:val="normaltextrun"/>
          <w:rFonts w:cs="Times New Roman"/>
          <w:b/>
          <w:i/>
          <w:color w:val="000000"/>
          <w:shd w:val="clear" w:color="auto" w:fill="FFFFFF"/>
        </w:rPr>
        <w:t xml:space="preserve"> </w:t>
      </w:r>
      <w:r w:rsidRPr="003B5758">
        <w:rPr>
          <w:rStyle w:val="normaltextrun"/>
          <w:rFonts w:cs="Times New Roman"/>
          <w:b/>
          <w:color w:val="000000"/>
          <w:shd w:val="clear" w:color="auto" w:fill="FFFFFF"/>
        </w:rPr>
        <w:t>quantit</w:t>
      </w:r>
      <w:r w:rsidR="009D7D27" w:rsidRPr="003B5758">
        <w:rPr>
          <w:rStyle w:val="normaltextrun"/>
          <w:rFonts w:cs="Times New Roman"/>
          <w:b/>
          <w:color w:val="000000"/>
          <w:shd w:val="clear" w:color="auto" w:fill="FFFFFF"/>
        </w:rPr>
        <w:t>ies</w:t>
      </w:r>
      <w:r w:rsidRPr="003B5758">
        <w:rPr>
          <w:rStyle w:val="normaltextrun"/>
          <w:rFonts w:cs="Times New Roman"/>
          <w:b/>
          <w:color w:val="000000"/>
          <w:shd w:val="clear" w:color="auto" w:fill="FFFFFF"/>
        </w:rPr>
        <w:t xml:space="preserve"> </w:t>
      </w:r>
      <w:r w:rsidR="006E5E15" w:rsidRPr="003B5758">
        <w:rPr>
          <w:rStyle w:val="normaltextrun"/>
          <w:rFonts w:cs="Times New Roman"/>
          <w:b/>
          <w:color w:val="000000"/>
          <w:shd w:val="clear" w:color="auto" w:fill="FFFFFF"/>
        </w:rPr>
        <w:t xml:space="preserve">and types </w:t>
      </w:r>
      <w:r w:rsidRPr="003B5758">
        <w:rPr>
          <w:rStyle w:val="normaltextrun"/>
          <w:rFonts w:cs="Times New Roman"/>
          <w:b/>
          <w:color w:val="000000"/>
          <w:shd w:val="clear" w:color="auto" w:fill="FFFFFF"/>
        </w:rPr>
        <w:t xml:space="preserve">of air pollutants </w:t>
      </w:r>
      <w:r w:rsidR="009117B9" w:rsidRPr="003B5758">
        <w:rPr>
          <w:rStyle w:val="normaltextrun"/>
          <w:rFonts w:cs="Times New Roman"/>
          <w:b/>
          <w:color w:val="000000"/>
          <w:shd w:val="clear" w:color="auto" w:fill="FFFFFF"/>
        </w:rPr>
        <w:t xml:space="preserve">would be produced </w:t>
      </w:r>
      <w:r w:rsidR="00CA1697" w:rsidRPr="003B5758">
        <w:rPr>
          <w:rStyle w:val="normaltextrun"/>
          <w:rFonts w:cs="Times New Roman"/>
          <w:b/>
          <w:color w:val="000000"/>
          <w:shd w:val="clear" w:color="auto" w:fill="FFFFFF"/>
        </w:rPr>
        <w:t>from potential development of the nominated lease parcels</w:t>
      </w:r>
      <w:r w:rsidRPr="003B5758">
        <w:rPr>
          <w:rStyle w:val="normaltextrun"/>
          <w:rFonts w:cs="Times New Roman"/>
          <w:b/>
          <w:color w:val="000000"/>
          <w:shd w:val="clear" w:color="auto" w:fill="FFFFFF"/>
        </w:rPr>
        <w:t>? How would air pollutant emissions affect air quality and air quality related values?</w:t>
      </w:r>
      <w:r w:rsidRPr="003B5758">
        <w:rPr>
          <w:rStyle w:val="normaltextrun"/>
          <w:b/>
          <w:color w:val="000000"/>
          <w:shd w:val="clear" w:color="auto" w:fill="FFFFFF"/>
        </w:rPr>
        <w:t> </w:t>
      </w:r>
      <w:r w:rsidRPr="003B5758">
        <w:rPr>
          <w:rStyle w:val="eop"/>
          <w:b/>
          <w:color w:val="000000"/>
          <w:shd w:val="clear" w:color="auto" w:fill="FFFFFF"/>
        </w:rPr>
        <w:t> </w:t>
      </w:r>
    </w:p>
    <w:p w14:paraId="469DB199" w14:textId="5155F956" w:rsidR="00E847B0" w:rsidRDefault="00E847B0" w:rsidP="00F2790D">
      <w:pPr>
        <w:pStyle w:val="BodyText"/>
        <w:rPr>
          <w:rFonts w:cs="Times New Roman"/>
        </w:rPr>
      </w:pPr>
      <w:r w:rsidRPr="00E847B0">
        <w:t xml:space="preserve">Air quality is determined by the quantity and chemistry of atmospheric pollutants in consideration of meteorological factors (i.e., weather patterns) and topography, both of which influence the dispersion and concentration of those pollutants. The presence of air pollutants is due to </w:t>
      </w:r>
      <w:r w:rsidR="00D97CE5" w:rsidRPr="00E847B0">
        <w:t>several</w:t>
      </w:r>
      <w:r w:rsidRPr="00E847B0">
        <w:t xml:space="preserve"> different and widespread sources of emissions. The impact analysis area for air quality is the airshed in which the lease parcels are located, including Uintah </w:t>
      </w:r>
      <w:r w:rsidR="004F03DD">
        <w:t xml:space="preserve">and Duchesne </w:t>
      </w:r>
      <w:r w:rsidRPr="00E847B0">
        <w:t>Count</w:t>
      </w:r>
      <w:r w:rsidR="004F03DD">
        <w:t>ies</w:t>
      </w:r>
      <w:r w:rsidRPr="00E847B0">
        <w:t>. This spatial scope of analysis was identified based on the regional nature of air pollution and to facilitate analysis using the best available air quality data, which are generally provided at the county level. For the purposes of this analysis, short-term effects to air quality are considered those that cease after well construction and completion (30–60 days); long-term effects</w:t>
      </w:r>
      <w:r>
        <w:t xml:space="preserve"> </w:t>
      </w:r>
      <w:r w:rsidRPr="00E847B0">
        <w:t>are considered those associated with operations and production and would cease after operations/production are concluded</w:t>
      </w:r>
      <w:r w:rsidR="008A621F">
        <w:t xml:space="preserve"> (typically 20-30 years)</w:t>
      </w:r>
      <w:r w:rsidRPr="00E847B0">
        <w:t>.</w:t>
      </w:r>
      <w:r w:rsidR="008A621F">
        <w:t xml:space="preserve"> </w:t>
      </w:r>
    </w:p>
    <w:p w14:paraId="35A58239" w14:textId="77777777" w:rsidR="002D682D" w:rsidRDefault="002D682D" w:rsidP="002D682D">
      <w:pPr>
        <w:pStyle w:val="Subheading4"/>
        <w:rPr>
          <w:rFonts w:ascii="Times New Roman" w:hAnsi="Times New Roman" w:cs="Times New Roman"/>
        </w:rPr>
      </w:pPr>
      <w:r w:rsidRPr="00262360">
        <w:rPr>
          <w:rFonts w:ascii="Times New Roman" w:hAnsi="Times New Roman" w:cs="Times New Roman"/>
        </w:rPr>
        <w:t>Affected Environment</w:t>
      </w:r>
    </w:p>
    <w:p w14:paraId="6AF5A679" w14:textId="7EAD4616" w:rsidR="00B0681F" w:rsidRDefault="002E2DCA" w:rsidP="004D3D1D">
      <w:r>
        <w:t>The BLM Utah 202</w:t>
      </w:r>
      <w:r w:rsidR="00D468BE">
        <w:t>3</w:t>
      </w:r>
      <w:r>
        <w:t xml:space="preserve"> Air Monitoring Report (AMR) </w:t>
      </w:r>
      <w:sdt>
        <w:sdtPr>
          <w:id w:val="-170252594"/>
          <w:citation/>
        </w:sdtPr>
        <w:sdtContent>
          <w:r w:rsidR="00910091">
            <w:fldChar w:fldCharType="begin"/>
          </w:r>
          <w:r w:rsidR="00910091">
            <w:instrText xml:space="preserve"> CITATION Placeholder7 \l 1033 </w:instrText>
          </w:r>
          <w:r w:rsidR="00910091">
            <w:fldChar w:fldCharType="separate"/>
          </w:r>
          <w:r w:rsidR="0093463A">
            <w:rPr>
              <w:noProof/>
            </w:rPr>
            <w:t>(BLM, 2023)</w:t>
          </w:r>
          <w:r w:rsidR="00910091">
            <w:fldChar w:fldCharType="end"/>
          </w:r>
        </w:sdtContent>
      </w:sdt>
      <w:r>
        <w:t xml:space="preserve"> discusses past, present, and foreseeable emissions and air quality data for Utah. Information from the AMR is incorporated by reference to help describe the air quality affected environment in the impact analysis area. The EPA has primary responsibility for regulating air quality, including six nationally regulated </w:t>
      </w:r>
      <w:r w:rsidR="000C1AF4">
        <w:t>criteria air pollutants (</w:t>
      </w:r>
      <w:r>
        <w:t>CAPs</w:t>
      </w:r>
      <w:r w:rsidR="000C1AF4">
        <w:t>)</w:t>
      </w:r>
      <w:r>
        <w:t>: carbon monoxide (CO), nitrogen dioxide (NO</w:t>
      </w:r>
      <w:r w:rsidRPr="006870FC">
        <w:rPr>
          <w:vertAlign w:val="subscript"/>
        </w:rPr>
        <w:t>2</w:t>
      </w:r>
      <w:r>
        <w:t>), ozone (O</w:t>
      </w:r>
      <w:r w:rsidRPr="006870FC">
        <w:rPr>
          <w:vertAlign w:val="subscript"/>
        </w:rPr>
        <w:t>3</w:t>
      </w:r>
      <w:r>
        <w:t>), particulate matter (PM</w:t>
      </w:r>
      <w:r w:rsidRPr="006870FC">
        <w:rPr>
          <w:vertAlign w:val="subscript"/>
        </w:rPr>
        <w:t>10</w:t>
      </w:r>
      <w:r>
        <w:t xml:space="preserve"> &amp; PM</w:t>
      </w:r>
      <w:r w:rsidRPr="006870FC">
        <w:rPr>
          <w:vertAlign w:val="subscript"/>
        </w:rPr>
        <w:t>2.5</w:t>
      </w:r>
      <w:r>
        <w:t>), sulfur dioxide (SO</w:t>
      </w:r>
      <w:r w:rsidRPr="006870FC">
        <w:rPr>
          <w:vertAlign w:val="subscript"/>
        </w:rPr>
        <w:t>2</w:t>
      </w:r>
      <w:r>
        <w:t xml:space="preserve">) and lead. </w:t>
      </w:r>
      <w:r w:rsidR="00CB7345">
        <w:t>Volatile organic compounds (</w:t>
      </w:r>
      <w:r>
        <w:t>VOCs</w:t>
      </w:r>
      <w:r w:rsidR="00CB7345">
        <w:t>)</w:t>
      </w:r>
      <w:r>
        <w:t xml:space="preserve"> are also regulated by the EPA as sunlight causes it to react with NO</w:t>
      </w:r>
      <w:r w:rsidRPr="006870FC">
        <w:rPr>
          <w:vertAlign w:val="subscript"/>
        </w:rPr>
        <w:t>2</w:t>
      </w:r>
      <w:r>
        <w:t xml:space="preserve"> to form O</w:t>
      </w:r>
      <w:r w:rsidRPr="006870FC">
        <w:rPr>
          <w:vertAlign w:val="subscript"/>
        </w:rPr>
        <w:t>3</w:t>
      </w:r>
      <w:r>
        <w:t xml:space="preserve">. </w:t>
      </w:r>
      <w:r w:rsidR="004D3D1D" w:rsidRPr="006870FC">
        <w:t>The National Emissions Inventory (NEI)</w:t>
      </w:r>
      <w:sdt>
        <w:sdtPr>
          <w:id w:val="1261796963"/>
          <w:citation/>
        </w:sdtPr>
        <w:sdtContent>
          <w:r w:rsidR="00C1252B">
            <w:fldChar w:fldCharType="begin"/>
          </w:r>
          <w:r w:rsidR="00C1252B">
            <w:instrText xml:space="preserve"> CITATION EPA2024 \l 1033 </w:instrText>
          </w:r>
          <w:r w:rsidR="00C1252B">
            <w:fldChar w:fldCharType="separate"/>
          </w:r>
          <w:r w:rsidR="0093463A">
            <w:rPr>
              <w:noProof/>
            </w:rPr>
            <w:t xml:space="preserve"> (EPA, 2024)</w:t>
          </w:r>
          <w:r w:rsidR="00C1252B">
            <w:fldChar w:fldCharType="end"/>
          </w:r>
        </w:sdtContent>
      </w:sdt>
      <w:r w:rsidR="004D3D1D" w:rsidRPr="006870FC">
        <w:t xml:space="preserve"> is a comprehensive and detailed estimate of air emissions of criteria pollutants, criteria precursors, and </w:t>
      </w:r>
      <w:r w:rsidR="004D3D1D" w:rsidRPr="006870FC">
        <w:lastRenderedPageBreak/>
        <w:t xml:space="preserve">hazardous air pollutants. The NEI is released every three years based primarily upon data provided by </w:t>
      </w:r>
      <w:r w:rsidR="006D2238">
        <w:t>s</w:t>
      </w:r>
      <w:r w:rsidR="004D3D1D" w:rsidRPr="006875D7">
        <w:t xml:space="preserve">tate, </w:t>
      </w:r>
      <w:r w:rsidR="006D2238">
        <w:t>l</w:t>
      </w:r>
      <w:r w:rsidR="004D3D1D" w:rsidRPr="006875D7">
        <w:t xml:space="preserve">ocal, and </w:t>
      </w:r>
      <w:r w:rsidR="006D2238">
        <w:t>t</w:t>
      </w:r>
      <w:r w:rsidR="004D3D1D" w:rsidRPr="0002556B">
        <w:t xml:space="preserve">ribal air agencies for sources in their jurisdictions and supplemented by data developed by the US EPA. The most recent reporting year for the NEI is 2020. </w:t>
      </w:r>
      <w:r w:rsidR="002C3758">
        <w:t>C</w:t>
      </w:r>
      <w:r w:rsidR="004D3D1D" w:rsidRPr="006870FC">
        <w:t>ounty emissions inventories relevant to the analysis area</w:t>
      </w:r>
      <w:r w:rsidRPr="00855C2A">
        <w:t xml:space="preserve"> are listed </w:t>
      </w:r>
      <w:r w:rsidR="002C3758">
        <w:t xml:space="preserve">in </w:t>
      </w:r>
      <w:r w:rsidR="002C3758">
        <w:fldChar w:fldCharType="begin"/>
      </w:r>
      <w:r w:rsidR="002C3758">
        <w:instrText xml:space="preserve"> REF _Ref164931208 \h </w:instrText>
      </w:r>
      <w:r w:rsidR="002C3758">
        <w:fldChar w:fldCharType="separate"/>
      </w:r>
      <w:r w:rsidR="002C3758">
        <w:t xml:space="preserve">Table </w:t>
      </w:r>
      <w:r w:rsidR="002C3758">
        <w:rPr>
          <w:noProof/>
        </w:rPr>
        <w:t>3</w:t>
      </w:r>
      <w:r w:rsidR="002C3758">
        <w:fldChar w:fldCharType="end"/>
      </w:r>
      <w:r w:rsidR="004D3D1D" w:rsidRPr="006870FC">
        <w:t>. Total emissions include both natural (e.g., wildfires and biogenic) and anthropogenic (e.g., fuel combustion, mobile, etc.) sources.</w:t>
      </w:r>
    </w:p>
    <w:p w14:paraId="1E86A3A9" w14:textId="6626A733" w:rsidR="00FB45FC" w:rsidRDefault="00FB45FC" w:rsidP="00AC4C5E">
      <w:pPr>
        <w:pStyle w:val="Caption"/>
      </w:pPr>
      <w:bookmarkStart w:id="211" w:name="_Ref164931208"/>
      <w:bookmarkStart w:id="212" w:name="_Toc179464296"/>
      <w:bookmarkStart w:id="213" w:name="_Toc170114951"/>
      <w:r>
        <w:t xml:space="preserve">Table </w:t>
      </w:r>
      <w:r w:rsidR="00BB3F01">
        <w:fldChar w:fldCharType="begin"/>
      </w:r>
      <w:r w:rsidR="00BB3F01">
        <w:instrText xml:space="preserve"> SEQ Table \* ARABIC </w:instrText>
      </w:r>
      <w:r w:rsidR="00BB3F01">
        <w:fldChar w:fldCharType="separate"/>
      </w:r>
      <w:r w:rsidR="00BB3F01">
        <w:rPr>
          <w:noProof/>
        </w:rPr>
        <w:t>15</w:t>
      </w:r>
      <w:r w:rsidR="00BB3F01">
        <w:rPr>
          <w:noProof/>
        </w:rPr>
        <w:fldChar w:fldCharType="end"/>
      </w:r>
      <w:bookmarkEnd w:id="211"/>
      <w:r>
        <w:t xml:space="preserve"> </w:t>
      </w:r>
      <w:r w:rsidR="00550980">
        <w:t xml:space="preserve">Existing </w:t>
      </w:r>
      <w:r w:rsidRPr="00956676">
        <w:t xml:space="preserve">Criteria Air Pollutant Emissions in </w:t>
      </w:r>
      <w:r w:rsidR="00550980">
        <w:t>the Airshed</w:t>
      </w:r>
      <w:r w:rsidR="00E529F7">
        <w:t xml:space="preserve"> in Tons Per Year (TPY)</w:t>
      </w:r>
      <w:bookmarkEnd w:id="212"/>
      <w:bookmarkEnd w:id="213"/>
    </w:p>
    <w:tbl>
      <w:tblPr>
        <w:tblStyle w:val="TableGrid"/>
        <w:tblW w:w="0" w:type="auto"/>
        <w:tblLook w:val="04A0" w:firstRow="1" w:lastRow="0" w:firstColumn="1" w:lastColumn="0" w:noHBand="0" w:noVBand="1"/>
      </w:tblPr>
      <w:tblGrid>
        <w:gridCol w:w="1039"/>
        <w:gridCol w:w="1516"/>
        <w:gridCol w:w="1203"/>
        <w:gridCol w:w="956"/>
        <w:gridCol w:w="1079"/>
        <w:gridCol w:w="1079"/>
        <w:gridCol w:w="956"/>
        <w:gridCol w:w="1176"/>
        <w:gridCol w:w="346"/>
      </w:tblGrid>
      <w:tr w:rsidR="00D372BA" w:rsidRPr="00EA4A98" w14:paraId="18FEE684" w14:textId="77777777" w:rsidTr="00A74762">
        <w:trPr>
          <w:gridAfter w:val="1"/>
          <w:wAfter w:w="614" w:type="dxa"/>
        </w:trPr>
        <w:tc>
          <w:tcPr>
            <w:tcW w:w="812" w:type="dxa"/>
            <w:shd w:val="clear" w:color="auto" w:fill="auto"/>
            <w:vAlign w:val="center"/>
          </w:tcPr>
          <w:p w14:paraId="09F1098D" w14:textId="62236F70" w:rsidR="00317FA6" w:rsidRPr="00EA4A98" w:rsidRDefault="00F65EF5">
            <w:pPr>
              <w:jc w:val="center"/>
              <w:rPr>
                <w:b/>
                <w:sz w:val="20"/>
                <w:szCs w:val="20"/>
              </w:rPr>
            </w:pPr>
            <w:r>
              <w:rPr>
                <w:b/>
                <w:sz w:val="20"/>
                <w:szCs w:val="20"/>
              </w:rPr>
              <w:t>County</w:t>
            </w:r>
          </w:p>
        </w:tc>
        <w:tc>
          <w:tcPr>
            <w:tcW w:w="1158" w:type="dxa"/>
            <w:shd w:val="clear" w:color="auto" w:fill="auto"/>
            <w:vAlign w:val="center"/>
          </w:tcPr>
          <w:p w14:paraId="5F75C04C" w14:textId="1E13F191" w:rsidR="00F65EF5" w:rsidRDefault="00F65EF5">
            <w:pPr>
              <w:jc w:val="center"/>
              <w:rPr>
                <w:b/>
                <w:sz w:val="20"/>
                <w:szCs w:val="20"/>
              </w:rPr>
            </w:pPr>
            <w:r>
              <w:rPr>
                <w:b/>
                <w:sz w:val="20"/>
                <w:szCs w:val="20"/>
              </w:rPr>
              <w:t>Source</w:t>
            </w:r>
          </w:p>
        </w:tc>
        <w:tc>
          <w:tcPr>
            <w:tcW w:w="1375" w:type="dxa"/>
            <w:shd w:val="clear" w:color="auto" w:fill="auto"/>
            <w:vAlign w:val="center"/>
          </w:tcPr>
          <w:p w14:paraId="7F081067" w14:textId="77777777" w:rsidR="00317FA6" w:rsidRPr="00EA4A98" w:rsidRDefault="00317FA6">
            <w:pPr>
              <w:jc w:val="center"/>
              <w:rPr>
                <w:b/>
                <w:sz w:val="20"/>
                <w:szCs w:val="20"/>
              </w:rPr>
            </w:pPr>
            <w:r w:rsidRPr="00EA4A98">
              <w:rPr>
                <w:b/>
                <w:sz w:val="20"/>
                <w:szCs w:val="20"/>
              </w:rPr>
              <w:t>CO</w:t>
            </w:r>
          </w:p>
        </w:tc>
        <w:tc>
          <w:tcPr>
            <w:tcW w:w="1085" w:type="dxa"/>
            <w:shd w:val="clear" w:color="auto" w:fill="auto"/>
            <w:vAlign w:val="center"/>
          </w:tcPr>
          <w:p w14:paraId="736A49BC" w14:textId="555AA0A1" w:rsidR="00317FA6" w:rsidRPr="00EA4A98" w:rsidRDefault="00317FA6">
            <w:pPr>
              <w:jc w:val="center"/>
              <w:rPr>
                <w:b/>
                <w:sz w:val="20"/>
                <w:szCs w:val="20"/>
              </w:rPr>
            </w:pPr>
            <w:r w:rsidRPr="00EA4A98">
              <w:rPr>
                <w:b/>
                <w:sz w:val="20"/>
                <w:szCs w:val="20"/>
              </w:rPr>
              <w:t>NO</w:t>
            </w:r>
            <w:r w:rsidRPr="008E560C">
              <w:rPr>
                <w:b/>
                <w:sz w:val="20"/>
                <w:szCs w:val="20"/>
                <w:vertAlign w:val="subscript"/>
              </w:rPr>
              <w:t>x</w:t>
            </w:r>
            <w:r w:rsidR="003C6E5A">
              <w:rPr>
                <w:b/>
                <w:sz w:val="20"/>
                <w:szCs w:val="20"/>
                <w:vertAlign w:val="subscript"/>
              </w:rPr>
              <w:t>**</w:t>
            </w:r>
          </w:p>
        </w:tc>
        <w:tc>
          <w:tcPr>
            <w:tcW w:w="1230" w:type="dxa"/>
            <w:shd w:val="clear" w:color="auto" w:fill="auto"/>
            <w:vAlign w:val="center"/>
          </w:tcPr>
          <w:p w14:paraId="4F9B9720" w14:textId="77777777" w:rsidR="00317FA6" w:rsidRPr="00EA4A98" w:rsidRDefault="00317FA6">
            <w:pPr>
              <w:jc w:val="center"/>
              <w:rPr>
                <w:b/>
                <w:sz w:val="20"/>
                <w:szCs w:val="20"/>
              </w:rPr>
            </w:pPr>
            <w:r w:rsidRPr="00EA4A98">
              <w:rPr>
                <w:b/>
                <w:sz w:val="20"/>
                <w:szCs w:val="20"/>
              </w:rPr>
              <w:t>PM</w:t>
            </w:r>
            <w:r w:rsidRPr="008E560C">
              <w:rPr>
                <w:b/>
                <w:sz w:val="20"/>
                <w:szCs w:val="20"/>
                <w:vertAlign w:val="subscript"/>
              </w:rPr>
              <w:t>10</w:t>
            </w:r>
          </w:p>
        </w:tc>
        <w:tc>
          <w:tcPr>
            <w:tcW w:w="1230" w:type="dxa"/>
            <w:shd w:val="clear" w:color="auto" w:fill="auto"/>
            <w:vAlign w:val="center"/>
          </w:tcPr>
          <w:p w14:paraId="1F017AC6" w14:textId="77777777" w:rsidR="00317FA6" w:rsidRPr="00EA4A98" w:rsidRDefault="00317FA6">
            <w:pPr>
              <w:jc w:val="center"/>
              <w:rPr>
                <w:b/>
                <w:sz w:val="20"/>
                <w:szCs w:val="20"/>
              </w:rPr>
            </w:pPr>
            <w:r w:rsidRPr="00EA4A98">
              <w:rPr>
                <w:b/>
                <w:sz w:val="20"/>
                <w:szCs w:val="20"/>
              </w:rPr>
              <w:t>PM</w:t>
            </w:r>
            <w:r w:rsidRPr="008E560C">
              <w:rPr>
                <w:b/>
                <w:sz w:val="20"/>
                <w:szCs w:val="20"/>
                <w:vertAlign w:val="subscript"/>
              </w:rPr>
              <w:t>2.5</w:t>
            </w:r>
          </w:p>
        </w:tc>
        <w:tc>
          <w:tcPr>
            <w:tcW w:w="1085" w:type="dxa"/>
            <w:shd w:val="clear" w:color="auto" w:fill="auto"/>
            <w:vAlign w:val="center"/>
          </w:tcPr>
          <w:p w14:paraId="16CFB0BC" w14:textId="10169BD5" w:rsidR="00317FA6" w:rsidRPr="00EA4A98" w:rsidRDefault="00F65EF5">
            <w:pPr>
              <w:jc w:val="center"/>
              <w:rPr>
                <w:b/>
                <w:sz w:val="20"/>
                <w:szCs w:val="20"/>
              </w:rPr>
            </w:pPr>
            <w:r w:rsidRPr="00EA4A98">
              <w:rPr>
                <w:b/>
                <w:sz w:val="20"/>
                <w:szCs w:val="20"/>
              </w:rPr>
              <w:t>SO</w:t>
            </w:r>
            <w:r w:rsidR="007B293D" w:rsidRPr="002A26F5">
              <w:rPr>
                <w:b/>
                <w:sz w:val="20"/>
                <w:szCs w:val="20"/>
                <w:vertAlign w:val="subscript"/>
              </w:rPr>
              <w:t>2</w:t>
            </w:r>
          </w:p>
        </w:tc>
        <w:tc>
          <w:tcPr>
            <w:tcW w:w="1375" w:type="dxa"/>
            <w:shd w:val="clear" w:color="auto" w:fill="auto"/>
            <w:vAlign w:val="center"/>
          </w:tcPr>
          <w:p w14:paraId="38BBD59E" w14:textId="77777777" w:rsidR="00317FA6" w:rsidRPr="00EA4A98" w:rsidRDefault="00317FA6">
            <w:pPr>
              <w:jc w:val="center"/>
              <w:rPr>
                <w:b/>
                <w:sz w:val="20"/>
                <w:szCs w:val="20"/>
              </w:rPr>
            </w:pPr>
            <w:r w:rsidRPr="00EA4A98">
              <w:rPr>
                <w:b/>
                <w:sz w:val="20"/>
                <w:szCs w:val="20"/>
              </w:rPr>
              <w:t>VOC</w:t>
            </w:r>
          </w:p>
        </w:tc>
      </w:tr>
      <w:tr w:rsidR="00D372BA" w:rsidRPr="00EA4A98" w14:paraId="4EC440EC" w14:textId="77777777" w:rsidTr="0050637F">
        <w:tc>
          <w:tcPr>
            <w:tcW w:w="812" w:type="dxa"/>
            <w:vMerge w:val="restart"/>
            <w:vAlign w:val="center"/>
          </w:tcPr>
          <w:p w14:paraId="05DE20CF" w14:textId="0A5BF609" w:rsidR="00317FA6" w:rsidRPr="00EA4A98" w:rsidRDefault="00317FA6">
            <w:pPr>
              <w:jc w:val="center"/>
              <w:rPr>
                <w:b/>
                <w:sz w:val="20"/>
                <w:szCs w:val="20"/>
              </w:rPr>
            </w:pPr>
            <w:r w:rsidRPr="00EA4A98">
              <w:rPr>
                <w:b/>
                <w:sz w:val="20"/>
                <w:szCs w:val="20"/>
              </w:rPr>
              <w:t>Uintah</w:t>
            </w:r>
            <w:r>
              <w:rPr>
                <w:b/>
                <w:sz w:val="20"/>
                <w:szCs w:val="20"/>
              </w:rPr>
              <w:t xml:space="preserve"> </w:t>
            </w:r>
            <w:r w:rsidRPr="00EA4A98">
              <w:rPr>
                <w:b/>
                <w:sz w:val="20"/>
                <w:szCs w:val="20"/>
              </w:rPr>
              <w:t>County</w:t>
            </w:r>
            <w:r>
              <w:rPr>
                <w:b/>
                <w:sz w:val="20"/>
                <w:szCs w:val="20"/>
              </w:rPr>
              <w:t xml:space="preserve"> </w:t>
            </w:r>
          </w:p>
        </w:tc>
        <w:tc>
          <w:tcPr>
            <w:tcW w:w="1158" w:type="dxa"/>
            <w:vAlign w:val="center"/>
          </w:tcPr>
          <w:p w14:paraId="375097DC" w14:textId="79A569C2" w:rsidR="00F65EF5" w:rsidRDefault="00F65EF5">
            <w:pPr>
              <w:jc w:val="center"/>
              <w:rPr>
                <w:bCs/>
                <w:sz w:val="20"/>
                <w:szCs w:val="20"/>
              </w:rPr>
            </w:pPr>
            <w:r>
              <w:rPr>
                <w:bCs/>
                <w:sz w:val="20"/>
                <w:szCs w:val="20"/>
              </w:rPr>
              <w:t>Anthropogenic</w:t>
            </w:r>
            <w:r w:rsidR="002A26F5">
              <w:rPr>
                <w:bCs/>
                <w:sz w:val="20"/>
                <w:szCs w:val="20"/>
              </w:rPr>
              <w:t>*</w:t>
            </w:r>
          </w:p>
        </w:tc>
        <w:tc>
          <w:tcPr>
            <w:tcW w:w="1375" w:type="dxa"/>
            <w:vAlign w:val="center"/>
          </w:tcPr>
          <w:p w14:paraId="73033820" w14:textId="51053C09" w:rsidR="00317FA6" w:rsidRPr="00EA4A98" w:rsidRDefault="00821BCE" w:rsidP="00AC4C5E">
            <w:pPr>
              <w:jc w:val="center"/>
              <w:rPr>
                <w:bCs/>
                <w:sz w:val="20"/>
                <w:szCs w:val="20"/>
              </w:rPr>
            </w:pPr>
            <w:r w:rsidRPr="005C0B2B">
              <w:rPr>
                <w:sz w:val="20"/>
                <w:szCs w:val="20"/>
              </w:rPr>
              <w:t>10,773.1</w:t>
            </w:r>
          </w:p>
        </w:tc>
        <w:tc>
          <w:tcPr>
            <w:tcW w:w="1085" w:type="dxa"/>
            <w:vAlign w:val="center"/>
          </w:tcPr>
          <w:p w14:paraId="092BBEA2" w14:textId="50DD07B9" w:rsidR="00317FA6" w:rsidRPr="00EA4A98" w:rsidRDefault="00821BCE" w:rsidP="002A26F5">
            <w:pPr>
              <w:jc w:val="center"/>
              <w:rPr>
                <w:bCs/>
                <w:sz w:val="20"/>
                <w:szCs w:val="20"/>
              </w:rPr>
            </w:pPr>
            <w:r w:rsidRPr="005C0B2B">
              <w:rPr>
                <w:sz w:val="20"/>
                <w:szCs w:val="20"/>
              </w:rPr>
              <w:t>7,932.5</w:t>
            </w:r>
          </w:p>
        </w:tc>
        <w:tc>
          <w:tcPr>
            <w:tcW w:w="1230" w:type="dxa"/>
            <w:vAlign w:val="center"/>
          </w:tcPr>
          <w:p w14:paraId="359B842E" w14:textId="4A7E37F9" w:rsidR="00317FA6" w:rsidRPr="00EA4A98" w:rsidRDefault="00821BCE" w:rsidP="002A26F5">
            <w:pPr>
              <w:jc w:val="center"/>
              <w:rPr>
                <w:bCs/>
                <w:sz w:val="20"/>
                <w:szCs w:val="20"/>
              </w:rPr>
            </w:pPr>
            <w:r w:rsidRPr="005C0B2B">
              <w:rPr>
                <w:sz w:val="20"/>
                <w:szCs w:val="20"/>
              </w:rPr>
              <w:t>5,977.8</w:t>
            </w:r>
          </w:p>
        </w:tc>
        <w:tc>
          <w:tcPr>
            <w:tcW w:w="1230" w:type="dxa"/>
            <w:vAlign w:val="center"/>
          </w:tcPr>
          <w:p w14:paraId="411C7366" w14:textId="67361748" w:rsidR="00317FA6" w:rsidRPr="00EA4A98" w:rsidRDefault="00821BCE" w:rsidP="002A26F5">
            <w:pPr>
              <w:jc w:val="center"/>
              <w:rPr>
                <w:bCs/>
                <w:sz w:val="20"/>
                <w:szCs w:val="20"/>
              </w:rPr>
            </w:pPr>
            <w:r w:rsidRPr="005C0B2B">
              <w:rPr>
                <w:sz w:val="20"/>
                <w:szCs w:val="20"/>
              </w:rPr>
              <w:t>1,234.1</w:t>
            </w:r>
          </w:p>
        </w:tc>
        <w:tc>
          <w:tcPr>
            <w:tcW w:w="1085" w:type="dxa"/>
            <w:vAlign w:val="center"/>
          </w:tcPr>
          <w:p w14:paraId="0CD95D13" w14:textId="21281E78" w:rsidR="00317FA6" w:rsidRPr="00EA4A98" w:rsidRDefault="00821BCE" w:rsidP="002A26F5">
            <w:pPr>
              <w:jc w:val="center"/>
              <w:rPr>
                <w:bCs/>
                <w:sz w:val="20"/>
                <w:szCs w:val="20"/>
              </w:rPr>
            </w:pPr>
            <w:r w:rsidRPr="005C0B2B">
              <w:rPr>
                <w:sz w:val="20"/>
                <w:szCs w:val="20"/>
              </w:rPr>
              <w:t>135.1</w:t>
            </w:r>
          </w:p>
        </w:tc>
        <w:tc>
          <w:tcPr>
            <w:tcW w:w="1375" w:type="dxa"/>
            <w:gridSpan w:val="2"/>
            <w:vAlign w:val="center"/>
          </w:tcPr>
          <w:p w14:paraId="355D1390" w14:textId="1B2597FF" w:rsidR="00317FA6" w:rsidRPr="00EA4A98" w:rsidRDefault="00821BCE">
            <w:pPr>
              <w:jc w:val="center"/>
              <w:rPr>
                <w:bCs/>
                <w:sz w:val="20"/>
                <w:szCs w:val="20"/>
              </w:rPr>
            </w:pPr>
            <w:r w:rsidRPr="005C0B2B">
              <w:rPr>
                <w:sz w:val="20"/>
                <w:szCs w:val="20"/>
              </w:rPr>
              <w:t>47,429.0</w:t>
            </w:r>
          </w:p>
        </w:tc>
      </w:tr>
      <w:tr w:rsidR="00D372BA" w:rsidRPr="00EA4A98" w14:paraId="40F1DC8A" w14:textId="77777777" w:rsidTr="0050637F">
        <w:tc>
          <w:tcPr>
            <w:tcW w:w="812" w:type="dxa"/>
            <w:vMerge/>
            <w:vAlign w:val="center"/>
          </w:tcPr>
          <w:p w14:paraId="59FB6DC2" w14:textId="3FE76785" w:rsidR="00317FA6" w:rsidRPr="00EA4A98" w:rsidRDefault="00317FA6">
            <w:pPr>
              <w:jc w:val="center"/>
              <w:rPr>
                <w:b/>
                <w:sz w:val="20"/>
                <w:szCs w:val="20"/>
              </w:rPr>
            </w:pPr>
          </w:p>
        </w:tc>
        <w:tc>
          <w:tcPr>
            <w:tcW w:w="1158" w:type="dxa"/>
            <w:vAlign w:val="center"/>
          </w:tcPr>
          <w:p w14:paraId="4CBFD574" w14:textId="3992F932" w:rsidR="00F65EF5" w:rsidRDefault="00F65EF5">
            <w:pPr>
              <w:jc w:val="center"/>
              <w:rPr>
                <w:bCs/>
                <w:sz w:val="20"/>
                <w:szCs w:val="20"/>
              </w:rPr>
            </w:pPr>
            <w:r>
              <w:rPr>
                <w:bCs/>
                <w:sz w:val="20"/>
                <w:szCs w:val="20"/>
              </w:rPr>
              <w:t>Total</w:t>
            </w:r>
          </w:p>
        </w:tc>
        <w:tc>
          <w:tcPr>
            <w:tcW w:w="1375" w:type="dxa"/>
            <w:vAlign w:val="center"/>
          </w:tcPr>
          <w:p w14:paraId="1DAE8505" w14:textId="0C44C02C" w:rsidR="00317FA6" w:rsidRPr="00EA4A98" w:rsidRDefault="00A74762">
            <w:pPr>
              <w:jc w:val="center"/>
              <w:rPr>
                <w:bCs/>
                <w:sz w:val="20"/>
                <w:szCs w:val="20"/>
              </w:rPr>
            </w:pPr>
            <w:r w:rsidRPr="005C0B2B">
              <w:rPr>
                <w:sz w:val="20"/>
                <w:szCs w:val="20"/>
              </w:rPr>
              <w:t>13,636.0</w:t>
            </w:r>
          </w:p>
        </w:tc>
        <w:tc>
          <w:tcPr>
            <w:tcW w:w="1085" w:type="dxa"/>
            <w:vAlign w:val="center"/>
          </w:tcPr>
          <w:p w14:paraId="4B31C69D" w14:textId="448D03BE" w:rsidR="00317FA6" w:rsidRPr="00EA4A98" w:rsidRDefault="00A74762">
            <w:pPr>
              <w:jc w:val="center"/>
              <w:rPr>
                <w:bCs/>
                <w:sz w:val="20"/>
                <w:szCs w:val="20"/>
              </w:rPr>
            </w:pPr>
            <w:r w:rsidRPr="005C0B2B">
              <w:rPr>
                <w:sz w:val="20"/>
                <w:szCs w:val="20"/>
              </w:rPr>
              <w:t>8,644.4</w:t>
            </w:r>
          </w:p>
        </w:tc>
        <w:tc>
          <w:tcPr>
            <w:tcW w:w="1230" w:type="dxa"/>
            <w:vAlign w:val="center"/>
          </w:tcPr>
          <w:p w14:paraId="4F9D5EE9" w14:textId="70D56CDB" w:rsidR="00317FA6" w:rsidRPr="00EA4A98" w:rsidRDefault="00A74762">
            <w:pPr>
              <w:jc w:val="center"/>
              <w:rPr>
                <w:bCs/>
                <w:sz w:val="20"/>
                <w:szCs w:val="20"/>
              </w:rPr>
            </w:pPr>
            <w:r w:rsidRPr="005C0B2B">
              <w:rPr>
                <w:sz w:val="20"/>
                <w:szCs w:val="20"/>
              </w:rPr>
              <w:t>6,000.1</w:t>
            </w:r>
          </w:p>
        </w:tc>
        <w:tc>
          <w:tcPr>
            <w:tcW w:w="1230" w:type="dxa"/>
            <w:vAlign w:val="center"/>
          </w:tcPr>
          <w:p w14:paraId="634EDD5F" w14:textId="46BE0FC9" w:rsidR="00317FA6" w:rsidRPr="00EA4A98" w:rsidRDefault="00A74762">
            <w:pPr>
              <w:jc w:val="center"/>
              <w:rPr>
                <w:bCs/>
                <w:sz w:val="20"/>
                <w:szCs w:val="20"/>
              </w:rPr>
            </w:pPr>
            <w:r w:rsidRPr="005C0B2B">
              <w:rPr>
                <w:sz w:val="20"/>
                <w:szCs w:val="20"/>
              </w:rPr>
              <w:t>1,253.1</w:t>
            </w:r>
          </w:p>
        </w:tc>
        <w:tc>
          <w:tcPr>
            <w:tcW w:w="1085" w:type="dxa"/>
            <w:vAlign w:val="center"/>
          </w:tcPr>
          <w:p w14:paraId="638F5F59" w14:textId="0470602C" w:rsidR="00317FA6" w:rsidRPr="00EA4A98" w:rsidRDefault="00A74762">
            <w:pPr>
              <w:jc w:val="center"/>
              <w:rPr>
                <w:bCs/>
                <w:sz w:val="20"/>
                <w:szCs w:val="20"/>
              </w:rPr>
            </w:pPr>
            <w:r w:rsidRPr="005C0B2B">
              <w:rPr>
                <w:sz w:val="20"/>
                <w:szCs w:val="20"/>
              </w:rPr>
              <w:t>137.1</w:t>
            </w:r>
          </w:p>
        </w:tc>
        <w:tc>
          <w:tcPr>
            <w:tcW w:w="1375" w:type="dxa"/>
            <w:gridSpan w:val="2"/>
            <w:vAlign w:val="center"/>
          </w:tcPr>
          <w:p w14:paraId="0E49D15F" w14:textId="66263CC4" w:rsidR="00317FA6" w:rsidRPr="00EA4A98" w:rsidRDefault="00A74762">
            <w:pPr>
              <w:jc w:val="center"/>
              <w:rPr>
                <w:bCs/>
                <w:sz w:val="20"/>
                <w:szCs w:val="20"/>
              </w:rPr>
            </w:pPr>
            <w:r w:rsidRPr="005C0B2B">
              <w:rPr>
                <w:sz w:val="20"/>
                <w:szCs w:val="20"/>
              </w:rPr>
              <w:t>58,108.2</w:t>
            </w:r>
          </w:p>
        </w:tc>
      </w:tr>
      <w:tr w:rsidR="00D372BA" w:rsidRPr="00EA4A98" w14:paraId="3FFA8932" w14:textId="77777777" w:rsidTr="0050637F">
        <w:tc>
          <w:tcPr>
            <w:tcW w:w="812" w:type="dxa"/>
            <w:vMerge w:val="restart"/>
            <w:vAlign w:val="center"/>
          </w:tcPr>
          <w:p w14:paraId="19A6685C" w14:textId="3EC60447" w:rsidR="00317FA6" w:rsidRPr="00EA4A98" w:rsidRDefault="00317FA6">
            <w:pPr>
              <w:jc w:val="center"/>
              <w:rPr>
                <w:b/>
                <w:sz w:val="20"/>
                <w:szCs w:val="20"/>
              </w:rPr>
            </w:pPr>
            <w:r w:rsidRPr="00EA4A98">
              <w:rPr>
                <w:b/>
                <w:sz w:val="20"/>
                <w:szCs w:val="20"/>
              </w:rPr>
              <w:t>Duchesne</w:t>
            </w:r>
            <w:r>
              <w:rPr>
                <w:b/>
                <w:sz w:val="20"/>
                <w:szCs w:val="20"/>
              </w:rPr>
              <w:t xml:space="preserve"> </w:t>
            </w:r>
            <w:r w:rsidRPr="00EA4A98">
              <w:rPr>
                <w:b/>
                <w:sz w:val="20"/>
                <w:szCs w:val="20"/>
              </w:rPr>
              <w:t>County</w:t>
            </w:r>
            <w:r>
              <w:rPr>
                <w:b/>
                <w:sz w:val="20"/>
                <w:szCs w:val="20"/>
              </w:rPr>
              <w:t xml:space="preserve"> </w:t>
            </w:r>
          </w:p>
        </w:tc>
        <w:tc>
          <w:tcPr>
            <w:tcW w:w="1158" w:type="dxa"/>
            <w:vAlign w:val="center"/>
          </w:tcPr>
          <w:p w14:paraId="357A846E" w14:textId="6B1B92BE" w:rsidR="00F65EF5" w:rsidRPr="00BF54C3" w:rsidRDefault="00615AFE">
            <w:pPr>
              <w:jc w:val="center"/>
              <w:rPr>
                <w:bCs/>
                <w:sz w:val="20"/>
                <w:szCs w:val="20"/>
              </w:rPr>
            </w:pPr>
            <w:r>
              <w:rPr>
                <w:bCs/>
                <w:sz w:val="20"/>
                <w:szCs w:val="20"/>
              </w:rPr>
              <w:t>Anthropogenic</w:t>
            </w:r>
            <w:r w:rsidR="002A26F5">
              <w:rPr>
                <w:bCs/>
                <w:sz w:val="20"/>
                <w:szCs w:val="20"/>
              </w:rPr>
              <w:t>*</w:t>
            </w:r>
          </w:p>
        </w:tc>
        <w:tc>
          <w:tcPr>
            <w:tcW w:w="1375" w:type="dxa"/>
            <w:vAlign w:val="center"/>
          </w:tcPr>
          <w:p w14:paraId="7C495352" w14:textId="63F621AA" w:rsidR="00317FA6" w:rsidRPr="00EA4A98" w:rsidRDefault="000A1567">
            <w:pPr>
              <w:jc w:val="center"/>
              <w:rPr>
                <w:bCs/>
                <w:sz w:val="20"/>
                <w:szCs w:val="20"/>
              </w:rPr>
            </w:pPr>
            <w:r w:rsidRPr="005C0B2B">
              <w:rPr>
                <w:sz w:val="20"/>
                <w:szCs w:val="20"/>
              </w:rPr>
              <w:t>8,795.7</w:t>
            </w:r>
          </w:p>
        </w:tc>
        <w:tc>
          <w:tcPr>
            <w:tcW w:w="1085" w:type="dxa"/>
            <w:vAlign w:val="center"/>
          </w:tcPr>
          <w:p w14:paraId="5A1FC5DD" w14:textId="74765743" w:rsidR="00317FA6" w:rsidRPr="00EA4A98" w:rsidRDefault="000A1567">
            <w:pPr>
              <w:jc w:val="center"/>
              <w:rPr>
                <w:bCs/>
                <w:sz w:val="20"/>
                <w:szCs w:val="20"/>
              </w:rPr>
            </w:pPr>
            <w:r w:rsidRPr="005C0B2B">
              <w:rPr>
                <w:sz w:val="20"/>
                <w:szCs w:val="20"/>
              </w:rPr>
              <w:t>6,199.8</w:t>
            </w:r>
          </w:p>
        </w:tc>
        <w:tc>
          <w:tcPr>
            <w:tcW w:w="1230" w:type="dxa"/>
            <w:vAlign w:val="center"/>
          </w:tcPr>
          <w:p w14:paraId="0061BD84" w14:textId="7AFEA3BE" w:rsidR="00317FA6" w:rsidRPr="00EA4A98" w:rsidRDefault="000A1567">
            <w:pPr>
              <w:jc w:val="center"/>
              <w:rPr>
                <w:bCs/>
                <w:sz w:val="20"/>
                <w:szCs w:val="20"/>
              </w:rPr>
            </w:pPr>
            <w:r w:rsidRPr="005C0B2B">
              <w:rPr>
                <w:sz w:val="20"/>
                <w:szCs w:val="20"/>
              </w:rPr>
              <w:t>5,175.5</w:t>
            </w:r>
          </w:p>
        </w:tc>
        <w:tc>
          <w:tcPr>
            <w:tcW w:w="1230" w:type="dxa"/>
            <w:vAlign w:val="center"/>
          </w:tcPr>
          <w:p w14:paraId="408680BB" w14:textId="15DC9A59" w:rsidR="00317FA6" w:rsidRPr="00EA4A98" w:rsidRDefault="000A1567">
            <w:pPr>
              <w:jc w:val="center"/>
              <w:rPr>
                <w:bCs/>
                <w:sz w:val="20"/>
                <w:szCs w:val="20"/>
              </w:rPr>
            </w:pPr>
            <w:r w:rsidRPr="005C0B2B">
              <w:rPr>
                <w:sz w:val="20"/>
                <w:szCs w:val="20"/>
              </w:rPr>
              <w:t>1,026.2</w:t>
            </w:r>
          </w:p>
        </w:tc>
        <w:tc>
          <w:tcPr>
            <w:tcW w:w="1085" w:type="dxa"/>
            <w:vAlign w:val="center"/>
          </w:tcPr>
          <w:p w14:paraId="7DFBFA55" w14:textId="4B1A1894" w:rsidR="00317FA6" w:rsidRPr="00EA4A98" w:rsidRDefault="000A1567">
            <w:pPr>
              <w:jc w:val="center"/>
              <w:rPr>
                <w:bCs/>
                <w:sz w:val="20"/>
                <w:szCs w:val="20"/>
              </w:rPr>
            </w:pPr>
            <w:r w:rsidRPr="005C0B2B">
              <w:rPr>
                <w:sz w:val="20"/>
                <w:szCs w:val="20"/>
              </w:rPr>
              <w:t>214.1</w:t>
            </w:r>
          </w:p>
        </w:tc>
        <w:tc>
          <w:tcPr>
            <w:tcW w:w="1375" w:type="dxa"/>
            <w:gridSpan w:val="2"/>
            <w:vAlign w:val="center"/>
          </w:tcPr>
          <w:p w14:paraId="46BF9D18" w14:textId="432DD436" w:rsidR="00317FA6" w:rsidRPr="00EA4A98" w:rsidRDefault="000A1567">
            <w:pPr>
              <w:jc w:val="center"/>
              <w:rPr>
                <w:bCs/>
                <w:sz w:val="20"/>
                <w:szCs w:val="20"/>
              </w:rPr>
            </w:pPr>
            <w:r w:rsidRPr="005C0B2B">
              <w:rPr>
                <w:sz w:val="20"/>
                <w:szCs w:val="20"/>
              </w:rPr>
              <w:t>15,035.1</w:t>
            </w:r>
          </w:p>
        </w:tc>
      </w:tr>
      <w:tr w:rsidR="00D372BA" w:rsidRPr="00EA4A98" w14:paraId="1A958091" w14:textId="77777777" w:rsidTr="0050637F">
        <w:tc>
          <w:tcPr>
            <w:tcW w:w="812" w:type="dxa"/>
            <w:vMerge/>
            <w:vAlign w:val="center"/>
          </w:tcPr>
          <w:p w14:paraId="096E1716" w14:textId="1230A39E" w:rsidR="00317FA6" w:rsidRPr="00EA4A98" w:rsidRDefault="00317FA6">
            <w:pPr>
              <w:jc w:val="center"/>
              <w:rPr>
                <w:b/>
                <w:sz w:val="20"/>
                <w:szCs w:val="20"/>
              </w:rPr>
            </w:pPr>
          </w:p>
        </w:tc>
        <w:tc>
          <w:tcPr>
            <w:tcW w:w="1158" w:type="dxa"/>
            <w:vAlign w:val="center"/>
          </w:tcPr>
          <w:p w14:paraId="0BB3DCAE" w14:textId="226A67AC" w:rsidR="00F65EF5" w:rsidRPr="00EA4A98" w:rsidRDefault="00615AFE">
            <w:pPr>
              <w:jc w:val="center"/>
              <w:rPr>
                <w:bCs/>
                <w:sz w:val="20"/>
                <w:szCs w:val="20"/>
              </w:rPr>
            </w:pPr>
            <w:r>
              <w:rPr>
                <w:bCs/>
                <w:sz w:val="20"/>
                <w:szCs w:val="20"/>
              </w:rPr>
              <w:t>Total</w:t>
            </w:r>
          </w:p>
        </w:tc>
        <w:tc>
          <w:tcPr>
            <w:tcW w:w="1375" w:type="dxa"/>
            <w:vAlign w:val="center"/>
          </w:tcPr>
          <w:p w14:paraId="5F786B40" w14:textId="5032EB6A" w:rsidR="00317FA6" w:rsidRPr="00EA4A98" w:rsidRDefault="002C75A9">
            <w:pPr>
              <w:jc w:val="center"/>
              <w:rPr>
                <w:bCs/>
                <w:sz w:val="20"/>
                <w:szCs w:val="20"/>
              </w:rPr>
            </w:pPr>
            <w:r w:rsidRPr="005C0B2B">
              <w:rPr>
                <w:sz w:val="20"/>
                <w:szCs w:val="20"/>
              </w:rPr>
              <w:t>408,102.2</w:t>
            </w:r>
          </w:p>
        </w:tc>
        <w:tc>
          <w:tcPr>
            <w:tcW w:w="1085" w:type="dxa"/>
            <w:vAlign w:val="center"/>
          </w:tcPr>
          <w:p w14:paraId="29B7624C" w14:textId="4C7E2C81" w:rsidR="00317FA6" w:rsidRPr="00EA4A98" w:rsidRDefault="002C75A9">
            <w:pPr>
              <w:jc w:val="center"/>
              <w:rPr>
                <w:bCs/>
                <w:sz w:val="20"/>
                <w:szCs w:val="20"/>
              </w:rPr>
            </w:pPr>
            <w:r w:rsidRPr="005C0B2B">
              <w:rPr>
                <w:sz w:val="20"/>
                <w:szCs w:val="20"/>
              </w:rPr>
              <w:t>9,976.9</w:t>
            </w:r>
          </w:p>
        </w:tc>
        <w:tc>
          <w:tcPr>
            <w:tcW w:w="1230" w:type="dxa"/>
            <w:vAlign w:val="center"/>
          </w:tcPr>
          <w:p w14:paraId="7B42D499" w14:textId="1F7E3964" w:rsidR="00317FA6" w:rsidRPr="00EA4A98" w:rsidRDefault="002C75A9">
            <w:pPr>
              <w:jc w:val="center"/>
              <w:rPr>
                <w:bCs/>
                <w:sz w:val="20"/>
                <w:szCs w:val="20"/>
              </w:rPr>
            </w:pPr>
            <w:r w:rsidRPr="005C0B2B">
              <w:rPr>
                <w:sz w:val="20"/>
                <w:szCs w:val="20"/>
              </w:rPr>
              <w:t>43,729.3</w:t>
            </w:r>
          </w:p>
        </w:tc>
        <w:tc>
          <w:tcPr>
            <w:tcW w:w="1230" w:type="dxa"/>
            <w:vAlign w:val="center"/>
          </w:tcPr>
          <w:p w14:paraId="4DE2ED5D" w14:textId="486C73B7" w:rsidR="00317FA6" w:rsidRPr="00EA4A98" w:rsidRDefault="002C75A9">
            <w:pPr>
              <w:jc w:val="center"/>
              <w:rPr>
                <w:bCs/>
                <w:sz w:val="20"/>
                <w:szCs w:val="20"/>
              </w:rPr>
            </w:pPr>
            <w:r w:rsidRPr="005C0B2B">
              <w:rPr>
                <w:sz w:val="20"/>
                <w:szCs w:val="20"/>
              </w:rPr>
              <w:t>33,698.9</w:t>
            </w:r>
          </w:p>
        </w:tc>
        <w:tc>
          <w:tcPr>
            <w:tcW w:w="1085" w:type="dxa"/>
            <w:vAlign w:val="center"/>
          </w:tcPr>
          <w:p w14:paraId="15B8E553" w14:textId="03A00AC7" w:rsidR="00317FA6" w:rsidRPr="00EA4A98" w:rsidRDefault="002C75A9">
            <w:pPr>
              <w:jc w:val="center"/>
              <w:rPr>
                <w:bCs/>
                <w:sz w:val="20"/>
                <w:szCs w:val="20"/>
              </w:rPr>
            </w:pPr>
            <w:r w:rsidRPr="005C0B2B">
              <w:rPr>
                <w:sz w:val="20"/>
                <w:szCs w:val="20"/>
              </w:rPr>
              <w:t>2,557.2</w:t>
            </w:r>
          </w:p>
        </w:tc>
        <w:tc>
          <w:tcPr>
            <w:tcW w:w="1375" w:type="dxa"/>
            <w:gridSpan w:val="2"/>
            <w:vAlign w:val="center"/>
          </w:tcPr>
          <w:p w14:paraId="71426123" w14:textId="2DCA18DC" w:rsidR="00317FA6" w:rsidRPr="00EA4A98" w:rsidRDefault="002C75A9">
            <w:pPr>
              <w:jc w:val="center"/>
              <w:rPr>
                <w:bCs/>
                <w:sz w:val="20"/>
                <w:szCs w:val="20"/>
              </w:rPr>
            </w:pPr>
            <w:r w:rsidRPr="005C0B2B">
              <w:rPr>
                <w:sz w:val="20"/>
                <w:szCs w:val="20"/>
              </w:rPr>
              <w:t>117,492.5</w:t>
            </w:r>
          </w:p>
        </w:tc>
      </w:tr>
    </w:tbl>
    <w:p w14:paraId="32952B19" w14:textId="77777777" w:rsidR="00B0681F" w:rsidRPr="00AD1127" w:rsidRDefault="00B0681F" w:rsidP="00B0681F">
      <w:pPr>
        <w:rPr>
          <w:sz w:val="16"/>
          <w:szCs w:val="16"/>
        </w:rPr>
      </w:pPr>
      <w:bookmarkStart w:id="214" w:name="_Hlk160611569"/>
      <w:r w:rsidRPr="009B4E51">
        <w:rPr>
          <w:sz w:val="16"/>
          <w:szCs w:val="16"/>
        </w:rPr>
        <w:t>Source: The National Emissions Inventory</w:t>
      </w:r>
      <w:bookmarkEnd w:id="214"/>
      <w:r>
        <w:rPr>
          <w:sz w:val="16"/>
          <w:szCs w:val="16"/>
        </w:rPr>
        <w:t>.</w:t>
      </w:r>
    </w:p>
    <w:p w14:paraId="61C98BA0" w14:textId="58C0F638" w:rsidR="00317FA6" w:rsidRDefault="00317FA6" w:rsidP="00317FA6">
      <w:pPr>
        <w:rPr>
          <w:sz w:val="16"/>
          <w:szCs w:val="16"/>
        </w:rPr>
      </w:pPr>
      <w:r>
        <w:rPr>
          <w:sz w:val="16"/>
          <w:szCs w:val="16"/>
        </w:rPr>
        <w:t>* Anthropogenic emissions are considered all emissions omitting wildfires and biogenic sources.</w:t>
      </w:r>
    </w:p>
    <w:p w14:paraId="16AE46AB" w14:textId="7A8EF132" w:rsidR="003C6E5A" w:rsidRPr="0064268C" w:rsidRDefault="003C6E5A" w:rsidP="00317FA6">
      <w:pPr>
        <w:rPr>
          <w:sz w:val="16"/>
          <w:szCs w:val="16"/>
        </w:rPr>
      </w:pPr>
      <w:r w:rsidRPr="0064268C">
        <w:rPr>
          <w:sz w:val="16"/>
          <w:szCs w:val="16"/>
        </w:rPr>
        <w:t>**</w:t>
      </w:r>
      <w:r w:rsidRPr="00635802">
        <w:rPr>
          <w:rFonts w:cs="Times New Roman"/>
          <w:sz w:val="16"/>
          <w:szCs w:val="16"/>
        </w:rPr>
        <w:t xml:space="preserve"> nitrogen oxide(s)</w:t>
      </w:r>
    </w:p>
    <w:p w14:paraId="3078A9BE" w14:textId="4A226B21" w:rsidR="001C5F35" w:rsidRDefault="00B65B9C" w:rsidP="00B0681F">
      <w:pPr>
        <w:spacing w:before="240"/>
      </w:pPr>
      <w:r>
        <w:t>The EPA has established National Ambient Air Quality Standards (NAAQS) for CAPs</w:t>
      </w:r>
      <w:sdt>
        <w:sdtPr>
          <w:id w:val="-745184207"/>
          <w:citation/>
        </w:sdtPr>
        <w:sdtContent>
          <w:r w:rsidR="000B6C54">
            <w:fldChar w:fldCharType="begin"/>
          </w:r>
          <w:r w:rsidR="000B6C54">
            <w:instrText xml:space="preserve"> CITATION EPA241 \l 1033 </w:instrText>
          </w:r>
          <w:r w:rsidR="000B6C54">
            <w:fldChar w:fldCharType="separate"/>
          </w:r>
          <w:r w:rsidR="0093463A">
            <w:rPr>
              <w:noProof/>
            </w:rPr>
            <w:t xml:space="preserve"> (EPA, 2024)</w:t>
          </w:r>
          <w:r w:rsidR="000B6C54">
            <w:fldChar w:fldCharType="end"/>
          </w:r>
        </w:sdtContent>
      </w:sdt>
      <w:r w:rsidR="00100AD1">
        <w:t xml:space="preserve">. </w:t>
      </w:r>
      <w:r>
        <w:t>The NAAQS are protective of human health and the environment. Compliance with the NAAQS is typically demonstrated through monitoring of ground</w:t>
      </w:r>
      <w:r w:rsidR="00CA74A2">
        <w:t>-</w:t>
      </w:r>
      <w:r>
        <w:t>level concentrations of atmospheric air pollutants. Areas where pollutant concentrations are below the NAAQS are designated as attainment or unclassifiable. Locations where monitored pollutant concentrations are higher than the NAAQS are designated nonattainment, and air quality is considered unhealthy. Air pollutant concentrations are reported using design values. A design value is a statistic that describes the air quality status of a given location relative to the level of the NAAQS. Design values are used to designate and classify nonattainment areas, as well as to assess progress towards meeting the NAAQS. Design values that are representative for the airshed</w:t>
      </w:r>
      <w:r w:rsidR="00F05CA6">
        <w:t xml:space="preserve"> of interest</w:t>
      </w:r>
      <w:r>
        <w:t xml:space="preserve"> are incorporated and listed in </w:t>
      </w:r>
      <w:r w:rsidR="00577ABF">
        <w:fldChar w:fldCharType="begin"/>
      </w:r>
      <w:r w:rsidR="00577ABF">
        <w:instrText xml:space="preserve"> REF _Ref164931489 \h </w:instrText>
      </w:r>
      <w:r w:rsidR="00577ABF">
        <w:fldChar w:fldCharType="separate"/>
      </w:r>
      <w:r w:rsidR="00577ABF">
        <w:t xml:space="preserve">Table </w:t>
      </w:r>
      <w:r w:rsidR="00577ABF">
        <w:rPr>
          <w:noProof/>
        </w:rPr>
        <w:t>4</w:t>
      </w:r>
      <w:r w:rsidR="00577ABF">
        <w:fldChar w:fldCharType="end"/>
      </w:r>
      <w:r>
        <w:t>. Based on design values, the EPA has designated portions of Duchesne and Uintah Counties below 6,250 ft elevation (i.e., Uinta Basin)</w:t>
      </w:r>
      <w:r w:rsidR="009022B5">
        <w:t xml:space="preserve"> as nonattainment </w:t>
      </w:r>
      <w:r w:rsidR="00BF7F27">
        <w:t>for O</w:t>
      </w:r>
      <w:r w:rsidR="00BF7F27" w:rsidRPr="00CD6CA2">
        <w:rPr>
          <w:vertAlign w:val="subscript"/>
        </w:rPr>
        <w:t>3</w:t>
      </w:r>
      <w:r>
        <w:t xml:space="preserve">. </w:t>
      </w:r>
      <w:r w:rsidR="00964921">
        <w:t xml:space="preserve">EPA </w:t>
      </w:r>
      <w:r w:rsidR="00ED4CEF">
        <w:t xml:space="preserve">has issued </w:t>
      </w:r>
      <w:r w:rsidR="001E5399">
        <w:t>a</w:t>
      </w:r>
      <w:r w:rsidR="00ED4CEF">
        <w:t xml:space="preserve"> draft </w:t>
      </w:r>
      <w:r w:rsidR="001E5399">
        <w:t>rule</w:t>
      </w:r>
      <w:r w:rsidR="00ED4CEF">
        <w:t xml:space="preserve"> </w:t>
      </w:r>
      <w:r w:rsidR="0041101F">
        <w:t>concluding</w:t>
      </w:r>
      <w:r w:rsidR="00ED4CEF">
        <w:t xml:space="preserve"> that the </w:t>
      </w:r>
      <w:r w:rsidR="00EC0C31">
        <w:t>Uinta</w:t>
      </w:r>
      <w:r w:rsidR="00ED4CEF">
        <w:t xml:space="preserve"> Basin has</w:t>
      </w:r>
      <w:r w:rsidR="00964921">
        <w:t xml:space="preserve"> </w:t>
      </w:r>
      <w:r w:rsidR="0041101F">
        <w:t xml:space="preserve">attained the standard for </w:t>
      </w:r>
      <w:r w:rsidR="001F3CA3">
        <w:t>O</w:t>
      </w:r>
      <w:r w:rsidR="001F3CA3" w:rsidRPr="001F3CA3">
        <w:rPr>
          <w:vertAlign w:val="subscript"/>
        </w:rPr>
        <w:t>3</w:t>
      </w:r>
      <w:r w:rsidR="0041101F">
        <w:t xml:space="preserve"> by the attainment date</w:t>
      </w:r>
      <w:r w:rsidR="00F95E4F">
        <w:t xml:space="preserve"> (August 3, 2023)</w:t>
      </w:r>
      <w:r w:rsidR="00135808">
        <w:t xml:space="preserve"> but this does not change the airshed status</w:t>
      </w:r>
      <w:r w:rsidR="00BF3EB7">
        <w:t xml:space="preserve"> to attainment</w:t>
      </w:r>
      <w:r w:rsidR="00937C4D">
        <w:t>.</w:t>
      </w:r>
      <w:r w:rsidR="00EA5AC6">
        <w:t xml:space="preserve"> </w:t>
      </w:r>
      <w:r w:rsidR="00BB48A3">
        <w:t>Continu</w:t>
      </w:r>
      <w:r w:rsidR="0051224E">
        <w:t>ed</w:t>
      </w:r>
      <w:r w:rsidR="00BB48A3">
        <w:t xml:space="preserve"> periods of high </w:t>
      </w:r>
      <w:r w:rsidR="004E5AAA">
        <w:t>O</w:t>
      </w:r>
      <w:r w:rsidR="004E5AAA" w:rsidRPr="004E5AAA">
        <w:rPr>
          <w:vertAlign w:val="subscript"/>
        </w:rPr>
        <w:t>3</w:t>
      </w:r>
      <w:r w:rsidR="00BB48A3">
        <w:t xml:space="preserve"> levels in the Uinta Basin </w:t>
      </w:r>
      <w:r w:rsidR="005312C4">
        <w:t xml:space="preserve">have </w:t>
      </w:r>
      <w:r w:rsidR="00BB48A3">
        <w:t>be</w:t>
      </w:r>
      <w:r w:rsidR="005312C4">
        <w:t>en</w:t>
      </w:r>
      <w:r w:rsidR="00BB48A3">
        <w:t xml:space="preserve"> observed, </w:t>
      </w:r>
      <w:r w:rsidR="005312C4">
        <w:t>as indicated by the 2021 to 2023 design value</w:t>
      </w:r>
      <w:r w:rsidR="007C59D0">
        <w:t>, therefore c</w:t>
      </w:r>
      <w:r w:rsidR="00BB48A3">
        <w:t xml:space="preserve">ontinued efforts and commitments </w:t>
      </w:r>
      <w:r w:rsidR="00236527">
        <w:t xml:space="preserve">are needed to reduce </w:t>
      </w:r>
      <w:r w:rsidR="007C59D0">
        <w:t>p</w:t>
      </w:r>
      <w:r w:rsidR="00236527">
        <w:t>recursor emission in the region</w:t>
      </w:r>
      <w:sdt>
        <w:sdtPr>
          <w:id w:val="-561171639"/>
          <w:citation/>
        </w:sdtPr>
        <w:sdtContent>
          <w:r w:rsidR="00D964B4">
            <w:fldChar w:fldCharType="begin"/>
          </w:r>
          <w:r w:rsidR="00D964B4">
            <w:instrText xml:space="preserve"> CITATION EPA24 \l 1033 </w:instrText>
          </w:r>
          <w:r w:rsidR="00D964B4">
            <w:fldChar w:fldCharType="separate"/>
          </w:r>
          <w:r w:rsidR="0093463A">
            <w:rPr>
              <w:noProof/>
            </w:rPr>
            <w:t xml:space="preserve"> (EPA, 2024)</w:t>
          </w:r>
          <w:r w:rsidR="00D964B4">
            <w:fldChar w:fldCharType="end"/>
          </w:r>
        </w:sdtContent>
      </w:sdt>
      <w:r w:rsidR="00D964B4">
        <w:t>.</w:t>
      </w:r>
      <w:r w:rsidDel="00EA5AC6">
        <w:t xml:space="preserve"> </w:t>
      </w:r>
      <w:r>
        <w:t xml:space="preserve">It is assumed that counties without reported design values for a particular pollutant have air pollutant concentrations below the NAAQS and good air quality since air monitoring is usually needed only when concentrations exceed 80% of the NAAQS (40 CFR 58.14 management (1)). </w:t>
      </w:r>
    </w:p>
    <w:p w14:paraId="61A40DBA" w14:textId="2290ADC3" w:rsidR="00577ABF" w:rsidRDefault="00577ABF" w:rsidP="00F17938">
      <w:pPr>
        <w:pStyle w:val="Caption"/>
      </w:pPr>
      <w:bookmarkStart w:id="215" w:name="_Toc179464297"/>
      <w:bookmarkStart w:id="216" w:name="_Toc170114952"/>
      <w:r>
        <w:t xml:space="preserve">Table </w:t>
      </w:r>
      <w:r w:rsidR="00BB3F01">
        <w:fldChar w:fldCharType="begin"/>
      </w:r>
      <w:r w:rsidR="00BB3F01">
        <w:instrText xml:space="preserve"> SEQ Table \* ARABIC </w:instrText>
      </w:r>
      <w:r w:rsidR="00BB3F01">
        <w:fldChar w:fldCharType="separate"/>
      </w:r>
      <w:r w:rsidR="00BB3F01">
        <w:rPr>
          <w:noProof/>
        </w:rPr>
        <w:t>16</w:t>
      </w:r>
      <w:r w:rsidR="00BB3F01">
        <w:rPr>
          <w:noProof/>
        </w:rPr>
        <w:fldChar w:fldCharType="end"/>
      </w:r>
      <w:r>
        <w:t xml:space="preserve"> </w:t>
      </w:r>
      <w:r w:rsidRPr="00041874">
        <w:t>202</w:t>
      </w:r>
      <w:r w:rsidR="009E1B48">
        <w:t>1</w:t>
      </w:r>
      <w:r w:rsidRPr="00041874">
        <w:t>-202</w:t>
      </w:r>
      <w:r w:rsidR="009E1B48">
        <w:t>3</w:t>
      </w:r>
      <w:r w:rsidRPr="00041874">
        <w:t xml:space="preserve"> Criteria Air Pollutant Design Values</w:t>
      </w:r>
      <w:bookmarkEnd w:id="215"/>
      <w:bookmarkEnd w:id="216"/>
    </w:p>
    <w:tbl>
      <w:tblPr>
        <w:tblStyle w:val="TableGrid"/>
        <w:tblW w:w="0" w:type="auto"/>
        <w:jc w:val="center"/>
        <w:tblLook w:val="04A0" w:firstRow="1" w:lastRow="0" w:firstColumn="1" w:lastColumn="0" w:noHBand="0" w:noVBand="1"/>
      </w:tblPr>
      <w:tblGrid>
        <w:gridCol w:w="1489"/>
        <w:gridCol w:w="1490"/>
        <w:gridCol w:w="1502"/>
        <w:gridCol w:w="1995"/>
        <w:gridCol w:w="1480"/>
        <w:gridCol w:w="1394"/>
      </w:tblGrid>
      <w:tr w:rsidR="00D31C10" w14:paraId="46DFC696" w14:textId="2028D3ED" w:rsidTr="00CA6114">
        <w:trPr>
          <w:jc w:val="center"/>
        </w:trPr>
        <w:tc>
          <w:tcPr>
            <w:tcW w:w="1489" w:type="dxa"/>
            <w:shd w:val="clear" w:color="auto" w:fill="auto"/>
            <w:vAlign w:val="center"/>
          </w:tcPr>
          <w:p w14:paraId="14CDF131" w14:textId="3A1DAEE4" w:rsidR="00D31C10" w:rsidRPr="00DD4143" w:rsidRDefault="00D31C10">
            <w:pPr>
              <w:contextualSpacing/>
              <w:jc w:val="center"/>
              <w:rPr>
                <w:b/>
                <w:bCs/>
                <w:sz w:val="20"/>
                <w:szCs w:val="20"/>
              </w:rPr>
            </w:pPr>
            <w:r>
              <w:rPr>
                <w:b/>
                <w:bCs/>
                <w:sz w:val="20"/>
                <w:szCs w:val="20"/>
              </w:rPr>
              <w:t>Pollutant</w:t>
            </w:r>
          </w:p>
        </w:tc>
        <w:tc>
          <w:tcPr>
            <w:tcW w:w="1490" w:type="dxa"/>
            <w:shd w:val="clear" w:color="auto" w:fill="auto"/>
            <w:vAlign w:val="center"/>
          </w:tcPr>
          <w:p w14:paraId="3BAAA6D0" w14:textId="7B86E6E0" w:rsidR="00D31C10" w:rsidRPr="00DD4143" w:rsidRDefault="00D31C10">
            <w:pPr>
              <w:contextualSpacing/>
              <w:jc w:val="center"/>
              <w:rPr>
                <w:b/>
                <w:bCs/>
                <w:sz w:val="20"/>
                <w:szCs w:val="20"/>
              </w:rPr>
            </w:pPr>
            <w:r>
              <w:rPr>
                <w:b/>
                <w:bCs/>
                <w:sz w:val="20"/>
                <w:szCs w:val="20"/>
              </w:rPr>
              <w:t>County</w:t>
            </w:r>
          </w:p>
        </w:tc>
        <w:tc>
          <w:tcPr>
            <w:tcW w:w="1502" w:type="dxa"/>
            <w:shd w:val="clear" w:color="auto" w:fill="auto"/>
            <w:vAlign w:val="center"/>
          </w:tcPr>
          <w:p w14:paraId="1CCE5461" w14:textId="5A5B8576" w:rsidR="00D31C10" w:rsidRPr="00DD4143" w:rsidRDefault="00D31C10">
            <w:pPr>
              <w:contextualSpacing/>
              <w:jc w:val="center"/>
              <w:rPr>
                <w:b/>
                <w:bCs/>
                <w:sz w:val="20"/>
                <w:szCs w:val="20"/>
              </w:rPr>
            </w:pPr>
            <w:r>
              <w:rPr>
                <w:b/>
                <w:bCs/>
                <w:sz w:val="20"/>
                <w:szCs w:val="20"/>
              </w:rPr>
              <w:t>Averaging Time</w:t>
            </w:r>
          </w:p>
        </w:tc>
        <w:tc>
          <w:tcPr>
            <w:tcW w:w="1995" w:type="dxa"/>
            <w:shd w:val="clear" w:color="auto" w:fill="auto"/>
            <w:vAlign w:val="center"/>
          </w:tcPr>
          <w:p w14:paraId="3287C669" w14:textId="1979BCCB" w:rsidR="00D31C10" w:rsidRPr="00DD4143" w:rsidRDefault="00D31C10">
            <w:pPr>
              <w:contextualSpacing/>
              <w:jc w:val="center"/>
              <w:rPr>
                <w:b/>
                <w:bCs/>
                <w:sz w:val="20"/>
                <w:szCs w:val="20"/>
              </w:rPr>
            </w:pPr>
            <w:r>
              <w:rPr>
                <w:b/>
                <w:bCs/>
                <w:sz w:val="20"/>
                <w:szCs w:val="20"/>
              </w:rPr>
              <w:t>Concentration</w:t>
            </w:r>
            <w:r w:rsidR="00C659A2">
              <w:rPr>
                <w:b/>
                <w:sz w:val="20"/>
                <w:szCs w:val="20"/>
                <w:vertAlign w:val="superscript"/>
              </w:rPr>
              <w:t>1</w:t>
            </w:r>
          </w:p>
        </w:tc>
        <w:tc>
          <w:tcPr>
            <w:tcW w:w="1480" w:type="dxa"/>
            <w:shd w:val="clear" w:color="auto" w:fill="auto"/>
            <w:vAlign w:val="center"/>
          </w:tcPr>
          <w:p w14:paraId="1DD37453" w14:textId="00619BD1" w:rsidR="00D31C10" w:rsidRPr="00DD4143" w:rsidRDefault="00D31C10">
            <w:pPr>
              <w:contextualSpacing/>
              <w:jc w:val="center"/>
              <w:rPr>
                <w:b/>
                <w:bCs/>
                <w:sz w:val="20"/>
                <w:szCs w:val="20"/>
              </w:rPr>
            </w:pPr>
            <w:r>
              <w:rPr>
                <w:b/>
                <w:bCs/>
                <w:sz w:val="20"/>
                <w:szCs w:val="20"/>
              </w:rPr>
              <w:t>NAAQS</w:t>
            </w:r>
          </w:p>
        </w:tc>
        <w:tc>
          <w:tcPr>
            <w:tcW w:w="1394" w:type="dxa"/>
            <w:shd w:val="clear" w:color="auto" w:fill="auto"/>
          </w:tcPr>
          <w:p w14:paraId="6483F8BC" w14:textId="321749B4" w:rsidR="008C0228" w:rsidRDefault="006A3315">
            <w:pPr>
              <w:contextualSpacing/>
              <w:jc w:val="center"/>
              <w:rPr>
                <w:b/>
                <w:bCs/>
                <w:sz w:val="20"/>
                <w:szCs w:val="20"/>
              </w:rPr>
            </w:pPr>
            <w:r>
              <w:rPr>
                <w:b/>
                <w:bCs/>
                <w:sz w:val="20"/>
                <w:szCs w:val="20"/>
              </w:rPr>
              <w:t>Percent of NAAQS</w:t>
            </w:r>
          </w:p>
        </w:tc>
      </w:tr>
      <w:tr w:rsidR="00D31C10" w14:paraId="5325775C" w14:textId="54D30F4C" w:rsidTr="00CA6114">
        <w:trPr>
          <w:jc w:val="center"/>
        </w:trPr>
        <w:tc>
          <w:tcPr>
            <w:tcW w:w="1489" w:type="dxa"/>
          </w:tcPr>
          <w:p w14:paraId="11D23526" w14:textId="05F389E7" w:rsidR="00D31C10" w:rsidRPr="00DD4143" w:rsidRDefault="00D31C10">
            <w:pPr>
              <w:contextualSpacing/>
              <w:jc w:val="center"/>
              <w:rPr>
                <w:b/>
                <w:bCs/>
                <w:sz w:val="20"/>
                <w:szCs w:val="20"/>
              </w:rPr>
            </w:pPr>
            <w:r>
              <w:rPr>
                <w:b/>
                <w:bCs/>
                <w:sz w:val="20"/>
                <w:szCs w:val="20"/>
              </w:rPr>
              <w:t>O</w:t>
            </w:r>
            <w:r w:rsidRPr="00F17938">
              <w:rPr>
                <w:b/>
                <w:sz w:val="20"/>
                <w:szCs w:val="20"/>
                <w:vertAlign w:val="subscript"/>
              </w:rPr>
              <w:t>3</w:t>
            </w:r>
          </w:p>
        </w:tc>
        <w:tc>
          <w:tcPr>
            <w:tcW w:w="1490" w:type="dxa"/>
            <w:shd w:val="clear" w:color="auto" w:fill="auto"/>
            <w:vAlign w:val="center"/>
          </w:tcPr>
          <w:p w14:paraId="484D9F50" w14:textId="5D47CDAB" w:rsidR="00D31C10" w:rsidRPr="00F17938" w:rsidRDefault="00D31C10">
            <w:pPr>
              <w:contextualSpacing/>
              <w:jc w:val="center"/>
              <w:rPr>
                <w:sz w:val="20"/>
                <w:szCs w:val="20"/>
              </w:rPr>
            </w:pPr>
            <w:r w:rsidRPr="00F17938">
              <w:rPr>
                <w:sz w:val="20"/>
                <w:szCs w:val="20"/>
              </w:rPr>
              <w:t>Uintah</w:t>
            </w:r>
          </w:p>
        </w:tc>
        <w:tc>
          <w:tcPr>
            <w:tcW w:w="1502" w:type="dxa"/>
            <w:shd w:val="clear" w:color="auto" w:fill="auto"/>
            <w:vAlign w:val="center"/>
          </w:tcPr>
          <w:p w14:paraId="64E595DA" w14:textId="644C6DB4" w:rsidR="00D31C10" w:rsidRPr="00F17938" w:rsidRDefault="00D31C10">
            <w:pPr>
              <w:contextualSpacing/>
              <w:jc w:val="center"/>
              <w:rPr>
                <w:sz w:val="20"/>
                <w:szCs w:val="20"/>
              </w:rPr>
            </w:pPr>
            <w:r w:rsidRPr="00F17938">
              <w:rPr>
                <w:sz w:val="20"/>
                <w:szCs w:val="20"/>
              </w:rPr>
              <w:t>8-hour</w:t>
            </w:r>
          </w:p>
        </w:tc>
        <w:tc>
          <w:tcPr>
            <w:tcW w:w="1995" w:type="dxa"/>
            <w:shd w:val="clear" w:color="auto" w:fill="auto"/>
            <w:vAlign w:val="center"/>
          </w:tcPr>
          <w:p w14:paraId="56B2CB93" w14:textId="6442EC17" w:rsidR="00D31C10" w:rsidRPr="00F17938" w:rsidRDefault="002B5AA8">
            <w:pPr>
              <w:contextualSpacing/>
              <w:jc w:val="center"/>
              <w:rPr>
                <w:sz w:val="20"/>
                <w:szCs w:val="20"/>
              </w:rPr>
            </w:pPr>
            <w:r w:rsidRPr="00F17938">
              <w:rPr>
                <w:sz w:val="20"/>
                <w:szCs w:val="20"/>
              </w:rPr>
              <w:t>0.0</w:t>
            </w:r>
            <w:r w:rsidR="00543DE6">
              <w:rPr>
                <w:sz w:val="20"/>
                <w:szCs w:val="20"/>
              </w:rPr>
              <w:t>76</w:t>
            </w:r>
            <w:r w:rsidR="005D4CE2" w:rsidRPr="00F17938">
              <w:rPr>
                <w:sz w:val="20"/>
                <w:szCs w:val="20"/>
              </w:rPr>
              <w:t xml:space="preserve"> ppm</w:t>
            </w:r>
          </w:p>
        </w:tc>
        <w:tc>
          <w:tcPr>
            <w:tcW w:w="1480" w:type="dxa"/>
            <w:shd w:val="clear" w:color="auto" w:fill="auto"/>
            <w:vAlign w:val="center"/>
          </w:tcPr>
          <w:p w14:paraId="24389827" w14:textId="5F737010" w:rsidR="00D31C10" w:rsidRPr="00F17938" w:rsidRDefault="00D31C10">
            <w:pPr>
              <w:contextualSpacing/>
              <w:jc w:val="center"/>
              <w:rPr>
                <w:sz w:val="20"/>
                <w:szCs w:val="20"/>
              </w:rPr>
            </w:pPr>
            <w:r w:rsidRPr="00F17938">
              <w:rPr>
                <w:sz w:val="20"/>
                <w:szCs w:val="20"/>
              </w:rPr>
              <w:t>0</w:t>
            </w:r>
            <w:r w:rsidR="002B386C" w:rsidRPr="00F17938">
              <w:rPr>
                <w:sz w:val="20"/>
                <w:szCs w:val="20"/>
              </w:rPr>
              <w:t>.070</w:t>
            </w:r>
            <w:r w:rsidR="0016221A" w:rsidRPr="00F17938">
              <w:rPr>
                <w:sz w:val="20"/>
                <w:szCs w:val="20"/>
              </w:rPr>
              <w:t xml:space="preserve"> ppm</w:t>
            </w:r>
          </w:p>
        </w:tc>
        <w:tc>
          <w:tcPr>
            <w:tcW w:w="1394" w:type="dxa"/>
          </w:tcPr>
          <w:p w14:paraId="361B9897" w14:textId="1DC22B6E" w:rsidR="008C0228" w:rsidRPr="008C0228" w:rsidRDefault="00C134A2">
            <w:pPr>
              <w:contextualSpacing/>
              <w:jc w:val="center"/>
              <w:rPr>
                <w:bCs/>
                <w:sz w:val="20"/>
                <w:szCs w:val="20"/>
              </w:rPr>
            </w:pPr>
            <w:r>
              <w:rPr>
                <w:bCs/>
                <w:sz w:val="20"/>
                <w:szCs w:val="20"/>
              </w:rPr>
              <w:t>10</w:t>
            </w:r>
            <w:r w:rsidR="00AF1D9A">
              <w:rPr>
                <w:bCs/>
                <w:sz w:val="20"/>
                <w:szCs w:val="20"/>
              </w:rPr>
              <w:t>8.6</w:t>
            </w:r>
            <w:r w:rsidR="006A3315">
              <w:rPr>
                <w:bCs/>
                <w:sz w:val="20"/>
                <w:szCs w:val="20"/>
              </w:rPr>
              <w:t>%</w:t>
            </w:r>
          </w:p>
        </w:tc>
      </w:tr>
      <w:tr w:rsidR="00543DE6" w14:paraId="0A08E0B9" w14:textId="77777777" w:rsidTr="00CA6114">
        <w:trPr>
          <w:jc w:val="center"/>
        </w:trPr>
        <w:tc>
          <w:tcPr>
            <w:tcW w:w="1489" w:type="dxa"/>
          </w:tcPr>
          <w:p w14:paraId="0687A2F3" w14:textId="402B3EC3" w:rsidR="00543DE6" w:rsidRDefault="00543DE6" w:rsidP="00543DE6">
            <w:pPr>
              <w:contextualSpacing/>
              <w:jc w:val="center"/>
              <w:rPr>
                <w:b/>
                <w:bCs/>
                <w:sz w:val="20"/>
                <w:szCs w:val="20"/>
              </w:rPr>
            </w:pPr>
            <w:r>
              <w:rPr>
                <w:b/>
                <w:bCs/>
                <w:sz w:val="20"/>
                <w:szCs w:val="20"/>
              </w:rPr>
              <w:t>O</w:t>
            </w:r>
            <w:r w:rsidRPr="00F17938">
              <w:rPr>
                <w:b/>
                <w:sz w:val="20"/>
                <w:szCs w:val="20"/>
                <w:vertAlign w:val="subscript"/>
              </w:rPr>
              <w:t>3</w:t>
            </w:r>
          </w:p>
        </w:tc>
        <w:tc>
          <w:tcPr>
            <w:tcW w:w="1490" w:type="dxa"/>
            <w:shd w:val="clear" w:color="auto" w:fill="auto"/>
            <w:vAlign w:val="center"/>
          </w:tcPr>
          <w:p w14:paraId="1C82E95F" w14:textId="48CD2E5D" w:rsidR="00543DE6" w:rsidRPr="00F17938" w:rsidRDefault="00543DE6" w:rsidP="00543DE6">
            <w:pPr>
              <w:contextualSpacing/>
              <w:jc w:val="center"/>
              <w:rPr>
                <w:sz w:val="20"/>
                <w:szCs w:val="20"/>
              </w:rPr>
            </w:pPr>
            <w:r w:rsidRPr="00F17938">
              <w:rPr>
                <w:sz w:val="20"/>
                <w:szCs w:val="20"/>
              </w:rPr>
              <w:t>Duchesne</w:t>
            </w:r>
          </w:p>
        </w:tc>
        <w:tc>
          <w:tcPr>
            <w:tcW w:w="1502" w:type="dxa"/>
            <w:shd w:val="clear" w:color="auto" w:fill="auto"/>
            <w:vAlign w:val="center"/>
          </w:tcPr>
          <w:p w14:paraId="653F919D" w14:textId="4645BA5E" w:rsidR="00543DE6" w:rsidRPr="00F17938" w:rsidRDefault="00543DE6" w:rsidP="00543DE6">
            <w:pPr>
              <w:contextualSpacing/>
              <w:jc w:val="center"/>
              <w:rPr>
                <w:sz w:val="20"/>
                <w:szCs w:val="20"/>
              </w:rPr>
            </w:pPr>
            <w:r w:rsidRPr="00F17938">
              <w:rPr>
                <w:sz w:val="20"/>
                <w:szCs w:val="20"/>
              </w:rPr>
              <w:t>8-hour</w:t>
            </w:r>
          </w:p>
        </w:tc>
        <w:tc>
          <w:tcPr>
            <w:tcW w:w="1995" w:type="dxa"/>
            <w:shd w:val="clear" w:color="auto" w:fill="auto"/>
            <w:vAlign w:val="center"/>
          </w:tcPr>
          <w:p w14:paraId="52C22567" w14:textId="590BC622" w:rsidR="00543DE6" w:rsidRPr="00F17938" w:rsidRDefault="00543DE6" w:rsidP="00543DE6">
            <w:pPr>
              <w:contextualSpacing/>
              <w:jc w:val="center"/>
              <w:rPr>
                <w:sz w:val="20"/>
                <w:szCs w:val="20"/>
              </w:rPr>
            </w:pPr>
            <w:r w:rsidRPr="00F17938">
              <w:rPr>
                <w:sz w:val="20"/>
                <w:szCs w:val="20"/>
              </w:rPr>
              <w:t>0.0</w:t>
            </w:r>
            <w:r>
              <w:rPr>
                <w:sz w:val="20"/>
                <w:szCs w:val="20"/>
              </w:rPr>
              <w:t>7</w:t>
            </w:r>
            <w:r w:rsidR="00C134A2">
              <w:rPr>
                <w:sz w:val="20"/>
                <w:szCs w:val="20"/>
              </w:rPr>
              <w:t>7</w:t>
            </w:r>
            <w:r w:rsidRPr="00F17938">
              <w:rPr>
                <w:sz w:val="20"/>
                <w:szCs w:val="20"/>
              </w:rPr>
              <w:t xml:space="preserve"> ppm</w:t>
            </w:r>
          </w:p>
        </w:tc>
        <w:tc>
          <w:tcPr>
            <w:tcW w:w="1480" w:type="dxa"/>
            <w:shd w:val="clear" w:color="auto" w:fill="auto"/>
            <w:vAlign w:val="center"/>
          </w:tcPr>
          <w:p w14:paraId="7D21B36F" w14:textId="6349B8C4" w:rsidR="00543DE6" w:rsidRPr="00F17938" w:rsidRDefault="00543DE6" w:rsidP="00543DE6">
            <w:pPr>
              <w:contextualSpacing/>
              <w:jc w:val="center"/>
              <w:rPr>
                <w:sz w:val="20"/>
                <w:szCs w:val="20"/>
              </w:rPr>
            </w:pPr>
            <w:r w:rsidRPr="00F17938">
              <w:rPr>
                <w:sz w:val="20"/>
                <w:szCs w:val="20"/>
              </w:rPr>
              <w:t>0.070 ppm</w:t>
            </w:r>
          </w:p>
        </w:tc>
        <w:tc>
          <w:tcPr>
            <w:tcW w:w="1394" w:type="dxa"/>
          </w:tcPr>
          <w:p w14:paraId="10EDB36C" w14:textId="4B069FF8" w:rsidR="00543DE6" w:rsidRDefault="00AF1D9A" w:rsidP="00543DE6">
            <w:pPr>
              <w:contextualSpacing/>
              <w:jc w:val="center"/>
              <w:rPr>
                <w:bCs/>
                <w:sz w:val="20"/>
                <w:szCs w:val="20"/>
              </w:rPr>
            </w:pPr>
            <w:r>
              <w:rPr>
                <w:bCs/>
                <w:sz w:val="20"/>
                <w:szCs w:val="20"/>
              </w:rPr>
              <w:t>110.0</w:t>
            </w:r>
            <w:r w:rsidR="00543DE6">
              <w:rPr>
                <w:bCs/>
                <w:sz w:val="20"/>
                <w:szCs w:val="20"/>
              </w:rPr>
              <w:t>%</w:t>
            </w:r>
          </w:p>
        </w:tc>
      </w:tr>
      <w:tr w:rsidR="00D31C10" w14:paraId="3B591F9B" w14:textId="32A91B3B" w:rsidTr="00CA6114">
        <w:trPr>
          <w:jc w:val="center"/>
        </w:trPr>
        <w:tc>
          <w:tcPr>
            <w:tcW w:w="1489" w:type="dxa"/>
          </w:tcPr>
          <w:p w14:paraId="5F60F6E9" w14:textId="73058062" w:rsidR="00D31C10" w:rsidRPr="00DD4143" w:rsidRDefault="00D31C10">
            <w:pPr>
              <w:contextualSpacing/>
              <w:jc w:val="center"/>
              <w:rPr>
                <w:b/>
                <w:bCs/>
                <w:sz w:val="20"/>
                <w:szCs w:val="20"/>
              </w:rPr>
            </w:pPr>
            <w:r>
              <w:rPr>
                <w:b/>
                <w:bCs/>
                <w:sz w:val="20"/>
                <w:szCs w:val="20"/>
              </w:rPr>
              <w:t>NO</w:t>
            </w:r>
            <w:r w:rsidRPr="00F17938">
              <w:rPr>
                <w:b/>
                <w:sz w:val="20"/>
                <w:szCs w:val="20"/>
                <w:vertAlign w:val="subscript"/>
              </w:rPr>
              <w:t>2</w:t>
            </w:r>
          </w:p>
        </w:tc>
        <w:tc>
          <w:tcPr>
            <w:tcW w:w="1490" w:type="dxa"/>
            <w:shd w:val="clear" w:color="auto" w:fill="auto"/>
            <w:vAlign w:val="center"/>
          </w:tcPr>
          <w:p w14:paraId="25ED3777" w14:textId="76164BA1" w:rsidR="00D31C10" w:rsidRPr="00F17938" w:rsidRDefault="00D31C10">
            <w:pPr>
              <w:contextualSpacing/>
              <w:jc w:val="center"/>
              <w:rPr>
                <w:sz w:val="20"/>
                <w:szCs w:val="20"/>
              </w:rPr>
            </w:pPr>
            <w:r w:rsidRPr="00F17938">
              <w:rPr>
                <w:sz w:val="20"/>
                <w:szCs w:val="20"/>
              </w:rPr>
              <w:t>Uintah</w:t>
            </w:r>
          </w:p>
        </w:tc>
        <w:tc>
          <w:tcPr>
            <w:tcW w:w="1502" w:type="dxa"/>
            <w:vAlign w:val="center"/>
          </w:tcPr>
          <w:p w14:paraId="18759C83" w14:textId="4D119C61" w:rsidR="00D31C10" w:rsidRPr="00F17938" w:rsidRDefault="00D31C10">
            <w:pPr>
              <w:contextualSpacing/>
              <w:jc w:val="center"/>
              <w:rPr>
                <w:sz w:val="20"/>
                <w:szCs w:val="20"/>
              </w:rPr>
            </w:pPr>
            <w:r w:rsidRPr="00F17938">
              <w:rPr>
                <w:sz w:val="20"/>
                <w:szCs w:val="20"/>
              </w:rPr>
              <w:t>Annual</w:t>
            </w:r>
          </w:p>
        </w:tc>
        <w:tc>
          <w:tcPr>
            <w:tcW w:w="1995" w:type="dxa"/>
            <w:vAlign w:val="center"/>
          </w:tcPr>
          <w:p w14:paraId="7301FD9E" w14:textId="3D08D5A1" w:rsidR="00D31C10" w:rsidRPr="00F17938" w:rsidRDefault="00543DE6">
            <w:pPr>
              <w:contextualSpacing/>
              <w:jc w:val="center"/>
              <w:rPr>
                <w:sz w:val="20"/>
                <w:szCs w:val="20"/>
              </w:rPr>
            </w:pPr>
            <w:r>
              <w:rPr>
                <w:sz w:val="20"/>
                <w:szCs w:val="20"/>
              </w:rPr>
              <w:t>5</w:t>
            </w:r>
            <w:r w:rsidR="005D4CE2" w:rsidRPr="00F17938">
              <w:rPr>
                <w:sz w:val="20"/>
                <w:szCs w:val="20"/>
              </w:rPr>
              <w:t xml:space="preserve"> ppb</w:t>
            </w:r>
          </w:p>
        </w:tc>
        <w:tc>
          <w:tcPr>
            <w:tcW w:w="1480" w:type="dxa"/>
            <w:vAlign w:val="center"/>
          </w:tcPr>
          <w:p w14:paraId="2E6B80CC" w14:textId="2B29114B" w:rsidR="00D31C10" w:rsidRPr="00F17938" w:rsidRDefault="002B386C">
            <w:pPr>
              <w:contextualSpacing/>
              <w:jc w:val="center"/>
              <w:rPr>
                <w:sz w:val="20"/>
                <w:szCs w:val="20"/>
              </w:rPr>
            </w:pPr>
            <w:r w:rsidRPr="00F17938">
              <w:rPr>
                <w:sz w:val="20"/>
                <w:szCs w:val="20"/>
              </w:rPr>
              <w:t>53</w:t>
            </w:r>
            <w:r w:rsidR="0016221A" w:rsidRPr="00F17938">
              <w:rPr>
                <w:sz w:val="20"/>
                <w:szCs w:val="20"/>
              </w:rPr>
              <w:t xml:space="preserve"> ppb</w:t>
            </w:r>
          </w:p>
        </w:tc>
        <w:tc>
          <w:tcPr>
            <w:tcW w:w="1394" w:type="dxa"/>
          </w:tcPr>
          <w:p w14:paraId="12884D44" w14:textId="16F863F2" w:rsidR="008C0228" w:rsidRPr="008C0228" w:rsidRDefault="00AF1D9A">
            <w:pPr>
              <w:contextualSpacing/>
              <w:jc w:val="center"/>
              <w:rPr>
                <w:bCs/>
                <w:sz w:val="20"/>
                <w:szCs w:val="20"/>
              </w:rPr>
            </w:pPr>
            <w:r>
              <w:rPr>
                <w:bCs/>
                <w:sz w:val="20"/>
                <w:szCs w:val="20"/>
              </w:rPr>
              <w:t>9.4</w:t>
            </w:r>
            <w:r w:rsidR="009016A2">
              <w:rPr>
                <w:bCs/>
                <w:sz w:val="20"/>
                <w:szCs w:val="20"/>
              </w:rPr>
              <w:t>%</w:t>
            </w:r>
          </w:p>
        </w:tc>
      </w:tr>
      <w:tr w:rsidR="00D31C10" w14:paraId="18754BAD" w14:textId="6DCACD44" w:rsidTr="00CA6114">
        <w:trPr>
          <w:jc w:val="center"/>
        </w:trPr>
        <w:tc>
          <w:tcPr>
            <w:tcW w:w="1489" w:type="dxa"/>
          </w:tcPr>
          <w:p w14:paraId="38BADBBD" w14:textId="09881FBD" w:rsidR="00D31C10" w:rsidRDefault="00D31C10">
            <w:pPr>
              <w:contextualSpacing/>
              <w:jc w:val="center"/>
              <w:rPr>
                <w:b/>
                <w:bCs/>
                <w:sz w:val="20"/>
                <w:szCs w:val="20"/>
              </w:rPr>
            </w:pPr>
            <w:r>
              <w:rPr>
                <w:b/>
                <w:bCs/>
                <w:sz w:val="20"/>
                <w:szCs w:val="20"/>
              </w:rPr>
              <w:t>NO</w:t>
            </w:r>
            <w:r w:rsidRPr="00F17938">
              <w:rPr>
                <w:b/>
                <w:sz w:val="20"/>
                <w:szCs w:val="20"/>
                <w:vertAlign w:val="subscript"/>
              </w:rPr>
              <w:t>2</w:t>
            </w:r>
          </w:p>
        </w:tc>
        <w:tc>
          <w:tcPr>
            <w:tcW w:w="1490" w:type="dxa"/>
            <w:shd w:val="clear" w:color="auto" w:fill="auto"/>
            <w:vAlign w:val="center"/>
          </w:tcPr>
          <w:p w14:paraId="738CB0DB" w14:textId="7146DED0" w:rsidR="00D31C10" w:rsidRPr="00F17938" w:rsidRDefault="00D31C10">
            <w:pPr>
              <w:contextualSpacing/>
              <w:jc w:val="center"/>
              <w:rPr>
                <w:sz w:val="20"/>
                <w:szCs w:val="20"/>
              </w:rPr>
            </w:pPr>
            <w:r w:rsidRPr="00F17938">
              <w:rPr>
                <w:sz w:val="20"/>
                <w:szCs w:val="20"/>
              </w:rPr>
              <w:t>Uintah</w:t>
            </w:r>
          </w:p>
        </w:tc>
        <w:tc>
          <w:tcPr>
            <w:tcW w:w="1502" w:type="dxa"/>
            <w:vAlign w:val="center"/>
          </w:tcPr>
          <w:p w14:paraId="7769C188" w14:textId="345C671F" w:rsidR="00D31C10" w:rsidRPr="00F17938" w:rsidRDefault="00D31C10">
            <w:pPr>
              <w:contextualSpacing/>
              <w:jc w:val="center"/>
              <w:rPr>
                <w:sz w:val="20"/>
                <w:szCs w:val="20"/>
              </w:rPr>
            </w:pPr>
            <w:r w:rsidRPr="00F17938">
              <w:rPr>
                <w:sz w:val="20"/>
                <w:szCs w:val="20"/>
              </w:rPr>
              <w:t>1-hour</w:t>
            </w:r>
          </w:p>
        </w:tc>
        <w:tc>
          <w:tcPr>
            <w:tcW w:w="1995" w:type="dxa"/>
            <w:vAlign w:val="center"/>
          </w:tcPr>
          <w:p w14:paraId="2F3287E7" w14:textId="521F0850" w:rsidR="00D31C10" w:rsidRPr="00F17938" w:rsidRDefault="00543DE6">
            <w:pPr>
              <w:contextualSpacing/>
              <w:jc w:val="center"/>
              <w:rPr>
                <w:sz w:val="20"/>
                <w:szCs w:val="20"/>
              </w:rPr>
            </w:pPr>
            <w:r w:rsidRPr="00F17938">
              <w:rPr>
                <w:sz w:val="20"/>
                <w:szCs w:val="20"/>
              </w:rPr>
              <w:t>3</w:t>
            </w:r>
            <w:r>
              <w:rPr>
                <w:sz w:val="20"/>
                <w:szCs w:val="20"/>
              </w:rPr>
              <w:t>1</w:t>
            </w:r>
            <w:r w:rsidR="005D4CE2" w:rsidRPr="00F17938">
              <w:rPr>
                <w:sz w:val="20"/>
                <w:szCs w:val="20"/>
              </w:rPr>
              <w:t xml:space="preserve"> </w:t>
            </w:r>
            <w:r w:rsidR="0016221A" w:rsidRPr="00F17938">
              <w:rPr>
                <w:bCs/>
                <w:sz w:val="20"/>
                <w:szCs w:val="20"/>
              </w:rPr>
              <w:t>ppb</w:t>
            </w:r>
          </w:p>
        </w:tc>
        <w:tc>
          <w:tcPr>
            <w:tcW w:w="1480" w:type="dxa"/>
            <w:vAlign w:val="center"/>
          </w:tcPr>
          <w:p w14:paraId="40946862" w14:textId="5F91414B" w:rsidR="00D31C10" w:rsidRPr="00F17938" w:rsidRDefault="003E6744">
            <w:pPr>
              <w:contextualSpacing/>
              <w:jc w:val="center"/>
              <w:rPr>
                <w:sz w:val="20"/>
                <w:szCs w:val="20"/>
              </w:rPr>
            </w:pPr>
            <w:r w:rsidRPr="00F17938">
              <w:rPr>
                <w:sz w:val="20"/>
                <w:szCs w:val="20"/>
              </w:rPr>
              <w:t>100</w:t>
            </w:r>
            <w:r w:rsidR="0016221A" w:rsidRPr="00F17938">
              <w:rPr>
                <w:bCs/>
                <w:sz w:val="20"/>
                <w:szCs w:val="20"/>
              </w:rPr>
              <w:t xml:space="preserve"> ppb</w:t>
            </w:r>
          </w:p>
        </w:tc>
        <w:tc>
          <w:tcPr>
            <w:tcW w:w="1394" w:type="dxa"/>
          </w:tcPr>
          <w:p w14:paraId="49F59848" w14:textId="0B8ED742" w:rsidR="008C0228" w:rsidRPr="008C0228" w:rsidRDefault="00543DE6">
            <w:pPr>
              <w:contextualSpacing/>
              <w:jc w:val="center"/>
              <w:rPr>
                <w:bCs/>
                <w:sz w:val="20"/>
                <w:szCs w:val="20"/>
              </w:rPr>
            </w:pPr>
            <w:r>
              <w:rPr>
                <w:bCs/>
                <w:sz w:val="20"/>
                <w:szCs w:val="20"/>
              </w:rPr>
              <w:t>3</w:t>
            </w:r>
            <w:r w:rsidR="00B041EF">
              <w:rPr>
                <w:bCs/>
                <w:sz w:val="20"/>
                <w:szCs w:val="20"/>
              </w:rPr>
              <w:t>1</w:t>
            </w:r>
            <w:r w:rsidR="009016A2">
              <w:rPr>
                <w:bCs/>
                <w:sz w:val="20"/>
                <w:szCs w:val="20"/>
              </w:rPr>
              <w:t>.0%</w:t>
            </w:r>
          </w:p>
        </w:tc>
      </w:tr>
      <w:tr w:rsidR="00543DE6" w14:paraId="189107B0" w14:textId="77777777" w:rsidTr="00CA6114">
        <w:trPr>
          <w:jc w:val="center"/>
        </w:trPr>
        <w:tc>
          <w:tcPr>
            <w:tcW w:w="1489" w:type="dxa"/>
          </w:tcPr>
          <w:p w14:paraId="7B4BBE3F" w14:textId="26F5EF77" w:rsidR="00543DE6" w:rsidRDefault="00543DE6" w:rsidP="00543DE6">
            <w:pPr>
              <w:contextualSpacing/>
              <w:jc w:val="center"/>
              <w:rPr>
                <w:b/>
                <w:bCs/>
                <w:sz w:val="20"/>
                <w:szCs w:val="20"/>
              </w:rPr>
            </w:pPr>
            <w:r>
              <w:rPr>
                <w:b/>
                <w:bCs/>
                <w:sz w:val="20"/>
                <w:szCs w:val="20"/>
              </w:rPr>
              <w:t>NO</w:t>
            </w:r>
            <w:r w:rsidRPr="00F17938">
              <w:rPr>
                <w:b/>
                <w:sz w:val="20"/>
                <w:szCs w:val="20"/>
                <w:vertAlign w:val="subscript"/>
              </w:rPr>
              <w:t>2</w:t>
            </w:r>
          </w:p>
        </w:tc>
        <w:tc>
          <w:tcPr>
            <w:tcW w:w="1490" w:type="dxa"/>
            <w:shd w:val="clear" w:color="auto" w:fill="auto"/>
            <w:vAlign w:val="center"/>
          </w:tcPr>
          <w:p w14:paraId="23CE7E49" w14:textId="79D6CF32" w:rsidR="00543DE6" w:rsidRPr="00F17938" w:rsidRDefault="00543DE6" w:rsidP="00543DE6">
            <w:pPr>
              <w:contextualSpacing/>
              <w:jc w:val="center"/>
              <w:rPr>
                <w:sz w:val="20"/>
                <w:szCs w:val="20"/>
              </w:rPr>
            </w:pPr>
            <w:r w:rsidRPr="00F17938">
              <w:rPr>
                <w:sz w:val="20"/>
                <w:szCs w:val="20"/>
              </w:rPr>
              <w:t>Duchesne</w:t>
            </w:r>
          </w:p>
        </w:tc>
        <w:tc>
          <w:tcPr>
            <w:tcW w:w="1502" w:type="dxa"/>
            <w:vAlign w:val="center"/>
          </w:tcPr>
          <w:p w14:paraId="43CF72B0" w14:textId="23D52888" w:rsidR="00543DE6" w:rsidRPr="00F17938" w:rsidRDefault="00543DE6" w:rsidP="00543DE6">
            <w:pPr>
              <w:contextualSpacing/>
              <w:jc w:val="center"/>
              <w:rPr>
                <w:sz w:val="20"/>
                <w:szCs w:val="20"/>
              </w:rPr>
            </w:pPr>
            <w:r w:rsidRPr="00F17938">
              <w:rPr>
                <w:sz w:val="20"/>
                <w:szCs w:val="20"/>
              </w:rPr>
              <w:t>Annual</w:t>
            </w:r>
          </w:p>
        </w:tc>
        <w:tc>
          <w:tcPr>
            <w:tcW w:w="1995" w:type="dxa"/>
            <w:vAlign w:val="center"/>
          </w:tcPr>
          <w:p w14:paraId="086F9E4F" w14:textId="02DD10AE" w:rsidR="00543DE6" w:rsidRPr="00F17938" w:rsidRDefault="00543DE6" w:rsidP="00543DE6">
            <w:pPr>
              <w:contextualSpacing/>
              <w:jc w:val="center"/>
              <w:rPr>
                <w:sz w:val="20"/>
                <w:szCs w:val="20"/>
              </w:rPr>
            </w:pPr>
            <w:r>
              <w:rPr>
                <w:sz w:val="20"/>
                <w:szCs w:val="20"/>
              </w:rPr>
              <w:t>8 ppb</w:t>
            </w:r>
          </w:p>
        </w:tc>
        <w:tc>
          <w:tcPr>
            <w:tcW w:w="1480" w:type="dxa"/>
            <w:vAlign w:val="center"/>
          </w:tcPr>
          <w:p w14:paraId="3D190468" w14:textId="10EEF4EB" w:rsidR="00543DE6" w:rsidRPr="00F17938" w:rsidRDefault="00543DE6" w:rsidP="00543DE6">
            <w:pPr>
              <w:contextualSpacing/>
              <w:jc w:val="center"/>
              <w:rPr>
                <w:sz w:val="20"/>
                <w:szCs w:val="20"/>
              </w:rPr>
            </w:pPr>
            <w:r w:rsidRPr="00F17938">
              <w:rPr>
                <w:sz w:val="20"/>
                <w:szCs w:val="20"/>
              </w:rPr>
              <w:t>53 ppb</w:t>
            </w:r>
          </w:p>
        </w:tc>
        <w:tc>
          <w:tcPr>
            <w:tcW w:w="1394" w:type="dxa"/>
          </w:tcPr>
          <w:p w14:paraId="03CADD1B" w14:textId="3365403A" w:rsidR="00543DE6" w:rsidRDefault="00B041EF" w:rsidP="00543DE6">
            <w:pPr>
              <w:contextualSpacing/>
              <w:jc w:val="center"/>
              <w:rPr>
                <w:bCs/>
                <w:sz w:val="20"/>
                <w:szCs w:val="20"/>
              </w:rPr>
            </w:pPr>
            <w:r>
              <w:rPr>
                <w:bCs/>
                <w:sz w:val="20"/>
                <w:szCs w:val="20"/>
              </w:rPr>
              <w:t>15.1%</w:t>
            </w:r>
          </w:p>
        </w:tc>
      </w:tr>
      <w:tr w:rsidR="00543DE6" w14:paraId="1C66FB03" w14:textId="77777777" w:rsidTr="00CA6114">
        <w:trPr>
          <w:jc w:val="center"/>
        </w:trPr>
        <w:tc>
          <w:tcPr>
            <w:tcW w:w="1489" w:type="dxa"/>
          </w:tcPr>
          <w:p w14:paraId="0EE0AB3B" w14:textId="43F07A47" w:rsidR="00543DE6" w:rsidRDefault="00543DE6" w:rsidP="00543DE6">
            <w:pPr>
              <w:contextualSpacing/>
              <w:jc w:val="center"/>
              <w:rPr>
                <w:b/>
                <w:bCs/>
                <w:sz w:val="20"/>
                <w:szCs w:val="20"/>
              </w:rPr>
            </w:pPr>
            <w:r>
              <w:rPr>
                <w:b/>
                <w:bCs/>
                <w:sz w:val="20"/>
                <w:szCs w:val="20"/>
              </w:rPr>
              <w:t>NO</w:t>
            </w:r>
            <w:r w:rsidRPr="00F17938">
              <w:rPr>
                <w:b/>
                <w:sz w:val="20"/>
                <w:szCs w:val="20"/>
                <w:vertAlign w:val="subscript"/>
              </w:rPr>
              <w:t>2</w:t>
            </w:r>
          </w:p>
        </w:tc>
        <w:tc>
          <w:tcPr>
            <w:tcW w:w="1490" w:type="dxa"/>
            <w:shd w:val="clear" w:color="auto" w:fill="auto"/>
            <w:vAlign w:val="center"/>
          </w:tcPr>
          <w:p w14:paraId="5C15A410" w14:textId="40D7B54D" w:rsidR="00543DE6" w:rsidRPr="00F17938" w:rsidRDefault="00543DE6" w:rsidP="00543DE6">
            <w:pPr>
              <w:contextualSpacing/>
              <w:jc w:val="center"/>
              <w:rPr>
                <w:sz w:val="20"/>
                <w:szCs w:val="20"/>
              </w:rPr>
            </w:pPr>
            <w:r w:rsidRPr="00F17938">
              <w:rPr>
                <w:sz w:val="20"/>
                <w:szCs w:val="20"/>
              </w:rPr>
              <w:t>Duchesne</w:t>
            </w:r>
          </w:p>
        </w:tc>
        <w:tc>
          <w:tcPr>
            <w:tcW w:w="1502" w:type="dxa"/>
            <w:vAlign w:val="center"/>
          </w:tcPr>
          <w:p w14:paraId="4543EB67" w14:textId="4380B47C" w:rsidR="00543DE6" w:rsidRPr="00F17938" w:rsidRDefault="00543DE6" w:rsidP="00543DE6">
            <w:pPr>
              <w:contextualSpacing/>
              <w:jc w:val="center"/>
              <w:rPr>
                <w:sz w:val="20"/>
                <w:szCs w:val="20"/>
              </w:rPr>
            </w:pPr>
            <w:r w:rsidRPr="00F17938">
              <w:rPr>
                <w:sz w:val="20"/>
                <w:szCs w:val="20"/>
              </w:rPr>
              <w:t>1-hour</w:t>
            </w:r>
          </w:p>
        </w:tc>
        <w:tc>
          <w:tcPr>
            <w:tcW w:w="1995" w:type="dxa"/>
            <w:vAlign w:val="center"/>
          </w:tcPr>
          <w:p w14:paraId="59AAB658" w14:textId="368D0B13" w:rsidR="00543DE6" w:rsidRPr="00F17938" w:rsidRDefault="00543DE6" w:rsidP="00543DE6">
            <w:pPr>
              <w:contextualSpacing/>
              <w:jc w:val="center"/>
              <w:rPr>
                <w:sz w:val="20"/>
                <w:szCs w:val="20"/>
              </w:rPr>
            </w:pPr>
            <w:r>
              <w:rPr>
                <w:sz w:val="20"/>
                <w:szCs w:val="20"/>
              </w:rPr>
              <w:t>39 ppb</w:t>
            </w:r>
          </w:p>
        </w:tc>
        <w:tc>
          <w:tcPr>
            <w:tcW w:w="1480" w:type="dxa"/>
            <w:vAlign w:val="center"/>
          </w:tcPr>
          <w:p w14:paraId="05222557" w14:textId="3A368F13" w:rsidR="00543DE6" w:rsidRPr="00F17938" w:rsidRDefault="00543DE6" w:rsidP="00543DE6">
            <w:pPr>
              <w:contextualSpacing/>
              <w:jc w:val="center"/>
              <w:rPr>
                <w:sz w:val="20"/>
                <w:szCs w:val="20"/>
              </w:rPr>
            </w:pPr>
            <w:r w:rsidRPr="00F17938">
              <w:rPr>
                <w:sz w:val="20"/>
                <w:szCs w:val="20"/>
              </w:rPr>
              <w:t>100</w:t>
            </w:r>
            <w:r w:rsidRPr="00F17938">
              <w:rPr>
                <w:bCs/>
                <w:sz w:val="20"/>
                <w:szCs w:val="20"/>
              </w:rPr>
              <w:t xml:space="preserve"> ppb</w:t>
            </w:r>
          </w:p>
        </w:tc>
        <w:tc>
          <w:tcPr>
            <w:tcW w:w="1394" w:type="dxa"/>
          </w:tcPr>
          <w:p w14:paraId="09FF2624" w14:textId="5EB3334D" w:rsidR="00543DE6" w:rsidRDefault="00B041EF" w:rsidP="00543DE6">
            <w:pPr>
              <w:contextualSpacing/>
              <w:jc w:val="center"/>
              <w:rPr>
                <w:bCs/>
                <w:sz w:val="20"/>
                <w:szCs w:val="20"/>
              </w:rPr>
            </w:pPr>
            <w:r>
              <w:rPr>
                <w:bCs/>
                <w:sz w:val="20"/>
                <w:szCs w:val="20"/>
              </w:rPr>
              <w:t>39.0</w:t>
            </w:r>
          </w:p>
        </w:tc>
      </w:tr>
      <w:tr w:rsidR="003E6744" w14:paraId="0EFB62D1" w14:textId="5841DBDE" w:rsidTr="00CA6114">
        <w:trPr>
          <w:jc w:val="center"/>
        </w:trPr>
        <w:tc>
          <w:tcPr>
            <w:tcW w:w="1489" w:type="dxa"/>
          </w:tcPr>
          <w:p w14:paraId="54DDC689" w14:textId="4324F7F9" w:rsidR="003E6744" w:rsidRDefault="003E6744">
            <w:pPr>
              <w:contextualSpacing/>
              <w:jc w:val="center"/>
              <w:rPr>
                <w:b/>
                <w:bCs/>
                <w:sz w:val="20"/>
                <w:szCs w:val="20"/>
              </w:rPr>
            </w:pPr>
            <w:r>
              <w:rPr>
                <w:b/>
                <w:bCs/>
                <w:sz w:val="20"/>
                <w:szCs w:val="20"/>
              </w:rPr>
              <w:t>PM</w:t>
            </w:r>
            <w:r w:rsidRPr="00F17938">
              <w:rPr>
                <w:b/>
                <w:sz w:val="20"/>
                <w:szCs w:val="20"/>
                <w:vertAlign w:val="subscript"/>
              </w:rPr>
              <w:t>2.5</w:t>
            </w:r>
          </w:p>
        </w:tc>
        <w:tc>
          <w:tcPr>
            <w:tcW w:w="1490" w:type="dxa"/>
            <w:shd w:val="clear" w:color="auto" w:fill="auto"/>
            <w:vAlign w:val="center"/>
          </w:tcPr>
          <w:p w14:paraId="5B1658E6" w14:textId="38E7D954" w:rsidR="003E6744" w:rsidRPr="00F17938" w:rsidRDefault="003E6744">
            <w:pPr>
              <w:contextualSpacing/>
              <w:jc w:val="center"/>
              <w:rPr>
                <w:sz w:val="20"/>
                <w:szCs w:val="20"/>
              </w:rPr>
            </w:pPr>
            <w:r w:rsidRPr="00F17938">
              <w:rPr>
                <w:sz w:val="20"/>
                <w:szCs w:val="20"/>
              </w:rPr>
              <w:t>Uintah</w:t>
            </w:r>
          </w:p>
        </w:tc>
        <w:tc>
          <w:tcPr>
            <w:tcW w:w="1502" w:type="dxa"/>
            <w:vAlign w:val="center"/>
          </w:tcPr>
          <w:p w14:paraId="035D5550" w14:textId="6BDDA62E" w:rsidR="003E6744" w:rsidRPr="00F17938" w:rsidRDefault="000010BD">
            <w:pPr>
              <w:contextualSpacing/>
              <w:jc w:val="center"/>
              <w:rPr>
                <w:sz w:val="20"/>
                <w:szCs w:val="20"/>
              </w:rPr>
            </w:pPr>
            <w:r w:rsidRPr="00F17938">
              <w:rPr>
                <w:sz w:val="20"/>
                <w:szCs w:val="20"/>
              </w:rPr>
              <w:t>Annual</w:t>
            </w:r>
          </w:p>
        </w:tc>
        <w:tc>
          <w:tcPr>
            <w:tcW w:w="1995" w:type="dxa"/>
            <w:vAlign w:val="center"/>
          </w:tcPr>
          <w:p w14:paraId="2E9E84CD" w14:textId="393A3E10" w:rsidR="003E6744" w:rsidRPr="00F17938" w:rsidRDefault="000010BD">
            <w:pPr>
              <w:contextualSpacing/>
              <w:jc w:val="center"/>
              <w:rPr>
                <w:sz w:val="20"/>
                <w:szCs w:val="20"/>
              </w:rPr>
            </w:pPr>
            <w:r w:rsidRPr="00F17938">
              <w:rPr>
                <w:sz w:val="20"/>
                <w:szCs w:val="20"/>
              </w:rPr>
              <w:t>6.3</w:t>
            </w:r>
            <w:r w:rsidR="0016221A" w:rsidRPr="00F17938">
              <w:rPr>
                <w:bCs/>
                <w:sz w:val="20"/>
                <w:szCs w:val="20"/>
              </w:rPr>
              <w:t xml:space="preserve"> </w:t>
            </w:r>
            <w:r w:rsidR="0016221A" w:rsidRPr="00F17938">
              <w:rPr>
                <w:rFonts w:cs="Times New Roman"/>
                <w:bCs/>
                <w:sz w:val="20"/>
                <w:szCs w:val="20"/>
              </w:rPr>
              <w:t>µ</w:t>
            </w:r>
            <w:r w:rsidR="0016221A" w:rsidRPr="00F17938">
              <w:rPr>
                <w:bCs/>
                <w:sz w:val="20"/>
                <w:szCs w:val="20"/>
              </w:rPr>
              <w:t>g/m</w:t>
            </w:r>
            <w:r w:rsidR="0016221A" w:rsidRPr="00F17938">
              <w:rPr>
                <w:bCs/>
                <w:sz w:val="20"/>
                <w:szCs w:val="20"/>
                <w:vertAlign w:val="superscript"/>
              </w:rPr>
              <w:t>3</w:t>
            </w:r>
          </w:p>
        </w:tc>
        <w:tc>
          <w:tcPr>
            <w:tcW w:w="1480" w:type="dxa"/>
            <w:vAlign w:val="center"/>
          </w:tcPr>
          <w:p w14:paraId="125982CB" w14:textId="2F400DAA" w:rsidR="003E6744" w:rsidRPr="00F17938" w:rsidRDefault="000010BD">
            <w:pPr>
              <w:contextualSpacing/>
              <w:jc w:val="center"/>
              <w:rPr>
                <w:sz w:val="20"/>
                <w:szCs w:val="20"/>
              </w:rPr>
            </w:pPr>
            <w:r w:rsidRPr="00F17938">
              <w:rPr>
                <w:bCs/>
                <w:sz w:val="20"/>
                <w:szCs w:val="20"/>
              </w:rPr>
              <w:t>9</w:t>
            </w:r>
            <w:r w:rsidR="0016221A" w:rsidRPr="00F17938">
              <w:rPr>
                <w:rFonts w:cs="Times New Roman"/>
                <w:bCs/>
                <w:sz w:val="20"/>
                <w:szCs w:val="20"/>
              </w:rPr>
              <w:t xml:space="preserve"> µ</w:t>
            </w:r>
            <w:r w:rsidR="0016221A" w:rsidRPr="00F17938">
              <w:rPr>
                <w:bCs/>
                <w:sz w:val="20"/>
                <w:szCs w:val="20"/>
              </w:rPr>
              <w:t>g/m</w:t>
            </w:r>
            <w:r w:rsidR="0016221A" w:rsidRPr="00F17938">
              <w:rPr>
                <w:bCs/>
                <w:sz w:val="20"/>
                <w:szCs w:val="20"/>
                <w:vertAlign w:val="superscript"/>
              </w:rPr>
              <w:t>3</w:t>
            </w:r>
          </w:p>
        </w:tc>
        <w:tc>
          <w:tcPr>
            <w:tcW w:w="1394" w:type="dxa"/>
          </w:tcPr>
          <w:p w14:paraId="63D9EAD3" w14:textId="6C6CACA9" w:rsidR="008C0228" w:rsidRPr="008C0228" w:rsidRDefault="002E0272">
            <w:pPr>
              <w:contextualSpacing/>
              <w:jc w:val="center"/>
              <w:rPr>
                <w:bCs/>
                <w:sz w:val="20"/>
                <w:szCs w:val="20"/>
              </w:rPr>
            </w:pPr>
            <w:r>
              <w:rPr>
                <w:bCs/>
                <w:sz w:val="20"/>
                <w:szCs w:val="20"/>
              </w:rPr>
              <w:t>70.0%</w:t>
            </w:r>
          </w:p>
        </w:tc>
      </w:tr>
      <w:tr w:rsidR="000010BD" w14:paraId="02DCA0E5" w14:textId="705CD516" w:rsidTr="00CA6114">
        <w:trPr>
          <w:jc w:val="center"/>
        </w:trPr>
        <w:tc>
          <w:tcPr>
            <w:tcW w:w="1489" w:type="dxa"/>
          </w:tcPr>
          <w:p w14:paraId="3D11429A" w14:textId="0910902A" w:rsidR="000010BD" w:rsidRDefault="000010BD">
            <w:pPr>
              <w:contextualSpacing/>
              <w:jc w:val="center"/>
              <w:rPr>
                <w:b/>
                <w:bCs/>
                <w:sz w:val="20"/>
                <w:szCs w:val="20"/>
              </w:rPr>
            </w:pPr>
            <w:r>
              <w:rPr>
                <w:b/>
                <w:bCs/>
                <w:sz w:val="20"/>
                <w:szCs w:val="20"/>
              </w:rPr>
              <w:t>PM</w:t>
            </w:r>
            <w:r w:rsidRPr="00F17938">
              <w:rPr>
                <w:b/>
                <w:sz w:val="20"/>
                <w:szCs w:val="20"/>
                <w:vertAlign w:val="subscript"/>
              </w:rPr>
              <w:t>2.5</w:t>
            </w:r>
          </w:p>
        </w:tc>
        <w:tc>
          <w:tcPr>
            <w:tcW w:w="1490" w:type="dxa"/>
            <w:shd w:val="clear" w:color="auto" w:fill="auto"/>
            <w:vAlign w:val="center"/>
          </w:tcPr>
          <w:p w14:paraId="5A34D893" w14:textId="6AA6A080" w:rsidR="000010BD" w:rsidRPr="00F17938" w:rsidRDefault="000010BD">
            <w:pPr>
              <w:contextualSpacing/>
              <w:jc w:val="center"/>
              <w:rPr>
                <w:sz w:val="20"/>
                <w:szCs w:val="20"/>
              </w:rPr>
            </w:pPr>
            <w:r w:rsidRPr="00F17938">
              <w:rPr>
                <w:sz w:val="20"/>
                <w:szCs w:val="20"/>
              </w:rPr>
              <w:t>Uintah</w:t>
            </w:r>
          </w:p>
        </w:tc>
        <w:tc>
          <w:tcPr>
            <w:tcW w:w="1502" w:type="dxa"/>
            <w:vAlign w:val="center"/>
          </w:tcPr>
          <w:p w14:paraId="386555F2" w14:textId="312F75C7" w:rsidR="000010BD" w:rsidRPr="00F17938" w:rsidRDefault="000010BD">
            <w:pPr>
              <w:contextualSpacing/>
              <w:jc w:val="center"/>
              <w:rPr>
                <w:sz w:val="20"/>
                <w:szCs w:val="20"/>
              </w:rPr>
            </w:pPr>
            <w:r w:rsidRPr="00F17938">
              <w:rPr>
                <w:sz w:val="20"/>
                <w:szCs w:val="20"/>
              </w:rPr>
              <w:t>24-hour</w:t>
            </w:r>
          </w:p>
        </w:tc>
        <w:tc>
          <w:tcPr>
            <w:tcW w:w="1995" w:type="dxa"/>
            <w:vAlign w:val="center"/>
          </w:tcPr>
          <w:p w14:paraId="229EF6E3" w14:textId="5AF965CE" w:rsidR="000010BD" w:rsidRPr="00F17938" w:rsidRDefault="005D4CE2">
            <w:pPr>
              <w:contextualSpacing/>
              <w:jc w:val="center"/>
              <w:rPr>
                <w:sz w:val="20"/>
                <w:szCs w:val="20"/>
              </w:rPr>
            </w:pPr>
            <w:r w:rsidRPr="00F17938">
              <w:rPr>
                <w:bCs/>
                <w:sz w:val="20"/>
                <w:szCs w:val="20"/>
              </w:rPr>
              <w:t>22</w:t>
            </w:r>
            <w:r w:rsidR="0016221A" w:rsidRPr="00F17938">
              <w:rPr>
                <w:bCs/>
                <w:sz w:val="20"/>
                <w:szCs w:val="20"/>
              </w:rPr>
              <w:t xml:space="preserve"> </w:t>
            </w:r>
            <w:r w:rsidR="0016221A" w:rsidRPr="00F17938">
              <w:rPr>
                <w:rFonts w:cs="Times New Roman"/>
                <w:bCs/>
                <w:sz w:val="20"/>
                <w:szCs w:val="20"/>
              </w:rPr>
              <w:t>µ</w:t>
            </w:r>
            <w:r w:rsidR="0016221A" w:rsidRPr="00F17938">
              <w:rPr>
                <w:bCs/>
                <w:sz w:val="20"/>
                <w:szCs w:val="20"/>
              </w:rPr>
              <w:t>g/m</w:t>
            </w:r>
            <w:r w:rsidR="0016221A" w:rsidRPr="00F17938">
              <w:rPr>
                <w:bCs/>
                <w:sz w:val="20"/>
                <w:szCs w:val="20"/>
                <w:vertAlign w:val="superscript"/>
              </w:rPr>
              <w:t>3</w:t>
            </w:r>
          </w:p>
        </w:tc>
        <w:tc>
          <w:tcPr>
            <w:tcW w:w="1480" w:type="dxa"/>
            <w:vAlign w:val="center"/>
          </w:tcPr>
          <w:p w14:paraId="4772315D" w14:textId="09B52DF9" w:rsidR="000010BD" w:rsidRPr="00F17938" w:rsidRDefault="005D4CE2">
            <w:pPr>
              <w:contextualSpacing/>
              <w:jc w:val="center"/>
              <w:rPr>
                <w:sz w:val="20"/>
                <w:szCs w:val="20"/>
              </w:rPr>
            </w:pPr>
            <w:r w:rsidRPr="00F17938">
              <w:rPr>
                <w:bCs/>
                <w:sz w:val="20"/>
                <w:szCs w:val="20"/>
              </w:rPr>
              <w:t>35</w:t>
            </w:r>
            <w:r w:rsidR="0016221A" w:rsidRPr="00F17938">
              <w:rPr>
                <w:bCs/>
                <w:sz w:val="20"/>
                <w:szCs w:val="20"/>
              </w:rPr>
              <w:t xml:space="preserve"> </w:t>
            </w:r>
            <w:r w:rsidR="0016221A" w:rsidRPr="00F17938">
              <w:rPr>
                <w:rFonts w:cs="Times New Roman"/>
                <w:bCs/>
                <w:sz w:val="20"/>
                <w:szCs w:val="20"/>
              </w:rPr>
              <w:t>µ</w:t>
            </w:r>
            <w:r w:rsidR="0016221A" w:rsidRPr="00F17938">
              <w:rPr>
                <w:bCs/>
                <w:sz w:val="20"/>
                <w:szCs w:val="20"/>
              </w:rPr>
              <w:t>g/m</w:t>
            </w:r>
            <w:r w:rsidR="0016221A" w:rsidRPr="00F17938">
              <w:rPr>
                <w:bCs/>
                <w:sz w:val="20"/>
                <w:szCs w:val="20"/>
                <w:vertAlign w:val="superscript"/>
              </w:rPr>
              <w:t>3</w:t>
            </w:r>
          </w:p>
        </w:tc>
        <w:tc>
          <w:tcPr>
            <w:tcW w:w="1394" w:type="dxa"/>
          </w:tcPr>
          <w:p w14:paraId="265B5DED" w14:textId="1F99B854" w:rsidR="008C0228" w:rsidRPr="008C0228" w:rsidRDefault="002E0272">
            <w:pPr>
              <w:contextualSpacing/>
              <w:jc w:val="center"/>
              <w:rPr>
                <w:bCs/>
                <w:sz w:val="20"/>
                <w:szCs w:val="20"/>
              </w:rPr>
            </w:pPr>
            <w:r>
              <w:rPr>
                <w:bCs/>
                <w:sz w:val="20"/>
                <w:szCs w:val="20"/>
              </w:rPr>
              <w:t>62.9%</w:t>
            </w:r>
          </w:p>
        </w:tc>
      </w:tr>
      <w:tr w:rsidR="00D31C10" w14:paraId="23805FD6" w14:textId="020EB839" w:rsidTr="00CA6114">
        <w:trPr>
          <w:jc w:val="center"/>
        </w:trPr>
        <w:tc>
          <w:tcPr>
            <w:tcW w:w="1489" w:type="dxa"/>
          </w:tcPr>
          <w:p w14:paraId="651E51C0" w14:textId="40012287" w:rsidR="00D31C10" w:rsidRPr="00DD4143" w:rsidRDefault="00D31C10">
            <w:pPr>
              <w:contextualSpacing/>
              <w:jc w:val="center"/>
              <w:rPr>
                <w:b/>
                <w:bCs/>
                <w:sz w:val="20"/>
                <w:szCs w:val="20"/>
              </w:rPr>
            </w:pPr>
            <w:r>
              <w:rPr>
                <w:b/>
                <w:bCs/>
                <w:sz w:val="20"/>
                <w:szCs w:val="20"/>
              </w:rPr>
              <w:t>PM</w:t>
            </w:r>
            <w:r w:rsidRPr="00F17938">
              <w:rPr>
                <w:b/>
                <w:sz w:val="20"/>
                <w:szCs w:val="20"/>
                <w:vertAlign w:val="subscript"/>
              </w:rPr>
              <w:t>2.5</w:t>
            </w:r>
          </w:p>
        </w:tc>
        <w:tc>
          <w:tcPr>
            <w:tcW w:w="1490" w:type="dxa"/>
            <w:shd w:val="clear" w:color="auto" w:fill="auto"/>
            <w:vAlign w:val="center"/>
          </w:tcPr>
          <w:p w14:paraId="573327C9" w14:textId="2D2F675A" w:rsidR="00D31C10" w:rsidRPr="00F17938" w:rsidRDefault="00D31C10">
            <w:pPr>
              <w:contextualSpacing/>
              <w:jc w:val="center"/>
              <w:rPr>
                <w:sz w:val="20"/>
                <w:szCs w:val="20"/>
              </w:rPr>
            </w:pPr>
            <w:r w:rsidRPr="00F17938">
              <w:rPr>
                <w:sz w:val="20"/>
                <w:szCs w:val="20"/>
              </w:rPr>
              <w:t>Duchesne</w:t>
            </w:r>
          </w:p>
        </w:tc>
        <w:tc>
          <w:tcPr>
            <w:tcW w:w="1502" w:type="dxa"/>
            <w:shd w:val="clear" w:color="auto" w:fill="auto"/>
            <w:vAlign w:val="center"/>
          </w:tcPr>
          <w:p w14:paraId="608A3F95" w14:textId="5F973EF3" w:rsidR="00D31C10" w:rsidRPr="00F17938" w:rsidRDefault="00D31C10">
            <w:pPr>
              <w:contextualSpacing/>
              <w:jc w:val="center"/>
              <w:rPr>
                <w:sz w:val="20"/>
                <w:szCs w:val="20"/>
              </w:rPr>
            </w:pPr>
            <w:r w:rsidRPr="00F17938">
              <w:rPr>
                <w:sz w:val="20"/>
                <w:szCs w:val="20"/>
              </w:rPr>
              <w:t>Annual</w:t>
            </w:r>
          </w:p>
        </w:tc>
        <w:tc>
          <w:tcPr>
            <w:tcW w:w="1995" w:type="dxa"/>
            <w:shd w:val="clear" w:color="auto" w:fill="auto"/>
            <w:vAlign w:val="center"/>
          </w:tcPr>
          <w:p w14:paraId="32B610BF" w14:textId="01E4AB90" w:rsidR="00D31C10" w:rsidRPr="00F17938" w:rsidRDefault="00543DE6">
            <w:pPr>
              <w:contextualSpacing/>
              <w:jc w:val="center"/>
              <w:rPr>
                <w:sz w:val="20"/>
                <w:szCs w:val="20"/>
              </w:rPr>
            </w:pPr>
            <w:r>
              <w:rPr>
                <w:sz w:val="20"/>
                <w:szCs w:val="20"/>
              </w:rPr>
              <w:t>7.0</w:t>
            </w:r>
            <w:r w:rsidR="0016221A" w:rsidRPr="00F17938">
              <w:rPr>
                <w:sz w:val="20"/>
                <w:szCs w:val="20"/>
              </w:rPr>
              <w:t xml:space="preserve"> </w:t>
            </w:r>
            <w:r w:rsidR="0016221A" w:rsidRPr="00F17938">
              <w:rPr>
                <w:rFonts w:cs="Times New Roman"/>
                <w:bCs/>
                <w:sz w:val="20"/>
                <w:szCs w:val="20"/>
              </w:rPr>
              <w:t>µ</w:t>
            </w:r>
            <w:r w:rsidR="0016221A" w:rsidRPr="00F17938">
              <w:rPr>
                <w:bCs/>
                <w:sz w:val="20"/>
                <w:szCs w:val="20"/>
              </w:rPr>
              <w:t>g/m</w:t>
            </w:r>
            <w:r w:rsidR="0016221A" w:rsidRPr="00F17938">
              <w:rPr>
                <w:bCs/>
                <w:sz w:val="20"/>
                <w:szCs w:val="20"/>
                <w:vertAlign w:val="superscript"/>
              </w:rPr>
              <w:t>3</w:t>
            </w:r>
          </w:p>
        </w:tc>
        <w:tc>
          <w:tcPr>
            <w:tcW w:w="1480" w:type="dxa"/>
            <w:shd w:val="clear" w:color="auto" w:fill="auto"/>
            <w:vAlign w:val="center"/>
          </w:tcPr>
          <w:p w14:paraId="0DAD2C28" w14:textId="62B59F55" w:rsidR="00D31C10" w:rsidRPr="00F17938" w:rsidRDefault="005D4CE2">
            <w:pPr>
              <w:contextualSpacing/>
              <w:jc w:val="center"/>
              <w:rPr>
                <w:sz w:val="20"/>
                <w:szCs w:val="20"/>
              </w:rPr>
            </w:pPr>
            <w:r w:rsidRPr="00F17938">
              <w:rPr>
                <w:sz w:val="20"/>
                <w:szCs w:val="20"/>
              </w:rPr>
              <w:t>9</w:t>
            </w:r>
            <w:r w:rsidR="0016221A" w:rsidRPr="00F17938">
              <w:rPr>
                <w:sz w:val="20"/>
                <w:szCs w:val="20"/>
              </w:rPr>
              <w:t xml:space="preserve"> </w:t>
            </w:r>
            <w:r w:rsidR="0016221A" w:rsidRPr="00F17938">
              <w:rPr>
                <w:rFonts w:cs="Times New Roman"/>
                <w:bCs/>
                <w:sz w:val="20"/>
                <w:szCs w:val="20"/>
              </w:rPr>
              <w:t>µ</w:t>
            </w:r>
            <w:r w:rsidR="0016221A" w:rsidRPr="00F17938">
              <w:rPr>
                <w:bCs/>
                <w:sz w:val="20"/>
                <w:szCs w:val="20"/>
              </w:rPr>
              <w:t>g/m</w:t>
            </w:r>
            <w:r w:rsidR="0016221A" w:rsidRPr="00F17938">
              <w:rPr>
                <w:bCs/>
                <w:sz w:val="20"/>
                <w:szCs w:val="20"/>
                <w:vertAlign w:val="superscript"/>
              </w:rPr>
              <w:t>3</w:t>
            </w:r>
          </w:p>
        </w:tc>
        <w:tc>
          <w:tcPr>
            <w:tcW w:w="1394" w:type="dxa"/>
          </w:tcPr>
          <w:p w14:paraId="350BE1E2" w14:textId="60C9A7F8" w:rsidR="008C0228" w:rsidRPr="008C0228" w:rsidRDefault="00543DE6">
            <w:pPr>
              <w:contextualSpacing/>
              <w:jc w:val="center"/>
              <w:rPr>
                <w:bCs/>
                <w:sz w:val="20"/>
                <w:szCs w:val="20"/>
              </w:rPr>
            </w:pPr>
            <w:r>
              <w:rPr>
                <w:bCs/>
                <w:sz w:val="20"/>
                <w:szCs w:val="20"/>
              </w:rPr>
              <w:t>7</w:t>
            </w:r>
            <w:r w:rsidR="00E15012">
              <w:rPr>
                <w:bCs/>
                <w:sz w:val="20"/>
                <w:szCs w:val="20"/>
              </w:rPr>
              <w:t>7</w:t>
            </w:r>
            <w:r>
              <w:rPr>
                <w:bCs/>
                <w:sz w:val="20"/>
                <w:szCs w:val="20"/>
              </w:rPr>
              <w:t>.</w:t>
            </w:r>
            <w:r w:rsidR="00E15012">
              <w:rPr>
                <w:bCs/>
                <w:sz w:val="20"/>
                <w:szCs w:val="20"/>
              </w:rPr>
              <w:t>8</w:t>
            </w:r>
            <w:r w:rsidR="00CC0118">
              <w:rPr>
                <w:bCs/>
                <w:sz w:val="20"/>
                <w:szCs w:val="20"/>
              </w:rPr>
              <w:t>%</w:t>
            </w:r>
          </w:p>
        </w:tc>
      </w:tr>
      <w:tr w:rsidR="00D31C10" w14:paraId="2E460B15" w14:textId="61D36B14" w:rsidTr="00CA6114">
        <w:trPr>
          <w:jc w:val="center"/>
        </w:trPr>
        <w:tc>
          <w:tcPr>
            <w:tcW w:w="1489" w:type="dxa"/>
          </w:tcPr>
          <w:p w14:paraId="37BA5A1C" w14:textId="3694E6F6" w:rsidR="00D31C10" w:rsidRDefault="00D31C10">
            <w:pPr>
              <w:contextualSpacing/>
              <w:jc w:val="center"/>
              <w:rPr>
                <w:b/>
                <w:bCs/>
                <w:sz w:val="20"/>
                <w:szCs w:val="20"/>
              </w:rPr>
            </w:pPr>
            <w:r>
              <w:rPr>
                <w:b/>
                <w:bCs/>
                <w:sz w:val="20"/>
                <w:szCs w:val="20"/>
              </w:rPr>
              <w:t>PM</w:t>
            </w:r>
            <w:r w:rsidRPr="00F17938">
              <w:rPr>
                <w:b/>
                <w:sz w:val="20"/>
                <w:szCs w:val="20"/>
                <w:vertAlign w:val="subscript"/>
              </w:rPr>
              <w:t>2.5</w:t>
            </w:r>
          </w:p>
        </w:tc>
        <w:tc>
          <w:tcPr>
            <w:tcW w:w="1490" w:type="dxa"/>
            <w:shd w:val="clear" w:color="auto" w:fill="auto"/>
            <w:vAlign w:val="center"/>
          </w:tcPr>
          <w:p w14:paraId="031FA763" w14:textId="08E4774B" w:rsidR="00D31C10" w:rsidRPr="00F17938" w:rsidRDefault="00D31C10">
            <w:pPr>
              <w:contextualSpacing/>
              <w:jc w:val="center"/>
              <w:rPr>
                <w:sz w:val="20"/>
                <w:szCs w:val="20"/>
              </w:rPr>
            </w:pPr>
            <w:r w:rsidRPr="00F17938">
              <w:rPr>
                <w:sz w:val="20"/>
                <w:szCs w:val="20"/>
              </w:rPr>
              <w:t>Duchesne</w:t>
            </w:r>
          </w:p>
        </w:tc>
        <w:tc>
          <w:tcPr>
            <w:tcW w:w="1502" w:type="dxa"/>
            <w:shd w:val="clear" w:color="auto" w:fill="auto"/>
            <w:vAlign w:val="center"/>
          </w:tcPr>
          <w:p w14:paraId="706531D1" w14:textId="5D270E4E" w:rsidR="00D31C10" w:rsidRPr="00F17938" w:rsidRDefault="00D31C10">
            <w:pPr>
              <w:contextualSpacing/>
              <w:jc w:val="center"/>
              <w:rPr>
                <w:sz w:val="20"/>
                <w:szCs w:val="20"/>
              </w:rPr>
            </w:pPr>
            <w:r w:rsidRPr="00F17938">
              <w:rPr>
                <w:sz w:val="20"/>
                <w:szCs w:val="20"/>
              </w:rPr>
              <w:t>24-hour</w:t>
            </w:r>
          </w:p>
        </w:tc>
        <w:tc>
          <w:tcPr>
            <w:tcW w:w="1995" w:type="dxa"/>
            <w:shd w:val="clear" w:color="auto" w:fill="auto"/>
            <w:vAlign w:val="center"/>
          </w:tcPr>
          <w:p w14:paraId="75350940" w14:textId="1484606E" w:rsidR="00D31C10" w:rsidRPr="00F17938" w:rsidRDefault="00543DE6">
            <w:pPr>
              <w:contextualSpacing/>
              <w:jc w:val="center"/>
              <w:rPr>
                <w:sz w:val="20"/>
                <w:szCs w:val="20"/>
              </w:rPr>
            </w:pPr>
            <w:r w:rsidRPr="00F17938">
              <w:rPr>
                <w:bCs/>
                <w:sz w:val="20"/>
                <w:szCs w:val="20"/>
              </w:rPr>
              <w:t>2</w:t>
            </w:r>
            <w:r>
              <w:rPr>
                <w:bCs/>
                <w:sz w:val="20"/>
                <w:szCs w:val="20"/>
              </w:rPr>
              <w:t>7</w:t>
            </w:r>
            <w:r w:rsidR="0016221A" w:rsidRPr="00F17938">
              <w:rPr>
                <w:bCs/>
                <w:sz w:val="20"/>
                <w:szCs w:val="20"/>
              </w:rPr>
              <w:t xml:space="preserve"> </w:t>
            </w:r>
            <w:r w:rsidR="0016221A" w:rsidRPr="00F17938">
              <w:rPr>
                <w:rFonts w:cs="Times New Roman"/>
                <w:bCs/>
                <w:sz w:val="20"/>
                <w:szCs w:val="20"/>
              </w:rPr>
              <w:t>µ</w:t>
            </w:r>
            <w:r w:rsidR="0016221A" w:rsidRPr="00F17938">
              <w:rPr>
                <w:bCs/>
                <w:sz w:val="20"/>
                <w:szCs w:val="20"/>
              </w:rPr>
              <w:t>g/m</w:t>
            </w:r>
            <w:r w:rsidR="0016221A" w:rsidRPr="00F17938">
              <w:rPr>
                <w:bCs/>
                <w:sz w:val="20"/>
                <w:szCs w:val="20"/>
                <w:vertAlign w:val="superscript"/>
              </w:rPr>
              <w:t>3</w:t>
            </w:r>
          </w:p>
        </w:tc>
        <w:tc>
          <w:tcPr>
            <w:tcW w:w="1480" w:type="dxa"/>
            <w:shd w:val="clear" w:color="auto" w:fill="auto"/>
            <w:vAlign w:val="center"/>
          </w:tcPr>
          <w:p w14:paraId="0EB0C36E" w14:textId="0E55AFAE" w:rsidR="00D31C10" w:rsidRPr="00F17938" w:rsidRDefault="005D4CE2">
            <w:pPr>
              <w:contextualSpacing/>
              <w:jc w:val="center"/>
              <w:rPr>
                <w:sz w:val="20"/>
                <w:szCs w:val="20"/>
              </w:rPr>
            </w:pPr>
            <w:r w:rsidRPr="00F17938">
              <w:rPr>
                <w:bCs/>
                <w:sz w:val="20"/>
                <w:szCs w:val="20"/>
              </w:rPr>
              <w:t>35</w:t>
            </w:r>
            <w:r w:rsidR="0016221A" w:rsidRPr="00F17938">
              <w:rPr>
                <w:rFonts w:cs="Times New Roman"/>
                <w:bCs/>
                <w:sz w:val="20"/>
                <w:szCs w:val="20"/>
              </w:rPr>
              <w:t xml:space="preserve"> µ</w:t>
            </w:r>
            <w:r w:rsidR="0016221A" w:rsidRPr="00F17938">
              <w:rPr>
                <w:bCs/>
                <w:sz w:val="20"/>
                <w:szCs w:val="20"/>
              </w:rPr>
              <w:t>g/m</w:t>
            </w:r>
            <w:r w:rsidR="0016221A" w:rsidRPr="00F17938">
              <w:rPr>
                <w:bCs/>
                <w:sz w:val="20"/>
                <w:szCs w:val="20"/>
                <w:vertAlign w:val="superscript"/>
              </w:rPr>
              <w:t>3</w:t>
            </w:r>
          </w:p>
        </w:tc>
        <w:tc>
          <w:tcPr>
            <w:tcW w:w="1394" w:type="dxa"/>
          </w:tcPr>
          <w:p w14:paraId="3E6980EF" w14:textId="7B104B27" w:rsidR="008C0228" w:rsidRPr="008C0228" w:rsidRDefault="00A650E0">
            <w:pPr>
              <w:contextualSpacing/>
              <w:jc w:val="center"/>
              <w:rPr>
                <w:bCs/>
                <w:sz w:val="20"/>
                <w:szCs w:val="20"/>
              </w:rPr>
            </w:pPr>
            <w:r>
              <w:rPr>
                <w:bCs/>
                <w:sz w:val="20"/>
                <w:szCs w:val="20"/>
              </w:rPr>
              <w:t>77.1</w:t>
            </w:r>
            <w:r w:rsidR="00CC0118">
              <w:rPr>
                <w:bCs/>
                <w:sz w:val="20"/>
                <w:szCs w:val="20"/>
              </w:rPr>
              <w:t>%</w:t>
            </w:r>
          </w:p>
        </w:tc>
      </w:tr>
    </w:tbl>
    <w:p w14:paraId="0EE96B10" w14:textId="77777777" w:rsidR="002661D8" w:rsidRDefault="002661D8" w:rsidP="002661D8">
      <w:pPr>
        <w:rPr>
          <w:sz w:val="16"/>
          <w:szCs w:val="16"/>
        </w:rPr>
      </w:pPr>
      <w:r w:rsidRPr="009B4E51">
        <w:rPr>
          <w:sz w:val="16"/>
          <w:szCs w:val="16"/>
        </w:rPr>
        <w:t>Source: The National Emissions Inventory</w:t>
      </w:r>
      <w:r>
        <w:rPr>
          <w:sz w:val="16"/>
          <w:szCs w:val="16"/>
        </w:rPr>
        <w:t>.</w:t>
      </w:r>
    </w:p>
    <w:p w14:paraId="4FBECBEC" w14:textId="683A79FC" w:rsidR="00F031BB" w:rsidRPr="00F17938" w:rsidRDefault="00C659A2" w:rsidP="00232E4C">
      <w:pPr>
        <w:rPr>
          <w:sz w:val="16"/>
          <w:szCs w:val="16"/>
        </w:rPr>
      </w:pPr>
      <w:r>
        <w:rPr>
          <w:sz w:val="16"/>
          <w:szCs w:val="16"/>
          <w:vertAlign w:val="superscript"/>
        </w:rPr>
        <w:t>1</w:t>
      </w:r>
      <w:r w:rsidR="00DB6E09">
        <w:rPr>
          <w:sz w:val="16"/>
          <w:szCs w:val="16"/>
        </w:rPr>
        <w:t>Concentrations in</w:t>
      </w:r>
      <w:r w:rsidR="000A3BA8">
        <w:rPr>
          <w:sz w:val="16"/>
          <w:szCs w:val="16"/>
        </w:rPr>
        <w:t xml:space="preserve"> parts per million (ppm)</w:t>
      </w:r>
      <w:r w:rsidR="00C720D2">
        <w:rPr>
          <w:sz w:val="16"/>
          <w:szCs w:val="16"/>
        </w:rPr>
        <w:t>, parts per billion (ppb), microgram per cubic meter (</w:t>
      </w:r>
      <w:r w:rsidR="00F66DE7" w:rsidRPr="00F17938">
        <w:rPr>
          <w:rFonts w:cs="Times New Roman"/>
          <w:bCs/>
          <w:sz w:val="16"/>
          <w:szCs w:val="16"/>
        </w:rPr>
        <w:t>µ</w:t>
      </w:r>
      <w:r w:rsidR="00F66DE7" w:rsidRPr="00F17938">
        <w:rPr>
          <w:bCs/>
          <w:sz w:val="16"/>
          <w:szCs w:val="16"/>
        </w:rPr>
        <w:t>g/</w:t>
      </w:r>
      <w:r w:rsidR="00F66DE7" w:rsidRPr="00F17938">
        <w:rPr>
          <w:sz w:val="16"/>
          <w:szCs w:val="16"/>
        </w:rPr>
        <w:t>m</w:t>
      </w:r>
      <w:r w:rsidR="00B765F8" w:rsidRPr="00B765F8">
        <w:rPr>
          <w:sz w:val="16"/>
          <w:szCs w:val="16"/>
          <w:vertAlign w:val="superscript"/>
        </w:rPr>
        <w:t>3</w:t>
      </w:r>
      <w:r w:rsidR="00C854B3">
        <w:rPr>
          <w:bCs/>
          <w:sz w:val="16"/>
          <w:szCs w:val="16"/>
        </w:rPr>
        <w:t>).</w:t>
      </w:r>
    </w:p>
    <w:p w14:paraId="1FA32411" w14:textId="0F5FE7B6" w:rsidR="00B0681F" w:rsidRDefault="00B0681F" w:rsidP="00B0681F">
      <w:pPr>
        <w:spacing w:before="240"/>
      </w:pPr>
      <w:r w:rsidRPr="006F6FAD">
        <w:t>Hazardous air pollutants (</w:t>
      </w:r>
      <w:r w:rsidRPr="00C463E5">
        <w:t>HAP</w:t>
      </w:r>
      <w:r w:rsidR="00FA634F" w:rsidRPr="0077079C">
        <w:t>s</w:t>
      </w:r>
      <w:r w:rsidRPr="006F6FAD">
        <w:t xml:space="preserve">), also known as toxic air pollutants, are known, or suspected to cause cancer or other serious health effects, or adverse environmental effects. Emissions of HAPs are included </w:t>
      </w:r>
      <w:r w:rsidRPr="006F6FAD">
        <w:lastRenderedPageBreak/>
        <w:t xml:space="preserve">as part of the NEI. HAPs emitted by the oil and gas industry include benzene, toluene, ethyl benzene, mixed xylenes, formaldehyde, normal-hexane, acetaldehyde, and methanol. Statewide, these individual pollutants make up 95% of the HAPs emitted from the oil and gas production. Total HAPs emissions for the state of </w:t>
      </w:r>
      <w:r w:rsidRPr="00F17938">
        <w:t xml:space="preserve">Utah and </w:t>
      </w:r>
      <w:r w:rsidR="009362C2" w:rsidRPr="00F17938">
        <w:t xml:space="preserve">Uintah and </w:t>
      </w:r>
      <w:r w:rsidR="00563A4F" w:rsidRPr="00F17938">
        <w:t>Duchesne</w:t>
      </w:r>
      <w:r w:rsidR="009362C2" w:rsidRPr="00F17938">
        <w:t xml:space="preserve"> </w:t>
      </w:r>
      <w:r w:rsidRPr="00F17938">
        <w:t>count</w:t>
      </w:r>
      <w:r w:rsidR="00563A4F" w:rsidRPr="00F17938">
        <w:t>ies</w:t>
      </w:r>
      <w:r w:rsidRPr="00EA29BA">
        <w:t xml:space="preserve"> are</w:t>
      </w:r>
      <w:r w:rsidRPr="006F6FAD">
        <w:t xml:space="preserve"> listed in </w:t>
      </w:r>
      <w:r w:rsidR="00A53159">
        <w:fldChar w:fldCharType="begin"/>
      </w:r>
      <w:r w:rsidR="00A53159">
        <w:instrText xml:space="preserve"> REF _Ref164935123 \h </w:instrText>
      </w:r>
      <w:r w:rsidR="0060602A">
        <w:instrText xml:space="preserve"> \* MERGEFORMAT </w:instrText>
      </w:r>
      <w:r w:rsidR="00A53159">
        <w:fldChar w:fldCharType="separate"/>
      </w:r>
      <w:r w:rsidR="00A53159" w:rsidRPr="002A3442">
        <w:t>Table</w:t>
      </w:r>
      <w:r w:rsidR="00A53159">
        <w:t xml:space="preserve"> </w:t>
      </w:r>
      <w:r w:rsidR="002A3442">
        <w:t>17</w:t>
      </w:r>
      <w:r w:rsidR="00A53159">
        <w:fldChar w:fldCharType="end"/>
      </w:r>
      <w:r w:rsidRPr="006F6FAD">
        <w:t>.</w:t>
      </w:r>
    </w:p>
    <w:p w14:paraId="096E52D2" w14:textId="1E94317F" w:rsidR="00A33DF0" w:rsidRDefault="00A33DF0" w:rsidP="00BA6B1A">
      <w:pPr>
        <w:pStyle w:val="Caption"/>
      </w:pPr>
      <w:bookmarkStart w:id="217" w:name="_Ref164935123"/>
      <w:bookmarkStart w:id="218" w:name="_Toc179464298"/>
      <w:bookmarkStart w:id="219" w:name="_Toc170114953"/>
      <w:r>
        <w:t xml:space="preserve">Table </w:t>
      </w:r>
      <w:r w:rsidR="00BB3F01">
        <w:fldChar w:fldCharType="begin"/>
      </w:r>
      <w:r w:rsidR="00BB3F01">
        <w:instrText xml:space="preserve"> SEQ Table \* ARABIC </w:instrText>
      </w:r>
      <w:r w:rsidR="00BB3F01">
        <w:fldChar w:fldCharType="separate"/>
      </w:r>
      <w:r w:rsidR="00BB3F01">
        <w:rPr>
          <w:noProof/>
        </w:rPr>
        <w:t>17</w:t>
      </w:r>
      <w:r w:rsidR="00BB3F01">
        <w:rPr>
          <w:noProof/>
        </w:rPr>
        <w:fldChar w:fldCharType="end"/>
      </w:r>
      <w:bookmarkEnd w:id="217"/>
      <w:r>
        <w:t xml:space="preserve"> </w:t>
      </w:r>
      <w:r w:rsidRPr="00015DAD">
        <w:t>Hazardous Air Pollutant Emissions (TPY)</w:t>
      </w:r>
      <w:bookmarkEnd w:id="218"/>
      <w:bookmarkEnd w:id="219"/>
    </w:p>
    <w:tbl>
      <w:tblPr>
        <w:tblStyle w:val="TableGrid"/>
        <w:tblW w:w="0" w:type="auto"/>
        <w:jc w:val="center"/>
        <w:tblLook w:val="04A0" w:firstRow="1" w:lastRow="0" w:firstColumn="1" w:lastColumn="0" w:noHBand="0" w:noVBand="1"/>
      </w:tblPr>
      <w:tblGrid>
        <w:gridCol w:w="1558"/>
        <w:gridCol w:w="1558"/>
        <w:gridCol w:w="1558"/>
        <w:gridCol w:w="1558"/>
        <w:gridCol w:w="1559"/>
        <w:gridCol w:w="1559"/>
      </w:tblGrid>
      <w:tr w:rsidR="00B0681F" w14:paraId="515B5509" w14:textId="77777777" w:rsidTr="0077079C">
        <w:trPr>
          <w:jc w:val="center"/>
        </w:trPr>
        <w:tc>
          <w:tcPr>
            <w:tcW w:w="1558" w:type="dxa"/>
            <w:shd w:val="clear" w:color="auto" w:fill="auto"/>
            <w:vAlign w:val="center"/>
          </w:tcPr>
          <w:p w14:paraId="3592AD7A" w14:textId="77777777" w:rsidR="00B0681F" w:rsidRPr="00DD4143" w:rsidRDefault="00B0681F">
            <w:pPr>
              <w:contextualSpacing/>
              <w:jc w:val="center"/>
              <w:rPr>
                <w:b/>
                <w:bCs/>
                <w:sz w:val="20"/>
                <w:szCs w:val="20"/>
              </w:rPr>
            </w:pPr>
            <w:r w:rsidRPr="00DD4143">
              <w:rPr>
                <w:b/>
                <w:bCs/>
                <w:sz w:val="20"/>
                <w:szCs w:val="20"/>
              </w:rPr>
              <w:t>Area</w:t>
            </w:r>
          </w:p>
        </w:tc>
        <w:tc>
          <w:tcPr>
            <w:tcW w:w="1558" w:type="dxa"/>
            <w:shd w:val="clear" w:color="auto" w:fill="auto"/>
            <w:vAlign w:val="center"/>
          </w:tcPr>
          <w:p w14:paraId="5715F996" w14:textId="77777777" w:rsidR="00B0681F" w:rsidRPr="00DD4143" w:rsidRDefault="00B0681F">
            <w:pPr>
              <w:contextualSpacing/>
              <w:jc w:val="center"/>
              <w:rPr>
                <w:b/>
                <w:bCs/>
                <w:sz w:val="20"/>
                <w:szCs w:val="20"/>
              </w:rPr>
            </w:pPr>
            <w:r w:rsidRPr="00DD4143">
              <w:rPr>
                <w:b/>
                <w:bCs/>
                <w:sz w:val="20"/>
                <w:szCs w:val="20"/>
              </w:rPr>
              <w:t>Total</w:t>
            </w:r>
            <w:r>
              <w:rPr>
                <w:b/>
                <w:bCs/>
                <w:sz w:val="20"/>
                <w:szCs w:val="20"/>
              </w:rPr>
              <w:t xml:space="preserve"> </w:t>
            </w:r>
            <w:r w:rsidRPr="00DD4143">
              <w:rPr>
                <w:b/>
                <w:bCs/>
                <w:sz w:val="20"/>
                <w:szCs w:val="20"/>
              </w:rPr>
              <w:t>Emissions</w:t>
            </w:r>
            <w:r>
              <w:rPr>
                <w:b/>
                <w:bCs/>
                <w:sz w:val="20"/>
                <w:szCs w:val="20"/>
              </w:rPr>
              <w:t xml:space="preserve"> </w:t>
            </w:r>
            <w:r w:rsidRPr="00DD4143">
              <w:rPr>
                <w:b/>
                <w:bCs/>
                <w:sz w:val="20"/>
                <w:szCs w:val="20"/>
              </w:rPr>
              <w:t>(TPY)</w:t>
            </w:r>
          </w:p>
        </w:tc>
        <w:tc>
          <w:tcPr>
            <w:tcW w:w="1558" w:type="dxa"/>
            <w:shd w:val="clear" w:color="auto" w:fill="auto"/>
            <w:vAlign w:val="center"/>
          </w:tcPr>
          <w:p w14:paraId="0114C849" w14:textId="77777777" w:rsidR="00B0681F" w:rsidRPr="00DD4143" w:rsidRDefault="00B0681F">
            <w:pPr>
              <w:contextualSpacing/>
              <w:jc w:val="center"/>
              <w:rPr>
                <w:b/>
                <w:bCs/>
                <w:sz w:val="20"/>
                <w:szCs w:val="20"/>
              </w:rPr>
            </w:pPr>
            <w:r w:rsidRPr="00DD4143">
              <w:rPr>
                <w:b/>
                <w:bCs/>
                <w:sz w:val="20"/>
                <w:szCs w:val="20"/>
              </w:rPr>
              <w:t>Vegetation</w:t>
            </w:r>
            <w:r>
              <w:rPr>
                <w:b/>
                <w:bCs/>
                <w:sz w:val="20"/>
                <w:szCs w:val="20"/>
              </w:rPr>
              <w:t xml:space="preserve"> </w:t>
            </w:r>
            <w:r w:rsidRPr="00DD4143">
              <w:rPr>
                <w:b/>
                <w:bCs/>
                <w:sz w:val="20"/>
                <w:szCs w:val="20"/>
              </w:rPr>
              <w:t>and</w:t>
            </w:r>
            <w:r>
              <w:rPr>
                <w:b/>
                <w:bCs/>
                <w:sz w:val="20"/>
                <w:szCs w:val="20"/>
              </w:rPr>
              <w:t xml:space="preserve"> </w:t>
            </w:r>
            <w:r w:rsidRPr="00DD4143">
              <w:rPr>
                <w:b/>
                <w:bCs/>
                <w:sz w:val="20"/>
                <w:szCs w:val="20"/>
              </w:rPr>
              <w:t>Soils</w:t>
            </w:r>
            <w:r>
              <w:rPr>
                <w:b/>
                <w:bCs/>
                <w:sz w:val="20"/>
                <w:szCs w:val="20"/>
              </w:rPr>
              <w:t xml:space="preserve"> </w:t>
            </w:r>
            <w:r w:rsidRPr="00DD4143">
              <w:rPr>
                <w:b/>
                <w:bCs/>
                <w:sz w:val="20"/>
                <w:szCs w:val="20"/>
              </w:rPr>
              <w:t>(TPY)</w:t>
            </w:r>
          </w:p>
        </w:tc>
        <w:tc>
          <w:tcPr>
            <w:tcW w:w="1558" w:type="dxa"/>
            <w:shd w:val="clear" w:color="auto" w:fill="auto"/>
            <w:vAlign w:val="center"/>
          </w:tcPr>
          <w:p w14:paraId="1554555D" w14:textId="77777777" w:rsidR="00B0681F" w:rsidRPr="00DD4143" w:rsidRDefault="00B0681F">
            <w:pPr>
              <w:contextualSpacing/>
              <w:jc w:val="center"/>
              <w:rPr>
                <w:b/>
                <w:bCs/>
                <w:sz w:val="20"/>
                <w:szCs w:val="20"/>
              </w:rPr>
            </w:pPr>
            <w:r w:rsidRPr="00DD4143">
              <w:rPr>
                <w:b/>
                <w:bCs/>
                <w:sz w:val="20"/>
                <w:szCs w:val="20"/>
              </w:rPr>
              <w:t>Wildfire</w:t>
            </w:r>
            <w:r>
              <w:rPr>
                <w:b/>
                <w:bCs/>
                <w:sz w:val="20"/>
                <w:szCs w:val="20"/>
              </w:rPr>
              <w:t xml:space="preserve"> </w:t>
            </w:r>
            <w:r w:rsidRPr="00DD4143">
              <w:rPr>
                <w:b/>
                <w:bCs/>
                <w:sz w:val="20"/>
                <w:szCs w:val="20"/>
              </w:rPr>
              <w:t>(TPY)</w:t>
            </w:r>
          </w:p>
        </w:tc>
        <w:tc>
          <w:tcPr>
            <w:tcW w:w="1559" w:type="dxa"/>
            <w:shd w:val="clear" w:color="auto" w:fill="auto"/>
            <w:vAlign w:val="center"/>
          </w:tcPr>
          <w:p w14:paraId="5F5B9724" w14:textId="77777777" w:rsidR="00B0681F" w:rsidRPr="00DD4143" w:rsidRDefault="00B0681F">
            <w:pPr>
              <w:contextualSpacing/>
              <w:jc w:val="center"/>
              <w:rPr>
                <w:b/>
                <w:bCs/>
                <w:sz w:val="20"/>
                <w:szCs w:val="20"/>
              </w:rPr>
            </w:pPr>
            <w:r w:rsidRPr="00DD4143">
              <w:rPr>
                <w:b/>
                <w:bCs/>
                <w:sz w:val="20"/>
                <w:szCs w:val="20"/>
              </w:rPr>
              <w:t>Prescribed</w:t>
            </w:r>
            <w:r>
              <w:rPr>
                <w:b/>
                <w:bCs/>
                <w:sz w:val="20"/>
                <w:szCs w:val="20"/>
              </w:rPr>
              <w:t xml:space="preserve"> </w:t>
            </w:r>
            <w:r w:rsidRPr="00DD4143">
              <w:rPr>
                <w:b/>
                <w:bCs/>
                <w:sz w:val="20"/>
                <w:szCs w:val="20"/>
              </w:rPr>
              <w:t>Fire</w:t>
            </w:r>
            <w:r>
              <w:rPr>
                <w:b/>
                <w:bCs/>
                <w:sz w:val="20"/>
                <w:szCs w:val="20"/>
              </w:rPr>
              <w:t xml:space="preserve"> </w:t>
            </w:r>
            <w:r w:rsidRPr="00DD4143">
              <w:rPr>
                <w:b/>
                <w:bCs/>
                <w:sz w:val="20"/>
                <w:szCs w:val="20"/>
              </w:rPr>
              <w:t>(TPY)</w:t>
            </w:r>
          </w:p>
        </w:tc>
        <w:tc>
          <w:tcPr>
            <w:tcW w:w="1559" w:type="dxa"/>
            <w:shd w:val="clear" w:color="auto" w:fill="auto"/>
            <w:vAlign w:val="center"/>
          </w:tcPr>
          <w:p w14:paraId="57C23AEC" w14:textId="77777777" w:rsidR="00B0681F" w:rsidRPr="00DD4143" w:rsidRDefault="00B0681F">
            <w:pPr>
              <w:contextualSpacing/>
              <w:jc w:val="center"/>
              <w:rPr>
                <w:b/>
                <w:bCs/>
                <w:sz w:val="20"/>
                <w:szCs w:val="20"/>
              </w:rPr>
            </w:pPr>
            <w:r w:rsidRPr="00DD4143">
              <w:rPr>
                <w:b/>
                <w:bCs/>
                <w:sz w:val="20"/>
                <w:szCs w:val="20"/>
              </w:rPr>
              <w:t>Oil</w:t>
            </w:r>
            <w:r>
              <w:rPr>
                <w:b/>
                <w:bCs/>
                <w:sz w:val="20"/>
                <w:szCs w:val="20"/>
              </w:rPr>
              <w:t xml:space="preserve"> </w:t>
            </w:r>
            <w:r w:rsidRPr="00DD4143">
              <w:rPr>
                <w:b/>
                <w:bCs/>
                <w:sz w:val="20"/>
                <w:szCs w:val="20"/>
              </w:rPr>
              <w:t>and</w:t>
            </w:r>
            <w:r>
              <w:rPr>
                <w:b/>
                <w:bCs/>
                <w:sz w:val="20"/>
                <w:szCs w:val="20"/>
              </w:rPr>
              <w:t xml:space="preserve"> </w:t>
            </w:r>
            <w:r w:rsidRPr="00DD4143">
              <w:rPr>
                <w:b/>
                <w:bCs/>
                <w:sz w:val="20"/>
                <w:szCs w:val="20"/>
              </w:rPr>
              <w:t>Gas</w:t>
            </w:r>
            <w:r>
              <w:rPr>
                <w:b/>
                <w:bCs/>
                <w:sz w:val="20"/>
                <w:szCs w:val="20"/>
              </w:rPr>
              <w:t xml:space="preserve"> </w:t>
            </w:r>
            <w:r w:rsidRPr="00DD4143">
              <w:rPr>
                <w:b/>
                <w:bCs/>
                <w:sz w:val="20"/>
                <w:szCs w:val="20"/>
              </w:rPr>
              <w:t>Production</w:t>
            </w:r>
            <w:r>
              <w:rPr>
                <w:b/>
                <w:bCs/>
                <w:sz w:val="20"/>
                <w:szCs w:val="20"/>
              </w:rPr>
              <w:t xml:space="preserve"> </w:t>
            </w:r>
            <w:r w:rsidRPr="00DD4143">
              <w:rPr>
                <w:b/>
                <w:bCs/>
                <w:sz w:val="20"/>
                <w:szCs w:val="20"/>
              </w:rPr>
              <w:t>(TPY)</w:t>
            </w:r>
          </w:p>
        </w:tc>
      </w:tr>
      <w:tr w:rsidR="00B0681F" w14:paraId="62FFF829" w14:textId="77777777">
        <w:trPr>
          <w:jc w:val="center"/>
        </w:trPr>
        <w:tc>
          <w:tcPr>
            <w:tcW w:w="1558" w:type="dxa"/>
          </w:tcPr>
          <w:p w14:paraId="37DA2A4A" w14:textId="77777777" w:rsidR="00B0681F" w:rsidRPr="00DD4143" w:rsidRDefault="00B0681F">
            <w:pPr>
              <w:contextualSpacing/>
              <w:jc w:val="center"/>
              <w:rPr>
                <w:b/>
                <w:bCs/>
                <w:sz w:val="20"/>
                <w:szCs w:val="20"/>
              </w:rPr>
            </w:pPr>
            <w:r w:rsidRPr="00DD4143">
              <w:rPr>
                <w:b/>
                <w:bCs/>
                <w:sz w:val="20"/>
                <w:szCs w:val="20"/>
              </w:rPr>
              <w:t>Duchesne</w:t>
            </w:r>
            <w:r>
              <w:rPr>
                <w:b/>
                <w:bCs/>
                <w:sz w:val="20"/>
                <w:szCs w:val="20"/>
              </w:rPr>
              <w:t xml:space="preserve"> </w:t>
            </w:r>
            <w:r w:rsidRPr="00DD4143">
              <w:rPr>
                <w:b/>
                <w:bCs/>
                <w:sz w:val="20"/>
                <w:szCs w:val="20"/>
              </w:rPr>
              <w:t>County</w:t>
            </w:r>
          </w:p>
        </w:tc>
        <w:tc>
          <w:tcPr>
            <w:tcW w:w="1558" w:type="dxa"/>
            <w:shd w:val="clear" w:color="auto" w:fill="auto"/>
            <w:vAlign w:val="center"/>
          </w:tcPr>
          <w:p w14:paraId="47952190" w14:textId="3B20065D" w:rsidR="00B0681F" w:rsidRPr="00DD4143" w:rsidRDefault="00B0681F">
            <w:pPr>
              <w:contextualSpacing/>
              <w:jc w:val="center"/>
              <w:rPr>
                <w:b/>
                <w:bCs/>
                <w:sz w:val="20"/>
                <w:szCs w:val="20"/>
              </w:rPr>
            </w:pPr>
            <w:r w:rsidRPr="00DD4143">
              <w:rPr>
                <w:bCs/>
                <w:sz w:val="20"/>
                <w:szCs w:val="20"/>
              </w:rPr>
              <w:t>21,</w:t>
            </w:r>
            <w:r w:rsidR="00D8786B">
              <w:rPr>
                <w:bCs/>
                <w:sz w:val="20"/>
                <w:szCs w:val="20"/>
              </w:rPr>
              <w:t>914.21</w:t>
            </w:r>
          </w:p>
        </w:tc>
        <w:tc>
          <w:tcPr>
            <w:tcW w:w="1558" w:type="dxa"/>
            <w:shd w:val="clear" w:color="auto" w:fill="auto"/>
            <w:vAlign w:val="center"/>
          </w:tcPr>
          <w:p w14:paraId="3F35727F" w14:textId="56A0FD9E" w:rsidR="00B0681F" w:rsidRPr="00DD4143" w:rsidRDefault="00B0681F">
            <w:pPr>
              <w:contextualSpacing/>
              <w:jc w:val="center"/>
              <w:rPr>
                <w:b/>
                <w:bCs/>
                <w:sz w:val="20"/>
                <w:szCs w:val="20"/>
              </w:rPr>
            </w:pPr>
            <w:r w:rsidRPr="00DD4143">
              <w:rPr>
                <w:bCs/>
                <w:sz w:val="20"/>
                <w:szCs w:val="20"/>
              </w:rPr>
              <w:t>1,604.7</w:t>
            </w:r>
            <w:r w:rsidR="007330FF">
              <w:rPr>
                <w:bCs/>
                <w:sz w:val="20"/>
                <w:szCs w:val="20"/>
              </w:rPr>
              <w:t>2</w:t>
            </w:r>
          </w:p>
        </w:tc>
        <w:tc>
          <w:tcPr>
            <w:tcW w:w="1558" w:type="dxa"/>
            <w:shd w:val="clear" w:color="auto" w:fill="auto"/>
            <w:vAlign w:val="center"/>
          </w:tcPr>
          <w:p w14:paraId="00763C2C" w14:textId="792E7C73" w:rsidR="00B0681F" w:rsidRPr="00DD4143" w:rsidRDefault="00B0681F">
            <w:pPr>
              <w:contextualSpacing/>
              <w:jc w:val="center"/>
              <w:rPr>
                <w:b/>
                <w:bCs/>
                <w:sz w:val="20"/>
                <w:szCs w:val="20"/>
              </w:rPr>
            </w:pPr>
            <w:r w:rsidRPr="00DD4143">
              <w:rPr>
                <w:bCs/>
                <w:sz w:val="20"/>
                <w:szCs w:val="20"/>
              </w:rPr>
              <w:t>18,933.88</w:t>
            </w:r>
          </w:p>
        </w:tc>
        <w:tc>
          <w:tcPr>
            <w:tcW w:w="1559" w:type="dxa"/>
            <w:shd w:val="clear" w:color="auto" w:fill="auto"/>
            <w:vAlign w:val="center"/>
          </w:tcPr>
          <w:p w14:paraId="52EF02C7" w14:textId="076930C1" w:rsidR="00B0681F" w:rsidRPr="00DD4143" w:rsidRDefault="00B0681F">
            <w:pPr>
              <w:contextualSpacing/>
              <w:jc w:val="center"/>
              <w:rPr>
                <w:b/>
                <w:bCs/>
                <w:sz w:val="20"/>
                <w:szCs w:val="20"/>
              </w:rPr>
            </w:pPr>
            <w:r w:rsidRPr="00DD4143">
              <w:rPr>
                <w:bCs/>
                <w:sz w:val="20"/>
                <w:szCs w:val="20"/>
              </w:rPr>
              <w:t>4.58</w:t>
            </w:r>
          </w:p>
        </w:tc>
        <w:tc>
          <w:tcPr>
            <w:tcW w:w="1559" w:type="dxa"/>
            <w:shd w:val="clear" w:color="auto" w:fill="auto"/>
            <w:vAlign w:val="center"/>
          </w:tcPr>
          <w:p w14:paraId="364A7F3C" w14:textId="69802205" w:rsidR="00B0681F" w:rsidRPr="00DD4143" w:rsidRDefault="00B0681F">
            <w:pPr>
              <w:contextualSpacing/>
              <w:jc w:val="center"/>
              <w:rPr>
                <w:b/>
                <w:bCs/>
                <w:sz w:val="20"/>
                <w:szCs w:val="20"/>
              </w:rPr>
            </w:pPr>
            <w:r w:rsidRPr="00DD4143">
              <w:rPr>
                <w:bCs/>
                <w:sz w:val="20"/>
                <w:szCs w:val="20"/>
              </w:rPr>
              <w:t>1171.8</w:t>
            </w:r>
            <w:r w:rsidR="008E33EC">
              <w:rPr>
                <w:bCs/>
                <w:sz w:val="20"/>
                <w:szCs w:val="20"/>
              </w:rPr>
              <w:t>1</w:t>
            </w:r>
          </w:p>
        </w:tc>
      </w:tr>
      <w:tr w:rsidR="00B0681F" w14:paraId="36C2BF51" w14:textId="77777777">
        <w:trPr>
          <w:jc w:val="center"/>
        </w:trPr>
        <w:tc>
          <w:tcPr>
            <w:tcW w:w="1558" w:type="dxa"/>
          </w:tcPr>
          <w:p w14:paraId="10E03528" w14:textId="77777777" w:rsidR="00B0681F" w:rsidRPr="00DD4143" w:rsidRDefault="00B0681F">
            <w:pPr>
              <w:contextualSpacing/>
              <w:jc w:val="center"/>
              <w:rPr>
                <w:b/>
                <w:bCs/>
                <w:sz w:val="20"/>
                <w:szCs w:val="20"/>
              </w:rPr>
            </w:pPr>
            <w:r w:rsidRPr="00DD4143">
              <w:rPr>
                <w:b/>
                <w:bCs/>
                <w:sz w:val="20"/>
                <w:szCs w:val="20"/>
              </w:rPr>
              <w:t>Uintah</w:t>
            </w:r>
            <w:r>
              <w:rPr>
                <w:b/>
                <w:bCs/>
                <w:sz w:val="20"/>
                <w:szCs w:val="20"/>
              </w:rPr>
              <w:t xml:space="preserve"> </w:t>
            </w:r>
            <w:r w:rsidRPr="00DD4143">
              <w:rPr>
                <w:b/>
                <w:bCs/>
                <w:sz w:val="20"/>
                <w:szCs w:val="20"/>
              </w:rPr>
              <w:t>County</w:t>
            </w:r>
          </w:p>
        </w:tc>
        <w:tc>
          <w:tcPr>
            <w:tcW w:w="1558" w:type="dxa"/>
            <w:shd w:val="clear" w:color="auto" w:fill="auto"/>
            <w:vAlign w:val="center"/>
          </w:tcPr>
          <w:p w14:paraId="04640777" w14:textId="43360689" w:rsidR="00B0681F" w:rsidRPr="00DD4143" w:rsidRDefault="00B0681F">
            <w:pPr>
              <w:contextualSpacing/>
              <w:jc w:val="center"/>
              <w:rPr>
                <w:b/>
                <w:bCs/>
                <w:sz w:val="20"/>
                <w:szCs w:val="20"/>
              </w:rPr>
            </w:pPr>
            <w:r w:rsidRPr="00DD4143">
              <w:rPr>
                <w:bCs/>
                <w:sz w:val="20"/>
                <w:szCs w:val="20"/>
              </w:rPr>
              <w:t>4,81</w:t>
            </w:r>
            <w:r w:rsidR="000A1789">
              <w:rPr>
                <w:bCs/>
                <w:sz w:val="20"/>
                <w:szCs w:val="20"/>
              </w:rPr>
              <w:t>4.</w:t>
            </w:r>
            <w:r w:rsidR="0026169C">
              <w:rPr>
                <w:bCs/>
                <w:sz w:val="20"/>
                <w:szCs w:val="20"/>
              </w:rPr>
              <w:t>43</w:t>
            </w:r>
          </w:p>
        </w:tc>
        <w:tc>
          <w:tcPr>
            <w:tcW w:w="1558" w:type="dxa"/>
            <w:vAlign w:val="center"/>
          </w:tcPr>
          <w:p w14:paraId="0C7F2219" w14:textId="0AA59382" w:rsidR="00B0681F" w:rsidRPr="00DD4143" w:rsidRDefault="00B0681F">
            <w:pPr>
              <w:contextualSpacing/>
              <w:jc w:val="center"/>
              <w:rPr>
                <w:b/>
                <w:bCs/>
                <w:sz w:val="20"/>
                <w:szCs w:val="20"/>
              </w:rPr>
            </w:pPr>
            <w:r w:rsidRPr="00DD4143">
              <w:rPr>
                <w:bCs/>
                <w:sz w:val="20"/>
                <w:szCs w:val="20"/>
              </w:rPr>
              <w:t>2,410.6</w:t>
            </w:r>
            <w:r w:rsidR="0026169C">
              <w:rPr>
                <w:bCs/>
                <w:sz w:val="20"/>
                <w:szCs w:val="20"/>
              </w:rPr>
              <w:t>9</w:t>
            </w:r>
          </w:p>
        </w:tc>
        <w:tc>
          <w:tcPr>
            <w:tcW w:w="1558" w:type="dxa"/>
            <w:vAlign w:val="center"/>
          </w:tcPr>
          <w:p w14:paraId="044BBF99" w14:textId="0D189E9F" w:rsidR="00B0681F" w:rsidRPr="00DD4143" w:rsidRDefault="00B0681F">
            <w:pPr>
              <w:contextualSpacing/>
              <w:jc w:val="center"/>
              <w:rPr>
                <w:b/>
                <w:bCs/>
                <w:sz w:val="20"/>
                <w:szCs w:val="20"/>
              </w:rPr>
            </w:pPr>
            <w:r w:rsidRPr="00DD4143">
              <w:rPr>
                <w:bCs/>
                <w:sz w:val="20"/>
                <w:szCs w:val="20"/>
              </w:rPr>
              <w:t>16.35</w:t>
            </w:r>
          </w:p>
        </w:tc>
        <w:tc>
          <w:tcPr>
            <w:tcW w:w="1559" w:type="dxa"/>
            <w:vAlign w:val="center"/>
          </w:tcPr>
          <w:p w14:paraId="690211FE" w14:textId="0489FCAD" w:rsidR="00B0681F" w:rsidRPr="00DD4143" w:rsidRDefault="00B0681F">
            <w:pPr>
              <w:contextualSpacing/>
              <w:jc w:val="center"/>
              <w:rPr>
                <w:b/>
                <w:bCs/>
                <w:sz w:val="20"/>
                <w:szCs w:val="20"/>
              </w:rPr>
            </w:pPr>
            <w:r w:rsidRPr="00DD4143">
              <w:rPr>
                <w:bCs/>
                <w:sz w:val="20"/>
                <w:szCs w:val="20"/>
              </w:rPr>
              <w:t>10.05</w:t>
            </w:r>
          </w:p>
        </w:tc>
        <w:tc>
          <w:tcPr>
            <w:tcW w:w="1559" w:type="dxa"/>
            <w:vAlign w:val="center"/>
          </w:tcPr>
          <w:p w14:paraId="0F792D12" w14:textId="3CAF3431" w:rsidR="00B0681F" w:rsidRPr="00DD4143" w:rsidRDefault="00B0681F">
            <w:pPr>
              <w:contextualSpacing/>
              <w:jc w:val="center"/>
              <w:rPr>
                <w:b/>
                <w:bCs/>
                <w:sz w:val="20"/>
                <w:szCs w:val="20"/>
              </w:rPr>
            </w:pPr>
            <w:r w:rsidRPr="00DD4143">
              <w:rPr>
                <w:bCs/>
                <w:sz w:val="20"/>
                <w:szCs w:val="20"/>
              </w:rPr>
              <w:t>2,199.9</w:t>
            </w:r>
            <w:r w:rsidR="0026169C">
              <w:rPr>
                <w:bCs/>
                <w:sz w:val="20"/>
                <w:szCs w:val="20"/>
              </w:rPr>
              <w:t>6</w:t>
            </w:r>
          </w:p>
        </w:tc>
      </w:tr>
    </w:tbl>
    <w:p w14:paraId="7587DD21" w14:textId="77777777" w:rsidR="00B0681F" w:rsidRDefault="00B0681F" w:rsidP="00B0681F">
      <w:pPr>
        <w:rPr>
          <w:sz w:val="16"/>
          <w:szCs w:val="16"/>
        </w:rPr>
      </w:pPr>
      <w:r w:rsidRPr="009B4E51">
        <w:rPr>
          <w:sz w:val="16"/>
          <w:szCs w:val="16"/>
        </w:rPr>
        <w:t>Source: The National Emissions Inventory</w:t>
      </w:r>
      <w:r>
        <w:rPr>
          <w:sz w:val="16"/>
          <w:szCs w:val="16"/>
        </w:rPr>
        <w:t>.</w:t>
      </w:r>
    </w:p>
    <w:p w14:paraId="7496F731" w14:textId="77777777" w:rsidR="00F031BB" w:rsidRPr="00344347" w:rsidRDefault="00F031BB" w:rsidP="00B0681F">
      <w:pPr>
        <w:rPr>
          <w:b/>
        </w:rPr>
      </w:pPr>
    </w:p>
    <w:p w14:paraId="13012E2A" w14:textId="33D4CE2F" w:rsidR="00BF546F" w:rsidRPr="00414808" w:rsidRDefault="00BF546F" w:rsidP="00BF546F">
      <w:pPr>
        <w:spacing w:before="240"/>
        <w:rPr>
          <w:rStyle w:val="ui-provider"/>
        </w:rPr>
      </w:pPr>
      <w:r w:rsidRPr="00414808">
        <w:t xml:space="preserve">The EPA Air Toxics Screening Assessment is used to evaluate impacts from existing HAP </w:t>
      </w:r>
      <w:bookmarkStart w:id="220" w:name="_Hlk153978505"/>
      <w:r w:rsidRPr="00414808">
        <w:t xml:space="preserve">emissions in Utah </w:t>
      </w:r>
      <w:sdt>
        <w:sdtPr>
          <w:id w:val="-1897967863"/>
          <w:citation/>
        </w:sdtPr>
        <w:sdtContent>
          <w:r w:rsidR="007B30B9">
            <w:fldChar w:fldCharType="begin"/>
          </w:r>
          <w:r w:rsidR="007B30B9">
            <w:instrText xml:space="preserve"> CITATION EPA23 \l 1033 </w:instrText>
          </w:r>
          <w:r w:rsidR="007B30B9">
            <w:fldChar w:fldCharType="separate"/>
          </w:r>
          <w:r w:rsidR="0093463A">
            <w:rPr>
              <w:noProof/>
            </w:rPr>
            <w:t>(EPA, 2023)</w:t>
          </w:r>
          <w:r w:rsidR="007B30B9">
            <w:fldChar w:fldCharType="end"/>
          </w:r>
        </w:sdtContent>
      </w:sdt>
      <w:r w:rsidRPr="00414808">
        <w:t xml:space="preserve">. Air Toxics Screening Assessment results for counties relevant to the analysis area are reported in </w:t>
      </w:r>
      <w:r w:rsidR="008D7C77">
        <w:fldChar w:fldCharType="begin"/>
      </w:r>
      <w:r w:rsidR="008D7C77">
        <w:instrText xml:space="preserve"> REF _Ref164935500 \h </w:instrText>
      </w:r>
      <w:r w:rsidR="0060602A">
        <w:instrText xml:space="preserve"> \* MERGEFORMAT </w:instrText>
      </w:r>
      <w:r w:rsidR="008D7C77">
        <w:fldChar w:fldCharType="separate"/>
      </w:r>
      <w:r w:rsidR="008D7C77" w:rsidRPr="002B6891">
        <w:t>Table</w:t>
      </w:r>
      <w:r w:rsidR="008D7C77">
        <w:t xml:space="preserve"> </w:t>
      </w:r>
      <w:r w:rsidR="002B6891">
        <w:t>18</w:t>
      </w:r>
      <w:r w:rsidR="008D7C77">
        <w:fldChar w:fldCharType="end"/>
      </w:r>
      <w:r w:rsidRPr="00414808">
        <w:t xml:space="preserve">. The total cancer risk is within the acceptable range of risk published by the EPA of 100 in 1 million as discussed in the National Contingency Plan, 40 CFR </w:t>
      </w:r>
      <w:r w:rsidR="00761480" w:rsidRPr="00156477">
        <w:t>§ 300.430</w:t>
      </w:r>
      <w:r w:rsidR="00761480">
        <w:t xml:space="preserve"> also see </w:t>
      </w:r>
      <w:sdt>
        <w:sdtPr>
          <w:id w:val="-1732773349"/>
          <w:citation/>
        </w:sdtPr>
        <w:sdtContent>
          <w:r w:rsidR="00761480">
            <w:fldChar w:fldCharType="begin"/>
          </w:r>
          <w:r w:rsidR="00761480">
            <w:instrText xml:space="preserve"> CITATION EPA991 \l 1033 </w:instrText>
          </w:r>
          <w:r w:rsidR="00761480">
            <w:fldChar w:fldCharType="separate"/>
          </w:r>
          <w:r w:rsidR="0093463A">
            <w:rPr>
              <w:noProof/>
            </w:rPr>
            <w:t>(EPA, 1999)</w:t>
          </w:r>
          <w:r w:rsidR="00761480">
            <w:fldChar w:fldCharType="end"/>
          </w:r>
        </w:sdtContent>
      </w:sdt>
      <w:r w:rsidRPr="00414808">
        <w:t xml:space="preserve">.  Hazard index values less than one mean it is unlikely that air toxics would cause adverse noncancer health effects over a lifetime of exposure. </w:t>
      </w:r>
      <w:r w:rsidR="00327D54">
        <w:t xml:space="preserve">Potential development </w:t>
      </w:r>
      <w:r w:rsidR="00376C1B">
        <w:t>on the lease parcels</w:t>
      </w:r>
      <w:r w:rsidRPr="00414808">
        <w:t xml:space="preserve"> would contribute to HAP emissions and associated carcinogenic and noncancer risks.</w:t>
      </w:r>
      <w:r w:rsidRPr="00414808">
        <w:rPr>
          <w:rStyle w:val="ui-provider"/>
        </w:rPr>
        <w:t xml:space="preserve"> </w:t>
      </w:r>
    </w:p>
    <w:p w14:paraId="2A3EA796" w14:textId="31F84420" w:rsidR="008D7C77" w:rsidRDefault="008D7C77" w:rsidP="00BA6B1A">
      <w:pPr>
        <w:pStyle w:val="Caption"/>
      </w:pPr>
      <w:bookmarkStart w:id="221" w:name="_Ref164935500"/>
      <w:bookmarkStart w:id="222" w:name="_Toc179464299"/>
      <w:bookmarkStart w:id="223" w:name="_Toc170114954"/>
      <w:bookmarkStart w:id="224" w:name="_Hlk153978572"/>
      <w:r w:rsidRPr="00635802">
        <w:t xml:space="preserve">Table </w:t>
      </w:r>
      <w:r w:rsidR="00BB3F01">
        <w:fldChar w:fldCharType="begin"/>
      </w:r>
      <w:r w:rsidR="00BB3F01">
        <w:instrText xml:space="preserve"> SEQ Table \* ARABIC </w:instrText>
      </w:r>
      <w:r w:rsidR="00BB3F01">
        <w:fldChar w:fldCharType="separate"/>
      </w:r>
      <w:r w:rsidR="00BB3F01">
        <w:rPr>
          <w:noProof/>
        </w:rPr>
        <w:t>18</w:t>
      </w:r>
      <w:r w:rsidR="00BB3F01">
        <w:rPr>
          <w:noProof/>
        </w:rPr>
        <w:fldChar w:fldCharType="end"/>
      </w:r>
      <w:bookmarkEnd w:id="221"/>
      <w:r>
        <w:t xml:space="preserve"> </w:t>
      </w:r>
      <w:r w:rsidRPr="0053313F">
        <w:t>Total Cancer Risk and Noncancer Respiratory Hazard from Existing HAP Emissions (2019 Reporting Year).</w:t>
      </w:r>
      <w:bookmarkEnd w:id="222"/>
      <w:bookmarkEnd w:id="223"/>
    </w:p>
    <w:tbl>
      <w:tblPr>
        <w:tblStyle w:val="TableGrid"/>
        <w:tblW w:w="0" w:type="auto"/>
        <w:jc w:val="center"/>
        <w:tblLook w:val="04A0" w:firstRow="1" w:lastRow="0" w:firstColumn="1" w:lastColumn="0" w:noHBand="0" w:noVBand="1"/>
      </w:tblPr>
      <w:tblGrid>
        <w:gridCol w:w="1558"/>
        <w:gridCol w:w="1558"/>
        <w:gridCol w:w="1558"/>
        <w:gridCol w:w="1558"/>
        <w:gridCol w:w="1559"/>
      </w:tblGrid>
      <w:tr w:rsidR="00BF546F" w14:paraId="5D21623F" w14:textId="77777777" w:rsidTr="00BA6B1A">
        <w:trPr>
          <w:jc w:val="center"/>
        </w:trPr>
        <w:tc>
          <w:tcPr>
            <w:tcW w:w="1558" w:type="dxa"/>
            <w:shd w:val="clear" w:color="auto" w:fill="auto"/>
            <w:vAlign w:val="center"/>
          </w:tcPr>
          <w:p w14:paraId="5EC06C50" w14:textId="77777777" w:rsidR="00BF546F" w:rsidRPr="00DD4143" w:rsidRDefault="00BF546F">
            <w:pPr>
              <w:contextualSpacing/>
              <w:jc w:val="center"/>
              <w:rPr>
                <w:b/>
                <w:bCs/>
                <w:sz w:val="20"/>
                <w:szCs w:val="20"/>
              </w:rPr>
            </w:pPr>
            <w:r>
              <w:rPr>
                <w:b/>
                <w:bCs/>
                <w:sz w:val="20"/>
                <w:szCs w:val="20"/>
              </w:rPr>
              <w:t>County</w:t>
            </w:r>
          </w:p>
        </w:tc>
        <w:tc>
          <w:tcPr>
            <w:tcW w:w="1558" w:type="dxa"/>
            <w:shd w:val="clear" w:color="auto" w:fill="auto"/>
            <w:vAlign w:val="center"/>
          </w:tcPr>
          <w:p w14:paraId="1708293C" w14:textId="77777777" w:rsidR="00BF546F" w:rsidRPr="00DD4143" w:rsidRDefault="00BF546F">
            <w:pPr>
              <w:contextualSpacing/>
              <w:jc w:val="center"/>
              <w:rPr>
                <w:b/>
                <w:bCs/>
                <w:sz w:val="20"/>
                <w:szCs w:val="20"/>
              </w:rPr>
            </w:pPr>
            <w:r>
              <w:rPr>
                <w:b/>
                <w:bCs/>
                <w:sz w:val="20"/>
                <w:szCs w:val="20"/>
              </w:rPr>
              <w:t>Total Cancer Risk/Million</w:t>
            </w:r>
          </w:p>
        </w:tc>
        <w:tc>
          <w:tcPr>
            <w:tcW w:w="1558" w:type="dxa"/>
            <w:shd w:val="clear" w:color="auto" w:fill="auto"/>
            <w:vAlign w:val="center"/>
          </w:tcPr>
          <w:p w14:paraId="2F22930D" w14:textId="77777777" w:rsidR="00BF546F" w:rsidRPr="00DD4143" w:rsidRDefault="00BF546F">
            <w:pPr>
              <w:contextualSpacing/>
              <w:jc w:val="center"/>
              <w:rPr>
                <w:b/>
                <w:bCs/>
                <w:sz w:val="20"/>
                <w:szCs w:val="20"/>
              </w:rPr>
            </w:pPr>
            <w:r>
              <w:rPr>
                <w:b/>
                <w:bCs/>
                <w:sz w:val="20"/>
                <w:szCs w:val="20"/>
              </w:rPr>
              <w:t>Background Cancer Risk/Million</w:t>
            </w:r>
          </w:p>
        </w:tc>
        <w:tc>
          <w:tcPr>
            <w:tcW w:w="1558" w:type="dxa"/>
            <w:shd w:val="clear" w:color="auto" w:fill="auto"/>
            <w:vAlign w:val="center"/>
          </w:tcPr>
          <w:p w14:paraId="5C7032A9" w14:textId="77777777" w:rsidR="00BF546F" w:rsidRPr="00DD4143" w:rsidRDefault="00BF546F">
            <w:pPr>
              <w:contextualSpacing/>
              <w:jc w:val="center"/>
              <w:rPr>
                <w:b/>
                <w:bCs/>
                <w:sz w:val="20"/>
                <w:szCs w:val="20"/>
              </w:rPr>
            </w:pPr>
            <w:r>
              <w:rPr>
                <w:b/>
                <w:bCs/>
                <w:sz w:val="20"/>
                <w:szCs w:val="20"/>
              </w:rPr>
              <w:t>Oil &amp; Gas Cancer Risk/Million</w:t>
            </w:r>
          </w:p>
        </w:tc>
        <w:tc>
          <w:tcPr>
            <w:tcW w:w="1559" w:type="dxa"/>
            <w:shd w:val="clear" w:color="auto" w:fill="auto"/>
            <w:vAlign w:val="center"/>
          </w:tcPr>
          <w:p w14:paraId="57546E89" w14:textId="77777777" w:rsidR="00BF546F" w:rsidRPr="00DD4143" w:rsidRDefault="00BF546F">
            <w:pPr>
              <w:contextualSpacing/>
              <w:jc w:val="center"/>
              <w:rPr>
                <w:b/>
                <w:bCs/>
                <w:sz w:val="20"/>
                <w:szCs w:val="20"/>
              </w:rPr>
            </w:pPr>
            <w:r>
              <w:rPr>
                <w:b/>
                <w:bCs/>
                <w:sz w:val="20"/>
                <w:szCs w:val="20"/>
              </w:rPr>
              <w:t>Total Respiratory Hazard Index</w:t>
            </w:r>
          </w:p>
        </w:tc>
      </w:tr>
      <w:tr w:rsidR="00BF546F" w14:paraId="74D1EC69" w14:textId="77777777">
        <w:trPr>
          <w:jc w:val="center"/>
        </w:trPr>
        <w:tc>
          <w:tcPr>
            <w:tcW w:w="1558" w:type="dxa"/>
            <w:vAlign w:val="center"/>
          </w:tcPr>
          <w:p w14:paraId="64C2FAFA" w14:textId="77777777" w:rsidR="00BF546F" w:rsidRPr="00DD4143" w:rsidRDefault="00BF546F">
            <w:pPr>
              <w:contextualSpacing/>
              <w:jc w:val="center"/>
              <w:rPr>
                <w:b/>
                <w:bCs/>
                <w:sz w:val="20"/>
                <w:szCs w:val="20"/>
              </w:rPr>
            </w:pPr>
            <w:r w:rsidRPr="00DD4143">
              <w:rPr>
                <w:b/>
                <w:bCs/>
                <w:sz w:val="20"/>
                <w:szCs w:val="20"/>
              </w:rPr>
              <w:t>Duchesne</w:t>
            </w:r>
            <w:r>
              <w:rPr>
                <w:b/>
                <w:bCs/>
                <w:sz w:val="20"/>
                <w:szCs w:val="20"/>
              </w:rPr>
              <w:t xml:space="preserve"> </w:t>
            </w:r>
          </w:p>
        </w:tc>
        <w:tc>
          <w:tcPr>
            <w:tcW w:w="1558" w:type="dxa"/>
            <w:shd w:val="clear" w:color="auto" w:fill="auto"/>
            <w:vAlign w:val="center"/>
          </w:tcPr>
          <w:p w14:paraId="27233ED6" w14:textId="77777777" w:rsidR="00BF546F" w:rsidRPr="00087B1D" w:rsidRDefault="00BF546F">
            <w:pPr>
              <w:contextualSpacing/>
              <w:jc w:val="center"/>
              <w:rPr>
                <w:sz w:val="20"/>
                <w:szCs w:val="20"/>
              </w:rPr>
            </w:pPr>
            <w:r w:rsidRPr="00087B1D">
              <w:rPr>
                <w:sz w:val="20"/>
                <w:szCs w:val="20"/>
              </w:rPr>
              <w:t>15.89</w:t>
            </w:r>
          </w:p>
        </w:tc>
        <w:tc>
          <w:tcPr>
            <w:tcW w:w="1558" w:type="dxa"/>
            <w:shd w:val="clear" w:color="auto" w:fill="auto"/>
            <w:vAlign w:val="center"/>
          </w:tcPr>
          <w:p w14:paraId="0E2E4E71" w14:textId="77777777" w:rsidR="00BF546F" w:rsidRPr="00087B1D" w:rsidRDefault="00BF546F">
            <w:pPr>
              <w:contextualSpacing/>
              <w:jc w:val="center"/>
              <w:rPr>
                <w:sz w:val="20"/>
                <w:szCs w:val="20"/>
              </w:rPr>
            </w:pPr>
            <w:r w:rsidRPr="00087B1D">
              <w:rPr>
                <w:sz w:val="20"/>
                <w:szCs w:val="20"/>
              </w:rPr>
              <w:t>2.60</w:t>
            </w:r>
          </w:p>
        </w:tc>
        <w:tc>
          <w:tcPr>
            <w:tcW w:w="1558" w:type="dxa"/>
            <w:shd w:val="clear" w:color="auto" w:fill="auto"/>
            <w:vAlign w:val="center"/>
          </w:tcPr>
          <w:p w14:paraId="21840F75" w14:textId="77777777" w:rsidR="00BF546F" w:rsidRPr="00087B1D" w:rsidRDefault="00BF546F">
            <w:pPr>
              <w:contextualSpacing/>
              <w:jc w:val="center"/>
              <w:rPr>
                <w:sz w:val="20"/>
                <w:szCs w:val="20"/>
              </w:rPr>
            </w:pPr>
            <w:r w:rsidRPr="00087B1D">
              <w:rPr>
                <w:sz w:val="20"/>
                <w:szCs w:val="20"/>
              </w:rPr>
              <w:t>5.16</w:t>
            </w:r>
          </w:p>
        </w:tc>
        <w:tc>
          <w:tcPr>
            <w:tcW w:w="1559" w:type="dxa"/>
            <w:shd w:val="clear" w:color="auto" w:fill="auto"/>
            <w:vAlign w:val="center"/>
          </w:tcPr>
          <w:p w14:paraId="6251BD24" w14:textId="77777777" w:rsidR="00BF546F" w:rsidRPr="00087B1D" w:rsidRDefault="00BF546F">
            <w:pPr>
              <w:contextualSpacing/>
              <w:jc w:val="center"/>
              <w:rPr>
                <w:sz w:val="20"/>
                <w:szCs w:val="20"/>
              </w:rPr>
            </w:pPr>
            <w:r w:rsidRPr="00087B1D">
              <w:rPr>
                <w:sz w:val="20"/>
                <w:szCs w:val="20"/>
              </w:rPr>
              <w:t>0.13</w:t>
            </w:r>
          </w:p>
        </w:tc>
      </w:tr>
      <w:tr w:rsidR="00BF546F" w14:paraId="248429FC" w14:textId="77777777">
        <w:trPr>
          <w:jc w:val="center"/>
        </w:trPr>
        <w:tc>
          <w:tcPr>
            <w:tcW w:w="1558" w:type="dxa"/>
            <w:vAlign w:val="center"/>
          </w:tcPr>
          <w:p w14:paraId="34676C49" w14:textId="77777777" w:rsidR="00BF546F" w:rsidRPr="00DD4143" w:rsidRDefault="00BF546F">
            <w:pPr>
              <w:contextualSpacing/>
              <w:jc w:val="center"/>
              <w:rPr>
                <w:b/>
                <w:bCs/>
                <w:sz w:val="20"/>
                <w:szCs w:val="20"/>
              </w:rPr>
            </w:pPr>
            <w:r w:rsidRPr="00DD4143">
              <w:rPr>
                <w:b/>
                <w:bCs/>
                <w:sz w:val="20"/>
                <w:szCs w:val="20"/>
              </w:rPr>
              <w:t>Uintah</w:t>
            </w:r>
            <w:r>
              <w:rPr>
                <w:b/>
                <w:bCs/>
                <w:sz w:val="20"/>
                <w:szCs w:val="20"/>
              </w:rPr>
              <w:t xml:space="preserve"> </w:t>
            </w:r>
          </w:p>
        </w:tc>
        <w:tc>
          <w:tcPr>
            <w:tcW w:w="1558" w:type="dxa"/>
            <w:shd w:val="clear" w:color="auto" w:fill="auto"/>
            <w:vAlign w:val="center"/>
          </w:tcPr>
          <w:p w14:paraId="7EB1F4F9" w14:textId="77777777" w:rsidR="00BF546F" w:rsidRPr="00087B1D" w:rsidRDefault="00BF546F">
            <w:pPr>
              <w:contextualSpacing/>
              <w:jc w:val="center"/>
              <w:rPr>
                <w:sz w:val="20"/>
                <w:szCs w:val="20"/>
              </w:rPr>
            </w:pPr>
            <w:r w:rsidRPr="00087B1D">
              <w:rPr>
                <w:sz w:val="20"/>
                <w:szCs w:val="20"/>
              </w:rPr>
              <w:t>12.75</w:t>
            </w:r>
          </w:p>
        </w:tc>
        <w:tc>
          <w:tcPr>
            <w:tcW w:w="1558" w:type="dxa"/>
            <w:vAlign w:val="center"/>
          </w:tcPr>
          <w:p w14:paraId="0C0FE71A" w14:textId="77777777" w:rsidR="00BF546F" w:rsidRPr="00087B1D" w:rsidRDefault="00BF546F">
            <w:pPr>
              <w:contextualSpacing/>
              <w:jc w:val="center"/>
              <w:rPr>
                <w:sz w:val="20"/>
                <w:szCs w:val="20"/>
              </w:rPr>
            </w:pPr>
            <w:r w:rsidRPr="00087B1D">
              <w:rPr>
                <w:sz w:val="20"/>
                <w:szCs w:val="20"/>
              </w:rPr>
              <w:t>2.63</w:t>
            </w:r>
          </w:p>
        </w:tc>
        <w:tc>
          <w:tcPr>
            <w:tcW w:w="1558" w:type="dxa"/>
            <w:vAlign w:val="center"/>
          </w:tcPr>
          <w:p w14:paraId="5921809F" w14:textId="77777777" w:rsidR="00BF546F" w:rsidRPr="00087B1D" w:rsidRDefault="00BF546F">
            <w:pPr>
              <w:contextualSpacing/>
              <w:jc w:val="center"/>
              <w:rPr>
                <w:sz w:val="20"/>
                <w:szCs w:val="20"/>
              </w:rPr>
            </w:pPr>
            <w:r w:rsidRPr="00087B1D">
              <w:rPr>
                <w:sz w:val="20"/>
                <w:szCs w:val="20"/>
              </w:rPr>
              <w:t>1.32</w:t>
            </w:r>
          </w:p>
        </w:tc>
        <w:tc>
          <w:tcPr>
            <w:tcW w:w="1559" w:type="dxa"/>
            <w:vAlign w:val="center"/>
          </w:tcPr>
          <w:p w14:paraId="75504C18" w14:textId="77777777" w:rsidR="00BF546F" w:rsidRPr="00087B1D" w:rsidRDefault="00BF546F">
            <w:pPr>
              <w:contextualSpacing/>
              <w:jc w:val="center"/>
              <w:rPr>
                <w:sz w:val="20"/>
                <w:szCs w:val="20"/>
              </w:rPr>
            </w:pPr>
            <w:r w:rsidRPr="00087B1D">
              <w:rPr>
                <w:sz w:val="20"/>
                <w:szCs w:val="20"/>
              </w:rPr>
              <w:t>0.13</w:t>
            </w:r>
          </w:p>
        </w:tc>
      </w:tr>
    </w:tbl>
    <w:bookmarkEnd w:id="224"/>
    <w:p w14:paraId="7D4B665C" w14:textId="77777777" w:rsidR="00BF546F" w:rsidRDefault="00BF546F" w:rsidP="00BF546F">
      <w:pPr>
        <w:rPr>
          <w:sz w:val="16"/>
          <w:szCs w:val="16"/>
        </w:rPr>
      </w:pPr>
      <w:r w:rsidRPr="00B7439C">
        <w:rPr>
          <w:sz w:val="16"/>
          <w:szCs w:val="16"/>
        </w:rPr>
        <w:t>Source: EPA’s Air Toxics Screening Assessment</w:t>
      </w:r>
      <w:r>
        <w:rPr>
          <w:sz w:val="16"/>
          <w:szCs w:val="16"/>
        </w:rPr>
        <w:t>.</w:t>
      </w:r>
    </w:p>
    <w:p w14:paraId="125FA6C2" w14:textId="77777777" w:rsidR="00BF546F" w:rsidRDefault="00BF546F" w:rsidP="00B0681F">
      <w:pPr>
        <w:rPr>
          <w:b/>
        </w:rPr>
      </w:pPr>
    </w:p>
    <w:p w14:paraId="18CD65EB" w14:textId="77777777" w:rsidR="00BF546F" w:rsidRPr="00344347" w:rsidRDefault="00BF546F" w:rsidP="00B0681F">
      <w:pPr>
        <w:rPr>
          <w:b/>
        </w:rPr>
      </w:pPr>
    </w:p>
    <w:p w14:paraId="7360E564" w14:textId="7066EC80" w:rsidR="00DF00D6" w:rsidRDefault="006E6321" w:rsidP="0077079C">
      <w:bookmarkStart w:id="225" w:name="_Hlk145590944"/>
      <w:bookmarkEnd w:id="220"/>
      <w:r w:rsidRPr="00BA6B1A">
        <w:rPr>
          <w:rStyle w:val="BodyTextChar"/>
        </w:rPr>
        <w:t>The Clean Air Act (CAA) Prevention of Significant Deterioration (PSD) requirements give more stringent air quality and visibility protection to national parks and wilderness areas that are designated as Class I areas, but a PSD designation does not prevent emission increases. The five national parks in Utah are Federally designated Class I areas, and the rest of the state is designated as Class II. Federal land managers are responsible for defining specific Air Quality Related Values (AQRVs), including visual air quality (haze), and acid (nitrogen and sulfur) deposition, for an area and for establishing the criteria to determine an adverse impact on the AQRVs. Each of the parcels in this lease sale are located within PSD Class II areas. Visibility trends based on air monitoring data from four Utah monitoring sites for the clearest, haziest, and most impaired categories is incorporated by reference from the AMR (</w:t>
      </w:r>
      <w:r w:rsidR="008C1447">
        <w:rPr>
          <w:rStyle w:val="BodyTextChar"/>
        </w:rPr>
        <w:t>see</w:t>
      </w:r>
      <w:r w:rsidRPr="00BA6B1A">
        <w:rPr>
          <w:rStyle w:val="BodyTextChar"/>
        </w:rPr>
        <w:t xml:space="preserve"> Figures 3 through 6 of the AMR). Progress toward Regional Haze Rule goals is demonstrated by the marked improvement on the most impaired days at Utah Class I areas. The National Park Service monitors and evaluates deposition to determine which parks are most at risk from air pollution and where conditions are declining or improving. Nitrogen deposition conditions in Utah National Parks are fair to poor with no trend for improving or worsening conditions, while sulfur deposition conditions are good </w:t>
      </w:r>
      <w:r w:rsidR="00D0141C">
        <w:rPr>
          <w:rStyle w:val="BodyTextChar"/>
        </w:rPr>
        <w:t>with trend data unavailable for most locations</w:t>
      </w:r>
      <w:r w:rsidRPr="00090D1E">
        <w:rPr>
          <w:rStyle w:val="BodyTextChar"/>
        </w:rPr>
        <w:t xml:space="preserve"> (</w:t>
      </w:r>
      <w:r w:rsidR="000130DD">
        <w:rPr>
          <w:rStyle w:val="BodyTextChar"/>
        </w:rPr>
        <w:t>s</w:t>
      </w:r>
      <w:r w:rsidRPr="00090D1E">
        <w:rPr>
          <w:rStyle w:val="BodyTextChar"/>
        </w:rPr>
        <w:t xml:space="preserve">ee </w:t>
      </w:r>
      <w:r w:rsidR="00AC3304">
        <w:rPr>
          <w:rStyle w:val="BodyTextChar"/>
        </w:rPr>
        <w:t>Table 22</w:t>
      </w:r>
      <w:r w:rsidRPr="00090D1E">
        <w:rPr>
          <w:rStyle w:val="BodyTextChar"/>
        </w:rPr>
        <w:t xml:space="preserve"> of the AMR).</w:t>
      </w:r>
      <w:bookmarkEnd w:id="225"/>
    </w:p>
    <w:p w14:paraId="0614329F" w14:textId="50F749CF" w:rsidR="00BB45D3" w:rsidRPr="00090D1E" w:rsidRDefault="005238B6" w:rsidP="00DF00D6">
      <w:pPr>
        <w:pStyle w:val="Subheading4"/>
        <w:rPr>
          <w:rFonts w:ascii="Times New Roman" w:hAnsi="Times New Roman" w:cs="Times New Roman"/>
        </w:rPr>
      </w:pPr>
      <w:r>
        <w:rPr>
          <w:rFonts w:ascii="Times New Roman" w:hAnsi="Times New Roman" w:cs="Times New Roman"/>
        </w:rPr>
        <w:lastRenderedPageBreak/>
        <w:t>Air Quality Design Considerations</w:t>
      </w:r>
    </w:p>
    <w:p w14:paraId="1B1D5F90" w14:textId="3AA3B521" w:rsidR="00BB45D3" w:rsidRDefault="00B62A54" w:rsidP="00090D1E">
      <w:pPr>
        <w:pStyle w:val="BodyText"/>
        <w:rPr>
          <w:rStyle w:val="BodyTextChar"/>
        </w:rPr>
      </w:pPr>
      <w:r w:rsidRPr="00B765F8">
        <w:rPr>
          <w:rStyle w:val="BodyTextChar"/>
        </w:rPr>
        <w:t xml:space="preserve">Leases </w:t>
      </w:r>
      <w:r w:rsidR="00BB45D3" w:rsidRPr="00090D1E">
        <w:rPr>
          <w:rStyle w:val="BodyTextChar"/>
        </w:rPr>
        <w:t>within Indian Country must comply with permitting requirements in the Federal Implementation Plan</w:t>
      </w:r>
      <w:r w:rsidR="00BB45D3">
        <w:rPr>
          <w:rStyle w:val="BodyTextChar"/>
        </w:rPr>
        <w:t xml:space="preserve"> </w:t>
      </w:r>
      <w:r w:rsidR="002D037A">
        <w:rPr>
          <w:rStyle w:val="BodyTextChar"/>
        </w:rPr>
        <w:t>(FIP)</w:t>
      </w:r>
      <w:r w:rsidR="00BB45D3" w:rsidRPr="00090D1E">
        <w:rPr>
          <w:rStyle w:val="BodyTextChar"/>
        </w:rPr>
        <w:t xml:space="preserve"> for Managing Emissions from Oil and Natural Gas Sources on Indian Country Lands Within the Uintah and Ouray Indian Reservation in Utah</w:t>
      </w:r>
      <w:r w:rsidR="00BB45D3">
        <w:rPr>
          <w:rStyle w:val="BodyTextChar"/>
        </w:rPr>
        <w:t xml:space="preserve"> </w:t>
      </w:r>
      <w:sdt>
        <w:sdtPr>
          <w:rPr>
            <w:rStyle w:val="BodyTextChar"/>
          </w:rPr>
          <w:id w:val="-1556996954"/>
          <w:citation/>
        </w:sdtPr>
        <w:sdtContent>
          <w:r w:rsidR="00F51EBE">
            <w:rPr>
              <w:rStyle w:val="BodyTextChar"/>
            </w:rPr>
            <w:fldChar w:fldCharType="begin"/>
          </w:r>
          <w:r w:rsidR="00F51EBE">
            <w:rPr>
              <w:rStyle w:val="BodyTextChar"/>
            </w:rPr>
            <w:instrText xml:space="preserve"> CITATION EPA2022 \l 1033 </w:instrText>
          </w:r>
          <w:r w:rsidR="00F51EBE">
            <w:rPr>
              <w:rStyle w:val="BodyTextChar"/>
            </w:rPr>
            <w:fldChar w:fldCharType="separate"/>
          </w:r>
          <w:r w:rsidR="0093463A">
            <w:rPr>
              <w:noProof/>
            </w:rPr>
            <w:t>(EPA, 2022)</w:t>
          </w:r>
          <w:r w:rsidR="00F51EBE">
            <w:rPr>
              <w:rStyle w:val="BodyTextChar"/>
            </w:rPr>
            <w:fldChar w:fldCharType="end"/>
          </w:r>
        </w:sdtContent>
      </w:sdt>
      <w:r w:rsidR="00BB45D3" w:rsidRPr="00090D1E">
        <w:rPr>
          <w:rStyle w:val="BodyTextChar"/>
        </w:rPr>
        <w:t>.</w:t>
      </w:r>
    </w:p>
    <w:p w14:paraId="157EB85B" w14:textId="39F560BC" w:rsidR="006F6FAD" w:rsidRPr="00A4669C" w:rsidRDefault="00005DD2" w:rsidP="00090D1E">
      <w:pPr>
        <w:pStyle w:val="BodyText"/>
        <w:rPr>
          <w:rStyle w:val="BodyTextChar"/>
        </w:rPr>
      </w:pPr>
      <w:r w:rsidRPr="00B765F8">
        <w:rPr>
          <w:rStyle w:val="BodyTextChar"/>
        </w:rPr>
        <w:t>T</w:t>
      </w:r>
      <w:r w:rsidR="006F6FAD" w:rsidRPr="00090D1E">
        <w:rPr>
          <w:rStyle w:val="BodyTextChar"/>
        </w:rPr>
        <w:t>he BLM looks to minimize air pollutants via lease stipulations and notices and COAs throughout the leasing and permitting processes. Stipulations and notices</w:t>
      </w:r>
      <w:r w:rsidR="00B94233" w:rsidRPr="00090D1E">
        <w:rPr>
          <w:rStyle w:val="BodyTextChar"/>
        </w:rPr>
        <w:t xml:space="preserve"> (i.e., </w:t>
      </w:r>
      <w:r w:rsidR="00B94233" w:rsidRPr="00B94233">
        <w:rPr>
          <w:bCs/>
          <w:sz w:val="20"/>
          <w:szCs w:val="20"/>
        </w:rPr>
        <w:t>UT-S-01, UT-S-VFO-96, UT-S-VFO-123, UT-S-VFO-157, and UT-S-VFO-195)</w:t>
      </w:r>
      <w:r w:rsidR="00AF1CAD" w:rsidRPr="00090D1E">
        <w:rPr>
          <w:rStyle w:val="BodyTextChar"/>
        </w:rPr>
        <w:t>,</w:t>
      </w:r>
      <w:r w:rsidR="005F254B" w:rsidRPr="00090D1E">
        <w:rPr>
          <w:rStyle w:val="BodyTextChar"/>
        </w:rPr>
        <w:t xml:space="preserve"> including those</w:t>
      </w:r>
      <w:r w:rsidR="00AF1CAD" w:rsidRPr="00090D1E">
        <w:rPr>
          <w:rStyle w:val="BodyTextChar"/>
        </w:rPr>
        <w:t xml:space="preserve"> for </w:t>
      </w:r>
      <w:r w:rsidR="00862BA0" w:rsidRPr="00090D1E">
        <w:rPr>
          <w:rStyle w:val="BodyTextChar"/>
        </w:rPr>
        <w:t>non-air quality</w:t>
      </w:r>
      <w:r w:rsidR="00AF1CAD" w:rsidRPr="00090D1E">
        <w:rPr>
          <w:rStyle w:val="BodyTextChar"/>
        </w:rPr>
        <w:t xml:space="preserve"> resources that would have beneficial impacts to air quality</w:t>
      </w:r>
      <w:r w:rsidR="006F6FAD" w:rsidRPr="00090D1E">
        <w:rPr>
          <w:rStyle w:val="BodyTextChar"/>
        </w:rPr>
        <w:t xml:space="preserve"> </w:t>
      </w:r>
      <w:r w:rsidR="004C7AE0" w:rsidRPr="00B765F8">
        <w:rPr>
          <w:rStyle w:val="BodyTextChar"/>
        </w:rPr>
        <w:t xml:space="preserve">are </w:t>
      </w:r>
      <w:r w:rsidR="006F6FAD" w:rsidRPr="00A4669C">
        <w:rPr>
          <w:rStyle w:val="BodyTextChar"/>
        </w:rPr>
        <w:t>listed in Appendix B. BLM Parcel List with Stipulations would be applied to leases when issued to notify the operator of what would be required (stipulation) and what could potentially be required (notice) at the APD stage. This informs the potential lessee, at the time of bidding on the parcel, of the range of requirements that could be expected when lease rights are exercised. Examples of additional air quality control measures imposed at the APD stage may include submission of an emissions inventory for the plan of development, air quality modeling, or implementation of mitigation measures and BMPs. The BLM would do this in coordination with the EPA, UDAQ, and other agencies that have jurisdiction on air quality. By applying stipulations and notices, leasing would have little impact on air quality. At the APD stage, COAs could be applied based on site specific environmental analysis for the APD. Also, any future development in nonattainment areas would be subject to the conformity process of the CAA which may require additional mitigation or offsets.</w:t>
      </w:r>
    </w:p>
    <w:p w14:paraId="782A1996" w14:textId="488331DB" w:rsidR="002D682D" w:rsidRPr="00B12D0C" w:rsidRDefault="002D682D" w:rsidP="002D682D">
      <w:pPr>
        <w:pStyle w:val="Subheading4"/>
        <w:rPr>
          <w:rFonts w:ascii="Times New Roman" w:hAnsi="Times New Roman" w:cs="Times New Roman"/>
        </w:rPr>
      </w:pPr>
      <w:r w:rsidRPr="003072D3">
        <w:rPr>
          <w:rFonts w:ascii="Times New Roman" w:hAnsi="Times New Roman" w:cs="Times New Roman"/>
        </w:rPr>
        <w:t>Environmental Effects</w:t>
      </w:r>
      <w:r w:rsidR="005238B6">
        <w:rPr>
          <w:rFonts w:ascii="Times New Roman" w:hAnsi="Times New Roman" w:cs="Times New Roman"/>
        </w:rPr>
        <w:t xml:space="preserve"> </w:t>
      </w:r>
      <w:r w:rsidRPr="00B12D0C">
        <w:rPr>
          <w:rFonts w:ascii="Times New Roman" w:hAnsi="Times New Roman" w:cs="Times New Roman"/>
        </w:rPr>
        <w:t>Impacts of the Proposed Action (Alternative A)</w:t>
      </w:r>
    </w:p>
    <w:p w14:paraId="02247C71" w14:textId="0572741B" w:rsidR="002D682D" w:rsidRDefault="004E4017" w:rsidP="002D682D">
      <w:pPr>
        <w:pStyle w:val="BodyText"/>
      </w:pPr>
      <w:r>
        <w:t>There are four general phases of post-lease development that would generate air pollutant emissions: 1) well development (well site construction, well drilling, and well completion), 2) well production operations (extraction, separation, gathering), 3) mid-stream (refining, processing, storage, and transport/distribution), and 3) end-use (combustion or other uses) of the fuels produced. While well development and production operation emissions (phases 1 and 2) occur on-lease and the BLM has program authority over these activities, mid-</w:t>
      </w:r>
      <w:proofErr w:type="gramStart"/>
      <w:r>
        <w:t>stream</w:t>
      </w:r>
      <w:proofErr w:type="gramEnd"/>
      <w:r>
        <w:t xml:space="preserve"> and end-use emissions (phases 3 and 4) typically occur off-lease where the BLM has no program authority. During well development, there could be emissions from earth-moving equipment, vehicle traffic, drilling, and completion activities. NO</w:t>
      </w:r>
      <w:r w:rsidRPr="00A4669C">
        <w:rPr>
          <w:vertAlign w:val="subscript"/>
        </w:rPr>
        <w:t>2</w:t>
      </w:r>
      <w:r>
        <w:t>, SO</w:t>
      </w:r>
      <w:r w:rsidRPr="00A4669C">
        <w:rPr>
          <w:vertAlign w:val="subscript"/>
        </w:rPr>
        <w:t>2</w:t>
      </w:r>
      <w:r>
        <w:t>, and CO would be emitted from vehicle tailpipes. Fugitive dust concentrations would increase with additional vehicle traffic on unpaved roads and from wind erosion in areas of soil disturbance. Drill rig and fracturing engine operations would result mainly in NO</w:t>
      </w:r>
      <w:r w:rsidRPr="00A4669C">
        <w:rPr>
          <w:vertAlign w:val="subscript"/>
        </w:rPr>
        <w:t>2</w:t>
      </w:r>
      <w:r>
        <w:t xml:space="preserve"> and CO emissions, with lesser amounts of SO</w:t>
      </w:r>
      <w:r w:rsidRPr="00A4669C">
        <w:rPr>
          <w:vertAlign w:val="subscript"/>
        </w:rPr>
        <w:t>2</w:t>
      </w:r>
      <w:r>
        <w:t>. These temporary emissions would be short-term during the drilling and completion phases, which is expected to last between 30 to 60 days. During well production and operations there could be continuous emissions from separators, condensate storage tanks, flares or combustors, and daily tailpipe and fugitive dust emissions from operations traffic. During the operational phase of a well, NO</w:t>
      </w:r>
      <w:r w:rsidRPr="00A4669C">
        <w:rPr>
          <w:vertAlign w:val="subscript"/>
        </w:rPr>
        <w:t>2</w:t>
      </w:r>
      <w:r>
        <w:t>, CO, VOC, and HAP emissions would result from the long</w:t>
      </w:r>
      <w:r w:rsidR="004B6876">
        <w:t>-</w:t>
      </w:r>
      <w:r>
        <w:t>term use of storage tanks, pumps, separators, and other equipment. Additionally, dust (PM</w:t>
      </w:r>
      <w:r w:rsidRPr="00A4669C">
        <w:rPr>
          <w:vertAlign w:val="subscript"/>
        </w:rPr>
        <w:t>10</w:t>
      </w:r>
      <w:r>
        <w:t xml:space="preserve"> and PM</w:t>
      </w:r>
      <w:r w:rsidRPr="00A4669C">
        <w:rPr>
          <w:vertAlign w:val="subscript"/>
        </w:rPr>
        <w:t>2.5</w:t>
      </w:r>
      <w:r>
        <w:t xml:space="preserve">) would be produced due to wind erosion on well pads and roads, and by vehicles servicing the wellsite infrastructure. Single well emission estimates for well development and production operations are based on typical development and production operations scenarios identified for each field office in the AMR </w:t>
      </w:r>
      <w:sdt>
        <w:sdtPr>
          <w:id w:val="1574162079"/>
          <w:citation/>
        </w:sdtPr>
        <w:sdtContent>
          <w:r w:rsidR="00440B7E">
            <w:fldChar w:fldCharType="begin"/>
          </w:r>
          <w:r w:rsidR="00440B7E">
            <w:instrText xml:space="preserve"> CITATION Placeholder7 \l 1033 </w:instrText>
          </w:r>
          <w:r w:rsidR="00440B7E">
            <w:fldChar w:fldCharType="separate"/>
          </w:r>
          <w:r w:rsidR="0093463A">
            <w:rPr>
              <w:noProof/>
            </w:rPr>
            <w:t>(BLM, 2023)</w:t>
          </w:r>
          <w:r w:rsidR="00440B7E">
            <w:fldChar w:fldCharType="end"/>
          </w:r>
        </w:sdtContent>
      </w:sdt>
      <w:r>
        <w:t xml:space="preserve">. The single well emissions and assumptions for analysis from this lease sale are input into the BLM Lease Sale Emissions Tool to provide the maximum year and average year emissions over the anticipated production life of lease parcels (approximately </w:t>
      </w:r>
      <w:r w:rsidR="009A77E4">
        <w:t>3</w:t>
      </w:r>
      <w:r>
        <w:t xml:space="preserve">0 years), see </w:t>
      </w:r>
      <w:r w:rsidR="00673925">
        <w:fldChar w:fldCharType="begin"/>
      </w:r>
      <w:r w:rsidR="00673925">
        <w:instrText xml:space="preserve"> REF _Ref164937507 \h </w:instrText>
      </w:r>
      <w:r w:rsidR="004B3735">
        <w:instrText xml:space="preserve"> \* MERGEFORMAT </w:instrText>
      </w:r>
      <w:r w:rsidR="00673925">
        <w:fldChar w:fldCharType="separate"/>
      </w:r>
      <w:r w:rsidR="00673925" w:rsidRPr="001B220D">
        <w:t>Table</w:t>
      </w:r>
      <w:r w:rsidR="00673925">
        <w:t xml:space="preserve"> </w:t>
      </w:r>
      <w:r w:rsidR="001B220D">
        <w:t>19</w:t>
      </w:r>
      <w:r w:rsidR="00673925">
        <w:fldChar w:fldCharType="end"/>
      </w:r>
      <w:r>
        <w:t>. More emissions detail is provided</w:t>
      </w:r>
      <w:r w:rsidR="00D712A4">
        <w:t xml:space="preserve"> in </w:t>
      </w:r>
      <w:r w:rsidR="00D712A4" w:rsidRPr="00FA24F3">
        <w:t xml:space="preserve">Appendix </w:t>
      </w:r>
      <w:r w:rsidR="00604BF4">
        <w:t>G</w:t>
      </w:r>
      <w:r w:rsidR="00D712A4">
        <w:t xml:space="preserve">. Actual development of individual lease parcels may result in higher or lower emissions for various reasons including differences with geologic formations, proximity to existing support infrastructure, differences in pace of development, different development methods and control technology used by a lessee, and other reasons. A lessee has 10 years to </w:t>
      </w:r>
      <w:r w:rsidR="004F54B0">
        <w:t>produc</w:t>
      </w:r>
      <w:r w:rsidR="00E61782">
        <w:t xml:space="preserve">e in paying </w:t>
      </w:r>
      <w:proofErr w:type="spellStart"/>
      <w:r w:rsidR="00E61782">
        <w:t>quatities</w:t>
      </w:r>
      <w:proofErr w:type="spellEnd"/>
      <w:r w:rsidR="00D712A4">
        <w:t xml:space="preserve"> on a </w:t>
      </w:r>
      <w:proofErr w:type="spellStart"/>
      <w:r w:rsidR="00D712A4">
        <w:t>lease</w:t>
      </w:r>
      <w:r w:rsidR="00297EBA">
        <w:t>.I</w:t>
      </w:r>
      <w:r w:rsidR="00D712A4">
        <w:t>f</w:t>
      </w:r>
      <w:proofErr w:type="spellEnd"/>
      <w:r w:rsidR="00D712A4">
        <w:t xml:space="preserve"> production is not </w:t>
      </w:r>
      <w:r w:rsidR="009F7021">
        <w:t>established</w:t>
      </w:r>
      <w:r w:rsidR="00D712A4">
        <w:t xml:space="preserve"> within the 10-year timeframe, the lease would be terminated with no development or emissions occurring.</w:t>
      </w:r>
    </w:p>
    <w:p w14:paraId="611E10F8" w14:textId="604BB548" w:rsidR="00673925" w:rsidRDefault="00673925" w:rsidP="00170565">
      <w:pPr>
        <w:pStyle w:val="Caption"/>
      </w:pPr>
      <w:bookmarkStart w:id="226" w:name="_Ref164937507"/>
      <w:bookmarkStart w:id="227" w:name="_Toc179464300"/>
      <w:bookmarkStart w:id="228" w:name="_Toc170114955"/>
      <w:r w:rsidRPr="001B220D">
        <w:lastRenderedPageBreak/>
        <w:t xml:space="preserve">Table </w:t>
      </w:r>
      <w:r w:rsidR="00BB3F01">
        <w:fldChar w:fldCharType="begin"/>
      </w:r>
      <w:r w:rsidR="00BB3F01">
        <w:instrText xml:space="preserve"> SEQ Table \* ARABIC </w:instrText>
      </w:r>
      <w:r w:rsidR="00BB3F01">
        <w:fldChar w:fldCharType="separate"/>
      </w:r>
      <w:r w:rsidR="00BB3F01">
        <w:rPr>
          <w:noProof/>
        </w:rPr>
        <w:t>19</w:t>
      </w:r>
      <w:r w:rsidR="00BB3F01">
        <w:rPr>
          <w:noProof/>
        </w:rPr>
        <w:fldChar w:fldCharType="end"/>
      </w:r>
      <w:bookmarkEnd w:id="226"/>
      <w:r w:rsidRPr="001B220D">
        <w:t xml:space="preserve"> Estimated Annual Emissions Estimates from </w:t>
      </w:r>
      <w:r w:rsidR="004E078C" w:rsidRPr="001B220D">
        <w:t>Well</w:t>
      </w:r>
      <w:r w:rsidRPr="001B220D">
        <w:t xml:space="preserve"> Development </w:t>
      </w:r>
      <w:r w:rsidR="004E078C" w:rsidRPr="001B220D">
        <w:t>and Production Operations</w:t>
      </w:r>
      <w:r w:rsidRPr="001B220D">
        <w:t xml:space="preserve"> of the Lease Parcels (</w:t>
      </w:r>
      <w:r w:rsidR="0050275D" w:rsidRPr="001B220D">
        <w:t>TPY</w:t>
      </w:r>
      <w:r w:rsidRPr="001B220D">
        <w:t>)</w:t>
      </w:r>
      <w:bookmarkEnd w:id="227"/>
      <w:bookmarkEnd w:id="228"/>
    </w:p>
    <w:tbl>
      <w:tblPr>
        <w:tblStyle w:val="TableGrid"/>
        <w:tblW w:w="0" w:type="auto"/>
        <w:jc w:val="center"/>
        <w:tblLook w:val="04A0" w:firstRow="1" w:lastRow="0" w:firstColumn="1" w:lastColumn="0" w:noHBand="0" w:noVBand="1"/>
      </w:tblPr>
      <w:tblGrid>
        <w:gridCol w:w="1494"/>
        <w:gridCol w:w="1146"/>
        <w:gridCol w:w="1934"/>
        <w:gridCol w:w="733"/>
        <w:gridCol w:w="1424"/>
        <w:gridCol w:w="735"/>
        <w:gridCol w:w="762"/>
        <w:gridCol w:w="762"/>
      </w:tblGrid>
      <w:tr w:rsidR="008A3F45" w14:paraId="03FFF941" w14:textId="252F2BF8" w:rsidTr="0050275D">
        <w:trPr>
          <w:jc w:val="center"/>
        </w:trPr>
        <w:tc>
          <w:tcPr>
            <w:tcW w:w="1494" w:type="dxa"/>
            <w:shd w:val="clear" w:color="auto" w:fill="auto"/>
            <w:vAlign w:val="center"/>
          </w:tcPr>
          <w:p w14:paraId="5CB454CF" w14:textId="4E514D2C" w:rsidR="00EF3D9A" w:rsidRPr="00DD4143" w:rsidRDefault="00633325">
            <w:pPr>
              <w:contextualSpacing/>
              <w:jc w:val="center"/>
              <w:rPr>
                <w:b/>
                <w:bCs/>
                <w:sz w:val="20"/>
                <w:szCs w:val="20"/>
              </w:rPr>
            </w:pPr>
            <w:r>
              <w:rPr>
                <w:b/>
                <w:bCs/>
                <w:sz w:val="20"/>
                <w:szCs w:val="20"/>
              </w:rPr>
              <w:t>Year</w:t>
            </w:r>
          </w:p>
        </w:tc>
        <w:tc>
          <w:tcPr>
            <w:tcW w:w="1146" w:type="dxa"/>
            <w:shd w:val="clear" w:color="auto" w:fill="auto"/>
            <w:vAlign w:val="center"/>
          </w:tcPr>
          <w:p w14:paraId="1960F261" w14:textId="1A7ADC60" w:rsidR="00EF3D9A" w:rsidRPr="00DD4143" w:rsidRDefault="00D55F90">
            <w:pPr>
              <w:contextualSpacing/>
              <w:jc w:val="center"/>
              <w:rPr>
                <w:b/>
                <w:bCs/>
                <w:sz w:val="20"/>
                <w:szCs w:val="20"/>
              </w:rPr>
            </w:pPr>
            <w:r>
              <w:rPr>
                <w:b/>
                <w:bCs/>
                <w:sz w:val="20"/>
                <w:szCs w:val="20"/>
              </w:rPr>
              <w:t>PM</w:t>
            </w:r>
            <w:r w:rsidRPr="00170565">
              <w:rPr>
                <w:b/>
                <w:sz w:val="20"/>
                <w:szCs w:val="20"/>
                <w:vertAlign w:val="subscript"/>
              </w:rPr>
              <w:t>10</w:t>
            </w:r>
          </w:p>
        </w:tc>
        <w:tc>
          <w:tcPr>
            <w:tcW w:w="1201" w:type="dxa"/>
            <w:shd w:val="clear" w:color="auto" w:fill="auto"/>
            <w:vAlign w:val="center"/>
          </w:tcPr>
          <w:p w14:paraId="373F2E22" w14:textId="1DDD6B5C" w:rsidR="00EF3D9A" w:rsidRPr="00DD4143" w:rsidRDefault="00D55F90">
            <w:pPr>
              <w:contextualSpacing/>
              <w:jc w:val="center"/>
              <w:rPr>
                <w:b/>
                <w:bCs/>
                <w:sz w:val="20"/>
                <w:szCs w:val="20"/>
              </w:rPr>
            </w:pPr>
            <w:r>
              <w:rPr>
                <w:b/>
                <w:bCs/>
                <w:sz w:val="20"/>
                <w:szCs w:val="20"/>
              </w:rPr>
              <w:t>PM</w:t>
            </w:r>
            <w:r w:rsidRPr="00170565">
              <w:rPr>
                <w:b/>
                <w:sz w:val="20"/>
                <w:szCs w:val="20"/>
                <w:vertAlign w:val="subscript"/>
              </w:rPr>
              <w:t>2.5</w:t>
            </w:r>
          </w:p>
        </w:tc>
        <w:tc>
          <w:tcPr>
            <w:tcW w:w="733" w:type="dxa"/>
            <w:shd w:val="clear" w:color="auto" w:fill="auto"/>
            <w:vAlign w:val="center"/>
          </w:tcPr>
          <w:p w14:paraId="0DD99F5A" w14:textId="603E40BC" w:rsidR="00EF3D9A" w:rsidRPr="00DD4143" w:rsidRDefault="00D55F90">
            <w:pPr>
              <w:contextualSpacing/>
              <w:jc w:val="center"/>
              <w:rPr>
                <w:b/>
                <w:bCs/>
                <w:sz w:val="20"/>
                <w:szCs w:val="20"/>
              </w:rPr>
            </w:pPr>
            <w:r>
              <w:rPr>
                <w:b/>
                <w:bCs/>
                <w:sz w:val="20"/>
                <w:szCs w:val="20"/>
              </w:rPr>
              <w:t>VOC</w:t>
            </w:r>
          </w:p>
        </w:tc>
        <w:tc>
          <w:tcPr>
            <w:tcW w:w="1424" w:type="dxa"/>
            <w:shd w:val="clear" w:color="auto" w:fill="auto"/>
            <w:vAlign w:val="center"/>
          </w:tcPr>
          <w:p w14:paraId="70C300BB" w14:textId="42C47D50" w:rsidR="00EF3D9A" w:rsidRPr="00DD4143" w:rsidRDefault="00D55F90">
            <w:pPr>
              <w:contextualSpacing/>
              <w:jc w:val="center"/>
              <w:rPr>
                <w:b/>
                <w:bCs/>
                <w:sz w:val="20"/>
                <w:szCs w:val="20"/>
              </w:rPr>
            </w:pPr>
            <w:r>
              <w:rPr>
                <w:b/>
                <w:bCs/>
                <w:sz w:val="20"/>
                <w:szCs w:val="20"/>
              </w:rPr>
              <w:t>NO</w:t>
            </w:r>
            <w:r w:rsidRPr="00170565">
              <w:rPr>
                <w:b/>
                <w:sz w:val="20"/>
                <w:szCs w:val="20"/>
                <w:vertAlign w:val="subscript"/>
              </w:rPr>
              <w:t>x</w:t>
            </w:r>
          </w:p>
        </w:tc>
        <w:tc>
          <w:tcPr>
            <w:tcW w:w="733" w:type="dxa"/>
            <w:shd w:val="clear" w:color="auto" w:fill="auto"/>
          </w:tcPr>
          <w:p w14:paraId="22C7AE72" w14:textId="424B3865" w:rsidR="00D55F90" w:rsidRDefault="00D55F90">
            <w:pPr>
              <w:contextualSpacing/>
              <w:jc w:val="center"/>
              <w:rPr>
                <w:b/>
                <w:bCs/>
                <w:sz w:val="20"/>
                <w:szCs w:val="20"/>
              </w:rPr>
            </w:pPr>
            <w:r>
              <w:rPr>
                <w:b/>
                <w:bCs/>
                <w:sz w:val="20"/>
                <w:szCs w:val="20"/>
              </w:rPr>
              <w:t>CO</w:t>
            </w:r>
          </w:p>
        </w:tc>
        <w:tc>
          <w:tcPr>
            <w:tcW w:w="735" w:type="dxa"/>
            <w:shd w:val="clear" w:color="auto" w:fill="auto"/>
          </w:tcPr>
          <w:p w14:paraId="721BB964" w14:textId="3FD5175D" w:rsidR="00D55F90" w:rsidRDefault="00D55F90">
            <w:pPr>
              <w:contextualSpacing/>
              <w:jc w:val="center"/>
              <w:rPr>
                <w:b/>
                <w:bCs/>
                <w:sz w:val="20"/>
                <w:szCs w:val="20"/>
              </w:rPr>
            </w:pPr>
            <w:r>
              <w:rPr>
                <w:b/>
                <w:bCs/>
                <w:sz w:val="20"/>
                <w:szCs w:val="20"/>
              </w:rPr>
              <w:t>SO</w:t>
            </w:r>
            <w:r w:rsidRPr="00170565">
              <w:rPr>
                <w:b/>
                <w:sz w:val="20"/>
                <w:szCs w:val="20"/>
                <w:vertAlign w:val="subscript"/>
              </w:rPr>
              <w:t>2</w:t>
            </w:r>
          </w:p>
        </w:tc>
        <w:tc>
          <w:tcPr>
            <w:tcW w:w="762" w:type="dxa"/>
            <w:shd w:val="clear" w:color="auto" w:fill="auto"/>
          </w:tcPr>
          <w:p w14:paraId="10DEECD6" w14:textId="5EBCA880" w:rsidR="00D55F90" w:rsidRDefault="00D55F90">
            <w:pPr>
              <w:contextualSpacing/>
              <w:jc w:val="center"/>
              <w:rPr>
                <w:b/>
                <w:bCs/>
                <w:sz w:val="20"/>
                <w:szCs w:val="20"/>
              </w:rPr>
            </w:pPr>
            <w:r>
              <w:rPr>
                <w:b/>
                <w:bCs/>
                <w:sz w:val="20"/>
                <w:szCs w:val="20"/>
              </w:rPr>
              <w:t>HAPs</w:t>
            </w:r>
          </w:p>
        </w:tc>
      </w:tr>
      <w:tr w:rsidR="00EF3D9A" w14:paraId="68E20CA8" w14:textId="598A088E" w:rsidTr="008C2B2D">
        <w:trPr>
          <w:jc w:val="center"/>
        </w:trPr>
        <w:tc>
          <w:tcPr>
            <w:tcW w:w="1494" w:type="dxa"/>
          </w:tcPr>
          <w:p w14:paraId="0E09D4B6" w14:textId="65198BDD" w:rsidR="00EF3D9A" w:rsidRPr="00DD4143" w:rsidRDefault="00633325">
            <w:pPr>
              <w:contextualSpacing/>
              <w:jc w:val="center"/>
              <w:rPr>
                <w:b/>
                <w:bCs/>
                <w:sz w:val="20"/>
                <w:szCs w:val="20"/>
              </w:rPr>
            </w:pPr>
            <w:r>
              <w:rPr>
                <w:b/>
                <w:bCs/>
                <w:sz w:val="20"/>
                <w:szCs w:val="20"/>
              </w:rPr>
              <w:t>Max Year</w:t>
            </w:r>
          </w:p>
        </w:tc>
        <w:tc>
          <w:tcPr>
            <w:tcW w:w="1146" w:type="dxa"/>
            <w:shd w:val="clear" w:color="auto" w:fill="auto"/>
            <w:vAlign w:val="center"/>
          </w:tcPr>
          <w:p w14:paraId="58D2394C" w14:textId="5FAA75FF" w:rsidR="00EF3D9A" w:rsidRPr="00170565" w:rsidRDefault="003E77D5">
            <w:pPr>
              <w:contextualSpacing/>
              <w:jc w:val="center"/>
              <w:rPr>
                <w:sz w:val="20"/>
                <w:szCs w:val="20"/>
              </w:rPr>
            </w:pPr>
            <w:r>
              <w:rPr>
                <w:sz w:val="20"/>
                <w:szCs w:val="20"/>
              </w:rPr>
              <w:t>4.3</w:t>
            </w:r>
          </w:p>
        </w:tc>
        <w:tc>
          <w:tcPr>
            <w:tcW w:w="1201" w:type="dxa"/>
            <w:shd w:val="clear" w:color="auto" w:fill="auto"/>
            <w:vAlign w:val="center"/>
          </w:tcPr>
          <w:p w14:paraId="13ED0303" w14:textId="2EA710C3" w:rsidR="00EF3D9A" w:rsidRPr="00170565" w:rsidRDefault="00260FDF">
            <w:pPr>
              <w:contextualSpacing/>
              <w:jc w:val="center"/>
              <w:rPr>
                <w:sz w:val="20"/>
                <w:szCs w:val="20"/>
              </w:rPr>
            </w:pPr>
            <w:r w:rsidRPr="00260FDF">
              <w:rPr>
                <w:sz w:val="20"/>
                <w:szCs w:val="20"/>
              </w:rPr>
              <w:t>1.2</w:t>
            </w:r>
          </w:p>
        </w:tc>
        <w:tc>
          <w:tcPr>
            <w:tcW w:w="733" w:type="dxa"/>
            <w:shd w:val="clear" w:color="auto" w:fill="auto"/>
            <w:vAlign w:val="center"/>
          </w:tcPr>
          <w:p w14:paraId="06993ADF" w14:textId="4159F747" w:rsidR="00EF3D9A" w:rsidRPr="00170565" w:rsidRDefault="00260FDF">
            <w:pPr>
              <w:contextualSpacing/>
              <w:jc w:val="center"/>
              <w:rPr>
                <w:sz w:val="20"/>
                <w:szCs w:val="20"/>
              </w:rPr>
            </w:pPr>
            <w:r>
              <w:rPr>
                <w:sz w:val="20"/>
                <w:szCs w:val="20"/>
              </w:rPr>
              <w:t>17.7</w:t>
            </w:r>
          </w:p>
        </w:tc>
        <w:tc>
          <w:tcPr>
            <w:tcW w:w="1424" w:type="dxa"/>
            <w:shd w:val="clear" w:color="auto" w:fill="auto"/>
            <w:vAlign w:val="center"/>
          </w:tcPr>
          <w:p w14:paraId="3F743A01" w14:textId="6845AC2A" w:rsidR="00EF3D9A" w:rsidRPr="00170565" w:rsidRDefault="00260FDF">
            <w:pPr>
              <w:contextualSpacing/>
              <w:jc w:val="center"/>
              <w:rPr>
                <w:sz w:val="20"/>
                <w:szCs w:val="20"/>
              </w:rPr>
            </w:pPr>
            <w:r>
              <w:rPr>
                <w:sz w:val="20"/>
                <w:szCs w:val="20"/>
              </w:rPr>
              <w:t>20.2</w:t>
            </w:r>
          </w:p>
        </w:tc>
        <w:tc>
          <w:tcPr>
            <w:tcW w:w="733" w:type="dxa"/>
            <w:shd w:val="clear" w:color="auto" w:fill="auto"/>
          </w:tcPr>
          <w:p w14:paraId="501DE4BA" w14:textId="55E43F22" w:rsidR="00D55F90" w:rsidRPr="00DD4143" w:rsidRDefault="00260FDF">
            <w:pPr>
              <w:contextualSpacing/>
              <w:jc w:val="center"/>
              <w:rPr>
                <w:bCs/>
                <w:sz w:val="20"/>
                <w:szCs w:val="20"/>
              </w:rPr>
            </w:pPr>
            <w:r>
              <w:rPr>
                <w:sz w:val="20"/>
                <w:szCs w:val="20"/>
              </w:rPr>
              <w:t>8.0</w:t>
            </w:r>
          </w:p>
        </w:tc>
        <w:tc>
          <w:tcPr>
            <w:tcW w:w="735" w:type="dxa"/>
          </w:tcPr>
          <w:p w14:paraId="39410740" w14:textId="19A58B57" w:rsidR="00D55F90" w:rsidRPr="00DD4143" w:rsidRDefault="003018E2">
            <w:pPr>
              <w:contextualSpacing/>
              <w:jc w:val="center"/>
              <w:rPr>
                <w:bCs/>
                <w:sz w:val="20"/>
                <w:szCs w:val="20"/>
              </w:rPr>
            </w:pPr>
            <w:r>
              <w:rPr>
                <w:sz w:val="20"/>
                <w:szCs w:val="20"/>
              </w:rPr>
              <w:t>0.149</w:t>
            </w:r>
          </w:p>
        </w:tc>
        <w:tc>
          <w:tcPr>
            <w:tcW w:w="762" w:type="dxa"/>
          </w:tcPr>
          <w:p w14:paraId="33816492" w14:textId="185F2495" w:rsidR="00D55F90" w:rsidRPr="00DD4143" w:rsidRDefault="003018E2">
            <w:pPr>
              <w:contextualSpacing/>
              <w:jc w:val="center"/>
              <w:rPr>
                <w:bCs/>
                <w:sz w:val="20"/>
                <w:szCs w:val="20"/>
              </w:rPr>
            </w:pPr>
            <w:r>
              <w:rPr>
                <w:sz w:val="20"/>
                <w:szCs w:val="20"/>
              </w:rPr>
              <w:t>1.400</w:t>
            </w:r>
          </w:p>
        </w:tc>
      </w:tr>
      <w:tr w:rsidR="00EF3D9A" w14:paraId="61D82540" w14:textId="5C721931" w:rsidTr="008C2B2D">
        <w:trPr>
          <w:jc w:val="center"/>
        </w:trPr>
        <w:tc>
          <w:tcPr>
            <w:tcW w:w="1494" w:type="dxa"/>
          </w:tcPr>
          <w:p w14:paraId="430C7022" w14:textId="0A443389" w:rsidR="00EF3D9A" w:rsidRPr="00DD4143" w:rsidRDefault="00633325">
            <w:pPr>
              <w:contextualSpacing/>
              <w:jc w:val="center"/>
              <w:rPr>
                <w:b/>
                <w:bCs/>
                <w:sz w:val="20"/>
                <w:szCs w:val="20"/>
              </w:rPr>
            </w:pPr>
            <w:r>
              <w:rPr>
                <w:b/>
                <w:bCs/>
                <w:sz w:val="20"/>
                <w:szCs w:val="20"/>
              </w:rPr>
              <w:t>Average Year</w:t>
            </w:r>
          </w:p>
        </w:tc>
        <w:tc>
          <w:tcPr>
            <w:tcW w:w="1146" w:type="dxa"/>
            <w:shd w:val="clear" w:color="auto" w:fill="auto"/>
            <w:vAlign w:val="center"/>
          </w:tcPr>
          <w:p w14:paraId="7D9D079C" w14:textId="0703661F" w:rsidR="00EF3D9A" w:rsidRPr="00170565" w:rsidRDefault="00FC25F2">
            <w:pPr>
              <w:contextualSpacing/>
              <w:jc w:val="center"/>
              <w:rPr>
                <w:sz w:val="20"/>
                <w:szCs w:val="20"/>
              </w:rPr>
            </w:pPr>
            <w:r>
              <w:rPr>
                <w:sz w:val="20"/>
                <w:szCs w:val="20"/>
              </w:rPr>
              <w:t>1.4</w:t>
            </w:r>
          </w:p>
        </w:tc>
        <w:tc>
          <w:tcPr>
            <w:tcW w:w="1201" w:type="dxa"/>
            <w:vAlign w:val="center"/>
          </w:tcPr>
          <w:p w14:paraId="0C39D5D9" w14:textId="6A2590CC" w:rsidR="00EF3D9A" w:rsidRPr="00170565" w:rsidRDefault="00FC25F2">
            <w:pPr>
              <w:contextualSpacing/>
              <w:jc w:val="center"/>
              <w:rPr>
                <w:sz w:val="20"/>
                <w:szCs w:val="20"/>
              </w:rPr>
            </w:pPr>
            <w:r>
              <w:rPr>
                <w:sz w:val="20"/>
                <w:szCs w:val="20"/>
              </w:rPr>
              <w:t>0.3</w:t>
            </w:r>
          </w:p>
        </w:tc>
        <w:tc>
          <w:tcPr>
            <w:tcW w:w="733" w:type="dxa"/>
            <w:vAlign w:val="center"/>
          </w:tcPr>
          <w:p w14:paraId="21CDA825" w14:textId="2063AF31" w:rsidR="00EF3D9A" w:rsidRPr="00170565" w:rsidRDefault="00FC25F2">
            <w:pPr>
              <w:contextualSpacing/>
              <w:jc w:val="center"/>
              <w:rPr>
                <w:sz w:val="20"/>
                <w:szCs w:val="20"/>
              </w:rPr>
            </w:pPr>
            <w:r>
              <w:rPr>
                <w:sz w:val="20"/>
                <w:szCs w:val="20"/>
              </w:rPr>
              <w:t>13.3</w:t>
            </w:r>
          </w:p>
        </w:tc>
        <w:tc>
          <w:tcPr>
            <w:tcW w:w="1424" w:type="dxa"/>
            <w:vAlign w:val="center"/>
          </w:tcPr>
          <w:p w14:paraId="69B863C3" w14:textId="70A4DFBC" w:rsidR="00EF3D9A" w:rsidRPr="00170565" w:rsidRDefault="00FC25F2">
            <w:pPr>
              <w:contextualSpacing/>
              <w:jc w:val="center"/>
              <w:rPr>
                <w:sz w:val="20"/>
                <w:szCs w:val="20"/>
              </w:rPr>
            </w:pPr>
            <w:r>
              <w:rPr>
                <w:sz w:val="20"/>
                <w:szCs w:val="20"/>
              </w:rPr>
              <w:t>3.8</w:t>
            </w:r>
          </w:p>
        </w:tc>
        <w:tc>
          <w:tcPr>
            <w:tcW w:w="733" w:type="dxa"/>
          </w:tcPr>
          <w:p w14:paraId="35CDEBF1" w14:textId="7BEEFBCA" w:rsidR="00D55F90" w:rsidRPr="00DD4143" w:rsidRDefault="003018E2">
            <w:pPr>
              <w:contextualSpacing/>
              <w:jc w:val="center"/>
              <w:rPr>
                <w:bCs/>
                <w:sz w:val="20"/>
                <w:szCs w:val="20"/>
              </w:rPr>
            </w:pPr>
            <w:r>
              <w:rPr>
                <w:sz w:val="20"/>
                <w:szCs w:val="20"/>
              </w:rPr>
              <w:t>2.6</w:t>
            </w:r>
          </w:p>
        </w:tc>
        <w:tc>
          <w:tcPr>
            <w:tcW w:w="735" w:type="dxa"/>
          </w:tcPr>
          <w:p w14:paraId="0B29022D" w14:textId="6EF03059" w:rsidR="00D55F90" w:rsidRPr="00DD4143" w:rsidRDefault="003018E2">
            <w:pPr>
              <w:contextualSpacing/>
              <w:jc w:val="center"/>
              <w:rPr>
                <w:bCs/>
                <w:sz w:val="20"/>
                <w:szCs w:val="20"/>
              </w:rPr>
            </w:pPr>
            <w:r>
              <w:rPr>
                <w:sz w:val="20"/>
                <w:szCs w:val="20"/>
              </w:rPr>
              <w:t>0.031</w:t>
            </w:r>
          </w:p>
        </w:tc>
        <w:tc>
          <w:tcPr>
            <w:tcW w:w="762" w:type="dxa"/>
          </w:tcPr>
          <w:p w14:paraId="27533DC6" w14:textId="615E0A2D" w:rsidR="00D55F90" w:rsidRPr="00DD4143" w:rsidRDefault="003018E2">
            <w:pPr>
              <w:contextualSpacing/>
              <w:jc w:val="center"/>
              <w:rPr>
                <w:bCs/>
                <w:sz w:val="20"/>
                <w:szCs w:val="20"/>
              </w:rPr>
            </w:pPr>
            <w:r>
              <w:rPr>
                <w:sz w:val="20"/>
                <w:szCs w:val="20"/>
              </w:rPr>
              <w:t>1.026</w:t>
            </w:r>
          </w:p>
        </w:tc>
      </w:tr>
      <w:tr w:rsidR="00786402" w14:paraId="4E6D5E60" w14:textId="77777777" w:rsidTr="001B1E34">
        <w:trPr>
          <w:jc w:val="center"/>
        </w:trPr>
        <w:tc>
          <w:tcPr>
            <w:tcW w:w="1494" w:type="dxa"/>
          </w:tcPr>
          <w:p w14:paraId="32B97FE6" w14:textId="559BDFBE" w:rsidR="00786402" w:rsidRDefault="00DA292A">
            <w:pPr>
              <w:contextualSpacing/>
              <w:jc w:val="center"/>
              <w:rPr>
                <w:b/>
                <w:bCs/>
                <w:sz w:val="20"/>
                <w:szCs w:val="20"/>
              </w:rPr>
            </w:pPr>
            <w:r>
              <w:rPr>
                <w:b/>
                <w:bCs/>
                <w:sz w:val="20"/>
                <w:szCs w:val="20"/>
              </w:rPr>
              <w:t>Percentage of Uinta</w:t>
            </w:r>
            <w:r w:rsidR="00847542">
              <w:rPr>
                <w:b/>
                <w:bCs/>
                <w:sz w:val="20"/>
                <w:szCs w:val="20"/>
              </w:rPr>
              <w:t>h</w:t>
            </w:r>
            <w:r>
              <w:rPr>
                <w:b/>
                <w:bCs/>
                <w:sz w:val="20"/>
                <w:szCs w:val="20"/>
              </w:rPr>
              <w:t xml:space="preserve"> County Anthropogenic Emissions</w:t>
            </w:r>
          </w:p>
        </w:tc>
        <w:tc>
          <w:tcPr>
            <w:tcW w:w="1146" w:type="dxa"/>
            <w:shd w:val="clear" w:color="auto" w:fill="auto"/>
            <w:vAlign w:val="center"/>
          </w:tcPr>
          <w:p w14:paraId="116C76DF" w14:textId="4AEE1FCA" w:rsidR="00786402" w:rsidRDefault="008C2B2D">
            <w:pPr>
              <w:contextualSpacing/>
              <w:jc w:val="center"/>
              <w:rPr>
                <w:sz w:val="20"/>
                <w:szCs w:val="20"/>
              </w:rPr>
            </w:pPr>
            <w:r>
              <w:rPr>
                <w:sz w:val="20"/>
                <w:szCs w:val="20"/>
              </w:rPr>
              <w:t>0.02%</w:t>
            </w:r>
          </w:p>
        </w:tc>
        <w:tc>
          <w:tcPr>
            <w:tcW w:w="1934" w:type="dxa"/>
            <w:vAlign w:val="center"/>
          </w:tcPr>
          <w:p w14:paraId="0918F419" w14:textId="16200D4E" w:rsidR="00786402" w:rsidRDefault="008C2B2D">
            <w:pPr>
              <w:contextualSpacing/>
              <w:jc w:val="center"/>
              <w:rPr>
                <w:sz w:val="20"/>
                <w:szCs w:val="20"/>
              </w:rPr>
            </w:pPr>
            <w:r>
              <w:rPr>
                <w:sz w:val="20"/>
                <w:szCs w:val="20"/>
              </w:rPr>
              <w:t>0.02%</w:t>
            </w:r>
          </w:p>
        </w:tc>
        <w:tc>
          <w:tcPr>
            <w:tcW w:w="733" w:type="dxa"/>
            <w:vAlign w:val="center"/>
          </w:tcPr>
          <w:p w14:paraId="1D592792" w14:textId="44526E28" w:rsidR="00786402" w:rsidRDefault="008C2B2D">
            <w:pPr>
              <w:contextualSpacing/>
              <w:jc w:val="center"/>
              <w:rPr>
                <w:sz w:val="20"/>
                <w:szCs w:val="20"/>
              </w:rPr>
            </w:pPr>
            <w:r>
              <w:rPr>
                <w:sz w:val="20"/>
                <w:szCs w:val="20"/>
              </w:rPr>
              <w:t>0.03%</w:t>
            </w:r>
          </w:p>
        </w:tc>
        <w:tc>
          <w:tcPr>
            <w:tcW w:w="1424" w:type="dxa"/>
            <w:vAlign w:val="center"/>
          </w:tcPr>
          <w:p w14:paraId="004FC045" w14:textId="55D7A35F" w:rsidR="00786402" w:rsidRDefault="008C2B2D">
            <w:pPr>
              <w:contextualSpacing/>
              <w:jc w:val="center"/>
              <w:rPr>
                <w:sz w:val="20"/>
                <w:szCs w:val="20"/>
              </w:rPr>
            </w:pPr>
            <w:r>
              <w:rPr>
                <w:sz w:val="20"/>
                <w:szCs w:val="20"/>
              </w:rPr>
              <w:t>0.05%</w:t>
            </w:r>
          </w:p>
        </w:tc>
        <w:tc>
          <w:tcPr>
            <w:tcW w:w="735" w:type="dxa"/>
            <w:vAlign w:val="center"/>
          </w:tcPr>
          <w:p w14:paraId="0E8FBB56" w14:textId="663C5A9E" w:rsidR="00786402" w:rsidRDefault="008C2B2D">
            <w:pPr>
              <w:contextualSpacing/>
              <w:jc w:val="center"/>
              <w:rPr>
                <w:sz w:val="20"/>
                <w:szCs w:val="20"/>
              </w:rPr>
            </w:pPr>
            <w:r>
              <w:rPr>
                <w:sz w:val="20"/>
                <w:szCs w:val="20"/>
              </w:rPr>
              <w:t>0.17%</w:t>
            </w:r>
          </w:p>
        </w:tc>
        <w:tc>
          <w:tcPr>
            <w:tcW w:w="762" w:type="dxa"/>
            <w:vAlign w:val="center"/>
          </w:tcPr>
          <w:p w14:paraId="3B12826C" w14:textId="19DF50C1" w:rsidR="00786402" w:rsidRDefault="008C2B2D">
            <w:pPr>
              <w:contextualSpacing/>
              <w:jc w:val="center"/>
              <w:rPr>
                <w:sz w:val="20"/>
                <w:szCs w:val="20"/>
              </w:rPr>
            </w:pPr>
            <w:r>
              <w:rPr>
                <w:sz w:val="20"/>
                <w:szCs w:val="20"/>
              </w:rPr>
              <w:t>0.02%</w:t>
            </w:r>
          </w:p>
        </w:tc>
        <w:tc>
          <w:tcPr>
            <w:tcW w:w="762" w:type="dxa"/>
            <w:vAlign w:val="center"/>
          </w:tcPr>
          <w:p w14:paraId="50224993" w14:textId="0A253DC9" w:rsidR="00786402" w:rsidRDefault="008C2B2D">
            <w:pPr>
              <w:contextualSpacing/>
              <w:jc w:val="center"/>
              <w:rPr>
                <w:sz w:val="20"/>
                <w:szCs w:val="20"/>
              </w:rPr>
            </w:pPr>
            <w:r>
              <w:rPr>
                <w:sz w:val="20"/>
                <w:szCs w:val="20"/>
              </w:rPr>
              <w:t>0.07%</w:t>
            </w:r>
          </w:p>
        </w:tc>
      </w:tr>
    </w:tbl>
    <w:p w14:paraId="5A224C6E" w14:textId="77777777" w:rsidR="0056219E" w:rsidRDefault="0056219E" w:rsidP="0056219E"/>
    <w:p w14:paraId="51688593" w14:textId="18B8E94C" w:rsidR="0056219E" w:rsidRDefault="0056219E" w:rsidP="0056219E">
      <w:r w:rsidRPr="003A20A3">
        <w:t xml:space="preserve">Emissions of </w:t>
      </w:r>
      <w:r>
        <w:t>CAPs</w:t>
      </w:r>
      <w:r w:rsidRPr="003A20A3">
        <w:t xml:space="preserve"> would also occur outside the planned area from transport, processing, distribution, and end-use. Generally, crude oil</w:t>
      </w:r>
      <w:r w:rsidR="00C325DA">
        <w:t xml:space="preserve"> (including condensate from a gas well)</w:t>
      </w:r>
      <w:r w:rsidRPr="003A20A3">
        <w:t xml:space="preserve"> from the Uinta Basin is trucked to refineries in Salt Lake City, or to the Price River Terminal in Wellington, Utah. Crude oil offloaded at the P</w:t>
      </w:r>
      <w:r>
        <w:t>rice River Terminal</w:t>
      </w:r>
      <w:r w:rsidRPr="003A20A3">
        <w:t xml:space="preserve"> is transported via railway to refineries throughout the country which produce a multitude of refined products. Refineries in Utah produce mostly gasoline, diesel fuel, and jet fuel. Products from Utah’s refineries are transported via pipeline to markets in Utah, Idaho, Nevada, Wyoming, eastern Washington, and Oregon </w:t>
      </w:r>
      <w:sdt>
        <w:sdtPr>
          <w:id w:val="-861514686"/>
          <w:citation/>
        </w:sdtPr>
        <w:sdtContent>
          <w:r w:rsidR="0091272E">
            <w:fldChar w:fldCharType="begin"/>
          </w:r>
          <w:r w:rsidR="00F823F5">
            <w:instrText xml:space="preserve">CITATION Adm22 \l 1033 </w:instrText>
          </w:r>
          <w:r w:rsidR="0091272E">
            <w:fldChar w:fldCharType="separate"/>
          </w:r>
          <w:r w:rsidR="0093463A">
            <w:rPr>
              <w:noProof/>
            </w:rPr>
            <w:t>(EIA, 2022)</w:t>
          </w:r>
          <w:r w:rsidR="0091272E">
            <w:fldChar w:fldCharType="end"/>
          </w:r>
        </w:sdtContent>
      </w:sdt>
      <w:r w:rsidRPr="003A20A3">
        <w:t xml:space="preserve">. Regarding natural gas, Utah is crossed by several interstate pipelines that transport natural gas from the Opal Hub in Wyoming, from the </w:t>
      </w:r>
      <w:proofErr w:type="spellStart"/>
      <w:r w:rsidRPr="003A20A3">
        <w:t>Piceance</w:t>
      </w:r>
      <w:proofErr w:type="spellEnd"/>
      <w:r w:rsidRPr="003A20A3">
        <w:t xml:space="preserve"> Basin in western Colorado, and from Utah's in-state production to markets in Nevada, Idaho, and Colorado </w:t>
      </w:r>
      <w:sdt>
        <w:sdtPr>
          <w:id w:val="625586202"/>
          <w:citation/>
        </w:sdtPr>
        <w:sdtContent>
          <w:r w:rsidR="00817099">
            <w:fldChar w:fldCharType="begin"/>
          </w:r>
          <w:r w:rsidR="00F823F5">
            <w:instrText xml:space="preserve">CITATION Adm22 \l 1033 </w:instrText>
          </w:r>
          <w:r w:rsidR="00817099">
            <w:fldChar w:fldCharType="separate"/>
          </w:r>
          <w:r w:rsidR="0093463A">
            <w:rPr>
              <w:noProof/>
            </w:rPr>
            <w:t>(EIA, 2022)</w:t>
          </w:r>
          <w:r w:rsidR="00817099">
            <w:fldChar w:fldCharType="end"/>
          </w:r>
        </w:sdtContent>
      </w:sdt>
      <w:r w:rsidRPr="003A20A3">
        <w:t xml:space="preserve">. </w:t>
      </w:r>
    </w:p>
    <w:p w14:paraId="551C8AD1" w14:textId="31D92EB9" w:rsidR="00EF3D9A" w:rsidRDefault="0056219E" w:rsidP="002D682D">
      <w:pPr>
        <w:pStyle w:val="BodyText"/>
      </w:pPr>
      <w:r w:rsidRPr="003A20A3">
        <w:t xml:space="preserve">Since combustion of all petroleum products emit </w:t>
      </w:r>
      <w:r>
        <w:t>CAPs</w:t>
      </w:r>
      <w:r w:rsidRPr="003A20A3">
        <w:t xml:space="preserve"> and </w:t>
      </w:r>
      <w:r>
        <w:t>HAPs</w:t>
      </w:r>
      <w:r w:rsidRPr="003A20A3">
        <w:t>, local ambient concentrations of these pollutants could increase in areas where products from the Uinta Basin (oil and gas) are combusted. This could contribute to an area exceeding either national or local air quality standards. Air quality involves complex physical and chemical transformations at a local/regional level, so impacts would vary considerably depending on background concentrations, meteorology, and other local pollutant sources. If any pollutant concentration is near or above its standard in a particular area, the combustion of oil and gas products could contribute to or exacerbate nonattainment. Potential pollutant concentration change resulting from combustion is therefore often a key driver of public policy to mitigate air quality and public health impacts in such areas. Downstream combustion and end uses are regulated by the EPA or delegated to state agencies. This regulatory process is designed to avoid downstream impacts to regional and local air quality.</w:t>
      </w:r>
    </w:p>
    <w:p w14:paraId="109D4749" w14:textId="50D33B04" w:rsidR="0056219E" w:rsidRDefault="00E17FBA" w:rsidP="0056219E">
      <w:pPr>
        <w:pStyle w:val="BodyText"/>
      </w:pPr>
      <w:r>
        <w:t>At the leasing stage it is not possible to accurately estimate potential air quality impacts by modeling due to the variation in emission control technologies as well as construction, drilling, and production technologies applicable to oil versus gas production and utilized by various operators. Should development on the parcels be proposed, and prior to authorizing specific proposed projects on the subject leases, emission inventories would need to be developed. Nearfield air quality dispersion modeling, which may also be required at that time, includes direct and cumulative impact analysis for demonstrating compliance with the NAAQS, plus analysis of impacts to AQRVs (i.e., deposition, visibility), particularly as they might affect nearby Class I areas (some National Parks and Wilderness areas) and Class II areas of interest.</w:t>
      </w:r>
    </w:p>
    <w:p w14:paraId="259387A1" w14:textId="7476D2F5" w:rsidR="00E17FBA" w:rsidRDefault="007526A9" w:rsidP="0056219E">
      <w:pPr>
        <w:pStyle w:val="BodyText"/>
      </w:pPr>
      <w:r>
        <w:t xml:space="preserve">Studies have demonstrated that oil and gas activity is a primary contributor to wintertime </w:t>
      </w:r>
      <w:r w:rsidR="00BD521B">
        <w:t>O</w:t>
      </w:r>
      <w:r w:rsidR="00BD521B" w:rsidRPr="00BD521B">
        <w:rPr>
          <w:vertAlign w:val="subscript"/>
        </w:rPr>
        <w:t>3</w:t>
      </w:r>
      <w:r>
        <w:t xml:space="preserve"> NAAQS exceedances in the Uinta Basin</w:t>
      </w:r>
      <w:r w:rsidR="002E06AA">
        <w:t xml:space="preserve"> </w:t>
      </w:r>
      <w:sdt>
        <w:sdtPr>
          <w:id w:val="-121850628"/>
          <w:citation/>
        </w:sdtPr>
        <w:sdtContent>
          <w:r w:rsidR="002E06AA">
            <w:fldChar w:fldCharType="begin"/>
          </w:r>
          <w:r w:rsidR="002E06AA">
            <w:instrText xml:space="preserve"> CITATION Man21 \l 1033 </w:instrText>
          </w:r>
          <w:r w:rsidR="002E06AA">
            <w:fldChar w:fldCharType="separate"/>
          </w:r>
          <w:r w:rsidR="0093463A">
            <w:rPr>
              <w:noProof/>
            </w:rPr>
            <w:t>(Mansfield, 2021)</w:t>
          </w:r>
          <w:r w:rsidR="002E06AA">
            <w:fldChar w:fldCharType="end"/>
          </w:r>
        </w:sdtContent>
      </w:sdt>
      <w:r>
        <w:t>. While emissions from an individual well or well pad are too small to have a substantial impact on O</w:t>
      </w:r>
      <w:r w:rsidRPr="00170565">
        <w:rPr>
          <w:vertAlign w:val="subscript"/>
        </w:rPr>
        <w:t>3</w:t>
      </w:r>
      <w:r>
        <w:t xml:space="preserve"> concentrations, they contribute with emissions from other regional oil and gas operations to produce a cumulative O</w:t>
      </w:r>
      <w:r w:rsidRPr="00170565">
        <w:rPr>
          <w:vertAlign w:val="subscript"/>
        </w:rPr>
        <w:t>3</w:t>
      </w:r>
      <w:r>
        <w:t xml:space="preserve"> impact. These impacts are discussed further in the air quality cumulative analysis section. Impacts to AQRVs from existing oil and gas wells and future lease development is projected to be minimal, see air quality cumulative analysis section.</w:t>
      </w:r>
    </w:p>
    <w:p w14:paraId="03BC067E" w14:textId="0205BDAB" w:rsidR="004B6876" w:rsidRDefault="007526A9" w:rsidP="0056219E">
      <w:pPr>
        <w:pStyle w:val="BodyText"/>
      </w:pPr>
      <w:r>
        <w:t>The CAA general conformity rule (40 CFR 93</w:t>
      </w:r>
      <w:r w:rsidR="00982D59">
        <w:t xml:space="preserve"> Subpart B</w:t>
      </w:r>
      <w:r>
        <w:t xml:space="preserve">) provides Federal agencies a method for determining if the emissions in a nonattainment area, from an action under consideration, will delay an </w:t>
      </w:r>
      <w:r>
        <w:lastRenderedPageBreak/>
        <w:t xml:space="preserve">area from attaining the NAAQS. This is done by showing that emissions are either de minimis or conform to a State or Federal Implementation Plan. </w:t>
      </w:r>
      <w:r w:rsidR="00436C7A">
        <w:t>The</w:t>
      </w:r>
      <w:r>
        <w:t xml:space="preserve"> parcels being offered are located within the Uinta Basin </w:t>
      </w:r>
      <w:r w:rsidR="00BD521B">
        <w:t>O</w:t>
      </w:r>
      <w:r w:rsidR="00BD521B" w:rsidRPr="00BD521B">
        <w:rPr>
          <w:vertAlign w:val="subscript"/>
        </w:rPr>
        <w:t>3</w:t>
      </w:r>
      <w:r>
        <w:t xml:space="preserve"> nonattainment area and thus require a general conformity applicability assessment. The applicability assessment is documented in </w:t>
      </w:r>
      <w:r w:rsidRPr="00982D59">
        <w:t>Appendix G</w:t>
      </w:r>
      <w:r>
        <w:t xml:space="preserve"> and demonstrates that the emissions associated with this lease sale are not reasonably foreseeable as defined by the CAA and general conformity is not applicable to this leasing action. </w:t>
      </w:r>
      <w:r w:rsidR="001B4930">
        <w:t>A</w:t>
      </w:r>
      <w:r>
        <w:t xml:space="preserve">nother conformity applicability assessment is needed at the permitting stage when information is available (location with respect to nonattainment area, non-permitted emissions sources, control technology, emissions offsets, new implementation plans, etc.) to create an emissions inventory based on actual plans for development. </w:t>
      </w:r>
    </w:p>
    <w:p w14:paraId="0B1B7D26" w14:textId="14D63675" w:rsidR="002D682D" w:rsidRDefault="007526A9" w:rsidP="002D682D">
      <w:pPr>
        <w:pStyle w:val="BodyText"/>
      </w:pPr>
      <w:r>
        <w:t>Substantial air resource impacts are not anticipated from leasing as it is an administrative action. Lease development has the potential to contribute to the O</w:t>
      </w:r>
      <w:r w:rsidRPr="00C87B84">
        <w:rPr>
          <w:vertAlign w:val="subscript"/>
        </w:rPr>
        <w:t>3</w:t>
      </w:r>
      <w:r>
        <w:t xml:space="preserve"> problem in the Uinta Basin. At the permitting stage a precise emissions inventory can be evaluated to ensure emissions are below de minimis levels or conform to state and Federal implementation plans that are in effect at the time. As identified in notice UT-LN-102 additional analysis or mitigation may be required when parcels are developed to ensure no adverse impacts occur.</w:t>
      </w:r>
    </w:p>
    <w:p w14:paraId="389CD21A" w14:textId="77777777" w:rsidR="002D682D" w:rsidRPr="00B12D0C" w:rsidRDefault="002D682D" w:rsidP="002D682D">
      <w:pPr>
        <w:pStyle w:val="Subheading4"/>
        <w:rPr>
          <w:rFonts w:ascii="Times New Roman" w:hAnsi="Times New Roman" w:cs="Times New Roman"/>
        </w:rPr>
      </w:pPr>
      <w:r w:rsidRPr="00B12D0C">
        <w:rPr>
          <w:rFonts w:ascii="Times New Roman" w:hAnsi="Times New Roman" w:cs="Times New Roman"/>
        </w:rPr>
        <w:t>Cumulative Effects</w:t>
      </w:r>
    </w:p>
    <w:p w14:paraId="00F5E81C" w14:textId="2D399A2D" w:rsidR="00CB5608" w:rsidRDefault="006B4A1F" w:rsidP="000D072C">
      <w:pPr>
        <w:jc w:val="both"/>
        <w:rPr>
          <w:i/>
          <w:iCs/>
          <w:u w:val="single"/>
        </w:rPr>
      </w:pPr>
      <w:r w:rsidRPr="000D74EF">
        <w:t xml:space="preserve">This document incorporates by reference the projected changes to air quality and AQRVs that are evaluated in the BLM’s </w:t>
      </w:r>
      <w:r>
        <w:t xml:space="preserve">Regional Air Quality Model </w:t>
      </w:r>
      <w:sdt>
        <w:sdtPr>
          <w:id w:val="-1424640645"/>
          <w:citation/>
        </w:sdtPr>
        <w:sdtContent>
          <w:r>
            <w:fldChar w:fldCharType="begin"/>
          </w:r>
          <w:r>
            <w:instrText xml:space="preserve"> CITATION Ram23 \l 1033 </w:instrText>
          </w:r>
          <w:r>
            <w:fldChar w:fldCharType="separate"/>
          </w:r>
          <w:r w:rsidR="0093463A">
            <w:rPr>
              <w:noProof/>
            </w:rPr>
            <w:t>(Ramboll, 2023)</w:t>
          </w:r>
          <w:r>
            <w:fldChar w:fldCharType="end"/>
          </w:r>
        </w:sdtContent>
      </w:sdt>
      <w:r w:rsidRPr="000D74EF">
        <w:t>. This</w:t>
      </w:r>
      <w:r>
        <w:t xml:space="preserve"> </w:t>
      </w:r>
      <w:r w:rsidRPr="000D74EF">
        <w:t>modeling</w:t>
      </w:r>
      <w:r>
        <w:t xml:space="preserve"> </w:t>
      </w:r>
      <w:r w:rsidRPr="000D74EF">
        <w:t>study</w:t>
      </w:r>
      <w:r>
        <w:t xml:space="preserve"> </w:t>
      </w:r>
      <w:r w:rsidRPr="000D74EF">
        <w:t>provides</w:t>
      </w:r>
      <w:r>
        <w:t xml:space="preserve"> </w:t>
      </w:r>
      <w:r w:rsidRPr="000D74EF">
        <w:t xml:space="preserve">a reference for potential changes to the affected environment occurring from existing and foreseeable emissions producing activities, including </w:t>
      </w:r>
      <w:r>
        <w:t xml:space="preserve">development of </w:t>
      </w:r>
      <w:r w:rsidRPr="000D74EF">
        <w:t xml:space="preserve">oil and gas </w:t>
      </w:r>
      <w:r>
        <w:t>leases, coal mining, and other cumulative emissions sources in the region</w:t>
      </w:r>
      <w:r w:rsidRPr="000D74EF">
        <w:t>.</w:t>
      </w:r>
    </w:p>
    <w:p w14:paraId="33F6A9D4" w14:textId="786D86DE" w:rsidR="000D072C" w:rsidRPr="000C5636" w:rsidRDefault="000D072C" w:rsidP="000C5636">
      <w:pPr>
        <w:pStyle w:val="Subheading4"/>
        <w:rPr>
          <w:rFonts w:cs="Times New Roman"/>
          <w:i w:val="0"/>
        </w:rPr>
      </w:pPr>
      <w:r w:rsidRPr="000C5636">
        <w:rPr>
          <w:rFonts w:ascii="Times New Roman" w:hAnsi="Times New Roman" w:cs="Times New Roman"/>
          <w:b w:val="0"/>
        </w:rPr>
        <w:t xml:space="preserve">Emissions </w:t>
      </w:r>
      <w:r w:rsidR="00B44117">
        <w:rPr>
          <w:rFonts w:ascii="Times New Roman" w:hAnsi="Times New Roman" w:cs="Times New Roman"/>
          <w:b w:val="0"/>
        </w:rPr>
        <w:t>T</w:t>
      </w:r>
      <w:r w:rsidRPr="000C5636">
        <w:rPr>
          <w:rFonts w:ascii="Times New Roman" w:hAnsi="Times New Roman" w:cs="Times New Roman"/>
          <w:b w:val="0"/>
        </w:rPr>
        <w:t>rends</w:t>
      </w:r>
    </w:p>
    <w:p w14:paraId="78C09B6D" w14:textId="77777777" w:rsidR="00CB5608" w:rsidRPr="000D74EF" w:rsidRDefault="00CB5608" w:rsidP="000D072C">
      <w:pPr>
        <w:jc w:val="both"/>
        <w:rPr>
          <w:i/>
          <w:iCs/>
          <w:u w:val="single"/>
        </w:rPr>
      </w:pPr>
    </w:p>
    <w:p w14:paraId="18DDFAB7" w14:textId="3E6BBF9D" w:rsidR="000D072C" w:rsidRDefault="000D072C" w:rsidP="000D072C">
      <w:pPr>
        <w:jc w:val="both"/>
      </w:pPr>
      <w:r w:rsidRPr="000D74EF">
        <w:t xml:space="preserve">Past and present actions that have affected and would likely continue to affect air quality in the analysis area include surface disturbance resulting from oil and gas development and associated infrastructure, geophysical exploration, </w:t>
      </w:r>
      <w:proofErr w:type="gramStart"/>
      <w:r w:rsidRPr="000D74EF">
        <w:t>ranching</w:t>
      </w:r>
      <w:proofErr w:type="gramEnd"/>
      <w:r w:rsidRPr="000D74EF">
        <w:t xml:space="preserve"> and livestock grazing, range improvements, recreation (including OHV use), authorization of ROWs for utilities and other uses, and road development. These types of actions and activities can reduce air quality through emissions of </w:t>
      </w:r>
      <w:r>
        <w:t>CAPs</w:t>
      </w:r>
      <w:r w:rsidRPr="000D74EF" w:rsidDel="00F5716C">
        <w:t xml:space="preserve"> </w:t>
      </w:r>
      <w:r w:rsidRPr="000D74EF">
        <w:t>(including fugitive dust), VOCs, and HAPs, as well as contribute to deposition impacts and to a reduction in visibility.</w:t>
      </w:r>
      <w:r>
        <w:t xml:space="preserve"> </w:t>
      </w:r>
      <w:r w:rsidRPr="00615756">
        <w:t xml:space="preserve">Emissions from these activities are included in </w:t>
      </w:r>
      <w:r w:rsidR="00FA00BC" w:rsidRPr="00615756">
        <w:t>the</w:t>
      </w:r>
      <w:r w:rsidRPr="00615756">
        <w:t xml:space="preserve"> inventory contained in</w:t>
      </w:r>
      <w:r w:rsidRPr="00824FD9">
        <w:t xml:space="preserve"> </w:t>
      </w:r>
      <w:r w:rsidR="00615756" w:rsidRPr="00C87B84">
        <w:fldChar w:fldCharType="begin"/>
      </w:r>
      <w:r w:rsidR="00615756" w:rsidRPr="00C87B84">
        <w:instrText xml:space="preserve"> REF _Ref164931208 \h </w:instrText>
      </w:r>
      <w:r w:rsidR="00615756">
        <w:instrText xml:space="preserve"> \* MERGEFORMAT </w:instrText>
      </w:r>
      <w:r w:rsidR="00615756" w:rsidRPr="00C87B84">
        <w:fldChar w:fldCharType="separate"/>
      </w:r>
      <w:r w:rsidR="00615756" w:rsidRPr="00615756">
        <w:t xml:space="preserve">Table </w:t>
      </w:r>
      <w:r w:rsidR="00615756" w:rsidRPr="00615756">
        <w:rPr>
          <w:noProof/>
        </w:rPr>
        <w:t>3</w:t>
      </w:r>
      <w:r w:rsidR="00615756" w:rsidRPr="00C87B84">
        <w:fldChar w:fldCharType="end"/>
      </w:r>
      <w:r w:rsidR="00615756" w:rsidRPr="00C87B84">
        <w:t>.</w:t>
      </w:r>
      <w:r>
        <w:t xml:space="preserve"> In the future, emissions from vehicle exhaust, and from residential and commercial activities would likely increase as population and tourist visitation increases in the area.</w:t>
      </w:r>
    </w:p>
    <w:p w14:paraId="15023EC3" w14:textId="77777777" w:rsidR="00925F81" w:rsidRDefault="00925F81" w:rsidP="000D072C">
      <w:pPr>
        <w:jc w:val="both"/>
      </w:pPr>
    </w:p>
    <w:p w14:paraId="1CE9B78A" w14:textId="6E136AF9" w:rsidR="00F7159E" w:rsidRDefault="00C66CCD" w:rsidP="002D74E6">
      <w:r>
        <w:t>Estimates of future criteria and hazardous emissions are made in the BLM Regional Air Quality Model</w:t>
      </w:r>
      <w:sdt>
        <w:sdtPr>
          <w:id w:val="-1927795691"/>
          <w:citation/>
        </w:sdtPr>
        <w:sdtContent>
          <w:r>
            <w:fldChar w:fldCharType="begin"/>
          </w:r>
          <w:r>
            <w:instrText xml:space="preserve"> CITATION Ram23 \l 1033 </w:instrText>
          </w:r>
          <w:r>
            <w:fldChar w:fldCharType="separate"/>
          </w:r>
          <w:r w:rsidR="0093463A">
            <w:rPr>
              <w:noProof/>
            </w:rPr>
            <w:t xml:space="preserve"> (Ramboll, 2023)</w:t>
          </w:r>
          <w:r>
            <w:fldChar w:fldCharType="end"/>
          </w:r>
        </w:sdtContent>
      </w:sdt>
      <w:r>
        <w:t xml:space="preserve">. Emissions estimates are based on the </w:t>
      </w:r>
      <w:r w:rsidRPr="00C44926">
        <w:t>EPA2016v2 modeling platform</w:t>
      </w:r>
      <w:sdt>
        <w:sdtPr>
          <w:id w:val="-1310859145"/>
          <w:citation/>
        </w:sdtPr>
        <w:sdtContent>
          <w:r w:rsidR="00471DAE">
            <w:fldChar w:fldCharType="begin"/>
          </w:r>
          <w:r w:rsidR="00471DAE">
            <w:instrText xml:space="preserve"> CITATION Ram23 \l 1033 </w:instrText>
          </w:r>
          <w:r w:rsidR="00471DAE">
            <w:fldChar w:fldCharType="separate"/>
          </w:r>
          <w:r w:rsidR="0093463A">
            <w:rPr>
              <w:noProof/>
            </w:rPr>
            <w:t xml:space="preserve"> (Ramboll, 2023)</w:t>
          </w:r>
          <w:r w:rsidR="00471DAE">
            <w:fldChar w:fldCharType="end"/>
          </w:r>
        </w:sdtContent>
      </w:sdt>
      <w:r>
        <w:t xml:space="preserve">, the </w:t>
      </w:r>
      <w:r w:rsidRPr="001A54CE">
        <w:t>Western Regional Air Partnership</w:t>
      </w:r>
      <w:r w:rsidRPr="00780298">
        <w:t xml:space="preserve"> Oil and Gas Working Group emission inventory</w:t>
      </w:r>
      <w:r>
        <w:t>, and BLM reasonably foreseeable development estimates for oil, gas, and coal production.</w:t>
      </w:r>
      <w:r w:rsidRPr="00C44926">
        <w:t xml:space="preserve"> </w:t>
      </w:r>
      <w:r>
        <w:t xml:space="preserve">Sources included coal mining, coal combustion, oil and gas development, other anthropogenic sources (mobile and non-point), and natural emissions (open land fires, biogenic). The effects of these emissions are evaluated in the modeled air quality projections section below. Emissions in the oil and gas sector are </w:t>
      </w:r>
      <w:r w:rsidRPr="00854EEA">
        <w:t xml:space="preserve">provided in </w:t>
      </w:r>
      <w:r w:rsidR="002D74E6">
        <w:fldChar w:fldCharType="begin"/>
      </w:r>
      <w:r w:rsidR="002D74E6">
        <w:instrText xml:space="preserve"> REF _Ref164951308 \h </w:instrText>
      </w:r>
      <w:r w:rsidR="002D74E6">
        <w:fldChar w:fldCharType="separate"/>
      </w:r>
      <w:r w:rsidR="002D74E6">
        <w:t xml:space="preserve">Table </w:t>
      </w:r>
      <w:r w:rsidR="002D74E6">
        <w:rPr>
          <w:noProof/>
        </w:rPr>
        <w:t>8</w:t>
      </w:r>
      <w:r w:rsidR="002D74E6">
        <w:fldChar w:fldCharType="end"/>
      </w:r>
      <w:r w:rsidRPr="008A5116">
        <w:rPr>
          <w:highlight w:val="yellow"/>
        </w:rPr>
        <w:fldChar w:fldCharType="begin"/>
      </w:r>
      <w:r w:rsidRPr="001B1E34">
        <w:rPr>
          <w:highlight w:val="yellow"/>
        </w:rPr>
        <w:instrText xml:space="preserve"> REF _Ref147395159 \h </w:instrText>
      </w:r>
      <w:r w:rsidR="008A5116">
        <w:rPr>
          <w:highlight w:val="yellow"/>
        </w:rPr>
        <w:instrText xml:space="preserve"> \* MERGEFORMAT </w:instrText>
      </w:r>
      <w:r w:rsidRPr="008A5116">
        <w:rPr>
          <w:highlight w:val="yellow"/>
        </w:rPr>
      </w:r>
      <w:r w:rsidR="00000000">
        <w:rPr>
          <w:highlight w:val="yellow"/>
        </w:rPr>
        <w:fldChar w:fldCharType="separate"/>
      </w:r>
      <w:r w:rsidRPr="008A5116">
        <w:rPr>
          <w:highlight w:val="yellow"/>
        </w:rPr>
        <w:fldChar w:fldCharType="end"/>
      </w:r>
      <w:r>
        <w:t xml:space="preserve">. Oil and gas sector emissions roughly parallel oil and gas production. Development and production estimates </w:t>
      </w:r>
      <w:r w:rsidR="00F20C8B">
        <w:t>associated with these emissions projections for</w:t>
      </w:r>
      <w:r>
        <w:t xml:space="preserve"> oil, gas, and coal are listed in the AMR (see Appendix D of the AMR). Current Federal oil and gas development and production in Utah is below that which was modeled in the BLM Regional Air Quality Model by 10.5 million </w:t>
      </w:r>
      <w:proofErr w:type="spellStart"/>
      <w:r>
        <w:t>bbl</w:t>
      </w:r>
      <w:proofErr w:type="spellEnd"/>
      <w:r>
        <w:t>/</w:t>
      </w:r>
      <w:proofErr w:type="spellStart"/>
      <w:r>
        <w:t>yr</w:t>
      </w:r>
      <w:proofErr w:type="spellEnd"/>
      <w:r>
        <w:t xml:space="preserve"> of oil, 34 billion </w:t>
      </w:r>
      <w:proofErr w:type="spellStart"/>
      <w:r>
        <w:t>cf</w:t>
      </w:r>
      <w:proofErr w:type="spellEnd"/>
      <w:r>
        <w:t>/</w:t>
      </w:r>
      <w:proofErr w:type="spellStart"/>
      <w:r>
        <w:t>yr</w:t>
      </w:r>
      <w:proofErr w:type="spellEnd"/>
      <w:r>
        <w:t xml:space="preserve"> of gas, 98 new spuds per year, and 3,819 total producing wells</w:t>
      </w:r>
      <w:r w:rsidR="004E573D">
        <w:t>.</w:t>
      </w:r>
      <w:r>
        <w:t xml:space="preserve"> </w:t>
      </w:r>
      <w:r w:rsidR="004E573D">
        <w:t>Potential</w:t>
      </w:r>
      <w:r>
        <w:t xml:space="preserve"> development </w:t>
      </w:r>
      <w:r w:rsidR="004E573D">
        <w:t>on the lease parcels</w:t>
      </w:r>
      <w:r>
        <w:t xml:space="preserve"> would not cause existing development to exceed those that were projected in the BLM Regional Air </w:t>
      </w:r>
      <w:r>
        <w:lastRenderedPageBreak/>
        <w:t xml:space="preserve">Quality model. </w:t>
      </w:r>
      <w:r w:rsidR="00684FDE">
        <w:t>The</w:t>
      </w:r>
      <w:r>
        <w:t xml:space="preserve"> modeled air quality projections fully capture past and present oil and gas development, including </w:t>
      </w:r>
      <w:r w:rsidR="000C40A0" w:rsidRPr="00C06078">
        <w:t>potential development</w:t>
      </w:r>
      <w:r w:rsidR="00EB714B" w:rsidRPr="00C06078">
        <w:t xml:space="preserve"> on the lease </w:t>
      </w:r>
      <w:r w:rsidR="00EB714B" w:rsidRPr="0080118F">
        <w:t>parcels</w:t>
      </w:r>
      <w:r w:rsidRPr="0080118F">
        <w:t>.</w:t>
      </w:r>
    </w:p>
    <w:p w14:paraId="0D73A1E3" w14:textId="36D7E48C" w:rsidR="002D74E6" w:rsidRDefault="002D74E6" w:rsidP="001B1E34">
      <w:pPr>
        <w:pStyle w:val="Caption"/>
      </w:pPr>
      <w:bookmarkStart w:id="229" w:name="_Ref164951308"/>
      <w:bookmarkStart w:id="230" w:name="_Toc179464301"/>
      <w:bookmarkStart w:id="231" w:name="_Toc170114956"/>
      <w:r w:rsidRPr="00FB2F06">
        <w:t xml:space="preserve">Table </w:t>
      </w:r>
      <w:r w:rsidR="00BB3F01">
        <w:fldChar w:fldCharType="begin"/>
      </w:r>
      <w:r w:rsidR="00BB3F01">
        <w:instrText xml:space="preserve"> SEQ Table \* ARABIC </w:instrText>
      </w:r>
      <w:r w:rsidR="00BB3F01">
        <w:fldChar w:fldCharType="separate"/>
      </w:r>
      <w:r w:rsidR="00BB3F01">
        <w:rPr>
          <w:noProof/>
        </w:rPr>
        <w:t>20</w:t>
      </w:r>
      <w:r w:rsidR="00BB3F01">
        <w:rPr>
          <w:noProof/>
        </w:rPr>
        <w:fldChar w:fldCharType="end"/>
      </w:r>
      <w:bookmarkEnd w:id="229"/>
      <w:r>
        <w:t xml:space="preserve"> </w:t>
      </w:r>
      <w:r w:rsidRPr="00DA317F">
        <w:t>Modeled Circa 2032 (New Plus Existing Wells) Oil and Gas Emissions in Utah by Mineral Owner</w:t>
      </w:r>
      <w:bookmarkEnd w:id="230"/>
      <w:bookmarkEnd w:id="231"/>
    </w:p>
    <w:tbl>
      <w:tblPr>
        <w:tblW w:w="10264" w:type="dxa"/>
        <w:tblLayout w:type="fixed"/>
        <w:tblLook w:val="04A0" w:firstRow="1" w:lastRow="0" w:firstColumn="1" w:lastColumn="0" w:noHBand="0" w:noVBand="1"/>
      </w:tblPr>
      <w:tblGrid>
        <w:gridCol w:w="1270"/>
        <w:gridCol w:w="1412"/>
        <w:gridCol w:w="1412"/>
        <w:gridCol w:w="1412"/>
        <w:gridCol w:w="1284"/>
        <w:gridCol w:w="1156"/>
        <w:gridCol w:w="1159"/>
        <w:gridCol w:w="1159"/>
      </w:tblGrid>
      <w:tr w:rsidR="00A90C5F" w:rsidRPr="00D77EDF" w14:paraId="5335EF11" w14:textId="77777777" w:rsidTr="009711B2">
        <w:trPr>
          <w:trHeight w:val="552"/>
          <w:tblHeader/>
        </w:trPr>
        <w:tc>
          <w:tcPr>
            <w:tcW w:w="1270" w:type="dxa"/>
            <w:vMerge w:val="restart"/>
            <w:tcBorders>
              <w:top w:val="single" w:sz="4" w:space="0" w:color="auto"/>
              <w:left w:val="single" w:sz="8" w:space="0" w:color="auto"/>
              <w:right w:val="single" w:sz="8" w:space="0" w:color="000000"/>
            </w:tcBorders>
            <w:shd w:val="clear" w:color="auto" w:fill="auto"/>
            <w:noWrap/>
            <w:vAlign w:val="center"/>
            <w:hideMark/>
          </w:tcPr>
          <w:p w14:paraId="3FB0A6FE" w14:textId="77777777" w:rsidR="00A90C5F" w:rsidRPr="00072704" w:rsidRDefault="00A90C5F">
            <w:pPr>
              <w:jc w:val="center"/>
              <w:rPr>
                <w:b/>
                <w:bCs/>
              </w:rPr>
            </w:pPr>
            <w:r w:rsidRPr="00072704">
              <w:rPr>
                <w:b/>
                <w:bCs/>
              </w:rPr>
              <w:t>State</w:t>
            </w:r>
          </w:p>
        </w:tc>
        <w:tc>
          <w:tcPr>
            <w:tcW w:w="8994" w:type="dxa"/>
            <w:gridSpan w:val="7"/>
            <w:tcBorders>
              <w:top w:val="single" w:sz="4" w:space="0" w:color="auto"/>
              <w:left w:val="single" w:sz="8" w:space="0" w:color="auto"/>
              <w:bottom w:val="single" w:sz="4" w:space="0" w:color="auto"/>
              <w:right w:val="single" w:sz="8" w:space="0" w:color="000000"/>
            </w:tcBorders>
            <w:shd w:val="clear" w:color="auto" w:fill="auto"/>
            <w:vAlign w:val="center"/>
          </w:tcPr>
          <w:p w14:paraId="77034333" w14:textId="736555E4" w:rsidR="00A90C5F" w:rsidRPr="00072704" w:rsidRDefault="00A90C5F">
            <w:pPr>
              <w:jc w:val="center"/>
              <w:rPr>
                <w:b/>
                <w:bCs/>
              </w:rPr>
            </w:pPr>
            <w:r w:rsidRPr="00072704">
              <w:rPr>
                <w:b/>
                <w:bCs/>
              </w:rPr>
              <w:t>Air Pollutant Emissions (</w:t>
            </w:r>
            <w:r w:rsidR="002D74E6">
              <w:rPr>
                <w:b/>
                <w:bCs/>
              </w:rPr>
              <w:t>TPY</w:t>
            </w:r>
            <w:r w:rsidRPr="00072704">
              <w:rPr>
                <w:b/>
                <w:bCs/>
              </w:rPr>
              <w:t>)</w:t>
            </w:r>
          </w:p>
        </w:tc>
      </w:tr>
      <w:tr w:rsidR="00A90C5F" w:rsidRPr="00D77EDF" w14:paraId="21DA163D" w14:textId="77777777" w:rsidTr="009711B2">
        <w:trPr>
          <w:trHeight w:val="21"/>
          <w:tblHeader/>
        </w:trPr>
        <w:tc>
          <w:tcPr>
            <w:tcW w:w="1270" w:type="dxa"/>
            <w:vMerge/>
            <w:tcBorders>
              <w:left w:val="single" w:sz="8" w:space="0" w:color="auto"/>
              <w:bottom w:val="single" w:sz="4" w:space="0" w:color="auto"/>
              <w:right w:val="single" w:sz="8" w:space="0" w:color="000000"/>
            </w:tcBorders>
            <w:shd w:val="clear" w:color="auto" w:fill="auto"/>
            <w:noWrap/>
            <w:vAlign w:val="center"/>
            <w:hideMark/>
          </w:tcPr>
          <w:p w14:paraId="57213C9C" w14:textId="77777777" w:rsidR="00A90C5F" w:rsidRPr="00072704" w:rsidRDefault="00A90C5F">
            <w:pPr>
              <w:rPr>
                <w:b/>
                <w:bCs/>
              </w:rPr>
            </w:pPr>
          </w:p>
        </w:tc>
        <w:tc>
          <w:tcPr>
            <w:tcW w:w="1412" w:type="dxa"/>
            <w:tcBorders>
              <w:top w:val="nil"/>
              <w:left w:val="single" w:sz="8" w:space="0" w:color="000000"/>
              <w:bottom w:val="single" w:sz="4" w:space="0" w:color="auto"/>
              <w:right w:val="single" w:sz="4" w:space="0" w:color="auto"/>
            </w:tcBorders>
            <w:shd w:val="clear" w:color="auto" w:fill="auto"/>
            <w:noWrap/>
            <w:vAlign w:val="center"/>
            <w:hideMark/>
          </w:tcPr>
          <w:p w14:paraId="311F19EB" w14:textId="77777777" w:rsidR="00A90C5F" w:rsidRPr="00072704" w:rsidRDefault="00A90C5F">
            <w:pPr>
              <w:jc w:val="center"/>
              <w:rPr>
                <w:b/>
                <w:bCs/>
              </w:rPr>
            </w:pPr>
            <w:r w:rsidRPr="00072704">
              <w:rPr>
                <w:b/>
                <w:bCs/>
              </w:rPr>
              <w:t>NO</w:t>
            </w:r>
            <w:r w:rsidRPr="00072704">
              <w:rPr>
                <w:b/>
                <w:bCs/>
                <w:vertAlign w:val="subscript"/>
              </w:rPr>
              <w:t>x</w:t>
            </w:r>
          </w:p>
        </w:tc>
        <w:tc>
          <w:tcPr>
            <w:tcW w:w="1412" w:type="dxa"/>
            <w:tcBorders>
              <w:top w:val="nil"/>
              <w:left w:val="nil"/>
              <w:bottom w:val="single" w:sz="4" w:space="0" w:color="auto"/>
              <w:right w:val="single" w:sz="4" w:space="0" w:color="auto"/>
            </w:tcBorders>
            <w:shd w:val="clear" w:color="auto" w:fill="auto"/>
            <w:noWrap/>
            <w:vAlign w:val="center"/>
            <w:hideMark/>
          </w:tcPr>
          <w:p w14:paraId="11321FC5" w14:textId="77777777" w:rsidR="00A90C5F" w:rsidRPr="00072704" w:rsidRDefault="00A90C5F">
            <w:pPr>
              <w:jc w:val="center"/>
              <w:rPr>
                <w:b/>
                <w:bCs/>
              </w:rPr>
            </w:pPr>
            <w:r w:rsidRPr="00072704">
              <w:rPr>
                <w:b/>
                <w:bCs/>
              </w:rPr>
              <w:t>VOC</w:t>
            </w:r>
          </w:p>
        </w:tc>
        <w:tc>
          <w:tcPr>
            <w:tcW w:w="1412" w:type="dxa"/>
            <w:tcBorders>
              <w:top w:val="nil"/>
              <w:left w:val="nil"/>
              <w:bottom w:val="single" w:sz="4" w:space="0" w:color="auto"/>
              <w:right w:val="single" w:sz="4" w:space="0" w:color="auto"/>
            </w:tcBorders>
            <w:shd w:val="clear" w:color="auto" w:fill="auto"/>
            <w:noWrap/>
            <w:vAlign w:val="center"/>
            <w:hideMark/>
          </w:tcPr>
          <w:p w14:paraId="4AF98269" w14:textId="77777777" w:rsidR="00A90C5F" w:rsidRPr="00072704" w:rsidRDefault="00A90C5F">
            <w:pPr>
              <w:jc w:val="center"/>
              <w:rPr>
                <w:b/>
                <w:bCs/>
              </w:rPr>
            </w:pPr>
            <w:r w:rsidRPr="00072704">
              <w:rPr>
                <w:b/>
                <w:bCs/>
              </w:rPr>
              <w:t>CO</w:t>
            </w:r>
          </w:p>
        </w:tc>
        <w:tc>
          <w:tcPr>
            <w:tcW w:w="1284" w:type="dxa"/>
            <w:tcBorders>
              <w:top w:val="nil"/>
              <w:left w:val="nil"/>
              <w:bottom w:val="single" w:sz="4" w:space="0" w:color="auto"/>
              <w:right w:val="single" w:sz="4" w:space="0" w:color="auto"/>
            </w:tcBorders>
            <w:shd w:val="clear" w:color="auto" w:fill="auto"/>
            <w:noWrap/>
            <w:vAlign w:val="center"/>
            <w:hideMark/>
          </w:tcPr>
          <w:p w14:paraId="610CD8AC" w14:textId="77777777" w:rsidR="00A90C5F" w:rsidRPr="00072704" w:rsidRDefault="00A90C5F">
            <w:pPr>
              <w:jc w:val="center"/>
              <w:rPr>
                <w:b/>
                <w:bCs/>
              </w:rPr>
            </w:pPr>
            <w:r w:rsidRPr="00072704">
              <w:rPr>
                <w:b/>
                <w:bCs/>
              </w:rPr>
              <w:t>SO</w:t>
            </w:r>
            <w:r w:rsidRPr="00072704">
              <w:rPr>
                <w:b/>
                <w:bCs/>
                <w:vertAlign w:val="subscript"/>
              </w:rPr>
              <w:t>2</w:t>
            </w:r>
          </w:p>
        </w:tc>
        <w:tc>
          <w:tcPr>
            <w:tcW w:w="1156" w:type="dxa"/>
            <w:tcBorders>
              <w:top w:val="nil"/>
              <w:left w:val="nil"/>
              <w:bottom w:val="single" w:sz="4" w:space="0" w:color="auto"/>
              <w:right w:val="single" w:sz="4" w:space="0" w:color="auto"/>
            </w:tcBorders>
            <w:shd w:val="clear" w:color="auto" w:fill="auto"/>
            <w:noWrap/>
            <w:vAlign w:val="center"/>
            <w:hideMark/>
          </w:tcPr>
          <w:p w14:paraId="44E13938" w14:textId="77777777" w:rsidR="00A90C5F" w:rsidRPr="00072704" w:rsidRDefault="00A90C5F">
            <w:pPr>
              <w:jc w:val="center"/>
              <w:rPr>
                <w:b/>
                <w:bCs/>
              </w:rPr>
            </w:pPr>
            <w:r w:rsidRPr="00072704">
              <w:rPr>
                <w:b/>
                <w:bCs/>
              </w:rPr>
              <w:t>PM</w:t>
            </w:r>
            <w:r w:rsidRPr="00072704">
              <w:rPr>
                <w:b/>
                <w:bCs/>
                <w:vertAlign w:val="subscript"/>
              </w:rPr>
              <w:t>2.5</w:t>
            </w:r>
          </w:p>
        </w:tc>
        <w:tc>
          <w:tcPr>
            <w:tcW w:w="1159" w:type="dxa"/>
            <w:tcBorders>
              <w:top w:val="nil"/>
              <w:left w:val="nil"/>
              <w:bottom w:val="single" w:sz="4" w:space="0" w:color="auto"/>
              <w:right w:val="single" w:sz="4" w:space="0" w:color="auto"/>
            </w:tcBorders>
            <w:shd w:val="clear" w:color="auto" w:fill="auto"/>
            <w:noWrap/>
            <w:vAlign w:val="center"/>
            <w:hideMark/>
          </w:tcPr>
          <w:p w14:paraId="0F5CE10E" w14:textId="77777777" w:rsidR="00A90C5F" w:rsidRPr="00072704" w:rsidRDefault="00A90C5F">
            <w:pPr>
              <w:jc w:val="center"/>
              <w:rPr>
                <w:b/>
                <w:bCs/>
              </w:rPr>
            </w:pPr>
            <w:r w:rsidRPr="00072704">
              <w:rPr>
                <w:b/>
                <w:bCs/>
              </w:rPr>
              <w:t>PM</w:t>
            </w:r>
            <w:r w:rsidRPr="00072704">
              <w:rPr>
                <w:b/>
                <w:bCs/>
                <w:vertAlign w:val="subscript"/>
              </w:rPr>
              <w:t>10</w:t>
            </w:r>
          </w:p>
        </w:tc>
        <w:tc>
          <w:tcPr>
            <w:tcW w:w="1159" w:type="dxa"/>
            <w:tcBorders>
              <w:top w:val="nil"/>
              <w:left w:val="nil"/>
              <w:bottom w:val="single" w:sz="4" w:space="0" w:color="auto"/>
              <w:right w:val="single" w:sz="4" w:space="0" w:color="auto"/>
            </w:tcBorders>
            <w:shd w:val="clear" w:color="auto" w:fill="auto"/>
          </w:tcPr>
          <w:p w14:paraId="7932830A" w14:textId="77777777" w:rsidR="00A90C5F" w:rsidRPr="00072704" w:rsidRDefault="00A90C5F">
            <w:pPr>
              <w:jc w:val="center"/>
              <w:rPr>
                <w:b/>
                <w:bCs/>
              </w:rPr>
            </w:pPr>
            <w:r>
              <w:rPr>
                <w:b/>
                <w:bCs/>
              </w:rPr>
              <w:t>HAPs</w:t>
            </w:r>
          </w:p>
        </w:tc>
      </w:tr>
      <w:tr w:rsidR="00A90C5F" w:rsidRPr="00D77EDF" w14:paraId="326609A5" w14:textId="77777777">
        <w:trPr>
          <w:trHeight w:val="21"/>
        </w:trPr>
        <w:tc>
          <w:tcPr>
            <w:tcW w:w="10264" w:type="dxa"/>
            <w:gridSpan w:val="8"/>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4693E286" w14:textId="77777777" w:rsidR="00A90C5F" w:rsidRPr="00106199" w:rsidRDefault="00A90C5F">
            <w:pPr>
              <w:jc w:val="center"/>
              <w:rPr>
                <w:rFonts w:eastAsia="Times New Roman" w:cstheme="minorHAnsi"/>
                <w:i/>
                <w:iCs/>
                <w:color w:val="000000"/>
                <w:sz w:val="20"/>
                <w:szCs w:val="20"/>
              </w:rPr>
            </w:pPr>
            <w:r w:rsidRPr="00106199">
              <w:rPr>
                <w:rFonts w:eastAsia="Times New Roman" w:cstheme="minorHAnsi"/>
                <w:i/>
                <w:iCs/>
                <w:color w:val="000000"/>
                <w:sz w:val="20"/>
                <w:szCs w:val="20"/>
              </w:rPr>
              <w:t>Federal (excluding Tribal)</w:t>
            </w:r>
          </w:p>
        </w:tc>
      </w:tr>
      <w:tr w:rsidR="00A90C5F" w:rsidRPr="00D77EDF" w14:paraId="4CAE68C2" w14:textId="77777777">
        <w:trPr>
          <w:trHeight w:val="278"/>
        </w:trPr>
        <w:tc>
          <w:tcPr>
            <w:tcW w:w="1270" w:type="dxa"/>
            <w:tcBorders>
              <w:top w:val="nil"/>
              <w:left w:val="single" w:sz="8" w:space="0" w:color="auto"/>
              <w:bottom w:val="single" w:sz="4" w:space="0" w:color="auto"/>
              <w:right w:val="single" w:sz="4" w:space="0" w:color="auto"/>
            </w:tcBorders>
            <w:shd w:val="clear" w:color="auto" w:fill="auto"/>
            <w:noWrap/>
            <w:vAlign w:val="center"/>
            <w:hideMark/>
          </w:tcPr>
          <w:p w14:paraId="0F8CC60D" w14:textId="77777777" w:rsidR="00A90C5F" w:rsidRPr="008E46F3" w:rsidRDefault="00A90C5F">
            <w:pPr>
              <w:jc w:val="center"/>
              <w:rPr>
                <w:sz w:val="18"/>
                <w:szCs w:val="18"/>
              </w:rPr>
            </w:pPr>
            <w:r w:rsidRPr="008E46F3">
              <w:rPr>
                <w:sz w:val="18"/>
                <w:szCs w:val="18"/>
              </w:rPr>
              <w:t>UT</w:t>
            </w:r>
          </w:p>
        </w:tc>
        <w:tc>
          <w:tcPr>
            <w:tcW w:w="1412" w:type="dxa"/>
            <w:tcBorders>
              <w:top w:val="nil"/>
              <w:left w:val="nil"/>
              <w:bottom w:val="single" w:sz="4" w:space="0" w:color="auto"/>
              <w:right w:val="single" w:sz="4" w:space="0" w:color="auto"/>
            </w:tcBorders>
            <w:shd w:val="clear" w:color="auto" w:fill="auto"/>
            <w:noWrap/>
            <w:vAlign w:val="center"/>
            <w:hideMark/>
          </w:tcPr>
          <w:p w14:paraId="2696A2A9" w14:textId="77777777" w:rsidR="00A90C5F" w:rsidRPr="008E46F3" w:rsidRDefault="00A90C5F">
            <w:pPr>
              <w:jc w:val="center"/>
              <w:rPr>
                <w:sz w:val="18"/>
                <w:szCs w:val="18"/>
              </w:rPr>
            </w:pPr>
            <w:r w:rsidRPr="008E46F3">
              <w:rPr>
                <w:sz w:val="18"/>
                <w:szCs w:val="18"/>
              </w:rPr>
              <w:t>10,113</w:t>
            </w:r>
          </w:p>
        </w:tc>
        <w:tc>
          <w:tcPr>
            <w:tcW w:w="1412" w:type="dxa"/>
            <w:tcBorders>
              <w:top w:val="nil"/>
              <w:left w:val="nil"/>
              <w:bottom w:val="single" w:sz="4" w:space="0" w:color="auto"/>
              <w:right w:val="single" w:sz="4" w:space="0" w:color="auto"/>
            </w:tcBorders>
            <w:shd w:val="clear" w:color="auto" w:fill="auto"/>
            <w:noWrap/>
            <w:vAlign w:val="center"/>
            <w:hideMark/>
          </w:tcPr>
          <w:p w14:paraId="7BEB013C" w14:textId="77777777" w:rsidR="00A90C5F" w:rsidRPr="008E46F3" w:rsidRDefault="00A90C5F">
            <w:pPr>
              <w:jc w:val="center"/>
              <w:rPr>
                <w:sz w:val="18"/>
                <w:szCs w:val="18"/>
              </w:rPr>
            </w:pPr>
            <w:r w:rsidRPr="008E46F3">
              <w:rPr>
                <w:sz w:val="18"/>
                <w:szCs w:val="18"/>
              </w:rPr>
              <w:t>117,584</w:t>
            </w:r>
          </w:p>
        </w:tc>
        <w:tc>
          <w:tcPr>
            <w:tcW w:w="1412" w:type="dxa"/>
            <w:tcBorders>
              <w:top w:val="nil"/>
              <w:left w:val="nil"/>
              <w:bottom w:val="single" w:sz="4" w:space="0" w:color="auto"/>
              <w:right w:val="single" w:sz="4" w:space="0" w:color="auto"/>
            </w:tcBorders>
            <w:shd w:val="clear" w:color="auto" w:fill="auto"/>
            <w:noWrap/>
            <w:vAlign w:val="center"/>
            <w:hideMark/>
          </w:tcPr>
          <w:p w14:paraId="019B64D2" w14:textId="77777777" w:rsidR="00A90C5F" w:rsidRPr="008E46F3" w:rsidRDefault="00A90C5F">
            <w:pPr>
              <w:jc w:val="center"/>
              <w:rPr>
                <w:sz w:val="18"/>
                <w:szCs w:val="18"/>
              </w:rPr>
            </w:pPr>
            <w:r w:rsidRPr="008E46F3">
              <w:rPr>
                <w:sz w:val="18"/>
                <w:szCs w:val="18"/>
              </w:rPr>
              <w:t>9,540</w:t>
            </w:r>
          </w:p>
        </w:tc>
        <w:tc>
          <w:tcPr>
            <w:tcW w:w="1284" w:type="dxa"/>
            <w:tcBorders>
              <w:top w:val="nil"/>
              <w:left w:val="nil"/>
              <w:bottom w:val="single" w:sz="4" w:space="0" w:color="auto"/>
              <w:right w:val="single" w:sz="4" w:space="0" w:color="auto"/>
            </w:tcBorders>
            <w:shd w:val="clear" w:color="auto" w:fill="auto"/>
            <w:noWrap/>
            <w:vAlign w:val="center"/>
            <w:hideMark/>
          </w:tcPr>
          <w:p w14:paraId="41776FE1" w14:textId="77777777" w:rsidR="00A90C5F" w:rsidRPr="008E46F3" w:rsidRDefault="00A90C5F">
            <w:pPr>
              <w:jc w:val="center"/>
              <w:rPr>
                <w:sz w:val="18"/>
                <w:szCs w:val="18"/>
              </w:rPr>
            </w:pPr>
            <w:r w:rsidRPr="008E46F3">
              <w:rPr>
                <w:sz w:val="18"/>
                <w:szCs w:val="18"/>
              </w:rPr>
              <w:t>288</w:t>
            </w:r>
          </w:p>
        </w:tc>
        <w:tc>
          <w:tcPr>
            <w:tcW w:w="1156" w:type="dxa"/>
            <w:tcBorders>
              <w:top w:val="nil"/>
              <w:left w:val="nil"/>
              <w:bottom w:val="single" w:sz="4" w:space="0" w:color="auto"/>
              <w:right w:val="single" w:sz="4" w:space="0" w:color="auto"/>
            </w:tcBorders>
            <w:shd w:val="clear" w:color="auto" w:fill="auto"/>
            <w:noWrap/>
            <w:vAlign w:val="center"/>
            <w:hideMark/>
          </w:tcPr>
          <w:p w14:paraId="1E0BEF4C" w14:textId="77777777" w:rsidR="00A90C5F" w:rsidRPr="008E46F3" w:rsidRDefault="00A90C5F">
            <w:pPr>
              <w:jc w:val="center"/>
              <w:rPr>
                <w:sz w:val="18"/>
                <w:szCs w:val="18"/>
              </w:rPr>
            </w:pPr>
            <w:r w:rsidRPr="008E46F3">
              <w:rPr>
                <w:sz w:val="18"/>
                <w:szCs w:val="18"/>
              </w:rPr>
              <w:t>489</w:t>
            </w:r>
          </w:p>
        </w:tc>
        <w:tc>
          <w:tcPr>
            <w:tcW w:w="1159" w:type="dxa"/>
            <w:tcBorders>
              <w:top w:val="nil"/>
              <w:left w:val="nil"/>
              <w:bottom w:val="single" w:sz="4" w:space="0" w:color="auto"/>
              <w:right w:val="single" w:sz="4" w:space="0" w:color="auto"/>
            </w:tcBorders>
            <w:shd w:val="clear" w:color="auto" w:fill="auto"/>
            <w:noWrap/>
            <w:vAlign w:val="center"/>
            <w:hideMark/>
          </w:tcPr>
          <w:p w14:paraId="4AE7EC68" w14:textId="77777777" w:rsidR="00A90C5F" w:rsidRPr="008E46F3" w:rsidRDefault="00A90C5F">
            <w:pPr>
              <w:jc w:val="center"/>
              <w:rPr>
                <w:sz w:val="18"/>
                <w:szCs w:val="18"/>
              </w:rPr>
            </w:pPr>
            <w:r w:rsidRPr="008E46F3">
              <w:rPr>
                <w:sz w:val="18"/>
                <w:szCs w:val="18"/>
              </w:rPr>
              <w:t>489</w:t>
            </w:r>
          </w:p>
        </w:tc>
        <w:tc>
          <w:tcPr>
            <w:tcW w:w="1159" w:type="dxa"/>
            <w:tcBorders>
              <w:top w:val="nil"/>
              <w:left w:val="nil"/>
              <w:bottom w:val="single" w:sz="4" w:space="0" w:color="auto"/>
              <w:right w:val="single" w:sz="4" w:space="0" w:color="auto"/>
            </w:tcBorders>
          </w:tcPr>
          <w:p w14:paraId="3E653BA8" w14:textId="77777777" w:rsidR="00A90C5F" w:rsidRPr="008E46F3" w:rsidRDefault="00A90C5F">
            <w:pPr>
              <w:jc w:val="center"/>
              <w:rPr>
                <w:sz w:val="18"/>
                <w:szCs w:val="18"/>
              </w:rPr>
            </w:pPr>
            <w:r>
              <w:rPr>
                <w:sz w:val="18"/>
                <w:szCs w:val="18"/>
              </w:rPr>
              <w:t>7,227</w:t>
            </w:r>
          </w:p>
        </w:tc>
      </w:tr>
      <w:tr w:rsidR="00A90C5F" w:rsidRPr="00D77EDF" w14:paraId="42135919" w14:textId="77777777">
        <w:trPr>
          <w:trHeight w:val="21"/>
        </w:trPr>
        <w:tc>
          <w:tcPr>
            <w:tcW w:w="10264" w:type="dxa"/>
            <w:gridSpan w:val="8"/>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59F5B450" w14:textId="77777777" w:rsidR="00A90C5F" w:rsidRPr="00106199" w:rsidRDefault="00A90C5F">
            <w:pPr>
              <w:jc w:val="center"/>
              <w:rPr>
                <w:rFonts w:eastAsia="Times New Roman" w:cstheme="minorHAnsi"/>
                <w:i/>
                <w:iCs/>
                <w:color w:val="000000"/>
                <w:sz w:val="20"/>
                <w:szCs w:val="20"/>
              </w:rPr>
            </w:pPr>
            <w:r w:rsidRPr="00106199">
              <w:rPr>
                <w:rFonts w:eastAsia="Times New Roman" w:cstheme="minorHAnsi"/>
                <w:i/>
                <w:iCs/>
                <w:color w:val="000000"/>
                <w:sz w:val="20"/>
                <w:szCs w:val="20"/>
              </w:rPr>
              <w:t>Non-Federal</w:t>
            </w:r>
          </w:p>
        </w:tc>
      </w:tr>
      <w:tr w:rsidR="00A90C5F" w:rsidRPr="00D77EDF" w14:paraId="3C1165F7" w14:textId="77777777">
        <w:trPr>
          <w:trHeight w:val="21"/>
        </w:trPr>
        <w:tc>
          <w:tcPr>
            <w:tcW w:w="1270" w:type="dxa"/>
            <w:tcBorders>
              <w:top w:val="nil"/>
              <w:left w:val="single" w:sz="8" w:space="0" w:color="auto"/>
              <w:bottom w:val="single" w:sz="4" w:space="0" w:color="auto"/>
              <w:right w:val="single" w:sz="4" w:space="0" w:color="auto"/>
            </w:tcBorders>
            <w:shd w:val="clear" w:color="auto" w:fill="auto"/>
            <w:noWrap/>
            <w:vAlign w:val="center"/>
            <w:hideMark/>
          </w:tcPr>
          <w:p w14:paraId="7B4DED78" w14:textId="77777777" w:rsidR="00A90C5F" w:rsidRPr="008E46F3" w:rsidRDefault="00A90C5F">
            <w:pPr>
              <w:jc w:val="center"/>
              <w:rPr>
                <w:sz w:val="18"/>
                <w:szCs w:val="18"/>
              </w:rPr>
            </w:pPr>
            <w:r w:rsidRPr="008E46F3">
              <w:rPr>
                <w:sz w:val="18"/>
                <w:szCs w:val="18"/>
              </w:rPr>
              <w:t>UT</w:t>
            </w:r>
          </w:p>
        </w:tc>
        <w:tc>
          <w:tcPr>
            <w:tcW w:w="1412" w:type="dxa"/>
            <w:tcBorders>
              <w:top w:val="nil"/>
              <w:left w:val="nil"/>
              <w:bottom w:val="single" w:sz="4" w:space="0" w:color="auto"/>
              <w:right w:val="single" w:sz="4" w:space="0" w:color="auto"/>
            </w:tcBorders>
            <w:shd w:val="clear" w:color="auto" w:fill="auto"/>
            <w:noWrap/>
            <w:vAlign w:val="center"/>
            <w:hideMark/>
          </w:tcPr>
          <w:p w14:paraId="779C092E" w14:textId="77777777" w:rsidR="00A90C5F" w:rsidRPr="008E46F3" w:rsidRDefault="00A90C5F">
            <w:pPr>
              <w:jc w:val="center"/>
              <w:rPr>
                <w:sz w:val="18"/>
                <w:szCs w:val="18"/>
              </w:rPr>
            </w:pPr>
            <w:r w:rsidRPr="008E46F3">
              <w:rPr>
                <w:sz w:val="18"/>
                <w:szCs w:val="18"/>
              </w:rPr>
              <w:t>5,449</w:t>
            </w:r>
          </w:p>
        </w:tc>
        <w:tc>
          <w:tcPr>
            <w:tcW w:w="1412" w:type="dxa"/>
            <w:tcBorders>
              <w:top w:val="nil"/>
              <w:left w:val="nil"/>
              <w:bottom w:val="single" w:sz="4" w:space="0" w:color="auto"/>
              <w:right w:val="single" w:sz="4" w:space="0" w:color="auto"/>
            </w:tcBorders>
            <w:shd w:val="clear" w:color="auto" w:fill="auto"/>
            <w:noWrap/>
            <w:vAlign w:val="center"/>
            <w:hideMark/>
          </w:tcPr>
          <w:p w14:paraId="38191BD4" w14:textId="77777777" w:rsidR="00A90C5F" w:rsidRPr="008E46F3" w:rsidRDefault="00A90C5F">
            <w:pPr>
              <w:jc w:val="center"/>
              <w:rPr>
                <w:sz w:val="18"/>
                <w:szCs w:val="18"/>
              </w:rPr>
            </w:pPr>
            <w:r w:rsidRPr="008E46F3">
              <w:rPr>
                <w:sz w:val="18"/>
                <w:szCs w:val="18"/>
              </w:rPr>
              <w:t>26,535</w:t>
            </w:r>
          </w:p>
        </w:tc>
        <w:tc>
          <w:tcPr>
            <w:tcW w:w="1412" w:type="dxa"/>
            <w:tcBorders>
              <w:top w:val="nil"/>
              <w:left w:val="nil"/>
              <w:bottom w:val="single" w:sz="4" w:space="0" w:color="auto"/>
              <w:right w:val="single" w:sz="4" w:space="0" w:color="auto"/>
            </w:tcBorders>
            <w:shd w:val="clear" w:color="auto" w:fill="auto"/>
            <w:noWrap/>
            <w:vAlign w:val="center"/>
            <w:hideMark/>
          </w:tcPr>
          <w:p w14:paraId="364D6012" w14:textId="77777777" w:rsidR="00A90C5F" w:rsidRPr="008E46F3" w:rsidRDefault="00A90C5F">
            <w:pPr>
              <w:jc w:val="center"/>
              <w:rPr>
                <w:sz w:val="18"/>
                <w:szCs w:val="18"/>
              </w:rPr>
            </w:pPr>
            <w:r w:rsidRPr="008E46F3">
              <w:rPr>
                <w:sz w:val="18"/>
                <w:szCs w:val="18"/>
              </w:rPr>
              <w:t>5,670</w:t>
            </w:r>
          </w:p>
        </w:tc>
        <w:tc>
          <w:tcPr>
            <w:tcW w:w="1284" w:type="dxa"/>
            <w:tcBorders>
              <w:top w:val="nil"/>
              <w:left w:val="nil"/>
              <w:bottom w:val="single" w:sz="4" w:space="0" w:color="auto"/>
              <w:right w:val="single" w:sz="4" w:space="0" w:color="auto"/>
            </w:tcBorders>
            <w:shd w:val="clear" w:color="auto" w:fill="auto"/>
            <w:noWrap/>
            <w:vAlign w:val="center"/>
            <w:hideMark/>
          </w:tcPr>
          <w:p w14:paraId="516B5407" w14:textId="77777777" w:rsidR="00A90C5F" w:rsidRPr="008E46F3" w:rsidRDefault="00A90C5F">
            <w:pPr>
              <w:jc w:val="center"/>
              <w:rPr>
                <w:sz w:val="18"/>
                <w:szCs w:val="18"/>
              </w:rPr>
            </w:pPr>
            <w:r w:rsidRPr="008E46F3">
              <w:rPr>
                <w:sz w:val="18"/>
                <w:szCs w:val="18"/>
              </w:rPr>
              <w:t>185</w:t>
            </w:r>
          </w:p>
        </w:tc>
        <w:tc>
          <w:tcPr>
            <w:tcW w:w="1156" w:type="dxa"/>
            <w:tcBorders>
              <w:top w:val="nil"/>
              <w:left w:val="nil"/>
              <w:bottom w:val="single" w:sz="4" w:space="0" w:color="auto"/>
              <w:right w:val="single" w:sz="4" w:space="0" w:color="auto"/>
            </w:tcBorders>
            <w:shd w:val="clear" w:color="auto" w:fill="auto"/>
            <w:noWrap/>
            <w:vAlign w:val="center"/>
            <w:hideMark/>
          </w:tcPr>
          <w:p w14:paraId="1D8360F2" w14:textId="77777777" w:rsidR="00A90C5F" w:rsidRPr="008E46F3" w:rsidRDefault="00A90C5F">
            <w:pPr>
              <w:jc w:val="center"/>
              <w:rPr>
                <w:sz w:val="18"/>
                <w:szCs w:val="18"/>
              </w:rPr>
            </w:pPr>
            <w:r w:rsidRPr="008E46F3">
              <w:rPr>
                <w:sz w:val="18"/>
                <w:szCs w:val="18"/>
              </w:rPr>
              <w:t>267</w:t>
            </w:r>
          </w:p>
        </w:tc>
        <w:tc>
          <w:tcPr>
            <w:tcW w:w="1159" w:type="dxa"/>
            <w:tcBorders>
              <w:top w:val="nil"/>
              <w:left w:val="nil"/>
              <w:bottom w:val="single" w:sz="4" w:space="0" w:color="auto"/>
              <w:right w:val="single" w:sz="4" w:space="0" w:color="auto"/>
            </w:tcBorders>
            <w:shd w:val="clear" w:color="auto" w:fill="auto"/>
            <w:noWrap/>
            <w:vAlign w:val="center"/>
            <w:hideMark/>
          </w:tcPr>
          <w:p w14:paraId="542AD391" w14:textId="77777777" w:rsidR="00A90C5F" w:rsidRPr="008E46F3" w:rsidRDefault="00A90C5F">
            <w:pPr>
              <w:jc w:val="center"/>
              <w:rPr>
                <w:sz w:val="18"/>
                <w:szCs w:val="18"/>
              </w:rPr>
            </w:pPr>
            <w:r w:rsidRPr="008E46F3">
              <w:rPr>
                <w:sz w:val="18"/>
                <w:szCs w:val="18"/>
              </w:rPr>
              <w:t>267</w:t>
            </w:r>
          </w:p>
        </w:tc>
        <w:tc>
          <w:tcPr>
            <w:tcW w:w="1159" w:type="dxa"/>
            <w:tcBorders>
              <w:top w:val="nil"/>
              <w:left w:val="nil"/>
              <w:bottom w:val="single" w:sz="4" w:space="0" w:color="auto"/>
              <w:right w:val="single" w:sz="4" w:space="0" w:color="auto"/>
            </w:tcBorders>
          </w:tcPr>
          <w:p w14:paraId="0A034F99" w14:textId="77777777" w:rsidR="00A90C5F" w:rsidRPr="008E46F3" w:rsidRDefault="00A90C5F">
            <w:pPr>
              <w:jc w:val="center"/>
              <w:rPr>
                <w:sz w:val="18"/>
                <w:szCs w:val="18"/>
              </w:rPr>
            </w:pPr>
            <w:r>
              <w:rPr>
                <w:sz w:val="18"/>
                <w:szCs w:val="18"/>
              </w:rPr>
              <w:t>1,985</w:t>
            </w:r>
          </w:p>
        </w:tc>
      </w:tr>
      <w:tr w:rsidR="00A90C5F" w:rsidRPr="00D77EDF" w14:paraId="406C7B85" w14:textId="77777777">
        <w:trPr>
          <w:trHeight w:val="21"/>
        </w:trPr>
        <w:tc>
          <w:tcPr>
            <w:tcW w:w="10264" w:type="dxa"/>
            <w:gridSpan w:val="8"/>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02819637" w14:textId="77777777" w:rsidR="00A90C5F" w:rsidRPr="00106199" w:rsidRDefault="00A90C5F">
            <w:pPr>
              <w:jc w:val="center"/>
              <w:rPr>
                <w:rFonts w:eastAsia="Times New Roman" w:cstheme="minorHAnsi"/>
                <w:i/>
                <w:iCs/>
                <w:color w:val="000000"/>
                <w:sz w:val="20"/>
                <w:szCs w:val="20"/>
              </w:rPr>
            </w:pPr>
            <w:r w:rsidRPr="00106199">
              <w:rPr>
                <w:rFonts w:eastAsia="Times New Roman" w:cstheme="minorHAnsi"/>
                <w:i/>
                <w:iCs/>
                <w:color w:val="000000"/>
                <w:sz w:val="20"/>
                <w:szCs w:val="20"/>
              </w:rPr>
              <w:t>Tribal</w:t>
            </w:r>
          </w:p>
        </w:tc>
      </w:tr>
      <w:tr w:rsidR="00A90C5F" w:rsidRPr="00D77EDF" w14:paraId="050D30BE" w14:textId="77777777">
        <w:trPr>
          <w:trHeight w:val="21"/>
        </w:trPr>
        <w:tc>
          <w:tcPr>
            <w:tcW w:w="1270" w:type="dxa"/>
            <w:tcBorders>
              <w:top w:val="nil"/>
              <w:left w:val="single" w:sz="8" w:space="0" w:color="auto"/>
              <w:bottom w:val="single" w:sz="4" w:space="0" w:color="auto"/>
              <w:right w:val="single" w:sz="4" w:space="0" w:color="auto"/>
            </w:tcBorders>
            <w:shd w:val="clear" w:color="auto" w:fill="auto"/>
            <w:noWrap/>
            <w:vAlign w:val="center"/>
            <w:hideMark/>
          </w:tcPr>
          <w:p w14:paraId="1CCB785C" w14:textId="77777777" w:rsidR="00A90C5F" w:rsidRPr="008E46F3" w:rsidRDefault="00A90C5F">
            <w:pPr>
              <w:jc w:val="center"/>
              <w:rPr>
                <w:sz w:val="18"/>
                <w:szCs w:val="18"/>
              </w:rPr>
            </w:pPr>
            <w:r w:rsidRPr="008E46F3">
              <w:rPr>
                <w:sz w:val="18"/>
                <w:szCs w:val="18"/>
              </w:rPr>
              <w:t>UT</w:t>
            </w:r>
          </w:p>
        </w:tc>
        <w:tc>
          <w:tcPr>
            <w:tcW w:w="1412" w:type="dxa"/>
            <w:tcBorders>
              <w:top w:val="nil"/>
              <w:left w:val="nil"/>
              <w:bottom w:val="single" w:sz="4" w:space="0" w:color="auto"/>
              <w:right w:val="single" w:sz="4" w:space="0" w:color="auto"/>
            </w:tcBorders>
            <w:shd w:val="clear" w:color="auto" w:fill="auto"/>
            <w:noWrap/>
            <w:vAlign w:val="center"/>
            <w:hideMark/>
          </w:tcPr>
          <w:p w14:paraId="44D52023" w14:textId="77777777" w:rsidR="00A90C5F" w:rsidRPr="008E46F3" w:rsidRDefault="00A90C5F">
            <w:pPr>
              <w:jc w:val="center"/>
              <w:rPr>
                <w:sz w:val="18"/>
                <w:szCs w:val="18"/>
              </w:rPr>
            </w:pPr>
            <w:r w:rsidRPr="008E46F3">
              <w:rPr>
                <w:sz w:val="18"/>
                <w:szCs w:val="18"/>
              </w:rPr>
              <w:t>3,763</w:t>
            </w:r>
          </w:p>
        </w:tc>
        <w:tc>
          <w:tcPr>
            <w:tcW w:w="1412" w:type="dxa"/>
            <w:tcBorders>
              <w:top w:val="nil"/>
              <w:left w:val="nil"/>
              <w:bottom w:val="single" w:sz="4" w:space="0" w:color="auto"/>
              <w:right w:val="single" w:sz="4" w:space="0" w:color="auto"/>
            </w:tcBorders>
            <w:shd w:val="clear" w:color="auto" w:fill="auto"/>
            <w:noWrap/>
            <w:vAlign w:val="center"/>
            <w:hideMark/>
          </w:tcPr>
          <w:p w14:paraId="3F3EB9D4" w14:textId="77777777" w:rsidR="00A90C5F" w:rsidRPr="008E46F3" w:rsidRDefault="00A90C5F">
            <w:pPr>
              <w:jc w:val="center"/>
              <w:rPr>
                <w:sz w:val="18"/>
                <w:szCs w:val="18"/>
              </w:rPr>
            </w:pPr>
            <w:r w:rsidRPr="008E46F3">
              <w:rPr>
                <w:sz w:val="18"/>
                <w:szCs w:val="18"/>
              </w:rPr>
              <w:t>30,953</w:t>
            </w:r>
          </w:p>
        </w:tc>
        <w:tc>
          <w:tcPr>
            <w:tcW w:w="1412" w:type="dxa"/>
            <w:tcBorders>
              <w:top w:val="nil"/>
              <w:left w:val="nil"/>
              <w:bottom w:val="single" w:sz="4" w:space="0" w:color="auto"/>
              <w:right w:val="single" w:sz="4" w:space="0" w:color="auto"/>
            </w:tcBorders>
            <w:shd w:val="clear" w:color="auto" w:fill="auto"/>
            <w:noWrap/>
            <w:vAlign w:val="center"/>
            <w:hideMark/>
          </w:tcPr>
          <w:p w14:paraId="646BCF0F" w14:textId="77777777" w:rsidR="00A90C5F" w:rsidRPr="008E46F3" w:rsidRDefault="00A90C5F">
            <w:pPr>
              <w:jc w:val="center"/>
              <w:rPr>
                <w:sz w:val="18"/>
                <w:szCs w:val="18"/>
              </w:rPr>
            </w:pPr>
            <w:r w:rsidRPr="008E46F3">
              <w:rPr>
                <w:sz w:val="18"/>
                <w:szCs w:val="18"/>
              </w:rPr>
              <w:t>3,651</w:t>
            </w:r>
          </w:p>
        </w:tc>
        <w:tc>
          <w:tcPr>
            <w:tcW w:w="1284" w:type="dxa"/>
            <w:tcBorders>
              <w:top w:val="nil"/>
              <w:left w:val="nil"/>
              <w:bottom w:val="single" w:sz="4" w:space="0" w:color="auto"/>
              <w:right w:val="single" w:sz="4" w:space="0" w:color="auto"/>
            </w:tcBorders>
            <w:shd w:val="clear" w:color="auto" w:fill="auto"/>
            <w:noWrap/>
            <w:vAlign w:val="center"/>
            <w:hideMark/>
          </w:tcPr>
          <w:p w14:paraId="16F35283" w14:textId="77777777" w:rsidR="00A90C5F" w:rsidRPr="008E46F3" w:rsidRDefault="00A90C5F">
            <w:pPr>
              <w:jc w:val="center"/>
              <w:rPr>
                <w:sz w:val="18"/>
                <w:szCs w:val="18"/>
              </w:rPr>
            </w:pPr>
            <w:r w:rsidRPr="008E46F3">
              <w:rPr>
                <w:sz w:val="18"/>
                <w:szCs w:val="18"/>
              </w:rPr>
              <w:t>156</w:t>
            </w:r>
          </w:p>
        </w:tc>
        <w:tc>
          <w:tcPr>
            <w:tcW w:w="1156" w:type="dxa"/>
            <w:tcBorders>
              <w:top w:val="nil"/>
              <w:left w:val="nil"/>
              <w:bottom w:val="single" w:sz="4" w:space="0" w:color="auto"/>
              <w:right w:val="single" w:sz="4" w:space="0" w:color="auto"/>
            </w:tcBorders>
            <w:shd w:val="clear" w:color="auto" w:fill="auto"/>
            <w:noWrap/>
            <w:vAlign w:val="center"/>
            <w:hideMark/>
          </w:tcPr>
          <w:p w14:paraId="0FB119D3" w14:textId="77777777" w:rsidR="00A90C5F" w:rsidRPr="008E46F3" w:rsidRDefault="00A90C5F">
            <w:pPr>
              <w:jc w:val="center"/>
              <w:rPr>
                <w:sz w:val="18"/>
                <w:szCs w:val="18"/>
              </w:rPr>
            </w:pPr>
            <w:r w:rsidRPr="008E46F3">
              <w:rPr>
                <w:sz w:val="18"/>
                <w:szCs w:val="18"/>
              </w:rPr>
              <w:t>189</w:t>
            </w:r>
          </w:p>
        </w:tc>
        <w:tc>
          <w:tcPr>
            <w:tcW w:w="1159" w:type="dxa"/>
            <w:tcBorders>
              <w:top w:val="nil"/>
              <w:left w:val="nil"/>
              <w:bottom w:val="single" w:sz="4" w:space="0" w:color="auto"/>
              <w:right w:val="single" w:sz="4" w:space="0" w:color="auto"/>
            </w:tcBorders>
            <w:shd w:val="clear" w:color="auto" w:fill="auto"/>
            <w:noWrap/>
            <w:vAlign w:val="center"/>
            <w:hideMark/>
          </w:tcPr>
          <w:p w14:paraId="183869E7" w14:textId="77777777" w:rsidR="00A90C5F" w:rsidRPr="008E46F3" w:rsidRDefault="00A90C5F">
            <w:pPr>
              <w:jc w:val="center"/>
              <w:rPr>
                <w:sz w:val="18"/>
                <w:szCs w:val="18"/>
              </w:rPr>
            </w:pPr>
            <w:r w:rsidRPr="008E46F3">
              <w:rPr>
                <w:sz w:val="18"/>
                <w:szCs w:val="18"/>
              </w:rPr>
              <w:t>189</w:t>
            </w:r>
          </w:p>
        </w:tc>
        <w:tc>
          <w:tcPr>
            <w:tcW w:w="1159" w:type="dxa"/>
            <w:tcBorders>
              <w:top w:val="nil"/>
              <w:left w:val="nil"/>
              <w:bottom w:val="single" w:sz="4" w:space="0" w:color="auto"/>
              <w:right w:val="single" w:sz="4" w:space="0" w:color="auto"/>
            </w:tcBorders>
          </w:tcPr>
          <w:p w14:paraId="474389E0" w14:textId="77777777" w:rsidR="00A90C5F" w:rsidRPr="008E46F3" w:rsidRDefault="00A90C5F">
            <w:pPr>
              <w:jc w:val="center"/>
              <w:rPr>
                <w:sz w:val="18"/>
                <w:szCs w:val="18"/>
              </w:rPr>
            </w:pPr>
            <w:r>
              <w:rPr>
                <w:sz w:val="18"/>
                <w:szCs w:val="18"/>
              </w:rPr>
              <w:t>1,673</w:t>
            </w:r>
          </w:p>
        </w:tc>
      </w:tr>
      <w:tr w:rsidR="00A90C5F" w:rsidRPr="00D77EDF" w14:paraId="19BDE84B" w14:textId="77777777">
        <w:trPr>
          <w:trHeight w:val="21"/>
        </w:trPr>
        <w:tc>
          <w:tcPr>
            <w:tcW w:w="10264" w:type="dxa"/>
            <w:gridSpan w:val="8"/>
            <w:tcBorders>
              <w:top w:val="nil"/>
              <w:left w:val="single" w:sz="8" w:space="0" w:color="auto"/>
              <w:bottom w:val="single" w:sz="4" w:space="0" w:color="auto"/>
              <w:right w:val="single" w:sz="4" w:space="0" w:color="auto"/>
            </w:tcBorders>
            <w:shd w:val="clear" w:color="auto" w:fill="F2F2F2" w:themeFill="background1" w:themeFillShade="F2"/>
            <w:noWrap/>
            <w:vAlign w:val="center"/>
          </w:tcPr>
          <w:p w14:paraId="66139EBF" w14:textId="77777777" w:rsidR="00A90C5F" w:rsidRPr="00106199" w:rsidRDefault="00A90C5F">
            <w:pPr>
              <w:jc w:val="center"/>
              <w:rPr>
                <w:i/>
                <w:iCs/>
                <w:sz w:val="20"/>
                <w:szCs w:val="20"/>
              </w:rPr>
            </w:pPr>
            <w:r w:rsidRPr="00106199">
              <w:rPr>
                <w:i/>
                <w:iCs/>
                <w:sz w:val="20"/>
                <w:szCs w:val="20"/>
              </w:rPr>
              <w:t>Total</w:t>
            </w:r>
          </w:p>
        </w:tc>
      </w:tr>
      <w:tr w:rsidR="00A90C5F" w:rsidRPr="00D77EDF" w14:paraId="5C406985" w14:textId="77777777">
        <w:trPr>
          <w:trHeight w:val="21"/>
        </w:trPr>
        <w:tc>
          <w:tcPr>
            <w:tcW w:w="1270" w:type="dxa"/>
            <w:tcBorders>
              <w:top w:val="nil"/>
              <w:left w:val="single" w:sz="8" w:space="0" w:color="auto"/>
              <w:bottom w:val="single" w:sz="4" w:space="0" w:color="auto"/>
              <w:right w:val="single" w:sz="4" w:space="0" w:color="auto"/>
            </w:tcBorders>
            <w:shd w:val="clear" w:color="auto" w:fill="auto"/>
            <w:noWrap/>
            <w:vAlign w:val="center"/>
            <w:hideMark/>
          </w:tcPr>
          <w:p w14:paraId="25855618" w14:textId="77777777" w:rsidR="00A90C5F" w:rsidRPr="008E46F3" w:rsidRDefault="00A90C5F">
            <w:pPr>
              <w:jc w:val="center"/>
              <w:rPr>
                <w:sz w:val="18"/>
                <w:szCs w:val="18"/>
              </w:rPr>
            </w:pPr>
            <w:r w:rsidRPr="008E46F3">
              <w:rPr>
                <w:sz w:val="18"/>
                <w:szCs w:val="18"/>
              </w:rPr>
              <w:t>UT</w:t>
            </w:r>
          </w:p>
        </w:tc>
        <w:tc>
          <w:tcPr>
            <w:tcW w:w="1412" w:type="dxa"/>
            <w:tcBorders>
              <w:top w:val="nil"/>
              <w:left w:val="nil"/>
              <w:bottom w:val="single" w:sz="4" w:space="0" w:color="auto"/>
              <w:right w:val="single" w:sz="4" w:space="0" w:color="auto"/>
            </w:tcBorders>
            <w:shd w:val="clear" w:color="auto" w:fill="auto"/>
            <w:noWrap/>
            <w:vAlign w:val="center"/>
          </w:tcPr>
          <w:p w14:paraId="0744B030" w14:textId="77777777" w:rsidR="00A90C5F" w:rsidRPr="008E46F3" w:rsidRDefault="00A90C5F">
            <w:pPr>
              <w:jc w:val="center"/>
              <w:rPr>
                <w:sz w:val="18"/>
                <w:szCs w:val="18"/>
              </w:rPr>
            </w:pPr>
            <w:r w:rsidRPr="008E46F3">
              <w:rPr>
                <w:sz w:val="18"/>
                <w:szCs w:val="18"/>
              </w:rPr>
              <w:t>19,325</w:t>
            </w:r>
          </w:p>
        </w:tc>
        <w:tc>
          <w:tcPr>
            <w:tcW w:w="1412" w:type="dxa"/>
            <w:tcBorders>
              <w:top w:val="nil"/>
              <w:left w:val="nil"/>
              <w:bottom w:val="single" w:sz="4" w:space="0" w:color="auto"/>
              <w:right w:val="single" w:sz="4" w:space="0" w:color="auto"/>
            </w:tcBorders>
            <w:shd w:val="clear" w:color="auto" w:fill="auto"/>
            <w:noWrap/>
            <w:vAlign w:val="center"/>
          </w:tcPr>
          <w:p w14:paraId="7127D044" w14:textId="77777777" w:rsidR="00A90C5F" w:rsidRPr="008E46F3" w:rsidRDefault="00A90C5F">
            <w:pPr>
              <w:jc w:val="center"/>
              <w:rPr>
                <w:sz w:val="18"/>
                <w:szCs w:val="18"/>
              </w:rPr>
            </w:pPr>
            <w:r w:rsidRPr="008E46F3">
              <w:rPr>
                <w:sz w:val="18"/>
                <w:szCs w:val="18"/>
              </w:rPr>
              <w:t>175,071</w:t>
            </w:r>
          </w:p>
        </w:tc>
        <w:tc>
          <w:tcPr>
            <w:tcW w:w="1412" w:type="dxa"/>
            <w:tcBorders>
              <w:top w:val="nil"/>
              <w:left w:val="nil"/>
              <w:bottom w:val="single" w:sz="4" w:space="0" w:color="auto"/>
              <w:right w:val="single" w:sz="4" w:space="0" w:color="auto"/>
            </w:tcBorders>
            <w:shd w:val="clear" w:color="auto" w:fill="auto"/>
            <w:noWrap/>
            <w:vAlign w:val="center"/>
          </w:tcPr>
          <w:p w14:paraId="1F6DAEB3" w14:textId="77777777" w:rsidR="00A90C5F" w:rsidRPr="008E46F3" w:rsidRDefault="00A90C5F">
            <w:pPr>
              <w:jc w:val="center"/>
              <w:rPr>
                <w:sz w:val="18"/>
                <w:szCs w:val="18"/>
              </w:rPr>
            </w:pPr>
            <w:r w:rsidRPr="008E46F3">
              <w:rPr>
                <w:sz w:val="18"/>
                <w:szCs w:val="18"/>
              </w:rPr>
              <w:t>18,861</w:t>
            </w:r>
          </w:p>
        </w:tc>
        <w:tc>
          <w:tcPr>
            <w:tcW w:w="1284" w:type="dxa"/>
            <w:tcBorders>
              <w:top w:val="nil"/>
              <w:left w:val="nil"/>
              <w:bottom w:val="single" w:sz="4" w:space="0" w:color="auto"/>
              <w:right w:val="single" w:sz="4" w:space="0" w:color="auto"/>
            </w:tcBorders>
            <w:shd w:val="clear" w:color="auto" w:fill="auto"/>
            <w:noWrap/>
            <w:vAlign w:val="center"/>
          </w:tcPr>
          <w:p w14:paraId="4DD3D561" w14:textId="77777777" w:rsidR="00A90C5F" w:rsidRPr="008E46F3" w:rsidRDefault="00A90C5F">
            <w:pPr>
              <w:jc w:val="center"/>
              <w:rPr>
                <w:sz w:val="18"/>
                <w:szCs w:val="18"/>
              </w:rPr>
            </w:pPr>
            <w:r w:rsidRPr="008E46F3">
              <w:rPr>
                <w:sz w:val="18"/>
                <w:szCs w:val="18"/>
              </w:rPr>
              <w:t>629</w:t>
            </w:r>
          </w:p>
        </w:tc>
        <w:tc>
          <w:tcPr>
            <w:tcW w:w="1156" w:type="dxa"/>
            <w:tcBorders>
              <w:top w:val="nil"/>
              <w:left w:val="nil"/>
              <w:bottom w:val="single" w:sz="4" w:space="0" w:color="auto"/>
              <w:right w:val="single" w:sz="4" w:space="0" w:color="auto"/>
            </w:tcBorders>
            <w:shd w:val="clear" w:color="auto" w:fill="auto"/>
            <w:noWrap/>
            <w:vAlign w:val="center"/>
          </w:tcPr>
          <w:p w14:paraId="52ADC799" w14:textId="77777777" w:rsidR="00A90C5F" w:rsidRPr="008E46F3" w:rsidRDefault="00A90C5F">
            <w:pPr>
              <w:jc w:val="center"/>
              <w:rPr>
                <w:sz w:val="18"/>
                <w:szCs w:val="18"/>
              </w:rPr>
            </w:pPr>
            <w:r w:rsidRPr="008E46F3">
              <w:rPr>
                <w:sz w:val="18"/>
                <w:szCs w:val="18"/>
              </w:rPr>
              <w:t>944</w:t>
            </w:r>
          </w:p>
        </w:tc>
        <w:tc>
          <w:tcPr>
            <w:tcW w:w="1159" w:type="dxa"/>
            <w:tcBorders>
              <w:top w:val="nil"/>
              <w:left w:val="nil"/>
              <w:bottom w:val="single" w:sz="4" w:space="0" w:color="auto"/>
              <w:right w:val="single" w:sz="4" w:space="0" w:color="auto"/>
            </w:tcBorders>
            <w:shd w:val="clear" w:color="auto" w:fill="auto"/>
            <w:noWrap/>
            <w:vAlign w:val="center"/>
          </w:tcPr>
          <w:p w14:paraId="6FCF1EDB" w14:textId="77777777" w:rsidR="00A90C5F" w:rsidRPr="008E46F3" w:rsidRDefault="00A90C5F">
            <w:pPr>
              <w:jc w:val="center"/>
              <w:rPr>
                <w:sz w:val="18"/>
                <w:szCs w:val="18"/>
              </w:rPr>
            </w:pPr>
            <w:r w:rsidRPr="008E46F3">
              <w:rPr>
                <w:sz w:val="18"/>
                <w:szCs w:val="18"/>
              </w:rPr>
              <w:t>944</w:t>
            </w:r>
          </w:p>
        </w:tc>
        <w:tc>
          <w:tcPr>
            <w:tcW w:w="1159" w:type="dxa"/>
            <w:tcBorders>
              <w:top w:val="nil"/>
              <w:left w:val="nil"/>
              <w:bottom w:val="single" w:sz="4" w:space="0" w:color="auto"/>
              <w:right w:val="single" w:sz="4" w:space="0" w:color="auto"/>
            </w:tcBorders>
          </w:tcPr>
          <w:p w14:paraId="77DFB56F" w14:textId="77777777" w:rsidR="00A90C5F" w:rsidRPr="008E46F3" w:rsidRDefault="00A90C5F">
            <w:pPr>
              <w:jc w:val="center"/>
              <w:rPr>
                <w:sz w:val="18"/>
                <w:szCs w:val="18"/>
              </w:rPr>
            </w:pPr>
            <w:r>
              <w:rPr>
                <w:sz w:val="18"/>
                <w:szCs w:val="18"/>
              </w:rPr>
              <w:t>10,885</w:t>
            </w:r>
          </w:p>
        </w:tc>
      </w:tr>
    </w:tbl>
    <w:p w14:paraId="32B1CEE5" w14:textId="77777777" w:rsidR="00CB5608" w:rsidRDefault="00CB5608" w:rsidP="000D072C">
      <w:pPr>
        <w:jc w:val="both"/>
      </w:pPr>
    </w:p>
    <w:p w14:paraId="44E6832D" w14:textId="11174EEE" w:rsidR="00DA0D6A" w:rsidRDefault="00DA0D6A" w:rsidP="00DA0D6A">
      <w:pPr>
        <w:jc w:val="both"/>
        <w:rPr>
          <w:i/>
          <w:iCs/>
          <w:u w:val="single"/>
        </w:rPr>
      </w:pPr>
      <w:r w:rsidRPr="009711B2">
        <w:rPr>
          <w:rFonts w:eastAsiaTheme="majorEastAsia" w:cs="Times New Roman"/>
          <w:i/>
          <w:sz w:val="24"/>
          <w:szCs w:val="24"/>
        </w:rPr>
        <w:t>Modeled Air Quality Projections</w:t>
      </w:r>
    </w:p>
    <w:p w14:paraId="72B1D37D" w14:textId="77777777" w:rsidR="00DA0D6A" w:rsidRPr="000D74EF" w:rsidRDefault="00DA0D6A" w:rsidP="00DA0D6A">
      <w:pPr>
        <w:jc w:val="both"/>
        <w:rPr>
          <w:rFonts w:ascii="Segoe UI" w:hAnsi="Segoe UI" w:cs="Segoe UI"/>
          <w:i/>
          <w:iCs/>
          <w:sz w:val="18"/>
          <w:szCs w:val="18"/>
          <w:u w:val="single"/>
        </w:rPr>
      </w:pPr>
    </w:p>
    <w:p w14:paraId="5A432CF0" w14:textId="6B247C4E" w:rsidR="00DA0D6A" w:rsidRDefault="00DA0D6A" w:rsidP="00DA0D6A">
      <w:pPr>
        <w:jc w:val="both"/>
        <w:rPr>
          <w:rFonts w:eastAsia="Times New Roman" w:cs="Times New Roman"/>
        </w:rPr>
      </w:pPr>
      <w:r>
        <w:rPr>
          <w:rFonts w:eastAsia="Times New Roman" w:cs="Times New Roman"/>
        </w:rPr>
        <w:t xml:space="preserve">Results from the BLM Regional Air Modeling Study show that there are no </w:t>
      </w:r>
      <w:r w:rsidR="005402D5">
        <w:rPr>
          <w:rFonts w:eastAsia="Times New Roman" w:cs="Times New Roman"/>
        </w:rPr>
        <w:t>p</w:t>
      </w:r>
      <w:r>
        <w:rPr>
          <w:rFonts w:eastAsia="Times New Roman" w:cs="Times New Roman"/>
        </w:rPr>
        <w:t>rojected exceedances of the NAAQS for NO</w:t>
      </w:r>
      <w:r w:rsidRPr="009A4DFD">
        <w:rPr>
          <w:rFonts w:eastAsia="Times New Roman" w:cs="Times New Roman"/>
          <w:vertAlign w:val="subscript"/>
        </w:rPr>
        <w:t>2</w:t>
      </w:r>
      <w:r>
        <w:rPr>
          <w:rFonts w:eastAsia="Times New Roman" w:cs="Times New Roman"/>
        </w:rPr>
        <w:t>, SO</w:t>
      </w:r>
      <w:r w:rsidRPr="009A4DFD">
        <w:rPr>
          <w:rFonts w:eastAsia="Times New Roman" w:cs="Times New Roman"/>
          <w:vertAlign w:val="subscript"/>
        </w:rPr>
        <w:t>2</w:t>
      </w:r>
      <w:r>
        <w:rPr>
          <w:rFonts w:eastAsia="Times New Roman" w:cs="Times New Roman"/>
        </w:rPr>
        <w:t>, and CO. Source apportionment analysis shows that exceedances of the PM</w:t>
      </w:r>
      <w:r w:rsidRPr="009A4DFD">
        <w:rPr>
          <w:rFonts w:eastAsia="Times New Roman" w:cs="Times New Roman"/>
          <w:vertAlign w:val="subscript"/>
        </w:rPr>
        <w:t xml:space="preserve">2.5 </w:t>
      </w:r>
      <w:r>
        <w:rPr>
          <w:rFonts w:eastAsia="Times New Roman" w:cs="Times New Roman"/>
        </w:rPr>
        <w:t>and PM</w:t>
      </w:r>
      <w:r w:rsidRPr="009A4DFD">
        <w:rPr>
          <w:rFonts w:eastAsia="Times New Roman" w:cs="Times New Roman"/>
          <w:vertAlign w:val="subscript"/>
        </w:rPr>
        <w:t>10</w:t>
      </w:r>
      <w:r>
        <w:rPr>
          <w:rFonts w:eastAsia="Times New Roman" w:cs="Times New Roman"/>
        </w:rPr>
        <w:t xml:space="preserve"> standards are due to wildfires, and there are no exceedances due to anthropogenic emissions. Modeled concentrations of O</w:t>
      </w:r>
      <w:r w:rsidRPr="009A4DFD">
        <w:rPr>
          <w:rFonts w:eastAsia="Times New Roman" w:cs="Times New Roman"/>
          <w:vertAlign w:val="subscript"/>
        </w:rPr>
        <w:t>3</w:t>
      </w:r>
      <w:r>
        <w:rPr>
          <w:rFonts w:eastAsia="Times New Roman" w:cs="Times New Roman"/>
        </w:rPr>
        <w:t xml:space="preserve"> throughout Utah are in the 55-65 ppb range, which is also below the NAAQS. </w:t>
      </w:r>
      <w:r w:rsidR="003543B2">
        <w:t xml:space="preserve">The existing federal oil and gas sources in the </w:t>
      </w:r>
      <w:r w:rsidR="005611A1">
        <w:t xml:space="preserve">BLM </w:t>
      </w:r>
      <w:r w:rsidR="005611A1" w:rsidRPr="00EE068C">
        <w:t>Green River District</w:t>
      </w:r>
      <w:r w:rsidR="005611A1">
        <w:t xml:space="preserve"> (Carbon, Daggett, Duchesne, Emery, and Uintah counties) </w:t>
      </w:r>
      <w:r w:rsidR="003543B2">
        <w:t>contribute up to 3.7 ppb</w:t>
      </w:r>
      <w:r w:rsidR="007345F4">
        <w:t xml:space="preserve"> of </w:t>
      </w:r>
      <w:r w:rsidR="005E542A">
        <w:t>O</w:t>
      </w:r>
      <w:r w:rsidR="005E542A" w:rsidRPr="005E542A">
        <w:rPr>
          <w:vertAlign w:val="subscript"/>
        </w:rPr>
        <w:t>3</w:t>
      </w:r>
      <w:r w:rsidR="003543B2">
        <w:t>, while the new federal oil and gas sources in the Green River District contribute up to 2.5 ppb</w:t>
      </w:r>
      <w:r w:rsidR="003543B2" w:rsidRPr="00B45CAE">
        <w:t xml:space="preserve"> </w:t>
      </w:r>
      <w:r w:rsidR="003543B2">
        <w:t xml:space="preserve">to the </w:t>
      </w:r>
      <w:r w:rsidR="00BD521B">
        <w:t>O</w:t>
      </w:r>
      <w:r w:rsidR="00BD521B" w:rsidRPr="00BD521B">
        <w:rPr>
          <w:vertAlign w:val="subscript"/>
        </w:rPr>
        <w:t>3</w:t>
      </w:r>
      <w:r w:rsidR="003543B2">
        <w:t xml:space="preserve"> concentrations. </w:t>
      </w:r>
    </w:p>
    <w:p w14:paraId="73350B3B" w14:textId="53FA4045" w:rsidR="002D682D" w:rsidRDefault="00DA0D6A" w:rsidP="002D682D">
      <w:pPr>
        <w:pStyle w:val="Subheading4"/>
        <w:rPr>
          <w:rFonts w:ascii="Times New Roman" w:eastAsia="Times New Roman" w:hAnsi="Times New Roman" w:cs="Times New Roman"/>
          <w:b w:val="0"/>
          <w:i w:val="0"/>
          <w:sz w:val="22"/>
          <w:szCs w:val="22"/>
        </w:rPr>
      </w:pPr>
      <w:r w:rsidRPr="009711B2">
        <w:rPr>
          <w:rFonts w:ascii="Times New Roman" w:eastAsia="Times New Roman" w:hAnsi="Times New Roman" w:cs="Times New Roman"/>
          <w:b w:val="0"/>
          <w:i w:val="0"/>
          <w:sz w:val="22"/>
          <w:szCs w:val="22"/>
        </w:rPr>
        <w:t>The BLM used the Regional Model Study modeling platform to evaluate the cumulative health effects of specific HAPs originating from oil and gas production</w:t>
      </w:r>
      <w:r w:rsidR="00C53FDB">
        <w:rPr>
          <w:rFonts w:ascii="Times New Roman" w:eastAsia="Times New Roman" w:hAnsi="Times New Roman" w:cs="Times New Roman"/>
          <w:b w:val="0"/>
          <w:i w:val="0"/>
          <w:sz w:val="22"/>
          <w:szCs w:val="22"/>
        </w:rPr>
        <w:t xml:space="preserve"> </w:t>
      </w:r>
      <w:sdt>
        <w:sdtPr>
          <w:rPr>
            <w:rFonts w:ascii="Times New Roman" w:eastAsia="Times New Roman" w:hAnsi="Times New Roman" w:cs="Times New Roman"/>
            <w:b w:val="0"/>
            <w:i w:val="0"/>
            <w:sz w:val="22"/>
            <w:szCs w:val="22"/>
          </w:rPr>
          <w:id w:val="-149520915"/>
          <w:citation/>
        </w:sdtPr>
        <w:sdtContent>
          <w:r w:rsidR="001812D3">
            <w:rPr>
              <w:rFonts w:ascii="Times New Roman" w:eastAsia="Times New Roman" w:hAnsi="Times New Roman" w:cs="Times New Roman"/>
              <w:b w:val="0"/>
              <w:i w:val="0"/>
              <w:sz w:val="22"/>
              <w:szCs w:val="22"/>
            </w:rPr>
            <w:fldChar w:fldCharType="begin"/>
          </w:r>
          <w:r w:rsidR="001812D3">
            <w:rPr>
              <w:rFonts w:ascii="Times New Roman" w:eastAsia="Times New Roman" w:hAnsi="Times New Roman" w:cs="Times New Roman"/>
              <w:b w:val="0"/>
              <w:i w:val="0"/>
              <w:sz w:val="22"/>
              <w:szCs w:val="22"/>
            </w:rPr>
            <w:instrText xml:space="preserve"> CITATION Placeholder7 \l 1033 </w:instrText>
          </w:r>
          <w:r w:rsidR="001812D3">
            <w:rPr>
              <w:rFonts w:ascii="Times New Roman" w:eastAsia="Times New Roman" w:hAnsi="Times New Roman" w:cs="Times New Roman"/>
              <w:b w:val="0"/>
              <w:i w:val="0"/>
              <w:sz w:val="22"/>
              <w:szCs w:val="22"/>
            </w:rPr>
            <w:fldChar w:fldCharType="separate"/>
          </w:r>
          <w:r w:rsidR="0093463A" w:rsidRPr="0093463A">
            <w:rPr>
              <w:rFonts w:ascii="Times New Roman" w:eastAsia="Times New Roman" w:hAnsi="Times New Roman" w:cs="Times New Roman"/>
              <w:noProof/>
              <w:sz w:val="22"/>
              <w:szCs w:val="22"/>
            </w:rPr>
            <w:t>(BLM, 2023)</w:t>
          </w:r>
          <w:r w:rsidR="001812D3">
            <w:rPr>
              <w:rFonts w:ascii="Times New Roman" w:eastAsia="Times New Roman" w:hAnsi="Times New Roman" w:cs="Times New Roman"/>
              <w:b w:val="0"/>
              <w:i w:val="0"/>
              <w:sz w:val="22"/>
              <w:szCs w:val="22"/>
            </w:rPr>
            <w:fldChar w:fldCharType="end"/>
          </w:r>
        </w:sdtContent>
      </w:sdt>
      <w:r w:rsidRPr="00384FD0">
        <w:rPr>
          <w:rFonts w:ascii="Times New Roman" w:eastAsia="Times New Roman" w:hAnsi="Times New Roman" w:cs="Times New Roman"/>
          <w:b w:val="0"/>
          <w:i w:val="0"/>
          <w:sz w:val="22"/>
          <w:szCs w:val="22"/>
        </w:rPr>
        <w:t xml:space="preserve">. A photochemical model is used to estimate the cumulative ambient air concentrations of six HAPs (benzene, toluene, ethylbenzene, xylenes, n-hexane, and formaldehyde) resulting from emissions from federal and non-federal oil and gas sources. These six HAPs were selected by BLM for study as they are subject to emissions standards (New Source Performance Standards [NSPS] and National Emissions Standards for Hazardous Air Pollutants [NESHAPs]) regulated for the oil and gas sectors. </w:t>
      </w:r>
      <w:r w:rsidR="007938BE">
        <w:rPr>
          <w:rFonts w:ascii="Times New Roman" w:eastAsia="Times New Roman" w:hAnsi="Times New Roman" w:cs="Times New Roman"/>
          <w:b w:val="0"/>
          <w:i w:val="0"/>
          <w:sz w:val="22"/>
          <w:szCs w:val="22"/>
        </w:rPr>
        <w:t>Cancerous and non-cancerous risk factor r</w:t>
      </w:r>
      <w:r w:rsidRPr="00B41FA3">
        <w:rPr>
          <w:rFonts w:ascii="Times New Roman" w:eastAsia="Times New Roman" w:hAnsi="Times New Roman" w:cs="Times New Roman"/>
          <w:b w:val="0"/>
          <w:i w:val="0"/>
          <w:sz w:val="22"/>
          <w:szCs w:val="22"/>
        </w:rPr>
        <w:t>esults from the HAPs modeling are provided in the AMR (</w:t>
      </w:r>
      <w:r w:rsidR="00E13048">
        <w:rPr>
          <w:rFonts w:ascii="Times New Roman" w:eastAsia="Times New Roman" w:hAnsi="Times New Roman" w:cs="Times New Roman"/>
          <w:b w:val="0"/>
          <w:i w:val="0"/>
          <w:sz w:val="22"/>
          <w:szCs w:val="22"/>
        </w:rPr>
        <w:t xml:space="preserve">see </w:t>
      </w:r>
      <w:r w:rsidRPr="00885D38">
        <w:rPr>
          <w:rFonts w:ascii="Times New Roman" w:eastAsia="Times New Roman" w:hAnsi="Times New Roman" w:cs="Times New Roman"/>
          <w:b w:val="0"/>
          <w:i w:val="0"/>
          <w:sz w:val="22"/>
          <w:szCs w:val="22"/>
        </w:rPr>
        <w:t>Table</w:t>
      </w:r>
      <w:r w:rsidR="00E13048">
        <w:rPr>
          <w:rFonts w:ascii="Times New Roman" w:eastAsia="Times New Roman" w:hAnsi="Times New Roman" w:cs="Times New Roman"/>
          <w:b w:val="0"/>
          <w:i w:val="0"/>
          <w:sz w:val="22"/>
          <w:szCs w:val="22"/>
        </w:rPr>
        <w:t>s</w:t>
      </w:r>
      <w:r w:rsidRPr="00885D38">
        <w:rPr>
          <w:rFonts w:ascii="Times New Roman" w:eastAsia="Times New Roman" w:hAnsi="Times New Roman" w:cs="Times New Roman"/>
          <w:b w:val="0"/>
          <w:i w:val="0"/>
          <w:sz w:val="22"/>
          <w:szCs w:val="22"/>
        </w:rPr>
        <w:t xml:space="preserve"> 28 and 29 of the AMR</w:t>
      </w:r>
      <w:r w:rsidR="00885D38" w:rsidRPr="00885D38">
        <w:rPr>
          <w:rFonts w:ascii="Times New Roman" w:eastAsia="Times New Roman" w:hAnsi="Times New Roman" w:cs="Times New Roman"/>
          <w:b w:val="0"/>
          <w:i w:val="0"/>
          <w:sz w:val="22"/>
          <w:szCs w:val="22"/>
        </w:rPr>
        <w:t>)</w:t>
      </w:r>
      <w:r w:rsidRPr="00885D38">
        <w:rPr>
          <w:rFonts w:ascii="Times New Roman" w:eastAsia="Times New Roman" w:hAnsi="Times New Roman" w:cs="Times New Roman"/>
          <w:b w:val="0"/>
          <w:i w:val="0"/>
          <w:sz w:val="22"/>
          <w:szCs w:val="22"/>
        </w:rPr>
        <w:t xml:space="preserve"> and are incorporated by reference here. The health-based inhalation thresholds used in the BLM HAPs modeling study are the same as those used in EPA’s </w:t>
      </w:r>
      <w:proofErr w:type="spellStart"/>
      <w:r w:rsidRPr="00885D38">
        <w:rPr>
          <w:rFonts w:ascii="Times New Roman" w:eastAsia="Times New Roman" w:hAnsi="Times New Roman" w:cs="Times New Roman"/>
          <w:b w:val="0"/>
          <w:i w:val="0"/>
          <w:sz w:val="22"/>
          <w:szCs w:val="22"/>
        </w:rPr>
        <w:t>AirToxScreen</w:t>
      </w:r>
      <w:proofErr w:type="spellEnd"/>
      <w:r w:rsidRPr="00885D38">
        <w:rPr>
          <w:rFonts w:ascii="Times New Roman" w:eastAsia="Times New Roman" w:hAnsi="Times New Roman" w:cs="Times New Roman"/>
          <w:b w:val="0"/>
          <w:i w:val="0"/>
          <w:sz w:val="22"/>
          <w:szCs w:val="22"/>
        </w:rPr>
        <w:t xml:space="preserve"> </w:t>
      </w:r>
      <w:sdt>
        <w:sdtPr>
          <w:rPr>
            <w:rFonts w:ascii="Times New Roman" w:eastAsia="Times New Roman" w:hAnsi="Times New Roman" w:cs="Times New Roman"/>
            <w:b w:val="0"/>
            <w:i w:val="0"/>
            <w:sz w:val="22"/>
            <w:szCs w:val="22"/>
          </w:rPr>
          <w:id w:val="-1013924121"/>
          <w:citation/>
        </w:sdtPr>
        <w:sdtContent>
          <w:r w:rsidRPr="00325901">
            <w:rPr>
              <w:rFonts w:ascii="Times New Roman" w:eastAsia="Times New Roman" w:hAnsi="Times New Roman" w:cs="Times New Roman"/>
              <w:b w:val="0"/>
              <w:i w:val="0"/>
              <w:sz w:val="22"/>
              <w:szCs w:val="22"/>
            </w:rPr>
            <w:fldChar w:fldCharType="begin"/>
          </w:r>
          <w:r w:rsidRPr="001B1E34">
            <w:rPr>
              <w:rFonts w:ascii="Times New Roman" w:eastAsia="Times New Roman" w:hAnsi="Times New Roman" w:cs="Times New Roman"/>
              <w:b w:val="0"/>
              <w:i w:val="0"/>
              <w:sz w:val="22"/>
              <w:szCs w:val="22"/>
            </w:rPr>
            <w:instrText xml:space="preserve">CITATION EPA195 \l 1033 </w:instrText>
          </w:r>
          <w:r w:rsidRPr="00325901">
            <w:rPr>
              <w:rFonts w:ascii="Times New Roman" w:eastAsia="Times New Roman" w:hAnsi="Times New Roman" w:cs="Times New Roman"/>
              <w:b w:val="0"/>
              <w:i w:val="0"/>
              <w:sz w:val="22"/>
              <w:szCs w:val="22"/>
            </w:rPr>
            <w:fldChar w:fldCharType="separate"/>
          </w:r>
          <w:r w:rsidR="0093463A" w:rsidRPr="0093463A">
            <w:rPr>
              <w:rFonts w:ascii="Times New Roman" w:eastAsia="Times New Roman" w:hAnsi="Times New Roman" w:cs="Times New Roman"/>
              <w:noProof/>
              <w:sz w:val="22"/>
              <w:szCs w:val="22"/>
            </w:rPr>
            <w:t>(EPA, 2022)</w:t>
          </w:r>
          <w:r w:rsidRPr="00325901">
            <w:rPr>
              <w:rFonts w:ascii="Times New Roman" w:eastAsia="Times New Roman" w:hAnsi="Times New Roman" w:cs="Times New Roman"/>
              <w:b w:val="0"/>
              <w:i w:val="0"/>
              <w:sz w:val="22"/>
              <w:szCs w:val="22"/>
            </w:rPr>
            <w:fldChar w:fldCharType="end"/>
          </w:r>
        </w:sdtContent>
      </w:sdt>
      <w:r w:rsidRPr="001B1E34">
        <w:rPr>
          <w:rFonts w:ascii="Times New Roman" w:eastAsia="Times New Roman" w:hAnsi="Times New Roman" w:cs="Times New Roman"/>
          <w:b w:val="0"/>
          <w:i w:val="0"/>
          <w:sz w:val="22"/>
          <w:szCs w:val="22"/>
        </w:rPr>
        <w:t xml:space="preserve">. Total cancer risk from oil and gas production in </w:t>
      </w:r>
      <w:r w:rsidR="00D2003B">
        <w:rPr>
          <w:rFonts w:ascii="Times New Roman" w:eastAsia="Times New Roman" w:hAnsi="Times New Roman" w:cs="Times New Roman"/>
          <w:b w:val="0"/>
          <w:i w:val="0"/>
          <w:sz w:val="22"/>
          <w:szCs w:val="22"/>
        </w:rPr>
        <w:t xml:space="preserve">Duchesne and </w:t>
      </w:r>
      <w:r w:rsidR="00E13048">
        <w:rPr>
          <w:rFonts w:ascii="Times New Roman" w:eastAsia="Times New Roman" w:hAnsi="Times New Roman" w:cs="Times New Roman"/>
          <w:b w:val="0"/>
          <w:i w:val="0"/>
          <w:sz w:val="22"/>
          <w:szCs w:val="22"/>
        </w:rPr>
        <w:t>Uintah</w:t>
      </w:r>
      <w:r w:rsidRPr="001B1E34">
        <w:rPr>
          <w:rFonts w:ascii="Times New Roman" w:eastAsia="Times New Roman" w:hAnsi="Times New Roman" w:cs="Times New Roman"/>
          <w:b w:val="0"/>
          <w:i w:val="0"/>
          <w:sz w:val="22"/>
          <w:szCs w:val="22"/>
        </w:rPr>
        <w:t xml:space="preserve"> Count</w:t>
      </w:r>
      <w:r w:rsidR="00D2003B">
        <w:rPr>
          <w:rFonts w:ascii="Times New Roman" w:eastAsia="Times New Roman" w:hAnsi="Times New Roman" w:cs="Times New Roman"/>
          <w:b w:val="0"/>
          <w:i w:val="0"/>
          <w:sz w:val="22"/>
          <w:szCs w:val="22"/>
        </w:rPr>
        <w:t>ies</w:t>
      </w:r>
      <w:r w:rsidRPr="001B1E34">
        <w:rPr>
          <w:rFonts w:ascii="Times New Roman" w:eastAsia="Times New Roman" w:hAnsi="Times New Roman" w:cs="Times New Roman"/>
          <w:b w:val="0"/>
          <w:i w:val="0"/>
          <w:sz w:val="22"/>
          <w:szCs w:val="22"/>
        </w:rPr>
        <w:t xml:space="preserve"> is </w:t>
      </w:r>
      <w:r w:rsidR="00336A73">
        <w:rPr>
          <w:rFonts w:ascii="Times New Roman" w:eastAsia="Times New Roman" w:hAnsi="Times New Roman" w:cs="Times New Roman"/>
          <w:b w:val="0"/>
          <w:i w:val="0"/>
          <w:sz w:val="22"/>
          <w:szCs w:val="22"/>
        </w:rPr>
        <w:t>5 and 9</w:t>
      </w:r>
      <w:r w:rsidRPr="00417021">
        <w:rPr>
          <w:rFonts w:ascii="Times New Roman" w:eastAsia="Times New Roman" w:hAnsi="Times New Roman" w:cs="Times New Roman"/>
          <w:b w:val="0"/>
          <w:i w:val="0"/>
          <w:sz w:val="22"/>
          <w:szCs w:val="22"/>
        </w:rPr>
        <w:t xml:space="preserve"> in a million</w:t>
      </w:r>
      <w:r w:rsidR="00336A73">
        <w:rPr>
          <w:rFonts w:ascii="Times New Roman" w:eastAsia="Times New Roman" w:hAnsi="Times New Roman" w:cs="Times New Roman"/>
          <w:b w:val="0"/>
          <w:i w:val="0"/>
          <w:sz w:val="22"/>
          <w:szCs w:val="22"/>
        </w:rPr>
        <w:t xml:space="preserve"> respectively</w:t>
      </w:r>
      <w:r w:rsidRPr="00417021">
        <w:rPr>
          <w:rFonts w:ascii="Times New Roman" w:eastAsia="Times New Roman" w:hAnsi="Times New Roman" w:cs="Times New Roman"/>
          <w:b w:val="0"/>
          <w:i w:val="0"/>
          <w:sz w:val="22"/>
          <w:szCs w:val="22"/>
        </w:rPr>
        <w:t>, which is below EPA’s 100 in 1 million cumulative thresholds. Chronic noncancer health effects from oil and gas production are also below levels of concern.</w:t>
      </w:r>
    </w:p>
    <w:p w14:paraId="16F27D3B" w14:textId="463BAF37" w:rsidR="00B678A9" w:rsidRPr="00635802" w:rsidRDefault="00B678A9" w:rsidP="00B678A9">
      <w:pPr>
        <w:jc w:val="both"/>
        <w:rPr>
          <w:rFonts w:eastAsiaTheme="majorEastAsia" w:cs="Times New Roman"/>
          <w:i/>
          <w:sz w:val="24"/>
          <w:szCs w:val="24"/>
        </w:rPr>
      </w:pPr>
      <w:r w:rsidRPr="003F2653">
        <w:rPr>
          <w:rFonts w:eastAsiaTheme="majorEastAsia" w:cs="Times New Roman"/>
          <w:i/>
          <w:sz w:val="24"/>
          <w:szCs w:val="24"/>
        </w:rPr>
        <w:t>Air Quality Related Values</w:t>
      </w:r>
    </w:p>
    <w:p w14:paraId="16113061" w14:textId="77777777" w:rsidR="009725EF" w:rsidRPr="003F2653" w:rsidRDefault="009725EF" w:rsidP="00B678A9">
      <w:pPr>
        <w:jc w:val="both"/>
        <w:rPr>
          <w:rFonts w:eastAsiaTheme="majorEastAsia" w:cs="Times New Roman"/>
          <w:b/>
          <w:i/>
          <w:sz w:val="24"/>
          <w:szCs w:val="24"/>
        </w:rPr>
      </w:pPr>
    </w:p>
    <w:p w14:paraId="6FBAFCAC" w14:textId="73D8DD52" w:rsidR="00B678A9" w:rsidRDefault="00B678A9" w:rsidP="00B678A9">
      <w:r>
        <w:t>Regional Haze modeling</w:t>
      </w:r>
      <w:sdt>
        <w:sdtPr>
          <w:id w:val="-1913769538"/>
          <w:citation/>
        </w:sdtPr>
        <w:sdtContent>
          <w:r>
            <w:fldChar w:fldCharType="begin"/>
          </w:r>
          <w:r>
            <w:instrText xml:space="preserve"> CITATION WRA21 \l 1033 </w:instrText>
          </w:r>
          <w:r>
            <w:fldChar w:fldCharType="separate"/>
          </w:r>
          <w:r w:rsidR="0093463A">
            <w:rPr>
              <w:noProof/>
            </w:rPr>
            <w:t xml:space="preserve"> (WRAP/WAQS, 2021)</w:t>
          </w:r>
          <w:r>
            <w:fldChar w:fldCharType="end"/>
          </w:r>
        </w:sdtContent>
      </w:sdt>
      <w:r>
        <w:t xml:space="preserve"> was performed by the EPA and Western Region Air Partnership states evaluate if</w:t>
      </w:r>
      <w:r w:rsidRPr="00F965D1">
        <w:t xml:space="preserve"> reasonable progress is being made toward natural </w:t>
      </w:r>
      <w:r>
        <w:t xml:space="preserve">visibility </w:t>
      </w:r>
      <w:r w:rsidRPr="00F965D1">
        <w:t>conditions to be achieved by 2064</w:t>
      </w:r>
      <w:r>
        <w:t xml:space="preserve">. </w:t>
      </w:r>
      <w:r w:rsidRPr="00F965D1">
        <w:t xml:space="preserve">The </w:t>
      </w:r>
      <w:r>
        <w:t xml:space="preserve">model uses </w:t>
      </w:r>
      <w:r w:rsidRPr="00F965D1">
        <w:t xml:space="preserve">source apportionment to isolate the contributions of U.S. anthropogenic emissions, along with other sources (e.g., </w:t>
      </w:r>
      <w:r w:rsidR="00A30172">
        <w:t>i</w:t>
      </w:r>
      <w:r w:rsidRPr="00F965D1">
        <w:t>nternational anthropogenic emissions, fires</w:t>
      </w:r>
      <w:r w:rsidR="00A30172">
        <w:t>,</w:t>
      </w:r>
      <w:r w:rsidRPr="00F965D1">
        <w:t xml:space="preserve"> and natural sources), to visibility extinction at monitoring sites representing C</w:t>
      </w:r>
      <w:r>
        <w:t xml:space="preserve">lass </w:t>
      </w:r>
      <w:r w:rsidRPr="00F965D1">
        <w:t>I</w:t>
      </w:r>
      <w:r>
        <w:t xml:space="preserve"> areas</w:t>
      </w:r>
      <w:r w:rsidRPr="00F965D1">
        <w:t xml:space="preserve"> in the western U.S. This allows for the estimation of the changes in visibility impairment due to U.S. anthropogenic emissions at C</w:t>
      </w:r>
      <w:r>
        <w:t>lass I areas</w:t>
      </w:r>
      <w:r w:rsidRPr="00F965D1">
        <w:t xml:space="preserve"> over time and whether they are trending toward no impairment due to U.S. </w:t>
      </w:r>
      <w:r w:rsidRPr="00F965D1">
        <w:lastRenderedPageBreak/>
        <w:t>anthropogenic emissions by 2064.</w:t>
      </w:r>
      <w:r>
        <w:t xml:space="preserve"> The modeling study shows that the current trendline would reach the no impairment goal before 2064.</w:t>
      </w:r>
    </w:p>
    <w:p w14:paraId="0E898303" w14:textId="14440AFC" w:rsidR="00B678A9" w:rsidRDefault="00B678A9" w:rsidP="00B678A9">
      <w:pPr>
        <w:pStyle w:val="Subheading4"/>
        <w:rPr>
          <w:rFonts w:ascii="Times New Roman" w:eastAsiaTheme="minorHAnsi" w:hAnsi="Times New Roman" w:cstheme="minorBidi"/>
          <w:b w:val="0"/>
          <w:i w:val="0"/>
          <w:sz w:val="22"/>
          <w:szCs w:val="22"/>
        </w:rPr>
      </w:pPr>
      <w:r w:rsidRPr="003F2653">
        <w:rPr>
          <w:rFonts w:ascii="Times New Roman" w:eastAsiaTheme="minorHAnsi" w:hAnsi="Times New Roman" w:cstheme="minorBidi"/>
          <w:b w:val="0"/>
          <w:i w:val="0"/>
          <w:sz w:val="22"/>
          <w:szCs w:val="22"/>
        </w:rPr>
        <w:t xml:space="preserve">The BLM Regional Model Study also evaluated deposition of nitrogen and sulfur. </w:t>
      </w:r>
      <w:r w:rsidR="00FB2F06" w:rsidRPr="001D72ED">
        <w:rPr>
          <w:rFonts w:ascii="Times New Roman" w:eastAsiaTheme="minorHAnsi" w:hAnsi="Times New Roman" w:cstheme="minorBidi"/>
          <w:b w:val="0"/>
          <w:i w:val="0"/>
          <w:sz w:val="22"/>
          <w:szCs w:val="22"/>
        </w:rPr>
        <w:t>The critical load for deposition is 5 kg/ha/</w:t>
      </w:r>
      <w:proofErr w:type="spellStart"/>
      <w:r w:rsidR="00FB2F06" w:rsidRPr="001D72ED">
        <w:rPr>
          <w:rFonts w:ascii="Times New Roman" w:eastAsiaTheme="minorHAnsi" w:hAnsi="Times New Roman" w:cstheme="minorBidi"/>
          <w:b w:val="0"/>
          <w:i w:val="0"/>
          <w:sz w:val="22"/>
          <w:szCs w:val="22"/>
        </w:rPr>
        <w:t>yr</w:t>
      </w:r>
      <w:proofErr w:type="spellEnd"/>
      <w:r w:rsidR="00FB2F06" w:rsidRPr="001D72ED">
        <w:rPr>
          <w:rFonts w:ascii="Times New Roman" w:eastAsiaTheme="minorHAnsi" w:hAnsi="Times New Roman" w:cstheme="minorBidi"/>
          <w:b w:val="0"/>
          <w:i w:val="0"/>
          <w:sz w:val="22"/>
          <w:szCs w:val="22"/>
        </w:rPr>
        <w:t>, and projected deposition rates for both nitrogen and sulfur are below the critical load value.</w:t>
      </w:r>
      <w:r w:rsidR="00FB2F06">
        <w:rPr>
          <w:rFonts w:ascii="Times New Roman" w:eastAsiaTheme="minorHAnsi" w:hAnsi="Times New Roman" w:cstheme="minorBidi"/>
          <w:b w:val="0"/>
          <w:i w:val="0"/>
          <w:sz w:val="22"/>
          <w:szCs w:val="22"/>
        </w:rPr>
        <w:t xml:space="preserve"> </w:t>
      </w:r>
      <w:r w:rsidRPr="003F2653">
        <w:rPr>
          <w:rFonts w:ascii="Times New Roman" w:eastAsiaTheme="minorHAnsi" w:hAnsi="Times New Roman" w:cstheme="minorBidi"/>
          <w:b w:val="0"/>
          <w:i w:val="0"/>
          <w:sz w:val="22"/>
          <w:szCs w:val="22"/>
        </w:rPr>
        <w:t xml:space="preserve">Cumulative annual nitrogen deposition over the Utah analysis area varies between 0.6 and 4.5 kg N/ha. Deposition values are less than 4 kg N/ha throughout most of Utah, with exceptions of two grid cells in Salt Lake County showing impacts between 4 and 4.5 kg N/ha. Cumulative annual sulfur deposition over Utah varies between 0.01 and 1.1 kg S/ha within Utah, with the maximum deposition occurring near the Carbon-Emery County border. </w:t>
      </w:r>
    </w:p>
    <w:p w14:paraId="46E780E2" w14:textId="77777777" w:rsidR="00623738" w:rsidRDefault="00623738" w:rsidP="00623738">
      <w:pPr>
        <w:jc w:val="both"/>
      </w:pPr>
      <w:r>
        <w:t xml:space="preserve">In summary, the cumulative air quality in the impact analysis area is maintained at current levels or projected to improve. Atmospheric concentrations for CAPs are projected to be below the NAAQS or show improvement (i.e., decreasing concentrations). Visibility is generally projected to improve at nearby National Parks and deposition is estimated to remain below critical load criteria. </w:t>
      </w:r>
      <w:r w:rsidRPr="00E96EDA">
        <w:t xml:space="preserve"> </w:t>
      </w:r>
      <w:r>
        <w:t xml:space="preserve">Emissions of HAPs are not anticipated to substantially change the cancer and noncancer respiratory risks </w:t>
      </w:r>
      <w:proofErr w:type="gramStart"/>
      <w:r>
        <w:t>in the area of</w:t>
      </w:r>
      <w:proofErr w:type="gramEnd"/>
      <w:r>
        <w:t xml:space="preserve"> analysis.</w:t>
      </w:r>
    </w:p>
    <w:p w14:paraId="1EF47684" w14:textId="77777777" w:rsidR="00623738" w:rsidRPr="003F2653" w:rsidRDefault="00623738" w:rsidP="00B678A9">
      <w:pPr>
        <w:pStyle w:val="Subheading4"/>
        <w:rPr>
          <w:rFonts w:ascii="Times New Roman" w:eastAsiaTheme="minorHAnsi" w:hAnsi="Times New Roman" w:cstheme="minorBidi"/>
          <w:b w:val="0"/>
          <w:i w:val="0"/>
          <w:sz w:val="22"/>
          <w:szCs w:val="22"/>
        </w:rPr>
      </w:pPr>
    </w:p>
    <w:p w14:paraId="2E67A999" w14:textId="52DD5263" w:rsidR="00E852AC" w:rsidRPr="00105009" w:rsidRDefault="002D682D" w:rsidP="002D682D">
      <w:pPr>
        <w:pStyle w:val="Heading3"/>
        <w:rPr>
          <w:rFonts w:ascii="Times New Roman" w:hAnsi="Times New Roman" w:cs="Times New Roman"/>
        </w:rPr>
      </w:pPr>
      <w:bookmarkStart w:id="232" w:name="_nmf14n" w:colFirst="0" w:colLast="0"/>
      <w:bookmarkStart w:id="233" w:name="_111kx3o" w:colFirst="0" w:colLast="0"/>
      <w:bookmarkStart w:id="234" w:name="_Toc179464266"/>
      <w:bookmarkStart w:id="235" w:name="_Toc170114921"/>
      <w:bookmarkStart w:id="236" w:name="_Toc163734216"/>
      <w:bookmarkStart w:id="237" w:name="_Toc11068565"/>
      <w:bookmarkEnd w:id="210"/>
      <w:bookmarkEnd w:id="232"/>
      <w:bookmarkEnd w:id="233"/>
      <w:r w:rsidRPr="00703733">
        <w:t xml:space="preserve">Issue 2: </w:t>
      </w:r>
      <w:r w:rsidR="00F3430C">
        <w:t>Greenhouse Gas</w:t>
      </w:r>
      <w:r w:rsidR="00DA75FF">
        <w:t xml:space="preserve"> and Climate Change</w:t>
      </w:r>
      <w:bookmarkEnd w:id="234"/>
      <w:bookmarkEnd w:id="235"/>
    </w:p>
    <w:bookmarkEnd w:id="236"/>
    <w:p w14:paraId="78AA1B46" w14:textId="6ABEA5A5" w:rsidR="00B51EE1" w:rsidRDefault="00B51EE1" w:rsidP="00105009">
      <w:pPr>
        <w:pStyle w:val="BodyText"/>
        <w:rPr>
          <w:rStyle w:val="eop"/>
          <w:b/>
          <w:i/>
          <w:color w:val="000000"/>
          <w:sz w:val="24"/>
          <w:szCs w:val="24"/>
          <w:shd w:val="clear" w:color="auto" w:fill="FFFFFF"/>
        </w:rPr>
      </w:pPr>
      <w:r w:rsidRPr="00105009">
        <w:rPr>
          <w:rStyle w:val="normaltextrun"/>
          <w:b/>
          <w:bCs/>
          <w:i/>
          <w:iCs/>
          <w:color w:val="000000"/>
          <w:sz w:val="24"/>
          <w:szCs w:val="24"/>
          <w:shd w:val="clear" w:color="auto" w:fill="FFFFFF"/>
        </w:rPr>
        <w:t>How would potential development of the nominated lease parcels contribute to greenhouse gas (GHG) emissions and climate change?</w:t>
      </w:r>
      <w:r w:rsidRPr="00105009">
        <w:rPr>
          <w:rStyle w:val="eop"/>
          <w:b/>
          <w:bCs/>
          <w:i/>
          <w:iCs/>
          <w:color w:val="000000"/>
          <w:sz w:val="24"/>
          <w:szCs w:val="24"/>
          <w:shd w:val="clear" w:color="auto" w:fill="FFFFFF"/>
        </w:rPr>
        <w:t> </w:t>
      </w:r>
    </w:p>
    <w:p w14:paraId="2587494B" w14:textId="2872103F" w:rsidR="00D0622E" w:rsidRPr="0092431C" w:rsidRDefault="00D0622E" w:rsidP="00D0622E">
      <w:pPr>
        <w:rPr>
          <w:rFonts w:cs="Times New Roman"/>
        </w:rPr>
      </w:pPr>
      <w:r>
        <w:rPr>
          <w:rFonts w:cs="Times New Roman"/>
        </w:rPr>
        <w:t>Future</w:t>
      </w:r>
      <w:r w:rsidRPr="2106DB67">
        <w:rPr>
          <w:rFonts w:cs="Times New Roman"/>
        </w:rPr>
        <w:t xml:space="preserve"> development of lease parcels under consideration could lead to emissions of carbon dioxide (CO</w:t>
      </w:r>
      <w:r w:rsidRPr="2106DB67">
        <w:rPr>
          <w:rFonts w:cs="Times New Roman"/>
          <w:vertAlign w:val="subscript"/>
        </w:rPr>
        <w:t>2</w:t>
      </w:r>
      <w:r w:rsidRPr="2106DB67">
        <w:rPr>
          <w:rFonts w:cs="Times New Roman"/>
        </w:rPr>
        <w:t>), methane (CH</w:t>
      </w:r>
      <w:r w:rsidRPr="2106DB67">
        <w:rPr>
          <w:rFonts w:cs="Times New Roman"/>
          <w:vertAlign w:val="subscript"/>
        </w:rPr>
        <w:t>4</w:t>
      </w:r>
      <w:r w:rsidRPr="2106DB67">
        <w:rPr>
          <w:rFonts w:cs="Times New Roman"/>
        </w:rPr>
        <w:t>), and nitrous oxide (N</w:t>
      </w:r>
      <w:r w:rsidRPr="2106DB67">
        <w:rPr>
          <w:rFonts w:cs="Times New Roman"/>
          <w:vertAlign w:val="subscript"/>
        </w:rPr>
        <w:t>2</w:t>
      </w:r>
      <w:r w:rsidRPr="2106DB67">
        <w:rPr>
          <w:rFonts w:cs="Times New Roman"/>
        </w:rPr>
        <w:t>O); the three most common greenhouse gases associated with oil and gas development. These GHG emissions would be emitted from activities occurring on the leased parcels and from the consumption of any fluid minerals produced.  However, the BLM cannot reasonably determine at the leasing stage whether, when, and in what manner a lease would be explored or developed. The uncertainty that exists at the time the BLM offers a lease for sale includes crucial factors that would affect actual GHG emissions and associated impacts, including but not limited to the future feasibility of developing the lease, well density, geological conditions, development type (vertical, directional, or horizontal), hydrocarbon characteristics, specific equipment used during construction, drilling, and production, abandonment operations, product transportation, and potential regulatory changes over the 10-year primary lease term.</w:t>
      </w:r>
      <w:r>
        <w:t xml:space="preserve"> Actual development on a lease is likely to vary from what is analyzed in this EA and will be evaluated through a site-specific NEPA analysis when an operator submits an APD or plan of development to the BLM.</w:t>
      </w:r>
    </w:p>
    <w:p w14:paraId="52139B8F" w14:textId="77777777" w:rsidR="00D0622E" w:rsidRPr="0092431C" w:rsidRDefault="00D0622E" w:rsidP="00D0622E">
      <w:pPr>
        <w:rPr>
          <w:rFonts w:cs="Times New Roman"/>
          <w:szCs w:val="24"/>
        </w:rPr>
      </w:pPr>
    </w:p>
    <w:p w14:paraId="5543AA91" w14:textId="77777777" w:rsidR="00D0622E" w:rsidRPr="0092431C" w:rsidRDefault="00D0622E" w:rsidP="00D0622E">
      <w:pPr>
        <w:rPr>
          <w:rFonts w:cs="Times New Roman"/>
        </w:rPr>
      </w:pPr>
      <w:r w:rsidRPr="2106DB67">
        <w:rPr>
          <w:rFonts w:cs="Times New Roman"/>
        </w:rPr>
        <w:t xml:space="preserve">For the purposes of this analysis, the BLM has evaluated the potential climate change impacts of the proposed leasing action by estimating and analyzing the projected potential GHG emissions from oil and gas development on the parcels. Projected emissions estimates are based on previous actual oil and gas development analyses, and any available information from existing development within the State. </w:t>
      </w:r>
    </w:p>
    <w:p w14:paraId="1FF372EA" w14:textId="77777777" w:rsidR="00D0622E" w:rsidRPr="0092431C" w:rsidRDefault="00D0622E" w:rsidP="00D0622E">
      <w:pPr>
        <w:rPr>
          <w:rFonts w:cs="Times New Roman"/>
          <w:szCs w:val="24"/>
        </w:rPr>
      </w:pPr>
    </w:p>
    <w:p w14:paraId="68F48886" w14:textId="126355CF" w:rsidR="00D0622E" w:rsidRPr="00635802" w:rsidRDefault="00D0622E" w:rsidP="003F2653">
      <w:pPr>
        <w:rPr>
          <w:rFonts w:cs="Times New Roman"/>
        </w:rPr>
      </w:pPr>
      <w:r w:rsidRPr="0FDA263F">
        <w:rPr>
          <w:rFonts w:cs="Times New Roman"/>
        </w:rPr>
        <w:t xml:space="preserve">Further discussion of climate change science and predicted impacts, as well as the reasonably foreseeable and cumulative GHG emissions associated with BLM’s oil and gas leasing actions and methodologies are included in the </w:t>
      </w:r>
      <w:r>
        <w:rPr>
          <w:rFonts w:cs="Times New Roman"/>
        </w:rPr>
        <w:t>202</w:t>
      </w:r>
      <w:r w:rsidR="00576585">
        <w:rPr>
          <w:rFonts w:cs="Times New Roman"/>
        </w:rPr>
        <w:t>3</w:t>
      </w:r>
      <w:r>
        <w:rPr>
          <w:rFonts w:cs="Times New Roman"/>
        </w:rPr>
        <w:t xml:space="preserve"> </w:t>
      </w:r>
      <w:r w:rsidRPr="2106DB67">
        <w:rPr>
          <w:rFonts w:cs="Times New Roman"/>
          <w:i/>
          <w:iCs/>
        </w:rPr>
        <w:t xml:space="preserve">BLM Specialist Report on Annual Greenhouse Gas Emissions and Climate Trends </w:t>
      </w:r>
      <w:sdt>
        <w:sdtPr>
          <w:rPr>
            <w:rFonts w:cs="Times New Roman"/>
            <w:i/>
            <w:iCs/>
          </w:rPr>
          <w:id w:val="835733486"/>
          <w:placeholder>
            <w:docPart w:val="7B581E53354F42FA8A9DAB3F2B55E864"/>
          </w:placeholder>
          <w:citation/>
        </w:sdtPr>
        <w:sdtContent>
          <w:r w:rsidRPr="2106DB67">
            <w:rPr>
              <w:rFonts w:cs="Times New Roman"/>
              <w:i/>
              <w:iCs/>
            </w:rPr>
            <w:fldChar w:fldCharType="begin"/>
          </w:r>
          <w:r w:rsidR="00576585">
            <w:rPr>
              <w:rFonts w:cs="Times New Roman"/>
              <w:i/>
              <w:iCs/>
            </w:rPr>
            <w:instrText xml:space="preserve">CITATION Placeholder2 \l 1033 </w:instrText>
          </w:r>
          <w:r w:rsidRPr="2106DB67">
            <w:rPr>
              <w:rFonts w:cs="Times New Roman"/>
              <w:i/>
              <w:iCs/>
            </w:rPr>
            <w:fldChar w:fldCharType="separate"/>
          </w:r>
          <w:r w:rsidR="0093463A" w:rsidRPr="0093463A">
            <w:rPr>
              <w:rFonts w:cs="Times New Roman"/>
              <w:noProof/>
            </w:rPr>
            <w:t>(BLM, 2024)</w:t>
          </w:r>
          <w:r w:rsidRPr="2106DB67">
            <w:rPr>
              <w:rFonts w:cs="Times New Roman"/>
              <w:i/>
              <w:iCs/>
            </w:rPr>
            <w:fldChar w:fldCharType="end"/>
          </w:r>
        </w:sdtContent>
      </w:sdt>
      <w:r w:rsidRPr="2106DB67">
        <w:rPr>
          <w:rFonts w:cs="Times New Roman"/>
          <w:i/>
          <w:iCs/>
        </w:rPr>
        <w:t xml:space="preserve"> </w:t>
      </w:r>
      <w:r>
        <w:rPr>
          <w:rFonts w:cs="Times New Roman"/>
        </w:rPr>
        <w:t>(</w:t>
      </w:r>
      <w:r w:rsidRPr="0FDA263F">
        <w:rPr>
          <w:rFonts w:cs="Times New Roman"/>
        </w:rPr>
        <w:t>Annual GHG Report</w:t>
      </w:r>
      <w:r>
        <w:rPr>
          <w:rFonts w:cs="Times New Roman"/>
        </w:rPr>
        <w:t>)</w:t>
      </w:r>
      <w:r w:rsidRPr="0FDA263F">
        <w:rPr>
          <w:rFonts w:cs="Times New Roman"/>
        </w:rPr>
        <w:t xml:space="preserve">. This report presents the estimated emissions of greenhouse gases attributable to development and consumption of fossil fuels produced on lands and mineral estate managed by the BLM. The Annual GHG Report is incorporated by reference as an integral part of this analysis and is available at </w:t>
      </w:r>
      <w:hyperlink r:id="rId34" w:history="1">
        <w:r w:rsidR="00576585">
          <w:rPr>
            <w:rStyle w:val="Hyperlink"/>
            <w:rFonts w:cs="Times New Roman"/>
          </w:rPr>
          <w:t>https://www.blm.gov/content/ghg</w:t>
        </w:r>
      </w:hyperlink>
    </w:p>
    <w:p w14:paraId="6E62974C" w14:textId="06A4BB17" w:rsidR="002D682D" w:rsidRDefault="002D682D" w:rsidP="002D682D">
      <w:pPr>
        <w:pStyle w:val="Subheading4"/>
        <w:rPr>
          <w:rFonts w:ascii="Times New Roman" w:hAnsi="Times New Roman" w:cs="Times New Roman"/>
        </w:rPr>
      </w:pPr>
      <w:r w:rsidRPr="00262360">
        <w:rPr>
          <w:rFonts w:ascii="Times New Roman" w:hAnsi="Times New Roman" w:cs="Times New Roman"/>
        </w:rPr>
        <w:lastRenderedPageBreak/>
        <w:t>Affected Environment</w:t>
      </w:r>
    </w:p>
    <w:p w14:paraId="2B716873" w14:textId="4B25D85B" w:rsidR="00257C6D" w:rsidRDefault="00257C6D" w:rsidP="00257C6D">
      <w:pPr>
        <w:rPr>
          <w:rFonts w:cs="Times New Roman"/>
        </w:rPr>
      </w:pPr>
      <w:r w:rsidRPr="2106DB67">
        <w:rPr>
          <w:rFonts w:cs="Times New Roman"/>
        </w:rPr>
        <w:t xml:space="preserve">Climate change is a global process that is affected by the </w:t>
      </w:r>
      <w:proofErr w:type="gramStart"/>
      <w:r w:rsidRPr="2106DB67">
        <w:rPr>
          <w:rFonts w:cs="Times New Roman"/>
        </w:rPr>
        <w:t>sum total</w:t>
      </w:r>
      <w:proofErr w:type="gramEnd"/>
      <w:r w:rsidRPr="2106DB67">
        <w:rPr>
          <w:rFonts w:cs="Times New Roman"/>
        </w:rPr>
        <w:t xml:space="preserve"> of GHGs in the Earth’s atmosphere. </w:t>
      </w:r>
      <w:r w:rsidRPr="2106DB67">
        <w:rPr>
          <w:rFonts w:cs="Times New Roman"/>
          <w:color w:val="212121"/>
        </w:rPr>
        <w:t>GHGs act to contain solar energy loss by trapping long wave radiation emitted from the Earth's surface and act as a positive radiative forcing component.</w:t>
      </w:r>
      <w:r>
        <w:rPr>
          <w:rFonts w:cs="Times New Roman"/>
          <w:color w:val="212121"/>
        </w:rPr>
        <w:t xml:space="preserve"> </w:t>
      </w:r>
      <w:r w:rsidRPr="2106DB67">
        <w:rPr>
          <w:rFonts w:cs="Times New Roman"/>
        </w:rPr>
        <w:t>GHGs influence the global climate by increasing the amount of solar energy retained by land, water bodies, and the atmosphere. GHGs can have long atmospheric lifetimes, which allows them to become well mixed and uniformly distributed over the entirety of the Earth’s surface no matter their point of origin.</w:t>
      </w:r>
      <w:r w:rsidRPr="2106DB67">
        <w:rPr>
          <w:rFonts w:cs="Times New Roman"/>
          <w:color w:val="212121"/>
        </w:rPr>
        <w:t xml:space="preserve"> The buildup of these gases has contributed to the current changing state of the climate equilibrium towards warming. </w:t>
      </w:r>
      <w:r w:rsidRPr="2106DB67">
        <w:rPr>
          <w:rFonts w:cs="Times New Roman"/>
        </w:rPr>
        <w:t>A discussion of past, current, and projected future climate change impacts is described in Chapters 4, 8</w:t>
      </w:r>
      <w:r>
        <w:rPr>
          <w:rFonts w:cs="Times New Roman"/>
        </w:rPr>
        <w:t>,</w:t>
      </w:r>
      <w:r w:rsidRPr="2106DB67">
        <w:rPr>
          <w:rFonts w:cs="Times New Roman"/>
        </w:rPr>
        <w:t xml:space="preserve"> and 9 of the Annual GHG Report. These chapters describe currently observed climate impacts globally, nationally, and in each State, and present a range of projected impact scenarios depending on future GHG emission levels. </w:t>
      </w:r>
    </w:p>
    <w:p w14:paraId="38C0C1F8" w14:textId="77777777" w:rsidR="00257C6D" w:rsidRDefault="00257C6D" w:rsidP="00257C6D">
      <w:pPr>
        <w:rPr>
          <w:rFonts w:cs="Times New Roman"/>
        </w:rPr>
      </w:pPr>
    </w:p>
    <w:p w14:paraId="55DE17CA" w14:textId="77777777" w:rsidR="00257C6D" w:rsidRDefault="00257C6D" w:rsidP="00257C6D">
      <w:pPr>
        <w:rPr>
          <w:rFonts w:cs="Times New Roman"/>
        </w:rPr>
      </w:pPr>
      <w:r w:rsidRPr="2106DB67">
        <w:rPr>
          <w:rFonts w:cs="Times New Roman"/>
        </w:rPr>
        <w:t xml:space="preserve">The incremental contribution to global GHGs from a single proposed land management action cannot be accurately translated into its potential effect on global climate change or any localized effects in the area specific to the action. Currently, global climate models are unable to forecast local or regional effects on resources resulting from a specific subset of emissions. However, there are general projections regarding potential impacts on natural resources and plant and animal species that may be attributed to climate change resulting from the accumulation of GHG emissions over time. </w:t>
      </w:r>
      <w:r>
        <w:rPr>
          <w:rFonts w:cs="Times New Roman"/>
        </w:rPr>
        <w:t xml:space="preserve">In this EA, the BLM uses GHG emissions as a proxy for impacts and provides context with other proxies such as GHG equivalents and the social cost of GHGs. </w:t>
      </w:r>
    </w:p>
    <w:p w14:paraId="44439246" w14:textId="77777777" w:rsidR="00257C6D" w:rsidRDefault="00257C6D" w:rsidP="00257C6D">
      <w:pPr>
        <w:rPr>
          <w:rFonts w:cs="Times New Roman"/>
        </w:rPr>
      </w:pPr>
    </w:p>
    <w:p w14:paraId="6F4F64DD" w14:textId="73E9FFB2" w:rsidR="00257C6D" w:rsidRPr="0092431C" w:rsidRDefault="00257C6D" w:rsidP="00257C6D">
      <w:pPr>
        <w:rPr>
          <w:szCs w:val="24"/>
        </w:rPr>
      </w:pPr>
      <w:r w:rsidRPr="2106DB67">
        <w:rPr>
          <w:rFonts w:cs="Times New Roman"/>
        </w:rPr>
        <w:t xml:space="preserve">For the purposes of this EA, the projected emissions from the proposed action can be compared to modeled emissions that have been shown to have definitive or quantifiable impacts on the climate </w:t>
      </w:r>
      <w:proofErr w:type="gramStart"/>
      <w:r w:rsidRPr="2106DB67">
        <w:rPr>
          <w:rFonts w:cs="Times New Roman"/>
        </w:rPr>
        <w:t>in order to</w:t>
      </w:r>
      <w:proofErr w:type="gramEnd"/>
      <w:r w:rsidRPr="2106DB67">
        <w:rPr>
          <w:rFonts w:cs="Times New Roman"/>
        </w:rPr>
        <w:t xml:space="preserve"> provide context of their potential contribution to climate change. </w:t>
      </w:r>
      <w:r w:rsidR="00863590">
        <w:rPr>
          <w:rFonts w:cs="Times New Roman"/>
        </w:rPr>
        <w:fldChar w:fldCharType="begin"/>
      </w:r>
      <w:r w:rsidR="00863590">
        <w:rPr>
          <w:rFonts w:cs="Times New Roman"/>
        </w:rPr>
        <w:instrText xml:space="preserve"> REF _Ref164952269 \h </w:instrText>
      </w:r>
      <w:r w:rsidR="00863590">
        <w:rPr>
          <w:rFonts w:cs="Times New Roman"/>
        </w:rPr>
      </w:r>
      <w:r w:rsidR="00863590">
        <w:rPr>
          <w:rFonts w:cs="Times New Roman"/>
        </w:rPr>
        <w:fldChar w:fldCharType="separate"/>
      </w:r>
      <w:r w:rsidR="00863590">
        <w:t xml:space="preserve">Table </w:t>
      </w:r>
      <w:r w:rsidR="00863590">
        <w:rPr>
          <w:noProof/>
        </w:rPr>
        <w:t>8</w:t>
      </w:r>
      <w:r w:rsidR="00863590">
        <w:rPr>
          <w:rFonts w:cs="Times New Roman"/>
        </w:rPr>
        <w:fldChar w:fldCharType="end"/>
      </w:r>
      <w:r w:rsidRPr="2106DB67">
        <w:rPr>
          <w:szCs w:val="24"/>
        </w:rPr>
        <w:t xml:space="preserve"> shows the total estimated GHG emissions from fossil fuels at the global, national, and state scales over the last six years. Emissions are shown in </w:t>
      </w:r>
      <w:proofErr w:type="spellStart"/>
      <w:r w:rsidRPr="2106DB67">
        <w:rPr>
          <w:szCs w:val="24"/>
        </w:rPr>
        <w:t>megatonnes</w:t>
      </w:r>
      <w:proofErr w:type="spellEnd"/>
      <w:r w:rsidRPr="2106DB67">
        <w:rPr>
          <w:szCs w:val="24"/>
        </w:rPr>
        <w:t xml:space="preserve"> (Mt) per year of carbon dioxide equivalent (CO</w:t>
      </w:r>
      <w:r w:rsidRPr="006A0EF7">
        <w:rPr>
          <w:szCs w:val="24"/>
          <w:vertAlign w:val="subscript"/>
        </w:rPr>
        <w:t>2</w:t>
      </w:r>
      <w:r w:rsidRPr="2106DB67">
        <w:rPr>
          <w:szCs w:val="24"/>
        </w:rPr>
        <w:t>e). Chapter 3 of the Annual GHG Report contains additional information on GHGs and an explanation of CO</w:t>
      </w:r>
      <w:r w:rsidRPr="006A0EF7">
        <w:rPr>
          <w:szCs w:val="24"/>
          <w:vertAlign w:val="subscript"/>
        </w:rPr>
        <w:t>2</w:t>
      </w:r>
      <w:r w:rsidRPr="2106DB67">
        <w:rPr>
          <w:szCs w:val="24"/>
        </w:rPr>
        <w:t>e.  State and national energy-related CO</w:t>
      </w:r>
      <w:r w:rsidRPr="006A0EF7">
        <w:rPr>
          <w:szCs w:val="24"/>
          <w:vertAlign w:val="subscript"/>
        </w:rPr>
        <w:t>2</w:t>
      </w:r>
      <w:r w:rsidRPr="2106DB67">
        <w:rPr>
          <w:szCs w:val="24"/>
        </w:rPr>
        <w:t xml:space="preserve"> emissions include emissions from fossil fuel use across all sectors (residential, commercial, industrial, transportation, and electricity generation) and are released at the location where the fossil fuels are consumed.</w:t>
      </w:r>
    </w:p>
    <w:p w14:paraId="53DD5F88" w14:textId="77777777" w:rsidR="00257C6D" w:rsidRPr="0092431C" w:rsidRDefault="00257C6D" w:rsidP="00257C6D">
      <w:pPr>
        <w:rPr>
          <w:rFonts w:cs="Times New Roman"/>
          <w:szCs w:val="24"/>
        </w:rPr>
      </w:pPr>
    </w:p>
    <w:p w14:paraId="4E1AB0AC" w14:textId="25EFB687" w:rsidR="00257C6D" w:rsidRPr="00257C6D" w:rsidRDefault="00257C6D" w:rsidP="003F2653">
      <w:pPr>
        <w:rPr>
          <w:rFonts w:cs="Times New Roman"/>
          <w:szCs w:val="24"/>
        </w:rPr>
      </w:pPr>
      <w:r w:rsidRPr="0092431C">
        <w:rPr>
          <w:rFonts w:cs="Times New Roman"/>
          <w:szCs w:val="24"/>
        </w:rPr>
        <w:t xml:space="preserve">Additional information on current state, national, and global GHG emissions as well as the methodology and parameters for estimating emissions from BLM fossil fuel authorizations and cumulative GHG emissions is included in the Annual GHG Report (see Chapters </w:t>
      </w:r>
      <w:r>
        <w:rPr>
          <w:rFonts w:cs="Times New Roman"/>
          <w:szCs w:val="24"/>
        </w:rPr>
        <w:t>5,</w:t>
      </w:r>
      <w:r w:rsidR="00D81023">
        <w:rPr>
          <w:rFonts w:cs="Times New Roman"/>
          <w:szCs w:val="24"/>
        </w:rPr>
        <w:t xml:space="preserve"> </w:t>
      </w:r>
      <w:r>
        <w:rPr>
          <w:rFonts w:cs="Times New Roman"/>
          <w:szCs w:val="24"/>
        </w:rPr>
        <w:t xml:space="preserve">6, </w:t>
      </w:r>
      <w:r w:rsidRPr="0092431C">
        <w:rPr>
          <w:rFonts w:cs="Times New Roman"/>
          <w:szCs w:val="24"/>
        </w:rPr>
        <w:t xml:space="preserve">and </w:t>
      </w:r>
      <w:r>
        <w:rPr>
          <w:rFonts w:cs="Times New Roman"/>
          <w:szCs w:val="24"/>
        </w:rPr>
        <w:t>7</w:t>
      </w:r>
      <w:r w:rsidRPr="0092431C">
        <w:rPr>
          <w:rFonts w:cs="Times New Roman"/>
          <w:szCs w:val="24"/>
        </w:rPr>
        <w:t xml:space="preserve">). </w:t>
      </w:r>
    </w:p>
    <w:p w14:paraId="0E5DF67B" w14:textId="7708148D" w:rsidR="00863590" w:rsidRDefault="00863590" w:rsidP="00863590">
      <w:pPr>
        <w:pStyle w:val="Caption"/>
      </w:pPr>
      <w:bookmarkStart w:id="238" w:name="_Ref164952269"/>
      <w:bookmarkStart w:id="239" w:name="_Toc179464302"/>
      <w:bookmarkStart w:id="240" w:name="_Toc170114957"/>
      <w:r>
        <w:t xml:space="preserve">Table </w:t>
      </w:r>
      <w:r w:rsidR="00BB3F01">
        <w:fldChar w:fldCharType="begin"/>
      </w:r>
      <w:r w:rsidR="00BB3F01">
        <w:instrText xml:space="preserve"> SEQ Table \* ARABIC </w:instrText>
      </w:r>
      <w:r w:rsidR="00BB3F01">
        <w:fldChar w:fldCharType="separate"/>
      </w:r>
      <w:r w:rsidR="00BB3F01">
        <w:rPr>
          <w:noProof/>
        </w:rPr>
        <w:t>21</w:t>
      </w:r>
      <w:r w:rsidR="00BB3F01">
        <w:rPr>
          <w:noProof/>
        </w:rPr>
        <w:fldChar w:fldCharType="end"/>
      </w:r>
      <w:bookmarkEnd w:id="238"/>
      <w:r>
        <w:t xml:space="preserve"> </w:t>
      </w:r>
      <w:r w:rsidRPr="00541C32">
        <w:t>Global and U.S. Fossil Fuel GHG Emissions 2016 - 2021 (Mt CO2/</w:t>
      </w:r>
      <w:proofErr w:type="spellStart"/>
      <w:r w:rsidRPr="00541C32">
        <w:t>yr</w:t>
      </w:r>
      <w:proofErr w:type="spellEnd"/>
      <w:r w:rsidRPr="00541C32">
        <w:t>)</w:t>
      </w:r>
      <w:bookmarkEnd w:id="239"/>
      <w:bookmarkEnd w:id="240"/>
    </w:p>
    <w:tbl>
      <w:tblPr>
        <w:tblW w:w="9340" w:type="dxa"/>
        <w:tblLayout w:type="fixed"/>
        <w:tblLook w:val="04A0" w:firstRow="1" w:lastRow="0" w:firstColumn="1" w:lastColumn="0" w:noHBand="0" w:noVBand="1"/>
      </w:tblPr>
      <w:tblGrid>
        <w:gridCol w:w="1334"/>
        <w:gridCol w:w="1334"/>
        <w:gridCol w:w="1334"/>
        <w:gridCol w:w="1335"/>
        <w:gridCol w:w="1334"/>
        <w:gridCol w:w="1334"/>
        <w:gridCol w:w="1335"/>
      </w:tblGrid>
      <w:tr w:rsidR="00257C6D" w:rsidRPr="006A7C12" w14:paraId="7A456DA2" w14:textId="77777777" w:rsidTr="003F2653">
        <w:trPr>
          <w:trHeight w:val="3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721EC" w14:textId="77777777" w:rsidR="00257C6D" w:rsidRPr="009D531E" w:rsidRDefault="00257C6D">
            <w:pPr>
              <w:rPr>
                <w:rFonts w:eastAsia="Times New Roman" w:cs="Times New Roman"/>
                <w:b/>
                <w:bCs/>
                <w:color w:val="000000"/>
              </w:rPr>
            </w:pPr>
            <w:r w:rsidRPr="009D531E">
              <w:rPr>
                <w:rFonts w:eastAsia="Times New Roman" w:cs="Times New Roman"/>
                <w:b/>
                <w:bCs/>
                <w:color w:val="000000"/>
              </w:rPr>
              <w:t>Scale</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544D05AB" w14:textId="77777777" w:rsidR="00257C6D" w:rsidRPr="006A7C12" w:rsidRDefault="00257C6D">
            <w:pPr>
              <w:jc w:val="center"/>
              <w:rPr>
                <w:rFonts w:eastAsia="Times New Roman" w:cs="Times New Roman"/>
                <w:b/>
                <w:bCs/>
                <w:color w:val="000000"/>
              </w:rPr>
            </w:pPr>
            <w:r w:rsidRPr="006A7C12">
              <w:rPr>
                <w:rFonts w:eastAsia="Times New Roman" w:cs="Times New Roman"/>
                <w:b/>
                <w:bCs/>
                <w:color w:val="000000"/>
              </w:rPr>
              <w:t>201</w:t>
            </w:r>
            <w:r>
              <w:rPr>
                <w:rFonts w:eastAsia="Times New Roman" w:cs="Times New Roman"/>
                <w:b/>
                <w:bCs/>
                <w:color w:val="000000"/>
              </w:rPr>
              <w:t>6</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29DF4E09" w14:textId="77777777" w:rsidR="00257C6D" w:rsidRPr="006A7C12" w:rsidRDefault="00257C6D">
            <w:pPr>
              <w:jc w:val="center"/>
              <w:rPr>
                <w:rFonts w:eastAsia="Times New Roman" w:cs="Times New Roman"/>
                <w:b/>
                <w:bCs/>
                <w:color w:val="000000"/>
              </w:rPr>
            </w:pPr>
            <w:r w:rsidRPr="006A7C12">
              <w:rPr>
                <w:rFonts w:eastAsia="Times New Roman" w:cs="Times New Roman"/>
                <w:b/>
                <w:bCs/>
                <w:color w:val="000000"/>
              </w:rPr>
              <w:t>201</w:t>
            </w:r>
            <w:r>
              <w:rPr>
                <w:rFonts w:eastAsia="Times New Roman" w:cs="Times New Roman"/>
                <w:b/>
                <w:bCs/>
                <w:color w:val="000000"/>
              </w:rPr>
              <w:t>7</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14:paraId="76C16BBC" w14:textId="77777777" w:rsidR="00257C6D" w:rsidRPr="006A7C12" w:rsidRDefault="00257C6D">
            <w:pPr>
              <w:jc w:val="center"/>
              <w:rPr>
                <w:rFonts w:eastAsia="Times New Roman" w:cs="Times New Roman"/>
                <w:b/>
                <w:bCs/>
                <w:color w:val="000000"/>
              </w:rPr>
            </w:pPr>
            <w:r w:rsidRPr="006A7C12">
              <w:rPr>
                <w:rFonts w:eastAsia="Times New Roman" w:cs="Times New Roman"/>
                <w:b/>
                <w:bCs/>
                <w:color w:val="000000"/>
              </w:rPr>
              <w:t>201</w:t>
            </w:r>
            <w:r>
              <w:rPr>
                <w:rFonts w:eastAsia="Times New Roman" w:cs="Times New Roman"/>
                <w:b/>
                <w:bCs/>
                <w:color w:val="000000"/>
              </w:rPr>
              <w:t>8</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754EFB89" w14:textId="77777777" w:rsidR="00257C6D" w:rsidRPr="006A7C12" w:rsidRDefault="00257C6D">
            <w:pPr>
              <w:jc w:val="center"/>
              <w:rPr>
                <w:rFonts w:eastAsia="Times New Roman" w:cs="Times New Roman"/>
                <w:b/>
                <w:bCs/>
                <w:color w:val="000000"/>
              </w:rPr>
            </w:pPr>
            <w:r w:rsidRPr="006A7C12">
              <w:rPr>
                <w:rFonts w:eastAsia="Times New Roman" w:cs="Times New Roman"/>
                <w:b/>
                <w:bCs/>
                <w:color w:val="000000"/>
              </w:rPr>
              <w:t>201</w:t>
            </w:r>
            <w:r>
              <w:rPr>
                <w:rFonts w:eastAsia="Times New Roman" w:cs="Times New Roman"/>
                <w:b/>
                <w:bCs/>
                <w:color w:val="000000"/>
              </w:rPr>
              <w:t>9</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7214BADE" w14:textId="77777777" w:rsidR="00257C6D" w:rsidRPr="006A7C12" w:rsidRDefault="00257C6D">
            <w:pPr>
              <w:jc w:val="center"/>
              <w:rPr>
                <w:rFonts w:eastAsia="Times New Roman" w:cs="Times New Roman"/>
                <w:b/>
                <w:bCs/>
                <w:color w:val="000000"/>
              </w:rPr>
            </w:pPr>
            <w:r w:rsidRPr="006A7C12">
              <w:rPr>
                <w:rFonts w:eastAsia="Times New Roman" w:cs="Times New Roman"/>
                <w:b/>
                <w:bCs/>
                <w:color w:val="000000"/>
              </w:rPr>
              <w:t>20</w:t>
            </w:r>
            <w:r>
              <w:rPr>
                <w:rFonts w:eastAsia="Times New Roman" w:cs="Times New Roman"/>
                <w:b/>
                <w:bCs/>
                <w:color w:val="000000"/>
              </w:rPr>
              <w:t>20</w:t>
            </w:r>
          </w:p>
        </w:tc>
        <w:tc>
          <w:tcPr>
            <w:tcW w:w="1335" w:type="dxa"/>
            <w:tcBorders>
              <w:top w:val="single" w:sz="4" w:space="0" w:color="auto"/>
              <w:left w:val="single" w:sz="4" w:space="0" w:color="auto"/>
              <w:bottom w:val="single" w:sz="4" w:space="0" w:color="auto"/>
              <w:right w:val="single" w:sz="4" w:space="0" w:color="auto"/>
            </w:tcBorders>
          </w:tcPr>
          <w:p w14:paraId="2051B97B" w14:textId="77777777" w:rsidR="00257C6D" w:rsidRPr="006A7C12" w:rsidRDefault="00257C6D">
            <w:pPr>
              <w:spacing w:before="240"/>
              <w:jc w:val="center"/>
              <w:rPr>
                <w:rFonts w:eastAsia="Times New Roman" w:cs="Times New Roman"/>
                <w:b/>
                <w:bCs/>
                <w:color w:val="000000"/>
              </w:rPr>
            </w:pPr>
            <w:r>
              <w:rPr>
                <w:rFonts w:eastAsia="Times New Roman" w:cs="Times New Roman"/>
                <w:b/>
                <w:bCs/>
                <w:color w:val="000000"/>
              </w:rPr>
              <w:t>2</w:t>
            </w:r>
            <w:r>
              <w:rPr>
                <w:rFonts w:eastAsia="Times New Roman"/>
                <w:b/>
                <w:bCs/>
              </w:rPr>
              <w:t>021</w:t>
            </w:r>
          </w:p>
        </w:tc>
      </w:tr>
      <w:tr w:rsidR="00257C6D" w:rsidRPr="006A7C12" w14:paraId="1C79045F" w14:textId="77777777" w:rsidTr="003F2653">
        <w:trPr>
          <w:trHeight w:val="3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EAC5" w14:textId="77777777" w:rsidR="00257C6D" w:rsidRPr="00A43FD4" w:rsidRDefault="00257C6D">
            <w:pPr>
              <w:rPr>
                <w:rFonts w:eastAsia="Times New Roman" w:cs="Times New Roman"/>
                <w:color w:val="000000"/>
              </w:rPr>
            </w:pPr>
            <w:r w:rsidRPr="00A43FD4">
              <w:rPr>
                <w:rFonts w:eastAsia="Times New Roman" w:cs="Times New Roman"/>
                <w:color w:val="000000"/>
              </w:rPr>
              <w:t>Global</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16BA586B" w14:textId="77777777" w:rsidR="00257C6D" w:rsidRPr="006E4FAD" w:rsidRDefault="00257C6D">
            <w:pPr>
              <w:jc w:val="center"/>
              <w:rPr>
                <w:rFonts w:eastAsia="Times New Roman" w:cs="Times New Roman"/>
                <w:color w:val="000000"/>
              </w:rPr>
            </w:pPr>
            <w:r w:rsidRPr="00C94336">
              <w:rPr>
                <w:rStyle w:val="normaltextrun"/>
                <w:rFonts w:cs="Times New Roman"/>
                <w:color w:val="000000"/>
              </w:rPr>
              <w:t>36,465.</w:t>
            </w:r>
            <w:r>
              <w:rPr>
                <w:rStyle w:val="normaltextrun"/>
                <w:rFonts w:cs="Times New Roman"/>
                <w:color w:val="000000"/>
              </w:rPr>
              <w:t>6</w:t>
            </w:r>
            <w:r w:rsidRPr="00C94336">
              <w:rPr>
                <w:rStyle w:val="eop"/>
                <w:rFonts w:cs="Times New Roman"/>
                <w:color w:val="000000"/>
              </w:rPr>
              <w:t> </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05DEB3FA" w14:textId="77777777" w:rsidR="00257C6D" w:rsidRPr="006E4FAD" w:rsidRDefault="00257C6D">
            <w:pPr>
              <w:jc w:val="center"/>
              <w:rPr>
                <w:rFonts w:eastAsia="Times New Roman" w:cs="Times New Roman"/>
                <w:color w:val="000000"/>
              </w:rPr>
            </w:pPr>
            <w:r w:rsidRPr="00C94336">
              <w:rPr>
                <w:rStyle w:val="normaltextrun"/>
                <w:rFonts w:cs="Times New Roman"/>
                <w:color w:val="000000"/>
              </w:rPr>
              <w:t>36,935.6</w:t>
            </w:r>
            <w:r w:rsidRPr="00C94336">
              <w:rPr>
                <w:rStyle w:val="eop"/>
                <w:rFonts w:cs="Times New Roman"/>
                <w:color w:val="000000"/>
              </w:rPr>
              <w:t> </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14:paraId="4BAB2CA6" w14:textId="77777777" w:rsidR="00257C6D" w:rsidRPr="006E4FAD" w:rsidRDefault="00257C6D">
            <w:pPr>
              <w:jc w:val="center"/>
              <w:rPr>
                <w:rFonts w:eastAsia="Times New Roman" w:cs="Times New Roman"/>
                <w:color w:val="000000"/>
              </w:rPr>
            </w:pPr>
            <w:r w:rsidRPr="00C94336">
              <w:rPr>
                <w:rStyle w:val="normaltextrun"/>
                <w:rFonts w:cs="Times New Roman"/>
                <w:color w:val="000000"/>
              </w:rPr>
              <w:t>37,716.2</w:t>
            </w:r>
            <w:r w:rsidRPr="00C94336">
              <w:rPr>
                <w:rStyle w:val="eop"/>
                <w:rFonts w:cs="Times New Roman"/>
                <w:color w:val="000000"/>
              </w:rPr>
              <w:t> </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00DCCA4E" w14:textId="77777777" w:rsidR="00257C6D" w:rsidRPr="006E4FAD" w:rsidRDefault="00257C6D">
            <w:pPr>
              <w:jc w:val="center"/>
              <w:rPr>
                <w:rFonts w:eastAsia="Times New Roman" w:cs="Times New Roman"/>
                <w:color w:val="000000"/>
              </w:rPr>
            </w:pPr>
            <w:r w:rsidRPr="00C94336">
              <w:rPr>
                <w:rStyle w:val="normaltextrun"/>
                <w:rFonts w:cs="Times New Roman"/>
                <w:color w:val="000000"/>
              </w:rPr>
              <w:t>37,911.4</w:t>
            </w:r>
            <w:r w:rsidRPr="00C94336">
              <w:rPr>
                <w:rStyle w:val="eop"/>
                <w:rFonts w:cs="Times New Roman"/>
                <w:color w:val="000000"/>
              </w:rPr>
              <w:t> </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3149B853" w14:textId="77777777" w:rsidR="00257C6D" w:rsidRPr="006E4FAD" w:rsidRDefault="00257C6D">
            <w:pPr>
              <w:jc w:val="center"/>
              <w:rPr>
                <w:rFonts w:eastAsia="Times New Roman" w:cs="Times New Roman"/>
                <w:color w:val="000000"/>
              </w:rPr>
            </w:pPr>
            <w:r w:rsidRPr="00C94336">
              <w:rPr>
                <w:rStyle w:val="normaltextrun"/>
                <w:rFonts w:cs="Times New Roman"/>
                <w:color w:val="000000"/>
              </w:rPr>
              <w:t>35,962.9</w:t>
            </w:r>
            <w:r w:rsidRPr="00C94336">
              <w:rPr>
                <w:rStyle w:val="eop"/>
                <w:rFonts w:cs="Times New Roman"/>
                <w:color w:val="000000"/>
              </w:rPr>
              <w:t> </w:t>
            </w:r>
          </w:p>
        </w:tc>
        <w:tc>
          <w:tcPr>
            <w:tcW w:w="1335" w:type="dxa"/>
            <w:tcBorders>
              <w:top w:val="single" w:sz="4" w:space="0" w:color="auto"/>
              <w:left w:val="single" w:sz="4" w:space="0" w:color="auto"/>
              <w:bottom w:val="single" w:sz="4" w:space="0" w:color="auto"/>
              <w:right w:val="single" w:sz="4" w:space="0" w:color="auto"/>
            </w:tcBorders>
          </w:tcPr>
          <w:p w14:paraId="74312583" w14:textId="77777777" w:rsidR="00257C6D" w:rsidRPr="00C94336" w:rsidRDefault="00257C6D">
            <w:pPr>
              <w:jc w:val="center"/>
              <w:rPr>
                <w:rStyle w:val="normaltextrun"/>
                <w:rFonts w:cs="Times New Roman"/>
                <w:color w:val="000000"/>
              </w:rPr>
            </w:pPr>
            <w:r>
              <w:rPr>
                <w:rStyle w:val="normaltextrun"/>
                <w:rFonts w:cs="Times New Roman"/>
                <w:color w:val="000000"/>
              </w:rPr>
              <w:t>37,500</w:t>
            </w:r>
          </w:p>
        </w:tc>
      </w:tr>
      <w:tr w:rsidR="00257C6D" w:rsidRPr="006A7C12" w14:paraId="7A5A9564" w14:textId="77777777">
        <w:trPr>
          <w:trHeight w:val="3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9706C" w14:textId="77777777" w:rsidR="00257C6D" w:rsidRPr="00A43FD4" w:rsidRDefault="00257C6D">
            <w:pPr>
              <w:rPr>
                <w:rFonts w:eastAsia="Times New Roman" w:cs="Times New Roman"/>
                <w:color w:val="000000"/>
              </w:rPr>
            </w:pPr>
            <w:r w:rsidRPr="00A43FD4">
              <w:rPr>
                <w:rFonts w:eastAsia="Times New Roman" w:cs="Times New Roman"/>
                <w:color w:val="000000"/>
              </w:rPr>
              <w:t>U.S.</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244ADD1E" w14:textId="77777777" w:rsidR="00257C6D" w:rsidRPr="006E4FAD" w:rsidRDefault="00257C6D">
            <w:pPr>
              <w:jc w:val="center"/>
              <w:rPr>
                <w:rFonts w:eastAsia="Times New Roman" w:cs="Times New Roman"/>
                <w:color w:val="000000"/>
              </w:rPr>
            </w:pPr>
            <w:r>
              <w:rPr>
                <w:rStyle w:val="normaltextrun"/>
                <w:rFonts w:cs="Times New Roman"/>
                <w:color w:val="000000"/>
              </w:rPr>
              <w:t>4,909.9</w:t>
            </w:r>
            <w:r w:rsidRPr="00C94336">
              <w:rPr>
                <w:rStyle w:val="eop"/>
                <w:rFonts w:cs="Times New Roman"/>
                <w:color w:val="000000"/>
              </w:rPr>
              <w:t> </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6711815E" w14:textId="77777777" w:rsidR="00257C6D" w:rsidRPr="006E4FAD" w:rsidRDefault="00257C6D">
            <w:pPr>
              <w:jc w:val="center"/>
              <w:rPr>
                <w:rFonts w:eastAsia="Times New Roman" w:cs="Times New Roman"/>
                <w:color w:val="000000"/>
              </w:rPr>
            </w:pPr>
            <w:r w:rsidRPr="4475DFE2">
              <w:rPr>
                <w:rStyle w:val="normaltextrun"/>
              </w:rPr>
              <w:t>4,852.5</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14:paraId="259CD934" w14:textId="77777777" w:rsidR="00257C6D" w:rsidRPr="006E4FAD" w:rsidRDefault="00257C6D">
            <w:pPr>
              <w:jc w:val="center"/>
              <w:rPr>
                <w:rFonts w:eastAsia="Times New Roman" w:cs="Times New Roman"/>
                <w:color w:val="000000"/>
              </w:rPr>
            </w:pPr>
            <w:r>
              <w:rPr>
                <w:rStyle w:val="normaltextrun"/>
                <w:rFonts w:cs="Times New Roman"/>
                <w:color w:val="000000"/>
              </w:rPr>
              <w:t>4,989.8</w:t>
            </w:r>
            <w:r w:rsidRPr="00C94336">
              <w:rPr>
                <w:rStyle w:val="eop"/>
                <w:rFonts w:cs="Times New Roman"/>
                <w:color w:val="000000"/>
              </w:rPr>
              <w:t> </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0D456281" w14:textId="77777777" w:rsidR="00257C6D" w:rsidRPr="006E4FAD" w:rsidRDefault="00257C6D">
            <w:pPr>
              <w:jc w:val="center"/>
              <w:rPr>
                <w:rFonts w:eastAsia="Times New Roman" w:cs="Times New Roman"/>
                <w:color w:val="000000"/>
              </w:rPr>
            </w:pPr>
            <w:r>
              <w:rPr>
                <w:rStyle w:val="eop"/>
                <w:rFonts w:cs="Times New Roman"/>
                <w:color w:val="000000"/>
              </w:rPr>
              <w:t>4,855.9</w:t>
            </w:r>
          </w:p>
        </w:tc>
        <w:tc>
          <w:tcPr>
            <w:tcW w:w="1334" w:type="dxa"/>
            <w:tcBorders>
              <w:top w:val="single" w:sz="4" w:space="0" w:color="auto"/>
              <w:left w:val="nil"/>
              <w:bottom w:val="single" w:sz="4" w:space="0" w:color="auto"/>
              <w:right w:val="single" w:sz="4" w:space="0" w:color="auto"/>
            </w:tcBorders>
            <w:shd w:val="clear" w:color="auto" w:fill="auto"/>
            <w:noWrap/>
            <w:vAlign w:val="bottom"/>
            <w:hideMark/>
          </w:tcPr>
          <w:p w14:paraId="39E0B4B2" w14:textId="77777777" w:rsidR="00257C6D" w:rsidRPr="006E4FAD" w:rsidRDefault="00257C6D">
            <w:pPr>
              <w:jc w:val="center"/>
              <w:rPr>
                <w:rFonts w:eastAsia="Times New Roman" w:cs="Times New Roman"/>
                <w:color w:val="000000"/>
              </w:rPr>
            </w:pPr>
            <w:r>
              <w:rPr>
                <w:rStyle w:val="normaltextrun"/>
                <w:rFonts w:cs="Times New Roman"/>
                <w:color w:val="000000"/>
              </w:rPr>
              <w:t>4,344.9</w:t>
            </w:r>
            <w:r w:rsidRPr="00C94336">
              <w:rPr>
                <w:rStyle w:val="eop"/>
                <w:rFonts w:cs="Times New Roman"/>
                <w:color w:val="000000"/>
              </w:rPr>
              <w:t> </w:t>
            </w:r>
          </w:p>
        </w:tc>
        <w:tc>
          <w:tcPr>
            <w:tcW w:w="1335" w:type="dxa"/>
            <w:tcBorders>
              <w:top w:val="single" w:sz="4" w:space="0" w:color="auto"/>
              <w:left w:val="nil"/>
              <w:bottom w:val="single" w:sz="4" w:space="0" w:color="auto"/>
              <w:right w:val="single" w:sz="4" w:space="0" w:color="auto"/>
            </w:tcBorders>
          </w:tcPr>
          <w:p w14:paraId="7C80F597" w14:textId="77777777" w:rsidR="00257C6D" w:rsidRPr="00C94336" w:rsidDel="007B644D" w:rsidRDefault="00257C6D">
            <w:pPr>
              <w:jc w:val="center"/>
              <w:rPr>
                <w:rStyle w:val="normaltextrun"/>
                <w:rFonts w:cs="Times New Roman"/>
                <w:color w:val="000000"/>
              </w:rPr>
            </w:pPr>
            <w:r>
              <w:rPr>
                <w:rStyle w:val="normaltextrun"/>
                <w:rFonts w:cs="Times New Roman"/>
                <w:color w:val="000000"/>
              </w:rPr>
              <w:t>4,639.1</w:t>
            </w:r>
          </w:p>
        </w:tc>
      </w:tr>
      <w:tr w:rsidR="00257C6D" w:rsidRPr="006A7C12" w14:paraId="79CC9526" w14:textId="77777777" w:rsidTr="003F2653">
        <w:trPr>
          <w:trHeight w:val="300"/>
        </w:trPr>
        <w:tc>
          <w:tcPr>
            <w:tcW w:w="13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2122" w14:textId="088859D9" w:rsidR="00257C6D" w:rsidRPr="00A43FD4" w:rsidRDefault="00A23401">
            <w:pPr>
              <w:rPr>
                <w:rFonts w:eastAsia="Times New Roman" w:cs="Times New Roman"/>
                <w:color w:val="000000"/>
              </w:rPr>
            </w:pPr>
            <w:r>
              <w:rPr>
                <w:rFonts w:eastAsia="Times New Roman" w:cs="Times New Roman"/>
                <w:color w:val="000000" w:themeColor="text1"/>
              </w:rPr>
              <w:t>Utah</w:t>
            </w:r>
          </w:p>
        </w:tc>
        <w:tc>
          <w:tcPr>
            <w:tcW w:w="1334" w:type="dxa"/>
            <w:tcBorders>
              <w:top w:val="single" w:sz="4" w:space="0" w:color="auto"/>
              <w:left w:val="nil"/>
              <w:bottom w:val="single" w:sz="4" w:space="0" w:color="auto"/>
              <w:right w:val="single" w:sz="4" w:space="0" w:color="auto"/>
            </w:tcBorders>
            <w:shd w:val="clear" w:color="auto" w:fill="auto"/>
            <w:noWrap/>
            <w:vAlign w:val="bottom"/>
          </w:tcPr>
          <w:p w14:paraId="385DB5F2" w14:textId="3656A75F" w:rsidR="00257C6D" w:rsidRPr="00A43FD4" w:rsidRDefault="006F24CC">
            <w:pPr>
              <w:jc w:val="center"/>
              <w:rPr>
                <w:rFonts w:eastAsia="Times New Roman" w:cs="Times New Roman"/>
                <w:color w:val="000000"/>
              </w:rPr>
            </w:pPr>
            <w:r>
              <w:rPr>
                <w:rFonts w:eastAsia="Times New Roman" w:cs="Times New Roman"/>
                <w:color w:val="000000"/>
              </w:rPr>
              <w:t>58.</w:t>
            </w:r>
            <w:r w:rsidR="00A76AB7">
              <w:rPr>
                <w:rFonts w:eastAsia="Times New Roman" w:cs="Times New Roman"/>
                <w:color w:val="000000"/>
              </w:rPr>
              <w:t>1</w:t>
            </w:r>
          </w:p>
        </w:tc>
        <w:tc>
          <w:tcPr>
            <w:tcW w:w="1334" w:type="dxa"/>
            <w:tcBorders>
              <w:top w:val="single" w:sz="4" w:space="0" w:color="auto"/>
              <w:left w:val="nil"/>
              <w:bottom w:val="single" w:sz="4" w:space="0" w:color="auto"/>
              <w:right w:val="single" w:sz="4" w:space="0" w:color="auto"/>
            </w:tcBorders>
            <w:shd w:val="clear" w:color="auto" w:fill="auto"/>
            <w:noWrap/>
            <w:vAlign w:val="bottom"/>
          </w:tcPr>
          <w:p w14:paraId="7E19DF47" w14:textId="65FD5BEA" w:rsidR="00257C6D" w:rsidRPr="00A43FD4" w:rsidRDefault="00A76AB7">
            <w:pPr>
              <w:jc w:val="center"/>
              <w:rPr>
                <w:rFonts w:eastAsia="Times New Roman" w:cs="Times New Roman"/>
                <w:color w:val="000000"/>
              </w:rPr>
            </w:pPr>
            <w:r>
              <w:rPr>
                <w:rFonts w:eastAsia="Times New Roman" w:cs="Times New Roman"/>
                <w:color w:val="000000"/>
              </w:rPr>
              <w:t>58.2</w:t>
            </w:r>
          </w:p>
        </w:tc>
        <w:tc>
          <w:tcPr>
            <w:tcW w:w="1335" w:type="dxa"/>
            <w:tcBorders>
              <w:top w:val="single" w:sz="4" w:space="0" w:color="auto"/>
              <w:left w:val="nil"/>
              <w:bottom w:val="single" w:sz="4" w:space="0" w:color="auto"/>
              <w:right w:val="single" w:sz="4" w:space="0" w:color="auto"/>
            </w:tcBorders>
            <w:shd w:val="clear" w:color="auto" w:fill="auto"/>
            <w:noWrap/>
            <w:vAlign w:val="bottom"/>
          </w:tcPr>
          <w:p w14:paraId="41979144" w14:textId="738F829C" w:rsidR="00257C6D" w:rsidRPr="00A43FD4" w:rsidRDefault="00A76AB7">
            <w:pPr>
              <w:jc w:val="center"/>
              <w:rPr>
                <w:rFonts w:eastAsia="Times New Roman" w:cs="Times New Roman"/>
                <w:color w:val="000000"/>
              </w:rPr>
            </w:pPr>
            <w:r>
              <w:rPr>
                <w:rFonts w:eastAsia="Times New Roman" w:cs="Times New Roman"/>
                <w:color w:val="000000"/>
              </w:rPr>
              <w:t>60.0</w:t>
            </w:r>
          </w:p>
        </w:tc>
        <w:tc>
          <w:tcPr>
            <w:tcW w:w="1334" w:type="dxa"/>
            <w:tcBorders>
              <w:top w:val="single" w:sz="4" w:space="0" w:color="auto"/>
              <w:left w:val="nil"/>
              <w:bottom w:val="single" w:sz="4" w:space="0" w:color="auto"/>
              <w:right w:val="single" w:sz="4" w:space="0" w:color="auto"/>
            </w:tcBorders>
            <w:shd w:val="clear" w:color="auto" w:fill="auto"/>
            <w:noWrap/>
            <w:vAlign w:val="bottom"/>
          </w:tcPr>
          <w:p w14:paraId="6EACBBE3" w14:textId="0194AACE" w:rsidR="00257C6D" w:rsidRPr="00A43FD4" w:rsidRDefault="00A76AB7">
            <w:pPr>
              <w:jc w:val="center"/>
              <w:rPr>
                <w:rFonts w:eastAsia="Times New Roman" w:cs="Times New Roman"/>
                <w:color w:val="000000"/>
              </w:rPr>
            </w:pPr>
            <w:r>
              <w:rPr>
                <w:rFonts w:eastAsia="Times New Roman" w:cs="Times New Roman"/>
                <w:color w:val="000000"/>
              </w:rPr>
              <w:t>60.4</w:t>
            </w:r>
          </w:p>
        </w:tc>
        <w:tc>
          <w:tcPr>
            <w:tcW w:w="1334" w:type="dxa"/>
            <w:tcBorders>
              <w:top w:val="single" w:sz="4" w:space="0" w:color="auto"/>
              <w:left w:val="nil"/>
              <w:bottom w:val="single" w:sz="4" w:space="0" w:color="auto"/>
              <w:right w:val="single" w:sz="4" w:space="0" w:color="auto"/>
            </w:tcBorders>
            <w:shd w:val="clear" w:color="auto" w:fill="auto"/>
            <w:noWrap/>
            <w:vAlign w:val="bottom"/>
          </w:tcPr>
          <w:p w14:paraId="73B0D9AA" w14:textId="0F06F350" w:rsidR="00257C6D" w:rsidRPr="00A43FD4" w:rsidRDefault="00E45E3B">
            <w:pPr>
              <w:jc w:val="center"/>
              <w:rPr>
                <w:rFonts w:eastAsia="Times New Roman" w:cs="Times New Roman"/>
                <w:color w:val="000000"/>
              </w:rPr>
            </w:pPr>
            <w:r>
              <w:rPr>
                <w:rFonts w:eastAsia="Times New Roman" w:cs="Times New Roman"/>
                <w:color w:val="000000"/>
              </w:rPr>
              <w:t>56.7</w:t>
            </w:r>
          </w:p>
        </w:tc>
        <w:tc>
          <w:tcPr>
            <w:tcW w:w="1335" w:type="dxa"/>
            <w:tcBorders>
              <w:top w:val="single" w:sz="4" w:space="0" w:color="auto"/>
              <w:left w:val="single" w:sz="4" w:space="0" w:color="auto"/>
              <w:bottom w:val="single" w:sz="4" w:space="0" w:color="auto"/>
              <w:right w:val="single" w:sz="4" w:space="0" w:color="auto"/>
            </w:tcBorders>
          </w:tcPr>
          <w:p w14:paraId="629B45AB" w14:textId="32A1000B" w:rsidR="00257C6D" w:rsidRDefault="00E45E3B">
            <w:pPr>
              <w:jc w:val="center"/>
              <w:rPr>
                <w:rFonts w:eastAsia="Times New Roman" w:cs="Times New Roman"/>
                <w:color w:val="000000"/>
              </w:rPr>
            </w:pPr>
            <w:r>
              <w:rPr>
                <w:rFonts w:eastAsia="Times New Roman" w:cs="Times New Roman"/>
                <w:color w:val="000000"/>
              </w:rPr>
              <w:t>N/A</w:t>
            </w:r>
          </w:p>
        </w:tc>
      </w:tr>
    </w:tbl>
    <w:p w14:paraId="3882BF74" w14:textId="77777777" w:rsidR="00257C6D" w:rsidRDefault="00257C6D" w:rsidP="00257C6D">
      <w:pPr>
        <w:rPr>
          <w:rFonts w:cs="Times New Roman"/>
          <w:sz w:val="20"/>
          <w:szCs w:val="20"/>
        </w:rPr>
      </w:pPr>
      <w:r w:rsidRPr="5B08D518">
        <w:rPr>
          <w:rFonts w:cs="Times New Roman"/>
          <w:sz w:val="20"/>
          <w:szCs w:val="20"/>
        </w:rPr>
        <w:t>Source: Annual GHG Report, Chap. 5, Table 5-1 (Global and U.S.) and Table 5-2</w:t>
      </w:r>
      <w:r>
        <w:rPr>
          <w:rFonts w:cs="Times New Roman"/>
          <w:sz w:val="20"/>
          <w:szCs w:val="20"/>
        </w:rPr>
        <w:t xml:space="preserve"> </w:t>
      </w:r>
      <w:r w:rsidRPr="5B08D518">
        <w:rPr>
          <w:rFonts w:cs="Times New Roman"/>
          <w:sz w:val="20"/>
          <w:szCs w:val="20"/>
        </w:rPr>
        <w:t>(State).</w:t>
      </w:r>
    </w:p>
    <w:p w14:paraId="0AF7874E" w14:textId="77777777" w:rsidR="00257C6D" w:rsidRDefault="00257C6D" w:rsidP="00257C6D">
      <w:pPr>
        <w:rPr>
          <w:rFonts w:cs="Times New Roman"/>
          <w:sz w:val="20"/>
          <w:szCs w:val="20"/>
        </w:rPr>
      </w:pPr>
      <w:r>
        <w:rPr>
          <w:rFonts w:cs="Times New Roman"/>
          <w:sz w:val="20"/>
          <w:szCs w:val="20"/>
        </w:rPr>
        <w:t>Mt (</w:t>
      </w:r>
      <w:proofErr w:type="spellStart"/>
      <w:r>
        <w:rPr>
          <w:rFonts w:cs="Times New Roman"/>
          <w:sz w:val="20"/>
          <w:szCs w:val="20"/>
        </w:rPr>
        <w:t>megatonne</w:t>
      </w:r>
      <w:proofErr w:type="spellEnd"/>
      <w:r>
        <w:rPr>
          <w:rFonts w:cs="Times New Roman"/>
          <w:sz w:val="20"/>
          <w:szCs w:val="20"/>
        </w:rPr>
        <w:t xml:space="preserve">) = 1 million metric tons </w:t>
      </w:r>
    </w:p>
    <w:p w14:paraId="550E7DB9" w14:textId="77777777" w:rsidR="00257C6D" w:rsidRDefault="00257C6D" w:rsidP="00257C6D">
      <w:pPr>
        <w:rPr>
          <w:rFonts w:cs="Times New Roman"/>
          <w:sz w:val="20"/>
          <w:szCs w:val="20"/>
        </w:rPr>
      </w:pPr>
      <w:r w:rsidRPr="2106DB67">
        <w:rPr>
          <w:rFonts w:cs="Times New Roman"/>
          <w:sz w:val="20"/>
          <w:szCs w:val="20"/>
        </w:rPr>
        <w:t>NA = Not Available</w:t>
      </w:r>
    </w:p>
    <w:p w14:paraId="5F24780A" w14:textId="2C9063E4" w:rsidR="002D682D" w:rsidRPr="00863590" w:rsidRDefault="002D682D" w:rsidP="00863590">
      <w:pPr>
        <w:pStyle w:val="Subheading4"/>
        <w:rPr>
          <w:rFonts w:ascii="Times New Roman" w:hAnsi="Times New Roman" w:cs="Times New Roman"/>
        </w:rPr>
      </w:pPr>
      <w:r w:rsidRPr="003072D3">
        <w:rPr>
          <w:rFonts w:ascii="Times New Roman" w:hAnsi="Times New Roman" w:cs="Times New Roman"/>
        </w:rPr>
        <w:lastRenderedPageBreak/>
        <w:t>Environmental Effects</w:t>
      </w:r>
    </w:p>
    <w:p w14:paraId="151E11B2" w14:textId="480EC06B" w:rsidR="002D682D" w:rsidRPr="00B12D0C" w:rsidRDefault="002D682D" w:rsidP="00635802">
      <w:pPr>
        <w:pStyle w:val="Subheading4"/>
        <w:ind w:firstLine="720"/>
        <w:rPr>
          <w:rFonts w:ascii="Times New Roman" w:hAnsi="Times New Roman" w:cs="Times New Roman"/>
        </w:rPr>
      </w:pPr>
      <w:r w:rsidRPr="00B12D0C">
        <w:rPr>
          <w:rFonts w:ascii="Times New Roman" w:hAnsi="Times New Roman" w:cs="Times New Roman"/>
        </w:rPr>
        <w:t>Impacts of the Proposed Action (Alternative A)</w:t>
      </w:r>
    </w:p>
    <w:p w14:paraId="39737841" w14:textId="27BBF140" w:rsidR="00185A0D" w:rsidRPr="0092431C" w:rsidRDefault="00185A0D" w:rsidP="00185A0D">
      <w:pPr>
        <w:rPr>
          <w:rFonts w:cs="Times New Roman"/>
        </w:rPr>
      </w:pPr>
      <w:r w:rsidRPr="0216A636">
        <w:rPr>
          <w:rFonts w:cs="Times New Roman"/>
        </w:rPr>
        <w:t>While the leasing action does not directly result in development that would generate GHG emissions, emissions from future potential development of the leased parcels can be estimated for the purposes of this analysis.  There are four general phases of post-lease development processes that would generate GHG emissions: 1) well development (well site construction, well drilling, and well completion), 2) well production operations (extraction, separation, gathering), 3) mid-stream (refining, processing, storage, and transport/distribution), and 4) end-use (combustion or other uses) of the fuels produced. While well development and production operation emissions (phases 1 and 2) occur on-lease and the BLM has authority over these activities, mid-</w:t>
      </w:r>
      <w:proofErr w:type="gramStart"/>
      <w:r w:rsidRPr="0216A636">
        <w:rPr>
          <w:rFonts w:cs="Times New Roman"/>
        </w:rPr>
        <w:t>stream</w:t>
      </w:r>
      <w:proofErr w:type="gramEnd"/>
      <w:r w:rsidRPr="0216A636">
        <w:rPr>
          <w:rFonts w:cs="Times New Roman"/>
        </w:rPr>
        <w:t xml:space="preserve"> and end-use emissions (phases 3 and 4) typically occur off-lease where the BLM has </w:t>
      </w:r>
      <w:r w:rsidR="00ED0CD2">
        <w:rPr>
          <w:rFonts w:cs="Times New Roman"/>
        </w:rPr>
        <w:t xml:space="preserve">little to </w:t>
      </w:r>
      <w:r w:rsidRPr="0216A636">
        <w:rPr>
          <w:rFonts w:cs="Times New Roman"/>
        </w:rPr>
        <w:t>no authority.</w:t>
      </w:r>
    </w:p>
    <w:p w14:paraId="1DD92FAE" w14:textId="77777777" w:rsidR="00185A0D" w:rsidRPr="0092431C" w:rsidRDefault="00185A0D" w:rsidP="00185A0D">
      <w:pPr>
        <w:rPr>
          <w:rFonts w:cs="Times New Roman"/>
          <w:szCs w:val="24"/>
        </w:rPr>
      </w:pPr>
    </w:p>
    <w:p w14:paraId="3006E66D" w14:textId="636EAC11" w:rsidR="00185A0D" w:rsidRPr="0092431C" w:rsidRDefault="00185A0D" w:rsidP="00185A0D">
      <w:pPr>
        <w:rPr>
          <w:rFonts w:cs="Times New Roman"/>
        </w:rPr>
      </w:pPr>
      <w:r w:rsidRPr="779A0B5C">
        <w:rPr>
          <w:rFonts w:cs="Times New Roman"/>
        </w:rPr>
        <w:t xml:space="preserve">Emissions inventories at the leasing stage are imprecise due to uncertainties including the type of mineral development (oil, gas, or both), scale, and duration of potential development, types of equipment (drill rig engine tier rating, horsepower, fuel type), and the mitigation measures that a future operator may propose in their development plan. Due to these uncertainties, the BLM applies several assumptions to </w:t>
      </w:r>
      <w:r w:rsidRPr="2106DB67">
        <w:rPr>
          <w:rFonts w:cs="Times New Roman"/>
        </w:rPr>
        <w:t xml:space="preserve">estimate emissions at the leasing stage. The number of </w:t>
      </w:r>
      <w:r w:rsidRPr="779A0B5C">
        <w:rPr>
          <w:rFonts w:cs="Times New Roman"/>
        </w:rPr>
        <w:t xml:space="preserve">estimated well numbers per parcel are based on State data for past lease development combined with per-well drilling, development, and operating emissions data from representative wells in the area. The amount of oil or gas that may be produced if the offered parcels are developed is unknown. For purposes of estimating production and end-use emissions, potential wells are assumed to produce oil and gas in similar amounts as existing nearby wells. While the BLM has no authority to direct or regulate the end-use of the products, for this analysis, the BLM assumes all produced oil or gas </w:t>
      </w:r>
      <w:r w:rsidRPr="0216A636">
        <w:rPr>
          <w:rFonts w:cs="Times New Roman"/>
        </w:rPr>
        <w:t xml:space="preserve">will </w:t>
      </w:r>
      <w:r w:rsidRPr="779A0B5C">
        <w:rPr>
          <w:rFonts w:cs="Times New Roman"/>
        </w:rPr>
        <w:t xml:space="preserve">be combusted (such as for domestic heating or energy production). </w:t>
      </w:r>
      <w:bookmarkStart w:id="241" w:name="_Hlk85190091"/>
      <w:r w:rsidRPr="779A0B5C">
        <w:rPr>
          <w:rFonts w:cs="Times New Roman"/>
        </w:rPr>
        <w:t xml:space="preserve">The BLM acknowledges that there may be additional sources of GHG emissions along the distribution, storage, and processing chains (commonly referred to as midstream operations) associated with production from the lease parcels. These sources may include emissions of methane (a more </w:t>
      </w:r>
      <w:r w:rsidRPr="2106DB67">
        <w:rPr>
          <w:rStyle w:val="BodyTextChar"/>
        </w:rPr>
        <w:t>potent GHG than CO</w:t>
      </w:r>
      <w:r w:rsidRPr="008C2F67">
        <w:rPr>
          <w:rStyle w:val="BodyTextChar"/>
          <w:vertAlign w:val="subscript"/>
        </w:rPr>
        <w:t>2</w:t>
      </w:r>
      <w:r w:rsidRPr="2106DB67">
        <w:rPr>
          <w:rStyle w:val="BodyTextChar"/>
        </w:rPr>
        <w:t xml:space="preserve"> in the short term) from pipeline and equipment leaks, storage, and maintenance activities.  These sources of emissions are highly speculative at the leasing stage,</w:t>
      </w:r>
      <w:r w:rsidRPr="779A0B5C">
        <w:rPr>
          <w:rFonts w:cs="Times New Roman"/>
        </w:rPr>
        <w:t xml:space="preserve"> therefore, the BLM has chosen to assume that mid-stream emissions associated with lease parcels for this analysis would be similar to the national level emissions identified by the Department of Energy's National Energy Technology Laboratory </w:t>
      </w:r>
      <w:sdt>
        <w:sdtPr>
          <w:rPr>
            <w:szCs w:val="24"/>
          </w:rPr>
          <w:id w:val="-1263987019"/>
          <w:placeholder>
            <w:docPart w:val="80C9E91462F744EA9306609B6A6AFA03"/>
          </w:placeholder>
          <w:citation/>
        </w:sdtPr>
        <w:sdtContent>
          <w:r w:rsidRPr="002A7E7B">
            <w:rPr>
              <w:szCs w:val="24"/>
            </w:rPr>
            <w:fldChar w:fldCharType="begin"/>
          </w:r>
          <w:r w:rsidRPr="002A7E7B">
            <w:rPr>
              <w:szCs w:val="24"/>
            </w:rPr>
            <w:instrText xml:space="preserve"> CITATION NET09 \l 1033 </w:instrText>
          </w:r>
          <w:r w:rsidRPr="002A7E7B">
            <w:rPr>
              <w:szCs w:val="24"/>
            </w:rPr>
            <w:fldChar w:fldCharType="separate"/>
          </w:r>
          <w:r w:rsidR="0093463A" w:rsidRPr="0093463A">
            <w:rPr>
              <w:noProof/>
              <w:szCs w:val="24"/>
            </w:rPr>
            <w:t>(NETL, 2009)</w:t>
          </w:r>
          <w:r w:rsidRPr="002A7E7B">
            <w:rPr>
              <w:szCs w:val="24"/>
            </w:rPr>
            <w:fldChar w:fldCharType="end"/>
          </w:r>
        </w:sdtContent>
      </w:sdt>
      <w:sdt>
        <w:sdtPr>
          <w:rPr>
            <w:szCs w:val="24"/>
          </w:rPr>
          <w:id w:val="1496837843"/>
          <w:placeholder>
            <w:docPart w:val="80C9E91462F744EA9306609B6A6AFA03"/>
          </w:placeholder>
          <w:citation/>
        </w:sdtPr>
        <w:sdtContent>
          <w:r w:rsidRPr="002A7E7B">
            <w:rPr>
              <w:szCs w:val="24"/>
            </w:rPr>
            <w:fldChar w:fldCharType="begin"/>
          </w:r>
          <w:r w:rsidRPr="002A7E7B">
            <w:rPr>
              <w:szCs w:val="24"/>
            </w:rPr>
            <w:instrText xml:space="preserve"> CITATION NET194 \l 1033 </w:instrText>
          </w:r>
          <w:r w:rsidRPr="002A7E7B">
            <w:rPr>
              <w:szCs w:val="24"/>
            </w:rPr>
            <w:fldChar w:fldCharType="separate"/>
          </w:r>
          <w:r w:rsidR="0093463A">
            <w:rPr>
              <w:noProof/>
              <w:szCs w:val="24"/>
            </w:rPr>
            <w:t xml:space="preserve"> </w:t>
          </w:r>
          <w:r w:rsidR="0093463A" w:rsidRPr="0093463A">
            <w:rPr>
              <w:noProof/>
              <w:szCs w:val="24"/>
            </w:rPr>
            <w:t>(NETL, 2019)</w:t>
          </w:r>
          <w:r w:rsidRPr="002A7E7B">
            <w:rPr>
              <w:szCs w:val="24"/>
            </w:rPr>
            <w:fldChar w:fldCharType="end"/>
          </w:r>
        </w:sdtContent>
      </w:sdt>
      <w:r w:rsidRPr="002A7E7B">
        <w:rPr>
          <w:szCs w:val="24"/>
        </w:rPr>
        <w:t>.</w:t>
      </w:r>
      <w:r w:rsidRPr="779A0B5C">
        <w:rPr>
          <w:rFonts w:cs="Times New Roman"/>
        </w:rPr>
        <w:t xml:space="preserve"> </w:t>
      </w:r>
      <w:r w:rsidR="00D81555">
        <w:rPr>
          <w:rFonts w:cs="Times New Roman"/>
        </w:rPr>
        <w:t>Chapter</w:t>
      </w:r>
      <w:r w:rsidRPr="779A0B5C">
        <w:rPr>
          <w:rFonts w:cs="Times New Roman"/>
        </w:rPr>
        <w:t xml:space="preserve"> 6</w:t>
      </w:r>
      <w:r w:rsidR="00F74339">
        <w:rPr>
          <w:rFonts w:cs="Times New Roman"/>
        </w:rPr>
        <w:t>.5</w:t>
      </w:r>
      <w:r w:rsidRPr="779A0B5C">
        <w:rPr>
          <w:rFonts w:cs="Times New Roman"/>
        </w:rPr>
        <w:t xml:space="preserve"> of the </w:t>
      </w:r>
      <w:r w:rsidRPr="0FDA263F">
        <w:rPr>
          <w:rFonts w:cs="Times New Roman"/>
        </w:rPr>
        <w:t>Annual GHG Report</w:t>
      </w:r>
      <w:r w:rsidRPr="779A0B5C" w:rsidDel="002F176A">
        <w:rPr>
          <w:rFonts w:cs="Times New Roman"/>
        </w:rPr>
        <w:t xml:space="preserve"> </w:t>
      </w:r>
      <w:r w:rsidRPr="779A0B5C">
        <w:rPr>
          <w:rFonts w:cs="Times New Roman"/>
        </w:rPr>
        <w:t xml:space="preserve">includes a more detailed discussion of the methodology for estimating midstream emissions. </w:t>
      </w:r>
    </w:p>
    <w:p w14:paraId="13C2B0A1" w14:textId="77777777" w:rsidR="00185A0D" w:rsidRPr="0092431C" w:rsidRDefault="00185A0D" w:rsidP="00185A0D">
      <w:pPr>
        <w:rPr>
          <w:rFonts w:cs="Times New Roman"/>
          <w:szCs w:val="24"/>
        </w:rPr>
      </w:pPr>
    </w:p>
    <w:bookmarkEnd w:id="241"/>
    <w:p w14:paraId="2EFEB97A" w14:textId="77777777" w:rsidR="00185A0D" w:rsidRDefault="00185A0D" w:rsidP="00185A0D">
      <w:pPr>
        <w:rPr>
          <w:rFonts w:cs="Times New Roman"/>
        </w:rPr>
      </w:pPr>
      <w:r w:rsidRPr="0216A636">
        <w:rPr>
          <w:rFonts w:cs="Times New Roman"/>
        </w:rPr>
        <w:t>The emission estimates calculated for this analysis were generated using the assumptions previously described above in the BLM Lease Sale Emissions Tool and lease development analysis.  Emissions are presented for each of the four phases of post-lease development processes described above.</w:t>
      </w:r>
    </w:p>
    <w:p w14:paraId="7D1E3E81" w14:textId="77777777" w:rsidR="00185A0D" w:rsidRDefault="00185A0D" w:rsidP="00185A0D">
      <w:pPr>
        <w:rPr>
          <w:rFonts w:cs="Times New Roman"/>
          <w:szCs w:val="24"/>
        </w:rPr>
      </w:pPr>
    </w:p>
    <w:p w14:paraId="0C50DC1E" w14:textId="77777777" w:rsidR="00185A0D" w:rsidRPr="0092431C" w:rsidRDefault="00185A0D" w:rsidP="00185A0D">
      <w:pPr>
        <w:pStyle w:val="ListParagraph"/>
        <w:numPr>
          <w:ilvl w:val="0"/>
          <w:numId w:val="54"/>
        </w:numPr>
        <w:contextualSpacing/>
        <w:rPr>
          <w:rFonts w:cs="Times New Roman"/>
          <w:szCs w:val="24"/>
        </w:rPr>
      </w:pPr>
      <w:r w:rsidRPr="504C0D69">
        <w:rPr>
          <w:rFonts w:cs="Times New Roman"/>
          <w:szCs w:val="24"/>
        </w:rPr>
        <w:t xml:space="preserve">Well development emissions occur over a short period and </w:t>
      </w:r>
      <w:r>
        <w:rPr>
          <w:rFonts w:cs="Times New Roman"/>
          <w:szCs w:val="24"/>
        </w:rPr>
        <w:t xml:space="preserve">may </w:t>
      </w:r>
      <w:r w:rsidRPr="504C0D69">
        <w:rPr>
          <w:rFonts w:cs="Times New Roman"/>
          <w:szCs w:val="24"/>
        </w:rPr>
        <w:t>include emissions from heavy equipment and vehicle exhaust, drill rig engines, completion equipment, pipe venting, and well treatments such as hydraulic fracturing</w:t>
      </w:r>
      <w:r>
        <w:rPr>
          <w:rFonts w:cs="Times New Roman"/>
          <w:szCs w:val="24"/>
        </w:rPr>
        <w:t>.</w:t>
      </w:r>
    </w:p>
    <w:p w14:paraId="15192B1D" w14:textId="77777777" w:rsidR="00185A0D" w:rsidRDefault="00185A0D" w:rsidP="00185A0D">
      <w:pPr>
        <w:pStyle w:val="ListParagraph"/>
        <w:numPr>
          <w:ilvl w:val="0"/>
          <w:numId w:val="54"/>
        </w:numPr>
        <w:contextualSpacing/>
        <w:rPr>
          <w:rFonts w:cs="Times New Roman"/>
          <w:szCs w:val="24"/>
        </w:rPr>
      </w:pPr>
      <w:r>
        <w:rPr>
          <w:rFonts w:cs="Times New Roman"/>
          <w:szCs w:val="24"/>
        </w:rPr>
        <w:t>Well p</w:t>
      </w:r>
      <w:r w:rsidRPr="0092431C">
        <w:rPr>
          <w:rFonts w:cs="Times New Roman"/>
          <w:szCs w:val="24"/>
        </w:rPr>
        <w:t xml:space="preserve">roduction </w:t>
      </w:r>
      <w:r>
        <w:rPr>
          <w:rFonts w:cs="Times New Roman"/>
          <w:szCs w:val="24"/>
        </w:rPr>
        <w:t xml:space="preserve">operations, mid-stream, </w:t>
      </w:r>
      <w:r w:rsidRPr="0092431C">
        <w:rPr>
          <w:rFonts w:cs="Times New Roman"/>
          <w:szCs w:val="24"/>
        </w:rPr>
        <w:t xml:space="preserve">and end-use emissions occur over the entire production life of a well, which is assumed to be 30 years for this analysis based on the productive life of a typical oil/gas field. </w:t>
      </w:r>
    </w:p>
    <w:p w14:paraId="0197C491" w14:textId="77777777" w:rsidR="00185A0D" w:rsidRDefault="00185A0D" w:rsidP="00185A0D">
      <w:pPr>
        <w:pStyle w:val="ListParagraph"/>
        <w:numPr>
          <w:ilvl w:val="0"/>
          <w:numId w:val="54"/>
        </w:numPr>
        <w:contextualSpacing/>
        <w:rPr>
          <w:rFonts w:cs="Times New Roman"/>
          <w:szCs w:val="24"/>
        </w:rPr>
      </w:pPr>
      <w:r w:rsidRPr="0092431C">
        <w:rPr>
          <w:rFonts w:cs="Times New Roman"/>
          <w:szCs w:val="24"/>
        </w:rPr>
        <w:t xml:space="preserve">Production </w:t>
      </w:r>
      <w:r>
        <w:rPr>
          <w:rFonts w:cs="Times New Roman"/>
          <w:szCs w:val="24"/>
        </w:rPr>
        <w:t xml:space="preserve">operation </w:t>
      </w:r>
      <w:r w:rsidRPr="0092431C">
        <w:rPr>
          <w:rFonts w:cs="Times New Roman"/>
          <w:szCs w:val="24"/>
        </w:rPr>
        <w:t xml:space="preserve">emissions may result from storage tank breathing and flashing, truck loading, pump engines, heaters and dehydrators, pneumatic instruments or controls, flaring, fugitives, and vehicle exhaust. </w:t>
      </w:r>
    </w:p>
    <w:p w14:paraId="365C97AA" w14:textId="493FD215" w:rsidR="00185A0D" w:rsidRPr="0092431C" w:rsidRDefault="00185A0D" w:rsidP="00185A0D">
      <w:pPr>
        <w:pStyle w:val="ListParagraph"/>
        <w:numPr>
          <w:ilvl w:val="0"/>
          <w:numId w:val="54"/>
        </w:numPr>
        <w:contextualSpacing/>
        <w:rPr>
          <w:rFonts w:cs="Times New Roman"/>
          <w:szCs w:val="24"/>
        </w:rPr>
      </w:pPr>
      <w:r w:rsidRPr="504C0D69">
        <w:rPr>
          <w:rFonts w:cs="Times New Roman"/>
          <w:szCs w:val="24"/>
        </w:rPr>
        <w:t xml:space="preserve">Mid-stream emissions occur from the transport, refining, processing, storage, transmission, and distribution of produced oil and gas. Mid-stream emissions are estimated by multiplying the EUR of produced oil and gas with emissions factors from NETL life cycle analysis of U.S. oil and </w:t>
      </w:r>
      <w:r w:rsidRPr="504C0D69">
        <w:rPr>
          <w:rFonts w:cs="Times New Roman"/>
          <w:szCs w:val="24"/>
        </w:rPr>
        <w:lastRenderedPageBreak/>
        <w:t>natural gas</w:t>
      </w:r>
      <w:r>
        <w:rPr>
          <w:rFonts w:cs="Times New Roman"/>
          <w:szCs w:val="24"/>
        </w:rPr>
        <w:t xml:space="preserve">. </w:t>
      </w:r>
      <w:r w:rsidRPr="504C0D69">
        <w:rPr>
          <w:rFonts w:cs="Times New Roman"/>
          <w:szCs w:val="24"/>
        </w:rPr>
        <w:t xml:space="preserve">Additional information on emission factors can be found in the Annual GHG </w:t>
      </w:r>
      <w:r>
        <w:rPr>
          <w:rFonts w:cs="Times New Roman"/>
          <w:szCs w:val="24"/>
        </w:rPr>
        <w:t>R</w:t>
      </w:r>
      <w:r w:rsidRPr="504C0D69">
        <w:rPr>
          <w:rFonts w:cs="Times New Roman"/>
          <w:szCs w:val="24"/>
        </w:rPr>
        <w:t xml:space="preserve">eport (Chapter </w:t>
      </w:r>
      <w:r>
        <w:rPr>
          <w:rFonts w:cs="Times New Roman"/>
          <w:szCs w:val="24"/>
        </w:rPr>
        <w:t>6</w:t>
      </w:r>
      <w:r w:rsidRPr="504C0D69">
        <w:rPr>
          <w:rFonts w:cs="Times New Roman"/>
          <w:szCs w:val="24"/>
        </w:rPr>
        <w:t xml:space="preserve">, Table </w:t>
      </w:r>
      <w:r>
        <w:rPr>
          <w:rFonts w:cs="Times New Roman"/>
          <w:szCs w:val="24"/>
        </w:rPr>
        <w:t>6-8</w:t>
      </w:r>
      <w:r w:rsidRPr="504C0D69">
        <w:rPr>
          <w:rFonts w:cs="Times New Roman"/>
          <w:szCs w:val="24"/>
        </w:rPr>
        <w:t xml:space="preserve"> and </w:t>
      </w:r>
      <w:r>
        <w:rPr>
          <w:rFonts w:cs="Times New Roman"/>
          <w:szCs w:val="24"/>
        </w:rPr>
        <w:t>6-10</w:t>
      </w:r>
      <w:r w:rsidRPr="504C0D69">
        <w:rPr>
          <w:rFonts w:cs="Times New Roman"/>
          <w:szCs w:val="24"/>
        </w:rPr>
        <w:t>).</w:t>
      </w:r>
    </w:p>
    <w:p w14:paraId="193315F3" w14:textId="77777777" w:rsidR="00185A0D" w:rsidRDefault="00185A0D" w:rsidP="00185A0D">
      <w:pPr>
        <w:pStyle w:val="ListParagraph"/>
        <w:numPr>
          <w:ilvl w:val="0"/>
          <w:numId w:val="54"/>
        </w:numPr>
        <w:contextualSpacing/>
        <w:rPr>
          <w:rFonts w:cs="Times New Roman"/>
          <w:szCs w:val="24"/>
        </w:rPr>
      </w:pPr>
      <w:r w:rsidRPr="504C0D69">
        <w:rPr>
          <w:rFonts w:cs="Times New Roman"/>
          <w:szCs w:val="24"/>
        </w:rPr>
        <w:t>For the purposes of this analy</w:t>
      </w:r>
      <w:r>
        <w:rPr>
          <w:rFonts w:cs="Times New Roman"/>
          <w:szCs w:val="24"/>
        </w:rPr>
        <w:t>s</w:t>
      </w:r>
      <w:r w:rsidRPr="504C0D69">
        <w:rPr>
          <w:rFonts w:cs="Times New Roman"/>
          <w:szCs w:val="24"/>
        </w:rPr>
        <w:t>is,</w:t>
      </w:r>
      <w:r>
        <w:rPr>
          <w:rFonts w:cs="Times New Roman"/>
          <w:szCs w:val="24"/>
        </w:rPr>
        <w:t xml:space="preserve"> </w:t>
      </w:r>
      <w:r w:rsidRPr="504C0D69">
        <w:rPr>
          <w:rFonts w:cs="Times New Roman"/>
          <w:szCs w:val="24"/>
        </w:rPr>
        <w:t xml:space="preserve">end-use emissions are calculated assuming all produced oil and gas is combusted for energy use. End-use emissions are estimated by multiplying the EUR of produced oil and gas with emissions factors for combustion established by the EPA (Tables C-1 and C-2 to Subpart C of 40 CFR § 98).  Additional information on emission factors and EUR factors can be found in the Annual GHG Report (Chapter </w:t>
      </w:r>
      <w:r>
        <w:rPr>
          <w:rFonts w:cs="Times New Roman"/>
          <w:szCs w:val="24"/>
        </w:rPr>
        <w:t>6</w:t>
      </w:r>
      <w:r w:rsidRPr="504C0D69">
        <w:rPr>
          <w:rFonts w:cs="Times New Roman"/>
          <w:szCs w:val="24"/>
        </w:rPr>
        <w:t xml:space="preserve">).  </w:t>
      </w:r>
    </w:p>
    <w:p w14:paraId="57DDCB44" w14:textId="77777777" w:rsidR="00185A0D" w:rsidRDefault="00185A0D" w:rsidP="00185A0D">
      <w:pPr>
        <w:rPr>
          <w:rFonts w:cs="Times New Roman"/>
          <w:szCs w:val="24"/>
        </w:rPr>
      </w:pPr>
    </w:p>
    <w:p w14:paraId="72CBCE2F" w14:textId="71023EF4" w:rsidR="00185A0D" w:rsidRPr="00BA6252" w:rsidRDefault="007906E9" w:rsidP="00185A0D">
      <w:pPr>
        <w:rPr>
          <w:rFonts w:cs="Times New Roman"/>
          <w:szCs w:val="24"/>
        </w:rPr>
      </w:pPr>
      <w:r>
        <w:rPr>
          <w:rFonts w:cs="Times New Roman"/>
          <w:szCs w:val="24"/>
          <w:highlight w:val="yellow"/>
        </w:rPr>
        <w:fldChar w:fldCharType="begin"/>
      </w:r>
      <w:r>
        <w:rPr>
          <w:rFonts w:cs="Times New Roman"/>
          <w:szCs w:val="24"/>
          <w:highlight w:val="yellow"/>
        </w:rPr>
        <w:instrText xml:space="preserve"> REF _Ref164952366 \h </w:instrText>
      </w:r>
      <w:r>
        <w:rPr>
          <w:rFonts w:cs="Times New Roman"/>
          <w:szCs w:val="24"/>
          <w:highlight w:val="yellow"/>
        </w:rPr>
      </w:r>
      <w:r>
        <w:rPr>
          <w:rFonts w:cs="Times New Roman"/>
          <w:szCs w:val="24"/>
          <w:highlight w:val="yellow"/>
        </w:rPr>
        <w:fldChar w:fldCharType="separate"/>
      </w:r>
      <w:r>
        <w:t xml:space="preserve">Table </w:t>
      </w:r>
      <w:r>
        <w:rPr>
          <w:noProof/>
        </w:rPr>
        <w:t>9</w:t>
      </w:r>
      <w:r>
        <w:rPr>
          <w:rFonts w:cs="Times New Roman"/>
          <w:szCs w:val="24"/>
          <w:highlight w:val="yellow"/>
        </w:rPr>
        <w:fldChar w:fldCharType="end"/>
      </w:r>
      <w:r w:rsidR="00185A0D" w:rsidRPr="00FD4FFF">
        <w:rPr>
          <w:rFonts w:cs="Times New Roman"/>
          <w:szCs w:val="24"/>
        </w:rPr>
        <w:t xml:space="preserve"> </w:t>
      </w:r>
      <w:r w:rsidR="00185A0D">
        <w:rPr>
          <w:rFonts w:cs="Times New Roman"/>
          <w:szCs w:val="24"/>
        </w:rPr>
        <w:t>shows the</w:t>
      </w:r>
      <w:r w:rsidR="00185A0D" w:rsidRPr="00FD4FFF">
        <w:rPr>
          <w:rFonts w:cs="Times New Roman"/>
          <w:szCs w:val="24"/>
        </w:rPr>
        <w:t xml:space="preserve"> </w:t>
      </w:r>
      <w:r w:rsidR="00185A0D">
        <w:rPr>
          <w:rFonts w:cs="Times New Roman"/>
          <w:szCs w:val="24"/>
        </w:rPr>
        <w:t xml:space="preserve">estimated </w:t>
      </w:r>
      <w:r w:rsidR="00185A0D" w:rsidRPr="00FD4FFF">
        <w:rPr>
          <w:rFonts w:cs="Times New Roman"/>
          <w:szCs w:val="24"/>
        </w:rPr>
        <w:t xml:space="preserve">maximum year and average year </w:t>
      </w:r>
      <w:r w:rsidR="00185A0D">
        <w:rPr>
          <w:rFonts w:cs="Times New Roman"/>
          <w:szCs w:val="24"/>
        </w:rPr>
        <w:t xml:space="preserve">GHG </w:t>
      </w:r>
      <w:r w:rsidR="00185A0D" w:rsidRPr="00FD4FFF">
        <w:rPr>
          <w:rFonts w:cs="Times New Roman"/>
          <w:szCs w:val="24"/>
        </w:rPr>
        <w:t>emissions over the life of the lease</w:t>
      </w:r>
      <w:r w:rsidR="00185A0D">
        <w:rPr>
          <w:rFonts w:cs="Times New Roman"/>
          <w:szCs w:val="24"/>
        </w:rPr>
        <w:t xml:space="preserve"> for both 100-yr and 20-yr global warming potentials (GWP)</w:t>
      </w:r>
      <w:r w:rsidR="00185A0D" w:rsidRPr="00FD4FFF">
        <w:rPr>
          <w:rFonts w:cs="Times New Roman"/>
          <w:szCs w:val="24"/>
        </w:rPr>
        <w:t xml:space="preserve">.  </w:t>
      </w:r>
      <w:r w:rsidR="00185A0D">
        <w:rPr>
          <w:rFonts w:cs="Times New Roman"/>
          <w:szCs w:val="24"/>
        </w:rPr>
        <w:t>Section 3.4 of the Annual GHG Report provides a detailed explanation of GWP.</w:t>
      </w:r>
    </w:p>
    <w:p w14:paraId="0FB1E327" w14:textId="77777777" w:rsidR="00185A0D" w:rsidRDefault="00185A0D" w:rsidP="00185A0D">
      <w:pPr>
        <w:rPr>
          <w:rFonts w:cs="Times New Roman"/>
          <w:szCs w:val="24"/>
        </w:rPr>
      </w:pPr>
    </w:p>
    <w:p w14:paraId="541F7AA2" w14:textId="22178AFB" w:rsidR="006F5292" w:rsidRDefault="006F5292" w:rsidP="006F5292">
      <w:pPr>
        <w:pStyle w:val="Caption"/>
      </w:pPr>
      <w:bookmarkStart w:id="242" w:name="_Ref164952366"/>
      <w:bookmarkStart w:id="243" w:name="_Toc179464303"/>
      <w:bookmarkStart w:id="244" w:name="_Toc170114958"/>
      <w:r>
        <w:t xml:space="preserve">Table </w:t>
      </w:r>
      <w:r w:rsidR="00BB3F01">
        <w:fldChar w:fldCharType="begin"/>
      </w:r>
      <w:r w:rsidR="00BB3F01">
        <w:instrText xml:space="preserve"> SEQ Table \* ARABIC </w:instrText>
      </w:r>
      <w:r w:rsidR="00BB3F01">
        <w:fldChar w:fldCharType="separate"/>
      </w:r>
      <w:r w:rsidR="00BB3F01">
        <w:rPr>
          <w:noProof/>
        </w:rPr>
        <w:t>22</w:t>
      </w:r>
      <w:r w:rsidR="00BB3F01">
        <w:rPr>
          <w:noProof/>
        </w:rPr>
        <w:fldChar w:fldCharType="end"/>
      </w:r>
      <w:bookmarkEnd w:id="242"/>
      <w:r>
        <w:t xml:space="preserve"> </w:t>
      </w:r>
      <w:r w:rsidRPr="008A6493">
        <w:t>Estimated Direct and Indirect Emissions from Lease Parcels on an Annual and Life of Lease Basis (</w:t>
      </w:r>
      <w:proofErr w:type="spellStart"/>
      <w:r w:rsidRPr="008A6493">
        <w:t>tonnes</w:t>
      </w:r>
      <w:proofErr w:type="spellEnd"/>
      <w:r w:rsidRPr="008A6493">
        <w:t>)</w:t>
      </w:r>
      <w:bookmarkEnd w:id="243"/>
      <w:bookmarkEnd w:id="244"/>
    </w:p>
    <w:tbl>
      <w:tblPr>
        <w:tblW w:w="9540" w:type="dxa"/>
        <w:tblInd w:w="-5" w:type="dxa"/>
        <w:tblLayout w:type="fixed"/>
        <w:tblLook w:val="04A0" w:firstRow="1" w:lastRow="0" w:firstColumn="1" w:lastColumn="0" w:noHBand="0" w:noVBand="1"/>
      </w:tblPr>
      <w:tblGrid>
        <w:gridCol w:w="2336"/>
        <w:gridCol w:w="1444"/>
        <w:gridCol w:w="1440"/>
        <w:gridCol w:w="1350"/>
        <w:gridCol w:w="1530"/>
        <w:gridCol w:w="1440"/>
      </w:tblGrid>
      <w:tr w:rsidR="0032022B" w:rsidRPr="006A0EF7" w14:paraId="189030DB" w14:textId="77777777">
        <w:trPr>
          <w:trHeight w:val="585"/>
        </w:trPr>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EF0E" w14:textId="77777777" w:rsidR="00185A0D" w:rsidRPr="00056D04" w:rsidRDefault="00185A0D">
            <w:pPr>
              <w:rPr>
                <w:rFonts w:eastAsia="Times New Roman" w:cs="Times New Roman"/>
                <w:b/>
                <w:bCs/>
                <w:color w:val="000000"/>
              </w:rPr>
            </w:pPr>
            <w:r w:rsidRPr="00056D04">
              <w:rPr>
                <w:rFonts w:eastAsia="Times New Roman" w:cs="Times New Roman"/>
                <w:b/>
                <w:bCs/>
                <w:color w:val="000000"/>
              </w:rPr>
              <w:t> </w:t>
            </w:r>
          </w:p>
        </w:tc>
        <w:tc>
          <w:tcPr>
            <w:tcW w:w="1444" w:type="dxa"/>
            <w:tcBorders>
              <w:top w:val="single" w:sz="4" w:space="0" w:color="auto"/>
              <w:left w:val="nil"/>
              <w:bottom w:val="nil"/>
              <w:right w:val="single" w:sz="4" w:space="0" w:color="auto"/>
            </w:tcBorders>
            <w:shd w:val="clear" w:color="auto" w:fill="auto"/>
            <w:noWrap/>
            <w:vAlign w:val="bottom"/>
            <w:hideMark/>
          </w:tcPr>
          <w:p w14:paraId="1C45D2E4"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CO</w:t>
            </w:r>
            <w:r w:rsidRPr="00056D04">
              <w:rPr>
                <w:rFonts w:eastAsia="Times New Roman" w:cs="Times New Roman"/>
                <w:b/>
                <w:bCs/>
                <w:color w:val="000000"/>
                <w:vertAlign w:val="subscript"/>
              </w:rPr>
              <w:t>2</w:t>
            </w:r>
          </w:p>
        </w:tc>
        <w:tc>
          <w:tcPr>
            <w:tcW w:w="1440" w:type="dxa"/>
            <w:tcBorders>
              <w:top w:val="single" w:sz="4" w:space="0" w:color="auto"/>
              <w:left w:val="single" w:sz="4" w:space="0" w:color="auto"/>
              <w:bottom w:val="nil"/>
              <w:right w:val="nil"/>
            </w:tcBorders>
            <w:shd w:val="clear" w:color="auto" w:fill="auto"/>
            <w:noWrap/>
            <w:vAlign w:val="bottom"/>
            <w:hideMark/>
          </w:tcPr>
          <w:p w14:paraId="3DB83066"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CH</w:t>
            </w:r>
            <w:r w:rsidRPr="00056D04">
              <w:rPr>
                <w:rFonts w:eastAsia="Times New Roman" w:cs="Times New Roman"/>
                <w:b/>
                <w:bCs/>
                <w:color w:val="000000"/>
                <w:vertAlign w:val="subscript"/>
              </w:rPr>
              <w:t>4</w:t>
            </w:r>
          </w:p>
        </w:tc>
        <w:tc>
          <w:tcPr>
            <w:tcW w:w="1350" w:type="dxa"/>
            <w:tcBorders>
              <w:top w:val="single" w:sz="4" w:space="0" w:color="auto"/>
              <w:left w:val="nil"/>
              <w:bottom w:val="nil"/>
              <w:right w:val="nil"/>
            </w:tcBorders>
            <w:shd w:val="clear" w:color="auto" w:fill="auto"/>
            <w:noWrap/>
            <w:vAlign w:val="bottom"/>
            <w:hideMark/>
          </w:tcPr>
          <w:p w14:paraId="5E257C0A"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N</w:t>
            </w:r>
            <w:r w:rsidRPr="00056D04">
              <w:rPr>
                <w:rFonts w:eastAsia="Times New Roman" w:cs="Times New Roman"/>
                <w:b/>
                <w:bCs/>
                <w:color w:val="000000"/>
                <w:vertAlign w:val="subscript"/>
              </w:rPr>
              <w:t>2</w:t>
            </w:r>
            <w:r w:rsidRPr="00056D04">
              <w:rPr>
                <w:rFonts w:eastAsia="Times New Roman" w:cs="Times New Roman"/>
                <w:b/>
                <w:bCs/>
                <w:color w:val="000000"/>
              </w:rPr>
              <w:t>O</w:t>
            </w:r>
          </w:p>
        </w:tc>
        <w:tc>
          <w:tcPr>
            <w:tcW w:w="1530" w:type="dxa"/>
            <w:tcBorders>
              <w:top w:val="single" w:sz="4" w:space="0" w:color="auto"/>
              <w:left w:val="single" w:sz="4" w:space="0" w:color="auto"/>
              <w:bottom w:val="nil"/>
              <w:right w:val="single" w:sz="4" w:space="0" w:color="auto"/>
            </w:tcBorders>
            <w:shd w:val="clear" w:color="auto" w:fill="auto"/>
            <w:vAlign w:val="bottom"/>
            <w:hideMark/>
          </w:tcPr>
          <w:p w14:paraId="5F14744E"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CO</w:t>
            </w:r>
            <w:r w:rsidRPr="00056D04">
              <w:rPr>
                <w:rFonts w:eastAsia="Times New Roman" w:cs="Times New Roman"/>
                <w:b/>
                <w:bCs/>
                <w:color w:val="000000"/>
                <w:vertAlign w:val="subscript"/>
              </w:rPr>
              <w:t>2</w:t>
            </w:r>
            <w:r w:rsidRPr="00056D04">
              <w:rPr>
                <w:rFonts w:eastAsia="Times New Roman" w:cs="Times New Roman"/>
                <w:b/>
                <w:bCs/>
                <w:color w:val="000000"/>
              </w:rPr>
              <w:t xml:space="preserve">e </w:t>
            </w:r>
            <w:r w:rsidRPr="00056D04">
              <w:rPr>
                <w:rFonts w:eastAsia="Times New Roman" w:cs="Times New Roman"/>
                <w:b/>
                <w:bCs/>
                <w:color w:val="000000"/>
              </w:rPr>
              <w:br/>
              <w:t>(100-yr)</w:t>
            </w:r>
          </w:p>
        </w:tc>
        <w:tc>
          <w:tcPr>
            <w:tcW w:w="1440" w:type="dxa"/>
            <w:tcBorders>
              <w:top w:val="single" w:sz="4" w:space="0" w:color="auto"/>
              <w:left w:val="single" w:sz="4" w:space="0" w:color="auto"/>
              <w:bottom w:val="nil"/>
              <w:right w:val="single" w:sz="4" w:space="0" w:color="auto"/>
            </w:tcBorders>
            <w:shd w:val="clear" w:color="auto" w:fill="auto"/>
            <w:vAlign w:val="bottom"/>
            <w:hideMark/>
          </w:tcPr>
          <w:p w14:paraId="2EBECB06"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CO</w:t>
            </w:r>
            <w:r w:rsidRPr="00056D04">
              <w:rPr>
                <w:rFonts w:eastAsia="Times New Roman" w:cs="Times New Roman"/>
                <w:b/>
                <w:bCs/>
                <w:color w:val="000000"/>
                <w:vertAlign w:val="subscript"/>
              </w:rPr>
              <w:t>2</w:t>
            </w:r>
            <w:r w:rsidRPr="00056D04">
              <w:rPr>
                <w:rFonts w:eastAsia="Times New Roman" w:cs="Times New Roman"/>
                <w:b/>
                <w:bCs/>
                <w:color w:val="000000"/>
              </w:rPr>
              <w:t xml:space="preserve">e </w:t>
            </w:r>
            <w:r w:rsidRPr="00056D04">
              <w:rPr>
                <w:rFonts w:eastAsia="Times New Roman" w:cs="Times New Roman"/>
                <w:b/>
                <w:bCs/>
                <w:color w:val="000000"/>
              </w:rPr>
              <w:br/>
              <w:t>(20-yr)</w:t>
            </w:r>
          </w:p>
        </w:tc>
      </w:tr>
      <w:tr w:rsidR="00C5278A" w:rsidRPr="006A0EF7" w14:paraId="441071F7" w14:textId="77777777">
        <w:trPr>
          <w:trHeight w:val="300"/>
        </w:trPr>
        <w:tc>
          <w:tcPr>
            <w:tcW w:w="2336" w:type="dxa"/>
            <w:tcBorders>
              <w:top w:val="nil"/>
              <w:left w:val="single" w:sz="4" w:space="0" w:color="auto"/>
              <w:bottom w:val="single" w:sz="4" w:space="0" w:color="auto"/>
              <w:right w:val="nil"/>
            </w:tcBorders>
            <w:shd w:val="clear" w:color="auto" w:fill="auto"/>
            <w:noWrap/>
            <w:vAlign w:val="bottom"/>
            <w:hideMark/>
          </w:tcPr>
          <w:p w14:paraId="7C9AC71C"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Max Year</w:t>
            </w:r>
          </w:p>
        </w:tc>
        <w:tc>
          <w:tcPr>
            <w:tcW w:w="1444" w:type="dxa"/>
            <w:tcBorders>
              <w:top w:val="single" w:sz="4" w:space="0" w:color="auto"/>
              <w:left w:val="single" w:sz="4" w:space="0" w:color="auto"/>
              <w:bottom w:val="single" w:sz="4" w:space="0" w:color="auto"/>
              <w:right w:val="single" w:sz="4" w:space="0" w:color="auto"/>
            </w:tcBorders>
            <w:shd w:val="clear" w:color="auto" w:fill="auto"/>
            <w:noWrap/>
          </w:tcPr>
          <w:p w14:paraId="58D5688B" w14:textId="477F4F78" w:rsidR="00185A0D" w:rsidRPr="00056D04" w:rsidRDefault="00D02F0D">
            <w:pPr>
              <w:jc w:val="center"/>
              <w:rPr>
                <w:rFonts w:eastAsia="Times New Roman" w:cs="Times New Roman"/>
                <w:color w:val="000000"/>
              </w:rPr>
            </w:pPr>
            <w:r>
              <w:rPr>
                <w:rFonts w:eastAsia="Times New Roman" w:cs="Times New Roman"/>
                <w:color w:val="000000"/>
              </w:rPr>
              <w:t>594,538</w:t>
            </w:r>
          </w:p>
        </w:tc>
        <w:tc>
          <w:tcPr>
            <w:tcW w:w="1440" w:type="dxa"/>
            <w:tcBorders>
              <w:top w:val="single" w:sz="4" w:space="0" w:color="auto"/>
              <w:left w:val="single" w:sz="4" w:space="0" w:color="auto"/>
              <w:bottom w:val="single" w:sz="4" w:space="0" w:color="auto"/>
              <w:right w:val="nil"/>
            </w:tcBorders>
            <w:shd w:val="clear" w:color="auto" w:fill="auto"/>
            <w:noWrap/>
          </w:tcPr>
          <w:p w14:paraId="0E188194" w14:textId="442E50E2" w:rsidR="00185A0D" w:rsidRPr="00056D04" w:rsidRDefault="00302D5F">
            <w:pPr>
              <w:jc w:val="center"/>
              <w:rPr>
                <w:rFonts w:eastAsia="Times New Roman" w:cs="Times New Roman"/>
                <w:color w:val="000000"/>
              </w:rPr>
            </w:pPr>
            <w:r>
              <w:rPr>
                <w:rFonts w:eastAsia="Times New Roman" w:cs="Times New Roman"/>
                <w:color w:val="000000"/>
              </w:rPr>
              <w:t>1,292.94</w:t>
            </w:r>
          </w:p>
        </w:tc>
        <w:tc>
          <w:tcPr>
            <w:tcW w:w="1350" w:type="dxa"/>
            <w:tcBorders>
              <w:top w:val="single" w:sz="4" w:space="0" w:color="auto"/>
              <w:left w:val="nil"/>
              <w:bottom w:val="single" w:sz="4" w:space="0" w:color="auto"/>
              <w:right w:val="single" w:sz="4" w:space="0" w:color="auto"/>
            </w:tcBorders>
            <w:shd w:val="clear" w:color="auto" w:fill="auto"/>
            <w:noWrap/>
          </w:tcPr>
          <w:p w14:paraId="5D2FBF84" w14:textId="04FD6931" w:rsidR="00185A0D" w:rsidRPr="00056D04" w:rsidRDefault="00302D5F">
            <w:pPr>
              <w:jc w:val="center"/>
              <w:rPr>
                <w:rFonts w:eastAsia="Times New Roman" w:cs="Times New Roman"/>
                <w:color w:val="000000"/>
              </w:rPr>
            </w:pPr>
            <w:r>
              <w:rPr>
                <w:rFonts w:eastAsia="Times New Roman" w:cs="Times New Roman"/>
                <w:color w:val="000000"/>
              </w:rPr>
              <w:t>2.488</w:t>
            </w:r>
          </w:p>
        </w:tc>
        <w:tc>
          <w:tcPr>
            <w:tcW w:w="1530" w:type="dxa"/>
            <w:tcBorders>
              <w:top w:val="single" w:sz="4" w:space="0" w:color="auto"/>
              <w:left w:val="nil"/>
              <w:bottom w:val="single" w:sz="4" w:space="0" w:color="auto"/>
              <w:right w:val="single" w:sz="4" w:space="0" w:color="auto"/>
            </w:tcBorders>
            <w:shd w:val="clear" w:color="auto" w:fill="auto"/>
            <w:noWrap/>
          </w:tcPr>
          <w:p w14:paraId="0BD30000" w14:textId="45BAD9C4" w:rsidR="00185A0D" w:rsidRPr="00056D04" w:rsidRDefault="008615FC">
            <w:pPr>
              <w:jc w:val="center"/>
              <w:rPr>
                <w:rFonts w:eastAsia="Times New Roman" w:cs="Times New Roman"/>
                <w:color w:val="000000"/>
              </w:rPr>
            </w:pPr>
            <w:r>
              <w:rPr>
                <w:rFonts w:eastAsia="Times New Roman" w:cs="Times New Roman"/>
                <w:color w:val="000000"/>
              </w:rPr>
              <w:t>633,747</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8B3B9B2" w14:textId="0E09F3B0" w:rsidR="00185A0D" w:rsidRPr="00056D04" w:rsidRDefault="008615FC">
            <w:pPr>
              <w:jc w:val="center"/>
              <w:rPr>
                <w:rFonts w:eastAsia="Times New Roman" w:cs="Times New Roman"/>
                <w:color w:val="000000"/>
              </w:rPr>
            </w:pPr>
            <w:r>
              <w:rPr>
                <w:rFonts w:eastAsia="Times New Roman" w:cs="Times New Roman"/>
                <w:color w:val="000000"/>
              </w:rPr>
              <w:t>701,885</w:t>
            </w:r>
          </w:p>
        </w:tc>
      </w:tr>
      <w:tr w:rsidR="00C5278A" w:rsidRPr="006A0EF7" w14:paraId="43107DF8" w14:textId="77777777">
        <w:trPr>
          <w:trHeight w:val="300"/>
        </w:trPr>
        <w:tc>
          <w:tcPr>
            <w:tcW w:w="2336" w:type="dxa"/>
            <w:tcBorders>
              <w:top w:val="single" w:sz="4" w:space="0" w:color="auto"/>
              <w:left w:val="single" w:sz="4" w:space="0" w:color="auto"/>
              <w:bottom w:val="single" w:sz="4" w:space="0" w:color="auto"/>
              <w:right w:val="nil"/>
            </w:tcBorders>
            <w:shd w:val="clear" w:color="auto" w:fill="auto"/>
            <w:noWrap/>
            <w:vAlign w:val="bottom"/>
            <w:hideMark/>
          </w:tcPr>
          <w:p w14:paraId="1147DE97"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Average Year</w:t>
            </w:r>
          </w:p>
        </w:tc>
        <w:tc>
          <w:tcPr>
            <w:tcW w:w="1444" w:type="dxa"/>
            <w:tcBorders>
              <w:top w:val="single" w:sz="4" w:space="0" w:color="auto"/>
              <w:left w:val="single" w:sz="4" w:space="0" w:color="auto"/>
              <w:bottom w:val="nil"/>
              <w:right w:val="single" w:sz="4" w:space="0" w:color="auto"/>
            </w:tcBorders>
            <w:shd w:val="clear" w:color="auto" w:fill="auto"/>
            <w:noWrap/>
          </w:tcPr>
          <w:p w14:paraId="0D330DD1" w14:textId="6FDA2867" w:rsidR="00185A0D" w:rsidRPr="00056D04" w:rsidRDefault="00D02F0D">
            <w:pPr>
              <w:jc w:val="center"/>
              <w:rPr>
                <w:rFonts w:eastAsia="Times New Roman" w:cs="Times New Roman"/>
                <w:color w:val="000000"/>
              </w:rPr>
            </w:pPr>
            <w:r>
              <w:rPr>
                <w:rFonts w:eastAsia="Times New Roman" w:cs="Times New Roman"/>
                <w:color w:val="000000"/>
              </w:rPr>
              <w:t>178,900</w:t>
            </w:r>
          </w:p>
        </w:tc>
        <w:tc>
          <w:tcPr>
            <w:tcW w:w="1440" w:type="dxa"/>
            <w:tcBorders>
              <w:top w:val="single" w:sz="4" w:space="0" w:color="auto"/>
              <w:left w:val="single" w:sz="4" w:space="0" w:color="auto"/>
              <w:bottom w:val="nil"/>
              <w:right w:val="nil"/>
            </w:tcBorders>
            <w:shd w:val="clear" w:color="auto" w:fill="auto"/>
            <w:noWrap/>
          </w:tcPr>
          <w:p w14:paraId="7AA5BEEC" w14:textId="77041934" w:rsidR="00185A0D" w:rsidRPr="00056D04" w:rsidRDefault="00302D5F">
            <w:pPr>
              <w:jc w:val="center"/>
              <w:rPr>
                <w:rFonts w:eastAsia="Times New Roman" w:cs="Times New Roman"/>
                <w:color w:val="000000"/>
              </w:rPr>
            </w:pPr>
            <w:r>
              <w:rPr>
                <w:rFonts w:eastAsia="Times New Roman" w:cs="Times New Roman"/>
                <w:color w:val="000000"/>
              </w:rPr>
              <w:t>400.13</w:t>
            </w:r>
          </w:p>
        </w:tc>
        <w:tc>
          <w:tcPr>
            <w:tcW w:w="1350" w:type="dxa"/>
            <w:tcBorders>
              <w:top w:val="single" w:sz="4" w:space="0" w:color="auto"/>
              <w:left w:val="nil"/>
              <w:bottom w:val="nil"/>
              <w:right w:val="single" w:sz="4" w:space="0" w:color="auto"/>
            </w:tcBorders>
            <w:shd w:val="clear" w:color="auto" w:fill="auto"/>
            <w:noWrap/>
          </w:tcPr>
          <w:p w14:paraId="439A662F" w14:textId="78E0A86B" w:rsidR="00185A0D" w:rsidRPr="00056D04" w:rsidRDefault="00302D5F">
            <w:pPr>
              <w:jc w:val="center"/>
              <w:rPr>
                <w:rFonts w:eastAsia="Times New Roman" w:cs="Times New Roman"/>
                <w:color w:val="000000"/>
              </w:rPr>
            </w:pPr>
            <w:r>
              <w:rPr>
                <w:rFonts w:eastAsia="Times New Roman" w:cs="Times New Roman"/>
                <w:color w:val="000000"/>
              </w:rPr>
              <w:t>0.732</w:t>
            </w:r>
          </w:p>
        </w:tc>
        <w:tc>
          <w:tcPr>
            <w:tcW w:w="1530" w:type="dxa"/>
            <w:tcBorders>
              <w:top w:val="single" w:sz="4" w:space="0" w:color="auto"/>
              <w:left w:val="nil"/>
              <w:bottom w:val="nil"/>
              <w:right w:val="single" w:sz="4" w:space="0" w:color="auto"/>
            </w:tcBorders>
            <w:shd w:val="clear" w:color="auto" w:fill="auto"/>
            <w:noWrap/>
          </w:tcPr>
          <w:p w14:paraId="154EFC0F" w14:textId="73AE1C66" w:rsidR="00185A0D" w:rsidRPr="00056D04" w:rsidRDefault="008615FC">
            <w:pPr>
              <w:jc w:val="center"/>
              <w:rPr>
                <w:rFonts w:eastAsia="Times New Roman" w:cs="Times New Roman"/>
                <w:color w:val="000000"/>
              </w:rPr>
            </w:pPr>
            <w:r>
              <w:rPr>
                <w:rFonts w:eastAsia="Times New Roman" w:cs="Times New Roman"/>
                <w:color w:val="000000"/>
              </w:rPr>
              <w:t>191,023</w:t>
            </w:r>
          </w:p>
        </w:tc>
        <w:tc>
          <w:tcPr>
            <w:tcW w:w="1440" w:type="dxa"/>
            <w:tcBorders>
              <w:top w:val="single" w:sz="4" w:space="0" w:color="auto"/>
              <w:left w:val="single" w:sz="4" w:space="0" w:color="auto"/>
              <w:bottom w:val="nil"/>
              <w:right w:val="single" w:sz="4" w:space="0" w:color="auto"/>
            </w:tcBorders>
            <w:shd w:val="clear" w:color="auto" w:fill="auto"/>
            <w:noWrap/>
          </w:tcPr>
          <w:p w14:paraId="12287CE8" w14:textId="40B7C52B" w:rsidR="00185A0D" w:rsidRPr="00056D04" w:rsidRDefault="008615FC">
            <w:pPr>
              <w:jc w:val="center"/>
              <w:rPr>
                <w:rFonts w:eastAsia="Times New Roman" w:cs="Times New Roman"/>
                <w:color w:val="000000"/>
              </w:rPr>
            </w:pPr>
            <w:r>
              <w:rPr>
                <w:rFonts w:eastAsia="Times New Roman" w:cs="Times New Roman"/>
                <w:color w:val="000000"/>
              </w:rPr>
              <w:t>212,110</w:t>
            </w:r>
          </w:p>
        </w:tc>
      </w:tr>
      <w:tr w:rsidR="00C5278A" w:rsidRPr="006A0EF7" w14:paraId="2C1AF6F2" w14:textId="77777777">
        <w:trPr>
          <w:trHeight w:val="300"/>
        </w:trPr>
        <w:tc>
          <w:tcPr>
            <w:tcW w:w="2336" w:type="dxa"/>
            <w:tcBorders>
              <w:top w:val="nil"/>
              <w:left w:val="single" w:sz="4" w:space="0" w:color="auto"/>
              <w:bottom w:val="single" w:sz="4" w:space="0" w:color="auto"/>
              <w:right w:val="nil"/>
            </w:tcBorders>
            <w:shd w:val="clear" w:color="auto" w:fill="auto"/>
            <w:noWrap/>
            <w:vAlign w:val="bottom"/>
            <w:hideMark/>
          </w:tcPr>
          <w:p w14:paraId="2FBB02E9"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Life of Lease</w:t>
            </w:r>
          </w:p>
        </w:tc>
        <w:tc>
          <w:tcPr>
            <w:tcW w:w="1444" w:type="dxa"/>
            <w:tcBorders>
              <w:top w:val="single" w:sz="4" w:space="0" w:color="auto"/>
              <w:left w:val="single" w:sz="4" w:space="0" w:color="auto"/>
              <w:bottom w:val="single" w:sz="4" w:space="0" w:color="auto"/>
              <w:right w:val="single" w:sz="4" w:space="0" w:color="auto"/>
            </w:tcBorders>
            <w:shd w:val="clear" w:color="auto" w:fill="auto"/>
            <w:noWrap/>
          </w:tcPr>
          <w:p w14:paraId="346B68C1" w14:textId="4316622D" w:rsidR="00185A0D" w:rsidRPr="00056D04" w:rsidRDefault="004F04F2">
            <w:pPr>
              <w:jc w:val="center"/>
              <w:rPr>
                <w:rFonts w:eastAsia="Times New Roman" w:cs="Times New Roman"/>
                <w:color w:val="000000"/>
              </w:rPr>
            </w:pPr>
            <w:r>
              <w:rPr>
                <w:rFonts w:eastAsia="Times New Roman" w:cs="Times New Roman"/>
                <w:color w:val="000000"/>
              </w:rPr>
              <w:t>6,997,086</w:t>
            </w:r>
          </w:p>
        </w:tc>
        <w:tc>
          <w:tcPr>
            <w:tcW w:w="1440" w:type="dxa"/>
            <w:tcBorders>
              <w:top w:val="single" w:sz="4" w:space="0" w:color="auto"/>
              <w:left w:val="single" w:sz="4" w:space="0" w:color="auto"/>
              <w:bottom w:val="single" w:sz="4" w:space="0" w:color="auto"/>
              <w:right w:val="nil"/>
            </w:tcBorders>
            <w:shd w:val="clear" w:color="auto" w:fill="auto"/>
            <w:noWrap/>
          </w:tcPr>
          <w:p w14:paraId="179E923A" w14:textId="0760EFD0" w:rsidR="00185A0D" w:rsidRPr="00056D04" w:rsidRDefault="00302D5F">
            <w:pPr>
              <w:jc w:val="center"/>
              <w:rPr>
                <w:rFonts w:eastAsia="Times New Roman" w:cs="Times New Roman"/>
                <w:color w:val="000000"/>
              </w:rPr>
            </w:pPr>
            <w:r>
              <w:rPr>
                <w:rFonts w:eastAsia="Times New Roman" w:cs="Times New Roman"/>
                <w:color w:val="000000"/>
              </w:rPr>
              <w:t>15,605.03</w:t>
            </w:r>
          </w:p>
        </w:tc>
        <w:tc>
          <w:tcPr>
            <w:tcW w:w="1350" w:type="dxa"/>
            <w:tcBorders>
              <w:top w:val="single" w:sz="4" w:space="0" w:color="auto"/>
              <w:left w:val="nil"/>
              <w:bottom w:val="single" w:sz="4" w:space="0" w:color="auto"/>
              <w:right w:val="single" w:sz="4" w:space="0" w:color="auto"/>
            </w:tcBorders>
            <w:shd w:val="clear" w:color="auto" w:fill="auto"/>
            <w:noWrap/>
          </w:tcPr>
          <w:p w14:paraId="395C73F1" w14:textId="4FD8CFA0" w:rsidR="00185A0D" w:rsidRPr="00056D04" w:rsidRDefault="00302D5F">
            <w:pPr>
              <w:jc w:val="center"/>
              <w:rPr>
                <w:rFonts w:eastAsia="Times New Roman" w:cs="Times New Roman"/>
                <w:color w:val="000000"/>
              </w:rPr>
            </w:pPr>
            <w:r>
              <w:rPr>
                <w:rFonts w:eastAsia="Times New Roman" w:cs="Times New Roman"/>
                <w:color w:val="000000"/>
              </w:rPr>
              <w:t>28</w:t>
            </w:r>
            <w:r w:rsidR="008615FC">
              <w:rPr>
                <w:rFonts w:eastAsia="Times New Roman" w:cs="Times New Roman"/>
                <w:color w:val="000000"/>
              </w:rPr>
              <w:t>.</w:t>
            </w:r>
            <w:r>
              <w:rPr>
                <w:rFonts w:eastAsia="Times New Roman" w:cs="Times New Roman"/>
                <w:color w:val="000000"/>
              </w:rPr>
              <w:t>565</w:t>
            </w:r>
          </w:p>
        </w:tc>
        <w:tc>
          <w:tcPr>
            <w:tcW w:w="1530" w:type="dxa"/>
            <w:tcBorders>
              <w:top w:val="single" w:sz="4" w:space="0" w:color="auto"/>
              <w:left w:val="nil"/>
              <w:bottom w:val="single" w:sz="4" w:space="0" w:color="auto"/>
              <w:right w:val="single" w:sz="4" w:space="0" w:color="auto"/>
            </w:tcBorders>
            <w:shd w:val="clear" w:color="auto" w:fill="auto"/>
            <w:noWrap/>
          </w:tcPr>
          <w:p w14:paraId="2AD8B939" w14:textId="45929233" w:rsidR="00185A0D" w:rsidRPr="00056D04" w:rsidRDefault="008615FC">
            <w:pPr>
              <w:jc w:val="center"/>
              <w:rPr>
                <w:rFonts w:eastAsia="Times New Roman" w:cs="Times New Roman"/>
                <w:color w:val="000000"/>
              </w:rPr>
            </w:pPr>
            <w:r>
              <w:rPr>
                <w:rFonts w:eastAsia="Times New Roman" w:cs="Times New Roman"/>
                <w:color w:val="000000"/>
              </w:rPr>
              <w:t>7,449,914</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57467CEC" w14:textId="4518E5E4" w:rsidR="00185A0D" w:rsidRPr="00056D04" w:rsidRDefault="008615FC">
            <w:pPr>
              <w:jc w:val="center"/>
              <w:rPr>
                <w:rFonts w:eastAsia="Times New Roman" w:cs="Times New Roman"/>
                <w:color w:val="000000"/>
              </w:rPr>
            </w:pPr>
            <w:r>
              <w:rPr>
                <w:rFonts w:eastAsia="Times New Roman" w:cs="Times New Roman"/>
                <w:color w:val="000000"/>
              </w:rPr>
              <w:t>8,272,299</w:t>
            </w:r>
          </w:p>
        </w:tc>
      </w:tr>
    </w:tbl>
    <w:p w14:paraId="3A017590" w14:textId="78B69CF8" w:rsidR="00185A0D" w:rsidRPr="00BA6252" w:rsidRDefault="00185A0D" w:rsidP="00185A0D">
      <w:pPr>
        <w:rPr>
          <w:rFonts w:cs="Times New Roman"/>
          <w:sz w:val="20"/>
          <w:szCs w:val="20"/>
        </w:rPr>
      </w:pPr>
      <w:r w:rsidRPr="00056D04">
        <w:rPr>
          <w:rFonts w:cs="Times New Roman"/>
          <w:sz w:val="20"/>
          <w:szCs w:val="20"/>
        </w:rPr>
        <w:t>Source: BLM Lease Sale Emissions Tool</w:t>
      </w:r>
    </w:p>
    <w:p w14:paraId="6507EDE0" w14:textId="77777777" w:rsidR="00185A0D" w:rsidRPr="00C0527E" w:rsidRDefault="00185A0D" w:rsidP="00185A0D">
      <w:pPr>
        <w:rPr>
          <w:rFonts w:cs="Times New Roman"/>
          <w:szCs w:val="24"/>
        </w:rPr>
      </w:pPr>
    </w:p>
    <w:p w14:paraId="7C3D9F09" w14:textId="294145ED" w:rsidR="00185A0D" w:rsidRDefault="007906E9" w:rsidP="00185A0D">
      <w:pPr>
        <w:rPr>
          <w:rFonts w:cs="Times New Roman"/>
        </w:rPr>
      </w:pPr>
      <w:r>
        <w:rPr>
          <w:rFonts w:cs="Times New Roman"/>
        </w:rPr>
        <w:fldChar w:fldCharType="begin"/>
      </w:r>
      <w:r>
        <w:rPr>
          <w:rFonts w:cs="Times New Roman"/>
        </w:rPr>
        <w:instrText xml:space="preserve"> REF _Ref164952412 \h </w:instrText>
      </w:r>
      <w:r>
        <w:rPr>
          <w:rFonts w:cs="Times New Roman"/>
        </w:rPr>
      </w:r>
      <w:r>
        <w:rPr>
          <w:rFonts w:cs="Times New Roman"/>
        </w:rPr>
        <w:fldChar w:fldCharType="separate"/>
      </w:r>
      <w:r>
        <w:t xml:space="preserve">Table </w:t>
      </w:r>
      <w:r>
        <w:rPr>
          <w:noProof/>
        </w:rPr>
        <w:t>10</w:t>
      </w:r>
      <w:r>
        <w:rPr>
          <w:rFonts w:cs="Times New Roman"/>
        </w:rPr>
        <w:fldChar w:fldCharType="end"/>
      </w:r>
      <w:r w:rsidR="00185A0D" w:rsidRPr="0216A636">
        <w:rPr>
          <w:rFonts w:cs="Times New Roman"/>
        </w:rPr>
        <w:t xml:space="preserve"> lists the estimated direct (well development and production operations) and indirect (mid-stream and end-use) GHG emissions in metric </w:t>
      </w:r>
      <w:proofErr w:type="spellStart"/>
      <w:r w:rsidR="00185A0D" w:rsidRPr="0216A636">
        <w:rPr>
          <w:rFonts w:cs="Times New Roman"/>
        </w:rPr>
        <w:t>tonnes</w:t>
      </w:r>
      <w:proofErr w:type="spellEnd"/>
      <w:r w:rsidR="00185A0D" w:rsidRPr="0216A636">
        <w:rPr>
          <w:rFonts w:cs="Times New Roman"/>
        </w:rPr>
        <w:t xml:space="preserve"> (t) for the subject leases over the average 30-year production life of the lease. In summary, potential GHG emissions from the Proposed Action could result in GHG emissions of </w:t>
      </w:r>
      <w:r w:rsidR="00B86383">
        <w:rPr>
          <w:rFonts w:cs="Times New Roman"/>
        </w:rPr>
        <w:t>7,449,914</w:t>
      </w:r>
      <w:r w:rsidR="00185A0D" w:rsidRPr="0216A636">
        <w:rPr>
          <w:rFonts w:cs="Times New Roman"/>
        </w:rPr>
        <w:t xml:space="preserve"> t CO</w:t>
      </w:r>
      <w:r w:rsidR="00185A0D" w:rsidRPr="0216A636">
        <w:rPr>
          <w:vertAlign w:val="subscript"/>
        </w:rPr>
        <w:t>2</w:t>
      </w:r>
      <w:r w:rsidR="00185A0D" w:rsidRPr="0216A636">
        <w:rPr>
          <w:rFonts w:cs="Times New Roman"/>
        </w:rPr>
        <w:t xml:space="preserve">e over the life of the lease. </w:t>
      </w:r>
      <w:r w:rsidR="00185A0D">
        <w:t xml:space="preserve">More emissions detail is provided in </w:t>
      </w:r>
      <w:r w:rsidR="00185A0D" w:rsidRPr="00BC1CE0">
        <w:t xml:space="preserve">Appendix </w:t>
      </w:r>
      <w:r w:rsidR="00604BF4">
        <w:t>G</w:t>
      </w:r>
      <w:r w:rsidR="00185A0D">
        <w:t>.</w:t>
      </w:r>
    </w:p>
    <w:p w14:paraId="630B155A" w14:textId="77777777" w:rsidR="00185A0D" w:rsidRPr="001C47B8" w:rsidRDefault="00185A0D" w:rsidP="00185A0D">
      <w:pPr>
        <w:rPr>
          <w:rFonts w:cs="Times New Roman"/>
          <w:szCs w:val="24"/>
        </w:rPr>
      </w:pPr>
    </w:p>
    <w:p w14:paraId="3EC73B02" w14:textId="40FC69C0" w:rsidR="007906E9" w:rsidRDefault="007906E9" w:rsidP="007906E9">
      <w:pPr>
        <w:pStyle w:val="Caption"/>
      </w:pPr>
      <w:bookmarkStart w:id="245" w:name="_Ref164952412"/>
      <w:bookmarkStart w:id="246" w:name="_Toc179464304"/>
      <w:bookmarkStart w:id="247" w:name="_Toc170114959"/>
      <w:r>
        <w:t xml:space="preserve">Table </w:t>
      </w:r>
      <w:r w:rsidR="00BB3F01">
        <w:fldChar w:fldCharType="begin"/>
      </w:r>
      <w:r w:rsidR="00BB3F01">
        <w:instrText xml:space="preserve"> SEQ Table \* ARABIC </w:instrText>
      </w:r>
      <w:r w:rsidR="00BB3F01">
        <w:fldChar w:fldCharType="separate"/>
      </w:r>
      <w:r w:rsidR="00BB3F01">
        <w:rPr>
          <w:noProof/>
        </w:rPr>
        <w:t>23</w:t>
      </w:r>
      <w:r w:rsidR="00BB3F01">
        <w:rPr>
          <w:noProof/>
        </w:rPr>
        <w:fldChar w:fldCharType="end"/>
      </w:r>
      <w:bookmarkEnd w:id="245"/>
      <w:r>
        <w:t xml:space="preserve"> </w:t>
      </w:r>
      <w:r w:rsidRPr="00744D50">
        <w:t>Estimated Life of Lease Emissions from Well Development, Well Production Operations, Mid-stream, and End-use (</w:t>
      </w:r>
      <w:proofErr w:type="spellStart"/>
      <w:r w:rsidRPr="00744D50">
        <w:t>tonnes</w:t>
      </w:r>
      <w:proofErr w:type="spellEnd"/>
      <w:r w:rsidRPr="00744D50">
        <w:t>)</w:t>
      </w:r>
      <w:bookmarkEnd w:id="246"/>
      <w:bookmarkEnd w:id="247"/>
    </w:p>
    <w:tbl>
      <w:tblPr>
        <w:tblW w:w="9450" w:type="dxa"/>
        <w:tblInd w:w="-5" w:type="dxa"/>
        <w:tblLayout w:type="fixed"/>
        <w:tblLook w:val="04A0" w:firstRow="1" w:lastRow="0" w:firstColumn="1" w:lastColumn="0" w:noHBand="0" w:noVBand="1"/>
      </w:tblPr>
      <w:tblGrid>
        <w:gridCol w:w="3330"/>
        <w:gridCol w:w="1170"/>
        <w:gridCol w:w="1170"/>
        <w:gridCol w:w="1170"/>
        <w:gridCol w:w="1260"/>
        <w:gridCol w:w="1350"/>
      </w:tblGrid>
      <w:tr w:rsidR="0032022B" w:rsidRPr="00887679" w14:paraId="214934F8" w14:textId="77777777">
        <w:trPr>
          <w:trHeight w:val="647"/>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F143" w14:textId="77777777" w:rsidR="00185A0D" w:rsidRPr="00887679" w:rsidRDefault="00185A0D">
            <w:pPr>
              <w:jc w:val="center"/>
              <w:rPr>
                <w:rFonts w:eastAsia="Times New Roman" w:cs="Times New Roman"/>
                <w:b/>
                <w:bCs/>
                <w:color w:val="000000"/>
              </w:rPr>
            </w:pPr>
            <w:r w:rsidRPr="00887679">
              <w:rPr>
                <w:rFonts w:eastAsia="Times New Roman" w:cs="Times New Roman"/>
                <w:b/>
                <w:bCs/>
                <w:color w:val="000000"/>
              </w:rPr>
              <w:t>Activity</w:t>
            </w:r>
          </w:p>
        </w:tc>
        <w:tc>
          <w:tcPr>
            <w:tcW w:w="1170" w:type="dxa"/>
            <w:tcBorders>
              <w:top w:val="single" w:sz="4" w:space="0" w:color="auto"/>
              <w:left w:val="nil"/>
              <w:bottom w:val="single" w:sz="4" w:space="0" w:color="auto"/>
              <w:right w:val="nil"/>
            </w:tcBorders>
            <w:shd w:val="clear" w:color="auto" w:fill="auto"/>
            <w:noWrap/>
            <w:vAlign w:val="center"/>
            <w:hideMark/>
          </w:tcPr>
          <w:p w14:paraId="5E0C8EB3" w14:textId="77777777" w:rsidR="00185A0D" w:rsidRPr="00887679" w:rsidRDefault="00185A0D">
            <w:pPr>
              <w:jc w:val="center"/>
              <w:rPr>
                <w:rFonts w:eastAsia="Times New Roman" w:cs="Times New Roman"/>
                <w:b/>
                <w:bCs/>
                <w:color w:val="000000"/>
              </w:rPr>
            </w:pPr>
            <w:r w:rsidRPr="00887679">
              <w:rPr>
                <w:rFonts w:eastAsia="Times New Roman" w:cs="Times New Roman"/>
                <w:b/>
                <w:bCs/>
                <w:color w:val="000000"/>
              </w:rPr>
              <w:t>CO</w:t>
            </w:r>
            <w:r w:rsidRPr="00C16103">
              <w:rPr>
                <w:rFonts w:eastAsia="Times New Roman" w:cs="Times New Roman"/>
                <w:b/>
                <w:bCs/>
                <w:color w:val="000000"/>
                <w:vertAlign w:val="subscript"/>
              </w:rPr>
              <w:t>2</w:t>
            </w:r>
          </w:p>
        </w:tc>
        <w:tc>
          <w:tcPr>
            <w:tcW w:w="1170" w:type="dxa"/>
            <w:tcBorders>
              <w:top w:val="single" w:sz="4" w:space="0" w:color="auto"/>
              <w:left w:val="nil"/>
              <w:bottom w:val="single" w:sz="4" w:space="0" w:color="auto"/>
              <w:right w:val="nil"/>
            </w:tcBorders>
            <w:shd w:val="clear" w:color="auto" w:fill="auto"/>
            <w:noWrap/>
            <w:vAlign w:val="center"/>
            <w:hideMark/>
          </w:tcPr>
          <w:p w14:paraId="22CB5081" w14:textId="77777777" w:rsidR="00185A0D" w:rsidRPr="00887679" w:rsidRDefault="00185A0D">
            <w:pPr>
              <w:jc w:val="center"/>
              <w:rPr>
                <w:rFonts w:eastAsia="Times New Roman" w:cs="Times New Roman"/>
                <w:b/>
                <w:bCs/>
                <w:color w:val="000000"/>
              </w:rPr>
            </w:pPr>
            <w:r w:rsidRPr="00887679">
              <w:rPr>
                <w:rFonts w:eastAsia="Times New Roman" w:cs="Times New Roman"/>
                <w:b/>
                <w:bCs/>
                <w:color w:val="000000"/>
              </w:rPr>
              <w:t>CH</w:t>
            </w:r>
            <w:r w:rsidRPr="00C16103">
              <w:rPr>
                <w:rFonts w:eastAsia="Times New Roman" w:cs="Times New Roman"/>
                <w:b/>
                <w:bCs/>
                <w:color w:val="000000"/>
                <w:vertAlign w:val="subscript"/>
              </w:rPr>
              <w:t>4</w:t>
            </w:r>
          </w:p>
        </w:tc>
        <w:tc>
          <w:tcPr>
            <w:tcW w:w="1170" w:type="dxa"/>
            <w:tcBorders>
              <w:top w:val="single" w:sz="4" w:space="0" w:color="auto"/>
              <w:left w:val="nil"/>
              <w:bottom w:val="single" w:sz="4" w:space="0" w:color="auto"/>
              <w:right w:val="nil"/>
            </w:tcBorders>
            <w:shd w:val="clear" w:color="auto" w:fill="auto"/>
            <w:noWrap/>
            <w:vAlign w:val="center"/>
            <w:hideMark/>
          </w:tcPr>
          <w:p w14:paraId="6CDC38C8" w14:textId="77777777" w:rsidR="00185A0D" w:rsidRPr="00887679" w:rsidRDefault="00185A0D">
            <w:pPr>
              <w:jc w:val="center"/>
              <w:rPr>
                <w:rFonts w:eastAsia="Times New Roman" w:cs="Times New Roman"/>
                <w:b/>
                <w:bCs/>
                <w:color w:val="000000"/>
              </w:rPr>
            </w:pPr>
            <w:r w:rsidRPr="00887679">
              <w:rPr>
                <w:rFonts w:eastAsia="Times New Roman" w:cs="Times New Roman"/>
                <w:b/>
                <w:bCs/>
                <w:color w:val="000000"/>
              </w:rPr>
              <w:t>N</w:t>
            </w:r>
            <w:r w:rsidRPr="00C16103">
              <w:rPr>
                <w:rFonts w:eastAsia="Times New Roman" w:cs="Times New Roman"/>
                <w:b/>
                <w:bCs/>
                <w:color w:val="000000"/>
                <w:vertAlign w:val="subscript"/>
              </w:rPr>
              <w:t>2</w:t>
            </w:r>
            <w:r w:rsidRPr="00887679">
              <w:rPr>
                <w:rFonts w:eastAsia="Times New Roman" w:cs="Times New Roman"/>
                <w:b/>
                <w:bCs/>
                <w:color w:val="000000"/>
              </w:rPr>
              <w:t>O</w:t>
            </w:r>
          </w:p>
        </w:tc>
        <w:tc>
          <w:tcPr>
            <w:tcW w:w="1260" w:type="dxa"/>
            <w:tcBorders>
              <w:top w:val="single" w:sz="4" w:space="0" w:color="auto"/>
              <w:left w:val="single" w:sz="4" w:space="0" w:color="auto"/>
              <w:bottom w:val="single" w:sz="4" w:space="0" w:color="auto"/>
              <w:right w:val="nil"/>
            </w:tcBorders>
            <w:shd w:val="clear" w:color="auto" w:fill="auto"/>
            <w:vAlign w:val="center"/>
            <w:hideMark/>
          </w:tcPr>
          <w:p w14:paraId="577B3B47" w14:textId="77777777" w:rsidR="00185A0D" w:rsidRPr="00887679" w:rsidRDefault="00185A0D">
            <w:pPr>
              <w:jc w:val="center"/>
              <w:rPr>
                <w:rFonts w:eastAsia="Times New Roman" w:cs="Times New Roman"/>
                <w:b/>
                <w:bCs/>
                <w:color w:val="000000"/>
              </w:rPr>
            </w:pPr>
            <w:r w:rsidRPr="00887679">
              <w:rPr>
                <w:rFonts w:eastAsia="Times New Roman" w:cs="Times New Roman"/>
                <w:b/>
                <w:bCs/>
                <w:color w:val="000000"/>
              </w:rPr>
              <w:t>CO</w:t>
            </w:r>
            <w:r w:rsidRPr="00C16103">
              <w:rPr>
                <w:rFonts w:eastAsia="Times New Roman" w:cs="Times New Roman"/>
                <w:b/>
                <w:bCs/>
                <w:color w:val="000000"/>
                <w:vertAlign w:val="subscript"/>
              </w:rPr>
              <w:t>2</w:t>
            </w:r>
            <w:r w:rsidRPr="00887679">
              <w:rPr>
                <w:rFonts w:eastAsia="Times New Roman" w:cs="Times New Roman"/>
                <w:b/>
                <w:bCs/>
                <w:color w:val="000000"/>
              </w:rPr>
              <w:t xml:space="preserve">e </w:t>
            </w:r>
            <w:r w:rsidRPr="00887679">
              <w:rPr>
                <w:rFonts w:eastAsia="Times New Roman" w:cs="Times New Roman"/>
                <w:b/>
                <w:bCs/>
                <w:color w:val="000000"/>
              </w:rPr>
              <w:br/>
              <w:t>(100-yr)</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D9DFEEA" w14:textId="77777777" w:rsidR="00185A0D" w:rsidRPr="00887679" w:rsidRDefault="00185A0D">
            <w:pPr>
              <w:jc w:val="center"/>
              <w:rPr>
                <w:rFonts w:eastAsia="Times New Roman" w:cs="Times New Roman"/>
                <w:b/>
                <w:bCs/>
                <w:color w:val="000000"/>
              </w:rPr>
            </w:pPr>
            <w:r w:rsidRPr="00887679">
              <w:rPr>
                <w:rFonts w:eastAsia="Times New Roman" w:cs="Times New Roman"/>
                <w:b/>
                <w:bCs/>
                <w:color w:val="000000"/>
              </w:rPr>
              <w:t>CO</w:t>
            </w:r>
            <w:r w:rsidRPr="00C16103">
              <w:rPr>
                <w:rFonts w:eastAsia="Times New Roman" w:cs="Times New Roman"/>
                <w:b/>
                <w:bCs/>
                <w:color w:val="000000"/>
                <w:vertAlign w:val="subscript"/>
              </w:rPr>
              <w:t>2</w:t>
            </w:r>
            <w:r w:rsidRPr="00887679">
              <w:rPr>
                <w:rFonts w:eastAsia="Times New Roman" w:cs="Times New Roman"/>
                <w:b/>
                <w:bCs/>
                <w:color w:val="000000"/>
              </w:rPr>
              <w:t xml:space="preserve">e </w:t>
            </w:r>
            <w:r w:rsidRPr="00887679">
              <w:rPr>
                <w:rFonts w:eastAsia="Times New Roman" w:cs="Times New Roman"/>
                <w:b/>
                <w:bCs/>
                <w:color w:val="000000"/>
              </w:rPr>
              <w:br/>
              <w:t>(20-yr)</w:t>
            </w:r>
          </w:p>
        </w:tc>
      </w:tr>
      <w:tr w:rsidR="0032022B" w:rsidRPr="00887679" w14:paraId="78E24CF9" w14:textId="77777777">
        <w:trPr>
          <w:trHeight w:val="300"/>
        </w:trPr>
        <w:tc>
          <w:tcPr>
            <w:tcW w:w="3330" w:type="dxa"/>
            <w:tcBorders>
              <w:top w:val="single" w:sz="4" w:space="0" w:color="auto"/>
              <w:left w:val="single" w:sz="4" w:space="0" w:color="auto"/>
              <w:bottom w:val="nil"/>
              <w:right w:val="single" w:sz="4" w:space="0" w:color="auto"/>
            </w:tcBorders>
            <w:shd w:val="clear" w:color="auto" w:fill="auto"/>
            <w:noWrap/>
            <w:vAlign w:val="bottom"/>
            <w:hideMark/>
          </w:tcPr>
          <w:p w14:paraId="1081DF65" w14:textId="77777777" w:rsidR="00185A0D" w:rsidRPr="00B21CBC" w:rsidRDefault="00185A0D">
            <w:pPr>
              <w:rPr>
                <w:rFonts w:eastAsia="Times New Roman" w:cs="Times New Roman"/>
                <w:color w:val="000000"/>
              </w:rPr>
            </w:pPr>
            <w:r w:rsidRPr="00B21CBC">
              <w:rPr>
                <w:rFonts w:eastAsia="Times New Roman" w:cs="Times New Roman"/>
                <w:color w:val="000000"/>
              </w:rPr>
              <w:t xml:space="preserve">Well Development </w:t>
            </w:r>
          </w:p>
        </w:tc>
        <w:tc>
          <w:tcPr>
            <w:tcW w:w="1170" w:type="dxa"/>
            <w:tcBorders>
              <w:top w:val="single" w:sz="4" w:space="0" w:color="auto"/>
              <w:left w:val="single" w:sz="4" w:space="0" w:color="auto"/>
              <w:bottom w:val="nil"/>
            </w:tcBorders>
            <w:shd w:val="clear" w:color="auto" w:fill="auto"/>
            <w:noWrap/>
            <w:vAlign w:val="bottom"/>
            <w:hideMark/>
          </w:tcPr>
          <w:p w14:paraId="6163DC3D" w14:textId="2758A0AA" w:rsidR="00185A0D" w:rsidRPr="00887679" w:rsidRDefault="002405F2">
            <w:pPr>
              <w:jc w:val="center"/>
              <w:rPr>
                <w:rFonts w:eastAsia="Times New Roman" w:cs="Times New Roman"/>
                <w:color w:val="000000"/>
              </w:rPr>
            </w:pPr>
            <w:r>
              <w:rPr>
                <w:rFonts w:eastAsia="Times New Roman" w:cs="Times New Roman"/>
                <w:color w:val="000000"/>
              </w:rPr>
              <w:t>19,228</w:t>
            </w:r>
          </w:p>
        </w:tc>
        <w:tc>
          <w:tcPr>
            <w:tcW w:w="1170" w:type="dxa"/>
            <w:tcBorders>
              <w:top w:val="single" w:sz="4" w:space="0" w:color="auto"/>
              <w:bottom w:val="nil"/>
            </w:tcBorders>
            <w:shd w:val="clear" w:color="auto" w:fill="auto"/>
            <w:noWrap/>
            <w:vAlign w:val="bottom"/>
            <w:hideMark/>
          </w:tcPr>
          <w:p w14:paraId="4F04F2FD" w14:textId="1116ACC2" w:rsidR="00185A0D" w:rsidRPr="00887679" w:rsidRDefault="00185A0D">
            <w:pPr>
              <w:jc w:val="center"/>
              <w:rPr>
                <w:rFonts w:eastAsia="Times New Roman" w:cs="Times New Roman"/>
                <w:color w:val="000000"/>
              </w:rPr>
            </w:pPr>
            <w:r w:rsidRPr="00887679">
              <w:rPr>
                <w:rFonts w:eastAsia="Times New Roman" w:cs="Times New Roman"/>
                <w:color w:val="000000"/>
              </w:rPr>
              <w:t>0</w:t>
            </w:r>
            <w:r>
              <w:rPr>
                <w:rFonts w:eastAsia="Times New Roman" w:cs="Times New Roman"/>
                <w:color w:val="000000"/>
              </w:rPr>
              <w:t>.</w:t>
            </w:r>
            <w:r w:rsidR="00030DAE">
              <w:rPr>
                <w:color w:val="000000"/>
              </w:rPr>
              <w:t>60</w:t>
            </w:r>
          </w:p>
        </w:tc>
        <w:tc>
          <w:tcPr>
            <w:tcW w:w="1170" w:type="dxa"/>
            <w:tcBorders>
              <w:top w:val="single" w:sz="4" w:space="0" w:color="auto"/>
              <w:bottom w:val="nil"/>
              <w:right w:val="single" w:sz="4" w:space="0" w:color="auto"/>
            </w:tcBorders>
            <w:shd w:val="clear" w:color="auto" w:fill="auto"/>
            <w:noWrap/>
            <w:vAlign w:val="bottom"/>
            <w:hideMark/>
          </w:tcPr>
          <w:p w14:paraId="0BEAC428" w14:textId="628192C9" w:rsidR="00185A0D" w:rsidRPr="00887679" w:rsidRDefault="00030DAE">
            <w:pPr>
              <w:jc w:val="center"/>
              <w:rPr>
                <w:rFonts w:eastAsia="Times New Roman" w:cs="Times New Roman"/>
                <w:color w:val="000000"/>
              </w:rPr>
            </w:pPr>
            <w:r>
              <w:rPr>
                <w:color w:val="000000"/>
              </w:rPr>
              <w:t>0.140</w:t>
            </w:r>
          </w:p>
        </w:tc>
        <w:tc>
          <w:tcPr>
            <w:tcW w:w="1260" w:type="dxa"/>
            <w:tcBorders>
              <w:top w:val="single" w:sz="4" w:space="0" w:color="auto"/>
              <w:left w:val="single" w:sz="4" w:space="0" w:color="auto"/>
              <w:bottom w:val="nil"/>
            </w:tcBorders>
            <w:shd w:val="clear" w:color="auto" w:fill="auto"/>
            <w:noWrap/>
            <w:vAlign w:val="bottom"/>
            <w:hideMark/>
          </w:tcPr>
          <w:p w14:paraId="4873E9C1" w14:textId="4015907F" w:rsidR="00185A0D" w:rsidRPr="00887679" w:rsidRDefault="00030DAE">
            <w:pPr>
              <w:jc w:val="center"/>
              <w:rPr>
                <w:rFonts w:eastAsia="Times New Roman" w:cs="Times New Roman"/>
                <w:color w:val="000000"/>
              </w:rPr>
            </w:pPr>
            <w:r>
              <w:t>19,284</w:t>
            </w:r>
          </w:p>
        </w:tc>
        <w:tc>
          <w:tcPr>
            <w:tcW w:w="1350" w:type="dxa"/>
            <w:tcBorders>
              <w:top w:val="single" w:sz="4" w:space="0" w:color="auto"/>
              <w:bottom w:val="nil"/>
              <w:right w:val="single" w:sz="4" w:space="0" w:color="auto"/>
            </w:tcBorders>
            <w:shd w:val="clear" w:color="auto" w:fill="auto"/>
            <w:noWrap/>
            <w:vAlign w:val="bottom"/>
            <w:hideMark/>
          </w:tcPr>
          <w:p w14:paraId="21DB65EF" w14:textId="1C53C2D3" w:rsidR="00185A0D" w:rsidRPr="00887679" w:rsidRDefault="00030DAE">
            <w:pPr>
              <w:jc w:val="center"/>
              <w:rPr>
                <w:rFonts w:eastAsia="Times New Roman" w:cs="Times New Roman"/>
                <w:color w:val="000000"/>
              </w:rPr>
            </w:pPr>
            <w:r>
              <w:t>19,316</w:t>
            </w:r>
          </w:p>
        </w:tc>
      </w:tr>
      <w:tr w:rsidR="0032022B" w:rsidRPr="00887679" w14:paraId="7BFBE783" w14:textId="77777777">
        <w:trPr>
          <w:trHeight w:val="300"/>
        </w:trPr>
        <w:tc>
          <w:tcPr>
            <w:tcW w:w="3330" w:type="dxa"/>
            <w:tcBorders>
              <w:left w:val="single" w:sz="4" w:space="0" w:color="auto"/>
              <w:bottom w:val="nil"/>
              <w:right w:val="single" w:sz="4" w:space="0" w:color="auto"/>
            </w:tcBorders>
            <w:shd w:val="clear" w:color="auto" w:fill="auto"/>
            <w:noWrap/>
            <w:vAlign w:val="bottom"/>
          </w:tcPr>
          <w:p w14:paraId="1CAFF3C8" w14:textId="77777777" w:rsidR="00185A0D" w:rsidRPr="00B21CBC" w:rsidRDefault="00185A0D">
            <w:pPr>
              <w:rPr>
                <w:rFonts w:eastAsia="Times New Roman" w:cs="Times New Roman"/>
                <w:color w:val="000000"/>
              </w:rPr>
            </w:pPr>
            <w:r w:rsidRPr="00B21CBC">
              <w:rPr>
                <w:rFonts w:eastAsia="Times New Roman" w:cs="Times New Roman"/>
                <w:color w:val="000000"/>
              </w:rPr>
              <w:t>Well Production Operations</w:t>
            </w:r>
          </w:p>
        </w:tc>
        <w:tc>
          <w:tcPr>
            <w:tcW w:w="1170" w:type="dxa"/>
            <w:tcBorders>
              <w:left w:val="single" w:sz="4" w:space="0" w:color="auto"/>
              <w:bottom w:val="nil"/>
            </w:tcBorders>
            <w:shd w:val="clear" w:color="auto" w:fill="auto"/>
            <w:noWrap/>
            <w:vAlign w:val="bottom"/>
          </w:tcPr>
          <w:p w14:paraId="2527F4EF" w14:textId="4B2D05D0" w:rsidR="00185A0D" w:rsidRPr="00887679" w:rsidRDefault="002405F2">
            <w:pPr>
              <w:jc w:val="center"/>
              <w:rPr>
                <w:rFonts w:eastAsia="Times New Roman" w:cs="Times New Roman"/>
                <w:color w:val="000000"/>
              </w:rPr>
            </w:pPr>
            <w:r>
              <w:rPr>
                <w:rFonts w:eastAsia="Times New Roman" w:cs="Times New Roman"/>
                <w:color w:val="000000"/>
              </w:rPr>
              <w:t>26,514</w:t>
            </w:r>
          </w:p>
        </w:tc>
        <w:tc>
          <w:tcPr>
            <w:tcW w:w="1170" w:type="dxa"/>
            <w:tcBorders>
              <w:bottom w:val="nil"/>
            </w:tcBorders>
            <w:shd w:val="clear" w:color="auto" w:fill="auto"/>
            <w:noWrap/>
            <w:vAlign w:val="bottom"/>
          </w:tcPr>
          <w:p w14:paraId="08EC2DEC" w14:textId="7E3F2FE6" w:rsidR="00185A0D" w:rsidRDefault="00030DAE">
            <w:pPr>
              <w:jc w:val="center"/>
              <w:rPr>
                <w:rFonts w:eastAsia="Times New Roman" w:cs="Times New Roman"/>
                <w:color w:val="000000"/>
              </w:rPr>
            </w:pPr>
            <w:r>
              <w:rPr>
                <w:color w:val="000000"/>
              </w:rPr>
              <w:t>342.</w:t>
            </w:r>
            <w:r w:rsidRPr="00887679">
              <w:rPr>
                <w:rFonts w:eastAsia="Times New Roman" w:cs="Times New Roman"/>
                <w:color w:val="000000"/>
              </w:rPr>
              <w:t>00</w:t>
            </w:r>
          </w:p>
        </w:tc>
        <w:tc>
          <w:tcPr>
            <w:tcW w:w="1170" w:type="dxa"/>
            <w:tcBorders>
              <w:bottom w:val="nil"/>
              <w:right w:val="single" w:sz="4" w:space="0" w:color="auto"/>
            </w:tcBorders>
            <w:shd w:val="clear" w:color="auto" w:fill="auto"/>
            <w:noWrap/>
            <w:vAlign w:val="bottom"/>
          </w:tcPr>
          <w:p w14:paraId="67AA79F1" w14:textId="235A025E" w:rsidR="00185A0D" w:rsidRDefault="00030DAE">
            <w:pPr>
              <w:jc w:val="center"/>
              <w:rPr>
                <w:rFonts w:eastAsia="Times New Roman" w:cs="Times New Roman"/>
                <w:color w:val="000000"/>
              </w:rPr>
            </w:pPr>
            <w:r>
              <w:rPr>
                <w:color w:val="000000"/>
              </w:rPr>
              <w:t>0.012</w:t>
            </w:r>
          </w:p>
        </w:tc>
        <w:tc>
          <w:tcPr>
            <w:tcW w:w="1260" w:type="dxa"/>
            <w:tcBorders>
              <w:left w:val="single" w:sz="4" w:space="0" w:color="auto"/>
              <w:bottom w:val="nil"/>
            </w:tcBorders>
            <w:shd w:val="clear" w:color="auto" w:fill="auto"/>
            <w:noWrap/>
            <w:vAlign w:val="bottom"/>
          </w:tcPr>
          <w:p w14:paraId="12151022" w14:textId="345E23F8" w:rsidR="00185A0D" w:rsidRPr="00887679" w:rsidRDefault="00030DAE">
            <w:pPr>
              <w:jc w:val="center"/>
              <w:rPr>
                <w:rFonts w:eastAsia="Times New Roman" w:cs="Times New Roman"/>
                <w:color w:val="000000"/>
              </w:rPr>
            </w:pPr>
            <w:r>
              <w:t>36,709</w:t>
            </w:r>
          </w:p>
        </w:tc>
        <w:tc>
          <w:tcPr>
            <w:tcW w:w="1350" w:type="dxa"/>
            <w:tcBorders>
              <w:bottom w:val="nil"/>
              <w:right w:val="single" w:sz="4" w:space="0" w:color="auto"/>
            </w:tcBorders>
            <w:shd w:val="clear" w:color="auto" w:fill="auto"/>
            <w:noWrap/>
            <w:vAlign w:val="bottom"/>
          </w:tcPr>
          <w:p w14:paraId="4D18AC50" w14:textId="3188B420" w:rsidR="00185A0D" w:rsidRPr="00887679" w:rsidRDefault="00030DAE">
            <w:pPr>
              <w:jc w:val="center"/>
              <w:rPr>
                <w:rFonts w:eastAsia="Times New Roman" w:cs="Times New Roman"/>
                <w:color w:val="000000"/>
              </w:rPr>
            </w:pPr>
            <w:r>
              <w:t>54,732</w:t>
            </w:r>
          </w:p>
        </w:tc>
      </w:tr>
      <w:tr w:rsidR="0032022B" w:rsidRPr="00887679" w14:paraId="05CC8A29" w14:textId="77777777">
        <w:trPr>
          <w:trHeight w:val="300"/>
        </w:trPr>
        <w:tc>
          <w:tcPr>
            <w:tcW w:w="3330" w:type="dxa"/>
            <w:tcBorders>
              <w:left w:val="single" w:sz="4" w:space="0" w:color="auto"/>
              <w:bottom w:val="nil"/>
              <w:right w:val="single" w:sz="4" w:space="0" w:color="auto"/>
            </w:tcBorders>
            <w:shd w:val="clear" w:color="auto" w:fill="auto"/>
            <w:noWrap/>
            <w:vAlign w:val="bottom"/>
          </w:tcPr>
          <w:p w14:paraId="34E16A46" w14:textId="77777777" w:rsidR="00185A0D" w:rsidRPr="00B21CBC" w:rsidRDefault="00185A0D">
            <w:pPr>
              <w:rPr>
                <w:rFonts w:eastAsia="Times New Roman" w:cs="Times New Roman"/>
                <w:color w:val="000000"/>
              </w:rPr>
            </w:pPr>
            <w:r w:rsidRPr="00B21CBC">
              <w:rPr>
                <w:rFonts w:eastAsia="Times New Roman" w:cs="Times New Roman"/>
                <w:color w:val="000000"/>
              </w:rPr>
              <w:t>Mid-Stream</w:t>
            </w:r>
          </w:p>
        </w:tc>
        <w:tc>
          <w:tcPr>
            <w:tcW w:w="1170" w:type="dxa"/>
            <w:tcBorders>
              <w:left w:val="single" w:sz="4" w:space="0" w:color="auto"/>
              <w:bottom w:val="nil"/>
            </w:tcBorders>
            <w:shd w:val="clear" w:color="auto" w:fill="auto"/>
            <w:noWrap/>
            <w:vAlign w:val="bottom"/>
          </w:tcPr>
          <w:p w14:paraId="46B6D359" w14:textId="5FF2FFC0" w:rsidR="00185A0D" w:rsidRPr="00887679" w:rsidRDefault="002405F2">
            <w:pPr>
              <w:jc w:val="center"/>
              <w:rPr>
                <w:rFonts w:eastAsia="Times New Roman" w:cs="Times New Roman"/>
                <w:color w:val="000000"/>
              </w:rPr>
            </w:pPr>
            <w:r>
              <w:rPr>
                <w:rFonts w:eastAsia="Times New Roman" w:cs="Times New Roman"/>
                <w:color w:val="000000"/>
              </w:rPr>
              <w:t>1,055,354</w:t>
            </w:r>
          </w:p>
        </w:tc>
        <w:tc>
          <w:tcPr>
            <w:tcW w:w="1170" w:type="dxa"/>
            <w:tcBorders>
              <w:bottom w:val="nil"/>
            </w:tcBorders>
            <w:shd w:val="clear" w:color="auto" w:fill="auto"/>
            <w:noWrap/>
            <w:vAlign w:val="bottom"/>
          </w:tcPr>
          <w:p w14:paraId="6ED6E7F4" w14:textId="6A7EDA91" w:rsidR="00185A0D" w:rsidRDefault="00030DAE">
            <w:pPr>
              <w:jc w:val="center"/>
              <w:rPr>
                <w:rFonts w:eastAsia="Times New Roman" w:cs="Times New Roman"/>
                <w:color w:val="000000"/>
              </w:rPr>
            </w:pPr>
            <w:r>
              <w:rPr>
                <w:color w:val="000000"/>
              </w:rPr>
              <w:t>15,142.44</w:t>
            </w:r>
          </w:p>
        </w:tc>
        <w:tc>
          <w:tcPr>
            <w:tcW w:w="1170" w:type="dxa"/>
            <w:tcBorders>
              <w:bottom w:val="nil"/>
              <w:right w:val="single" w:sz="4" w:space="0" w:color="auto"/>
            </w:tcBorders>
            <w:shd w:val="clear" w:color="auto" w:fill="auto"/>
            <w:noWrap/>
            <w:vAlign w:val="bottom"/>
          </w:tcPr>
          <w:p w14:paraId="458D67B0" w14:textId="3EA08509" w:rsidR="00185A0D" w:rsidRDefault="00030DAE">
            <w:pPr>
              <w:jc w:val="center"/>
              <w:rPr>
                <w:rFonts w:eastAsia="Times New Roman" w:cs="Times New Roman"/>
                <w:color w:val="000000"/>
              </w:rPr>
            </w:pPr>
            <w:r>
              <w:rPr>
                <w:color w:val="000000"/>
              </w:rPr>
              <w:t>14.676</w:t>
            </w:r>
          </w:p>
        </w:tc>
        <w:tc>
          <w:tcPr>
            <w:tcW w:w="1260" w:type="dxa"/>
            <w:tcBorders>
              <w:left w:val="single" w:sz="4" w:space="0" w:color="auto"/>
              <w:bottom w:val="nil"/>
            </w:tcBorders>
            <w:shd w:val="clear" w:color="auto" w:fill="auto"/>
            <w:noWrap/>
            <w:vAlign w:val="bottom"/>
          </w:tcPr>
          <w:p w14:paraId="5CCFA214" w14:textId="33EE37C1" w:rsidR="00185A0D" w:rsidRPr="00887679" w:rsidRDefault="00030DAE">
            <w:pPr>
              <w:jc w:val="center"/>
              <w:rPr>
                <w:rFonts w:eastAsia="Times New Roman" w:cs="Times New Roman"/>
                <w:color w:val="000000"/>
              </w:rPr>
            </w:pPr>
            <w:r>
              <w:t>1,510,605</w:t>
            </w:r>
          </w:p>
        </w:tc>
        <w:tc>
          <w:tcPr>
            <w:tcW w:w="1350" w:type="dxa"/>
            <w:tcBorders>
              <w:bottom w:val="nil"/>
              <w:right w:val="single" w:sz="4" w:space="0" w:color="auto"/>
            </w:tcBorders>
            <w:shd w:val="clear" w:color="auto" w:fill="auto"/>
            <w:noWrap/>
            <w:vAlign w:val="bottom"/>
          </w:tcPr>
          <w:p w14:paraId="2489BC9F" w14:textId="20F30F67" w:rsidR="00185A0D" w:rsidRPr="00887679" w:rsidRDefault="00030DAE">
            <w:pPr>
              <w:jc w:val="center"/>
              <w:rPr>
                <w:rFonts w:eastAsia="Times New Roman" w:cs="Times New Roman"/>
                <w:color w:val="000000"/>
              </w:rPr>
            </w:pPr>
            <w:r>
              <w:t>2,308,612</w:t>
            </w:r>
          </w:p>
        </w:tc>
      </w:tr>
      <w:tr w:rsidR="0032022B" w:rsidRPr="00887679" w14:paraId="373C30BB" w14:textId="77777777">
        <w:trPr>
          <w:trHeight w:val="300"/>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0C40A431" w14:textId="77777777" w:rsidR="00185A0D" w:rsidRPr="00B21CBC" w:rsidRDefault="00185A0D">
            <w:pPr>
              <w:rPr>
                <w:rFonts w:eastAsia="Times New Roman" w:cs="Times New Roman"/>
                <w:color w:val="000000"/>
              </w:rPr>
            </w:pPr>
            <w:r w:rsidRPr="00B21CBC">
              <w:rPr>
                <w:rFonts w:eastAsia="Times New Roman" w:cs="Times New Roman"/>
                <w:color w:val="000000"/>
              </w:rPr>
              <w:t>End-Use</w:t>
            </w:r>
          </w:p>
        </w:tc>
        <w:tc>
          <w:tcPr>
            <w:tcW w:w="1170" w:type="dxa"/>
            <w:tcBorders>
              <w:top w:val="nil"/>
              <w:left w:val="single" w:sz="4" w:space="0" w:color="auto"/>
              <w:bottom w:val="single" w:sz="4" w:space="0" w:color="auto"/>
            </w:tcBorders>
            <w:shd w:val="clear" w:color="auto" w:fill="auto"/>
            <w:noWrap/>
            <w:vAlign w:val="bottom"/>
            <w:hideMark/>
          </w:tcPr>
          <w:p w14:paraId="26E79CE1" w14:textId="330EF9E0" w:rsidR="00185A0D" w:rsidRPr="00887679" w:rsidRDefault="004A4E69">
            <w:pPr>
              <w:jc w:val="center"/>
              <w:rPr>
                <w:rFonts w:eastAsia="Times New Roman" w:cs="Times New Roman"/>
                <w:color w:val="000000"/>
              </w:rPr>
            </w:pPr>
            <w:r>
              <w:rPr>
                <w:rFonts w:eastAsia="Times New Roman" w:cs="Times New Roman"/>
                <w:color w:val="000000"/>
              </w:rPr>
              <w:t>5,875,990</w:t>
            </w:r>
          </w:p>
        </w:tc>
        <w:tc>
          <w:tcPr>
            <w:tcW w:w="1170" w:type="dxa"/>
            <w:tcBorders>
              <w:top w:val="nil"/>
              <w:bottom w:val="single" w:sz="4" w:space="0" w:color="auto"/>
            </w:tcBorders>
            <w:shd w:val="clear" w:color="auto" w:fill="auto"/>
            <w:noWrap/>
            <w:vAlign w:val="bottom"/>
            <w:hideMark/>
          </w:tcPr>
          <w:p w14:paraId="1E7A3C9B" w14:textId="56BD0928" w:rsidR="00185A0D" w:rsidRPr="00887679" w:rsidRDefault="00030DAE">
            <w:pPr>
              <w:jc w:val="center"/>
              <w:rPr>
                <w:rFonts w:eastAsia="Times New Roman" w:cs="Times New Roman"/>
                <w:color w:val="000000"/>
              </w:rPr>
            </w:pPr>
            <w:r>
              <w:rPr>
                <w:color w:val="000000"/>
              </w:rPr>
              <w:t>119.99</w:t>
            </w:r>
          </w:p>
        </w:tc>
        <w:tc>
          <w:tcPr>
            <w:tcW w:w="1170" w:type="dxa"/>
            <w:tcBorders>
              <w:top w:val="nil"/>
              <w:bottom w:val="single" w:sz="4" w:space="0" w:color="auto"/>
              <w:right w:val="single" w:sz="4" w:space="0" w:color="auto"/>
            </w:tcBorders>
            <w:shd w:val="clear" w:color="auto" w:fill="auto"/>
            <w:noWrap/>
            <w:vAlign w:val="bottom"/>
            <w:hideMark/>
          </w:tcPr>
          <w:p w14:paraId="5273CA1E" w14:textId="4B58CF96" w:rsidR="00185A0D" w:rsidRPr="00887679" w:rsidRDefault="00030DAE">
            <w:pPr>
              <w:jc w:val="center"/>
              <w:rPr>
                <w:rFonts w:eastAsia="Times New Roman" w:cs="Times New Roman"/>
                <w:color w:val="000000"/>
              </w:rPr>
            </w:pPr>
            <w:r>
              <w:rPr>
                <w:color w:val="000000"/>
              </w:rPr>
              <w:t>13.738</w:t>
            </w:r>
          </w:p>
        </w:tc>
        <w:tc>
          <w:tcPr>
            <w:tcW w:w="1260" w:type="dxa"/>
            <w:tcBorders>
              <w:top w:val="nil"/>
              <w:left w:val="single" w:sz="4" w:space="0" w:color="auto"/>
              <w:bottom w:val="single" w:sz="4" w:space="0" w:color="auto"/>
            </w:tcBorders>
            <w:shd w:val="clear" w:color="auto" w:fill="auto"/>
            <w:noWrap/>
            <w:vAlign w:val="bottom"/>
            <w:hideMark/>
          </w:tcPr>
          <w:p w14:paraId="3F1DC980" w14:textId="20B3683D" w:rsidR="00185A0D" w:rsidRPr="00887679" w:rsidRDefault="00030DAE">
            <w:pPr>
              <w:jc w:val="center"/>
              <w:rPr>
                <w:rFonts w:eastAsia="Times New Roman" w:cs="Times New Roman"/>
                <w:color w:val="000000"/>
              </w:rPr>
            </w:pPr>
            <w:r>
              <w:t>5,883,316</w:t>
            </w:r>
          </w:p>
        </w:tc>
        <w:tc>
          <w:tcPr>
            <w:tcW w:w="1350" w:type="dxa"/>
            <w:tcBorders>
              <w:top w:val="nil"/>
              <w:bottom w:val="single" w:sz="4" w:space="0" w:color="auto"/>
              <w:right w:val="single" w:sz="4" w:space="0" w:color="auto"/>
            </w:tcBorders>
            <w:shd w:val="clear" w:color="auto" w:fill="auto"/>
            <w:noWrap/>
            <w:vAlign w:val="bottom"/>
            <w:hideMark/>
          </w:tcPr>
          <w:p w14:paraId="74C7FCDA" w14:textId="4C3C6193" w:rsidR="00185A0D" w:rsidRPr="00887679" w:rsidRDefault="00030DAE">
            <w:pPr>
              <w:jc w:val="center"/>
              <w:rPr>
                <w:rFonts w:eastAsia="Times New Roman" w:cs="Times New Roman"/>
                <w:color w:val="000000"/>
              </w:rPr>
            </w:pPr>
            <w:r>
              <w:t>5,889,639</w:t>
            </w:r>
          </w:p>
        </w:tc>
      </w:tr>
      <w:tr w:rsidR="0032022B" w:rsidRPr="00887679" w14:paraId="5DAF94ED" w14:textId="77777777">
        <w:trPr>
          <w:trHeight w:val="300"/>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64164" w14:textId="77777777" w:rsidR="00185A0D" w:rsidRDefault="00185A0D">
            <w:pPr>
              <w:rPr>
                <w:rFonts w:eastAsia="Times New Roman" w:cs="Times New Roman"/>
                <w:b/>
                <w:bCs/>
                <w:color w:val="000000"/>
              </w:rPr>
            </w:pPr>
            <w:r>
              <w:rPr>
                <w:rFonts w:eastAsia="Times New Roman" w:cs="Times New Roman"/>
                <w:b/>
                <w:bCs/>
                <w:color w:val="000000"/>
              </w:rPr>
              <w:t>Total (Life of Lease)</w:t>
            </w:r>
          </w:p>
        </w:tc>
        <w:tc>
          <w:tcPr>
            <w:tcW w:w="1170" w:type="dxa"/>
            <w:tcBorders>
              <w:top w:val="single" w:sz="4" w:space="0" w:color="auto"/>
              <w:left w:val="single" w:sz="4" w:space="0" w:color="auto"/>
              <w:bottom w:val="single" w:sz="4" w:space="0" w:color="auto"/>
            </w:tcBorders>
            <w:shd w:val="clear" w:color="auto" w:fill="auto"/>
            <w:noWrap/>
            <w:vAlign w:val="bottom"/>
          </w:tcPr>
          <w:p w14:paraId="25A7496F" w14:textId="219DAC7C" w:rsidR="00185A0D" w:rsidRPr="00887679" w:rsidRDefault="00D778BA">
            <w:pPr>
              <w:jc w:val="center"/>
              <w:rPr>
                <w:rFonts w:eastAsia="Times New Roman" w:cs="Times New Roman"/>
                <w:color w:val="000000"/>
              </w:rPr>
            </w:pPr>
            <w:r>
              <w:rPr>
                <w:rFonts w:eastAsia="Times New Roman" w:cs="Times New Roman"/>
                <w:color w:val="000000"/>
              </w:rPr>
              <w:t>6,977,086</w:t>
            </w:r>
          </w:p>
        </w:tc>
        <w:tc>
          <w:tcPr>
            <w:tcW w:w="1170" w:type="dxa"/>
            <w:tcBorders>
              <w:top w:val="single" w:sz="4" w:space="0" w:color="auto"/>
              <w:bottom w:val="single" w:sz="4" w:space="0" w:color="auto"/>
            </w:tcBorders>
            <w:shd w:val="clear" w:color="auto" w:fill="auto"/>
            <w:noWrap/>
            <w:vAlign w:val="bottom"/>
          </w:tcPr>
          <w:p w14:paraId="1DB8F254" w14:textId="7933C256" w:rsidR="00185A0D" w:rsidRPr="00887679" w:rsidRDefault="00030DAE">
            <w:pPr>
              <w:jc w:val="center"/>
              <w:rPr>
                <w:rFonts w:eastAsia="Times New Roman" w:cs="Times New Roman"/>
                <w:color w:val="000000"/>
              </w:rPr>
            </w:pPr>
            <w:r>
              <w:rPr>
                <w:color w:val="000000"/>
              </w:rPr>
              <w:t>15,605.03</w:t>
            </w:r>
          </w:p>
        </w:tc>
        <w:tc>
          <w:tcPr>
            <w:tcW w:w="1170" w:type="dxa"/>
            <w:tcBorders>
              <w:top w:val="single" w:sz="4" w:space="0" w:color="auto"/>
              <w:bottom w:val="single" w:sz="4" w:space="0" w:color="auto"/>
              <w:right w:val="single" w:sz="4" w:space="0" w:color="auto"/>
            </w:tcBorders>
            <w:shd w:val="clear" w:color="auto" w:fill="auto"/>
            <w:noWrap/>
            <w:vAlign w:val="bottom"/>
          </w:tcPr>
          <w:p w14:paraId="5B355389" w14:textId="2BEA7751" w:rsidR="00185A0D" w:rsidRPr="00887679" w:rsidRDefault="00030DAE">
            <w:pPr>
              <w:jc w:val="center"/>
              <w:rPr>
                <w:rFonts w:eastAsia="Times New Roman" w:cs="Times New Roman"/>
                <w:color w:val="000000"/>
              </w:rPr>
            </w:pPr>
            <w:r>
              <w:rPr>
                <w:color w:val="000000"/>
              </w:rPr>
              <w:t>28.565</w:t>
            </w:r>
          </w:p>
        </w:tc>
        <w:tc>
          <w:tcPr>
            <w:tcW w:w="1260" w:type="dxa"/>
            <w:tcBorders>
              <w:top w:val="single" w:sz="4" w:space="0" w:color="auto"/>
              <w:left w:val="single" w:sz="4" w:space="0" w:color="auto"/>
              <w:bottom w:val="single" w:sz="4" w:space="0" w:color="auto"/>
            </w:tcBorders>
            <w:shd w:val="clear" w:color="auto" w:fill="auto"/>
            <w:noWrap/>
            <w:vAlign w:val="bottom"/>
          </w:tcPr>
          <w:p w14:paraId="27D29280" w14:textId="162288F1" w:rsidR="00185A0D" w:rsidRPr="00887679" w:rsidRDefault="00030DAE">
            <w:pPr>
              <w:jc w:val="center"/>
              <w:rPr>
                <w:rFonts w:eastAsia="Times New Roman" w:cs="Times New Roman"/>
                <w:color w:val="000000"/>
              </w:rPr>
            </w:pPr>
            <w:r>
              <w:rPr>
                <w:color w:val="000000"/>
              </w:rPr>
              <w:t>7,449,914</w:t>
            </w:r>
          </w:p>
        </w:tc>
        <w:tc>
          <w:tcPr>
            <w:tcW w:w="1350" w:type="dxa"/>
            <w:tcBorders>
              <w:top w:val="single" w:sz="4" w:space="0" w:color="auto"/>
              <w:bottom w:val="single" w:sz="4" w:space="0" w:color="auto"/>
              <w:right w:val="single" w:sz="4" w:space="0" w:color="auto"/>
            </w:tcBorders>
            <w:shd w:val="clear" w:color="auto" w:fill="auto"/>
            <w:noWrap/>
            <w:vAlign w:val="bottom"/>
          </w:tcPr>
          <w:p w14:paraId="544B0946" w14:textId="24D2ABA0" w:rsidR="00185A0D" w:rsidRPr="00887679" w:rsidRDefault="00030DAE">
            <w:pPr>
              <w:jc w:val="center"/>
              <w:rPr>
                <w:rFonts w:eastAsia="Times New Roman" w:cs="Times New Roman"/>
                <w:color w:val="000000"/>
              </w:rPr>
            </w:pPr>
            <w:r>
              <w:rPr>
                <w:color w:val="000000"/>
              </w:rPr>
              <w:t>8,272,299</w:t>
            </w:r>
          </w:p>
        </w:tc>
      </w:tr>
    </w:tbl>
    <w:p w14:paraId="449BA6C4" w14:textId="439AB224" w:rsidR="00185A0D" w:rsidRDefault="00185A0D" w:rsidP="003F2653">
      <w:pPr>
        <w:jc w:val="both"/>
      </w:pPr>
      <w:r w:rsidRPr="008905CD">
        <w:rPr>
          <w:rFonts w:cs="Times New Roman"/>
          <w:sz w:val="20"/>
          <w:szCs w:val="20"/>
        </w:rPr>
        <w:t>Source: BLM Lease Sale Emissions Tool</w:t>
      </w:r>
    </w:p>
    <w:p w14:paraId="22597D14" w14:textId="6DDA4B45" w:rsidR="00185A0D" w:rsidRPr="00DE4B82" w:rsidRDefault="00185A0D" w:rsidP="00185A0D">
      <w:pPr>
        <w:pStyle w:val="Caption"/>
        <w:rPr>
          <w:b w:val="0"/>
          <w:sz w:val="22"/>
          <w:szCs w:val="22"/>
        </w:rPr>
      </w:pPr>
      <w:r w:rsidRPr="00DE4B82">
        <w:rPr>
          <w:b w:val="0"/>
          <w:sz w:val="22"/>
          <w:szCs w:val="22"/>
        </w:rPr>
        <w:t xml:space="preserve">GHG emissions vary annually over the production life of a well due to declining production rates over time.  </w:t>
      </w:r>
      <w:r w:rsidR="007906E9" w:rsidRPr="00DE4B82">
        <w:rPr>
          <w:b w:val="0"/>
          <w:sz w:val="22"/>
          <w:szCs w:val="22"/>
        </w:rPr>
        <w:fldChar w:fldCharType="begin"/>
      </w:r>
      <w:r w:rsidR="007906E9" w:rsidRPr="00DE4B82">
        <w:rPr>
          <w:b w:val="0"/>
          <w:sz w:val="22"/>
          <w:szCs w:val="22"/>
        </w:rPr>
        <w:instrText xml:space="preserve"> REF _Ref164952458 \h  \* MERGEFORMAT </w:instrText>
      </w:r>
      <w:r w:rsidR="007906E9" w:rsidRPr="00DE4B82">
        <w:rPr>
          <w:b w:val="0"/>
          <w:sz w:val="22"/>
          <w:szCs w:val="22"/>
        </w:rPr>
      </w:r>
      <w:r w:rsidR="007906E9" w:rsidRPr="00DE4B82">
        <w:rPr>
          <w:b w:val="0"/>
          <w:sz w:val="22"/>
          <w:szCs w:val="22"/>
        </w:rPr>
        <w:fldChar w:fldCharType="separate"/>
      </w:r>
      <w:r w:rsidR="007906E9" w:rsidRPr="00DE4B82">
        <w:rPr>
          <w:b w:val="0"/>
          <w:sz w:val="22"/>
          <w:szCs w:val="22"/>
        </w:rPr>
        <w:t xml:space="preserve">Figure </w:t>
      </w:r>
      <w:r w:rsidR="007906E9" w:rsidRPr="00DE4B82">
        <w:rPr>
          <w:b w:val="0"/>
          <w:noProof/>
          <w:sz w:val="22"/>
          <w:szCs w:val="22"/>
        </w:rPr>
        <w:t>2</w:t>
      </w:r>
      <w:r w:rsidR="007906E9" w:rsidRPr="00DE4B82">
        <w:rPr>
          <w:b w:val="0"/>
          <w:sz w:val="22"/>
          <w:szCs w:val="22"/>
        </w:rPr>
        <w:fldChar w:fldCharType="end"/>
      </w:r>
      <w:r w:rsidRPr="00DE4B82">
        <w:rPr>
          <w:b w:val="0"/>
          <w:sz w:val="22"/>
          <w:szCs w:val="22"/>
        </w:rPr>
        <w:t xml:space="preserve"> shows the estimated GHG emissions profile over the production life of a typical lease including the four phases of lease development processes: well development, well production operations, mid-stream, end-use, and gross (total of well development, well production, mid-stream, and end-use) emissions.</w:t>
      </w:r>
      <w:bookmarkStart w:id="248" w:name="_Ref102133997"/>
    </w:p>
    <w:bookmarkEnd w:id="248"/>
    <w:p w14:paraId="0ED8CBDA" w14:textId="77777777" w:rsidR="00185A0D" w:rsidRPr="00FD4FFF" w:rsidRDefault="00185A0D" w:rsidP="00185A0D">
      <w:pPr>
        <w:rPr>
          <w:rFonts w:cs="Times New Roman"/>
          <w:b/>
          <w:bCs/>
          <w:szCs w:val="24"/>
        </w:rPr>
      </w:pPr>
    </w:p>
    <w:p w14:paraId="6501D266" w14:textId="77777777" w:rsidR="007906E9" w:rsidRDefault="00030DAE" w:rsidP="007906E9">
      <w:pPr>
        <w:keepNext/>
      </w:pPr>
      <w:r>
        <w:rPr>
          <w:noProof/>
        </w:rPr>
        <w:lastRenderedPageBreak/>
        <w:drawing>
          <wp:inline distT="0" distB="0" distL="0" distR="0" wp14:anchorId="711D3395" wp14:editId="394CE2BC">
            <wp:extent cx="5814714" cy="2767054"/>
            <wp:effectExtent l="0" t="0" r="0" b="0"/>
            <wp:docPr id="441715992" name="Picture 1" descr="Annual Greenhouse Gas Emission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15992" name="Picture 1" descr="Annual Greenhouse Gas Emissions Profi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6145" cy="2782011"/>
                    </a:xfrm>
                    <a:prstGeom prst="rect">
                      <a:avLst/>
                    </a:prstGeom>
                    <a:noFill/>
                  </pic:spPr>
                </pic:pic>
              </a:graphicData>
            </a:graphic>
          </wp:inline>
        </w:drawing>
      </w:r>
    </w:p>
    <w:p w14:paraId="2E11179A" w14:textId="7A5EF205" w:rsidR="00185A0D" w:rsidRDefault="007906E9" w:rsidP="007906E9">
      <w:pPr>
        <w:pStyle w:val="Caption"/>
      </w:pPr>
      <w:bookmarkStart w:id="249" w:name="_Ref164952458"/>
      <w:bookmarkStart w:id="250" w:name="_Toc179464323"/>
      <w:bookmarkStart w:id="251" w:name="_Toc170114978"/>
      <w:r>
        <w:t xml:space="preserve">Figure </w:t>
      </w:r>
      <w:r w:rsidR="00821807">
        <w:fldChar w:fldCharType="begin"/>
      </w:r>
      <w:r w:rsidR="00821807">
        <w:instrText xml:space="preserve"> SEQ Figure \* ARABIC </w:instrText>
      </w:r>
      <w:r w:rsidR="00821807">
        <w:fldChar w:fldCharType="separate"/>
      </w:r>
      <w:r w:rsidR="00821807">
        <w:rPr>
          <w:noProof/>
        </w:rPr>
        <w:t>5</w:t>
      </w:r>
      <w:r w:rsidR="00821807">
        <w:rPr>
          <w:noProof/>
        </w:rPr>
        <w:fldChar w:fldCharType="end"/>
      </w:r>
      <w:bookmarkEnd w:id="249"/>
      <w:r>
        <w:t xml:space="preserve"> </w:t>
      </w:r>
      <w:r w:rsidRPr="001F0E79">
        <w:t>Estimated GHG Emissions Profile over the Life of a Lease</w:t>
      </w:r>
      <w:bookmarkEnd w:id="250"/>
      <w:bookmarkEnd w:id="251"/>
    </w:p>
    <w:p w14:paraId="60C34BA1" w14:textId="74730429" w:rsidR="00185A0D" w:rsidRPr="008905CD" w:rsidRDefault="00185A0D" w:rsidP="00185A0D">
      <w:pPr>
        <w:rPr>
          <w:rFonts w:cs="Times New Roman"/>
          <w:sz w:val="20"/>
          <w:szCs w:val="20"/>
        </w:rPr>
      </w:pPr>
      <w:r w:rsidRPr="008905CD">
        <w:rPr>
          <w:rFonts w:cs="Times New Roman"/>
          <w:sz w:val="20"/>
          <w:szCs w:val="20"/>
        </w:rPr>
        <w:t>Source: BLM Lease Sale Emissions Tool</w:t>
      </w:r>
    </w:p>
    <w:p w14:paraId="3F3953C7" w14:textId="77777777" w:rsidR="00185A0D" w:rsidRPr="00FE2C44" w:rsidRDefault="00185A0D" w:rsidP="00185A0D">
      <w:pPr>
        <w:rPr>
          <w:rFonts w:cs="Times New Roman"/>
          <w:szCs w:val="24"/>
        </w:rPr>
      </w:pPr>
    </w:p>
    <w:p w14:paraId="154FCF8A" w14:textId="0D3D7532" w:rsidR="00185A0D" w:rsidRDefault="00185A0D" w:rsidP="00185A0D">
      <w:pPr>
        <w:rPr>
          <w:rFonts w:cs="Times New Roman"/>
        </w:rPr>
      </w:pPr>
      <w:r w:rsidRPr="2F4EA3C6">
        <w:rPr>
          <w:rFonts w:cs="Times New Roman"/>
        </w:rPr>
        <w:t>To put the estimated GHG emissions for this lease sale in a relatable context, potential emissions that could result from development of the lease parcels for this sale can be compared to other common activities that generate GHG emissions</w:t>
      </w:r>
      <w:r>
        <w:rPr>
          <w:rFonts w:cs="Times New Roman"/>
        </w:rPr>
        <w:t>.</w:t>
      </w:r>
      <w:r w:rsidRPr="2F4EA3C6">
        <w:rPr>
          <w:rFonts w:cs="Times New Roman"/>
        </w:rPr>
        <w:t xml:space="preserve"> The EPA GHG equivalency calculator</w:t>
      </w:r>
      <w:sdt>
        <w:sdtPr>
          <w:rPr>
            <w:rFonts w:cs="Times New Roman"/>
          </w:rPr>
          <w:id w:val="650944073"/>
          <w:placeholder>
            <w:docPart w:val="598D399F12E9470FA1E187D2F6B0AD64"/>
          </w:placeholder>
          <w:citation/>
        </w:sdtPr>
        <w:sdtContent>
          <w:r w:rsidRPr="2106DB67">
            <w:rPr>
              <w:rFonts w:cs="Times New Roman"/>
            </w:rPr>
            <w:fldChar w:fldCharType="begin"/>
          </w:r>
          <w:r w:rsidRPr="2106DB67">
            <w:rPr>
              <w:rFonts w:cs="Times New Roman"/>
            </w:rPr>
            <w:instrText xml:space="preserve"> CITATION EPA22 \l 1033 </w:instrText>
          </w:r>
          <w:r w:rsidRPr="2106DB67">
            <w:rPr>
              <w:rFonts w:cs="Times New Roman"/>
            </w:rPr>
            <w:fldChar w:fldCharType="separate"/>
          </w:r>
          <w:r w:rsidR="0093463A">
            <w:rPr>
              <w:rFonts w:cs="Times New Roman"/>
              <w:noProof/>
            </w:rPr>
            <w:t xml:space="preserve"> </w:t>
          </w:r>
          <w:r w:rsidR="0093463A" w:rsidRPr="0093463A">
            <w:rPr>
              <w:rFonts w:cs="Times New Roman"/>
              <w:noProof/>
            </w:rPr>
            <w:t>(EPA , 2022)</w:t>
          </w:r>
          <w:r w:rsidRPr="2106DB67">
            <w:rPr>
              <w:rFonts w:cs="Times New Roman"/>
            </w:rPr>
            <w:fldChar w:fldCharType="end"/>
          </w:r>
        </w:sdtContent>
      </w:sdt>
      <w:r w:rsidRPr="2F4EA3C6">
        <w:rPr>
          <w:rFonts w:cs="Times New Roman"/>
        </w:rPr>
        <w:t xml:space="preserve"> can be used to express the potential average year GHG emissions on a scale relatable to everyday life </w:t>
      </w:r>
      <w:r w:rsidRPr="2106DB67">
        <w:rPr>
          <w:rFonts w:cs="Times New Roman"/>
        </w:rPr>
        <w:t>(https://www.epa.gov/energy/greenhouse-gas-equivalencies-calculator)</w:t>
      </w:r>
      <w:r w:rsidRPr="2F4EA3C6">
        <w:rPr>
          <w:rFonts w:cs="Times New Roman"/>
        </w:rPr>
        <w:t xml:space="preserve">.  For instance, the projected average annual GHG emissions from potential development of the subject lease are equivalent to </w:t>
      </w:r>
      <w:r w:rsidR="00923F1F">
        <w:rPr>
          <w:rFonts w:cs="Times New Roman"/>
        </w:rPr>
        <w:t>41,169</w:t>
      </w:r>
      <w:r w:rsidRPr="2F4EA3C6">
        <w:rPr>
          <w:rFonts w:cs="Times New Roman"/>
        </w:rPr>
        <w:t xml:space="preserve"> gasoline-fueled passenger vehicles driven for one year, or the emissions that could be avoided by operating </w:t>
      </w:r>
      <w:bookmarkStart w:id="252" w:name="_Hlk93406148"/>
      <w:r w:rsidR="00923F1F" w:rsidRPr="003F2653">
        <w:rPr>
          <w:rFonts w:cs="Times New Roman"/>
        </w:rPr>
        <w:t>52</w:t>
      </w:r>
      <w:bookmarkEnd w:id="252"/>
      <w:r w:rsidRPr="2F4EA3C6">
        <w:rPr>
          <w:rFonts w:cs="Times New Roman"/>
        </w:rPr>
        <w:t xml:space="preserve"> wind turbines as an alternative energy source or offset by the carbon sequestration of </w:t>
      </w:r>
      <w:r w:rsidR="00923F1F">
        <w:rPr>
          <w:rFonts w:cs="Times New Roman"/>
        </w:rPr>
        <w:t>227,409</w:t>
      </w:r>
      <w:r w:rsidR="00A77E79">
        <w:rPr>
          <w:rFonts w:cs="Times New Roman"/>
        </w:rPr>
        <w:t xml:space="preserve"> </w:t>
      </w:r>
      <w:r w:rsidRPr="2F4EA3C6">
        <w:rPr>
          <w:rFonts w:cs="Times New Roman"/>
        </w:rPr>
        <w:t>acres of forest land.</w:t>
      </w:r>
    </w:p>
    <w:p w14:paraId="31D9973B" w14:textId="77777777" w:rsidR="00185A0D" w:rsidRDefault="00185A0D" w:rsidP="00185A0D">
      <w:pPr>
        <w:rPr>
          <w:rFonts w:cs="Times New Roman"/>
        </w:rPr>
      </w:pPr>
    </w:p>
    <w:p w14:paraId="038B91D2" w14:textId="3B22F2E4" w:rsidR="00185A0D" w:rsidRPr="00DE4B82" w:rsidRDefault="00D81E0E" w:rsidP="00185A0D">
      <w:pPr>
        <w:pStyle w:val="Caption"/>
        <w:rPr>
          <w:b w:val="0"/>
          <w:color w:val="000000" w:themeColor="text1"/>
          <w:sz w:val="22"/>
          <w:szCs w:val="22"/>
        </w:rPr>
      </w:pPr>
      <w:r w:rsidRPr="00DE4B82">
        <w:rPr>
          <w:b w:val="0"/>
          <w:sz w:val="22"/>
          <w:szCs w:val="22"/>
          <w:highlight w:val="yellow"/>
        </w:rPr>
        <w:fldChar w:fldCharType="begin"/>
      </w:r>
      <w:r w:rsidRPr="00DE4B82">
        <w:rPr>
          <w:b w:val="0"/>
          <w:sz w:val="22"/>
          <w:szCs w:val="22"/>
          <w:highlight w:val="yellow"/>
        </w:rPr>
        <w:instrText xml:space="preserve"> REF _Ref164952578 \h  \* MERGEFORMAT </w:instrText>
      </w:r>
      <w:r w:rsidRPr="00DE4B82">
        <w:rPr>
          <w:b w:val="0"/>
          <w:sz w:val="22"/>
          <w:szCs w:val="22"/>
          <w:highlight w:val="yellow"/>
        </w:rPr>
      </w:r>
      <w:r w:rsidRPr="00DE4B82">
        <w:rPr>
          <w:b w:val="0"/>
          <w:sz w:val="22"/>
          <w:szCs w:val="22"/>
          <w:highlight w:val="yellow"/>
        </w:rPr>
        <w:fldChar w:fldCharType="separate"/>
      </w:r>
      <w:r w:rsidRPr="00DE4B82">
        <w:rPr>
          <w:b w:val="0"/>
          <w:sz w:val="22"/>
          <w:szCs w:val="22"/>
        </w:rPr>
        <w:t xml:space="preserve">Table </w:t>
      </w:r>
      <w:r w:rsidRPr="00DE4B82">
        <w:rPr>
          <w:b w:val="0"/>
          <w:sz w:val="22"/>
          <w:szCs w:val="22"/>
          <w:highlight w:val="yellow"/>
        </w:rPr>
        <w:fldChar w:fldCharType="end"/>
      </w:r>
      <w:r w:rsidR="00A8223C" w:rsidRPr="00DE4B82">
        <w:rPr>
          <w:b w:val="0"/>
          <w:sz w:val="22"/>
          <w:szCs w:val="22"/>
        </w:rPr>
        <w:t>24</w:t>
      </w:r>
      <w:r w:rsidR="00185A0D" w:rsidRPr="00DE4B82">
        <w:rPr>
          <w:b w:val="0"/>
          <w:sz w:val="22"/>
          <w:szCs w:val="22"/>
        </w:rPr>
        <w:t xml:space="preserve"> compares the estimated annual lease sale emissions to existing Federal fossil fuel (oil, gas, and coal) emissions, State, and U.S. total GHG emissions.</w:t>
      </w:r>
      <w:r w:rsidR="00185A0D" w:rsidRPr="00DE4B82">
        <w:rPr>
          <w:b w:val="0"/>
          <w:color w:val="000000"/>
          <w:sz w:val="22"/>
          <w:szCs w:val="22"/>
        </w:rPr>
        <w:t xml:space="preserve"> </w:t>
      </w:r>
      <w:bookmarkStart w:id="253" w:name="_Ref102134044"/>
    </w:p>
    <w:p w14:paraId="01ABBDD4" w14:textId="754DCE91" w:rsidR="00D81E0E" w:rsidRDefault="00D81E0E" w:rsidP="003F2653">
      <w:pPr>
        <w:pStyle w:val="Caption"/>
      </w:pPr>
      <w:bookmarkStart w:id="254" w:name="_Ref164952578"/>
      <w:bookmarkStart w:id="255" w:name="_Toc179464305"/>
      <w:bookmarkStart w:id="256" w:name="_Toc170114960"/>
      <w:bookmarkEnd w:id="253"/>
      <w:r>
        <w:t xml:space="preserve">Table </w:t>
      </w:r>
      <w:r w:rsidR="00BB3F01">
        <w:fldChar w:fldCharType="begin"/>
      </w:r>
      <w:r w:rsidR="00BB3F01">
        <w:instrText xml:space="preserve"> SEQ Table \* ARABIC </w:instrText>
      </w:r>
      <w:r w:rsidR="00BB3F01">
        <w:fldChar w:fldCharType="separate"/>
      </w:r>
      <w:r w:rsidR="00BB3F01">
        <w:rPr>
          <w:noProof/>
        </w:rPr>
        <w:t>24</w:t>
      </w:r>
      <w:r w:rsidR="00BB3F01">
        <w:rPr>
          <w:noProof/>
        </w:rPr>
        <w:fldChar w:fldCharType="end"/>
      </w:r>
      <w:bookmarkEnd w:id="254"/>
      <w:r>
        <w:t xml:space="preserve"> </w:t>
      </w:r>
      <w:r w:rsidRPr="00BC65E7">
        <w:t>Comparison of Lease Sale Emissions to Other Sources (</w:t>
      </w:r>
      <w:proofErr w:type="spellStart"/>
      <w:r w:rsidRPr="00BC65E7">
        <w:t>Megatonnes</w:t>
      </w:r>
      <w:proofErr w:type="spellEnd"/>
      <w:r w:rsidRPr="00BC65E7">
        <w:t>)</w:t>
      </w:r>
      <w:bookmarkEnd w:id="255"/>
      <w:bookmarkEnd w:id="256"/>
    </w:p>
    <w:tbl>
      <w:tblPr>
        <w:tblW w:w="5665" w:type="dxa"/>
        <w:tblLook w:val="04A0" w:firstRow="1" w:lastRow="0" w:firstColumn="1" w:lastColumn="0" w:noHBand="0" w:noVBand="1"/>
      </w:tblPr>
      <w:tblGrid>
        <w:gridCol w:w="2812"/>
        <w:gridCol w:w="2853"/>
      </w:tblGrid>
      <w:tr w:rsidR="00185A0D" w:rsidRPr="006A0EF7" w14:paraId="50F03F27" w14:textId="77777777" w:rsidTr="001B06D5">
        <w:trPr>
          <w:trHeight w:hRule="exact" w:val="720"/>
          <w:tblHeader/>
        </w:trPr>
        <w:tc>
          <w:tcPr>
            <w:tcW w:w="2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9F9BF"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Reference</w:t>
            </w:r>
          </w:p>
        </w:tc>
        <w:tc>
          <w:tcPr>
            <w:tcW w:w="2853" w:type="dxa"/>
            <w:tcBorders>
              <w:top w:val="single" w:sz="4" w:space="0" w:color="auto"/>
              <w:left w:val="nil"/>
              <w:bottom w:val="single" w:sz="4" w:space="0" w:color="auto"/>
              <w:right w:val="single" w:sz="4" w:space="0" w:color="auto"/>
            </w:tcBorders>
            <w:shd w:val="clear" w:color="auto" w:fill="auto"/>
            <w:vAlign w:val="center"/>
            <w:hideMark/>
          </w:tcPr>
          <w:p w14:paraId="473ED7F9"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Mt CO</w:t>
            </w:r>
            <w:r w:rsidRPr="003F2653">
              <w:rPr>
                <w:rFonts w:eastAsia="Times New Roman" w:cs="Times New Roman"/>
                <w:b/>
                <w:color w:val="000000"/>
                <w:vertAlign w:val="subscript"/>
              </w:rPr>
              <w:t>2</w:t>
            </w:r>
            <w:r w:rsidRPr="00056D04">
              <w:rPr>
                <w:rFonts w:eastAsia="Times New Roman" w:cs="Times New Roman"/>
                <w:b/>
                <w:bCs/>
                <w:color w:val="000000"/>
              </w:rPr>
              <w:t>e</w:t>
            </w:r>
            <w:r w:rsidRPr="00056D04">
              <w:rPr>
                <w:rFonts w:eastAsia="Times New Roman" w:cs="Times New Roman"/>
                <w:b/>
                <w:bCs/>
                <w:color w:val="000000"/>
                <w:vertAlign w:val="superscript"/>
              </w:rPr>
              <w:t>1</w:t>
            </w:r>
            <w:r w:rsidRPr="00056D04">
              <w:rPr>
                <w:rFonts w:eastAsia="Times New Roman" w:cs="Times New Roman"/>
                <w:b/>
                <w:bCs/>
                <w:color w:val="000000"/>
              </w:rPr>
              <w:t xml:space="preserve"> </w:t>
            </w:r>
            <w:r w:rsidRPr="00056D04">
              <w:rPr>
                <w:rFonts w:eastAsia="Times New Roman" w:cs="Times New Roman"/>
                <w:b/>
                <w:bCs/>
                <w:color w:val="000000"/>
              </w:rPr>
              <w:br/>
              <w:t>(Per Year)</w:t>
            </w:r>
          </w:p>
        </w:tc>
      </w:tr>
      <w:tr w:rsidR="00185A0D" w:rsidRPr="006A0EF7" w14:paraId="40344575"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noWrap/>
            <w:vAlign w:val="center"/>
            <w:hideMark/>
          </w:tcPr>
          <w:p w14:paraId="2BB390E3" w14:textId="77777777" w:rsidR="00185A0D" w:rsidRPr="00056D04" w:rsidRDefault="00185A0D">
            <w:pPr>
              <w:jc w:val="center"/>
              <w:rPr>
                <w:rFonts w:eastAsia="Times New Roman" w:cs="Times New Roman"/>
                <w:b/>
                <w:bCs/>
                <w:color w:val="000000"/>
              </w:rPr>
            </w:pPr>
            <w:r w:rsidRPr="00056D04">
              <w:rPr>
                <w:rFonts w:eastAsia="Times New Roman" w:cs="Times New Roman"/>
                <w:b/>
                <w:bCs/>
                <w:color w:val="000000"/>
              </w:rPr>
              <w:t>Lease Sale Emissions (Maximum Year)</w:t>
            </w:r>
          </w:p>
        </w:tc>
        <w:tc>
          <w:tcPr>
            <w:tcW w:w="2853" w:type="dxa"/>
            <w:tcBorders>
              <w:top w:val="nil"/>
              <w:left w:val="nil"/>
              <w:bottom w:val="single" w:sz="4" w:space="0" w:color="auto"/>
              <w:right w:val="single" w:sz="4" w:space="0" w:color="auto"/>
            </w:tcBorders>
            <w:shd w:val="clear" w:color="auto" w:fill="auto"/>
            <w:vAlign w:val="center"/>
            <w:hideMark/>
          </w:tcPr>
          <w:p w14:paraId="22CA2683" w14:textId="37F04FB4" w:rsidR="00185A0D" w:rsidRPr="00056D04" w:rsidRDefault="004264D7">
            <w:pPr>
              <w:jc w:val="center"/>
              <w:rPr>
                <w:rFonts w:eastAsia="Times New Roman" w:cs="Times New Roman"/>
                <w:color w:val="000000"/>
              </w:rPr>
            </w:pPr>
            <w:r>
              <w:rPr>
                <w:color w:val="000000"/>
              </w:rPr>
              <w:t>0.634</w:t>
            </w:r>
          </w:p>
        </w:tc>
      </w:tr>
      <w:tr w:rsidR="00185A0D" w:rsidRPr="006A0EF7" w14:paraId="6F6E0000"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noWrap/>
            <w:vAlign w:val="center"/>
            <w:hideMark/>
          </w:tcPr>
          <w:p w14:paraId="3059797D" w14:textId="57837FB4" w:rsidR="00185A0D" w:rsidRPr="00056D04" w:rsidRDefault="00AD7C5C">
            <w:pPr>
              <w:rPr>
                <w:rFonts w:eastAsia="Times New Roman" w:cs="Times New Roman"/>
                <w:b/>
                <w:bCs/>
                <w:color w:val="000000"/>
              </w:rPr>
            </w:pPr>
            <w:r>
              <w:rPr>
                <w:rFonts w:eastAsia="Times New Roman" w:cs="Times New Roman"/>
                <w:b/>
                <w:bCs/>
                <w:color w:val="000000"/>
              </w:rPr>
              <w:t>UT</w:t>
            </w:r>
            <w:r w:rsidR="00185A0D" w:rsidRPr="00056D04">
              <w:rPr>
                <w:rFonts w:eastAsia="Times New Roman" w:cs="Times New Roman"/>
                <w:b/>
                <w:bCs/>
                <w:color w:val="000000"/>
              </w:rPr>
              <w:t xml:space="preserve"> Onshore Federal (Oil &amp; Gas)</w:t>
            </w:r>
            <w:r w:rsidR="00185A0D" w:rsidRPr="00056D04">
              <w:rPr>
                <w:rFonts w:eastAsia="Times New Roman" w:cs="Times New Roman"/>
                <w:b/>
                <w:bCs/>
                <w:color w:val="000000"/>
                <w:vertAlign w:val="superscript"/>
              </w:rPr>
              <w:t>2</w:t>
            </w:r>
          </w:p>
        </w:tc>
        <w:tc>
          <w:tcPr>
            <w:tcW w:w="2853" w:type="dxa"/>
            <w:tcBorders>
              <w:top w:val="nil"/>
              <w:left w:val="nil"/>
              <w:bottom w:val="single" w:sz="4" w:space="0" w:color="auto"/>
              <w:right w:val="single" w:sz="4" w:space="0" w:color="auto"/>
            </w:tcBorders>
            <w:shd w:val="clear" w:color="auto" w:fill="auto"/>
            <w:vAlign w:val="center"/>
            <w:hideMark/>
          </w:tcPr>
          <w:p w14:paraId="73967E08" w14:textId="1BDAC8D2" w:rsidR="00185A0D" w:rsidRPr="00056D04" w:rsidRDefault="004264D7">
            <w:pPr>
              <w:jc w:val="center"/>
              <w:rPr>
                <w:rFonts w:eastAsia="Times New Roman" w:cs="Times New Roman"/>
                <w:color w:val="000000"/>
              </w:rPr>
            </w:pPr>
            <w:r>
              <w:rPr>
                <w:color w:val="000000"/>
              </w:rPr>
              <w:t>13.90</w:t>
            </w:r>
          </w:p>
        </w:tc>
      </w:tr>
      <w:tr w:rsidR="002031B3" w:rsidRPr="006A0EF7" w14:paraId="666192E9"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noWrap/>
            <w:vAlign w:val="center"/>
          </w:tcPr>
          <w:p w14:paraId="2B209959" w14:textId="4B2756EA" w:rsidR="002031B3" w:rsidRDefault="002031B3">
            <w:pPr>
              <w:rPr>
                <w:rFonts w:eastAsia="Times New Roman" w:cs="Times New Roman"/>
                <w:b/>
                <w:bCs/>
                <w:color w:val="000000"/>
              </w:rPr>
            </w:pPr>
            <w:r>
              <w:rPr>
                <w:rFonts w:eastAsia="Times New Roman" w:cs="Times New Roman"/>
                <w:b/>
                <w:bCs/>
                <w:color w:val="000000"/>
              </w:rPr>
              <w:t>UT Onshore Federal (Oil, Gas, and Coal)</w:t>
            </w:r>
            <w:r w:rsidRPr="00D5786E">
              <w:rPr>
                <w:rFonts w:eastAsia="Times New Roman" w:cs="Times New Roman"/>
                <w:b/>
                <w:bCs/>
                <w:color w:val="000000"/>
                <w:vertAlign w:val="superscript"/>
              </w:rPr>
              <w:t>2</w:t>
            </w:r>
          </w:p>
        </w:tc>
        <w:tc>
          <w:tcPr>
            <w:tcW w:w="2853" w:type="dxa"/>
            <w:tcBorders>
              <w:top w:val="nil"/>
              <w:left w:val="nil"/>
              <w:bottom w:val="single" w:sz="4" w:space="0" w:color="auto"/>
              <w:right w:val="single" w:sz="4" w:space="0" w:color="auto"/>
            </w:tcBorders>
            <w:shd w:val="clear" w:color="auto" w:fill="auto"/>
            <w:vAlign w:val="center"/>
          </w:tcPr>
          <w:p w14:paraId="1CA7A494" w14:textId="20031E98" w:rsidR="002031B3" w:rsidRDefault="00116096">
            <w:pPr>
              <w:jc w:val="center"/>
              <w:rPr>
                <w:color w:val="000000"/>
              </w:rPr>
            </w:pPr>
            <w:r>
              <w:rPr>
                <w:color w:val="000000"/>
              </w:rPr>
              <w:t>28.95</w:t>
            </w:r>
          </w:p>
        </w:tc>
      </w:tr>
      <w:tr w:rsidR="00185A0D" w:rsidRPr="006A0EF7" w14:paraId="2DBB1590"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vAlign w:val="center"/>
            <w:hideMark/>
          </w:tcPr>
          <w:p w14:paraId="6A02ED05" w14:textId="77777777" w:rsidR="00185A0D" w:rsidRPr="00056D04" w:rsidRDefault="00185A0D">
            <w:pPr>
              <w:rPr>
                <w:rFonts w:eastAsia="Times New Roman" w:cs="Times New Roman"/>
                <w:b/>
                <w:bCs/>
                <w:color w:val="000000"/>
              </w:rPr>
            </w:pPr>
            <w:r w:rsidRPr="00056D04">
              <w:rPr>
                <w:rFonts w:eastAsia="Times New Roman" w:cs="Times New Roman"/>
                <w:b/>
                <w:bCs/>
                <w:color w:val="000000"/>
              </w:rPr>
              <w:t>U.S. Onshore Federal (Oil &amp; Gas)</w:t>
            </w:r>
            <w:bookmarkStart w:id="257" w:name="_Hlk82096015"/>
            <w:r w:rsidRPr="00056D04">
              <w:rPr>
                <w:rFonts w:eastAsia="Times New Roman" w:cs="Times New Roman"/>
                <w:b/>
                <w:bCs/>
                <w:color w:val="000000"/>
                <w:vertAlign w:val="superscript"/>
              </w:rPr>
              <w:t>2</w:t>
            </w:r>
            <w:bookmarkEnd w:id="257"/>
          </w:p>
        </w:tc>
        <w:tc>
          <w:tcPr>
            <w:tcW w:w="2853" w:type="dxa"/>
            <w:tcBorders>
              <w:top w:val="nil"/>
              <w:left w:val="nil"/>
              <w:bottom w:val="single" w:sz="4" w:space="0" w:color="auto"/>
              <w:right w:val="single" w:sz="4" w:space="0" w:color="auto"/>
            </w:tcBorders>
            <w:shd w:val="clear" w:color="auto" w:fill="auto"/>
            <w:noWrap/>
            <w:vAlign w:val="center"/>
            <w:hideMark/>
          </w:tcPr>
          <w:p w14:paraId="0D4BBDC0" w14:textId="19B71DFF" w:rsidR="00185A0D" w:rsidRPr="00056D04" w:rsidRDefault="00533142">
            <w:pPr>
              <w:jc w:val="center"/>
              <w:rPr>
                <w:rFonts w:eastAsia="Times New Roman" w:cs="Times New Roman"/>
                <w:color w:val="000000"/>
              </w:rPr>
            </w:pPr>
            <w:r>
              <w:rPr>
                <w:rFonts w:cs="Times New Roman"/>
                <w:color w:val="000000"/>
              </w:rPr>
              <w:t>611.55</w:t>
            </w:r>
          </w:p>
        </w:tc>
      </w:tr>
      <w:tr w:rsidR="00185A0D" w:rsidRPr="006A0EF7" w14:paraId="2DFF4478"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vAlign w:val="center"/>
            <w:hideMark/>
          </w:tcPr>
          <w:p w14:paraId="7D371298" w14:textId="63A489E0" w:rsidR="00185A0D" w:rsidRPr="00056D04" w:rsidRDefault="00185A0D">
            <w:pPr>
              <w:rPr>
                <w:rFonts w:eastAsia="Times New Roman" w:cs="Times New Roman"/>
                <w:b/>
                <w:bCs/>
                <w:color w:val="000000"/>
              </w:rPr>
            </w:pPr>
            <w:r w:rsidRPr="00056D04">
              <w:rPr>
                <w:rFonts w:eastAsia="Times New Roman" w:cs="Times New Roman"/>
                <w:b/>
                <w:bCs/>
                <w:color w:val="000000"/>
              </w:rPr>
              <w:lastRenderedPageBreak/>
              <w:t>U.S. Federal-All (Oil &amp;Gas</w:t>
            </w:r>
            <w:r w:rsidR="000A7AEE">
              <w:rPr>
                <w:rFonts w:eastAsia="Times New Roman" w:cs="Times New Roman"/>
                <w:b/>
                <w:bCs/>
                <w:color w:val="000000"/>
              </w:rPr>
              <w:t xml:space="preserve"> and</w:t>
            </w:r>
            <w:r w:rsidRPr="00056D04">
              <w:rPr>
                <w:rFonts w:eastAsia="Times New Roman" w:cs="Times New Roman"/>
                <w:b/>
                <w:bCs/>
                <w:color w:val="000000"/>
              </w:rPr>
              <w:t>)</w:t>
            </w:r>
            <w:r w:rsidRPr="00056D04">
              <w:rPr>
                <w:rFonts w:eastAsia="Times New Roman" w:cs="Times New Roman"/>
                <w:b/>
                <w:bCs/>
                <w:color w:val="000000"/>
                <w:vertAlign w:val="superscript"/>
              </w:rPr>
              <w:t>2</w:t>
            </w:r>
          </w:p>
        </w:tc>
        <w:tc>
          <w:tcPr>
            <w:tcW w:w="2853" w:type="dxa"/>
            <w:tcBorders>
              <w:top w:val="nil"/>
              <w:left w:val="nil"/>
              <w:bottom w:val="single" w:sz="4" w:space="0" w:color="auto"/>
              <w:right w:val="single" w:sz="4" w:space="0" w:color="auto"/>
            </w:tcBorders>
            <w:shd w:val="clear" w:color="auto" w:fill="auto"/>
            <w:noWrap/>
            <w:vAlign w:val="center"/>
            <w:hideMark/>
          </w:tcPr>
          <w:p w14:paraId="44D156E4" w14:textId="21068852" w:rsidR="00185A0D" w:rsidRPr="00056D04" w:rsidRDefault="00E61C3A">
            <w:pPr>
              <w:jc w:val="center"/>
              <w:rPr>
                <w:rFonts w:eastAsia="Times New Roman" w:cs="Times New Roman"/>
                <w:color w:val="000000"/>
              </w:rPr>
            </w:pPr>
            <w:r>
              <w:rPr>
                <w:rFonts w:cs="Times New Roman"/>
                <w:color w:val="000000"/>
              </w:rPr>
              <w:t>1,</w:t>
            </w:r>
            <w:r w:rsidR="00F825CC">
              <w:rPr>
                <w:rFonts w:cs="Times New Roman"/>
                <w:color w:val="000000"/>
              </w:rPr>
              <w:t>462.29</w:t>
            </w:r>
          </w:p>
        </w:tc>
      </w:tr>
      <w:tr w:rsidR="00185A0D" w:rsidRPr="006A0EF7" w14:paraId="6E57A5CE"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vAlign w:val="center"/>
            <w:hideMark/>
          </w:tcPr>
          <w:p w14:paraId="34F268B1" w14:textId="77777777" w:rsidR="00185A0D" w:rsidRPr="00056D04" w:rsidRDefault="00185A0D">
            <w:pPr>
              <w:rPr>
                <w:rFonts w:eastAsia="Times New Roman" w:cs="Times New Roman"/>
                <w:b/>
                <w:bCs/>
                <w:color w:val="000000"/>
              </w:rPr>
            </w:pPr>
            <w:r w:rsidRPr="00056D04">
              <w:rPr>
                <w:rFonts w:eastAsia="Times New Roman" w:cs="Times New Roman"/>
                <w:b/>
                <w:bCs/>
                <w:color w:val="000000"/>
              </w:rPr>
              <w:t>U.S. Federal Onshore (Oil, Gas and Coal)</w:t>
            </w:r>
            <w:r w:rsidRPr="00056D04">
              <w:rPr>
                <w:rFonts w:eastAsia="Times New Roman" w:cs="Times New Roman"/>
                <w:b/>
                <w:bCs/>
                <w:color w:val="000000"/>
                <w:vertAlign w:val="superscript"/>
              </w:rPr>
              <w:t>2</w:t>
            </w:r>
          </w:p>
        </w:tc>
        <w:tc>
          <w:tcPr>
            <w:tcW w:w="2853" w:type="dxa"/>
            <w:tcBorders>
              <w:top w:val="nil"/>
              <w:left w:val="nil"/>
              <w:bottom w:val="single" w:sz="4" w:space="0" w:color="auto"/>
              <w:right w:val="single" w:sz="4" w:space="0" w:color="auto"/>
            </w:tcBorders>
            <w:shd w:val="clear" w:color="auto" w:fill="auto"/>
            <w:noWrap/>
            <w:vAlign w:val="center"/>
            <w:hideMark/>
          </w:tcPr>
          <w:p w14:paraId="52A71183" w14:textId="12A86C9C" w:rsidR="00185A0D" w:rsidRPr="00056D04" w:rsidRDefault="00185A0D">
            <w:pPr>
              <w:jc w:val="center"/>
              <w:rPr>
                <w:rFonts w:eastAsia="Times New Roman" w:cs="Times New Roman"/>
                <w:color w:val="000000"/>
              </w:rPr>
            </w:pPr>
            <w:r w:rsidRPr="00056D04">
              <w:rPr>
                <w:rFonts w:cs="Times New Roman"/>
                <w:color w:val="000000"/>
              </w:rPr>
              <w:t>1,</w:t>
            </w:r>
            <w:r w:rsidR="000A7AEE">
              <w:rPr>
                <w:rFonts w:cs="Times New Roman"/>
                <w:color w:val="000000"/>
              </w:rPr>
              <w:t>046.33</w:t>
            </w:r>
          </w:p>
        </w:tc>
      </w:tr>
      <w:tr w:rsidR="00185A0D" w:rsidRPr="006A0EF7" w14:paraId="56AE6B9E" w14:textId="77777777">
        <w:trPr>
          <w:trHeight w:hRule="exact" w:val="720"/>
        </w:trPr>
        <w:tc>
          <w:tcPr>
            <w:tcW w:w="2812" w:type="dxa"/>
            <w:tcBorders>
              <w:top w:val="nil"/>
              <w:left w:val="single" w:sz="4" w:space="0" w:color="auto"/>
              <w:bottom w:val="single" w:sz="4" w:space="0" w:color="auto"/>
              <w:right w:val="single" w:sz="4" w:space="0" w:color="auto"/>
            </w:tcBorders>
            <w:shd w:val="clear" w:color="auto" w:fill="auto"/>
            <w:vAlign w:val="center"/>
            <w:hideMark/>
          </w:tcPr>
          <w:p w14:paraId="15B20AA2" w14:textId="77777777" w:rsidR="00185A0D" w:rsidRPr="00056D04" w:rsidRDefault="00185A0D">
            <w:pPr>
              <w:rPr>
                <w:rFonts w:eastAsia="Times New Roman" w:cs="Times New Roman"/>
                <w:b/>
                <w:bCs/>
                <w:color w:val="000000"/>
              </w:rPr>
            </w:pPr>
            <w:r w:rsidRPr="00056D04">
              <w:rPr>
                <w:rFonts w:eastAsia="Times New Roman" w:cs="Times New Roman"/>
                <w:b/>
                <w:bCs/>
                <w:color w:val="000000"/>
              </w:rPr>
              <w:t xml:space="preserve">U.S. Total </w:t>
            </w:r>
          </w:p>
          <w:p w14:paraId="6A4E950F" w14:textId="77777777" w:rsidR="00185A0D" w:rsidRPr="00056D04" w:rsidRDefault="00185A0D">
            <w:pPr>
              <w:rPr>
                <w:rFonts w:eastAsia="Times New Roman" w:cs="Times New Roman"/>
                <w:b/>
                <w:bCs/>
                <w:color w:val="000000"/>
              </w:rPr>
            </w:pPr>
          </w:p>
        </w:tc>
        <w:tc>
          <w:tcPr>
            <w:tcW w:w="2853" w:type="dxa"/>
            <w:tcBorders>
              <w:top w:val="nil"/>
              <w:left w:val="nil"/>
              <w:bottom w:val="single" w:sz="4" w:space="0" w:color="auto"/>
              <w:right w:val="single" w:sz="4" w:space="0" w:color="auto"/>
            </w:tcBorders>
            <w:shd w:val="clear" w:color="auto" w:fill="auto"/>
            <w:noWrap/>
            <w:vAlign w:val="center"/>
            <w:hideMark/>
          </w:tcPr>
          <w:p w14:paraId="63B94C3B" w14:textId="1DA17E6F" w:rsidR="00185A0D" w:rsidRPr="00056D04" w:rsidRDefault="003D5586">
            <w:pPr>
              <w:jc w:val="center"/>
              <w:rPr>
                <w:color w:val="000000"/>
              </w:rPr>
            </w:pPr>
            <w:r>
              <w:rPr>
                <w:color w:val="000000" w:themeColor="text1"/>
              </w:rPr>
              <w:t>7,260.36</w:t>
            </w:r>
          </w:p>
        </w:tc>
      </w:tr>
    </w:tbl>
    <w:p w14:paraId="7C6373B9" w14:textId="77777777" w:rsidR="00185A0D" w:rsidRPr="00056D04" w:rsidRDefault="00185A0D" w:rsidP="00185A0D">
      <w:pPr>
        <w:rPr>
          <w:rFonts w:cs="Times New Roman"/>
          <w:sz w:val="20"/>
          <w:szCs w:val="20"/>
        </w:rPr>
      </w:pPr>
      <w:r w:rsidRPr="00164AF2">
        <w:rPr>
          <w:rFonts w:eastAsia="Times New Roman" w:cs="Times New Roman"/>
          <w:color w:val="000000"/>
          <w:sz w:val="20"/>
          <w:szCs w:val="20"/>
          <w:lang w:val="de-DE"/>
        </w:rPr>
        <w:t xml:space="preserve">1 – </w:t>
      </w:r>
      <w:r w:rsidRPr="00164AF2">
        <w:rPr>
          <w:rFonts w:cs="Times New Roman"/>
          <w:sz w:val="20"/>
          <w:szCs w:val="20"/>
          <w:lang w:val="de-DE"/>
        </w:rPr>
        <w:t xml:space="preserve">Mt (megatonne) = 1 million metric tons.  </w:t>
      </w:r>
      <w:r w:rsidRPr="00056D04">
        <w:rPr>
          <w:rFonts w:eastAsia="Times New Roman" w:cs="Times New Roman"/>
          <w:color w:val="000000"/>
          <w:sz w:val="20"/>
          <w:szCs w:val="20"/>
        </w:rPr>
        <w:t xml:space="preserve">Estimates are based on 100-GWP values. </w:t>
      </w:r>
    </w:p>
    <w:p w14:paraId="0E5B6C8F" w14:textId="77777777" w:rsidR="00185A0D" w:rsidRPr="00056D04" w:rsidRDefault="00185A0D" w:rsidP="00185A0D">
      <w:pPr>
        <w:rPr>
          <w:rFonts w:eastAsia="Times New Roman" w:cs="Times New Roman"/>
          <w:color w:val="000000"/>
          <w:sz w:val="20"/>
          <w:szCs w:val="20"/>
        </w:rPr>
      </w:pPr>
      <w:r w:rsidRPr="00056D04">
        <w:rPr>
          <w:rFonts w:eastAsia="Times New Roman" w:cs="Times New Roman"/>
          <w:color w:val="000000"/>
          <w:sz w:val="20"/>
          <w:szCs w:val="20"/>
        </w:rPr>
        <w:t xml:space="preserve">2 – Federal values come from the BLM Specialist Report on Annual Greenhouse Gas Emissions. Tables ES-1 and ES-2. U.S Federal-All includes offshore and onshore oil and gas </w:t>
      </w:r>
      <w:commentRangeStart w:id="258"/>
      <w:r w:rsidRPr="00056D04">
        <w:rPr>
          <w:rFonts w:eastAsia="Times New Roman" w:cs="Times New Roman"/>
          <w:color w:val="000000"/>
          <w:sz w:val="20"/>
          <w:szCs w:val="20"/>
        </w:rPr>
        <w:t>production</w:t>
      </w:r>
      <w:commentRangeEnd w:id="258"/>
      <w:r w:rsidR="005D1916">
        <w:rPr>
          <w:rStyle w:val="CommentReference"/>
        </w:rPr>
        <w:commentReference w:id="258"/>
      </w:r>
      <w:r w:rsidRPr="00056D04">
        <w:rPr>
          <w:rFonts w:eastAsia="Times New Roman" w:cs="Times New Roman"/>
          <w:color w:val="000000"/>
          <w:sz w:val="20"/>
          <w:szCs w:val="20"/>
        </w:rPr>
        <w:t>.</w:t>
      </w:r>
    </w:p>
    <w:p w14:paraId="6460503C" w14:textId="77777777" w:rsidR="00185A0D" w:rsidRDefault="00185A0D" w:rsidP="00185A0D">
      <w:pPr>
        <w:pStyle w:val="paragraph"/>
        <w:spacing w:before="0" w:beforeAutospacing="0" w:after="0" w:afterAutospacing="0"/>
      </w:pPr>
    </w:p>
    <w:p w14:paraId="01525253" w14:textId="0F0DEE32" w:rsidR="00E57F18" w:rsidRDefault="00185A0D" w:rsidP="00185A0D">
      <w:pPr>
        <w:pStyle w:val="paragraph"/>
        <w:spacing w:before="0" w:beforeAutospacing="0" w:after="0" w:afterAutospacing="0"/>
        <w:textAlignment w:val="baseline"/>
        <w:rPr>
          <w:rFonts w:eastAsiaTheme="minorHAnsi"/>
          <w:sz w:val="22"/>
          <w:szCs w:val="22"/>
        </w:rPr>
      </w:pPr>
      <w:r w:rsidRPr="007F0525">
        <w:rPr>
          <w:rFonts w:eastAsiaTheme="minorHAnsi"/>
          <w:sz w:val="22"/>
          <w:szCs w:val="22"/>
        </w:rPr>
        <w:t xml:space="preserve">The “social cost of carbon,” “social cost of nitrous oxide,” and “social cost of methane” – together, the “social cost of greenhouse gases” (SC-GHG) are estimates of the monetized damages associated with incremental increases in GHG emissions </w:t>
      </w:r>
      <w:r w:rsidR="00B9228A" w:rsidRPr="00B9228A">
        <w:rPr>
          <w:rFonts w:eastAsiaTheme="minorHAnsi"/>
          <w:sz w:val="22"/>
          <w:szCs w:val="22"/>
        </w:rPr>
        <w:t>each year</w:t>
      </w:r>
      <w:r w:rsidRPr="007F0525">
        <w:rPr>
          <w:rFonts w:eastAsiaTheme="minorHAnsi"/>
          <w:sz w:val="22"/>
          <w:szCs w:val="22"/>
        </w:rPr>
        <w:t xml:space="preserve">. </w:t>
      </w:r>
      <w:r w:rsidR="00E678BD" w:rsidRPr="00E678BD">
        <w:rPr>
          <w:rFonts w:eastAsiaTheme="minorHAnsi"/>
          <w:sz w:val="22"/>
          <w:szCs w:val="22"/>
        </w:rPr>
        <w:t>This subsection provides estimates of the monetary value of changes in GHG emissions that could result from selecting each alternative. Such analysis should not be construed to mean a cost determination is necessary to address potential impacts of GHGs associated with specific alternatives. While these numbers provide a monetized measure of the net harm to society from emissions</w:t>
      </w:r>
      <w:r w:rsidRPr="007F0525">
        <w:rPr>
          <w:rFonts w:eastAsiaTheme="minorHAnsi"/>
          <w:sz w:val="22"/>
          <w:szCs w:val="22"/>
        </w:rPr>
        <w:t>, they do not constitute a complete cost-benefit analysis</w:t>
      </w:r>
      <w:r w:rsidR="004B68D2">
        <w:rPr>
          <w:rFonts w:eastAsiaTheme="minorHAnsi"/>
          <w:sz w:val="22"/>
          <w:szCs w:val="22"/>
        </w:rPr>
        <w:t xml:space="preserve"> of management actions under consideration and </w:t>
      </w:r>
      <w:r w:rsidR="003D7A53">
        <w:rPr>
          <w:rFonts w:eastAsiaTheme="minorHAnsi"/>
          <w:sz w:val="22"/>
          <w:szCs w:val="22"/>
        </w:rPr>
        <w:t>do not</w:t>
      </w:r>
      <w:r w:rsidRPr="007F0525">
        <w:rPr>
          <w:rFonts w:eastAsiaTheme="minorHAnsi"/>
          <w:sz w:val="22"/>
          <w:szCs w:val="22"/>
        </w:rPr>
        <w:t xml:space="preserve"> present a direct comparison with other impacts analyzed in this document. SC-GHG is provided only as a useful measure of the benefits of GHG emissions reductions to inform agency decision-making. </w:t>
      </w:r>
    </w:p>
    <w:p w14:paraId="66BEB68A" w14:textId="77777777" w:rsidR="00E57F18" w:rsidRDefault="00E57F18" w:rsidP="00185A0D">
      <w:pPr>
        <w:pStyle w:val="paragraph"/>
        <w:spacing w:before="0" w:beforeAutospacing="0" w:after="0" w:afterAutospacing="0"/>
        <w:textAlignment w:val="baseline"/>
        <w:rPr>
          <w:rFonts w:eastAsiaTheme="minorHAnsi"/>
          <w:sz w:val="22"/>
          <w:szCs w:val="22"/>
        </w:rPr>
      </w:pPr>
    </w:p>
    <w:p w14:paraId="345D62CF" w14:textId="62B6B4FE" w:rsidR="001C0636" w:rsidRDefault="00523755" w:rsidP="00185A0D">
      <w:pPr>
        <w:pStyle w:val="paragraph"/>
        <w:spacing w:before="0" w:beforeAutospacing="0" w:after="0" w:afterAutospacing="0"/>
        <w:textAlignment w:val="baseline"/>
        <w:rPr>
          <w:rFonts w:eastAsiaTheme="minorHAnsi"/>
          <w:sz w:val="22"/>
          <w:szCs w:val="22"/>
        </w:rPr>
      </w:pPr>
      <w:r w:rsidRPr="00CD735A">
        <w:rPr>
          <w:sz w:val="22"/>
          <w:szCs w:val="22"/>
        </w:rPr>
        <w:t>The best currently available estimates of the SC-GHG for use in Department of Interior decision-making and/or analysis are those cited in the Environmental Protection Agency’s Final Rule of March 8, 2024, 89 Fed. Reg. 16820, 17018-20. These estimates reflect recent advances in the scientific literature on climate change and its economic impacts and incorporate recommendations made by the National Academies of Science, Engineering, and Medicine (National Academies 2017).</w:t>
      </w:r>
      <w:r w:rsidRPr="00523755">
        <w:rPr>
          <w:rStyle w:val="FootnoteReference"/>
          <w:szCs w:val="22"/>
        </w:rPr>
        <w:footnoteReference w:id="10"/>
      </w:r>
      <w:r w:rsidRPr="00CD735A">
        <w:rPr>
          <w:sz w:val="22"/>
          <w:szCs w:val="22"/>
        </w:rPr>
        <w:t xml:space="preserve"> Technical documentation and additional supporting documents regarding these estimates are available on the EPA webpage</w:t>
      </w:r>
      <w:r w:rsidRPr="00523755">
        <w:rPr>
          <w:rStyle w:val="FootnoteReference"/>
          <w:szCs w:val="22"/>
        </w:rPr>
        <w:footnoteReference w:id="11"/>
      </w:r>
      <w:r w:rsidRPr="00CD735A">
        <w:rPr>
          <w:sz w:val="22"/>
          <w:szCs w:val="22"/>
        </w:rPr>
        <w:t>.</w:t>
      </w:r>
    </w:p>
    <w:p w14:paraId="1D61F940" w14:textId="77777777" w:rsidR="00DC1197" w:rsidRDefault="00DC1197" w:rsidP="00185A0D">
      <w:pPr>
        <w:pStyle w:val="paragraph"/>
        <w:spacing w:before="0" w:beforeAutospacing="0" w:after="0" w:afterAutospacing="0"/>
        <w:textAlignment w:val="baseline"/>
        <w:rPr>
          <w:rFonts w:eastAsiaTheme="minorHAnsi"/>
          <w:sz w:val="22"/>
          <w:szCs w:val="22"/>
        </w:rPr>
      </w:pPr>
    </w:p>
    <w:p w14:paraId="75F67F74" w14:textId="550D432B" w:rsidR="00185A0D" w:rsidRPr="0050637F" w:rsidRDefault="00DC1197" w:rsidP="00016396">
      <w:pPr>
        <w:pStyle w:val="paragraph"/>
        <w:spacing w:before="0" w:beforeAutospacing="0" w:after="0" w:afterAutospacing="0"/>
        <w:textAlignment w:val="baseline"/>
      </w:pPr>
      <w:r w:rsidRPr="00DC1197">
        <w:rPr>
          <w:rFonts w:eastAsiaTheme="minorHAnsi"/>
          <w:sz w:val="22"/>
          <w:szCs w:val="22"/>
        </w:rPr>
        <w:t>The EPA’s SC-GHG estimates were developed using complex models which simulate how changes in GHG emissions may affect global temperatures, sea level rise, and other biophysical processes; how these changes may affect human health and infrastructure, as well as the supply of energy, food, and water; and monetize the market and nonmarket impacts associated with these effects. The modular approach employed by EPA to estimate the SC-GHG also includes a discounting module which discounts the stream of future net climate damages back to the year when the additional unit of emissions was released. EPA discounts the future costs of emissions to the emission year using three different near-term target rates (1.5%, 2.0%, and 2.5%) to reflect uncertainty over the starting rate (U.S. EPA 2023). A higher discount rate assumes that future benefits or costs are more heavily discounted than benefits or costs occurring in the present (i.e., future benefits or costs are a less significant factor in present-day decisions).</w:t>
      </w:r>
      <w:r w:rsidR="00185A0D" w:rsidRPr="007F0525">
        <w:rPr>
          <w:rFonts w:eastAsiaTheme="minorHAnsi"/>
          <w:sz w:val="22"/>
          <w:szCs w:val="22"/>
        </w:rPr>
        <w:br/>
      </w:r>
      <w:r w:rsidR="00185A0D" w:rsidRPr="007F0525">
        <w:rPr>
          <w:rFonts w:eastAsiaTheme="minorHAnsi"/>
          <w:sz w:val="22"/>
          <w:szCs w:val="22"/>
        </w:rPr>
        <w:br/>
      </w:r>
      <w:r w:rsidR="006C4707" w:rsidRPr="00016396">
        <w:t xml:space="preserve">The SC-GHGs associated with the estimated emissions are reported in </w:t>
      </w:r>
      <w:r w:rsidR="00A90807">
        <w:rPr>
          <w:rFonts w:eastAsiaTheme="minorHAnsi"/>
          <w:highlight w:val="yellow"/>
        </w:rPr>
        <w:fldChar w:fldCharType="begin"/>
      </w:r>
      <w:r w:rsidR="00A90807">
        <w:rPr>
          <w:rFonts w:eastAsiaTheme="minorHAnsi"/>
          <w:sz w:val="22"/>
          <w:szCs w:val="22"/>
          <w:highlight w:val="yellow"/>
        </w:rPr>
        <w:instrText xml:space="preserve"> REF _Ref164952690 \h </w:instrText>
      </w:r>
      <w:r w:rsidR="00A90807">
        <w:rPr>
          <w:rFonts w:eastAsiaTheme="minorHAnsi"/>
          <w:highlight w:val="yellow"/>
        </w:rPr>
      </w:r>
      <w:r w:rsidR="00A90807">
        <w:rPr>
          <w:rFonts w:eastAsiaTheme="minorHAnsi"/>
          <w:highlight w:val="yellow"/>
        </w:rPr>
        <w:fldChar w:fldCharType="separate"/>
      </w:r>
      <w:r w:rsidR="00ED044C">
        <w:t xml:space="preserve">Table </w:t>
      </w:r>
      <w:r w:rsidR="00ED044C">
        <w:rPr>
          <w:noProof/>
        </w:rPr>
        <w:t>25</w:t>
      </w:r>
      <w:r w:rsidR="00A90807">
        <w:rPr>
          <w:rFonts w:eastAsiaTheme="minorHAnsi"/>
          <w:highlight w:val="yellow"/>
        </w:rPr>
        <w:fldChar w:fldCharType="end"/>
      </w:r>
      <w:r w:rsidR="006C4707">
        <w:rPr>
          <w:rFonts w:eastAsiaTheme="minorHAnsi"/>
          <w:sz w:val="22"/>
          <w:szCs w:val="22"/>
        </w:rPr>
        <w:t>.</w:t>
      </w:r>
      <w:r w:rsidR="005E6DB8">
        <w:rPr>
          <w:rFonts w:eastAsiaTheme="minorHAnsi"/>
          <w:sz w:val="22"/>
          <w:szCs w:val="22"/>
        </w:rPr>
        <w:t xml:space="preserve"> </w:t>
      </w:r>
      <w:r w:rsidR="005E6DB8" w:rsidRPr="005E6DB8">
        <w:rPr>
          <w:rFonts w:eastAsiaTheme="minorHAnsi"/>
          <w:sz w:val="22"/>
          <w:szCs w:val="22"/>
        </w:rPr>
        <w:t>These estimates represent the present value of future market and nonmarket costs associated with CO2, CH4, and N2O emissions, discounted to</w:t>
      </w:r>
      <w:r w:rsidR="00185A0D" w:rsidRPr="007F0525">
        <w:rPr>
          <w:rFonts w:eastAsiaTheme="minorHAnsi"/>
          <w:sz w:val="22"/>
          <w:szCs w:val="22"/>
        </w:rPr>
        <w:t xml:space="preserve"> </w:t>
      </w:r>
      <w:r w:rsidR="0026444E">
        <w:rPr>
          <w:rFonts w:eastAsiaTheme="minorHAnsi"/>
          <w:sz w:val="22"/>
          <w:szCs w:val="22"/>
        </w:rPr>
        <w:t>2024</w:t>
      </w:r>
      <w:r w:rsidR="00477F32">
        <w:rPr>
          <w:rFonts w:eastAsiaTheme="minorHAnsi"/>
          <w:sz w:val="22"/>
          <w:szCs w:val="22"/>
        </w:rPr>
        <w:t xml:space="preserve"> </w:t>
      </w:r>
      <w:r w:rsidR="00D1713C" w:rsidRPr="00D1713C">
        <w:rPr>
          <w:rFonts w:eastAsiaTheme="minorHAnsi"/>
          <w:sz w:val="22"/>
          <w:szCs w:val="22"/>
        </w:rPr>
        <w:t xml:space="preserve">by applying a constant discount rate equal to the near-term target rate to </w:t>
      </w:r>
      <w:r w:rsidR="00D1713C" w:rsidRPr="00D1713C">
        <w:rPr>
          <w:rFonts w:eastAsiaTheme="minorHAnsi"/>
          <w:sz w:val="22"/>
          <w:szCs w:val="22"/>
        </w:rPr>
        <w:lastRenderedPageBreak/>
        <w:t xml:space="preserve">discount costs from the emissions year. </w:t>
      </w:r>
      <w:r w:rsidR="004A13B2" w:rsidRPr="004A13B2">
        <w:rPr>
          <w:rFonts w:eastAsiaTheme="minorHAnsi"/>
          <w:sz w:val="22"/>
          <w:szCs w:val="22"/>
        </w:rPr>
        <w:t xml:space="preserve">Estimates are calculated using EPA’s Workbook and based on BLM’s estimates of emissions in each year. They are rounded to the nearest $1 million. </w:t>
      </w:r>
    </w:p>
    <w:p w14:paraId="7CEFEAE3" w14:textId="3DDBB9B3" w:rsidR="00FF0FE5" w:rsidRDefault="00FF0FE5" w:rsidP="003F2653">
      <w:pPr>
        <w:pStyle w:val="Caption"/>
      </w:pPr>
      <w:bookmarkStart w:id="259" w:name="_Ref164952690"/>
      <w:bookmarkStart w:id="260" w:name="_Toc179464306"/>
      <w:bookmarkStart w:id="261" w:name="_Toc170114961"/>
      <w:r>
        <w:t xml:space="preserve">Table </w:t>
      </w:r>
      <w:r w:rsidR="00BB3F01">
        <w:fldChar w:fldCharType="begin"/>
      </w:r>
      <w:r w:rsidR="00BB3F01">
        <w:instrText xml:space="preserve"> SEQ Table \* ARABIC </w:instrText>
      </w:r>
      <w:r w:rsidR="00BB3F01">
        <w:fldChar w:fldCharType="separate"/>
      </w:r>
      <w:r w:rsidR="00BB3F01">
        <w:rPr>
          <w:noProof/>
        </w:rPr>
        <w:t>25</w:t>
      </w:r>
      <w:r w:rsidR="00BB3F01">
        <w:rPr>
          <w:noProof/>
        </w:rPr>
        <w:fldChar w:fldCharType="end"/>
      </w:r>
      <w:bookmarkEnd w:id="259"/>
      <w:r>
        <w:t xml:space="preserve"> </w:t>
      </w:r>
      <w:r w:rsidRPr="00996AFD">
        <w:t>SC-GHGs Associated with Future Potential Development</w:t>
      </w:r>
      <w:bookmarkEnd w:id="260"/>
      <w:bookmarkEnd w:id="261"/>
    </w:p>
    <w:tbl>
      <w:tblPr>
        <w:tblW w:w="4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Table 3.13. Historical Oil and Gas Production and GHG Emissions"/>
      </w:tblPr>
      <w:tblGrid>
        <w:gridCol w:w="2514"/>
        <w:gridCol w:w="1709"/>
        <w:gridCol w:w="1709"/>
        <w:gridCol w:w="1892"/>
      </w:tblGrid>
      <w:tr w:rsidR="00185A0D" w14:paraId="7F24C25F" w14:textId="77777777" w:rsidTr="0050637F">
        <w:trPr>
          <w:cantSplit/>
          <w:tblHeader/>
        </w:trPr>
        <w:tc>
          <w:tcPr>
            <w:tcW w:w="2514" w:type="dxa"/>
            <w:vMerge w:val="restart"/>
            <w:tcBorders>
              <w:top w:val="single" w:sz="4" w:space="0" w:color="auto"/>
              <w:left w:val="single" w:sz="4" w:space="0" w:color="auto"/>
              <w:bottom w:val="single" w:sz="4" w:space="0" w:color="auto"/>
              <w:right w:val="single" w:sz="4" w:space="0" w:color="auto"/>
            </w:tcBorders>
            <w:noWrap/>
            <w:vAlign w:val="bottom"/>
          </w:tcPr>
          <w:p w14:paraId="51AC01EC" w14:textId="77777777" w:rsidR="00185A0D" w:rsidRDefault="00185A0D">
            <w:pPr>
              <w:pStyle w:val="TableHeading"/>
              <w:spacing w:line="256" w:lineRule="auto"/>
            </w:pPr>
          </w:p>
        </w:tc>
        <w:tc>
          <w:tcPr>
            <w:tcW w:w="5310" w:type="dxa"/>
            <w:gridSpan w:val="3"/>
            <w:tcBorders>
              <w:top w:val="single" w:sz="4" w:space="0" w:color="auto"/>
              <w:left w:val="single" w:sz="4" w:space="0" w:color="auto"/>
              <w:bottom w:val="single" w:sz="4" w:space="0" w:color="auto"/>
              <w:right w:val="single" w:sz="4" w:space="0" w:color="auto"/>
            </w:tcBorders>
            <w:vAlign w:val="center"/>
            <w:hideMark/>
          </w:tcPr>
          <w:p w14:paraId="343D997D" w14:textId="57457B1A" w:rsidR="00D009FA" w:rsidRPr="3DE6E609" w:rsidRDefault="00D009FA">
            <w:pPr>
              <w:pStyle w:val="TableHeadingCentered"/>
              <w:spacing w:line="256" w:lineRule="auto"/>
              <w:rPr>
                <w:rFonts w:ascii="Times New Roman" w:hAnsi="Times New Roman" w:cs="Times New Roman"/>
                <w:sz w:val="20"/>
              </w:rPr>
            </w:pPr>
            <w:r w:rsidRPr="3DE6E609">
              <w:rPr>
                <w:rFonts w:ascii="Times New Roman" w:hAnsi="Times New Roman" w:cs="Times New Roman"/>
                <w:sz w:val="20"/>
              </w:rPr>
              <w:t>Social Cost of GHGs (</w:t>
            </w:r>
            <w:r>
              <w:rPr>
                <w:rFonts w:ascii="Times New Roman" w:hAnsi="Times New Roman" w:cs="Times New Roman"/>
                <w:sz w:val="20"/>
              </w:rPr>
              <w:t>Millions, 2023</w:t>
            </w:r>
            <w:r w:rsidRPr="3DE6E609">
              <w:rPr>
                <w:rFonts w:ascii="Times New Roman" w:hAnsi="Times New Roman" w:cs="Times New Roman"/>
                <w:sz w:val="20"/>
              </w:rPr>
              <w:t>$)</w:t>
            </w:r>
          </w:p>
        </w:tc>
      </w:tr>
      <w:tr w:rsidR="0050637F" w14:paraId="70A2CC95" w14:textId="77777777" w:rsidTr="00E31798">
        <w:trPr>
          <w:cantSplit/>
          <w:trHeight w:val="872"/>
          <w:tblHeader/>
        </w:trPr>
        <w:tc>
          <w:tcPr>
            <w:tcW w:w="2514" w:type="dxa"/>
            <w:vMerge/>
            <w:vAlign w:val="center"/>
            <w:hideMark/>
          </w:tcPr>
          <w:p w14:paraId="266DC618" w14:textId="77777777" w:rsidR="0050637F" w:rsidRDefault="0050637F">
            <w:pPr>
              <w:rPr>
                <w:rFonts w:ascii="Arial" w:eastAsia="Times New Roman" w:hAnsi="Arial" w:cs="Arial"/>
                <w:b/>
                <w:bCs/>
                <w:sz w:val="16"/>
                <w:szCs w:val="16"/>
              </w:rPr>
            </w:pPr>
          </w:p>
        </w:tc>
        <w:tc>
          <w:tcPr>
            <w:tcW w:w="1709" w:type="dxa"/>
            <w:tcBorders>
              <w:top w:val="single" w:sz="4" w:space="0" w:color="auto"/>
              <w:left w:val="single" w:sz="4" w:space="0" w:color="auto"/>
              <w:bottom w:val="single" w:sz="4" w:space="0" w:color="auto"/>
              <w:right w:val="single" w:sz="4" w:space="0" w:color="auto"/>
            </w:tcBorders>
            <w:vAlign w:val="center"/>
            <w:hideMark/>
          </w:tcPr>
          <w:p w14:paraId="5C554548" w14:textId="77777777" w:rsidR="0050637F" w:rsidRPr="00AA2F22" w:rsidRDefault="0050637F">
            <w:pPr>
              <w:pStyle w:val="TableHeadingCentered"/>
              <w:spacing w:line="256" w:lineRule="auto"/>
              <w:jc w:val="left"/>
              <w:rPr>
                <w:rFonts w:ascii="Times New Roman" w:hAnsi="Times New Roman" w:cs="Times New Roman"/>
                <w:sz w:val="20"/>
              </w:rPr>
            </w:pPr>
            <w:r>
              <w:rPr>
                <w:rFonts w:ascii="Times New Roman" w:hAnsi="Times New Roman" w:cs="Times New Roman"/>
                <w:sz w:val="20"/>
              </w:rPr>
              <w:t>2.</w:t>
            </w:r>
            <w:r w:rsidRPr="0FDA263F">
              <w:rPr>
                <w:rFonts w:ascii="Times New Roman" w:hAnsi="Times New Roman" w:cs="Times New Roman"/>
                <w:sz w:val="20"/>
              </w:rPr>
              <w:t>5% discount rate</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4E4FCEB2" w14:textId="77777777" w:rsidR="0050637F" w:rsidRPr="00AA2F22" w:rsidRDefault="0050637F">
            <w:pPr>
              <w:pStyle w:val="TableHeadingCentered"/>
              <w:spacing w:line="256" w:lineRule="auto"/>
              <w:jc w:val="left"/>
              <w:rPr>
                <w:rFonts w:ascii="Times New Roman" w:hAnsi="Times New Roman" w:cs="Times New Roman"/>
                <w:sz w:val="20"/>
              </w:rPr>
            </w:pPr>
            <w:r>
              <w:rPr>
                <w:rFonts w:ascii="Times New Roman" w:hAnsi="Times New Roman" w:cs="Times New Roman"/>
                <w:sz w:val="20"/>
              </w:rPr>
              <w:t>2.0</w:t>
            </w:r>
            <w:r w:rsidRPr="0FDA263F">
              <w:rPr>
                <w:rFonts w:ascii="Times New Roman" w:hAnsi="Times New Roman" w:cs="Times New Roman"/>
                <w:sz w:val="20"/>
              </w:rPr>
              <w:t>% discount rate</w:t>
            </w:r>
          </w:p>
        </w:tc>
        <w:tc>
          <w:tcPr>
            <w:tcW w:w="1892" w:type="dxa"/>
            <w:tcBorders>
              <w:top w:val="single" w:sz="4" w:space="0" w:color="auto"/>
              <w:left w:val="single" w:sz="4" w:space="0" w:color="auto"/>
              <w:bottom w:val="single" w:sz="4" w:space="0" w:color="auto"/>
              <w:right w:val="single" w:sz="4" w:space="0" w:color="auto"/>
            </w:tcBorders>
            <w:noWrap/>
            <w:vAlign w:val="center"/>
            <w:hideMark/>
          </w:tcPr>
          <w:p w14:paraId="66B95FF3" w14:textId="77777777" w:rsidR="0050637F" w:rsidRPr="00AA2F22" w:rsidRDefault="0050637F">
            <w:pPr>
              <w:pStyle w:val="TableHeadingCentered"/>
              <w:spacing w:line="256" w:lineRule="auto"/>
              <w:jc w:val="left"/>
              <w:rPr>
                <w:rFonts w:ascii="Times New Roman" w:hAnsi="Times New Roman" w:cs="Times New Roman"/>
                <w:sz w:val="20"/>
              </w:rPr>
            </w:pPr>
            <w:r>
              <w:rPr>
                <w:rFonts w:ascii="Times New Roman" w:hAnsi="Times New Roman" w:cs="Times New Roman"/>
                <w:sz w:val="20"/>
              </w:rPr>
              <w:t>1</w:t>
            </w:r>
            <w:r w:rsidRPr="0FDA263F">
              <w:rPr>
                <w:rFonts w:ascii="Times New Roman" w:hAnsi="Times New Roman" w:cs="Times New Roman"/>
                <w:sz w:val="20"/>
              </w:rPr>
              <w:t>.5% discount rate</w:t>
            </w:r>
          </w:p>
        </w:tc>
      </w:tr>
      <w:tr w:rsidR="0050637F" w14:paraId="45DA78B6" w14:textId="77777777" w:rsidTr="006A6B59">
        <w:trPr>
          <w:cantSplit/>
          <w:trHeight w:val="512"/>
        </w:trPr>
        <w:tc>
          <w:tcPr>
            <w:tcW w:w="2514" w:type="dxa"/>
            <w:tcBorders>
              <w:top w:val="single" w:sz="4" w:space="0" w:color="auto"/>
              <w:left w:val="single" w:sz="4" w:space="0" w:color="auto"/>
              <w:bottom w:val="single" w:sz="4" w:space="0" w:color="auto"/>
              <w:right w:val="single" w:sz="4" w:space="0" w:color="auto"/>
            </w:tcBorders>
            <w:hideMark/>
          </w:tcPr>
          <w:p w14:paraId="166111C5" w14:textId="77777777" w:rsidR="0050637F" w:rsidRPr="00AA2F22" w:rsidRDefault="0050637F">
            <w:pPr>
              <w:pStyle w:val="TableTextLeft"/>
              <w:spacing w:line="256" w:lineRule="auto"/>
              <w:rPr>
                <w:rFonts w:ascii="Times New Roman" w:hAnsi="Times New Roman"/>
                <w:b/>
                <w:bCs/>
                <w:sz w:val="20"/>
                <w:szCs w:val="20"/>
              </w:rPr>
            </w:pPr>
            <w:r w:rsidRPr="0FDA263F">
              <w:rPr>
                <w:rFonts w:ascii="Times New Roman" w:hAnsi="Times New Roman"/>
                <w:b/>
                <w:bCs/>
                <w:sz w:val="20"/>
                <w:szCs w:val="20"/>
              </w:rPr>
              <w:t>Development and Operations</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14:paraId="24F36897" w14:textId="77777777" w:rsidR="0050637F" w:rsidRPr="009D0148" w:rsidRDefault="0050637F">
            <w:pPr>
              <w:pStyle w:val="TableTextCentered"/>
              <w:spacing w:line="256" w:lineRule="auto"/>
              <w:jc w:val="right"/>
              <w:rPr>
                <w:rFonts w:ascii="Times New Roman" w:hAnsi="Times New Roman"/>
                <w:sz w:val="20"/>
                <w:szCs w:val="20"/>
              </w:rPr>
            </w:pPr>
            <w:r w:rsidRPr="00016396">
              <w:rPr>
                <w:rFonts w:ascii="Times New Roman" w:hAnsi="Times New Roman"/>
                <w:sz w:val="20"/>
                <w:szCs w:val="20"/>
              </w:rPr>
              <w:t>$6.94</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14:paraId="29004146" w14:textId="77777777" w:rsidR="0050637F" w:rsidRPr="009D0148" w:rsidRDefault="0050637F">
            <w:pPr>
              <w:pStyle w:val="TableTextCentered"/>
              <w:spacing w:line="256" w:lineRule="auto"/>
              <w:jc w:val="right"/>
              <w:rPr>
                <w:rFonts w:ascii="Times New Roman" w:hAnsi="Times New Roman"/>
                <w:sz w:val="20"/>
                <w:szCs w:val="20"/>
              </w:rPr>
            </w:pPr>
            <w:r w:rsidRPr="00016396">
              <w:rPr>
                <w:rFonts w:ascii="Times New Roman" w:hAnsi="Times New Roman"/>
                <w:sz w:val="20"/>
                <w:szCs w:val="20"/>
              </w:rPr>
              <w:t>$11.34</w:t>
            </w:r>
          </w:p>
        </w:tc>
        <w:tc>
          <w:tcPr>
            <w:tcW w:w="1892" w:type="dxa"/>
            <w:tcBorders>
              <w:top w:val="single" w:sz="4" w:space="0" w:color="auto"/>
              <w:left w:val="single" w:sz="4" w:space="0" w:color="auto"/>
              <w:bottom w:val="single" w:sz="4" w:space="0" w:color="auto"/>
              <w:right w:val="single" w:sz="4" w:space="0" w:color="auto"/>
            </w:tcBorders>
            <w:shd w:val="clear" w:color="auto" w:fill="auto"/>
            <w:noWrap/>
          </w:tcPr>
          <w:p w14:paraId="09D4DACC" w14:textId="77777777" w:rsidR="0050637F" w:rsidRPr="009D0148" w:rsidRDefault="0050637F">
            <w:pPr>
              <w:pStyle w:val="TableTextCentered"/>
              <w:spacing w:line="256" w:lineRule="auto"/>
              <w:jc w:val="right"/>
              <w:rPr>
                <w:rFonts w:ascii="Times New Roman" w:hAnsi="Times New Roman"/>
                <w:sz w:val="20"/>
                <w:szCs w:val="20"/>
              </w:rPr>
            </w:pPr>
            <w:r w:rsidRPr="00016396">
              <w:rPr>
                <w:rFonts w:ascii="Times New Roman" w:hAnsi="Times New Roman"/>
                <w:sz w:val="20"/>
                <w:szCs w:val="20"/>
              </w:rPr>
              <w:t>$19.44</w:t>
            </w:r>
          </w:p>
        </w:tc>
      </w:tr>
      <w:tr w:rsidR="0050637F" w14:paraId="6F75E545" w14:textId="77777777" w:rsidTr="00272D3B">
        <w:trPr>
          <w:cantSplit/>
        </w:trPr>
        <w:tc>
          <w:tcPr>
            <w:tcW w:w="2514" w:type="dxa"/>
            <w:tcBorders>
              <w:top w:val="single" w:sz="4" w:space="0" w:color="auto"/>
              <w:left w:val="single" w:sz="4" w:space="0" w:color="auto"/>
              <w:bottom w:val="single" w:sz="4" w:space="0" w:color="auto"/>
              <w:right w:val="single" w:sz="4" w:space="0" w:color="auto"/>
            </w:tcBorders>
            <w:noWrap/>
            <w:hideMark/>
          </w:tcPr>
          <w:p w14:paraId="198F916D" w14:textId="77777777" w:rsidR="0050637F" w:rsidRPr="00AA2F22" w:rsidRDefault="0050637F">
            <w:pPr>
              <w:pStyle w:val="TableTextLeft"/>
              <w:spacing w:line="256" w:lineRule="auto"/>
              <w:rPr>
                <w:rFonts w:ascii="Times New Roman" w:hAnsi="Times New Roman"/>
                <w:b/>
                <w:bCs/>
                <w:sz w:val="20"/>
                <w:szCs w:val="20"/>
              </w:rPr>
            </w:pPr>
            <w:r w:rsidRPr="0FDA263F">
              <w:rPr>
                <w:rFonts w:ascii="Times New Roman" w:hAnsi="Times New Roman"/>
                <w:b/>
                <w:bCs/>
                <w:sz w:val="20"/>
                <w:szCs w:val="20"/>
              </w:rPr>
              <w:t>Mid-Stream and End-Use</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14:paraId="33CAC908" w14:textId="77777777" w:rsidR="0050637F" w:rsidRPr="00AC011C" w:rsidRDefault="0050637F">
            <w:pPr>
              <w:pStyle w:val="TableTextCentered"/>
              <w:spacing w:line="256" w:lineRule="auto"/>
              <w:jc w:val="right"/>
              <w:rPr>
                <w:rFonts w:ascii="Times New Roman" w:hAnsi="Times New Roman"/>
                <w:sz w:val="20"/>
                <w:szCs w:val="20"/>
              </w:rPr>
            </w:pPr>
            <w:r w:rsidRPr="00016396">
              <w:rPr>
                <w:rFonts w:ascii="Times New Roman" w:hAnsi="Times New Roman"/>
                <w:sz w:val="20"/>
                <w:szCs w:val="20"/>
              </w:rPr>
              <w:t>$990.52</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14:paraId="058F07DC" w14:textId="4EB697EC" w:rsidR="0050637F" w:rsidRPr="00AC011C" w:rsidRDefault="0050637F">
            <w:pPr>
              <w:pStyle w:val="TableTextCentered"/>
              <w:spacing w:line="256" w:lineRule="auto"/>
              <w:jc w:val="right"/>
              <w:rPr>
                <w:rFonts w:ascii="Times New Roman" w:hAnsi="Times New Roman"/>
                <w:sz w:val="20"/>
                <w:szCs w:val="20"/>
              </w:rPr>
            </w:pPr>
            <w:r w:rsidRPr="00016396">
              <w:rPr>
                <w:rFonts w:ascii="Times New Roman" w:hAnsi="Times New Roman"/>
                <w:sz w:val="20"/>
                <w:szCs w:val="20"/>
              </w:rPr>
              <w:t>$1,633.56</w:t>
            </w:r>
          </w:p>
        </w:tc>
        <w:tc>
          <w:tcPr>
            <w:tcW w:w="1892" w:type="dxa"/>
            <w:tcBorders>
              <w:top w:val="single" w:sz="4" w:space="0" w:color="auto"/>
              <w:left w:val="single" w:sz="4" w:space="0" w:color="auto"/>
              <w:bottom w:val="single" w:sz="4" w:space="0" w:color="auto"/>
              <w:right w:val="single" w:sz="4" w:space="0" w:color="auto"/>
            </w:tcBorders>
            <w:shd w:val="clear" w:color="auto" w:fill="auto"/>
            <w:noWrap/>
          </w:tcPr>
          <w:p w14:paraId="5B2D2F21" w14:textId="77777777" w:rsidR="0050637F" w:rsidRPr="00AC011C" w:rsidRDefault="0050637F">
            <w:pPr>
              <w:pStyle w:val="TableTextCentered"/>
              <w:spacing w:line="256" w:lineRule="auto"/>
              <w:jc w:val="right"/>
              <w:rPr>
                <w:rFonts w:ascii="Times New Roman" w:hAnsi="Times New Roman"/>
                <w:sz w:val="20"/>
                <w:szCs w:val="20"/>
              </w:rPr>
            </w:pPr>
            <w:r w:rsidRPr="00016396">
              <w:rPr>
                <w:rFonts w:ascii="Times New Roman" w:hAnsi="Times New Roman"/>
                <w:sz w:val="20"/>
                <w:szCs w:val="20"/>
              </w:rPr>
              <w:t>$2,823.49</w:t>
            </w:r>
          </w:p>
        </w:tc>
      </w:tr>
      <w:tr w:rsidR="0050637F" w14:paraId="254F4B5A" w14:textId="77777777" w:rsidTr="00251E3F">
        <w:trPr>
          <w:cantSplit/>
        </w:trPr>
        <w:tc>
          <w:tcPr>
            <w:tcW w:w="2514" w:type="dxa"/>
            <w:tcBorders>
              <w:top w:val="single" w:sz="4" w:space="0" w:color="auto"/>
              <w:left w:val="single" w:sz="4" w:space="0" w:color="auto"/>
              <w:bottom w:val="single" w:sz="4" w:space="0" w:color="auto"/>
              <w:right w:val="single" w:sz="4" w:space="0" w:color="auto"/>
            </w:tcBorders>
            <w:noWrap/>
            <w:hideMark/>
          </w:tcPr>
          <w:p w14:paraId="71F0CD59" w14:textId="77777777" w:rsidR="0050637F" w:rsidRPr="00AA2F22" w:rsidRDefault="0050637F">
            <w:pPr>
              <w:pStyle w:val="TableTextLeft"/>
              <w:spacing w:line="256" w:lineRule="auto"/>
              <w:rPr>
                <w:rFonts w:ascii="Times New Roman" w:hAnsi="Times New Roman"/>
                <w:b/>
                <w:bCs/>
                <w:sz w:val="22"/>
                <w:szCs w:val="22"/>
              </w:rPr>
            </w:pPr>
            <w:r w:rsidRPr="0FDA263F">
              <w:rPr>
                <w:rFonts w:ascii="Times New Roman" w:hAnsi="Times New Roman"/>
                <w:b/>
                <w:bCs/>
                <w:sz w:val="22"/>
                <w:szCs w:val="22"/>
              </w:rPr>
              <w:t>Total</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14:paraId="3E02C9B1" w14:textId="77777777" w:rsidR="0050637F" w:rsidRPr="00AC011C" w:rsidRDefault="0050637F">
            <w:pPr>
              <w:pStyle w:val="TableTextCentered"/>
              <w:spacing w:line="256" w:lineRule="auto"/>
              <w:jc w:val="right"/>
              <w:rPr>
                <w:rFonts w:ascii="Times New Roman" w:hAnsi="Times New Roman"/>
                <w:color w:val="000000"/>
                <w:sz w:val="20"/>
                <w:szCs w:val="20"/>
              </w:rPr>
            </w:pPr>
            <w:r w:rsidRPr="003F2653">
              <w:rPr>
                <w:rFonts w:ascii="Times New Roman" w:hAnsi="Times New Roman"/>
                <w:sz w:val="20"/>
                <w:szCs w:val="20"/>
              </w:rPr>
              <w:t>$</w:t>
            </w:r>
            <w:r>
              <w:rPr>
                <w:rFonts w:ascii="Times New Roman" w:hAnsi="Times New Roman"/>
                <w:sz w:val="20"/>
                <w:szCs w:val="20"/>
              </w:rPr>
              <w:t>997.46</w:t>
            </w:r>
          </w:p>
        </w:tc>
        <w:tc>
          <w:tcPr>
            <w:tcW w:w="1709" w:type="dxa"/>
            <w:tcBorders>
              <w:top w:val="single" w:sz="4" w:space="0" w:color="auto"/>
              <w:left w:val="single" w:sz="4" w:space="0" w:color="auto"/>
              <w:bottom w:val="single" w:sz="4" w:space="0" w:color="auto"/>
              <w:right w:val="single" w:sz="4" w:space="0" w:color="auto"/>
            </w:tcBorders>
            <w:shd w:val="clear" w:color="auto" w:fill="auto"/>
            <w:noWrap/>
          </w:tcPr>
          <w:p w14:paraId="0C00569B" w14:textId="77777777" w:rsidR="0050637F" w:rsidRPr="00AC011C" w:rsidRDefault="0050637F">
            <w:pPr>
              <w:pStyle w:val="TableTextCentered"/>
              <w:spacing w:line="256" w:lineRule="auto"/>
              <w:jc w:val="right"/>
              <w:rPr>
                <w:rFonts w:ascii="Times New Roman" w:hAnsi="Times New Roman"/>
                <w:sz w:val="20"/>
                <w:szCs w:val="20"/>
              </w:rPr>
            </w:pPr>
            <w:r w:rsidRPr="00957990">
              <w:rPr>
                <w:rFonts w:ascii="Times New Roman" w:hAnsi="Times New Roman"/>
                <w:sz w:val="20"/>
                <w:szCs w:val="20"/>
              </w:rPr>
              <w:t>$</w:t>
            </w:r>
            <w:r>
              <w:rPr>
                <w:rFonts w:ascii="Times New Roman" w:hAnsi="Times New Roman"/>
                <w:sz w:val="20"/>
                <w:szCs w:val="20"/>
              </w:rPr>
              <w:t>1644.90</w:t>
            </w:r>
          </w:p>
        </w:tc>
        <w:tc>
          <w:tcPr>
            <w:tcW w:w="1892" w:type="dxa"/>
            <w:tcBorders>
              <w:top w:val="single" w:sz="4" w:space="0" w:color="auto"/>
              <w:left w:val="single" w:sz="4" w:space="0" w:color="auto"/>
              <w:bottom w:val="single" w:sz="4" w:space="0" w:color="auto"/>
              <w:right w:val="single" w:sz="4" w:space="0" w:color="auto"/>
            </w:tcBorders>
            <w:shd w:val="clear" w:color="auto" w:fill="auto"/>
            <w:noWrap/>
          </w:tcPr>
          <w:p w14:paraId="040740D8" w14:textId="77777777" w:rsidR="0050637F" w:rsidRPr="00AC011C" w:rsidRDefault="0050637F">
            <w:pPr>
              <w:pStyle w:val="TableTextCentered"/>
              <w:spacing w:line="256" w:lineRule="auto"/>
              <w:jc w:val="right"/>
              <w:rPr>
                <w:rFonts w:ascii="Times New Roman" w:hAnsi="Times New Roman"/>
                <w:sz w:val="20"/>
                <w:szCs w:val="20"/>
              </w:rPr>
            </w:pPr>
            <w:r w:rsidRPr="00957990">
              <w:rPr>
                <w:rFonts w:ascii="Times New Roman" w:hAnsi="Times New Roman"/>
                <w:sz w:val="20"/>
                <w:szCs w:val="20"/>
              </w:rPr>
              <w:t>$</w:t>
            </w:r>
            <w:r>
              <w:rPr>
                <w:rFonts w:ascii="Times New Roman" w:hAnsi="Times New Roman"/>
                <w:sz w:val="20"/>
                <w:szCs w:val="20"/>
              </w:rPr>
              <w:t>2,842.93</w:t>
            </w:r>
          </w:p>
        </w:tc>
      </w:tr>
    </w:tbl>
    <w:p w14:paraId="61533227" w14:textId="77777777" w:rsidR="002D682D" w:rsidRDefault="002D682D" w:rsidP="002D682D">
      <w:pPr>
        <w:pStyle w:val="BodyText"/>
      </w:pPr>
    </w:p>
    <w:p w14:paraId="4FB7E227" w14:textId="77153A6F" w:rsidR="002D682D" w:rsidRPr="00B12D0C" w:rsidRDefault="002D682D" w:rsidP="002D682D">
      <w:pPr>
        <w:pStyle w:val="Subheading4"/>
        <w:rPr>
          <w:rFonts w:ascii="Times New Roman" w:hAnsi="Times New Roman" w:cs="Times New Roman"/>
        </w:rPr>
      </w:pPr>
      <w:r w:rsidRPr="00B12D0C">
        <w:rPr>
          <w:rFonts w:ascii="Times New Roman" w:hAnsi="Times New Roman" w:cs="Times New Roman"/>
        </w:rPr>
        <w:t xml:space="preserve">Impacts of the No Action Alternative (Alternative </w:t>
      </w:r>
      <w:r w:rsidR="00185A0D">
        <w:rPr>
          <w:rFonts w:ascii="Times New Roman" w:hAnsi="Times New Roman" w:cs="Times New Roman"/>
        </w:rPr>
        <w:t>B</w:t>
      </w:r>
      <w:r w:rsidRPr="00B12D0C">
        <w:rPr>
          <w:rFonts w:ascii="Times New Roman" w:hAnsi="Times New Roman" w:cs="Times New Roman"/>
        </w:rPr>
        <w:t>)</w:t>
      </w:r>
    </w:p>
    <w:p w14:paraId="2ADA04D4" w14:textId="4A2E1E3B" w:rsidR="002C4C1D" w:rsidRPr="00001F58" w:rsidRDefault="002C4C1D" w:rsidP="002C4C1D">
      <w:pPr>
        <w:pStyle w:val="NormalWeb"/>
        <w:rPr>
          <w:rFonts w:eastAsiaTheme="minorHAnsi"/>
        </w:rPr>
      </w:pPr>
      <w:r w:rsidRPr="003F2653">
        <w:rPr>
          <w:rFonts w:eastAsiaTheme="minorHAnsi"/>
          <w:sz w:val="22"/>
          <w:szCs w:val="22"/>
        </w:rPr>
        <w:t xml:space="preserve">Under the No Action Alternative, the BLM would not offer any of the nominated parcels in the lease sale. However, in the absence of a Land Use Plan Amendment closing the lands to leasing, they could be considered for inclusion in future lease sales. Although no new GHG emissions would result under the No Action Alternative, the national and global demand for energy is not expected to differ regardless of BLM decision-making. </w:t>
      </w:r>
    </w:p>
    <w:p w14:paraId="2C6EB5F8" w14:textId="7D8E5C17" w:rsidR="002C4C1D" w:rsidRDefault="002C4C1D" w:rsidP="002C4C1D">
      <w:pPr>
        <w:pStyle w:val="NormalWeb"/>
        <w:rPr>
          <w:rStyle w:val="normaltextrun"/>
          <w:color w:val="000000" w:themeColor="text1"/>
        </w:rPr>
      </w:pPr>
      <w:r w:rsidRPr="00001F58">
        <w:rPr>
          <w:rFonts w:eastAsiaTheme="minorHAnsi"/>
          <w:sz w:val="22"/>
          <w:szCs w:val="22"/>
        </w:rPr>
        <w:t xml:space="preserve">The BLM does not have a model to estimate energy market substitutions at a spatial resolution needed for this onshore production scenario. Reductions in oil and natural gas produced from Federal leases may be partially offset by non-Federal production (state and private) in the United States (in which case the indirect GHG emissions would be similar), or overseas, in which case the GHG emissions would likely be higher, to the extent environmental protection requirements for production are less vigorous, and the produced energy would need to be physically transported into the United States.  There may also be substitution of other energy resources to meet energy demand. These substitution patterns will be different for oil and gas because oil is primarily used for transportation, while natural gas is primarily used for electricity production and manufacturing, and to a lesser degree by residential and commercial users </w:t>
      </w:r>
      <w:sdt>
        <w:sdtPr>
          <w:id w:val="-2118596539"/>
          <w:citation/>
        </w:sdtPr>
        <w:sdtContent>
          <w:r w:rsidR="00C75167">
            <w:fldChar w:fldCharType="begin"/>
          </w:r>
          <w:r w:rsidR="00C75167">
            <w:rPr>
              <w:rFonts w:eastAsiaTheme="minorHAnsi"/>
              <w:sz w:val="22"/>
              <w:szCs w:val="22"/>
            </w:rPr>
            <w:instrText xml:space="preserve"> CITATION EIA201 \l 1033 </w:instrText>
          </w:r>
          <w:r w:rsidR="00C75167">
            <w:fldChar w:fldCharType="separate"/>
          </w:r>
          <w:r w:rsidR="0093463A" w:rsidRPr="0093463A">
            <w:rPr>
              <w:rFonts w:eastAsiaTheme="minorHAnsi"/>
              <w:noProof/>
              <w:sz w:val="22"/>
              <w:szCs w:val="22"/>
            </w:rPr>
            <w:t>(EIA, 2023)</w:t>
          </w:r>
          <w:r w:rsidR="00C75167">
            <w:fldChar w:fldCharType="end"/>
          </w:r>
        </w:sdtContent>
      </w:sdt>
      <w:r w:rsidRPr="00001F58">
        <w:rPr>
          <w:rFonts w:eastAsiaTheme="minorHAnsi"/>
          <w:sz w:val="22"/>
          <w:szCs w:val="22"/>
        </w:rPr>
        <w:t xml:space="preserve">. Coal and renewable energy sources are stronger substitutes for natural gas in electricity generation.  The effect of substitution between different fuel sources on indirect GHG emissions depends on the replacement energy source. For example, coal is a relatively more carbon intense fuel than natural gas and hydroelectricity is the least carbon intense energy source (see Table 10-3 of the Annual GHG Report </w:t>
      </w:r>
      <w:sdt>
        <w:sdtPr>
          <w:id w:val="-1326351590"/>
          <w:citation/>
        </w:sdtPr>
        <w:sdtContent>
          <w:r w:rsidR="00C75167">
            <w:fldChar w:fldCharType="begin"/>
          </w:r>
          <w:r w:rsidR="00576585">
            <w:rPr>
              <w:rFonts w:eastAsiaTheme="minorHAnsi"/>
              <w:sz w:val="22"/>
              <w:szCs w:val="22"/>
            </w:rPr>
            <w:instrText xml:space="preserve">CITATION Placeholder2 \l 1033 </w:instrText>
          </w:r>
          <w:r w:rsidR="00C75167">
            <w:fldChar w:fldCharType="separate"/>
          </w:r>
          <w:r w:rsidR="0093463A" w:rsidRPr="0093463A">
            <w:rPr>
              <w:rFonts w:eastAsiaTheme="minorHAnsi"/>
              <w:noProof/>
              <w:sz w:val="22"/>
              <w:szCs w:val="22"/>
            </w:rPr>
            <w:t>(BLM, 2024)</w:t>
          </w:r>
          <w:r w:rsidR="00C75167">
            <w:fldChar w:fldCharType="end"/>
          </w:r>
        </w:sdtContent>
      </w:sdt>
      <w:r w:rsidRPr="00001F58">
        <w:rPr>
          <w:rFonts w:eastAsiaTheme="minorHAnsi"/>
          <w:sz w:val="22"/>
          <w:szCs w:val="22"/>
        </w:rPr>
        <w:t>.  In the transportation sector, alternatives to oil are likely to be less carbon intensive.</w:t>
      </w:r>
    </w:p>
    <w:p w14:paraId="5C6BBFCB" w14:textId="1430CC4E" w:rsidR="002D682D" w:rsidRDefault="002C4C1D" w:rsidP="00635802">
      <w:pPr>
        <w:pStyle w:val="NormalWeb"/>
      </w:pPr>
      <w:r w:rsidRPr="00001F58">
        <w:rPr>
          <w:rFonts w:eastAsiaTheme="minorHAnsi"/>
          <w:sz w:val="22"/>
          <w:szCs w:val="22"/>
        </w:rPr>
        <w:t>Finally, substitution across energy sources or oil and gas production from other locations may not fully meet the energy needs that would otherwise have been realized through production from these leases.  Price effects may lower the market equilibrium quantity demanded for some fuel sources.  This would lead to a reduction in indirect GHG emissions.  These three effects are likely to occur in some combination under the no action alternative, but the relative contribution of each is</w:t>
      </w:r>
      <w:r>
        <w:rPr>
          <w:rStyle w:val="normaltextrun"/>
          <w:color w:val="000000"/>
          <w:shd w:val="clear" w:color="auto" w:fill="FFFFFF"/>
        </w:rPr>
        <w:t xml:space="preserve"> </w:t>
      </w:r>
      <w:r w:rsidRPr="00001F58">
        <w:rPr>
          <w:rFonts w:eastAsiaTheme="minorHAnsi"/>
          <w:sz w:val="22"/>
          <w:szCs w:val="22"/>
        </w:rPr>
        <w:t>unknown.  Regardless, GHG emissions under the no action alternative are not expected to be zero.</w:t>
      </w:r>
      <w:r>
        <w:rPr>
          <w:rStyle w:val="normaltextrun"/>
          <w:color w:val="000000"/>
          <w:shd w:val="clear" w:color="auto" w:fill="FFFFFF"/>
        </w:rPr>
        <w:t> </w:t>
      </w:r>
      <w:r>
        <w:rPr>
          <w:rStyle w:val="eop"/>
          <w:color w:val="000000"/>
          <w:shd w:val="clear" w:color="auto" w:fill="FFFFFF"/>
        </w:rPr>
        <w:t> </w:t>
      </w:r>
      <w:r w:rsidDel="007619B5">
        <w:t xml:space="preserve"> </w:t>
      </w:r>
    </w:p>
    <w:p w14:paraId="2CA9AF7B" w14:textId="1DC5470B" w:rsidR="002D682D" w:rsidRPr="00B12D0C" w:rsidRDefault="00B63D85" w:rsidP="00635802">
      <w:pPr>
        <w:pStyle w:val="Subheading4"/>
        <w:ind w:firstLine="720"/>
        <w:rPr>
          <w:rFonts w:ascii="Times New Roman" w:hAnsi="Times New Roman" w:cs="Times New Roman"/>
        </w:rPr>
      </w:pPr>
      <w:r w:rsidRPr="00B63D85">
        <w:rPr>
          <w:rFonts w:ascii="Times New Roman" w:hAnsi="Times New Roman" w:cs="Times New Roman"/>
        </w:rPr>
        <w:lastRenderedPageBreak/>
        <w:t>Emission Control Measures Considered in the Analysis</w:t>
      </w:r>
    </w:p>
    <w:p w14:paraId="56781523" w14:textId="77777777" w:rsidR="00FA1402" w:rsidRDefault="00FA1402" w:rsidP="00FA1402">
      <w:pPr>
        <w:rPr>
          <w:rFonts w:cs="Times New Roman"/>
        </w:rPr>
      </w:pPr>
      <w:r w:rsidRPr="779A0B5C">
        <w:rPr>
          <w:rFonts w:cs="Times New Roman"/>
        </w:rPr>
        <w:t>The relationship between GHG emissions and climate impacts is complex, but a project’s potential to contribute to climate change is reduced as its net emissions are reduced. When net emissions approach zero,</w:t>
      </w:r>
      <w:r w:rsidRPr="779A0B5C" w:rsidDel="00D746DB">
        <w:rPr>
          <w:rFonts w:cs="Times New Roman"/>
        </w:rPr>
        <w:t xml:space="preserve"> </w:t>
      </w:r>
      <w:r w:rsidRPr="779A0B5C">
        <w:rPr>
          <w:rFonts w:cs="Times New Roman"/>
        </w:rPr>
        <w:t xml:space="preserve">the project has little or no contribution to climate change. Net-zero emissions can be achieved through a combination of controlling and offsetting emissions.  Emission controls (e.g., vapor recovery devices, no-bleed pneumatics, leak detection and repair, etc.) can substantially limit the amount of GHGs emitted to the atmosphere, while offsets (e.g., sequestration, low carbon energy substitution, plugging abandoned or uneconomical wells, etc.) can remove GHGs from the atmosphere or reduce emissions in other areas.  Chapter 10 of the </w:t>
      </w:r>
      <w:r w:rsidRPr="0FDA263F">
        <w:rPr>
          <w:rFonts w:cs="Times New Roman"/>
        </w:rPr>
        <w:t>Annual GHG Report</w:t>
      </w:r>
      <w:r w:rsidRPr="779A0B5C" w:rsidDel="000C4DD5">
        <w:rPr>
          <w:rFonts w:cs="Times New Roman"/>
        </w:rPr>
        <w:t xml:space="preserve"> </w:t>
      </w:r>
      <w:r w:rsidRPr="779A0B5C">
        <w:rPr>
          <w:rFonts w:cs="Times New Roman"/>
        </w:rPr>
        <w:t xml:space="preserve">provides a more detailed discussion of GHG mitigation strategies.  </w:t>
      </w:r>
    </w:p>
    <w:p w14:paraId="57CFB6EE" w14:textId="77777777" w:rsidR="00FA1402" w:rsidRDefault="00FA1402" w:rsidP="00FA1402">
      <w:pPr>
        <w:rPr>
          <w:rFonts w:cs="Times New Roman"/>
          <w:szCs w:val="24"/>
        </w:rPr>
      </w:pPr>
    </w:p>
    <w:p w14:paraId="56A9B2C8" w14:textId="77777777" w:rsidR="00FA1402" w:rsidRPr="00F50DBD" w:rsidRDefault="00FA1402" w:rsidP="00FA1402">
      <w:pPr>
        <w:rPr>
          <w:rFonts w:cs="Times New Roman"/>
        </w:rPr>
      </w:pPr>
      <w:r w:rsidRPr="4CE5EB54">
        <w:rPr>
          <w:rFonts w:cs="Times New Roman"/>
        </w:rPr>
        <w:t xml:space="preserve">Several Federal agencies work in concert to implement climate change strategies and meet U.S. emissions reduction goals all while supporting U.S. oil and gas development and operations.  The EPA is the Federal agency charged with regulation of air pollutants and establishing standards for protection of human health and the environment. The EPA has issued regulations that will reduce GHG emissions from any development related to the proposed leasing action. These regulations include the New Source Performance Standard for Crude Oil and Natural Gas Facilities (40 CFR 60, </w:t>
      </w:r>
      <w:proofErr w:type="spellStart"/>
      <w:r w:rsidRPr="4CE5EB54">
        <w:rPr>
          <w:rFonts w:cs="Times New Roman"/>
        </w:rPr>
        <w:t>OOOOa</w:t>
      </w:r>
      <w:proofErr w:type="spellEnd"/>
      <w:r w:rsidRPr="4CE5EB54">
        <w:rPr>
          <w:rFonts w:cs="Times New Roman"/>
        </w:rPr>
        <w:t xml:space="preserve">), </w:t>
      </w:r>
      <w:r w:rsidRPr="006A0EF7">
        <w:rPr>
          <w:rFonts w:cs="Times New Roman"/>
          <w:color w:val="000000" w:themeColor="text1"/>
        </w:rPr>
        <w:t>Standards of Performance for Crude Oil and Natural Gas Facilities for which Construction, Modification or Reconstruction Commenced After November 15, 2021</w:t>
      </w:r>
      <w:r w:rsidRPr="4CE5EB54">
        <w:rPr>
          <w:rFonts w:cs="Times New Roman"/>
        </w:rPr>
        <w:t xml:space="preserve"> (40 CFR 60, </w:t>
      </w:r>
      <w:proofErr w:type="spellStart"/>
      <w:r w:rsidRPr="4CE5EB54">
        <w:rPr>
          <w:rFonts w:cs="Times New Roman"/>
        </w:rPr>
        <w:t>OOOb</w:t>
      </w:r>
      <w:proofErr w:type="spellEnd"/>
      <w:r w:rsidRPr="4CE5EB54">
        <w:rPr>
          <w:rFonts w:cs="Times New Roman"/>
        </w:rPr>
        <w:t xml:space="preserve">) and Waste Emissions Charge for Petroleum and Natural Gas Systems (40 CFR 99).  These regulations impose emission limits, equipment design standards, and monitoring requirements on oil and gas facilities and a waste emissions charge on methane emissions that exceed 25,000 metric </w:t>
      </w:r>
      <w:proofErr w:type="spellStart"/>
      <w:r w:rsidRPr="4CE5EB54">
        <w:rPr>
          <w:rFonts w:cs="Times New Roman"/>
        </w:rPr>
        <w:t>tonnes</w:t>
      </w:r>
      <w:proofErr w:type="spellEnd"/>
      <w:r w:rsidRPr="4CE5EB54">
        <w:rPr>
          <w:rFonts w:cs="Times New Roman"/>
        </w:rPr>
        <w:t xml:space="preserve"> of CO</w:t>
      </w:r>
      <w:r w:rsidRPr="00001F58">
        <w:rPr>
          <w:rFonts w:cs="Times New Roman"/>
          <w:vertAlign w:val="subscript"/>
        </w:rPr>
        <w:t>2</w:t>
      </w:r>
      <w:r w:rsidRPr="4CE5EB54">
        <w:rPr>
          <w:rFonts w:cs="Times New Roman"/>
        </w:rPr>
        <w:t xml:space="preserve">e for applicable petroleum and natural gas facilities currently required to report under the Greenhouse Gas Reporting Rule. A detailed discussion of existing regulations and Executive Orders that apply to BLM management of federal lands as well as current Federal and state regulations that apply to oil and gas development and production can be found in Chapter 2 of the </w:t>
      </w:r>
      <w:r w:rsidRPr="0FDA263F">
        <w:rPr>
          <w:rFonts w:cs="Times New Roman"/>
        </w:rPr>
        <w:t>Annual GHG Report</w:t>
      </w:r>
      <w:r w:rsidRPr="4CE5EB54">
        <w:rPr>
          <w:rFonts w:cs="Times New Roman"/>
        </w:rPr>
        <w:t xml:space="preserve">. </w:t>
      </w:r>
    </w:p>
    <w:p w14:paraId="473C9931" w14:textId="77777777" w:rsidR="00FA1402" w:rsidRPr="00F50DBD" w:rsidRDefault="00FA1402" w:rsidP="00FA1402">
      <w:pPr>
        <w:rPr>
          <w:rFonts w:cs="Times New Roman"/>
          <w:szCs w:val="24"/>
        </w:rPr>
      </w:pPr>
    </w:p>
    <w:p w14:paraId="45557BB6" w14:textId="0931E8A8" w:rsidR="00FA1402" w:rsidRDefault="00D51FD6" w:rsidP="00FA1402">
      <w:pPr>
        <w:rPr>
          <w:rFonts w:cs="Times New Roman"/>
        </w:rPr>
      </w:pPr>
      <w:r w:rsidRPr="00001F58">
        <w:rPr>
          <w:rFonts w:cs="Times New Roman"/>
        </w:rPr>
        <w:t>The EPA recently finalized a FIP that covers existing, new, and modified oil and gas emissions sources for the Uinta</w:t>
      </w:r>
      <w:r w:rsidR="00A531FB">
        <w:rPr>
          <w:rFonts w:cs="Times New Roman"/>
        </w:rPr>
        <w:t>h</w:t>
      </w:r>
      <w:r w:rsidRPr="00001F58">
        <w:rPr>
          <w:rFonts w:cs="Times New Roman"/>
        </w:rPr>
        <w:t xml:space="preserve"> and Ouray Reservation and surrounding Indian Country. The purpose of the FIP is threefold: (1) improve air quality in the Uinta Basin by controlling sources that contribute to </w:t>
      </w:r>
      <w:r w:rsidR="00BD521B">
        <w:rPr>
          <w:rFonts w:cs="Times New Roman"/>
        </w:rPr>
        <w:t>O</w:t>
      </w:r>
      <w:r w:rsidR="00BD521B" w:rsidRPr="00BD521B">
        <w:rPr>
          <w:rFonts w:cs="Times New Roman"/>
          <w:vertAlign w:val="subscript"/>
        </w:rPr>
        <w:t>3</w:t>
      </w:r>
      <w:r w:rsidR="00BD521B">
        <w:rPr>
          <w:rFonts w:cs="Times New Roman"/>
        </w:rPr>
        <w:t xml:space="preserve"> </w:t>
      </w:r>
      <w:r w:rsidRPr="00001F58">
        <w:rPr>
          <w:rFonts w:cs="Times New Roman"/>
        </w:rPr>
        <w:t>formation, (2) make Indian Country air permitting regulations consistent with State of Utah regulations in other parts of the Uinta Basin, and (3) provide streamlined O&amp;G (oil and gas) authorizations while ensuring emissions reductions.</w:t>
      </w:r>
      <w:r w:rsidR="00785A84">
        <w:rPr>
          <w:rFonts w:cs="Times New Roman"/>
        </w:rPr>
        <w:t xml:space="preserve"> Details concerning the FIP are </w:t>
      </w:r>
      <w:r w:rsidR="00EB63BB">
        <w:rPr>
          <w:rFonts w:cs="Times New Roman"/>
        </w:rPr>
        <w:t>incorporated by reference</w:t>
      </w:r>
      <w:r w:rsidR="00785A84">
        <w:rPr>
          <w:rFonts w:cs="Times New Roman"/>
        </w:rPr>
        <w:t xml:space="preserve"> in the AMR</w:t>
      </w:r>
      <w:sdt>
        <w:sdtPr>
          <w:rPr>
            <w:rFonts w:cs="Times New Roman"/>
          </w:rPr>
          <w:id w:val="1537538425"/>
          <w:citation/>
        </w:sdtPr>
        <w:sdtContent>
          <w:r w:rsidR="00D252D3">
            <w:rPr>
              <w:rFonts w:cs="Times New Roman"/>
            </w:rPr>
            <w:fldChar w:fldCharType="begin"/>
          </w:r>
          <w:r w:rsidR="00D252D3">
            <w:rPr>
              <w:rFonts w:cs="Times New Roman"/>
            </w:rPr>
            <w:instrText xml:space="preserve"> CITATION Placeholder7 \l 1033 </w:instrText>
          </w:r>
          <w:r w:rsidR="00D252D3">
            <w:rPr>
              <w:rFonts w:cs="Times New Roman"/>
            </w:rPr>
            <w:fldChar w:fldCharType="separate"/>
          </w:r>
          <w:r w:rsidR="0093463A">
            <w:rPr>
              <w:rFonts w:cs="Times New Roman"/>
              <w:noProof/>
            </w:rPr>
            <w:t xml:space="preserve"> </w:t>
          </w:r>
          <w:r w:rsidR="0093463A" w:rsidRPr="0093463A">
            <w:rPr>
              <w:rFonts w:cs="Times New Roman"/>
              <w:noProof/>
            </w:rPr>
            <w:t>(BLM, 2023)</w:t>
          </w:r>
          <w:r w:rsidR="00D252D3">
            <w:rPr>
              <w:rFonts w:cs="Times New Roman"/>
            </w:rPr>
            <w:fldChar w:fldCharType="end"/>
          </w:r>
        </w:sdtContent>
      </w:sdt>
      <w:r w:rsidR="00654A97">
        <w:rPr>
          <w:rFonts w:cs="Times New Roman"/>
        </w:rPr>
        <w:t xml:space="preserve"> and include emissions control devices</w:t>
      </w:r>
      <w:r w:rsidR="001C00D9">
        <w:rPr>
          <w:rFonts w:cs="Times New Roman"/>
        </w:rPr>
        <w:t xml:space="preserve"> </w:t>
      </w:r>
      <w:r w:rsidR="00957168">
        <w:rPr>
          <w:rFonts w:cs="Times New Roman"/>
        </w:rPr>
        <w:t>(e.g.,</w:t>
      </w:r>
      <w:r w:rsidR="001C00D9">
        <w:rPr>
          <w:rFonts w:cs="Times New Roman"/>
        </w:rPr>
        <w:t xml:space="preserve"> combustors</w:t>
      </w:r>
      <w:r w:rsidR="00957168">
        <w:rPr>
          <w:rFonts w:cs="Times New Roman"/>
        </w:rPr>
        <w:t xml:space="preserve">, </w:t>
      </w:r>
      <w:r w:rsidR="001C00D9">
        <w:rPr>
          <w:rFonts w:cs="Times New Roman"/>
        </w:rPr>
        <w:t>closed loop syste</w:t>
      </w:r>
      <w:r w:rsidR="00957168">
        <w:rPr>
          <w:rFonts w:cs="Times New Roman"/>
        </w:rPr>
        <w:t>ms</w:t>
      </w:r>
      <w:r w:rsidR="005416C8">
        <w:rPr>
          <w:rFonts w:cs="Times New Roman"/>
        </w:rPr>
        <w:t xml:space="preserve">), </w:t>
      </w:r>
      <w:r w:rsidR="00FA6FE2">
        <w:rPr>
          <w:rFonts w:cs="Times New Roman"/>
        </w:rPr>
        <w:t xml:space="preserve">leak detection and repair, and </w:t>
      </w:r>
      <w:r w:rsidR="00BF7312">
        <w:rPr>
          <w:rFonts w:cs="Times New Roman"/>
        </w:rPr>
        <w:t>equipment</w:t>
      </w:r>
      <w:r w:rsidR="00FA6FE2">
        <w:rPr>
          <w:rFonts w:cs="Times New Roman"/>
        </w:rPr>
        <w:t xml:space="preserve"> maintenance</w:t>
      </w:r>
      <w:r w:rsidR="00BF7312">
        <w:rPr>
          <w:rFonts w:cs="Times New Roman"/>
        </w:rPr>
        <w:t>.</w:t>
      </w:r>
    </w:p>
    <w:p w14:paraId="3EC1DBA2" w14:textId="77777777" w:rsidR="003E526A" w:rsidRPr="003E526A" w:rsidRDefault="003E526A" w:rsidP="00FA1402">
      <w:pPr>
        <w:rPr>
          <w:rFonts w:cs="Times New Roman"/>
        </w:rPr>
      </w:pPr>
    </w:p>
    <w:p w14:paraId="7B77DFBD" w14:textId="77FF9744" w:rsidR="00FA1402" w:rsidRPr="00E2233D" w:rsidRDefault="00FA1402" w:rsidP="00FA1402">
      <w:r w:rsidRPr="00E2233D">
        <w:t>The majority of GHG emissions resulting from federal fossil fuel authorizations occur outside of the BLM’s authority and control. These emissions are referred to as indirect emissions and generally occur off-lease during the transport, distribution, refining, and end-use of the produced federal minerals. The BLM’s regulatory authority is limited to those activities authorized under the terms of the lease, which primarily occur in the “upstream” portions of natural gas and petroleum systems</w:t>
      </w:r>
      <w:r>
        <w:t xml:space="preserve"> </w:t>
      </w:r>
      <w:r w:rsidRPr="28194BD7">
        <w:rPr>
          <w:rFonts w:eastAsia="Calibri"/>
        </w:rPr>
        <w:t>(i.e., the well-development and well-production phases)</w:t>
      </w:r>
      <w:r w:rsidRPr="00E2233D">
        <w:t>. This decision authority is applicable when development is proposed on public lands and the BLM assesses the specific location, design</w:t>
      </w:r>
      <w:r w:rsidR="00A962DF">
        <w:t>,</w:t>
      </w:r>
      <w:r w:rsidRPr="00E2233D">
        <w:t xml:space="preserve"> and plan of development.  In carrying out its responsibilities under NEPA, the BLM has developed Best Management Practices (BMPs) designed to reduce emissions from field production and operations. BMPs may include limiting emissions from stationary combustion sources, mobile combustion sources, fugitive sources, and process emissions that may occur during development of the lease parcel. Analysis and approval of future development may include the application of BMPs within BLM’s authority, included as</w:t>
      </w:r>
      <w:r w:rsidR="00DA0F1F">
        <w:t xml:space="preserve"> Condition of Approval</w:t>
      </w:r>
      <w:r w:rsidRPr="00E2233D">
        <w:t xml:space="preserve"> </w:t>
      </w:r>
      <w:r w:rsidR="00DA0F1F">
        <w:t>(</w:t>
      </w:r>
      <w:r w:rsidRPr="00E2233D">
        <w:t>C</w:t>
      </w:r>
      <w:r w:rsidR="001945E1">
        <w:t>OA</w:t>
      </w:r>
      <w:r w:rsidR="00DA0F1F">
        <w:t>)</w:t>
      </w:r>
      <w:r w:rsidRPr="00E2233D">
        <w:t xml:space="preserve">, to reduce or mitigate GHG emissions. Additional measures proposed at the project development stage may be incorporated as applicant-committed measures by the project proponent or </w:t>
      </w:r>
      <w:r w:rsidRPr="00E2233D">
        <w:lastRenderedPageBreak/>
        <w:t>added to necessary air quality permits. Additional information on mitigation strategies, including emissions controls and offset options, are provided in Chapter 10 of the Annual GHG Report.</w:t>
      </w:r>
    </w:p>
    <w:p w14:paraId="04BDC845" w14:textId="77777777" w:rsidR="002D682D" w:rsidRDefault="002D682D" w:rsidP="002D682D">
      <w:pPr>
        <w:pStyle w:val="BodyText"/>
      </w:pPr>
    </w:p>
    <w:p w14:paraId="392C9088" w14:textId="5A1AFAC3" w:rsidR="00A56025" w:rsidRPr="00A26742" w:rsidRDefault="002D682D" w:rsidP="00A26742">
      <w:pPr>
        <w:pStyle w:val="Subheading4"/>
        <w:rPr>
          <w:rFonts w:ascii="Times New Roman" w:hAnsi="Times New Roman" w:cs="Times New Roman"/>
        </w:rPr>
      </w:pPr>
      <w:r w:rsidRPr="00635802">
        <w:rPr>
          <w:rFonts w:ascii="Times New Roman" w:hAnsi="Times New Roman" w:cs="Times New Roman"/>
        </w:rPr>
        <w:t>Cumulative Effects</w:t>
      </w:r>
      <w:bookmarkStart w:id="262" w:name="_2zbgiuw" w:colFirst="0" w:colLast="0"/>
      <w:bookmarkStart w:id="263" w:name="_2dlolyb" w:colFirst="0" w:colLast="0"/>
      <w:bookmarkStart w:id="264" w:name="_sqyw64" w:colFirst="0" w:colLast="0"/>
      <w:bookmarkStart w:id="265" w:name="_3q5sasy" w:colFirst="0" w:colLast="0"/>
      <w:bookmarkStart w:id="266" w:name="_Toc16862405"/>
      <w:bookmarkStart w:id="267" w:name="_Toc16862406"/>
      <w:bookmarkStart w:id="268" w:name="_Toc16862407"/>
      <w:bookmarkStart w:id="269" w:name="_Toc16862408"/>
      <w:bookmarkStart w:id="270" w:name="_Toc16862409"/>
      <w:bookmarkStart w:id="271" w:name="_Toc16862410"/>
      <w:bookmarkStart w:id="272" w:name="_Toc16862458"/>
      <w:bookmarkStart w:id="273" w:name="_Toc16862459"/>
      <w:bookmarkStart w:id="274" w:name="_Toc16862460"/>
      <w:bookmarkStart w:id="275" w:name="_Toc16862461"/>
      <w:bookmarkStart w:id="276" w:name="_Toc16862462"/>
      <w:bookmarkStart w:id="277" w:name="_Toc16862463"/>
      <w:bookmarkStart w:id="278" w:name="_Toc16862464"/>
      <w:bookmarkStart w:id="279" w:name="_Toc16862465"/>
      <w:bookmarkStart w:id="280" w:name="_Toc16862466"/>
      <w:bookmarkStart w:id="281" w:name="_Toc16862467"/>
      <w:bookmarkStart w:id="282" w:name="_Toc16862468"/>
      <w:bookmarkStart w:id="283" w:name="_Toc16862469"/>
      <w:bookmarkStart w:id="284" w:name="_Toc20328483"/>
      <w:bookmarkEnd w:id="237"/>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2B23837" w14:textId="77777777" w:rsidR="00A56025" w:rsidRPr="00126908" w:rsidRDefault="00A56025" w:rsidP="00A56025">
      <w:pPr>
        <w:pStyle w:val="paragraph"/>
        <w:spacing w:before="0" w:beforeAutospacing="0" w:after="0" w:afterAutospacing="0"/>
        <w:textAlignment w:val="baseline"/>
        <w:rPr>
          <w:rFonts w:eastAsiaTheme="minorHAnsi" w:cstheme="minorBidi"/>
          <w:sz w:val="22"/>
          <w:szCs w:val="22"/>
        </w:rPr>
      </w:pPr>
      <w:r w:rsidRPr="00126908">
        <w:rPr>
          <w:rFonts w:eastAsiaTheme="minorHAnsi" w:cstheme="minorBidi"/>
          <w:sz w:val="22"/>
          <w:szCs w:val="22"/>
        </w:rPr>
        <w:t xml:space="preserve">The analysis of GHGs contained in this EA includes estimated emissions from the lease as described above. An assessment of GHG emissions from other BLM fossil fuel authorizations, including coal leasing and oil and gas leasing and development, is included in the </w:t>
      </w:r>
      <w:r w:rsidRPr="007F0525">
        <w:rPr>
          <w:rFonts w:eastAsiaTheme="minorHAnsi" w:cstheme="minorBidi"/>
          <w:sz w:val="22"/>
          <w:szCs w:val="22"/>
        </w:rPr>
        <w:t>Annual GHG Report</w:t>
      </w:r>
      <w:r w:rsidRPr="00126908">
        <w:rPr>
          <w:rFonts w:eastAsiaTheme="minorHAnsi" w:cstheme="minorBidi"/>
          <w:sz w:val="22"/>
          <w:szCs w:val="22"/>
        </w:rPr>
        <w:t xml:space="preserve"> in Chapter 7. The </w:t>
      </w:r>
      <w:r w:rsidRPr="007F0525">
        <w:rPr>
          <w:rFonts w:eastAsiaTheme="minorHAnsi" w:cstheme="minorBidi"/>
          <w:sz w:val="22"/>
          <w:szCs w:val="22"/>
        </w:rPr>
        <w:t>Annual GHG Report</w:t>
      </w:r>
      <w:r w:rsidRPr="00126908">
        <w:rPr>
          <w:rFonts w:eastAsiaTheme="minorHAnsi" w:cstheme="minorBidi"/>
          <w:sz w:val="22"/>
          <w:szCs w:val="22"/>
        </w:rPr>
        <w:t xml:space="preserve"> includes estimates of reasonably foreseeable GHG emissions related to BLM lease sales anticipated during the fiscal year, as well as the best estimate of emissions from ongoing production, and development of parcels sold in previous lease sales. It is, therefore, an estimate of cumulative GHG emissions from the BLM fossil fuel leasing program based on actual production and statistical trends as they are presently known. </w:t>
      </w:r>
    </w:p>
    <w:p w14:paraId="0A234E2E" w14:textId="6018BC53" w:rsidR="00A56025" w:rsidRPr="00126908" w:rsidRDefault="00A56025" w:rsidP="00A56025">
      <w:pPr>
        <w:pStyle w:val="BodyText"/>
      </w:pPr>
      <w:r w:rsidRPr="00126908">
        <w:t>The methodologies used in Annual GHG Report provide estimates of foreseeable short-term and projected long-term GHG emissions from activities across the BLM’s oil and gas program. The foreseeable short-term methodology includes a trends analysis of (1) leased federal lands that are held-by-production</w:t>
      </w:r>
      <w:r w:rsidRPr="00492F35">
        <w:rPr>
          <w:vertAlign w:val="superscript"/>
        </w:rPr>
        <w:footnoteReference w:id="12"/>
      </w:r>
      <w:r w:rsidR="009F33DE">
        <w:t xml:space="preserve"> </w:t>
      </w:r>
      <w:r w:rsidRPr="00126908">
        <w:t xml:space="preserve">(2) approved applications for permit to drill (APDs), and (3) leased lands from competitive lease sales projected to occur over the next annual reporting cycle (12 months). The data is used to provide a 30-year life of lease projection of potential emissions from all Federal oil and gas activities and potential lease actions over the next 12 months. The projected long-term methodology uses oil and gas production forecasts from the Energy Information Administration (EIA) to estimate GHG emissions out to 2050 that could occur from past, present, and future development of Federal fluid minerals. For both methodologies, the emissions are calculated using life-cycle-assessment data and emission factors. These analyses are the basis for projecting GHG emissions from lease parcels that are likely to go into production during the analysis period of the Annual GHG Report and represent both a hard look at GHG emissions from oil and gas leasing and the best available estimate of reasonably foreseeable cumulative emissions related to any one lease sale or set of quarterly lease sales that could occur annually across the entire federal onshore mineral estate. </w:t>
      </w:r>
    </w:p>
    <w:p w14:paraId="077AF709" w14:textId="77777777" w:rsidR="00A56025" w:rsidRPr="00126908" w:rsidRDefault="00A56025" w:rsidP="00A56025">
      <w:pPr>
        <w:pStyle w:val="paragraph"/>
        <w:spacing w:before="0" w:beforeAutospacing="0" w:after="0" w:afterAutospacing="0"/>
        <w:textAlignment w:val="baseline"/>
        <w:rPr>
          <w:rFonts w:eastAsiaTheme="minorHAnsi"/>
        </w:rPr>
      </w:pPr>
    </w:p>
    <w:p w14:paraId="1363C0D8" w14:textId="7D0B7566" w:rsidR="00A56025" w:rsidRPr="00126908" w:rsidRDefault="009A2752" w:rsidP="00A56025">
      <w:pPr>
        <w:pStyle w:val="paragraph"/>
        <w:spacing w:before="0" w:beforeAutospacing="0" w:after="0" w:afterAutospacing="0"/>
        <w:textAlignment w:val="baseline"/>
        <w:rPr>
          <w:rFonts w:eastAsiaTheme="minorHAnsi" w:cstheme="minorBidi"/>
          <w:sz w:val="22"/>
          <w:szCs w:val="22"/>
        </w:rPr>
      </w:pPr>
      <w:r>
        <w:rPr>
          <w:rFonts w:eastAsiaTheme="minorHAnsi" w:cstheme="minorBidi"/>
          <w:sz w:val="22"/>
          <w:szCs w:val="22"/>
          <w:highlight w:val="yellow"/>
        </w:rPr>
        <w:fldChar w:fldCharType="begin"/>
      </w:r>
      <w:r>
        <w:rPr>
          <w:rFonts w:eastAsiaTheme="minorHAnsi" w:cstheme="minorBidi"/>
          <w:sz w:val="22"/>
          <w:szCs w:val="22"/>
          <w:highlight w:val="yellow"/>
        </w:rPr>
        <w:instrText xml:space="preserve"> REF _Ref164952914 \h </w:instrText>
      </w:r>
      <w:r>
        <w:rPr>
          <w:rFonts w:eastAsiaTheme="minorHAnsi" w:cstheme="minorBidi"/>
          <w:sz w:val="22"/>
          <w:szCs w:val="22"/>
          <w:highlight w:val="yellow"/>
        </w:rPr>
      </w:r>
      <w:r>
        <w:rPr>
          <w:rFonts w:eastAsiaTheme="minorHAnsi" w:cstheme="minorBidi"/>
          <w:sz w:val="22"/>
          <w:szCs w:val="22"/>
          <w:highlight w:val="yellow"/>
        </w:rPr>
        <w:fldChar w:fldCharType="separate"/>
      </w:r>
      <w:r>
        <w:t xml:space="preserve">Table </w:t>
      </w:r>
      <w:r>
        <w:rPr>
          <w:rFonts w:eastAsiaTheme="minorHAnsi" w:cstheme="minorBidi"/>
          <w:sz w:val="22"/>
          <w:szCs w:val="22"/>
          <w:highlight w:val="yellow"/>
        </w:rPr>
        <w:fldChar w:fldCharType="end"/>
      </w:r>
      <w:r w:rsidR="009F72E1">
        <w:rPr>
          <w:rFonts w:eastAsiaTheme="minorHAnsi" w:cstheme="minorBidi"/>
          <w:sz w:val="22"/>
          <w:szCs w:val="22"/>
        </w:rPr>
        <w:t>26</w:t>
      </w:r>
      <w:r w:rsidR="00A56025" w:rsidRPr="00126908">
        <w:rPr>
          <w:rFonts w:eastAsiaTheme="minorHAnsi" w:cstheme="minorBidi"/>
          <w:sz w:val="22"/>
          <w:szCs w:val="22"/>
        </w:rPr>
        <w:t xml:space="preserve"> presents the summation of the 30-year life-of-project emissions estimates for both the short and long-term as previously described for each state where federal mineral actions have been authorized. The differences between the short- and long-term emissions estimates can be thought of as an approximation of additional leasing that could occur on federal lands and does not take into consideration additional policies, technological advancements in production or end-use efficiency standards, or an accelerated economy-wide transition away from fossil fuel derived energy production.</w:t>
      </w:r>
    </w:p>
    <w:p w14:paraId="74E9EBF8" w14:textId="77777777" w:rsidR="00A56025" w:rsidRPr="00557D87" w:rsidRDefault="00A56025" w:rsidP="00A56025">
      <w:pPr>
        <w:pStyle w:val="paragraph"/>
        <w:spacing w:before="0" w:beforeAutospacing="0" w:after="0" w:afterAutospacing="0"/>
        <w:textAlignment w:val="baseline"/>
        <w:rPr>
          <w:rFonts w:eastAsiaTheme="minorHAnsi" w:cstheme="minorBidi"/>
          <w:sz w:val="22"/>
          <w:szCs w:val="22"/>
        </w:rPr>
      </w:pPr>
      <w:r w:rsidRPr="00557D87">
        <w:rPr>
          <w:rFonts w:eastAsiaTheme="minorHAnsi" w:cstheme="minorBidi"/>
          <w:sz w:val="22"/>
          <w:szCs w:val="22"/>
        </w:rPr>
        <w:t> </w:t>
      </w:r>
    </w:p>
    <w:p w14:paraId="4D0E89AC" w14:textId="77777777" w:rsidR="00A56025" w:rsidRPr="00557D87" w:rsidRDefault="00A56025" w:rsidP="00A56025">
      <w:pPr>
        <w:pStyle w:val="paragraph"/>
        <w:keepNext/>
        <w:spacing w:before="0" w:beforeAutospacing="0" w:after="0" w:afterAutospacing="0"/>
        <w:rPr>
          <w:rFonts w:eastAsiaTheme="minorHAnsi" w:cstheme="minorBidi"/>
          <w:sz w:val="22"/>
          <w:szCs w:val="22"/>
        </w:rPr>
      </w:pPr>
      <w:r w:rsidRPr="00557D87">
        <w:rPr>
          <w:rFonts w:eastAsiaTheme="minorHAnsi" w:cstheme="minorBidi"/>
          <w:sz w:val="22"/>
          <w:szCs w:val="22"/>
        </w:rPr>
        <w:t xml:space="preserve">A detailed explanation of the short-term and long-term emissions estimate methodologies are provided in sections 6.6 and 6.7 of the Annual GHG Report. </w:t>
      </w:r>
    </w:p>
    <w:p w14:paraId="41C459A3" w14:textId="77777777" w:rsidR="00A56025" w:rsidRPr="00F31E9B" w:rsidRDefault="00A56025" w:rsidP="00A56025">
      <w:pPr>
        <w:pStyle w:val="paragraph"/>
        <w:spacing w:before="0" w:beforeAutospacing="0" w:after="0" w:afterAutospacing="0"/>
        <w:rPr>
          <w:rFonts w:eastAsiaTheme="minorHAnsi" w:cstheme="minorBidi"/>
          <w:sz w:val="22"/>
          <w:szCs w:val="22"/>
        </w:rPr>
      </w:pPr>
    </w:p>
    <w:p w14:paraId="0CF02305" w14:textId="67FBC664" w:rsidR="001945E1" w:rsidRDefault="001945E1" w:rsidP="00F31E9B">
      <w:pPr>
        <w:pStyle w:val="Caption"/>
      </w:pPr>
      <w:bookmarkStart w:id="285" w:name="_Ref164952914"/>
      <w:bookmarkStart w:id="286" w:name="_Toc179464307"/>
      <w:bookmarkStart w:id="287" w:name="_Toc170114962"/>
      <w:r>
        <w:lastRenderedPageBreak/>
        <w:t xml:space="preserve">Table </w:t>
      </w:r>
      <w:r w:rsidR="00BB3F01">
        <w:fldChar w:fldCharType="begin"/>
      </w:r>
      <w:r w:rsidR="00BB3F01">
        <w:instrText xml:space="preserve"> SEQ Table \* ARABIC </w:instrText>
      </w:r>
      <w:r w:rsidR="00BB3F01">
        <w:fldChar w:fldCharType="separate"/>
      </w:r>
      <w:r w:rsidR="00BB3F01">
        <w:rPr>
          <w:noProof/>
        </w:rPr>
        <w:t>26</w:t>
      </w:r>
      <w:r w:rsidR="00BB3F01">
        <w:rPr>
          <w:noProof/>
        </w:rPr>
        <w:fldChar w:fldCharType="end"/>
      </w:r>
      <w:bookmarkEnd w:id="285"/>
      <w:r>
        <w:t xml:space="preserve"> </w:t>
      </w:r>
      <w:r w:rsidRPr="00A90557">
        <w:t>GHG Emissions from Past, Present, and Reasonably Foreseeable Federal Onshore Lease Development (</w:t>
      </w:r>
      <w:proofErr w:type="spellStart"/>
      <w:r w:rsidRPr="00A90557">
        <w:t>Megatonnes</w:t>
      </w:r>
      <w:proofErr w:type="spellEnd"/>
      <w:r w:rsidRPr="00A90557">
        <w:t xml:space="preserve"> CO2e)</w:t>
      </w:r>
      <w:bookmarkEnd w:id="286"/>
      <w:bookmarkEnd w:id="287"/>
    </w:p>
    <w:tbl>
      <w:tblPr>
        <w:tblW w:w="94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35"/>
        <w:gridCol w:w="1551"/>
        <w:gridCol w:w="1590"/>
        <w:gridCol w:w="1116"/>
        <w:gridCol w:w="1425"/>
        <w:gridCol w:w="1275"/>
        <w:gridCol w:w="1350"/>
      </w:tblGrid>
      <w:tr w:rsidR="00A56025" w:rsidRPr="00AD177D" w14:paraId="3FCC5C74" w14:textId="77777777">
        <w:trPr>
          <w:trHeight w:val="1080"/>
        </w:trPr>
        <w:tc>
          <w:tcPr>
            <w:tcW w:w="1135" w:type="dxa"/>
            <w:shd w:val="clear" w:color="auto" w:fill="auto"/>
            <w:vAlign w:val="center"/>
            <w:hideMark/>
          </w:tcPr>
          <w:p w14:paraId="7CDADB18"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b/>
                <w:bCs/>
                <w:color w:val="000000"/>
                <w:szCs w:val="24"/>
              </w:rPr>
              <w:t>State</w:t>
            </w:r>
          </w:p>
        </w:tc>
        <w:tc>
          <w:tcPr>
            <w:tcW w:w="1551" w:type="dxa"/>
            <w:shd w:val="clear" w:color="auto" w:fill="auto"/>
            <w:vAlign w:val="center"/>
            <w:hideMark/>
          </w:tcPr>
          <w:p w14:paraId="73142E96" w14:textId="77777777" w:rsidR="00A56025" w:rsidRDefault="00A56025">
            <w:pPr>
              <w:jc w:val="center"/>
              <w:textAlignment w:val="baseline"/>
              <w:rPr>
                <w:rFonts w:eastAsia="Times New Roman" w:cs="Times New Roman"/>
                <w:b/>
                <w:bCs/>
                <w:color w:val="000000"/>
                <w:szCs w:val="24"/>
              </w:rPr>
            </w:pPr>
            <w:r w:rsidRPr="00DE5BF0">
              <w:rPr>
                <w:rFonts w:eastAsia="Times New Roman" w:cs="Times New Roman"/>
                <w:b/>
                <w:bCs/>
                <w:color w:val="000000"/>
                <w:szCs w:val="24"/>
              </w:rPr>
              <w:t>Existing Wells (Report Year)</w:t>
            </w:r>
          </w:p>
          <w:p w14:paraId="684C2EE5" w14:textId="77777777" w:rsidR="00A56025" w:rsidRPr="00EE3E44" w:rsidRDefault="00A56025">
            <w:pPr>
              <w:jc w:val="center"/>
              <w:textAlignment w:val="baseline"/>
              <w:rPr>
                <w:b/>
                <w:bCs/>
              </w:rPr>
            </w:pPr>
          </w:p>
        </w:tc>
        <w:tc>
          <w:tcPr>
            <w:tcW w:w="1590" w:type="dxa"/>
            <w:shd w:val="clear" w:color="auto" w:fill="auto"/>
            <w:vAlign w:val="center"/>
            <w:hideMark/>
          </w:tcPr>
          <w:p w14:paraId="4DAFF184" w14:textId="77777777" w:rsidR="00A56025" w:rsidRDefault="00A56025">
            <w:pPr>
              <w:jc w:val="center"/>
              <w:textAlignment w:val="baseline"/>
              <w:rPr>
                <w:rFonts w:eastAsia="Times New Roman" w:cs="Times New Roman"/>
                <w:b/>
                <w:bCs/>
                <w:color w:val="000000"/>
                <w:szCs w:val="24"/>
              </w:rPr>
            </w:pPr>
            <w:r w:rsidRPr="00DE5BF0">
              <w:rPr>
                <w:rFonts w:eastAsia="Times New Roman" w:cs="Times New Roman"/>
                <w:b/>
                <w:bCs/>
                <w:color w:val="000000"/>
                <w:szCs w:val="24"/>
              </w:rPr>
              <w:t>Existing Wells (Projected)</w:t>
            </w:r>
          </w:p>
          <w:p w14:paraId="71D12520" w14:textId="77777777" w:rsidR="00A56025" w:rsidRPr="00EE3E44" w:rsidRDefault="00A56025">
            <w:pPr>
              <w:jc w:val="center"/>
              <w:textAlignment w:val="baseline"/>
              <w:rPr>
                <w:b/>
                <w:bCs/>
              </w:rPr>
            </w:pPr>
          </w:p>
        </w:tc>
        <w:tc>
          <w:tcPr>
            <w:tcW w:w="1116" w:type="dxa"/>
            <w:shd w:val="clear" w:color="auto" w:fill="auto"/>
            <w:vAlign w:val="center"/>
            <w:hideMark/>
          </w:tcPr>
          <w:p w14:paraId="7F8A2419" w14:textId="77777777" w:rsidR="00A56025" w:rsidRDefault="00A56025">
            <w:pPr>
              <w:jc w:val="center"/>
              <w:textAlignment w:val="baseline"/>
              <w:rPr>
                <w:rFonts w:eastAsia="Times New Roman" w:cs="Times New Roman"/>
                <w:b/>
                <w:bCs/>
                <w:color w:val="000000"/>
                <w:szCs w:val="24"/>
              </w:rPr>
            </w:pPr>
            <w:r w:rsidRPr="00DE5BF0">
              <w:rPr>
                <w:rFonts w:eastAsia="Times New Roman" w:cs="Times New Roman"/>
                <w:b/>
                <w:bCs/>
                <w:color w:val="000000"/>
                <w:szCs w:val="24"/>
              </w:rPr>
              <w:t>Approved APDs</w:t>
            </w:r>
          </w:p>
          <w:p w14:paraId="7197CD70" w14:textId="77777777" w:rsidR="00A56025" w:rsidRPr="00EE3E44" w:rsidRDefault="00A56025">
            <w:pPr>
              <w:jc w:val="center"/>
              <w:textAlignment w:val="baseline"/>
              <w:rPr>
                <w:b/>
                <w:bCs/>
              </w:rPr>
            </w:pPr>
          </w:p>
        </w:tc>
        <w:tc>
          <w:tcPr>
            <w:tcW w:w="1425" w:type="dxa"/>
            <w:shd w:val="clear" w:color="auto" w:fill="auto"/>
            <w:vAlign w:val="center"/>
            <w:hideMark/>
          </w:tcPr>
          <w:p w14:paraId="67B1335A" w14:textId="77777777" w:rsidR="00A56025" w:rsidRDefault="00A56025">
            <w:pPr>
              <w:spacing w:line="480" w:lineRule="auto"/>
              <w:jc w:val="center"/>
              <w:textAlignment w:val="baseline"/>
              <w:rPr>
                <w:rFonts w:eastAsia="Times New Roman" w:cs="Times New Roman"/>
                <w:b/>
                <w:bCs/>
                <w:color w:val="000000" w:themeColor="text1"/>
              </w:rPr>
            </w:pPr>
            <w:r w:rsidRPr="2106DB67">
              <w:rPr>
                <w:rFonts w:eastAsia="Times New Roman" w:cs="Times New Roman"/>
                <w:b/>
                <w:bCs/>
                <w:color w:val="000000" w:themeColor="text1"/>
              </w:rPr>
              <w:t>New Leasing</w:t>
            </w:r>
          </w:p>
          <w:p w14:paraId="140BF2AB" w14:textId="77777777" w:rsidR="00A56025" w:rsidRPr="00EE3E44" w:rsidRDefault="00A56025">
            <w:pPr>
              <w:spacing w:line="480" w:lineRule="auto"/>
              <w:jc w:val="center"/>
              <w:textAlignment w:val="baseline"/>
              <w:rPr>
                <w:b/>
                <w:bCs/>
              </w:rPr>
            </w:pPr>
          </w:p>
        </w:tc>
        <w:tc>
          <w:tcPr>
            <w:tcW w:w="1275" w:type="dxa"/>
            <w:shd w:val="clear" w:color="auto" w:fill="auto"/>
            <w:vAlign w:val="center"/>
            <w:hideMark/>
          </w:tcPr>
          <w:p w14:paraId="29693DF9" w14:textId="77777777" w:rsidR="00A56025" w:rsidRDefault="00A56025">
            <w:pPr>
              <w:jc w:val="center"/>
              <w:textAlignment w:val="baseline"/>
              <w:rPr>
                <w:rFonts w:eastAsia="Times New Roman" w:cs="Times New Roman"/>
                <w:b/>
                <w:bCs/>
                <w:color w:val="000000"/>
              </w:rPr>
            </w:pPr>
            <w:r w:rsidRPr="4475DFE2">
              <w:rPr>
                <w:rFonts w:eastAsia="Times New Roman" w:cs="Times New Roman"/>
                <w:b/>
                <w:bCs/>
                <w:color w:val="000000" w:themeColor="text1"/>
              </w:rPr>
              <w:t>Short-Term Foreseeable Totals</w:t>
            </w:r>
          </w:p>
          <w:p w14:paraId="457B479B" w14:textId="77777777" w:rsidR="00A56025" w:rsidRPr="00EE3E44" w:rsidRDefault="00A56025">
            <w:pPr>
              <w:jc w:val="center"/>
              <w:textAlignment w:val="baseline"/>
              <w:rPr>
                <w:b/>
                <w:bCs/>
              </w:rPr>
            </w:pPr>
          </w:p>
        </w:tc>
        <w:tc>
          <w:tcPr>
            <w:tcW w:w="1350" w:type="dxa"/>
            <w:shd w:val="clear" w:color="auto" w:fill="auto"/>
            <w:vAlign w:val="center"/>
            <w:hideMark/>
          </w:tcPr>
          <w:p w14:paraId="2576F075" w14:textId="77777777" w:rsidR="00A56025" w:rsidRDefault="00A56025">
            <w:pPr>
              <w:jc w:val="center"/>
              <w:textAlignment w:val="baseline"/>
              <w:rPr>
                <w:rFonts w:eastAsia="Times New Roman" w:cs="Times New Roman"/>
                <w:b/>
                <w:bCs/>
              </w:rPr>
            </w:pPr>
            <w:r w:rsidRPr="4475DFE2">
              <w:rPr>
                <w:rFonts w:eastAsia="Times New Roman" w:cs="Times New Roman"/>
                <w:b/>
                <w:bCs/>
              </w:rPr>
              <w:t>Long-Term Projected Totals</w:t>
            </w:r>
          </w:p>
          <w:p w14:paraId="5EF3889A" w14:textId="77777777" w:rsidR="00A56025" w:rsidRPr="00EE3E44" w:rsidRDefault="00A56025">
            <w:pPr>
              <w:jc w:val="center"/>
              <w:textAlignment w:val="baseline"/>
              <w:rPr>
                <w:b/>
                <w:bCs/>
              </w:rPr>
            </w:pPr>
          </w:p>
        </w:tc>
      </w:tr>
      <w:tr w:rsidR="00A56025" w:rsidRPr="00AD177D" w14:paraId="1820F3A9" w14:textId="77777777" w:rsidTr="00303A7D">
        <w:trPr>
          <w:trHeight w:val="315"/>
        </w:trPr>
        <w:tc>
          <w:tcPr>
            <w:tcW w:w="1135" w:type="dxa"/>
            <w:shd w:val="clear" w:color="auto" w:fill="auto"/>
            <w:vAlign w:val="center"/>
            <w:hideMark/>
          </w:tcPr>
          <w:p w14:paraId="1E03A62F"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AL</w:t>
            </w:r>
          </w:p>
        </w:tc>
        <w:tc>
          <w:tcPr>
            <w:tcW w:w="1551" w:type="dxa"/>
          </w:tcPr>
          <w:p w14:paraId="0D0B1CF6" w14:textId="3C57B86E" w:rsidR="00A56025" w:rsidRPr="005C0B2B" w:rsidRDefault="00443E82">
            <w:pPr>
              <w:jc w:val="center"/>
              <w:textAlignment w:val="baseline"/>
              <w:rPr>
                <w:rFonts w:eastAsia="Times New Roman" w:cs="Times New Roman"/>
                <w:sz w:val="20"/>
                <w:szCs w:val="20"/>
              </w:rPr>
            </w:pPr>
            <w:r w:rsidRPr="005C0B2B">
              <w:rPr>
                <w:sz w:val="20"/>
                <w:szCs w:val="20"/>
              </w:rPr>
              <w:t>0.57</w:t>
            </w:r>
          </w:p>
        </w:tc>
        <w:tc>
          <w:tcPr>
            <w:tcW w:w="1590" w:type="dxa"/>
          </w:tcPr>
          <w:p w14:paraId="7E62D292" w14:textId="0C4B2C88" w:rsidR="00A56025" w:rsidRPr="005C0B2B" w:rsidRDefault="00443E82">
            <w:pPr>
              <w:jc w:val="center"/>
              <w:textAlignment w:val="baseline"/>
              <w:rPr>
                <w:rFonts w:eastAsia="Times New Roman" w:cs="Times New Roman"/>
                <w:sz w:val="20"/>
                <w:szCs w:val="20"/>
              </w:rPr>
            </w:pPr>
            <w:r w:rsidRPr="005C0B2B">
              <w:rPr>
                <w:sz w:val="20"/>
                <w:szCs w:val="20"/>
              </w:rPr>
              <w:t>8.52</w:t>
            </w:r>
          </w:p>
        </w:tc>
        <w:tc>
          <w:tcPr>
            <w:tcW w:w="1116" w:type="dxa"/>
          </w:tcPr>
          <w:p w14:paraId="303516A3" w14:textId="3AF80558"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7FB23EC2" w14:textId="2BFE5612" w:rsidR="00A56025" w:rsidRPr="005C0B2B" w:rsidRDefault="00443E82">
            <w:pPr>
              <w:jc w:val="center"/>
              <w:textAlignment w:val="baseline"/>
              <w:rPr>
                <w:rFonts w:eastAsia="Times New Roman" w:cs="Times New Roman"/>
                <w:sz w:val="20"/>
                <w:szCs w:val="20"/>
              </w:rPr>
            </w:pPr>
            <w:r w:rsidRPr="005C0B2B">
              <w:rPr>
                <w:sz w:val="20"/>
                <w:szCs w:val="20"/>
              </w:rPr>
              <w:t>0.18</w:t>
            </w:r>
          </w:p>
        </w:tc>
        <w:tc>
          <w:tcPr>
            <w:tcW w:w="1275" w:type="dxa"/>
          </w:tcPr>
          <w:p w14:paraId="741E869E" w14:textId="56DA7D06" w:rsidR="00A56025" w:rsidRPr="005C0B2B" w:rsidRDefault="00443E82">
            <w:pPr>
              <w:jc w:val="center"/>
              <w:textAlignment w:val="baseline"/>
              <w:rPr>
                <w:rFonts w:eastAsia="Times New Roman" w:cs="Times New Roman"/>
                <w:sz w:val="20"/>
                <w:szCs w:val="20"/>
              </w:rPr>
            </w:pPr>
            <w:r w:rsidRPr="005C0B2B">
              <w:rPr>
                <w:sz w:val="20"/>
                <w:szCs w:val="20"/>
              </w:rPr>
              <w:t>8.70</w:t>
            </w:r>
          </w:p>
        </w:tc>
        <w:tc>
          <w:tcPr>
            <w:tcW w:w="1350" w:type="dxa"/>
          </w:tcPr>
          <w:p w14:paraId="521F5C33" w14:textId="029D810A" w:rsidR="00A56025" w:rsidRPr="005C0B2B" w:rsidRDefault="00443E82">
            <w:pPr>
              <w:jc w:val="center"/>
              <w:textAlignment w:val="baseline"/>
              <w:rPr>
                <w:rFonts w:eastAsia="Times New Roman" w:cs="Times New Roman"/>
                <w:sz w:val="20"/>
                <w:szCs w:val="20"/>
              </w:rPr>
            </w:pPr>
            <w:r w:rsidRPr="005C0B2B">
              <w:rPr>
                <w:sz w:val="20"/>
                <w:szCs w:val="20"/>
              </w:rPr>
              <w:t>16.62</w:t>
            </w:r>
          </w:p>
        </w:tc>
      </w:tr>
      <w:tr w:rsidR="00A56025" w:rsidRPr="00AD177D" w14:paraId="0A2AC87A" w14:textId="77777777" w:rsidTr="00303A7D">
        <w:trPr>
          <w:trHeight w:val="315"/>
        </w:trPr>
        <w:tc>
          <w:tcPr>
            <w:tcW w:w="1135" w:type="dxa"/>
            <w:shd w:val="clear" w:color="auto" w:fill="auto"/>
            <w:vAlign w:val="center"/>
            <w:hideMark/>
          </w:tcPr>
          <w:p w14:paraId="433059C9"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AK</w:t>
            </w:r>
          </w:p>
        </w:tc>
        <w:tc>
          <w:tcPr>
            <w:tcW w:w="1551" w:type="dxa"/>
          </w:tcPr>
          <w:p w14:paraId="30F1411F" w14:textId="6F6BFC06" w:rsidR="00A56025" w:rsidRPr="005C0B2B" w:rsidRDefault="00443E82">
            <w:pPr>
              <w:jc w:val="center"/>
              <w:textAlignment w:val="baseline"/>
              <w:rPr>
                <w:rFonts w:eastAsia="Times New Roman" w:cs="Times New Roman"/>
                <w:sz w:val="20"/>
                <w:szCs w:val="20"/>
              </w:rPr>
            </w:pPr>
            <w:r w:rsidRPr="005C0B2B">
              <w:rPr>
                <w:sz w:val="20"/>
                <w:szCs w:val="20"/>
              </w:rPr>
              <w:t>1.27</w:t>
            </w:r>
          </w:p>
        </w:tc>
        <w:tc>
          <w:tcPr>
            <w:tcW w:w="1590" w:type="dxa"/>
          </w:tcPr>
          <w:p w14:paraId="325C1895" w14:textId="1CB07682" w:rsidR="00A56025" w:rsidRPr="005C0B2B" w:rsidRDefault="00443E82">
            <w:pPr>
              <w:jc w:val="center"/>
              <w:textAlignment w:val="baseline"/>
              <w:rPr>
                <w:rFonts w:eastAsia="Times New Roman" w:cs="Times New Roman"/>
                <w:sz w:val="20"/>
                <w:szCs w:val="20"/>
              </w:rPr>
            </w:pPr>
            <w:r w:rsidRPr="005C0B2B">
              <w:rPr>
                <w:sz w:val="20"/>
                <w:szCs w:val="20"/>
              </w:rPr>
              <w:t>18.90</w:t>
            </w:r>
          </w:p>
        </w:tc>
        <w:tc>
          <w:tcPr>
            <w:tcW w:w="1116" w:type="dxa"/>
          </w:tcPr>
          <w:p w14:paraId="1227C933" w14:textId="38BF1B3D" w:rsidR="00A56025" w:rsidRPr="005C0B2B" w:rsidRDefault="00443E82">
            <w:pPr>
              <w:jc w:val="center"/>
              <w:textAlignment w:val="baseline"/>
              <w:rPr>
                <w:rFonts w:eastAsia="Times New Roman" w:cs="Times New Roman"/>
                <w:sz w:val="20"/>
                <w:szCs w:val="20"/>
              </w:rPr>
            </w:pPr>
            <w:r w:rsidRPr="005C0B2B">
              <w:rPr>
                <w:sz w:val="20"/>
                <w:szCs w:val="20"/>
              </w:rPr>
              <w:t>20.82</w:t>
            </w:r>
          </w:p>
        </w:tc>
        <w:tc>
          <w:tcPr>
            <w:tcW w:w="1425" w:type="dxa"/>
          </w:tcPr>
          <w:p w14:paraId="1B5E5E6E" w14:textId="4C281AC3" w:rsidR="00A56025" w:rsidRPr="005C0B2B" w:rsidRDefault="00443E82">
            <w:pPr>
              <w:jc w:val="center"/>
              <w:textAlignment w:val="baseline"/>
              <w:rPr>
                <w:rFonts w:eastAsia="Times New Roman" w:cs="Times New Roman"/>
                <w:sz w:val="20"/>
                <w:szCs w:val="20"/>
              </w:rPr>
            </w:pPr>
            <w:r w:rsidRPr="005C0B2B">
              <w:rPr>
                <w:sz w:val="20"/>
                <w:szCs w:val="20"/>
              </w:rPr>
              <w:t>43.96</w:t>
            </w:r>
          </w:p>
        </w:tc>
        <w:tc>
          <w:tcPr>
            <w:tcW w:w="1275" w:type="dxa"/>
          </w:tcPr>
          <w:p w14:paraId="0E595E95" w14:textId="4ECF04EA" w:rsidR="00A56025" w:rsidRPr="005C0B2B" w:rsidRDefault="00443E82">
            <w:pPr>
              <w:jc w:val="center"/>
              <w:textAlignment w:val="baseline"/>
              <w:rPr>
                <w:rFonts w:eastAsia="Times New Roman" w:cs="Times New Roman"/>
                <w:sz w:val="20"/>
                <w:szCs w:val="20"/>
              </w:rPr>
            </w:pPr>
            <w:r w:rsidRPr="005C0B2B">
              <w:rPr>
                <w:sz w:val="20"/>
                <w:szCs w:val="20"/>
              </w:rPr>
              <w:t>83.67</w:t>
            </w:r>
          </w:p>
        </w:tc>
        <w:tc>
          <w:tcPr>
            <w:tcW w:w="1350" w:type="dxa"/>
          </w:tcPr>
          <w:p w14:paraId="158E2B96" w14:textId="2C2F6C2D" w:rsidR="00A56025" w:rsidRPr="005C0B2B" w:rsidRDefault="00443E82">
            <w:pPr>
              <w:jc w:val="center"/>
              <w:textAlignment w:val="baseline"/>
              <w:rPr>
                <w:rFonts w:eastAsia="Times New Roman" w:cs="Times New Roman"/>
                <w:sz w:val="20"/>
                <w:szCs w:val="20"/>
              </w:rPr>
            </w:pPr>
            <w:r w:rsidRPr="005C0B2B">
              <w:rPr>
                <w:sz w:val="20"/>
                <w:szCs w:val="20"/>
              </w:rPr>
              <w:t>36.10</w:t>
            </w:r>
          </w:p>
        </w:tc>
      </w:tr>
      <w:tr w:rsidR="00A56025" w:rsidRPr="00AD177D" w14:paraId="60E5E44E" w14:textId="77777777" w:rsidTr="00303A7D">
        <w:trPr>
          <w:trHeight w:val="315"/>
        </w:trPr>
        <w:tc>
          <w:tcPr>
            <w:tcW w:w="1135" w:type="dxa"/>
            <w:shd w:val="clear" w:color="auto" w:fill="auto"/>
            <w:vAlign w:val="center"/>
            <w:hideMark/>
          </w:tcPr>
          <w:p w14:paraId="26599F87"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AZ</w:t>
            </w:r>
          </w:p>
        </w:tc>
        <w:tc>
          <w:tcPr>
            <w:tcW w:w="1551" w:type="dxa"/>
          </w:tcPr>
          <w:p w14:paraId="5749C227" w14:textId="61777383"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43AA3047" w14:textId="3E974A72"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116" w:type="dxa"/>
          </w:tcPr>
          <w:p w14:paraId="730AF306" w14:textId="4D0FD9CB"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061A2837" w14:textId="74232D8A"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275" w:type="dxa"/>
          </w:tcPr>
          <w:p w14:paraId="34858359" w14:textId="0496FD73"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350" w:type="dxa"/>
          </w:tcPr>
          <w:p w14:paraId="010CBE1C" w14:textId="2F85D110" w:rsidR="00A56025" w:rsidRPr="005C0B2B" w:rsidRDefault="00443E82">
            <w:pPr>
              <w:jc w:val="center"/>
              <w:textAlignment w:val="baseline"/>
              <w:rPr>
                <w:rFonts w:eastAsia="Times New Roman" w:cs="Times New Roman"/>
                <w:sz w:val="20"/>
                <w:szCs w:val="20"/>
              </w:rPr>
            </w:pPr>
            <w:r w:rsidRPr="005C0B2B">
              <w:rPr>
                <w:sz w:val="20"/>
                <w:szCs w:val="20"/>
              </w:rPr>
              <w:t>0.00</w:t>
            </w:r>
          </w:p>
        </w:tc>
      </w:tr>
      <w:tr w:rsidR="00A56025" w:rsidRPr="00AD177D" w14:paraId="7FB37D19" w14:textId="77777777" w:rsidTr="00303A7D">
        <w:trPr>
          <w:trHeight w:val="315"/>
        </w:trPr>
        <w:tc>
          <w:tcPr>
            <w:tcW w:w="1135" w:type="dxa"/>
            <w:shd w:val="clear" w:color="auto" w:fill="auto"/>
            <w:vAlign w:val="center"/>
            <w:hideMark/>
          </w:tcPr>
          <w:p w14:paraId="6E745DA6"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AR</w:t>
            </w:r>
          </w:p>
        </w:tc>
        <w:tc>
          <w:tcPr>
            <w:tcW w:w="1551" w:type="dxa"/>
          </w:tcPr>
          <w:p w14:paraId="0139A265" w14:textId="3BB213B3" w:rsidR="00A56025" w:rsidRPr="005C0B2B" w:rsidRDefault="00443E82">
            <w:pPr>
              <w:jc w:val="center"/>
              <w:textAlignment w:val="baseline"/>
              <w:rPr>
                <w:rFonts w:eastAsia="Times New Roman" w:cs="Times New Roman"/>
                <w:sz w:val="20"/>
                <w:szCs w:val="20"/>
              </w:rPr>
            </w:pPr>
            <w:r w:rsidRPr="005C0B2B">
              <w:rPr>
                <w:sz w:val="20"/>
                <w:szCs w:val="20"/>
              </w:rPr>
              <w:t>0.60</w:t>
            </w:r>
          </w:p>
        </w:tc>
        <w:tc>
          <w:tcPr>
            <w:tcW w:w="1590" w:type="dxa"/>
          </w:tcPr>
          <w:p w14:paraId="1B179E30" w14:textId="39AA9F68" w:rsidR="00A56025" w:rsidRPr="005C0B2B" w:rsidRDefault="00443E82">
            <w:pPr>
              <w:jc w:val="center"/>
              <w:textAlignment w:val="baseline"/>
              <w:rPr>
                <w:rFonts w:eastAsia="Times New Roman" w:cs="Times New Roman"/>
                <w:sz w:val="20"/>
                <w:szCs w:val="20"/>
              </w:rPr>
            </w:pPr>
            <w:r w:rsidRPr="005C0B2B">
              <w:rPr>
                <w:sz w:val="20"/>
                <w:szCs w:val="20"/>
              </w:rPr>
              <w:t>9.52</w:t>
            </w:r>
          </w:p>
        </w:tc>
        <w:tc>
          <w:tcPr>
            <w:tcW w:w="1116" w:type="dxa"/>
          </w:tcPr>
          <w:p w14:paraId="741C5254" w14:textId="61B22967" w:rsidR="00A56025" w:rsidRPr="005C0B2B" w:rsidRDefault="00443E82">
            <w:pPr>
              <w:jc w:val="center"/>
              <w:textAlignment w:val="baseline"/>
              <w:rPr>
                <w:rFonts w:eastAsia="Times New Roman" w:cs="Times New Roman"/>
                <w:sz w:val="20"/>
                <w:szCs w:val="20"/>
              </w:rPr>
            </w:pPr>
            <w:r w:rsidRPr="005C0B2B">
              <w:rPr>
                <w:sz w:val="20"/>
                <w:szCs w:val="20"/>
              </w:rPr>
              <w:t>0.24</w:t>
            </w:r>
          </w:p>
        </w:tc>
        <w:tc>
          <w:tcPr>
            <w:tcW w:w="1425" w:type="dxa"/>
          </w:tcPr>
          <w:p w14:paraId="7D8F6360" w14:textId="0AEB3F58" w:rsidR="00A56025" w:rsidRPr="005C0B2B" w:rsidRDefault="00443E82">
            <w:pPr>
              <w:jc w:val="center"/>
              <w:textAlignment w:val="baseline"/>
              <w:rPr>
                <w:rFonts w:eastAsia="Times New Roman" w:cs="Times New Roman"/>
                <w:sz w:val="20"/>
                <w:szCs w:val="20"/>
              </w:rPr>
            </w:pPr>
            <w:r w:rsidRPr="005C0B2B">
              <w:rPr>
                <w:sz w:val="20"/>
                <w:szCs w:val="20"/>
              </w:rPr>
              <w:t>0.24</w:t>
            </w:r>
          </w:p>
        </w:tc>
        <w:tc>
          <w:tcPr>
            <w:tcW w:w="1275" w:type="dxa"/>
          </w:tcPr>
          <w:p w14:paraId="00E4500B" w14:textId="7DE9CE29" w:rsidR="00A56025" w:rsidRPr="005C0B2B" w:rsidRDefault="00443E82">
            <w:pPr>
              <w:jc w:val="center"/>
              <w:textAlignment w:val="baseline"/>
              <w:rPr>
                <w:rFonts w:eastAsia="Times New Roman" w:cs="Times New Roman"/>
                <w:sz w:val="20"/>
                <w:szCs w:val="20"/>
              </w:rPr>
            </w:pPr>
            <w:r w:rsidRPr="005C0B2B">
              <w:rPr>
                <w:sz w:val="20"/>
                <w:szCs w:val="20"/>
              </w:rPr>
              <w:t>9.99</w:t>
            </w:r>
          </w:p>
        </w:tc>
        <w:tc>
          <w:tcPr>
            <w:tcW w:w="1350" w:type="dxa"/>
          </w:tcPr>
          <w:p w14:paraId="51DF5457" w14:textId="0D96E7C5" w:rsidR="00A56025" w:rsidRPr="005C0B2B" w:rsidRDefault="00443E82">
            <w:pPr>
              <w:jc w:val="center"/>
              <w:textAlignment w:val="baseline"/>
              <w:rPr>
                <w:rFonts w:eastAsia="Times New Roman" w:cs="Times New Roman"/>
                <w:sz w:val="20"/>
                <w:szCs w:val="20"/>
              </w:rPr>
            </w:pPr>
            <w:r w:rsidRPr="005C0B2B">
              <w:rPr>
                <w:sz w:val="20"/>
                <w:szCs w:val="20"/>
              </w:rPr>
              <w:t>17.56</w:t>
            </w:r>
          </w:p>
        </w:tc>
      </w:tr>
      <w:tr w:rsidR="00A56025" w:rsidRPr="00AD177D" w14:paraId="4C4876AA" w14:textId="77777777" w:rsidTr="00303A7D">
        <w:trPr>
          <w:trHeight w:val="315"/>
        </w:trPr>
        <w:tc>
          <w:tcPr>
            <w:tcW w:w="1135" w:type="dxa"/>
            <w:shd w:val="clear" w:color="auto" w:fill="auto"/>
            <w:vAlign w:val="center"/>
            <w:hideMark/>
          </w:tcPr>
          <w:p w14:paraId="23D3182D"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CA</w:t>
            </w:r>
          </w:p>
        </w:tc>
        <w:tc>
          <w:tcPr>
            <w:tcW w:w="1551" w:type="dxa"/>
          </w:tcPr>
          <w:p w14:paraId="745345FE" w14:textId="71462131" w:rsidR="00A56025" w:rsidRPr="005C0B2B" w:rsidRDefault="00443E82">
            <w:pPr>
              <w:jc w:val="center"/>
              <w:textAlignment w:val="baseline"/>
              <w:rPr>
                <w:rFonts w:eastAsia="Times New Roman" w:cs="Times New Roman"/>
                <w:sz w:val="20"/>
                <w:szCs w:val="20"/>
              </w:rPr>
            </w:pPr>
            <w:r w:rsidRPr="005C0B2B">
              <w:rPr>
                <w:sz w:val="20"/>
                <w:szCs w:val="20"/>
              </w:rPr>
              <w:t>5.10</w:t>
            </w:r>
          </w:p>
        </w:tc>
        <w:tc>
          <w:tcPr>
            <w:tcW w:w="1590" w:type="dxa"/>
          </w:tcPr>
          <w:p w14:paraId="39B124B3" w14:textId="2A745095" w:rsidR="00A56025" w:rsidRPr="005C0B2B" w:rsidRDefault="00443E82">
            <w:pPr>
              <w:jc w:val="center"/>
              <w:textAlignment w:val="baseline"/>
              <w:rPr>
                <w:rFonts w:eastAsia="Times New Roman" w:cs="Times New Roman"/>
                <w:sz w:val="20"/>
                <w:szCs w:val="20"/>
              </w:rPr>
            </w:pPr>
            <w:r w:rsidRPr="005C0B2B">
              <w:rPr>
                <w:sz w:val="20"/>
                <w:szCs w:val="20"/>
              </w:rPr>
              <w:t>70.48</w:t>
            </w:r>
          </w:p>
        </w:tc>
        <w:tc>
          <w:tcPr>
            <w:tcW w:w="1116" w:type="dxa"/>
          </w:tcPr>
          <w:p w14:paraId="5BD9B194" w14:textId="4B4440AA" w:rsidR="00A56025" w:rsidRPr="005C0B2B" w:rsidRDefault="00443E82">
            <w:pPr>
              <w:jc w:val="center"/>
              <w:textAlignment w:val="baseline"/>
              <w:rPr>
                <w:rFonts w:eastAsia="Times New Roman" w:cs="Times New Roman"/>
                <w:sz w:val="20"/>
                <w:szCs w:val="20"/>
              </w:rPr>
            </w:pPr>
            <w:r w:rsidRPr="005C0B2B">
              <w:rPr>
                <w:sz w:val="20"/>
                <w:szCs w:val="20"/>
              </w:rPr>
              <w:t>4.75</w:t>
            </w:r>
          </w:p>
        </w:tc>
        <w:tc>
          <w:tcPr>
            <w:tcW w:w="1425" w:type="dxa"/>
          </w:tcPr>
          <w:p w14:paraId="497E70B4" w14:textId="1471A01D" w:rsidR="00A56025" w:rsidRPr="005C0B2B" w:rsidRDefault="00443E82">
            <w:pPr>
              <w:jc w:val="center"/>
              <w:textAlignment w:val="baseline"/>
              <w:rPr>
                <w:rFonts w:eastAsia="Times New Roman" w:cs="Times New Roman"/>
                <w:sz w:val="20"/>
                <w:szCs w:val="20"/>
              </w:rPr>
            </w:pPr>
            <w:r w:rsidRPr="005C0B2B">
              <w:rPr>
                <w:sz w:val="20"/>
                <w:szCs w:val="20"/>
              </w:rPr>
              <w:t>2.17</w:t>
            </w:r>
          </w:p>
        </w:tc>
        <w:tc>
          <w:tcPr>
            <w:tcW w:w="1275" w:type="dxa"/>
          </w:tcPr>
          <w:p w14:paraId="12B67F7C" w14:textId="661830A8" w:rsidR="00A56025" w:rsidRPr="005C0B2B" w:rsidRDefault="00443E82">
            <w:pPr>
              <w:jc w:val="center"/>
              <w:textAlignment w:val="baseline"/>
              <w:rPr>
                <w:rFonts w:eastAsia="Times New Roman" w:cs="Times New Roman"/>
                <w:sz w:val="20"/>
                <w:szCs w:val="20"/>
              </w:rPr>
            </w:pPr>
            <w:r w:rsidRPr="005C0B2B">
              <w:rPr>
                <w:sz w:val="20"/>
                <w:szCs w:val="20"/>
              </w:rPr>
              <w:t>77.41</w:t>
            </w:r>
          </w:p>
        </w:tc>
        <w:tc>
          <w:tcPr>
            <w:tcW w:w="1350" w:type="dxa"/>
          </w:tcPr>
          <w:p w14:paraId="7E458691" w14:textId="490F78BE" w:rsidR="00A56025" w:rsidRPr="005C0B2B" w:rsidRDefault="00443E82">
            <w:pPr>
              <w:jc w:val="center"/>
              <w:textAlignment w:val="baseline"/>
              <w:rPr>
                <w:rFonts w:eastAsia="Times New Roman" w:cs="Times New Roman"/>
                <w:sz w:val="20"/>
                <w:szCs w:val="20"/>
              </w:rPr>
            </w:pPr>
            <w:r w:rsidRPr="005C0B2B">
              <w:rPr>
                <w:sz w:val="20"/>
                <w:szCs w:val="20"/>
              </w:rPr>
              <w:t>140.49</w:t>
            </w:r>
          </w:p>
        </w:tc>
      </w:tr>
      <w:tr w:rsidR="00A56025" w:rsidRPr="00AD177D" w14:paraId="7166D3B1" w14:textId="77777777" w:rsidTr="00303A7D">
        <w:trPr>
          <w:trHeight w:val="315"/>
        </w:trPr>
        <w:tc>
          <w:tcPr>
            <w:tcW w:w="1135" w:type="dxa"/>
            <w:shd w:val="clear" w:color="auto" w:fill="auto"/>
            <w:vAlign w:val="center"/>
            <w:hideMark/>
          </w:tcPr>
          <w:p w14:paraId="12FD39B1"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CO</w:t>
            </w:r>
          </w:p>
        </w:tc>
        <w:tc>
          <w:tcPr>
            <w:tcW w:w="1551" w:type="dxa"/>
          </w:tcPr>
          <w:p w14:paraId="179AFE4A" w14:textId="7197F773" w:rsidR="00A56025" w:rsidRPr="005C0B2B" w:rsidRDefault="00443E82">
            <w:pPr>
              <w:jc w:val="center"/>
              <w:textAlignment w:val="baseline"/>
              <w:rPr>
                <w:rFonts w:eastAsia="Times New Roman" w:cs="Times New Roman"/>
                <w:sz w:val="20"/>
                <w:szCs w:val="20"/>
              </w:rPr>
            </w:pPr>
            <w:r w:rsidRPr="005C0B2B">
              <w:rPr>
                <w:sz w:val="20"/>
                <w:szCs w:val="20"/>
              </w:rPr>
              <w:t>44.72</w:t>
            </w:r>
          </w:p>
        </w:tc>
        <w:tc>
          <w:tcPr>
            <w:tcW w:w="1590" w:type="dxa"/>
          </w:tcPr>
          <w:p w14:paraId="301A1F32" w14:textId="6DFCDC3A" w:rsidR="00A56025" w:rsidRPr="005C0B2B" w:rsidRDefault="00443E82">
            <w:pPr>
              <w:jc w:val="center"/>
              <w:textAlignment w:val="baseline"/>
              <w:rPr>
                <w:rFonts w:eastAsia="Times New Roman" w:cs="Times New Roman"/>
                <w:sz w:val="20"/>
                <w:szCs w:val="20"/>
              </w:rPr>
            </w:pPr>
            <w:r w:rsidRPr="005C0B2B">
              <w:rPr>
                <w:sz w:val="20"/>
                <w:szCs w:val="20"/>
              </w:rPr>
              <w:t>387.63</w:t>
            </w:r>
          </w:p>
        </w:tc>
        <w:tc>
          <w:tcPr>
            <w:tcW w:w="1116" w:type="dxa"/>
          </w:tcPr>
          <w:p w14:paraId="752B917C" w14:textId="18999B2D" w:rsidR="00A56025" w:rsidRPr="005C0B2B" w:rsidRDefault="00443E82">
            <w:pPr>
              <w:jc w:val="center"/>
              <w:textAlignment w:val="baseline"/>
              <w:rPr>
                <w:rFonts w:eastAsia="Times New Roman" w:cs="Times New Roman"/>
                <w:sz w:val="20"/>
                <w:szCs w:val="20"/>
              </w:rPr>
            </w:pPr>
            <w:r w:rsidRPr="005C0B2B">
              <w:rPr>
                <w:sz w:val="20"/>
                <w:szCs w:val="20"/>
              </w:rPr>
              <w:t>16.46</w:t>
            </w:r>
          </w:p>
        </w:tc>
        <w:tc>
          <w:tcPr>
            <w:tcW w:w="1425" w:type="dxa"/>
          </w:tcPr>
          <w:p w14:paraId="23793776" w14:textId="57E2DBCC" w:rsidR="00A56025" w:rsidRPr="005C0B2B" w:rsidRDefault="00443E82">
            <w:pPr>
              <w:jc w:val="center"/>
              <w:textAlignment w:val="baseline"/>
              <w:rPr>
                <w:rFonts w:eastAsia="Times New Roman" w:cs="Times New Roman"/>
                <w:sz w:val="20"/>
                <w:szCs w:val="20"/>
              </w:rPr>
            </w:pPr>
            <w:r w:rsidRPr="005C0B2B">
              <w:rPr>
                <w:sz w:val="20"/>
                <w:szCs w:val="20"/>
              </w:rPr>
              <w:t>16.29</w:t>
            </w:r>
          </w:p>
        </w:tc>
        <w:tc>
          <w:tcPr>
            <w:tcW w:w="1275" w:type="dxa"/>
          </w:tcPr>
          <w:p w14:paraId="7C51759E" w14:textId="351701C5" w:rsidR="00A56025" w:rsidRPr="005C0B2B" w:rsidRDefault="00443E82">
            <w:pPr>
              <w:jc w:val="center"/>
              <w:textAlignment w:val="baseline"/>
              <w:rPr>
                <w:rFonts w:eastAsia="Times New Roman" w:cs="Times New Roman"/>
                <w:sz w:val="20"/>
                <w:szCs w:val="20"/>
              </w:rPr>
            </w:pPr>
            <w:r w:rsidRPr="005C0B2B">
              <w:rPr>
                <w:sz w:val="20"/>
                <w:szCs w:val="20"/>
              </w:rPr>
              <w:t>420.39</w:t>
            </w:r>
          </w:p>
        </w:tc>
        <w:tc>
          <w:tcPr>
            <w:tcW w:w="1350" w:type="dxa"/>
          </w:tcPr>
          <w:p w14:paraId="5C1A20BD" w14:textId="4EABA22E" w:rsidR="00A56025" w:rsidRPr="005C0B2B" w:rsidRDefault="00443E82">
            <w:pPr>
              <w:jc w:val="center"/>
              <w:textAlignment w:val="baseline"/>
              <w:rPr>
                <w:rFonts w:eastAsia="Times New Roman" w:cs="Times New Roman"/>
                <w:sz w:val="20"/>
                <w:szCs w:val="20"/>
              </w:rPr>
            </w:pPr>
            <w:r w:rsidRPr="005C0B2B">
              <w:rPr>
                <w:sz w:val="20"/>
                <w:szCs w:val="20"/>
              </w:rPr>
              <w:t>1,293.28</w:t>
            </w:r>
          </w:p>
        </w:tc>
      </w:tr>
      <w:tr w:rsidR="00A56025" w:rsidRPr="00AD177D" w14:paraId="2DBD0DD4" w14:textId="77777777" w:rsidTr="00303A7D">
        <w:trPr>
          <w:trHeight w:val="315"/>
        </w:trPr>
        <w:tc>
          <w:tcPr>
            <w:tcW w:w="1135" w:type="dxa"/>
            <w:shd w:val="clear" w:color="auto" w:fill="auto"/>
            <w:vAlign w:val="center"/>
            <w:hideMark/>
          </w:tcPr>
          <w:p w14:paraId="10D40FC3"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ID</w:t>
            </w:r>
          </w:p>
        </w:tc>
        <w:tc>
          <w:tcPr>
            <w:tcW w:w="1551" w:type="dxa"/>
          </w:tcPr>
          <w:p w14:paraId="326D5307" w14:textId="2979A0B8"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27170D4F" w14:textId="3A177CCC"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116" w:type="dxa"/>
          </w:tcPr>
          <w:p w14:paraId="3A665A67" w14:textId="321B82AA"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03A6FEEF" w14:textId="64708474" w:rsidR="00A56025" w:rsidRPr="005C0B2B" w:rsidRDefault="00443E82">
            <w:pPr>
              <w:jc w:val="center"/>
              <w:textAlignment w:val="baseline"/>
              <w:rPr>
                <w:rFonts w:eastAsia="Times New Roman" w:cs="Times New Roman"/>
                <w:sz w:val="20"/>
                <w:szCs w:val="20"/>
              </w:rPr>
            </w:pPr>
            <w:r w:rsidRPr="005C0B2B">
              <w:rPr>
                <w:sz w:val="20"/>
                <w:szCs w:val="20"/>
              </w:rPr>
              <w:t>0.29</w:t>
            </w:r>
          </w:p>
        </w:tc>
        <w:tc>
          <w:tcPr>
            <w:tcW w:w="1275" w:type="dxa"/>
          </w:tcPr>
          <w:p w14:paraId="388EBE50" w14:textId="4B964808" w:rsidR="00A56025" w:rsidRPr="005C0B2B" w:rsidRDefault="00443E82">
            <w:pPr>
              <w:jc w:val="center"/>
              <w:textAlignment w:val="baseline"/>
              <w:rPr>
                <w:rFonts w:eastAsia="Times New Roman" w:cs="Times New Roman"/>
                <w:sz w:val="20"/>
                <w:szCs w:val="20"/>
              </w:rPr>
            </w:pPr>
            <w:r w:rsidRPr="005C0B2B">
              <w:rPr>
                <w:sz w:val="20"/>
                <w:szCs w:val="20"/>
              </w:rPr>
              <w:t>0.30</w:t>
            </w:r>
          </w:p>
        </w:tc>
        <w:tc>
          <w:tcPr>
            <w:tcW w:w="1350" w:type="dxa"/>
          </w:tcPr>
          <w:p w14:paraId="5727D256" w14:textId="5F563857" w:rsidR="00A56025" w:rsidRPr="005C0B2B" w:rsidRDefault="00443E82">
            <w:pPr>
              <w:jc w:val="center"/>
              <w:textAlignment w:val="baseline"/>
              <w:rPr>
                <w:rFonts w:eastAsia="Times New Roman" w:cs="Times New Roman"/>
                <w:sz w:val="20"/>
                <w:szCs w:val="20"/>
              </w:rPr>
            </w:pPr>
            <w:r w:rsidRPr="005C0B2B">
              <w:rPr>
                <w:sz w:val="20"/>
                <w:szCs w:val="20"/>
              </w:rPr>
              <w:t>0.00</w:t>
            </w:r>
          </w:p>
        </w:tc>
      </w:tr>
      <w:tr w:rsidR="00A56025" w:rsidRPr="00AD177D" w14:paraId="41DBBA70" w14:textId="77777777" w:rsidTr="00303A7D">
        <w:trPr>
          <w:trHeight w:val="315"/>
        </w:trPr>
        <w:tc>
          <w:tcPr>
            <w:tcW w:w="1135" w:type="dxa"/>
            <w:shd w:val="clear" w:color="auto" w:fill="auto"/>
            <w:vAlign w:val="center"/>
            <w:hideMark/>
          </w:tcPr>
          <w:p w14:paraId="48C836A9"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IL</w:t>
            </w:r>
          </w:p>
        </w:tc>
        <w:tc>
          <w:tcPr>
            <w:tcW w:w="1551" w:type="dxa"/>
          </w:tcPr>
          <w:p w14:paraId="43E5D786" w14:textId="09BC4EDB" w:rsidR="00A56025" w:rsidRPr="005C0B2B" w:rsidRDefault="00443E82">
            <w:pPr>
              <w:jc w:val="center"/>
              <w:textAlignment w:val="baseline"/>
              <w:rPr>
                <w:rFonts w:eastAsia="Times New Roman" w:cs="Times New Roman"/>
                <w:sz w:val="20"/>
                <w:szCs w:val="20"/>
              </w:rPr>
            </w:pPr>
            <w:r w:rsidRPr="005C0B2B">
              <w:rPr>
                <w:sz w:val="20"/>
                <w:szCs w:val="20"/>
              </w:rPr>
              <w:t>0.01</w:t>
            </w:r>
          </w:p>
        </w:tc>
        <w:tc>
          <w:tcPr>
            <w:tcW w:w="1590" w:type="dxa"/>
          </w:tcPr>
          <w:p w14:paraId="6389F942" w14:textId="1829D498" w:rsidR="00A56025" w:rsidRPr="005C0B2B" w:rsidRDefault="00443E82">
            <w:pPr>
              <w:jc w:val="center"/>
              <w:textAlignment w:val="baseline"/>
              <w:rPr>
                <w:rFonts w:eastAsia="Times New Roman" w:cs="Times New Roman"/>
                <w:sz w:val="20"/>
                <w:szCs w:val="20"/>
              </w:rPr>
            </w:pPr>
            <w:r w:rsidRPr="005C0B2B">
              <w:rPr>
                <w:sz w:val="20"/>
                <w:szCs w:val="20"/>
              </w:rPr>
              <w:t>0.10</w:t>
            </w:r>
          </w:p>
        </w:tc>
        <w:tc>
          <w:tcPr>
            <w:tcW w:w="1116" w:type="dxa"/>
          </w:tcPr>
          <w:p w14:paraId="3F2C410D" w14:textId="17CD8511"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1FC87507" w14:textId="42769958" w:rsidR="00A56025" w:rsidRPr="005C0B2B" w:rsidRDefault="00443E82">
            <w:pPr>
              <w:jc w:val="center"/>
              <w:textAlignment w:val="baseline"/>
              <w:rPr>
                <w:rFonts w:eastAsia="Times New Roman" w:cs="Times New Roman"/>
                <w:sz w:val="20"/>
                <w:szCs w:val="20"/>
              </w:rPr>
            </w:pPr>
            <w:r w:rsidRPr="005C0B2B">
              <w:rPr>
                <w:sz w:val="20"/>
                <w:szCs w:val="20"/>
              </w:rPr>
              <w:t>0.02</w:t>
            </w:r>
          </w:p>
        </w:tc>
        <w:tc>
          <w:tcPr>
            <w:tcW w:w="1275" w:type="dxa"/>
          </w:tcPr>
          <w:p w14:paraId="683E5732" w14:textId="5AE59956" w:rsidR="00A56025" w:rsidRPr="005C0B2B" w:rsidRDefault="00443E82">
            <w:pPr>
              <w:jc w:val="center"/>
              <w:textAlignment w:val="baseline"/>
              <w:rPr>
                <w:rFonts w:eastAsia="Times New Roman" w:cs="Times New Roman"/>
                <w:sz w:val="20"/>
                <w:szCs w:val="20"/>
              </w:rPr>
            </w:pPr>
            <w:r w:rsidRPr="005C0B2B">
              <w:rPr>
                <w:sz w:val="20"/>
                <w:szCs w:val="20"/>
              </w:rPr>
              <w:t>0.12</w:t>
            </w:r>
          </w:p>
        </w:tc>
        <w:tc>
          <w:tcPr>
            <w:tcW w:w="1350" w:type="dxa"/>
          </w:tcPr>
          <w:p w14:paraId="3AA40835" w14:textId="35386650" w:rsidR="00A56025" w:rsidRPr="005C0B2B" w:rsidRDefault="00443E82">
            <w:pPr>
              <w:jc w:val="center"/>
              <w:textAlignment w:val="baseline"/>
              <w:rPr>
                <w:rFonts w:eastAsia="Times New Roman" w:cs="Times New Roman"/>
                <w:sz w:val="20"/>
                <w:szCs w:val="20"/>
              </w:rPr>
            </w:pPr>
            <w:r w:rsidRPr="005C0B2B">
              <w:rPr>
                <w:sz w:val="20"/>
                <w:szCs w:val="20"/>
              </w:rPr>
              <w:t>0.21</w:t>
            </w:r>
          </w:p>
        </w:tc>
      </w:tr>
      <w:tr w:rsidR="00A56025" w:rsidRPr="00AD177D" w14:paraId="3AAD1701" w14:textId="77777777" w:rsidTr="00303A7D">
        <w:trPr>
          <w:trHeight w:val="315"/>
        </w:trPr>
        <w:tc>
          <w:tcPr>
            <w:tcW w:w="1135" w:type="dxa"/>
            <w:shd w:val="clear" w:color="auto" w:fill="auto"/>
            <w:vAlign w:val="center"/>
            <w:hideMark/>
          </w:tcPr>
          <w:p w14:paraId="258C24B8"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IN</w:t>
            </w:r>
          </w:p>
        </w:tc>
        <w:tc>
          <w:tcPr>
            <w:tcW w:w="1551" w:type="dxa"/>
          </w:tcPr>
          <w:p w14:paraId="0C696C02" w14:textId="4FB9DE62"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43612EF1" w14:textId="28952ED8"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116" w:type="dxa"/>
          </w:tcPr>
          <w:p w14:paraId="02529F75" w14:textId="7E32D4C1"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36BBFF0E" w14:textId="7F18EA78" w:rsidR="00A56025" w:rsidRPr="005C0B2B" w:rsidRDefault="00443E82">
            <w:pPr>
              <w:jc w:val="center"/>
              <w:textAlignment w:val="baseline"/>
              <w:rPr>
                <w:rFonts w:eastAsia="Times New Roman" w:cs="Times New Roman"/>
                <w:sz w:val="20"/>
                <w:szCs w:val="20"/>
              </w:rPr>
            </w:pPr>
            <w:r w:rsidRPr="005C0B2B">
              <w:rPr>
                <w:sz w:val="20"/>
                <w:szCs w:val="20"/>
              </w:rPr>
              <w:t>0.02</w:t>
            </w:r>
          </w:p>
        </w:tc>
        <w:tc>
          <w:tcPr>
            <w:tcW w:w="1275" w:type="dxa"/>
          </w:tcPr>
          <w:p w14:paraId="653494BA" w14:textId="79E7EF42" w:rsidR="00A56025" w:rsidRPr="005C0B2B" w:rsidRDefault="00443E82">
            <w:pPr>
              <w:jc w:val="center"/>
              <w:textAlignment w:val="baseline"/>
              <w:rPr>
                <w:rFonts w:eastAsia="Times New Roman" w:cs="Times New Roman"/>
                <w:sz w:val="20"/>
                <w:szCs w:val="20"/>
              </w:rPr>
            </w:pPr>
            <w:r w:rsidRPr="005C0B2B">
              <w:rPr>
                <w:sz w:val="20"/>
                <w:szCs w:val="20"/>
              </w:rPr>
              <w:t>0.02</w:t>
            </w:r>
          </w:p>
        </w:tc>
        <w:tc>
          <w:tcPr>
            <w:tcW w:w="1350" w:type="dxa"/>
          </w:tcPr>
          <w:p w14:paraId="2D3A8FD8" w14:textId="51D2A5F2" w:rsidR="00A56025" w:rsidRPr="005C0B2B" w:rsidRDefault="00443E82">
            <w:pPr>
              <w:jc w:val="center"/>
              <w:textAlignment w:val="baseline"/>
              <w:rPr>
                <w:rFonts w:eastAsia="Times New Roman" w:cs="Times New Roman"/>
                <w:sz w:val="20"/>
                <w:szCs w:val="20"/>
              </w:rPr>
            </w:pPr>
            <w:r w:rsidRPr="005C0B2B">
              <w:rPr>
                <w:sz w:val="20"/>
                <w:szCs w:val="20"/>
              </w:rPr>
              <w:t>0.00</w:t>
            </w:r>
          </w:p>
        </w:tc>
      </w:tr>
      <w:tr w:rsidR="00A56025" w:rsidRPr="00AD177D" w14:paraId="469D65E5" w14:textId="77777777" w:rsidTr="00303A7D">
        <w:trPr>
          <w:trHeight w:val="315"/>
        </w:trPr>
        <w:tc>
          <w:tcPr>
            <w:tcW w:w="1135" w:type="dxa"/>
            <w:shd w:val="clear" w:color="auto" w:fill="auto"/>
            <w:vAlign w:val="center"/>
            <w:hideMark/>
          </w:tcPr>
          <w:p w14:paraId="1D584A6C"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KS</w:t>
            </w:r>
          </w:p>
        </w:tc>
        <w:tc>
          <w:tcPr>
            <w:tcW w:w="1551" w:type="dxa"/>
          </w:tcPr>
          <w:p w14:paraId="5F2BC888" w14:textId="19350F35" w:rsidR="00A56025" w:rsidRPr="005C0B2B" w:rsidRDefault="00443E82">
            <w:pPr>
              <w:jc w:val="center"/>
              <w:textAlignment w:val="baseline"/>
              <w:rPr>
                <w:rFonts w:eastAsia="Times New Roman" w:cs="Times New Roman"/>
                <w:sz w:val="20"/>
                <w:szCs w:val="20"/>
              </w:rPr>
            </w:pPr>
            <w:r w:rsidRPr="005C0B2B">
              <w:rPr>
                <w:sz w:val="20"/>
                <w:szCs w:val="20"/>
              </w:rPr>
              <w:t>0.23</w:t>
            </w:r>
          </w:p>
        </w:tc>
        <w:tc>
          <w:tcPr>
            <w:tcW w:w="1590" w:type="dxa"/>
          </w:tcPr>
          <w:p w14:paraId="2DB8E532" w14:textId="23951303" w:rsidR="00A56025" w:rsidRPr="005C0B2B" w:rsidRDefault="00443E82">
            <w:pPr>
              <w:jc w:val="center"/>
              <w:textAlignment w:val="baseline"/>
              <w:rPr>
                <w:rFonts w:eastAsia="Times New Roman" w:cs="Times New Roman"/>
                <w:sz w:val="20"/>
                <w:szCs w:val="20"/>
              </w:rPr>
            </w:pPr>
            <w:r w:rsidRPr="005C0B2B">
              <w:rPr>
                <w:sz w:val="20"/>
                <w:szCs w:val="20"/>
              </w:rPr>
              <w:t>3.43</w:t>
            </w:r>
          </w:p>
        </w:tc>
        <w:tc>
          <w:tcPr>
            <w:tcW w:w="1116" w:type="dxa"/>
          </w:tcPr>
          <w:p w14:paraId="293D7633" w14:textId="29071AC1"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35EC3D7F" w14:textId="109A2E97" w:rsidR="00A56025" w:rsidRPr="005C0B2B" w:rsidRDefault="00443E82">
            <w:pPr>
              <w:jc w:val="center"/>
              <w:textAlignment w:val="baseline"/>
              <w:rPr>
                <w:rFonts w:eastAsia="Times New Roman" w:cs="Times New Roman"/>
                <w:sz w:val="20"/>
                <w:szCs w:val="20"/>
              </w:rPr>
            </w:pPr>
            <w:r w:rsidRPr="005C0B2B">
              <w:rPr>
                <w:sz w:val="20"/>
                <w:szCs w:val="20"/>
              </w:rPr>
              <w:t>0.22</w:t>
            </w:r>
          </w:p>
        </w:tc>
        <w:tc>
          <w:tcPr>
            <w:tcW w:w="1275" w:type="dxa"/>
          </w:tcPr>
          <w:p w14:paraId="4300091A" w14:textId="05FA0D7B" w:rsidR="00A56025" w:rsidRPr="005C0B2B" w:rsidRDefault="00443E82">
            <w:pPr>
              <w:jc w:val="center"/>
              <w:textAlignment w:val="baseline"/>
              <w:rPr>
                <w:rFonts w:eastAsia="Times New Roman" w:cs="Times New Roman"/>
                <w:sz w:val="20"/>
                <w:szCs w:val="20"/>
              </w:rPr>
            </w:pPr>
            <w:r w:rsidRPr="005C0B2B">
              <w:rPr>
                <w:sz w:val="20"/>
                <w:szCs w:val="20"/>
              </w:rPr>
              <w:t>3.65</w:t>
            </w:r>
          </w:p>
        </w:tc>
        <w:tc>
          <w:tcPr>
            <w:tcW w:w="1350" w:type="dxa"/>
          </w:tcPr>
          <w:p w14:paraId="736A0DB9" w14:textId="64E3EB1E" w:rsidR="00A56025" w:rsidRPr="005C0B2B" w:rsidRDefault="00443E82">
            <w:pPr>
              <w:jc w:val="center"/>
              <w:textAlignment w:val="baseline"/>
              <w:rPr>
                <w:rFonts w:eastAsia="Times New Roman" w:cs="Times New Roman"/>
                <w:sz w:val="20"/>
                <w:szCs w:val="20"/>
              </w:rPr>
            </w:pPr>
            <w:r w:rsidRPr="005C0B2B">
              <w:rPr>
                <w:sz w:val="20"/>
                <w:szCs w:val="20"/>
              </w:rPr>
              <w:t>6.70</w:t>
            </w:r>
          </w:p>
        </w:tc>
      </w:tr>
      <w:tr w:rsidR="00A56025" w:rsidRPr="00AD177D" w14:paraId="4F203F97" w14:textId="77777777" w:rsidTr="00303A7D">
        <w:trPr>
          <w:trHeight w:val="315"/>
        </w:trPr>
        <w:tc>
          <w:tcPr>
            <w:tcW w:w="1135" w:type="dxa"/>
            <w:shd w:val="clear" w:color="auto" w:fill="auto"/>
            <w:vAlign w:val="center"/>
            <w:hideMark/>
          </w:tcPr>
          <w:p w14:paraId="1F5AED6B"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KY</w:t>
            </w:r>
          </w:p>
        </w:tc>
        <w:tc>
          <w:tcPr>
            <w:tcW w:w="1551" w:type="dxa"/>
          </w:tcPr>
          <w:p w14:paraId="7E52D292" w14:textId="16BFCA06" w:rsidR="00A56025" w:rsidRPr="005C0B2B" w:rsidRDefault="00443E82">
            <w:pPr>
              <w:jc w:val="center"/>
              <w:textAlignment w:val="baseline"/>
              <w:rPr>
                <w:rFonts w:eastAsia="Times New Roman" w:cs="Times New Roman"/>
                <w:sz w:val="20"/>
                <w:szCs w:val="20"/>
              </w:rPr>
            </w:pPr>
            <w:r w:rsidRPr="005C0B2B">
              <w:rPr>
                <w:sz w:val="20"/>
                <w:szCs w:val="20"/>
              </w:rPr>
              <w:t>0.01</w:t>
            </w:r>
          </w:p>
        </w:tc>
        <w:tc>
          <w:tcPr>
            <w:tcW w:w="1590" w:type="dxa"/>
          </w:tcPr>
          <w:p w14:paraId="4A652DCA" w14:textId="56B5FFC7" w:rsidR="00A56025" w:rsidRPr="005C0B2B" w:rsidRDefault="00443E82">
            <w:pPr>
              <w:jc w:val="center"/>
              <w:textAlignment w:val="baseline"/>
              <w:rPr>
                <w:rFonts w:eastAsia="Times New Roman" w:cs="Times New Roman"/>
                <w:sz w:val="20"/>
                <w:szCs w:val="20"/>
              </w:rPr>
            </w:pPr>
            <w:r w:rsidRPr="005C0B2B">
              <w:rPr>
                <w:sz w:val="20"/>
                <w:szCs w:val="20"/>
              </w:rPr>
              <w:t>0.07</w:t>
            </w:r>
          </w:p>
        </w:tc>
        <w:tc>
          <w:tcPr>
            <w:tcW w:w="1116" w:type="dxa"/>
          </w:tcPr>
          <w:p w14:paraId="269A76E0" w14:textId="1F224698"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0ECF36B6" w14:textId="00FAEBC5" w:rsidR="00A56025" w:rsidRPr="005C0B2B" w:rsidRDefault="00443E82">
            <w:pPr>
              <w:jc w:val="center"/>
              <w:textAlignment w:val="baseline"/>
              <w:rPr>
                <w:rFonts w:eastAsia="Times New Roman" w:cs="Times New Roman"/>
                <w:sz w:val="20"/>
                <w:szCs w:val="20"/>
              </w:rPr>
            </w:pPr>
            <w:r w:rsidRPr="005C0B2B">
              <w:rPr>
                <w:sz w:val="20"/>
                <w:szCs w:val="20"/>
              </w:rPr>
              <w:t>0.03</w:t>
            </w:r>
          </w:p>
        </w:tc>
        <w:tc>
          <w:tcPr>
            <w:tcW w:w="1275" w:type="dxa"/>
          </w:tcPr>
          <w:p w14:paraId="3E729499" w14:textId="3533A109" w:rsidR="00A56025" w:rsidRPr="005C0B2B" w:rsidRDefault="00443E82">
            <w:pPr>
              <w:jc w:val="center"/>
              <w:textAlignment w:val="baseline"/>
              <w:rPr>
                <w:rFonts w:eastAsia="Times New Roman" w:cs="Times New Roman"/>
                <w:sz w:val="20"/>
                <w:szCs w:val="20"/>
              </w:rPr>
            </w:pPr>
            <w:r w:rsidRPr="005C0B2B">
              <w:rPr>
                <w:sz w:val="20"/>
                <w:szCs w:val="20"/>
              </w:rPr>
              <w:t>0.10</w:t>
            </w:r>
          </w:p>
        </w:tc>
        <w:tc>
          <w:tcPr>
            <w:tcW w:w="1350" w:type="dxa"/>
          </w:tcPr>
          <w:p w14:paraId="4CBB7910" w14:textId="18B5A027" w:rsidR="00A56025" w:rsidRPr="005C0B2B" w:rsidRDefault="00443E82">
            <w:pPr>
              <w:jc w:val="center"/>
              <w:textAlignment w:val="baseline"/>
              <w:rPr>
                <w:rFonts w:eastAsia="Times New Roman" w:cs="Times New Roman"/>
                <w:sz w:val="20"/>
                <w:szCs w:val="20"/>
              </w:rPr>
            </w:pPr>
            <w:r w:rsidRPr="005C0B2B">
              <w:rPr>
                <w:sz w:val="20"/>
                <w:szCs w:val="20"/>
              </w:rPr>
              <w:t>0.22</w:t>
            </w:r>
          </w:p>
        </w:tc>
      </w:tr>
      <w:tr w:rsidR="00A56025" w:rsidRPr="00AD177D" w14:paraId="49C2D7EF" w14:textId="77777777" w:rsidTr="00303A7D">
        <w:trPr>
          <w:trHeight w:val="315"/>
        </w:trPr>
        <w:tc>
          <w:tcPr>
            <w:tcW w:w="1135" w:type="dxa"/>
            <w:shd w:val="clear" w:color="auto" w:fill="auto"/>
            <w:vAlign w:val="center"/>
            <w:hideMark/>
          </w:tcPr>
          <w:p w14:paraId="23346976"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LA</w:t>
            </w:r>
          </w:p>
        </w:tc>
        <w:tc>
          <w:tcPr>
            <w:tcW w:w="1551" w:type="dxa"/>
          </w:tcPr>
          <w:p w14:paraId="2CBE9309" w14:textId="0ACDBAE5" w:rsidR="00A56025" w:rsidRPr="005C0B2B" w:rsidRDefault="00443E82">
            <w:pPr>
              <w:jc w:val="center"/>
              <w:textAlignment w:val="baseline"/>
              <w:rPr>
                <w:rFonts w:eastAsia="Times New Roman" w:cs="Times New Roman"/>
                <w:sz w:val="20"/>
                <w:szCs w:val="20"/>
              </w:rPr>
            </w:pPr>
            <w:r w:rsidRPr="005C0B2B">
              <w:rPr>
                <w:sz w:val="20"/>
                <w:szCs w:val="20"/>
              </w:rPr>
              <w:t>5.20</w:t>
            </w:r>
          </w:p>
        </w:tc>
        <w:tc>
          <w:tcPr>
            <w:tcW w:w="1590" w:type="dxa"/>
          </w:tcPr>
          <w:p w14:paraId="261B7878" w14:textId="1187A04C" w:rsidR="00A56025" w:rsidRPr="005C0B2B" w:rsidRDefault="00443E82">
            <w:pPr>
              <w:jc w:val="center"/>
              <w:textAlignment w:val="baseline"/>
              <w:rPr>
                <w:rFonts w:eastAsia="Times New Roman" w:cs="Times New Roman"/>
                <w:sz w:val="20"/>
                <w:szCs w:val="20"/>
              </w:rPr>
            </w:pPr>
            <w:r w:rsidRPr="005C0B2B">
              <w:rPr>
                <w:sz w:val="20"/>
                <w:szCs w:val="20"/>
              </w:rPr>
              <w:t>64.56</w:t>
            </w:r>
          </w:p>
        </w:tc>
        <w:tc>
          <w:tcPr>
            <w:tcW w:w="1116" w:type="dxa"/>
          </w:tcPr>
          <w:p w14:paraId="06E94FEA" w14:textId="1B1D4F2D" w:rsidR="00A56025" w:rsidRPr="005C0B2B" w:rsidRDefault="00443E82">
            <w:pPr>
              <w:jc w:val="center"/>
              <w:textAlignment w:val="baseline"/>
              <w:rPr>
                <w:rFonts w:eastAsia="Times New Roman" w:cs="Times New Roman"/>
                <w:sz w:val="20"/>
                <w:szCs w:val="20"/>
              </w:rPr>
            </w:pPr>
            <w:r w:rsidRPr="005C0B2B">
              <w:rPr>
                <w:sz w:val="20"/>
                <w:szCs w:val="20"/>
              </w:rPr>
              <w:t>31.84</w:t>
            </w:r>
          </w:p>
        </w:tc>
        <w:tc>
          <w:tcPr>
            <w:tcW w:w="1425" w:type="dxa"/>
          </w:tcPr>
          <w:p w14:paraId="3FAB7FF3" w14:textId="4E733F16" w:rsidR="00A56025" w:rsidRPr="005C0B2B" w:rsidRDefault="00443E82">
            <w:pPr>
              <w:jc w:val="center"/>
              <w:textAlignment w:val="baseline"/>
              <w:rPr>
                <w:rFonts w:eastAsia="Times New Roman" w:cs="Times New Roman"/>
                <w:sz w:val="20"/>
                <w:szCs w:val="20"/>
              </w:rPr>
            </w:pPr>
            <w:r w:rsidRPr="005C0B2B">
              <w:rPr>
                <w:sz w:val="20"/>
                <w:szCs w:val="20"/>
              </w:rPr>
              <w:t>14.98</w:t>
            </w:r>
          </w:p>
        </w:tc>
        <w:tc>
          <w:tcPr>
            <w:tcW w:w="1275" w:type="dxa"/>
          </w:tcPr>
          <w:p w14:paraId="3158731B" w14:textId="364806FF" w:rsidR="00A56025" w:rsidRPr="005C0B2B" w:rsidRDefault="00443E82">
            <w:pPr>
              <w:jc w:val="center"/>
              <w:textAlignment w:val="baseline"/>
              <w:rPr>
                <w:rFonts w:eastAsia="Times New Roman" w:cs="Times New Roman"/>
                <w:sz w:val="20"/>
                <w:szCs w:val="20"/>
              </w:rPr>
            </w:pPr>
            <w:r w:rsidRPr="005C0B2B">
              <w:rPr>
                <w:sz w:val="20"/>
                <w:szCs w:val="20"/>
              </w:rPr>
              <w:t>111.38</w:t>
            </w:r>
          </w:p>
        </w:tc>
        <w:tc>
          <w:tcPr>
            <w:tcW w:w="1350" w:type="dxa"/>
          </w:tcPr>
          <w:p w14:paraId="2944A6E1" w14:textId="04413843" w:rsidR="00A56025" w:rsidRPr="005C0B2B" w:rsidRDefault="00443E82">
            <w:pPr>
              <w:jc w:val="center"/>
              <w:textAlignment w:val="baseline"/>
              <w:rPr>
                <w:rFonts w:eastAsia="Times New Roman" w:cs="Times New Roman"/>
                <w:sz w:val="20"/>
                <w:szCs w:val="20"/>
              </w:rPr>
            </w:pPr>
            <w:r w:rsidRPr="005C0B2B">
              <w:rPr>
                <w:sz w:val="20"/>
                <w:szCs w:val="20"/>
              </w:rPr>
              <w:t>151.44</w:t>
            </w:r>
          </w:p>
        </w:tc>
      </w:tr>
      <w:tr w:rsidR="00A56025" w:rsidRPr="00AD177D" w14:paraId="32FB0154" w14:textId="77777777" w:rsidTr="00303A7D">
        <w:trPr>
          <w:trHeight w:val="315"/>
        </w:trPr>
        <w:tc>
          <w:tcPr>
            <w:tcW w:w="1135" w:type="dxa"/>
            <w:shd w:val="clear" w:color="auto" w:fill="auto"/>
            <w:vAlign w:val="center"/>
            <w:hideMark/>
          </w:tcPr>
          <w:p w14:paraId="52E2CFA1"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MD</w:t>
            </w:r>
          </w:p>
        </w:tc>
        <w:tc>
          <w:tcPr>
            <w:tcW w:w="1551" w:type="dxa"/>
          </w:tcPr>
          <w:p w14:paraId="62442B3A" w14:textId="55180ABA"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6C3B44CE" w14:textId="166057BE"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116" w:type="dxa"/>
          </w:tcPr>
          <w:p w14:paraId="38CB92E4" w14:textId="0912C328"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74CEF8A3" w14:textId="2FD592AD"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275" w:type="dxa"/>
          </w:tcPr>
          <w:p w14:paraId="43256DD1" w14:textId="2F68B2B7"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350" w:type="dxa"/>
          </w:tcPr>
          <w:p w14:paraId="0DF2B449" w14:textId="5E9CF557" w:rsidR="00A56025" w:rsidRPr="005C0B2B" w:rsidRDefault="00443E82">
            <w:pPr>
              <w:jc w:val="center"/>
              <w:textAlignment w:val="baseline"/>
              <w:rPr>
                <w:rFonts w:eastAsia="Times New Roman" w:cs="Times New Roman"/>
                <w:sz w:val="20"/>
                <w:szCs w:val="20"/>
              </w:rPr>
            </w:pPr>
            <w:r w:rsidRPr="005C0B2B">
              <w:rPr>
                <w:sz w:val="20"/>
                <w:szCs w:val="20"/>
              </w:rPr>
              <w:t>0.00</w:t>
            </w:r>
          </w:p>
        </w:tc>
      </w:tr>
      <w:tr w:rsidR="00A56025" w:rsidRPr="00AD177D" w14:paraId="7D050FC9" w14:textId="77777777" w:rsidTr="00303A7D">
        <w:trPr>
          <w:trHeight w:val="315"/>
        </w:trPr>
        <w:tc>
          <w:tcPr>
            <w:tcW w:w="1135" w:type="dxa"/>
            <w:shd w:val="clear" w:color="auto" w:fill="auto"/>
            <w:vAlign w:val="center"/>
            <w:hideMark/>
          </w:tcPr>
          <w:p w14:paraId="626EBED1"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MI</w:t>
            </w:r>
          </w:p>
        </w:tc>
        <w:tc>
          <w:tcPr>
            <w:tcW w:w="1551" w:type="dxa"/>
          </w:tcPr>
          <w:p w14:paraId="4D9B46D2" w14:textId="467CE2CC" w:rsidR="00A56025" w:rsidRPr="005C0B2B" w:rsidRDefault="00443E82">
            <w:pPr>
              <w:jc w:val="center"/>
              <w:textAlignment w:val="baseline"/>
              <w:rPr>
                <w:rFonts w:eastAsia="Times New Roman" w:cs="Times New Roman"/>
                <w:sz w:val="20"/>
                <w:szCs w:val="20"/>
              </w:rPr>
            </w:pPr>
            <w:r w:rsidRPr="005C0B2B">
              <w:rPr>
                <w:sz w:val="20"/>
                <w:szCs w:val="20"/>
              </w:rPr>
              <w:t>0.06</w:t>
            </w:r>
          </w:p>
        </w:tc>
        <w:tc>
          <w:tcPr>
            <w:tcW w:w="1590" w:type="dxa"/>
          </w:tcPr>
          <w:p w14:paraId="58F8B988" w14:textId="40157DEE" w:rsidR="00A56025" w:rsidRPr="005C0B2B" w:rsidRDefault="00443E82">
            <w:pPr>
              <w:jc w:val="center"/>
              <w:textAlignment w:val="baseline"/>
              <w:rPr>
                <w:rFonts w:eastAsia="Times New Roman" w:cs="Times New Roman"/>
                <w:sz w:val="20"/>
                <w:szCs w:val="20"/>
              </w:rPr>
            </w:pPr>
            <w:r w:rsidRPr="005C0B2B">
              <w:rPr>
                <w:sz w:val="20"/>
                <w:szCs w:val="20"/>
              </w:rPr>
              <w:t>1.17</w:t>
            </w:r>
          </w:p>
        </w:tc>
        <w:tc>
          <w:tcPr>
            <w:tcW w:w="1116" w:type="dxa"/>
          </w:tcPr>
          <w:p w14:paraId="58F28F0A" w14:textId="138CFACA"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6C665D67" w14:textId="227DDD5E" w:rsidR="00A56025" w:rsidRPr="005C0B2B" w:rsidRDefault="00443E82">
            <w:pPr>
              <w:jc w:val="center"/>
              <w:textAlignment w:val="baseline"/>
              <w:rPr>
                <w:rFonts w:eastAsia="Times New Roman" w:cs="Times New Roman"/>
                <w:sz w:val="20"/>
                <w:szCs w:val="20"/>
              </w:rPr>
            </w:pPr>
            <w:r w:rsidRPr="005C0B2B">
              <w:rPr>
                <w:sz w:val="20"/>
                <w:szCs w:val="20"/>
              </w:rPr>
              <w:t>0.29</w:t>
            </w:r>
          </w:p>
        </w:tc>
        <w:tc>
          <w:tcPr>
            <w:tcW w:w="1275" w:type="dxa"/>
          </w:tcPr>
          <w:p w14:paraId="2E1A3267" w14:textId="51A22BA6" w:rsidR="00A56025" w:rsidRPr="005C0B2B" w:rsidRDefault="00443E82">
            <w:pPr>
              <w:jc w:val="center"/>
              <w:textAlignment w:val="baseline"/>
              <w:rPr>
                <w:rFonts w:eastAsia="Times New Roman" w:cs="Times New Roman"/>
                <w:sz w:val="20"/>
                <w:szCs w:val="20"/>
              </w:rPr>
            </w:pPr>
            <w:r w:rsidRPr="005C0B2B">
              <w:rPr>
                <w:sz w:val="20"/>
                <w:szCs w:val="20"/>
              </w:rPr>
              <w:t>1.46</w:t>
            </w:r>
          </w:p>
        </w:tc>
        <w:tc>
          <w:tcPr>
            <w:tcW w:w="1350" w:type="dxa"/>
          </w:tcPr>
          <w:p w14:paraId="3E0C682B" w14:textId="55716A9A" w:rsidR="00A56025" w:rsidRPr="005C0B2B" w:rsidRDefault="00443E82">
            <w:pPr>
              <w:jc w:val="center"/>
              <w:textAlignment w:val="baseline"/>
              <w:rPr>
                <w:rFonts w:eastAsia="Times New Roman" w:cs="Times New Roman"/>
                <w:sz w:val="20"/>
                <w:szCs w:val="20"/>
              </w:rPr>
            </w:pPr>
            <w:r w:rsidRPr="005C0B2B">
              <w:rPr>
                <w:sz w:val="20"/>
                <w:szCs w:val="20"/>
              </w:rPr>
              <w:t>1.74</w:t>
            </w:r>
          </w:p>
        </w:tc>
      </w:tr>
      <w:tr w:rsidR="00A56025" w:rsidRPr="00AD177D" w14:paraId="35FA55B2" w14:textId="77777777" w:rsidTr="00303A7D">
        <w:trPr>
          <w:trHeight w:val="315"/>
        </w:trPr>
        <w:tc>
          <w:tcPr>
            <w:tcW w:w="1135" w:type="dxa"/>
            <w:shd w:val="clear" w:color="auto" w:fill="auto"/>
            <w:vAlign w:val="center"/>
            <w:hideMark/>
          </w:tcPr>
          <w:p w14:paraId="463B8DE0"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MS</w:t>
            </w:r>
          </w:p>
        </w:tc>
        <w:tc>
          <w:tcPr>
            <w:tcW w:w="1551" w:type="dxa"/>
          </w:tcPr>
          <w:p w14:paraId="75BEADF4" w14:textId="7B1373FA" w:rsidR="00A56025" w:rsidRPr="005C0B2B" w:rsidRDefault="00443E82">
            <w:pPr>
              <w:jc w:val="center"/>
              <w:textAlignment w:val="baseline"/>
              <w:rPr>
                <w:rFonts w:eastAsia="Times New Roman" w:cs="Times New Roman"/>
                <w:sz w:val="20"/>
                <w:szCs w:val="20"/>
              </w:rPr>
            </w:pPr>
            <w:r w:rsidRPr="005C0B2B">
              <w:rPr>
                <w:sz w:val="20"/>
                <w:szCs w:val="20"/>
              </w:rPr>
              <w:t>0.11</w:t>
            </w:r>
          </w:p>
        </w:tc>
        <w:tc>
          <w:tcPr>
            <w:tcW w:w="1590" w:type="dxa"/>
          </w:tcPr>
          <w:p w14:paraId="2F2452D7" w14:textId="34553C73" w:rsidR="00A56025" w:rsidRPr="005C0B2B" w:rsidRDefault="00443E82">
            <w:pPr>
              <w:jc w:val="center"/>
              <w:textAlignment w:val="baseline"/>
              <w:rPr>
                <w:rFonts w:eastAsia="Times New Roman" w:cs="Times New Roman"/>
                <w:sz w:val="20"/>
                <w:szCs w:val="20"/>
              </w:rPr>
            </w:pPr>
            <w:r w:rsidRPr="005C0B2B">
              <w:rPr>
                <w:sz w:val="20"/>
                <w:szCs w:val="20"/>
              </w:rPr>
              <w:t>1.50</w:t>
            </w:r>
          </w:p>
        </w:tc>
        <w:tc>
          <w:tcPr>
            <w:tcW w:w="1116" w:type="dxa"/>
          </w:tcPr>
          <w:p w14:paraId="1F8ADCD9" w14:textId="44FCE0B8" w:rsidR="00A56025" w:rsidRPr="005C0B2B" w:rsidRDefault="00443E82">
            <w:pPr>
              <w:jc w:val="center"/>
              <w:textAlignment w:val="baseline"/>
              <w:rPr>
                <w:rFonts w:eastAsia="Times New Roman" w:cs="Times New Roman"/>
                <w:sz w:val="20"/>
                <w:szCs w:val="20"/>
              </w:rPr>
            </w:pPr>
            <w:r w:rsidRPr="005C0B2B">
              <w:rPr>
                <w:sz w:val="20"/>
                <w:szCs w:val="20"/>
              </w:rPr>
              <w:t>0.38</w:t>
            </w:r>
          </w:p>
        </w:tc>
        <w:tc>
          <w:tcPr>
            <w:tcW w:w="1425" w:type="dxa"/>
          </w:tcPr>
          <w:p w14:paraId="2D472309" w14:textId="3445BDA0" w:rsidR="00A56025" w:rsidRPr="005C0B2B" w:rsidRDefault="00443E82">
            <w:pPr>
              <w:jc w:val="center"/>
              <w:textAlignment w:val="baseline"/>
              <w:rPr>
                <w:rFonts w:eastAsia="Times New Roman" w:cs="Times New Roman"/>
                <w:sz w:val="20"/>
                <w:szCs w:val="20"/>
              </w:rPr>
            </w:pPr>
            <w:r w:rsidRPr="005C0B2B">
              <w:rPr>
                <w:sz w:val="20"/>
                <w:szCs w:val="20"/>
              </w:rPr>
              <w:t>0.38</w:t>
            </w:r>
          </w:p>
        </w:tc>
        <w:tc>
          <w:tcPr>
            <w:tcW w:w="1275" w:type="dxa"/>
          </w:tcPr>
          <w:p w14:paraId="1D17DE92" w14:textId="7288613D" w:rsidR="00A56025" w:rsidRPr="005C0B2B" w:rsidRDefault="00443E82">
            <w:pPr>
              <w:jc w:val="center"/>
              <w:textAlignment w:val="baseline"/>
              <w:rPr>
                <w:rFonts w:eastAsia="Times New Roman" w:cs="Times New Roman"/>
                <w:sz w:val="20"/>
                <w:szCs w:val="20"/>
              </w:rPr>
            </w:pPr>
            <w:r w:rsidRPr="005C0B2B">
              <w:rPr>
                <w:sz w:val="20"/>
                <w:szCs w:val="20"/>
              </w:rPr>
              <w:t>2.25</w:t>
            </w:r>
          </w:p>
        </w:tc>
        <w:tc>
          <w:tcPr>
            <w:tcW w:w="1350" w:type="dxa"/>
          </w:tcPr>
          <w:p w14:paraId="37C259C3" w14:textId="75075140" w:rsidR="00A56025" w:rsidRPr="005C0B2B" w:rsidRDefault="00443E82">
            <w:pPr>
              <w:jc w:val="center"/>
              <w:textAlignment w:val="baseline"/>
              <w:rPr>
                <w:rFonts w:eastAsia="Times New Roman" w:cs="Times New Roman"/>
                <w:sz w:val="20"/>
                <w:szCs w:val="20"/>
              </w:rPr>
            </w:pPr>
            <w:r w:rsidRPr="005C0B2B">
              <w:rPr>
                <w:sz w:val="20"/>
                <w:szCs w:val="20"/>
              </w:rPr>
              <w:t>3.06</w:t>
            </w:r>
          </w:p>
        </w:tc>
      </w:tr>
      <w:tr w:rsidR="00A56025" w:rsidRPr="00AD177D" w14:paraId="6E6764E0" w14:textId="77777777" w:rsidTr="00303A7D">
        <w:trPr>
          <w:trHeight w:val="315"/>
        </w:trPr>
        <w:tc>
          <w:tcPr>
            <w:tcW w:w="1135" w:type="dxa"/>
            <w:shd w:val="clear" w:color="auto" w:fill="auto"/>
            <w:vAlign w:val="center"/>
            <w:hideMark/>
          </w:tcPr>
          <w:p w14:paraId="5FB66EEB"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MT</w:t>
            </w:r>
          </w:p>
        </w:tc>
        <w:tc>
          <w:tcPr>
            <w:tcW w:w="1551" w:type="dxa"/>
          </w:tcPr>
          <w:p w14:paraId="74CA24BB" w14:textId="34C4FA43" w:rsidR="00A56025" w:rsidRPr="005C0B2B" w:rsidRDefault="00443E82">
            <w:pPr>
              <w:jc w:val="center"/>
              <w:textAlignment w:val="baseline"/>
              <w:rPr>
                <w:rFonts w:eastAsia="Times New Roman" w:cs="Times New Roman"/>
                <w:sz w:val="20"/>
                <w:szCs w:val="20"/>
              </w:rPr>
            </w:pPr>
            <w:r w:rsidRPr="005C0B2B">
              <w:rPr>
                <w:sz w:val="20"/>
                <w:szCs w:val="20"/>
              </w:rPr>
              <w:t>2.02</w:t>
            </w:r>
          </w:p>
        </w:tc>
        <w:tc>
          <w:tcPr>
            <w:tcW w:w="1590" w:type="dxa"/>
          </w:tcPr>
          <w:p w14:paraId="09F00157" w14:textId="03C1B97B" w:rsidR="00A56025" w:rsidRPr="005C0B2B" w:rsidRDefault="00443E82">
            <w:pPr>
              <w:jc w:val="center"/>
              <w:textAlignment w:val="baseline"/>
              <w:rPr>
                <w:rFonts w:eastAsia="Times New Roman" w:cs="Times New Roman"/>
                <w:sz w:val="20"/>
                <w:szCs w:val="20"/>
              </w:rPr>
            </w:pPr>
            <w:r w:rsidRPr="005C0B2B">
              <w:rPr>
                <w:sz w:val="20"/>
                <w:szCs w:val="20"/>
              </w:rPr>
              <w:t>20.63</w:t>
            </w:r>
          </w:p>
        </w:tc>
        <w:tc>
          <w:tcPr>
            <w:tcW w:w="1116" w:type="dxa"/>
          </w:tcPr>
          <w:p w14:paraId="57700D31" w14:textId="39F54EB1" w:rsidR="00A56025" w:rsidRPr="005C0B2B" w:rsidRDefault="00443E82">
            <w:pPr>
              <w:jc w:val="center"/>
              <w:textAlignment w:val="baseline"/>
              <w:rPr>
                <w:rFonts w:eastAsia="Times New Roman" w:cs="Times New Roman"/>
                <w:sz w:val="20"/>
                <w:szCs w:val="20"/>
              </w:rPr>
            </w:pPr>
            <w:r w:rsidRPr="005C0B2B">
              <w:rPr>
                <w:sz w:val="20"/>
                <w:szCs w:val="20"/>
              </w:rPr>
              <w:t>1.53</w:t>
            </w:r>
          </w:p>
        </w:tc>
        <w:tc>
          <w:tcPr>
            <w:tcW w:w="1425" w:type="dxa"/>
          </w:tcPr>
          <w:p w14:paraId="00B6FF8D" w14:textId="12D8C02F" w:rsidR="00A56025" w:rsidRPr="005C0B2B" w:rsidRDefault="00443E82">
            <w:pPr>
              <w:jc w:val="center"/>
              <w:textAlignment w:val="baseline"/>
              <w:rPr>
                <w:rFonts w:eastAsia="Times New Roman" w:cs="Times New Roman"/>
                <w:sz w:val="20"/>
                <w:szCs w:val="20"/>
              </w:rPr>
            </w:pPr>
            <w:r w:rsidRPr="005C0B2B">
              <w:rPr>
                <w:sz w:val="20"/>
                <w:szCs w:val="20"/>
              </w:rPr>
              <w:t>5.41</w:t>
            </w:r>
          </w:p>
        </w:tc>
        <w:tc>
          <w:tcPr>
            <w:tcW w:w="1275" w:type="dxa"/>
          </w:tcPr>
          <w:p w14:paraId="0776632C" w14:textId="2051836C" w:rsidR="00A56025" w:rsidRPr="005C0B2B" w:rsidRDefault="00443E82">
            <w:pPr>
              <w:jc w:val="center"/>
              <w:textAlignment w:val="baseline"/>
              <w:rPr>
                <w:rFonts w:eastAsia="Times New Roman" w:cs="Times New Roman"/>
                <w:sz w:val="20"/>
                <w:szCs w:val="20"/>
              </w:rPr>
            </w:pPr>
            <w:r w:rsidRPr="005C0B2B">
              <w:rPr>
                <w:sz w:val="20"/>
                <w:szCs w:val="20"/>
              </w:rPr>
              <w:t>27.57</w:t>
            </w:r>
          </w:p>
        </w:tc>
        <w:tc>
          <w:tcPr>
            <w:tcW w:w="1350" w:type="dxa"/>
          </w:tcPr>
          <w:p w14:paraId="63C74322" w14:textId="722B907C" w:rsidR="00A56025" w:rsidRPr="005C0B2B" w:rsidRDefault="00443E82">
            <w:pPr>
              <w:jc w:val="center"/>
              <w:textAlignment w:val="baseline"/>
              <w:rPr>
                <w:rFonts w:eastAsia="Times New Roman" w:cs="Times New Roman"/>
                <w:sz w:val="20"/>
                <w:szCs w:val="20"/>
              </w:rPr>
            </w:pPr>
            <w:r w:rsidRPr="005C0B2B">
              <w:rPr>
                <w:sz w:val="20"/>
                <w:szCs w:val="20"/>
              </w:rPr>
              <w:t>56.36</w:t>
            </w:r>
          </w:p>
        </w:tc>
      </w:tr>
      <w:tr w:rsidR="00A56025" w:rsidRPr="00AD177D" w14:paraId="6CB00B7C" w14:textId="77777777" w:rsidTr="00303A7D">
        <w:trPr>
          <w:trHeight w:val="315"/>
        </w:trPr>
        <w:tc>
          <w:tcPr>
            <w:tcW w:w="1135" w:type="dxa"/>
            <w:shd w:val="clear" w:color="auto" w:fill="auto"/>
            <w:vAlign w:val="center"/>
            <w:hideMark/>
          </w:tcPr>
          <w:p w14:paraId="0F95CEBA"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NE</w:t>
            </w:r>
          </w:p>
        </w:tc>
        <w:tc>
          <w:tcPr>
            <w:tcW w:w="1551" w:type="dxa"/>
          </w:tcPr>
          <w:p w14:paraId="01287809" w14:textId="0C52E57A" w:rsidR="00A56025" w:rsidRPr="005C0B2B" w:rsidRDefault="00443E82">
            <w:pPr>
              <w:jc w:val="center"/>
              <w:textAlignment w:val="baseline"/>
              <w:rPr>
                <w:rFonts w:eastAsia="Times New Roman" w:cs="Times New Roman"/>
                <w:sz w:val="20"/>
                <w:szCs w:val="20"/>
              </w:rPr>
            </w:pPr>
            <w:r w:rsidRPr="005C0B2B">
              <w:rPr>
                <w:sz w:val="20"/>
                <w:szCs w:val="20"/>
              </w:rPr>
              <w:t>0.01</w:t>
            </w:r>
          </w:p>
        </w:tc>
        <w:tc>
          <w:tcPr>
            <w:tcW w:w="1590" w:type="dxa"/>
          </w:tcPr>
          <w:p w14:paraId="0891A92B" w14:textId="633A39AF" w:rsidR="00A56025" w:rsidRPr="005C0B2B" w:rsidRDefault="00443E82">
            <w:pPr>
              <w:jc w:val="center"/>
              <w:textAlignment w:val="baseline"/>
              <w:rPr>
                <w:rFonts w:eastAsia="Times New Roman" w:cs="Times New Roman"/>
                <w:sz w:val="20"/>
                <w:szCs w:val="20"/>
              </w:rPr>
            </w:pPr>
            <w:r w:rsidRPr="005C0B2B">
              <w:rPr>
                <w:sz w:val="20"/>
                <w:szCs w:val="20"/>
              </w:rPr>
              <w:t>0.21</w:t>
            </w:r>
          </w:p>
        </w:tc>
        <w:tc>
          <w:tcPr>
            <w:tcW w:w="1116" w:type="dxa"/>
          </w:tcPr>
          <w:p w14:paraId="57139D6E" w14:textId="4BC3C989"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268B5CE4" w14:textId="31177A3E" w:rsidR="00A56025" w:rsidRPr="005C0B2B" w:rsidRDefault="00443E82">
            <w:pPr>
              <w:jc w:val="center"/>
              <w:textAlignment w:val="baseline"/>
              <w:rPr>
                <w:rFonts w:eastAsia="Times New Roman" w:cs="Times New Roman"/>
                <w:sz w:val="20"/>
                <w:szCs w:val="20"/>
              </w:rPr>
            </w:pPr>
            <w:r w:rsidRPr="005C0B2B">
              <w:rPr>
                <w:sz w:val="20"/>
                <w:szCs w:val="20"/>
              </w:rPr>
              <w:t>0.03</w:t>
            </w:r>
          </w:p>
        </w:tc>
        <w:tc>
          <w:tcPr>
            <w:tcW w:w="1275" w:type="dxa"/>
          </w:tcPr>
          <w:p w14:paraId="4B776368" w14:textId="6CB95E75" w:rsidR="00A56025" w:rsidRPr="005C0B2B" w:rsidRDefault="00443E82">
            <w:pPr>
              <w:jc w:val="center"/>
              <w:textAlignment w:val="baseline"/>
              <w:rPr>
                <w:rFonts w:eastAsia="Times New Roman" w:cs="Times New Roman"/>
                <w:sz w:val="20"/>
                <w:szCs w:val="20"/>
              </w:rPr>
            </w:pPr>
            <w:r w:rsidRPr="005C0B2B">
              <w:rPr>
                <w:sz w:val="20"/>
                <w:szCs w:val="20"/>
              </w:rPr>
              <w:t>0.24</w:t>
            </w:r>
          </w:p>
        </w:tc>
        <w:tc>
          <w:tcPr>
            <w:tcW w:w="1350" w:type="dxa"/>
          </w:tcPr>
          <w:p w14:paraId="3E2D58AF" w14:textId="1E69A8B7" w:rsidR="00A56025" w:rsidRPr="005C0B2B" w:rsidRDefault="00443E82">
            <w:pPr>
              <w:jc w:val="center"/>
              <w:textAlignment w:val="baseline"/>
              <w:rPr>
                <w:rFonts w:eastAsia="Times New Roman" w:cs="Times New Roman"/>
                <w:sz w:val="20"/>
                <w:szCs w:val="20"/>
              </w:rPr>
            </w:pPr>
            <w:r w:rsidRPr="005C0B2B">
              <w:rPr>
                <w:sz w:val="20"/>
                <w:szCs w:val="20"/>
              </w:rPr>
              <w:t>0.39</w:t>
            </w:r>
          </w:p>
        </w:tc>
      </w:tr>
      <w:tr w:rsidR="00A56025" w:rsidRPr="00AD177D" w14:paraId="33AF080B" w14:textId="77777777" w:rsidTr="00303A7D">
        <w:trPr>
          <w:trHeight w:val="315"/>
        </w:trPr>
        <w:tc>
          <w:tcPr>
            <w:tcW w:w="1135" w:type="dxa"/>
            <w:shd w:val="clear" w:color="auto" w:fill="auto"/>
            <w:vAlign w:val="center"/>
            <w:hideMark/>
          </w:tcPr>
          <w:p w14:paraId="38B5930D"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NV</w:t>
            </w:r>
          </w:p>
        </w:tc>
        <w:tc>
          <w:tcPr>
            <w:tcW w:w="1551" w:type="dxa"/>
          </w:tcPr>
          <w:p w14:paraId="28D72F11" w14:textId="567A31D8" w:rsidR="00A56025" w:rsidRPr="005C0B2B" w:rsidRDefault="00443E82">
            <w:pPr>
              <w:jc w:val="center"/>
              <w:textAlignment w:val="baseline"/>
              <w:rPr>
                <w:rFonts w:eastAsia="Times New Roman" w:cs="Times New Roman"/>
                <w:sz w:val="20"/>
                <w:szCs w:val="20"/>
              </w:rPr>
            </w:pPr>
            <w:r w:rsidRPr="005C0B2B">
              <w:rPr>
                <w:sz w:val="20"/>
                <w:szCs w:val="20"/>
              </w:rPr>
              <w:t>0.13</w:t>
            </w:r>
          </w:p>
        </w:tc>
        <w:tc>
          <w:tcPr>
            <w:tcW w:w="1590" w:type="dxa"/>
          </w:tcPr>
          <w:p w14:paraId="623574BE" w14:textId="28D7229B" w:rsidR="00A56025" w:rsidRPr="005C0B2B" w:rsidRDefault="00443E82">
            <w:pPr>
              <w:jc w:val="center"/>
              <w:textAlignment w:val="baseline"/>
              <w:rPr>
                <w:rFonts w:eastAsia="Times New Roman" w:cs="Times New Roman"/>
                <w:sz w:val="20"/>
                <w:szCs w:val="20"/>
              </w:rPr>
            </w:pPr>
            <w:r w:rsidRPr="005C0B2B">
              <w:rPr>
                <w:sz w:val="20"/>
                <w:szCs w:val="20"/>
              </w:rPr>
              <w:t>0.99</w:t>
            </w:r>
          </w:p>
        </w:tc>
        <w:tc>
          <w:tcPr>
            <w:tcW w:w="1116" w:type="dxa"/>
          </w:tcPr>
          <w:p w14:paraId="37CC877F" w14:textId="605766CE" w:rsidR="00A56025" w:rsidRPr="005C0B2B" w:rsidRDefault="00443E82">
            <w:pPr>
              <w:jc w:val="center"/>
              <w:textAlignment w:val="baseline"/>
              <w:rPr>
                <w:rFonts w:eastAsia="Times New Roman" w:cs="Times New Roman"/>
                <w:sz w:val="20"/>
                <w:szCs w:val="20"/>
              </w:rPr>
            </w:pPr>
            <w:r w:rsidRPr="005C0B2B">
              <w:rPr>
                <w:sz w:val="20"/>
                <w:szCs w:val="20"/>
              </w:rPr>
              <w:t>0.03</w:t>
            </w:r>
          </w:p>
        </w:tc>
        <w:tc>
          <w:tcPr>
            <w:tcW w:w="1425" w:type="dxa"/>
          </w:tcPr>
          <w:p w14:paraId="3C76F13F" w14:textId="140FC627" w:rsidR="00A56025" w:rsidRPr="005C0B2B" w:rsidRDefault="00443E82">
            <w:pPr>
              <w:jc w:val="center"/>
              <w:textAlignment w:val="baseline"/>
              <w:rPr>
                <w:rFonts w:eastAsia="Times New Roman" w:cs="Times New Roman"/>
                <w:sz w:val="20"/>
                <w:szCs w:val="20"/>
              </w:rPr>
            </w:pPr>
            <w:r w:rsidRPr="005C0B2B">
              <w:rPr>
                <w:sz w:val="20"/>
                <w:szCs w:val="20"/>
              </w:rPr>
              <w:t>0.10</w:t>
            </w:r>
          </w:p>
        </w:tc>
        <w:tc>
          <w:tcPr>
            <w:tcW w:w="1275" w:type="dxa"/>
          </w:tcPr>
          <w:p w14:paraId="3A11DD1F" w14:textId="3C318D6D" w:rsidR="00A56025" w:rsidRPr="005C0B2B" w:rsidRDefault="00443E82">
            <w:pPr>
              <w:jc w:val="center"/>
              <w:textAlignment w:val="baseline"/>
              <w:rPr>
                <w:rFonts w:eastAsia="Times New Roman" w:cs="Times New Roman"/>
                <w:sz w:val="20"/>
                <w:szCs w:val="20"/>
              </w:rPr>
            </w:pPr>
            <w:r w:rsidRPr="005C0B2B">
              <w:rPr>
                <w:sz w:val="20"/>
                <w:szCs w:val="20"/>
              </w:rPr>
              <w:t>1.12</w:t>
            </w:r>
          </w:p>
        </w:tc>
        <w:tc>
          <w:tcPr>
            <w:tcW w:w="1350" w:type="dxa"/>
          </w:tcPr>
          <w:p w14:paraId="5A5CC2EE" w14:textId="540B5E78" w:rsidR="00A56025" w:rsidRPr="005C0B2B" w:rsidRDefault="00443E82">
            <w:pPr>
              <w:jc w:val="center"/>
              <w:textAlignment w:val="baseline"/>
              <w:rPr>
                <w:rFonts w:eastAsia="Times New Roman" w:cs="Times New Roman"/>
                <w:sz w:val="20"/>
                <w:szCs w:val="20"/>
              </w:rPr>
            </w:pPr>
            <w:r w:rsidRPr="005C0B2B">
              <w:rPr>
                <w:sz w:val="20"/>
                <w:szCs w:val="20"/>
              </w:rPr>
              <w:t>3.53</w:t>
            </w:r>
          </w:p>
        </w:tc>
      </w:tr>
      <w:tr w:rsidR="00A56025" w:rsidRPr="00AD177D" w14:paraId="33E7ACC6" w14:textId="77777777" w:rsidTr="00303A7D">
        <w:trPr>
          <w:trHeight w:val="315"/>
        </w:trPr>
        <w:tc>
          <w:tcPr>
            <w:tcW w:w="1135" w:type="dxa"/>
            <w:shd w:val="clear" w:color="auto" w:fill="auto"/>
            <w:vAlign w:val="center"/>
            <w:hideMark/>
          </w:tcPr>
          <w:p w14:paraId="5CD450D5"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NM</w:t>
            </w:r>
          </w:p>
        </w:tc>
        <w:tc>
          <w:tcPr>
            <w:tcW w:w="1551" w:type="dxa"/>
          </w:tcPr>
          <w:p w14:paraId="582DD61E" w14:textId="5334138F" w:rsidR="00A56025" w:rsidRPr="005C0B2B" w:rsidRDefault="00443E82">
            <w:pPr>
              <w:jc w:val="center"/>
              <w:textAlignment w:val="baseline"/>
              <w:rPr>
                <w:rFonts w:eastAsia="Times New Roman" w:cs="Times New Roman"/>
                <w:sz w:val="20"/>
                <w:szCs w:val="20"/>
              </w:rPr>
            </w:pPr>
            <w:r w:rsidRPr="005C0B2B">
              <w:rPr>
                <w:sz w:val="20"/>
                <w:szCs w:val="20"/>
              </w:rPr>
              <w:t>399.96</w:t>
            </w:r>
          </w:p>
        </w:tc>
        <w:tc>
          <w:tcPr>
            <w:tcW w:w="1590" w:type="dxa"/>
          </w:tcPr>
          <w:p w14:paraId="717C1576" w14:textId="0FDF395B" w:rsidR="00A56025" w:rsidRPr="005C0B2B" w:rsidRDefault="00443E82">
            <w:pPr>
              <w:jc w:val="center"/>
              <w:textAlignment w:val="baseline"/>
              <w:rPr>
                <w:rFonts w:eastAsia="Times New Roman" w:cs="Times New Roman"/>
                <w:sz w:val="20"/>
                <w:szCs w:val="20"/>
              </w:rPr>
            </w:pPr>
            <w:r w:rsidRPr="005C0B2B">
              <w:rPr>
                <w:sz w:val="20"/>
                <w:szCs w:val="20"/>
              </w:rPr>
              <w:t>2,844.84</w:t>
            </w:r>
          </w:p>
        </w:tc>
        <w:tc>
          <w:tcPr>
            <w:tcW w:w="1116" w:type="dxa"/>
          </w:tcPr>
          <w:p w14:paraId="40504488" w14:textId="01A81AD3" w:rsidR="00A56025" w:rsidRPr="005C0B2B" w:rsidRDefault="00443E82">
            <w:pPr>
              <w:jc w:val="center"/>
              <w:textAlignment w:val="baseline"/>
              <w:rPr>
                <w:rFonts w:eastAsia="Times New Roman" w:cs="Times New Roman"/>
                <w:sz w:val="20"/>
                <w:szCs w:val="20"/>
              </w:rPr>
            </w:pPr>
            <w:r w:rsidRPr="005C0B2B">
              <w:rPr>
                <w:sz w:val="20"/>
                <w:szCs w:val="20"/>
              </w:rPr>
              <w:t>729.98</w:t>
            </w:r>
          </w:p>
        </w:tc>
        <w:tc>
          <w:tcPr>
            <w:tcW w:w="1425" w:type="dxa"/>
          </w:tcPr>
          <w:p w14:paraId="6261E833" w14:textId="2919BE10" w:rsidR="00A56025" w:rsidRPr="005C0B2B" w:rsidRDefault="00443E82">
            <w:pPr>
              <w:jc w:val="center"/>
              <w:textAlignment w:val="baseline"/>
              <w:rPr>
                <w:rFonts w:eastAsia="Times New Roman" w:cs="Times New Roman"/>
                <w:sz w:val="20"/>
                <w:szCs w:val="20"/>
              </w:rPr>
            </w:pPr>
            <w:r w:rsidRPr="005C0B2B">
              <w:rPr>
                <w:sz w:val="20"/>
                <w:szCs w:val="20"/>
              </w:rPr>
              <w:t>113.24</w:t>
            </w:r>
          </w:p>
        </w:tc>
        <w:tc>
          <w:tcPr>
            <w:tcW w:w="1275" w:type="dxa"/>
          </w:tcPr>
          <w:p w14:paraId="6115E1B7" w14:textId="5B9D2223" w:rsidR="00A56025" w:rsidRPr="005C0B2B" w:rsidRDefault="00443E82">
            <w:pPr>
              <w:jc w:val="center"/>
              <w:textAlignment w:val="baseline"/>
              <w:rPr>
                <w:rFonts w:eastAsia="Times New Roman" w:cs="Times New Roman"/>
                <w:sz w:val="20"/>
                <w:szCs w:val="20"/>
              </w:rPr>
            </w:pPr>
            <w:r w:rsidRPr="005C0B2B">
              <w:rPr>
                <w:sz w:val="20"/>
                <w:szCs w:val="20"/>
              </w:rPr>
              <w:t>3,688.06</w:t>
            </w:r>
          </w:p>
        </w:tc>
        <w:tc>
          <w:tcPr>
            <w:tcW w:w="1350" w:type="dxa"/>
          </w:tcPr>
          <w:p w14:paraId="1F81069E" w14:textId="36337225" w:rsidR="00A56025" w:rsidRPr="005C0B2B" w:rsidRDefault="00443E82">
            <w:pPr>
              <w:jc w:val="center"/>
              <w:textAlignment w:val="baseline"/>
              <w:rPr>
                <w:rFonts w:eastAsia="Times New Roman" w:cs="Times New Roman"/>
                <w:sz w:val="20"/>
                <w:szCs w:val="20"/>
              </w:rPr>
            </w:pPr>
            <w:r w:rsidRPr="005C0B2B">
              <w:rPr>
                <w:sz w:val="20"/>
                <w:szCs w:val="20"/>
              </w:rPr>
              <w:t>11,218.30</w:t>
            </w:r>
          </w:p>
        </w:tc>
      </w:tr>
      <w:tr w:rsidR="00A56025" w:rsidRPr="00AD177D" w14:paraId="37E2C8B5" w14:textId="77777777" w:rsidTr="00303A7D">
        <w:trPr>
          <w:trHeight w:val="315"/>
        </w:trPr>
        <w:tc>
          <w:tcPr>
            <w:tcW w:w="1135" w:type="dxa"/>
            <w:shd w:val="clear" w:color="auto" w:fill="auto"/>
            <w:vAlign w:val="center"/>
            <w:hideMark/>
          </w:tcPr>
          <w:p w14:paraId="59DBE572"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NY</w:t>
            </w:r>
          </w:p>
        </w:tc>
        <w:tc>
          <w:tcPr>
            <w:tcW w:w="1551" w:type="dxa"/>
          </w:tcPr>
          <w:p w14:paraId="63FE251F" w14:textId="6EAEB3EE"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27E306E1" w14:textId="3F399E08" w:rsidR="00A56025" w:rsidRPr="005C0B2B" w:rsidRDefault="00443E82">
            <w:pPr>
              <w:jc w:val="center"/>
              <w:textAlignment w:val="baseline"/>
              <w:rPr>
                <w:rFonts w:eastAsia="Times New Roman" w:cs="Times New Roman"/>
                <w:sz w:val="20"/>
                <w:szCs w:val="20"/>
              </w:rPr>
            </w:pPr>
            <w:r w:rsidRPr="005C0B2B">
              <w:rPr>
                <w:sz w:val="20"/>
                <w:szCs w:val="20"/>
              </w:rPr>
              <w:t>0.01</w:t>
            </w:r>
          </w:p>
        </w:tc>
        <w:tc>
          <w:tcPr>
            <w:tcW w:w="1116" w:type="dxa"/>
          </w:tcPr>
          <w:p w14:paraId="4B8BBFCD" w14:textId="20707A64"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4B4A020D" w14:textId="16140DDF"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275" w:type="dxa"/>
          </w:tcPr>
          <w:p w14:paraId="713D79BF" w14:textId="1A64D8B0" w:rsidR="00A56025" w:rsidRPr="005C0B2B" w:rsidRDefault="00443E82">
            <w:pPr>
              <w:jc w:val="center"/>
              <w:textAlignment w:val="baseline"/>
              <w:rPr>
                <w:rFonts w:eastAsia="Times New Roman" w:cs="Times New Roman"/>
                <w:sz w:val="20"/>
                <w:szCs w:val="20"/>
              </w:rPr>
            </w:pPr>
            <w:r w:rsidRPr="005C0B2B">
              <w:rPr>
                <w:sz w:val="20"/>
                <w:szCs w:val="20"/>
              </w:rPr>
              <w:t>0.01</w:t>
            </w:r>
          </w:p>
        </w:tc>
        <w:tc>
          <w:tcPr>
            <w:tcW w:w="1350" w:type="dxa"/>
          </w:tcPr>
          <w:p w14:paraId="5E748A19" w14:textId="29D9A604" w:rsidR="00A56025" w:rsidRPr="005C0B2B" w:rsidRDefault="00443E82">
            <w:pPr>
              <w:jc w:val="center"/>
              <w:textAlignment w:val="baseline"/>
              <w:rPr>
                <w:rFonts w:eastAsia="Times New Roman" w:cs="Times New Roman"/>
                <w:sz w:val="20"/>
                <w:szCs w:val="20"/>
              </w:rPr>
            </w:pPr>
            <w:r w:rsidRPr="005C0B2B">
              <w:rPr>
                <w:sz w:val="20"/>
                <w:szCs w:val="20"/>
              </w:rPr>
              <w:t>0.01</w:t>
            </w:r>
          </w:p>
        </w:tc>
      </w:tr>
      <w:tr w:rsidR="00A56025" w:rsidRPr="00AD177D" w14:paraId="742A9DA5" w14:textId="77777777" w:rsidTr="00303A7D">
        <w:trPr>
          <w:trHeight w:val="315"/>
        </w:trPr>
        <w:tc>
          <w:tcPr>
            <w:tcW w:w="1135" w:type="dxa"/>
            <w:shd w:val="clear" w:color="auto" w:fill="auto"/>
            <w:vAlign w:val="center"/>
            <w:hideMark/>
          </w:tcPr>
          <w:p w14:paraId="123AA99D"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ND</w:t>
            </w:r>
          </w:p>
        </w:tc>
        <w:tc>
          <w:tcPr>
            <w:tcW w:w="1551" w:type="dxa"/>
          </w:tcPr>
          <w:p w14:paraId="6F89A80D" w14:textId="1DC2A545" w:rsidR="00A56025" w:rsidRPr="005C0B2B" w:rsidRDefault="00443E82">
            <w:pPr>
              <w:jc w:val="center"/>
              <w:textAlignment w:val="baseline"/>
              <w:rPr>
                <w:rFonts w:eastAsia="Times New Roman" w:cs="Times New Roman"/>
                <w:sz w:val="20"/>
                <w:szCs w:val="20"/>
              </w:rPr>
            </w:pPr>
            <w:r w:rsidRPr="005C0B2B">
              <w:rPr>
                <w:sz w:val="20"/>
                <w:szCs w:val="20"/>
              </w:rPr>
              <w:t>33.50</w:t>
            </w:r>
          </w:p>
        </w:tc>
        <w:tc>
          <w:tcPr>
            <w:tcW w:w="1590" w:type="dxa"/>
          </w:tcPr>
          <w:p w14:paraId="0F00E786" w14:textId="4F4B1C49" w:rsidR="00A56025" w:rsidRPr="005C0B2B" w:rsidRDefault="00443E82">
            <w:pPr>
              <w:jc w:val="center"/>
              <w:textAlignment w:val="baseline"/>
              <w:rPr>
                <w:rFonts w:eastAsia="Times New Roman" w:cs="Times New Roman"/>
                <w:sz w:val="20"/>
                <w:szCs w:val="20"/>
              </w:rPr>
            </w:pPr>
            <w:r w:rsidRPr="005C0B2B">
              <w:rPr>
                <w:sz w:val="20"/>
                <w:szCs w:val="20"/>
              </w:rPr>
              <w:t>280.74</w:t>
            </w:r>
          </w:p>
        </w:tc>
        <w:tc>
          <w:tcPr>
            <w:tcW w:w="1116" w:type="dxa"/>
          </w:tcPr>
          <w:p w14:paraId="30BEA944" w14:textId="0F88FCA8" w:rsidR="00A56025" w:rsidRPr="005C0B2B" w:rsidRDefault="00443E82">
            <w:pPr>
              <w:jc w:val="center"/>
              <w:textAlignment w:val="baseline"/>
              <w:rPr>
                <w:rFonts w:eastAsia="Times New Roman" w:cs="Times New Roman"/>
                <w:sz w:val="20"/>
                <w:szCs w:val="20"/>
              </w:rPr>
            </w:pPr>
            <w:r w:rsidRPr="005C0B2B">
              <w:rPr>
                <w:sz w:val="20"/>
                <w:szCs w:val="20"/>
              </w:rPr>
              <w:t>29.58</w:t>
            </w:r>
          </w:p>
        </w:tc>
        <w:tc>
          <w:tcPr>
            <w:tcW w:w="1425" w:type="dxa"/>
          </w:tcPr>
          <w:p w14:paraId="1D706847" w14:textId="15516E3C" w:rsidR="00A56025" w:rsidRPr="005C0B2B" w:rsidRDefault="00443E82">
            <w:pPr>
              <w:jc w:val="center"/>
              <w:textAlignment w:val="baseline"/>
              <w:rPr>
                <w:rFonts w:eastAsia="Times New Roman" w:cs="Times New Roman"/>
                <w:sz w:val="20"/>
                <w:szCs w:val="20"/>
              </w:rPr>
            </w:pPr>
            <w:r w:rsidRPr="005C0B2B">
              <w:rPr>
                <w:sz w:val="20"/>
                <w:szCs w:val="20"/>
              </w:rPr>
              <w:t>6.63</w:t>
            </w:r>
          </w:p>
        </w:tc>
        <w:tc>
          <w:tcPr>
            <w:tcW w:w="1275" w:type="dxa"/>
          </w:tcPr>
          <w:p w14:paraId="7C5D25B6" w14:textId="6FFEA5EC" w:rsidR="00A56025" w:rsidRPr="005C0B2B" w:rsidRDefault="00443E82">
            <w:pPr>
              <w:jc w:val="center"/>
              <w:textAlignment w:val="baseline"/>
              <w:rPr>
                <w:rFonts w:eastAsia="Times New Roman" w:cs="Times New Roman"/>
                <w:sz w:val="20"/>
                <w:szCs w:val="20"/>
              </w:rPr>
            </w:pPr>
            <w:r w:rsidRPr="005C0B2B">
              <w:rPr>
                <w:sz w:val="20"/>
                <w:szCs w:val="20"/>
              </w:rPr>
              <w:t>316.95</w:t>
            </w:r>
          </w:p>
        </w:tc>
        <w:tc>
          <w:tcPr>
            <w:tcW w:w="1350" w:type="dxa"/>
          </w:tcPr>
          <w:p w14:paraId="1C7CA09E" w14:textId="17303C6F" w:rsidR="00A56025" w:rsidRPr="005C0B2B" w:rsidRDefault="00443E82">
            <w:pPr>
              <w:jc w:val="center"/>
              <w:textAlignment w:val="baseline"/>
              <w:rPr>
                <w:rFonts w:eastAsia="Times New Roman" w:cs="Times New Roman"/>
                <w:sz w:val="20"/>
                <w:szCs w:val="20"/>
              </w:rPr>
            </w:pPr>
            <w:r w:rsidRPr="005C0B2B">
              <w:rPr>
                <w:sz w:val="20"/>
                <w:szCs w:val="20"/>
              </w:rPr>
              <w:t>933.79</w:t>
            </w:r>
          </w:p>
        </w:tc>
      </w:tr>
      <w:tr w:rsidR="00A56025" w:rsidRPr="00AD177D" w14:paraId="4C31542D" w14:textId="77777777" w:rsidTr="00303A7D">
        <w:trPr>
          <w:trHeight w:val="315"/>
        </w:trPr>
        <w:tc>
          <w:tcPr>
            <w:tcW w:w="1135" w:type="dxa"/>
            <w:shd w:val="clear" w:color="auto" w:fill="auto"/>
            <w:vAlign w:val="center"/>
            <w:hideMark/>
          </w:tcPr>
          <w:p w14:paraId="21EEB163"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OH</w:t>
            </w:r>
          </w:p>
        </w:tc>
        <w:tc>
          <w:tcPr>
            <w:tcW w:w="1551" w:type="dxa"/>
          </w:tcPr>
          <w:p w14:paraId="5D17F2E9" w14:textId="308B1ECE" w:rsidR="00A56025" w:rsidRPr="005C0B2B" w:rsidRDefault="00443E82">
            <w:pPr>
              <w:jc w:val="center"/>
              <w:textAlignment w:val="baseline"/>
              <w:rPr>
                <w:rFonts w:eastAsia="Times New Roman" w:cs="Times New Roman"/>
                <w:sz w:val="20"/>
                <w:szCs w:val="20"/>
              </w:rPr>
            </w:pPr>
            <w:r w:rsidRPr="005C0B2B">
              <w:rPr>
                <w:sz w:val="20"/>
                <w:szCs w:val="20"/>
              </w:rPr>
              <w:t>0.24</w:t>
            </w:r>
          </w:p>
        </w:tc>
        <w:tc>
          <w:tcPr>
            <w:tcW w:w="1590" w:type="dxa"/>
          </w:tcPr>
          <w:p w14:paraId="7ACECD93" w14:textId="64298C51" w:rsidR="00A56025" w:rsidRPr="005C0B2B" w:rsidRDefault="00443E82">
            <w:pPr>
              <w:jc w:val="center"/>
              <w:textAlignment w:val="baseline"/>
              <w:rPr>
                <w:rFonts w:eastAsia="Times New Roman" w:cs="Times New Roman"/>
                <w:sz w:val="20"/>
                <w:szCs w:val="20"/>
              </w:rPr>
            </w:pPr>
            <w:r w:rsidRPr="005C0B2B">
              <w:rPr>
                <w:sz w:val="20"/>
                <w:szCs w:val="20"/>
              </w:rPr>
              <w:t>2.29</w:t>
            </w:r>
          </w:p>
        </w:tc>
        <w:tc>
          <w:tcPr>
            <w:tcW w:w="1116" w:type="dxa"/>
          </w:tcPr>
          <w:p w14:paraId="6AB1870C" w14:textId="28F8E435"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3796C0EF" w14:textId="6F57847E" w:rsidR="00A56025" w:rsidRPr="005C0B2B" w:rsidRDefault="00443E82">
            <w:pPr>
              <w:jc w:val="center"/>
              <w:textAlignment w:val="baseline"/>
              <w:rPr>
                <w:rFonts w:eastAsia="Times New Roman" w:cs="Times New Roman"/>
                <w:sz w:val="20"/>
                <w:szCs w:val="20"/>
              </w:rPr>
            </w:pPr>
            <w:r w:rsidRPr="005C0B2B">
              <w:rPr>
                <w:sz w:val="20"/>
                <w:szCs w:val="20"/>
              </w:rPr>
              <w:t>2.65</w:t>
            </w:r>
          </w:p>
        </w:tc>
        <w:tc>
          <w:tcPr>
            <w:tcW w:w="1275" w:type="dxa"/>
          </w:tcPr>
          <w:p w14:paraId="2D74680B" w14:textId="0B82BB4E" w:rsidR="00A56025" w:rsidRPr="005C0B2B" w:rsidRDefault="00443E82">
            <w:pPr>
              <w:jc w:val="center"/>
              <w:textAlignment w:val="baseline"/>
              <w:rPr>
                <w:rFonts w:eastAsia="Times New Roman" w:cs="Times New Roman"/>
                <w:sz w:val="20"/>
                <w:szCs w:val="20"/>
              </w:rPr>
            </w:pPr>
            <w:r w:rsidRPr="005C0B2B">
              <w:rPr>
                <w:sz w:val="20"/>
                <w:szCs w:val="20"/>
              </w:rPr>
              <w:t>4.94</w:t>
            </w:r>
          </w:p>
        </w:tc>
        <w:tc>
          <w:tcPr>
            <w:tcW w:w="1350" w:type="dxa"/>
          </w:tcPr>
          <w:p w14:paraId="65C831F4" w14:textId="3158579C" w:rsidR="00A56025" w:rsidRPr="005C0B2B" w:rsidRDefault="00443E82">
            <w:pPr>
              <w:jc w:val="center"/>
              <w:textAlignment w:val="baseline"/>
              <w:rPr>
                <w:rFonts w:eastAsia="Times New Roman" w:cs="Times New Roman"/>
                <w:sz w:val="20"/>
                <w:szCs w:val="20"/>
              </w:rPr>
            </w:pPr>
            <w:r w:rsidRPr="005C0B2B">
              <w:rPr>
                <w:sz w:val="20"/>
                <w:szCs w:val="20"/>
              </w:rPr>
              <w:t>7.04</w:t>
            </w:r>
          </w:p>
        </w:tc>
      </w:tr>
      <w:tr w:rsidR="00A56025" w:rsidRPr="00AD177D" w14:paraId="018D3D5A" w14:textId="77777777" w:rsidTr="00303A7D">
        <w:trPr>
          <w:trHeight w:val="315"/>
        </w:trPr>
        <w:tc>
          <w:tcPr>
            <w:tcW w:w="1135" w:type="dxa"/>
            <w:shd w:val="clear" w:color="auto" w:fill="auto"/>
            <w:vAlign w:val="center"/>
            <w:hideMark/>
          </w:tcPr>
          <w:p w14:paraId="1B7729D4"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OK</w:t>
            </w:r>
          </w:p>
        </w:tc>
        <w:tc>
          <w:tcPr>
            <w:tcW w:w="1551" w:type="dxa"/>
          </w:tcPr>
          <w:p w14:paraId="458C5792" w14:textId="2525BEF6" w:rsidR="00A56025" w:rsidRPr="005C0B2B" w:rsidRDefault="00443E82">
            <w:pPr>
              <w:jc w:val="center"/>
              <w:textAlignment w:val="baseline"/>
              <w:rPr>
                <w:rFonts w:eastAsia="Times New Roman" w:cs="Times New Roman"/>
                <w:sz w:val="20"/>
                <w:szCs w:val="20"/>
              </w:rPr>
            </w:pPr>
            <w:r w:rsidRPr="005C0B2B">
              <w:rPr>
                <w:sz w:val="20"/>
                <w:szCs w:val="20"/>
              </w:rPr>
              <w:t>1.34</w:t>
            </w:r>
          </w:p>
        </w:tc>
        <w:tc>
          <w:tcPr>
            <w:tcW w:w="1590" w:type="dxa"/>
          </w:tcPr>
          <w:p w14:paraId="340866AA" w14:textId="341B9B31" w:rsidR="00A56025" w:rsidRPr="005C0B2B" w:rsidRDefault="00443E82">
            <w:pPr>
              <w:jc w:val="center"/>
              <w:textAlignment w:val="baseline"/>
              <w:rPr>
                <w:rFonts w:eastAsia="Times New Roman" w:cs="Times New Roman"/>
                <w:sz w:val="20"/>
                <w:szCs w:val="20"/>
              </w:rPr>
            </w:pPr>
            <w:r w:rsidRPr="005C0B2B">
              <w:rPr>
                <w:sz w:val="20"/>
                <w:szCs w:val="20"/>
              </w:rPr>
              <w:t>13.21</w:t>
            </w:r>
          </w:p>
        </w:tc>
        <w:tc>
          <w:tcPr>
            <w:tcW w:w="1116" w:type="dxa"/>
          </w:tcPr>
          <w:p w14:paraId="41574D71" w14:textId="221D66A4" w:rsidR="00A56025" w:rsidRPr="005C0B2B" w:rsidRDefault="00443E82">
            <w:pPr>
              <w:jc w:val="center"/>
              <w:textAlignment w:val="baseline"/>
              <w:rPr>
                <w:rFonts w:eastAsia="Times New Roman" w:cs="Times New Roman"/>
                <w:sz w:val="20"/>
                <w:szCs w:val="20"/>
              </w:rPr>
            </w:pPr>
            <w:r w:rsidRPr="005C0B2B">
              <w:rPr>
                <w:sz w:val="20"/>
                <w:szCs w:val="20"/>
              </w:rPr>
              <w:t>1.42</w:t>
            </w:r>
          </w:p>
        </w:tc>
        <w:tc>
          <w:tcPr>
            <w:tcW w:w="1425" w:type="dxa"/>
          </w:tcPr>
          <w:p w14:paraId="4D42BF0B" w14:textId="5CF77220" w:rsidR="00A56025" w:rsidRPr="005C0B2B" w:rsidRDefault="00443E82">
            <w:pPr>
              <w:jc w:val="center"/>
              <w:textAlignment w:val="baseline"/>
              <w:rPr>
                <w:rFonts w:eastAsia="Times New Roman" w:cs="Times New Roman"/>
                <w:sz w:val="20"/>
                <w:szCs w:val="20"/>
              </w:rPr>
            </w:pPr>
            <w:r w:rsidRPr="005C0B2B">
              <w:rPr>
                <w:sz w:val="20"/>
                <w:szCs w:val="20"/>
              </w:rPr>
              <w:t>1.18</w:t>
            </w:r>
          </w:p>
        </w:tc>
        <w:tc>
          <w:tcPr>
            <w:tcW w:w="1275" w:type="dxa"/>
          </w:tcPr>
          <w:p w14:paraId="14A7DE6B" w14:textId="1BE21995" w:rsidR="00A56025" w:rsidRPr="005C0B2B" w:rsidRDefault="00443E82">
            <w:pPr>
              <w:jc w:val="center"/>
              <w:textAlignment w:val="baseline"/>
              <w:rPr>
                <w:rFonts w:eastAsia="Times New Roman" w:cs="Times New Roman"/>
                <w:sz w:val="20"/>
                <w:szCs w:val="20"/>
              </w:rPr>
            </w:pPr>
            <w:r w:rsidRPr="005C0B2B">
              <w:rPr>
                <w:sz w:val="20"/>
                <w:szCs w:val="20"/>
              </w:rPr>
              <w:t>15.81</w:t>
            </w:r>
          </w:p>
        </w:tc>
        <w:tc>
          <w:tcPr>
            <w:tcW w:w="1350" w:type="dxa"/>
          </w:tcPr>
          <w:p w14:paraId="070C650C" w14:textId="4BFC2871" w:rsidR="00A56025" w:rsidRPr="005C0B2B" w:rsidRDefault="00443E82">
            <w:pPr>
              <w:jc w:val="center"/>
              <w:textAlignment w:val="baseline"/>
              <w:rPr>
                <w:rFonts w:eastAsia="Times New Roman" w:cs="Times New Roman"/>
                <w:sz w:val="20"/>
                <w:szCs w:val="20"/>
              </w:rPr>
            </w:pPr>
            <w:r w:rsidRPr="005C0B2B">
              <w:rPr>
                <w:sz w:val="20"/>
                <w:szCs w:val="20"/>
              </w:rPr>
              <w:t>38.41</w:t>
            </w:r>
          </w:p>
        </w:tc>
      </w:tr>
      <w:tr w:rsidR="00A56025" w:rsidRPr="00AD177D" w14:paraId="3EAC7D12" w14:textId="77777777" w:rsidTr="00303A7D">
        <w:trPr>
          <w:trHeight w:val="315"/>
        </w:trPr>
        <w:tc>
          <w:tcPr>
            <w:tcW w:w="1135" w:type="dxa"/>
            <w:shd w:val="clear" w:color="auto" w:fill="auto"/>
            <w:vAlign w:val="center"/>
            <w:hideMark/>
          </w:tcPr>
          <w:p w14:paraId="22775DD2"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OR</w:t>
            </w:r>
          </w:p>
        </w:tc>
        <w:tc>
          <w:tcPr>
            <w:tcW w:w="1551" w:type="dxa"/>
          </w:tcPr>
          <w:p w14:paraId="5856F6A3" w14:textId="23A8638D"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1B40BD25" w14:textId="0DFFCC4D"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116" w:type="dxa"/>
          </w:tcPr>
          <w:p w14:paraId="1DA50238" w14:textId="294D62AB"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5E52E6A6" w14:textId="18CEF28B" w:rsidR="00A56025" w:rsidRPr="005C0B2B" w:rsidRDefault="00443E82">
            <w:pPr>
              <w:jc w:val="center"/>
              <w:textAlignment w:val="baseline"/>
              <w:rPr>
                <w:rFonts w:eastAsia="Times New Roman" w:cs="Times New Roman"/>
                <w:sz w:val="20"/>
                <w:szCs w:val="20"/>
              </w:rPr>
            </w:pPr>
            <w:r w:rsidRPr="005C0B2B">
              <w:rPr>
                <w:sz w:val="20"/>
                <w:szCs w:val="20"/>
              </w:rPr>
              <w:t>0.12</w:t>
            </w:r>
          </w:p>
        </w:tc>
        <w:tc>
          <w:tcPr>
            <w:tcW w:w="1275" w:type="dxa"/>
          </w:tcPr>
          <w:p w14:paraId="2D675303" w14:textId="563B8FB8" w:rsidR="00A56025" w:rsidRPr="005C0B2B" w:rsidRDefault="00443E82">
            <w:pPr>
              <w:jc w:val="center"/>
              <w:textAlignment w:val="baseline"/>
              <w:rPr>
                <w:rFonts w:eastAsia="Times New Roman" w:cs="Times New Roman"/>
                <w:sz w:val="20"/>
                <w:szCs w:val="20"/>
              </w:rPr>
            </w:pPr>
            <w:r w:rsidRPr="005C0B2B">
              <w:rPr>
                <w:sz w:val="20"/>
                <w:szCs w:val="20"/>
              </w:rPr>
              <w:t>0.12</w:t>
            </w:r>
          </w:p>
        </w:tc>
        <w:tc>
          <w:tcPr>
            <w:tcW w:w="1350" w:type="dxa"/>
          </w:tcPr>
          <w:p w14:paraId="6FE8525C" w14:textId="46055BC9" w:rsidR="00A56025" w:rsidRPr="005C0B2B" w:rsidRDefault="00443E82">
            <w:pPr>
              <w:jc w:val="center"/>
              <w:textAlignment w:val="baseline"/>
              <w:rPr>
                <w:rFonts w:eastAsia="Times New Roman" w:cs="Times New Roman"/>
                <w:sz w:val="20"/>
                <w:szCs w:val="20"/>
              </w:rPr>
            </w:pPr>
            <w:r w:rsidRPr="005C0B2B">
              <w:rPr>
                <w:sz w:val="20"/>
                <w:szCs w:val="20"/>
              </w:rPr>
              <w:t>0.00</w:t>
            </w:r>
          </w:p>
        </w:tc>
      </w:tr>
      <w:tr w:rsidR="00A56025" w:rsidRPr="00AD177D" w14:paraId="29744A90" w14:textId="77777777" w:rsidTr="00303A7D">
        <w:trPr>
          <w:trHeight w:val="315"/>
        </w:trPr>
        <w:tc>
          <w:tcPr>
            <w:tcW w:w="1135" w:type="dxa"/>
            <w:shd w:val="clear" w:color="auto" w:fill="auto"/>
            <w:vAlign w:val="center"/>
            <w:hideMark/>
          </w:tcPr>
          <w:p w14:paraId="7A46F9DF"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PA</w:t>
            </w:r>
          </w:p>
        </w:tc>
        <w:tc>
          <w:tcPr>
            <w:tcW w:w="1551" w:type="dxa"/>
          </w:tcPr>
          <w:p w14:paraId="0FECD427" w14:textId="569F14F8"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0B93A4A1" w14:textId="2FF45DF7" w:rsidR="00A56025" w:rsidRPr="005C0B2B" w:rsidRDefault="00443E82">
            <w:pPr>
              <w:jc w:val="center"/>
              <w:textAlignment w:val="baseline"/>
              <w:rPr>
                <w:rFonts w:eastAsia="Times New Roman" w:cs="Times New Roman"/>
                <w:sz w:val="20"/>
                <w:szCs w:val="20"/>
              </w:rPr>
            </w:pPr>
            <w:r w:rsidRPr="005C0B2B">
              <w:rPr>
                <w:sz w:val="20"/>
                <w:szCs w:val="20"/>
              </w:rPr>
              <w:t>0.05</w:t>
            </w:r>
          </w:p>
        </w:tc>
        <w:tc>
          <w:tcPr>
            <w:tcW w:w="1116" w:type="dxa"/>
          </w:tcPr>
          <w:p w14:paraId="3A1F5A67" w14:textId="4CC58779"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5FDBF7CF" w14:textId="50EB1661" w:rsidR="00A56025" w:rsidRPr="005C0B2B" w:rsidRDefault="00443E82">
            <w:pPr>
              <w:jc w:val="center"/>
              <w:textAlignment w:val="baseline"/>
              <w:rPr>
                <w:rFonts w:eastAsia="Times New Roman" w:cs="Times New Roman"/>
                <w:sz w:val="20"/>
                <w:szCs w:val="20"/>
              </w:rPr>
            </w:pPr>
            <w:r w:rsidRPr="005C0B2B">
              <w:rPr>
                <w:sz w:val="20"/>
                <w:szCs w:val="20"/>
              </w:rPr>
              <w:t>0.67</w:t>
            </w:r>
          </w:p>
        </w:tc>
        <w:tc>
          <w:tcPr>
            <w:tcW w:w="1275" w:type="dxa"/>
          </w:tcPr>
          <w:p w14:paraId="14BEAA9A" w14:textId="65C676E1" w:rsidR="00A56025" w:rsidRPr="005C0B2B" w:rsidRDefault="00443E82">
            <w:pPr>
              <w:jc w:val="center"/>
              <w:textAlignment w:val="baseline"/>
              <w:rPr>
                <w:rFonts w:eastAsia="Times New Roman" w:cs="Times New Roman"/>
                <w:sz w:val="20"/>
                <w:szCs w:val="20"/>
              </w:rPr>
            </w:pPr>
            <w:r w:rsidRPr="005C0B2B">
              <w:rPr>
                <w:sz w:val="20"/>
                <w:szCs w:val="20"/>
              </w:rPr>
              <w:t>0.72</w:t>
            </w:r>
          </w:p>
        </w:tc>
        <w:tc>
          <w:tcPr>
            <w:tcW w:w="1350" w:type="dxa"/>
          </w:tcPr>
          <w:p w14:paraId="71A386B9" w14:textId="09CB884F" w:rsidR="00A56025" w:rsidRPr="005C0B2B" w:rsidRDefault="00443E82">
            <w:pPr>
              <w:jc w:val="center"/>
              <w:textAlignment w:val="baseline"/>
              <w:rPr>
                <w:rFonts w:eastAsia="Times New Roman" w:cs="Times New Roman"/>
                <w:sz w:val="20"/>
                <w:szCs w:val="20"/>
              </w:rPr>
            </w:pPr>
            <w:r w:rsidRPr="005C0B2B">
              <w:rPr>
                <w:sz w:val="20"/>
                <w:szCs w:val="20"/>
              </w:rPr>
              <w:t>0.11</w:t>
            </w:r>
          </w:p>
        </w:tc>
      </w:tr>
      <w:tr w:rsidR="00A56025" w:rsidRPr="00AD177D" w14:paraId="6537ACF4" w14:textId="77777777" w:rsidTr="00303A7D">
        <w:trPr>
          <w:trHeight w:val="315"/>
        </w:trPr>
        <w:tc>
          <w:tcPr>
            <w:tcW w:w="1135" w:type="dxa"/>
            <w:shd w:val="clear" w:color="auto" w:fill="auto"/>
            <w:vAlign w:val="center"/>
            <w:hideMark/>
          </w:tcPr>
          <w:p w14:paraId="6D5D4AC1"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SD</w:t>
            </w:r>
          </w:p>
        </w:tc>
        <w:tc>
          <w:tcPr>
            <w:tcW w:w="1551" w:type="dxa"/>
          </w:tcPr>
          <w:p w14:paraId="2F09C327" w14:textId="6038E7C2" w:rsidR="00A56025" w:rsidRPr="005C0B2B" w:rsidRDefault="00443E82">
            <w:pPr>
              <w:jc w:val="center"/>
              <w:textAlignment w:val="baseline"/>
              <w:rPr>
                <w:rFonts w:eastAsia="Times New Roman" w:cs="Times New Roman"/>
                <w:sz w:val="20"/>
                <w:szCs w:val="20"/>
              </w:rPr>
            </w:pPr>
            <w:r w:rsidRPr="005C0B2B">
              <w:rPr>
                <w:sz w:val="20"/>
                <w:szCs w:val="20"/>
              </w:rPr>
              <w:t>0.10</w:t>
            </w:r>
          </w:p>
        </w:tc>
        <w:tc>
          <w:tcPr>
            <w:tcW w:w="1590" w:type="dxa"/>
          </w:tcPr>
          <w:p w14:paraId="24907E85" w14:textId="021FEC00" w:rsidR="00A56025" w:rsidRPr="005C0B2B" w:rsidRDefault="00443E82">
            <w:pPr>
              <w:jc w:val="center"/>
              <w:textAlignment w:val="baseline"/>
              <w:rPr>
                <w:rFonts w:eastAsia="Times New Roman" w:cs="Times New Roman"/>
                <w:sz w:val="20"/>
                <w:szCs w:val="20"/>
              </w:rPr>
            </w:pPr>
            <w:r w:rsidRPr="005C0B2B">
              <w:rPr>
                <w:sz w:val="20"/>
                <w:szCs w:val="20"/>
              </w:rPr>
              <w:t>1.61</w:t>
            </w:r>
          </w:p>
        </w:tc>
        <w:tc>
          <w:tcPr>
            <w:tcW w:w="1116" w:type="dxa"/>
          </w:tcPr>
          <w:p w14:paraId="56527581" w14:textId="1DAD6C68" w:rsidR="00A56025" w:rsidRPr="005C0B2B" w:rsidRDefault="00443E82">
            <w:pPr>
              <w:jc w:val="center"/>
              <w:textAlignment w:val="baseline"/>
              <w:rPr>
                <w:rFonts w:eastAsia="Times New Roman" w:cs="Times New Roman"/>
                <w:sz w:val="20"/>
                <w:szCs w:val="20"/>
              </w:rPr>
            </w:pPr>
            <w:r w:rsidRPr="005C0B2B">
              <w:rPr>
                <w:sz w:val="20"/>
                <w:szCs w:val="20"/>
              </w:rPr>
              <w:t>0.11</w:t>
            </w:r>
          </w:p>
        </w:tc>
        <w:tc>
          <w:tcPr>
            <w:tcW w:w="1425" w:type="dxa"/>
          </w:tcPr>
          <w:p w14:paraId="3472B0C1" w14:textId="2124924D" w:rsidR="00A56025" w:rsidRPr="005C0B2B" w:rsidRDefault="00443E82">
            <w:pPr>
              <w:jc w:val="center"/>
              <w:textAlignment w:val="baseline"/>
              <w:rPr>
                <w:rFonts w:eastAsia="Times New Roman" w:cs="Times New Roman"/>
                <w:sz w:val="20"/>
                <w:szCs w:val="20"/>
              </w:rPr>
            </w:pPr>
            <w:r w:rsidRPr="005C0B2B">
              <w:rPr>
                <w:sz w:val="20"/>
                <w:szCs w:val="20"/>
              </w:rPr>
              <w:t>0.11</w:t>
            </w:r>
          </w:p>
        </w:tc>
        <w:tc>
          <w:tcPr>
            <w:tcW w:w="1275" w:type="dxa"/>
          </w:tcPr>
          <w:p w14:paraId="2EF39C41" w14:textId="130D4727" w:rsidR="00A56025" w:rsidRPr="005C0B2B" w:rsidRDefault="00443E82">
            <w:pPr>
              <w:jc w:val="center"/>
              <w:textAlignment w:val="baseline"/>
              <w:rPr>
                <w:rFonts w:eastAsia="Times New Roman" w:cs="Times New Roman"/>
                <w:sz w:val="20"/>
                <w:szCs w:val="20"/>
              </w:rPr>
            </w:pPr>
            <w:r w:rsidRPr="005C0B2B">
              <w:rPr>
                <w:sz w:val="20"/>
                <w:szCs w:val="20"/>
              </w:rPr>
              <w:t>1.82</w:t>
            </w:r>
          </w:p>
        </w:tc>
        <w:tc>
          <w:tcPr>
            <w:tcW w:w="1350" w:type="dxa"/>
          </w:tcPr>
          <w:p w14:paraId="52BE2FAC" w14:textId="7F6F58F7" w:rsidR="00A56025" w:rsidRPr="005C0B2B" w:rsidRDefault="00443E82">
            <w:pPr>
              <w:jc w:val="center"/>
              <w:textAlignment w:val="baseline"/>
              <w:rPr>
                <w:rFonts w:eastAsia="Times New Roman" w:cs="Times New Roman"/>
                <w:sz w:val="20"/>
                <w:szCs w:val="20"/>
              </w:rPr>
            </w:pPr>
            <w:r w:rsidRPr="005C0B2B">
              <w:rPr>
                <w:sz w:val="20"/>
                <w:szCs w:val="20"/>
              </w:rPr>
              <w:t>2.70</w:t>
            </w:r>
          </w:p>
        </w:tc>
      </w:tr>
      <w:tr w:rsidR="00A56025" w:rsidRPr="00AD177D" w14:paraId="69FBE736" w14:textId="77777777" w:rsidTr="00303A7D">
        <w:trPr>
          <w:trHeight w:val="315"/>
        </w:trPr>
        <w:tc>
          <w:tcPr>
            <w:tcW w:w="1135" w:type="dxa"/>
            <w:shd w:val="clear" w:color="auto" w:fill="auto"/>
            <w:vAlign w:val="center"/>
            <w:hideMark/>
          </w:tcPr>
          <w:p w14:paraId="23F2F3D2"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TN</w:t>
            </w:r>
          </w:p>
        </w:tc>
        <w:tc>
          <w:tcPr>
            <w:tcW w:w="1551" w:type="dxa"/>
          </w:tcPr>
          <w:p w14:paraId="3A807756" w14:textId="6DB4E59A"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6D6EF2FC" w14:textId="4FD9381C"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116" w:type="dxa"/>
          </w:tcPr>
          <w:p w14:paraId="546C9818" w14:textId="5B4A6B0E"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6513B5F2" w14:textId="50F9CC9B"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275" w:type="dxa"/>
          </w:tcPr>
          <w:p w14:paraId="4037EDF7" w14:textId="1A2B2BF4"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350" w:type="dxa"/>
          </w:tcPr>
          <w:p w14:paraId="3CB0E988" w14:textId="0541FAB9" w:rsidR="00A56025" w:rsidRPr="005C0B2B" w:rsidRDefault="00443E82">
            <w:pPr>
              <w:jc w:val="center"/>
              <w:textAlignment w:val="baseline"/>
              <w:rPr>
                <w:rFonts w:eastAsia="Times New Roman" w:cs="Times New Roman"/>
                <w:sz w:val="20"/>
                <w:szCs w:val="20"/>
              </w:rPr>
            </w:pPr>
            <w:r w:rsidRPr="005C0B2B">
              <w:rPr>
                <w:sz w:val="20"/>
                <w:szCs w:val="20"/>
              </w:rPr>
              <w:t>0.00</w:t>
            </w:r>
          </w:p>
        </w:tc>
      </w:tr>
      <w:tr w:rsidR="00A56025" w:rsidRPr="00AD177D" w14:paraId="0A615EF3" w14:textId="77777777" w:rsidTr="00303A7D">
        <w:trPr>
          <w:trHeight w:val="315"/>
        </w:trPr>
        <w:tc>
          <w:tcPr>
            <w:tcW w:w="1135" w:type="dxa"/>
            <w:shd w:val="clear" w:color="auto" w:fill="auto"/>
            <w:vAlign w:val="center"/>
            <w:hideMark/>
          </w:tcPr>
          <w:p w14:paraId="7FE1F687"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TX</w:t>
            </w:r>
          </w:p>
        </w:tc>
        <w:tc>
          <w:tcPr>
            <w:tcW w:w="1551" w:type="dxa"/>
          </w:tcPr>
          <w:p w14:paraId="1ABB992C" w14:textId="4F3C3ED5" w:rsidR="00A56025" w:rsidRPr="005C0B2B" w:rsidRDefault="00443E82">
            <w:pPr>
              <w:jc w:val="center"/>
              <w:textAlignment w:val="baseline"/>
              <w:rPr>
                <w:rFonts w:eastAsia="Times New Roman" w:cs="Times New Roman"/>
                <w:sz w:val="20"/>
                <w:szCs w:val="20"/>
              </w:rPr>
            </w:pPr>
            <w:r w:rsidRPr="005C0B2B">
              <w:rPr>
                <w:sz w:val="20"/>
                <w:szCs w:val="20"/>
              </w:rPr>
              <w:t>3.20</w:t>
            </w:r>
          </w:p>
        </w:tc>
        <w:tc>
          <w:tcPr>
            <w:tcW w:w="1590" w:type="dxa"/>
          </w:tcPr>
          <w:p w14:paraId="29EFF7D7" w14:textId="554350FD" w:rsidR="00A56025" w:rsidRPr="005C0B2B" w:rsidRDefault="00443E82">
            <w:pPr>
              <w:jc w:val="center"/>
              <w:textAlignment w:val="baseline"/>
              <w:rPr>
                <w:rFonts w:eastAsia="Times New Roman" w:cs="Times New Roman"/>
                <w:sz w:val="20"/>
                <w:szCs w:val="20"/>
              </w:rPr>
            </w:pPr>
            <w:r w:rsidRPr="005C0B2B">
              <w:rPr>
                <w:sz w:val="20"/>
                <w:szCs w:val="20"/>
              </w:rPr>
              <w:t>35.25</w:t>
            </w:r>
          </w:p>
        </w:tc>
        <w:tc>
          <w:tcPr>
            <w:tcW w:w="1116" w:type="dxa"/>
          </w:tcPr>
          <w:p w14:paraId="7603B830" w14:textId="1286CB10" w:rsidR="00A56025" w:rsidRPr="005C0B2B" w:rsidRDefault="00443E82">
            <w:pPr>
              <w:jc w:val="center"/>
              <w:textAlignment w:val="baseline"/>
              <w:rPr>
                <w:rFonts w:eastAsia="Times New Roman" w:cs="Times New Roman"/>
                <w:sz w:val="20"/>
                <w:szCs w:val="20"/>
              </w:rPr>
            </w:pPr>
            <w:r w:rsidRPr="005C0B2B">
              <w:rPr>
                <w:sz w:val="20"/>
                <w:szCs w:val="20"/>
              </w:rPr>
              <w:t>15.07</w:t>
            </w:r>
          </w:p>
        </w:tc>
        <w:tc>
          <w:tcPr>
            <w:tcW w:w="1425" w:type="dxa"/>
          </w:tcPr>
          <w:p w14:paraId="07BDF56A" w14:textId="5828CD6C" w:rsidR="00A56025" w:rsidRPr="005C0B2B" w:rsidRDefault="00443E82">
            <w:pPr>
              <w:jc w:val="center"/>
              <w:textAlignment w:val="baseline"/>
              <w:rPr>
                <w:rFonts w:eastAsia="Times New Roman" w:cs="Times New Roman"/>
                <w:sz w:val="20"/>
                <w:szCs w:val="20"/>
              </w:rPr>
            </w:pPr>
            <w:r w:rsidRPr="005C0B2B">
              <w:rPr>
                <w:sz w:val="20"/>
                <w:szCs w:val="20"/>
              </w:rPr>
              <w:t>1.31</w:t>
            </w:r>
          </w:p>
        </w:tc>
        <w:tc>
          <w:tcPr>
            <w:tcW w:w="1275" w:type="dxa"/>
          </w:tcPr>
          <w:p w14:paraId="1D7C8D3F" w14:textId="305D934F" w:rsidR="00A56025" w:rsidRPr="005C0B2B" w:rsidRDefault="00443E82">
            <w:pPr>
              <w:jc w:val="center"/>
              <w:textAlignment w:val="baseline"/>
              <w:rPr>
                <w:rFonts w:eastAsia="Times New Roman" w:cs="Times New Roman"/>
                <w:sz w:val="20"/>
                <w:szCs w:val="20"/>
              </w:rPr>
            </w:pPr>
            <w:r w:rsidRPr="005C0B2B">
              <w:rPr>
                <w:sz w:val="20"/>
                <w:szCs w:val="20"/>
              </w:rPr>
              <w:t>51.62</w:t>
            </w:r>
          </w:p>
        </w:tc>
        <w:tc>
          <w:tcPr>
            <w:tcW w:w="1350" w:type="dxa"/>
          </w:tcPr>
          <w:p w14:paraId="4E436408" w14:textId="10E906D5" w:rsidR="00A56025" w:rsidRPr="005C0B2B" w:rsidRDefault="00443E82">
            <w:pPr>
              <w:jc w:val="center"/>
              <w:textAlignment w:val="baseline"/>
              <w:rPr>
                <w:rFonts w:eastAsia="Times New Roman" w:cs="Times New Roman"/>
                <w:sz w:val="20"/>
                <w:szCs w:val="20"/>
              </w:rPr>
            </w:pPr>
            <w:r w:rsidRPr="005C0B2B">
              <w:rPr>
                <w:sz w:val="20"/>
                <w:szCs w:val="20"/>
              </w:rPr>
              <w:t>93.23</w:t>
            </w:r>
          </w:p>
        </w:tc>
      </w:tr>
      <w:tr w:rsidR="00A56025" w:rsidRPr="00AD177D" w14:paraId="1CED4958" w14:textId="77777777" w:rsidTr="00303A7D">
        <w:trPr>
          <w:trHeight w:val="315"/>
        </w:trPr>
        <w:tc>
          <w:tcPr>
            <w:tcW w:w="1135" w:type="dxa"/>
            <w:shd w:val="clear" w:color="auto" w:fill="auto"/>
            <w:vAlign w:val="center"/>
            <w:hideMark/>
          </w:tcPr>
          <w:p w14:paraId="54845429"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UT</w:t>
            </w:r>
          </w:p>
        </w:tc>
        <w:tc>
          <w:tcPr>
            <w:tcW w:w="1551" w:type="dxa"/>
          </w:tcPr>
          <w:p w14:paraId="739D9876" w14:textId="56B7D7A5" w:rsidR="00A56025" w:rsidRPr="005C0B2B" w:rsidRDefault="00443E82">
            <w:pPr>
              <w:jc w:val="center"/>
              <w:textAlignment w:val="baseline"/>
              <w:rPr>
                <w:rFonts w:eastAsia="Times New Roman" w:cs="Times New Roman"/>
                <w:sz w:val="20"/>
                <w:szCs w:val="20"/>
              </w:rPr>
            </w:pPr>
            <w:r w:rsidRPr="005C0B2B">
              <w:rPr>
                <w:sz w:val="20"/>
                <w:szCs w:val="20"/>
              </w:rPr>
              <w:t>12.93</w:t>
            </w:r>
          </w:p>
        </w:tc>
        <w:tc>
          <w:tcPr>
            <w:tcW w:w="1590" w:type="dxa"/>
          </w:tcPr>
          <w:p w14:paraId="7FEED276" w14:textId="65D8AC9B" w:rsidR="00A56025" w:rsidRPr="005C0B2B" w:rsidRDefault="00443E82">
            <w:pPr>
              <w:jc w:val="center"/>
              <w:textAlignment w:val="baseline"/>
              <w:rPr>
                <w:rFonts w:eastAsia="Times New Roman" w:cs="Times New Roman"/>
                <w:sz w:val="20"/>
                <w:szCs w:val="20"/>
              </w:rPr>
            </w:pPr>
            <w:r w:rsidRPr="005C0B2B">
              <w:rPr>
                <w:sz w:val="20"/>
                <w:szCs w:val="20"/>
              </w:rPr>
              <w:t>161.65</w:t>
            </w:r>
          </w:p>
        </w:tc>
        <w:tc>
          <w:tcPr>
            <w:tcW w:w="1116" w:type="dxa"/>
          </w:tcPr>
          <w:p w14:paraId="080CF2C7" w14:textId="4462A414" w:rsidR="00A56025" w:rsidRPr="005C0B2B" w:rsidRDefault="00443E82">
            <w:pPr>
              <w:jc w:val="center"/>
              <w:textAlignment w:val="baseline"/>
              <w:rPr>
                <w:rFonts w:eastAsia="Times New Roman" w:cs="Times New Roman"/>
                <w:sz w:val="20"/>
                <w:szCs w:val="20"/>
              </w:rPr>
            </w:pPr>
            <w:r w:rsidRPr="005C0B2B">
              <w:rPr>
                <w:sz w:val="20"/>
                <w:szCs w:val="20"/>
              </w:rPr>
              <w:t>14.42</w:t>
            </w:r>
          </w:p>
        </w:tc>
        <w:tc>
          <w:tcPr>
            <w:tcW w:w="1425" w:type="dxa"/>
          </w:tcPr>
          <w:p w14:paraId="73CA8425" w14:textId="173D7114" w:rsidR="00A56025" w:rsidRPr="005C0B2B" w:rsidRDefault="00443E82">
            <w:pPr>
              <w:jc w:val="center"/>
              <w:textAlignment w:val="baseline"/>
              <w:rPr>
                <w:rFonts w:eastAsia="Times New Roman" w:cs="Times New Roman"/>
                <w:sz w:val="20"/>
                <w:szCs w:val="20"/>
              </w:rPr>
            </w:pPr>
            <w:r w:rsidRPr="005C0B2B">
              <w:rPr>
                <w:sz w:val="20"/>
                <w:szCs w:val="20"/>
              </w:rPr>
              <w:t>29.97</w:t>
            </w:r>
          </w:p>
        </w:tc>
        <w:tc>
          <w:tcPr>
            <w:tcW w:w="1275" w:type="dxa"/>
          </w:tcPr>
          <w:p w14:paraId="3B3C8710" w14:textId="2B27CFA1" w:rsidR="00A56025" w:rsidRPr="005C0B2B" w:rsidRDefault="00443E82">
            <w:pPr>
              <w:jc w:val="center"/>
              <w:textAlignment w:val="baseline"/>
              <w:rPr>
                <w:rFonts w:eastAsia="Times New Roman" w:cs="Times New Roman"/>
                <w:sz w:val="20"/>
                <w:szCs w:val="20"/>
              </w:rPr>
            </w:pPr>
            <w:r w:rsidRPr="005C0B2B">
              <w:rPr>
                <w:sz w:val="20"/>
                <w:szCs w:val="20"/>
              </w:rPr>
              <w:t>206.04</w:t>
            </w:r>
          </w:p>
        </w:tc>
        <w:tc>
          <w:tcPr>
            <w:tcW w:w="1350" w:type="dxa"/>
          </w:tcPr>
          <w:p w14:paraId="1C1641F6" w14:textId="31551248" w:rsidR="00A56025" w:rsidRPr="005C0B2B" w:rsidRDefault="00443E82">
            <w:pPr>
              <w:jc w:val="center"/>
              <w:textAlignment w:val="baseline"/>
              <w:rPr>
                <w:rFonts w:eastAsia="Times New Roman" w:cs="Times New Roman"/>
                <w:sz w:val="20"/>
                <w:szCs w:val="20"/>
              </w:rPr>
            </w:pPr>
            <w:r w:rsidRPr="005C0B2B">
              <w:rPr>
                <w:sz w:val="20"/>
                <w:szCs w:val="20"/>
              </w:rPr>
              <w:t>369.79</w:t>
            </w:r>
          </w:p>
        </w:tc>
      </w:tr>
      <w:tr w:rsidR="00A56025" w:rsidRPr="00AD177D" w14:paraId="43284912" w14:textId="77777777" w:rsidTr="00303A7D">
        <w:trPr>
          <w:trHeight w:val="315"/>
        </w:trPr>
        <w:tc>
          <w:tcPr>
            <w:tcW w:w="1135" w:type="dxa"/>
            <w:shd w:val="clear" w:color="auto" w:fill="auto"/>
            <w:vAlign w:val="center"/>
            <w:hideMark/>
          </w:tcPr>
          <w:p w14:paraId="562379AD"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VA</w:t>
            </w:r>
          </w:p>
        </w:tc>
        <w:tc>
          <w:tcPr>
            <w:tcW w:w="1551" w:type="dxa"/>
          </w:tcPr>
          <w:p w14:paraId="29FFD158" w14:textId="27AB0FE0" w:rsidR="00A56025" w:rsidRPr="005C0B2B" w:rsidRDefault="00443E82">
            <w:pPr>
              <w:jc w:val="center"/>
              <w:textAlignment w:val="baseline"/>
              <w:rPr>
                <w:rFonts w:eastAsia="Times New Roman" w:cs="Times New Roman"/>
                <w:sz w:val="20"/>
                <w:szCs w:val="20"/>
              </w:rPr>
            </w:pPr>
            <w:r w:rsidRPr="005C0B2B">
              <w:rPr>
                <w:sz w:val="20"/>
                <w:szCs w:val="20"/>
              </w:rPr>
              <w:t>0.01</w:t>
            </w:r>
          </w:p>
        </w:tc>
        <w:tc>
          <w:tcPr>
            <w:tcW w:w="1590" w:type="dxa"/>
          </w:tcPr>
          <w:p w14:paraId="560EDB3C" w14:textId="688CD54C" w:rsidR="00A56025" w:rsidRPr="005C0B2B" w:rsidRDefault="00443E82">
            <w:pPr>
              <w:jc w:val="center"/>
              <w:textAlignment w:val="baseline"/>
              <w:rPr>
                <w:rFonts w:eastAsia="Times New Roman" w:cs="Times New Roman"/>
                <w:sz w:val="20"/>
                <w:szCs w:val="20"/>
              </w:rPr>
            </w:pPr>
            <w:r w:rsidRPr="005C0B2B">
              <w:rPr>
                <w:sz w:val="20"/>
                <w:szCs w:val="20"/>
              </w:rPr>
              <w:t>0.13</w:t>
            </w:r>
          </w:p>
        </w:tc>
        <w:tc>
          <w:tcPr>
            <w:tcW w:w="1116" w:type="dxa"/>
          </w:tcPr>
          <w:p w14:paraId="12FD6477" w14:textId="7DDFA50A"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1E03F0A4" w14:textId="07CB6813" w:rsidR="00A56025" w:rsidRPr="005C0B2B" w:rsidRDefault="00443E82">
            <w:pPr>
              <w:jc w:val="center"/>
              <w:textAlignment w:val="baseline"/>
              <w:rPr>
                <w:rFonts w:eastAsia="Times New Roman" w:cs="Times New Roman"/>
                <w:sz w:val="20"/>
                <w:szCs w:val="20"/>
              </w:rPr>
            </w:pPr>
            <w:r w:rsidRPr="005C0B2B">
              <w:rPr>
                <w:sz w:val="20"/>
                <w:szCs w:val="20"/>
              </w:rPr>
              <w:t>0.03</w:t>
            </w:r>
          </w:p>
        </w:tc>
        <w:tc>
          <w:tcPr>
            <w:tcW w:w="1275" w:type="dxa"/>
          </w:tcPr>
          <w:p w14:paraId="18337B07" w14:textId="216442B2" w:rsidR="00A56025" w:rsidRPr="005C0B2B" w:rsidRDefault="00443E82">
            <w:pPr>
              <w:jc w:val="center"/>
              <w:textAlignment w:val="baseline"/>
              <w:rPr>
                <w:rFonts w:eastAsia="Times New Roman" w:cs="Times New Roman"/>
                <w:sz w:val="20"/>
                <w:szCs w:val="20"/>
              </w:rPr>
            </w:pPr>
            <w:r w:rsidRPr="005C0B2B">
              <w:rPr>
                <w:sz w:val="20"/>
                <w:szCs w:val="20"/>
              </w:rPr>
              <w:t>0.16</w:t>
            </w:r>
          </w:p>
        </w:tc>
        <w:tc>
          <w:tcPr>
            <w:tcW w:w="1350" w:type="dxa"/>
          </w:tcPr>
          <w:p w14:paraId="0A037EE8" w14:textId="1E5F7D6F" w:rsidR="00A56025" w:rsidRPr="005C0B2B" w:rsidRDefault="00443E82">
            <w:pPr>
              <w:jc w:val="center"/>
              <w:textAlignment w:val="baseline"/>
              <w:rPr>
                <w:rFonts w:eastAsia="Times New Roman" w:cs="Times New Roman"/>
                <w:sz w:val="20"/>
                <w:szCs w:val="20"/>
              </w:rPr>
            </w:pPr>
            <w:r w:rsidRPr="005C0B2B">
              <w:rPr>
                <w:sz w:val="20"/>
                <w:szCs w:val="20"/>
              </w:rPr>
              <w:t>0.25</w:t>
            </w:r>
          </w:p>
        </w:tc>
      </w:tr>
      <w:tr w:rsidR="00A56025" w:rsidRPr="00AD177D" w14:paraId="73B2D6E7" w14:textId="77777777" w:rsidTr="00303A7D">
        <w:trPr>
          <w:trHeight w:val="315"/>
        </w:trPr>
        <w:tc>
          <w:tcPr>
            <w:tcW w:w="1135" w:type="dxa"/>
            <w:shd w:val="clear" w:color="auto" w:fill="auto"/>
            <w:vAlign w:val="center"/>
            <w:hideMark/>
          </w:tcPr>
          <w:p w14:paraId="7B88199E"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WV</w:t>
            </w:r>
          </w:p>
        </w:tc>
        <w:tc>
          <w:tcPr>
            <w:tcW w:w="1551" w:type="dxa"/>
          </w:tcPr>
          <w:p w14:paraId="2F4BB9B0" w14:textId="505BCBD6"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590" w:type="dxa"/>
          </w:tcPr>
          <w:p w14:paraId="071F4F03" w14:textId="6CA7B9A4" w:rsidR="00A56025" w:rsidRPr="005C0B2B" w:rsidRDefault="00443E82">
            <w:pPr>
              <w:jc w:val="center"/>
              <w:textAlignment w:val="baseline"/>
              <w:rPr>
                <w:rFonts w:eastAsia="Times New Roman" w:cs="Times New Roman"/>
                <w:sz w:val="20"/>
                <w:szCs w:val="20"/>
              </w:rPr>
            </w:pPr>
            <w:r w:rsidRPr="005C0B2B">
              <w:rPr>
                <w:sz w:val="20"/>
                <w:szCs w:val="20"/>
              </w:rPr>
              <w:t>0.06</w:t>
            </w:r>
          </w:p>
        </w:tc>
        <w:tc>
          <w:tcPr>
            <w:tcW w:w="1116" w:type="dxa"/>
          </w:tcPr>
          <w:p w14:paraId="5726D0CC" w14:textId="7989ADCE" w:rsidR="00A56025" w:rsidRPr="005C0B2B" w:rsidRDefault="00443E82">
            <w:pPr>
              <w:jc w:val="center"/>
              <w:textAlignment w:val="baseline"/>
              <w:rPr>
                <w:rFonts w:eastAsia="Times New Roman" w:cs="Times New Roman"/>
                <w:sz w:val="20"/>
                <w:szCs w:val="20"/>
              </w:rPr>
            </w:pPr>
            <w:r w:rsidRPr="005C0B2B">
              <w:rPr>
                <w:sz w:val="20"/>
                <w:szCs w:val="20"/>
              </w:rPr>
              <w:t>0.00</w:t>
            </w:r>
          </w:p>
        </w:tc>
        <w:tc>
          <w:tcPr>
            <w:tcW w:w="1425" w:type="dxa"/>
          </w:tcPr>
          <w:p w14:paraId="0725107C" w14:textId="31DDA0F6" w:rsidR="00A56025" w:rsidRPr="005C0B2B" w:rsidRDefault="00443E82">
            <w:pPr>
              <w:jc w:val="center"/>
              <w:textAlignment w:val="baseline"/>
              <w:rPr>
                <w:rFonts w:eastAsia="Times New Roman" w:cs="Times New Roman"/>
                <w:sz w:val="20"/>
                <w:szCs w:val="20"/>
              </w:rPr>
            </w:pPr>
            <w:r w:rsidRPr="005C0B2B">
              <w:rPr>
                <w:sz w:val="20"/>
                <w:szCs w:val="20"/>
              </w:rPr>
              <w:t>0.59</w:t>
            </w:r>
          </w:p>
        </w:tc>
        <w:tc>
          <w:tcPr>
            <w:tcW w:w="1275" w:type="dxa"/>
          </w:tcPr>
          <w:p w14:paraId="33F60784" w14:textId="1E74D137" w:rsidR="00A56025" w:rsidRPr="005C0B2B" w:rsidRDefault="00443E82">
            <w:pPr>
              <w:jc w:val="center"/>
              <w:textAlignment w:val="baseline"/>
              <w:rPr>
                <w:rFonts w:eastAsia="Times New Roman" w:cs="Times New Roman"/>
                <w:sz w:val="20"/>
                <w:szCs w:val="20"/>
              </w:rPr>
            </w:pPr>
            <w:r w:rsidRPr="005C0B2B">
              <w:rPr>
                <w:sz w:val="20"/>
                <w:szCs w:val="20"/>
              </w:rPr>
              <w:t>0.64</w:t>
            </w:r>
          </w:p>
        </w:tc>
        <w:tc>
          <w:tcPr>
            <w:tcW w:w="1350" w:type="dxa"/>
          </w:tcPr>
          <w:p w14:paraId="008B1BB6" w14:textId="028AE847" w:rsidR="00A56025" w:rsidRPr="005C0B2B" w:rsidRDefault="00443E82">
            <w:pPr>
              <w:jc w:val="center"/>
              <w:textAlignment w:val="baseline"/>
              <w:rPr>
                <w:rFonts w:eastAsia="Times New Roman" w:cs="Times New Roman"/>
                <w:sz w:val="20"/>
                <w:szCs w:val="20"/>
              </w:rPr>
            </w:pPr>
            <w:r w:rsidRPr="005C0B2B">
              <w:rPr>
                <w:sz w:val="20"/>
                <w:szCs w:val="20"/>
              </w:rPr>
              <w:t>0.12</w:t>
            </w:r>
          </w:p>
        </w:tc>
      </w:tr>
      <w:tr w:rsidR="00A56025" w:rsidRPr="00AD177D" w14:paraId="6272F758" w14:textId="77777777" w:rsidTr="00303A7D">
        <w:trPr>
          <w:trHeight w:val="315"/>
        </w:trPr>
        <w:tc>
          <w:tcPr>
            <w:tcW w:w="1135" w:type="dxa"/>
            <w:shd w:val="clear" w:color="auto" w:fill="auto"/>
            <w:vAlign w:val="center"/>
            <w:hideMark/>
          </w:tcPr>
          <w:p w14:paraId="2EEB4831"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color w:val="000000"/>
                <w:szCs w:val="24"/>
              </w:rPr>
              <w:t>WY</w:t>
            </w:r>
          </w:p>
        </w:tc>
        <w:tc>
          <w:tcPr>
            <w:tcW w:w="1551" w:type="dxa"/>
          </w:tcPr>
          <w:p w14:paraId="133D50F4" w14:textId="25FD8F3C" w:rsidR="00A56025" w:rsidRPr="005C0B2B" w:rsidRDefault="00443E82">
            <w:pPr>
              <w:jc w:val="center"/>
              <w:textAlignment w:val="baseline"/>
              <w:rPr>
                <w:rFonts w:eastAsia="Times New Roman" w:cs="Times New Roman"/>
                <w:sz w:val="20"/>
                <w:szCs w:val="20"/>
              </w:rPr>
            </w:pPr>
            <w:r w:rsidRPr="005C0B2B">
              <w:rPr>
                <w:sz w:val="20"/>
                <w:szCs w:val="20"/>
              </w:rPr>
              <w:t>100.22</w:t>
            </w:r>
          </w:p>
        </w:tc>
        <w:tc>
          <w:tcPr>
            <w:tcW w:w="1590" w:type="dxa"/>
          </w:tcPr>
          <w:p w14:paraId="32574941" w14:textId="0B6CC76B" w:rsidR="00A56025" w:rsidRPr="005C0B2B" w:rsidRDefault="00443E82">
            <w:pPr>
              <w:jc w:val="center"/>
              <w:textAlignment w:val="baseline"/>
              <w:rPr>
                <w:rFonts w:eastAsia="Times New Roman" w:cs="Times New Roman"/>
                <w:sz w:val="20"/>
                <w:szCs w:val="20"/>
              </w:rPr>
            </w:pPr>
            <w:r w:rsidRPr="005C0B2B">
              <w:rPr>
                <w:sz w:val="20"/>
                <w:szCs w:val="20"/>
              </w:rPr>
              <w:t>892.55</w:t>
            </w:r>
          </w:p>
        </w:tc>
        <w:tc>
          <w:tcPr>
            <w:tcW w:w="1116" w:type="dxa"/>
          </w:tcPr>
          <w:p w14:paraId="59A20752" w14:textId="672B1D73" w:rsidR="00A56025" w:rsidRPr="005C0B2B" w:rsidRDefault="00443E82">
            <w:pPr>
              <w:jc w:val="center"/>
              <w:textAlignment w:val="baseline"/>
              <w:rPr>
                <w:rFonts w:eastAsia="Times New Roman" w:cs="Times New Roman"/>
                <w:sz w:val="20"/>
                <w:szCs w:val="20"/>
              </w:rPr>
            </w:pPr>
            <w:r w:rsidRPr="005C0B2B">
              <w:rPr>
                <w:sz w:val="20"/>
                <w:szCs w:val="20"/>
              </w:rPr>
              <w:t>100.35</w:t>
            </w:r>
          </w:p>
        </w:tc>
        <w:tc>
          <w:tcPr>
            <w:tcW w:w="1425" w:type="dxa"/>
          </w:tcPr>
          <w:p w14:paraId="37FFC448" w14:textId="7C15ACD9" w:rsidR="00A56025" w:rsidRPr="005C0B2B" w:rsidRDefault="00443E82">
            <w:pPr>
              <w:jc w:val="center"/>
              <w:textAlignment w:val="baseline"/>
              <w:rPr>
                <w:rFonts w:eastAsia="Times New Roman" w:cs="Times New Roman"/>
                <w:sz w:val="20"/>
                <w:szCs w:val="20"/>
              </w:rPr>
            </w:pPr>
            <w:r w:rsidRPr="005C0B2B">
              <w:rPr>
                <w:sz w:val="20"/>
                <w:szCs w:val="20"/>
              </w:rPr>
              <w:t>253.66</w:t>
            </w:r>
          </w:p>
        </w:tc>
        <w:tc>
          <w:tcPr>
            <w:tcW w:w="1275" w:type="dxa"/>
          </w:tcPr>
          <w:p w14:paraId="6A19E2C8" w14:textId="66950C7F" w:rsidR="00A56025" w:rsidRPr="005C0B2B" w:rsidRDefault="00443E82">
            <w:pPr>
              <w:jc w:val="center"/>
              <w:textAlignment w:val="baseline"/>
              <w:rPr>
                <w:rFonts w:eastAsia="Times New Roman" w:cs="Times New Roman"/>
                <w:sz w:val="20"/>
                <w:szCs w:val="20"/>
              </w:rPr>
            </w:pPr>
            <w:r w:rsidRPr="005C0B2B">
              <w:rPr>
                <w:sz w:val="20"/>
                <w:szCs w:val="20"/>
              </w:rPr>
              <w:t>1,246.56</w:t>
            </w:r>
          </w:p>
        </w:tc>
        <w:tc>
          <w:tcPr>
            <w:tcW w:w="1350" w:type="dxa"/>
          </w:tcPr>
          <w:p w14:paraId="7E1E10AF" w14:textId="7F0D5427" w:rsidR="00A56025" w:rsidRPr="005C0B2B" w:rsidRDefault="00443E82">
            <w:pPr>
              <w:jc w:val="center"/>
              <w:textAlignment w:val="baseline"/>
              <w:rPr>
                <w:rFonts w:eastAsia="Times New Roman" w:cs="Times New Roman"/>
                <w:sz w:val="20"/>
                <w:szCs w:val="20"/>
              </w:rPr>
            </w:pPr>
            <w:r w:rsidRPr="005C0B2B">
              <w:rPr>
                <w:sz w:val="20"/>
                <w:szCs w:val="20"/>
              </w:rPr>
              <w:t>2,872.25</w:t>
            </w:r>
          </w:p>
        </w:tc>
      </w:tr>
      <w:tr w:rsidR="00A56025" w:rsidRPr="00AD177D" w14:paraId="499DAD4F" w14:textId="77777777" w:rsidTr="00303A7D">
        <w:trPr>
          <w:trHeight w:val="315"/>
        </w:trPr>
        <w:tc>
          <w:tcPr>
            <w:tcW w:w="1135" w:type="dxa"/>
            <w:shd w:val="clear" w:color="auto" w:fill="auto"/>
            <w:vAlign w:val="center"/>
            <w:hideMark/>
          </w:tcPr>
          <w:p w14:paraId="6F87C8DA" w14:textId="77777777" w:rsidR="00A56025" w:rsidRPr="00EE3E44" w:rsidRDefault="00A56025">
            <w:pPr>
              <w:jc w:val="center"/>
              <w:textAlignment w:val="baseline"/>
              <w:rPr>
                <w:rFonts w:eastAsia="Times New Roman" w:cs="Times New Roman"/>
                <w:sz w:val="18"/>
                <w:szCs w:val="18"/>
              </w:rPr>
            </w:pPr>
            <w:r w:rsidRPr="00DE5BF0">
              <w:rPr>
                <w:rFonts w:eastAsia="Times New Roman" w:cs="Times New Roman"/>
                <w:b/>
                <w:bCs/>
                <w:i/>
                <w:iCs/>
                <w:color w:val="000000"/>
                <w:szCs w:val="24"/>
              </w:rPr>
              <w:lastRenderedPageBreak/>
              <w:t>Total Onshore Federal</w:t>
            </w:r>
          </w:p>
        </w:tc>
        <w:tc>
          <w:tcPr>
            <w:tcW w:w="1551" w:type="dxa"/>
          </w:tcPr>
          <w:p w14:paraId="473143E3" w14:textId="3D624B36" w:rsidR="00A56025" w:rsidRPr="005C0B2B" w:rsidRDefault="00443E82">
            <w:pPr>
              <w:spacing w:line="480" w:lineRule="auto"/>
              <w:jc w:val="center"/>
              <w:textAlignment w:val="baseline"/>
              <w:rPr>
                <w:rFonts w:eastAsia="Times New Roman" w:cs="Times New Roman"/>
                <w:sz w:val="20"/>
                <w:szCs w:val="20"/>
              </w:rPr>
            </w:pPr>
            <w:r w:rsidRPr="005C0B2B">
              <w:rPr>
                <w:sz w:val="20"/>
                <w:szCs w:val="20"/>
              </w:rPr>
              <w:t>612</w:t>
            </w:r>
          </w:p>
        </w:tc>
        <w:tc>
          <w:tcPr>
            <w:tcW w:w="1590" w:type="dxa"/>
          </w:tcPr>
          <w:p w14:paraId="48063C7F" w14:textId="7EEC37F2" w:rsidR="00A56025" w:rsidRPr="005C0B2B" w:rsidRDefault="00443E82">
            <w:pPr>
              <w:spacing w:line="480" w:lineRule="auto"/>
              <w:jc w:val="center"/>
              <w:textAlignment w:val="baseline"/>
              <w:rPr>
                <w:rFonts w:eastAsia="Times New Roman" w:cs="Times New Roman"/>
                <w:sz w:val="20"/>
                <w:szCs w:val="20"/>
              </w:rPr>
            </w:pPr>
            <w:r w:rsidRPr="005C0B2B">
              <w:rPr>
                <w:sz w:val="20"/>
                <w:szCs w:val="20"/>
              </w:rPr>
              <w:t>4,820</w:t>
            </w:r>
          </w:p>
        </w:tc>
        <w:tc>
          <w:tcPr>
            <w:tcW w:w="1116" w:type="dxa"/>
          </w:tcPr>
          <w:p w14:paraId="324BB698" w14:textId="472B3D3E" w:rsidR="00A56025" w:rsidRPr="005C0B2B" w:rsidRDefault="00443E82">
            <w:pPr>
              <w:spacing w:line="480" w:lineRule="auto"/>
              <w:jc w:val="center"/>
              <w:textAlignment w:val="baseline"/>
              <w:rPr>
                <w:rFonts w:eastAsia="Times New Roman" w:cs="Times New Roman"/>
                <w:sz w:val="20"/>
                <w:szCs w:val="20"/>
              </w:rPr>
            </w:pPr>
            <w:r w:rsidRPr="005C0B2B">
              <w:rPr>
                <w:sz w:val="20"/>
                <w:szCs w:val="20"/>
              </w:rPr>
              <w:t>967</w:t>
            </w:r>
          </w:p>
        </w:tc>
        <w:tc>
          <w:tcPr>
            <w:tcW w:w="1425" w:type="dxa"/>
          </w:tcPr>
          <w:p w14:paraId="1DA8B29F" w14:textId="60D956F4" w:rsidR="00A56025" w:rsidRPr="005C0B2B" w:rsidRDefault="00443E82">
            <w:pPr>
              <w:spacing w:line="480" w:lineRule="auto"/>
              <w:jc w:val="center"/>
              <w:textAlignment w:val="baseline"/>
              <w:rPr>
                <w:rFonts w:eastAsia="Times New Roman" w:cs="Times New Roman"/>
                <w:sz w:val="20"/>
                <w:szCs w:val="20"/>
              </w:rPr>
            </w:pPr>
            <w:r w:rsidRPr="005C0B2B">
              <w:rPr>
                <w:sz w:val="20"/>
                <w:szCs w:val="20"/>
              </w:rPr>
              <w:t>495</w:t>
            </w:r>
          </w:p>
        </w:tc>
        <w:tc>
          <w:tcPr>
            <w:tcW w:w="1275" w:type="dxa"/>
          </w:tcPr>
          <w:p w14:paraId="6BD94996" w14:textId="0CE9A9E8" w:rsidR="00A56025" w:rsidRPr="005C0B2B" w:rsidRDefault="00443E82">
            <w:pPr>
              <w:spacing w:line="480" w:lineRule="auto"/>
              <w:jc w:val="center"/>
              <w:textAlignment w:val="baseline"/>
              <w:rPr>
                <w:rFonts w:eastAsia="Times New Roman" w:cs="Times New Roman"/>
                <w:sz w:val="20"/>
                <w:szCs w:val="20"/>
              </w:rPr>
            </w:pPr>
            <w:r w:rsidRPr="005C0B2B">
              <w:rPr>
                <w:sz w:val="20"/>
                <w:szCs w:val="20"/>
              </w:rPr>
              <w:t>6,282</w:t>
            </w:r>
          </w:p>
        </w:tc>
        <w:tc>
          <w:tcPr>
            <w:tcW w:w="1350" w:type="dxa"/>
          </w:tcPr>
          <w:p w14:paraId="09E8F8CE" w14:textId="7B27E5E5" w:rsidR="00A56025" w:rsidRPr="005C0B2B" w:rsidRDefault="00443E82">
            <w:pPr>
              <w:spacing w:line="480" w:lineRule="auto"/>
              <w:jc w:val="center"/>
              <w:textAlignment w:val="baseline"/>
              <w:rPr>
                <w:rFonts w:eastAsia="Times New Roman" w:cs="Times New Roman"/>
                <w:sz w:val="20"/>
                <w:szCs w:val="20"/>
              </w:rPr>
            </w:pPr>
            <w:r w:rsidRPr="005C0B2B">
              <w:rPr>
                <w:sz w:val="20"/>
                <w:szCs w:val="20"/>
              </w:rPr>
              <w:t>17,264</w:t>
            </w:r>
          </w:p>
        </w:tc>
      </w:tr>
    </w:tbl>
    <w:p w14:paraId="410E8B90" w14:textId="77777777" w:rsidR="00A56025" w:rsidRDefault="00A56025" w:rsidP="00A56025">
      <w:pPr>
        <w:rPr>
          <w:rStyle w:val="normaltextrun"/>
          <w:sz w:val="20"/>
          <w:szCs w:val="20"/>
          <w:shd w:val="clear" w:color="auto" w:fill="FFFFFF"/>
        </w:rPr>
      </w:pPr>
      <w:r w:rsidRPr="2106DB67">
        <w:rPr>
          <w:rStyle w:val="normaltextrun"/>
          <w:sz w:val="20"/>
          <w:szCs w:val="20"/>
        </w:rPr>
        <w:t>Source: BLM Annual GHG Report, Section 7</w:t>
      </w:r>
    </w:p>
    <w:p w14:paraId="660CE150" w14:textId="77777777" w:rsidR="00A56025" w:rsidRDefault="00A56025" w:rsidP="00A56025">
      <w:pPr>
        <w:rPr>
          <w:rStyle w:val="BodyTextChar"/>
        </w:rPr>
      </w:pPr>
    </w:p>
    <w:p w14:paraId="559FC063" w14:textId="1181AAE9" w:rsidR="00EE4678" w:rsidRPr="0092034C" w:rsidRDefault="00A56025" w:rsidP="00EE4678">
      <w:pPr>
        <w:pBdr>
          <w:top w:val="nil"/>
          <w:left w:val="nil"/>
          <w:bottom w:val="nil"/>
          <w:right w:val="nil"/>
          <w:between w:val="nil"/>
        </w:pBdr>
        <w:rPr>
          <w:rFonts w:cs="Times New Roman"/>
        </w:rPr>
      </w:pPr>
      <w:r w:rsidRPr="2F4EA3C6">
        <w:rPr>
          <w:rStyle w:val="BodyTextChar"/>
        </w:rPr>
        <w:t xml:space="preserve">As detailed in the </w:t>
      </w:r>
      <w:commentRangeStart w:id="288"/>
      <w:r w:rsidRPr="2F4EA3C6">
        <w:rPr>
          <w:rStyle w:val="BodyTextChar"/>
        </w:rPr>
        <w:t>202</w:t>
      </w:r>
      <w:r w:rsidR="00C22DA3">
        <w:rPr>
          <w:rStyle w:val="BodyTextChar"/>
        </w:rPr>
        <w:t>3</w:t>
      </w:r>
      <w:commentRangeEnd w:id="288"/>
      <w:r w:rsidR="00C30A31">
        <w:rPr>
          <w:rStyle w:val="CommentReference"/>
        </w:rPr>
        <w:commentReference w:id="288"/>
      </w:r>
      <w:r w:rsidRPr="2F4EA3C6">
        <w:rPr>
          <w:rStyle w:val="BodyTextChar"/>
        </w:rPr>
        <w:t xml:space="preserve"> Annual GHG Report, which the BLM has incorporated by reference, the BLM also looked at other tools to inform its analysis, including the </w:t>
      </w:r>
      <w:hyperlink r:id="rId36" w:tgtFrame="_blank" w:history="1">
        <w:r w:rsidRPr="0074170B">
          <w:rPr>
            <w:rFonts w:cs="Times New Roman"/>
            <w:color w:val="0000FF"/>
            <w:spacing w:val="11"/>
            <w:u w:val="single"/>
          </w:rPr>
          <w:t>Model for the Assessment of Greenhouse Gas Induced Climate Change (MAGICC)</w:t>
        </w:r>
      </w:hyperlink>
      <w:r w:rsidRPr="2F4EA3C6">
        <w:rPr>
          <w:rStyle w:val="BodyTextChar"/>
        </w:rPr>
        <w:t xml:space="preserve"> (see Section 9.0 of the Annual GHG Report). BLM conducted MAGICC runs evaluating potential contributions to global climate change and related values for two climate change projection scenarios. These two scenarios were chosen because they most closely approximate or frame the desired outcomes of the Paris Climate Accord and would also reflect the greatest contribution as a percent of BLM's authorized cumulative emissions relative to the global emissions levels contained in the scenarios.</w:t>
      </w:r>
      <w:r w:rsidR="00EE4678">
        <w:rPr>
          <w:rStyle w:val="BodyTextChar"/>
        </w:rPr>
        <w:t xml:space="preserve"> The </w:t>
      </w:r>
      <w:r w:rsidR="00EE4678" w:rsidRPr="0092034C">
        <w:rPr>
          <w:rFonts w:cs="Times New Roman"/>
        </w:rPr>
        <w:t>Intergovernmental Panel on Climate Change</w:t>
      </w:r>
      <w:r w:rsidR="00EE4678">
        <w:rPr>
          <w:rFonts w:cs="Times New Roman"/>
        </w:rPr>
        <w:t>’s</w:t>
      </w:r>
    </w:p>
    <w:p w14:paraId="172C9747" w14:textId="14B2FF70" w:rsidR="00A56025" w:rsidRPr="00BA0F3A" w:rsidRDefault="00A56025" w:rsidP="00A56025">
      <w:pPr>
        <w:rPr>
          <w:rStyle w:val="normaltextrun"/>
          <w:rFonts w:cs="Times New Roman"/>
          <w:shd w:val="clear" w:color="auto" w:fill="FAFAFA"/>
        </w:rPr>
      </w:pPr>
      <w:r w:rsidRPr="2F4EA3C6">
        <w:rPr>
          <w:rStyle w:val="BodyTextChar"/>
        </w:rPr>
        <w:t xml:space="preserve"> </w:t>
      </w:r>
      <w:r w:rsidR="00EE4678">
        <w:rPr>
          <w:rStyle w:val="BodyTextChar"/>
        </w:rPr>
        <w:t>(</w:t>
      </w:r>
      <w:r w:rsidRPr="2F4EA3C6">
        <w:rPr>
          <w:rStyle w:val="BodyTextChar"/>
        </w:rPr>
        <w:t>IPCC</w:t>
      </w:r>
      <w:r w:rsidR="00EE4678">
        <w:rPr>
          <w:rStyle w:val="BodyTextChar"/>
        </w:rPr>
        <w:t>)</w:t>
      </w:r>
      <w:r w:rsidRPr="2F4EA3C6">
        <w:rPr>
          <w:rStyle w:val="BodyTextChar"/>
        </w:rPr>
        <w:t xml:space="preserve"> most optimistic scenario evaluates global CO</w:t>
      </w:r>
      <w:r w:rsidRPr="00F31E9B">
        <w:rPr>
          <w:rStyle w:val="BodyTextChar"/>
          <w:vertAlign w:val="subscript"/>
        </w:rPr>
        <w:t>2</w:t>
      </w:r>
      <w:r w:rsidRPr="2F4EA3C6">
        <w:rPr>
          <w:rStyle w:val="BodyTextChar"/>
        </w:rPr>
        <w:t xml:space="preserve"> emissions cut to net zero around 2050. This is the only scenario that meets the Paris Agreement’s goal of keeping global warming to around 1.5 </w:t>
      </w:r>
      <w:r w:rsidR="00FB20B0">
        <w:rPr>
          <w:rStyle w:val="BodyTextChar"/>
          <w:rFonts w:cs="Times New Roman"/>
        </w:rPr>
        <w:t>°</w:t>
      </w:r>
      <w:r w:rsidRPr="2F4EA3C6">
        <w:rPr>
          <w:rStyle w:val="BodyTextChar"/>
        </w:rPr>
        <w:t>C above pre-industrial temperatures. The second “middle of the road” scenario leaves global CO</w:t>
      </w:r>
      <w:r w:rsidRPr="00492F35">
        <w:rPr>
          <w:rStyle w:val="BodyTextChar"/>
          <w:vertAlign w:val="subscript"/>
        </w:rPr>
        <w:t>2</w:t>
      </w:r>
      <w:r w:rsidRPr="2F4EA3C6">
        <w:rPr>
          <w:rStyle w:val="BodyTextChar"/>
        </w:rPr>
        <w:t xml:space="preserve"> emissions around current levels before starting to fall by 2050 but does not reach net-zero by 2100. In this scenario, temperatures rise 2.7 </w:t>
      </w:r>
      <w:r w:rsidR="002B359A">
        <w:rPr>
          <w:rStyle w:val="BodyTextChar"/>
          <w:rFonts w:cs="Times New Roman"/>
        </w:rPr>
        <w:t>°</w:t>
      </w:r>
      <w:r w:rsidRPr="2F4EA3C6">
        <w:rPr>
          <w:rStyle w:val="BodyTextChar"/>
        </w:rPr>
        <w:t>C by the end of the century. The maximum BLM fossil fuel (oil, gas</w:t>
      </w:r>
      <w:r w:rsidR="009F33DE">
        <w:rPr>
          <w:rStyle w:val="BodyTextChar"/>
        </w:rPr>
        <w:t>,</w:t>
      </w:r>
      <w:r w:rsidRPr="2F4EA3C6">
        <w:rPr>
          <w:rStyle w:val="BodyTextChar"/>
        </w:rPr>
        <w:t xml:space="preserve"> and coal) contribution to global temperature increases under these two scenarios is 0.015 </w:t>
      </w:r>
      <w:r w:rsidR="004D4617">
        <w:rPr>
          <w:rStyle w:val="BodyTextChar"/>
          <w:rFonts w:cs="Times New Roman"/>
        </w:rPr>
        <w:t>°</w:t>
      </w:r>
      <w:r w:rsidRPr="2F4EA3C6">
        <w:rPr>
          <w:rStyle w:val="BodyTextChar"/>
        </w:rPr>
        <w:t xml:space="preserve">C and 0.013 </w:t>
      </w:r>
      <w:r w:rsidR="004D4617">
        <w:rPr>
          <w:rStyle w:val="BodyTextChar"/>
          <w:rFonts w:cs="Times New Roman"/>
        </w:rPr>
        <w:t>°</w:t>
      </w:r>
      <w:r w:rsidRPr="2F4EA3C6">
        <w:rPr>
          <w:rStyle w:val="BodyTextChar"/>
        </w:rPr>
        <w:t xml:space="preserve">C, respectively. </w:t>
      </w:r>
      <w:r>
        <w:rPr>
          <w:szCs w:val="24"/>
        </w:rPr>
        <w:t>T</w:t>
      </w:r>
      <w:r w:rsidRPr="5E01271A">
        <w:rPr>
          <w:szCs w:val="24"/>
        </w:rPr>
        <w:t xml:space="preserve">his is an assessment of what BLM has projected could come from the entire Federal fossil fuel program, including the projected emissions from the </w:t>
      </w:r>
      <w:r>
        <w:rPr>
          <w:szCs w:val="24"/>
        </w:rPr>
        <w:t>leases</w:t>
      </w:r>
      <w:r w:rsidRPr="5E01271A">
        <w:rPr>
          <w:szCs w:val="24"/>
        </w:rPr>
        <w:t>, over the next 30 years</w:t>
      </w:r>
      <w:r>
        <w:rPr>
          <w:szCs w:val="24"/>
        </w:rPr>
        <w:t>.</w:t>
      </w:r>
    </w:p>
    <w:p w14:paraId="24B430C6" w14:textId="77777777" w:rsidR="00A56025" w:rsidRDefault="00A56025" w:rsidP="00A56025">
      <w:pPr>
        <w:rPr>
          <w:rFonts w:cs="Times New Roman"/>
        </w:rPr>
      </w:pPr>
    </w:p>
    <w:p w14:paraId="2FBFD553" w14:textId="3883452C" w:rsidR="00A56025" w:rsidRDefault="00A56025" w:rsidP="00A56025">
      <w:pPr>
        <w:widowControl w:val="0"/>
        <w:rPr>
          <w:rFonts w:eastAsia="Calibri" w:cs="Times New Roman"/>
          <w:color w:val="000000" w:themeColor="text1"/>
        </w:rPr>
      </w:pPr>
      <w:r>
        <w:rPr>
          <w:rFonts w:eastAsia="Calibri" w:cs="Times New Roman"/>
          <w:color w:val="000000" w:themeColor="text1"/>
        </w:rPr>
        <w:t>R</w:t>
      </w:r>
      <w:r w:rsidRPr="2ED23ECC">
        <w:rPr>
          <w:rFonts w:eastAsia="Calibri" w:cs="Times New Roman"/>
          <w:color w:val="000000" w:themeColor="text1"/>
        </w:rPr>
        <w:t>ecent short-term energy outlook</w:t>
      </w:r>
      <w:r>
        <w:rPr>
          <w:rFonts w:eastAsia="Calibri" w:cs="Times New Roman"/>
          <w:color w:val="000000" w:themeColor="text1"/>
        </w:rPr>
        <w:t xml:space="preserve"> reports</w:t>
      </w:r>
      <w:r w:rsidRPr="2ED23ECC">
        <w:rPr>
          <w:rFonts w:eastAsia="Calibri" w:cs="Times New Roman"/>
          <w:color w:val="000000" w:themeColor="text1"/>
        </w:rPr>
        <w:t xml:space="preserve"> (STEO) published by the EIA (https://www.eia.gov/outlooks/steo/) </w:t>
      </w:r>
      <w:sdt>
        <w:sdtPr>
          <w:rPr>
            <w:color w:val="000000" w:themeColor="text1"/>
          </w:rPr>
          <w:id w:val="-277869737"/>
          <w:placeholder>
            <w:docPart w:val="A7592002DAE14E83B89956904FC2DA7C"/>
          </w:placeholder>
          <w:citation/>
        </w:sdtPr>
        <w:sdtContent>
          <w:r w:rsidRPr="2ED23ECC">
            <w:rPr>
              <w:color w:val="000000" w:themeColor="text1"/>
            </w:rPr>
            <w:fldChar w:fldCharType="begin"/>
          </w:r>
          <w:r w:rsidR="00681176">
            <w:rPr>
              <w:color w:val="000000" w:themeColor="text1"/>
            </w:rPr>
            <w:instrText xml:space="preserve">CITATION EIA23 \t  \l 1033 </w:instrText>
          </w:r>
          <w:r w:rsidRPr="2ED23ECC">
            <w:rPr>
              <w:color w:val="000000" w:themeColor="text1"/>
            </w:rPr>
            <w:fldChar w:fldCharType="separate"/>
          </w:r>
          <w:r w:rsidR="0093463A" w:rsidRPr="0093463A">
            <w:rPr>
              <w:noProof/>
              <w:color w:val="000000" w:themeColor="text1"/>
            </w:rPr>
            <w:t>(EIA, 2024)</w:t>
          </w:r>
          <w:r w:rsidRPr="2ED23ECC">
            <w:rPr>
              <w:color w:val="000000" w:themeColor="text1"/>
            </w:rPr>
            <w:fldChar w:fldCharType="end"/>
          </w:r>
        </w:sdtContent>
      </w:sdt>
      <w:r w:rsidRPr="2ED23ECC">
        <w:rPr>
          <w:color w:val="000000" w:themeColor="text1"/>
        </w:rPr>
        <w:t xml:space="preserve"> </w:t>
      </w:r>
      <w:r w:rsidRPr="2ED23ECC">
        <w:rPr>
          <w:rFonts w:eastAsia="Calibri" w:cs="Times New Roman"/>
          <w:color w:val="000000" w:themeColor="text1"/>
        </w:rPr>
        <w:t xml:space="preserve">predict that the world’s oil and gas supply and consumption will increase over the next 18-24 months. The STEO projections are useful for providing context for the </w:t>
      </w:r>
      <w:r>
        <w:rPr>
          <w:rFonts w:eastAsia="Calibri" w:cs="Times New Roman"/>
          <w:color w:val="000000" w:themeColor="text1"/>
        </w:rPr>
        <w:t>cumulative</w:t>
      </w:r>
      <w:r w:rsidRPr="2ED23ECC">
        <w:rPr>
          <w:rFonts w:eastAsia="Calibri" w:cs="Times New Roman"/>
          <w:color w:val="000000" w:themeColor="text1"/>
        </w:rPr>
        <w:t xml:space="preserve"> discussion as the global forecast models used for the STEO are not dependent on whether the BLM issues onshore leases but are based on foreseeable short-term global supply and demand and include oil and gas development /operations on existing U.S. onshore leases. </w:t>
      </w:r>
      <w:r>
        <w:rPr>
          <w:rFonts w:eastAsia="Calibri" w:cs="Times New Roman"/>
          <w:color w:val="000000" w:themeColor="text1"/>
        </w:rPr>
        <w:t>R</w:t>
      </w:r>
      <w:r w:rsidRPr="2ED23ECC">
        <w:rPr>
          <w:rFonts w:eastAsia="Calibri" w:cs="Times New Roman"/>
          <w:color w:val="000000" w:themeColor="text1"/>
        </w:rPr>
        <w:t>ecent STEO</w:t>
      </w:r>
      <w:r>
        <w:rPr>
          <w:rFonts w:eastAsia="Calibri" w:cs="Times New Roman"/>
          <w:color w:val="000000" w:themeColor="text1"/>
        </w:rPr>
        <w:t>s</w:t>
      </w:r>
      <w:r w:rsidRPr="2ED23ECC">
        <w:rPr>
          <w:rFonts w:eastAsia="Calibri" w:cs="Times New Roman"/>
          <w:color w:val="000000" w:themeColor="text1"/>
        </w:rPr>
        <w:t xml:space="preserve"> includes the following projections for the next two years: </w:t>
      </w:r>
    </w:p>
    <w:p w14:paraId="6D67B03C" w14:textId="77777777" w:rsidR="00A56025" w:rsidRPr="00F50DBD" w:rsidRDefault="00A56025" w:rsidP="00A56025">
      <w:pPr>
        <w:widowControl w:val="0"/>
        <w:rPr>
          <w:rFonts w:eastAsia="Calibri" w:cs="Times New Roman"/>
          <w:color w:val="000000" w:themeColor="text1"/>
        </w:rPr>
      </w:pPr>
    </w:p>
    <w:p w14:paraId="3DE0DAE5" w14:textId="229B65C3" w:rsidR="00A56025" w:rsidRPr="002A7E7B" w:rsidRDefault="00A56025" w:rsidP="00A56025">
      <w:pPr>
        <w:pStyle w:val="ListParagraph"/>
        <w:widowControl w:val="0"/>
        <w:numPr>
          <w:ilvl w:val="0"/>
          <w:numId w:val="55"/>
        </w:numPr>
        <w:autoSpaceDE w:val="0"/>
        <w:autoSpaceDN w:val="0"/>
        <w:spacing w:after="120"/>
        <w:rPr>
          <w:rFonts w:eastAsiaTheme="minorEastAsia"/>
          <w:color w:val="333333"/>
          <w:szCs w:val="24"/>
        </w:rPr>
      </w:pPr>
      <w:r>
        <w:rPr>
          <w:color w:val="333333"/>
          <w:szCs w:val="24"/>
        </w:rPr>
        <w:t>U.S.</w:t>
      </w:r>
      <w:r w:rsidRPr="002A7E7B">
        <w:rPr>
          <w:color w:val="333333"/>
          <w:szCs w:val="24"/>
        </w:rPr>
        <w:t xml:space="preserve"> liquid fuels </w:t>
      </w:r>
      <w:r>
        <w:rPr>
          <w:color w:val="333333"/>
          <w:szCs w:val="24"/>
        </w:rPr>
        <w:t>consumption</w:t>
      </w:r>
      <w:r w:rsidRPr="002A7E7B">
        <w:rPr>
          <w:color w:val="333333"/>
          <w:szCs w:val="24"/>
        </w:rPr>
        <w:t xml:space="preserve"> </w:t>
      </w:r>
      <w:r>
        <w:rPr>
          <w:color w:val="333333"/>
          <w:szCs w:val="24"/>
        </w:rPr>
        <w:t>is projected to increase to 20.</w:t>
      </w:r>
      <w:r w:rsidR="003C6CAA">
        <w:rPr>
          <w:color w:val="333333"/>
          <w:szCs w:val="24"/>
        </w:rPr>
        <w:t>64</w:t>
      </w:r>
      <w:r>
        <w:rPr>
          <w:color w:val="333333"/>
          <w:szCs w:val="24"/>
        </w:rPr>
        <w:t xml:space="preserve"> million barrels per day (b/d) </w:t>
      </w:r>
      <w:r w:rsidRPr="002A7E7B">
        <w:rPr>
          <w:color w:val="333333"/>
          <w:szCs w:val="24"/>
        </w:rPr>
        <w:t>in 202</w:t>
      </w:r>
      <w:r w:rsidR="00AA4063">
        <w:rPr>
          <w:color w:val="333333"/>
          <w:szCs w:val="24"/>
        </w:rPr>
        <w:t>5</w:t>
      </w:r>
      <w:r>
        <w:rPr>
          <w:color w:val="333333"/>
          <w:szCs w:val="24"/>
        </w:rPr>
        <w:t xml:space="preserve"> up from 20.</w:t>
      </w:r>
      <w:r w:rsidR="00AA4063">
        <w:rPr>
          <w:color w:val="333333"/>
          <w:szCs w:val="24"/>
        </w:rPr>
        <w:t>33</w:t>
      </w:r>
      <w:r>
        <w:rPr>
          <w:color w:val="333333"/>
          <w:szCs w:val="24"/>
        </w:rPr>
        <w:t xml:space="preserve"> million b/d in 202</w:t>
      </w:r>
      <w:r w:rsidR="00AA4063">
        <w:rPr>
          <w:color w:val="333333"/>
          <w:szCs w:val="24"/>
        </w:rPr>
        <w:t>4</w:t>
      </w:r>
      <w:r>
        <w:rPr>
          <w:color w:val="333333"/>
          <w:szCs w:val="24"/>
        </w:rPr>
        <w:t>.</w:t>
      </w:r>
      <w:r w:rsidRPr="002A7E7B">
        <w:rPr>
          <w:color w:val="333333"/>
          <w:szCs w:val="24"/>
        </w:rPr>
        <w:t xml:space="preserve"> </w:t>
      </w:r>
    </w:p>
    <w:p w14:paraId="763A48A6" w14:textId="4E041EBC" w:rsidR="00A56025" w:rsidRPr="000C7654" w:rsidRDefault="00A56025" w:rsidP="00A56025">
      <w:pPr>
        <w:pStyle w:val="ListParagraph"/>
        <w:widowControl w:val="0"/>
        <w:numPr>
          <w:ilvl w:val="0"/>
          <w:numId w:val="55"/>
        </w:numPr>
        <w:autoSpaceDE w:val="0"/>
        <w:autoSpaceDN w:val="0"/>
        <w:spacing w:after="120"/>
        <w:rPr>
          <w:rFonts w:eastAsiaTheme="minorEastAsia"/>
          <w:color w:val="333333"/>
          <w:szCs w:val="24"/>
        </w:rPr>
      </w:pPr>
      <w:r w:rsidRPr="002A7E7B">
        <w:rPr>
          <w:color w:val="333333"/>
          <w:szCs w:val="24"/>
        </w:rPr>
        <w:t xml:space="preserve">U.S. crude oil production is expected to average </w:t>
      </w:r>
      <w:r>
        <w:rPr>
          <w:color w:val="333333"/>
          <w:szCs w:val="24"/>
        </w:rPr>
        <w:t>13.</w:t>
      </w:r>
      <w:r w:rsidR="00FC7255">
        <w:rPr>
          <w:color w:val="333333"/>
          <w:szCs w:val="24"/>
        </w:rPr>
        <w:t>30</w:t>
      </w:r>
      <w:r w:rsidRPr="002A7E7B">
        <w:rPr>
          <w:color w:val="333333"/>
          <w:szCs w:val="24"/>
        </w:rPr>
        <w:t xml:space="preserve"> million b/d in 202</w:t>
      </w:r>
      <w:r>
        <w:rPr>
          <w:color w:val="333333"/>
          <w:szCs w:val="24"/>
        </w:rPr>
        <w:t>4</w:t>
      </w:r>
      <w:r w:rsidRPr="002A7E7B">
        <w:rPr>
          <w:color w:val="333333"/>
          <w:szCs w:val="24"/>
        </w:rPr>
        <w:t xml:space="preserve"> and rise to </w:t>
      </w:r>
      <w:r>
        <w:rPr>
          <w:color w:val="333333"/>
          <w:szCs w:val="24"/>
        </w:rPr>
        <w:t>13.</w:t>
      </w:r>
      <w:r w:rsidR="00D218AB">
        <w:rPr>
          <w:color w:val="333333"/>
          <w:szCs w:val="24"/>
        </w:rPr>
        <w:t>70</w:t>
      </w:r>
      <w:r w:rsidRPr="002A7E7B">
        <w:rPr>
          <w:color w:val="333333"/>
          <w:szCs w:val="24"/>
        </w:rPr>
        <w:t xml:space="preserve"> million b/d in 202</w:t>
      </w:r>
      <w:r>
        <w:rPr>
          <w:color w:val="333333"/>
          <w:szCs w:val="24"/>
        </w:rPr>
        <w:t xml:space="preserve">5. </w:t>
      </w:r>
    </w:p>
    <w:p w14:paraId="3501F0C1" w14:textId="0AC98DBC" w:rsidR="00A56025" w:rsidRPr="000C7654" w:rsidRDefault="00A56025" w:rsidP="00A56025">
      <w:pPr>
        <w:pStyle w:val="ListParagraph"/>
        <w:widowControl w:val="0"/>
        <w:numPr>
          <w:ilvl w:val="0"/>
          <w:numId w:val="55"/>
        </w:numPr>
        <w:autoSpaceDE w:val="0"/>
        <w:autoSpaceDN w:val="0"/>
        <w:spacing w:after="120" w:line="259" w:lineRule="auto"/>
        <w:rPr>
          <w:rFonts w:eastAsiaTheme="minorEastAsia" w:cs="Times New Roman"/>
          <w:color w:val="333333"/>
          <w:szCs w:val="24"/>
        </w:rPr>
      </w:pPr>
      <w:r>
        <w:rPr>
          <w:rFonts w:cs="Times New Roman"/>
          <w:color w:val="333333"/>
          <w:szCs w:val="24"/>
          <w:shd w:val="clear" w:color="auto" w:fill="FFFFFF"/>
        </w:rPr>
        <w:t>U.S n</w:t>
      </w:r>
      <w:r w:rsidRPr="000C7654">
        <w:rPr>
          <w:rFonts w:cs="Times New Roman"/>
          <w:color w:val="333333"/>
          <w:szCs w:val="24"/>
          <w:shd w:val="clear" w:color="auto" w:fill="FFFFFF"/>
        </w:rPr>
        <w:t xml:space="preserve">atural gas </w:t>
      </w:r>
      <w:r>
        <w:rPr>
          <w:rFonts w:cs="Times New Roman"/>
          <w:color w:val="333333"/>
          <w:szCs w:val="24"/>
          <w:shd w:val="clear" w:color="auto" w:fill="FFFFFF"/>
        </w:rPr>
        <w:t>consumption</w:t>
      </w:r>
      <w:r w:rsidRPr="000C7654">
        <w:rPr>
          <w:rFonts w:cs="Times New Roman"/>
          <w:color w:val="333333"/>
          <w:szCs w:val="24"/>
          <w:shd w:val="clear" w:color="auto" w:fill="FFFFFF"/>
        </w:rPr>
        <w:t xml:space="preserve"> is expected to average </w:t>
      </w:r>
      <w:r>
        <w:rPr>
          <w:rFonts w:cs="Times New Roman"/>
          <w:color w:val="333333"/>
          <w:szCs w:val="24"/>
          <w:shd w:val="clear" w:color="auto" w:fill="FFFFFF"/>
        </w:rPr>
        <w:t>89.</w:t>
      </w:r>
      <w:r w:rsidR="00D218AB">
        <w:rPr>
          <w:rFonts w:cs="Times New Roman"/>
          <w:color w:val="333333"/>
          <w:szCs w:val="24"/>
          <w:shd w:val="clear" w:color="auto" w:fill="FFFFFF"/>
        </w:rPr>
        <w:t>90</w:t>
      </w:r>
      <w:r w:rsidRPr="000C7654">
        <w:rPr>
          <w:rFonts w:cs="Times New Roman"/>
          <w:color w:val="333333"/>
          <w:szCs w:val="24"/>
          <w:shd w:val="clear" w:color="auto" w:fill="FFFFFF"/>
        </w:rPr>
        <w:t xml:space="preserve"> Bcf/d in 202</w:t>
      </w:r>
      <w:r>
        <w:rPr>
          <w:rFonts w:cs="Times New Roman"/>
          <w:color w:val="333333"/>
          <w:szCs w:val="24"/>
          <w:shd w:val="clear" w:color="auto" w:fill="FFFFFF"/>
        </w:rPr>
        <w:t>4</w:t>
      </w:r>
      <w:r w:rsidRPr="000C7654">
        <w:rPr>
          <w:rFonts w:cs="Times New Roman"/>
          <w:color w:val="333333"/>
          <w:szCs w:val="24"/>
          <w:shd w:val="clear" w:color="auto" w:fill="FFFFFF"/>
        </w:rPr>
        <w:t xml:space="preserve">, </w:t>
      </w:r>
      <w:r>
        <w:rPr>
          <w:rFonts w:cs="Times New Roman"/>
          <w:color w:val="333333"/>
          <w:szCs w:val="24"/>
          <w:shd w:val="clear" w:color="auto" w:fill="FFFFFF"/>
        </w:rPr>
        <w:t>decreasing slightly to 89.</w:t>
      </w:r>
      <w:r w:rsidR="002C7390">
        <w:rPr>
          <w:rFonts w:cs="Times New Roman"/>
          <w:color w:val="333333"/>
          <w:szCs w:val="24"/>
          <w:shd w:val="clear" w:color="auto" w:fill="FFFFFF"/>
        </w:rPr>
        <w:t>5</w:t>
      </w:r>
      <w:r w:rsidR="00682C24">
        <w:rPr>
          <w:rFonts w:cs="Times New Roman"/>
          <w:color w:val="333333"/>
          <w:szCs w:val="24"/>
          <w:shd w:val="clear" w:color="auto" w:fill="FFFFFF"/>
        </w:rPr>
        <w:t>0</w:t>
      </w:r>
      <w:r>
        <w:rPr>
          <w:rFonts w:cs="Times New Roman"/>
          <w:color w:val="333333"/>
          <w:szCs w:val="24"/>
          <w:shd w:val="clear" w:color="auto" w:fill="FFFFFF"/>
        </w:rPr>
        <w:t xml:space="preserve"> Bcf/d in 2025.</w:t>
      </w:r>
    </w:p>
    <w:p w14:paraId="267DFE0C" w14:textId="00AF8680" w:rsidR="00A56025" w:rsidRPr="002A7E7B" w:rsidRDefault="00A56025" w:rsidP="00A56025">
      <w:pPr>
        <w:pStyle w:val="ListParagraph"/>
        <w:widowControl w:val="0"/>
        <w:numPr>
          <w:ilvl w:val="0"/>
          <w:numId w:val="55"/>
        </w:numPr>
        <w:autoSpaceDE w:val="0"/>
        <w:autoSpaceDN w:val="0"/>
        <w:spacing w:after="120"/>
        <w:rPr>
          <w:rFonts w:eastAsiaTheme="minorEastAsia"/>
          <w:color w:val="0000FF"/>
          <w:szCs w:val="24"/>
        </w:rPr>
      </w:pPr>
      <w:r w:rsidRPr="002A7E7B">
        <w:rPr>
          <w:szCs w:val="24"/>
        </w:rPr>
        <w:t>U.S. LNG export</w:t>
      </w:r>
      <w:r>
        <w:rPr>
          <w:szCs w:val="24"/>
        </w:rPr>
        <w:t>s</w:t>
      </w:r>
      <w:r w:rsidRPr="002A7E7B">
        <w:rPr>
          <w:szCs w:val="24"/>
        </w:rPr>
        <w:t xml:space="preserve"> </w:t>
      </w:r>
      <w:r>
        <w:rPr>
          <w:szCs w:val="24"/>
        </w:rPr>
        <w:t xml:space="preserve">are expected to </w:t>
      </w:r>
      <w:r w:rsidRPr="002A7E7B">
        <w:rPr>
          <w:szCs w:val="24"/>
        </w:rPr>
        <w:t>increase</w:t>
      </w:r>
      <w:r w:rsidRPr="002A7E7B">
        <w:rPr>
          <w:color w:val="333333"/>
          <w:szCs w:val="24"/>
        </w:rPr>
        <w:t xml:space="preserve"> </w:t>
      </w:r>
      <w:r>
        <w:rPr>
          <w:color w:val="333333"/>
          <w:szCs w:val="24"/>
        </w:rPr>
        <w:t>from 1</w:t>
      </w:r>
      <w:r w:rsidR="005C6D81">
        <w:rPr>
          <w:color w:val="333333"/>
          <w:szCs w:val="24"/>
        </w:rPr>
        <w:t>2</w:t>
      </w:r>
      <w:r>
        <w:rPr>
          <w:color w:val="333333"/>
          <w:szCs w:val="24"/>
        </w:rPr>
        <w:t xml:space="preserve"> b</w:t>
      </w:r>
      <w:r w:rsidRPr="002A7E7B">
        <w:rPr>
          <w:color w:val="333333"/>
          <w:szCs w:val="24"/>
        </w:rPr>
        <w:t>illion cubic feet/day (Bcf/d) in 202</w:t>
      </w:r>
      <w:r w:rsidR="00185959">
        <w:rPr>
          <w:color w:val="333333"/>
          <w:szCs w:val="24"/>
        </w:rPr>
        <w:t>4</w:t>
      </w:r>
      <w:r>
        <w:rPr>
          <w:color w:val="333333"/>
          <w:szCs w:val="24"/>
        </w:rPr>
        <w:t xml:space="preserve"> to  14 Bcf/d in 2025.  </w:t>
      </w:r>
    </w:p>
    <w:p w14:paraId="7664C30C" w14:textId="0C94985D" w:rsidR="00882010" w:rsidRPr="00162227" w:rsidRDefault="00A56025" w:rsidP="00A56025">
      <w:pPr>
        <w:pStyle w:val="ListParagraph"/>
        <w:widowControl w:val="0"/>
        <w:numPr>
          <w:ilvl w:val="0"/>
          <w:numId w:val="55"/>
        </w:numPr>
        <w:autoSpaceDE w:val="0"/>
        <w:autoSpaceDN w:val="0"/>
        <w:spacing w:after="120"/>
        <w:rPr>
          <w:rFonts w:eastAsia="Times New Roman" w:cs="Times New Roman"/>
          <w:szCs w:val="24"/>
        </w:rPr>
      </w:pPr>
      <w:r>
        <w:rPr>
          <w:rFonts w:cs="Times New Roman"/>
          <w:color w:val="333333"/>
          <w:szCs w:val="24"/>
          <w:shd w:val="clear" w:color="auto" w:fill="FFFFFF"/>
        </w:rPr>
        <w:t xml:space="preserve">U.S. </w:t>
      </w:r>
      <w:r w:rsidRPr="00162227">
        <w:rPr>
          <w:rFonts w:cs="Times New Roman"/>
          <w:color w:val="333333"/>
          <w:szCs w:val="24"/>
          <w:shd w:val="clear" w:color="auto" w:fill="FFFFFF"/>
        </w:rPr>
        <w:t xml:space="preserve">Coal production is expected to total </w:t>
      </w:r>
      <w:r w:rsidR="00B91821">
        <w:rPr>
          <w:rFonts w:cs="Times New Roman"/>
          <w:color w:val="333333"/>
          <w:szCs w:val="24"/>
          <w:shd w:val="clear" w:color="auto" w:fill="FFFFFF"/>
        </w:rPr>
        <w:t>501</w:t>
      </w:r>
      <w:r w:rsidRPr="00162227">
        <w:rPr>
          <w:rFonts w:cs="Times New Roman"/>
          <w:color w:val="333333"/>
          <w:szCs w:val="24"/>
          <w:shd w:val="clear" w:color="auto" w:fill="FFFFFF"/>
        </w:rPr>
        <w:t xml:space="preserve"> million short tons (</w:t>
      </w:r>
      <w:proofErr w:type="spellStart"/>
      <w:r w:rsidRPr="00162227">
        <w:rPr>
          <w:rFonts w:cs="Times New Roman"/>
          <w:color w:val="333333"/>
          <w:szCs w:val="24"/>
          <w:shd w:val="clear" w:color="auto" w:fill="FFFFFF"/>
        </w:rPr>
        <w:t>MMst</w:t>
      </w:r>
      <w:proofErr w:type="spellEnd"/>
      <w:r w:rsidRPr="00162227">
        <w:rPr>
          <w:rFonts w:cs="Times New Roman"/>
          <w:color w:val="333333"/>
          <w:szCs w:val="24"/>
          <w:shd w:val="clear" w:color="auto" w:fill="FFFFFF"/>
        </w:rPr>
        <w:t>) in 202</w:t>
      </w:r>
      <w:r>
        <w:rPr>
          <w:rFonts w:cs="Times New Roman"/>
          <w:color w:val="333333"/>
          <w:szCs w:val="24"/>
          <w:shd w:val="clear" w:color="auto" w:fill="FFFFFF"/>
        </w:rPr>
        <w:t>4 and 4</w:t>
      </w:r>
      <w:r w:rsidR="006A1808">
        <w:rPr>
          <w:rFonts w:cs="Times New Roman"/>
          <w:color w:val="333333"/>
          <w:szCs w:val="24"/>
          <w:shd w:val="clear" w:color="auto" w:fill="FFFFFF"/>
        </w:rPr>
        <w:t>75</w:t>
      </w:r>
      <w:r>
        <w:rPr>
          <w:rFonts w:cs="Times New Roman"/>
          <w:color w:val="333333"/>
          <w:szCs w:val="24"/>
          <w:shd w:val="clear" w:color="auto" w:fill="FFFFFF"/>
        </w:rPr>
        <w:t xml:space="preserve"> </w:t>
      </w:r>
      <w:proofErr w:type="spellStart"/>
      <w:r>
        <w:rPr>
          <w:rFonts w:cs="Times New Roman"/>
          <w:color w:val="333333"/>
          <w:szCs w:val="24"/>
          <w:shd w:val="clear" w:color="auto" w:fill="FFFFFF"/>
        </w:rPr>
        <w:t>MMst</w:t>
      </w:r>
      <w:proofErr w:type="spellEnd"/>
      <w:r>
        <w:rPr>
          <w:rFonts w:cs="Times New Roman"/>
          <w:color w:val="333333"/>
          <w:szCs w:val="24"/>
          <w:shd w:val="clear" w:color="auto" w:fill="FFFFFF"/>
        </w:rPr>
        <w:t xml:space="preserve"> in 2025 and </w:t>
      </w:r>
      <w:r w:rsidR="00C46034">
        <w:rPr>
          <w:rFonts w:cs="Times New Roman"/>
          <w:color w:val="333333"/>
          <w:szCs w:val="24"/>
          <w:shd w:val="clear" w:color="auto" w:fill="FFFFFF"/>
        </w:rPr>
        <w:t>remain at</w:t>
      </w:r>
      <w:r>
        <w:rPr>
          <w:rFonts w:cs="Times New Roman"/>
          <w:color w:val="333333"/>
          <w:szCs w:val="24"/>
          <w:shd w:val="clear" w:color="auto" w:fill="FFFFFF"/>
        </w:rPr>
        <w:t xml:space="preserve"> 1</w:t>
      </w:r>
      <w:r w:rsidR="00C46034">
        <w:rPr>
          <w:rFonts w:cs="Times New Roman"/>
          <w:color w:val="333333"/>
          <w:szCs w:val="24"/>
          <w:shd w:val="clear" w:color="auto" w:fill="FFFFFF"/>
        </w:rPr>
        <w:t>6</w:t>
      </w:r>
      <w:r>
        <w:rPr>
          <w:rFonts w:cs="Times New Roman"/>
          <w:color w:val="333333"/>
          <w:szCs w:val="24"/>
          <w:shd w:val="clear" w:color="auto" w:fill="FFFFFF"/>
        </w:rPr>
        <w:t xml:space="preserve">5% of total U.S. electricity generation in 2024 compared to 17% in 2023 driven by on-going retirement of coal-fired generating plants. </w:t>
      </w:r>
    </w:p>
    <w:p w14:paraId="581079A4" w14:textId="04B0B7F9" w:rsidR="00A56025" w:rsidRPr="00A908F5" w:rsidRDefault="004C1493" w:rsidP="00A56025">
      <w:pPr>
        <w:widowControl w:val="0"/>
        <w:rPr>
          <w:rFonts w:cs="Times New Roman"/>
          <w:color w:val="000000" w:themeColor="text1"/>
        </w:rPr>
      </w:pPr>
      <w:r>
        <w:rPr>
          <w:shd w:val="clear" w:color="auto" w:fill="FFFFFF"/>
        </w:rPr>
        <w:t>Energy g</w:t>
      </w:r>
      <w:r w:rsidR="00A56025" w:rsidRPr="005C3D08">
        <w:rPr>
          <w:shd w:val="clear" w:color="auto" w:fill="FFFFFF"/>
        </w:rPr>
        <w:t>eneration from renewable sources will make up an increasing share of total U.S. electricity generation, rising from 2</w:t>
      </w:r>
      <w:r w:rsidR="00A56025">
        <w:rPr>
          <w:shd w:val="clear" w:color="auto" w:fill="FFFFFF"/>
        </w:rPr>
        <w:t>1</w:t>
      </w:r>
      <w:r w:rsidR="00A56025" w:rsidRPr="005C3D08">
        <w:rPr>
          <w:shd w:val="clear" w:color="auto" w:fill="FFFFFF"/>
        </w:rPr>
        <w:t xml:space="preserve">% in 2023 to 24% in 2024. </w:t>
      </w:r>
      <w:r w:rsidR="00A56025" w:rsidRPr="005C3D08">
        <w:rPr>
          <w:rStyle w:val="normaltextrun"/>
          <w:shd w:val="clear" w:color="auto" w:fill="FFFFFF"/>
        </w:rPr>
        <w:t xml:space="preserve">Recent events, both domestically and internationally, have resulted in abrupt changes to the global oil and gas supply. </w:t>
      </w:r>
      <w:r w:rsidR="00A56025" w:rsidRPr="005C3D08">
        <w:t xml:space="preserve">EIA studies and recent U.S. analyses (associated with weather impacts, etc.) regarding short-term domestic supply disruptions and shortages or sudden increases in demand demonstrate that </w:t>
      </w:r>
      <w:r w:rsidR="00A56025" w:rsidRPr="005C3D08">
        <w:rPr>
          <w:rStyle w:val="normaltextrun"/>
          <w:color w:val="000000"/>
          <w:shd w:val="clear" w:color="auto" w:fill="FFFFFF"/>
        </w:rPr>
        <w:t xml:space="preserve">reducing domestic supply (in the near-term under the current supply and demand scenario) will </w:t>
      </w:r>
      <w:r w:rsidR="00A56025" w:rsidRPr="005C3D08">
        <w:rPr>
          <w:rStyle w:val="normaltextrun"/>
          <w:shd w:val="clear" w:color="auto" w:fill="FFFFFF"/>
        </w:rPr>
        <w:t xml:space="preserve">likely </w:t>
      </w:r>
      <w:r w:rsidR="00A56025" w:rsidRPr="005C3D08">
        <w:rPr>
          <w:rStyle w:val="normaltextrun"/>
          <w:color w:val="000000"/>
          <w:shd w:val="clear" w:color="auto" w:fill="FFFFFF"/>
        </w:rPr>
        <w:t xml:space="preserve">lead to the import of more oil and natural gas from other countries, including countries with lower environmental and emission control standards than </w:t>
      </w:r>
      <w:r w:rsidR="00A56025" w:rsidRPr="005C3D08">
        <w:rPr>
          <w:rStyle w:val="normaltextrun"/>
          <w:color w:val="000000"/>
          <w:shd w:val="clear" w:color="auto" w:fill="FFFFFF"/>
        </w:rPr>
        <w:lastRenderedPageBreak/>
        <w:t xml:space="preserve">the United States </w:t>
      </w:r>
      <w:sdt>
        <w:sdtPr>
          <w:rPr>
            <w:rStyle w:val="normaltextrun"/>
            <w:color w:val="000000"/>
            <w:shd w:val="clear" w:color="auto" w:fill="FFFFFF"/>
          </w:rPr>
          <w:id w:val="2008632651"/>
          <w:citation/>
        </w:sdtPr>
        <w:sdtContent>
          <w:r w:rsidR="00322EAB">
            <w:rPr>
              <w:rStyle w:val="normaltextrun"/>
              <w:color w:val="000000"/>
              <w:shd w:val="clear" w:color="auto" w:fill="FFFFFF"/>
            </w:rPr>
            <w:fldChar w:fldCharType="begin"/>
          </w:r>
          <w:r w:rsidR="00322EAB">
            <w:rPr>
              <w:rStyle w:val="normaltextrun"/>
              <w:color w:val="000000"/>
              <w:shd w:val="clear" w:color="auto" w:fill="FFFFFF"/>
            </w:rPr>
            <w:instrText xml:space="preserve"> CITATION EIA23 \l 1033 </w:instrText>
          </w:r>
          <w:r w:rsidR="00322EAB">
            <w:rPr>
              <w:rStyle w:val="normaltextrun"/>
              <w:color w:val="000000"/>
              <w:shd w:val="clear" w:color="auto" w:fill="FFFFFF"/>
            </w:rPr>
            <w:fldChar w:fldCharType="separate"/>
          </w:r>
          <w:r w:rsidR="0093463A" w:rsidRPr="0093463A">
            <w:rPr>
              <w:noProof/>
              <w:color w:val="000000"/>
              <w:shd w:val="clear" w:color="auto" w:fill="FFFFFF"/>
            </w:rPr>
            <w:t>(EIA, 2024)</w:t>
          </w:r>
          <w:r w:rsidR="00322EAB">
            <w:rPr>
              <w:rStyle w:val="normaltextrun"/>
              <w:color w:val="000000"/>
              <w:shd w:val="clear" w:color="auto" w:fill="FFFFFF"/>
            </w:rPr>
            <w:fldChar w:fldCharType="end"/>
          </w:r>
        </w:sdtContent>
      </w:sdt>
      <w:r w:rsidR="00A56025" w:rsidRPr="005C3D08">
        <w:t>.  Recent g</w:t>
      </w:r>
      <w:r w:rsidR="00A56025" w:rsidRPr="005C3D08">
        <w:rPr>
          <w:rFonts w:eastAsia="Calibri"/>
          <w:color w:val="000000" w:themeColor="text1"/>
        </w:rPr>
        <w:t xml:space="preserve">lobal supply disruptions have also led to multiple releases from the U.S. Strategic Petroleum Reserve </w:t>
      </w:r>
      <w:proofErr w:type="gramStart"/>
      <w:r w:rsidR="00A56025" w:rsidRPr="005C3D08">
        <w:rPr>
          <w:rFonts w:eastAsia="Calibri"/>
          <w:color w:val="000000" w:themeColor="text1"/>
        </w:rPr>
        <w:t>in order to</w:t>
      </w:r>
      <w:proofErr w:type="gramEnd"/>
      <w:r w:rsidR="00A56025" w:rsidRPr="005C3D08">
        <w:rPr>
          <w:rFonts w:eastAsia="Calibri"/>
          <w:color w:val="000000" w:themeColor="text1"/>
        </w:rPr>
        <w:t xml:space="preserve"> meet consumer demand and curb price surges.  </w:t>
      </w:r>
    </w:p>
    <w:p w14:paraId="0B177F45" w14:textId="77777777" w:rsidR="00A56025" w:rsidRDefault="00A56025" w:rsidP="00A56025">
      <w:pPr>
        <w:widowControl w:val="0"/>
        <w:rPr>
          <w:rStyle w:val="BodyTextChar"/>
        </w:rPr>
      </w:pPr>
    </w:p>
    <w:p w14:paraId="1F7A22C1" w14:textId="39084CD5" w:rsidR="00A56025" w:rsidRPr="00A908F5" w:rsidRDefault="00A56025" w:rsidP="00A56025">
      <w:pPr>
        <w:widowControl w:val="0"/>
        <w:rPr>
          <w:rFonts w:cs="Times New Roman"/>
          <w:color w:val="000000" w:themeColor="text1"/>
        </w:rPr>
      </w:pPr>
      <w:r w:rsidRPr="53E67B89">
        <w:rPr>
          <w:rStyle w:val="BodyTextChar"/>
        </w:rPr>
        <w:t xml:space="preserve">The EIA 2023 Annual Energy Outlook </w:t>
      </w:r>
      <w:sdt>
        <w:sdtPr>
          <w:rPr>
            <w:rStyle w:val="BodyTextChar"/>
          </w:rPr>
          <w:id w:val="83420245"/>
          <w:citation/>
        </w:sdtPr>
        <w:sdtContent>
          <w:r w:rsidR="00A90927">
            <w:rPr>
              <w:rStyle w:val="BodyTextChar"/>
            </w:rPr>
            <w:fldChar w:fldCharType="begin"/>
          </w:r>
          <w:r w:rsidR="00A90927">
            <w:rPr>
              <w:rStyle w:val="BodyTextChar"/>
            </w:rPr>
            <w:instrText xml:space="preserve"> CITATION EIA201 \l 1033 </w:instrText>
          </w:r>
          <w:r w:rsidR="00A90927">
            <w:rPr>
              <w:rStyle w:val="BodyTextChar"/>
            </w:rPr>
            <w:fldChar w:fldCharType="separate"/>
          </w:r>
          <w:r w:rsidR="0093463A">
            <w:rPr>
              <w:noProof/>
            </w:rPr>
            <w:t>(EIA, 2023)</w:t>
          </w:r>
          <w:r w:rsidR="00A90927">
            <w:rPr>
              <w:rStyle w:val="BodyTextChar"/>
            </w:rPr>
            <w:fldChar w:fldCharType="end"/>
          </w:r>
        </w:sdtContent>
      </w:sdt>
      <w:bookmarkStart w:id="289" w:name="_Int_R9UQfSL8"/>
      <w:r w:rsidR="00B73FEB">
        <w:rPr>
          <w:rStyle w:val="BodyTextChar"/>
        </w:rPr>
        <w:t xml:space="preserve"> </w:t>
      </w:r>
      <w:r w:rsidRPr="53E67B89">
        <w:rPr>
          <w:rStyle w:val="BodyTextChar"/>
        </w:rPr>
        <w:t>projects</w:t>
      </w:r>
      <w:bookmarkEnd w:id="289"/>
      <w:r w:rsidRPr="53E67B89">
        <w:rPr>
          <w:rStyle w:val="BodyTextChar"/>
        </w:rPr>
        <w:t xml:space="preserve"> energy consumption increases through 2050 as population and economic growth outweighs efficiency gains. As a result, U.S. production of natural gas and petroleum and liquids will rise amid growing demand for exports and industrial uses. U</w:t>
      </w:r>
      <w:r w:rsidR="00C614C9">
        <w:rPr>
          <w:rStyle w:val="BodyTextChar"/>
        </w:rPr>
        <w:t>nited States</w:t>
      </w:r>
      <w:r w:rsidRPr="53E67B89">
        <w:rPr>
          <w:rStyle w:val="BodyTextChar"/>
        </w:rPr>
        <w:t xml:space="preserve"> natural gas production increases by 15% from 2022 to 2050.  However, renewable energy will be the fastest-growing U.S. energy source through 2050</w:t>
      </w:r>
      <w:r>
        <w:rPr>
          <w:rStyle w:val="BodyTextChar"/>
        </w:rPr>
        <w:t>.</w:t>
      </w:r>
      <w:r w:rsidRPr="53E67B89">
        <w:rPr>
          <w:rStyle w:val="BodyTextChar"/>
        </w:rPr>
        <w:t xml:space="preserve"> </w:t>
      </w:r>
      <w:r>
        <w:rPr>
          <w:rStyle w:val="BodyTextChar"/>
        </w:rPr>
        <w:t>A</w:t>
      </w:r>
      <w:r w:rsidRPr="53E67B89">
        <w:rPr>
          <w:rStyle w:val="BodyTextChar"/>
        </w:rPr>
        <w:t>s electricity generation shifts to using more renewable sources, domestic natural gas consumption for electricity generation is expected to decrease by 2050 relative to 2022.  As a result, energy-related CO</w:t>
      </w:r>
      <w:r w:rsidRPr="002B4792">
        <w:rPr>
          <w:rStyle w:val="BodyTextChar"/>
          <w:vertAlign w:val="subscript"/>
        </w:rPr>
        <w:t>2</w:t>
      </w:r>
      <w:r w:rsidRPr="53E67B89">
        <w:rPr>
          <w:rStyle w:val="BodyTextChar"/>
        </w:rPr>
        <w:t xml:space="preserve"> emissions are expected to fall 25% to 38% below 2005 level, depending on economic growth factors. Further discussion of past, present and projected global and state GHG emissions can be found in Chapter 5 of the Annual GHG Report</w:t>
      </w:r>
      <w:r w:rsidRPr="53E67B89">
        <w:rPr>
          <w:rFonts w:cs="Times New Roman"/>
          <w:color w:val="000000" w:themeColor="text1"/>
        </w:rPr>
        <w:t xml:space="preserve">. </w:t>
      </w:r>
    </w:p>
    <w:p w14:paraId="2B9411CB" w14:textId="77777777" w:rsidR="00A56025" w:rsidRDefault="00A56025" w:rsidP="00A56025">
      <w:pPr>
        <w:shd w:val="clear" w:color="auto" w:fill="FFFFFF"/>
        <w:spacing w:before="75"/>
        <w:rPr>
          <w:rFonts w:cs="Times New Roman"/>
          <w:color w:val="000000" w:themeColor="text1"/>
          <w:szCs w:val="24"/>
        </w:rPr>
      </w:pPr>
    </w:p>
    <w:p w14:paraId="6A7B5DC1" w14:textId="348F682E" w:rsidR="00A56025" w:rsidRDefault="00A56025" w:rsidP="00A56025">
      <w:r>
        <w:t xml:space="preserve">Executive Order 14008, </w:t>
      </w:r>
      <w:r w:rsidR="00FD263D">
        <w:t>“</w:t>
      </w:r>
      <w:r>
        <w:t>Tackling the Climate Crisis at Home and Abroad</w:t>
      </w:r>
      <w:r w:rsidR="00FD263D">
        <w:t xml:space="preserve">” </w:t>
      </w:r>
      <w:r>
        <w:t xml:space="preserve">(January 27, 2021), directs the executive branch to establish policies or rules that put the United States on a path to achieve carbon neutrality, economywide, by no later than 2050. This goal is consistent with IPCC’s recommendation to reduce net annual global CO emissions between 2020 and 2030 </w:t>
      </w:r>
      <w:r w:rsidR="00171C3D">
        <w:t>to</w:t>
      </w:r>
      <w:r>
        <w:t xml:space="preserve"> reach carbon neutrality by mid-century. Federal agencies are still in the process of developing policies that align with a goal of carbon neutrality by 2050. In the short-term, the order has a stated goal of reducing economy wide GHG emissions by 50 to 52% relative to 2005 emissions levels no later than 2030. </w:t>
      </w:r>
    </w:p>
    <w:p w14:paraId="19C89A1F" w14:textId="77777777" w:rsidR="00A56025" w:rsidRDefault="00A56025" w:rsidP="00A56025"/>
    <w:p w14:paraId="3FCD450B" w14:textId="1F10B7A2" w:rsidR="00A56025" w:rsidRDefault="00A56025" w:rsidP="00A56025">
      <w:r>
        <w:t>Carbon budgets are an estimate of the amount of additional GHGs that could be emitted into the atmosphere over time to reach carbon neutrality while still limiting global temperatures to no more than 1.5</w:t>
      </w:r>
      <w:r w:rsidR="00A54AB7">
        <w:t xml:space="preserve"> </w:t>
      </w:r>
      <w:r>
        <w:t>°C or 2</w:t>
      </w:r>
      <w:r w:rsidR="00A54AB7">
        <w:t xml:space="preserve"> </w:t>
      </w:r>
      <w:r>
        <w:t xml:space="preserve">°C above preindustrial levels (see </w:t>
      </w:r>
      <w:r w:rsidR="007855D3">
        <w:t>S</w:t>
      </w:r>
      <w:r>
        <w:t>ection 9.1 of the Annual GHG Report</w:t>
      </w:r>
      <w:sdt>
        <w:sdtPr>
          <w:id w:val="-1038120453"/>
          <w:placeholder>
            <w:docPart w:val="F27E654F9885485DAD58DC50661486CC"/>
          </w:placeholder>
          <w:citation/>
        </w:sdtPr>
        <w:sdtContent>
          <w:r>
            <w:fldChar w:fldCharType="begin"/>
          </w:r>
          <w:r>
            <w:instrText xml:space="preserve">CITATION Placeholder2 \l 1033 </w:instrText>
          </w:r>
          <w:r>
            <w:fldChar w:fldCharType="separate"/>
          </w:r>
          <w:r w:rsidR="0093463A">
            <w:rPr>
              <w:noProof/>
            </w:rPr>
            <w:t xml:space="preserve"> (BLM, 2024)</w:t>
          </w:r>
          <w:r>
            <w:fldChar w:fldCharType="end"/>
          </w:r>
        </w:sdtContent>
      </w:sdt>
      <w:r>
        <w:t>). The IPCC Special Report on Global Warming of 1.5</w:t>
      </w:r>
      <w:r w:rsidR="007855D3">
        <w:t xml:space="preserve"> </w:t>
      </w:r>
      <w:r>
        <w:t xml:space="preserve">ºC is the most widely accepted authority on the development of a carbon budget to meet the goals of the Paris Agreement. None of the global carbon budgets or pledges that countries have committed to stay within as part of the Paris Agreement are binding. At present, no national or Federal agency carbon budgets have been established, primarily due to the lack of consensus on how to allocate the global budget to each nation, and as such the global budgets that limit warming to 1.5 ºC or 2.0 ºC are not useful for BLM decision making, particularly at the leasing stage, as it is unclear what portion of the budget applies to emissions occurring in the United States. </w:t>
      </w:r>
    </w:p>
    <w:p w14:paraId="40DE9029" w14:textId="77777777" w:rsidR="00A56025" w:rsidRDefault="00A56025" w:rsidP="00A56025"/>
    <w:p w14:paraId="354D5494" w14:textId="6341F007" w:rsidR="00A56025" w:rsidRPr="002443DD" w:rsidRDefault="00A56025" w:rsidP="00A56025">
      <w:r>
        <w:t>The Council on Environmental Quality discourages Federal agencies from comparing emissions from an action to global or domestic levels as “</w:t>
      </w:r>
      <w:r w:rsidRPr="008D4D97">
        <w:t>such comparisons and fractions also are not an appropriate method for characterizing the extent of a proposed action's and its alternatives' contributions to climate change because this approach does not reveal anything beyond the nature of the climate change challenge itself</w:t>
      </w:r>
      <w:sdt>
        <w:sdtPr>
          <w:id w:val="-1198382883"/>
          <w:placeholder>
            <w:docPart w:val="A7592002DAE14E83B89956904FC2DA7C"/>
          </w:placeholder>
          <w:citation/>
        </w:sdtPr>
        <w:sdtContent>
          <w:r>
            <w:fldChar w:fldCharType="begin"/>
          </w:r>
          <w:r>
            <w:instrText xml:space="preserve"> CITATION CEQ231 \l 1033 </w:instrText>
          </w:r>
          <w:r>
            <w:fldChar w:fldCharType="separate"/>
          </w:r>
          <w:r w:rsidR="0093463A">
            <w:rPr>
              <w:noProof/>
            </w:rPr>
            <w:t xml:space="preserve"> (CEQ, 2023)</w:t>
          </w:r>
          <w:r>
            <w:fldChar w:fldCharType="end"/>
          </w:r>
        </w:sdtContent>
      </w:sdt>
      <w:r>
        <w:t xml:space="preserve">.” However, stakeholders and members of the public have requested that the BLM consider comparing the estimated Federal oil and gas emissions in the context of global carbon budgets. In the interest of public disclosure, Table 9-1 in the </w:t>
      </w:r>
      <w:r w:rsidRPr="1B928869">
        <w:rPr>
          <w:rFonts w:cs="Times New Roman"/>
        </w:rPr>
        <w:t xml:space="preserve">Annual GHG Report </w:t>
      </w:r>
      <w:r>
        <w:t>provides an estimate of the potential emissions associated with Federal fossil fuel authorizations in relation to IPCC carbon budgets. Total Federal fossil fuel authorizations including coal, natural gas and oil represents approximately 1.</w:t>
      </w:r>
      <w:r w:rsidR="0001459A">
        <w:t>95</w:t>
      </w:r>
      <w:r>
        <w:t xml:space="preserve">% of the remaining global carbon budget of </w:t>
      </w:r>
      <w:r w:rsidR="00063248">
        <w:t>275</w:t>
      </w:r>
      <w:r>
        <w:t xml:space="preserve"> GtCO</w:t>
      </w:r>
      <w:r w:rsidRPr="1B928869">
        <w:rPr>
          <w:vertAlign w:val="subscript"/>
        </w:rPr>
        <w:t xml:space="preserve">2 </w:t>
      </w:r>
      <w:r>
        <w:t xml:space="preserve">needed to limit global warming to 1.5 </w:t>
      </w:r>
      <w:r w:rsidR="00A81169">
        <w:t>º</w:t>
      </w:r>
      <w:r>
        <w:t>C.</w:t>
      </w:r>
    </w:p>
    <w:p w14:paraId="72B289E1" w14:textId="77777777" w:rsidR="00A56025" w:rsidRDefault="00A56025" w:rsidP="00A56025"/>
    <w:p w14:paraId="7C671529" w14:textId="65CB3A19" w:rsidR="00A56025" w:rsidRDefault="00A56025" w:rsidP="00A56025">
      <w:pPr>
        <w:rPr>
          <w:rFonts w:cs="Times New Roman"/>
          <w:b/>
          <w:bCs/>
        </w:rPr>
      </w:pPr>
      <w:r w:rsidRPr="2ED23ECC">
        <w:t xml:space="preserve">While continued fossil fuel authorizations will occur over the next decade to support energy demand and remain in compliance with the leasing mandates in the Inflation Reduction Act (IRA) passed in 2022, the U.S. Energy Information Administration International Energy Outlook </w:t>
      </w:r>
      <w:r w:rsidRPr="2ED23ECC">
        <w:rPr>
          <w:color w:val="333333"/>
        </w:rPr>
        <w:t xml:space="preserve">expects renewable energy consumption to double between 2020 and 2050 and nearly equal liquid fuels consumption by 2050. The U.S. has committed to the expansion of renewable energy through infrastructure investments in clean energy transmission and grid upgrades include in the Bipartisan Infrastructure Investment and Jobs Act as </w:t>
      </w:r>
      <w:r w:rsidRPr="2ED23ECC">
        <w:rPr>
          <w:color w:val="333333"/>
        </w:rPr>
        <w:lastRenderedPageBreak/>
        <w:t xml:space="preserve">well as clean energy investments and incentives included in the Inflation Reduction Act. </w:t>
      </w:r>
      <w:r w:rsidR="00445B8D">
        <w:rPr>
          <w:color w:val="333333"/>
        </w:rPr>
        <w:t xml:space="preserve">This energy transition is reflected </w:t>
      </w:r>
      <w:r w:rsidR="00184333">
        <w:rPr>
          <w:color w:val="333333"/>
        </w:rPr>
        <w:t xml:space="preserve">projected U.S. GHG emissions, see </w:t>
      </w:r>
      <w:r w:rsidR="00E9710A">
        <w:rPr>
          <w:color w:val="333333"/>
        </w:rPr>
        <w:fldChar w:fldCharType="begin"/>
      </w:r>
      <w:r w:rsidR="00E9710A">
        <w:rPr>
          <w:color w:val="333333"/>
        </w:rPr>
        <w:instrText xml:space="preserve"> REF _Ref164953377 \h </w:instrText>
      </w:r>
      <w:r w:rsidR="00E9710A">
        <w:rPr>
          <w:color w:val="333333"/>
        </w:rPr>
      </w:r>
      <w:r w:rsidR="00E9710A">
        <w:rPr>
          <w:color w:val="333333"/>
        </w:rPr>
        <w:fldChar w:fldCharType="separate"/>
      </w:r>
      <w:r w:rsidR="00E9710A">
        <w:t xml:space="preserve">Figure </w:t>
      </w:r>
      <w:r w:rsidR="00E9710A">
        <w:rPr>
          <w:noProof/>
        </w:rPr>
        <w:t>2</w:t>
      </w:r>
      <w:r w:rsidR="00E9710A">
        <w:rPr>
          <w:color w:val="333333"/>
        </w:rPr>
        <w:fldChar w:fldCharType="end"/>
      </w:r>
    </w:p>
    <w:p w14:paraId="6BA91498" w14:textId="77777777" w:rsidR="00A56025" w:rsidRDefault="00A56025" w:rsidP="00A56025">
      <w:pPr>
        <w:rPr>
          <w:color w:val="333333"/>
        </w:rPr>
      </w:pPr>
    </w:p>
    <w:p w14:paraId="00F50932" w14:textId="77777777" w:rsidR="00F91613" w:rsidRDefault="00A56025" w:rsidP="00F31E9B">
      <w:pPr>
        <w:keepNext/>
      </w:pPr>
      <w:r>
        <w:rPr>
          <w:noProof/>
        </w:rPr>
        <w:drawing>
          <wp:inline distT="0" distB="0" distL="0" distR="0" wp14:anchorId="5C030251" wp14:editId="7A7CC50C">
            <wp:extent cx="5532120" cy="3814858"/>
            <wp:effectExtent l="0" t="0" r="0" b="0"/>
            <wp:docPr id="1080382323" name="Picture 10803823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82323" name="Picture 1080382323"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32120" cy="3814858"/>
                    </a:xfrm>
                    <a:prstGeom prst="rect">
                      <a:avLst/>
                    </a:prstGeom>
                  </pic:spPr>
                </pic:pic>
              </a:graphicData>
            </a:graphic>
          </wp:inline>
        </w:drawing>
      </w:r>
    </w:p>
    <w:p w14:paraId="508801FB" w14:textId="2D7B676F" w:rsidR="00A56025" w:rsidRDefault="00F91613" w:rsidP="00F31E9B">
      <w:pPr>
        <w:pStyle w:val="Caption"/>
      </w:pPr>
      <w:bookmarkStart w:id="290" w:name="_Ref164953377"/>
      <w:bookmarkStart w:id="291" w:name="_Toc179464324"/>
      <w:bookmarkStart w:id="292" w:name="_Toc170114979"/>
      <w:r>
        <w:t xml:space="preserve">Figure </w:t>
      </w:r>
      <w:r w:rsidR="00821807">
        <w:fldChar w:fldCharType="begin"/>
      </w:r>
      <w:r w:rsidR="00821807">
        <w:instrText xml:space="preserve"> SEQ Figure \* ARABIC </w:instrText>
      </w:r>
      <w:r w:rsidR="00821807">
        <w:fldChar w:fldCharType="separate"/>
      </w:r>
      <w:r w:rsidR="00821807">
        <w:rPr>
          <w:noProof/>
        </w:rPr>
        <w:t>6</w:t>
      </w:r>
      <w:r w:rsidR="00821807">
        <w:rPr>
          <w:noProof/>
        </w:rPr>
        <w:fldChar w:fldCharType="end"/>
      </w:r>
      <w:bookmarkEnd w:id="290"/>
      <w:r>
        <w:t xml:space="preserve"> </w:t>
      </w:r>
      <w:r w:rsidRPr="00092EAA">
        <w:t>Projected Short-Term Emissions Reductions Associated with the IRA</w:t>
      </w:r>
      <w:bookmarkEnd w:id="291"/>
      <w:bookmarkEnd w:id="292"/>
    </w:p>
    <w:p w14:paraId="0CC0D048" w14:textId="2B1C5751" w:rsidR="00A56025" w:rsidRPr="00FF3771" w:rsidRDefault="00A56025" w:rsidP="00A56025">
      <w:pPr>
        <w:rPr>
          <w:rFonts w:cs="Times New Roman"/>
          <w:b/>
          <w:bCs/>
        </w:rPr>
      </w:pPr>
      <w:r w:rsidRPr="2ED23ECC">
        <w:rPr>
          <w:color w:val="333333"/>
        </w:rPr>
        <w:t xml:space="preserve"> </w:t>
      </w:r>
    </w:p>
    <w:p w14:paraId="7EEF3B56" w14:textId="4951D184" w:rsidR="002D682D" w:rsidRPr="00B13F0B" w:rsidRDefault="002D682D" w:rsidP="002D682D">
      <w:pPr>
        <w:pStyle w:val="Heading1"/>
        <w:rPr>
          <w:rFonts w:hint="eastAsia"/>
        </w:rPr>
      </w:pPr>
      <w:bookmarkStart w:id="293" w:name="_Toc163734217"/>
      <w:bookmarkStart w:id="294" w:name="_Toc179464267"/>
      <w:bookmarkStart w:id="295" w:name="_Toc170114922"/>
      <w:r w:rsidRPr="00AB1191">
        <w:t>Consultation and Coordination</w:t>
      </w:r>
      <w:bookmarkEnd w:id="293"/>
      <w:bookmarkEnd w:id="294"/>
      <w:bookmarkEnd w:id="295"/>
    </w:p>
    <w:p w14:paraId="3AC44CFA" w14:textId="604C4C93" w:rsidR="002D682D" w:rsidRPr="006A4A3D" w:rsidRDefault="002D682D" w:rsidP="00F31E9B">
      <w:pPr>
        <w:pStyle w:val="Heading2"/>
        <w:rPr>
          <w:rFonts w:hint="eastAsia"/>
        </w:rPr>
      </w:pPr>
      <w:bookmarkStart w:id="296" w:name="_Toc163734218"/>
      <w:bookmarkStart w:id="297" w:name="_Toc179464268"/>
      <w:bookmarkStart w:id="298" w:name="_Toc170114923"/>
      <w:r w:rsidRPr="006A4A3D">
        <w:t>Endangered Species Act Consultation</w:t>
      </w:r>
      <w:bookmarkEnd w:id="296"/>
      <w:bookmarkEnd w:id="297"/>
      <w:bookmarkEnd w:id="298"/>
    </w:p>
    <w:p w14:paraId="17C9DAAE" w14:textId="77777777" w:rsidR="002D682D" w:rsidRPr="00AE59C1" w:rsidRDefault="002D682D" w:rsidP="002D682D">
      <w:pPr>
        <w:pStyle w:val="BodyText"/>
      </w:pPr>
      <w:r w:rsidRPr="00AE59C1">
        <w:t xml:space="preserve">The effects of </w:t>
      </w:r>
      <w:r>
        <w:t>o</w:t>
      </w:r>
      <w:r w:rsidRPr="00AE59C1">
        <w:t xml:space="preserve">il and </w:t>
      </w:r>
      <w:r>
        <w:t>g</w:t>
      </w:r>
      <w:r w:rsidRPr="00AE59C1">
        <w:t>as leasing development on T&amp;E species were analyzed through Section 7 consultation</w:t>
      </w:r>
      <w:r w:rsidRPr="00AE59C1" w:rsidDel="008217DB">
        <w:t xml:space="preserve"> </w:t>
      </w:r>
      <w:r w:rsidRPr="00AE59C1">
        <w:t>as follows:</w:t>
      </w:r>
    </w:p>
    <w:p w14:paraId="35D7001B" w14:textId="6D416695" w:rsidR="002D682D" w:rsidRPr="00AE59C1" w:rsidRDefault="002D682D" w:rsidP="002D682D">
      <w:pPr>
        <w:pStyle w:val="Bullet1"/>
        <w:rPr>
          <w:rFonts w:eastAsia="Times"/>
        </w:rPr>
      </w:pPr>
      <w:r w:rsidRPr="00AE59C1">
        <w:rPr>
          <w:rFonts w:eastAsia="Times"/>
        </w:rPr>
        <w:t xml:space="preserve"> </w:t>
      </w:r>
      <w:r w:rsidRPr="49BD1418">
        <w:rPr>
          <w:rFonts w:eastAsia="Times"/>
        </w:rPr>
        <w:t xml:space="preserve">Vernal </w:t>
      </w:r>
      <w:r w:rsidRPr="00AE59C1">
        <w:rPr>
          <w:rFonts w:eastAsia="Times"/>
        </w:rPr>
        <w:t>RMP: 2008</w:t>
      </w:r>
      <w:r>
        <w:rPr>
          <w:rFonts w:eastAsia="Times"/>
        </w:rPr>
        <w:t xml:space="preserve"> (including the </w:t>
      </w:r>
      <w:r w:rsidRPr="49BD1418">
        <w:rPr>
          <w:rFonts w:eastAsia="Times"/>
        </w:rPr>
        <w:t xml:space="preserve">2018 </w:t>
      </w:r>
      <w:r>
        <w:rPr>
          <w:rFonts w:eastAsia="Times"/>
        </w:rPr>
        <w:t>re</w:t>
      </w:r>
      <w:r w:rsidR="00F03DB6">
        <w:rPr>
          <w:rFonts w:eastAsia="Times"/>
        </w:rPr>
        <w:t>-</w:t>
      </w:r>
      <w:r>
        <w:rPr>
          <w:rFonts w:eastAsia="Times"/>
        </w:rPr>
        <w:t xml:space="preserve">initiation to add the geographic area for yellow-billed cuckoo in the </w:t>
      </w:r>
      <w:r w:rsidRPr="49BD1418">
        <w:rPr>
          <w:rFonts w:eastAsia="Times"/>
        </w:rPr>
        <w:t xml:space="preserve">Vernal </w:t>
      </w:r>
      <w:r>
        <w:rPr>
          <w:rFonts w:eastAsia="Times"/>
        </w:rPr>
        <w:t>Field Office)</w:t>
      </w:r>
    </w:p>
    <w:p w14:paraId="142BDCCF" w14:textId="77777777" w:rsidR="002D682D" w:rsidRPr="00AE59C1" w:rsidRDefault="002D682D" w:rsidP="002D682D">
      <w:pPr>
        <w:pStyle w:val="BodyText"/>
      </w:pPr>
      <w:r w:rsidRPr="00AE59C1">
        <w:t xml:space="preserve">During the consultations, Lease Notices to inform the potential lessees of the potential that T&amp;E species may be affected by oil and gas activities were developed and have been attached to parcels as appropriate. The lease action </w:t>
      </w:r>
      <w:proofErr w:type="gramStart"/>
      <w:r w:rsidRPr="00AE59C1">
        <w:t>is in compliance with</w:t>
      </w:r>
      <w:proofErr w:type="gramEnd"/>
      <w:r w:rsidRPr="00AE59C1">
        <w:t xml:space="preserve"> T&amp;E species management outlined in accordance with the requirements under the </w:t>
      </w:r>
      <w:r>
        <w:t>FLPMA</w:t>
      </w:r>
      <w:r w:rsidRPr="00AE59C1">
        <w:t xml:space="preserve"> and the NEPA. </w:t>
      </w:r>
    </w:p>
    <w:p w14:paraId="71C2B23C" w14:textId="77777777" w:rsidR="002D682D" w:rsidRPr="00AE59C1" w:rsidRDefault="002D682D" w:rsidP="002D682D">
      <w:pPr>
        <w:pStyle w:val="BodyText"/>
      </w:pPr>
      <w:r w:rsidRPr="00AE59C1">
        <w:t xml:space="preserve">While Federal regulations and policies require the BLM to make its public land and resources available </w:t>
      </w:r>
      <w:proofErr w:type="gramStart"/>
      <w:r w:rsidRPr="00AE59C1">
        <w:t>on the basis of</w:t>
      </w:r>
      <w:proofErr w:type="gramEnd"/>
      <w:r w:rsidRPr="00AE59C1">
        <w:t xml:space="preserve"> multiple use</w:t>
      </w:r>
      <w:r>
        <w:t xml:space="preserve"> principles</w:t>
      </w:r>
      <w:r w:rsidRPr="00AE59C1">
        <w:t xml:space="preserve">, it is BLM policy to conserve special status species and their habitats, and to ensure that actions authorized by the BLM do not contribute to the need for the species to become listed as T&amp;E by the USFWS. </w:t>
      </w:r>
    </w:p>
    <w:p w14:paraId="553C9B1C" w14:textId="77777777" w:rsidR="002D682D" w:rsidRDefault="002D682D" w:rsidP="002D682D">
      <w:pPr>
        <w:pStyle w:val="BodyText"/>
      </w:pPr>
      <w:r w:rsidRPr="00AE59C1">
        <w:lastRenderedPageBreak/>
        <w:t xml:space="preserve">For lease sales conducted </w:t>
      </w:r>
      <w:r>
        <w:t>within the range of</w:t>
      </w:r>
      <w:r w:rsidRPr="00AE59C1">
        <w:t xml:space="preserve"> listed species covered by </w:t>
      </w:r>
      <w:r>
        <w:t>the referenced</w:t>
      </w:r>
      <w:r w:rsidRPr="00AE59C1">
        <w:t xml:space="preserve"> consultation actions, the BLM regularly coordinates with the USFWS to assure agreement that the Proposed Action does not exceed the impacts analyzed in the existing consultations.</w:t>
      </w:r>
    </w:p>
    <w:p w14:paraId="114F90B7" w14:textId="28DEF6C4" w:rsidR="00287994" w:rsidRDefault="006B5698" w:rsidP="00F31E9B">
      <w:pPr>
        <w:pStyle w:val="BodyText"/>
        <w:numPr>
          <w:ilvl w:val="0"/>
          <w:numId w:val="58"/>
        </w:numPr>
      </w:pPr>
      <w:r>
        <w:t>April 24, 2024</w:t>
      </w:r>
      <w:r w:rsidR="00F50B40">
        <w:t xml:space="preserve"> </w:t>
      </w:r>
      <w:r w:rsidR="00287994">
        <w:t>– The BLM provided the USFWS with the list of nominated parcels, geospatial data, and list of species potentially impacted by the nominated parcels.</w:t>
      </w:r>
    </w:p>
    <w:p w14:paraId="7D2E2934" w14:textId="535B4483" w:rsidR="00287994" w:rsidRDefault="00F50B40" w:rsidP="00F31E9B">
      <w:pPr>
        <w:pStyle w:val="BodyText"/>
        <w:numPr>
          <w:ilvl w:val="0"/>
          <w:numId w:val="58"/>
        </w:numPr>
      </w:pPr>
      <w:r>
        <w:t xml:space="preserve">April 24, 2024 </w:t>
      </w:r>
      <w:r w:rsidR="00287994">
        <w:t>– The USFWS agreed with the BLM’s species determinations and did not identify that the Proposed Action would exceed the impacts analyzed for any listed species.</w:t>
      </w:r>
    </w:p>
    <w:p w14:paraId="11176FFE" w14:textId="393465A9" w:rsidR="002D682D" w:rsidRDefault="002D682D" w:rsidP="002D682D">
      <w:pPr>
        <w:pStyle w:val="BodyText"/>
      </w:pPr>
      <w:bookmarkStart w:id="299" w:name="_Ref164866130"/>
      <w:r w:rsidRPr="00AE59C1">
        <w:t xml:space="preserve">When or if </w:t>
      </w:r>
      <w:r>
        <w:t xml:space="preserve">APDs are submitted to develop these </w:t>
      </w:r>
      <w:r w:rsidRPr="00AE59C1">
        <w:t xml:space="preserve">parcels, further </w:t>
      </w:r>
      <w:proofErr w:type="gramStart"/>
      <w:r w:rsidRPr="00AE59C1">
        <w:t>evaluation</w:t>
      </w:r>
      <w:proofErr w:type="gramEnd"/>
      <w:r w:rsidRPr="00AE59C1">
        <w:t xml:space="preserve"> and Section 7 consultation with the USFWS will occur as necessary.</w:t>
      </w:r>
      <w:bookmarkEnd w:id="299"/>
      <w:r w:rsidRPr="00AE59C1">
        <w:t xml:space="preserve"> </w:t>
      </w:r>
    </w:p>
    <w:p w14:paraId="4B302F8D" w14:textId="1A91CE2F" w:rsidR="002D682D" w:rsidRPr="006A4A3D" w:rsidRDefault="002D682D" w:rsidP="00F31E9B">
      <w:pPr>
        <w:pStyle w:val="Heading2"/>
        <w:rPr>
          <w:rFonts w:hint="eastAsia"/>
        </w:rPr>
      </w:pPr>
      <w:bookmarkStart w:id="300" w:name="_2250f4o"/>
      <w:bookmarkStart w:id="301" w:name="_Toc163734219"/>
      <w:bookmarkStart w:id="302" w:name="_Ref164952891"/>
      <w:bookmarkStart w:id="303" w:name="_Toc179464269"/>
      <w:bookmarkStart w:id="304" w:name="_Toc170114924"/>
      <w:bookmarkEnd w:id="300"/>
      <w:r w:rsidRPr="006A4A3D">
        <w:t>Tribal Consultation</w:t>
      </w:r>
      <w:bookmarkEnd w:id="301"/>
      <w:bookmarkEnd w:id="302"/>
      <w:bookmarkEnd w:id="303"/>
      <w:bookmarkEnd w:id="304"/>
    </w:p>
    <w:p w14:paraId="7B8CCA1B" w14:textId="13C8C482" w:rsidR="004868DD" w:rsidRDefault="004868DD" w:rsidP="00EF625D">
      <w:pPr>
        <w:pStyle w:val="BodyText"/>
      </w:pPr>
      <w:r>
        <w:t xml:space="preserve">Tribal consultation for leasing actions is done on a government-to-government basis. On February 13, 2024, the BLM </w:t>
      </w:r>
      <w:r w:rsidR="008E094A" w:rsidRPr="008E094A">
        <w:t>provided project information and an invitation to consult on resources of concern to potentially affected</w:t>
      </w:r>
      <w:r>
        <w:t xml:space="preserve"> Tribes for the Lease Sale as provided for by the NEPA, the NHPA, the American Indian Religious Freedom Act (AIRFA), and Executive Order 13007. The BLM contacted the </w:t>
      </w:r>
      <w:r w:rsidR="005C7CD9">
        <w:t>Confederated Tribes of the Goshute Reservation, Eastern Shoshone Tribe of the Wind River Reservation, Hopi Tribe of Arizona, Navajo Nation, Northwestern Band of the Shoshone Nation, Paiute Indian Tribe of Utah and the five constituent Bands (Cedar,</w:t>
      </w:r>
      <w:r w:rsidR="00443310">
        <w:t xml:space="preserve"> Indian Peaks,</w:t>
      </w:r>
      <w:r w:rsidR="005C7CD9">
        <w:t xml:space="preserve"> Kanosh, Koosharem, </w:t>
      </w:r>
      <w:r w:rsidR="00443310">
        <w:t>and Shivwits Bands)</w:t>
      </w:r>
      <w:r w:rsidR="005C7CD9">
        <w:t xml:space="preserve"> Pueblo of Jemez, Pueblo of Laguna, Pueblo of Santa Clara, Pueblo of Santa Clara, Pueblo of Zia, Santo Domingo Pueblo, Southern Ute Indian Tribe</w:t>
      </w:r>
      <w:r w:rsidR="006E4A93">
        <w:t xml:space="preserve"> of the Southern</w:t>
      </w:r>
      <w:r w:rsidR="005C7CD9">
        <w:t xml:space="preserve"> Ute </w:t>
      </w:r>
      <w:r w:rsidR="006E4A93">
        <w:t>Reservation</w:t>
      </w:r>
      <w:r w:rsidR="005C7CD9">
        <w:t>, Ute Indian Tribe</w:t>
      </w:r>
      <w:r w:rsidR="00443310">
        <w:t xml:space="preserve"> of the Uintah and Ouray Reservation</w:t>
      </w:r>
      <w:r w:rsidR="005C7CD9">
        <w:t>, Ute Mountain Ute Tribe</w:t>
      </w:r>
      <w:r w:rsidR="00700A13">
        <w:t xml:space="preserve"> including the</w:t>
      </w:r>
      <w:r w:rsidR="005C7CD9">
        <w:t xml:space="preserve"> White Mesa Ute</w:t>
      </w:r>
      <w:r w:rsidR="00700A13">
        <w:t xml:space="preserve"> Community</w:t>
      </w:r>
      <w:r w:rsidR="005C7CD9">
        <w:t>.</w:t>
      </w:r>
      <w:r w:rsidR="00473D2D">
        <w:t xml:space="preserve"> </w:t>
      </w:r>
      <w:r w:rsidR="008A607B">
        <w:t>On June 24, 204, t</w:t>
      </w:r>
      <w:r w:rsidR="00473D2D">
        <w:t xml:space="preserve">he BLM </w:t>
      </w:r>
      <w:r w:rsidR="007E1DAD" w:rsidRPr="007E1DAD">
        <w:t>a second round of project information about the Lease Sale and an invitation to consult on resources of concern to potentially affected Tribes.</w:t>
      </w:r>
    </w:p>
    <w:p w14:paraId="6ACF8DB5" w14:textId="75BB3F29" w:rsidR="00BC130A" w:rsidRDefault="00DE5258" w:rsidP="00EF625D">
      <w:pPr>
        <w:pStyle w:val="BodyText"/>
      </w:pPr>
      <w:r>
        <w:t xml:space="preserve">On February 13, 2024, </w:t>
      </w:r>
      <w:r w:rsidR="00B230F9">
        <w:t>t</w:t>
      </w:r>
      <w:r w:rsidR="00473D2D" w:rsidRPr="00473D2D">
        <w:t>he Paiute Indian Tribe of Utah responded to the BLM’s notification and shared that they will defer to Tribes local to the area of the parcels.</w:t>
      </w:r>
    </w:p>
    <w:p w14:paraId="29B1167D" w14:textId="2B72EFD2" w:rsidR="000F2106" w:rsidRDefault="000F2106" w:rsidP="00EF625D">
      <w:pPr>
        <w:pStyle w:val="BodyText"/>
      </w:pPr>
      <w:r>
        <w:t xml:space="preserve">On June 24, 2024, </w:t>
      </w:r>
      <w:r w:rsidR="00B230F9">
        <w:rPr>
          <w:iCs/>
        </w:rPr>
        <w:t>t</w:t>
      </w:r>
      <w:r w:rsidR="009A0C79" w:rsidRPr="009A0C79">
        <w:rPr>
          <w:iCs/>
        </w:rPr>
        <w:t>he Hopi Tribe contacted the BLM asking what the closest town to the parcels is and if the parcels have received any cultural resource surveys. The BLM shared this requested information with the Hopi Tribe. After receiving this information, the Hopi Tribe shared that is has no concerns for the project and defers to the local Ute Tribe if any significant cultural resources are identified.</w:t>
      </w:r>
    </w:p>
    <w:p w14:paraId="58931313" w14:textId="74BE5ABE" w:rsidR="004868DD" w:rsidRPr="004868DD" w:rsidRDefault="00BD3556" w:rsidP="00EF625D">
      <w:pPr>
        <w:pStyle w:val="BodyText"/>
      </w:pPr>
      <w:r>
        <w:t>The BLM has not received any other</w:t>
      </w:r>
      <w:r w:rsidR="004868DD">
        <w:t xml:space="preserve"> </w:t>
      </w:r>
      <w:r w:rsidR="00621384">
        <w:t>correspondence from Tribes regarding the lease sale.</w:t>
      </w:r>
      <w:r w:rsidR="004868DD">
        <w:t xml:space="preserve"> The BLM will remain available to engage with Tribes and respond to any consultation requests until the lease sale date. If the nominated parcels are leased, future potential development would be subject to additional Tribal consultation </w:t>
      </w:r>
      <w:r w:rsidR="00C3726F">
        <w:t xml:space="preserve">under </w:t>
      </w:r>
      <w:r w:rsidR="004868DD">
        <w:t>NEPA, NHPA, AIRFA, and Executive Order 13007 as directed by regulation and current policy.</w:t>
      </w:r>
    </w:p>
    <w:p w14:paraId="129D0A9E" w14:textId="39EE9E1B" w:rsidR="002D682D" w:rsidRPr="006A4A3D" w:rsidRDefault="00564F1D" w:rsidP="00F31E9B">
      <w:pPr>
        <w:pStyle w:val="Heading2"/>
        <w:rPr>
          <w:rFonts w:hint="eastAsia"/>
        </w:rPr>
      </w:pPr>
      <w:bookmarkStart w:id="305" w:name="_Toc128984170"/>
      <w:bookmarkStart w:id="306" w:name="_Toc179464270"/>
      <w:bookmarkStart w:id="307" w:name="_Toc170114925"/>
      <w:bookmarkEnd w:id="305"/>
      <w:r>
        <w:t>National Historic Preservation Act Consultation</w:t>
      </w:r>
      <w:bookmarkEnd w:id="306"/>
      <w:bookmarkEnd w:id="307"/>
    </w:p>
    <w:p w14:paraId="4E713DFA" w14:textId="736722BA" w:rsidR="00D67D8A" w:rsidRDefault="00D67D8A" w:rsidP="00EF625D">
      <w:pPr>
        <w:pStyle w:val="BodyText"/>
      </w:pPr>
      <w:r>
        <w:t>The BLM prepared a</w:t>
      </w:r>
      <w:r w:rsidDel="00187425">
        <w:t xml:space="preserve"> </w:t>
      </w:r>
      <w:r>
        <w:t xml:space="preserve">literature review and analysis of cultural resources for the parcels nominated for the Lease Sale as part of its reasonable and good faith effort to identify historic properties and any potential adverse effects this undertaking may have on historic properties, as required by the National Historic Preservation Act of 1966, 54 U.S.C 306108 (commonly referred to as Section 106). </w:t>
      </w:r>
    </w:p>
    <w:p w14:paraId="7826B640" w14:textId="15B8B449" w:rsidR="00D67D8A" w:rsidRDefault="00D67D8A" w:rsidP="00EF625D">
      <w:pPr>
        <w:pStyle w:val="BodyText"/>
      </w:pPr>
      <w:r>
        <w:t xml:space="preserve">The Advisory Council for Historic Preservation’s (ACHP) document titled </w:t>
      </w:r>
      <w:r w:rsidRPr="0050637F">
        <w:rPr>
          <w:i/>
        </w:rPr>
        <w:t>Meeting the “Reasonable and Good Faith” Identification Standards in Section 106 Review</w:t>
      </w:r>
      <w:r>
        <w:t xml:space="preserve">, from </w:t>
      </w:r>
      <w:r>
        <w:lastRenderedPageBreak/>
        <w:t xml:space="preserve">https://www.achp.gov/sites/default/files/guidance/2018-05/reasonable_good_faith_identification.pdf outlines the steps to determine when a reasonable and good faith identification effort has been met. The ACHP states: </w:t>
      </w:r>
    </w:p>
    <w:p w14:paraId="002A9FA7" w14:textId="2F9023C4" w:rsidR="00D67D8A" w:rsidRDefault="00D67D8A" w:rsidP="00057695">
      <w:pPr>
        <w:pStyle w:val="BodyText"/>
        <w:numPr>
          <w:ilvl w:val="0"/>
          <w:numId w:val="58"/>
        </w:numPr>
      </w:pPr>
      <w:r>
        <w:t xml:space="preserve">Prior to beginning the identification stage in the Section 106 process, the regulations (at 36 CFR 800.4) require the federal agency to do the following: </w:t>
      </w:r>
    </w:p>
    <w:p w14:paraId="7E3B7A71" w14:textId="78C74E6B" w:rsidR="00D67D8A" w:rsidRDefault="00D67D8A" w:rsidP="00057695">
      <w:pPr>
        <w:pStyle w:val="Bullet2"/>
      </w:pPr>
      <w:r>
        <w:t xml:space="preserve">Determine and document the APE [Area of Potential Effect] in order to define where the agency will look for historic properties that may be directly or indirectly affected by the </w:t>
      </w:r>
      <w:proofErr w:type="gramStart"/>
      <w:r>
        <w:t>undertaking;</w:t>
      </w:r>
      <w:proofErr w:type="gramEnd"/>
      <w:r>
        <w:t xml:space="preserve"> </w:t>
      </w:r>
    </w:p>
    <w:p w14:paraId="4AD54AC5" w14:textId="47FE6F26" w:rsidR="00D67D8A" w:rsidRDefault="00D67D8A" w:rsidP="00057695">
      <w:pPr>
        <w:pStyle w:val="Bullet2"/>
      </w:pPr>
      <w:r>
        <w:t xml:space="preserve">Review existing information on known and potential historic properties within the APE, so the agency will have current data on what can be expected, or may be encountered, within the </w:t>
      </w:r>
      <w:proofErr w:type="gramStart"/>
      <w:r>
        <w:t>APE;</w:t>
      </w:r>
      <w:proofErr w:type="gramEnd"/>
    </w:p>
    <w:p w14:paraId="73A24A3E" w14:textId="4F82A2C3" w:rsidR="00D67D8A" w:rsidRDefault="00D67D8A" w:rsidP="00057695">
      <w:pPr>
        <w:pStyle w:val="Bullet2"/>
      </w:pPr>
      <w:r>
        <w:t>Seek information from others who may have knowledge of historic properties in the area. This includes the State Historic Preservation Officer/Tribal Historic Preservation Officer and as appropriate, Indian tribes or Native Hawaiian organizations who may have concerns about historic properties of religious and cultural significance to them within the APE.</w:t>
      </w:r>
    </w:p>
    <w:p w14:paraId="34073532" w14:textId="2FC649E9" w:rsidR="00D67D8A" w:rsidRDefault="00D67D8A" w:rsidP="0017715B">
      <w:pPr>
        <w:pStyle w:val="BodyText"/>
      </w:pPr>
      <w:r>
        <w:t xml:space="preserve">Following these initial steps, the regulations (36 CFR 800.4(b)(1)) set out several factors the agency must consider in determining what is a “reasonable and good faith effort” to identify historic properties: </w:t>
      </w:r>
    </w:p>
    <w:p w14:paraId="13907EA2" w14:textId="5970515C" w:rsidR="00D67D8A" w:rsidRDefault="00D67D8A" w:rsidP="0050637F">
      <w:pPr>
        <w:pStyle w:val="BodyText"/>
        <w:ind w:left="720"/>
      </w:pPr>
      <w:proofErr w:type="gramStart"/>
      <w:r>
        <w:t>Take into account</w:t>
      </w:r>
      <w:proofErr w:type="gramEnd"/>
      <w:r>
        <w:t xml:space="preserve"> past planning, research, and studies; the magnitude and nature of the undertaking and the degree of federal involvement; the nature and extent of potential effects on historic properties; and the likely nature and location of historic properties within the APE. The Secretary of the Interior’s standards and guidelines for identification provide guidance on this subject. The agency official should also consider other applicable professional, state, tribal, and local laws, standards, and guidelines. The regulations note that a reasonable and good faith effort may consist of or include ‘background research, consultation, oral history interviews, sample field investigation, and field survey.’</w:t>
      </w:r>
    </w:p>
    <w:p w14:paraId="2956BA8F" w14:textId="6448871F" w:rsidR="00D67D8A" w:rsidRDefault="00D67D8A" w:rsidP="0017715B">
      <w:pPr>
        <w:pStyle w:val="BodyText"/>
      </w:pPr>
      <w:r>
        <w:t xml:space="preserve">For lease sales, BLM’s identification efforts include: (1) completing a comprehensive “literature review,” which is a review and analysis of available pertinent cultural resource records and information for each parcel and the surrounding areas that are included in the undertaking APE; and (2) proactively seeking information from others who may have knowledge of historic properties in the area. </w:t>
      </w:r>
    </w:p>
    <w:p w14:paraId="7F3FD224" w14:textId="0F8F4EF9" w:rsidR="00D67D8A" w:rsidRDefault="00D67D8A" w:rsidP="0017715B">
      <w:pPr>
        <w:pStyle w:val="BodyText"/>
      </w:pPr>
      <w:r>
        <w:t xml:space="preserve">As part of the Section 106 process, the BLM </w:t>
      </w:r>
      <w:r w:rsidR="00AE72C6" w:rsidRPr="008E094A">
        <w:t>provided project information and an invitation to consult on resources of concern to potentially affected Tribes</w:t>
      </w:r>
      <w:r>
        <w:t xml:space="preserve"> via certified letter sent </w:t>
      </w:r>
      <w:r w:rsidR="00AE72C6">
        <w:t>February 13, 2024</w:t>
      </w:r>
      <w:r>
        <w:t>:</w:t>
      </w:r>
    </w:p>
    <w:p w14:paraId="7495204C" w14:textId="77777777" w:rsidR="006E4A93" w:rsidRDefault="006E4A93" w:rsidP="0017715B">
      <w:pPr>
        <w:pStyle w:val="BodyText"/>
      </w:pPr>
      <w:r>
        <w:t>Confederated Tribes of the Goshute Reservation, Eastern Shoshone Tribe of the Wind River Reservation, Hopi Tribe of Arizona, Navajo Nation, Northwestern Band of the Shoshone Nation, Paiute Indian Tribe of Utah and the five constituent Bands (Cedar, Indian Peaks, Kanosh, Koosharem, and Shivwits Bands) Pueblo of Jemez, Pueblo of Laguna, Pueblo of Santa Clara, Pueblo of Santa Clara, Pueblo of Zia, Santo Domingo Pueblo, Southern Ute Indian Tribe of the Southern Ute Reservation, Ute Indian Tribe of the Uintah and Ouray Reservation, Ute Mountain Ute Tribe including the White Mesa Ute Community.</w:t>
      </w:r>
    </w:p>
    <w:p w14:paraId="24DDF204" w14:textId="7F73F3DF" w:rsidR="00F42280" w:rsidRDefault="00F42280" w:rsidP="0017715B">
      <w:pPr>
        <w:pStyle w:val="BodyText"/>
      </w:pPr>
      <w:r>
        <w:t xml:space="preserve">On June 24, </w:t>
      </w:r>
      <w:r w:rsidR="006611F2">
        <w:t xml:space="preserve">2024, </w:t>
      </w:r>
      <w:r w:rsidR="00FD3CC7">
        <w:t>t</w:t>
      </w:r>
      <w:r w:rsidR="00CE0C1A" w:rsidRPr="00CE0C1A">
        <w:rPr>
          <w:iCs/>
        </w:rPr>
        <w:t xml:space="preserve">he BLM sent </w:t>
      </w:r>
      <w:bookmarkStart w:id="308" w:name="_Hlk176506180"/>
      <w:r w:rsidR="00CE0C1A" w:rsidRPr="00CE0C1A">
        <w:rPr>
          <w:iCs/>
        </w:rPr>
        <w:t xml:space="preserve">a second round of </w:t>
      </w:r>
      <w:r w:rsidR="00CE0C1A" w:rsidRPr="00CE0C1A">
        <w:t xml:space="preserve">project information </w:t>
      </w:r>
      <w:r w:rsidR="00CE0C1A" w:rsidRPr="00CE0C1A">
        <w:rPr>
          <w:iCs/>
        </w:rPr>
        <w:t xml:space="preserve">about the 2025 Q2 Lease Sale </w:t>
      </w:r>
      <w:r w:rsidR="00CE0C1A" w:rsidRPr="00CE0C1A">
        <w:t xml:space="preserve">and an invitation to consult </w:t>
      </w:r>
      <w:r w:rsidR="00F8126E">
        <w:t xml:space="preserve">as part of the Section 106 process </w:t>
      </w:r>
      <w:r w:rsidR="00CE0C1A" w:rsidRPr="00CE0C1A">
        <w:t>to potentially affected Tribes</w:t>
      </w:r>
      <w:bookmarkEnd w:id="308"/>
      <w:r w:rsidR="00CE0C1A">
        <w:t xml:space="preserve"> via email.</w:t>
      </w:r>
      <w:r w:rsidR="00FD3CC7">
        <w:t xml:space="preserve"> To date, no Tribes have requested to participate in the Section 106 process.</w:t>
      </w:r>
    </w:p>
    <w:p w14:paraId="62687DA0" w14:textId="453B4271" w:rsidR="00D67D8A" w:rsidRDefault="00D67D8A" w:rsidP="0017715B">
      <w:pPr>
        <w:pStyle w:val="BodyText"/>
      </w:pPr>
      <w:r>
        <w:lastRenderedPageBreak/>
        <w:t>The BLM Utah State Office also sent invitations to potential Section 106 consulting parties on May 2, 2023. Invitations were sent to Utah Rock Art Research Association (URARA), Utah Trust Lands Administration (</w:t>
      </w:r>
      <w:r w:rsidR="0013524A">
        <w:t>U</w:t>
      </w:r>
      <w:r>
        <w:t xml:space="preserve">TLA), Utah Public Lands Policy Coordination Office (PLPCO), Utah Professional Archaeological Council (UPAC), LDS Church History, and Uintah County. </w:t>
      </w:r>
    </w:p>
    <w:p w14:paraId="5A2845B7" w14:textId="074508E5" w:rsidR="00A33BE4" w:rsidRDefault="00A33BE4" w:rsidP="00A33BE4">
      <w:pPr>
        <w:pStyle w:val="BodyText"/>
      </w:pPr>
      <w:r>
        <w:t xml:space="preserve">In May 2024 and June 2024, URARA and PLPCO requested and were granted consulting party status. </w:t>
      </w:r>
      <w:r w:rsidR="008758B0">
        <w:t>To date, t</w:t>
      </w:r>
      <w:r>
        <w:t xml:space="preserve">he BLM has not received any other requests for </w:t>
      </w:r>
      <w:r w:rsidR="008758B0">
        <w:t>consulting party status.</w:t>
      </w:r>
    </w:p>
    <w:p w14:paraId="1CFF0416" w14:textId="19B17BCC" w:rsidR="008758B0" w:rsidRDefault="00F2061E" w:rsidP="00A33BE4">
      <w:pPr>
        <w:pStyle w:val="BodyText"/>
        <w:rPr>
          <w:rFonts w:eastAsia="Arial" w:cs="Times New Roman"/>
          <w:iCs/>
        </w:rPr>
      </w:pPr>
      <w:r>
        <w:t>On August 30, 2024, the BLM</w:t>
      </w:r>
      <w:r w:rsidR="0026205B">
        <w:rPr>
          <w:rFonts w:eastAsia="Arial" w:cs="Times New Roman"/>
          <w:iCs/>
        </w:rPr>
        <w:t xml:space="preserve"> provided URARA and PLPCO the draft Section 106 literature review report for their review and comment.</w:t>
      </w:r>
    </w:p>
    <w:p w14:paraId="1934EE12" w14:textId="240914CF" w:rsidR="0026205B" w:rsidRDefault="0026205B" w:rsidP="00A33BE4">
      <w:pPr>
        <w:pStyle w:val="BodyText"/>
        <w:rPr>
          <w:rFonts w:eastAsia="Arial" w:cs="Times New Roman"/>
        </w:rPr>
      </w:pPr>
      <w:r>
        <w:rPr>
          <w:rFonts w:eastAsia="Arial" w:cs="Times New Roman"/>
          <w:iCs/>
        </w:rPr>
        <w:t xml:space="preserve">On September 5, 2024, </w:t>
      </w:r>
      <w:r w:rsidR="000C0FDA" w:rsidRPr="000C0FDA">
        <w:rPr>
          <w:rFonts w:eastAsia="Arial" w:cs="Times New Roman"/>
          <w:iCs/>
        </w:rPr>
        <w:t>PLPCO responded to the BLM following its review of the draft Section 106 report. They shared that they believe that the BLM has fulfilled the reasonable and good-faith effort requirements to identify and assess adverse effects to historic properties as part of the Section 106 process. Due to these efforts, PLPCO supports the BLM’s finding of no adverse effect to historic properties for the undertaking.</w:t>
      </w:r>
    </w:p>
    <w:p w14:paraId="6B2DBF4E" w14:textId="3A48AFC0" w:rsidR="00BD3AA6" w:rsidRDefault="00BD3AA6" w:rsidP="00A33BE4">
      <w:pPr>
        <w:pStyle w:val="BodyText"/>
        <w:rPr>
          <w:rFonts w:eastAsia="Arial" w:cs="Times New Roman"/>
        </w:rPr>
      </w:pPr>
      <w:r>
        <w:rPr>
          <w:rFonts w:eastAsia="Arial" w:cs="Times New Roman"/>
          <w:iCs/>
        </w:rPr>
        <w:t xml:space="preserve">On </w:t>
      </w:r>
      <w:r w:rsidR="00983470">
        <w:rPr>
          <w:rFonts w:eastAsia="Arial" w:cs="Times New Roman"/>
          <w:iCs/>
        </w:rPr>
        <w:t xml:space="preserve">October 7, 2024, </w:t>
      </w:r>
      <w:r w:rsidR="00E27E1B">
        <w:rPr>
          <w:rFonts w:eastAsia="Arial" w:cs="Times New Roman"/>
          <w:iCs/>
        </w:rPr>
        <w:t>the BLM emailed URARA to check if they had a chance to review the draft Section 106 report sent on August 30, 2024.</w:t>
      </w:r>
    </w:p>
    <w:p w14:paraId="246B2A44" w14:textId="74286112" w:rsidR="00E27E1B" w:rsidRDefault="00E27E1B" w:rsidP="00A33BE4">
      <w:pPr>
        <w:pStyle w:val="BodyText"/>
        <w:rPr>
          <w:rFonts w:eastAsia="Arial" w:cs="Times New Roman"/>
        </w:rPr>
      </w:pPr>
      <w:r>
        <w:rPr>
          <w:rFonts w:eastAsia="Arial" w:cs="Times New Roman"/>
          <w:iCs/>
        </w:rPr>
        <w:t xml:space="preserve">On October 8, 2024, </w:t>
      </w:r>
      <w:r w:rsidR="00D366A8">
        <w:rPr>
          <w:rFonts w:eastAsia="Arial" w:cs="Times New Roman"/>
          <w:iCs/>
        </w:rPr>
        <w:t>the BLM called and left a voicemail with the URARA point of contact asking to follow-up about the review of the draft Section 106 report. URARA responded back to the BLM they will be visiting the proposed parcels in the field and will provide a response the following day.</w:t>
      </w:r>
    </w:p>
    <w:p w14:paraId="77F2803C" w14:textId="272F74E2" w:rsidR="000B34B1" w:rsidRDefault="00D366A8" w:rsidP="00A33BE4">
      <w:pPr>
        <w:pStyle w:val="BodyText"/>
      </w:pPr>
      <w:r>
        <w:rPr>
          <w:rFonts w:eastAsia="Arial" w:cs="Times New Roman"/>
          <w:iCs/>
        </w:rPr>
        <w:t xml:space="preserve">On October 9, 2024, </w:t>
      </w:r>
      <w:r w:rsidR="002E68EF" w:rsidRPr="002E68EF">
        <w:rPr>
          <w:rFonts w:eastAsia="Arial" w:cs="Times New Roman"/>
          <w:iCs/>
        </w:rPr>
        <w:t>URARA responded to the BLM after reviewing the draft Section 106 report and visiting both proposed parcels in the field. URARA shared that they agree with the BLM’s analysis and finding of no adverse effect to historic properties. Based on their visit to the parcels, they believe that there is a limited chance for cultural resources to be found in the area. However, they ask that the presence of rock exposures near the parcels be noted because URARA believes that these rock exposures have limited potential for rock art</w:t>
      </w:r>
      <w:r w:rsidR="004B4E48">
        <w:rPr>
          <w:rFonts w:eastAsia="Arial" w:cs="Times New Roman"/>
          <w:iCs/>
        </w:rPr>
        <w:t>,</w:t>
      </w:r>
      <w:r w:rsidR="002E68EF" w:rsidRPr="002E68EF">
        <w:rPr>
          <w:rFonts w:eastAsia="Arial" w:cs="Times New Roman"/>
          <w:iCs/>
        </w:rPr>
        <w:t xml:space="preserve"> which they recommend should be checked in the future should development occur.</w:t>
      </w:r>
    </w:p>
    <w:p w14:paraId="5F9A67E5" w14:textId="68E1767F" w:rsidR="00D67D8A" w:rsidRPr="00D67D8A" w:rsidRDefault="00D67D8A" w:rsidP="0017715B">
      <w:pPr>
        <w:pStyle w:val="BodyText"/>
      </w:pPr>
      <w:r>
        <w:t>All nominated lease parcels for the lease sale lie within the exterior boundary of the Ute Indian Tribe of the Uintah &amp; Ouray Reservation (Ute Indian Tribe) reservation. The Ute Indian Tribe entered into an agreement with the National Park Service and the U.S. Department of the Interior to establish a Tribal Historic Preservation Office (THPO) on September 22, 2021, and thereby assumed the functions of a State Historic Preservation Officer (SHPO) overseeing Section 106 responsibilities and undertakings that lie within the exterior boundary of their reservation. Per 36 CFR 800.2(c)(2)(</w:t>
      </w:r>
      <w:proofErr w:type="spellStart"/>
      <w:r>
        <w:t>i</w:t>
      </w:r>
      <w:proofErr w:type="spellEnd"/>
      <w:r>
        <w:t xml:space="preserve">)(A), an Agency consults with the THPO “in lieu of the SHPO regarding undertakings occurring on or affecting historic properties on tribal lands.” </w:t>
      </w:r>
      <w:r w:rsidR="00610CA7">
        <w:t>In a letter dated October 18, 2024</w:t>
      </w:r>
      <w:r w:rsidR="00265455" w:rsidRPr="00265455">
        <w:t>,</w:t>
      </w:r>
      <w:r w:rsidR="000A040C">
        <w:t xml:space="preserve"> BLM </w:t>
      </w:r>
      <w:r w:rsidR="00265455" w:rsidRPr="00265455">
        <w:t>sought</w:t>
      </w:r>
      <w:r w:rsidR="000A040C">
        <w:t xml:space="preserve"> concurrence regarding </w:t>
      </w:r>
      <w:r w:rsidR="00265455" w:rsidRPr="00265455">
        <w:t>its</w:t>
      </w:r>
      <w:r w:rsidR="000A040C">
        <w:t xml:space="preserve"> finding of </w:t>
      </w:r>
      <w:r w:rsidR="009B1ABC">
        <w:t>no adverse</w:t>
      </w:r>
      <w:r w:rsidR="00AB7A74">
        <w:t xml:space="preserve"> </w:t>
      </w:r>
      <w:r w:rsidR="000A040C">
        <w:t xml:space="preserve">effect </w:t>
      </w:r>
      <w:r w:rsidR="008A47D7">
        <w:t>(</w:t>
      </w:r>
      <w:r w:rsidR="00DC54B7">
        <w:t>36 CFR 800</w:t>
      </w:r>
      <w:r w:rsidR="0031489B">
        <w:t>.</w:t>
      </w:r>
      <w:r w:rsidR="001A4B22">
        <w:t>5(d)(1)</w:t>
      </w:r>
      <w:r w:rsidR="009B067C">
        <w:t>)</w:t>
      </w:r>
      <w:r w:rsidR="00A92459">
        <w:t xml:space="preserve"> </w:t>
      </w:r>
      <w:r w:rsidR="004814BF">
        <w:t xml:space="preserve">to historic properties </w:t>
      </w:r>
      <w:r w:rsidR="00265455" w:rsidRPr="00265455">
        <w:t>for the lease sale with the Ute Indian Tribe THPO.</w:t>
      </w:r>
      <w:r w:rsidR="00170845">
        <w:t xml:space="preserve"> </w:t>
      </w:r>
      <w:r w:rsidR="00896467" w:rsidRPr="00896467">
        <w:t xml:space="preserve">The Ute Indian Tribe THPO did not respond within 30 days to the BLM following its request; therefore, BLM may proceed to the next steps in the Section 106 process without THPO concurrence per 36 CFR 800.3(c)(4). As of November </w:t>
      </w:r>
      <w:r w:rsidR="007C04E6">
        <w:t>25</w:t>
      </w:r>
      <w:r w:rsidR="00896467" w:rsidRPr="00896467">
        <w:t>, 202</w:t>
      </w:r>
      <w:r w:rsidR="007C04E6">
        <w:t>4</w:t>
      </w:r>
      <w:r w:rsidR="00896467" w:rsidRPr="00896467">
        <w:t>, the BLM has not received a response from the Ute Indian Tribe THPO.</w:t>
      </w:r>
    </w:p>
    <w:p w14:paraId="2DAD136F" w14:textId="77777777" w:rsidR="002D682D" w:rsidRDefault="002D682D" w:rsidP="002D682D">
      <w:pPr>
        <w:spacing w:after="160" w:line="259" w:lineRule="auto"/>
      </w:pPr>
      <w:r>
        <w:br w:type="page"/>
      </w:r>
    </w:p>
    <w:p w14:paraId="25B49896" w14:textId="77777777" w:rsidR="002D682D" w:rsidRPr="00D94666" w:rsidRDefault="002D682D" w:rsidP="00D94666">
      <w:pPr>
        <w:pStyle w:val="Heading1"/>
        <w:rPr>
          <w:rFonts w:hint="eastAsia"/>
        </w:rPr>
      </w:pPr>
      <w:bookmarkStart w:id="309" w:name="_Toc163734221"/>
      <w:bookmarkStart w:id="310" w:name="_Toc179464271"/>
      <w:bookmarkStart w:id="311" w:name="_Toc170114926"/>
      <w:r w:rsidRPr="00D94666">
        <w:lastRenderedPageBreak/>
        <w:t>List of Preparers</w:t>
      </w:r>
      <w:bookmarkEnd w:id="309"/>
      <w:bookmarkEnd w:id="310"/>
      <w:bookmarkEnd w:id="311"/>
    </w:p>
    <w:p w14:paraId="1C4E86CA" w14:textId="231F6964" w:rsidR="002D682D" w:rsidRPr="0061324A" w:rsidRDefault="002D682D" w:rsidP="002D682D">
      <w:pPr>
        <w:pStyle w:val="BodyText"/>
        <w:spacing w:before="180"/>
        <w:rPr>
          <w:rFonts w:cs="Times New Roman"/>
          <w:sz w:val="24"/>
          <w:szCs w:val="24"/>
        </w:rPr>
      </w:pPr>
      <w:r>
        <w:rPr>
          <w:rFonts w:cs="Times New Roman"/>
          <w:sz w:val="24"/>
          <w:szCs w:val="24"/>
        </w:rPr>
        <w:t xml:space="preserve">Table </w:t>
      </w:r>
      <w:r w:rsidR="00AC1F6C">
        <w:rPr>
          <w:rFonts w:cs="Times New Roman"/>
          <w:sz w:val="24"/>
          <w:szCs w:val="24"/>
        </w:rPr>
        <w:t>27</w:t>
      </w:r>
      <w:r>
        <w:rPr>
          <w:rFonts w:cs="Times New Roman"/>
          <w:sz w:val="24"/>
          <w:szCs w:val="24"/>
        </w:rPr>
        <w:t xml:space="preserve"> </w:t>
      </w:r>
      <w:r w:rsidRPr="0061324A">
        <w:rPr>
          <w:rFonts w:cs="Times New Roman"/>
          <w:sz w:val="24"/>
          <w:szCs w:val="24"/>
        </w:rPr>
        <w:t>contains a list of individuals that contributed to preparation of this EA.</w:t>
      </w:r>
    </w:p>
    <w:p w14:paraId="4D271B7D" w14:textId="4CEBAAEE" w:rsidR="007D5D0A" w:rsidRDefault="007D5D0A" w:rsidP="003F07DA">
      <w:pPr>
        <w:pStyle w:val="Caption"/>
      </w:pPr>
      <w:bookmarkStart w:id="312" w:name="_Toc179464308"/>
      <w:bookmarkStart w:id="313" w:name="_Toc170114963"/>
      <w:r>
        <w:t xml:space="preserve">Table </w:t>
      </w:r>
      <w:r w:rsidR="00BB3F01">
        <w:fldChar w:fldCharType="begin"/>
      </w:r>
      <w:r w:rsidR="00BB3F01">
        <w:instrText xml:space="preserve"> SEQ Table \* ARABIC </w:instrText>
      </w:r>
      <w:r w:rsidR="00BB3F01">
        <w:fldChar w:fldCharType="separate"/>
      </w:r>
      <w:r w:rsidR="00BB3F01">
        <w:rPr>
          <w:noProof/>
        </w:rPr>
        <w:t>27</w:t>
      </w:r>
      <w:r w:rsidR="00BB3F01">
        <w:rPr>
          <w:noProof/>
        </w:rPr>
        <w:fldChar w:fldCharType="end"/>
      </w:r>
      <w:r>
        <w:t xml:space="preserve"> </w:t>
      </w:r>
      <w:r w:rsidRPr="006D146F">
        <w:t>List of EA Preparers</w:t>
      </w:r>
      <w:bookmarkEnd w:id="312"/>
      <w:bookmarkEnd w:id="3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Description w:val="List of EA Preparers"/>
      </w:tblPr>
      <w:tblGrid>
        <w:gridCol w:w="2245"/>
        <w:gridCol w:w="4320"/>
        <w:gridCol w:w="2785"/>
      </w:tblGrid>
      <w:tr w:rsidR="002D682D" w:rsidRPr="00C36CAE" w14:paraId="4A58F4B2" w14:textId="77777777">
        <w:trPr>
          <w:cantSplit/>
          <w:trHeight w:val="20"/>
          <w:tblHeader/>
        </w:trPr>
        <w:tc>
          <w:tcPr>
            <w:tcW w:w="2245" w:type="dxa"/>
            <w:shd w:val="clear" w:color="auto" w:fill="auto"/>
          </w:tcPr>
          <w:p w14:paraId="092BE0B5" w14:textId="77777777" w:rsidR="002D682D" w:rsidRPr="00C36CAE" w:rsidRDefault="002D682D">
            <w:pPr>
              <w:pStyle w:val="TableHeading"/>
              <w:rPr>
                <w:rFonts w:ascii="Times New Roman" w:hAnsi="Times New Roman" w:cs="Times New Roman"/>
                <w:sz w:val="20"/>
              </w:rPr>
            </w:pPr>
            <w:bookmarkStart w:id="314" w:name="_40ew0vw" w:colFirst="0" w:colLast="0"/>
            <w:bookmarkEnd w:id="314"/>
            <w:r w:rsidRPr="00C36CAE">
              <w:rPr>
                <w:rFonts w:ascii="Times New Roman" w:hAnsi="Times New Roman" w:cs="Times New Roman"/>
                <w:sz w:val="20"/>
              </w:rPr>
              <w:t>Name</w:t>
            </w:r>
          </w:p>
        </w:tc>
        <w:tc>
          <w:tcPr>
            <w:tcW w:w="4320" w:type="dxa"/>
            <w:shd w:val="clear" w:color="auto" w:fill="auto"/>
          </w:tcPr>
          <w:p w14:paraId="73583241" w14:textId="77777777" w:rsidR="002D682D" w:rsidRPr="00C36CAE" w:rsidRDefault="002D682D">
            <w:pPr>
              <w:pStyle w:val="TableHeading"/>
              <w:rPr>
                <w:rFonts w:ascii="Times New Roman" w:hAnsi="Times New Roman" w:cs="Times New Roman"/>
                <w:sz w:val="20"/>
              </w:rPr>
            </w:pPr>
            <w:r w:rsidRPr="00C36CAE">
              <w:rPr>
                <w:rFonts w:ascii="Times New Roman" w:hAnsi="Times New Roman" w:cs="Times New Roman"/>
                <w:sz w:val="20"/>
              </w:rPr>
              <w:t>Area of Expertise</w:t>
            </w:r>
          </w:p>
        </w:tc>
        <w:tc>
          <w:tcPr>
            <w:tcW w:w="2785" w:type="dxa"/>
            <w:shd w:val="clear" w:color="auto" w:fill="auto"/>
          </w:tcPr>
          <w:p w14:paraId="198CD1CA" w14:textId="77777777" w:rsidR="002D682D" w:rsidRPr="00C36CAE" w:rsidRDefault="002D682D">
            <w:pPr>
              <w:pStyle w:val="TableHeading"/>
              <w:rPr>
                <w:rFonts w:ascii="Times New Roman" w:hAnsi="Times New Roman" w:cs="Times New Roman"/>
                <w:sz w:val="20"/>
              </w:rPr>
            </w:pPr>
            <w:r w:rsidRPr="00C36CAE">
              <w:rPr>
                <w:rFonts w:ascii="Times New Roman" w:hAnsi="Times New Roman" w:cs="Times New Roman"/>
                <w:sz w:val="20"/>
              </w:rPr>
              <w:t>Organization</w:t>
            </w:r>
          </w:p>
        </w:tc>
      </w:tr>
      <w:tr w:rsidR="002D682D" w:rsidRPr="00C36CAE" w14:paraId="014A0E86" w14:textId="77777777">
        <w:trPr>
          <w:cantSplit/>
          <w:trHeight w:val="20"/>
        </w:trPr>
        <w:tc>
          <w:tcPr>
            <w:tcW w:w="2245" w:type="dxa"/>
          </w:tcPr>
          <w:p w14:paraId="51B020FD"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Dave Cook</w:t>
            </w:r>
          </w:p>
        </w:tc>
        <w:tc>
          <w:tcPr>
            <w:tcW w:w="4320" w:type="dxa"/>
            <w:shd w:val="clear" w:color="auto" w:fill="auto"/>
          </w:tcPr>
          <w:p w14:paraId="6CEE58F5"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Wildlife Biologist</w:t>
            </w:r>
          </w:p>
        </w:tc>
        <w:tc>
          <w:tcPr>
            <w:tcW w:w="2785" w:type="dxa"/>
          </w:tcPr>
          <w:p w14:paraId="0ED7A10C"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26359AAE" w14:textId="77777777">
        <w:trPr>
          <w:cantSplit/>
          <w:trHeight w:val="20"/>
        </w:trPr>
        <w:tc>
          <w:tcPr>
            <w:tcW w:w="2245" w:type="dxa"/>
          </w:tcPr>
          <w:p w14:paraId="111BD0E5"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April Crawley</w:t>
            </w:r>
          </w:p>
        </w:tc>
        <w:tc>
          <w:tcPr>
            <w:tcW w:w="4320" w:type="dxa"/>
            <w:shd w:val="clear" w:color="auto" w:fill="auto"/>
          </w:tcPr>
          <w:p w14:paraId="7329AD18" w14:textId="2DF82643"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 xml:space="preserve">Planning and Environmental </w:t>
            </w:r>
            <w:r w:rsidR="00187425">
              <w:rPr>
                <w:rFonts w:ascii="Times New Roman" w:hAnsi="Times New Roman"/>
                <w:sz w:val="22"/>
                <w:szCs w:val="22"/>
              </w:rPr>
              <w:t>Specialist</w:t>
            </w:r>
          </w:p>
        </w:tc>
        <w:tc>
          <w:tcPr>
            <w:tcW w:w="2785" w:type="dxa"/>
          </w:tcPr>
          <w:p w14:paraId="20E25723"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5D9598FD" w14:textId="77777777">
        <w:trPr>
          <w:cantSplit/>
          <w:trHeight w:val="20"/>
        </w:trPr>
        <w:tc>
          <w:tcPr>
            <w:tcW w:w="2245" w:type="dxa"/>
          </w:tcPr>
          <w:p w14:paraId="717BCB31"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Jared Dalebout</w:t>
            </w:r>
          </w:p>
        </w:tc>
        <w:tc>
          <w:tcPr>
            <w:tcW w:w="4320" w:type="dxa"/>
            <w:shd w:val="clear" w:color="auto" w:fill="auto"/>
          </w:tcPr>
          <w:p w14:paraId="352F09AB"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Hydrologist</w:t>
            </w:r>
          </w:p>
        </w:tc>
        <w:tc>
          <w:tcPr>
            <w:tcW w:w="2785" w:type="dxa"/>
          </w:tcPr>
          <w:p w14:paraId="6892AA21"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218996A2" w14:textId="77777777">
        <w:trPr>
          <w:cantSplit/>
          <w:trHeight w:val="20"/>
        </w:trPr>
        <w:tc>
          <w:tcPr>
            <w:tcW w:w="2245" w:type="dxa"/>
          </w:tcPr>
          <w:p w14:paraId="3294E355"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Benjamin Gaddis</w:t>
            </w:r>
          </w:p>
        </w:tc>
        <w:tc>
          <w:tcPr>
            <w:tcW w:w="4320" w:type="dxa"/>
            <w:shd w:val="clear" w:color="auto" w:fill="auto"/>
          </w:tcPr>
          <w:p w14:paraId="14E1F8F7"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Branch Chief, Planning and Environmental Coordination</w:t>
            </w:r>
          </w:p>
        </w:tc>
        <w:tc>
          <w:tcPr>
            <w:tcW w:w="2785" w:type="dxa"/>
          </w:tcPr>
          <w:p w14:paraId="3C18E157"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742FF46D" w14:textId="77777777">
        <w:trPr>
          <w:cantSplit/>
          <w:trHeight w:val="20"/>
        </w:trPr>
        <w:tc>
          <w:tcPr>
            <w:tcW w:w="2245" w:type="dxa"/>
          </w:tcPr>
          <w:p w14:paraId="36647807"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Ray Kelsey</w:t>
            </w:r>
          </w:p>
        </w:tc>
        <w:tc>
          <w:tcPr>
            <w:tcW w:w="4320" w:type="dxa"/>
            <w:shd w:val="clear" w:color="auto" w:fill="auto"/>
          </w:tcPr>
          <w:p w14:paraId="475D80B4"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National Conservation Lands Program Lead</w:t>
            </w:r>
          </w:p>
        </w:tc>
        <w:tc>
          <w:tcPr>
            <w:tcW w:w="2785" w:type="dxa"/>
          </w:tcPr>
          <w:p w14:paraId="691F6343"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315A8E71" w14:textId="77777777">
        <w:trPr>
          <w:cantSplit/>
          <w:trHeight w:val="20"/>
        </w:trPr>
        <w:tc>
          <w:tcPr>
            <w:tcW w:w="2245" w:type="dxa"/>
          </w:tcPr>
          <w:p w14:paraId="6EC0F9CC"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Cassie Mellon</w:t>
            </w:r>
          </w:p>
        </w:tc>
        <w:tc>
          <w:tcPr>
            <w:tcW w:w="4320" w:type="dxa"/>
            <w:shd w:val="clear" w:color="auto" w:fill="auto"/>
          </w:tcPr>
          <w:p w14:paraId="7C3BFF37" w14:textId="3FE1E5A0" w:rsidR="002D682D" w:rsidRPr="005B0EE8" w:rsidRDefault="0023657A">
            <w:pPr>
              <w:pStyle w:val="TableTextLeft"/>
              <w:rPr>
                <w:rFonts w:ascii="Times New Roman" w:hAnsi="Times New Roman"/>
                <w:sz w:val="22"/>
                <w:szCs w:val="22"/>
              </w:rPr>
            </w:pPr>
            <w:r>
              <w:rPr>
                <w:rFonts w:ascii="Times New Roman" w:hAnsi="Times New Roman"/>
                <w:sz w:val="22"/>
                <w:szCs w:val="22"/>
              </w:rPr>
              <w:t>Aquatic Ecologist</w:t>
            </w:r>
          </w:p>
        </w:tc>
        <w:tc>
          <w:tcPr>
            <w:tcW w:w="2785" w:type="dxa"/>
          </w:tcPr>
          <w:p w14:paraId="24BAE7C7"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0279A89A" w14:textId="77777777">
        <w:trPr>
          <w:cantSplit/>
          <w:trHeight w:val="20"/>
        </w:trPr>
        <w:tc>
          <w:tcPr>
            <w:tcW w:w="2245" w:type="dxa"/>
          </w:tcPr>
          <w:p w14:paraId="7A175406"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 xml:space="preserve">Nathan Packer </w:t>
            </w:r>
          </w:p>
        </w:tc>
        <w:tc>
          <w:tcPr>
            <w:tcW w:w="4320" w:type="dxa"/>
            <w:shd w:val="clear" w:color="auto" w:fill="auto"/>
          </w:tcPr>
          <w:p w14:paraId="6BFF5540"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Natural Resource Specialist</w:t>
            </w:r>
          </w:p>
        </w:tc>
        <w:tc>
          <w:tcPr>
            <w:tcW w:w="2785" w:type="dxa"/>
          </w:tcPr>
          <w:p w14:paraId="3D7667D2"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32DBD5DA" w14:textId="77777777">
        <w:trPr>
          <w:cantSplit/>
          <w:trHeight w:val="20"/>
        </w:trPr>
        <w:tc>
          <w:tcPr>
            <w:tcW w:w="2245" w:type="dxa"/>
          </w:tcPr>
          <w:p w14:paraId="3D5FA8A0"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Aaron Roe</w:t>
            </w:r>
          </w:p>
        </w:tc>
        <w:tc>
          <w:tcPr>
            <w:tcW w:w="4320" w:type="dxa"/>
            <w:shd w:val="clear" w:color="auto" w:fill="auto"/>
          </w:tcPr>
          <w:p w14:paraId="19D4D466"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Botanist</w:t>
            </w:r>
          </w:p>
        </w:tc>
        <w:tc>
          <w:tcPr>
            <w:tcW w:w="2785" w:type="dxa"/>
          </w:tcPr>
          <w:p w14:paraId="14E51178"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307863C5" w14:textId="77777777">
        <w:trPr>
          <w:cantSplit/>
          <w:trHeight w:val="20"/>
        </w:trPr>
        <w:tc>
          <w:tcPr>
            <w:tcW w:w="2245" w:type="dxa"/>
          </w:tcPr>
          <w:p w14:paraId="36A7DAF2"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Bill Stevens</w:t>
            </w:r>
          </w:p>
        </w:tc>
        <w:tc>
          <w:tcPr>
            <w:tcW w:w="4320" w:type="dxa"/>
            <w:shd w:val="clear" w:color="auto" w:fill="auto"/>
          </w:tcPr>
          <w:p w14:paraId="60874C14"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Economist</w:t>
            </w:r>
          </w:p>
        </w:tc>
        <w:tc>
          <w:tcPr>
            <w:tcW w:w="2785" w:type="dxa"/>
          </w:tcPr>
          <w:p w14:paraId="417E971F"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 xml:space="preserve">BLM </w:t>
            </w:r>
            <w:proofErr w:type="spellStart"/>
            <w:r w:rsidRPr="005B0EE8">
              <w:rPr>
                <w:rFonts w:ascii="Times New Roman" w:hAnsi="Times New Roman"/>
                <w:sz w:val="22"/>
                <w:szCs w:val="22"/>
              </w:rPr>
              <w:t>MbFO</w:t>
            </w:r>
            <w:proofErr w:type="spellEnd"/>
          </w:p>
        </w:tc>
      </w:tr>
      <w:tr w:rsidR="002D682D" w:rsidRPr="00C36CAE" w14:paraId="3622DA87" w14:textId="77777777">
        <w:trPr>
          <w:cantSplit/>
          <w:trHeight w:val="20"/>
        </w:trPr>
        <w:tc>
          <w:tcPr>
            <w:tcW w:w="2245" w:type="dxa"/>
          </w:tcPr>
          <w:p w14:paraId="15983870"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Tylia Varilek</w:t>
            </w:r>
          </w:p>
        </w:tc>
        <w:tc>
          <w:tcPr>
            <w:tcW w:w="4320" w:type="dxa"/>
            <w:shd w:val="clear" w:color="auto" w:fill="auto"/>
          </w:tcPr>
          <w:p w14:paraId="0BB9D930"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Archaeologist</w:t>
            </w:r>
          </w:p>
        </w:tc>
        <w:tc>
          <w:tcPr>
            <w:tcW w:w="2785" w:type="dxa"/>
          </w:tcPr>
          <w:p w14:paraId="73CDB843"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35A0EA70" w14:textId="77777777">
        <w:trPr>
          <w:cantSplit/>
          <w:trHeight w:val="20"/>
        </w:trPr>
        <w:tc>
          <w:tcPr>
            <w:tcW w:w="2245" w:type="dxa"/>
          </w:tcPr>
          <w:p w14:paraId="72262E01"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Erik Vernon</w:t>
            </w:r>
          </w:p>
        </w:tc>
        <w:tc>
          <w:tcPr>
            <w:tcW w:w="4320" w:type="dxa"/>
          </w:tcPr>
          <w:p w14:paraId="3DBFC8B6"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Air Quality Specialist</w:t>
            </w:r>
          </w:p>
        </w:tc>
        <w:tc>
          <w:tcPr>
            <w:tcW w:w="2785" w:type="dxa"/>
          </w:tcPr>
          <w:p w14:paraId="0183BAC6"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2D682D" w:rsidRPr="00C36CAE" w14:paraId="4A84286E" w14:textId="77777777">
        <w:trPr>
          <w:cantSplit/>
          <w:trHeight w:val="20"/>
        </w:trPr>
        <w:tc>
          <w:tcPr>
            <w:tcW w:w="2245" w:type="dxa"/>
          </w:tcPr>
          <w:p w14:paraId="794EA07A"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Angela Wadman</w:t>
            </w:r>
          </w:p>
        </w:tc>
        <w:tc>
          <w:tcPr>
            <w:tcW w:w="4320" w:type="dxa"/>
          </w:tcPr>
          <w:p w14:paraId="586F7329"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Fluid Minerals Branch Chief</w:t>
            </w:r>
          </w:p>
        </w:tc>
        <w:tc>
          <w:tcPr>
            <w:tcW w:w="2785" w:type="dxa"/>
          </w:tcPr>
          <w:p w14:paraId="46A1DC10" w14:textId="77777777" w:rsidR="002D682D" w:rsidRPr="005B0EE8" w:rsidRDefault="002D682D">
            <w:pPr>
              <w:pStyle w:val="TableTextLeft"/>
              <w:rPr>
                <w:rFonts w:ascii="Times New Roman" w:hAnsi="Times New Roman"/>
                <w:sz w:val="22"/>
                <w:szCs w:val="22"/>
              </w:rPr>
            </w:pPr>
            <w:r w:rsidRPr="005B0EE8">
              <w:rPr>
                <w:rFonts w:ascii="Times New Roman" w:hAnsi="Times New Roman"/>
                <w:sz w:val="22"/>
                <w:szCs w:val="22"/>
              </w:rPr>
              <w:t>BLM UTSO</w:t>
            </w:r>
          </w:p>
        </w:tc>
      </w:tr>
      <w:tr w:rsidR="00873AD7" w:rsidRPr="00C36CAE" w14:paraId="12626034" w14:textId="77777777">
        <w:trPr>
          <w:cantSplit/>
          <w:trHeight w:val="20"/>
        </w:trPr>
        <w:tc>
          <w:tcPr>
            <w:tcW w:w="2245" w:type="dxa"/>
          </w:tcPr>
          <w:p w14:paraId="0A5649A9" w14:textId="436E1C73" w:rsidR="00873AD7" w:rsidRPr="005B0EE8" w:rsidRDefault="001926D6">
            <w:pPr>
              <w:pStyle w:val="TableTextLeft"/>
              <w:rPr>
                <w:rFonts w:ascii="Times New Roman" w:hAnsi="Times New Roman"/>
                <w:sz w:val="22"/>
                <w:szCs w:val="22"/>
              </w:rPr>
            </w:pPr>
            <w:r>
              <w:rPr>
                <w:rFonts w:ascii="Times New Roman" w:hAnsi="Times New Roman"/>
                <w:sz w:val="22"/>
                <w:szCs w:val="22"/>
              </w:rPr>
              <w:t>Catherine Chachere</w:t>
            </w:r>
          </w:p>
        </w:tc>
        <w:tc>
          <w:tcPr>
            <w:tcW w:w="4320" w:type="dxa"/>
          </w:tcPr>
          <w:p w14:paraId="2B549131" w14:textId="1960DBC2" w:rsidR="00873AD7" w:rsidRPr="005B0EE8" w:rsidRDefault="009A76DC">
            <w:pPr>
              <w:pStyle w:val="TableTextLeft"/>
              <w:rPr>
                <w:rFonts w:ascii="Times New Roman" w:hAnsi="Times New Roman"/>
                <w:sz w:val="22"/>
                <w:szCs w:val="22"/>
              </w:rPr>
            </w:pPr>
            <w:r w:rsidRPr="009A76DC">
              <w:rPr>
                <w:rFonts w:ascii="Times New Roman" w:hAnsi="Times New Roman"/>
                <w:sz w:val="22"/>
                <w:szCs w:val="22"/>
              </w:rPr>
              <w:t>Physical Scientist</w:t>
            </w:r>
          </w:p>
        </w:tc>
        <w:tc>
          <w:tcPr>
            <w:tcW w:w="2785" w:type="dxa"/>
          </w:tcPr>
          <w:p w14:paraId="6652D280" w14:textId="779B2B92" w:rsidR="00873AD7" w:rsidRPr="005B0EE8" w:rsidRDefault="000E5D72">
            <w:pPr>
              <w:pStyle w:val="TableTextLeft"/>
              <w:rPr>
                <w:rFonts w:ascii="Times New Roman" w:hAnsi="Times New Roman"/>
                <w:sz w:val="22"/>
                <w:szCs w:val="22"/>
              </w:rPr>
            </w:pPr>
            <w:r w:rsidRPr="005B0EE8">
              <w:rPr>
                <w:rFonts w:ascii="Times New Roman" w:hAnsi="Times New Roman"/>
                <w:sz w:val="22"/>
                <w:szCs w:val="22"/>
              </w:rPr>
              <w:t>BLM UTSO</w:t>
            </w:r>
          </w:p>
        </w:tc>
      </w:tr>
      <w:tr w:rsidR="00873AD7" w:rsidRPr="00C36CAE" w14:paraId="13A92A88" w14:textId="77777777">
        <w:trPr>
          <w:cantSplit/>
          <w:trHeight w:val="20"/>
        </w:trPr>
        <w:tc>
          <w:tcPr>
            <w:tcW w:w="2245" w:type="dxa"/>
          </w:tcPr>
          <w:p w14:paraId="4183B23D" w14:textId="074754B1" w:rsidR="00873AD7" w:rsidRDefault="00873AD7">
            <w:pPr>
              <w:pStyle w:val="TableTextLeft"/>
              <w:rPr>
                <w:rFonts w:ascii="Times New Roman" w:hAnsi="Times New Roman"/>
                <w:sz w:val="22"/>
                <w:szCs w:val="22"/>
              </w:rPr>
            </w:pPr>
            <w:r>
              <w:rPr>
                <w:rFonts w:ascii="Times New Roman" w:hAnsi="Times New Roman"/>
                <w:sz w:val="22"/>
                <w:szCs w:val="22"/>
              </w:rPr>
              <w:t>Tyler</w:t>
            </w:r>
            <w:r w:rsidR="00065177">
              <w:rPr>
                <w:rFonts w:ascii="Times New Roman" w:hAnsi="Times New Roman"/>
                <w:sz w:val="22"/>
                <w:szCs w:val="22"/>
              </w:rPr>
              <w:t xml:space="preserve"> </w:t>
            </w:r>
            <w:proofErr w:type="spellStart"/>
            <w:r w:rsidR="00065177">
              <w:rPr>
                <w:rFonts w:ascii="Times New Roman" w:hAnsi="Times New Roman"/>
                <w:sz w:val="22"/>
                <w:szCs w:val="22"/>
              </w:rPr>
              <w:t>Elgiar</w:t>
            </w:r>
            <w:proofErr w:type="spellEnd"/>
          </w:p>
        </w:tc>
        <w:tc>
          <w:tcPr>
            <w:tcW w:w="4320" w:type="dxa"/>
          </w:tcPr>
          <w:p w14:paraId="7459AF30" w14:textId="6DC1334F" w:rsidR="00873AD7" w:rsidRPr="005B0EE8" w:rsidRDefault="005500C8">
            <w:pPr>
              <w:pStyle w:val="TableTextLeft"/>
              <w:rPr>
                <w:rFonts w:ascii="Times New Roman" w:hAnsi="Times New Roman"/>
                <w:sz w:val="22"/>
                <w:szCs w:val="22"/>
              </w:rPr>
            </w:pPr>
            <w:r w:rsidRPr="005500C8">
              <w:rPr>
                <w:rFonts w:ascii="Times New Roman" w:hAnsi="Times New Roman"/>
                <w:sz w:val="22"/>
                <w:szCs w:val="22"/>
              </w:rPr>
              <w:t>Natural Resource Specialist (Air and Climate)</w:t>
            </w:r>
          </w:p>
        </w:tc>
        <w:tc>
          <w:tcPr>
            <w:tcW w:w="2785" w:type="dxa"/>
          </w:tcPr>
          <w:p w14:paraId="2FA2CD42" w14:textId="3CC7884F" w:rsidR="00873AD7" w:rsidRPr="005B0EE8" w:rsidRDefault="00121374">
            <w:pPr>
              <w:pStyle w:val="TableTextLeft"/>
              <w:rPr>
                <w:rFonts w:ascii="Times New Roman" w:hAnsi="Times New Roman"/>
                <w:sz w:val="22"/>
                <w:szCs w:val="22"/>
              </w:rPr>
            </w:pPr>
            <w:r>
              <w:rPr>
                <w:rFonts w:ascii="Times New Roman" w:hAnsi="Times New Roman"/>
                <w:sz w:val="22"/>
                <w:szCs w:val="22"/>
              </w:rPr>
              <w:t>BLM GRDO</w:t>
            </w:r>
          </w:p>
        </w:tc>
      </w:tr>
      <w:tr w:rsidR="00873AD7" w:rsidRPr="00C36CAE" w14:paraId="431B1E48" w14:textId="77777777" w:rsidTr="00F03DB6">
        <w:trPr>
          <w:cantSplit/>
          <w:trHeight w:val="20"/>
        </w:trPr>
        <w:tc>
          <w:tcPr>
            <w:tcW w:w="2245" w:type="dxa"/>
            <w:tcBorders>
              <w:bottom w:val="single" w:sz="4" w:space="0" w:color="auto"/>
            </w:tcBorders>
          </w:tcPr>
          <w:p w14:paraId="430C62F3" w14:textId="1B69BED8" w:rsidR="00873AD7" w:rsidRDefault="00767D2C">
            <w:pPr>
              <w:pStyle w:val="TableTextLeft"/>
              <w:rPr>
                <w:rFonts w:ascii="Times New Roman" w:hAnsi="Times New Roman"/>
                <w:sz w:val="22"/>
                <w:szCs w:val="22"/>
              </w:rPr>
            </w:pPr>
            <w:r>
              <w:rPr>
                <w:rFonts w:ascii="Times New Roman" w:hAnsi="Times New Roman"/>
                <w:sz w:val="22"/>
                <w:szCs w:val="22"/>
              </w:rPr>
              <w:t>Jessica</w:t>
            </w:r>
            <w:r w:rsidR="00D84770">
              <w:rPr>
                <w:rFonts w:ascii="Times New Roman" w:hAnsi="Times New Roman"/>
                <w:sz w:val="22"/>
                <w:szCs w:val="22"/>
              </w:rPr>
              <w:t xml:space="preserve"> Montcalm</w:t>
            </w:r>
          </w:p>
        </w:tc>
        <w:tc>
          <w:tcPr>
            <w:tcW w:w="4320" w:type="dxa"/>
            <w:tcBorders>
              <w:bottom w:val="single" w:sz="4" w:space="0" w:color="auto"/>
            </w:tcBorders>
          </w:tcPr>
          <w:p w14:paraId="4D3CD340" w14:textId="49A26705" w:rsidR="00873AD7" w:rsidRPr="005B0EE8" w:rsidRDefault="00D84770">
            <w:pPr>
              <w:pStyle w:val="TableTextLeft"/>
              <w:rPr>
                <w:rFonts w:ascii="Times New Roman" w:hAnsi="Times New Roman"/>
                <w:sz w:val="22"/>
                <w:szCs w:val="22"/>
              </w:rPr>
            </w:pPr>
            <w:r>
              <w:rPr>
                <w:rFonts w:ascii="Times New Roman" w:hAnsi="Times New Roman"/>
                <w:sz w:val="22"/>
                <w:szCs w:val="22"/>
              </w:rPr>
              <w:t>Tribal Lia</w:t>
            </w:r>
            <w:r w:rsidR="00603782">
              <w:rPr>
                <w:rFonts w:ascii="Times New Roman" w:hAnsi="Times New Roman"/>
                <w:sz w:val="22"/>
                <w:szCs w:val="22"/>
              </w:rPr>
              <w:t>ison</w:t>
            </w:r>
          </w:p>
        </w:tc>
        <w:tc>
          <w:tcPr>
            <w:tcW w:w="2785" w:type="dxa"/>
            <w:tcBorders>
              <w:bottom w:val="single" w:sz="4" w:space="0" w:color="auto"/>
            </w:tcBorders>
          </w:tcPr>
          <w:p w14:paraId="31812953" w14:textId="63B1FE64" w:rsidR="00873AD7" w:rsidRPr="005B0EE8" w:rsidRDefault="00603782">
            <w:pPr>
              <w:pStyle w:val="TableTextLeft"/>
              <w:rPr>
                <w:rFonts w:ascii="Times New Roman" w:hAnsi="Times New Roman"/>
                <w:sz w:val="22"/>
                <w:szCs w:val="22"/>
              </w:rPr>
            </w:pPr>
            <w:r>
              <w:rPr>
                <w:rFonts w:ascii="Times New Roman" w:hAnsi="Times New Roman"/>
                <w:sz w:val="22"/>
                <w:szCs w:val="22"/>
              </w:rPr>
              <w:t>BLM UTSO</w:t>
            </w:r>
          </w:p>
        </w:tc>
      </w:tr>
      <w:tr w:rsidR="00767D2C" w:rsidRPr="00C36CAE" w14:paraId="089C1641" w14:textId="77777777" w:rsidTr="00F03DB6">
        <w:trPr>
          <w:cantSplit/>
          <w:trHeight w:val="20"/>
        </w:trPr>
        <w:tc>
          <w:tcPr>
            <w:tcW w:w="2245" w:type="dxa"/>
            <w:tcBorders>
              <w:top w:val="single" w:sz="4" w:space="0" w:color="auto"/>
              <w:left w:val="single" w:sz="4" w:space="0" w:color="auto"/>
              <w:bottom w:val="single" w:sz="4" w:space="0" w:color="auto"/>
              <w:right w:val="single" w:sz="4" w:space="0" w:color="auto"/>
            </w:tcBorders>
          </w:tcPr>
          <w:p w14:paraId="3D12F56D" w14:textId="585B9AE3" w:rsidR="00767D2C" w:rsidRDefault="00767D2C">
            <w:pPr>
              <w:pStyle w:val="TableTextLeft"/>
              <w:rPr>
                <w:rFonts w:ascii="Times New Roman" w:hAnsi="Times New Roman"/>
                <w:sz w:val="22"/>
                <w:szCs w:val="22"/>
              </w:rPr>
            </w:pPr>
            <w:r>
              <w:rPr>
                <w:rFonts w:ascii="Times New Roman" w:hAnsi="Times New Roman"/>
                <w:sz w:val="22"/>
                <w:szCs w:val="22"/>
              </w:rPr>
              <w:t>Nathan Thomas</w:t>
            </w:r>
          </w:p>
        </w:tc>
        <w:tc>
          <w:tcPr>
            <w:tcW w:w="4320" w:type="dxa"/>
            <w:tcBorders>
              <w:top w:val="single" w:sz="4" w:space="0" w:color="auto"/>
              <w:left w:val="single" w:sz="4" w:space="0" w:color="auto"/>
              <w:bottom w:val="single" w:sz="4" w:space="0" w:color="auto"/>
              <w:right w:val="single" w:sz="4" w:space="0" w:color="auto"/>
            </w:tcBorders>
          </w:tcPr>
          <w:p w14:paraId="1B5E34EF" w14:textId="45F6B5FC" w:rsidR="00767D2C" w:rsidRPr="005B0EE8" w:rsidRDefault="00442F19">
            <w:pPr>
              <w:pStyle w:val="TableTextLeft"/>
              <w:rPr>
                <w:rFonts w:ascii="Times New Roman" w:hAnsi="Times New Roman"/>
                <w:sz w:val="22"/>
                <w:szCs w:val="22"/>
              </w:rPr>
            </w:pPr>
            <w:r w:rsidRPr="00442F19">
              <w:rPr>
                <w:rFonts w:ascii="Times New Roman" w:hAnsi="Times New Roman"/>
                <w:sz w:val="22"/>
                <w:szCs w:val="22"/>
              </w:rPr>
              <w:t>Branch Chief for Outdoor and Heritage Resources</w:t>
            </w:r>
          </w:p>
        </w:tc>
        <w:tc>
          <w:tcPr>
            <w:tcW w:w="2785" w:type="dxa"/>
            <w:tcBorders>
              <w:top w:val="single" w:sz="4" w:space="0" w:color="auto"/>
              <w:left w:val="single" w:sz="4" w:space="0" w:color="auto"/>
              <w:bottom w:val="single" w:sz="4" w:space="0" w:color="auto"/>
              <w:right w:val="single" w:sz="4" w:space="0" w:color="auto"/>
            </w:tcBorders>
          </w:tcPr>
          <w:p w14:paraId="0821829B" w14:textId="6701219F" w:rsidR="00767D2C" w:rsidRPr="005B0EE8" w:rsidRDefault="000E5D72">
            <w:pPr>
              <w:pStyle w:val="TableTextLeft"/>
              <w:rPr>
                <w:rFonts w:ascii="Times New Roman" w:hAnsi="Times New Roman"/>
                <w:sz w:val="22"/>
                <w:szCs w:val="22"/>
              </w:rPr>
            </w:pPr>
            <w:r w:rsidRPr="005B0EE8">
              <w:rPr>
                <w:rFonts w:ascii="Times New Roman" w:hAnsi="Times New Roman"/>
                <w:sz w:val="22"/>
                <w:szCs w:val="22"/>
              </w:rPr>
              <w:t>BLM UTSO</w:t>
            </w:r>
          </w:p>
        </w:tc>
      </w:tr>
      <w:tr w:rsidR="00767D2C" w:rsidRPr="00C36CAE" w14:paraId="512C02CC" w14:textId="77777777" w:rsidTr="00F03DB6">
        <w:trPr>
          <w:cantSplit/>
          <w:trHeight w:val="20"/>
        </w:trPr>
        <w:tc>
          <w:tcPr>
            <w:tcW w:w="2245" w:type="dxa"/>
            <w:tcBorders>
              <w:top w:val="single" w:sz="4" w:space="0" w:color="auto"/>
              <w:left w:val="single" w:sz="4" w:space="0" w:color="auto"/>
              <w:bottom w:val="single" w:sz="4" w:space="0" w:color="auto"/>
              <w:right w:val="single" w:sz="4" w:space="0" w:color="auto"/>
            </w:tcBorders>
          </w:tcPr>
          <w:p w14:paraId="7C978514" w14:textId="42C53419" w:rsidR="00767D2C" w:rsidRDefault="00657F85">
            <w:pPr>
              <w:pStyle w:val="TableTextLeft"/>
              <w:rPr>
                <w:rFonts w:ascii="Times New Roman" w:hAnsi="Times New Roman"/>
                <w:sz w:val="22"/>
                <w:szCs w:val="22"/>
              </w:rPr>
            </w:pPr>
            <w:r>
              <w:rPr>
                <w:rFonts w:ascii="Times New Roman" w:hAnsi="Times New Roman"/>
                <w:sz w:val="22"/>
                <w:szCs w:val="22"/>
              </w:rPr>
              <w:t>Georgia Knauss</w:t>
            </w:r>
          </w:p>
        </w:tc>
        <w:tc>
          <w:tcPr>
            <w:tcW w:w="4320" w:type="dxa"/>
            <w:tcBorders>
              <w:top w:val="single" w:sz="4" w:space="0" w:color="auto"/>
              <w:left w:val="single" w:sz="4" w:space="0" w:color="auto"/>
              <w:bottom w:val="single" w:sz="4" w:space="0" w:color="auto"/>
              <w:right w:val="single" w:sz="4" w:space="0" w:color="auto"/>
            </w:tcBorders>
          </w:tcPr>
          <w:p w14:paraId="5BD9520A" w14:textId="263822E8" w:rsidR="00767D2C" w:rsidRPr="005B0EE8" w:rsidRDefault="00657F85">
            <w:pPr>
              <w:pStyle w:val="TableTextLeft"/>
              <w:rPr>
                <w:rFonts w:ascii="Times New Roman" w:hAnsi="Times New Roman"/>
                <w:sz w:val="22"/>
                <w:szCs w:val="22"/>
              </w:rPr>
            </w:pPr>
            <w:r>
              <w:rPr>
                <w:rFonts w:ascii="Times New Roman" w:hAnsi="Times New Roman"/>
                <w:sz w:val="22"/>
                <w:szCs w:val="22"/>
              </w:rPr>
              <w:t>Regional Paleontologist</w:t>
            </w:r>
          </w:p>
        </w:tc>
        <w:tc>
          <w:tcPr>
            <w:tcW w:w="2785" w:type="dxa"/>
            <w:tcBorders>
              <w:top w:val="single" w:sz="4" w:space="0" w:color="auto"/>
              <w:left w:val="single" w:sz="4" w:space="0" w:color="auto"/>
              <w:bottom w:val="single" w:sz="4" w:space="0" w:color="auto"/>
              <w:right w:val="single" w:sz="4" w:space="0" w:color="auto"/>
            </w:tcBorders>
          </w:tcPr>
          <w:p w14:paraId="3B2D3A8D" w14:textId="7D65F9F4" w:rsidR="00767D2C" w:rsidRPr="005B0EE8" w:rsidRDefault="00657F85">
            <w:pPr>
              <w:pStyle w:val="TableTextLeft"/>
              <w:rPr>
                <w:rFonts w:ascii="Times New Roman" w:hAnsi="Times New Roman"/>
                <w:sz w:val="22"/>
                <w:szCs w:val="22"/>
              </w:rPr>
            </w:pPr>
            <w:r>
              <w:rPr>
                <w:rFonts w:ascii="Times New Roman" w:hAnsi="Times New Roman"/>
                <w:sz w:val="22"/>
                <w:szCs w:val="22"/>
              </w:rPr>
              <w:t>BLM UTSO</w:t>
            </w:r>
          </w:p>
        </w:tc>
      </w:tr>
    </w:tbl>
    <w:p w14:paraId="67A6A770" w14:textId="77777777" w:rsidR="00D94666" w:rsidRDefault="002D682D" w:rsidP="00DA24BF">
      <w:r>
        <w:br w:type="page"/>
      </w:r>
      <w:bookmarkStart w:id="315" w:name="_Toc163734222"/>
    </w:p>
    <w:bookmarkStart w:id="316" w:name="_Toc179464272" w:displacedByCustomXml="next"/>
    <w:bookmarkStart w:id="317" w:name="_Toc170114927" w:displacedByCustomXml="next"/>
    <w:sdt>
      <w:sdtPr>
        <w:rPr>
          <w:rFonts w:ascii="Times New Roman" w:eastAsiaTheme="minorEastAsia" w:hAnsi="Times New Roman" w:cstheme="minorBidi"/>
          <w:b w:val="0"/>
          <w:bCs w:val="0"/>
          <w:caps w:val="0"/>
          <w:sz w:val="22"/>
          <w:szCs w:val="22"/>
        </w:rPr>
        <w:id w:val="1850138186"/>
        <w:docPartObj>
          <w:docPartGallery w:val="Bibliographies"/>
          <w:docPartUnique/>
        </w:docPartObj>
      </w:sdtPr>
      <w:sdtContent>
        <w:p w14:paraId="04C1BA4C" w14:textId="2B67A1E6" w:rsidR="00D94666" w:rsidRDefault="00D94666" w:rsidP="00DA24BF">
          <w:pPr>
            <w:pStyle w:val="Heading1"/>
            <w:rPr>
              <w:rFonts w:hint="eastAsia"/>
            </w:rPr>
          </w:pPr>
          <w:r>
            <w:t>Literature Cited</w:t>
          </w:r>
          <w:bookmarkEnd w:id="315"/>
          <w:bookmarkEnd w:id="317"/>
          <w:bookmarkEnd w:id="316"/>
        </w:p>
        <w:p w14:paraId="37F09716" w14:textId="77777777" w:rsidR="0093463A" w:rsidRDefault="00D94666" w:rsidP="0093463A">
          <w:pPr>
            <w:pStyle w:val="Bibliography"/>
            <w:ind w:left="720" w:hanging="720"/>
            <w:rPr>
              <w:noProof/>
              <w:sz w:val="24"/>
              <w:szCs w:val="24"/>
            </w:rPr>
          </w:pPr>
          <w:r>
            <w:fldChar w:fldCharType="begin"/>
          </w:r>
          <w:r w:rsidRPr="00164AF2">
            <w:rPr>
              <w:lang w:val="de-DE"/>
            </w:rPr>
            <w:instrText xml:space="preserve"> BIBLIOGRAPHY </w:instrText>
          </w:r>
          <w:r>
            <w:fldChar w:fldCharType="separate"/>
          </w:r>
          <w:r w:rsidR="0093463A" w:rsidRPr="007B16FA">
            <w:rPr>
              <w:lang w:val="da-DK"/>
            </w:rPr>
            <w:t xml:space="preserve">Alder, J. R., &amp; Hostetler, S. W. (2013). </w:t>
          </w:r>
          <w:r w:rsidR="0093463A">
            <w:rPr>
              <w:i/>
              <w:iCs/>
              <w:noProof/>
            </w:rPr>
            <w:t>USGS National Climate Change Viewer. US Geological Survey</w:t>
          </w:r>
          <w:r w:rsidR="0093463A">
            <w:rPr>
              <w:noProof/>
            </w:rPr>
            <w:t>. Retrieved from https://doi.org/10.5066/F7W9575T</w:t>
          </w:r>
        </w:p>
        <w:p w14:paraId="23E0EE8D" w14:textId="77777777" w:rsidR="0093463A" w:rsidRDefault="0093463A" w:rsidP="0093463A">
          <w:pPr>
            <w:pStyle w:val="Bibliography"/>
            <w:ind w:left="720" w:hanging="720"/>
            <w:rPr>
              <w:noProof/>
            </w:rPr>
          </w:pPr>
          <w:r>
            <w:rPr>
              <w:noProof/>
            </w:rPr>
            <w:t>American Geosciences Institute. (2018, 06 01). Water in the Oil and Gas Industry. Retrieved from American Geosciences Institute: https://www.americangeosciences.org/geoscience-currents/water-oil-and-gas-industry</w:t>
          </w:r>
        </w:p>
        <w:p w14:paraId="072C5C9C" w14:textId="77777777" w:rsidR="0093463A" w:rsidRDefault="0093463A" w:rsidP="0093463A">
          <w:pPr>
            <w:pStyle w:val="Bibliography"/>
            <w:ind w:left="720" w:hanging="720"/>
            <w:rPr>
              <w:noProof/>
            </w:rPr>
          </w:pPr>
          <w:r>
            <w:rPr>
              <w:noProof/>
            </w:rPr>
            <w:t>BLM. (1990, 5 07). Handbook H-1624-1, Planning for Fluid Mineral Resources.</w:t>
          </w:r>
        </w:p>
        <w:p w14:paraId="4BE987CA" w14:textId="77777777" w:rsidR="0093463A" w:rsidRDefault="0093463A" w:rsidP="0093463A">
          <w:pPr>
            <w:pStyle w:val="Bibliography"/>
            <w:ind w:left="720" w:hanging="720"/>
            <w:rPr>
              <w:noProof/>
            </w:rPr>
          </w:pPr>
          <w:r>
            <w:rPr>
              <w:noProof/>
            </w:rPr>
            <w:t>BLM. (2002). Mineral Potential Report for the Vernal Planning Area Encompassing Approximately 5.1 million Acres, Duchesne, Dagget, Uintah, and Grand Counties. Retrieved from https://eplanning.blm.gov/eplanning-ui/project/68145/570</w:t>
          </w:r>
        </w:p>
        <w:p w14:paraId="590B3649" w14:textId="77777777" w:rsidR="0093463A" w:rsidRDefault="0093463A" w:rsidP="0093463A">
          <w:pPr>
            <w:pStyle w:val="Bibliography"/>
            <w:ind w:left="720" w:hanging="720"/>
            <w:rPr>
              <w:noProof/>
            </w:rPr>
          </w:pPr>
          <w:r>
            <w:rPr>
              <w:noProof/>
            </w:rPr>
            <w:t xml:space="preserve">BLM. (2007). </w:t>
          </w:r>
          <w:r>
            <w:rPr>
              <w:i/>
              <w:iCs/>
              <w:noProof/>
            </w:rPr>
            <w:t>BLM.gov</w:t>
          </w:r>
          <w:r>
            <w:rPr>
              <w:noProof/>
            </w:rPr>
            <w:t>. Retrieved from The Gold Book: https://www.blm.gov/programs/energy-and-minerals/oil-and-gas/operations-and-production/the-gold-book</w:t>
          </w:r>
        </w:p>
        <w:p w14:paraId="1E2E698F" w14:textId="77777777" w:rsidR="0093463A" w:rsidRDefault="0093463A" w:rsidP="0093463A">
          <w:pPr>
            <w:pStyle w:val="Bibliography"/>
            <w:ind w:left="720" w:hanging="720"/>
            <w:rPr>
              <w:noProof/>
            </w:rPr>
          </w:pPr>
          <w:r>
            <w:rPr>
              <w:noProof/>
            </w:rPr>
            <w:t>BLM. (2008b). BLM National Environmental Policy Act Handbook H-1790-1. Retrieved from https://www.blm.gov/sites/blm.gov/files/uploads/Media_Library_BLM_Policy_Handbook_h1790-1.pdf</w:t>
          </w:r>
        </w:p>
        <w:p w14:paraId="75946106" w14:textId="77777777" w:rsidR="0093463A" w:rsidRDefault="0093463A" w:rsidP="0093463A">
          <w:pPr>
            <w:pStyle w:val="Bibliography"/>
            <w:ind w:left="720" w:hanging="720"/>
            <w:rPr>
              <w:noProof/>
            </w:rPr>
          </w:pPr>
          <w:r>
            <w:rPr>
              <w:noProof/>
            </w:rPr>
            <w:t xml:space="preserve">BLM. (2014, 9 29). </w:t>
          </w:r>
          <w:r>
            <w:rPr>
              <w:i/>
              <w:iCs/>
              <w:noProof/>
            </w:rPr>
            <w:t>ISSUANCE OF THE BUREAU OF LAND MANAGEMENT FACT SHEET ON THE AIR QUALITY GENERAL CONFORMITY RULE</w:t>
          </w:r>
          <w:r>
            <w:rPr>
              <w:noProof/>
            </w:rPr>
            <w:t>. Retrieved 1 13, 2020, from https://www.blm.gov/policy/ib-2014-084</w:t>
          </w:r>
        </w:p>
        <w:p w14:paraId="585B075C" w14:textId="77777777" w:rsidR="0093463A" w:rsidRDefault="0093463A" w:rsidP="0093463A">
          <w:pPr>
            <w:pStyle w:val="Bibliography"/>
            <w:ind w:left="720" w:hanging="720"/>
            <w:rPr>
              <w:noProof/>
            </w:rPr>
          </w:pPr>
          <w:r>
            <w:rPr>
              <w:noProof/>
            </w:rPr>
            <w:t>BLM. (2016). Manual 1626 - Travel and Transportation Management Manual. Retrieved from https://www.blm.gov/sites/blm.gov/files/uploads/mediacenter_blmpolicymanual1626.pdf</w:t>
          </w:r>
        </w:p>
        <w:p w14:paraId="373628B8" w14:textId="77777777" w:rsidR="0093463A" w:rsidRDefault="0093463A" w:rsidP="0093463A">
          <w:pPr>
            <w:pStyle w:val="Bibliography"/>
            <w:ind w:left="720" w:hanging="720"/>
            <w:rPr>
              <w:noProof/>
            </w:rPr>
          </w:pPr>
          <w:r>
            <w:rPr>
              <w:noProof/>
            </w:rPr>
            <w:t>BLM. (2018a). Canyon County District March 2018 Oil and Gas Lease Sale - Environmental Assessment. NEPA Register No. DOI-BLM-UT-Y010-2017-0240-EA. Retrieved from https://eplanning.blm.gov/eplanning-ui/project/82261/510.</w:t>
          </w:r>
        </w:p>
        <w:p w14:paraId="33C4DB95" w14:textId="3F207E98" w:rsidR="0093463A" w:rsidRDefault="0093463A" w:rsidP="0093463A">
          <w:pPr>
            <w:pStyle w:val="Bibliography"/>
            <w:ind w:left="720" w:hanging="720"/>
            <w:rPr>
              <w:noProof/>
            </w:rPr>
          </w:pPr>
          <w:r>
            <w:rPr>
              <w:noProof/>
            </w:rPr>
            <w:t xml:space="preserve">BLM. (2023, 11 27). </w:t>
          </w:r>
          <w:r>
            <w:rPr>
              <w:i/>
              <w:iCs/>
              <w:noProof/>
            </w:rPr>
            <w:t>2023 Air Resource Management Strategy Monitoring Report.</w:t>
          </w:r>
          <w:r>
            <w:rPr>
              <w:noProof/>
            </w:rPr>
            <w:t xml:space="preserve"> Retrieved from https://eplanning.blm.gov/eplanning-ui/project/101390/570</w:t>
          </w:r>
        </w:p>
        <w:p w14:paraId="2228BA93" w14:textId="77777777" w:rsidR="0093463A" w:rsidRDefault="0093463A" w:rsidP="0093463A">
          <w:pPr>
            <w:pStyle w:val="Bibliography"/>
            <w:ind w:left="720" w:hanging="720"/>
            <w:rPr>
              <w:noProof/>
            </w:rPr>
          </w:pPr>
          <w:r>
            <w:rPr>
              <w:noProof/>
            </w:rPr>
            <w:t>BLM. (2023). Night Sky and Dark Environments: Best Management Practices for Artificial Light at Night on BLM-Managed lands. Tech Note 457. Retrieved from https://www.blm.gov/sites/default/files/docs/2023-04/Library_BLMTechnicalNote457_final.pdf.</w:t>
          </w:r>
        </w:p>
        <w:p w14:paraId="0F8A4BE8" w14:textId="77777777" w:rsidR="0093463A" w:rsidRDefault="0093463A" w:rsidP="0093463A">
          <w:pPr>
            <w:pStyle w:val="Bibliography"/>
            <w:ind w:left="720" w:hanging="720"/>
            <w:rPr>
              <w:noProof/>
            </w:rPr>
          </w:pPr>
          <w:r>
            <w:rPr>
              <w:noProof/>
            </w:rPr>
            <w:t xml:space="preserve">BLM. (2023). </w:t>
          </w:r>
          <w:r>
            <w:rPr>
              <w:i/>
              <w:iCs/>
              <w:noProof/>
            </w:rPr>
            <w:t>REGULATIONS, ONSHORE ORDERS AND NOTICES TO LESSEES</w:t>
          </w:r>
          <w:r>
            <w:rPr>
              <w:noProof/>
            </w:rPr>
            <w:t>. Retrieved from BLM.gov: https://www.blm.gov/programs/energy-and-minerals/oil-and-gas/operations-and-production/onshore-orders</w:t>
          </w:r>
        </w:p>
        <w:p w14:paraId="478EC717" w14:textId="77777777" w:rsidR="0093463A" w:rsidRDefault="0093463A" w:rsidP="0093463A">
          <w:pPr>
            <w:pStyle w:val="Bibliography"/>
            <w:ind w:left="720" w:hanging="720"/>
            <w:rPr>
              <w:noProof/>
            </w:rPr>
          </w:pPr>
          <w:r>
            <w:rPr>
              <w:noProof/>
            </w:rPr>
            <w:t xml:space="preserve">BLM. (2024). </w:t>
          </w:r>
          <w:r>
            <w:rPr>
              <w:i/>
              <w:iCs/>
              <w:noProof/>
            </w:rPr>
            <w:t>2023 BLM Specialist Report on Annual Greenhouse Gas Emissions and Climate Trends</w:t>
          </w:r>
          <w:r>
            <w:rPr>
              <w:noProof/>
            </w:rPr>
            <w:t>. Retrieved from https://www.blm.gov/content/ghg</w:t>
          </w:r>
        </w:p>
        <w:p w14:paraId="4B78A5F4" w14:textId="77777777" w:rsidR="0093463A" w:rsidRDefault="0093463A" w:rsidP="0093463A">
          <w:pPr>
            <w:pStyle w:val="Bibliography"/>
            <w:ind w:left="720" w:hanging="720"/>
            <w:rPr>
              <w:noProof/>
            </w:rPr>
          </w:pPr>
          <w:r>
            <w:rPr>
              <w:noProof/>
            </w:rPr>
            <w:t>BLM. (2024). Recreation Management Information System (RMIS).</w:t>
          </w:r>
        </w:p>
        <w:p w14:paraId="6E83715B" w14:textId="77777777" w:rsidR="0093463A" w:rsidRDefault="0093463A" w:rsidP="0093463A">
          <w:pPr>
            <w:pStyle w:val="Bibliography"/>
            <w:ind w:left="720" w:hanging="720"/>
            <w:rPr>
              <w:noProof/>
            </w:rPr>
          </w:pPr>
          <w:r>
            <w:rPr>
              <w:noProof/>
            </w:rPr>
            <w:t xml:space="preserve">BLS Bureau of Labor and Statistics. (2024). Quarterly Census of Employment and Wages. Retrieved from https://data.bls.gov/cew/apps/table_maker/v4/table_maker.htm#type=2&amp;st=49&amp;year=2023&amp;qtr=3&amp;own=5&amp;ind=1011&amp;supp=0 </w:t>
          </w:r>
        </w:p>
        <w:p w14:paraId="43A0A998" w14:textId="77777777" w:rsidR="0093463A" w:rsidRDefault="0093463A" w:rsidP="0093463A">
          <w:pPr>
            <w:pStyle w:val="Bibliography"/>
            <w:ind w:left="720" w:hanging="720"/>
            <w:rPr>
              <w:noProof/>
            </w:rPr>
          </w:pPr>
          <w:r>
            <w:rPr>
              <w:noProof/>
            </w:rPr>
            <w:t xml:space="preserve">CEQ. (2023, 1 8). </w:t>
          </w:r>
          <w:r>
            <w:rPr>
              <w:i/>
              <w:iCs/>
              <w:noProof/>
            </w:rPr>
            <w:t>Guidance: National Environmental Policy Act Guidance on Consideration of Greenhouse Gas Emissions and Climate Change</w:t>
          </w:r>
          <w:r>
            <w:rPr>
              <w:noProof/>
            </w:rPr>
            <w:t>. Retrieved from https://www.regulations.gov/document/CEQ-2022-0005-0001</w:t>
          </w:r>
        </w:p>
        <w:p w14:paraId="0596F7AD" w14:textId="77777777" w:rsidR="0093463A" w:rsidRDefault="0093463A" w:rsidP="0093463A">
          <w:pPr>
            <w:pStyle w:val="Bibliography"/>
            <w:ind w:left="720" w:hanging="720"/>
            <w:rPr>
              <w:noProof/>
            </w:rPr>
          </w:pPr>
          <w:r>
            <w:rPr>
              <w:noProof/>
            </w:rPr>
            <w:t xml:space="preserve">Dilts, T. E., Steele, M. O., Engler, J. D., Pelton, E. M., Jepsen, S. J., Stephanie, J. M., . . . Forister, M. L. (2019). Host Plants and Climate Structure Habitat Associations of the Western Monarch Butterfly. </w:t>
          </w:r>
          <w:r>
            <w:rPr>
              <w:i/>
              <w:iCs/>
              <w:noProof/>
            </w:rPr>
            <w:t>Frontiers in Ecology and Evolution</w:t>
          </w:r>
          <w:r>
            <w:rPr>
              <w:noProof/>
            </w:rPr>
            <w:t>. doi:10.3389/fevo.2019.00188</w:t>
          </w:r>
        </w:p>
        <w:p w14:paraId="0BA857F5" w14:textId="77777777" w:rsidR="0093463A" w:rsidRDefault="0093463A" w:rsidP="0093463A">
          <w:pPr>
            <w:pStyle w:val="Bibliography"/>
            <w:ind w:left="720" w:hanging="720"/>
            <w:rPr>
              <w:noProof/>
            </w:rPr>
          </w:pPr>
          <w:r>
            <w:rPr>
              <w:noProof/>
            </w:rPr>
            <w:t xml:space="preserve">EIA. (2022). </w:t>
          </w:r>
          <w:r>
            <w:rPr>
              <w:i/>
              <w:iCs/>
              <w:noProof/>
            </w:rPr>
            <w:t>EIA, Utah State Energy Analysis.</w:t>
          </w:r>
          <w:r>
            <w:rPr>
              <w:noProof/>
            </w:rPr>
            <w:t xml:space="preserve"> Retrieved from https://www.eia.gov/state/analysis.php?sid=UT</w:t>
          </w:r>
        </w:p>
        <w:p w14:paraId="5442F6A5" w14:textId="77777777" w:rsidR="0093463A" w:rsidRDefault="0093463A" w:rsidP="0093463A">
          <w:pPr>
            <w:pStyle w:val="Bibliography"/>
            <w:ind w:left="720" w:hanging="720"/>
            <w:rPr>
              <w:noProof/>
            </w:rPr>
          </w:pPr>
          <w:r>
            <w:rPr>
              <w:noProof/>
            </w:rPr>
            <w:t xml:space="preserve">EIA. (2023, 03 16). </w:t>
          </w:r>
          <w:r>
            <w:rPr>
              <w:i/>
              <w:iCs/>
              <w:noProof/>
            </w:rPr>
            <w:t>Annual Energy Outlook 2022.</w:t>
          </w:r>
          <w:r>
            <w:rPr>
              <w:noProof/>
            </w:rPr>
            <w:t xml:space="preserve"> Retrieved 10 01, 2021, from https://www.eia.gov/outlooks/aeo/</w:t>
          </w:r>
        </w:p>
        <w:p w14:paraId="27FCEAF7" w14:textId="5CA56615" w:rsidR="0093463A" w:rsidRDefault="0093463A" w:rsidP="0093463A">
          <w:pPr>
            <w:pStyle w:val="Bibliography"/>
            <w:ind w:left="720" w:hanging="720"/>
            <w:rPr>
              <w:noProof/>
            </w:rPr>
          </w:pPr>
          <w:r>
            <w:rPr>
              <w:noProof/>
            </w:rPr>
            <w:t xml:space="preserve">EIA. (2024, 10 10). </w:t>
          </w:r>
          <w:r>
            <w:rPr>
              <w:i/>
              <w:iCs/>
              <w:noProof/>
            </w:rPr>
            <w:t>Short-Term Energy Outlook</w:t>
          </w:r>
          <w:r>
            <w:rPr>
              <w:noProof/>
            </w:rPr>
            <w:t>. Retrieved from https://www.eia.gov/outlooks/steo/</w:t>
          </w:r>
        </w:p>
        <w:p w14:paraId="2CCEC319" w14:textId="77777777" w:rsidR="0093463A" w:rsidRDefault="0093463A" w:rsidP="0093463A">
          <w:pPr>
            <w:pStyle w:val="Bibliography"/>
            <w:ind w:left="720" w:hanging="720"/>
            <w:rPr>
              <w:noProof/>
            </w:rPr>
          </w:pPr>
          <w:r>
            <w:rPr>
              <w:noProof/>
            </w:rPr>
            <w:lastRenderedPageBreak/>
            <w:t xml:space="preserve">EPA . (2022, 4 28). </w:t>
          </w:r>
          <w:r>
            <w:rPr>
              <w:i/>
              <w:iCs/>
              <w:noProof/>
            </w:rPr>
            <w:t>GHG Equivalancy Calculator</w:t>
          </w:r>
          <w:r>
            <w:rPr>
              <w:noProof/>
            </w:rPr>
            <w:t>. Retrieved from https://www.epa.gov/energy/greenhouse-gas-equivalencies-calculator</w:t>
          </w:r>
        </w:p>
        <w:p w14:paraId="131F66DC" w14:textId="77777777" w:rsidR="0093463A" w:rsidRDefault="0093463A" w:rsidP="0093463A">
          <w:pPr>
            <w:pStyle w:val="Bibliography"/>
            <w:ind w:left="720" w:hanging="720"/>
            <w:rPr>
              <w:noProof/>
            </w:rPr>
          </w:pPr>
          <w:r>
            <w:rPr>
              <w:noProof/>
            </w:rPr>
            <w:t xml:space="preserve">EPA. (1974). </w:t>
          </w:r>
          <w:r>
            <w:rPr>
              <w:i/>
              <w:iCs/>
              <w:noProof/>
            </w:rPr>
            <w:t>Information on noise levels identified as a requistine to protect public health and welfare an adequate margin of safety. EPA-550/9-74-004.</w:t>
          </w:r>
          <w:r>
            <w:rPr>
              <w:noProof/>
            </w:rPr>
            <w:t xml:space="preserve"> Retrieved from https://nepis.epa.gov/Exe/ZyPDF.cgi/2000L3LN.PDF?Dockey=2000L3LN.PDF</w:t>
          </w:r>
        </w:p>
        <w:p w14:paraId="36B9B20E" w14:textId="77777777" w:rsidR="0093463A" w:rsidRDefault="0093463A" w:rsidP="0093463A">
          <w:pPr>
            <w:pStyle w:val="Bibliography"/>
            <w:ind w:left="720" w:hanging="720"/>
            <w:rPr>
              <w:noProof/>
            </w:rPr>
          </w:pPr>
          <w:r>
            <w:rPr>
              <w:noProof/>
            </w:rPr>
            <w:t xml:space="preserve">EPA. (1999, 03). </w:t>
          </w:r>
          <w:r>
            <w:rPr>
              <w:i/>
              <w:iCs/>
              <w:noProof/>
            </w:rPr>
            <w:t>Residual Risk Report to Congress 1999.</w:t>
          </w:r>
          <w:r>
            <w:rPr>
              <w:noProof/>
            </w:rPr>
            <w:t xml:space="preserve"> Retrieved from https://www.epa.gov/fera/residual-risk-report-congress-1999</w:t>
          </w:r>
        </w:p>
        <w:p w14:paraId="0CF09C67" w14:textId="77777777" w:rsidR="0093463A" w:rsidRDefault="0093463A" w:rsidP="0093463A">
          <w:pPr>
            <w:pStyle w:val="Bibliography"/>
            <w:ind w:left="720" w:hanging="720"/>
            <w:rPr>
              <w:noProof/>
            </w:rPr>
          </w:pPr>
          <w:r>
            <w:rPr>
              <w:noProof/>
            </w:rPr>
            <w:t xml:space="preserve">EPA. (2022). </w:t>
          </w:r>
          <w:r>
            <w:rPr>
              <w:i/>
              <w:iCs/>
              <w:noProof/>
            </w:rPr>
            <w:t>2017 AirToxScreen: Assessment Results</w:t>
          </w:r>
          <w:r>
            <w:rPr>
              <w:noProof/>
            </w:rPr>
            <w:t>. Retrieved 3 21, 2022, from https://www.epa.gov/AirToxScreen/2017-airtoxscreen-assessment-results#emissions</w:t>
          </w:r>
        </w:p>
        <w:p w14:paraId="05ACE2AE" w14:textId="77777777" w:rsidR="0093463A" w:rsidRDefault="0093463A" w:rsidP="0093463A">
          <w:pPr>
            <w:pStyle w:val="Bibliography"/>
            <w:ind w:left="720" w:hanging="720"/>
            <w:rPr>
              <w:noProof/>
            </w:rPr>
          </w:pPr>
          <w:r>
            <w:rPr>
              <w:noProof/>
            </w:rPr>
            <w:t xml:space="preserve">EPA. (2022, 12 8). </w:t>
          </w:r>
          <w:r>
            <w:rPr>
              <w:i/>
              <w:iCs/>
              <w:noProof/>
            </w:rPr>
            <w:t>FIP for Oil and Natural Gas Sources on the Uintah and Ouray Indian Reservation.</w:t>
          </w:r>
          <w:r>
            <w:rPr>
              <w:noProof/>
            </w:rPr>
            <w:t xml:space="preserve"> Retrieved from https://www.epa.gov/air-quality-implementation-plans/fip-oil-and-natural-gas-sources-uintah-and-ouray-indian#:~:text=Per%2040%20CFR%2049.172%2C%20the,is%20due%20April%2015%2C%202024.</w:t>
          </w:r>
        </w:p>
        <w:p w14:paraId="5480D6B8" w14:textId="77777777" w:rsidR="0093463A" w:rsidRDefault="0093463A" w:rsidP="0093463A">
          <w:pPr>
            <w:pStyle w:val="Bibliography"/>
            <w:ind w:left="720" w:hanging="720"/>
            <w:rPr>
              <w:noProof/>
            </w:rPr>
          </w:pPr>
          <w:r>
            <w:rPr>
              <w:noProof/>
            </w:rPr>
            <w:t xml:space="preserve">EPA. (2023, 1 9). </w:t>
          </w:r>
          <w:r>
            <w:rPr>
              <w:i/>
              <w:iCs/>
              <w:noProof/>
            </w:rPr>
            <w:t>2019 AirToxScreen: Assessment Results</w:t>
          </w:r>
          <w:r>
            <w:rPr>
              <w:noProof/>
            </w:rPr>
            <w:t>. Retrieved from https://www.epa.gov/AirToxScreen/2019-airtoxscreen-assessment-results</w:t>
          </w:r>
        </w:p>
        <w:p w14:paraId="6DBA42CF" w14:textId="77777777" w:rsidR="0093463A" w:rsidRDefault="0093463A" w:rsidP="0093463A">
          <w:pPr>
            <w:pStyle w:val="Bibliography"/>
            <w:ind w:left="720" w:hanging="720"/>
            <w:rPr>
              <w:noProof/>
            </w:rPr>
          </w:pPr>
          <w:r>
            <w:rPr>
              <w:noProof/>
            </w:rPr>
            <w:t xml:space="preserve">EPA. (2023, 7 5). </w:t>
          </w:r>
          <w:r>
            <w:rPr>
              <w:i/>
              <w:iCs/>
              <w:noProof/>
            </w:rPr>
            <w:t>Basic Information about Lead Air Pollution</w:t>
          </w:r>
          <w:r>
            <w:rPr>
              <w:noProof/>
            </w:rPr>
            <w:t>. Retrieved from https://www.epa.gov/lead-air-pollution/basic-information-about-lead-air-pollution#health</w:t>
          </w:r>
        </w:p>
        <w:p w14:paraId="1DA1E39B" w14:textId="77777777" w:rsidR="0093463A" w:rsidRDefault="0093463A" w:rsidP="0093463A">
          <w:pPr>
            <w:pStyle w:val="Bibliography"/>
            <w:ind w:left="720" w:hanging="720"/>
            <w:rPr>
              <w:noProof/>
            </w:rPr>
          </w:pPr>
          <w:r>
            <w:rPr>
              <w:noProof/>
            </w:rPr>
            <w:t xml:space="preserve">EPA. (2023, 1 30). </w:t>
          </w:r>
          <w:r>
            <w:rPr>
              <w:i/>
              <w:iCs/>
              <w:noProof/>
            </w:rPr>
            <w:t>Technologically Enhanced Naturally Occurring Radioactive Material: Oil and Gas Production Wastes</w:t>
          </w:r>
          <w:r>
            <w:rPr>
              <w:noProof/>
            </w:rPr>
            <w:t>. Retrieved from https://www.epa.gov/radiation/tenorm-oil-and-gas-production-wastes</w:t>
          </w:r>
        </w:p>
        <w:p w14:paraId="66A57411" w14:textId="77777777" w:rsidR="0093463A" w:rsidRDefault="0093463A" w:rsidP="0093463A">
          <w:pPr>
            <w:pStyle w:val="Bibliography"/>
            <w:ind w:left="720" w:hanging="720"/>
            <w:rPr>
              <w:noProof/>
            </w:rPr>
          </w:pPr>
          <w:r>
            <w:rPr>
              <w:noProof/>
            </w:rPr>
            <w:t xml:space="preserve">EPA. (2023a, May). </w:t>
          </w:r>
          <w:r>
            <w:rPr>
              <w:i/>
              <w:iCs/>
              <w:noProof/>
            </w:rPr>
            <w:t>Ground-level Ozone Pollution</w:t>
          </w:r>
          <w:r>
            <w:rPr>
              <w:noProof/>
            </w:rPr>
            <w:t>. Retrieved from https://www.epa.gov/ground-level-ozone-pollution</w:t>
          </w:r>
        </w:p>
        <w:p w14:paraId="7462AA4E" w14:textId="77777777" w:rsidR="0093463A" w:rsidRDefault="0093463A" w:rsidP="0093463A">
          <w:pPr>
            <w:pStyle w:val="Bibliography"/>
            <w:ind w:left="720" w:hanging="720"/>
            <w:rPr>
              <w:noProof/>
            </w:rPr>
          </w:pPr>
          <w:r>
            <w:rPr>
              <w:noProof/>
            </w:rPr>
            <w:t xml:space="preserve">EPA. (2023b, May). </w:t>
          </w:r>
          <w:r>
            <w:rPr>
              <w:i/>
              <w:iCs/>
              <w:noProof/>
            </w:rPr>
            <w:t>Particulate Matter Basics</w:t>
          </w:r>
          <w:r>
            <w:rPr>
              <w:noProof/>
            </w:rPr>
            <w:t>. Retrieved from https://www.epa.gov/pm-pollution/particulate-matter-pm-basics</w:t>
          </w:r>
        </w:p>
        <w:p w14:paraId="082C7564" w14:textId="77777777" w:rsidR="0093463A" w:rsidRDefault="0093463A" w:rsidP="0093463A">
          <w:pPr>
            <w:pStyle w:val="Bibliography"/>
            <w:ind w:left="720" w:hanging="720"/>
            <w:rPr>
              <w:noProof/>
            </w:rPr>
          </w:pPr>
          <w:r>
            <w:rPr>
              <w:noProof/>
            </w:rPr>
            <w:t xml:space="preserve">EPA. (2023c, May). </w:t>
          </w:r>
          <w:r>
            <w:rPr>
              <w:i/>
              <w:iCs/>
              <w:noProof/>
            </w:rPr>
            <w:t>Basic Information about NO2</w:t>
          </w:r>
          <w:r>
            <w:rPr>
              <w:noProof/>
            </w:rPr>
            <w:t>. Retrieved from https://www.epa.gov/no2-pollution/basic-information-about-no2</w:t>
          </w:r>
        </w:p>
        <w:p w14:paraId="2CA024F7" w14:textId="77777777" w:rsidR="0093463A" w:rsidRDefault="0093463A" w:rsidP="0093463A">
          <w:pPr>
            <w:pStyle w:val="Bibliography"/>
            <w:ind w:left="720" w:hanging="720"/>
            <w:rPr>
              <w:noProof/>
            </w:rPr>
          </w:pPr>
          <w:r>
            <w:rPr>
              <w:noProof/>
            </w:rPr>
            <w:t xml:space="preserve">EPA. (2023d, May). </w:t>
          </w:r>
          <w:r>
            <w:rPr>
              <w:i/>
              <w:iCs/>
              <w:noProof/>
            </w:rPr>
            <w:t>Basic Information about Carbon Monoxide Outdoor Air Pollution</w:t>
          </w:r>
          <w:r>
            <w:rPr>
              <w:noProof/>
            </w:rPr>
            <w:t>. Retrieved from https://www.epa.gov/co-pollution/basic-information-about-carbon-monoxide-co-outdoor-air-pollution#What%20is%20CO</w:t>
          </w:r>
        </w:p>
        <w:p w14:paraId="16B6F4F2" w14:textId="77777777" w:rsidR="0093463A" w:rsidRDefault="0093463A" w:rsidP="0093463A">
          <w:pPr>
            <w:pStyle w:val="Bibliography"/>
            <w:ind w:left="720" w:hanging="720"/>
            <w:rPr>
              <w:noProof/>
            </w:rPr>
          </w:pPr>
          <w:r>
            <w:rPr>
              <w:noProof/>
            </w:rPr>
            <w:t xml:space="preserve">EPA. (2023f, May). </w:t>
          </w:r>
          <w:r>
            <w:rPr>
              <w:i/>
              <w:iCs/>
              <w:noProof/>
            </w:rPr>
            <w:t>Sulfur Dioxide Basics</w:t>
          </w:r>
          <w:r>
            <w:rPr>
              <w:noProof/>
            </w:rPr>
            <w:t>. Retrieved from https://www.epa.gov/so2-pollution/sulfur-dioxide-basics#effects</w:t>
          </w:r>
        </w:p>
        <w:p w14:paraId="03DF99E5" w14:textId="77777777" w:rsidR="0093463A" w:rsidRDefault="0093463A" w:rsidP="0093463A">
          <w:pPr>
            <w:pStyle w:val="Bibliography"/>
            <w:ind w:left="720" w:hanging="720"/>
            <w:rPr>
              <w:noProof/>
            </w:rPr>
          </w:pPr>
          <w:r>
            <w:rPr>
              <w:noProof/>
            </w:rPr>
            <w:t xml:space="preserve">EPA. (2023g, May). </w:t>
          </w:r>
          <w:r>
            <w:rPr>
              <w:i/>
              <w:iCs/>
              <w:noProof/>
            </w:rPr>
            <w:t>Health Effects Notebook for Hazardous Air Pollutants</w:t>
          </w:r>
          <w:r>
            <w:rPr>
              <w:noProof/>
            </w:rPr>
            <w:t>. Retrieved from https://www.epa.gov/haps/health-effects-notebook-hazardous-air-pollutants</w:t>
          </w:r>
        </w:p>
        <w:p w14:paraId="341F9F96" w14:textId="77777777" w:rsidR="0093463A" w:rsidRDefault="0093463A" w:rsidP="0093463A">
          <w:pPr>
            <w:pStyle w:val="Bibliography"/>
            <w:ind w:left="720" w:hanging="720"/>
            <w:rPr>
              <w:noProof/>
            </w:rPr>
          </w:pPr>
          <w:r>
            <w:rPr>
              <w:noProof/>
            </w:rPr>
            <w:t xml:space="preserve">EPA. (2023h, May). </w:t>
          </w:r>
          <w:r>
            <w:rPr>
              <w:i/>
              <w:iCs/>
              <w:noProof/>
            </w:rPr>
            <w:t>Human Health Risk Assessment</w:t>
          </w:r>
          <w:r>
            <w:rPr>
              <w:noProof/>
            </w:rPr>
            <w:t>. Retrieved from https://www.epa.gov/risk/human-health-risk-assessment</w:t>
          </w:r>
        </w:p>
        <w:p w14:paraId="3C3A1C94" w14:textId="77777777" w:rsidR="0093463A" w:rsidRDefault="0093463A" w:rsidP="0093463A">
          <w:pPr>
            <w:pStyle w:val="Bibliography"/>
            <w:ind w:left="720" w:hanging="720"/>
            <w:rPr>
              <w:noProof/>
            </w:rPr>
          </w:pPr>
          <w:r>
            <w:rPr>
              <w:noProof/>
            </w:rPr>
            <w:t xml:space="preserve">EPA. (2024, 4 29). </w:t>
          </w:r>
          <w:r>
            <w:rPr>
              <w:i/>
              <w:iCs/>
              <w:noProof/>
            </w:rPr>
            <w:t>2020 National Emissions Inventory (NEI) Data.</w:t>
          </w:r>
          <w:r>
            <w:rPr>
              <w:noProof/>
            </w:rPr>
            <w:t xml:space="preserve"> Retrieved from https://www.epa.gov/air-emissions-inventories/2020-national-emissions-inventory-nei-data</w:t>
          </w:r>
        </w:p>
        <w:p w14:paraId="1C672080" w14:textId="77777777" w:rsidR="0093463A" w:rsidRDefault="0093463A" w:rsidP="0093463A">
          <w:pPr>
            <w:pStyle w:val="Bibliography"/>
            <w:ind w:left="720" w:hanging="720"/>
            <w:rPr>
              <w:noProof/>
            </w:rPr>
          </w:pPr>
          <w:r>
            <w:rPr>
              <w:noProof/>
            </w:rPr>
            <w:t xml:space="preserve">EPA. (2024, 4 10). </w:t>
          </w:r>
          <w:r>
            <w:rPr>
              <w:i/>
              <w:iCs/>
              <w:noProof/>
            </w:rPr>
            <w:t>Extension of the Attainment Date and Determination of Attainment by the Attainment Date of the Uinta Basin Marginal Nonattainment Area Under the 2015 Ozone National Ambient Air Quality Standards</w:t>
          </w:r>
          <w:r>
            <w:rPr>
              <w:noProof/>
            </w:rPr>
            <w:t>. Retrieved from Federal Register: https://www.federalregister.gov/documents/2024/04/10/2024-07501/extension-of-the-attainment-date-and-determination-of-attainment-by-the-attainment-date-of-the-uinta</w:t>
          </w:r>
        </w:p>
        <w:p w14:paraId="3B5693F6" w14:textId="77777777" w:rsidR="0093463A" w:rsidRDefault="0093463A" w:rsidP="0093463A">
          <w:pPr>
            <w:pStyle w:val="Bibliography"/>
            <w:ind w:left="720" w:hanging="720"/>
            <w:rPr>
              <w:noProof/>
            </w:rPr>
          </w:pPr>
          <w:r>
            <w:rPr>
              <w:noProof/>
            </w:rPr>
            <w:t xml:space="preserve">EPA. (2024, 2 7). </w:t>
          </w:r>
          <w:r>
            <w:rPr>
              <w:i/>
              <w:iCs/>
              <w:noProof/>
            </w:rPr>
            <w:t>NAAQS Table</w:t>
          </w:r>
          <w:r>
            <w:rPr>
              <w:noProof/>
            </w:rPr>
            <w:t>. Retrieved from https://www.epa.gov/criteria-air-pollutants/naaqs-table</w:t>
          </w:r>
        </w:p>
        <w:p w14:paraId="03770675" w14:textId="77777777" w:rsidR="0093463A" w:rsidRDefault="0093463A" w:rsidP="0093463A">
          <w:pPr>
            <w:pStyle w:val="Bibliography"/>
            <w:ind w:left="720" w:hanging="720"/>
            <w:rPr>
              <w:noProof/>
            </w:rPr>
          </w:pPr>
          <w:r>
            <w:rPr>
              <w:noProof/>
            </w:rPr>
            <w:t xml:space="preserve">Falchi, F., Cinzano, P., Duriscoe, D., Kyba, C. C., Elvidge, C. D., Baugh, K., . . . Furgoni, R. (2016). Supplement to: The New World Atlas of Artificial Night Sky Brightness. </w:t>
          </w:r>
          <w:r>
            <w:rPr>
              <w:i/>
              <w:iCs/>
              <w:noProof/>
            </w:rPr>
            <w:t>V. 1.1. GFZ Data Services</w:t>
          </w:r>
          <w:r>
            <w:rPr>
              <w:noProof/>
            </w:rPr>
            <w:t>. Retrieved from https://doi.org/10.5880/GFZ.1.4.2016.001</w:t>
          </w:r>
        </w:p>
        <w:p w14:paraId="083F71ED" w14:textId="77777777" w:rsidR="0093463A" w:rsidRDefault="0093463A" w:rsidP="0093463A">
          <w:pPr>
            <w:pStyle w:val="Bibliography"/>
            <w:ind w:left="720" w:hanging="720"/>
            <w:rPr>
              <w:noProof/>
            </w:rPr>
          </w:pPr>
          <w:r>
            <w:rPr>
              <w:noProof/>
            </w:rPr>
            <w:t xml:space="preserve">Groundwater Protection Council. (2017). </w:t>
          </w:r>
          <w:r>
            <w:rPr>
              <w:i/>
              <w:iCs/>
              <w:noProof/>
            </w:rPr>
            <w:t xml:space="preserve">State Oil and Natural Gas Regulations Designed to Protect Water </w:t>
          </w:r>
          <w:r>
            <w:rPr>
              <w:noProof/>
            </w:rPr>
            <w:t>. Retrieved from https://www.gwpc.org/sites/gwpc/uploads/documents/</w:t>
          </w:r>
        </w:p>
        <w:p w14:paraId="05024627" w14:textId="77777777" w:rsidR="0093463A" w:rsidRDefault="0093463A" w:rsidP="0093463A">
          <w:pPr>
            <w:pStyle w:val="Bibliography"/>
            <w:ind w:left="720" w:hanging="720"/>
            <w:rPr>
              <w:noProof/>
            </w:rPr>
          </w:pPr>
          <w:r>
            <w:rPr>
              <w:noProof/>
            </w:rPr>
            <w:t xml:space="preserve">Headwaters Economics. (2024). </w:t>
          </w:r>
          <w:r>
            <w:rPr>
              <w:i/>
              <w:iCs/>
              <w:noProof/>
            </w:rPr>
            <w:t>Economic Profile System</w:t>
          </w:r>
          <w:r>
            <w:rPr>
              <w:noProof/>
            </w:rPr>
            <w:t>. Retrieved from https://headwaterseconomics.org/apps/economic-profile-system/49047+49009+49013+49000</w:t>
          </w:r>
        </w:p>
        <w:p w14:paraId="4349EA5C" w14:textId="77777777" w:rsidR="0093463A" w:rsidRDefault="0093463A" w:rsidP="0093463A">
          <w:pPr>
            <w:pStyle w:val="Bibliography"/>
            <w:ind w:left="720" w:hanging="720"/>
            <w:rPr>
              <w:noProof/>
            </w:rPr>
          </w:pPr>
          <w:r>
            <w:rPr>
              <w:noProof/>
            </w:rPr>
            <w:lastRenderedPageBreak/>
            <w:t xml:space="preserve">Mansfield. (2021). Winter Ozone Pollution in Utah's Uinta Basin is Attenuating. </w:t>
          </w:r>
          <w:r>
            <w:rPr>
              <w:i/>
              <w:iCs/>
              <w:noProof/>
            </w:rPr>
            <w:t>Atmosphere</w:t>
          </w:r>
          <w:r>
            <w:rPr>
              <w:noProof/>
            </w:rPr>
            <w:t>.</w:t>
          </w:r>
        </w:p>
        <w:p w14:paraId="05B09B00" w14:textId="77777777" w:rsidR="0093463A" w:rsidRDefault="0093463A" w:rsidP="0093463A">
          <w:pPr>
            <w:pStyle w:val="Bibliography"/>
            <w:ind w:left="720" w:hanging="720"/>
            <w:rPr>
              <w:noProof/>
            </w:rPr>
          </w:pPr>
          <w:r>
            <w:rPr>
              <w:noProof/>
            </w:rPr>
            <w:t xml:space="preserve">Murphey, P. C., Townsend, K. B., Friscia, A. R., Westgate, J., Evanoff, E., &amp; Gunnell, G. F. (2017). Paleontology And Stratigraphy of Middle Eocene Rock Units In the Southern Green River and Uinta Basins, Wyoming and Utah. </w:t>
          </w:r>
          <w:r>
            <w:rPr>
              <w:i/>
              <w:iCs/>
              <w:noProof/>
            </w:rPr>
            <w:t>Geology of the Intermountain West, 4</w:t>
          </w:r>
          <w:r>
            <w:rPr>
              <w:noProof/>
            </w:rPr>
            <w:t>, pp. 1-53. doi:10.31711/giw.v4.pp1-53</w:t>
          </w:r>
        </w:p>
        <w:p w14:paraId="6336FEBA" w14:textId="77777777" w:rsidR="0093463A" w:rsidRDefault="0093463A" w:rsidP="0093463A">
          <w:pPr>
            <w:pStyle w:val="Bibliography"/>
            <w:ind w:left="720" w:hanging="720"/>
            <w:rPr>
              <w:noProof/>
            </w:rPr>
          </w:pPr>
          <w:r>
            <w:rPr>
              <w:noProof/>
            </w:rPr>
            <w:t xml:space="preserve">NatureServe. (2020). </w:t>
          </w:r>
          <w:r>
            <w:rPr>
              <w:i/>
              <w:iCs/>
              <w:noProof/>
            </w:rPr>
            <w:t>Habitat-based Plant Element Occurrence Delimitation Guidance - Revised.</w:t>
          </w:r>
          <w:r>
            <w:rPr>
              <w:noProof/>
            </w:rPr>
            <w:t xml:space="preserve"> Arlington, VA: NatureServe.</w:t>
          </w:r>
        </w:p>
        <w:p w14:paraId="4FD71A75" w14:textId="77777777" w:rsidR="0093463A" w:rsidRDefault="0093463A" w:rsidP="0093463A">
          <w:pPr>
            <w:pStyle w:val="Bibliography"/>
            <w:ind w:left="720" w:hanging="720"/>
            <w:rPr>
              <w:noProof/>
            </w:rPr>
          </w:pPr>
          <w:r>
            <w:rPr>
              <w:noProof/>
            </w:rPr>
            <w:t xml:space="preserve">NETL. (2009). </w:t>
          </w:r>
          <w:r>
            <w:rPr>
              <w:i/>
              <w:iCs/>
              <w:noProof/>
            </w:rPr>
            <w:t>2008 Development of Baseline Data and Analysis of Life Cycle Greenhouse Gas Emissions of Petroleum-Based Fuels. Tables 3-10, 4-55, and 5-10.</w:t>
          </w:r>
          <w:r>
            <w:rPr>
              <w:noProof/>
            </w:rPr>
            <w:t xml:space="preserve"> DOE/NETL-2009/1346.</w:t>
          </w:r>
        </w:p>
        <w:p w14:paraId="0A1EE222" w14:textId="77777777" w:rsidR="0093463A" w:rsidRDefault="0093463A" w:rsidP="0093463A">
          <w:pPr>
            <w:pStyle w:val="Bibliography"/>
            <w:ind w:left="720" w:hanging="720"/>
            <w:rPr>
              <w:noProof/>
            </w:rPr>
          </w:pPr>
          <w:r>
            <w:rPr>
              <w:noProof/>
            </w:rPr>
            <w:t xml:space="preserve">NETL. (2019). </w:t>
          </w:r>
          <w:r>
            <w:rPr>
              <w:i/>
              <w:iCs/>
              <w:noProof/>
            </w:rPr>
            <w:t>Life Cycle Analysis of Natural Gas Extraction and Power Generation. Appendix F, Table F-31.</w:t>
          </w:r>
          <w:r>
            <w:rPr>
              <w:noProof/>
            </w:rPr>
            <w:t xml:space="preserve"> DOE/NETL-2019/2039.</w:t>
          </w:r>
        </w:p>
        <w:p w14:paraId="5DD5EDD8" w14:textId="77777777" w:rsidR="0093463A" w:rsidRDefault="0093463A" w:rsidP="0093463A">
          <w:pPr>
            <w:pStyle w:val="Bibliography"/>
            <w:ind w:left="720" w:hanging="720"/>
            <w:rPr>
              <w:noProof/>
            </w:rPr>
          </w:pPr>
          <w:r>
            <w:rPr>
              <w:noProof/>
            </w:rPr>
            <w:t xml:space="preserve">NRCS. (2014). </w:t>
          </w:r>
          <w:r>
            <w:rPr>
              <w:i/>
              <w:iCs/>
              <w:noProof/>
            </w:rPr>
            <w:t>Web Soil Survey - Digital General Soil Map of the United States (STATSGO2).</w:t>
          </w:r>
          <w:r>
            <w:rPr>
              <w:noProof/>
            </w:rPr>
            <w:t xml:space="preserve"> Retrieved from http://websoilsurvey.nrcs.usda.gov</w:t>
          </w:r>
        </w:p>
        <w:p w14:paraId="731259D9" w14:textId="77777777" w:rsidR="0093463A" w:rsidRDefault="0093463A" w:rsidP="0093463A">
          <w:pPr>
            <w:pStyle w:val="Bibliography"/>
            <w:ind w:left="720" w:hanging="720"/>
            <w:rPr>
              <w:noProof/>
            </w:rPr>
          </w:pPr>
          <w:r>
            <w:rPr>
              <w:noProof/>
            </w:rPr>
            <w:t xml:space="preserve">NRCS. (2024). </w:t>
          </w:r>
          <w:r>
            <w:rPr>
              <w:i/>
              <w:iCs/>
              <w:noProof/>
            </w:rPr>
            <w:t>Soil Survey Geographic (SSURGO) Database.</w:t>
          </w:r>
          <w:r>
            <w:rPr>
              <w:noProof/>
            </w:rPr>
            <w:t xml:space="preserve"> Retrieved from https://websoilsurvey.urcs.usda.gov</w:t>
          </w:r>
        </w:p>
        <w:p w14:paraId="220DC6A1" w14:textId="77777777" w:rsidR="0093463A" w:rsidRDefault="0093463A" w:rsidP="0093463A">
          <w:pPr>
            <w:pStyle w:val="Bibliography"/>
            <w:ind w:left="720" w:hanging="720"/>
            <w:rPr>
              <w:noProof/>
            </w:rPr>
          </w:pPr>
          <w:r>
            <w:rPr>
              <w:noProof/>
            </w:rPr>
            <w:t xml:space="preserve">Ramboll. (2023). </w:t>
          </w:r>
          <w:r>
            <w:rPr>
              <w:i/>
              <w:iCs/>
              <w:noProof/>
            </w:rPr>
            <w:t>BLM Western US Photochemical Air Quality Modeling for 2032.</w:t>
          </w:r>
          <w:r>
            <w:rPr>
              <w:noProof/>
            </w:rPr>
            <w:t xml:space="preserve"> </w:t>
          </w:r>
        </w:p>
        <w:p w14:paraId="0589DE71" w14:textId="77777777" w:rsidR="0093463A" w:rsidRDefault="0093463A" w:rsidP="0093463A">
          <w:pPr>
            <w:pStyle w:val="Bibliography"/>
            <w:ind w:left="720" w:hanging="720"/>
            <w:rPr>
              <w:noProof/>
            </w:rPr>
          </w:pPr>
          <w:r>
            <w:rPr>
              <w:noProof/>
            </w:rPr>
            <w:t xml:space="preserve">Sandoval Lambert, M. H. (2022). Natural Gas Development and Migratory Ungulates on Western Rangelands. </w:t>
          </w:r>
          <w:r>
            <w:rPr>
              <w:i/>
              <w:iCs/>
              <w:noProof/>
            </w:rPr>
            <w:t>Bull Ecol Soc Am</w:t>
          </w:r>
          <w:r>
            <w:rPr>
              <w:noProof/>
            </w:rPr>
            <w:t>.</w:t>
          </w:r>
        </w:p>
        <w:p w14:paraId="15274143" w14:textId="77777777" w:rsidR="0093463A" w:rsidRDefault="0093463A" w:rsidP="0093463A">
          <w:pPr>
            <w:pStyle w:val="Bibliography"/>
            <w:ind w:left="720" w:hanging="720"/>
            <w:rPr>
              <w:noProof/>
            </w:rPr>
          </w:pPr>
          <w:r>
            <w:rPr>
              <w:noProof/>
            </w:rPr>
            <w:t xml:space="preserve">State of Utah. (2023). </w:t>
          </w:r>
          <w:r>
            <w:rPr>
              <w:i/>
              <w:iCs/>
              <w:noProof/>
            </w:rPr>
            <w:t>rmp.utah.gov.</w:t>
          </w:r>
          <w:r>
            <w:rPr>
              <w:noProof/>
            </w:rPr>
            <w:t xml:space="preserve"> Retrieved from State Resource Management Plan (Utah): https://storymaps.arcgis.com/collections/81d4406668e34acca4d98275ee41cd07?item=8</w:t>
          </w:r>
        </w:p>
        <w:p w14:paraId="1DFF6143" w14:textId="77777777" w:rsidR="0093463A" w:rsidRDefault="0093463A" w:rsidP="0093463A">
          <w:pPr>
            <w:pStyle w:val="Bibliography"/>
            <w:ind w:left="720" w:hanging="720"/>
            <w:rPr>
              <w:noProof/>
            </w:rPr>
          </w:pPr>
          <w:r>
            <w:rPr>
              <w:noProof/>
            </w:rPr>
            <w:t xml:space="preserve">UDOGM. (2024, 1). </w:t>
          </w:r>
          <w:r>
            <w:rPr>
              <w:i/>
              <w:iCs/>
              <w:noProof/>
            </w:rPr>
            <w:t>Monthly Production Reports - By County</w:t>
          </w:r>
          <w:r>
            <w:rPr>
              <w:noProof/>
            </w:rPr>
            <w:t>. Retrieved from https://oilgas.ogm.utah.gov/oilgasweb/publications/monthly-rpts-by-cnty.xhtml?rptType=CNTY</w:t>
          </w:r>
        </w:p>
        <w:p w14:paraId="69430A79" w14:textId="77777777" w:rsidR="0093463A" w:rsidRDefault="0093463A" w:rsidP="0093463A">
          <w:pPr>
            <w:pStyle w:val="Bibliography"/>
            <w:ind w:left="720" w:hanging="720"/>
            <w:rPr>
              <w:noProof/>
            </w:rPr>
          </w:pPr>
          <w:r>
            <w:rPr>
              <w:noProof/>
            </w:rPr>
            <w:t>Uintah County. (2022, October 31). Retrieved from https://utah-resource-management-planning-plpco.hub.arcgis.com/: https://ago-item-storage.s3.us-east-1.amazonaws.com/b638e72b971b4720835d801e125ddbb3/Uintah_CRMP_2019_.pdf?X-Amz-Security-Token=IQoJb3JpZ2luX2VjECQaCXVzLWVhc3QtMSJIMEYCIQDGvSRGupfOpci13zoJ33FqSpTtu0iAwFzUIlye1gwBPwIhAPaRlIGZz2vqvb38mKyuKvNywN3jI%2FxLJyVGH</w:t>
          </w:r>
        </w:p>
        <w:p w14:paraId="4BF5BA91" w14:textId="77777777" w:rsidR="0093463A" w:rsidRDefault="0093463A" w:rsidP="0093463A">
          <w:pPr>
            <w:pStyle w:val="Bibliography"/>
            <w:ind w:left="720" w:hanging="720"/>
            <w:rPr>
              <w:noProof/>
            </w:rPr>
          </w:pPr>
          <w:r>
            <w:rPr>
              <w:noProof/>
            </w:rPr>
            <w:t xml:space="preserve">USDOT. (2003). </w:t>
          </w:r>
          <w:r>
            <w:rPr>
              <w:i/>
              <w:iCs/>
              <w:noProof/>
            </w:rPr>
            <w:t>Living with Noise. Public Roads.</w:t>
          </w:r>
          <w:r>
            <w:rPr>
              <w:noProof/>
            </w:rPr>
            <w:t xml:space="preserve"> Retrieved from https://highways.dot.gov/public-roads/julyaugust-2003/living-noise#:~:text=Levels%20of%20highway%20traffic%20noise,to%20carry%20on%20a%20conversation.</w:t>
          </w:r>
        </w:p>
        <w:p w14:paraId="2D033B1F" w14:textId="77777777" w:rsidR="0093463A" w:rsidRDefault="0093463A" w:rsidP="0093463A">
          <w:pPr>
            <w:pStyle w:val="Bibliography"/>
            <w:ind w:left="720" w:hanging="720"/>
            <w:rPr>
              <w:noProof/>
            </w:rPr>
          </w:pPr>
          <w:r>
            <w:rPr>
              <w:noProof/>
            </w:rPr>
            <w:t xml:space="preserve">USGS. (2019, 03 02). </w:t>
          </w:r>
          <w:r>
            <w:rPr>
              <w:i/>
              <w:iCs/>
              <w:noProof/>
            </w:rPr>
            <w:t>USGS</w:t>
          </w:r>
          <w:r>
            <w:rPr>
              <w:noProof/>
            </w:rPr>
            <w:t>. Retrieved from Hydraulic Fracturing: https://www.usgs.gov/mission-areas/water-resources/science/hydraulic-fracturing?qt-science_center_objects=0#qt-science_center_objects</w:t>
          </w:r>
        </w:p>
        <w:p w14:paraId="6FFFE40F" w14:textId="77777777" w:rsidR="0093463A" w:rsidRDefault="0093463A" w:rsidP="0093463A">
          <w:pPr>
            <w:pStyle w:val="Bibliography"/>
            <w:ind w:left="720" w:hanging="720"/>
            <w:rPr>
              <w:noProof/>
            </w:rPr>
          </w:pPr>
          <w:r>
            <w:rPr>
              <w:noProof/>
            </w:rPr>
            <w:t>USGS. (2023). How much water does the typical hydraulically fractured well require? Retrieved from https://www.usgs.gov/faqs/how-much-water-does-typical-hydraulically-fractured-well-require#:~:text=Water%20use%20per%20well%20can,to%20about%2016%20million%20gallons.</w:t>
          </w:r>
        </w:p>
        <w:p w14:paraId="46DCFE72" w14:textId="77777777" w:rsidR="0093463A" w:rsidRDefault="0093463A" w:rsidP="0093463A">
          <w:pPr>
            <w:pStyle w:val="Bibliography"/>
            <w:ind w:left="720" w:hanging="720"/>
            <w:rPr>
              <w:noProof/>
            </w:rPr>
          </w:pPr>
          <w:r>
            <w:rPr>
              <w:noProof/>
            </w:rPr>
            <w:t>Utah. (2020). Location And Siting of Vertical Wells and Statewide Spacing for Horizontal Wells. Retrieved from https://www.law.cornell.edu/regulations/utah/Utah-Admin-Code-R649-3-2</w:t>
          </w:r>
        </w:p>
        <w:p w14:paraId="271A43F1" w14:textId="77777777" w:rsidR="0093463A" w:rsidRDefault="0093463A" w:rsidP="0093463A">
          <w:pPr>
            <w:pStyle w:val="Bibliography"/>
            <w:ind w:left="720" w:hanging="720"/>
            <w:rPr>
              <w:noProof/>
            </w:rPr>
          </w:pPr>
          <w:r>
            <w:rPr>
              <w:noProof/>
            </w:rPr>
            <w:t xml:space="preserve">Utah Geological Survey. (2018, May). </w:t>
          </w:r>
          <w:r>
            <w:rPr>
              <w:i/>
              <w:iCs/>
              <w:noProof/>
            </w:rPr>
            <w:t>Survey Notes</w:t>
          </w:r>
          <w:r>
            <w:rPr>
              <w:noProof/>
            </w:rPr>
            <w:t>. Retrieved from geology.utah.gov: https://geology.utah.gov/map-pub/survey-notes/uinta-basin-produced-water/#:~:text=O%20il%20and%20gas%20fields%20in%20the%20Uinta,73%20to%2066%20million-year-old%20Upper%20Cretaceous%20Mesaverde%20Group.</w:t>
          </w:r>
        </w:p>
        <w:p w14:paraId="35AD36F0" w14:textId="77777777" w:rsidR="0093463A" w:rsidRDefault="0093463A" w:rsidP="0093463A">
          <w:pPr>
            <w:pStyle w:val="Bibliography"/>
            <w:ind w:left="720" w:hanging="720"/>
            <w:rPr>
              <w:noProof/>
            </w:rPr>
          </w:pPr>
          <w:r>
            <w:rPr>
              <w:noProof/>
            </w:rPr>
            <w:t xml:space="preserve">WRAP/WAQS. (2021). </w:t>
          </w:r>
          <w:r>
            <w:rPr>
              <w:i/>
              <w:iCs/>
              <w:noProof/>
            </w:rPr>
            <w:t>UNITED STATES ANTHROPOGENIC EMISSIONS RATE OF PROGRESS .</w:t>
          </w:r>
          <w:r>
            <w:rPr>
              <w:noProof/>
            </w:rPr>
            <w:t xml:space="preserve"> Retrieved from https://views.cira.colostate.edu/tssv2/Docs/USAnthroRoP.pdf</w:t>
          </w:r>
        </w:p>
        <w:p w14:paraId="72AFE9D0" w14:textId="71DE5A16" w:rsidR="00D94666" w:rsidRDefault="00D94666" w:rsidP="0093463A">
          <w:r>
            <w:rPr>
              <w:b/>
              <w:bCs/>
            </w:rPr>
            <w:fldChar w:fldCharType="end"/>
          </w:r>
        </w:p>
      </w:sdtContent>
    </w:sdt>
    <w:bookmarkStart w:id="318" w:name="_Toc127312109" w:displacedByCustomXml="prev"/>
    <w:bookmarkStart w:id="319" w:name="_Toc128755964" w:displacedByCustomXml="prev"/>
    <w:bookmarkStart w:id="320" w:name="_Ref128865945" w:displacedByCustomXml="prev"/>
    <w:bookmarkStart w:id="321" w:name="_Toc128984174" w:displacedByCustomXml="prev"/>
    <w:bookmarkStart w:id="322" w:name="_Ref130559370" w:displacedByCustomXml="prev"/>
    <w:p w14:paraId="1F6CA8AB" w14:textId="77777777" w:rsidR="00A00430" w:rsidRDefault="00A00430">
      <w:pPr>
        <w:spacing w:after="160" w:line="259" w:lineRule="auto"/>
        <w:rPr>
          <w:rFonts w:ascii="Times New Roman Bold" w:eastAsiaTheme="majorEastAsia" w:hAnsi="Times New Roman Bold" w:cs="Arial" w:hint="eastAsia"/>
          <w:b/>
          <w:caps/>
          <w:sz w:val="32"/>
          <w:szCs w:val="32"/>
        </w:rPr>
      </w:pPr>
      <w:r>
        <w:rPr>
          <w:rFonts w:hint="eastAsia"/>
        </w:rPr>
        <w:br w:type="page"/>
      </w:r>
    </w:p>
    <w:p w14:paraId="2092032A" w14:textId="77777777" w:rsidR="00DA24BF" w:rsidRDefault="00D94666" w:rsidP="00821807">
      <w:pPr>
        <w:pStyle w:val="AppendixHeading1"/>
        <w:ind w:left="0" w:firstLine="0"/>
        <w:rPr>
          <w:rFonts w:hint="eastAsia"/>
        </w:rPr>
      </w:pPr>
      <w:bookmarkStart w:id="323" w:name="_Toc179464273"/>
      <w:bookmarkStart w:id="324" w:name="_Toc170114928"/>
      <w:r w:rsidRPr="00737490">
        <w:lastRenderedPageBreak/>
        <w:t xml:space="preserve">Appendix A. </w:t>
      </w:r>
      <w:bookmarkEnd w:id="318"/>
      <w:r>
        <w:t>Figures/Maps</w:t>
      </w:r>
      <w:bookmarkEnd w:id="322"/>
      <w:bookmarkEnd w:id="321"/>
      <w:bookmarkEnd w:id="320"/>
      <w:bookmarkEnd w:id="319"/>
      <w:bookmarkEnd w:id="323"/>
      <w:bookmarkEnd w:id="324"/>
    </w:p>
    <w:p w14:paraId="73100D73" w14:textId="38F816DE" w:rsidR="00821807" w:rsidRDefault="008E36F1" w:rsidP="00DA24BF">
      <w:r w:rsidRPr="00DA24BF">
        <w:rPr>
          <w:rFonts w:hint="eastAsia"/>
          <w:noProof/>
        </w:rPr>
        <w:drawing>
          <wp:inline distT="0" distB="0" distL="0" distR="0" wp14:anchorId="3D8F7328" wp14:editId="0FBEB96B">
            <wp:extent cx="6553835" cy="5066030"/>
            <wp:effectExtent l="0" t="0" r="0" b="1270"/>
            <wp:docPr id="1176339448" name="Picture 1" descr="Map of Proposed 2025 Oil and Gas Lease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39448" name="Picture 1" descr="Map of Proposed 2025 Oil and Gas Lease Parce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3835" cy="5066030"/>
                    </a:xfrm>
                    <a:prstGeom prst="rect">
                      <a:avLst/>
                    </a:prstGeom>
                    <a:noFill/>
                  </pic:spPr>
                </pic:pic>
              </a:graphicData>
            </a:graphic>
          </wp:inline>
        </w:drawing>
      </w:r>
    </w:p>
    <w:p w14:paraId="2CF3B07C" w14:textId="3171ECEA" w:rsidR="008E36F1" w:rsidRDefault="00821807" w:rsidP="00821807">
      <w:pPr>
        <w:pStyle w:val="Caption"/>
      </w:pPr>
      <w:bookmarkStart w:id="325" w:name="_Toc179464325"/>
      <w:bookmarkStart w:id="326" w:name="_Toc170114980"/>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Pr>
          <w:noProof/>
        </w:rPr>
        <w:t>7</w:t>
      </w:r>
      <w:r>
        <w:rPr>
          <w:rFonts w:hint="eastAsia"/>
        </w:rPr>
        <w:fldChar w:fldCharType="end"/>
      </w:r>
      <w:r>
        <w:t xml:space="preserve"> </w:t>
      </w:r>
      <w:r w:rsidRPr="00E90E97">
        <w:t>Proposed 2025 Oil and Gas Lease Parcels</w:t>
      </w:r>
      <w:bookmarkEnd w:id="325"/>
      <w:bookmarkEnd w:id="326"/>
    </w:p>
    <w:p w14:paraId="17524DDE" w14:textId="77777777" w:rsidR="00821807" w:rsidRDefault="00821807">
      <w:pPr>
        <w:spacing w:after="160" w:line="259" w:lineRule="auto"/>
        <w:rPr>
          <w:rFonts w:ascii="Times New Roman Bold" w:eastAsiaTheme="majorEastAsia" w:hAnsi="Times New Roman Bold" w:cs="Arial" w:hint="eastAsia"/>
          <w:b/>
          <w:caps/>
          <w:sz w:val="32"/>
          <w:szCs w:val="32"/>
        </w:rPr>
      </w:pPr>
      <w:r>
        <w:rPr>
          <w:rFonts w:hint="eastAsia"/>
        </w:rPr>
        <w:br w:type="page"/>
      </w:r>
    </w:p>
    <w:p w14:paraId="718D0FC2" w14:textId="029B3524" w:rsidR="00326E0F" w:rsidRDefault="00DC1499" w:rsidP="00326E0F">
      <w:pPr>
        <w:pStyle w:val="AppendixHeading1"/>
        <w:ind w:left="0" w:firstLine="0"/>
        <w:rPr>
          <w:rFonts w:hint="eastAsia"/>
        </w:rPr>
      </w:pPr>
      <w:bookmarkStart w:id="327" w:name="_Toc179464274"/>
      <w:bookmarkStart w:id="328" w:name="_Toc170114929"/>
      <w:r>
        <w:lastRenderedPageBreak/>
        <w:t>A</w:t>
      </w:r>
      <w:r w:rsidR="004523C0">
        <w:t>ppendix B. Stipulations</w:t>
      </w:r>
      <w:bookmarkEnd w:id="327"/>
      <w:bookmarkEnd w:id="328"/>
    </w:p>
    <w:p w14:paraId="7037A52D" w14:textId="77777777" w:rsidR="00E42EA7" w:rsidRDefault="00E42EA7" w:rsidP="00E42EA7">
      <w:pPr>
        <w:pStyle w:val="paragraph"/>
      </w:pPr>
      <w:r>
        <w:t>Lease stipulations and notices applied to each parcel are listed in B.1. For descriptions of each stipulation and notice, see section B.2.</w:t>
      </w:r>
      <w:r w:rsidRPr="00593501">
        <w:t xml:space="preserve">In addition to the parcel specific Stipulations and Notices listed below, the stipulations and notices presented in this table would be applied to </w:t>
      </w:r>
      <w:r w:rsidRPr="00593501">
        <w:rPr>
          <w:b/>
        </w:rPr>
        <w:t>ALL</w:t>
      </w:r>
      <w:r w:rsidRPr="00593501">
        <w:t xml:space="preserve"> parcels:</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 addition to the Stipulations and Notices for each parcel, the following would be applied to all parcels."/>
      </w:tblPr>
      <w:tblGrid>
        <w:gridCol w:w="4675"/>
        <w:gridCol w:w="4675"/>
      </w:tblGrid>
      <w:tr w:rsidR="002A3378" w:rsidRPr="005E1813" w14:paraId="37FB550A" w14:textId="77777777" w:rsidTr="002A3378">
        <w:trPr>
          <w:tblHeader/>
        </w:trPr>
        <w:tc>
          <w:tcPr>
            <w:tcW w:w="4675" w:type="dxa"/>
            <w:shd w:val="clear" w:color="auto" w:fill="D9D9D9" w:themeFill="background1" w:themeFillShade="D9"/>
          </w:tcPr>
          <w:p w14:paraId="4B026CFA" w14:textId="77777777" w:rsidR="002A3378" w:rsidRPr="005E1813" w:rsidRDefault="002A3378" w:rsidP="002A3378">
            <w:pPr>
              <w:pStyle w:val="paragraph"/>
              <w:rPr>
                <w:b/>
              </w:rPr>
            </w:pPr>
            <w:r w:rsidRPr="005E1813">
              <w:rPr>
                <w:b/>
              </w:rPr>
              <w:t>Stipulations</w:t>
            </w:r>
          </w:p>
        </w:tc>
        <w:tc>
          <w:tcPr>
            <w:tcW w:w="4675" w:type="dxa"/>
            <w:shd w:val="clear" w:color="auto" w:fill="D9D9D9" w:themeFill="background1" w:themeFillShade="D9"/>
          </w:tcPr>
          <w:p w14:paraId="371B93A1" w14:textId="77777777" w:rsidR="002A3378" w:rsidRPr="005E1813" w:rsidRDefault="002A3378" w:rsidP="002A3378">
            <w:pPr>
              <w:pStyle w:val="paragraph"/>
              <w:rPr>
                <w:b/>
              </w:rPr>
            </w:pPr>
            <w:r w:rsidRPr="005E1813">
              <w:rPr>
                <w:b/>
              </w:rPr>
              <w:t>Notices</w:t>
            </w:r>
          </w:p>
        </w:tc>
      </w:tr>
      <w:tr w:rsidR="002A3378" w:rsidRPr="005E1813" w14:paraId="5D7860FC" w14:textId="77777777" w:rsidTr="002A3378">
        <w:tc>
          <w:tcPr>
            <w:tcW w:w="4675" w:type="dxa"/>
          </w:tcPr>
          <w:p w14:paraId="3FFA3A66" w14:textId="77777777" w:rsidR="002A3378" w:rsidRPr="005E1813" w:rsidRDefault="002A3378" w:rsidP="002A3378">
            <w:pPr>
              <w:pStyle w:val="paragraph"/>
            </w:pPr>
            <w:r w:rsidRPr="005E1813">
              <w:t>Cultural Resources Protection (Handbook H-3120-1)</w:t>
            </w:r>
          </w:p>
        </w:tc>
        <w:tc>
          <w:tcPr>
            <w:tcW w:w="4675" w:type="dxa"/>
          </w:tcPr>
          <w:p w14:paraId="7D9F25C1" w14:textId="77777777" w:rsidR="002A3378" w:rsidRPr="005E1813" w:rsidRDefault="002A3378" w:rsidP="002A3378">
            <w:pPr>
              <w:pStyle w:val="paragraph"/>
              <w:rPr>
                <w:bCs/>
              </w:rPr>
            </w:pPr>
            <w:r w:rsidRPr="005E1813">
              <w:rPr>
                <w:bCs/>
              </w:rPr>
              <w:t>Notice to Lessee (MLA)</w:t>
            </w:r>
          </w:p>
        </w:tc>
      </w:tr>
      <w:tr w:rsidR="002A3378" w:rsidRPr="005E1813" w14:paraId="09CCB045" w14:textId="77777777" w:rsidTr="002A3378">
        <w:tc>
          <w:tcPr>
            <w:tcW w:w="4675" w:type="dxa"/>
          </w:tcPr>
          <w:p w14:paraId="6E2D97C2" w14:textId="77777777" w:rsidR="002A3378" w:rsidRPr="005E1813" w:rsidRDefault="002A3378" w:rsidP="002A3378">
            <w:pPr>
              <w:pStyle w:val="paragraph"/>
            </w:pPr>
            <w:r w:rsidRPr="005E1813">
              <w:t>Threatened &amp; Endangered Species Act (Handbook H-3120-1)</w:t>
            </w:r>
          </w:p>
        </w:tc>
        <w:tc>
          <w:tcPr>
            <w:tcW w:w="4675" w:type="dxa"/>
          </w:tcPr>
          <w:p w14:paraId="6623E31D" w14:textId="77777777" w:rsidR="002A3378" w:rsidRPr="005E1813" w:rsidRDefault="002A3378" w:rsidP="002A3378">
            <w:pPr>
              <w:pStyle w:val="paragraph"/>
              <w:rPr>
                <w:bCs/>
              </w:rPr>
            </w:pPr>
          </w:p>
        </w:tc>
      </w:tr>
    </w:tbl>
    <w:p w14:paraId="1577712F" w14:textId="6C262878" w:rsidR="007769A4" w:rsidRDefault="00F728D7" w:rsidP="00F728D7">
      <w:pPr>
        <w:pStyle w:val="Heading2"/>
        <w:numPr>
          <w:ilvl w:val="0"/>
          <w:numId w:val="0"/>
        </w:numPr>
        <w:rPr>
          <w:rFonts w:hint="eastAsia"/>
        </w:rPr>
      </w:pPr>
      <w:bookmarkStart w:id="329" w:name="_Toc179464275"/>
      <w:bookmarkStart w:id="330" w:name="_Toc170114930"/>
      <w:r>
        <w:t xml:space="preserve">B.1 </w:t>
      </w:r>
      <w:r w:rsidR="007769A4">
        <w:t>Lease Stipulations and Notices by Parcel</w:t>
      </w:r>
      <w:bookmarkEnd w:id="329"/>
      <w:bookmarkEnd w:id="330"/>
    </w:p>
    <w:p w14:paraId="1BFF79B7" w14:textId="52C30BFD" w:rsidR="008A532E" w:rsidRDefault="008A532E" w:rsidP="008A532E">
      <w:pPr>
        <w:pStyle w:val="Caption"/>
      </w:pPr>
      <w:bookmarkStart w:id="331" w:name="_Toc179464309"/>
      <w:bookmarkStart w:id="332" w:name="_Toc170114964"/>
      <w:r>
        <w:t xml:space="preserve">Table </w:t>
      </w:r>
      <w:r w:rsidR="00BB3F01">
        <w:fldChar w:fldCharType="begin"/>
      </w:r>
      <w:r w:rsidR="00BB3F01">
        <w:instrText xml:space="preserve"> SEQ Table \* ARABIC </w:instrText>
      </w:r>
      <w:r w:rsidR="00BB3F01">
        <w:fldChar w:fldCharType="separate"/>
      </w:r>
      <w:r w:rsidR="00BB3F01">
        <w:rPr>
          <w:noProof/>
        </w:rPr>
        <w:t>28</w:t>
      </w:r>
      <w:r w:rsidR="00BB3F01">
        <w:rPr>
          <w:noProof/>
        </w:rPr>
        <w:fldChar w:fldCharType="end"/>
      </w:r>
      <w:r w:rsidR="00BB3F01">
        <w:t>:</w:t>
      </w:r>
      <w:r>
        <w:t xml:space="preserve"> Parcel 7688</w:t>
      </w:r>
      <w:bookmarkEnd w:id="331"/>
      <w:bookmarkEnd w:id="332"/>
    </w:p>
    <w:tbl>
      <w:tblPr>
        <w:tblW w:w="0" w:type="auto"/>
        <w:tblLayout w:type="fixed"/>
        <w:tblLook w:val="04A0" w:firstRow="1" w:lastRow="0" w:firstColumn="1" w:lastColumn="0" w:noHBand="0" w:noVBand="1"/>
      </w:tblPr>
      <w:tblGrid>
        <w:gridCol w:w="4665"/>
        <w:gridCol w:w="4665"/>
      </w:tblGrid>
      <w:tr w:rsidR="00E57ECA" w14:paraId="09CC9F69" w14:textId="77777777">
        <w:trPr>
          <w:trHeight w:val="300"/>
        </w:trPr>
        <w:tc>
          <w:tcPr>
            <w:tcW w:w="93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9807CED" w14:textId="77777777" w:rsidR="00E57ECA" w:rsidRDefault="00E57ECA">
            <w:pPr>
              <w:spacing w:line="264" w:lineRule="auto"/>
            </w:pPr>
            <w:r w:rsidRPr="4BD52110">
              <w:rPr>
                <w:rFonts w:eastAsia="Times New Roman" w:cs="Times New Roman"/>
                <w:b/>
                <w:bCs/>
                <w:color w:val="000000" w:themeColor="text1"/>
                <w:sz w:val="24"/>
                <w:szCs w:val="24"/>
              </w:rPr>
              <w:t xml:space="preserve">UT-2025-03-7688     </w:t>
            </w:r>
          </w:p>
          <w:p w14:paraId="0145909B" w14:textId="77777777" w:rsidR="00E57ECA" w:rsidRDefault="00E57ECA">
            <w:pPr>
              <w:spacing w:line="264" w:lineRule="auto"/>
            </w:pPr>
            <w:r w:rsidRPr="4BD52110">
              <w:rPr>
                <w:rFonts w:eastAsia="Times New Roman" w:cs="Times New Roman"/>
                <w:color w:val="000000" w:themeColor="text1"/>
                <w:sz w:val="24"/>
                <w:szCs w:val="24"/>
              </w:rPr>
              <w:t xml:space="preserve">UT, Vernal Field Office, Bureau of Land Management, PD </w:t>
            </w:r>
          </w:p>
          <w:p w14:paraId="64C92B20" w14:textId="77777777" w:rsidR="00E57ECA" w:rsidRPr="00F31E9B" w:rsidRDefault="00E57ECA">
            <w:pPr>
              <w:spacing w:line="264" w:lineRule="auto"/>
              <w:rPr>
                <w:lang w:val="da-DK"/>
              </w:rPr>
            </w:pPr>
            <w:r w:rsidRPr="00F31E9B">
              <w:rPr>
                <w:rFonts w:eastAsia="Times New Roman" w:cs="Times New Roman"/>
                <w:color w:val="000000" w:themeColor="text1"/>
                <w:sz w:val="24"/>
                <w:szCs w:val="24"/>
                <w:u w:val="single"/>
                <w:lang w:val="da-DK"/>
              </w:rPr>
              <w:t>T. 8  S., R. 21  E., Salt Lake Meridian</w:t>
            </w:r>
            <w:r w:rsidRPr="00F31E9B">
              <w:rPr>
                <w:rFonts w:eastAsia="Times New Roman" w:cs="Times New Roman"/>
                <w:color w:val="000000" w:themeColor="text1"/>
                <w:sz w:val="24"/>
                <w:szCs w:val="24"/>
                <w:lang w:val="da-DK"/>
              </w:rPr>
              <w:t xml:space="preserve"> </w:t>
            </w:r>
          </w:p>
          <w:p w14:paraId="148859E6" w14:textId="77777777" w:rsidR="00E57ECA" w:rsidRDefault="00E57ECA">
            <w:pPr>
              <w:spacing w:line="264" w:lineRule="auto"/>
            </w:pPr>
            <w:r w:rsidRPr="4BD52110">
              <w:rPr>
                <w:rFonts w:eastAsia="Times New Roman" w:cs="Times New Roman"/>
                <w:color w:val="000000" w:themeColor="text1"/>
                <w:sz w:val="24"/>
                <w:szCs w:val="24"/>
              </w:rPr>
              <w:t xml:space="preserve">Sec. 1 LOTS 1 thru 4, SW1/4NW1/4. </w:t>
            </w:r>
          </w:p>
          <w:p w14:paraId="4DED8161" w14:textId="77777777" w:rsidR="00E57ECA" w:rsidRDefault="00E57ECA">
            <w:pPr>
              <w:spacing w:line="264" w:lineRule="auto"/>
            </w:pPr>
            <w:r w:rsidRPr="4BD52110">
              <w:rPr>
                <w:rFonts w:eastAsia="Times New Roman" w:cs="Times New Roman"/>
                <w:color w:val="000000" w:themeColor="text1"/>
                <w:sz w:val="24"/>
                <w:szCs w:val="24"/>
              </w:rPr>
              <w:t xml:space="preserve">Uintah County </w:t>
            </w:r>
          </w:p>
          <w:p w14:paraId="2B894240" w14:textId="77777777" w:rsidR="00E57ECA" w:rsidRDefault="00E57ECA">
            <w:pPr>
              <w:spacing w:line="264" w:lineRule="auto"/>
            </w:pPr>
            <w:r w:rsidRPr="4BD52110">
              <w:rPr>
                <w:rFonts w:eastAsia="Times New Roman" w:cs="Times New Roman"/>
                <w:color w:val="000000" w:themeColor="text1"/>
                <w:sz w:val="24"/>
                <w:szCs w:val="24"/>
              </w:rPr>
              <w:t xml:space="preserve">201.2 Acres </w:t>
            </w:r>
          </w:p>
          <w:p w14:paraId="4BBF6D30" w14:textId="77777777" w:rsidR="00E57ECA" w:rsidRDefault="00E57ECA">
            <w:pPr>
              <w:spacing w:line="264" w:lineRule="auto"/>
            </w:pPr>
            <w:r w:rsidRPr="4BD52110">
              <w:rPr>
                <w:rFonts w:eastAsia="Times New Roman" w:cs="Times New Roman"/>
                <w:color w:val="000000" w:themeColor="text1"/>
                <w:sz w:val="24"/>
                <w:szCs w:val="24"/>
              </w:rPr>
              <w:t xml:space="preserve">EOI# UT00019071 </w:t>
            </w:r>
          </w:p>
        </w:tc>
      </w:tr>
      <w:tr w:rsidR="00E57ECA" w14:paraId="4BA88BCF" w14:textId="7777777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A0C31E0" w14:textId="77777777" w:rsidR="00E57ECA" w:rsidRDefault="00E57ECA">
            <w:pPr>
              <w:spacing w:before="40" w:after="40" w:line="257" w:lineRule="auto"/>
            </w:pPr>
            <w:r w:rsidRPr="4BD52110">
              <w:rPr>
                <w:rFonts w:eastAsia="Times New Roman" w:cs="Times New Roman"/>
                <w:b/>
                <w:bCs/>
                <w:color w:val="000000" w:themeColor="text1"/>
              </w:rPr>
              <w:t>Stipulations</w:t>
            </w:r>
          </w:p>
        </w:tc>
        <w:tc>
          <w:tcPr>
            <w:tcW w:w="466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E210BB" w14:textId="77777777" w:rsidR="00E57ECA" w:rsidRDefault="00E57ECA">
            <w:pPr>
              <w:spacing w:before="40" w:after="40" w:line="257" w:lineRule="auto"/>
            </w:pPr>
            <w:r w:rsidRPr="4BD52110">
              <w:rPr>
                <w:rFonts w:eastAsia="Times New Roman" w:cs="Times New Roman"/>
                <w:b/>
                <w:bCs/>
                <w:color w:val="000000" w:themeColor="text1"/>
              </w:rPr>
              <w:t>Notices</w:t>
            </w:r>
          </w:p>
        </w:tc>
      </w:tr>
      <w:tr w:rsidR="00E57ECA" w14:paraId="12E6F924"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C084EAE" w14:textId="77777777" w:rsidR="00E57ECA" w:rsidRDefault="00E57ECA">
            <w:pPr>
              <w:spacing w:before="40" w:after="40" w:line="257" w:lineRule="auto"/>
            </w:pPr>
            <w:r>
              <w:rPr>
                <w:rFonts w:eastAsia="Times New Roman" w:cs="Times New Roman"/>
                <w:color w:val="000000" w:themeColor="text1"/>
                <w:sz w:val="24"/>
                <w:szCs w:val="24"/>
              </w:rPr>
              <w:t xml:space="preserve">UT-S-1 Air Quality </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5BF31D2" w14:textId="77777777" w:rsidR="00E57ECA" w:rsidRDefault="00E57ECA">
            <w:pPr>
              <w:spacing w:before="40" w:after="40" w:line="257" w:lineRule="auto"/>
            </w:pPr>
            <w:r w:rsidRPr="4BD52110">
              <w:rPr>
                <w:rFonts w:eastAsia="Times New Roman" w:cs="Times New Roman"/>
                <w:color w:val="000000" w:themeColor="text1"/>
                <w:sz w:val="24"/>
                <w:szCs w:val="24"/>
              </w:rPr>
              <w:t>T&amp;E</w:t>
            </w:r>
            <w:r w:rsidRPr="6129A1BB">
              <w:rPr>
                <w:rFonts w:eastAsia="Times New Roman" w:cs="Times New Roman"/>
                <w:color w:val="000000" w:themeColor="text1"/>
                <w:sz w:val="24"/>
                <w:szCs w:val="24"/>
              </w:rPr>
              <w:t>-</w:t>
            </w:r>
            <w:r w:rsidRPr="4BD52110">
              <w:rPr>
                <w:rFonts w:eastAsia="Times New Roman" w:cs="Times New Roman"/>
                <w:color w:val="000000" w:themeColor="text1"/>
                <w:sz w:val="24"/>
                <w:szCs w:val="24"/>
              </w:rPr>
              <w:t>03 Endangered Fish of the Upper Colorado River Drainage Basin</w:t>
            </w:r>
          </w:p>
        </w:tc>
      </w:tr>
      <w:tr w:rsidR="00E57ECA" w14:paraId="7112C870"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1F0A83B" w14:textId="77777777" w:rsidR="00E57ECA" w:rsidRPr="4BD52110" w:rsidRDefault="00E57ECA">
            <w:pPr>
              <w:spacing w:before="40" w:after="40" w:line="257" w:lineRule="auto"/>
              <w:rPr>
                <w:rFonts w:eastAsia="Times New Roman" w:cs="Times New Roman"/>
                <w:color w:val="000000" w:themeColor="text1"/>
                <w:sz w:val="24"/>
                <w:szCs w:val="24"/>
              </w:rPr>
            </w:pPr>
            <w:r w:rsidRPr="4BD52110">
              <w:rPr>
                <w:rFonts w:eastAsia="Times New Roman" w:cs="Times New Roman"/>
                <w:color w:val="000000" w:themeColor="text1"/>
                <w:sz w:val="24"/>
                <w:szCs w:val="24"/>
              </w:rPr>
              <w:t xml:space="preserve">UT-S-96 No Surface Occupancy </w:t>
            </w:r>
            <w:r w:rsidRPr="6129A1BB">
              <w:rPr>
                <w:rFonts w:eastAsia="Times New Roman" w:cs="Times New Roman"/>
                <w:color w:val="000000" w:themeColor="text1"/>
                <w:sz w:val="24"/>
                <w:szCs w:val="24"/>
              </w:rPr>
              <w:t>–</w:t>
            </w:r>
            <w:r w:rsidRPr="4BD52110">
              <w:rPr>
                <w:rFonts w:eastAsia="Times New Roman" w:cs="Times New Roman"/>
                <w:color w:val="000000" w:themeColor="text1"/>
                <w:sz w:val="24"/>
                <w:szCs w:val="24"/>
              </w:rPr>
              <w:t xml:space="preserve"> Fragile Soils/Slopes Greater than 40%</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872A438" w14:textId="77777777" w:rsidR="00E57ECA" w:rsidRPr="4BD52110" w:rsidRDefault="00E57ECA">
            <w:pPr>
              <w:spacing w:before="40" w:after="40" w:line="257" w:lineRule="auto"/>
              <w:rPr>
                <w:rFonts w:eastAsia="Times New Roman" w:cs="Times New Roman"/>
                <w:color w:val="000000" w:themeColor="text1"/>
                <w:sz w:val="24"/>
                <w:szCs w:val="24"/>
              </w:rPr>
            </w:pPr>
            <w:r w:rsidRPr="00111D58">
              <w:rPr>
                <w:rFonts w:eastAsia="Times New Roman" w:cs="Times New Roman"/>
                <w:color w:val="000000" w:themeColor="text1"/>
                <w:sz w:val="24"/>
                <w:szCs w:val="24"/>
              </w:rPr>
              <w:t>T&amp;E</w:t>
            </w:r>
            <w:r w:rsidRPr="6129A1BB">
              <w:rPr>
                <w:rFonts w:eastAsia="Times New Roman" w:cs="Times New Roman"/>
                <w:color w:val="000000" w:themeColor="text1"/>
                <w:sz w:val="24"/>
                <w:szCs w:val="24"/>
              </w:rPr>
              <w:t>-</w:t>
            </w:r>
            <w:r w:rsidRPr="00111D58">
              <w:rPr>
                <w:rFonts w:eastAsia="Times New Roman" w:cs="Times New Roman"/>
                <w:color w:val="000000" w:themeColor="text1"/>
                <w:sz w:val="24"/>
                <w:szCs w:val="24"/>
              </w:rPr>
              <w:t>05 Listed Plant Species</w:t>
            </w:r>
          </w:p>
        </w:tc>
      </w:tr>
      <w:tr w:rsidR="00E57ECA" w14:paraId="03BC543D"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8A0778E" w14:textId="77777777" w:rsidR="00E57ECA" w:rsidRPr="4BD52110" w:rsidRDefault="00E57ECA">
            <w:pPr>
              <w:spacing w:before="40" w:after="40" w:line="257" w:lineRule="auto"/>
              <w:rPr>
                <w:rFonts w:eastAsia="Times New Roman" w:cs="Times New Roman"/>
                <w:color w:val="000000" w:themeColor="text1"/>
                <w:sz w:val="24"/>
                <w:szCs w:val="24"/>
              </w:rPr>
            </w:pPr>
            <w:r w:rsidRPr="6129A1BB">
              <w:rPr>
                <w:rFonts w:eastAsia="Times New Roman" w:cs="Times New Roman"/>
                <w:color w:val="000000" w:themeColor="text1"/>
                <w:sz w:val="24"/>
                <w:szCs w:val="24"/>
              </w:rPr>
              <w:t>UT-S-99 Controlled Surface Use – Fragile Soils/Slopes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3F1780FE" w14:textId="77777777" w:rsidR="00E57ECA" w:rsidRPr="4BD52110" w:rsidRDefault="00E57ECA">
            <w:pPr>
              <w:spacing w:before="40" w:after="40" w:line="257" w:lineRule="auto"/>
              <w:rPr>
                <w:rFonts w:eastAsia="Times New Roman" w:cs="Times New Roman"/>
                <w:color w:val="000000" w:themeColor="text1"/>
                <w:sz w:val="24"/>
                <w:szCs w:val="24"/>
              </w:rPr>
            </w:pPr>
            <w:r w:rsidRPr="00043564">
              <w:rPr>
                <w:rFonts w:eastAsia="Times New Roman" w:cs="Times New Roman"/>
                <w:color w:val="000000" w:themeColor="text1"/>
                <w:sz w:val="24"/>
                <w:szCs w:val="24"/>
              </w:rPr>
              <w:t xml:space="preserve">T&amp;E-12 </w:t>
            </w:r>
            <w:proofErr w:type="spellStart"/>
            <w:r>
              <w:rPr>
                <w:rFonts w:eastAsia="Times New Roman" w:cs="Times New Roman"/>
                <w:color w:val="000000" w:themeColor="text1"/>
                <w:sz w:val="24"/>
                <w:szCs w:val="24"/>
              </w:rPr>
              <w:t>Pariette</w:t>
            </w:r>
            <w:proofErr w:type="spellEnd"/>
            <w:r>
              <w:rPr>
                <w:rFonts w:eastAsia="Times New Roman" w:cs="Times New Roman"/>
                <w:color w:val="000000" w:themeColor="text1"/>
                <w:sz w:val="24"/>
                <w:szCs w:val="24"/>
              </w:rPr>
              <w:t xml:space="preserve"> </w:t>
            </w:r>
            <w:r w:rsidRPr="6129A1BB">
              <w:rPr>
                <w:rFonts w:eastAsia="Times New Roman" w:cs="Times New Roman"/>
                <w:color w:val="000000" w:themeColor="text1"/>
                <w:sz w:val="24"/>
                <w:szCs w:val="24"/>
              </w:rPr>
              <w:t>Cactus</w:t>
            </w:r>
            <w:r>
              <w:rPr>
                <w:rFonts w:eastAsia="Times New Roman" w:cs="Times New Roman"/>
                <w:color w:val="000000" w:themeColor="text1"/>
                <w:sz w:val="24"/>
                <w:szCs w:val="24"/>
              </w:rPr>
              <w:t xml:space="preserve"> (</w:t>
            </w:r>
            <w:proofErr w:type="spellStart"/>
            <w:r w:rsidRPr="6129A1BB">
              <w:rPr>
                <w:rFonts w:eastAsia="Times New Roman" w:cs="Times New Roman"/>
                <w:i/>
                <w:color w:val="000000" w:themeColor="text1"/>
                <w:sz w:val="24"/>
                <w:szCs w:val="24"/>
              </w:rPr>
              <w:t>Sclerocactus</w:t>
            </w:r>
            <w:proofErr w:type="spellEnd"/>
            <w:r w:rsidRPr="6129A1BB">
              <w:rPr>
                <w:rFonts w:eastAsia="Times New Roman" w:cs="Times New Roman"/>
                <w:i/>
                <w:color w:val="000000" w:themeColor="text1"/>
                <w:sz w:val="24"/>
                <w:szCs w:val="24"/>
              </w:rPr>
              <w:t xml:space="preserve"> </w:t>
            </w:r>
            <w:proofErr w:type="spellStart"/>
            <w:r w:rsidRPr="6129A1BB">
              <w:rPr>
                <w:rFonts w:eastAsia="Times New Roman" w:cs="Times New Roman"/>
                <w:i/>
                <w:color w:val="000000" w:themeColor="text1"/>
                <w:sz w:val="24"/>
                <w:szCs w:val="24"/>
              </w:rPr>
              <w:t>brevispinus</w:t>
            </w:r>
            <w:proofErr w:type="spellEnd"/>
            <w:r>
              <w:rPr>
                <w:rFonts w:eastAsia="Times New Roman" w:cs="Times New Roman"/>
                <w:color w:val="000000" w:themeColor="text1"/>
                <w:sz w:val="24"/>
                <w:szCs w:val="24"/>
              </w:rPr>
              <w:t xml:space="preserve">) and Uinta Basin </w:t>
            </w:r>
            <w:r w:rsidRPr="6129A1BB">
              <w:rPr>
                <w:rFonts w:eastAsia="Times New Roman" w:cs="Times New Roman"/>
                <w:color w:val="000000" w:themeColor="text1"/>
                <w:sz w:val="24"/>
                <w:szCs w:val="24"/>
              </w:rPr>
              <w:t>Hookless Cactus</w:t>
            </w:r>
            <w:r>
              <w:rPr>
                <w:rFonts w:eastAsia="Times New Roman" w:cs="Times New Roman"/>
                <w:color w:val="000000" w:themeColor="text1"/>
                <w:sz w:val="24"/>
                <w:szCs w:val="24"/>
              </w:rPr>
              <w:t xml:space="preserve"> [</w:t>
            </w:r>
            <w:proofErr w:type="spellStart"/>
            <w:r w:rsidRPr="6129A1BB">
              <w:rPr>
                <w:rFonts w:eastAsia="Times New Roman" w:cs="Times New Roman"/>
                <w:i/>
                <w:color w:val="000000" w:themeColor="text1"/>
                <w:sz w:val="24"/>
                <w:szCs w:val="24"/>
              </w:rPr>
              <w:t>Sclerocactus</w:t>
            </w:r>
            <w:proofErr w:type="spellEnd"/>
            <w:r w:rsidRPr="6129A1BB">
              <w:rPr>
                <w:rFonts w:eastAsia="Times New Roman" w:cs="Times New Roman"/>
                <w:i/>
                <w:color w:val="000000" w:themeColor="text1"/>
                <w:sz w:val="24"/>
                <w:szCs w:val="24"/>
              </w:rPr>
              <w:t xml:space="preserve"> glaucus</w:t>
            </w:r>
            <w:r>
              <w:rPr>
                <w:rFonts w:eastAsia="Times New Roman" w:cs="Times New Roman"/>
                <w:color w:val="000000" w:themeColor="text1"/>
                <w:sz w:val="24"/>
                <w:szCs w:val="24"/>
              </w:rPr>
              <w:t xml:space="preserve"> (</w:t>
            </w:r>
            <w:proofErr w:type="spellStart"/>
            <w:r w:rsidRPr="6129A1BB">
              <w:rPr>
                <w:rFonts w:eastAsia="Times New Roman" w:cs="Times New Roman"/>
                <w:i/>
                <w:color w:val="000000" w:themeColor="text1"/>
                <w:sz w:val="24"/>
                <w:szCs w:val="24"/>
              </w:rPr>
              <w:t>brevispinus</w:t>
            </w:r>
            <w:proofErr w:type="spellEnd"/>
            <w:r w:rsidRPr="6129A1BB">
              <w:rPr>
                <w:rFonts w:eastAsia="Times New Roman" w:cs="Times New Roman"/>
                <w:i/>
                <w:color w:val="000000" w:themeColor="text1"/>
                <w:sz w:val="24"/>
                <w:szCs w:val="24"/>
              </w:rPr>
              <w:t xml:space="preserve"> and </w:t>
            </w:r>
            <w:proofErr w:type="spellStart"/>
            <w:r w:rsidRPr="6129A1BB">
              <w:rPr>
                <w:rFonts w:eastAsia="Times New Roman" w:cs="Times New Roman"/>
                <w:i/>
                <w:color w:val="000000" w:themeColor="text1"/>
                <w:sz w:val="24"/>
                <w:szCs w:val="24"/>
              </w:rPr>
              <w:t>wetlandicus</w:t>
            </w:r>
            <w:proofErr w:type="spellEnd"/>
            <w:r>
              <w:rPr>
                <w:rFonts w:eastAsia="Times New Roman" w:cs="Times New Roman"/>
                <w:color w:val="000000" w:themeColor="text1"/>
                <w:sz w:val="24"/>
                <w:szCs w:val="24"/>
              </w:rPr>
              <w:t xml:space="preserve">)] </w:t>
            </w:r>
          </w:p>
        </w:tc>
      </w:tr>
      <w:tr w:rsidR="00E57ECA" w14:paraId="2A9D7B09"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AF851F8" w14:textId="77777777" w:rsidR="00E57ECA" w:rsidRDefault="00E57ECA">
            <w:pPr>
              <w:spacing w:before="40" w:after="40"/>
              <w:rPr>
                <w:rFonts w:eastAsia="Times New Roman" w:cs="Times New Roman"/>
                <w:color w:val="000000" w:themeColor="text1"/>
                <w:sz w:val="24"/>
                <w:szCs w:val="24"/>
              </w:rPr>
            </w:pPr>
            <w:r w:rsidRPr="4BD52110">
              <w:rPr>
                <w:rFonts w:eastAsia="Times New Roman" w:cs="Times New Roman"/>
                <w:color w:val="000000" w:themeColor="text1"/>
                <w:sz w:val="24"/>
                <w:szCs w:val="24"/>
              </w:rPr>
              <w:t>UT-S-</w:t>
            </w:r>
            <w:r w:rsidRPr="6129A1BB">
              <w:rPr>
                <w:rFonts w:eastAsia="Times New Roman" w:cs="Times New Roman"/>
                <w:color w:val="000000" w:themeColor="text1"/>
                <w:sz w:val="24"/>
                <w:szCs w:val="24"/>
              </w:rPr>
              <w:t>100</w:t>
            </w:r>
            <w:r w:rsidRPr="4BD52110">
              <w:rPr>
                <w:rFonts w:eastAsia="Times New Roman" w:cs="Times New Roman"/>
                <w:color w:val="000000" w:themeColor="text1"/>
                <w:sz w:val="24"/>
                <w:szCs w:val="24"/>
              </w:rPr>
              <w:t xml:space="preserve"> Controlled Surface Use – Fragile Soils/Slopes</w:t>
            </w:r>
            <w:r w:rsidRPr="6129A1BB">
              <w:rPr>
                <w:rFonts w:eastAsia="Times New Roman" w:cs="Times New Roman"/>
                <w:color w:val="000000" w:themeColor="text1"/>
                <w:sz w:val="24"/>
                <w:szCs w:val="24"/>
              </w:rPr>
              <w:t xml:space="preserve"> (21%-40%)</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536D7E92" w14:textId="77777777" w:rsidR="00E57ECA" w:rsidRDefault="00E57ECA">
            <w:pPr>
              <w:spacing w:before="40" w:after="40" w:line="257" w:lineRule="auto"/>
            </w:pPr>
            <w:r w:rsidRPr="4BD52110">
              <w:rPr>
                <w:rFonts w:eastAsia="Times New Roman" w:cs="Times New Roman"/>
                <w:color w:val="000000" w:themeColor="text1"/>
                <w:sz w:val="24"/>
                <w:szCs w:val="24"/>
              </w:rPr>
              <w:t>UT-LN-13 Pronghorn Winter Habitat</w:t>
            </w:r>
          </w:p>
        </w:tc>
      </w:tr>
      <w:tr w:rsidR="00E57ECA" w14:paraId="7C231840"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685D37F" w14:textId="77777777" w:rsidR="00E57ECA" w:rsidRDefault="00E57ECA">
            <w:pPr>
              <w:tabs>
                <w:tab w:val="left" w:pos="1548"/>
                <w:tab w:val="left" w:pos="3708"/>
                <w:tab w:val="left" w:pos="5236"/>
              </w:tabs>
              <w:spacing w:before="40" w:after="40"/>
              <w:rPr>
                <w:rFonts w:eastAsia="Times New Roman" w:cs="Times New Roman"/>
                <w:color w:val="000000" w:themeColor="text1"/>
                <w:sz w:val="24"/>
                <w:szCs w:val="24"/>
              </w:rPr>
            </w:pPr>
            <w:r w:rsidRPr="6129A1BB">
              <w:rPr>
                <w:rFonts w:eastAsia="Times New Roman" w:cs="Times New Roman"/>
                <w:color w:val="000000" w:themeColor="text1"/>
                <w:sz w:val="24"/>
                <w:szCs w:val="24"/>
              </w:rPr>
              <w:t>UT-S-123 No Surface Occupancy – Riparian, Floodplains, and Public Water Reserves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70F9711" w14:textId="77777777" w:rsidR="00E57ECA" w:rsidRDefault="00E57ECA">
            <w:pPr>
              <w:spacing w:before="40" w:after="40" w:line="257" w:lineRule="auto"/>
            </w:pPr>
            <w:r w:rsidRPr="4BD52110">
              <w:rPr>
                <w:rFonts w:eastAsia="Times New Roman" w:cs="Times New Roman"/>
                <w:color w:val="000000" w:themeColor="text1"/>
                <w:sz w:val="24"/>
                <w:szCs w:val="24"/>
              </w:rPr>
              <w:t>UT-LN-14 Pronghorn Fawning Habitat</w:t>
            </w:r>
          </w:p>
        </w:tc>
      </w:tr>
      <w:tr w:rsidR="00E57ECA" w14:paraId="11CFF21E"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9664E7A" w14:textId="77777777" w:rsidR="00E57ECA" w:rsidRDefault="00E57ECA">
            <w:pPr>
              <w:tabs>
                <w:tab w:val="left" w:pos="1548"/>
                <w:tab w:val="left" w:pos="3708"/>
                <w:tab w:val="left" w:pos="5236"/>
              </w:tabs>
              <w:spacing w:before="40" w:after="40"/>
              <w:rPr>
                <w:rFonts w:eastAsia="Times New Roman" w:cs="Times New Roman"/>
                <w:sz w:val="24"/>
                <w:szCs w:val="24"/>
              </w:rPr>
            </w:pPr>
            <w:r w:rsidRPr="3D9EDA3D">
              <w:rPr>
                <w:rFonts w:eastAsia="Times New Roman" w:cs="Times New Roman"/>
                <w:color w:val="000000" w:themeColor="text1"/>
                <w:sz w:val="24"/>
                <w:szCs w:val="24"/>
              </w:rPr>
              <w:t xml:space="preserve">UT-S-157 No Surface </w:t>
            </w:r>
            <w:r w:rsidRPr="3D9EDA3D">
              <w:rPr>
                <w:rFonts w:eastAsia="Times New Roman" w:cs="Times New Roman"/>
                <w:sz w:val="24"/>
                <w:szCs w:val="24"/>
              </w:rPr>
              <w:t>Occupancy/Controlled Surface Use/Timing Limitation – Visual Resources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4DD88A6" w14:textId="77777777" w:rsidR="00E57ECA" w:rsidRDefault="00E57ECA">
            <w:pPr>
              <w:spacing w:before="40" w:after="40" w:line="257" w:lineRule="auto"/>
              <w:rPr>
                <w:rFonts w:eastAsia="Times New Roman" w:cs="Times New Roman"/>
                <w:color w:val="000000" w:themeColor="text1"/>
                <w:sz w:val="24"/>
                <w:szCs w:val="24"/>
              </w:rPr>
            </w:pPr>
            <w:r w:rsidRPr="52050B52">
              <w:rPr>
                <w:rFonts w:eastAsia="Times New Roman" w:cs="Times New Roman"/>
                <w:color w:val="000000" w:themeColor="text1"/>
                <w:sz w:val="24"/>
                <w:szCs w:val="24"/>
              </w:rPr>
              <w:t>UT-LN-25 White-Tailed and Gunnison Prairie Dog</w:t>
            </w:r>
          </w:p>
        </w:tc>
      </w:tr>
      <w:tr w:rsidR="00E57ECA" w14:paraId="6854FC59"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1882A02" w14:textId="77777777" w:rsidR="00E57ECA" w:rsidRDefault="00E57ECA">
            <w:pPr>
              <w:tabs>
                <w:tab w:val="left" w:pos="1548"/>
                <w:tab w:val="left" w:pos="3708"/>
                <w:tab w:val="left" w:pos="5236"/>
              </w:tabs>
              <w:spacing w:before="40" w:after="40"/>
              <w:rPr>
                <w:rFonts w:eastAsia="Times New Roman" w:cs="Times New Roman"/>
                <w:color w:val="000000" w:themeColor="text1"/>
                <w:sz w:val="24"/>
                <w:szCs w:val="24"/>
              </w:rPr>
            </w:pPr>
            <w:r w:rsidRPr="3D9EDA3D">
              <w:rPr>
                <w:rFonts w:eastAsia="Times New Roman" w:cs="Times New Roman"/>
                <w:color w:val="000000" w:themeColor="text1"/>
                <w:sz w:val="24"/>
                <w:szCs w:val="24"/>
              </w:rPr>
              <w:t>UT-S-261 Timing Limitation – Raptor Buffers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FC08903" w14:textId="77777777" w:rsidR="00E57ECA" w:rsidRDefault="00E57ECA">
            <w:pPr>
              <w:spacing w:before="40" w:after="40" w:line="257" w:lineRule="auto"/>
            </w:pPr>
            <w:r w:rsidRPr="4BD52110">
              <w:rPr>
                <w:rFonts w:eastAsia="Times New Roman" w:cs="Times New Roman"/>
                <w:color w:val="000000" w:themeColor="text1"/>
                <w:sz w:val="24"/>
                <w:szCs w:val="24"/>
              </w:rPr>
              <w:t>UT-LN-44 Raptors</w:t>
            </w:r>
          </w:p>
        </w:tc>
      </w:tr>
      <w:tr w:rsidR="00E57ECA" w14:paraId="0F284ADB"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F61CE62" w14:textId="77777777" w:rsidR="00E57ECA" w:rsidRDefault="00E57ECA">
            <w:pPr>
              <w:tabs>
                <w:tab w:val="left" w:pos="1548"/>
                <w:tab w:val="left" w:pos="3708"/>
                <w:tab w:val="left" w:pos="5236"/>
              </w:tabs>
              <w:spacing w:before="40" w:after="40"/>
              <w:rPr>
                <w:rFonts w:eastAsia="Times New Roman" w:cs="Times New Roman"/>
                <w:color w:val="000000" w:themeColor="text1"/>
                <w:sz w:val="24"/>
                <w:szCs w:val="24"/>
              </w:rPr>
            </w:pPr>
            <w:r w:rsidRPr="3D9EDA3D">
              <w:rPr>
                <w:rFonts w:eastAsia="Times New Roman" w:cs="Times New Roman"/>
                <w:color w:val="000000" w:themeColor="text1"/>
                <w:sz w:val="24"/>
                <w:szCs w:val="24"/>
              </w:rPr>
              <w:lastRenderedPageBreak/>
              <w:t>UT-S-316 Material Site Rights-of-Way</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637363C" w14:textId="77777777" w:rsidR="00E57ECA" w:rsidRDefault="00E57ECA">
            <w:pPr>
              <w:spacing w:before="40" w:after="40" w:line="257" w:lineRule="auto"/>
            </w:pPr>
            <w:r w:rsidRPr="4BD52110">
              <w:rPr>
                <w:rFonts w:eastAsia="Times New Roman" w:cs="Times New Roman"/>
                <w:color w:val="000000" w:themeColor="text1"/>
                <w:sz w:val="24"/>
                <w:szCs w:val="24"/>
              </w:rPr>
              <w:t>UT-LN-45 Migratory Bird</w:t>
            </w:r>
          </w:p>
        </w:tc>
      </w:tr>
      <w:tr w:rsidR="00E57ECA" w14:paraId="7C00FC00"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7CC69BC" w14:textId="77777777" w:rsidR="00E57ECA"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801114A" w14:textId="77777777" w:rsidR="00E57ECA" w:rsidRDefault="00E57ECA">
            <w:pPr>
              <w:spacing w:before="40" w:after="40" w:line="257" w:lineRule="auto"/>
            </w:pPr>
            <w:r w:rsidRPr="4BD52110">
              <w:rPr>
                <w:rFonts w:eastAsia="Times New Roman" w:cs="Times New Roman"/>
                <w:color w:val="000000" w:themeColor="text1"/>
                <w:sz w:val="24"/>
                <w:szCs w:val="24"/>
              </w:rPr>
              <w:t>UT-LN-49 Utah Sensitive Species</w:t>
            </w:r>
          </w:p>
        </w:tc>
      </w:tr>
      <w:tr w:rsidR="00E57ECA" w14:paraId="00C15CF9"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CD08E13" w14:textId="77777777" w:rsidR="00E57ECA"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7E75554" w14:textId="77777777" w:rsidR="00E57ECA" w:rsidRDefault="00E57ECA">
            <w:pPr>
              <w:spacing w:before="40" w:after="40" w:line="257" w:lineRule="auto"/>
            </w:pPr>
            <w:r w:rsidRPr="4BD52110">
              <w:rPr>
                <w:rFonts w:eastAsia="Times New Roman" w:cs="Times New Roman"/>
                <w:color w:val="000000" w:themeColor="text1"/>
                <w:sz w:val="24"/>
                <w:szCs w:val="24"/>
              </w:rPr>
              <w:t>UT-LN-51 Special Status Plants: Not Federally Listed</w:t>
            </w:r>
          </w:p>
        </w:tc>
      </w:tr>
      <w:tr w:rsidR="00385C8A" w14:paraId="7FC27030"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3E8E6E0E" w14:textId="77777777" w:rsidR="00385C8A" w:rsidRDefault="00385C8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920F0CA" w14:textId="1571841C" w:rsidR="00385C8A" w:rsidRPr="4BD52110" w:rsidRDefault="002438EB">
            <w:pPr>
              <w:spacing w:before="40" w:after="40" w:line="257" w:lineRule="auto"/>
              <w:rPr>
                <w:rFonts w:eastAsia="Times New Roman" w:cs="Times New Roman"/>
                <w:color w:val="000000" w:themeColor="text1"/>
                <w:sz w:val="24"/>
                <w:szCs w:val="24"/>
              </w:rPr>
            </w:pPr>
            <w:r w:rsidRPr="002438EB">
              <w:rPr>
                <w:rFonts w:eastAsia="Times New Roman" w:cs="Times New Roman"/>
                <w:color w:val="000000" w:themeColor="text1"/>
                <w:sz w:val="24"/>
                <w:szCs w:val="24"/>
              </w:rPr>
              <w:t>UT-LN-52 Noxious Weeds</w:t>
            </w:r>
          </w:p>
        </w:tc>
      </w:tr>
      <w:tr w:rsidR="00E57ECA" w14:paraId="0F455918"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5186DD6" w14:textId="77777777" w:rsidR="00E57ECA" w:rsidRPr="4BD52110"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53A791E" w14:textId="77777777" w:rsidR="00E57ECA" w:rsidRPr="4BD52110" w:rsidRDefault="00E57ECA">
            <w:pPr>
              <w:spacing w:before="40" w:after="40" w:line="257" w:lineRule="auto"/>
              <w:rPr>
                <w:rFonts w:eastAsia="Times New Roman" w:cs="Times New Roman"/>
                <w:color w:val="000000" w:themeColor="text1"/>
                <w:sz w:val="24"/>
                <w:szCs w:val="24"/>
              </w:rPr>
            </w:pPr>
            <w:r w:rsidRPr="3D9EDA3D">
              <w:rPr>
                <w:sz w:val="24"/>
                <w:szCs w:val="24"/>
              </w:rPr>
              <w:t>UT-LN-53 Riparian Areas</w:t>
            </w:r>
          </w:p>
        </w:tc>
      </w:tr>
      <w:tr w:rsidR="00E57ECA" w14:paraId="20D71408"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27799C6" w14:textId="77777777" w:rsidR="00E57ECA" w:rsidRPr="4BD52110"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15339A3" w14:textId="77777777" w:rsidR="00E57ECA" w:rsidRPr="4BD52110" w:rsidRDefault="00E57ECA">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UT-LN-72 High Potential Paleontological Resources</w:t>
            </w:r>
          </w:p>
        </w:tc>
      </w:tr>
      <w:tr w:rsidR="00E57ECA" w14:paraId="647FC2CC"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6284D72" w14:textId="77777777" w:rsidR="00E57ECA" w:rsidRDefault="00E57ECA">
            <w:pPr>
              <w:tabs>
                <w:tab w:val="left" w:pos="1548"/>
                <w:tab w:val="left" w:pos="3708"/>
                <w:tab w:val="left" w:pos="5236"/>
              </w:tabs>
              <w:spacing w:before="40" w:after="40"/>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33006C1" w14:textId="77777777" w:rsidR="00E57ECA" w:rsidRDefault="00E57ECA">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UT-LN-96 Air Quality Mitigation Measures</w:t>
            </w:r>
          </w:p>
        </w:tc>
      </w:tr>
      <w:tr w:rsidR="00E57ECA" w14:paraId="554492A6"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460FE28" w14:textId="77777777" w:rsidR="00E57ECA" w:rsidRPr="4BD52110"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802FA2E" w14:textId="77777777" w:rsidR="00E57ECA" w:rsidRPr="4BD52110" w:rsidRDefault="00E57ECA">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UT-LN-99 Regional Ozone Formation Controls</w:t>
            </w:r>
          </w:p>
        </w:tc>
      </w:tr>
      <w:tr w:rsidR="00E57ECA" w14:paraId="2E01FC08"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2BABF46" w14:textId="77777777" w:rsidR="00E57ECA" w:rsidRPr="4BD52110"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148B986" w14:textId="77777777" w:rsidR="00E57ECA" w:rsidRDefault="00E57ECA">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UT-LN-102 Air Quality Analysis</w:t>
            </w:r>
          </w:p>
        </w:tc>
      </w:tr>
      <w:tr w:rsidR="00E57ECA" w14:paraId="207DBA58"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D2E9B25" w14:textId="77777777" w:rsidR="00E57ECA" w:rsidRPr="4BD52110"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2002A4EC" w14:textId="77777777" w:rsidR="00E57ECA" w:rsidRDefault="00E57ECA">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UT-LN-128 Floodplain Management</w:t>
            </w:r>
          </w:p>
        </w:tc>
      </w:tr>
      <w:tr w:rsidR="00E57ECA" w14:paraId="7745FED5"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26275D2" w14:textId="77777777" w:rsidR="00E57ECA" w:rsidRPr="4BD52110" w:rsidRDefault="00E57ECA">
            <w:pPr>
              <w:tabs>
                <w:tab w:val="left" w:pos="1548"/>
                <w:tab w:val="left" w:pos="3708"/>
                <w:tab w:val="left" w:pos="5236"/>
              </w:tabs>
              <w:spacing w:before="40" w:after="40"/>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64EC770" w14:textId="77777777" w:rsidR="00E57ECA" w:rsidRPr="4BD52110" w:rsidRDefault="00E57ECA">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UT-LN-156 Pollinators and Pollinator Habitat</w:t>
            </w:r>
          </w:p>
        </w:tc>
      </w:tr>
    </w:tbl>
    <w:p w14:paraId="0DFAAB6E" w14:textId="77777777" w:rsidR="00F728D7" w:rsidRDefault="00F728D7" w:rsidP="00F728D7"/>
    <w:p w14:paraId="2976E621" w14:textId="77777777" w:rsidR="00E57ECA" w:rsidRDefault="00E57ECA" w:rsidP="00F728D7"/>
    <w:p w14:paraId="2E2CC7AF" w14:textId="6DE9B37C" w:rsidR="00BB3F01" w:rsidRDefault="00BB3F01" w:rsidP="00BB3F01">
      <w:pPr>
        <w:pStyle w:val="Caption"/>
      </w:pPr>
      <w:bookmarkStart w:id="333" w:name="_Toc179464310"/>
      <w:bookmarkStart w:id="334" w:name="_Toc170114965"/>
      <w:r>
        <w:t xml:space="preserve">Table </w:t>
      </w:r>
      <w:r>
        <w:fldChar w:fldCharType="begin"/>
      </w:r>
      <w:r>
        <w:instrText xml:space="preserve"> SEQ Table \* ARABIC </w:instrText>
      </w:r>
      <w:r>
        <w:fldChar w:fldCharType="separate"/>
      </w:r>
      <w:r>
        <w:rPr>
          <w:noProof/>
        </w:rPr>
        <w:t>29</w:t>
      </w:r>
      <w:r>
        <w:rPr>
          <w:noProof/>
        </w:rPr>
        <w:fldChar w:fldCharType="end"/>
      </w:r>
      <w:r>
        <w:t>: Parcel 1551</w:t>
      </w:r>
      <w:bookmarkEnd w:id="333"/>
      <w:bookmarkEnd w:id="334"/>
    </w:p>
    <w:tbl>
      <w:tblPr>
        <w:tblW w:w="0" w:type="auto"/>
        <w:tblLayout w:type="fixed"/>
        <w:tblLook w:val="04A0" w:firstRow="1" w:lastRow="0" w:firstColumn="1" w:lastColumn="0" w:noHBand="0" w:noVBand="1"/>
      </w:tblPr>
      <w:tblGrid>
        <w:gridCol w:w="4665"/>
        <w:gridCol w:w="4665"/>
      </w:tblGrid>
      <w:tr w:rsidR="008A532E" w14:paraId="2784F647" w14:textId="77777777">
        <w:trPr>
          <w:trHeight w:val="300"/>
        </w:trPr>
        <w:tc>
          <w:tcPr>
            <w:tcW w:w="93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EB1B01A" w14:textId="77777777" w:rsidR="008A532E" w:rsidRDefault="008A532E">
            <w:pPr>
              <w:keepNext/>
              <w:spacing w:line="264" w:lineRule="auto"/>
            </w:pPr>
            <w:r w:rsidRPr="4BD52110">
              <w:rPr>
                <w:rFonts w:eastAsia="Times New Roman" w:cs="Times New Roman"/>
                <w:b/>
                <w:bCs/>
                <w:color w:val="000000" w:themeColor="text1"/>
                <w:sz w:val="24"/>
                <w:szCs w:val="24"/>
              </w:rPr>
              <w:t xml:space="preserve">UT-2025-03-1551     </w:t>
            </w:r>
          </w:p>
          <w:p w14:paraId="71BD98CE" w14:textId="77777777" w:rsidR="008A532E" w:rsidRDefault="008A532E">
            <w:pPr>
              <w:keepNext/>
              <w:spacing w:line="264" w:lineRule="auto"/>
            </w:pPr>
            <w:r w:rsidRPr="4BD52110">
              <w:rPr>
                <w:rFonts w:eastAsia="Times New Roman" w:cs="Times New Roman"/>
                <w:color w:val="000000" w:themeColor="text1"/>
                <w:sz w:val="24"/>
                <w:szCs w:val="24"/>
              </w:rPr>
              <w:t xml:space="preserve">UT, Vernal Field Office, Bureau of Land Management, PD </w:t>
            </w:r>
          </w:p>
          <w:p w14:paraId="119BFBFE" w14:textId="77777777" w:rsidR="008A532E" w:rsidRPr="005D4501" w:rsidRDefault="008A532E">
            <w:pPr>
              <w:keepNext/>
              <w:spacing w:line="264" w:lineRule="auto"/>
              <w:rPr>
                <w:lang w:val="da-DK"/>
              </w:rPr>
            </w:pPr>
            <w:r w:rsidRPr="005D4501">
              <w:rPr>
                <w:rFonts w:eastAsia="Times New Roman" w:cs="Times New Roman"/>
                <w:color w:val="000000" w:themeColor="text1"/>
                <w:sz w:val="24"/>
                <w:szCs w:val="24"/>
                <w:u w:val="single"/>
                <w:lang w:val="da-DK"/>
              </w:rPr>
              <w:t xml:space="preserve">T. 7  S., R. 22  E., Salt Lake Meridian </w:t>
            </w:r>
          </w:p>
          <w:p w14:paraId="281EFB25" w14:textId="77777777" w:rsidR="008A532E" w:rsidRDefault="008A532E">
            <w:pPr>
              <w:keepNext/>
              <w:spacing w:line="264" w:lineRule="auto"/>
              <w:rPr>
                <w:rFonts w:eastAsia="Times New Roman" w:cs="Times New Roman"/>
                <w:color w:val="000000" w:themeColor="text1"/>
                <w:sz w:val="24"/>
                <w:szCs w:val="24"/>
              </w:rPr>
            </w:pPr>
            <w:r w:rsidRPr="4BD52110">
              <w:rPr>
                <w:rFonts w:eastAsia="Times New Roman" w:cs="Times New Roman"/>
                <w:color w:val="000000" w:themeColor="text1"/>
                <w:sz w:val="24"/>
                <w:szCs w:val="24"/>
              </w:rPr>
              <w:t>Sec. 3 SW1/4NW1/4, NW1/4SW1/4, S1/2SW1/4, S1/2SE1</w:t>
            </w:r>
            <w:r w:rsidRPr="6129A1BB">
              <w:rPr>
                <w:rFonts w:eastAsia="Times New Roman" w:cs="Times New Roman"/>
                <w:color w:val="000000" w:themeColor="text1"/>
                <w:sz w:val="24"/>
                <w:szCs w:val="24"/>
              </w:rPr>
              <w:t>,</w:t>
            </w:r>
          </w:p>
          <w:p w14:paraId="479572F0" w14:textId="77777777" w:rsidR="008A532E" w:rsidRDefault="008A532E">
            <w:pPr>
              <w:keepNext/>
              <w:spacing w:line="264" w:lineRule="auto"/>
            </w:pPr>
            <w:r w:rsidRPr="4BD52110">
              <w:rPr>
                <w:rFonts w:eastAsia="Times New Roman" w:cs="Times New Roman"/>
                <w:color w:val="000000" w:themeColor="text1"/>
                <w:sz w:val="24"/>
                <w:szCs w:val="24"/>
              </w:rPr>
              <w:t xml:space="preserve">Sec. 4 LOTS 1 thru 8, S1/2NE1/4, S1/2NW1/4. </w:t>
            </w:r>
          </w:p>
          <w:p w14:paraId="4B673961" w14:textId="77777777" w:rsidR="008A532E" w:rsidRDefault="008A532E">
            <w:pPr>
              <w:keepNext/>
              <w:spacing w:line="264" w:lineRule="auto"/>
            </w:pPr>
            <w:r w:rsidRPr="4BD52110">
              <w:rPr>
                <w:rFonts w:eastAsia="Times New Roman" w:cs="Times New Roman"/>
                <w:color w:val="000000" w:themeColor="text1"/>
                <w:sz w:val="24"/>
                <w:szCs w:val="24"/>
              </w:rPr>
              <w:t xml:space="preserve">Uintah County </w:t>
            </w:r>
          </w:p>
          <w:p w14:paraId="5211100F" w14:textId="77777777" w:rsidR="008A532E" w:rsidRDefault="008A532E">
            <w:pPr>
              <w:keepNext/>
              <w:spacing w:line="264" w:lineRule="auto"/>
            </w:pPr>
            <w:r w:rsidRPr="4BD52110">
              <w:rPr>
                <w:rFonts w:eastAsia="Times New Roman" w:cs="Times New Roman"/>
                <w:color w:val="000000" w:themeColor="text1"/>
                <w:sz w:val="24"/>
                <w:szCs w:val="24"/>
              </w:rPr>
              <w:t xml:space="preserve">632.08 Acres </w:t>
            </w:r>
          </w:p>
          <w:p w14:paraId="73A1F6C6" w14:textId="77777777" w:rsidR="008A532E" w:rsidRDefault="008A532E">
            <w:pPr>
              <w:keepNext/>
              <w:spacing w:line="264" w:lineRule="auto"/>
            </w:pPr>
            <w:r w:rsidRPr="4BD52110">
              <w:rPr>
                <w:rFonts w:eastAsia="Times New Roman" w:cs="Times New Roman"/>
                <w:color w:val="000000" w:themeColor="text1"/>
                <w:sz w:val="24"/>
                <w:szCs w:val="24"/>
              </w:rPr>
              <w:t xml:space="preserve">EOI# UT00019033, UT00018008 </w:t>
            </w:r>
          </w:p>
        </w:tc>
      </w:tr>
      <w:tr w:rsidR="008A532E" w14:paraId="7044CC4F" w14:textId="77777777">
        <w:trPr>
          <w:trHeight w:val="300"/>
        </w:trPr>
        <w:tc>
          <w:tcPr>
            <w:tcW w:w="46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2E8CE72" w14:textId="77777777" w:rsidR="008A532E" w:rsidRDefault="008A532E">
            <w:pPr>
              <w:spacing w:before="40" w:after="40" w:line="257" w:lineRule="auto"/>
            </w:pPr>
            <w:r w:rsidRPr="4BD52110">
              <w:rPr>
                <w:rFonts w:eastAsia="Times New Roman" w:cs="Times New Roman"/>
                <w:b/>
                <w:bCs/>
                <w:color w:val="000000" w:themeColor="text1"/>
              </w:rPr>
              <w:t>Stipulations</w:t>
            </w:r>
          </w:p>
        </w:tc>
        <w:tc>
          <w:tcPr>
            <w:tcW w:w="4665"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844BE49" w14:textId="77777777" w:rsidR="008A532E" w:rsidRDefault="008A532E">
            <w:pPr>
              <w:spacing w:before="40" w:after="40" w:line="257" w:lineRule="auto"/>
            </w:pPr>
            <w:r w:rsidRPr="4BD52110">
              <w:rPr>
                <w:rFonts w:eastAsia="Times New Roman" w:cs="Times New Roman"/>
                <w:b/>
                <w:bCs/>
                <w:color w:val="000000" w:themeColor="text1"/>
              </w:rPr>
              <w:t>Notices</w:t>
            </w:r>
          </w:p>
        </w:tc>
      </w:tr>
      <w:tr w:rsidR="008A532E" w14:paraId="24084273"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A5EF214" w14:textId="77777777" w:rsidR="008A532E" w:rsidRPr="4BD52110" w:rsidRDefault="008A532E">
            <w:pPr>
              <w:spacing w:before="40" w:after="40" w:line="257" w:lineRule="auto"/>
              <w:rPr>
                <w:rFonts w:eastAsia="Times New Roman" w:cs="Times New Roman"/>
                <w:color w:val="000000" w:themeColor="text1"/>
                <w:sz w:val="24"/>
                <w:szCs w:val="24"/>
              </w:rPr>
            </w:pPr>
            <w:r>
              <w:rPr>
                <w:rFonts w:eastAsia="Times New Roman" w:cs="Times New Roman"/>
                <w:color w:val="000000" w:themeColor="text1"/>
                <w:sz w:val="24"/>
                <w:szCs w:val="24"/>
              </w:rPr>
              <w:t xml:space="preserve">UT-S-1 Air Quality </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779BB03" w14:textId="77777777" w:rsidR="008A532E" w:rsidRPr="4BD52110" w:rsidRDefault="008A532E">
            <w:pPr>
              <w:spacing w:before="40" w:after="40" w:line="257" w:lineRule="auto"/>
              <w:rPr>
                <w:rFonts w:eastAsia="Times New Roman" w:cs="Times New Roman"/>
                <w:color w:val="000000" w:themeColor="text1"/>
                <w:sz w:val="24"/>
                <w:szCs w:val="24"/>
              </w:rPr>
            </w:pPr>
            <w:r w:rsidRPr="4E5DF681">
              <w:rPr>
                <w:rFonts w:eastAsia="Times New Roman" w:cs="Times New Roman"/>
                <w:color w:val="000000" w:themeColor="text1"/>
                <w:sz w:val="24"/>
                <w:szCs w:val="24"/>
              </w:rPr>
              <w:t>T&amp;E-03 Endangered Fish of the Upper Colorado River Drainage Basin</w:t>
            </w:r>
          </w:p>
        </w:tc>
      </w:tr>
      <w:tr w:rsidR="008A532E" w14:paraId="254198E4"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BE9FFE1" w14:textId="77777777" w:rsidR="008A532E" w:rsidRPr="4BD52110" w:rsidRDefault="008A532E">
            <w:pPr>
              <w:spacing w:before="40" w:after="40" w:line="257" w:lineRule="auto"/>
              <w:rPr>
                <w:rFonts w:eastAsia="Times New Roman" w:cs="Times New Roman"/>
                <w:color w:val="000000" w:themeColor="text1"/>
                <w:sz w:val="24"/>
                <w:szCs w:val="24"/>
              </w:rPr>
            </w:pPr>
            <w:r w:rsidRPr="4BD52110">
              <w:rPr>
                <w:rFonts w:eastAsia="Times New Roman" w:cs="Times New Roman"/>
                <w:color w:val="000000" w:themeColor="text1"/>
                <w:sz w:val="24"/>
                <w:szCs w:val="24"/>
              </w:rPr>
              <w:t>UT-S-96 No Surface Occupancy - Fragile Soils/Slopes Greater than 40%</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B0A4D3B" w14:textId="77777777" w:rsidR="008A532E" w:rsidRPr="4BD52110" w:rsidRDefault="008A532E">
            <w:pPr>
              <w:spacing w:before="40" w:after="40" w:line="257" w:lineRule="auto"/>
              <w:rPr>
                <w:rFonts w:eastAsia="Times New Roman" w:cs="Times New Roman"/>
                <w:color w:val="000000" w:themeColor="text1"/>
                <w:sz w:val="24"/>
                <w:szCs w:val="24"/>
              </w:rPr>
            </w:pPr>
            <w:r w:rsidRPr="4E5DF681">
              <w:rPr>
                <w:rFonts w:eastAsia="Times New Roman" w:cs="Times New Roman"/>
                <w:color w:val="000000" w:themeColor="text1"/>
                <w:sz w:val="24"/>
                <w:szCs w:val="24"/>
              </w:rPr>
              <w:t>T&amp;E-05 Listed Plant Species</w:t>
            </w:r>
          </w:p>
        </w:tc>
      </w:tr>
      <w:tr w:rsidR="008A532E" w14:paraId="00058FEE"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0932F1A" w14:textId="77777777" w:rsidR="008A532E" w:rsidRDefault="008A532E">
            <w:pPr>
              <w:spacing w:before="40" w:after="40" w:line="257" w:lineRule="auto"/>
            </w:pPr>
            <w:r w:rsidRPr="4BD52110">
              <w:rPr>
                <w:rFonts w:eastAsia="Times New Roman" w:cs="Times New Roman"/>
                <w:color w:val="000000" w:themeColor="text1"/>
                <w:sz w:val="24"/>
                <w:szCs w:val="24"/>
              </w:rPr>
              <w:t>UT-S-99 Controlled Surface Use – Fragile Soils/Slopes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982F534" w14:textId="77777777" w:rsidR="008A532E" w:rsidRDefault="008A532E">
            <w:pPr>
              <w:spacing w:before="40" w:after="40" w:line="257" w:lineRule="auto"/>
              <w:rPr>
                <w:rFonts w:eastAsia="Times New Roman" w:cs="Times New Roman"/>
                <w:color w:val="000000" w:themeColor="text1"/>
                <w:sz w:val="24"/>
                <w:szCs w:val="24"/>
              </w:rPr>
            </w:pPr>
            <w:r w:rsidRPr="70397EF4">
              <w:rPr>
                <w:rFonts w:eastAsia="Times New Roman" w:cs="Times New Roman"/>
                <w:color w:val="000000" w:themeColor="text1"/>
                <w:sz w:val="24"/>
                <w:szCs w:val="24"/>
              </w:rPr>
              <w:t>UT-LN-13 Pronghorn Winter Habitat</w:t>
            </w:r>
          </w:p>
        </w:tc>
      </w:tr>
      <w:tr w:rsidR="008A532E" w14:paraId="5D25732F"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06F4E3D" w14:textId="77777777" w:rsidR="008A532E" w:rsidRDefault="008A532E">
            <w:pPr>
              <w:spacing w:before="40" w:after="40" w:line="257" w:lineRule="auto"/>
            </w:pPr>
            <w:r w:rsidRPr="4BD52110">
              <w:rPr>
                <w:rFonts w:eastAsia="Times New Roman" w:cs="Times New Roman"/>
                <w:color w:val="000000" w:themeColor="text1"/>
                <w:sz w:val="24"/>
                <w:szCs w:val="24"/>
              </w:rPr>
              <w:t>UT-S-100 Controlled Surface Use – Fragile Soils/Slopes (21%-40%)</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9195D83" w14:textId="77777777" w:rsidR="008A532E" w:rsidRDefault="008A532E">
            <w:pPr>
              <w:spacing w:before="40" w:after="40" w:line="257" w:lineRule="auto"/>
              <w:rPr>
                <w:rFonts w:eastAsia="Times New Roman" w:cs="Times New Roman"/>
                <w:color w:val="000000" w:themeColor="text1"/>
                <w:sz w:val="24"/>
                <w:szCs w:val="24"/>
              </w:rPr>
            </w:pPr>
            <w:r w:rsidRPr="4BD52110">
              <w:rPr>
                <w:rFonts w:eastAsia="Times New Roman" w:cs="Times New Roman"/>
                <w:color w:val="000000" w:themeColor="text1"/>
                <w:sz w:val="24"/>
                <w:szCs w:val="24"/>
              </w:rPr>
              <w:t>UT-LN-</w:t>
            </w:r>
            <w:r w:rsidRPr="70397EF4">
              <w:rPr>
                <w:rFonts w:eastAsia="Times New Roman" w:cs="Times New Roman"/>
                <w:color w:val="000000" w:themeColor="text1"/>
                <w:sz w:val="24"/>
                <w:szCs w:val="24"/>
              </w:rPr>
              <w:t>14</w:t>
            </w:r>
            <w:r w:rsidRPr="4BD52110">
              <w:rPr>
                <w:rFonts w:eastAsia="Times New Roman" w:cs="Times New Roman"/>
                <w:color w:val="000000" w:themeColor="text1"/>
                <w:sz w:val="24"/>
                <w:szCs w:val="24"/>
              </w:rPr>
              <w:t xml:space="preserve"> Pronghorn </w:t>
            </w:r>
            <w:r w:rsidRPr="70397EF4">
              <w:rPr>
                <w:rFonts w:eastAsia="Times New Roman" w:cs="Times New Roman"/>
                <w:color w:val="000000" w:themeColor="text1"/>
                <w:sz w:val="24"/>
                <w:szCs w:val="24"/>
              </w:rPr>
              <w:t>Fawning</w:t>
            </w:r>
            <w:r w:rsidRPr="4BD52110">
              <w:rPr>
                <w:rFonts w:eastAsia="Times New Roman" w:cs="Times New Roman"/>
                <w:color w:val="000000" w:themeColor="text1"/>
                <w:sz w:val="24"/>
                <w:szCs w:val="24"/>
              </w:rPr>
              <w:t xml:space="preserve"> Habitat</w:t>
            </w:r>
          </w:p>
        </w:tc>
      </w:tr>
      <w:tr w:rsidR="008A532E" w14:paraId="4C516A2B"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0C0B103" w14:textId="77777777" w:rsidR="008A532E" w:rsidRDefault="008A532E">
            <w:pPr>
              <w:tabs>
                <w:tab w:val="left" w:pos="1548"/>
                <w:tab w:val="left" w:pos="3708"/>
                <w:tab w:val="left" w:pos="5236"/>
              </w:tabs>
              <w:spacing w:before="40" w:after="40"/>
            </w:pPr>
            <w:r w:rsidRPr="4BD52110">
              <w:rPr>
                <w:rFonts w:eastAsia="Times New Roman" w:cs="Times New Roman"/>
                <w:color w:val="000000" w:themeColor="text1"/>
                <w:sz w:val="24"/>
                <w:szCs w:val="24"/>
              </w:rPr>
              <w:t>UT-S-123 No Surface Occupancy – Riparian, Floodplains, and Public Water Reserves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B5378E2" w14:textId="77777777" w:rsidR="008A532E" w:rsidRDefault="008A532E">
            <w:pPr>
              <w:spacing w:before="40" w:after="40" w:line="257" w:lineRule="auto"/>
              <w:rPr>
                <w:rFonts w:eastAsia="Times New Roman" w:cs="Times New Roman"/>
                <w:color w:val="000000" w:themeColor="text1"/>
                <w:sz w:val="24"/>
                <w:szCs w:val="24"/>
              </w:rPr>
            </w:pPr>
            <w:r w:rsidRPr="70397EF4">
              <w:rPr>
                <w:rFonts w:eastAsia="Times New Roman" w:cs="Times New Roman"/>
                <w:color w:val="000000" w:themeColor="text1"/>
                <w:sz w:val="24"/>
                <w:szCs w:val="24"/>
              </w:rPr>
              <w:t>UT-LN-25 White-Tailed and Gunnison Prairie Dog</w:t>
            </w:r>
          </w:p>
        </w:tc>
      </w:tr>
      <w:tr w:rsidR="008A532E" w14:paraId="50D2D754"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A62C092" w14:textId="77777777" w:rsidR="008A532E" w:rsidRDefault="008A532E">
            <w:pPr>
              <w:tabs>
                <w:tab w:val="left" w:pos="1548"/>
                <w:tab w:val="left" w:pos="3708"/>
                <w:tab w:val="left" w:pos="5236"/>
              </w:tabs>
              <w:spacing w:before="40" w:after="40"/>
              <w:rPr>
                <w:rFonts w:eastAsia="Times New Roman" w:cs="Times New Roman"/>
                <w:sz w:val="24"/>
                <w:szCs w:val="24"/>
              </w:rPr>
            </w:pPr>
            <w:r w:rsidRPr="3D9EDA3D">
              <w:rPr>
                <w:rFonts w:eastAsia="Times New Roman" w:cs="Times New Roman"/>
                <w:color w:val="000000" w:themeColor="text1"/>
                <w:sz w:val="24"/>
                <w:szCs w:val="24"/>
              </w:rPr>
              <w:lastRenderedPageBreak/>
              <w:t xml:space="preserve">UT-S-157 No Surface </w:t>
            </w:r>
            <w:r w:rsidRPr="3D9EDA3D">
              <w:rPr>
                <w:rFonts w:eastAsia="Times New Roman" w:cs="Times New Roman"/>
                <w:sz w:val="24"/>
                <w:szCs w:val="24"/>
              </w:rPr>
              <w:t>Occupancy/Controlled Surface Use/Timing Limitation – Visual Resources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9828FC8" w14:textId="77777777" w:rsidR="008A532E" w:rsidRDefault="008A532E">
            <w:pPr>
              <w:spacing w:before="40" w:after="40" w:line="257" w:lineRule="auto"/>
              <w:rPr>
                <w:rFonts w:eastAsia="Times New Roman" w:cs="Times New Roman"/>
                <w:color w:val="000000" w:themeColor="text1"/>
                <w:sz w:val="24"/>
                <w:szCs w:val="24"/>
              </w:rPr>
            </w:pPr>
            <w:r w:rsidRPr="24408837">
              <w:rPr>
                <w:rFonts w:eastAsia="Times New Roman" w:cs="Times New Roman"/>
                <w:color w:val="000000" w:themeColor="text1"/>
                <w:sz w:val="24"/>
                <w:szCs w:val="24"/>
              </w:rPr>
              <w:t>UT-LN-44 Raptors</w:t>
            </w:r>
          </w:p>
        </w:tc>
      </w:tr>
      <w:tr w:rsidR="008A532E" w14:paraId="6135DF56"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39B8C07" w14:textId="77777777" w:rsidR="008A532E"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UT-S-261 Timing Limitation – Raptor Buffers</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157D291" w14:textId="77777777" w:rsidR="008A532E" w:rsidRDefault="008A532E">
            <w:pPr>
              <w:spacing w:before="40" w:after="40" w:line="257" w:lineRule="auto"/>
              <w:rPr>
                <w:rFonts w:eastAsia="Times New Roman" w:cs="Times New Roman"/>
                <w:color w:val="000000" w:themeColor="text1"/>
                <w:sz w:val="24"/>
                <w:szCs w:val="24"/>
              </w:rPr>
            </w:pPr>
            <w:r w:rsidRPr="70397EF4">
              <w:rPr>
                <w:rFonts w:eastAsia="Times New Roman" w:cs="Times New Roman"/>
                <w:color w:val="000000" w:themeColor="text1"/>
                <w:sz w:val="24"/>
                <w:szCs w:val="24"/>
              </w:rPr>
              <w:t>UT-LN-45 Migratory Bird</w:t>
            </w:r>
          </w:p>
        </w:tc>
      </w:tr>
      <w:tr w:rsidR="008A532E" w14:paraId="0D25266A"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AC5DE33" w14:textId="77777777" w:rsidR="008A532E" w:rsidRPr="4BD52110"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UT-S-316 Material Site Rights-of-Way</w:t>
            </w: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3EA4350" w14:textId="77777777" w:rsidR="008A532E" w:rsidRPr="4BD52110" w:rsidRDefault="008A532E">
            <w:pPr>
              <w:spacing w:before="40" w:after="40" w:line="257" w:lineRule="auto"/>
              <w:rPr>
                <w:rFonts w:eastAsia="Times New Roman" w:cs="Times New Roman"/>
                <w:color w:val="000000" w:themeColor="text1"/>
                <w:sz w:val="24"/>
                <w:szCs w:val="24"/>
              </w:rPr>
            </w:pPr>
            <w:r w:rsidRPr="4EEF6C43">
              <w:rPr>
                <w:rFonts w:eastAsia="Times New Roman" w:cs="Times New Roman"/>
                <w:color w:val="000000" w:themeColor="text1"/>
                <w:sz w:val="24"/>
                <w:szCs w:val="24"/>
              </w:rPr>
              <w:t>UT-LN-49 Utah Sensitive Species</w:t>
            </w:r>
          </w:p>
        </w:tc>
      </w:tr>
      <w:tr w:rsidR="008A532E" w14:paraId="035944D7"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53F5585" w14:textId="77777777" w:rsidR="008A532E"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49C0C52E" w14:textId="77777777" w:rsidR="008A532E" w:rsidRDefault="008A532E">
            <w:pPr>
              <w:spacing w:before="40" w:after="40" w:line="257" w:lineRule="auto"/>
              <w:rPr>
                <w:rFonts w:eastAsia="Times New Roman" w:cs="Times New Roman"/>
                <w:color w:val="000000" w:themeColor="text1"/>
                <w:sz w:val="24"/>
                <w:szCs w:val="24"/>
              </w:rPr>
            </w:pPr>
            <w:r w:rsidRPr="4EEF6C43">
              <w:rPr>
                <w:rFonts w:eastAsia="Times New Roman" w:cs="Times New Roman"/>
                <w:color w:val="000000" w:themeColor="text1"/>
                <w:sz w:val="24"/>
                <w:szCs w:val="24"/>
              </w:rPr>
              <w:t>UT-LN-51 Special Status Plants: Not Federally Listed</w:t>
            </w:r>
          </w:p>
        </w:tc>
      </w:tr>
      <w:tr w:rsidR="00A605D8" w14:paraId="3AC68815"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5448E439" w14:textId="77777777" w:rsidR="00A605D8" w:rsidRDefault="00A605D8">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B684909" w14:textId="5DC621F4" w:rsidR="00A605D8" w:rsidRPr="4EEF6C43" w:rsidRDefault="00385C8A">
            <w:pPr>
              <w:spacing w:before="40" w:after="40" w:line="257" w:lineRule="auto"/>
              <w:rPr>
                <w:rFonts w:eastAsia="Times New Roman" w:cs="Times New Roman"/>
                <w:color w:val="000000" w:themeColor="text1"/>
                <w:sz w:val="24"/>
                <w:szCs w:val="24"/>
              </w:rPr>
            </w:pPr>
            <w:r w:rsidRPr="00385C8A">
              <w:rPr>
                <w:rFonts w:eastAsia="Times New Roman" w:cs="Times New Roman"/>
                <w:color w:val="000000" w:themeColor="text1"/>
                <w:sz w:val="24"/>
                <w:szCs w:val="24"/>
              </w:rPr>
              <w:t>UT-LN-52</w:t>
            </w:r>
            <w:r>
              <w:rPr>
                <w:rFonts w:eastAsia="Times New Roman" w:cs="Times New Roman"/>
                <w:color w:val="000000" w:themeColor="text1"/>
                <w:sz w:val="24"/>
                <w:szCs w:val="24"/>
              </w:rPr>
              <w:t xml:space="preserve"> Noxious Weeds</w:t>
            </w:r>
          </w:p>
        </w:tc>
      </w:tr>
      <w:tr w:rsidR="008A532E" w14:paraId="02A8245D"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2B29864" w14:textId="77777777" w:rsidR="008A532E"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88CF537" w14:textId="77777777" w:rsidR="008A532E" w:rsidRDefault="008A532E">
            <w:pPr>
              <w:spacing w:before="40" w:after="40" w:line="257" w:lineRule="auto"/>
              <w:rPr>
                <w:sz w:val="24"/>
                <w:szCs w:val="24"/>
              </w:rPr>
            </w:pPr>
            <w:r w:rsidRPr="3D9EDA3D">
              <w:rPr>
                <w:sz w:val="24"/>
                <w:szCs w:val="24"/>
              </w:rPr>
              <w:t>UT-LN-53 Riparian Areas</w:t>
            </w:r>
          </w:p>
        </w:tc>
      </w:tr>
      <w:tr w:rsidR="008A532E" w14:paraId="7FD81DEB"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0787AE0C" w14:textId="77777777" w:rsidR="008A532E" w:rsidRPr="4BD52110"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B2CC6EB" w14:textId="77777777" w:rsidR="008A532E" w:rsidRPr="4BD52110"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UT-LN-72 High Potential Paleontological Resources</w:t>
            </w:r>
          </w:p>
        </w:tc>
      </w:tr>
      <w:tr w:rsidR="008A532E" w14:paraId="330732D1"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2100BB55" w14:textId="77777777" w:rsidR="008A532E" w:rsidRDefault="008A532E">
            <w:pPr>
              <w:spacing w:before="40" w:after="40" w:line="257" w:lineRule="auto"/>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341F6234" w14:textId="77777777" w:rsidR="008A532E"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 xml:space="preserve">UT-LN-89 Horseshoe Milkvetch </w:t>
            </w:r>
            <w:r w:rsidRPr="3D9EDA3D">
              <w:rPr>
                <w:rFonts w:eastAsia="Times New Roman" w:cs="Times New Roman"/>
                <w:i/>
                <w:iCs/>
                <w:color w:val="000000" w:themeColor="text1"/>
                <w:sz w:val="24"/>
                <w:szCs w:val="24"/>
              </w:rPr>
              <w:t xml:space="preserve">(Astragalus </w:t>
            </w:r>
            <w:proofErr w:type="spellStart"/>
            <w:r w:rsidRPr="3D9EDA3D">
              <w:rPr>
                <w:rFonts w:eastAsia="Times New Roman" w:cs="Times New Roman"/>
                <w:i/>
                <w:iCs/>
                <w:color w:val="000000" w:themeColor="text1"/>
                <w:sz w:val="24"/>
                <w:szCs w:val="24"/>
              </w:rPr>
              <w:t>Equisolensis</w:t>
            </w:r>
            <w:proofErr w:type="spellEnd"/>
            <w:r w:rsidRPr="3D9EDA3D">
              <w:rPr>
                <w:rFonts w:eastAsia="Times New Roman" w:cs="Times New Roman"/>
                <w:i/>
                <w:iCs/>
                <w:color w:val="000000" w:themeColor="text1"/>
                <w:sz w:val="24"/>
                <w:szCs w:val="24"/>
              </w:rPr>
              <w:t>)</w:t>
            </w:r>
          </w:p>
        </w:tc>
      </w:tr>
      <w:tr w:rsidR="008A532E" w14:paraId="6A0EBD03"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3635522B" w14:textId="77777777" w:rsidR="008A532E" w:rsidRPr="4BD52110"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369E1815" w14:textId="77777777" w:rsidR="008A532E" w:rsidRPr="4BD52110"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UT-LN-96 Air Quality Mitigation Measures</w:t>
            </w:r>
          </w:p>
        </w:tc>
      </w:tr>
      <w:tr w:rsidR="008A532E" w14:paraId="33C3BFF3"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5275FEB2" w14:textId="77777777" w:rsidR="008A532E" w:rsidRPr="4BD52110"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13B8CE01" w14:textId="77777777" w:rsidR="008A532E"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UT-LN-99 Regional Ozone Formation Controls</w:t>
            </w:r>
          </w:p>
        </w:tc>
      </w:tr>
      <w:tr w:rsidR="008A532E" w14:paraId="01ABFE66"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7A7A0F8" w14:textId="77777777" w:rsidR="008A532E"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4D7462C" w14:textId="77777777" w:rsidR="008A532E"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UT-LN-102 Air Quality Analysis</w:t>
            </w:r>
          </w:p>
        </w:tc>
      </w:tr>
      <w:tr w:rsidR="008A532E" w14:paraId="3434C658"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3E4B3EA2" w14:textId="77777777" w:rsidR="008A532E" w:rsidRPr="0418B98B"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7AEB3CE" w14:textId="77777777" w:rsidR="008A532E" w:rsidRPr="0418B98B"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UT-LN-128 Floodplain Management</w:t>
            </w:r>
          </w:p>
        </w:tc>
      </w:tr>
      <w:tr w:rsidR="008A532E" w14:paraId="4E130406" w14:textId="77777777">
        <w:trPr>
          <w:trHeight w:val="300"/>
        </w:trPr>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67A9F602" w14:textId="77777777" w:rsidR="008A532E" w:rsidRPr="0418B98B" w:rsidRDefault="008A532E">
            <w:pPr>
              <w:spacing w:before="40" w:after="40" w:line="257" w:lineRule="auto"/>
              <w:rPr>
                <w:rFonts w:eastAsia="Times New Roman" w:cs="Times New Roman"/>
                <w:color w:val="000000" w:themeColor="text1"/>
                <w:sz w:val="24"/>
                <w:szCs w:val="24"/>
              </w:rPr>
            </w:pPr>
          </w:p>
        </w:tc>
        <w:tc>
          <w:tcPr>
            <w:tcW w:w="4665" w:type="dxa"/>
            <w:tcBorders>
              <w:top w:val="single" w:sz="8" w:space="0" w:color="auto"/>
              <w:left w:val="single" w:sz="8" w:space="0" w:color="auto"/>
              <w:bottom w:val="single" w:sz="8" w:space="0" w:color="auto"/>
              <w:right w:val="single" w:sz="8" w:space="0" w:color="auto"/>
            </w:tcBorders>
            <w:tcMar>
              <w:left w:w="108" w:type="dxa"/>
              <w:right w:w="108" w:type="dxa"/>
            </w:tcMar>
          </w:tcPr>
          <w:p w14:paraId="7E4F94F9" w14:textId="77777777" w:rsidR="008A532E" w:rsidRPr="4897275A" w:rsidRDefault="008A532E">
            <w:pPr>
              <w:spacing w:before="40" w:after="40" w:line="257" w:lineRule="auto"/>
              <w:rPr>
                <w:rFonts w:eastAsia="Times New Roman" w:cs="Times New Roman"/>
                <w:color w:val="000000" w:themeColor="text1"/>
                <w:sz w:val="24"/>
                <w:szCs w:val="24"/>
              </w:rPr>
            </w:pPr>
            <w:r w:rsidRPr="3D9EDA3D">
              <w:rPr>
                <w:rFonts w:eastAsia="Times New Roman" w:cs="Times New Roman"/>
                <w:color w:val="000000" w:themeColor="text1"/>
                <w:sz w:val="24"/>
                <w:szCs w:val="24"/>
              </w:rPr>
              <w:t>UT-LN-156 Pollinators and Pollinator Habitat</w:t>
            </w:r>
          </w:p>
        </w:tc>
      </w:tr>
    </w:tbl>
    <w:p w14:paraId="03897BBA" w14:textId="77777777" w:rsidR="00E57ECA" w:rsidRDefault="00E57ECA" w:rsidP="00F728D7"/>
    <w:p w14:paraId="3178B12C" w14:textId="77777777" w:rsidR="00BB3F01" w:rsidRPr="00F728D7" w:rsidRDefault="00BB3F01" w:rsidP="00F728D7"/>
    <w:p w14:paraId="4656D539" w14:textId="44A3363E" w:rsidR="00F86553" w:rsidRDefault="00B13A8E" w:rsidP="00B13A8E">
      <w:pPr>
        <w:pStyle w:val="Heading2"/>
        <w:numPr>
          <w:ilvl w:val="0"/>
          <w:numId w:val="0"/>
        </w:numPr>
        <w:rPr>
          <w:rFonts w:hint="eastAsia"/>
        </w:rPr>
      </w:pPr>
      <w:bookmarkStart w:id="335" w:name="_Toc179464276"/>
      <w:bookmarkStart w:id="336" w:name="_Toc170114931"/>
      <w:r>
        <w:t>B.</w:t>
      </w:r>
      <w:r w:rsidR="003558D7">
        <w:t>2</w:t>
      </w:r>
      <w:r>
        <w:t xml:space="preserve"> </w:t>
      </w:r>
      <w:r w:rsidR="003558D7">
        <w:t>Description of lease stipulation and notices</w:t>
      </w:r>
      <w:bookmarkEnd w:id="335"/>
      <w:bookmarkEnd w:id="336"/>
    </w:p>
    <w:p w14:paraId="5E031BD0" w14:textId="67CA9733" w:rsidR="00434A58" w:rsidRDefault="00434A58" w:rsidP="00434A58">
      <w:pPr>
        <w:pStyle w:val="Caption"/>
      </w:pPr>
      <w:bookmarkStart w:id="337" w:name="_Toc179464311"/>
      <w:bookmarkStart w:id="338" w:name="_Toc170114966"/>
      <w:r>
        <w:t xml:space="preserve">Table </w:t>
      </w:r>
      <w:r w:rsidR="00BB3F01">
        <w:fldChar w:fldCharType="begin"/>
      </w:r>
      <w:r w:rsidR="00BB3F01">
        <w:instrText xml:space="preserve"> SEQ Table \* ARABIC </w:instrText>
      </w:r>
      <w:r w:rsidR="00BB3F01">
        <w:fldChar w:fldCharType="separate"/>
      </w:r>
      <w:r w:rsidR="00BB3F01">
        <w:rPr>
          <w:noProof/>
        </w:rPr>
        <w:t>30</w:t>
      </w:r>
      <w:r w:rsidR="00BB3F01">
        <w:rPr>
          <w:noProof/>
        </w:rPr>
        <w:fldChar w:fldCharType="end"/>
      </w:r>
      <w:r>
        <w:t xml:space="preserve"> </w:t>
      </w:r>
      <w:r w:rsidRPr="00050B97">
        <w:t>Standard Lease Stipulations (from H-3120 – Competitive Leasing Handbook)</w:t>
      </w:r>
      <w:bookmarkEnd w:id="337"/>
      <w:bookmarkEnd w:id="338"/>
    </w:p>
    <w:tbl>
      <w:tblPr>
        <w:tblW w:w="5000" w:type="pct"/>
        <w:tblLook w:val="04A0" w:firstRow="1" w:lastRow="0" w:firstColumn="1" w:lastColumn="0" w:noHBand="0" w:noVBand="1"/>
        <w:tblDescription w:val="Utah Lease Notices"/>
      </w:tblPr>
      <w:tblGrid>
        <w:gridCol w:w="2279"/>
        <w:gridCol w:w="7065"/>
      </w:tblGrid>
      <w:tr w:rsidR="000A2CA8" w14:paraId="6B4068AB" w14:textId="77777777" w:rsidTr="00FA2DA1">
        <w:trPr>
          <w:trHeight w:val="495"/>
          <w:tblHeader/>
        </w:trPr>
        <w:tc>
          <w:tcPr>
            <w:tcW w:w="121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B709BF" w14:textId="1F3383A2" w:rsidR="000A2CA8" w:rsidRPr="006B0693" w:rsidRDefault="00153B20">
            <w:pPr>
              <w:pStyle w:val="TableHeading"/>
              <w:rPr>
                <w:rFonts w:ascii="Times New Roman" w:hAnsi="Times New Roman" w:cs="Times New Roman"/>
              </w:rPr>
            </w:pPr>
            <w:r>
              <w:rPr>
                <w:rFonts w:ascii="Times New Roman" w:hAnsi="Times New Roman" w:cs="Times New Roman"/>
              </w:rPr>
              <w:t>Stipulation/</w:t>
            </w:r>
            <w:r w:rsidR="000A2CA8" w:rsidRPr="006B0693">
              <w:rPr>
                <w:rFonts w:ascii="Times New Roman" w:hAnsi="Times New Roman" w:cs="Times New Roman"/>
              </w:rPr>
              <w:t>Notice</w:t>
            </w:r>
          </w:p>
        </w:tc>
        <w:tc>
          <w:tcPr>
            <w:tcW w:w="378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FDD0CE" w14:textId="77777777" w:rsidR="000A2CA8" w:rsidRPr="006B0693" w:rsidRDefault="000A2CA8">
            <w:pPr>
              <w:pStyle w:val="TableHeading"/>
              <w:rPr>
                <w:rFonts w:ascii="Times New Roman" w:hAnsi="Times New Roman" w:cs="Times New Roman"/>
              </w:rPr>
            </w:pPr>
            <w:r w:rsidRPr="006B0693">
              <w:rPr>
                <w:rFonts w:ascii="Times New Roman" w:hAnsi="Times New Roman" w:cs="Times New Roman"/>
              </w:rPr>
              <w:t>Description/Purpose</w:t>
            </w:r>
          </w:p>
        </w:tc>
      </w:tr>
      <w:tr w:rsidR="00E41ECA" w14:paraId="3464E8F4"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255A6D84" w14:textId="77777777" w:rsidR="00E41ECA" w:rsidRPr="00FA2DA1" w:rsidRDefault="00E41ECA">
            <w:pPr>
              <w:pStyle w:val="TableTextLeft"/>
              <w:rPr>
                <w:rFonts w:ascii="Times New Roman" w:hAnsi="Times New Roman"/>
                <w:b/>
                <w:bCs/>
                <w:sz w:val="22"/>
                <w:szCs w:val="22"/>
              </w:rPr>
            </w:pPr>
          </w:p>
        </w:tc>
        <w:tc>
          <w:tcPr>
            <w:tcW w:w="3781" w:type="pct"/>
            <w:tcBorders>
              <w:top w:val="single" w:sz="6" w:space="0" w:color="auto"/>
              <w:left w:val="single" w:sz="6" w:space="0" w:color="auto"/>
              <w:bottom w:val="single" w:sz="6" w:space="0" w:color="auto"/>
              <w:right w:val="single" w:sz="6" w:space="0" w:color="auto"/>
            </w:tcBorders>
            <w:vAlign w:val="center"/>
          </w:tcPr>
          <w:p w14:paraId="192826CB" w14:textId="77777777" w:rsidR="00E41ECA" w:rsidRPr="00FA2DA1" w:rsidRDefault="00E41ECA">
            <w:pPr>
              <w:widowControl w:val="0"/>
              <w:tabs>
                <w:tab w:val="center" w:pos="4680"/>
              </w:tabs>
              <w:spacing w:before="40" w:after="40"/>
              <w:rPr>
                <w:rFonts w:eastAsia="Times New Roman" w:cs="Times New Roman"/>
                <w:b/>
                <w:bCs/>
                <w:color w:val="000000" w:themeColor="text1"/>
              </w:rPr>
            </w:pPr>
          </w:p>
        </w:tc>
      </w:tr>
      <w:tr w:rsidR="00FA2DA1" w14:paraId="33590B14"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71C0703E" w14:textId="115BCF14" w:rsidR="00FA2DA1" w:rsidRPr="00A91DD7" w:rsidRDefault="00FA2DA1" w:rsidP="00FA2DA1">
            <w:pPr>
              <w:pStyle w:val="TableTextLeft"/>
              <w:rPr>
                <w:rFonts w:ascii="Times New Roman" w:hAnsi="Times New Roman"/>
                <w:b/>
                <w:bCs/>
                <w:sz w:val="22"/>
                <w:szCs w:val="22"/>
              </w:rPr>
            </w:pPr>
            <w:r w:rsidRPr="00893F07">
              <w:rPr>
                <w:rFonts w:ascii="Times New Roman" w:hAnsi="Times New Roman"/>
                <w:b/>
                <w:bCs/>
                <w:color w:val="000000" w:themeColor="text1"/>
                <w:sz w:val="22"/>
                <w:szCs w:val="22"/>
              </w:rPr>
              <w:t xml:space="preserve">UT-S-1 </w:t>
            </w:r>
          </w:p>
        </w:tc>
        <w:tc>
          <w:tcPr>
            <w:tcW w:w="3781" w:type="pct"/>
            <w:tcBorders>
              <w:top w:val="single" w:sz="6" w:space="0" w:color="auto"/>
              <w:left w:val="single" w:sz="6" w:space="0" w:color="auto"/>
              <w:bottom w:val="single" w:sz="6" w:space="0" w:color="auto"/>
              <w:right w:val="single" w:sz="6" w:space="0" w:color="auto"/>
            </w:tcBorders>
          </w:tcPr>
          <w:p w14:paraId="4676CFE5" w14:textId="77777777" w:rsidR="00FA2DA1" w:rsidRPr="00FE69BE" w:rsidRDefault="00FA2DA1" w:rsidP="00FA2DA1">
            <w:pPr>
              <w:spacing w:before="40" w:after="40"/>
              <w:jc w:val="center"/>
              <w:rPr>
                <w:rFonts w:cs="Times New Roman"/>
                <w:b/>
              </w:rPr>
            </w:pPr>
            <w:r w:rsidRPr="00FE69BE">
              <w:rPr>
                <w:rFonts w:eastAsia="Times New Roman" w:cs="Times New Roman"/>
                <w:color w:val="000000" w:themeColor="text1"/>
              </w:rPr>
              <w:tab/>
            </w:r>
            <w:r w:rsidRPr="00FE69BE">
              <w:rPr>
                <w:rFonts w:cs="Times New Roman"/>
                <w:b/>
              </w:rPr>
              <w:t>AIR QUALITY</w:t>
            </w:r>
          </w:p>
          <w:p w14:paraId="571256D6" w14:textId="77777777" w:rsidR="00FA2DA1" w:rsidRPr="00FE69BE" w:rsidRDefault="00FA2DA1" w:rsidP="00FA2DA1">
            <w:pPr>
              <w:spacing w:before="40" w:after="40"/>
              <w:rPr>
                <w:rFonts w:cs="Times New Roman"/>
              </w:rPr>
            </w:pPr>
            <w:r w:rsidRPr="00FE69BE">
              <w:rPr>
                <w:rFonts w:cs="Times New Roman"/>
              </w:rPr>
              <w:t xml:space="preserve">All new </w:t>
            </w:r>
            <w:proofErr w:type="gramStart"/>
            <w:r w:rsidRPr="00FE69BE">
              <w:rPr>
                <w:rFonts w:cs="Times New Roman"/>
              </w:rPr>
              <w:t>stationary</w:t>
            </w:r>
            <w:proofErr w:type="gramEnd"/>
            <w:r w:rsidRPr="00FE69BE">
              <w:rPr>
                <w:rFonts w:cs="Times New Roman"/>
              </w:rPr>
              <w:t xml:space="preserve"> and replacement internal combustion gas field engines of less than or equal to 300 design-rated horsepower shall not emit more than 2 grams of NO</w:t>
            </w:r>
            <w:r w:rsidRPr="00FE69BE">
              <w:rPr>
                <w:rFonts w:cs="Times New Roman"/>
                <w:vertAlign w:val="subscript"/>
              </w:rPr>
              <w:t>x</w:t>
            </w:r>
            <w:r w:rsidRPr="00FE69BE">
              <w:rPr>
                <w:rFonts w:cs="Times New Roman"/>
              </w:rPr>
              <w:t xml:space="preserve"> per horsepower-hour.</w:t>
            </w:r>
          </w:p>
          <w:p w14:paraId="759A36FE" w14:textId="77777777" w:rsidR="00FA2DA1" w:rsidRPr="00FE69BE" w:rsidRDefault="00FA2DA1" w:rsidP="00FA2DA1">
            <w:pPr>
              <w:spacing w:before="40" w:after="40"/>
              <w:rPr>
                <w:rFonts w:cs="Times New Roman"/>
              </w:rPr>
            </w:pPr>
            <w:r w:rsidRPr="00FE69BE">
              <w:rPr>
                <w:rFonts w:cs="Times New Roman"/>
                <w:b/>
              </w:rPr>
              <w:t>Exception:</w:t>
            </w:r>
            <w:r w:rsidRPr="00FE69BE">
              <w:rPr>
                <w:rFonts w:cs="Times New Roman"/>
              </w:rPr>
              <w:t xml:space="preserve"> This requirement does not apply to gas field engines of less than or equal to 40 design-rated horsepower.</w:t>
            </w:r>
          </w:p>
          <w:p w14:paraId="383C93A7" w14:textId="77777777" w:rsidR="00FA2DA1" w:rsidRPr="00FE69BE" w:rsidRDefault="00FA2DA1" w:rsidP="00FA2DA1">
            <w:pPr>
              <w:spacing w:before="40" w:after="40"/>
              <w:rPr>
                <w:rFonts w:cs="Times New Roman"/>
              </w:rPr>
            </w:pPr>
            <w:r w:rsidRPr="00FE69BE">
              <w:rPr>
                <w:rFonts w:cs="Times New Roman"/>
                <w:b/>
                <w:bCs/>
              </w:rPr>
              <w:t>Modification</w:t>
            </w:r>
            <w:r w:rsidRPr="00FE69BE">
              <w:rPr>
                <w:rFonts w:cs="Times New Roman"/>
              </w:rPr>
              <w:t>: None</w:t>
            </w:r>
          </w:p>
          <w:p w14:paraId="06F93E5F" w14:textId="77777777" w:rsidR="00FA2DA1" w:rsidRPr="00FE69BE" w:rsidRDefault="00FA2DA1" w:rsidP="00FA2DA1">
            <w:pPr>
              <w:spacing w:before="40" w:after="40"/>
              <w:rPr>
                <w:rFonts w:cs="Times New Roman"/>
              </w:rPr>
            </w:pPr>
            <w:r w:rsidRPr="00FE69BE">
              <w:rPr>
                <w:rFonts w:cs="Times New Roman"/>
                <w:b/>
                <w:bCs/>
              </w:rPr>
              <w:t>Waiver</w:t>
            </w:r>
            <w:r w:rsidRPr="00FE69BE">
              <w:rPr>
                <w:rFonts w:cs="Times New Roman"/>
              </w:rPr>
              <w:t>: None</w:t>
            </w:r>
          </w:p>
          <w:p w14:paraId="22DA67AE" w14:textId="77777777" w:rsidR="00FA2DA1" w:rsidRPr="00FE69BE" w:rsidRDefault="00FA2DA1" w:rsidP="00FA2DA1">
            <w:pPr>
              <w:spacing w:before="40" w:after="40"/>
              <w:rPr>
                <w:rFonts w:cs="Times New Roman"/>
                <w:b/>
              </w:rPr>
            </w:pPr>
            <w:r w:rsidRPr="00FE69BE">
              <w:rPr>
                <w:rFonts w:cs="Times New Roman"/>
                <w:b/>
              </w:rPr>
              <w:t>AND</w:t>
            </w:r>
          </w:p>
          <w:p w14:paraId="2FC83549" w14:textId="77777777" w:rsidR="00FA2DA1" w:rsidRPr="00FE69BE" w:rsidRDefault="00FA2DA1" w:rsidP="00FA2DA1">
            <w:pPr>
              <w:spacing w:before="40" w:after="40"/>
              <w:rPr>
                <w:rFonts w:cs="Times New Roman"/>
              </w:rPr>
            </w:pPr>
            <w:r w:rsidRPr="00FE69BE">
              <w:rPr>
                <w:rFonts w:cs="Times New Roman"/>
              </w:rPr>
              <w:t>All new and replacement internal combustion gas field engines of greater than 300 design rated horsepower must not emit more than 1.0 gram of NO</w:t>
            </w:r>
            <w:r w:rsidRPr="00FE69BE">
              <w:rPr>
                <w:rFonts w:cs="Times New Roman"/>
                <w:vertAlign w:val="subscript"/>
              </w:rPr>
              <w:t>x</w:t>
            </w:r>
            <w:r w:rsidRPr="00FE69BE">
              <w:rPr>
                <w:rFonts w:cs="Times New Roman"/>
              </w:rPr>
              <w:t xml:space="preserve"> per horsepower-hour.</w:t>
            </w:r>
          </w:p>
          <w:p w14:paraId="2EB0F867" w14:textId="77777777" w:rsidR="00FA2DA1" w:rsidRPr="00FE69BE" w:rsidRDefault="00FA2DA1" w:rsidP="00FA2DA1">
            <w:pPr>
              <w:spacing w:before="40" w:after="40"/>
              <w:rPr>
                <w:rFonts w:cs="Times New Roman"/>
              </w:rPr>
            </w:pPr>
            <w:r w:rsidRPr="00FE69BE">
              <w:rPr>
                <w:rFonts w:cs="Times New Roman"/>
                <w:b/>
              </w:rPr>
              <w:lastRenderedPageBreak/>
              <w:t>Exception</w:t>
            </w:r>
            <w:r w:rsidRPr="00FE69BE">
              <w:rPr>
                <w:rFonts w:cs="Times New Roman"/>
              </w:rPr>
              <w:t>: None</w:t>
            </w:r>
          </w:p>
          <w:p w14:paraId="56365AD0" w14:textId="77777777" w:rsidR="00FA2DA1" w:rsidRPr="00FE69BE" w:rsidRDefault="00FA2DA1" w:rsidP="00FA2DA1">
            <w:pPr>
              <w:spacing w:before="40" w:after="40"/>
              <w:rPr>
                <w:rFonts w:cs="Times New Roman"/>
              </w:rPr>
            </w:pPr>
            <w:r w:rsidRPr="00FE69BE">
              <w:rPr>
                <w:rFonts w:cs="Times New Roman"/>
                <w:b/>
              </w:rPr>
              <w:t>Modification</w:t>
            </w:r>
            <w:r w:rsidRPr="00FE69BE">
              <w:rPr>
                <w:rFonts w:cs="Times New Roman"/>
              </w:rPr>
              <w:t>: None</w:t>
            </w:r>
          </w:p>
          <w:p w14:paraId="7E9EF63A" w14:textId="7E46BDC4"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bCs/>
              </w:rPr>
              <w:t>Waiver</w:t>
            </w:r>
            <w:r w:rsidRPr="00FE69BE">
              <w:rPr>
                <w:rFonts w:cs="Times New Roman"/>
              </w:rPr>
              <w:t>: None</w:t>
            </w:r>
          </w:p>
        </w:tc>
      </w:tr>
      <w:tr w:rsidR="00FA2DA1" w14:paraId="63B4F028"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6B0F2DA5" w14:textId="763B1173"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lastRenderedPageBreak/>
              <w:t>UT-S-96</w:t>
            </w:r>
          </w:p>
        </w:tc>
        <w:tc>
          <w:tcPr>
            <w:tcW w:w="3781" w:type="pct"/>
            <w:tcBorders>
              <w:top w:val="single" w:sz="6" w:space="0" w:color="auto"/>
              <w:left w:val="single" w:sz="6" w:space="0" w:color="auto"/>
              <w:bottom w:val="single" w:sz="6" w:space="0" w:color="auto"/>
              <w:right w:val="single" w:sz="6" w:space="0" w:color="auto"/>
            </w:tcBorders>
          </w:tcPr>
          <w:p w14:paraId="26FBC087" w14:textId="77777777" w:rsidR="00FA2DA1" w:rsidRPr="00FE69BE" w:rsidRDefault="00FA2DA1" w:rsidP="00FA2DA1">
            <w:pPr>
              <w:pStyle w:val="TABLETEXTMONTEIS"/>
              <w:spacing w:before="40" w:after="40"/>
              <w:jc w:val="center"/>
              <w:rPr>
                <w:rFonts w:ascii="Times New Roman" w:hAnsi="Times New Roman"/>
                <w:b/>
                <w:sz w:val="22"/>
                <w:szCs w:val="22"/>
              </w:rPr>
            </w:pPr>
            <w:r w:rsidRPr="00FE69BE">
              <w:rPr>
                <w:rFonts w:ascii="Times New Roman" w:hAnsi="Times New Roman"/>
                <w:b/>
                <w:sz w:val="22"/>
                <w:szCs w:val="22"/>
              </w:rPr>
              <w:t>NO SURFACE OCCUPANCY – FRAGILE SOILS/SLOPES GREATER THAN 40%</w:t>
            </w:r>
          </w:p>
          <w:p w14:paraId="2315C9CB" w14:textId="77777777" w:rsidR="00FA2DA1" w:rsidRPr="00FE69BE" w:rsidRDefault="00FA2DA1" w:rsidP="00FA2DA1">
            <w:pPr>
              <w:pStyle w:val="TABLETEXTMONTEIS"/>
              <w:spacing w:before="40" w:after="40"/>
              <w:rPr>
                <w:rFonts w:ascii="Times New Roman" w:hAnsi="Times New Roman"/>
                <w:bCs/>
                <w:sz w:val="22"/>
                <w:szCs w:val="22"/>
              </w:rPr>
            </w:pPr>
            <w:r w:rsidRPr="00FE69BE">
              <w:rPr>
                <w:rFonts w:ascii="Times New Roman" w:hAnsi="Times New Roman"/>
                <w:bCs/>
                <w:sz w:val="22"/>
                <w:szCs w:val="22"/>
              </w:rPr>
              <w:t>No surface occupancy for slopes greater than 40 percent.</w:t>
            </w:r>
          </w:p>
          <w:p w14:paraId="15EB46EB"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bCs/>
                <w:sz w:val="22"/>
                <w:szCs w:val="22"/>
              </w:rPr>
              <w:t>Exception:</w:t>
            </w:r>
            <w:r w:rsidRPr="00FE69BE">
              <w:rPr>
                <w:rFonts w:ascii="Times New Roman" w:hAnsi="Times New Roman"/>
                <w:sz w:val="22"/>
                <w:szCs w:val="22"/>
              </w:rPr>
              <w:t xml:space="preserve"> If after an environment analysis the authorized officer determines that it would cause undue or unnecessary degradation to pursue other placement alternatives; surface occupancy in the NSO area may be authorized. </w:t>
            </w:r>
            <w:proofErr w:type="gramStart"/>
            <w:r w:rsidRPr="00FE69BE">
              <w:rPr>
                <w:rFonts w:ascii="Times New Roman" w:hAnsi="Times New Roman"/>
                <w:sz w:val="22"/>
                <w:szCs w:val="22"/>
              </w:rPr>
              <w:t>Additionally</w:t>
            </w:r>
            <w:proofErr w:type="gramEnd"/>
            <w:r w:rsidRPr="00FE69BE">
              <w:rPr>
                <w:rFonts w:ascii="Times New Roman" w:hAnsi="Times New Roman"/>
                <w:sz w:val="22"/>
                <w:szCs w:val="22"/>
              </w:rPr>
              <w:t xml:space="preserve"> a plan shall be submitted by the operator and approved by BLM prior to construction and maintenance and include:</w:t>
            </w:r>
          </w:p>
          <w:p w14:paraId="7E0C547F" w14:textId="77777777" w:rsidR="00FA2DA1" w:rsidRPr="00FE69BE" w:rsidRDefault="00FA2DA1" w:rsidP="00FA2DA1">
            <w:pPr>
              <w:pStyle w:val="TABLETEXTMONTEIS"/>
              <w:numPr>
                <w:ilvl w:val="0"/>
                <w:numId w:val="162"/>
              </w:numPr>
              <w:spacing w:before="40" w:after="40" w:line="240" w:lineRule="auto"/>
              <w:ind w:left="577"/>
              <w:rPr>
                <w:rFonts w:ascii="Times New Roman" w:hAnsi="Times New Roman"/>
                <w:sz w:val="22"/>
                <w:szCs w:val="22"/>
              </w:rPr>
            </w:pPr>
            <w:r w:rsidRPr="00FE69BE">
              <w:rPr>
                <w:rFonts w:ascii="Times New Roman" w:hAnsi="Times New Roman"/>
                <w:sz w:val="22"/>
                <w:szCs w:val="22"/>
              </w:rPr>
              <w:t xml:space="preserve">An erosion control </w:t>
            </w:r>
            <w:proofErr w:type="gramStart"/>
            <w:r w:rsidRPr="00FE69BE">
              <w:rPr>
                <w:rFonts w:ascii="Times New Roman" w:hAnsi="Times New Roman"/>
                <w:sz w:val="22"/>
                <w:szCs w:val="22"/>
              </w:rPr>
              <w:t>strategy;</w:t>
            </w:r>
            <w:proofErr w:type="gramEnd"/>
          </w:p>
          <w:p w14:paraId="3A129601" w14:textId="77777777" w:rsidR="00FA2DA1" w:rsidRPr="00FE69BE" w:rsidRDefault="00FA2DA1" w:rsidP="00FA2DA1">
            <w:pPr>
              <w:pStyle w:val="TABLETEXTMONTEIS"/>
              <w:numPr>
                <w:ilvl w:val="0"/>
                <w:numId w:val="162"/>
              </w:numPr>
              <w:spacing w:before="40" w:after="40" w:line="240" w:lineRule="auto"/>
              <w:ind w:left="577"/>
              <w:rPr>
                <w:rFonts w:ascii="Times New Roman" w:hAnsi="Times New Roman"/>
                <w:sz w:val="22"/>
                <w:szCs w:val="22"/>
              </w:rPr>
            </w:pPr>
            <w:r w:rsidRPr="00FE69BE">
              <w:rPr>
                <w:rFonts w:ascii="Times New Roman" w:hAnsi="Times New Roman"/>
                <w:sz w:val="22"/>
                <w:szCs w:val="22"/>
              </w:rPr>
              <w:t xml:space="preserve">GIS </w:t>
            </w:r>
            <w:proofErr w:type="gramStart"/>
            <w:r w:rsidRPr="00FE69BE">
              <w:rPr>
                <w:rFonts w:ascii="Times New Roman" w:hAnsi="Times New Roman"/>
                <w:sz w:val="22"/>
                <w:szCs w:val="22"/>
              </w:rPr>
              <w:t>modeling;</w:t>
            </w:r>
            <w:proofErr w:type="gramEnd"/>
          </w:p>
          <w:p w14:paraId="76118697" w14:textId="77777777" w:rsidR="00FA2DA1" w:rsidRPr="00FE69BE" w:rsidRDefault="00FA2DA1" w:rsidP="00FA2DA1">
            <w:pPr>
              <w:pStyle w:val="TABLETEXTMONTEIS"/>
              <w:numPr>
                <w:ilvl w:val="0"/>
                <w:numId w:val="162"/>
              </w:numPr>
              <w:spacing w:before="40" w:after="40" w:line="240" w:lineRule="auto"/>
              <w:ind w:left="577"/>
              <w:rPr>
                <w:rFonts w:ascii="Times New Roman" w:hAnsi="Times New Roman"/>
                <w:sz w:val="22"/>
                <w:szCs w:val="22"/>
              </w:rPr>
            </w:pPr>
            <w:r w:rsidRPr="00FE69BE">
              <w:rPr>
                <w:rFonts w:ascii="Times New Roman" w:hAnsi="Times New Roman"/>
                <w:sz w:val="22"/>
                <w:szCs w:val="22"/>
              </w:rPr>
              <w:t>Proper survey and design by a certified engineer.</w:t>
            </w:r>
          </w:p>
          <w:p w14:paraId="19655415"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bCs/>
                <w:sz w:val="22"/>
                <w:szCs w:val="22"/>
              </w:rPr>
              <w:t>Modification:</w:t>
            </w:r>
            <w:r w:rsidRPr="00FE69BE">
              <w:rPr>
                <w:rFonts w:ascii="Times New Roman" w:hAnsi="Times New Roman"/>
                <w:sz w:val="22"/>
                <w:szCs w:val="22"/>
              </w:rPr>
              <w:t xml:space="preserve"> Modifications also may be granted if a more detailed analysis, i.e. Order I, soil survey conducted by a qualified soil scientist finds that surface disturbance activities could occur on slopes greater than 40% while adequately protecting the area from accelerated erosion.</w:t>
            </w:r>
          </w:p>
          <w:p w14:paraId="4056F9AB" w14:textId="5F575B9B"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rPr>
              <w:t>Waiver</w:t>
            </w:r>
            <w:r w:rsidRPr="00FE69BE">
              <w:rPr>
                <w:rFonts w:cs="Times New Roman"/>
              </w:rPr>
              <w:t>: None</w:t>
            </w:r>
          </w:p>
        </w:tc>
      </w:tr>
      <w:tr w:rsidR="00FA2DA1" w14:paraId="6647F8A2"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016D87C3" w14:textId="28785BFF"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t>UT-S-99</w:t>
            </w:r>
          </w:p>
        </w:tc>
        <w:tc>
          <w:tcPr>
            <w:tcW w:w="3781" w:type="pct"/>
            <w:tcBorders>
              <w:top w:val="single" w:sz="6" w:space="0" w:color="auto"/>
              <w:left w:val="single" w:sz="6" w:space="0" w:color="auto"/>
              <w:bottom w:val="single" w:sz="6" w:space="0" w:color="auto"/>
              <w:right w:val="single" w:sz="6" w:space="0" w:color="auto"/>
            </w:tcBorders>
          </w:tcPr>
          <w:p w14:paraId="11CE5043" w14:textId="77777777" w:rsidR="00FA2DA1" w:rsidRPr="00FE69BE" w:rsidRDefault="00FA2DA1" w:rsidP="00FA2DA1">
            <w:pPr>
              <w:pStyle w:val="TABLETEXTMONTEIS"/>
              <w:spacing w:before="40" w:after="40"/>
              <w:jc w:val="center"/>
              <w:rPr>
                <w:rFonts w:ascii="Times New Roman" w:hAnsi="Times New Roman"/>
                <w:b/>
                <w:sz w:val="22"/>
                <w:szCs w:val="22"/>
              </w:rPr>
            </w:pPr>
            <w:r w:rsidRPr="00FE69BE">
              <w:rPr>
                <w:rFonts w:ascii="Times New Roman" w:hAnsi="Times New Roman"/>
                <w:b/>
                <w:sz w:val="22"/>
                <w:szCs w:val="22"/>
              </w:rPr>
              <w:t>CONTROLLED SURFACE USE</w:t>
            </w:r>
            <w:r w:rsidRPr="00FE69BE">
              <w:rPr>
                <w:rFonts w:ascii="Times New Roman" w:hAnsi="Times New Roman"/>
                <w:b/>
                <w:color w:val="000000"/>
                <w:sz w:val="22"/>
                <w:szCs w:val="22"/>
              </w:rPr>
              <w:t xml:space="preserve"> </w:t>
            </w:r>
            <w:r w:rsidRPr="00FE69BE">
              <w:rPr>
                <w:rFonts w:ascii="Times New Roman" w:hAnsi="Times New Roman"/>
                <w:b/>
                <w:sz w:val="22"/>
                <w:szCs w:val="22"/>
              </w:rPr>
              <w:t>– FRAGILE SOILS/SLOPES</w:t>
            </w:r>
          </w:p>
          <w:p w14:paraId="32E9E113" w14:textId="77777777" w:rsidR="00FA2DA1" w:rsidRPr="00FE69BE" w:rsidRDefault="00FA2DA1" w:rsidP="00FA2DA1">
            <w:pPr>
              <w:pStyle w:val="TABLETEXTMONTEIS"/>
              <w:spacing w:before="40" w:after="40"/>
              <w:rPr>
                <w:rFonts w:ascii="Times New Roman" w:hAnsi="Times New Roman"/>
                <w:b/>
                <w:sz w:val="22"/>
                <w:szCs w:val="22"/>
              </w:rPr>
            </w:pPr>
            <w:r w:rsidRPr="00FE69BE">
              <w:rPr>
                <w:rFonts w:ascii="Times New Roman" w:hAnsi="Times New Roman"/>
                <w:sz w:val="22"/>
                <w:szCs w:val="22"/>
              </w:rPr>
              <w:t>The surface operating standards for oil and gas exploration and development (Gold Book) shall be used as a guide for surface-disturbing proposals on steep slopes/hillsides.</w:t>
            </w:r>
          </w:p>
          <w:p w14:paraId="516C5B5C"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sz w:val="22"/>
                <w:szCs w:val="22"/>
              </w:rPr>
              <w:t>Exception</w:t>
            </w:r>
            <w:r w:rsidRPr="00FE69BE">
              <w:rPr>
                <w:rFonts w:ascii="Times New Roman" w:hAnsi="Times New Roman"/>
                <w:sz w:val="22"/>
                <w:szCs w:val="22"/>
              </w:rPr>
              <w:t>: None</w:t>
            </w:r>
          </w:p>
          <w:p w14:paraId="44F9C0DF"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sz w:val="22"/>
                <w:szCs w:val="22"/>
              </w:rPr>
              <w:t>Modification</w:t>
            </w:r>
            <w:r w:rsidRPr="00FE69BE">
              <w:rPr>
                <w:rFonts w:ascii="Times New Roman" w:hAnsi="Times New Roman"/>
                <w:sz w:val="22"/>
                <w:szCs w:val="22"/>
              </w:rPr>
              <w:t>: None</w:t>
            </w:r>
          </w:p>
          <w:p w14:paraId="61FDF25E" w14:textId="3C690CCB"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bCs/>
              </w:rPr>
              <w:t>Waiver</w:t>
            </w:r>
            <w:r w:rsidRPr="00FE69BE">
              <w:rPr>
                <w:rFonts w:cs="Times New Roman"/>
              </w:rPr>
              <w:t>: None</w:t>
            </w:r>
          </w:p>
        </w:tc>
      </w:tr>
      <w:tr w:rsidR="00FA2DA1" w14:paraId="201213C9"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5748DCC0" w14:textId="3B20F3D1"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t>UT-S-100</w:t>
            </w:r>
          </w:p>
        </w:tc>
        <w:tc>
          <w:tcPr>
            <w:tcW w:w="3781" w:type="pct"/>
            <w:tcBorders>
              <w:top w:val="single" w:sz="6" w:space="0" w:color="auto"/>
              <w:left w:val="single" w:sz="6" w:space="0" w:color="auto"/>
              <w:bottom w:val="single" w:sz="6" w:space="0" w:color="auto"/>
              <w:right w:val="single" w:sz="6" w:space="0" w:color="auto"/>
            </w:tcBorders>
          </w:tcPr>
          <w:p w14:paraId="56AC2672" w14:textId="77777777" w:rsidR="00FA2DA1" w:rsidRPr="00FE69BE" w:rsidRDefault="00FA2DA1" w:rsidP="00FA2DA1">
            <w:pPr>
              <w:pStyle w:val="TABLETEXTMONTEIS"/>
              <w:spacing w:before="40" w:after="40"/>
              <w:jc w:val="center"/>
              <w:rPr>
                <w:rFonts w:ascii="Times New Roman" w:hAnsi="Times New Roman"/>
                <w:b/>
                <w:sz w:val="22"/>
                <w:szCs w:val="22"/>
              </w:rPr>
            </w:pPr>
            <w:r w:rsidRPr="00FE69BE">
              <w:rPr>
                <w:rFonts w:ascii="Times New Roman" w:hAnsi="Times New Roman"/>
                <w:b/>
                <w:sz w:val="22"/>
                <w:szCs w:val="22"/>
              </w:rPr>
              <w:t>CONTROLLED SURFACE USE</w:t>
            </w:r>
            <w:r w:rsidRPr="00FE69BE">
              <w:rPr>
                <w:rFonts w:ascii="Times New Roman" w:hAnsi="Times New Roman"/>
                <w:b/>
                <w:color w:val="000000"/>
                <w:sz w:val="22"/>
                <w:szCs w:val="22"/>
              </w:rPr>
              <w:t xml:space="preserve"> </w:t>
            </w:r>
            <w:r w:rsidRPr="00FE69BE">
              <w:rPr>
                <w:rFonts w:ascii="Times New Roman" w:hAnsi="Times New Roman"/>
                <w:b/>
                <w:sz w:val="22"/>
                <w:szCs w:val="22"/>
              </w:rPr>
              <w:t>– FRAGILE SOILS/SLOPES (21%-40%)</w:t>
            </w:r>
          </w:p>
          <w:p w14:paraId="254BD95A"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sz w:val="22"/>
                <w:szCs w:val="22"/>
              </w:rPr>
              <w:t xml:space="preserve">If surface-disturbing activities cannot be avoided on slopes from 21-40% a plan will be required. The plan will </w:t>
            </w:r>
            <w:proofErr w:type="gramStart"/>
            <w:r w:rsidRPr="00FE69BE">
              <w:rPr>
                <w:rFonts w:ascii="Times New Roman" w:hAnsi="Times New Roman"/>
                <w:sz w:val="22"/>
                <w:szCs w:val="22"/>
              </w:rPr>
              <w:t>approved</w:t>
            </w:r>
            <w:proofErr w:type="gramEnd"/>
            <w:r w:rsidRPr="00FE69BE">
              <w:rPr>
                <w:rFonts w:ascii="Times New Roman" w:hAnsi="Times New Roman"/>
                <w:sz w:val="22"/>
                <w:szCs w:val="22"/>
              </w:rPr>
              <w:t xml:space="preserve"> by BLM prior to construction and maintenance and include:</w:t>
            </w:r>
          </w:p>
          <w:p w14:paraId="69DE27C9" w14:textId="77777777" w:rsidR="00FA2DA1" w:rsidRPr="00FE69BE" w:rsidRDefault="00FA2DA1" w:rsidP="00FA2DA1">
            <w:pPr>
              <w:pStyle w:val="TABLETEXTMONTEIS"/>
              <w:numPr>
                <w:ilvl w:val="0"/>
                <w:numId w:val="163"/>
              </w:numPr>
              <w:spacing w:before="40" w:after="40" w:line="240" w:lineRule="auto"/>
              <w:ind w:left="577"/>
              <w:rPr>
                <w:rFonts w:ascii="Times New Roman" w:hAnsi="Times New Roman"/>
                <w:sz w:val="22"/>
                <w:szCs w:val="22"/>
              </w:rPr>
            </w:pPr>
            <w:r w:rsidRPr="00FE69BE">
              <w:rPr>
                <w:rFonts w:ascii="Times New Roman" w:hAnsi="Times New Roman"/>
                <w:sz w:val="22"/>
                <w:szCs w:val="22"/>
              </w:rPr>
              <w:t xml:space="preserve">An erosion control </w:t>
            </w:r>
            <w:proofErr w:type="gramStart"/>
            <w:r w:rsidRPr="00FE69BE">
              <w:rPr>
                <w:rFonts w:ascii="Times New Roman" w:hAnsi="Times New Roman"/>
                <w:sz w:val="22"/>
                <w:szCs w:val="22"/>
              </w:rPr>
              <w:t>strategy;</w:t>
            </w:r>
            <w:proofErr w:type="gramEnd"/>
          </w:p>
          <w:p w14:paraId="0AA93EE9" w14:textId="77777777" w:rsidR="00FA2DA1" w:rsidRPr="00FE69BE" w:rsidRDefault="00FA2DA1" w:rsidP="00FA2DA1">
            <w:pPr>
              <w:pStyle w:val="TABLETEXTMONTEIS"/>
              <w:numPr>
                <w:ilvl w:val="0"/>
                <w:numId w:val="163"/>
              </w:numPr>
              <w:spacing w:before="40" w:after="40" w:line="240" w:lineRule="auto"/>
              <w:ind w:left="577"/>
              <w:rPr>
                <w:rFonts w:ascii="Times New Roman" w:hAnsi="Times New Roman"/>
                <w:sz w:val="22"/>
                <w:szCs w:val="22"/>
              </w:rPr>
            </w:pPr>
            <w:r w:rsidRPr="00FE69BE">
              <w:rPr>
                <w:rFonts w:ascii="Times New Roman" w:hAnsi="Times New Roman"/>
                <w:sz w:val="22"/>
                <w:szCs w:val="22"/>
              </w:rPr>
              <w:t xml:space="preserve">GIS </w:t>
            </w:r>
            <w:proofErr w:type="gramStart"/>
            <w:r w:rsidRPr="00FE69BE">
              <w:rPr>
                <w:rFonts w:ascii="Times New Roman" w:hAnsi="Times New Roman"/>
                <w:sz w:val="22"/>
                <w:szCs w:val="22"/>
              </w:rPr>
              <w:t>modeling;</w:t>
            </w:r>
            <w:proofErr w:type="gramEnd"/>
          </w:p>
          <w:p w14:paraId="19DF31E9" w14:textId="77777777" w:rsidR="00FA2DA1" w:rsidRPr="00FE69BE" w:rsidRDefault="00FA2DA1" w:rsidP="00FA2DA1">
            <w:pPr>
              <w:pStyle w:val="TABLETEXTMONTEIS"/>
              <w:numPr>
                <w:ilvl w:val="0"/>
                <w:numId w:val="163"/>
              </w:numPr>
              <w:spacing w:before="40" w:after="40" w:line="240" w:lineRule="auto"/>
              <w:ind w:left="577"/>
              <w:rPr>
                <w:rFonts w:ascii="Times New Roman" w:hAnsi="Times New Roman"/>
                <w:sz w:val="22"/>
                <w:szCs w:val="22"/>
              </w:rPr>
            </w:pPr>
            <w:r w:rsidRPr="00FE69BE">
              <w:rPr>
                <w:rFonts w:ascii="Times New Roman" w:hAnsi="Times New Roman"/>
                <w:sz w:val="22"/>
                <w:szCs w:val="22"/>
              </w:rPr>
              <w:t>Proper survey and design by a certified engineer.</w:t>
            </w:r>
          </w:p>
          <w:p w14:paraId="228A7324"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sz w:val="22"/>
                <w:szCs w:val="22"/>
              </w:rPr>
              <w:t>Exception</w:t>
            </w:r>
            <w:r w:rsidRPr="00FE69BE">
              <w:rPr>
                <w:rFonts w:ascii="Times New Roman" w:hAnsi="Times New Roman"/>
                <w:sz w:val="22"/>
                <w:szCs w:val="22"/>
              </w:rPr>
              <w:t>: None</w:t>
            </w:r>
          </w:p>
          <w:p w14:paraId="346FE819"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sz w:val="22"/>
                <w:szCs w:val="22"/>
              </w:rPr>
              <w:t>Modification</w:t>
            </w:r>
            <w:r w:rsidRPr="00FE69BE">
              <w:rPr>
                <w:rFonts w:ascii="Times New Roman" w:hAnsi="Times New Roman"/>
                <w:sz w:val="22"/>
                <w:szCs w:val="22"/>
              </w:rPr>
              <w:t>: None</w:t>
            </w:r>
          </w:p>
          <w:p w14:paraId="21499CD3" w14:textId="4427CD84"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bCs/>
              </w:rPr>
              <w:t>Waiver</w:t>
            </w:r>
            <w:r w:rsidRPr="00FE69BE">
              <w:rPr>
                <w:rFonts w:cs="Times New Roman"/>
              </w:rPr>
              <w:t>: None</w:t>
            </w:r>
          </w:p>
        </w:tc>
      </w:tr>
      <w:tr w:rsidR="00FA2DA1" w14:paraId="1F490EAE"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2B60FB96" w14:textId="644E23E4"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t>UT-S-123</w:t>
            </w:r>
          </w:p>
        </w:tc>
        <w:tc>
          <w:tcPr>
            <w:tcW w:w="3781" w:type="pct"/>
            <w:tcBorders>
              <w:top w:val="single" w:sz="6" w:space="0" w:color="auto"/>
              <w:left w:val="single" w:sz="6" w:space="0" w:color="auto"/>
              <w:bottom w:val="single" w:sz="6" w:space="0" w:color="auto"/>
              <w:right w:val="single" w:sz="6" w:space="0" w:color="auto"/>
            </w:tcBorders>
          </w:tcPr>
          <w:p w14:paraId="2509407E" w14:textId="77777777" w:rsidR="00FA2DA1" w:rsidRPr="00FE69BE" w:rsidRDefault="00FA2DA1" w:rsidP="00FA2DA1">
            <w:pPr>
              <w:pStyle w:val="TABLETEXTMONTEIS"/>
              <w:spacing w:before="40" w:after="40"/>
              <w:jc w:val="center"/>
              <w:rPr>
                <w:rFonts w:ascii="Times New Roman" w:hAnsi="Times New Roman"/>
                <w:b/>
                <w:sz w:val="22"/>
                <w:szCs w:val="22"/>
              </w:rPr>
            </w:pPr>
            <w:r w:rsidRPr="00FE69BE">
              <w:rPr>
                <w:rFonts w:ascii="Times New Roman" w:hAnsi="Times New Roman"/>
                <w:b/>
                <w:color w:val="000000"/>
                <w:sz w:val="22"/>
                <w:szCs w:val="22"/>
              </w:rPr>
              <w:t xml:space="preserve">NO SURFACE OCCUPANCY – </w:t>
            </w:r>
            <w:r w:rsidRPr="00FE69BE">
              <w:rPr>
                <w:rFonts w:ascii="Times New Roman" w:hAnsi="Times New Roman"/>
                <w:b/>
                <w:sz w:val="22"/>
                <w:szCs w:val="22"/>
              </w:rPr>
              <w:t>RIPARIAN, FLOODPLAINS, AND PUBLIC WATER RESERVES</w:t>
            </w:r>
          </w:p>
          <w:p w14:paraId="6EFBDBB1"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sz w:val="22"/>
                <w:szCs w:val="22"/>
              </w:rPr>
              <w:lastRenderedPageBreak/>
              <w:t>No new surface-disturbing activities are allowed within active flood plains, wetlands, public water reserves, or 100 meters of riparian areas. Keep construction of new stream crossings to a minimum.</w:t>
            </w:r>
          </w:p>
          <w:p w14:paraId="4F27FECD"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bCs/>
                <w:sz w:val="22"/>
                <w:szCs w:val="22"/>
              </w:rPr>
              <w:t>Exception:</w:t>
            </w:r>
            <w:r w:rsidRPr="00FE69BE">
              <w:rPr>
                <w:rFonts w:ascii="Times New Roman" w:hAnsi="Times New Roman"/>
                <w:sz w:val="22"/>
                <w:szCs w:val="22"/>
              </w:rPr>
              <w:t xml:space="preserve"> An exception could be authorized if: (a) there are no practical alternatives (b) impacts could be fully mitigated, or (c) the action is designed to enhance the riparian resources.</w:t>
            </w:r>
          </w:p>
          <w:p w14:paraId="4C66CEB8"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sz w:val="22"/>
                <w:szCs w:val="22"/>
              </w:rPr>
              <w:t>Modification</w:t>
            </w:r>
            <w:r w:rsidRPr="00FE69BE">
              <w:rPr>
                <w:rFonts w:ascii="Times New Roman" w:hAnsi="Times New Roman"/>
                <w:sz w:val="22"/>
                <w:szCs w:val="22"/>
              </w:rPr>
              <w:t>: None</w:t>
            </w:r>
          </w:p>
          <w:p w14:paraId="42A06B81" w14:textId="1F15574A"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rPr>
              <w:t>Waiver</w:t>
            </w:r>
            <w:r w:rsidRPr="00FE69BE">
              <w:rPr>
                <w:rFonts w:cs="Times New Roman"/>
              </w:rPr>
              <w:t>: None</w:t>
            </w:r>
          </w:p>
        </w:tc>
      </w:tr>
      <w:tr w:rsidR="00FA2DA1" w14:paraId="4F80AE6F"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6A509803" w14:textId="5B532011"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lastRenderedPageBreak/>
              <w:t>UT-S-157</w:t>
            </w:r>
          </w:p>
        </w:tc>
        <w:tc>
          <w:tcPr>
            <w:tcW w:w="3781" w:type="pct"/>
            <w:tcBorders>
              <w:top w:val="single" w:sz="6" w:space="0" w:color="auto"/>
              <w:left w:val="single" w:sz="6" w:space="0" w:color="auto"/>
              <w:bottom w:val="single" w:sz="6" w:space="0" w:color="auto"/>
              <w:right w:val="single" w:sz="6" w:space="0" w:color="auto"/>
            </w:tcBorders>
          </w:tcPr>
          <w:p w14:paraId="10F5DB36" w14:textId="77777777" w:rsidR="00FA2DA1" w:rsidRPr="00FE69BE" w:rsidRDefault="00FA2DA1" w:rsidP="00FA2DA1">
            <w:pPr>
              <w:pStyle w:val="TABLETEXTMONTEIS"/>
              <w:tabs>
                <w:tab w:val="left" w:pos="1548"/>
                <w:tab w:val="left" w:pos="3708"/>
                <w:tab w:val="left" w:pos="5236"/>
              </w:tabs>
              <w:spacing w:before="40" w:after="40"/>
              <w:jc w:val="center"/>
              <w:rPr>
                <w:rFonts w:ascii="Times New Roman" w:hAnsi="Times New Roman"/>
                <w:b/>
                <w:bCs/>
                <w:color w:val="000000"/>
                <w:sz w:val="22"/>
                <w:szCs w:val="22"/>
              </w:rPr>
            </w:pPr>
            <w:r w:rsidRPr="00FE69BE">
              <w:rPr>
                <w:rFonts w:ascii="Times New Roman" w:hAnsi="Times New Roman"/>
                <w:b/>
                <w:sz w:val="22"/>
                <w:szCs w:val="22"/>
              </w:rPr>
              <w:t>NO SURFACE OCCUPANCY/CONTROLLED SURFACE USE/TIMING LIMITATION</w:t>
            </w:r>
            <w:r w:rsidRPr="00FE69BE">
              <w:rPr>
                <w:rFonts w:ascii="Times New Roman" w:hAnsi="Times New Roman"/>
                <w:b/>
                <w:color w:val="000000"/>
                <w:sz w:val="22"/>
                <w:szCs w:val="22"/>
              </w:rPr>
              <w:t xml:space="preserve"> </w:t>
            </w:r>
            <w:r w:rsidRPr="00FE69BE">
              <w:rPr>
                <w:rFonts w:ascii="Times New Roman" w:hAnsi="Times New Roman"/>
                <w:b/>
                <w:sz w:val="22"/>
                <w:szCs w:val="22"/>
              </w:rPr>
              <w:t xml:space="preserve">– </w:t>
            </w:r>
            <w:r w:rsidRPr="00FE69BE">
              <w:rPr>
                <w:rFonts w:ascii="Times New Roman" w:hAnsi="Times New Roman"/>
                <w:b/>
                <w:bCs/>
                <w:color w:val="000000"/>
                <w:sz w:val="22"/>
                <w:szCs w:val="22"/>
              </w:rPr>
              <w:t>VISUAL RESOURCES</w:t>
            </w:r>
          </w:p>
          <w:p w14:paraId="42E768C7"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sz w:val="22"/>
                <w:szCs w:val="22"/>
              </w:rPr>
              <w:t>Visual resource management activities will comply with BLM Handbook 8410-1.</w:t>
            </w:r>
          </w:p>
          <w:p w14:paraId="42AB830B"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sz w:val="22"/>
                <w:szCs w:val="22"/>
              </w:rPr>
              <w:t>Within VRM Class I areas, very limited management activity will be allowed, with the objective of preserving the existing character of the landscape, allowing for natural ecological changes. The level of change to the landscape should be very low and shall not attract attention.</w:t>
            </w:r>
          </w:p>
          <w:p w14:paraId="48CF144A"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sz w:val="22"/>
                <w:szCs w:val="22"/>
              </w:rPr>
              <w:t xml:space="preserve">Within VRM Class II areas, surface-disturbing activities will retain the existing character of the landscape. The level of change to the landscape should be low. Management activities may be </w:t>
            </w:r>
            <w:proofErr w:type="gramStart"/>
            <w:r w:rsidRPr="00FE69BE">
              <w:rPr>
                <w:rFonts w:ascii="Times New Roman" w:hAnsi="Times New Roman"/>
                <w:sz w:val="22"/>
                <w:szCs w:val="22"/>
              </w:rPr>
              <w:t>seen, but</w:t>
            </w:r>
            <w:proofErr w:type="gramEnd"/>
            <w:r w:rsidRPr="00FE69BE">
              <w:rPr>
                <w:rFonts w:ascii="Times New Roman" w:hAnsi="Times New Roman"/>
                <w:sz w:val="22"/>
                <w:szCs w:val="22"/>
              </w:rPr>
              <w:t xml:space="preserve"> should not attract the attention of the casual observer. Any change to the landscape shall repeat the basic elements of form, line, </w:t>
            </w:r>
            <w:proofErr w:type="gramStart"/>
            <w:r w:rsidRPr="00FE69BE">
              <w:rPr>
                <w:rFonts w:ascii="Times New Roman" w:hAnsi="Times New Roman"/>
                <w:sz w:val="22"/>
                <w:szCs w:val="22"/>
              </w:rPr>
              <w:t>color</w:t>
            </w:r>
            <w:proofErr w:type="gramEnd"/>
            <w:r w:rsidRPr="00FE69BE">
              <w:rPr>
                <w:rFonts w:ascii="Times New Roman" w:hAnsi="Times New Roman"/>
                <w:sz w:val="22"/>
                <w:szCs w:val="22"/>
              </w:rPr>
              <w:t xml:space="preserve"> and texture found in the predominant natural features of the characteristic landscape.</w:t>
            </w:r>
          </w:p>
          <w:p w14:paraId="4B4A25D0"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sz w:val="22"/>
                <w:szCs w:val="22"/>
              </w:rPr>
              <w:t xml:space="preserve">Within VRM Class III areas, surface disturbing activities will partially retain the existing character of the landscape. The allowable level of change will be moderate, may attract attention, but should not dominate the view of the casual observer. Landscape changes should repeat the basic elements of form, line, </w:t>
            </w:r>
            <w:proofErr w:type="gramStart"/>
            <w:r w:rsidRPr="00FE69BE">
              <w:rPr>
                <w:rFonts w:ascii="Times New Roman" w:hAnsi="Times New Roman"/>
                <w:sz w:val="22"/>
                <w:szCs w:val="22"/>
              </w:rPr>
              <w:t>color</w:t>
            </w:r>
            <w:proofErr w:type="gramEnd"/>
            <w:r w:rsidRPr="00FE69BE">
              <w:rPr>
                <w:rFonts w:ascii="Times New Roman" w:hAnsi="Times New Roman"/>
                <w:sz w:val="22"/>
                <w:szCs w:val="22"/>
              </w:rPr>
              <w:t xml:space="preserve"> and texture found in the predominant natural features of the characteristic landscape.</w:t>
            </w:r>
          </w:p>
          <w:p w14:paraId="7699689D"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sz w:val="22"/>
                <w:szCs w:val="22"/>
              </w:rPr>
              <w:t>Within VRM Class IV areas, surface disturbing activities are allowed to dominate the view and the major focus of viewer attention. Major modifications to the existing character of the landscape are allowed. But every attempt should be made to minimize and mitigate the impacts.</w:t>
            </w:r>
          </w:p>
          <w:p w14:paraId="764F36E2"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b/>
                <w:sz w:val="22"/>
                <w:szCs w:val="22"/>
              </w:rPr>
              <w:t>Exception:</w:t>
            </w:r>
            <w:r w:rsidRPr="00FE69BE">
              <w:rPr>
                <w:rFonts w:ascii="Times New Roman" w:hAnsi="Times New Roman"/>
                <w:sz w:val="22"/>
                <w:szCs w:val="22"/>
              </w:rPr>
              <w:t xml:space="preserve"> Exempted are recognized utility corridors.</w:t>
            </w:r>
          </w:p>
          <w:p w14:paraId="57F97303" w14:textId="77777777" w:rsidR="00FA2DA1" w:rsidRPr="00FE69BE" w:rsidRDefault="00FA2DA1" w:rsidP="00FA2DA1">
            <w:pPr>
              <w:pStyle w:val="TABLETEXTMONTEIS"/>
              <w:tabs>
                <w:tab w:val="left" w:pos="1548"/>
                <w:tab w:val="left" w:pos="3708"/>
                <w:tab w:val="left" w:pos="5236"/>
              </w:tabs>
              <w:spacing w:before="40" w:after="40"/>
              <w:rPr>
                <w:rFonts w:ascii="Times New Roman" w:hAnsi="Times New Roman"/>
                <w:sz w:val="22"/>
                <w:szCs w:val="22"/>
              </w:rPr>
            </w:pPr>
            <w:r w:rsidRPr="00FE69BE">
              <w:rPr>
                <w:rFonts w:ascii="Times New Roman" w:hAnsi="Times New Roman"/>
                <w:b/>
                <w:sz w:val="22"/>
                <w:szCs w:val="22"/>
              </w:rPr>
              <w:t>Modification:</w:t>
            </w:r>
            <w:r w:rsidRPr="00FE69BE">
              <w:rPr>
                <w:rFonts w:ascii="Times New Roman" w:hAnsi="Times New Roman"/>
                <w:sz w:val="22"/>
                <w:szCs w:val="22"/>
              </w:rPr>
              <w:t xml:space="preserve"> None</w:t>
            </w:r>
          </w:p>
          <w:p w14:paraId="30E4AAFE" w14:textId="17BE1E1F"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rPr>
              <w:t xml:space="preserve">Waiver: </w:t>
            </w:r>
            <w:r w:rsidRPr="00FE69BE">
              <w:rPr>
                <w:rFonts w:cs="Times New Roman"/>
              </w:rPr>
              <w:t>None</w:t>
            </w:r>
          </w:p>
        </w:tc>
      </w:tr>
      <w:tr w:rsidR="00FA2DA1" w14:paraId="6D2C004D"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1406E783" w14:textId="43608C80"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t>UT-S-261</w:t>
            </w:r>
          </w:p>
        </w:tc>
        <w:tc>
          <w:tcPr>
            <w:tcW w:w="3781" w:type="pct"/>
            <w:tcBorders>
              <w:top w:val="single" w:sz="6" w:space="0" w:color="auto"/>
              <w:left w:val="single" w:sz="6" w:space="0" w:color="auto"/>
              <w:bottom w:val="single" w:sz="6" w:space="0" w:color="auto"/>
              <w:right w:val="single" w:sz="6" w:space="0" w:color="auto"/>
            </w:tcBorders>
          </w:tcPr>
          <w:p w14:paraId="68C329DE" w14:textId="77777777" w:rsidR="00FA2DA1" w:rsidRPr="00FE69BE" w:rsidRDefault="00FA2DA1" w:rsidP="00FA2DA1">
            <w:pPr>
              <w:pStyle w:val="TABLETEXTMONTEIS"/>
              <w:spacing w:before="40" w:after="40"/>
              <w:jc w:val="center"/>
              <w:rPr>
                <w:rFonts w:ascii="Times New Roman" w:hAnsi="Times New Roman"/>
                <w:b/>
                <w:sz w:val="22"/>
                <w:szCs w:val="22"/>
              </w:rPr>
            </w:pPr>
            <w:r w:rsidRPr="00FE69BE">
              <w:rPr>
                <w:rFonts w:ascii="Times New Roman" w:hAnsi="Times New Roman"/>
                <w:b/>
                <w:sz w:val="22"/>
                <w:szCs w:val="22"/>
              </w:rPr>
              <w:t>TIMING LIMITATION – RAPTOR BUFFERS</w:t>
            </w:r>
          </w:p>
          <w:p w14:paraId="222A2AE7"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sz w:val="22"/>
                <w:szCs w:val="22"/>
              </w:rPr>
              <w:t xml:space="preserve">Raptor management will be guided </w:t>
            </w:r>
            <w:proofErr w:type="gramStart"/>
            <w:r w:rsidRPr="00FE69BE">
              <w:rPr>
                <w:rFonts w:ascii="Times New Roman" w:hAnsi="Times New Roman"/>
                <w:sz w:val="22"/>
                <w:szCs w:val="22"/>
              </w:rPr>
              <w:t>by the use of</w:t>
            </w:r>
            <w:proofErr w:type="gramEnd"/>
            <w:r w:rsidRPr="00FE69BE">
              <w:rPr>
                <w:rFonts w:ascii="Times New Roman" w:hAnsi="Times New Roman"/>
                <w:sz w:val="22"/>
                <w:szCs w:val="22"/>
              </w:rPr>
              <w:t xml:space="preserve"> "Best Management Practices for Raptors and Their Associated Habitats in Utah" (Utah BLM, 2006, Appendix A), utilizing seasonal and spatial buffers, as well as mitigation, to maintain and enhance raptor nesting and foraging habitat, while allowing other resource uses.</w:t>
            </w:r>
          </w:p>
          <w:p w14:paraId="46BCA00E" w14:textId="77777777" w:rsidR="00FA2DA1" w:rsidRPr="00FE69BE" w:rsidRDefault="00FA2DA1" w:rsidP="00FA2DA1">
            <w:pPr>
              <w:pStyle w:val="TABLETEXTMONTEIS"/>
              <w:spacing w:before="40" w:after="40"/>
              <w:rPr>
                <w:rFonts w:ascii="Times New Roman" w:hAnsi="Times New Roman"/>
                <w:b/>
                <w:bCs/>
                <w:sz w:val="22"/>
                <w:szCs w:val="22"/>
              </w:rPr>
            </w:pPr>
            <w:r w:rsidRPr="00FE69BE">
              <w:rPr>
                <w:rFonts w:ascii="Times New Roman" w:hAnsi="Times New Roman"/>
                <w:b/>
                <w:sz w:val="22"/>
                <w:szCs w:val="22"/>
              </w:rPr>
              <w:t>Exception</w:t>
            </w:r>
            <w:r w:rsidRPr="00FE69BE">
              <w:rPr>
                <w:rFonts w:ascii="Times New Roman" w:hAnsi="Times New Roman"/>
                <w:bCs/>
                <w:sz w:val="22"/>
                <w:szCs w:val="22"/>
              </w:rPr>
              <w:t>: None</w:t>
            </w:r>
          </w:p>
          <w:p w14:paraId="4D552582" w14:textId="77777777" w:rsidR="00FA2DA1" w:rsidRPr="00FE69BE" w:rsidRDefault="00FA2DA1" w:rsidP="00FA2DA1">
            <w:pPr>
              <w:pStyle w:val="TABLETEXTMONTEIS"/>
              <w:spacing w:before="40" w:after="40"/>
              <w:rPr>
                <w:rFonts w:ascii="Times New Roman" w:hAnsi="Times New Roman"/>
                <w:sz w:val="22"/>
                <w:szCs w:val="22"/>
              </w:rPr>
            </w:pPr>
            <w:r w:rsidRPr="00FE69BE">
              <w:rPr>
                <w:rFonts w:ascii="Times New Roman" w:hAnsi="Times New Roman"/>
                <w:b/>
                <w:bCs/>
                <w:sz w:val="22"/>
                <w:szCs w:val="22"/>
              </w:rPr>
              <w:lastRenderedPageBreak/>
              <w:t>Mo</w:t>
            </w:r>
            <w:r w:rsidRPr="00FE69BE">
              <w:rPr>
                <w:rFonts w:ascii="Times New Roman" w:hAnsi="Times New Roman"/>
                <w:b/>
                <w:sz w:val="22"/>
                <w:szCs w:val="22"/>
              </w:rPr>
              <w:t>dification</w:t>
            </w:r>
            <w:r w:rsidRPr="00FE69BE">
              <w:rPr>
                <w:rFonts w:ascii="Times New Roman" w:hAnsi="Times New Roman"/>
                <w:sz w:val="22"/>
                <w:szCs w:val="22"/>
              </w:rPr>
              <w:t>: Criteria that would need to be met, prior to implementing modifications to the spatial and seasonal buffers in the “</w:t>
            </w:r>
            <w:r w:rsidRPr="00FE69BE">
              <w:rPr>
                <w:rFonts w:ascii="Times New Roman" w:hAnsi="Times New Roman"/>
                <w:i/>
                <w:iCs/>
                <w:sz w:val="22"/>
                <w:szCs w:val="22"/>
              </w:rPr>
              <w:t>Raptor BMPs”,</w:t>
            </w:r>
            <w:r w:rsidRPr="00FE69BE">
              <w:rPr>
                <w:rFonts w:ascii="Times New Roman" w:hAnsi="Times New Roman"/>
                <w:sz w:val="22"/>
                <w:szCs w:val="22"/>
              </w:rPr>
              <w:t xml:space="preserve"> would include the following:</w:t>
            </w:r>
          </w:p>
          <w:p w14:paraId="568CBFB2" w14:textId="77777777" w:rsidR="00FA2DA1" w:rsidRPr="00FE69BE" w:rsidRDefault="00FA2DA1" w:rsidP="00FA2DA1">
            <w:pPr>
              <w:pStyle w:val="TABLETEXTMONTEIS"/>
              <w:numPr>
                <w:ilvl w:val="0"/>
                <w:numId w:val="164"/>
              </w:numPr>
              <w:spacing w:before="40" w:after="40" w:line="240" w:lineRule="auto"/>
              <w:ind w:left="481"/>
              <w:rPr>
                <w:rFonts w:ascii="Times New Roman" w:hAnsi="Times New Roman"/>
                <w:sz w:val="22"/>
                <w:szCs w:val="22"/>
              </w:rPr>
            </w:pPr>
            <w:r w:rsidRPr="00FE69BE">
              <w:rPr>
                <w:rFonts w:ascii="Times New Roman" w:hAnsi="Times New Roman"/>
                <w:sz w:val="22"/>
                <w:szCs w:val="22"/>
              </w:rPr>
              <w:t>Completion of a site-specific assessment by a wildlife biologist or other qualified individual. See example (Attachment 1 of the Raptor BMPs in Appendix A)</w:t>
            </w:r>
          </w:p>
          <w:p w14:paraId="70A2F6D6" w14:textId="77777777" w:rsidR="00FA2DA1" w:rsidRPr="00FE69BE" w:rsidRDefault="00FA2DA1" w:rsidP="00FA2DA1">
            <w:pPr>
              <w:pStyle w:val="TABLETEXTMONTEIS"/>
              <w:numPr>
                <w:ilvl w:val="0"/>
                <w:numId w:val="164"/>
              </w:numPr>
              <w:spacing w:before="40" w:after="40" w:line="240" w:lineRule="auto"/>
              <w:ind w:left="481"/>
              <w:rPr>
                <w:rFonts w:ascii="Times New Roman" w:hAnsi="Times New Roman"/>
                <w:sz w:val="22"/>
                <w:szCs w:val="22"/>
              </w:rPr>
            </w:pPr>
            <w:r w:rsidRPr="00FE69BE">
              <w:rPr>
                <w:rFonts w:ascii="Times New Roman" w:hAnsi="Times New Roman"/>
                <w:sz w:val="22"/>
                <w:szCs w:val="22"/>
              </w:rPr>
              <w:t xml:space="preserve">Written documentation by the BLM Field Office Wildlife Biologist, identifying the proposed modification and affirming that implementation of the proposed modification(s) would not affect nest success or the suitability of the site for future nesting. Modification of the </w:t>
            </w:r>
            <w:r w:rsidRPr="00FE69BE">
              <w:rPr>
                <w:rFonts w:ascii="Times New Roman" w:hAnsi="Times New Roman"/>
                <w:i/>
                <w:iCs/>
                <w:sz w:val="22"/>
                <w:szCs w:val="22"/>
              </w:rPr>
              <w:t>“</w:t>
            </w:r>
            <w:r w:rsidRPr="00FE69BE">
              <w:rPr>
                <w:rFonts w:ascii="Times New Roman" w:hAnsi="Times New Roman"/>
                <w:iCs/>
                <w:sz w:val="22"/>
                <w:szCs w:val="22"/>
              </w:rPr>
              <w:t>BMPs</w:t>
            </w:r>
            <w:r w:rsidRPr="00FE69BE">
              <w:rPr>
                <w:rFonts w:ascii="Times New Roman" w:hAnsi="Times New Roman"/>
                <w:i/>
                <w:iCs/>
                <w:sz w:val="22"/>
                <w:szCs w:val="22"/>
              </w:rPr>
              <w:t>”</w:t>
            </w:r>
            <w:r w:rsidRPr="00FE69BE">
              <w:rPr>
                <w:rFonts w:ascii="Times New Roman" w:hAnsi="Times New Roman"/>
                <w:sz w:val="22"/>
                <w:szCs w:val="22"/>
              </w:rPr>
              <w:t xml:space="preserve"> would not be recommended if it is determined that adverse impacts to nesting raptors would occur or that the suitability of the site for future nesting would be compromised.</w:t>
            </w:r>
          </w:p>
          <w:p w14:paraId="36E47484" w14:textId="77777777" w:rsidR="00FA2DA1" w:rsidRPr="00FE69BE" w:rsidRDefault="00FA2DA1" w:rsidP="00FA2DA1">
            <w:pPr>
              <w:pStyle w:val="TABLETEXTMONTEIS"/>
              <w:numPr>
                <w:ilvl w:val="0"/>
                <w:numId w:val="164"/>
              </w:numPr>
              <w:spacing w:before="40" w:after="40" w:line="240" w:lineRule="auto"/>
              <w:ind w:left="481"/>
              <w:rPr>
                <w:rFonts w:ascii="Times New Roman" w:hAnsi="Times New Roman"/>
                <w:sz w:val="22"/>
                <w:szCs w:val="22"/>
              </w:rPr>
            </w:pPr>
            <w:r w:rsidRPr="00FE69BE">
              <w:rPr>
                <w:rFonts w:ascii="Times New Roman" w:hAnsi="Times New Roman"/>
                <w:sz w:val="22"/>
                <w:szCs w:val="22"/>
              </w:rPr>
              <w:t xml:space="preserve">Development of a monitoring and mitigation strategy by a BLM biologist, or other raptor biologist. Impacts of authorized activities would be documented to determine if the modifications were implemented as described in the environmental documentation or Conditions of </w:t>
            </w:r>
            <w:proofErr w:type="gramStart"/>
            <w:r w:rsidRPr="00FE69BE">
              <w:rPr>
                <w:rFonts w:ascii="Times New Roman" w:hAnsi="Times New Roman"/>
                <w:sz w:val="22"/>
                <w:szCs w:val="22"/>
              </w:rPr>
              <w:t>Approval, and</w:t>
            </w:r>
            <w:proofErr w:type="gramEnd"/>
            <w:r w:rsidRPr="00FE69BE">
              <w:rPr>
                <w:rFonts w:ascii="Times New Roman" w:hAnsi="Times New Roman"/>
                <w:sz w:val="22"/>
                <w:szCs w:val="22"/>
              </w:rPr>
              <w:t xml:space="preserve"> were adequate to protect the nest site. Should adverse impacts be identified during monitoring of an activity, BLM would follow an appropriate course of action, which may include cessation or modification of activities that would avoid, </w:t>
            </w:r>
            <w:proofErr w:type="gramStart"/>
            <w:r w:rsidRPr="00FE69BE">
              <w:rPr>
                <w:rFonts w:ascii="Times New Roman" w:hAnsi="Times New Roman"/>
                <w:sz w:val="22"/>
                <w:szCs w:val="22"/>
              </w:rPr>
              <w:t>minimize</w:t>
            </w:r>
            <w:proofErr w:type="gramEnd"/>
            <w:r w:rsidRPr="00FE69BE">
              <w:rPr>
                <w:rFonts w:ascii="Times New Roman" w:hAnsi="Times New Roman"/>
                <w:sz w:val="22"/>
                <w:szCs w:val="22"/>
              </w:rPr>
              <w:t xml:space="preserve"> or mitigate the impact, or, with the approval of UDWR and the USFWS, BLM could allow the activity to continue while requiring monitoring to determine the full impact of the activity on the affected raptor nest. A monitoring report would be completed and forwarded to UDWR for incorporation into the Natural Heritage Program (NHP) raptor database.</w:t>
            </w:r>
          </w:p>
          <w:p w14:paraId="67EC3EA4" w14:textId="7556C0B2"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b/>
              </w:rPr>
              <w:t>Waiver</w:t>
            </w:r>
            <w:r w:rsidRPr="00FE69BE">
              <w:rPr>
                <w:rFonts w:cs="Times New Roman"/>
              </w:rPr>
              <w:t>: None</w:t>
            </w:r>
          </w:p>
        </w:tc>
      </w:tr>
      <w:tr w:rsidR="00FA2DA1" w14:paraId="57AD2854" w14:textId="77777777" w:rsidTr="00893F07">
        <w:trPr>
          <w:trHeight w:val="300"/>
        </w:trPr>
        <w:tc>
          <w:tcPr>
            <w:tcW w:w="1219" w:type="pct"/>
            <w:tcBorders>
              <w:top w:val="single" w:sz="6" w:space="0" w:color="auto"/>
              <w:left w:val="single" w:sz="6" w:space="0" w:color="auto"/>
              <w:bottom w:val="single" w:sz="6" w:space="0" w:color="auto"/>
              <w:right w:val="single" w:sz="6" w:space="0" w:color="auto"/>
            </w:tcBorders>
          </w:tcPr>
          <w:p w14:paraId="56305F63" w14:textId="1C2B5737" w:rsidR="00FA2DA1" w:rsidRPr="00A91DD7" w:rsidRDefault="00FA2DA1" w:rsidP="00FA2DA1">
            <w:pPr>
              <w:pStyle w:val="TableTextLeft"/>
              <w:rPr>
                <w:rFonts w:ascii="Times New Roman" w:hAnsi="Times New Roman"/>
                <w:b/>
                <w:bCs/>
                <w:sz w:val="22"/>
                <w:szCs w:val="22"/>
              </w:rPr>
            </w:pPr>
            <w:r w:rsidRPr="00FE69BE">
              <w:rPr>
                <w:rFonts w:ascii="Times New Roman" w:hAnsi="Times New Roman"/>
                <w:b/>
                <w:bCs/>
                <w:color w:val="000000" w:themeColor="text1"/>
                <w:sz w:val="22"/>
                <w:szCs w:val="22"/>
              </w:rPr>
              <w:t>UT-S-316 Material Site Rights-of-Way</w:t>
            </w:r>
          </w:p>
        </w:tc>
        <w:tc>
          <w:tcPr>
            <w:tcW w:w="3781" w:type="pct"/>
            <w:tcBorders>
              <w:top w:val="single" w:sz="6" w:space="0" w:color="auto"/>
              <w:left w:val="single" w:sz="6" w:space="0" w:color="auto"/>
              <w:bottom w:val="single" w:sz="6" w:space="0" w:color="auto"/>
              <w:right w:val="single" w:sz="6" w:space="0" w:color="auto"/>
            </w:tcBorders>
          </w:tcPr>
          <w:p w14:paraId="45BD97D8" w14:textId="77777777" w:rsidR="00FA2DA1" w:rsidRPr="00FE69BE" w:rsidRDefault="00FA2DA1" w:rsidP="00FA2DA1">
            <w:pPr>
              <w:spacing w:before="40" w:after="40"/>
              <w:jc w:val="center"/>
              <w:rPr>
                <w:rFonts w:cs="Times New Roman"/>
                <w:b/>
              </w:rPr>
            </w:pPr>
            <w:r w:rsidRPr="00FE69BE">
              <w:rPr>
                <w:rFonts w:cs="Times New Roman"/>
                <w:b/>
              </w:rPr>
              <w:t>MATERIAL SITE RIGHTS-OF-WAY:</w:t>
            </w:r>
          </w:p>
          <w:p w14:paraId="15772285" w14:textId="77777777" w:rsidR="00FA2DA1" w:rsidRPr="00FE69BE" w:rsidRDefault="00FA2DA1" w:rsidP="00FA2DA1">
            <w:pPr>
              <w:spacing w:before="40" w:after="40"/>
              <w:rPr>
                <w:rFonts w:cs="Times New Roman"/>
              </w:rPr>
            </w:pPr>
            <w:r w:rsidRPr="00FE69BE">
              <w:rPr>
                <w:rFonts w:cs="Times New Roman"/>
              </w:rPr>
              <w:t>Lessee shall conduct operations in conformity with the following requirements:</w:t>
            </w:r>
          </w:p>
          <w:p w14:paraId="1674151F" w14:textId="77777777" w:rsidR="00FA2DA1" w:rsidRPr="00FE69BE" w:rsidRDefault="00FA2DA1" w:rsidP="00FA2DA1">
            <w:pPr>
              <w:pStyle w:val="ListParagraph"/>
              <w:numPr>
                <w:ilvl w:val="0"/>
                <w:numId w:val="165"/>
              </w:numPr>
              <w:spacing w:before="40" w:after="40"/>
              <w:ind w:left="473"/>
              <w:contextualSpacing/>
              <w:rPr>
                <w:rFonts w:cs="Times New Roman"/>
              </w:rPr>
            </w:pPr>
            <w:r w:rsidRPr="00FE69BE">
              <w:rPr>
                <w:rFonts w:cs="Times New Roman"/>
              </w:rPr>
              <w:t>The Utah State Department of Highways will have unrestricted rights of ingress of the property.</w:t>
            </w:r>
          </w:p>
          <w:p w14:paraId="7E5B00B4" w14:textId="77777777" w:rsidR="00FA2DA1" w:rsidRPr="00FE69BE" w:rsidRDefault="00FA2DA1" w:rsidP="00FA2DA1">
            <w:pPr>
              <w:pStyle w:val="ListParagraph"/>
              <w:numPr>
                <w:ilvl w:val="0"/>
                <w:numId w:val="165"/>
              </w:numPr>
              <w:spacing w:before="40" w:after="40"/>
              <w:ind w:left="473"/>
              <w:contextualSpacing/>
              <w:rPr>
                <w:rFonts w:cs="Times New Roman"/>
              </w:rPr>
            </w:pPr>
            <w:r w:rsidRPr="00FE69BE">
              <w:rPr>
                <w:rFonts w:cs="Times New Roman"/>
              </w:rPr>
              <w:t>The lease will not conflict with the right of the Utah State Department of Highways to remove any road-building materials from the property.</w:t>
            </w:r>
          </w:p>
          <w:p w14:paraId="18C84FE1" w14:textId="0436ED4F" w:rsidR="00FA2DA1" w:rsidRPr="00FA2DA1" w:rsidRDefault="00FA2DA1" w:rsidP="00FA2DA1">
            <w:pPr>
              <w:widowControl w:val="0"/>
              <w:tabs>
                <w:tab w:val="center" w:pos="4680"/>
              </w:tabs>
              <w:spacing w:before="40" w:after="40"/>
              <w:rPr>
                <w:rFonts w:eastAsia="Times New Roman" w:cs="Times New Roman"/>
                <w:b/>
                <w:bCs/>
                <w:color w:val="000000" w:themeColor="text1"/>
              </w:rPr>
            </w:pPr>
            <w:r w:rsidRPr="00FE69BE">
              <w:rPr>
                <w:rFonts w:cs="Times New Roman"/>
              </w:rPr>
              <w:t>The Utah State Department of Highways reserves the right to set up, operate, and maintain such facilities as are reasonable to expedite the removal, production, and use of the materials; and the lessee shall not interfere with the Highway Department's use of the property for such purposes.</w:t>
            </w:r>
          </w:p>
        </w:tc>
      </w:tr>
      <w:tr w:rsidR="00FA2DA1" w14:paraId="345383CB"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20FC4F73" w14:textId="77777777" w:rsidR="00FA2DA1" w:rsidRDefault="00FA2DA1" w:rsidP="00FA2DA1">
            <w:pPr>
              <w:pStyle w:val="TableTextLeft"/>
              <w:rPr>
                <w:rFonts w:ascii="Times New Roman" w:hAnsi="Times New Roman"/>
                <w:b/>
                <w:bCs/>
                <w:sz w:val="22"/>
                <w:szCs w:val="22"/>
              </w:rPr>
            </w:pPr>
            <w:r w:rsidRPr="38A4DAB7">
              <w:rPr>
                <w:rFonts w:ascii="Times New Roman" w:hAnsi="Times New Roman"/>
                <w:b/>
                <w:bCs/>
                <w:sz w:val="22"/>
                <w:szCs w:val="22"/>
              </w:rPr>
              <w:t>UT-LN-13</w:t>
            </w:r>
          </w:p>
        </w:tc>
        <w:tc>
          <w:tcPr>
            <w:tcW w:w="3781" w:type="pct"/>
            <w:tcBorders>
              <w:top w:val="single" w:sz="6" w:space="0" w:color="auto"/>
              <w:left w:val="single" w:sz="6" w:space="0" w:color="auto"/>
              <w:bottom w:val="single" w:sz="6" w:space="0" w:color="auto"/>
              <w:right w:val="single" w:sz="6" w:space="0" w:color="auto"/>
            </w:tcBorders>
            <w:vAlign w:val="center"/>
          </w:tcPr>
          <w:p w14:paraId="0A80B4D7" w14:textId="77777777" w:rsidR="00FA2DA1" w:rsidRDefault="00FA2DA1" w:rsidP="00FA2DA1">
            <w:pPr>
              <w:widowControl w:val="0"/>
              <w:tabs>
                <w:tab w:val="center" w:pos="4680"/>
              </w:tabs>
              <w:spacing w:before="40" w:after="40"/>
              <w:rPr>
                <w:rFonts w:eastAsia="Times New Roman" w:cs="Times New Roman"/>
                <w:color w:val="000000" w:themeColor="text1"/>
              </w:rPr>
            </w:pPr>
            <w:r w:rsidRPr="3D9EDA3D">
              <w:rPr>
                <w:rFonts w:eastAsia="Times New Roman" w:cs="Times New Roman"/>
                <w:b/>
                <w:bCs/>
                <w:color w:val="000000" w:themeColor="text1"/>
              </w:rPr>
              <w:t>PRONGHORN WINTER HABITAT</w:t>
            </w:r>
          </w:p>
          <w:p w14:paraId="06A64937" w14:textId="77777777" w:rsidR="00FA2DA1" w:rsidRDefault="00FA2DA1" w:rsidP="00FA2DA1">
            <w:pPr>
              <w:widowControl w:val="0"/>
              <w:tabs>
                <w:tab w:val="left" w:pos="720"/>
              </w:tabs>
              <w:spacing w:before="40" w:after="40"/>
              <w:rPr>
                <w:rFonts w:eastAsia="Times New Roman" w:cs="Times New Roman"/>
                <w:color w:val="000000" w:themeColor="text1"/>
              </w:rPr>
            </w:pPr>
            <w:r w:rsidRPr="3D9EDA3D">
              <w:rPr>
                <w:rFonts w:eastAsia="Times New Roman" w:cs="Times New Roman"/>
                <w:color w:val="000000" w:themeColor="text1"/>
              </w:rPr>
              <w:t xml:space="preserve">The lessee/operator is given notice that lands in this lease have been identified as containing crucial pronghorn winter habitat. Surface use or otherwise disruptive activity may be restricted for up to 60 days during pronghorn fawning season, as determined by BLM, including exploration, </w:t>
            </w:r>
            <w:proofErr w:type="gramStart"/>
            <w:r w:rsidRPr="3D9EDA3D">
              <w:rPr>
                <w:rFonts w:eastAsia="Times New Roman" w:cs="Times New Roman"/>
                <w:color w:val="000000" w:themeColor="text1"/>
              </w:rPr>
              <w:t>drilling</w:t>
            </w:r>
            <w:proofErr w:type="gramEnd"/>
            <w:r w:rsidRPr="3D9EDA3D">
              <w:rPr>
                <w:rFonts w:eastAsia="Times New Roman" w:cs="Times New Roman"/>
                <w:color w:val="000000" w:themeColor="text1"/>
              </w:rPr>
              <w:t xml:space="preserve"> and other development activities. Modifications may be required in the Surface Use Plan of Operations including seasonal timing restrictions to protect the species and its habitat.</w:t>
            </w:r>
          </w:p>
        </w:tc>
      </w:tr>
      <w:tr w:rsidR="00FA2DA1" w14:paraId="0A16EDE8"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02F3E129" w14:textId="77777777" w:rsidR="00FA2DA1" w:rsidRDefault="00FA2DA1" w:rsidP="00FA2DA1">
            <w:pPr>
              <w:pStyle w:val="TableTextLeft"/>
              <w:rPr>
                <w:rFonts w:ascii="Times New Roman" w:hAnsi="Times New Roman"/>
                <w:b/>
                <w:bCs/>
                <w:sz w:val="22"/>
                <w:szCs w:val="22"/>
              </w:rPr>
            </w:pPr>
            <w:r w:rsidRPr="38A4DAB7">
              <w:rPr>
                <w:rFonts w:ascii="Times New Roman" w:hAnsi="Times New Roman"/>
                <w:b/>
                <w:bCs/>
                <w:sz w:val="22"/>
                <w:szCs w:val="22"/>
              </w:rPr>
              <w:lastRenderedPageBreak/>
              <w:t>UT-LN-14</w:t>
            </w:r>
          </w:p>
        </w:tc>
        <w:tc>
          <w:tcPr>
            <w:tcW w:w="3781" w:type="pct"/>
            <w:tcBorders>
              <w:top w:val="single" w:sz="6" w:space="0" w:color="auto"/>
              <w:left w:val="single" w:sz="6" w:space="0" w:color="auto"/>
              <w:bottom w:val="single" w:sz="6" w:space="0" w:color="auto"/>
              <w:right w:val="single" w:sz="6" w:space="0" w:color="auto"/>
            </w:tcBorders>
            <w:vAlign w:val="center"/>
          </w:tcPr>
          <w:p w14:paraId="61119046" w14:textId="77777777" w:rsidR="00FA2DA1" w:rsidRDefault="00FA2DA1" w:rsidP="00FA2DA1">
            <w:pPr>
              <w:widowControl w:val="0"/>
              <w:tabs>
                <w:tab w:val="center" w:pos="4680"/>
              </w:tabs>
              <w:spacing w:before="40" w:after="40"/>
              <w:rPr>
                <w:rFonts w:eastAsia="Times New Roman" w:cs="Times New Roman"/>
                <w:color w:val="000000" w:themeColor="text1"/>
              </w:rPr>
            </w:pPr>
            <w:r w:rsidRPr="3D9EDA3D">
              <w:rPr>
                <w:rFonts w:eastAsia="Times New Roman" w:cs="Times New Roman"/>
                <w:b/>
                <w:bCs/>
                <w:color w:val="000000" w:themeColor="text1"/>
              </w:rPr>
              <w:t>PRONGHORN FAWNING HABITAT</w:t>
            </w:r>
          </w:p>
          <w:p w14:paraId="79D8B7FA" w14:textId="281EC972" w:rsidR="00FA2DA1" w:rsidRDefault="00FA2DA1" w:rsidP="00FA2DA1">
            <w:pPr>
              <w:widowControl w:val="0"/>
              <w:tabs>
                <w:tab w:val="left" w:pos="720"/>
              </w:tabs>
              <w:spacing w:before="40" w:after="40"/>
              <w:rPr>
                <w:rFonts w:eastAsia="Times New Roman" w:cs="Times New Roman"/>
                <w:color w:val="000000" w:themeColor="text1"/>
              </w:rPr>
            </w:pPr>
            <w:r w:rsidRPr="3D9EDA3D">
              <w:rPr>
                <w:rFonts w:eastAsia="Times New Roman" w:cs="Times New Roman"/>
                <w:color w:val="000000" w:themeColor="text1"/>
              </w:rPr>
              <w:t>The lessee/operator is given notice that this lease has been identified as containing crucial pronghorn fawning habitat. Surface use or otherwise disruptive activity may be restricted for up to 60 days during pronghorn fawning season, as determined by BLM within identified crucial/important pronghorn fawning habitat from disruptive activity. Modifications to the Surface Use Plan of Operations may be required in accordance with section 6 of the lease terms and 43</w:t>
            </w:r>
            <w:r>
              <w:rPr>
                <w:rFonts w:eastAsia="Times New Roman" w:cs="Times New Roman"/>
                <w:color w:val="000000" w:themeColor="text1"/>
              </w:rPr>
              <w:t xml:space="preserve"> </w:t>
            </w:r>
            <w:r w:rsidRPr="3D9EDA3D">
              <w:rPr>
                <w:rFonts w:eastAsia="Times New Roman" w:cs="Times New Roman"/>
                <w:color w:val="000000" w:themeColor="text1"/>
              </w:rPr>
              <w:t>CFR</w:t>
            </w:r>
            <w:r>
              <w:rPr>
                <w:rFonts w:eastAsia="Times New Roman" w:cs="Times New Roman"/>
                <w:color w:val="000000" w:themeColor="text1"/>
              </w:rPr>
              <w:t xml:space="preserve"> </w:t>
            </w:r>
            <w:r w:rsidRPr="3D9EDA3D">
              <w:rPr>
                <w:rFonts w:eastAsia="Times New Roman" w:cs="Times New Roman"/>
                <w:color w:val="000000" w:themeColor="text1"/>
              </w:rPr>
              <w:t>3101.1-2.</w:t>
            </w:r>
          </w:p>
        </w:tc>
      </w:tr>
      <w:tr w:rsidR="00FA2DA1" w14:paraId="7FA20A4C"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2CB188F7" w14:textId="77777777" w:rsidR="00FA2DA1" w:rsidRDefault="00FA2DA1" w:rsidP="00FA2DA1">
            <w:pPr>
              <w:pStyle w:val="TableTextLeft"/>
              <w:rPr>
                <w:rFonts w:ascii="Times New Roman" w:hAnsi="Times New Roman"/>
                <w:b/>
                <w:bCs/>
                <w:sz w:val="22"/>
                <w:szCs w:val="22"/>
              </w:rPr>
            </w:pPr>
            <w:r w:rsidRPr="4F14BDD8">
              <w:rPr>
                <w:rFonts w:ascii="Times New Roman" w:hAnsi="Times New Roman"/>
                <w:b/>
                <w:bCs/>
                <w:sz w:val="22"/>
                <w:szCs w:val="22"/>
              </w:rPr>
              <w:t>UT-LN-25</w:t>
            </w:r>
          </w:p>
        </w:tc>
        <w:tc>
          <w:tcPr>
            <w:tcW w:w="3781" w:type="pct"/>
            <w:tcBorders>
              <w:top w:val="single" w:sz="6" w:space="0" w:color="auto"/>
              <w:left w:val="single" w:sz="6" w:space="0" w:color="auto"/>
              <w:bottom w:val="single" w:sz="6" w:space="0" w:color="auto"/>
              <w:right w:val="single" w:sz="6" w:space="0" w:color="auto"/>
            </w:tcBorders>
            <w:vAlign w:val="center"/>
          </w:tcPr>
          <w:p w14:paraId="31E04199" w14:textId="77777777" w:rsidR="00FA2DA1" w:rsidRDefault="00FA2DA1" w:rsidP="00FA2DA1">
            <w:pPr>
              <w:spacing w:before="40" w:after="40"/>
              <w:rPr>
                <w:rFonts w:eastAsia="Times New Roman" w:cs="Times New Roman"/>
                <w:color w:val="000000" w:themeColor="text1"/>
              </w:rPr>
            </w:pPr>
            <w:r w:rsidRPr="4F14BDD8">
              <w:rPr>
                <w:rFonts w:eastAsia="Times New Roman" w:cs="Times New Roman"/>
                <w:b/>
                <w:bCs/>
                <w:color w:val="000000" w:themeColor="text1"/>
              </w:rPr>
              <w:t>WHITE-TAILED AND GUNNISON PRAIRIE DOG</w:t>
            </w:r>
          </w:p>
          <w:p w14:paraId="03416A92" w14:textId="77777777" w:rsidR="00FA2DA1" w:rsidRDefault="00FA2DA1" w:rsidP="00FA2DA1">
            <w:pPr>
              <w:spacing w:before="40" w:after="40"/>
              <w:rPr>
                <w:rFonts w:eastAsia="Times New Roman" w:cs="Times New Roman"/>
                <w:color w:val="000000" w:themeColor="text1"/>
              </w:rPr>
            </w:pPr>
            <w:r w:rsidRPr="4F14BDD8">
              <w:rPr>
                <w:rFonts w:eastAsia="Times New Roman" w:cs="Times New Roman"/>
                <w:color w:val="000000" w:themeColor="text1"/>
              </w:rPr>
              <w:t xml:space="preserve">The lessee/operator is given notice that this lease parcel has been identified as containing white-tailed or Gunnison prairie dog habitat. Modifications to the Surface Use Plan of Operations may be required </w:t>
            </w:r>
            <w:proofErr w:type="gramStart"/>
            <w:r w:rsidRPr="4F14BDD8">
              <w:rPr>
                <w:rFonts w:eastAsia="Times New Roman" w:cs="Times New Roman"/>
                <w:color w:val="000000" w:themeColor="text1"/>
              </w:rPr>
              <w:t>in order to</w:t>
            </w:r>
            <w:proofErr w:type="gramEnd"/>
            <w:r w:rsidRPr="4F14BDD8">
              <w:rPr>
                <w:rFonts w:eastAsia="Times New Roman" w:cs="Times New Roman"/>
                <w:color w:val="000000" w:themeColor="text1"/>
              </w:rPr>
              <w:t xml:space="preserve"> protect white-tailed or Gunnison prairie dog from surface disturbing activities in accordance with the Endangered Species Act and 43 CFR 3101.1-2.</w:t>
            </w:r>
          </w:p>
        </w:tc>
      </w:tr>
      <w:tr w:rsidR="00FA2DA1" w14:paraId="033FA7C1"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06720CB6"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t>UT-LN-44 </w:t>
            </w:r>
          </w:p>
        </w:tc>
        <w:tc>
          <w:tcPr>
            <w:tcW w:w="3781" w:type="pct"/>
            <w:tcBorders>
              <w:top w:val="single" w:sz="6" w:space="0" w:color="auto"/>
              <w:left w:val="single" w:sz="6" w:space="0" w:color="auto"/>
              <w:bottom w:val="single" w:sz="6" w:space="0" w:color="auto"/>
              <w:right w:val="single" w:sz="6" w:space="0" w:color="auto"/>
            </w:tcBorders>
            <w:vAlign w:val="center"/>
          </w:tcPr>
          <w:p w14:paraId="605E5956" w14:textId="77777777" w:rsidR="00FA2DA1" w:rsidRPr="006B0693" w:rsidRDefault="00FA2DA1" w:rsidP="00FA2DA1">
            <w:pPr>
              <w:pStyle w:val="TableTextLeft"/>
              <w:spacing w:before="40" w:after="40"/>
              <w:rPr>
                <w:rFonts w:ascii="Times New Roman" w:hAnsi="Times New Roman"/>
                <w:b/>
                <w:sz w:val="22"/>
                <w:szCs w:val="22"/>
              </w:rPr>
            </w:pPr>
            <w:r w:rsidRPr="006B0693">
              <w:rPr>
                <w:rFonts w:ascii="Times New Roman" w:hAnsi="Times New Roman"/>
                <w:b/>
                <w:sz w:val="22"/>
                <w:szCs w:val="22"/>
              </w:rPr>
              <w:t>RAPTORS </w:t>
            </w:r>
          </w:p>
          <w:p w14:paraId="1E96336D" w14:textId="77777777" w:rsidR="00FA2DA1" w:rsidRPr="006B0693" w:rsidRDefault="00FA2DA1" w:rsidP="00FA2DA1">
            <w:pPr>
              <w:pStyle w:val="TableTextLeft"/>
              <w:spacing w:before="40" w:after="40"/>
              <w:rPr>
                <w:rFonts w:ascii="Times New Roman" w:hAnsi="Times New Roman"/>
                <w:sz w:val="22"/>
                <w:szCs w:val="22"/>
              </w:rPr>
            </w:pPr>
            <w:r w:rsidRPr="006B0693">
              <w:rPr>
                <w:rFonts w:ascii="Times New Roman" w:hAnsi="Times New Roman"/>
                <w:sz w:val="22"/>
                <w:szCs w:val="22"/>
              </w:rPr>
              <w:t xml:space="preserve">Appropriate seasonal and spatial buffers shall be placed on all known raptor nests in accordance with Utah Field Office Guidelines for Raptor Protection from Human and Land use Disturbances (USFWS 2002) and Best Management Practices for Raptors and their Associated Habitats in Utah (BLM 2006). All construction related activities will not occur within these buffers if pre-construction monitoring indicates the nests are active, unless a site-specific evaluation for active nests is completed prior to construction and if a BLM wildlife biologist, in consultation with USFWS and UDWR, recommends that activities may be permitted within the buffer. The BLM will coordinate with the USFWS and UDWR and have a recommendation within 3-5 days of notification. Any construction activities authorized within a protective (spatial and seasonal) buffer for raptors will require an on-site monitor. Any indication that activities are adversely affecting the raptor and/or </w:t>
            </w:r>
            <w:r w:rsidRPr="40D7DA1C">
              <w:rPr>
                <w:rFonts w:ascii="Times New Roman" w:hAnsi="Times New Roman"/>
                <w:sz w:val="22"/>
                <w:szCs w:val="22"/>
              </w:rPr>
              <w:t>it’s</w:t>
            </w:r>
            <w:r w:rsidRPr="006B0693">
              <w:rPr>
                <w:rFonts w:ascii="Times New Roman" w:hAnsi="Times New Roman"/>
                <w:sz w:val="22"/>
                <w:szCs w:val="22"/>
              </w:rPr>
              <w:t xml:space="preserve"> young the on-site monitor will suspend activities and contact the BLM </w:t>
            </w:r>
            <w:r>
              <w:rPr>
                <w:rFonts w:ascii="Times New Roman" w:hAnsi="Times New Roman"/>
                <w:sz w:val="22"/>
                <w:szCs w:val="22"/>
              </w:rPr>
              <w:t>AO</w:t>
            </w:r>
            <w:r w:rsidRPr="006B0693">
              <w:rPr>
                <w:rFonts w:ascii="Times New Roman" w:hAnsi="Times New Roman"/>
                <w:sz w:val="22"/>
                <w:szCs w:val="22"/>
              </w:rPr>
              <w:t xml:space="preserve"> immediately. Construction may occur within the buffers of inactive nests. Construction activities may commence once monitoring of the active nest site determines that fledglings have left the nest and are no longer dependent on the nest site. Modifications to the Surface Use Plan of Operations may be required in accordance with </w:t>
            </w:r>
            <w:r w:rsidRPr="5C64D14C">
              <w:rPr>
                <w:rFonts w:ascii="Times New Roman" w:hAnsi="Times New Roman"/>
                <w:sz w:val="22"/>
                <w:szCs w:val="22"/>
              </w:rPr>
              <w:t>Section</w:t>
            </w:r>
            <w:r w:rsidRPr="006B0693">
              <w:rPr>
                <w:rFonts w:ascii="Times New Roman" w:hAnsi="Times New Roman"/>
                <w:sz w:val="22"/>
                <w:szCs w:val="22"/>
              </w:rPr>
              <w:t xml:space="preserve"> 6 of the lease terms and </w:t>
            </w:r>
            <w:r w:rsidRPr="24C54B2C">
              <w:rPr>
                <w:rFonts w:ascii="Times New Roman" w:hAnsi="Times New Roman"/>
                <w:sz w:val="22"/>
                <w:szCs w:val="22"/>
              </w:rPr>
              <w:t xml:space="preserve">43 </w:t>
            </w:r>
            <w:r w:rsidRPr="46DC4971">
              <w:rPr>
                <w:rFonts w:ascii="Times New Roman" w:hAnsi="Times New Roman"/>
                <w:sz w:val="22"/>
                <w:szCs w:val="22"/>
              </w:rPr>
              <w:t>CFR 3101</w:t>
            </w:r>
            <w:r w:rsidRPr="006B0693">
              <w:rPr>
                <w:rFonts w:ascii="Times New Roman" w:hAnsi="Times New Roman"/>
                <w:sz w:val="22"/>
                <w:szCs w:val="22"/>
              </w:rPr>
              <w:t>.1-2. </w:t>
            </w:r>
          </w:p>
        </w:tc>
      </w:tr>
      <w:tr w:rsidR="00FA2DA1" w14:paraId="600CE41C"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3C1351B5" w14:textId="77777777" w:rsidR="00FA2DA1" w:rsidRDefault="00FA2DA1" w:rsidP="00FA2DA1">
            <w:pPr>
              <w:pStyle w:val="TableTextLeft"/>
              <w:rPr>
                <w:rFonts w:ascii="Times New Roman" w:hAnsi="Times New Roman"/>
                <w:b/>
                <w:bCs/>
                <w:sz w:val="22"/>
                <w:szCs w:val="22"/>
              </w:rPr>
            </w:pPr>
            <w:r w:rsidRPr="0D967CBD">
              <w:rPr>
                <w:rFonts w:ascii="Times New Roman" w:hAnsi="Times New Roman"/>
                <w:b/>
                <w:bCs/>
                <w:sz w:val="22"/>
                <w:szCs w:val="22"/>
              </w:rPr>
              <w:t>UT-LN-45</w:t>
            </w:r>
          </w:p>
        </w:tc>
        <w:tc>
          <w:tcPr>
            <w:tcW w:w="3781" w:type="pct"/>
            <w:tcBorders>
              <w:top w:val="single" w:sz="6" w:space="0" w:color="auto"/>
              <w:left w:val="single" w:sz="6" w:space="0" w:color="auto"/>
              <w:bottom w:val="single" w:sz="6" w:space="0" w:color="auto"/>
              <w:right w:val="single" w:sz="6" w:space="0" w:color="auto"/>
            </w:tcBorders>
            <w:vAlign w:val="center"/>
          </w:tcPr>
          <w:p w14:paraId="4C32683E" w14:textId="77777777" w:rsidR="00FA2DA1" w:rsidRDefault="00FA2DA1" w:rsidP="00FA2DA1">
            <w:pPr>
              <w:spacing w:before="40" w:after="40"/>
              <w:rPr>
                <w:rFonts w:eastAsia="Times New Roman" w:cs="Times New Roman"/>
                <w:color w:val="000000" w:themeColor="text1"/>
              </w:rPr>
            </w:pPr>
            <w:r w:rsidRPr="2646FD1F">
              <w:rPr>
                <w:rFonts w:eastAsia="Times New Roman" w:cs="Times New Roman"/>
                <w:b/>
                <w:color w:val="000000" w:themeColor="text1"/>
              </w:rPr>
              <w:t>MIGRATORY BIRD</w:t>
            </w:r>
          </w:p>
          <w:p w14:paraId="44D5FB0C" w14:textId="77777777" w:rsidR="00FA2DA1" w:rsidRDefault="00FA2DA1" w:rsidP="00FA2DA1">
            <w:pPr>
              <w:tabs>
                <w:tab w:val="left" w:pos="720"/>
              </w:tabs>
              <w:spacing w:before="40" w:after="40"/>
              <w:rPr>
                <w:rFonts w:eastAsia="Times New Roman" w:cs="Times New Roman"/>
                <w:color w:val="000000" w:themeColor="text1"/>
              </w:rPr>
            </w:pPr>
            <w:r w:rsidRPr="2646FD1F">
              <w:rPr>
                <w:rFonts w:eastAsia="Times New Roman" w:cs="Times New Roman"/>
                <w:color w:val="000000" w:themeColor="text1"/>
              </w:rPr>
              <w:t xml:space="preserve">The lessee/operator is given notice that surveys for nesting migratory birds may be required during migratory bird breeding season whenever surface disturbances and/or occupancy is proposed in association with fluid mineral exploration and development within priority habitats. Surveys should focus on identified priority bird species in Utah. Field surveys will be conducted as determined by the </w:t>
            </w:r>
            <w:r>
              <w:rPr>
                <w:rFonts w:eastAsia="Times New Roman" w:cs="Times New Roman"/>
                <w:color w:val="000000" w:themeColor="text1"/>
              </w:rPr>
              <w:t>AO</w:t>
            </w:r>
            <w:r w:rsidRPr="2646FD1F">
              <w:rPr>
                <w:rFonts w:eastAsia="Times New Roman" w:cs="Times New Roman"/>
                <w:color w:val="000000" w:themeColor="text1"/>
              </w:rPr>
              <w:t xml:space="preserve"> of the Bureau of Land Management. Based on the result of the field survey, the </w:t>
            </w:r>
            <w:r>
              <w:rPr>
                <w:rFonts w:eastAsia="Times New Roman" w:cs="Times New Roman"/>
                <w:color w:val="000000" w:themeColor="text1"/>
              </w:rPr>
              <w:t>AO</w:t>
            </w:r>
            <w:r w:rsidRPr="2646FD1F">
              <w:rPr>
                <w:rFonts w:eastAsia="Times New Roman" w:cs="Times New Roman"/>
                <w:color w:val="000000" w:themeColor="text1"/>
              </w:rPr>
              <w:t xml:space="preserve"> will determine appropriate buffers and timing limitations.</w:t>
            </w:r>
          </w:p>
        </w:tc>
      </w:tr>
      <w:tr w:rsidR="00FA2DA1" w14:paraId="637D4CC4"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6997DD76"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t>UT-LN-49</w:t>
            </w:r>
          </w:p>
        </w:tc>
        <w:tc>
          <w:tcPr>
            <w:tcW w:w="3781" w:type="pct"/>
            <w:tcBorders>
              <w:top w:val="single" w:sz="6" w:space="0" w:color="auto"/>
              <w:left w:val="single" w:sz="6" w:space="0" w:color="auto"/>
              <w:bottom w:val="single" w:sz="6" w:space="0" w:color="auto"/>
              <w:right w:val="single" w:sz="6" w:space="0" w:color="auto"/>
            </w:tcBorders>
            <w:vAlign w:val="center"/>
          </w:tcPr>
          <w:p w14:paraId="0217E92A" w14:textId="77777777" w:rsidR="00FA2DA1" w:rsidRPr="006B0693" w:rsidRDefault="00FA2DA1" w:rsidP="00FA2DA1">
            <w:pPr>
              <w:pStyle w:val="TableTextLeft"/>
              <w:spacing w:before="40" w:after="40"/>
              <w:rPr>
                <w:rFonts w:ascii="Times New Roman" w:hAnsi="Times New Roman"/>
                <w:b/>
                <w:sz w:val="22"/>
                <w:szCs w:val="22"/>
              </w:rPr>
            </w:pPr>
            <w:r w:rsidRPr="006B0693">
              <w:rPr>
                <w:rFonts w:ascii="Times New Roman" w:hAnsi="Times New Roman"/>
                <w:b/>
                <w:sz w:val="22"/>
                <w:szCs w:val="22"/>
              </w:rPr>
              <w:t>UTAH SENSITIVE SPECIES</w:t>
            </w:r>
          </w:p>
          <w:p w14:paraId="6A5895F2" w14:textId="77777777" w:rsidR="00FA2DA1" w:rsidRPr="006B0693" w:rsidRDefault="00FA2DA1" w:rsidP="00FA2DA1">
            <w:pPr>
              <w:pStyle w:val="TableTextLeft"/>
              <w:spacing w:before="40" w:after="40"/>
              <w:rPr>
                <w:rFonts w:ascii="Times New Roman" w:hAnsi="Times New Roman"/>
                <w:sz w:val="22"/>
                <w:szCs w:val="22"/>
              </w:rPr>
            </w:pPr>
            <w:r w:rsidRPr="006B0693">
              <w:rPr>
                <w:rFonts w:ascii="Times New Roman" w:hAnsi="Times New Roman"/>
                <w:sz w:val="22"/>
                <w:szCs w:val="22"/>
              </w:rPr>
              <w:lastRenderedPageBreak/>
              <w:t xml:space="preserve">The lessee/operator is given notice that no surface use or otherwise disruptive activity would be allowed that would result in direct disturbance to populations or individual special status plant and animal species, including those listed on the BLM sensitive species list and the Utah sensitive species list. The lessee/operator is also given notice that lands in this parcel have been identified as containing potential habitat for species on the Utah Sensitive Species List. Modifications to the Surface Use Plan of Operations may be required </w:t>
            </w:r>
            <w:proofErr w:type="gramStart"/>
            <w:r w:rsidRPr="006B0693">
              <w:rPr>
                <w:rFonts w:ascii="Times New Roman" w:hAnsi="Times New Roman"/>
                <w:sz w:val="22"/>
                <w:szCs w:val="22"/>
              </w:rPr>
              <w:t>in order to</w:t>
            </w:r>
            <w:proofErr w:type="gramEnd"/>
            <w:r w:rsidRPr="006B0693">
              <w:rPr>
                <w:rFonts w:ascii="Times New Roman" w:hAnsi="Times New Roman"/>
                <w:sz w:val="22"/>
                <w:szCs w:val="22"/>
              </w:rPr>
              <w:t xml:space="preserve"> protect these resources from surface disturbing activities in accordance with Section 6 of the lease terms, Endangered Species Act, Migratory Bird Treaty Act and 43 CFR 3101.1-2.</w:t>
            </w:r>
          </w:p>
        </w:tc>
      </w:tr>
      <w:tr w:rsidR="00FA2DA1" w14:paraId="5A75B184"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58F6E29A"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lastRenderedPageBreak/>
              <w:t>UT-LN-51</w:t>
            </w:r>
          </w:p>
        </w:tc>
        <w:tc>
          <w:tcPr>
            <w:tcW w:w="3781" w:type="pct"/>
            <w:tcBorders>
              <w:top w:val="single" w:sz="6" w:space="0" w:color="auto"/>
              <w:left w:val="single" w:sz="6" w:space="0" w:color="auto"/>
              <w:bottom w:val="single" w:sz="6" w:space="0" w:color="auto"/>
              <w:right w:val="single" w:sz="6" w:space="0" w:color="auto"/>
            </w:tcBorders>
            <w:vAlign w:val="center"/>
          </w:tcPr>
          <w:p w14:paraId="12602143" w14:textId="77777777" w:rsidR="00FA2DA1" w:rsidRPr="006B0693" w:rsidRDefault="00FA2DA1" w:rsidP="00FA2DA1">
            <w:pPr>
              <w:pStyle w:val="TableTextLeft"/>
              <w:spacing w:before="40" w:after="40"/>
              <w:rPr>
                <w:rFonts w:ascii="Times New Roman" w:hAnsi="Times New Roman"/>
                <w:b/>
                <w:sz w:val="22"/>
                <w:szCs w:val="22"/>
              </w:rPr>
            </w:pPr>
            <w:r w:rsidRPr="006B0693">
              <w:rPr>
                <w:rFonts w:ascii="Times New Roman" w:hAnsi="Times New Roman"/>
                <w:b/>
                <w:sz w:val="22"/>
                <w:szCs w:val="22"/>
              </w:rPr>
              <w:t>SPECIAL STATUS PLANTS: NOT FEDERALLY LISTED</w:t>
            </w:r>
          </w:p>
          <w:p w14:paraId="0CE8CFB9" w14:textId="77777777" w:rsidR="00FA2DA1" w:rsidRPr="006B0693" w:rsidRDefault="00FA2DA1" w:rsidP="00FA2DA1">
            <w:pPr>
              <w:pStyle w:val="TableTextLeft"/>
              <w:spacing w:before="40" w:after="40"/>
              <w:rPr>
                <w:rFonts w:ascii="Times New Roman" w:hAnsi="Times New Roman"/>
                <w:sz w:val="22"/>
                <w:szCs w:val="22"/>
              </w:rPr>
            </w:pPr>
            <w:r w:rsidRPr="006B0693">
              <w:rPr>
                <w:rFonts w:ascii="Times New Roman" w:hAnsi="Times New Roman"/>
                <w:sz w:val="22"/>
                <w:szCs w:val="22"/>
              </w:rPr>
              <w:t xml:space="preserve">The lessee/operator is given notice that lands in this lease have been identified as containing special status plants, not federally listed, and their habitats. Modifications to the Surface Use Plan of Operations may be required </w:t>
            </w:r>
            <w:proofErr w:type="gramStart"/>
            <w:r w:rsidRPr="006B0693">
              <w:rPr>
                <w:rFonts w:ascii="Times New Roman" w:hAnsi="Times New Roman"/>
                <w:sz w:val="22"/>
                <w:szCs w:val="22"/>
              </w:rPr>
              <w:t>in order to</w:t>
            </w:r>
            <w:proofErr w:type="gramEnd"/>
            <w:r w:rsidRPr="006B0693">
              <w:rPr>
                <w:rFonts w:ascii="Times New Roman" w:hAnsi="Times New Roman"/>
                <w:sz w:val="22"/>
                <w:szCs w:val="22"/>
              </w:rPr>
              <w:t xml:space="preserve"> protect the special status plants and/or habitat from surface disturbing activities in accordance with Section 6 of the lease terms, Endangered Species Act, and 43 CFR 3101.1-2.</w:t>
            </w:r>
          </w:p>
        </w:tc>
      </w:tr>
      <w:tr w:rsidR="00FA2DA1" w14:paraId="496F0EBC" w14:textId="77777777" w:rsidTr="00FA2DA1">
        <w:tc>
          <w:tcPr>
            <w:tcW w:w="1219" w:type="pct"/>
            <w:tcBorders>
              <w:top w:val="single" w:sz="6" w:space="0" w:color="auto"/>
              <w:left w:val="single" w:sz="6" w:space="0" w:color="auto"/>
              <w:bottom w:val="single" w:sz="6" w:space="0" w:color="auto"/>
              <w:right w:val="single" w:sz="6" w:space="0" w:color="auto"/>
            </w:tcBorders>
          </w:tcPr>
          <w:p w14:paraId="126B1444" w14:textId="5B70D8BF" w:rsidR="00FA2DA1" w:rsidRPr="006B0693" w:rsidRDefault="00FA2DA1" w:rsidP="00FA2DA1">
            <w:pPr>
              <w:pStyle w:val="TableTextLeft"/>
              <w:rPr>
                <w:rFonts w:ascii="Times New Roman" w:hAnsi="Times New Roman"/>
                <w:b/>
                <w:sz w:val="22"/>
                <w:szCs w:val="22"/>
              </w:rPr>
            </w:pPr>
            <w:r w:rsidRPr="00CE235B">
              <w:rPr>
                <w:rFonts w:ascii="Times New Roman" w:hAnsi="Times New Roman"/>
                <w:b/>
                <w:sz w:val="22"/>
                <w:szCs w:val="22"/>
              </w:rPr>
              <w:t>UT-LN-52</w:t>
            </w:r>
          </w:p>
        </w:tc>
        <w:tc>
          <w:tcPr>
            <w:tcW w:w="3781" w:type="pct"/>
            <w:tcBorders>
              <w:top w:val="single" w:sz="6" w:space="0" w:color="auto"/>
              <w:left w:val="single" w:sz="6" w:space="0" w:color="auto"/>
              <w:bottom w:val="single" w:sz="6" w:space="0" w:color="auto"/>
              <w:right w:val="single" w:sz="6" w:space="0" w:color="auto"/>
            </w:tcBorders>
          </w:tcPr>
          <w:p w14:paraId="796F47F5" w14:textId="77777777" w:rsidR="00FA2DA1" w:rsidRPr="00915687" w:rsidRDefault="00FA2DA1" w:rsidP="00FA2DA1">
            <w:pPr>
              <w:pStyle w:val="TableTextLeft"/>
              <w:spacing w:before="40" w:after="40"/>
              <w:rPr>
                <w:rFonts w:ascii="Times New Roman" w:hAnsi="Times New Roman"/>
                <w:b/>
                <w:sz w:val="22"/>
                <w:szCs w:val="22"/>
              </w:rPr>
            </w:pPr>
            <w:r w:rsidRPr="00915687">
              <w:rPr>
                <w:rFonts w:ascii="Times New Roman" w:hAnsi="Times New Roman"/>
                <w:b/>
                <w:sz w:val="22"/>
                <w:szCs w:val="22"/>
              </w:rPr>
              <w:t>NOXIOUS WEEDS</w:t>
            </w:r>
          </w:p>
          <w:p w14:paraId="30F5313F" w14:textId="3D2889B3" w:rsidR="00FA2DA1" w:rsidRPr="007B16FA" w:rsidRDefault="00FA2DA1" w:rsidP="00FA2DA1">
            <w:pPr>
              <w:pStyle w:val="TableTextLeft"/>
              <w:spacing w:before="40" w:after="40"/>
              <w:rPr>
                <w:rFonts w:ascii="Times New Roman" w:hAnsi="Times New Roman"/>
                <w:bCs/>
                <w:sz w:val="22"/>
                <w:szCs w:val="22"/>
              </w:rPr>
            </w:pPr>
            <w:r w:rsidRPr="007B16FA">
              <w:rPr>
                <w:rFonts w:ascii="Times New Roman" w:hAnsi="Times New Roman"/>
                <w:bCs/>
                <w:sz w:val="22"/>
                <w:szCs w:val="22"/>
              </w:rPr>
              <w:t>The lessee/operator is given notice that lands in this lease have been identified as containing or is near areas containing noxious weeds. Best management practices to prevent or control noxious weeds may be required for operations on the lease. Modifications to the Surface Use Plan of Operations may be required in accordance with section 6 of the lease terms and 43CFR3101.1-2.</w:t>
            </w:r>
          </w:p>
        </w:tc>
      </w:tr>
      <w:tr w:rsidR="00FA2DA1" w14:paraId="2C862F43"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7027EF77" w14:textId="77777777" w:rsidR="00FA2DA1" w:rsidRDefault="00FA2DA1" w:rsidP="00FA2DA1">
            <w:pPr>
              <w:pStyle w:val="TableTextLeft"/>
              <w:rPr>
                <w:b/>
                <w:bCs/>
              </w:rPr>
            </w:pPr>
            <w:r w:rsidRPr="2D79BBDB">
              <w:rPr>
                <w:rFonts w:ascii="Times New Roman" w:hAnsi="Times New Roman"/>
                <w:b/>
                <w:bCs/>
                <w:sz w:val="22"/>
                <w:szCs w:val="22"/>
              </w:rPr>
              <w:t>UT-LN-53</w:t>
            </w:r>
          </w:p>
        </w:tc>
        <w:tc>
          <w:tcPr>
            <w:tcW w:w="3781" w:type="pct"/>
            <w:tcBorders>
              <w:top w:val="single" w:sz="6" w:space="0" w:color="auto"/>
              <w:left w:val="single" w:sz="6" w:space="0" w:color="auto"/>
              <w:bottom w:val="single" w:sz="6" w:space="0" w:color="auto"/>
              <w:right w:val="single" w:sz="6" w:space="0" w:color="auto"/>
            </w:tcBorders>
            <w:vAlign w:val="center"/>
          </w:tcPr>
          <w:p w14:paraId="471A9241" w14:textId="77777777" w:rsidR="00FA2DA1" w:rsidRDefault="00FA2DA1" w:rsidP="00FA2DA1">
            <w:pPr>
              <w:widowControl w:val="0"/>
              <w:tabs>
                <w:tab w:val="center" w:pos="4680"/>
              </w:tabs>
              <w:spacing w:before="40" w:after="40"/>
              <w:rPr>
                <w:rFonts w:eastAsia="Times New Roman" w:cs="Times New Roman"/>
                <w:color w:val="000000" w:themeColor="text1"/>
              </w:rPr>
            </w:pPr>
            <w:r w:rsidRPr="3D9EDA3D">
              <w:rPr>
                <w:rFonts w:eastAsia="Times New Roman" w:cs="Times New Roman"/>
                <w:b/>
                <w:bCs/>
                <w:color w:val="000000" w:themeColor="text1"/>
              </w:rPr>
              <w:t>RIPARIAN AREAS</w:t>
            </w:r>
          </w:p>
          <w:p w14:paraId="6169A25A" w14:textId="2EB95280" w:rsidR="00FA2DA1" w:rsidRDefault="00FA2DA1" w:rsidP="00FA2DA1">
            <w:pPr>
              <w:widowControl w:val="0"/>
              <w:tabs>
                <w:tab w:val="left" w:pos="720"/>
              </w:tabs>
              <w:spacing w:before="40" w:after="40"/>
              <w:rPr>
                <w:rFonts w:eastAsia="Times New Roman" w:cs="Times New Roman"/>
                <w:color w:val="000000" w:themeColor="text1"/>
              </w:rPr>
            </w:pPr>
            <w:r w:rsidRPr="3D9EDA3D">
              <w:rPr>
                <w:rFonts w:eastAsia="Times New Roman" w:cs="Times New Roman"/>
                <w:color w:val="000000" w:themeColor="text1"/>
              </w:rPr>
              <w:t>The lessee/operator is given notice that this lease has been identified as containing riparian areas. No surface use or otherwise disruptive activity allowed within 100 meters of riparian areas unless it can be shown that (1) there is no practicable alternative; (2) that all long-term impacts are fully mitigated; or (3) that the construction is an enhancement to the riparian areas. Modifications to the Surface Use Plan of Operations may be required in accordance with section 6 of the lease terms and 43</w:t>
            </w:r>
            <w:r>
              <w:rPr>
                <w:rFonts w:eastAsia="Times New Roman" w:cs="Times New Roman"/>
                <w:color w:val="000000" w:themeColor="text1"/>
              </w:rPr>
              <w:t xml:space="preserve"> </w:t>
            </w:r>
            <w:r w:rsidRPr="3D9EDA3D">
              <w:rPr>
                <w:rFonts w:eastAsia="Times New Roman" w:cs="Times New Roman"/>
                <w:color w:val="000000" w:themeColor="text1"/>
              </w:rPr>
              <w:t>CFR</w:t>
            </w:r>
            <w:r>
              <w:rPr>
                <w:rFonts w:eastAsia="Times New Roman" w:cs="Times New Roman"/>
                <w:color w:val="000000" w:themeColor="text1"/>
              </w:rPr>
              <w:t xml:space="preserve"> </w:t>
            </w:r>
            <w:r w:rsidRPr="3D9EDA3D">
              <w:rPr>
                <w:rFonts w:eastAsia="Times New Roman" w:cs="Times New Roman"/>
                <w:color w:val="000000" w:themeColor="text1"/>
              </w:rPr>
              <w:t>3101.1-2.</w:t>
            </w:r>
          </w:p>
        </w:tc>
      </w:tr>
      <w:tr w:rsidR="00FA2DA1" w14:paraId="06797765"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32CFEBA4" w14:textId="77777777" w:rsidR="00FA2DA1" w:rsidRDefault="00FA2DA1" w:rsidP="00FA2DA1">
            <w:pPr>
              <w:pStyle w:val="TableTextLeft"/>
              <w:rPr>
                <w:rFonts w:ascii="Times New Roman" w:hAnsi="Times New Roman"/>
                <w:b/>
                <w:bCs/>
                <w:sz w:val="22"/>
                <w:szCs w:val="22"/>
              </w:rPr>
            </w:pPr>
            <w:r w:rsidRPr="4F14BDD8">
              <w:rPr>
                <w:rFonts w:ascii="Times New Roman" w:hAnsi="Times New Roman"/>
                <w:b/>
                <w:bCs/>
                <w:sz w:val="22"/>
                <w:szCs w:val="22"/>
              </w:rPr>
              <w:t>UT-LN-56</w:t>
            </w:r>
          </w:p>
        </w:tc>
        <w:tc>
          <w:tcPr>
            <w:tcW w:w="3781" w:type="pct"/>
            <w:tcBorders>
              <w:top w:val="single" w:sz="6" w:space="0" w:color="auto"/>
              <w:left w:val="single" w:sz="6" w:space="0" w:color="auto"/>
              <w:bottom w:val="single" w:sz="6" w:space="0" w:color="auto"/>
              <w:right w:val="single" w:sz="6" w:space="0" w:color="auto"/>
            </w:tcBorders>
            <w:vAlign w:val="center"/>
          </w:tcPr>
          <w:p w14:paraId="6D8FC54C" w14:textId="77777777" w:rsidR="00FA2DA1" w:rsidRDefault="00FA2DA1" w:rsidP="00FA2DA1">
            <w:pPr>
              <w:tabs>
                <w:tab w:val="center" w:pos="4680"/>
              </w:tabs>
              <w:spacing w:before="40" w:after="40"/>
              <w:rPr>
                <w:rFonts w:eastAsia="Times New Roman" w:cs="Times New Roman"/>
                <w:color w:val="000000" w:themeColor="text1"/>
              </w:rPr>
            </w:pPr>
            <w:r w:rsidRPr="4F14BDD8">
              <w:rPr>
                <w:rFonts w:eastAsia="Times New Roman" w:cs="Times New Roman"/>
                <w:b/>
                <w:bCs/>
                <w:color w:val="000000" w:themeColor="text1"/>
              </w:rPr>
              <w:t>DRINKING WATER SOURCE PROTECTION ZONE</w:t>
            </w:r>
          </w:p>
          <w:p w14:paraId="3F90E2D4" w14:textId="77777777" w:rsidR="00FA2DA1" w:rsidRDefault="00FA2DA1" w:rsidP="00FA2DA1">
            <w:pPr>
              <w:spacing w:before="40" w:after="40"/>
              <w:rPr>
                <w:rFonts w:eastAsia="Times New Roman" w:cs="Times New Roman"/>
                <w:color w:val="000000" w:themeColor="text1"/>
              </w:rPr>
            </w:pPr>
            <w:r w:rsidRPr="4F14BDD8">
              <w:rPr>
                <w:rFonts w:eastAsia="Times New Roman" w:cs="Times New Roman"/>
                <w:color w:val="000000" w:themeColor="text1"/>
              </w:rPr>
              <w:t>This lease (or a portion thereof) is within a public Drinking Water Source Protection zone. Before application for a permit to drill (APD) submittal or any proposed surface-disturbing activity, the lessee/operator must contact the public water system manager to determine any zoning ordinances, best management or pollution prevention measures, or physical controls that may be required within the protection zones. Drinking Water Source Protection plans are developed by the public water systems under the requirements of R309-600. Drinking Water Source Protection for Ground-Water Sources. (Utah Administrative Code). There may also be county ordinances in place to protect the source protection zones, as required by Section 19-4-113 of the Utah Code.</w:t>
            </w:r>
          </w:p>
          <w:p w14:paraId="345AC059" w14:textId="77777777" w:rsidR="00FA2DA1" w:rsidRDefault="00FA2DA1" w:rsidP="00FA2DA1">
            <w:pPr>
              <w:spacing w:before="40" w:after="40"/>
              <w:rPr>
                <w:rFonts w:eastAsia="Times New Roman" w:cs="Times New Roman"/>
                <w:color w:val="000000" w:themeColor="text1"/>
              </w:rPr>
            </w:pPr>
            <w:r w:rsidRPr="4F14BDD8">
              <w:rPr>
                <w:rFonts w:eastAsia="Times New Roman" w:cs="Times New Roman"/>
                <w:color w:val="000000" w:themeColor="text1"/>
              </w:rPr>
              <w:t xml:space="preserve">Incorporated cities and towns may also protect their drinking water sources using Section 10-8-15 of the Utah Code. This part of the Code gives cities </w:t>
            </w:r>
            <w:r w:rsidRPr="4F14BDD8">
              <w:rPr>
                <w:rFonts w:eastAsia="Times New Roman" w:cs="Times New Roman"/>
                <w:color w:val="000000" w:themeColor="text1"/>
              </w:rPr>
              <w:lastRenderedPageBreak/>
              <w:t>and towns the extraterritorial authority to enact ordinances to protect a source of drinking water ... "For 15 miles above the point from which it is taken and for a distance of 300 feet on each side of such stream..." Class I cities (greater than 100,000 population) are granted authority to protect their entire watersheds.</w:t>
            </w:r>
          </w:p>
          <w:p w14:paraId="1891EE4D" w14:textId="77777777" w:rsidR="00FA2DA1" w:rsidRDefault="00FA2DA1" w:rsidP="00FA2DA1">
            <w:pPr>
              <w:spacing w:before="40" w:after="40"/>
              <w:rPr>
                <w:rFonts w:eastAsia="Times New Roman" w:cs="Times New Roman"/>
                <w:color w:val="000000" w:themeColor="text1"/>
              </w:rPr>
            </w:pPr>
            <w:r w:rsidRPr="4F14BDD8">
              <w:rPr>
                <w:rFonts w:eastAsia="Times New Roman" w:cs="Times New Roman"/>
                <w:color w:val="000000" w:themeColor="text1"/>
              </w:rPr>
              <w:t>Some public water sources qualify for monitoring waivers which reduce their monitoring requirements for pesticides and volatile organic chemicals (VOCs). Exploration, drilling, and production activities within Source Protection zone 3 could jeopardize these waivers, thus requiring increased monitoring. Contact the public water system to determine what effect your activities may have on their monitoring waivers.  Please be aware of other State rules to protect surface and ground water: the Utah Division of Water Quality Rules R317 Water Quality Rules; and Rules of the Utah Division of Oil, Gas and Mining, Utah Oil and Gas Conservation Rules R649.</w:t>
            </w:r>
          </w:p>
          <w:p w14:paraId="316FBCE4" w14:textId="77777777" w:rsidR="00FA2DA1" w:rsidRDefault="00FA2DA1" w:rsidP="00FA2DA1">
            <w:pPr>
              <w:tabs>
                <w:tab w:val="left" w:pos="720"/>
              </w:tabs>
              <w:spacing w:before="40" w:after="40"/>
              <w:rPr>
                <w:rFonts w:eastAsia="Times New Roman" w:cs="Times New Roman"/>
                <w:color w:val="000000" w:themeColor="text1"/>
              </w:rPr>
            </w:pPr>
            <w:r w:rsidRPr="4F14BDD8">
              <w:rPr>
                <w:rFonts w:eastAsia="Times New Roman" w:cs="Times New Roman"/>
                <w:color w:val="000000" w:themeColor="text1"/>
              </w:rPr>
              <w:t>At the time of development, drilling operators will additionally conform to the operational regulations in Onshore Oil &amp; Gas Order No. 2 (which requires the protection and isolation of all usable quality waters, ≤ 10,000 mg/L Total Dissolved Solids), Onshore Oil and Gas Order No. 7 (which prescribes measures required for the handling of produced water to insure the protection of surface and ground water sources) and the Surface Operating Standards and Guidelines for Oil and Gas Development, The Gold Book, Fourth Edition-Revised 2007 (which provides information and requirements for conducting environmentally responsible oil and gas operations).</w:t>
            </w:r>
          </w:p>
          <w:p w14:paraId="26AE4428" w14:textId="77777777" w:rsidR="00FA2DA1" w:rsidRDefault="00FA2DA1" w:rsidP="00FA2DA1">
            <w:pPr>
              <w:tabs>
                <w:tab w:val="left" w:pos="720"/>
              </w:tabs>
              <w:spacing w:before="40" w:after="40"/>
              <w:rPr>
                <w:rFonts w:eastAsia="Times New Roman" w:cs="Times New Roman"/>
                <w:color w:val="000000" w:themeColor="text1"/>
              </w:rPr>
            </w:pPr>
            <w:r w:rsidRPr="4F14BDD8">
              <w:rPr>
                <w:rFonts w:eastAsia="Times New Roman" w:cs="Times New Roman"/>
                <w:color w:val="000000" w:themeColor="text1"/>
              </w:rPr>
              <w:t xml:space="preserve">Additional mitigation measures may be necessary to prevent adverse impacts from oil and gas exploration and development activities. Mitigation measures may include submitting an erosion control plan with best management practices (BMPs) that address rigorous interim reclamation which might include surface roughening, vegetative buffer strips, etc.; and sediment control </w:t>
            </w:r>
            <w:proofErr w:type="gramStart"/>
            <w:r w:rsidRPr="4F14BDD8">
              <w:rPr>
                <w:rFonts w:eastAsia="Times New Roman" w:cs="Times New Roman"/>
                <w:color w:val="000000" w:themeColor="text1"/>
              </w:rPr>
              <w:t>through the use of</w:t>
            </w:r>
            <w:proofErr w:type="gramEnd"/>
            <w:r w:rsidRPr="4F14BDD8">
              <w:rPr>
                <w:rFonts w:eastAsia="Times New Roman" w:cs="Times New Roman"/>
                <w:color w:val="000000" w:themeColor="text1"/>
              </w:rPr>
              <w:t xml:space="preserve"> sediment logs, silt fences, erosion control blankets, outlet/inlet protection of water control features such as culverts or diversion ditches, sediment traps, run on/run off pad design features. If project activities are close to sensitive areas or water sources a semi or closed-loop drilling system should be required.</w:t>
            </w:r>
          </w:p>
        </w:tc>
      </w:tr>
      <w:tr w:rsidR="00FA2DA1" w14:paraId="348171CF"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7CE60E64"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t>UT-LN-72</w:t>
            </w:r>
          </w:p>
        </w:tc>
        <w:tc>
          <w:tcPr>
            <w:tcW w:w="3781" w:type="pct"/>
            <w:tcBorders>
              <w:top w:val="single" w:sz="6" w:space="0" w:color="auto"/>
              <w:left w:val="single" w:sz="6" w:space="0" w:color="auto"/>
              <w:bottom w:val="single" w:sz="6" w:space="0" w:color="auto"/>
              <w:right w:val="single" w:sz="6" w:space="0" w:color="auto"/>
            </w:tcBorders>
            <w:vAlign w:val="center"/>
          </w:tcPr>
          <w:p w14:paraId="20C31515" w14:textId="77777777" w:rsidR="00FA2DA1" w:rsidRPr="006B0693" w:rsidRDefault="00FA2DA1" w:rsidP="00FA2DA1">
            <w:pPr>
              <w:pStyle w:val="TableTextLeft"/>
              <w:spacing w:before="40" w:after="40"/>
              <w:rPr>
                <w:rFonts w:ascii="Times New Roman" w:hAnsi="Times New Roman"/>
                <w:b/>
                <w:sz w:val="22"/>
                <w:szCs w:val="22"/>
              </w:rPr>
            </w:pPr>
            <w:r w:rsidRPr="006B0693">
              <w:rPr>
                <w:rFonts w:ascii="Times New Roman" w:hAnsi="Times New Roman"/>
                <w:b/>
                <w:sz w:val="22"/>
                <w:szCs w:val="22"/>
              </w:rPr>
              <w:t>HIGH POTENTIAL PALEONTOLOGICAL RESOURCES</w:t>
            </w:r>
          </w:p>
          <w:p w14:paraId="770C78C1" w14:textId="77777777" w:rsidR="00FA2DA1" w:rsidRPr="006B0693" w:rsidRDefault="00FA2DA1" w:rsidP="00FA2DA1">
            <w:pPr>
              <w:pStyle w:val="TableTextLeft"/>
              <w:spacing w:before="40" w:after="40"/>
              <w:rPr>
                <w:rFonts w:ascii="Times New Roman" w:hAnsi="Times New Roman"/>
                <w:sz w:val="22"/>
                <w:szCs w:val="22"/>
              </w:rPr>
            </w:pPr>
            <w:r w:rsidRPr="006B0693">
              <w:rPr>
                <w:rFonts w:ascii="Times New Roman" w:hAnsi="Times New Roman"/>
                <w:sz w:val="22"/>
                <w:szCs w:val="22"/>
              </w:rPr>
              <w:t xml:space="preserve">The lessee/operator is given notice that lands in this lease have been identified as having high potential for paleontological resources. Surveys will be required and modifications to the Surface Use Plan of Operations may be required </w:t>
            </w:r>
            <w:proofErr w:type="gramStart"/>
            <w:r w:rsidRPr="006B0693">
              <w:rPr>
                <w:rFonts w:ascii="Times New Roman" w:hAnsi="Times New Roman"/>
                <w:sz w:val="22"/>
                <w:szCs w:val="22"/>
              </w:rPr>
              <w:t>in order to</w:t>
            </w:r>
            <w:proofErr w:type="gramEnd"/>
            <w:r w:rsidRPr="006B0693">
              <w:rPr>
                <w:rFonts w:ascii="Times New Roman" w:hAnsi="Times New Roman"/>
                <w:sz w:val="22"/>
                <w:szCs w:val="22"/>
              </w:rPr>
              <w:t xml:space="preserve"> protect paleontological resources from surface disturbing activities in accordance with Section 6 of the lease terms and 43 CFR 3101.1-2. In addition, monitoring may be required during surface disturbing activities.</w:t>
            </w:r>
          </w:p>
        </w:tc>
      </w:tr>
      <w:tr w:rsidR="00FA2DA1" w14:paraId="74D50BFB"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64F7E90A" w14:textId="77777777" w:rsidR="00FA2DA1" w:rsidRDefault="00FA2DA1" w:rsidP="00FA2DA1">
            <w:pPr>
              <w:pStyle w:val="TableTextLeft"/>
              <w:rPr>
                <w:b/>
                <w:bCs/>
              </w:rPr>
            </w:pPr>
            <w:r w:rsidRPr="24408837">
              <w:rPr>
                <w:rFonts w:ascii="Times New Roman" w:hAnsi="Times New Roman"/>
                <w:b/>
                <w:bCs/>
                <w:sz w:val="22"/>
                <w:szCs w:val="22"/>
              </w:rPr>
              <w:t>UT-LN-89</w:t>
            </w:r>
          </w:p>
        </w:tc>
        <w:tc>
          <w:tcPr>
            <w:tcW w:w="3781" w:type="pct"/>
            <w:tcBorders>
              <w:top w:val="single" w:sz="6" w:space="0" w:color="auto"/>
              <w:left w:val="single" w:sz="6" w:space="0" w:color="auto"/>
              <w:bottom w:val="single" w:sz="6" w:space="0" w:color="auto"/>
              <w:right w:val="single" w:sz="6" w:space="0" w:color="auto"/>
            </w:tcBorders>
            <w:vAlign w:val="center"/>
          </w:tcPr>
          <w:p w14:paraId="15B4127B" w14:textId="77777777" w:rsidR="00FA2DA1" w:rsidRDefault="00FA2DA1" w:rsidP="00FA2DA1">
            <w:pPr>
              <w:widowControl w:val="0"/>
              <w:spacing w:before="40" w:after="40"/>
              <w:jc w:val="center"/>
              <w:rPr>
                <w:rFonts w:eastAsia="Times New Roman" w:cs="Times New Roman"/>
                <w:color w:val="000000" w:themeColor="text1"/>
              </w:rPr>
            </w:pPr>
            <w:r w:rsidRPr="24408837">
              <w:rPr>
                <w:rFonts w:eastAsia="Times New Roman" w:cs="Times New Roman"/>
                <w:b/>
                <w:bCs/>
                <w:caps/>
                <w:color w:val="000000" w:themeColor="text1"/>
              </w:rPr>
              <w:t xml:space="preserve">HORSESHOE MILKVETCH </w:t>
            </w:r>
            <w:r w:rsidRPr="24408837">
              <w:rPr>
                <w:rFonts w:eastAsia="Times New Roman" w:cs="Times New Roman"/>
                <w:b/>
                <w:bCs/>
                <w:i/>
                <w:iCs/>
                <w:caps/>
                <w:color w:val="000000" w:themeColor="text1"/>
              </w:rPr>
              <w:t>(ASTRAGALUS EQUISOLENSIS)</w:t>
            </w:r>
          </w:p>
          <w:p w14:paraId="3835B71A" w14:textId="77777777" w:rsidR="00FA2DA1" w:rsidRDefault="00FA2DA1" w:rsidP="00FA2DA1">
            <w:pPr>
              <w:widowControl w:val="0"/>
              <w:spacing w:before="40" w:after="40"/>
              <w:rPr>
                <w:rFonts w:eastAsia="Times New Roman" w:cs="Times New Roman"/>
                <w:color w:val="000000" w:themeColor="text1"/>
              </w:rPr>
            </w:pPr>
            <w:proofErr w:type="gramStart"/>
            <w:r w:rsidRPr="24408837">
              <w:rPr>
                <w:rFonts w:eastAsia="Times New Roman" w:cs="Times New Roman"/>
                <w:color w:val="000000" w:themeColor="text1"/>
              </w:rPr>
              <w:t>In order to</w:t>
            </w:r>
            <w:proofErr w:type="gramEnd"/>
            <w:r w:rsidRPr="24408837">
              <w:rPr>
                <w:rFonts w:eastAsia="Times New Roman" w:cs="Times New Roman"/>
                <w:color w:val="000000" w:themeColor="text1"/>
              </w:rPr>
              <w:t xml:space="preserve"> minimize effects to the federal candidate horseshoe milkvetch, the Bureau of Land Management (BLM) in coordination with the U.S. Fish and Wildlife Service (Service) developed the following avoidance and minimization measures. Integration of and adherence to these measures will help ensure the activities carried out during oil and gas development </w:t>
            </w:r>
            <w:r w:rsidRPr="24408837">
              <w:rPr>
                <w:rFonts w:eastAsia="Times New Roman" w:cs="Times New Roman"/>
                <w:color w:val="000000" w:themeColor="text1"/>
              </w:rPr>
              <w:lastRenderedPageBreak/>
              <w:t xml:space="preserve">(including but not limited to drilling, production, and maintenance) will not result in a trend toward federal listing of the species. For the purposes of this document, the following terms are so defined: Potential habitat is defined as areas which satisfy the broad criteria of the species habitat description; usually determined by preliminary, in-house assessment. Suitable habitat is defined as areas which contain or exhibit the specific components or constituents necessary for plant persistence; determined by field inspection and/or surveys; may or may not contain horseshoe milkvetch; characteristics include sagebrush, shadscale, </w:t>
            </w:r>
            <w:proofErr w:type="spellStart"/>
            <w:r w:rsidRPr="24408837">
              <w:rPr>
                <w:rFonts w:eastAsia="Times New Roman" w:cs="Times New Roman"/>
                <w:color w:val="000000" w:themeColor="text1"/>
              </w:rPr>
              <w:t>horsebrush</w:t>
            </w:r>
            <w:proofErr w:type="spellEnd"/>
            <w:r w:rsidRPr="24408837">
              <w:rPr>
                <w:rFonts w:eastAsia="Times New Roman" w:cs="Times New Roman"/>
                <w:color w:val="000000" w:themeColor="text1"/>
              </w:rPr>
              <w:t>, and other mixed desert shrub communities in Duchesne River Formation soils at 4,790 to 5,185 feet. Occupied habitat is defined as areas currently or historically known to support horseshoe milkvetch; synonymous with “known habitat.” The following avoidance and minimization measures should be included in the Plan of Development:</w:t>
            </w:r>
          </w:p>
          <w:p w14:paraId="7FBE1FAE" w14:textId="77777777" w:rsidR="00FA2DA1" w:rsidRDefault="00FA2DA1" w:rsidP="00FA2DA1">
            <w:pPr>
              <w:pStyle w:val="ListParagraph"/>
              <w:widowControl w:val="0"/>
              <w:numPr>
                <w:ilvl w:val="0"/>
                <w:numId w:val="101"/>
              </w:numPr>
              <w:spacing w:before="40" w:after="40"/>
              <w:ind w:left="537"/>
              <w:rPr>
                <w:rFonts w:eastAsia="Times New Roman" w:cs="Times New Roman"/>
                <w:color w:val="000000" w:themeColor="text1"/>
              </w:rPr>
            </w:pPr>
            <w:r w:rsidRPr="24408837">
              <w:rPr>
                <w:rFonts w:eastAsia="Times New Roman" w:cs="Times New Roman"/>
                <w:color w:val="000000" w:themeColor="text1"/>
              </w:rPr>
              <w:t>Pre-project habitat assessments will be completed across 100% of the project disturbance area within potential habitat prior to any ground disturbing activities to determine if suitable horseshoe milkvetch habitat is present.</w:t>
            </w:r>
          </w:p>
          <w:p w14:paraId="3BD2621A" w14:textId="77777777" w:rsidR="00FA2DA1" w:rsidRDefault="00FA2DA1" w:rsidP="00FA2DA1">
            <w:pPr>
              <w:pStyle w:val="ListParagraph"/>
              <w:widowControl w:val="0"/>
              <w:numPr>
                <w:ilvl w:val="0"/>
                <w:numId w:val="101"/>
              </w:numPr>
              <w:spacing w:before="40" w:after="40"/>
              <w:ind w:left="537"/>
              <w:rPr>
                <w:rFonts w:eastAsia="Times New Roman" w:cs="Times New Roman"/>
                <w:color w:val="000000" w:themeColor="text1"/>
              </w:rPr>
            </w:pPr>
            <w:r w:rsidRPr="24408837">
              <w:rPr>
                <w:rFonts w:eastAsia="Times New Roman" w:cs="Times New Roman"/>
                <w:color w:val="000000" w:themeColor="text1"/>
                <w:lang w:val="en-CA"/>
              </w:rPr>
              <w:t>Within suitable habitat, site inventories will be conducted to determine occupancy. Inventories:</w:t>
            </w:r>
          </w:p>
          <w:p w14:paraId="110A5E15" w14:textId="77777777" w:rsidR="00FA2DA1" w:rsidRDefault="00FA2DA1" w:rsidP="00FA2DA1">
            <w:pPr>
              <w:pStyle w:val="ListParagraph"/>
              <w:widowControl w:val="0"/>
              <w:numPr>
                <w:ilvl w:val="1"/>
                <w:numId w:val="101"/>
              </w:numPr>
              <w:ind w:left="897"/>
              <w:rPr>
                <w:rFonts w:eastAsia="Times New Roman" w:cs="Times New Roman"/>
                <w:color w:val="000000" w:themeColor="text1"/>
              </w:rPr>
            </w:pPr>
            <w:r w:rsidRPr="24408837">
              <w:rPr>
                <w:rFonts w:eastAsia="Times New Roman" w:cs="Times New Roman"/>
                <w:color w:val="000000" w:themeColor="text1"/>
              </w:rPr>
              <w:t>Must be conducted by qualified individual(s) and according to BLM and Service accepted survey protocols,</w:t>
            </w:r>
          </w:p>
          <w:p w14:paraId="55C80EEA" w14:textId="32355C7B" w:rsidR="00FA2DA1" w:rsidRDefault="00FA2DA1" w:rsidP="00FA2DA1">
            <w:pPr>
              <w:pStyle w:val="ListParagraph"/>
              <w:widowControl w:val="0"/>
              <w:numPr>
                <w:ilvl w:val="1"/>
                <w:numId w:val="101"/>
              </w:numPr>
              <w:ind w:left="897"/>
              <w:rPr>
                <w:rFonts w:eastAsia="Times New Roman" w:cs="Times New Roman"/>
                <w:color w:val="000000" w:themeColor="text1"/>
              </w:rPr>
            </w:pPr>
            <w:r w:rsidRPr="24408837">
              <w:rPr>
                <w:rFonts w:eastAsia="Times New Roman" w:cs="Times New Roman"/>
                <w:color w:val="000000" w:themeColor="text1"/>
              </w:rPr>
              <w:t>Will be conducted in suitable</w:t>
            </w:r>
            <w:r w:rsidRPr="24408837">
              <w:rPr>
                <w:rFonts w:eastAsia="Times New Roman" w:cs="Times New Roman"/>
                <w:color w:val="000000" w:themeColor="text1"/>
                <w:vertAlign w:val="superscript"/>
              </w:rPr>
              <w:t xml:space="preserve"> </w:t>
            </w:r>
            <w:r w:rsidRPr="24408837">
              <w:rPr>
                <w:rFonts w:eastAsia="Times New Roman" w:cs="Times New Roman"/>
                <w:color w:val="000000" w:themeColor="text1"/>
              </w:rPr>
              <w:t>and occupied habitat for all areas proposed for surface disturbance prior to initiation of project activities and within the same growing season, at a time when the plant can be detected (usually May 1</w:t>
            </w:r>
            <w:r w:rsidRPr="24408837">
              <w:rPr>
                <w:rFonts w:eastAsia="Times New Roman" w:cs="Times New Roman"/>
                <w:color w:val="000000" w:themeColor="text1"/>
                <w:vertAlign w:val="superscript"/>
              </w:rPr>
              <w:t>st</w:t>
            </w:r>
            <w:r w:rsidRPr="24408837">
              <w:rPr>
                <w:rFonts w:eastAsia="Times New Roman" w:cs="Times New Roman"/>
                <w:color w:val="000000" w:themeColor="text1"/>
              </w:rPr>
              <w:t xml:space="preserve"> to June 5</w:t>
            </w:r>
            <w:r w:rsidRPr="24408837">
              <w:rPr>
                <w:rFonts w:eastAsia="Times New Roman" w:cs="Times New Roman"/>
                <w:color w:val="000000" w:themeColor="text1"/>
                <w:vertAlign w:val="superscript"/>
              </w:rPr>
              <w:t>th</w:t>
            </w:r>
            <w:r w:rsidRPr="24408837">
              <w:rPr>
                <w:rFonts w:eastAsia="Times New Roman" w:cs="Times New Roman"/>
                <w:color w:val="000000" w:themeColor="text1"/>
              </w:rPr>
              <w:t xml:space="preserve"> in the Uinta Basin; however, surveyors should verify that the plant is flowering by contacting a BLM or FWS botanist or demonstrating that the nearest known population is in flower),</w:t>
            </w:r>
          </w:p>
          <w:p w14:paraId="76F10531" w14:textId="77777777" w:rsidR="00FA2DA1" w:rsidRDefault="00FA2DA1" w:rsidP="00FA2DA1">
            <w:pPr>
              <w:pStyle w:val="ListParagraph"/>
              <w:widowControl w:val="0"/>
              <w:numPr>
                <w:ilvl w:val="1"/>
                <w:numId w:val="101"/>
              </w:numPr>
              <w:ind w:left="897"/>
              <w:rPr>
                <w:rFonts w:eastAsia="Times New Roman" w:cs="Times New Roman"/>
                <w:color w:val="000000" w:themeColor="text1"/>
              </w:rPr>
            </w:pPr>
            <w:r w:rsidRPr="24408837">
              <w:rPr>
                <w:rFonts w:eastAsia="Times New Roman" w:cs="Times New Roman"/>
                <w:color w:val="000000" w:themeColor="text1"/>
              </w:rPr>
              <w:t xml:space="preserve">Will occur within 300’ from the centerline of the proposed right-of-way for surface pipelines or roads; and within 300’ from the perimeter of disturbance for the proposed well pad including the well pad, </w:t>
            </w:r>
          </w:p>
          <w:p w14:paraId="17610F01" w14:textId="77777777" w:rsidR="00FA2DA1" w:rsidRDefault="00FA2DA1" w:rsidP="00FA2DA1">
            <w:pPr>
              <w:pStyle w:val="ListParagraph"/>
              <w:widowControl w:val="0"/>
              <w:numPr>
                <w:ilvl w:val="1"/>
                <w:numId w:val="101"/>
              </w:numPr>
              <w:ind w:left="897"/>
              <w:rPr>
                <w:rFonts w:eastAsia="Times New Roman" w:cs="Times New Roman"/>
                <w:color w:val="000000" w:themeColor="text1"/>
              </w:rPr>
            </w:pPr>
            <w:r w:rsidRPr="24408837">
              <w:rPr>
                <w:rFonts w:eastAsia="Times New Roman" w:cs="Times New Roman"/>
                <w:color w:val="000000" w:themeColor="text1"/>
              </w:rPr>
              <w:t>Will include, but not be limited to, plant species lists and habitat characteristics, and</w:t>
            </w:r>
          </w:p>
          <w:p w14:paraId="018969EA" w14:textId="77777777" w:rsidR="00FA2DA1" w:rsidRDefault="00FA2DA1" w:rsidP="00FA2DA1">
            <w:pPr>
              <w:pStyle w:val="ListParagraph"/>
              <w:widowControl w:val="0"/>
              <w:numPr>
                <w:ilvl w:val="1"/>
                <w:numId w:val="101"/>
              </w:numPr>
              <w:ind w:left="897"/>
              <w:rPr>
                <w:rFonts w:eastAsia="Times New Roman" w:cs="Times New Roman"/>
                <w:color w:val="000000" w:themeColor="text1"/>
              </w:rPr>
            </w:pPr>
            <w:r w:rsidRPr="24408837">
              <w:rPr>
                <w:rFonts w:eastAsia="Times New Roman" w:cs="Times New Roman"/>
                <w:color w:val="000000" w:themeColor="text1"/>
              </w:rPr>
              <w:t>Will be valid until May 1</w:t>
            </w:r>
            <w:r w:rsidRPr="24408837">
              <w:rPr>
                <w:rFonts w:eastAsia="Times New Roman" w:cs="Times New Roman"/>
                <w:color w:val="000000" w:themeColor="text1"/>
                <w:vertAlign w:val="superscript"/>
              </w:rPr>
              <w:t>st</w:t>
            </w:r>
            <w:r w:rsidRPr="24408837">
              <w:rPr>
                <w:rFonts w:eastAsia="Times New Roman" w:cs="Times New Roman"/>
                <w:color w:val="000000" w:themeColor="text1"/>
              </w:rPr>
              <w:t xml:space="preserve"> the following year.</w:t>
            </w:r>
          </w:p>
          <w:p w14:paraId="0FB0F39A" w14:textId="77777777" w:rsidR="00FA2DA1" w:rsidRDefault="00FA2DA1" w:rsidP="00FA2DA1">
            <w:pPr>
              <w:pStyle w:val="ListParagraph"/>
              <w:numPr>
                <w:ilvl w:val="0"/>
                <w:numId w:val="101"/>
              </w:numPr>
              <w:spacing w:before="40" w:after="40"/>
              <w:ind w:left="537"/>
              <w:rPr>
                <w:rFonts w:eastAsia="Times New Roman" w:cs="Times New Roman"/>
                <w:color w:val="000000" w:themeColor="text1"/>
              </w:rPr>
            </w:pPr>
            <w:r w:rsidRPr="24408837">
              <w:rPr>
                <w:rFonts w:eastAsia="Times New Roman" w:cs="Times New Roman"/>
                <w:color w:val="000000" w:themeColor="text1"/>
              </w:rPr>
              <w:t>Design project infrastructure to minimize impacts within suitable habitat</w:t>
            </w:r>
            <w:r w:rsidRPr="24408837">
              <w:rPr>
                <w:rFonts w:eastAsia="Times New Roman" w:cs="Times New Roman"/>
                <w:color w:val="000000" w:themeColor="text1"/>
                <w:vertAlign w:val="superscript"/>
              </w:rPr>
              <w:t>2</w:t>
            </w:r>
            <w:r w:rsidRPr="24408837">
              <w:rPr>
                <w:rFonts w:eastAsia="Times New Roman" w:cs="Times New Roman"/>
                <w:color w:val="000000" w:themeColor="text1"/>
              </w:rPr>
              <w:t>:</w:t>
            </w:r>
          </w:p>
          <w:p w14:paraId="127E1A44"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 xml:space="preserve">Reduce well pad size to the minimum needed, without compromising safety, </w:t>
            </w:r>
          </w:p>
          <w:p w14:paraId="0AC24DFA"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Limit new access routes created by the project,</w:t>
            </w:r>
          </w:p>
          <w:p w14:paraId="5B36328B"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 xml:space="preserve">Roads and utilities should share common rights-of-way where possible, </w:t>
            </w:r>
          </w:p>
          <w:p w14:paraId="493DE1F7"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 xml:space="preserve">Reduce the width of rights-of-way and minimize the depth of excavation needed for the </w:t>
            </w:r>
            <w:proofErr w:type="gramStart"/>
            <w:r w:rsidRPr="24408837">
              <w:rPr>
                <w:rFonts w:eastAsia="Times New Roman" w:cs="Times New Roman"/>
                <w:color w:val="000000" w:themeColor="text1"/>
              </w:rPr>
              <w:t>road bed</w:t>
            </w:r>
            <w:proofErr w:type="gramEnd"/>
            <w:r w:rsidRPr="24408837">
              <w:rPr>
                <w:rFonts w:eastAsia="Times New Roman" w:cs="Times New Roman"/>
                <w:color w:val="000000" w:themeColor="text1"/>
              </w:rPr>
              <w:t xml:space="preserve">; where feasible, use the natural ground surface for the road within habitat, </w:t>
            </w:r>
          </w:p>
          <w:p w14:paraId="66128C42"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Place signing to limit off-road travel in sensitive areas, and</w:t>
            </w:r>
          </w:p>
          <w:p w14:paraId="709B9D69"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Stay on designated routes and other cleared/approved areas.</w:t>
            </w:r>
          </w:p>
          <w:p w14:paraId="1CF2B264" w14:textId="77777777" w:rsidR="00FA2DA1" w:rsidRDefault="00FA2DA1" w:rsidP="00FA2DA1">
            <w:pPr>
              <w:pStyle w:val="ListParagraph"/>
              <w:numPr>
                <w:ilvl w:val="0"/>
                <w:numId w:val="101"/>
              </w:numPr>
              <w:spacing w:before="40" w:after="40"/>
              <w:ind w:left="537"/>
              <w:rPr>
                <w:rFonts w:eastAsia="Times New Roman" w:cs="Times New Roman"/>
                <w:color w:val="000000" w:themeColor="text1"/>
              </w:rPr>
            </w:pPr>
            <w:r w:rsidRPr="24408837">
              <w:rPr>
                <w:rFonts w:eastAsia="Times New Roman" w:cs="Times New Roman"/>
                <w:color w:val="000000" w:themeColor="text1"/>
              </w:rPr>
              <w:lastRenderedPageBreak/>
              <w:t>Within occupied habitat, project infrastructure will be designed to avoid direct disturbance and minimize indirect impacts to populations and to individual plants:</w:t>
            </w:r>
          </w:p>
          <w:p w14:paraId="25B279E0"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Follow the above (3.) recommendations for project design within suitable habitats,</w:t>
            </w:r>
          </w:p>
          <w:p w14:paraId="4AFA4E28"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Construction of roads will occur such that the edge of the right of way is at least 300’ from any plant,</w:t>
            </w:r>
          </w:p>
          <w:p w14:paraId="7F952ED1"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Roads will be graveled within occupied habitat; the operator is encouraged to apply water for dust abatement to such areas from May 1</w:t>
            </w:r>
            <w:r w:rsidRPr="24408837">
              <w:rPr>
                <w:rFonts w:eastAsia="Times New Roman" w:cs="Times New Roman"/>
                <w:color w:val="000000" w:themeColor="text1"/>
                <w:vertAlign w:val="superscript"/>
              </w:rPr>
              <w:t>st</w:t>
            </w:r>
            <w:r w:rsidRPr="24408837">
              <w:rPr>
                <w:rFonts w:eastAsia="Times New Roman" w:cs="Times New Roman"/>
                <w:color w:val="000000" w:themeColor="text1"/>
              </w:rPr>
              <w:t xml:space="preserve"> to June 5</w:t>
            </w:r>
            <w:r w:rsidRPr="24408837">
              <w:rPr>
                <w:rFonts w:eastAsia="Times New Roman" w:cs="Times New Roman"/>
                <w:color w:val="000000" w:themeColor="text1"/>
                <w:vertAlign w:val="superscript"/>
              </w:rPr>
              <w:t>th</w:t>
            </w:r>
            <w:r w:rsidRPr="24408837">
              <w:rPr>
                <w:rFonts w:eastAsia="Times New Roman" w:cs="Times New Roman"/>
                <w:color w:val="000000" w:themeColor="text1"/>
              </w:rPr>
              <w:t xml:space="preserve"> (flowering period); dust abatement applications will be comprised of water only,</w:t>
            </w:r>
          </w:p>
          <w:p w14:paraId="19320369"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The edge of the well pad should be located at least 300’ away from plants,</w:t>
            </w:r>
          </w:p>
          <w:p w14:paraId="2EB993CF"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 xml:space="preserve">Surface pipelines will be laid such that a </w:t>
            </w:r>
            <w:proofErr w:type="gramStart"/>
            <w:r w:rsidRPr="24408837">
              <w:rPr>
                <w:rFonts w:eastAsia="Times New Roman" w:cs="Times New Roman"/>
                <w:color w:val="000000" w:themeColor="text1"/>
              </w:rPr>
              <w:t>300 foot</w:t>
            </w:r>
            <w:proofErr w:type="gramEnd"/>
            <w:r w:rsidRPr="24408837">
              <w:rPr>
                <w:rFonts w:eastAsia="Times New Roman" w:cs="Times New Roman"/>
                <w:color w:val="000000" w:themeColor="text1"/>
              </w:rPr>
              <w:t xml:space="preserve"> buffer exists between the edge of the right of way and the plants, use stabilizing and anchoring techniques when the pipeline crosses suitable habitat to ensure pipelines don’t move towards the population,</w:t>
            </w:r>
          </w:p>
          <w:p w14:paraId="20683CAD"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Construction activities will not occur from May 1</w:t>
            </w:r>
            <w:r w:rsidRPr="24408837">
              <w:rPr>
                <w:rFonts w:eastAsia="Times New Roman" w:cs="Times New Roman"/>
                <w:color w:val="000000" w:themeColor="text1"/>
                <w:vertAlign w:val="superscript"/>
              </w:rPr>
              <w:t>st</w:t>
            </w:r>
            <w:r w:rsidRPr="24408837">
              <w:rPr>
                <w:rFonts w:eastAsia="Times New Roman" w:cs="Times New Roman"/>
                <w:color w:val="000000" w:themeColor="text1"/>
              </w:rPr>
              <w:t xml:space="preserve"> through June 5</w:t>
            </w:r>
            <w:r w:rsidRPr="24408837">
              <w:rPr>
                <w:rFonts w:eastAsia="Times New Roman" w:cs="Times New Roman"/>
                <w:color w:val="000000" w:themeColor="text1"/>
                <w:vertAlign w:val="superscript"/>
              </w:rPr>
              <w:t>th</w:t>
            </w:r>
            <w:r w:rsidRPr="24408837">
              <w:rPr>
                <w:rFonts w:eastAsia="Times New Roman" w:cs="Times New Roman"/>
                <w:color w:val="000000" w:themeColor="text1"/>
              </w:rPr>
              <w:t xml:space="preserve"> within occupied habitat,</w:t>
            </w:r>
          </w:p>
          <w:p w14:paraId="59EC6F78"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Before and during construction, areas for avoidance should be visually identifiable in the field, e.g., flagging, temporary fencing, rebar, etc.,</w:t>
            </w:r>
          </w:p>
          <w:p w14:paraId="5E7D3864"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Where technically and economically feasible, use directional drilling or multiple wells from the same pad,</w:t>
            </w:r>
          </w:p>
          <w:p w14:paraId="04E94074"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Designs will avoid concentrating water flows or sediments into occupied habitat,</w:t>
            </w:r>
          </w:p>
          <w:p w14:paraId="035A59BE"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Place produced oil, water, or condensate tanks in centralized locations, away from occupied habitat, and</w:t>
            </w:r>
          </w:p>
          <w:p w14:paraId="3C3178F5" w14:textId="77777777" w:rsidR="00FA2DA1" w:rsidRDefault="00FA2DA1" w:rsidP="00FA2DA1">
            <w:pPr>
              <w:pStyle w:val="ListParagraph"/>
              <w:numPr>
                <w:ilvl w:val="1"/>
                <w:numId w:val="101"/>
              </w:numPr>
              <w:ind w:left="897"/>
              <w:rPr>
                <w:rFonts w:eastAsia="Times New Roman" w:cs="Times New Roman"/>
                <w:color w:val="000000" w:themeColor="text1"/>
              </w:rPr>
            </w:pPr>
            <w:r w:rsidRPr="24408837">
              <w:rPr>
                <w:rFonts w:eastAsia="Times New Roman" w:cs="Times New Roman"/>
                <w:color w:val="000000" w:themeColor="text1"/>
              </w:rPr>
              <w:t xml:space="preserve">Minimize the disturbed area of producing well locations through interim and final reclamation. Reclaim well pads following drilling to the smallest area possible. </w:t>
            </w:r>
          </w:p>
          <w:p w14:paraId="50FA2BEA" w14:textId="77777777" w:rsidR="00FA2DA1" w:rsidRDefault="00FA2DA1" w:rsidP="00FA2DA1">
            <w:pPr>
              <w:pStyle w:val="ListParagraph"/>
              <w:widowControl w:val="0"/>
              <w:numPr>
                <w:ilvl w:val="0"/>
                <w:numId w:val="101"/>
              </w:numPr>
              <w:spacing w:before="40" w:after="40"/>
              <w:ind w:left="537"/>
              <w:rPr>
                <w:rFonts w:eastAsia="Times New Roman" w:cs="Times New Roman"/>
                <w:color w:val="000000" w:themeColor="text1"/>
              </w:rPr>
            </w:pPr>
            <w:r w:rsidRPr="24408837">
              <w:rPr>
                <w:rFonts w:eastAsia="Times New Roman" w:cs="Times New Roman"/>
                <w:color w:val="000000" w:themeColor="text1"/>
              </w:rPr>
              <w:t>Occupied horseshoe milkvetch habitats within 300’ of the edge of the surface pipelines’ right of ways, 300’ of the edge of the roads’ right of ways, and 300’ from the edge of the well pad shall be monitored for a period of three years after ground disturbing activities. Monitoring will include annual plant surveys to determine plant and habitat impacts relative to project facilities. Annual reports shall be provided to the BLM and the Service. To ensure desired results are being achieved, minimization measures will be evaluated and may be changed after a thorough review of the monitoring results and annual reports during annual meetings between the BLM and the Service.</w:t>
            </w:r>
          </w:p>
          <w:p w14:paraId="287392D7" w14:textId="77777777" w:rsidR="00FA2DA1" w:rsidRDefault="00FA2DA1" w:rsidP="00FA2DA1">
            <w:pPr>
              <w:widowControl w:val="0"/>
              <w:spacing w:before="40" w:after="40"/>
              <w:rPr>
                <w:rFonts w:eastAsia="Times New Roman" w:cs="Times New Roman"/>
                <w:color w:val="000000" w:themeColor="text1"/>
              </w:rPr>
            </w:pPr>
            <w:r w:rsidRPr="24408837">
              <w:rPr>
                <w:rFonts w:eastAsia="Times New Roman" w:cs="Times New Roman"/>
                <w:color w:val="000000" w:themeColor="text1"/>
              </w:rPr>
              <w:t>Additional site-specific measures may also be employed to avoid or minimize effects to the species. These additional measures will be developed and implemented in coordination with the U.S. Fish and Wildlife Service.</w:t>
            </w:r>
          </w:p>
        </w:tc>
      </w:tr>
      <w:tr w:rsidR="00FA2DA1" w14:paraId="5074C24B"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2C39A022"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lastRenderedPageBreak/>
              <w:t>UT-LN-96</w:t>
            </w:r>
          </w:p>
        </w:tc>
        <w:tc>
          <w:tcPr>
            <w:tcW w:w="3781" w:type="pct"/>
            <w:tcBorders>
              <w:top w:val="single" w:sz="6" w:space="0" w:color="auto"/>
              <w:left w:val="single" w:sz="6" w:space="0" w:color="auto"/>
              <w:bottom w:val="single" w:sz="6" w:space="0" w:color="auto"/>
              <w:right w:val="single" w:sz="6" w:space="0" w:color="auto"/>
            </w:tcBorders>
            <w:vAlign w:val="center"/>
          </w:tcPr>
          <w:p w14:paraId="39C10D3F" w14:textId="77777777" w:rsidR="00FA2DA1" w:rsidRPr="006B0693" w:rsidRDefault="00FA2DA1" w:rsidP="00FA2DA1">
            <w:pPr>
              <w:pStyle w:val="TableTextLeft"/>
              <w:spacing w:before="40" w:after="40"/>
              <w:rPr>
                <w:rFonts w:ascii="Times New Roman" w:hAnsi="Times New Roman"/>
                <w:b/>
                <w:sz w:val="22"/>
                <w:szCs w:val="22"/>
              </w:rPr>
            </w:pPr>
            <w:r w:rsidRPr="006B0693">
              <w:rPr>
                <w:rFonts w:ascii="Times New Roman" w:hAnsi="Times New Roman"/>
                <w:b/>
                <w:sz w:val="22"/>
                <w:szCs w:val="22"/>
              </w:rPr>
              <w:t>AIR QUALITY MITIGATION MEASURES</w:t>
            </w:r>
          </w:p>
          <w:p w14:paraId="3E25FC02" w14:textId="77777777" w:rsidR="00FA2DA1" w:rsidRPr="006B0693" w:rsidRDefault="00FA2DA1" w:rsidP="00FA2DA1">
            <w:pPr>
              <w:pStyle w:val="TableTextLeft"/>
              <w:spacing w:before="40" w:after="40"/>
              <w:rPr>
                <w:rFonts w:ascii="Times New Roman" w:hAnsi="Times New Roman"/>
                <w:color w:val="000000"/>
                <w:sz w:val="22"/>
                <w:szCs w:val="22"/>
              </w:rPr>
            </w:pPr>
            <w:r w:rsidRPr="006B0693">
              <w:rPr>
                <w:rFonts w:ascii="Times New Roman" w:hAnsi="Times New Roman"/>
                <w:sz w:val="22"/>
                <w:szCs w:val="22"/>
              </w:rPr>
              <w:t xml:space="preserve">The lessee is given notice that the Bureau of Land Management (BLM) in coordination with the U.S. Environmental Protection Agency and the Utah </w:t>
            </w:r>
            <w:r w:rsidRPr="006B0693">
              <w:rPr>
                <w:rFonts w:ascii="Times New Roman" w:hAnsi="Times New Roman"/>
                <w:sz w:val="22"/>
                <w:szCs w:val="22"/>
              </w:rPr>
              <w:lastRenderedPageBreak/>
              <w:t>Department of Air Quality, among others, has developed the following air quality mitigation measures that may be applied to any development proposed on this lease. Integration of and adherence to these measures may help minimize adverse local or regional air quality impacts from oil and gas development (including but not limited to construction, drilling, and production) on regional ozone formation.</w:t>
            </w:r>
          </w:p>
          <w:p w14:paraId="5241B590"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All internal combustion equipment would be kept in good working order.</w:t>
            </w:r>
          </w:p>
          <w:p w14:paraId="3DDF312D"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 xml:space="preserve">Water or other approved dust suppressants would be used at construction sites and along roads, as determined appropriate by the </w:t>
            </w:r>
            <w:r>
              <w:rPr>
                <w:rFonts w:ascii="Times New Roman" w:hAnsi="Times New Roman"/>
                <w:sz w:val="22"/>
                <w:szCs w:val="22"/>
              </w:rPr>
              <w:t>AO</w:t>
            </w:r>
            <w:r w:rsidRPr="006B0693">
              <w:rPr>
                <w:rFonts w:ascii="Times New Roman" w:hAnsi="Times New Roman"/>
                <w:sz w:val="22"/>
                <w:szCs w:val="22"/>
              </w:rPr>
              <w:t>.</w:t>
            </w:r>
          </w:p>
          <w:p w14:paraId="366E5959"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Open burning of garbage or refuse would not occur at well sites or other facilities.</w:t>
            </w:r>
          </w:p>
          <w:p w14:paraId="4266888B"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Drill rigs would be equipped with Tier II or better diesel engines.</w:t>
            </w:r>
          </w:p>
          <w:p w14:paraId="729114D5"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Vent emissions from stock tanks and natural gas TEG dehydrators would be controlled by routing the emissions to a flare or similar control device which would reduce emissions by 95% or greater.</w:t>
            </w:r>
          </w:p>
          <w:p w14:paraId="42D93580"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Low bleed or no bleed pneumatics would be installed on separator dump valves and other controllers.</w:t>
            </w:r>
          </w:p>
          <w:p w14:paraId="21E64EBC"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During completion, flaring would be limited as much as possible. Production equipment and gathering lines would be installed as soon as possible.</w:t>
            </w:r>
          </w:p>
          <w:p w14:paraId="1B6756F8"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Well site telemetry would be utilized as feasible for production operations.</w:t>
            </w:r>
          </w:p>
          <w:p w14:paraId="6680254F" w14:textId="77777777" w:rsidR="00FA2DA1" w:rsidRPr="006B0693" w:rsidRDefault="00FA2DA1" w:rsidP="00FA2DA1">
            <w:pPr>
              <w:pStyle w:val="TableTextLeft"/>
              <w:numPr>
                <w:ilvl w:val="0"/>
                <w:numId w:val="34"/>
              </w:numPr>
              <w:spacing w:before="40" w:after="40"/>
              <w:rPr>
                <w:rFonts w:ascii="Times New Roman" w:hAnsi="Times New Roman"/>
                <w:color w:val="000000"/>
                <w:sz w:val="22"/>
                <w:szCs w:val="22"/>
              </w:rPr>
            </w:pPr>
            <w:r w:rsidRPr="006B0693">
              <w:rPr>
                <w:rFonts w:ascii="Times New Roman" w:hAnsi="Times New Roman"/>
                <w:sz w:val="22"/>
                <w:szCs w:val="22"/>
              </w:rPr>
              <w:t>Stationary internal combustion engine would comply with the following standards:  2g NOx/bhp-</w:t>
            </w:r>
            <w:proofErr w:type="spellStart"/>
            <w:r w:rsidRPr="006B0693">
              <w:rPr>
                <w:rFonts w:ascii="Times New Roman" w:hAnsi="Times New Roman"/>
                <w:sz w:val="22"/>
                <w:szCs w:val="22"/>
              </w:rPr>
              <w:t>hr</w:t>
            </w:r>
            <w:proofErr w:type="spellEnd"/>
            <w:r w:rsidRPr="006B0693">
              <w:rPr>
                <w:rFonts w:ascii="Times New Roman" w:hAnsi="Times New Roman"/>
                <w:sz w:val="22"/>
                <w:szCs w:val="22"/>
              </w:rPr>
              <w:t xml:space="preserve"> for engines &lt;300HP; and 1g NOx/bhp-</w:t>
            </w:r>
            <w:proofErr w:type="spellStart"/>
            <w:r w:rsidRPr="006B0693">
              <w:rPr>
                <w:rFonts w:ascii="Times New Roman" w:hAnsi="Times New Roman"/>
                <w:sz w:val="22"/>
                <w:szCs w:val="22"/>
              </w:rPr>
              <w:t>hr</w:t>
            </w:r>
            <w:proofErr w:type="spellEnd"/>
            <w:r w:rsidRPr="006B0693">
              <w:rPr>
                <w:rFonts w:ascii="Times New Roman" w:hAnsi="Times New Roman"/>
                <w:sz w:val="22"/>
                <w:szCs w:val="22"/>
              </w:rPr>
              <w:t xml:space="preserve"> for engines &gt;300HP.</w:t>
            </w:r>
          </w:p>
          <w:p w14:paraId="5D2430E6" w14:textId="77777777" w:rsidR="00FA2DA1" w:rsidRPr="006B0693" w:rsidRDefault="00FA2DA1" w:rsidP="00FA2DA1">
            <w:pPr>
              <w:pStyle w:val="TableTextLeft"/>
              <w:spacing w:before="40" w:after="40"/>
              <w:rPr>
                <w:rFonts w:ascii="Times New Roman" w:hAnsi="Times New Roman"/>
                <w:sz w:val="22"/>
                <w:szCs w:val="22"/>
              </w:rPr>
            </w:pPr>
            <w:r w:rsidRPr="006B0693">
              <w:rPr>
                <w:rFonts w:ascii="Times New Roman" w:hAnsi="Times New Roman"/>
                <w:sz w:val="22"/>
                <w:szCs w:val="22"/>
              </w:rPr>
              <w:t>Additional site-specific measures may also be employed to avoid or minimize effects to local or regional air quality. These additional measures will be developed and implemented in coordination with the U.S. Environmental Protection Agency, the Utah Department of Air Quality, and other agencies with expertise or jurisdiction as appropriate based on the size of the project and magnitude of emissions.</w:t>
            </w:r>
          </w:p>
        </w:tc>
      </w:tr>
      <w:tr w:rsidR="00FA2DA1" w14:paraId="56F1F11A"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2A4E8FD0"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t>UT-LN-99</w:t>
            </w:r>
          </w:p>
        </w:tc>
        <w:tc>
          <w:tcPr>
            <w:tcW w:w="3781" w:type="pct"/>
            <w:tcBorders>
              <w:top w:val="single" w:sz="6" w:space="0" w:color="auto"/>
              <w:left w:val="single" w:sz="6" w:space="0" w:color="auto"/>
              <w:bottom w:val="single" w:sz="6" w:space="0" w:color="auto"/>
              <w:right w:val="single" w:sz="6" w:space="0" w:color="auto"/>
            </w:tcBorders>
            <w:vAlign w:val="center"/>
          </w:tcPr>
          <w:p w14:paraId="22EFECDD" w14:textId="77777777" w:rsidR="00FA2DA1" w:rsidRPr="006B0693" w:rsidRDefault="00FA2DA1" w:rsidP="00FA2DA1">
            <w:pPr>
              <w:pStyle w:val="TableTextLeft"/>
              <w:spacing w:before="40" w:after="40"/>
              <w:rPr>
                <w:rFonts w:ascii="Times New Roman" w:hAnsi="Times New Roman"/>
                <w:b/>
                <w:caps/>
                <w:sz w:val="22"/>
                <w:szCs w:val="22"/>
              </w:rPr>
            </w:pPr>
            <w:r w:rsidRPr="006B0693">
              <w:rPr>
                <w:rFonts w:ascii="Times New Roman" w:hAnsi="Times New Roman"/>
                <w:b/>
                <w:caps/>
                <w:sz w:val="22"/>
                <w:szCs w:val="22"/>
              </w:rPr>
              <w:t>Regional Ozone Formation Controls</w:t>
            </w:r>
          </w:p>
          <w:p w14:paraId="695EAD01" w14:textId="77777777" w:rsidR="00FA2DA1" w:rsidRPr="006B0693" w:rsidRDefault="00FA2DA1" w:rsidP="00FA2DA1">
            <w:pPr>
              <w:pStyle w:val="TableTextLeft"/>
              <w:spacing w:before="40" w:after="40"/>
              <w:rPr>
                <w:rFonts w:ascii="Times New Roman" w:eastAsiaTheme="minorEastAsia" w:hAnsi="Times New Roman"/>
                <w:sz w:val="22"/>
                <w:szCs w:val="22"/>
              </w:rPr>
            </w:pPr>
            <w:r w:rsidRPr="006B0693">
              <w:rPr>
                <w:rFonts w:ascii="Times New Roman" w:eastAsiaTheme="minorEastAsia" w:hAnsi="Times New Roman"/>
                <w:sz w:val="22"/>
                <w:szCs w:val="22"/>
              </w:rPr>
              <w:t>To mitigate any potential impact oil and gas development emissions may have on regional ozone formation, the following Best Management Practices (BMPs) would be required for any development projects:</w:t>
            </w:r>
          </w:p>
          <w:p w14:paraId="701FED95" w14:textId="77777777" w:rsidR="00FA2DA1" w:rsidRPr="006B0693" w:rsidRDefault="00FA2DA1" w:rsidP="00FA2DA1">
            <w:pPr>
              <w:pStyle w:val="TableTextLeft"/>
              <w:numPr>
                <w:ilvl w:val="0"/>
                <w:numId w:val="35"/>
              </w:numPr>
              <w:spacing w:before="40" w:after="40"/>
              <w:rPr>
                <w:rFonts w:ascii="Times New Roman" w:eastAsiaTheme="minorEastAsia" w:hAnsi="Times New Roman"/>
                <w:sz w:val="22"/>
                <w:szCs w:val="22"/>
              </w:rPr>
            </w:pPr>
            <w:r w:rsidRPr="006B0693">
              <w:rPr>
                <w:rFonts w:ascii="Times New Roman" w:eastAsiaTheme="minorEastAsia" w:hAnsi="Times New Roman"/>
                <w:sz w:val="22"/>
                <w:szCs w:val="22"/>
              </w:rPr>
              <w:t>Tier II or better drilling rig engines</w:t>
            </w:r>
          </w:p>
          <w:p w14:paraId="13EA4E64" w14:textId="77777777" w:rsidR="00FA2DA1" w:rsidRPr="006B0693" w:rsidRDefault="00FA2DA1" w:rsidP="00FA2DA1">
            <w:pPr>
              <w:pStyle w:val="TableTextLeft"/>
              <w:numPr>
                <w:ilvl w:val="0"/>
                <w:numId w:val="35"/>
              </w:numPr>
              <w:spacing w:before="40" w:after="40"/>
              <w:rPr>
                <w:rFonts w:ascii="Times New Roman" w:eastAsiaTheme="minorEastAsia" w:hAnsi="Times New Roman"/>
                <w:sz w:val="22"/>
                <w:szCs w:val="22"/>
              </w:rPr>
            </w:pPr>
            <w:r w:rsidRPr="006B0693">
              <w:rPr>
                <w:rFonts w:ascii="Times New Roman" w:eastAsiaTheme="minorEastAsia" w:hAnsi="Times New Roman"/>
                <w:sz w:val="22"/>
                <w:szCs w:val="22"/>
              </w:rPr>
              <w:t>Stationary internal combustion engine standard of 2g NOx/bhp-</w:t>
            </w:r>
            <w:proofErr w:type="spellStart"/>
            <w:r w:rsidRPr="006B0693">
              <w:rPr>
                <w:rFonts w:ascii="Times New Roman" w:eastAsiaTheme="minorEastAsia" w:hAnsi="Times New Roman"/>
                <w:sz w:val="22"/>
                <w:szCs w:val="22"/>
              </w:rPr>
              <w:t>hr</w:t>
            </w:r>
            <w:proofErr w:type="spellEnd"/>
            <w:r w:rsidRPr="006B0693">
              <w:rPr>
                <w:rFonts w:ascii="Times New Roman" w:eastAsiaTheme="minorEastAsia" w:hAnsi="Times New Roman"/>
                <w:sz w:val="22"/>
                <w:szCs w:val="22"/>
              </w:rPr>
              <w:t xml:space="preserve"> for engines &lt;300HP and 1g NOx/bhp-</w:t>
            </w:r>
            <w:proofErr w:type="spellStart"/>
            <w:r w:rsidRPr="006B0693">
              <w:rPr>
                <w:rFonts w:ascii="Times New Roman" w:eastAsiaTheme="minorEastAsia" w:hAnsi="Times New Roman"/>
                <w:sz w:val="22"/>
                <w:szCs w:val="22"/>
              </w:rPr>
              <w:t>hr</w:t>
            </w:r>
            <w:proofErr w:type="spellEnd"/>
            <w:r w:rsidRPr="006B0693">
              <w:rPr>
                <w:rFonts w:ascii="Times New Roman" w:eastAsiaTheme="minorEastAsia" w:hAnsi="Times New Roman"/>
                <w:sz w:val="22"/>
                <w:szCs w:val="22"/>
              </w:rPr>
              <w:t xml:space="preserve"> for engines &gt;300HP</w:t>
            </w:r>
          </w:p>
          <w:p w14:paraId="1ECDFD1D" w14:textId="77777777" w:rsidR="00FA2DA1" w:rsidRPr="006B0693" w:rsidRDefault="00FA2DA1" w:rsidP="00FA2DA1">
            <w:pPr>
              <w:pStyle w:val="TableTextLeft"/>
              <w:numPr>
                <w:ilvl w:val="0"/>
                <w:numId w:val="35"/>
              </w:numPr>
              <w:spacing w:before="40" w:after="40"/>
              <w:rPr>
                <w:rFonts w:ascii="Times New Roman" w:eastAsiaTheme="minorEastAsia" w:hAnsi="Times New Roman"/>
                <w:sz w:val="22"/>
                <w:szCs w:val="22"/>
              </w:rPr>
            </w:pPr>
            <w:r w:rsidRPr="006B0693">
              <w:rPr>
                <w:rFonts w:ascii="Times New Roman" w:eastAsiaTheme="minorEastAsia" w:hAnsi="Times New Roman"/>
                <w:sz w:val="22"/>
                <w:szCs w:val="22"/>
              </w:rPr>
              <w:t>Low bleed or no bleed pneumatic pump valves</w:t>
            </w:r>
          </w:p>
          <w:p w14:paraId="5F741082" w14:textId="77777777" w:rsidR="00FA2DA1" w:rsidRPr="006B0693" w:rsidRDefault="00FA2DA1" w:rsidP="00FA2DA1">
            <w:pPr>
              <w:pStyle w:val="TableTextLeft"/>
              <w:numPr>
                <w:ilvl w:val="0"/>
                <w:numId w:val="35"/>
              </w:numPr>
              <w:spacing w:before="40" w:after="40"/>
              <w:rPr>
                <w:rFonts w:ascii="Times New Roman" w:eastAsiaTheme="minorEastAsia" w:hAnsi="Times New Roman"/>
                <w:sz w:val="22"/>
                <w:szCs w:val="22"/>
              </w:rPr>
            </w:pPr>
            <w:r w:rsidRPr="006B0693">
              <w:rPr>
                <w:rFonts w:ascii="Times New Roman" w:eastAsiaTheme="minorEastAsia" w:hAnsi="Times New Roman"/>
                <w:sz w:val="22"/>
                <w:szCs w:val="22"/>
              </w:rPr>
              <w:t>Dehydrator VOC emission controls to +95% efficiency</w:t>
            </w:r>
          </w:p>
          <w:p w14:paraId="02AA364E" w14:textId="77777777" w:rsidR="00FA2DA1" w:rsidRPr="006B0693" w:rsidRDefault="00FA2DA1" w:rsidP="00FA2DA1">
            <w:pPr>
              <w:pStyle w:val="TableTextLeft"/>
              <w:numPr>
                <w:ilvl w:val="0"/>
                <w:numId w:val="35"/>
              </w:numPr>
              <w:spacing w:before="40" w:after="40"/>
              <w:rPr>
                <w:rFonts w:ascii="Times New Roman" w:hAnsi="Times New Roman"/>
                <w:sz w:val="22"/>
                <w:szCs w:val="22"/>
              </w:rPr>
            </w:pPr>
            <w:r w:rsidRPr="006B0693">
              <w:rPr>
                <w:rFonts w:ascii="Times New Roman" w:eastAsiaTheme="minorEastAsia" w:hAnsi="Times New Roman"/>
                <w:sz w:val="22"/>
                <w:szCs w:val="22"/>
              </w:rPr>
              <w:t>Tank VOC emission controls to +95% efficiency</w:t>
            </w:r>
            <w:r w:rsidRPr="3B48529A">
              <w:rPr>
                <w:rFonts w:ascii="Times New Roman" w:eastAsiaTheme="minorEastAsia" w:hAnsi="Times New Roman"/>
                <w:sz w:val="22"/>
                <w:szCs w:val="22"/>
              </w:rPr>
              <w:t>.</w:t>
            </w:r>
          </w:p>
        </w:tc>
      </w:tr>
      <w:tr w:rsidR="00FA2DA1" w14:paraId="14F7DAA9"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1ABB5714"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t>UT-LN-102</w:t>
            </w:r>
          </w:p>
        </w:tc>
        <w:tc>
          <w:tcPr>
            <w:tcW w:w="3781" w:type="pct"/>
            <w:tcBorders>
              <w:top w:val="single" w:sz="6" w:space="0" w:color="auto"/>
              <w:left w:val="single" w:sz="6" w:space="0" w:color="auto"/>
              <w:bottom w:val="single" w:sz="6" w:space="0" w:color="auto"/>
              <w:right w:val="single" w:sz="6" w:space="0" w:color="auto"/>
            </w:tcBorders>
            <w:vAlign w:val="center"/>
          </w:tcPr>
          <w:p w14:paraId="20086293" w14:textId="77777777" w:rsidR="00FA2DA1" w:rsidRPr="006B0693" w:rsidRDefault="00FA2DA1" w:rsidP="00FA2DA1">
            <w:pPr>
              <w:pStyle w:val="TableTextLeft"/>
              <w:spacing w:before="40" w:after="40"/>
              <w:rPr>
                <w:rFonts w:ascii="Times New Roman" w:eastAsiaTheme="minorEastAsia" w:hAnsi="Times New Roman"/>
                <w:b/>
                <w:color w:val="000000"/>
                <w:sz w:val="22"/>
                <w:szCs w:val="22"/>
              </w:rPr>
            </w:pPr>
            <w:r w:rsidRPr="006B0693">
              <w:rPr>
                <w:rFonts w:ascii="Times New Roman" w:eastAsiaTheme="minorEastAsia" w:hAnsi="Times New Roman"/>
                <w:b/>
                <w:sz w:val="22"/>
                <w:szCs w:val="22"/>
              </w:rPr>
              <w:t>AIR QUALITY ANALYSIS</w:t>
            </w:r>
          </w:p>
          <w:p w14:paraId="7CBA5FBD" w14:textId="77777777" w:rsidR="00FA2DA1" w:rsidRPr="006B0693" w:rsidRDefault="00FA2DA1" w:rsidP="00FA2DA1">
            <w:pPr>
              <w:pStyle w:val="TableTextLeft"/>
              <w:spacing w:before="40" w:after="40"/>
              <w:rPr>
                <w:rFonts w:ascii="Times New Roman" w:hAnsi="Times New Roman"/>
                <w:sz w:val="22"/>
                <w:szCs w:val="22"/>
              </w:rPr>
            </w:pPr>
            <w:r w:rsidRPr="006B0693">
              <w:rPr>
                <w:rFonts w:ascii="Times New Roman" w:eastAsiaTheme="minorEastAsia" w:hAnsi="Times New Roman"/>
                <w:sz w:val="22"/>
                <w:szCs w:val="22"/>
              </w:rPr>
              <w:lastRenderedPageBreak/>
              <w:t>The lessee/operator is given notice that prior to project-specific approval, additional air quality analyses may be required to comply with the National Environmental Policy Act, Federal Land Policy Management Act, and/or other applicable laws and regulations. Analyses may include dispersion modeling and/or photochemical modeling for deposition and visibility impacts analysis, control equipment determinations, and/or emission inventory development. These analyses may result in the imposition of additional project-specific air quality control measures.</w:t>
            </w:r>
          </w:p>
        </w:tc>
      </w:tr>
      <w:tr w:rsidR="00FA2DA1" w14:paraId="0357FAF2" w14:textId="77777777" w:rsidTr="00FA2DA1">
        <w:tc>
          <w:tcPr>
            <w:tcW w:w="1219" w:type="pct"/>
            <w:tcBorders>
              <w:top w:val="single" w:sz="6" w:space="0" w:color="auto"/>
              <w:left w:val="single" w:sz="6" w:space="0" w:color="auto"/>
              <w:bottom w:val="single" w:sz="6" w:space="0" w:color="auto"/>
              <w:right w:val="single" w:sz="6" w:space="0" w:color="auto"/>
            </w:tcBorders>
            <w:vAlign w:val="center"/>
          </w:tcPr>
          <w:p w14:paraId="038C48C2" w14:textId="77777777" w:rsidR="00FA2DA1" w:rsidRPr="006B0693" w:rsidRDefault="00FA2DA1" w:rsidP="00FA2DA1">
            <w:pPr>
              <w:pStyle w:val="TableTextLeft"/>
              <w:rPr>
                <w:rFonts w:ascii="Times New Roman" w:hAnsi="Times New Roman"/>
                <w:b/>
                <w:sz w:val="22"/>
                <w:szCs w:val="22"/>
              </w:rPr>
            </w:pPr>
            <w:r w:rsidRPr="006B0693">
              <w:rPr>
                <w:rFonts w:ascii="Times New Roman" w:hAnsi="Times New Roman"/>
                <w:b/>
                <w:sz w:val="22"/>
                <w:szCs w:val="22"/>
              </w:rPr>
              <w:lastRenderedPageBreak/>
              <w:t>UT-LN-128 </w:t>
            </w:r>
          </w:p>
        </w:tc>
        <w:tc>
          <w:tcPr>
            <w:tcW w:w="3781" w:type="pct"/>
            <w:tcBorders>
              <w:top w:val="single" w:sz="6" w:space="0" w:color="auto"/>
              <w:left w:val="single" w:sz="6" w:space="0" w:color="auto"/>
              <w:bottom w:val="single" w:sz="6" w:space="0" w:color="auto"/>
              <w:right w:val="single" w:sz="6" w:space="0" w:color="auto"/>
            </w:tcBorders>
          </w:tcPr>
          <w:p w14:paraId="37CFF944" w14:textId="77777777" w:rsidR="00FA2DA1" w:rsidRPr="006B0693" w:rsidRDefault="00FA2DA1" w:rsidP="00FA2DA1">
            <w:pPr>
              <w:pStyle w:val="TableTextLeft"/>
              <w:spacing w:before="40" w:after="40"/>
              <w:rPr>
                <w:rFonts w:ascii="Times New Roman" w:hAnsi="Times New Roman"/>
                <w:b/>
                <w:sz w:val="22"/>
                <w:szCs w:val="22"/>
              </w:rPr>
            </w:pPr>
            <w:r w:rsidRPr="006B0693">
              <w:rPr>
                <w:rFonts w:ascii="Times New Roman" w:hAnsi="Times New Roman"/>
                <w:b/>
                <w:sz w:val="22"/>
                <w:szCs w:val="22"/>
              </w:rPr>
              <w:t>FLOODPLAIN MANAGEMENT </w:t>
            </w:r>
          </w:p>
          <w:p w14:paraId="409A87C9" w14:textId="77777777" w:rsidR="00FA2DA1" w:rsidRPr="006B0693" w:rsidRDefault="00FA2DA1" w:rsidP="00FA2DA1">
            <w:pPr>
              <w:pStyle w:val="TableTextLeft"/>
              <w:spacing w:before="40" w:after="40"/>
              <w:rPr>
                <w:rFonts w:ascii="Times New Roman" w:hAnsi="Times New Roman"/>
                <w:color w:val="222222"/>
                <w:sz w:val="22"/>
                <w:szCs w:val="22"/>
              </w:rPr>
            </w:pPr>
            <w:r w:rsidRPr="006B0693">
              <w:rPr>
                <w:rFonts w:ascii="Times New Roman" w:hAnsi="Times New Roman"/>
                <w:color w:val="222222"/>
                <w:sz w:val="22"/>
                <w:szCs w:val="22"/>
              </w:rPr>
              <w:t>The lessee/operator is given notice that, in accordance with Executive Order 11988, to avoid adverse impact to floodplains</w:t>
            </w:r>
            <w:r w:rsidRPr="0728BE2A">
              <w:rPr>
                <w:rFonts w:ascii="Times New Roman" w:hAnsi="Times New Roman"/>
                <w:color w:val="222222"/>
                <w:sz w:val="22"/>
                <w:szCs w:val="22"/>
              </w:rPr>
              <w:t>:</w:t>
            </w:r>
            <w:r w:rsidRPr="006B0693">
              <w:rPr>
                <w:rFonts w:ascii="Times New Roman" w:hAnsi="Times New Roman"/>
                <w:color w:val="222222"/>
                <w:sz w:val="22"/>
                <w:szCs w:val="22"/>
              </w:rPr>
              <w:t xml:space="preserve"> 1) facilities should be located outside the 100-year floodplain, or 2) would be minimized or mitigated by modification of surface use plans within floodplains present within the lease. </w:t>
            </w:r>
          </w:p>
        </w:tc>
      </w:tr>
      <w:tr w:rsidR="00FA2DA1" w14:paraId="0E2C7032" w14:textId="77777777" w:rsidTr="00FA2DA1">
        <w:trPr>
          <w:trHeight w:val="300"/>
        </w:trPr>
        <w:tc>
          <w:tcPr>
            <w:tcW w:w="1219" w:type="pct"/>
            <w:tcBorders>
              <w:top w:val="single" w:sz="6" w:space="0" w:color="auto"/>
              <w:left w:val="single" w:sz="6" w:space="0" w:color="auto"/>
              <w:bottom w:val="single" w:sz="6" w:space="0" w:color="auto"/>
              <w:right w:val="single" w:sz="6" w:space="0" w:color="auto"/>
            </w:tcBorders>
            <w:vAlign w:val="center"/>
          </w:tcPr>
          <w:p w14:paraId="6142CFFB" w14:textId="77777777" w:rsidR="00FA2DA1" w:rsidRDefault="00FA2DA1" w:rsidP="00FA2DA1">
            <w:pPr>
              <w:pStyle w:val="TableTextLeft"/>
              <w:rPr>
                <w:b/>
                <w:bCs/>
              </w:rPr>
            </w:pPr>
            <w:r w:rsidRPr="24408837">
              <w:rPr>
                <w:rFonts w:ascii="Times New Roman" w:hAnsi="Times New Roman"/>
                <w:b/>
                <w:bCs/>
                <w:sz w:val="22"/>
                <w:szCs w:val="22"/>
              </w:rPr>
              <w:t>UT-LN-156</w:t>
            </w:r>
          </w:p>
        </w:tc>
        <w:tc>
          <w:tcPr>
            <w:tcW w:w="3781" w:type="pct"/>
            <w:tcBorders>
              <w:top w:val="single" w:sz="6" w:space="0" w:color="auto"/>
              <w:left w:val="single" w:sz="6" w:space="0" w:color="auto"/>
              <w:bottom w:val="single" w:sz="6" w:space="0" w:color="auto"/>
              <w:right w:val="single" w:sz="6" w:space="0" w:color="auto"/>
            </w:tcBorders>
          </w:tcPr>
          <w:p w14:paraId="5B31C79E" w14:textId="77777777" w:rsidR="00FA2DA1" w:rsidRDefault="00FA2DA1" w:rsidP="00FA2DA1">
            <w:pPr>
              <w:widowControl w:val="0"/>
              <w:spacing w:before="40" w:after="40"/>
              <w:jc w:val="center"/>
              <w:rPr>
                <w:rFonts w:eastAsia="Times New Roman" w:cs="Times New Roman"/>
                <w:color w:val="000000" w:themeColor="text1"/>
              </w:rPr>
            </w:pPr>
            <w:r w:rsidRPr="24408837">
              <w:rPr>
                <w:rFonts w:eastAsia="Times New Roman" w:cs="Times New Roman"/>
                <w:b/>
                <w:bCs/>
                <w:color w:val="000000" w:themeColor="text1"/>
              </w:rPr>
              <w:t>POLLINATORS AND POLLINATOR HABITAT</w:t>
            </w:r>
          </w:p>
          <w:p w14:paraId="1FC3E6C5" w14:textId="77777777" w:rsidR="00FA2DA1" w:rsidRDefault="00FA2DA1" w:rsidP="00FA2DA1">
            <w:pPr>
              <w:widowControl w:val="0"/>
              <w:spacing w:before="40" w:after="40"/>
              <w:rPr>
                <w:rFonts w:eastAsia="Times New Roman" w:cs="Times New Roman"/>
                <w:color w:val="000000" w:themeColor="text1"/>
              </w:rPr>
            </w:pPr>
            <w:proofErr w:type="gramStart"/>
            <w:r w:rsidRPr="24408837">
              <w:rPr>
                <w:rFonts w:eastAsia="Times New Roman" w:cs="Times New Roman"/>
                <w:color w:val="000000" w:themeColor="text1"/>
              </w:rPr>
              <w:t>In order to</w:t>
            </w:r>
            <w:proofErr w:type="gramEnd"/>
            <w:r w:rsidRPr="24408837">
              <w:rPr>
                <w:rFonts w:eastAsia="Times New Roman" w:cs="Times New Roman"/>
                <w:color w:val="000000" w:themeColor="text1"/>
              </w:rPr>
              <w:t xml:space="preserve"> protect pollinators and pollinator habitat, in accordance with BLM policy outlined in Instruction Memorandum No. 2016-013, Managing for Pollinators on Public Lands, and Pollinator-Friendly Best Management Practices for Federal Lands (2015), the following avoidance, minimization, and mitigation measures would apply to this parcel:</w:t>
            </w:r>
          </w:p>
          <w:p w14:paraId="3978DC66" w14:textId="77777777" w:rsidR="00FA2DA1" w:rsidRDefault="00FA2DA1" w:rsidP="00FA2DA1">
            <w:pPr>
              <w:pStyle w:val="ListParagraph"/>
              <w:numPr>
                <w:ilvl w:val="0"/>
                <w:numId w:val="114"/>
              </w:numPr>
              <w:spacing w:before="40" w:after="40"/>
              <w:ind w:left="511"/>
              <w:rPr>
                <w:rFonts w:eastAsia="Times New Roman" w:cs="Times New Roman"/>
                <w:color w:val="000000" w:themeColor="text1"/>
              </w:rPr>
            </w:pPr>
            <w:r w:rsidRPr="24408837">
              <w:rPr>
                <w:rFonts w:eastAsia="Times New Roman" w:cs="Times New Roman"/>
                <w:color w:val="000000" w:themeColor="text1"/>
              </w:rPr>
              <w:t xml:space="preserve">Give a preference for placing well pads in previously disturbed areas, dry areas that do not support forbs, or areas dominated by nonnative grasses.  </w:t>
            </w:r>
          </w:p>
          <w:p w14:paraId="6CABFDCF" w14:textId="77777777" w:rsidR="00FA2DA1" w:rsidRDefault="00FA2DA1" w:rsidP="00FA2DA1">
            <w:pPr>
              <w:pStyle w:val="ListParagraph"/>
              <w:numPr>
                <w:ilvl w:val="0"/>
                <w:numId w:val="114"/>
              </w:numPr>
              <w:spacing w:before="40" w:after="40"/>
              <w:ind w:left="511"/>
              <w:rPr>
                <w:rFonts w:eastAsia="Times New Roman" w:cs="Times New Roman"/>
                <w:color w:val="000000" w:themeColor="text1"/>
              </w:rPr>
            </w:pPr>
            <w:r w:rsidRPr="24408837">
              <w:rPr>
                <w:rFonts w:eastAsia="Times New Roman" w:cs="Times New Roman"/>
                <w:color w:val="000000" w:themeColor="text1"/>
              </w:rPr>
              <w:t>Utilize existing well pads where feasible.</w:t>
            </w:r>
          </w:p>
          <w:p w14:paraId="1D34D65A" w14:textId="77777777" w:rsidR="00FA2DA1" w:rsidRDefault="00FA2DA1" w:rsidP="00FA2DA1">
            <w:pPr>
              <w:pStyle w:val="ListParagraph"/>
              <w:numPr>
                <w:ilvl w:val="0"/>
                <w:numId w:val="114"/>
              </w:numPr>
              <w:spacing w:before="40" w:after="40"/>
              <w:ind w:left="511"/>
              <w:rPr>
                <w:rFonts w:eastAsia="Times New Roman" w:cs="Times New Roman"/>
                <w:color w:val="000000" w:themeColor="text1"/>
              </w:rPr>
            </w:pPr>
            <w:r w:rsidRPr="24408837">
              <w:rPr>
                <w:rFonts w:eastAsia="Times New Roman" w:cs="Times New Roman"/>
                <w:color w:val="000000" w:themeColor="text1"/>
              </w:rPr>
              <w:t xml:space="preserve">Avoid disturbance to native milkweed patches within Monarch migration routes to protect Monarch butterfly habitat. </w:t>
            </w:r>
          </w:p>
          <w:p w14:paraId="0F1000C2" w14:textId="77777777" w:rsidR="00FA2DA1" w:rsidRDefault="00FA2DA1" w:rsidP="00FA2DA1">
            <w:pPr>
              <w:pStyle w:val="ListParagraph"/>
              <w:numPr>
                <w:ilvl w:val="0"/>
                <w:numId w:val="114"/>
              </w:numPr>
              <w:spacing w:before="40" w:after="40"/>
              <w:ind w:left="511"/>
              <w:rPr>
                <w:rFonts w:eastAsia="Times New Roman" w:cs="Times New Roman"/>
                <w:color w:val="000000" w:themeColor="text1"/>
              </w:rPr>
            </w:pPr>
            <w:r w:rsidRPr="24408837">
              <w:rPr>
                <w:rFonts w:eastAsia="Times New Roman" w:cs="Times New Roman"/>
                <w:color w:val="000000" w:themeColor="text1"/>
              </w:rPr>
              <w:t xml:space="preserve">Avoid disturbance of riparian and meadow sites, as well as </w:t>
            </w:r>
            <w:proofErr w:type="gramStart"/>
            <w:r w:rsidRPr="24408837">
              <w:rPr>
                <w:rFonts w:eastAsia="Times New Roman" w:cs="Times New Roman"/>
                <w:color w:val="000000" w:themeColor="text1"/>
              </w:rPr>
              <w:t>small depressed</w:t>
            </w:r>
            <w:proofErr w:type="gramEnd"/>
            <w:r w:rsidRPr="24408837">
              <w:rPr>
                <w:rFonts w:eastAsia="Times New Roman" w:cs="Times New Roman"/>
                <w:color w:val="000000" w:themeColor="text1"/>
              </w:rPr>
              <w:t xml:space="preserve"> areas that may function as water catchments and host nectar-producing species, to protect Monarch butterfly habitat and </w:t>
            </w:r>
            <w:proofErr w:type="spellStart"/>
            <w:r w:rsidRPr="24408837">
              <w:rPr>
                <w:rFonts w:eastAsia="Times New Roman" w:cs="Times New Roman"/>
                <w:color w:val="000000" w:themeColor="text1"/>
              </w:rPr>
              <w:t>nectaring</w:t>
            </w:r>
            <w:proofErr w:type="spellEnd"/>
            <w:r w:rsidRPr="24408837">
              <w:rPr>
                <w:rFonts w:eastAsia="Times New Roman" w:cs="Times New Roman"/>
                <w:color w:val="000000" w:themeColor="text1"/>
              </w:rPr>
              <w:t xml:space="preserve"> sites.</w:t>
            </w:r>
          </w:p>
          <w:p w14:paraId="73F9BF95" w14:textId="77777777" w:rsidR="00FA2DA1" w:rsidRDefault="00FA2DA1" w:rsidP="00FA2DA1">
            <w:pPr>
              <w:pStyle w:val="ListParagraph"/>
              <w:numPr>
                <w:ilvl w:val="0"/>
                <w:numId w:val="114"/>
              </w:numPr>
              <w:spacing w:before="40" w:after="40"/>
              <w:ind w:left="511"/>
              <w:rPr>
                <w:rFonts w:eastAsia="Times New Roman" w:cs="Times New Roman"/>
                <w:color w:val="000000" w:themeColor="text1"/>
              </w:rPr>
            </w:pPr>
            <w:r w:rsidRPr="24408837">
              <w:rPr>
                <w:rFonts w:eastAsia="Times New Roman" w:cs="Times New Roman"/>
                <w:color w:val="000000" w:themeColor="text1"/>
              </w:rPr>
              <w:t>Minimize the use of pesticides that negatively impact pollinators.</w:t>
            </w:r>
          </w:p>
          <w:p w14:paraId="4F379E4E" w14:textId="77777777" w:rsidR="00FA2DA1" w:rsidRDefault="00FA2DA1" w:rsidP="00FA2DA1">
            <w:pPr>
              <w:pStyle w:val="ListParagraph"/>
              <w:numPr>
                <w:ilvl w:val="0"/>
                <w:numId w:val="114"/>
              </w:numPr>
              <w:spacing w:before="40" w:after="40"/>
              <w:ind w:left="511"/>
              <w:rPr>
                <w:rFonts w:eastAsia="Times New Roman" w:cs="Times New Roman"/>
                <w:color w:val="000000" w:themeColor="text1"/>
              </w:rPr>
            </w:pPr>
            <w:r w:rsidRPr="24408837">
              <w:rPr>
                <w:rFonts w:eastAsia="Times New Roman" w:cs="Times New Roman"/>
                <w:color w:val="000000" w:themeColor="text1"/>
              </w:rPr>
              <w:t>During revegetation treatments:</w:t>
            </w:r>
          </w:p>
          <w:p w14:paraId="23C0F4D3" w14:textId="77777777" w:rsidR="00FA2DA1" w:rsidRDefault="00FA2DA1" w:rsidP="00FA2DA1">
            <w:pPr>
              <w:pStyle w:val="ListParagraph"/>
              <w:numPr>
                <w:ilvl w:val="1"/>
                <w:numId w:val="108"/>
              </w:numPr>
              <w:spacing w:before="40" w:after="40"/>
              <w:ind w:left="961" w:hanging="450"/>
              <w:rPr>
                <w:rFonts w:eastAsia="Times New Roman" w:cs="Times New Roman"/>
                <w:color w:val="000000" w:themeColor="text1"/>
              </w:rPr>
            </w:pPr>
            <w:r w:rsidRPr="24408837">
              <w:rPr>
                <w:rFonts w:eastAsia="Times New Roman" w:cs="Times New Roman"/>
                <w:color w:val="000000" w:themeColor="text1"/>
              </w:rPr>
              <w:t>Use minimum till drills where feasible.</w:t>
            </w:r>
          </w:p>
          <w:p w14:paraId="3C7CF800" w14:textId="77777777" w:rsidR="00FA2DA1" w:rsidRDefault="00FA2DA1" w:rsidP="00FA2DA1">
            <w:pPr>
              <w:pStyle w:val="ListParagraph"/>
              <w:numPr>
                <w:ilvl w:val="0"/>
                <w:numId w:val="108"/>
              </w:numPr>
              <w:spacing w:before="40" w:after="40"/>
              <w:ind w:left="961" w:hanging="450"/>
              <w:rPr>
                <w:rFonts w:eastAsia="Times New Roman" w:cs="Times New Roman"/>
                <w:color w:val="000000" w:themeColor="text1"/>
              </w:rPr>
            </w:pPr>
            <w:r w:rsidRPr="24408837">
              <w:rPr>
                <w:rFonts w:eastAsia="Times New Roman" w:cs="Times New Roman"/>
                <w:color w:val="000000" w:themeColor="text1"/>
              </w:rPr>
              <w:t>Include pollinator-friendly site-appropriate native plant seeds or seedlings in seed mixes.</w:t>
            </w:r>
          </w:p>
          <w:p w14:paraId="2142FE6E" w14:textId="77777777" w:rsidR="00FA2DA1" w:rsidRDefault="00FA2DA1" w:rsidP="00FA2DA1">
            <w:pPr>
              <w:pStyle w:val="ListParagraph"/>
              <w:numPr>
                <w:ilvl w:val="0"/>
                <w:numId w:val="108"/>
              </w:numPr>
              <w:spacing w:before="40" w:after="40"/>
              <w:ind w:left="961" w:hanging="450"/>
              <w:rPr>
                <w:rFonts w:eastAsia="Times New Roman" w:cs="Times New Roman"/>
                <w:color w:val="000000" w:themeColor="text1"/>
              </w:rPr>
            </w:pPr>
            <w:r w:rsidRPr="24408837">
              <w:rPr>
                <w:rFonts w:eastAsia="Times New Roman" w:cs="Times New Roman"/>
                <w:color w:val="000000" w:themeColor="text1"/>
              </w:rPr>
              <w:t xml:space="preserve">Where possible, increase the cover and diversity of essential habitat components for native pollinators by: </w:t>
            </w:r>
          </w:p>
          <w:p w14:paraId="2227810D" w14:textId="77777777" w:rsidR="00FA2DA1" w:rsidRDefault="00FA2DA1" w:rsidP="00FA2DA1">
            <w:pPr>
              <w:pStyle w:val="ListParagraph"/>
              <w:numPr>
                <w:ilvl w:val="0"/>
                <w:numId w:val="106"/>
              </w:numPr>
              <w:spacing w:before="40" w:after="40"/>
              <w:ind w:left="1411" w:hanging="450"/>
              <w:rPr>
                <w:rFonts w:eastAsia="Times New Roman" w:cs="Times New Roman"/>
                <w:color w:val="000000" w:themeColor="text1"/>
              </w:rPr>
            </w:pPr>
            <w:r w:rsidRPr="24408837">
              <w:rPr>
                <w:rFonts w:eastAsia="Times New Roman" w:cs="Times New Roman"/>
                <w:color w:val="000000" w:themeColor="text1"/>
              </w:rPr>
              <w:t>Using site-appropriate milkweed seeds or seedlings within Monarch migration routes through priority sage-grouse habitat.</w:t>
            </w:r>
          </w:p>
          <w:p w14:paraId="608EA750" w14:textId="77777777" w:rsidR="00FA2DA1" w:rsidRDefault="00FA2DA1" w:rsidP="00FA2DA1">
            <w:pPr>
              <w:pStyle w:val="ListParagraph"/>
              <w:numPr>
                <w:ilvl w:val="0"/>
                <w:numId w:val="106"/>
              </w:numPr>
              <w:spacing w:before="40" w:after="40"/>
              <w:ind w:left="1411" w:hanging="450"/>
              <w:rPr>
                <w:rFonts w:eastAsia="Times New Roman" w:cs="Times New Roman"/>
                <w:color w:val="000000" w:themeColor="text1"/>
              </w:rPr>
            </w:pPr>
            <w:r w:rsidRPr="24408837">
              <w:rPr>
                <w:rFonts w:eastAsia="Times New Roman" w:cs="Times New Roman"/>
                <w:color w:val="000000" w:themeColor="text1"/>
              </w:rPr>
              <w:t xml:space="preserve">Using seed mixes with annual and short-lived perennial native forbs that will bloom the first year and provide forage for pollinators. </w:t>
            </w:r>
          </w:p>
          <w:p w14:paraId="5BB58EDD" w14:textId="77777777" w:rsidR="00FA2DA1" w:rsidRDefault="00FA2DA1" w:rsidP="00FA2DA1">
            <w:pPr>
              <w:pStyle w:val="ListParagraph"/>
              <w:numPr>
                <w:ilvl w:val="0"/>
                <w:numId w:val="106"/>
              </w:numPr>
              <w:spacing w:before="40" w:after="40"/>
              <w:ind w:left="1411" w:hanging="450"/>
              <w:rPr>
                <w:rFonts w:eastAsia="Times New Roman" w:cs="Times New Roman"/>
                <w:color w:val="000000" w:themeColor="text1"/>
              </w:rPr>
            </w:pPr>
            <w:r w:rsidRPr="24408837">
              <w:rPr>
                <w:rFonts w:eastAsia="Times New Roman" w:cs="Times New Roman"/>
                <w:color w:val="000000" w:themeColor="text1"/>
              </w:rPr>
              <w:t xml:space="preserve">Using seed mixes with a variety of native forb species to ensure different colored and shaped flowers to provide nectar </w:t>
            </w:r>
            <w:r w:rsidRPr="24408837">
              <w:rPr>
                <w:rFonts w:eastAsia="Times New Roman" w:cs="Times New Roman"/>
                <w:color w:val="000000" w:themeColor="text1"/>
              </w:rPr>
              <w:lastRenderedPageBreak/>
              <w:t xml:space="preserve">and pollen throughout the growing season for a variety of pollinators. </w:t>
            </w:r>
          </w:p>
          <w:p w14:paraId="5F369637" w14:textId="77777777" w:rsidR="00FA2DA1" w:rsidRDefault="00FA2DA1" w:rsidP="00FA2DA1">
            <w:pPr>
              <w:pStyle w:val="ListParagraph"/>
              <w:numPr>
                <w:ilvl w:val="0"/>
                <w:numId w:val="106"/>
              </w:numPr>
              <w:spacing w:before="40" w:after="40"/>
              <w:ind w:left="1411" w:hanging="450"/>
              <w:rPr>
                <w:rFonts w:eastAsia="Times New Roman" w:cs="Times New Roman"/>
                <w:color w:val="000000" w:themeColor="text1"/>
              </w:rPr>
            </w:pPr>
            <w:r w:rsidRPr="24408837">
              <w:rPr>
                <w:rFonts w:eastAsia="Times New Roman" w:cs="Times New Roman"/>
                <w:color w:val="000000" w:themeColor="text1"/>
              </w:rPr>
              <w:t>Seeding forbs in separate rows from grasses to avoid competition during establishment.</w:t>
            </w:r>
          </w:p>
          <w:p w14:paraId="4C2DA554" w14:textId="77777777" w:rsidR="00FA2DA1" w:rsidRDefault="00FA2DA1" w:rsidP="00FA2DA1">
            <w:pPr>
              <w:pStyle w:val="ListParagraph"/>
              <w:numPr>
                <w:ilvl w:val="0"/>
                <w:numId w:val="106"/>
              </w:numPr>
              <w:spacing w:before="40" w:after="40"/>
              <w:ind w:left="1411" w:hanging="450"/>
              <w:rPr>
                <w:rFonts w:eastAsia="Times New Roman" w:cs="Times New Roman"/>
                <w:color w:val="000000" w:themeColor="text1"/>
              </w:rPr>
            </w:pPr>
            <w:r w:rsidRPr="24408837">
              <w:rPr>
                <w:rFonts w:eastAsia="Times New Roman" w:cs="Times New Roman"/>
                <w:color w:val="000000" w:themeColor="text1"/>
              </w:rPr>
              <w:t>Avoiding seeding non-native forbs and grasses that establish early and out compete slower-growing natives.</w:t>
            </w:r>
          </w:p>
        </w:tc>
      </w:tr>
    </w:tbl>
    <w:p w14:paraId="4BFF0FED" w14:textId="77777777" w:rsidR="0084329C" w:rsidRDefault="0084329C">
      <w:pPr>
        <w:spacing w:after="160" w:line="259" w:lineRule="auto"/>
      </w:pPr>
    </w:p>
    <w:tbl>
      <w:tblPr>
        <w:tblpPr w:leftFromText="180" w:rightFromText="180" w:vertAnchor="text" w:tblpY="1"/>
        <w:tblOverlap w:val="never"/>
        <w:tblW w:w="5000" w:type="pct"/>
        <w:tblLook w:val="04A0" w:firstRow="1" w:lastRow="0" w:firstColumn="1" w:lastColumn="0" w:noHBand="0" w:noVBand="1"/>
      </w:tblPr>
      <w:tblGrid>
        <w:gridCol w:w="1353"/>
        <w:gridCol w:w="7991"/>
      </w:tblGrid>
      <w:tr w:rsidR="00D946AD" w14:paraId="60038DE9" w14:textId="77777777">
        <w:trPr>
          <w:trHeight w:val="510"/>
          <w:tblHeader/>
        </w:trPr>
        <w:tc>
          <w:tcPr>
            <w:tcW w:w="72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78605C" w14:textId="77777777" w:rsidR="00D946AD" w:rsidRPr="006B0693" w:rsidRDefault="00D946AD">
            <w:pPr>
              <w:pStyle w:val="TableHeading"/>
              <w:rPr>
                <w:rFonts w:ascii="Times New Roman" w:hAnsi="Times New Roman" w:cs="Times New Roman"/>
              </w:rPr>
            </w:pPr>
            <w:r w:rsidRPr="006B0693">
              <w:rPr>
                <w:rFonts w:ascii="Times New Roman" w:hAnsi="Times New Roman" w:cs="Times New Roman"/>
              </w:rPr>
              <w:t>Notice </w:t>
            </w:r>
          </w:p>
        </w:tc>
        <w:tc>
          <w:tcPr>
            <w:tcW w:w="42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1573AC" w14:textId="77777777" w:rsidR="00D946AD" w:rsidRPr="006B0693" w:rsidRDefault="00D946AD">
            <w:pPr>
              <w:pStyle w:val="TableHeading"/>
              <w:rPr>
                <w:rFonts w:ascii="Times New Roman" w:hAnsi="Times New Roman" w:cs="Times New Roman"/>
              </w:rPr>
            </w:pPr>
            <w:r w:rsidRPr="006B0693">
              <w:rPr>
                <w:rFonts w:ascii="Times New Roman" w:hAnsi="Times New Roman" w:cs="Times New Roman"/>
              </w:rPr>
              <w:t>Description/Purpose</w:t>
            </w:r>
          </w:p>
        </w:tc>
      </w:tr>
      <w:tr w:rsidR="00D946AD" w14:paraId="543DD851" w14:textId="77777777">
        <w:trPr>
          <w:trHeight w:val="300"/>
        </w:trPr>
        <w:tc>
          <w:tcPr>
            <w:tcW w:w="1353" w:type="dxa"/>
            <w:tcBorders>
              <w:top w:val="single" w:sz="6" w:space="0" w:color="auto"/>
              <w:left w:val="single" w:sz="6" w:space="0" w:color="auto"/>
              <w:bottom w:val="single" w:sz="6" w:space="0" w:color="auto"/>
              <w:right w:val="single" w:sz="6" w:space="0" w:color="auto"/>
            </w:tcBorders>
            <w:vAlign w:val="center"/>
          </w:tcPr>
          <w:p w14:paraId="03680A3A" w14:textId="77777777" w:rsidR="00D946AD" w:rsidRDefault="00D946AD">
            <w:pPr>
              <w:spacing w:before="40" w:after="40"/>
              <w:jc w:val="center"/>
              <w:rPr>
                <w:rStyle w:val="normaltextrun"/>
                <w:rFonts w:eastAsia="Times New Roman" w:cs="Times New Roman"/>
                <w:b/>
              </w:rPr>
            </w:pPr>
            <w:r w:rsidRPr="07D2D003">
              <w:rPr>
                <w:rStyle w:val="normaltextrun"/>
                <w:rFonts w:eastAsia="Times New Roman" w:cs="Times New Roman"/>
                <w:b/>
              </w:rPr>
              <w:t>T&amp;E-03</w:t>
            </w:r>
          </w:p>
        </w:tc>
        <w:tc>
          <w:tcPr>
            <w:tcW w:w="7991" w:type="dxa"/>
            <w:tcBorders>
              <w:top w:val="single" w:sz="6" w:space="0" w:color="auto"/>
              <w:left w:val="single" w:sz="6" w:space="0" w:color="auto"/>
              <w:bottom w:val="single" w:sz="6" w:space="0" w:color="auto"/>
              <w:right w:val="single" w:sz="6" w:space="0" w:color="auto"/>
            </w:tcBorders>
          </w:tcPr>
          <w:p w14:paraId="495CF9BC" w14:textId="77777777" w:rsidR="00D946AD" w:rsidRDefault="00D946AD">
            <w:pPr>
              <w:spacing w:before="40" w:after="40"/>
              <w:rPr>
                <w:rFonts w:eastAsia="Times New Roman" w:cs="Times New Roman"/>
                <w:color w:val="000000" w:themeColor="text1"/>
              </w:rPr>
            </w:pPr>
            <w:r w:rsidRPr="12A396A9">
              <w:rPr>
                <w:rFonts w:eastAsia="Times New Roman" w:cs="Times New Roman"/>
                <w:b/>
                <w:color w:val="000000" w:themeColor="text1"/>
              </w:rPr>
              <w:t>ENDANGERED FISH OF THE UPPER COLORADO RIVER DRAINAGE BASIN</w:t>
            </w:r>
          </w:p>
          <w:p w14:paraId="0EE570A6" w14:textId="77777777" w:rsidR="00D946AD" w:rsidRDefault="00D946AD">
            <w:pPr>
              <w:spacing w:before="40" w:after="40"/>
              <w:rPr>
                <w:rFonts w:eastAsia="Times New Roman" w:cs="Times New Roman"/>
                <w:color w:val="000000" w:themeColor="text1"/>
              </w:rPr>
            </w:pPr>
            <w:r w:rsidRPr="12A396A9">
              <w:rPr>
                <w:rFonts w:eastAsia="Times New Roman" w:cs="Times New Roman"/>
                <w:color w:val="000000" w:themeColor="text1"/>
              </w:rPr>
              <w:t>The Lessee/Operator is given notice that the lands in this parcel contain Critical Habitat for the Colorado River fish (bonytail, humpback chub, Colorado pike minnow, and razorback sucker) listed as endangered under the Endangered Species Act, or these parcels have watersheds that are tributary to designated habitat.</w:t>
            </w:r>
            <w:r w:rsidRPr="12A396A9">
              <w:rPr>
                <w:rFonts w:eastAsia="Times New Roman" w:cs="Times New Roman"/>
                <w:b/>
                <w:color w:val="000000" w:themeColor="text1"/>
              </w:rPr>
              <w:t xml:space="preserve"> </w:t>
            </w:r>
            <w:r w:rsidRPr="12A396A9">
              <w:rPr>
                <w:rFonts w:eastAsia="Times New Roman" w:cs="Times New Roman"/>
                <w:color w:val="000000" w:themeColor="text1"/>
              </w:rPr>
              <w:t xml:space="preserve">Critical habitat was designated for the four endangered Colorado River fishes on March 21, 1994(59 FR 13374-13400). Designated critical </w:t>
            </w:r>
            <w:proofErr w:type="gramStart"/>
            <w:r w:rsidRPr="12A396A9">
              <w:rPr>
                <w:rFonts w:eastAsia="Times New Roman" w:cs="Times New Roman"/>
                <w:color w:val="000000" w:themeColor="text1"/>
              </w:rPr>
              <w:t>habitat</w:t>
            </w:r>
            <w:proofErr w:type="gramEnd"/>
            <w:r w:rsidRPr="12A396A9">
              <w:rPr>
                <w:rFonts w:eastAsia="Times New Roman" w:cs="Times New Roman"/>
                <w:color w:val="000000" w:themeColor="text1"/>
              </w:rPr>
              <w:t xml:space="preserve"> for all the endangered fishes includes those portions of the 100-year floodplain that contain primary constituent elements necessary for survival of the species. Avoidance or use restrictions may be placed on portions of the lease. The following avoidance and minimization measures have been designed to ensure activities carried out on the lease </w:t>
            </w:r>
            <w:proofErr w:type="gramStart"/>
            <w:r w:rsidRPr="12A396A9">
              <w:rPr>
                <w:rFonts w:eastAsia="Times New Roman" w:cs="Times New Roman"/>
                <w:color w:val="000000" w:themeColor="text1"/>
              </w:rPr>
              <w:t>are in compliance with</w:t>
            </w:r>
            <w:proofErr w:type="gramEnd"/>
            <w:r w:rsidRPr="12A396A9">
              <w:rPr>
                <w:rFonts w:eastAsia="Times New Roman" w:cs="Times New Roman"/>
                <w:color w:val="000000" w:themeColor="text1"/>
              </w:rPr>
              <w:t xml:space="preserve"> the Endangered Species Act. Integration of and adherence to these measures will facilitate review and analysis of any submitted permits under the authority of this lease. Following these measures could reduce the scope of Endangered Species Act, Section 7 consultation at the permit stage. Current avoidance and minimization measures include the following:</w:t>
            </w:r>
          </w:p>
          <w:p w14:paraId="131F517F"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 xml:space="preserve">Surveys will be required prior to operations unless species occupancy and distribution information </w:t>
            </w:r>
            <w:r w:rsidRPr="340CF065">
              <w:rPr>
                <w:rFonts w:eastAsia="Times New Roman" w:cs="Times New Roman"/>
                <w:color w:val="000000" w:themeColor="text1"/>
              </w:rPr>
              <w:t>are</w:t>
            </w:r>
            <w:r w:rsidRPr="12A396A9">
              <w:rPr>
                <w:rFonts w:eastAsia="Times New Roman" w:cs="Times New Roman"/>
                <w:color w:val="000000" w:themeColor="text1"/>
              </w:rPr>
              <w:t xml:space="preserve"> complete and available.  All surveys must be conducted by qualified individual(s).</w:t>
            </w:r>
          </w:p>
          <w:p w14:paraId="338629AA"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Lease activities will require monitoring throughout the duration of the project. To ensure desired results are being achieved, minimization measures will be evaluated and, if necessary, Section 7 consultation reinitiated.</w:t>
            </w:r>
          </w:p>
          <w:p w14:paraId="3CF91EE6"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Water production will be managed to ensure maintenance or enhancement of riparian habitat.</w:t>
            </w:r>
          </w:p>
          <w:p w14:paraId="3C23239D"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Avoid loss or disturbance of riparian habitats.</w:t>
            </w:r>
          </w:p>
          <w:p w14:paraId="2B1A1182"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Where technically and economically feasible, use directional drilling or multiple wells from the same pad to reduce surface disturbance and eliminate drilling in suitable riparian habitat. Ensure that such directional drilling does not intercept or degrade alluvial aquifers.</w:t>
            </w:r>
          </w:p>
          <w:p w14:paraId="221E690B"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 xml:space="preserve">Conduct watershed analysis for leases in designated critical habitat and overlapping major tributaries </w:t>
            </w:r>
            <w:proofErr w:type="gramStart"/>
            <w:r w:rsidRPr="12A396A9">
              <w:rPr>
                <w:rFonts w:eastAsia="Times New Roman" w:cs="Times New Roman"/>
                <w:color w:val="000000" w:themeColor="text1"/>
              </w:rPr>
              <w:t>in order to</w:t>
            </w:r>
            <w:proofErr w:type="gramEnd"/>
            <w:r w:rsidRPr="12A396A9">
              <w:rPr>
                <w:rFonts w:eastAsia="Times New Roman" w:cs="Times New Roman"/>
                <w:color w:val="000000" w:themeColor="text1"/>
              </w:rPr>
              <w:t xml:space="preserve"> determine toxicity risk from permanent facilities.</w:t>
            </w:r>
          </w:p>
          <w:p w14:paraId="03B0830C"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Implement Appendix B (Hydrologic Considerations for Pipeline Crossing Stream Channels, Technical Note 423).</w:t>
            </w:r>
          </w:p>
          <w:p w14:paraId="25A011BE"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t>Drilling will not occur within 100</w:t>
            </w:r>
            <w:r w:rsidRPr="50B3E772">
              <w:rPr>
                <w:rFonts w:eastAsia="Times New Roman" w:cs="Times New Roman"/>
                <w:color w:val="000000" w:themeColor="text1"/>
              </w:rPr>
              <w:t>-</w:t>
            </w:r>
            <w:r w:rsidRPr="12A396A9">
              <w:rPr>
                <w:rFonts w:eastAsia="Times New Roman" w:cs="Times New Roman"/>
                <w:color w:val="000000" w:themeColor="text1"/>
              </w:rPr>
              <w:t>year floodplains of rivers or tributaries to rivers that contain listed fish species or critical habitat.</w:t>
            </w:r>
          </w:p>
          <w:p w14:paraId="08D56A36" w14:textId="77777777" w:rsidR="00D946AD" w:rsidRDefault="00D946AD">
            <w:pPr>
              <w:pStyle w:val="ListParagraph"/>
              <w:numPr>
                <w:ilvl w:val="0"/>
                <w:numId w:val="42"/>
              </w:numPr>
              <w:spacing w:before="40" w:after="40"/>
              <w:ind w:left="553"/>
              <w:rPr>
                <w:rFonts w:eastAsia="Times New Roman" w:cs="Times New Roman"/>
                <w:color w:val="000000" w:themeColor="text1"/>
              </w:rPr>
            </w:pPr>
            <w:r w:rsidRPr="12A396A9">
              <w:rPr>
                <w:rFonts w:eastAsia="Times New Roman" w:cs="Times New Roman"/>
                <w:color w:val="000000" w:themeColor="text1"/>
              </w:rPr>
              <w:lastRenderedPageBreak/>
              <w:t>In areas adjacent to 100-year flood plains, particularly in systems prone to flash floods, analyze the risk for flash floods to impact facilities, and use closed loop drilling, and pipeline burial or suspension according to Appendix B (Hydrologic Considerations for Pipeline Crossing Stream Channels, Technical Note 423, to minimize the potential for equipment damage and resulting leaks or spills.</w:t>
            </w:r>
          </w:p>
          <w:p w14:paraId="7E585854" w14:textId="77777777" w:rsidR="00D946AD" w:rsidRDefault="00D946AD">
            <w:pPr>
              <w:spacing w:before="40" w:after="40"/>
              <w:rPr>
                <w:rFonts w:eastAsia="Times New Roman" w:cs="Times New Roman"/>
                <w:color w:val="000000" w:themeColor="text1"/>
              </w:rPr>
            </w:pPr>
            <w:r w:rsidRPr="12A396A9">
              <w:rPr>
                <w:rFonts w:eastAsia="Times New Roman" w:cs="Times New Roman"/>
                <w:color w:val="000000" w:themeColor="text1"/>
              </w:rPr>
              <w:t xml:space="preserve">Water depletions from </w:t>
            </w:r>
            <w:r w:rsidRPr="12A396A9">
              <w:rPr>
                <w:rFonts w:eastAsia="Times New Roman" w:cs="Times New Roman"/>
                <w:i/>
                <w:color w:val="000000" w:themeColor="text1"/>
              </w:rPr>
              <w:t>any</w:t>
            </w:r>
            <w:r w:rsidRPr="12A396A9">
              <w:rPr>
                <w:rFonts w:eastAsia="Times New Roman" w:cs="Times New Roman"/>
                <w:color w:val="000000" w:themeColor="text1"/>
              </w:rPr>
              <w:t xml:space="preserve"> portion of the Upper Colorado River drainage basin above Lake Powell are considered to adversely affect or adversely modify the critical habitat of the four resident endangered fish species and must be evaluated </w:t>
            </w:r>
            <w:proofErr w:type="gramStart"/>
            <w:r w:rsidRPr="12A396A9">
              <w:rPr>
                <w:rFonts w:eastAsia="Times New Roman" w:cs="Times New Roman"/>
                <w:color w:val="000000" w:themeColor="text1"/>
              </w:rPr>
              <w:t>with regard to</w:t>
            </w:r>
            <w:proofErr w:type="gramEnd"/>
            <w:r w:rsidRPr="12A396A9">
              <w:rPr>
                <w:rFonts w:eastAsia="Times New Roman" w:cs="Times New Roman"/>
                <w:color w:val="000000" w:themeColor="text1"/>
              </w:rPr>
              <w:t xml:space="preserve"> the criteria described in the Upper Colorado River Endangered Fish Recovery Program. Formal consultation with USFWS is required for all depletions. All depletion amounts must be reported to BLM.</w:t>
            </w:r>
          </w:p>
          <w:p w14:paraId="1E418FFE" w14:textId="77777777" w:rsidR="00D946AD" w:rsidRDefault="00D946AD">
            <w:pPr>
              <w:tabs>
                <w:tab w:val="left" w:pos="720"/>
              </w:tabs>
              <w:spacing w:before="40" w:after="40"/>
              <w:rPr>
                <w:rFonts w:eastAsia="Times New Roman" w:cs="Times New Roman"/>
                <w:color w:val="000000" w:themeColor="text1"/>
              </w:rPr>
            </w:pPr>
            <w:r w:rsidRPr="12A396A9">
              <w:rPr>
                <w:rFonts w:eastAsia="Times New Roman" w:cs="Times New Roman"/>
                <w:color w:val="000000" w:themeColor="text1"/>
              </w:rPr>
              <w:t>Additional measures to avoid or minimize effects to the species may be developed and implemented in consultation with the U.S. Fish and Wildlife Service between the lease sale stage and lease development stage to ensure continued compliance with the</w:t>
            </w:r>
            <w:r>
              <w:rPr>
                <w:rFonts w:eastAsia="Times New Roman" w:cs="Times New Roman"/>
                <w:color w:val="000000" w:themeColor="text1"/>
              </w:rPr>
              <w:t xml:space="preserve"> Endangered Species Act</w:t>
            </w:r>
            <w:r w:rsidRPr="12A396A9">
              <w:rPr>
                <w:rFonts w:eastAsia="Times New Roman" w:cs="Times New Roman"/>
                <w:color w:val="000000" w:themeColor="text1"/>
              </w:rPr>
              <w:t xml:space="preserve"> </w:t>
            </w:r>
            <w:r>
              <w:rPr>
                <w:rFonts w:eastAsia="Times New Roman" w:cs="Times New Roman"/>
                <w:color w:val="000000" w:themeColor="text1"/>
              </w:rPr>
              <w:t>(</w:t>
            </w:r>
            <w:r w:rsidRPr="12A396A9">
              <w:rPr>
                <w:rFonts w:eastAsia="Times New Roman" w:cs="Times New Roman"/>
                <w:color w:val="000000" w:themeColor="text1"/>
              </w:rPr>
              <w:t>ESA</w:t>
            </w:r>
            <w:r>
              <w:rPr>
                <w:rFonts w:eastAsia="Times New Roman" w:cs="Times New Roman"/>
                <w:color w:val="000000" w:themeColor="text1"/>
              </w:rPr>
              <w:t>)</w:t>
            </w:r>
            <w:r w:rsidRPr="12A396A9">
              <w:rPr>
                <w:rFonts w:eastAsia="Times New Roman" w:cs="Times New Roman"/>
                <w:color w:val="000000" w:themeColor="text1"/>
              </w:rPr>
              <w:t>.</w:t>
            </w:r>
          </w:p>
        </w:tc>
      </w:tr>
      <w:tr w:rsidR="00D946AD" w14:paraId="0DD4B57A" w14:textId="77777777">
        <w:trPr>
          <w:trHeight w:val="300"/>
        </w:trPr>
        <w:tc>
          <w:tcPr>
            <w:tcW w:w="724" w:type="pct"/>
            <w:tcBorders>
              <w:top w:val="single" w:sz="6" w:space="0" w:color="auto"/>
              <w:left w:val="single" w:sz="6" w:space="0" w:color="auto"/>
              <w:bottom w:val="single" w:sz="6" w:space="0" w:color="auto"/>
              <w:right w:val="single" w:sz="6" w:space="0" w:color="auto"/>
            </w:tcBorders>
            <w:vAlign w:val="center"/>
          </w:tcPr>
          <w:p w14:paraId="63A07B7B" w14:textId="77777777" w:rsidR="00D946AD" w:rsidRPr="006B0693" w:rsidRDefault="00D946AD">
            <w:pPr>
              <w:spacing w:before="40" w:after="40"/>
              <w:jc w:val="center"/>
              <w:rPr>
                <w:rStyle w:val="normaltextrun"/>
                <w:rFonts w:eastAsia="Times New Roman" w:cs="Times New Roman"/>
                <w:b/>
              </w:rPr>
            </w:pPr>
            <w:r w:rsidRPr="07D2D003">
              <w:rPr>
                <w:rStyle w:val="normaltextrun"/>
                <w:rFonts w:eastAsia="Times New Roman" w:cs="Times New Roman"/>
                <w:b/>
              </w:rPr>
              <w:t>T&amp;E-05</w:t>
            </w:r>
          </w:p>
        </w:tc>
        <w:tc>
          <w:tcPr>
            <w:tcW w:w="4276" w:type="pct"/>
            <w:tcBorders>
              <w:top w:val="single" w:sz="6" w:space="0" w:color="auto"/>
              <w:left w:val="single" w:sz="6" w:space="0" w:color="auto"/>
              <w:bottom w:val="single" w:sz="6" w:space="0" w:color="auto"/>
              <w:right w:val="single" w:sz="6" w:space="0" w:color="auto"/>
            </w:tcBorders>
          </w:tcPr>
          <w:p w14:paraId="1EAE18A5" w14:textId="77777777" w:rsidR="00D946AD" w:rsidRPr="006B0693" w:rsidRDefault="00D946AD">
            <w:pPr>
              <w:spacing w:before="40" w:after="40"/>
              <w:rPr>
                <w:rFonts w:eastAsia="Times New Roman" w:cs="Times New Roman"/>
              </w:rPr>
            </w:pPr>
            <w:r w:rsidRPr="33B81F65">
              <w:rPr>
                <w:rFonts w:eastAsia="Times New Roman" w:cs="Times New Roman"/>
                <w:b/>
              </w:rPr>
              <w:t>LISTED PLANT SPECIES</w:t>
            </w:r>
          </w:p>
          <w:p w14:paraId="17F42831" w14:textId="77777777" w:rsidR="00D946AD" w:rsidRPr="006B0693" w:rsidRDefault="00D946AD">
            <w:pPr>
              <w:spacing w:before="40" w:after="40"/>
              <w:rPr>
                <w:rFonts w:eastAsia="Times New Roman" w:cs="Times New Roman"/>
              </w:rPr>
            </w:pPr>
            <w:r w:rsidRPr="33B81F65">
              <w:rPr>
                <w:rFonts w:eastAsia="Times New Roman" w:cs="Times New Roman"/>
              </w:rPr>
              <w:t>The Lessee/Operator is given notice that the lands in this parcel contain suitable habitat for federally listed plant species under the Endangered Species Act. The following avoidance and minimization measures have been developed to facilitate review and analysis of any submitted permits under the authority of this lease.</w:t>
            </w:r>
          </w:p>
          <w:p w14:paraId="0CB6A6C3"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lang w:val="en-CA"/>
              </w:rPr>
              <w:t>Site inventories:</w:t>
            </w:r>
          </w:p>
          <w:p w14:paraId="56283AD7"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lang w:val="en-CA"/>
              </w:rPr>
              <w:t>Must be conducted to determine habitat suitability,</w:t>
            </w:r>
          </w:p>
          <w:p w14:paraId="60662631"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Are required in known or potential habitat for all areas proposed for surface disturbance prior to initiation of project activities, at a time when the plant can be detected, and during appropriate flowering periods,</w:t>
            </w:r>
          </w:p>
          <w:p w14:paraId="49D408B5"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Documentation should include, but not be limited to individual plant locations and suitable habitat distributions, and</w:t>
            </w:r>
          </w:p>
          <w:p w14:paraId="665ED899"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All surveys must be conducted by qualified individuals.</w:t>
            </w:r>
          </w:p>
          <w:p w14:paraId="5FA86568"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Lease activities will require monitoring throughout the duration of the project. To ensure desired results are being achieved, minimization measures will be evaluated and, if necessary, Section 7 consultation reinitiated.</w:t>
            </w:r>
          </w:p>
          <w:p w14:paraId="5A474256"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Project activities must be designed to avoid direct disturbance to populations and to individual plants:</w:t>
            </w:r>
          </w:p>
          <w:p w14:paraId="7AC8CB3C"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Designs will avoid concentrating water flows or sediments into plant occupied habitat.</w:t>
            </w:r>
          </w:p>
          <w:p w14:paraId="0429AF84"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Construction will occur down slope of plants and populations where feasible; if well pads and roads must be sited upslope, buffers of 300 feet minimum between surface disturbances and plants and populations will be incorporated.</w:t>
            </w:r>
          </w:p>
          <w:p w14:paraId="4E3F1206"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 xml:space="preserve">Where populations occur within 300 ft. of well pads, establish a buffer or fence the individuals or groups of individuals during and post-construction.  </w:t>
            </w:r>
          </w:p>
          <w:p w14:paraId="64A35D6C"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Areas for avoidance will be visually identifiable in the field (e.g., flagging, temporary fencing, rebar, etc.)</w:t>
            </w:r>
          </w:p>
          <w:p w14:paraId="6A43F1FE" w14:textId="77777777" w:rsidR="00D946AD" w:rsidRPr="006B0693" w:rsidRDefault="00D946AD">
            <w:pPr>
              <w:pStyle w:val="ListParagraph"/>
              <w:numPr>
                <w:ilvl w:val="1"/>
                <w:numId w:val="33"/>
              </w:numPr>
              <w:spacing w:before="40" w:after="40"/>
              <w:ind w:left="913"/>
              <w:contextualSpacing/>
              <w:rPr>
                <w:rFonts w:eastAsia="Times New Roman" w:cs="Times New Roman"/>
              </w:rPr>
            </w:pPr>
            <w:r w:rsidRPr="33B81F65">
              <w:rPr>
                <w:rFonts w:eastAsia="Times New Roman" w:cs="Times New Roman"/>
              </w:rPr>
              <w:t>For surface pipelines, use a 10-foot buffer from any plant locations:</w:t>
            </w:r>
          </w:p>
          <w:p w14:paraId="4BA77D7B" w14:textId="77777777" w:rsidR="00D946AD" w:rsidRPr="006B0693" w:rsidRDefault="00D946AD">
            <w:pPr>
              <w:spacing w:before="40" w:after="40"/>
              <w:contextualSpacing/>
              <w:rPr>
                <w:rFonts w:eastAsia="Times New Roman" w:cs="Times New Roman"/>
              </w:rPr>
            </w:pPr>
            <w:r w:rsidRPr="33B81F65">
              <w:rPr>
                <w:rFonts w:eastAsia="Times New Roman" w:cs="Times New Roman"/>
              </w:rPr>
              <w:t xml:space="preserve">               </w:t>
            </w:r>
            <w:proofErr w:type="spellStart"/>
            <w:r w:rsidRPr="33B81F65">
              <w:rPr>
                <w:rFonts w:eastAsia="Times New Roman" w:cs="Times New Roman"/>
              </w:rPr>
              <w:t>i</w:t>
            </w:r>
            <w:proofErr w:type="spellEnd"/>
            <w:r w:rsidRPr="33B81F65">
              <w:rPr>
                <w:rFonts w:eastAsia="Times New Roman" w:cs="Times New Roman"/>
              </w:rPr>
              <w:t>) If on a slope, use stabilizing construction techniques to ensure the                          pipelines don’t move towards the population.</w:t>
            </w:r>
          </w:p>
          <w:p w14:paraId="7385BA36"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lastRenderedPageBreak/>
              <w:t>For riparian/wetland-associated species (e.g., Ute ladies-tresses) avoid loss or disturbance of riparian habitats.</w:t>
            </w:r>
          </w:p>
          <w:p w14:paraId="6C45A459"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Ensure that water extraction or disposal practices do not result in change of hydrologic regime.</w:t>
            </w:r>
          </w:p>
          <w:p w14:paraId="46BED88D"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Limit disturbances to and within suitable habitat by staying on designated routes.</w:t>
            </w:r>
          </w:p>
          <w:p w14:paraId="22867A8E"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Limit new access routes created by the project.</w:t>
            </w:r>
          </w:p>
          <w:p w14:paraId="1C18718E"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Place signing to limit ATV travel in sensitive areas.</w:t>
            </w:r>
          </w:p>
          <w:p w14:paraId="70C91180"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 xml:space="preserve">Implement dust abatement practices near occupied plant habitat. </w:t>
            </w:r>
          </w:p>
          <w:p w14:paraId="6CB14F30"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All disturbed areas will be re-vegetated with native species comprised of species indigenous to the area.</w:t>
            </w:r>
          </w:p>
          <w:p w14:paraId="6937CFA8"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Post construction monitoring for invasive species will be required.</w:t>
            </w:r>
          </w:p>
          <w:p w14:paraId="1D265D8A"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Where technically and economically feasible, use directional drilling or multiple wells from the same pad to reduce surface disturbance and eliminate drilling in plant habitat. Ensure that such directional drilling does not intercept or degrade alluvial aquifers.</w:t>
            </w:r>
          </w:p>
          <w:p w14:paraId="63DF341F" w14:textId="77777777" w:rsidR="00D946AD" w:rsidRPr="006B0693" w:rsidRDefault="00D946AD">
            <w:pPr>
              <w:pStyle w:val="ListParagraph"/>
              <w:numPr>
                <w:ilvl w:val="0"/>
                <w:numId w:val="33"/>
              </w:numPr>
              <w:spacing w:before="40" w:after="40"/>
              <w:ind w:left="553"/>
              <w:contextualSpacing/>
              <w:rPr>
                <w:rFonts w:eastAsia="Times New Roman" w:cs="Times New Roman"/>
              </w:rPr>
            </w:pPr>
            <w:r w:rsidRPr="33B81F65">
              <w:rPr>
                <w:rFonts w:eastAsia="Times New Roman" w:cs="Times New Roman"/>
              </w:rPr>
              <w:t>Lease activities will require monitoring throughout the duration of the project. To ensure desired results are being achieved, minimization measures will be evaluated and, if necessary, Section 7 consultation reinitiated.</w:t>
            </w:r>
          </w:p>
          <w:p w14:paraId="04DF83EC" w14:textId="77777777" w:rsidR="00D946AD" w:rsidRPr="006B0693" w:rsidRDefault="00D946AD">
            <w:pPr>
              <w:spacing w:before="40" w:after="40"/>
              <w:rPr>
                <w:rFonts w:eastAsia="Times New Roman" w:cs="Times New Roman"/>
              </w:rPr>
            </w:pPr>
            <w:r w:rsidRPr="33B81F65">
              <w:rPr>
                <w:rFonts w:eastAsia="Times New Roman" w:cs="Times New Roman"/>
              </w:rPr>
              <w:t>Additional measures to avoid or minimize effects to the species may be developed and implemented in consultation with the U.S. Fish and Wildlife Service between the lease sale stage and lease development stage to ensure continued compliance with the Endangered Species Act.</w:t>
            </w:r>
          </w:p>
        </w:tc>
      </w:tr>
      <w:tr w:rsidR="00D946AD" w14:paraId="66B0DCC0" w14:textId="77777777">
        <w:trPr>
          <w:trHeight w:val="300"/>
        </w:trPr>
        <w:tc>
          <w:tcPr>
            <w:tcW w:w="1353" w:type="dxa"/>
            <w:tcBorders>
              <w:top w:val="single" w:sz="6" w:space="0" w:color="auto"/>
              <w:left w:val="single" w:sz="6" w:space="0" w:color="auto"/>
              <w:bottom w:val="single" w:sz="6" w:space="0" w:color="auto"/>
              <w:right w:val="single" w:sz="6" w:space="0" w:color="auto"/>
            </w:tcBorders>
            <w:vAlign w:val="center"/>
          </w:tcPr>
          <w:p w14:paraId="3442BA66" w14:textId="77777777" w:rsidR="00D946AD" w:rsidRDefault="00D946AD">
            <w:pPr>
              <w:jc w:val="center"/>
              <w:rPr>
                <w:rStyle w:val="normaltextrun"/>
                <w:rFonts w:eastAsia="Times New Roman" w:cs="Times New Roman"/>
                <w:b/>
                <w:bCs/>
              </w:rPr>
            </w:pPr>
            <w:r w:rsidRPr="5017E672">
              <w:rPr>
                <w:rStyle w:val="normaltextrun"/>
                <w:rFonts w:eastAsia="Times New Roman" w:cs="Times New Roman"/>
                <w:b/>
                <w:bCs/>
              </w:rPr>
              <w:t>T&amp;E-12</w:t>
            </w:r>
          </w:p>
        </w:tc>
        <w:tc>
          <w:tcPr>
            <w:tcW w:w="7991" w:type="dxa"/>
            <w:tcBorders>
              <w:top w:val="single" w:sz="6" w:space="0" w:color="auto"/>
              <w:left w:val="single" w:sz="6" w:space="0" w:color="auto"/>
              <w:bottom w:val="single" w:sz="6" w:space="0" w:color="auto"/>
              <w:right w:val="single" w:sz="6" w:space="0" w:color="auto"/>
            </w:tcBorders>
          </w:tcPr>
          <w:p w14:paraId="7EF5B3EB" w14:textId="77777777" w:rsidR="00D946AD" w:rsidRPr="006E5475" w:rsidRDefault="00D946AD" w:rsidP="006E5475">
            <w:pPr>
              <w:pStyle w:val="Body1"/>
              <w:rPr>
                <w:rFonts w:ascii="Times New Roman" w:hAnsi="Times New Roman" w:cs="Times New Roman"/>
                <w:b/>
                <w:bCs w:val="0"/>
                <w:sz w:val="22"/>
                <w:szCs w:val="22"/>
              </w:rPr>
            </w:pPr>
            <w:bookmarkStart w:id="339" w:name="_Toc165990114"/>
            <w:r w:rsidRPr="006E5475">
              <w:rPr>
                <w:rFonts w:ascii="Times New Roman" w:hAnsi="Times New Roman" w:cs="Times New Roman"/>
                <w:b/>
                <w:bCs w:val="0"/>
                <w:sz w:val="22"/>
                <w:szCs w:val="22"/>
              </w:rPr>
              <w:t>PARIETTE CACTUS (SCLEROCACTUS BREVISPINUS) AND UINTA BASIN HOOKLESS CACTUS [SCLEROCACTUS GLAUCUS (BREVISPINUS AND WETLANDICUS)]</w:t>
            </w:r>
            <w:bookmarkEnd w:id="339"/>
          </w:p>
          <w:p w14:paraId="3304288C" w14:textId="77777777" w:rsidR="00D946AD" w:rsidRDefault="00D946AD">
            <w:pPr>
              <w:pStyle w:val="BODYTEXTMONTEIS"/>
              <w:spacing w:before="40" w:after="40"/>
              <w:jc w:val="left"/>
              <w:rPr>
                <w:rFonts w:eastAsia="Times New Roman" w:cs="Times New Roman"/>
                <w:color w:val="000000" w:themeColor="text1"/>
                <w:sz w:val="22"/>
                <w:szCs w:val="22"/>
              </w:rPr>
            </w:pPr>
            <w:r w:rsidRPr="308F7E67">
              <w:rPr>
                <w:rFonts w:eastAsia="Times New Roman" w:cs="Times New Roman"/>
                <w:color w:val="000000" w:themeColor="text1"/>
                <w:sz w:val="22"/>
                <w:szCs w:val="22"/>
              </w:rPr>
              <w:t xml:space="preserve">The Lessee/Operator is given notice that the lands in this parcel contain suitable habitat for the </w:t>
            </w:r>
            <w:proofErr w:type="spellStart"/>
            <w:r w:rsidRPr="308F7E67">
              <w:rPr>
                <w:rFonts w:eastAsia="Times New Roman" w:cs="Times New Roman"/>
                <w:color w:val="000000" w:themeColor="text1"/>
                <w:sz w:val="22"/>
                <w:szCs w:val="22"/>
              </w:rPr>
              <w:t>Pariette</w:t>
            </w:r>
            <w:proofErr w:type="spellEnd"/>
            <w:r w:rsidRPr="308F7E67">
              <w:rPr>
                <w:rFonts w:eastAsia="Times New Roman" w:cs="Times New Roman"/>
                <w:color w:val="000000" w:themeColor="text1"/>
                <w:sz w:val="22"/>
                <w:szCs w:val="22"/>
              </w:rPr>
              <w:t xml:space="preserve"> cactus and Uinta Basin hookless cactus, under the ESA. The following avoidance and minimization measures have been developed to facilitate review and analysis of any submitted permits under the authority of this lease.</w:t>
            </w:r>
          </w:p>
          <w:p w14:paraId="4194452C" w14:textId="1AE78371" w:rsidR="00D946AD" w:rsidRPr="00744061" w:rsidRDefault="00D946AD">
            <w:pPr>
              <w:pStyle w:val="BODYTEXTMONTEIS"/>
              <w:spacing w:before="40" w:after="40"/>
              <w:jc w:val="left"/>
              <w:rPr>
                <w:rFonts w:eastAsia="Times New Roman" w:cs="Times New Roman"/>
                <w:color w:val="000000" w:themeColor="text1"/>
                <w:sz w:val="22"/>
                <w:szCs w:val="22"/>
              </w:rPr>
            </w:pPr>
            <w:proofErr w:type="gramStart"/>
            <w:r w:rsidRPr="3D9EDA3D">
              <w:rPr>
                <w:rFonts w:eastAsia="Times New Roman" w:cs="Times New Roman"/>
                <w:color w:val="000000" w:themeColor="text1"/>
                <w:sz w:val="22"/>
                <w:szCs w:val="22"/>
              </w:rPr>
              <w:t>In order to</w:t>
            </w:r>
            <w:proofErr w:type="gramEnd"/>
            <w:r w:rsidRPr="3D9EDA3D">
              <w:rPr>
                <w:rFonts w:eastAsia="Times New Roman" w:cs="Times New Roman"/>
                <w:color w:val="000000" w:themeColor="text1"/>
                <w:sz w:val="22"/>
                <w:szCs w:val="22"/>
              </w:rPr>
              <w:t xml:space="preserve"> minimize effects to the federally threatened </w:t>
            </w:r>
            <w:proofErr w:type="spellStart"/>
            <w:r w:rsidRPr="3D9EDA3D">
              <w:rPr>
                <w:rFonts w:eastAsia="Times New Roman" w:cs="Times New Roman"/>
                <w:color w:val="000000" w:themeColor="text1"/>
                <w:sz w:val="22"/>
                <w:szCs w:val="22"/>
              </w:rPr>
              <w:t>Pariette</w:t>
            </w:r>
            <w:proofErr w:type="spellEnd"/>
            <w:r w:rsidRPr="3D9EDA3D">
              <w:rPr>
                <w:rFonts w:eastAsia="Times New Roman" w:cs="Times New Roman"/>
                <w:color w:val="000000" w:themeColor="text1"/>
                <w:sz w:val="22"/>
                <w:szCs w:val="22"/>
              </w:rPr>
              <w:t xml:space="preserve"> cactus and Uinta Basin hookless cactus, the BLM in coordination with the USFWS, developed the following avoidance and minimization measures. Integration of and adherence to these measures will help ensure the activities carried out during oil and gas development (including but not limited to drilling, production, and maintenance) </w:t>
            </w:r>
            <w:proofErr w:type="gramStart"/>
            <w:r w:rsidRPr="3D9EDA3D">
              <w:rPr>
                <w:rFonts w:eastAsia="Times New Roman" w:cs="Times New Roman"/>
                <w:color w:val="000000" w:themeColor="text1"/>
                <w:sz w:val="22"/>
                <w:szCs w:val="22"/>
              </w:rPr>
              <w:t>are in compliance with</w:t>
            </w:r>
            <w:proofErr w:type="gramEnd"/>
            <w:r w:rsidRPr="3D9EDA3D">
              <w:rPr>
                <w:rFonts w:eastAsia="Times New Roman" w:cs="Times New Roman"/>
                <w:color w:val="000000" w:themeColor="text1"/>
                <w:sz w:val="22"/>
                <w:szCs w:val="22"/>
              </w:rPr>
              <w:t xml:space="preserve"> the ESA. For the purposes of this document, the following terms are so defined: Potential habitat is defined as areas which satisfy the broad criteria of the species habitat description; usually determined by preliminary, in-house assessment. Suitable habitat is defined as areas which contain or exhibit the specific components or constituents necessary for plant persistence; determined by field inspection and/or surveys; may or may not contain Uinta Basin hookless cactus. Habitat descriptions can be found in the U.S. Fish and Wildlife Service’s 1990 Recovery Plan and Federal Register Notices for the Uinta Basin hookless cactus (</w:t>
            </w:r>
            <w:hyperlink r:id="rId39" w:history="1">
              <w:r w:rsidR="00050785" w:rsidRPr="00050785">
                <w:rPr>
                  <w:rStyle w:val="Hyperlink"/>
                  <w:rFonts w:eastAsia="Times New Roman" w:cs="Times New Roman"/>
                  <w:sz w:val="22"/>
                  <w:szCs w:val="22"/>
                </w:rPr>
                <w:t>https://www.fws.gov/program/recovery/recovery-plans</w:t>
              </w:r>
            </w:hyperlink>
            <w:r w:rsidR="00050785">
              <w:rPr>
                <w:rFonts w:eastAsia="Times New Roman" w:cs="Times New Roman"/>
                <w:color w:val="000000" w:themeColor="text1"/>
                <w:sz w:val="22"/>
                <w:szCs w:val="22"/>
              </w:rPr>
              <w:t>)</w:t>
            </w:r>
            <w:r w:rsidRPr="00744061">
              <w:rPr>
                <w:rFonts w:eastAsia="Times New Roman" w:cs="Times New Roman"/>
                <w:color w:val="000000" w:themeColor="text1"/>
                <w:sz w:val="22"/>
                <w:szCs w:val="22"/>
              </w:rPr>
              <w:t>. Occupied habitat is defined as areas currently or historically known to support Uinta Basin hookless cactus; synonymous with “known habitat.” The following avoidance and minimization measures should be included in the Plan of Development:</w:t>
            </w:r>
          </w:p>
          <w:p w14:paraId="702E794E"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rPr>
              <w:t xml:space="preserve">Pre-project habitat assessments will be completed across 100% of the project disturbance area within potential habitat prior to any ground disturbing activities </w:t>
            </w:r>
            <w:r w:rsidRPr="00744061">
              <w:rPr>
                <w:rFonts w:eastAsia="Times New Roman" w:cs="Times New Roman"/>
                <w:color w:val="000000" w:themeColor="text1"/>
              </w:rPr>
              <w:lastRenderedPageBreak/>
              <w:t xml:space="preserve">to determine if suitable </w:t>
            </w:r>
            <w:proofErr w:type="spellStart"/>
            <w:r w:rsidRPr="00744061">
              <w:rPr>
                <w:rFonts w:eastAsia="Times New Roman" w:cs="Times New Roman"/>
                <w:color w:val="000000" w:themeColor="text1"/>
              </w:rPr>
              <w:t>Pariette</w:t>
            </w:r>
            <w:proofErr w:type="spellEnd"/>
            <w:r w:rsidRPr="00744061">
              <w:rPr>
                <w:rFonts w:eastAsia="Times New Roman" w:cs="Times New Roman"/>
                <w:color w:val="000000" w:themeColor="text1"/>
              </w:rPr>
              <w:t xml:space="preserve"> cactus and Uinta Basin hookless cactus habitat is present.</w:t>
            </w:r>
          </w:p>
          <w:p w14:paraId="41F09AC0"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lang w:val="en-CA"/>
              </w:rPr>
              <w:t>Within suitable habitat, site inventories will be conducted to determine occupancy.  Inventories:</w:t>
            </w:r>
          </w:p>
          <w:p w14:paraId="466D8381"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Must be conducted by qualified individual(s) and according to BLM and Service accepted survey protocols,</w:t>
            </w:r>
          </w:p>
          <w:p w14:paraId="725AB7D6"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Will be conducted in suitable</w:t>
            </w:r>
            <w:r w:rsidRPr="00744061">
              <w:rPr>
                <w:rFonts w:eastAsia="Times New Roman" w:cs="Times New Roman"/>
                <w:color w:val="000000" w:themeColor="text1"/>
                <w:vertAlign w:val="superscript"/>
              </w:rPr>
              <w:t xml:space="preserve"> </w:t>
            </w:r>
            <w:r w:rsidRPr="00744061">
              <w:rPr>
                <w:rFonts w:eastAsia="Times New Roman" w:cs="Times New Roman"/>
                <w:color w:val="000000" w:themeColor="text1"/>
              </w:rPr>
              <w:t>and occupied habitat for all areas proposed for surface disturbance prior to initiation of project activities and within the same growing season, at a time when the plant can be detected, and during appropriate flowering periods:</w:t>
            </w:r>
          </w:p>
          <w:p w14:paraId="1D4B93FD" w14:textId="77777777" w:rsidR="00D946AD" w:rsidRPr="00744061" w:rsidRDefault="00D946AD">
            <w:pPr>
              <w:pStyle w:val="ListParagraph"/>
              <w:numPr>
                <w:ilvl w:val="2"/>
                <w:numId w:val="141"/>
              </w:numPr>
              <w:ind w:left="1273" w:hanging="270"/>
              <w:rPr>
                <w:rFonts w:eastAsia="Times New Roman" w:cs="Times New Roman"/>
                <w:color w:val="000000" w:themeColor="text1"/>
              </w:rPr>
            </w:pPr>
            <w:proofErr w:type="spellStart"/>
            <w:r w:rsidRPr="00744061">
              <w:rPr>
                <w:rFonts w:eastAsia="Times New Roman" w:cs="Times New Roman"/>
                <w:i/>
                <w:iCs/>
                <w:color w:val="000000" w:themeColor="text1"/>
              </w:rPr>
              <w:t>Sclerocactus</w:t>
            </w:r>
            <w:proofErr w:type="spellEnd"/>
            <w:r w:rsidRPr="00744061">
              <w:rPr>
                <w:rFonts w:eastAsia="Times New Roman" w:cs="Times New Roman"/>
                <w:i/>
                <w:iCs/>
                <w:color w:val="000000" w:themeColor="text1"/>
              </w:rPr>
              <w:t xml:space="preserve"> </w:t>
            </w:r>
            <w:proofErr w:type="spellStart"/>
            <w:r w:rsidRPr="00744061">
              <w:rPr>
                <w:rFonts w:eastAsia="Times New Roman" w:cs="Times New Roman"/>
                <w:i/>
                <w:iCs/>
                <w:color w:val="000000" w:themeColor="text1"/>
              </w:rPr>
              <w:t>brevispinus</w:t>
            </w:r>
            <w:proofErr w:type="spellEnd"/>
            <w:r w:rsidRPr="00744061">
              <w:rPr>
                <w:rFonts w:eastAsia="Times New Roman" w:cs="Times New Roman"/>
                <w:color w:val="000000" w:themeColor="text1"/>
              </w:rPr>
              <w:t xml:space="preserve"> surveys should be conducted March 15</w:t>
            </w:r>
            <w:r w:rsidRPr="00744061">
              <w:rPr>
                <w:rFonts w:eastAsia="Times New Roman" w:cs="Times New Roman"/>
                <w:color w:val="000000" w:themeColor="text1"/>
                <w:vertAlign w:val="superscript"/>
              </w:rPr>
              <w:t>th</w:t>
            </w:r>
            <w:r w:rsidRPr="00744061">
              <w:rPr>
                <w:rFonts w:eastAsia="Times New Roman" w:cs="Times New Roman"/>
                <w:color w:val="000000" w:themeColor="text1"/>
              </w:rPr>
              <w:t xml:space="preserve"> to June 30</w:t>
            </w:r>
            <w:r w:rsidRPr="00744061">
              <w:rPr>
                <w:rFonts w:eastAsia="Times New Roman" w:cs="Times New Roman"/>
                <w:color w:val="000000" w:themeColor="text1"/>
                <w:vertAlign w:val="superscript"/>
              </w:rPr>
              <w:t>th</w:t>
            </w:r>
            <w:r w:rsidRPr="00744061">
              <w:rPr>
                <w:rFonts w:eastAsia="Times New Roman" w:cs="Times New Roman"/>
                <w:color w:val="000000" w:themeColor="text1"/>
              </w:rPr>
              <w:t xml:space="preserve">, unless extended by the BLM  </w:t>
            </w:r>
          </w:p>
          <w:p w14:paraId="77792580" w14:textId="77777777" w:rsidR="00D946AD" w:rsidRPr="00744061" w:rsidRDefault="00D946AD">
            <w:pPr>
              <w:pStyle w:val="ListParagraph"/>
              <w:numPr>
                <w:ilvl w:val="2"/>
                <w:numId w:val="141"/>
              </w:numPr>
              <w:ind w:left="1273" w:hanging="270"/>
              <w:rPr>
                <w:rFonts w:eastAsia="Times New Roman" w:cs="Times New Roman"/>
                <w:color w:val="000000" w:themeColor="text1"/>
              </w:rPr>
            </w:pPr>
            <w:proofErr w:type="spellStart"/>
            <w:r w:rsidRPr="00744061">
              <w:rPr>
                <w:rFonts w:eastAsia="Times New Roman" w:cs="Times New Roman"/>
                <w:i/>
                <w:iCs/>
                <w:color w:val="000000" w:themeColor="text1"/>
              </w:rPr>
              <w:t>Sclerocactus</w:t>
            </w:r>
            <w:proofErr w:type="spellEnd"/>
            <w:r w:rsidRPr="00744061">
              <w:rPr>
                <w:rFonts w:eastAsia="Times New Roman" w:cs="Times New Roman"/>
                <w:i/>
                <w:iCs/>
                <w:color w:val="000000" w:themeColor="text1"/>
              </w:rPr>
              <w:t xml:space="preserve"> </w:t>
            </w:r>
            <w:proofErr w:type="spellStart"/>
            <w:r w:rsidRPr="00744061">
              <w:rPr>
                <w:rFonts w:eastAsia="Times New Roman" w:cs="Times New Roman"/>
                <w:i/>
                <w:iCs/>
                <w:color w:val="000000" w:themeColor="text1"/>
              </w:rPr>
              <w:t>wetlandicus</w:t>
            </w:r>
            <w:proofErr w:type="spellEnd"/>
            <w:r w:rsidRPr="00744061">
              <w:rPr>
                <w:rFonts w:eastAsia="Times New Roman" w:cs="Times New Roman"/>
                <w:color w:val="000000" w:themeColor="text1"/>
              </w:rPr>
              <w:t xml:space="preserve"> surveys can be done any time of the year, provided there is no snow cover,</w:t>
            </w:r>
          </w:p>
          <w:p w14:paraId="7DA0A279"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 xml:space="preserve">Will occur within 300’ from the edge of the proposed right-of-way for surface pipelines or roads; and within 300’ from the perimeter of disturbance for the proposed well pad including the well pad, </w:t>
            </w:r>
          </w:p>
          <w:p w14:paraId="1685E948"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Will include, but not be limited to, plant species lists and habitat characteristics, and</w:t>
            </w:r>
          </w:p>
          <w:p w14:paraId="2A53233C"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Will be valid until March 15</w:t>
            </w:r>
            <w:r w:rsidRPr="00744061">
              <w:rPr>
                <w:rFonts w:eastAsia="Times New Roman" w:cs="Times New Roman"/>
                <w:color w:val="000000" w:themeColor="text1"/>
                <w:vertAlign w:val="superscript"/>
              </w:rPr>
              <w:t>th</w:t>
            </w:r>
            <w:r w:rsidRPr="00744061">
              <w:rPr>
                <w:rFonts w:eastAsia="Times New Roman" w:cs="Times New Roman"/>
                <w:color w:val="000000" w:themeColor="text1"/>
              </w:rPr>
              <w:t xml:space="preserve"> the following year for </w:t>
            </w:r>
            <w:proofErr w:type="spellStart"/>
            <w:r w:rsidRPr="00744061">
              <w:rPr>
                <w:rFonts w:eastAsia="Times New Roman" w:cs="Times New Roman"/>
                <w:i/>
                <w:iCs/>
                <w:color w:val="000000" w:themeColor="text1"/>
              </w:rPr>
              <w:t>Sclerocactus</w:t>
            </w:r>
            <w:proofErr w:type="spellEnd"/>
            <w:r w:rsidRPr="00744061">
              <w:rPr>
                <w:rFonts w:eastAsia="Times New Roman" w:cs="Times New Roman"/>
                <w:i/>
                <w:iCs/>
                <w:color w:val="000000" w:themeColor="text1"/>
              </w:rPr>
              <w:t xml:space="preserve"> </w:t>
            </w:r>
            <w:proofErr w:type="spellStart"/>
            <w:r w:rsidRPr="00744061">
              <w:rPr>
                <w:rFonts w:eastAsia="Times New Roman" w:cs="Times New Roman"/>
                <w:i/>
                <w:iCs/>
                <w:color w:val="000000" w:themeColor="text1"/>
              </w:rPr>
              <w:t>brevispinus</w:t>
            </w:r>
            <w:proofErr w:type="spellEnd"/>
            <w:r w:rsidRPr="00744061">
              <w:rPr>
                <w:rFonts w:eastAsia="Times New Roman" w:cs="Times New Roman"/>
                <w:color w:val="000000" w:themeColor="text1"/>
              </w:rPr>
              <w:t xml:space="preserve"> and one year from the survey date for </w:t>
            </w:r>
            <w:proofErr w:type="spellStart"/>
            <w:r w:rsidRPr="00744061">
              <w:rPr>
                <w:rFonts w:eastAsia="Times New Roman" w:cs="Times New Roman"/>
                <w:i/>
                <w:iCs/>
                <w:color w:val="000000" w:themeColor="text1"/>
              </w:rPr>
              <w:t>Sclerocactus</w:t>
            </w:r>
            <w:proofErr w:type="spellEnd"/>
            <w:r w:rsidRPr="00744061">
              <w:rPr>
                <w:rFonts w:eastAsia="Times New Roman" w:cs="Times New Roman"/>
                <w:i/>
                <w:iCs/>
                <w:color w:val="000000" w:themeColor="text1"/>
              </w:rPr>
              <w:t xml:space="preserve"> </w:t>
            </w:r>
            <w:proofErr w:type="spellStart"/>
            <w:r w:rsidRPr="00744061">
              <w:rPr>
                <w:rFonts w:eastAsia="Times New Roman" w:cs="Times New Roman"/>
                <w:i/>
                <w:iCs/>
                <w:color w:val="000000" w:themeColor="text1"/>
              </w:rPr>
              <w:t>wetlandicus</w:t>
            </w:r>
            <w:proofErr w:type="spellEnd"/>
            <w:r w:rsidRPr="00744061">
              <w:rPr>
                <w:rFonts w:eastAsia="Times New Roman" w:cs="Times New Roman"/>
                <w:color w:val="000000" w:themeColor="text1"/>
              </w:rPr>
              <w:t>.</w:t>
            </w:r>
          </w:p>
          <w:p w14:paraId="527B717D"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rPr>
              <w:t>Design project infrastructure to minimize impacts within suitable habitat</w:t>
            </w:r>
            <w:r w:rsidRPr="00744061">
              <w:rPr>
                <w:rFonts w:eastAsia="Times New Roman" w:cs="Times New Roman"/>
                <w:color w:val="000000" w:themeColor="text1"/>
                <w:vertAlign w:val="superscript"/>
              </w:rPr>
              <w:t>2</w:t>
            </w:r>
            <w:r w:rsidRPr="00744061">
              <w:rPr>
                <w:rFonts w:eastAsia="Times New Roman" w:cs="Times New Roman"/>
                <w:color w:val="000000" w:themeColor="text1"/>
              </w:rPr>
              <w:t>:</w:t>
            </w:r>
          </w:p>
          <w:p w14:paraId="64BDA731"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 xml:space="preserve">Reduce well pad size to the minimum needed, without compromising safety, </w:t>
            </w:r>
          </w:p>
          <w:p w14:paraId="5AC3FA63"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Limit new access routes created by the project,</w:t>
            </w:r>
          </w:p>
          <w:p w14:paraId="2B697DE9"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 xml:space="preserve">Roads and utilities should share common </w:t>
            </w:r>
            <w:proofErr w:type="spellStart"/>
            <w:r w:rsidRPr="00744061">
              <w:rPr>
                <w:rFonts w:eastAsia="Times New Roman" w:cs="Times New Roman"/>
                <w:color w:val="000000" w:themeColor="text1"/>
              </w:rPr>
              <w:t>right-of-ways</w:t>
            </w:r>
            <w:proofErr w:type="spellEnd"/>
            <w:r w:rsidRPr="00744061">
              <w:rPr>
                <w:rFonts w:eastAsia="Times New Roman" w:cs="Times New Roman"/>
                <w:color w:val="000000" w:themeColor="text1"/>
              </w:rPr>
              <w:t xml:space="preserve"> where possible, </w:t>
            </w:r>
          </w:p>
          <w:p w14:paraId="0910143D"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 xml:space="preserve">Reduce width of </w:t>
            </w:r>
            <w:proofErr w:type="spellStart"/>
            <w:r w:rsidRPr="00744061">
              <w:rPr>
                <w:rFonts w:eastAsia="Times New Roman" w:cs="Times New Roman"/>
                <w:color w:val="000000" w:themeColor="text1"/>
              </w:rPr>
              <w:t>right-of-ways</w:t>
            </w:r>
            <w:proofErr w:type="spellEnd"/>
            <w:r w:rsidRPr="00744061">
              <w:rPr>
                <w:rFonts w:eastAsia="Times New Roman" w:cs="Times New Roman"/>
                <w:color w:val="000000" w:themeColor="text1"/>
              </w:rPr>
              <w:t xml:space="preserve"> and minimize the depth of excavation needed for the </w:t>
            </w:r>
            <w:proofErr w:type="gramStart"/>
            <w:r w:rsidRPr="00744061">
              <w:rPr>
                <w:rFonts w:eastAsia="Times New Roman" w:cs="Times New Roman"/>
                <w:color w:val="000000" w:themeColor="text1"/>
              </w:rPr>
              <w:t>road bed</w:t>
            </w:r>
            <w:proofErr w:type="gramEnd"/>
            <w:r w:rsidRPr="00744061">
              <w:rPr>
                <w:rFonts w:eastAsia="Times New Roman" w:cs="Times New Roman"/>
                <w:color w:val="000000" w:themeColor="text1"/>
              </w:rPr>
              <w:t xml:space="preserve">; where feasible, use the natural ground surface for the road within habitat, </w:t>
            </w:r>
          </w:p>
          <w:p w14:paraId="48E50B4D"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 xml:space="preserve">Place signing to limit off-road travel in sensitive areas, </w:t>
            </w:r>
          </w:p>
          <w:p w14:paraId="15EF6A15"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Stay on designated routes and other cleared/approved areas, and</w:t>
            </w:r>
          </w:p>
          <w:p w14:paraId="1CC56AB1" w14:textId="77777777" w:rsidR="00D946AD" w:rsidRPr="00744061" w:rsidRDefault="00D946AD">
            <w:pPr>
              <w:pStyle w:val="ListParagraph"/>
              <w:numPr>
                <w:ilvl w:val="1"/>
                <w:numId w:val="141"/>
              </w:numPr>
              <w:ind w:left="913"/>
              <w:rPr>
                <w:rFonts w:eastAsia="Times New Roman" w:cs="Times New Roman"/>
                <w:color w:val="000000" w:themeColor="text1"/>
              </w:rPr>
            </w:pPr>
            <w:r w:rsidRPr="00744061">
              <w:rPr>
                <w:rFonts w:eastAsia="Times New Roman" w:cs="Times New Roman"/>
                <w:color w:val="000000" w:themeColor="text1"/>
              </w:rPr>
              <w:t>All disturbed areas will be re-vegetated with native species comprised of species indigenous to the area and non-native species that are not likely to invade other areas.</w:t>
            </w:r>
          </w:p>
          <w:p w14:paraId="5C9AD194"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rPr>
              <w:t>Within occupied habitat</w:t>
            </w:r>
            <w:r w:rsidRPr="00744061">
              <w:rPr>
                <w:rFonts w:eastAsia="Times New Roman" w:cs="Times New Roman"/>
                <w:color w:val="000000" w:themeColor="text1"/>
                <w:vertAlign w:val="superscript"/>
              </w:rPr>
              <w:t>3</w:t>
            </w:r>
            <w:r w:rsidRPr="00744061">
              <w:rPr>
                <w:rFonts w:eastAsia="Times New Roman" w:cs="Times New Roman"/>
                <w:color w:val="000000" w:themeColor="text1"/>
              </w:rPr>
              <w:t>, project infrastructure will be designed to avoid direct disturbance and minimize indirect impacts to populations and to individual plants:</w:t>
            </w:r>
          </w:p>
          <w:p w14:paraId="3A670D55"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Follow the above (3.) recommendations for project design within suitable habitats,</w:t>
            </w:r>
          </w:p>
          <w:p w14:paraId="1E77454E"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Buffers of 300 feet minimum between the edge of the right of way (roads and surface pipelines) or surface disturbance (well pads) and plants and populations will be incorporated,</w:t>
            </w:r>
          </w:p>
          <w:p w14:paraId="60AA897D"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 xml:space="preserve">Surface pipelines will be laid such that a </w:t>
            </w:r>
            <w:proofErr w:type="gramStart"/>
            <w:r w:rsidRPr="00744061">
              <w:rPr>
                <w:rFonts w:eastAsia="Times New Roman" w:cs="Times New Roman"/>
                <w:color w:val="000000" w:themeColor="text1"/>
              </w:rPr>
              <w:t>300 foot</w:t>
            </w:r>
            <w:proofErr w:type="gramEnd"/>
            <w:r w:rsidRPr="00744061">
              <w:rPr>
                <w:rFonts w:eastAsia="Times New Roman" w:cs="Times New Roman"/>
                <w:color w:val="000000" w:themeColor="text1"/>
              </w:rPr>
              <w:t xml:space="preserve"> buffer exists between the edge of the right of way and the plants, use stabilizing and anchoring techniques when the pipeline crosses the habitat to ensure the pipelines don’t move towards the population,</w:t>
            </w:r>
          </w:p>
          <w:p w14:paraId="09697D8B"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Before and during construction, areas for avoidance should be visually identifiable in the field (e.g., flagging, temporary fencing, rebar, etc.),</w:t>
            </w:r>
          </w:p>
          <w:p w14:paraId="2F01FE03"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lastRenderedPageBreak/>
              <w:t>Where technically and economically feasible, use directional drilling or multiple wells from the same pad,</w:t>
            </w:r>
          </w:p>
          <w:p w14:paraId="7A7A7B9F"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 xml:space="preserve">Designs will avoid concentrating water flows or sediments into occupied habitat, </w:t>
            </w:r>
          </w:p>
          <w:p w14:paraId="47E58E5A"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Place produced oil, water, or condensate tanks in centralized locations, away from occupied habitat, and</w:t>
            </w:r>
          </w:p>
          <w:p w14:paraId="4C92FBD2" w14:textId="77777777" w:rsidR="00D946AD" w:rsidRPr="00744061" w:rsidRDefault="00D946AD">
            <w:pPr>
              <w:pStyle w:val="ListParagraph"/>
              <w:numPr>
                <w:ilvl w:val="1"/>
                <w:numId w:val="141"/>
              </w:numPr>
              <w:ind w:left="871" w:hanging="318"/>
              <w:rPr>
                <w:rFonts w:eastAsia="Times New Roman" w:cs="Times New Roman"/>
                <w:color w:val="000000" w:themeColor="text1"/>
              </w:rPr>
            </w:pPr>
            <w:r w:rsidRPr="00744061">
              <w:rPr>
                <w:rFonts w:eastAsia="Times New Roman" w:cs="Times New Roman"/>
                <w:color w:val="000000" w:themeColor="text1"/>
              </w:rPr>
              <w:t>Minimize the disturbed area of producing well locations through interim and final reclamation.  Reclaim well pads following drilling to the smallest area possible.</w:t>
            </w:r>
          </w:p>
          <w:p w14:paraId="3DD37B0F"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rPr>
              <w:t xml:space="preserve">Occupied </w:t>
            </w:r>
            <w:proofErr w:type="spellStart"/>
            <w:r w:rsidRPr="00744061">
              <w:rPr>
                <w:rFonts w:eastAsia="Times New Roman" w:cs="Times New Roman"/>
                <w:color w:val="000000" w:themeColor="text1"/>
              </w:rPr>
              <w:t>Pariette</w:t>
            </w:r>
            <w:proofErr w:type="spellEnd"/>
            <w:r w:rsidRPr="00744061">
              <w:rPr>
                <w:rFonts w:eastAsia="Times New Roman" w:cs="Times New Roman"/>
                <w:color w:val="000000" w:themeColor="text1"/>
              </w:rPr>
              <w:t xml:space="preserve"> cactus and Uinta Basin hookless cactus habitats within 300’ of the edge of the surface pipelines’ </w:t>
            </w:r>
            <w:proofErr w:type="spellStart"/>
            <w:r w:rsidRPr="00744061">
              <w:rPr>
                <w:rFonts w:eastAsia="Times New Roman" w:cs="Times New Roman"/>
                <w:color w:val="000000" w:themeColor="text1"/>
              </w:rPr>
              <w:t>right-of-ways</w:t>
            </w:r>
            <w:proofErr w:type="spellEnd"/>
            <w:r w:rsidRPr="00744061">
              <w:rPr>
                <w:rFonts w:eastAsia="Times New Roman" w:cs="Times New Roman"/>
                <w:color w:val="000000" w:themeColor="text1"/>
              </w:rPr>
              <w:t xml:space="preserve">, 300’ of the edge of the roads’ </w:t>
            </w:r>
            <w:proofErr w:type="spellStart"/>
            <w:r w:rsidRPr="00744061">
              <w:rPr>
                <w:rFonts w:eastAsia="Times New Roman" w:cs="Times New Roman"/>
                <w:color w:val="000000" w:themeColor="text1"/>
              </w:rPr>
              <w:t>right-of-ways</w:t>
            </w:r>
            <w:proofErr w:type="spellEnd"/>
            <w:r w:rsidRPr="00744061">
              <w:rPr>
                <w:rFonts w:eastAsia="Times New Roman" w:cs="Times New Roman"/>
                <w:color w:val="000000" w:themeColor="text1"/>
              </w:rPr>
              <w:t>, and 100’ from the edge of the well pad shall be monitored for a period of three years after ground disturbing activities.  Monitoring will include annual plant surveys to determine plant and habitat impacts relative to project facilities.   Annual reports shall be provided to the BLM and the USFWS.  To ensure desired results are being achieved, minimization measures will be evaluated and may be changed after a thorough review of the monitoring results and annual reports during annual meetings between the BLM and the USFWS.</w:t>
            </w:r>
          </w:p>
          <w:p w14:paraId="7524CB22"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rPr>
              <w:t xml:space="preserve">Re-initiation of Section 7 consultation with the USFWS will be sought immediately if any loss of plants or occupied habitat for the </w:t>
            </w:r>
            <w:proofErr w:type="spellStart"/>
            <w:r w:rsidRPr="00744061">
              <w:rPr>
                <w:rFonts w:eastAsia="Times New Roman" w:cs="Times New Roman"/>
                <w:color w:val="000000" w:themeColor="text1"/>
              </w:rPr>
              <w:t>Pariette</w:t>
            </w:r>
            <w:proofErr w:type="spellEnd"/>
            <w:r w:rsidRPr="00744061">
              <w:rPr>
                <w:rFonts w:eastAsia="Times New Roman" w:cs="Times New Roman"/>
                <w:color w:val="000000" w:themeColor="text1"/>
              </w:rPr>
              <w:t xml:space="preserve"> cactus and Uinta Basin hookless cactus is anticipated </w:t>
            </w:r>
            <w:proofErr w:type="gramStart"/>
            <w:r w:rsidRPr="00744061">
              <w:rPr>
                <w:rFonts w:eastAsia="Times New Roman" w:cs="Times New Roman"/>
                <w:color w:val="000000" w:themeColor="text1"/>
              </w:rPr>
              <w:t>as a result of</w:t>
            </w:r>
            <w:proofErr w:type="gramEnd"/>
            <w:r w:rsidRPr="00744061">
              <w:rPr>
                <w:rFonts w:eastAsia="Times New Roman" w:cs="Times New Roman"/>
                <w:color w:val="000000" w:themeColor="text1"/>
              </w:rPr>
              <w:t xml:space="preserve"> project activities.</w:t>
            </w:r>
          </w:p>
          <w:p w14:paraId="1F91CBA4" w14:textId="77777777" w:rsidR="00D946AD" w:rsidRPr="00744061" w:rsidRDefault="00D946AD">
            <w:pPr>
              <w:pStyle w:val="ListParagraph"/>
              <w:numPr>
                <w:ilvl w:val="0"/>
                <w:numId w:val="141"/>
              </w:numPr>
              <w:spacing w:before="40" w:after="40"/>
              <w:ind w:left="553"/>
              <w:rPr>
                <w:rFonts w:eastAsia="Times New Roman" w:cs="Times New Roman"/>
                <w:color w:val="000000" w:themeColor="text1"/>
              </w:rPr>
            </w:pPr>
            <w:r w:rsidRPr="00744061">
              <w:rPr>
                <w:rFonts w:eastAsia="Times New Roman" w:cs="Times New Roman"/>
                <w:color w:val="000000" w:themeColor="text1"/>
              </w:rPr>
              <w:t>The lessee will observe the management and conservation measures developed for the Level 1 and 2 Core Conservation Areas that have been identified by the USFWS. These conservation measures include disturbance caps (no further disturbance in Core 1 Areas and a 5% disturbance cap in Core 2 Areas).</w:t>
            </w:r>
          </w:p>
          <w:p w14:paraId="373E28D2" w14:textId="77777777" w:rsidR="00D946AD" w:rsidRPr="00744061" w:rsidRDefault="00D946AD">
            <w:pPr>
              <w:pStyle w:val="BODYTEXTMONTEIS"/>
              <w:spacing w:before="40" w:after="40"/>
              <w:jc w:val="left"/>
              <w:rPr>
                <w:rFonts w:eastAsia="Times New Roman" w:cs="Times New Roman"/>
                <w:color w:val="000000" w:themeColor="text1"/>
                <w:sz w:val="22"/>
                <w:szCs w:val="22"/>
              </w:rPr>
            </w:pPr>
            <w:r w:rsidRPr="308F7E67">
              <w:rPr>
                <w:rFonts w:eastAsia="Times New Roman" w:cs="Times New Roman"/>
                <w:color w:val="000000" w:themeColor="text1"/>
                <w:sz w:val="22"/>
                <w:szCs w:val="22"/>
              </w:rPr>
              <w:t>Additional site-specific measures may also be employed to avoid or minimize effects to the species. These additional measures will be developed and implemented in consultation with the USFWS to ensure continued compliance with the ESA.</w:t>
            </w:r>
          </w:p>
        </w:tc>
      </w:tr>
    </w:tbl>
    <w:p w14:paraId="435F8302" w14:textId="584E3975" w:rsidR="0016051C" w:rsidRDefault="0016051C">
      <w:pPr>
        <w:spacing w:after="160" w:line="259" w:lineRule="auto"/>
        <w:rPr>
          <w:rFonts w:ascii="Times New Roman Bold" w:eastAsiaTheme="majorEastAsia" w:hAnsi="Times New Roman Bold" w:cs="Arial" w:hint="eastAsia"/>
          <w:b/>
          <w:caps/>
          <w:sz w:val="32"/>
          <w:szCs w:val="32"/>
        </w:rPr>
      </w:pPr>
      <w:r>
        <w:rPr>
          <w:rFonts w:hint="eastAsia"/>
        </w:rPr>
        <w:lastRenderedPageBreak/>
        <w:br w:type="page"/>
      </w:r>
    </w:p>
    <w:p w14:paraId="5648DC51" w14:textId="5CE48532" w:rsidR="00933603" w:rsidRDefault="00D94666" w:rsidP="00761700">
      <w:pPr>
        <w:pStyle w:val="AppendixHeading1"/>
        <w:rPr>
          <w:rFonts w:hint="eastAsia"/>
          <w:bCs/>
          <w:i/>
          <w:iCs/>
          <w:sz w:val="24"/>
          <w:szCs w:val="20"/>
        </w:rPr>
      </w:pPr>
      <w:bookmarkStart w:id="340" w:name="_Toc127312111"/>
      <w:bookmarkStart w:id="341" w:name="_Toc128755985"/>
      <w:bookmarkStart w:id="342" w:name="_Toc128984195"/>
      <w:bookmarkStart w:id="343" w:name="_Toc179464277"/>
      <w:bookmarkStart w:id="344" w:name="_Toc170114932"/>
      <w:r w:rsidRPr="001C4F2E">
        <w:lastRenderedPageBreak/>
        <w:t xml:space="preserve">Appendix </w:t>
      </w:r>
      <w:r w:rsidR="00C712AE">
        <w:t>C</w:t>
      </w:r>
      <w:r w:rsidRPr="001C4F2E">
        <w:t xml:space="preserve">. Comments </w:t>
      </w:r>
      <w:r>
        <w:t>And BLM Responses</w:t>
      </w:r>
      <w:bookmarkEnd w:id="340"/>
      <w:bookmarkEnd w:id="341"/>
      <w:bookmarkEnd w:id="342"/>
      <w:bookmarkEnd w:id="343"/>
      <w:bookmarkEnd w:id="344"/>
    </w:p>
    <w:p w14:paraId="15F8D3D7" w14:textId="59C009FC" w:rsidR="00EA4A12" w:rsidRPr="00153EC6" w:rsidRDefault="00EA4A12" w:rsidP="00EA4A12">
      <w:pPr>
        <w:pStyle w:val="paragraph"/>
        <w:rPr>
          <w:sz w:val="22"/>
          <w:szCs w:val="22"/>
        </w:rPr>
      </w:pPr>
      <w:bookmarkStart w:id="345" w:name="_Ref140831505"/>
      <w:r w:rsidRPr="00153EC6">
        <w:rPr>
          <w:sz w:val="22"/>
          <w:szCs w:val="22"/>
        </w:rPr>
        <w:t xml:space="preserve">The BLM evaluated all comments received and parsed them into substantive or non-substantive comments according to the guidance in the BLM’s NEPA Handbook (H-1790-1; page 66). Example substantive comments contained in </w:t>
      </w:r>
      <w:r w:rsidR="00D51673" w:rsidRPr="00153EC6">
        <w:rPr>
          <w:sz w:val="22"/>
          <w:szCs w:val="22"/>
        </w:rPr>
        <w:fldChar w:fldCharType="begin"/>
      </w:r>
      <w:r w:rsidR="00D51673" w:rsidRPr="00153EC6">
        <w:rPr>
          <w:sz w:val="22"/>
          <w:szCs w:val="22"/>
        </w:rPr>
        <w:instrText xml:space="preserve"> REF _Ref140831541 \h </w:instrText>
      </w:r>
      <w:r w:rsidR="00153EC6">
        <w:rPr>
          <w:sz w:val="22"/>
          <w:szCs w:val="22"/>
        </w:rPr>
        <w:instrText xml:space="preserve"> \* MERGEFORMAT </w:instrText>
      </w:r>
      <w:r w:rsidR="00D51673" w:rsidRPr="00153EC6">
        <w:rPr>
          <w:sz w:val="22"/>
          <w:szCs w:val="22"/>
        </w:rPr>
      </w:r>
      <w:r w:rsidR="00D51673" w:rsidRPr="00153EC6">
        <w:rPr>
          <w:sz w:val="22"/>
          <w:szCs w:val="22"/>
        </w:rPr>
        <w:fldChar w:fldCharType="separate"/>
      </w:r>
      <w:r w:rsidR="00D51673" w:rsidRPr="00153EC6">
        <w:rPr>
          <w:sz w:val="22"/>
          <w:szCs w:val="22"/>
        </w:rPr>
        <w:t xml:space="preserve">Table </w:t>
      </w:r>
      <w:r w:rsidR="00D51673" w:rsidRPr="00153EC6">
        <w:rPr>
          <w:noProof/>
          <w:sz w:val="22"/>
          <w:szCs w:val="22"/>
        </w:rPr>
        <w:t>32</w:t>
      </w:r>
      <w:r w:rsidR="00D51673" w:rsidRPr="00153EC6">
        <w:rPr>
          <w:sz w:val="22"/>
          <w:szCs w:val="22"/>
        </w:rPr>
        <w:fldChar w:fldCharType="end"/>
      </w:r>
      <w:r w:rsidR="00153EC6">
        <w:rPr>
          <w:sz w:val="22"/>
          <w:szCs w:val="22"/>
        </w:rPr>
        <w:t xml:space="preserve"> </w:t>
      </w:r>
      <w:r w:rsidRPr="00153EC6">
        <w:rPr>
          <w:sz w:val="22"/>
          <w:szCs w:val="22"/>
        </w:rPr>
        <w:t>are representative of topics raised, and single responses are provided for similarly stated topics. Due to their length, the BLM has summarized or excerpted comments below. </w:t>
      </w:r>
    </w:p>
    <w:p w14:paraId="05E397FB" w14:textId="77777777" w:rsidR="00EA4A12" w:rsidRPr="00153EC6" w:rsidRDefault="00EA4A12" w:rsidP="00EA4A12">
      <w:pPr>
        <w:pStyle w:val="paragraph"/>
        <w:rPr>
          <w:b/>
          <w:bCs/>
          <w:sz w:val="22"/>
          <w:szCs w:val="22"/>
        </w:rPr>
      </w:pPr>
      <w:proofErr w:type="gramStart"/>
      <w:r w:rsidRPr="00153EC6">
        <w:rPr>
          <w:b/>
          <w:bCs/>
          <w:sz w:val="22"/>
          <w:szCs w:val="22"/>
        </w:rPr>
        <w:t>The majority of</w:t>
      </w:r>
      <w:proofErr w:type="gramEnd"/>
      <w:r w:rsidRPr="00153EC6">
        <w:rPr>
          <w:b/>
          <w:bCs/>
          <w:sz w:val="22"/>
          <w:szCs w:val="22"/>
        </w:rPr>
        <w:t xml:space="preserve"> the comments expressed opinions or preferences and are outside the scope of the EA. The BLM will only respond to substantive comments. The comments, in their entirety, are on ePlanning.  </w:t>
      </w:r>
    </w:p>
    <w:p w14:paraId="24FEB258" w14:textId="37A9A5BA" w:rsidR="00142388" w:rsidRDefault="00142388" w:rsidP="00142388">
      <w:pPr>
        <w:pStyle w:val="paragraph"/>
        <w:spacing w:before="0" w:beforeAutospacing="0" w:after="0" w:afterAutospacing="0"/>
        <w:textAlignment w:val="baseline"/>
        <w:rPr>
          <w:rStyle w:val="eop"/>
          <w:rFonts w:eastAsiaTheme="majorEastAsia"/>
          <w:sz w:val="22"/>
          <w:szCs w:val="22"/>
        </w:rPr>
      </w:pPr>
      <w:r>
        <w:rPr>
          <w:rStyle w:val="normaltextrun"/>
          <w:sz w:val="22"/>
          <w:szCs w:val="22"/>
        </w:rPr>
        <w:t xml:space="preserve">As detailed in </w:t>
      </w:r>
      <w:r w:rsidR="00F85412" w:rsidRPr="00F85412">
        <w:rPr>
          <w:rStyle w:val="normaltextrun"/>
          <w:sz w:val="22"/>
          <w:szCs w:val="22"/>
        </w:rPr>
        <w:fldChar w:fldCharType="begin"/>
      </w:r>
      <w:r w:rsidR="00F85412" w:rsidRPr="00F85412">
        <w:rPr>
          <w:rStyle w:val="normaltextrun"/>
          <w:sz w:val="22"/>
          <w:szCs w:val="22"/>
        </w:rPr>
        <w:instrText xml:space="preserve"> REF _Ref179978097 \h </w:instrText>
      </w:r>
      <w:r w:rsidR="00F85412">
        <w:rPr>
          <w:rStyle w:val="normaltextrun"/>
          <w:sz w:val="22"/>
          <w:szCs w:val="22"/>
        </w:rPr>
        <w:instrText xml:space="preserve"> \* MERGEFORMAT </w:instrText>
      </w:r>
      <w:r w:rsidR="00F85412" w:rsidRPr="00F85412">
        <w:rPr>
          <w:rStyle w:val="normaltextrun"/>
          <w:sz w:val="22"/>
          <w:szCs w:val="22"/>
        </w:rPr>
      </w:r>
      <w:r w:rsidR="00F85412" w:rsidRPr="00F85412">
        <w:rPr>
          <w:rStyle w:val="normaltextrun"/>
          <w:sz w:val="22"/>
          <w:szCs w:val="22"/>
        </w:rPr>
        <w:fldChar w:fldCharType="separate"/>
      </w:r>
      <w:r w:rsidR="00F85412" w:rsidRPr="00F34705">
        <w:rPr>
          <w:sz w:val="22"/>
          <w:szCs w:val="22"/>
        </w:rPr>
        <w:t xml:space="preserve">Table </w:t>
      </w:r>
      <w:r w:rsidR="00F85412" w:rsidRPr="00F34705">
        <w:rPr>
          <w:noProof/>
          <w:sz w:val="22"/>
          <w:szCs w:val="22"/>
        </w:rPr>
        <w:t>31</w:t>
      </w:r>
      <w:r w:rsidR="00F85412" w:rsidRPr="00F85412">
        <w:rPr>
          <w:rStyle w:val="normaltextrun"/>
          <w:sz w:val="22"/>
          <w:szCs w:val="22"/>
        </w:rPr>
        <w:fldChar w:fldCharType="end"/>
      </w:r>
      <w:r>
        <w:rPr>
          <w:rStyle w:val="normaltextrun"/>
          <w:sz w:val="22"/>
          <w:szCs w:val="22"/>
        </w:rPr>
        <w:t xml:space="preserve"> the BLM assigned unique codes for all individuals, entities, and organizations who submitted comments during the Comment Period. The BLM evaluated all comments received and parsed them into substantive or non-substantive comments according to BLM’s NEPA Handbook (H-1790-1; page 66). The agency then identified resource/topic areas for each of the substantive comments. The commenter codes and resource/topic areas are used in </w:t>
      </w:r>
      <w:r w:rsidR="00F85412" w:rsidRPr="00F85412">
        <w:rPr>
          <w:rStyle w:val="normaltextrun"/>
          <w:sz w:val="22"/>
          <w:szCs w:val="22"/>
        </w:rPr>
        <w:fldChar w:fldCharType="begin"/>
      </w:r>
      <w:r w:rsidR="00F85412" w:rsidRPr="00F85412">
        <w:rPr>
          <w:rStyle w:val="normaltextrun"/>
          <w:sz w:val="22"/>
          <w:szCs w:val="22"/>
        </w:rPr>
        <w:instrText xml:space="preserve"> REF _Ref140831541 \h </w:instrText>
      </w:r>
      <w:r w:rsidR="00F85412">
        <w:rPr>
          <w:rStyle w:val="normaltextrun"/>
          <w:sz w:val="22"/>
          <w:szCs w:val="22"/>
        </w:rPr>
        <w:instrText xml:space="preserve"> \* MERGEFORMAT </w:instrText>
      </w:r>
      <w:r w:rsidR="00F85412" w:rsidRPr="00F85412">
        <w:rPr>
          <w:rStyle w:val="normaltextrun"/>
          <w:sz w:val="22"/>
          <w:szCs w:val="22"/>
        </w:rPr>
      </w:r>
      <w:r w:rsidR="00F85412" w:rsidRPr="00F85412">
        <w:rPr>
          <w:rStyle w:val="normaltextrun"/>
          <w:sz w:val="22"/>
          <w:szCs w:val="22"/>
        </w:rPr>
        <w:fldChar w:fldCharType="separate"/>
      </w:r>
      <w:r w:rsidR="00F85412" w:rsidRPr="00F34705">
        <w:rPr>
          <w:sz w:val="22"/>
          <w:szCs w:val="22"/>
        </w:rPr>
        <w:t xml:space="preserve">Table </w:t>
      </w:r>
      <w:r w:rsidR="00F85412" w:rsidRPr="00F34705">
        <w:rPr>
          <w:noProof/>
          <w:sz w:val="22"/>
          <w:szCs w:val="22"/>
        </w:rPr>
        <w:t>32</w:t>
      </w:r>
      <w:r w:rsidR="00F85412" w:rsidRPr="00F85412">
        <w:rPr>
          <w:rStyle w:val="normaltextrun"/>
          <w:sz w:val="22"/>
          <w:szCs w:val="22"/>
        </w:rPr>
        <w:fldChar w:fldCharType="end"/>
      </w:r>
      <w:r w:rsidRPr="00F85412">
        <w:rPr>
          <w:rStyle w:val="normaltextrun"/>
          <w:sz w:val="22"/>
          <w:szCs w:val="22"/>
        </w:rPr>
        <w:t xml:space="preserve"> </w:t>
      </w:r>
      <w:r>
        <w:rPr>
          <w:rStyle w:val="normaltextrun"/>
          <w:sz w:val="22"/>
          <w:szCs w:val="22"/>
        </w:rPr>
        <w:t xml:space="preserve">for responding to all substantive comments. Substantive comments contained in </w:t>
      </w:r>
      <w:r w:rsidR="00F85412" w:rsidRPr="00F85412">
        <w:rPr>
          <w:rStyle w:val="normaltextrun"/>
          <w:color w:val="000000"/>
          <w:sz w:val="22"/>
          <w:szCs w:val="22"/>
          <w:shd w:val="clear" w:color="auto" w:fill="E1E3E6"/>
        </w:rPr>
        <w:fldChar w:fldCharType="begin"/>
      </w:r>
      <w:r w:rsidR="00F85412" w:rsidRPr="00F85412">
        <w:rPr>
          <w:rStyle w:val="normaltextrun"/>
          <w:sz w:val="22"/>
          <w:szCs w:val="22"/>
        </w:rPr>
        <w:instrText xml:space="preserve"> REF _Ref179978193 \h </w:instrText>
      </w:r>
      <w:r w:rsidR="00F85412">
        <w:rPr>
          <w:rStyle w:val="normaltextrun"/>
          <w:color w:val="000000"/>
          <w:sz w:val="22"/>
          <w:szCs w:val="22"/>
          <w:shd w:val="clear" w:color="auto" w:fill="E1E3E6"/>
        </w:rPr>
        <w:instrText xml:space="preserve"> \* MERGEFORMAT </w:instrText>
      </w:r>
      <w:r w:rsidR="00F85412" w:rsidRPr="00F85412">
        <w:rPr>
          <w:rStyle w:val="normaltextrun"/>
          <w:color w:val="000000"/>
          <w:sz w:val="22"/>
          <w:szCs w:val="22"/>
          <w:shd w:val="clear" w:color="auto" w:fill="E1E3E6"/>
        </w:rPr>
      </w:r>
      <w:r w:rsidR="00F85412" w:rsidRPr="00F85412">
        <w:rPr>
          <w:rStyle w:val="normaltextrun"/>
          <w:color w:val="000000"/>
          <w:sz w:val="22"/>
          <w:szCs w:val="22"/>
          <w:shd w:val="clear" w:color="auto" w:fill="E1E3E6"/>
        </w:rPr>
        <w:fldChar w:fldCharType="separate"/>
      </w:r>
      <w:r w:rsidR="00F85412" w:rsidRPr="00F34705">
        <w:rPr>
          <w:sz w:val="22"/>
          <w:szCs w:val="22"/>
        </w:rPr>
        <w:t xml:space="preserve">Table </w:t>
      </w:r>
      <w:r w:rsidR="00F85412" w:rsidRPr="00F34705">
        <w:rPr>
          <w:noProof/>
          <w:sz w:val="22"/>
          <w:szCs w:val="22"/>
        </w:rPr>
        <w:t>32</w:t>
      </w:r>
      <w:r w:rsidR="00F85412" w:rsidRPr="00F85412">
        <w:rPr>
          <w:rStyle w:val="normaltextrun"/>
          <w:color w:val="000000"/>
          <w:sz w:val="22"/>
          <w:szCs w:val="22"/>
          <w:shd w:val="clear" w:color="auto" w:fill="E1E3E6"/>
        </w:rPr>
        <w:fldChar w:fldCharType="end"/>
      </w:r>
      <w:r>
        <w:rPr>
          <w:rStyle w:val="normaltextrun"/>
          <w:sz w:val="22"/>
          <w:szCs w:val="22"/>
        </w:rPr>
        <w:t xml:space="preserve"> are representative of topics raised, and single responses are provided for similarly stated comments. </w:t>
      </w:r>
      <w:r>
        <w:rPr>
          <w:rStyle w:val="eop"/>
          <w:rFonts w:eastAsiaTheme="majorEastAsia"/>
          <w:sz w:val="22"/>
          <w:szCs w:val="22"/>
        </w:rPr>
        <w:t> </w:t>
      </w:r>
    </w:p>
    <w:p w14:paraId="44A577C7" w14:textId="77777777" w:rsidR="00743785" w:rsidRDefault="00743785" w:rsidP="00142388">
      <w:pPr>
        <w:pStyle w:val="paragraph"/>
        <w:spacing w:before="0" w:beforeAutospacing="0" w:after="0" w:afterAutospacing="0"/>
        <w:textAlignment w:val="baseline"/>
        <w:rPr>
          <w:rFonts w:ascii="Segoe UI" w:hAnsi="Segoe UI" w:cs="Segoe UI"/>
          <w:sz w:val="18"/>
          <w:szCs w:val="18"/>
        </w:rPr>
      </w:pPr>
    </w:p>
    <w:p w14:paraId="5A0CB0CF" w14:textId="77777777" w:rsidR="00142388" w:rsidRDefault="00142388" w:rsidP="00142388">
      <w:pPr>
        <w:pStyle w:val="paragraph"/>
        <w:spacing w:before="0" w:beforeAutospacing="0" w:after="0" w:afterAutospacing="0"/>
        <w:textAlignment w:val="baseline"/>
        <w:rPr>
          <w:rStyle w:val="eop"/>
          <w:rFonts w:eastAsiaTheme="majorEastAsia"/>
          <w:sz w:val="22"/>
          <w:szCs w:val="22"/>
        </w:rPr>
      </w:pPr>
      <w:r>
        <w:rPr>
          <w:rStyle w:val="normaltextrun"/>
          <w:sz w:val="22"/>
          <w:szCs w:val="22"/>
        </w:rPr>
        <w:t>Substantive comments 1) question, with reasonable basis, the accuracy of the information in the analysis; 2) question, with reasonable basis, the adequacy of, methodology for, or assumptions used for the analysis; 3) present new information relevant to the analysis; 4) present reasonable alternatives other than those analyzed; or 5) cause changes or revisions in one or more of the alternatives. </w:t>
      </w:r>
      <w:r>
        <w:rPr>
          <w:rStyle w:val="eop"/>
          <w:rFonts w:eastAsiaTheme="majorEastAsia"/>
          <w:sz w:val="22"/>
          <w:szCs w:val="22"/>
        </w:rPr>
        <w:t> </w:t>
      </w:r>
    </w:p>
    <w:p w14:paraId="76F47682" w14:textId="77777777" w:rsidR="00743785" w:rsidRDefault="00743785" w:rsidP="00142388">
      <w:pPr>
        <w:pStyle w:val="paragraph"/>
        <w:spacing w:before="0" w:beforeAutospacing="0" w:after="0" w:afterAutospacing="0"/>
        <w:textAlignment w:val="baseline"/>
        <w:rPr>
          <w:rFonts w:ascii="Segoe UI" w:hAnsi="Segoe UI" w:cs="Segoe UI"/>
          <w:sz w:val="18"/>
          <w:szCs w:val="18"/>
        </w:rPr>
      </w:pPr>
    </w:p>
    <w:p w14:paraId="33E7E30C" w14:textId="77777777" w:rsidR="00142388" w:rsidRDefault="00142388" w:rsidP="00142388">
      <w:pPr>
        <w:pStyle w:val="paragraph"/>
        <w:spacing w:before="0" w:beforeAutospacing="0" w:after="0" w:afterAutospacing="0"/>
        <w:textAlignment w:val="baseline"/>
        <w:rPr>
          <w:rStyle w:val="eop"/>
          <w:rFonts w:eastAsiaTheme="majorEastAsia"/>
          <w:sz w:val="22"/>
          <w:szCs w:val="22"/>
        </w:rPr>
      </w:pPr>
      <w:r>
        <w:rPr>
          <w:rStyle w:val="normaltextrun"/>
          <w:sz w:val="22"/>
          <w:szCs w:val="22"/>
        </w:rPr>
        <w:t>Non-substantive comments generally 1) expressed opposition to or support for the proposed action or alternatives or agreed or disagreed with BLM policy or resource decisions without reasoning, justification, or supporting data; 2) did not pertain to the project area or the project; or 3) took the form of vague or open-ended questions and did not warrant a specific response. Similarly, comments that merely cited other comments or sources without providing reasoning or additional explanation were considered non-substantive. </w:t>
      </w:r>
      <w:r>
        <w:rPr>
          <w:rStyle w:val="eop"/>
          <w:rFonts w:eastAsiaTheme="majorEastAsia"/>
          <w:sz w:val="22"/>
          <w:szCs w:val="22"/>
        </w:rPr>
        <w:t> </w:t>
      </w:r>
    </w:p>
    <w:p w14:paraId="7727F143" w14:textId="77777777" w:rsidR="00743785" w:rsidRDefault="00743785" w:rsidP="00142388">
      <w:pPr>
        <w:pStyle w:val="paragraph"/>
        <w:spacing w:before="0" w:beforeAutospacing="0" w:after="0" w:afterAutospacing="0"/>
        <w:textAlignment w:val="baseline"/>
        <w:rPr>
          <w:rFonts w:ascii="Segoe UI" w:hAnsi="Segoe UI" w:cs="Segoe UI"/>
          <w:sz w:val="18"/>
          <w:szCs w:val="18"/>
        </w:rPr>
      </w:pPr>
    </w:p>
    <w:p w14:paraId="61FE01C6" w14:textId="77777777" w:rsidR="00142388" w:rsidRDefault="00142388" w:rsidP="00142388">
      <w:pPr>
        <w:pStyle w:val="paragraph"/>
        <w:spacing w:before="0" w:beforeAutospacing="0" w:after="0" w:afterAutospacing="0"/>
        <w:textAlignment w:val="baseline"/>
        <w:rPr>
          <w:rFonts w:ascii="Segoe UI" w:hAnsi="Segoe UI" w:cs="Segoe UI"/>
          <w:sz w:val="18"/>
          <w:szCs w:val="18"/>
        </w:rPr>
      </w:pPr>
      <w:r>
        <w:rPr>
          <w:rStyle w:val="normaltextrun"/>
          <w:sz w:val="22"/>
          <w:szCs w:val="22"/>
        </w:rPr>
        <w:t>The BLM received the following non-substantive comments during the comment period on the EA: </w:t>
      </w:r>
      <w:r>
        <w:rPr>
          <w:rStyle w:val="eop"/>
          <w:rFonts w:eastAsiaTheme="majorEastAsia"/>
          <w:sz w:val="22"/>
          <w:szCs w:val="22"/>
        </w:rPr>
        <w:t> </w:t>
      </w:r>
    </w:p>
    <w:p w14:paraId="6896EE88" w14:textId="77777777" w:rsidR="00142388" w:rsidRDefault="00142388" w:rsidP="00142388">
      <w:pPr>
        <w:pStyle w:val="paragraph"/>
        <w:numPr>
          <w:ilvl w:val="0"/>
          <w:numId w:val="154"/>
        </w:numPr>
        <w:spacing w:before="0" w:beforeAutospacing="0" w:after="0" w:afterAutospacing="0"/>
        <w:ind w:left="1080" w:firstLine="0"/>
        <w:textAlignment w:val="baseline"/>
        <w:rPr>
          <w:sz w:val="22"/>
          <w:szCs w:val="22"/>
        </w:rPr>
      </w:pPr>
      <w:r>
        <w:rPr>
          <w:rStyle w:val="normaltextrun"/>
          <w:sz w:val="22"/>
          <w:szCs w:val="22"/>
        </w:rPr>
        <w:t xml:space="preserve">Support of or opposition to the lease sale generally or the sale of specific </w:t>
      </w:r>
      <w:proofErr w:type="gramStart"/>
      <w:r>
        <w:rPr>
          <w:rStyle w:val="normaltextrun"/>
          <w:sz w:val="22"/>
          <w:szCs w:val="22"/>
        </w:rPr>
        <w:t>parcels;</w:t>
      </w:r>
      <w:proofErr w:type="gramEnd"/>
      <w:r>
        <w:rPr>
          <w:rStyle w:val="normaltextrun"/>
          <w:sz w:val="22"/>
          <w:szCs w:val="22"/>
        </w:rPr>
        <w:t> </w:t>
      </w:r>
      <w:r>
        <w:rPr>
          <w:rStyle w:val="eop"/>
          <w:rFonts w:eastAsiaTheme="majorEastAsia"/>
          <w:sz w:val="22"/>
          <w:szCs w:val="22"/>
        </w:rPr>
        <w:t> </w:t>
      </w:r>
    </w:p>
    <w:p w14:paraId="0149BCF0" w14:textId="77777777" w:rsidR="00142388" w:rsidRDefault="00142388" w:rsidP="007B16FA">
      <w:pPr>
        <w:pStyle w:val="paragraph"/>
        <w:numPr>
          <w:ilvl w:val="0"/>
          <w:numId w:val="155"/>
        </w:numPr>
        <w:spacing w:before="0" w:beforeAutospacing="0" w:after="0" w:afterAutospacing="0"/>
        <w:ind w:left="1440"/>
        <w:textAlignment w:val="baseline"/>
        <w:rPr>
          <w:sz w:val="22"/>
          <w:szCs w:val="22"/>
        </w:rPr>
      </w:pPr>
      <w:r>
        <w:rPr>
          <w:rStyle w:val="normaltextrun"/>
          <w:sz w:val="22"/>
          <w:szCs w:val="22"/>
        </w:rPr>
        <w:t xml:space="preserve">Support of or opposition to the use of certain lease </w:t>
      </w:r>
      <w:proofErr w:type="gramStart"/>
      <w:r>
        <w:rPr>
          <w:rStyle w:val="normaltextrun"/>
          <w:sz w:val="22"/>
          <w:szCs w:val="22"/>
        </w:rPr>
        <w:t>stipulations;</w:t>
      </w:r>
      <w:proofErr w:type="gramEnd"/>
      <w:r>
        <w:rPr>
          <w:rStyle w:val="normaltextrun"/>
          <w:sz w:val="22"/>
          <w:szCs w:val="22"/>
        </w:rPr>
        <w:t> </w:t>
      </w:r>
      <w:r>
        <w:rPr>
          <w:rStyle w:val="eop"/>
          <w:rFonts w:eastAsiaTheme="majorEastAsia"/>
          <w:sz w:val="22"/>
          <w:szCs w:val="22"/>
        </w:rPr>
        <w:t> </w:t>
      </w:r>
    </w:p>
    <w:p w14:paraId="04E1FB63" w14:textId="77777777" w:rsidR="00142388" w:rsidRDefault="00142388" w:rsidP="007B16FA">
      <w:pPr>
        <w:pStyle w:val="paragraph"/>
        <w:numPr>
          <w:ilvl w:val="0"/>
          <w:numId w:val="156"/>
        </w:numPr>
        <w:spacing w:before="0" w:beforeAutospacing="0" w:after="0" w:afterAutospacing="0"/>
        <w:ind w:left="1440"/>
        <w:textAlignment w:val="baseline"/>
        <w:rPr>
          <w:sz w:val="22"/>
          <w:szCs w:val="22"/>
        </w:rPr>
      </w:pPr>
      <w:r>
        <w:rPr>
          <w:rStyle w:val="normaltextrun"/>
          <w:sz w:val="22"/>
          <w:szCs w:val="22"/>
        </w:rPr>
        <w:t xml:space="preserve">Support of or opposition to certain alternatives or favoring one alternative over </w:t>
      </w:r>
      <w:proofErr w:type="gramStart"/>
      <w:r>
        <w:rPr>
          <w:rStyle w:val="normaltextrun"/>
          <w:sz w:val="22"/>
          <w:szCs w:val="22"/>
        </w:rPr>
        <w:t>another;</w:t>
      </w:r>
      <w:proofErr w:type="gramEnd"/>
      <w:r>
        <w:rPr>
          <w:rStyle w:val="normaltextrun"/>
          <w:sz w:val="22"/>
          <w:szCs w:val="22"/>
        </w:rPr>
        <w:t> </w:t>
      </w:r>
      <w:r>
        <w:rPr>
          <w:rStyle w:val="eop"/>
          <w:rFonts w:eastAsiaTheme="majorEastAsia"/>
          <w:sz w:val="22"/>
          <w:szCs w:val="22"/>
        </w:rPr>
        <w:t> </w:t>
      </w:r>
    </w:p>
    <w:p w14:paraId="6C75C148" w14:textId="77777777" w:rsidR="00142388" w:rsidRDefault="00142388" w:rsidP="007B16FA">
      <w:pPr>
        <w:pStyle w:val="paragraph"/>
        <w:numPr>
          <w:ilvl w:val="0"/>
          <w:numId w:val="157"/>
        </w:numPr>
        <w:spacing w:before="0" w:beforeAutospacing="0" w:after="0" w:afterAutospacing="0"/>
        <w:ind w:left="1440"/>
        <w:textAlignment w:val="baseline"/>
        <w:rPr>
          <w:sz w:val="22"/>
          <w:szCs w:val="22"/>
        </w:rPr>
      </w:pPr>
      <w:r>
        <w:rPr>
          <w:rStyle w:val="normaltextrun"/>
          <w:sz w:val="22"/>
          <w:szCs w:val="22"/>
        </w:rPr>
        <w:t xml:space="preserve">Opposition to BLM Oil and Gas Leasing Program policies, BLM climate change policies, implementation of various Executive Orders, and/or BLM management </w:t>
      </w:r>
      <w:proofErr w:type="gramStart"/>
      <w:r>
        <w:rPr>
          <w:rStyle w:val="normaltextrun"/>
          <w:sz w:val="22"/>
          <w:szCs w:val="22"/>
        </w:rPr>
        <w:t>generally;</w:t>
      </w:r>
      <w:proofErr w:type="gramEnd"/>
      <w:r>
        <w:rPr>
          <w:rStyle w:val="normaltextrun"/>
          <w:sz w:val="22"/>
          <w:szCs w:val="22"/>
        </w:rPr>
        <w:t> </w:t>
      </w:r>
      <w:r>
        <w:rPr>
          <w:rStyle w:val="eop"/>
          <w:rFonts w:eastAsiaTheme="majorEastAsia"/>
          <w:sz w:val="22"/>
          <w:szCs w:val="22"/>
        </w:rPr>
        <w:t> </w:t>
      </w:r>
    </w:p>
    <w:p w14:paraId="7C84D4F5" w14:textId="77777777" w:rsidR="00142388" w:rsidRDefault="00142388" w:rsidP="007B16FA">
      <w:pPr>
        <w:pStyle w:val="paragraph"/>
        <w:numPr>
          <w:ilvl w:val="0"/>
          <w:numId w:val="158"/>
        </w:numPr>
        <w:spacing w:before="0" w:beforeAutospacing="0" w:after="0" w:afterAutospacing="0"/>
        <w:ind w:left="1440"/>
        <w:textAlignment w:val="baseline"/>
        <w:rPr>
          <w:sz w:val="22"/>
          <w:szCs w:val="22"/>
        </w:rPr>
      </w:pPr>
      <w:r>
        <w:rPr>
          <w:rStyle w:val="normaltextrun"/>
          <w:sz w:val="22"/>
          <w:szCs w:val="22"/>
        </w:rPr>
        <w:t xml:space="preserve">Assertions of various statutory and regulatory violations without reasoning or </w:t>
      </w:r>
      <w:proofErr w:type="gramStart"/>
      <w:r>
        <w:rPr>
          <w:rStyle w:val="normaltextrun"/>
          <w:sz w:val="22"/>
          <w:szCs w:val="22"/>
        </w:rPr>
        <w:t>explanation;</w:t>
      </w:r>
      <w:proofErr w:type="gramEnd"/>
      <w:r>
        <w:rPr>
          <w:rStyle w:val="normaltextrun"/>
          <w:sz w:val="22"/>
          <w:szCs w:val="22"/>
        </w:rPr>
        <w:t> </w:t>
      </w:r>
      <w:r>
        <w:rPr>
          <w:rStyle w:val="eop"/>
          <w:rFonts w:eastAsiaTheme="majorEastAsia"/>
          <w:sz w:val="22"/>
          <w:szCs w:val="22"/>
        </w:rPr>
        <w:t> </w:t>
      </w:r>
    </w:p>
    <w:p w14:paraId="0EEAA7E1" w14:textId="77777777" w:rsidR="00142388" w:rsidRDefault="00142388" w:rsidP="007B16FA">
      <w:pPr>
        <w:pStyle w:val="paragraph"/>
        <w:numPr>
          <w:ilvl w:val="0"/>
          <w:numId w:val="159"/>
        </w:numPr>
        <w:spacing w:before="0" w:beforeAutospacing="0" w:after="0" w:afterAutospacing="0"/>
        <w:ind w:left="1440"/>
        <w:textAlignment w:val="baseline"/>
        <w:rPr>
          <w:sz w:val="22"/>
          <w:szCs w:val="22"/>
        </w:rPr>
      </w:pPr>
      <w:r>
        <w:rPr>
          <w:rStyle w:val="normaltextrun"/>
          <w:sz w:val="22"/>
          <w:szCs w:val="22"/>
        </w:rPr>
        <w:t>Various vague and open-ended statements regarding oil and gas leasing, renewable energy development, and the oil and gas industry; and </w:t>
      </w:r>
      <w:r>
        <w:rPr>
          <w:rStyle w:val="eop"/>
          <w:rFonts w:eastAsiaTheme="majorEastAsia"/>
          <w:sz w:val="22"/>
          <w:szCs w:val="22"/>
        </w:rPr>
        <w:t> </w:t>
      </w:r>
    </w:p>
    <w:p w14:paraId="5B37135E" w14:textId="77777777" w:rsidR="00142388" w:rsidRPr="003E24B3" w:rsidRDefault="00142388" w:rsidP="007B16FA">
      <w:pPr>
        <w:pStyle w:val="paragraph"/>
        <w:numPr>
          <w:ilvl w:val="0"/>
          <w:numId w:val="160"/>
        </w:numPr>
        <w:spacing w:before="0" w:beforeAutospacing="0" w:after="0" w:afterAutospacing="0"/>
        <w:ind w:left="1440"/>
        <w:textAlignment w:val="baseline"/>
        <w:rPr>
          <w:rStyle w:val="eop"/>
          <w:sz w:val="22"/>
          <w:szCs w:val="22"/>
        </w:rPr>
      </w:pPr>
      <w:r>
        <w:rPr>
          <w:rStyle w:val="normaltextrun"/>
          <w:sz w:val="22"/>
          <w:szCs w:val="22"/>
        </w:rPr>
        <w:t>References to additional academic, scientific, or other literature without reasoning or explanation of relevance. </w:t>
      </w:r>
      <w:r>
        <w:rPr>
          <w:rStyle w:val="eop"/>
          <w:rFonts w:eastAsiaTheme="majorEastAsia"/>
          <w:sz w:val="22"/>
          <w:szCs w:val="22"/>
        </w:rPr>
        <w:t> </w:t>
      </w:r>
    </w:p>
    <w:p w14:paraId="1E222D53" w14:textId="77777777" w:rsidR="00974C57" w:rsidRDefault="00974C57" w:rsidP="003E24B3">
      <w:pPr>
        <w:pStyle w:val="paragraph"/>
        <w:spacing w:before="0" w:beforeAutospacing="0" w:after="0" w:afterAutospacing="0"/>
        <w:ind w:left="1080"/>
        <w:textAlignment w:val="baseline"/>
        <w:rPr>
          <w:sz w:val="22"/>
          <w:szCs w:val="22"/>
        </w:rPr>
      </w:pPr>
    </w:p>
    <w:p w14:paraId="6AEED290" w14:textId="6F8F2C14" w:rsidR="00142388" w:rsidRDefault="00142388" w:rsidP="00142388">
      <w:pPr>
        <w:pStyle w:val="paragraph"/>
        <w:spacing w:before="0" w:beforeAutospacing="0" w:after="0" w:afterAutospacing="0"/>
        <w:textAlignment w:val="baseline"/>
        <w:rPr>
          <w:rFonts w:ascii="Segoe UI" w:hAnsi="Segoe UI" w:cs="Segoe UI"/>
          <w:sz w:val="18"/>
          <w:szCs w:val="18"/>
        </w:rPr>
      </w:pPr>
      <w:r>
        <w:rPr>
          <w:rStyle w:val="normaltextrun"/>
          <w:sz w:val="22"/>
          <w:szCs w:val="22"/>
        </w:rPr>
        <w:t>While the BLM does not provide specific responses to each of these comments because they do not meet the criteria for being substantive, the agency thanks these commenters for their feedback. The BLM received 1</w:t>
      </w:r>
      <w:r w:rsidR="00856D3F">
        <w:rPr>
          <w:rStyle w:val="normaltextrun"/>
          <w:sz w:val="22"/>
          <w:szCs w:val="22"/>
        </w:rPr>
        <w:t>0</w:t>
      </w:r>
      <w:r>
        <w:rPr>
          <w:rStyle w:val="normaltextrun"/>
          <w:sz w:val="22"/>
          <w:szCs w:val="22"/>
        </w:rPr>
        <w:t xml:space="preserve"> comments, </w:t>
      </w:r>
      <w:r w:rsidR="00B54E4E">
        <w:rPr>
          <w:rStyle w:val="normaltextrun"/>
          <w:sz w:val="22"/>
          <w:szCs w:val="22"/>
        </w:rPr>
        <w:t>two</w:t>
      </w:r>
      <w:r>
        <w:rPr>
          <w:rStyle w:val="normaltextrun"/>
          <w:sz w:val="22"/>
          <w:szCs w:val="22"/>
        </w:rPr>
        <w:t xml:space="preserve"> of which contained substantive comments.</w:t>
      </w:r>
      <w:r>
        <w:rPr>
          <w:rStyle w:val="eop"/>
          <w:rFonts w:eastAsiaTheme="majorEastAsia"/>
          <w:sz w:val="22"/>
          <w:szCs w:val="22"/>
        </w:rPr>
        <w:t> </w:t>
      </w:r>
    </w:p>
    <w:p w14:paraId="5DC4735F" w14:textId="77777777" w:rsidR="00142388" w:rsidRPr="00142388" w:rsidRDefault="00142388" w:rsidP="0050637F"/>
    <w:p w14:paraId="633F0CF7" w14:textId="2B055B1F" w:rsidR="00D94666" w:rsidRDefault="00D94666" w:rsidP="00D94666">
      <w:pPr>
        <w:pStyle w:val="Caption"/>
        <w:rPr>
          <w:highlight w:val="lightGray"/>
        </w:rPr>
      </w:pPr>
      <w:bookmarkStart w:id="346" w:name="_Ref179978097"/>
      <w:bookmarkStart w:id="347" w:name="_Toc163734293"/>
      <w:bookmarkStart w:id="348" w:name="_Toc179464312"/>
      <w:bookmarkStart w:id="349" w:name="_Toc170114967"/>
      <w:r>
        <w:lastRenderedPageBreak/>
        <w:t xml:space="preserve">Table </w:t>
      </w:r>
      <w:r>
        <w:fldChar w:fldCharType="begin"/>
      </w:r>
      <w:r>
        <w:instrText>SEQ Table \* ARABIC</w:instrText>
      </w:r>
      <w:r>
        <w:fldChar w:fldCharType="separate"/>
      </w:r>
      <w:r w:rsidR="00BB3F01">
        <w:rPr>
          <w:noProof/>
        </w:rPr>
        <w:t>31</w:t>
      </w:r>
      <w:r>
        <w:fldChar w:fldCharType="end"/>
      </w:r>
      <w:bookmarkEnd w:id="345"/>
      <w:bookmarkEnd w:id="346"/>
      <w:r>
        <w:t xml:space="preserve">. </w:t>
      </w:r>
      <w:r w:rsidRPr="000605FA">
        <w:t>Public submissions with assigned commentor codes and resource/topic areas.</w:t>
      </w:r>
      <w:bookmarkEnd w:id="347"/>
      <w:bookmarkEnd w:id="348"/>
      <w:bookmarkEnd w:id="349"/>
    </w:p>
    <w:tbl>
      <w:tblPr>
        <w:tblStyle w:val="TableGrid1"/>
        <w:tblW w:w="7099" w:type="dxa"/>
        <w:tblInd w:w="-5" w:type="dxa"/>
        <w:tblLook w:val="04A0" w:firstRow="1" w:lastRow="0" w:firstColumn="1" w:lastColumn="0" w:noHBand="0" w:noVBand="1"/>
        <w:tblDescription w:val="Public submissions with assigned commentor codes and resource/topic areas."/>
      </w:tblPr>
      <w:tblGrid>
        <w:gridCol w:w="4023"/>
        <w:gridCol w:w="1351"/>
        <w:gridCol w:w="1725"/>
      </w:tblGrid>
      <w:tr w:rsidR="0050637F" w:rsidRPr="007E402E" w14:paraId="003E8588" w14:textId="77777777" w:rsidTr="0050637F">
        <w:trPr>
          <w:trHeight w:val="394"/>
        </w:trPr>
        <w:tc>
          <w:tcPr>
            <w:tcW w:w="4023" w:type="dxa"/>
            <w:shd w:val="clear" w:color="auto" w:fill="EDEDED" w:themeFill="accent3" w:themeFillTint="33"/>
          </w:tcPr>
          <w:p w14:paraId="1FA0296C" w14:textId="77777777" w:rsidR="0050637F" w:rsidRPr="007E402E" w:rsidRDefault="0050637F" w:rsidP="007E402E">
            <w:pPr>
              <w:keepNext/>
              <w:keepLines/>
              <w:spacing w:before="120" w:after="120"/>
              <w:jc w:val="center"/>
              <w:rPr>
                <w:rFonts w:eastAsia="Times New Roman" w:cs="Times New Roman"/>
                <w:b/>
                <w:bCs/>
              </w:rPr>
            </w:pPr>
            <w:r w:rsidRPr="007E402E">
              <w:rPr>
                <w:rFonts w:eastAsia="Times New Roman" w:cs="Times New Roman"/>
                <w:b/>
                <w:bCs/>
              </w:rPr>
              <w:t>Organization</w:t>
            </w:r>
          </w:p>
        </w:tc>
        <w:tc>
          <w:tcPr>
            <w:tcW w:w="0" w:type="auto"/>
            <w:shd w:val="clear" w:color="auto" w:fill="EDEDED" w:themeFill="accent3" w:themeFillTint="33"/>
          </w:tcPr>
          <w:p w14:paraId="5E61D4E5" w14:textId="77777777" w:rsidR="0050637F" w:rsidRPr="007E402E" w:rsidRDefault="0050637F" w:rsidP="007E402E">
            <w:pPr>
              <w:keepNext/>
              <w:keepLines/>
              <w:spacing w:before="120" w:after="120"/>
              <w:jc w:val="center"/>
              <w:rPr>
                <w:rFonts w:eastAsia="Times New Roman" w:cs="Times New Roman"/>
                <w:b/>
                <w:bCs/>
              </w:rPr>
            </w:pPr>
            <w:r w:rsidRPr="007E402E">
              <w:rPr>
                <w:rFonts w:eastAsia="Times New Roman" w:cs="Times New Roman"/>
                <w:b/>
                <w:bCs/>
              </w:rPr>
              <w:t>Commenter Code</w:t>
            </w:r>
          </w:p>
        </w:tc>
        <w:tc>
          <w:tcPr>
            <w:tcW w:w="0" w:type="auto"/>
            <w:shd w:val="clear" w:color="auto" w:fill="EDEDED" w:themeFill="accent3" w:themeFillTint="33"/>
          </w:tcPr>
          <w:p w14:paraId="6A314C07" w14:textId="77777777" w:rsidR="0050637F" w:rsidRPr="007E402E" w:rsidRDefault="0050637F" w:rsidP="007E402E">
            <w:pPr>
              <w:keepNext/>
              <w:keepLines/>
              <w:spacing w:before="120" w:after="120"/>
              <w:jc w:val="center"/>
              <w:rPr>
                <w:rFonts w:eastAsia="Times New Roman" w:cs="Times New Roman"/>
                <w:b/>
                <w:bCs/>
              </w:rPr>
            </w:pPr>
            <w:r w:rsidRPr="007E402E">
              <w:rPr>
                <w:rFonts w:eastAsia="Times New Roman" w:cs="Times New Roman"/>
                <w:b/>
                <w:bCs/>
              </w:rPr>
              <w:t>Resource/Topic Area</w:t>
            </w:r>
          </w:p>
        </w:tc>
      </w:tr>
      <w:tr w:rsidR="007E402E" w:rsidRPr="007E402E" w14:paraId="49D6C4F7" w14:textId="77777777" w:rsidTr="0050637F">
        <w:trPr>
          <w:trHeight w:val="443"/>
        </w:trPr>
        <w:tc>
          <w:tcPr>
            <w:tcW w:w="4023" w:type="dxa"/>
            <w:vAlign w:val="center"/>
          </w:tcPr>
          <w:p w14:paraId="479A13F7" w14:textId="3B95A035" w:rsidR="007E402E" w:rsidRPr="0050637F" w:rsidRDefault="005B5C3E" w:rsidP="0050637F">
            <w:pPr>
              <w:spacing w:before="220"/>
              <w:jc w:val="center"/>
            </w:pPr>
            <w:r>
              <w:rPr>
                <w:rFonts w:cs="Times New Roman"/>
              </w:rPr>
              <w:t>Environmental Protection Agency</w:t>
            </w:r>
          </w:p>
        </w:tc>
        <w:tc>
          <w:tcPr>
            <w:tcW w:w="0" w:type="auto"/>
            <w:vAlign w:val="center"/>
          </w:tcPr>
          <w:p w14:paraId="7CFCBA13" w14:textId="06A9A07F" w:rsidR="007E402E" w:rsidRPr="007E402E" w:rsidRDefault="0048523A" w:rsidP="007E402E">
            <w:pPr>
              <w:spacing w:before="220"/>
              <w:jc w:val="center"/>
              <w:rPr>
                <w:rFonts w:cs="Times New Roman"/>
              </w:rPr>
            </w:pPr>
            <w:r>
              <w:rPr>
                <w:rFonts w:cs="Times New Roman"/>
              </w:rPr>
              <w:t>G-1</w:t>
            </w:r>
          </w:p>
        </w:tc>
        <w:tc>
          <w:tcPr>
            <w:tcW w:w="0" w:type="auto"/>
            <w:vAlign w:val="center"/>
          </w:tcPr>
          <w:p w14:paraId="067B78D2" w14:textId="6364BA11" w:rsidR="007E402E" w:rsidRPr="007E402E" w:rsidRDefault="001756AC" w:rsidP="007E402E">
            <w:pPr>
              <w:spacing w:before="220"/>
              <w:jc w:val="center"/>
              <w:rPr>
                <w:rFonts w:cs="Times New Roman"/>
              </w:rPr>
            </w:pPr>
            <w:r>
              <w:rPr>
                <w:rFonts w:cs="Times New Roman"/>
              </w:rPr>
              <w:t xml:space="preserve">GHG, Air Quality, </w:t>
            </w:r>
            <w:r w:rsidR="00A04664">
              <w:rPr>
                <w:rFonts w:cs="Times New Roman"/>
              </w:rPr>
              <w:t>Environmental Justice</w:t>
            </w:r>
          </w:p>
        </w:tc>
      </w:tr>
      <w:tr w:rsidR="0050637F" w:rsidRPr="007E402E" w14:paraId="117B9825" w14:textId="77777777" w:rsidTr="0066394E">
        <w:trPr>
          <w:trHeight w:val="435"/>
        </w:trPr>
        <w:tc>
          <w:tcPr>
            <w:tcW w:w="4023" w:type="dxa"/>
            <w:vAlign w:val="center"/>
          </w:tcPr>
          <w:p w14:paraId="456A5563" w14:textId="77777777" w:rsidR="0050637F" w:rsidRPr="007E402E" w:rsidRDefault="0050637F" w:rsidP="007E402E">
            <w:pPr>
              <w:spacing w:before="220"/>
              <w:jc w:val="center"/>
              <w:rPr>
                <w:rFonts w:cs="Times New Roman"/>
              </w:rPr>
            </w:pPr>
            <w:r>
              <w:rPr>
                <w:rFonts w:cs="Times New Roman"/>
              </w:rPr>
              <w:t>National Wildlife Federation / Utah Wildlife Federation</w:t>
            </w:r>
          </w:p>
        </w:tc>
        <w:tc>
          <w:tcPr>
            <w:tcW w:w="0" w:type="auto"/>
            <w:vAlign w:val="center"/>
          </w:tcPr>
          <w:p w14:paraId="1B5A862B" w14:textId="77777777" w:rsidR="0050637F" w:rsidRPr="007E402E" w:rsidRDefault="0050637F" w:rsidP="007E402E">
            <w:pPr>
              <w:spacing w:before="220"/>
              <w:jc w:val="center"/>
              <w:rPr>
                <w:rFonts w:cs="Times New Roman"/>
              </w:rPr>
            </w:pPr>
            <w:r>
              <w:rPr>
                <w:rFonts w:cs="Times New Roman"/>
              </w:rPr>
              <w:t>O-2</w:t>
            </w:r>
          </w:p>
        </w:tc>
        <w:tc>
          <w:tcPr>
            <w:tcW w:w="0" w:type="auto"/>
            <w:vAlign w:val="center"/>
          </w:tcPr>
          <w:p w14:paraId="7AD9D2DE" w14:textId="77777777" w:rsidR="0050637F" w:rsidRPr="007E402E" w:rsidRDefault="0050637F" w:rsidP="007E402E">
            <w:pPr>
              <w:spacing w:before="220"/>
              <w:jc w:val="center"/>
              <w:rPr>
                <w:rFonts w:cs="Times New Roman"/>
              </w:rPr>
            </w:pPr>
            <w:r>
              <w:rPr>
                <w:rFonts w:cs="Times New Roman"/>
              </w:rPr>
              <w:t>Wildlife Habitat, Noise pollution</w:t>
            </w:r>
          </w:p>
        </w:tc>
      </w:tr>
    </w:tbl>
    <w:p w14:paraId="625C953F" w14:textId="5FF6FE96" w:rsidR="00D94666" w:rsidRPr="00BF1B20" w:rsidRDefault="00D94666" w:rsidP="00D94666">
      <w:pPr>
        <w:pStyle w:val="Caption"/>
        <w:rPr>
          <w:rFonts w:cs="Times New Roman"/>
          <w:highlight w:val="lightGray"/>
        </w:rPr>
      </w:pPr>
      <w:bookmarkStart w:id="350" w:name="_Ref140831541"/>
      <w:bookmarkStart w:id="351" w:name="_Toc163734294"/>
      <w:bookmarkStart w:id="352" w:name="_Toc179464313"/>
      <w:bookmarkStart w:id="353" w:name="_Ref179978193"/>
      <w:bookmarkStart w:id="354" w:name="_Toc170114968"/>
      <w:r>
        <w:t xml:space="preserve">Table </w:t>
      </w:r>
      <w:r>
        <w:fldChar w:fldCharType="begin"/>
      </w:r>
      <w:r>
        <w:instrText>SEQ Table \* ARABIC</w:instrText>
      </w:r>
      <w:r>
        <w:fldChar w:fldCharType="separate"/>
      </w:r>
      <w:r w:rsidR="00BB3F01">
        <w:rPr>
          <w:noProof/>
        </w:rPr>
        <w:t>32</w:t>
      </w:r>
      <w:r>
        <w:fldChar w:fldCharType="end"/>
      </w:r>
      <w:bookmarkEnd w:id="350"/>
      <w:r>
        <w:t xml:space="preserve">. </w:t>
      </w:r>
      <w:r w:rsidRPr="00CD7E17">
        <w:t>Comment summary and BLM response.</w:t>
      </w:r>
      <w:bookmarkEnd w:id="351"/>
      <w:bookmarkEnd w:id="352"/>
      <w:bookmarkEnd w:id="353"/>
      <w:bookmarkEnd w:id="354"/>
    </w:p>
    <w:tbl>
      <w:tblPr>
        <w:tblStyle w:val="TableGrid"/>
        <w:tblW w:w="0" w:type="auto"/>
        <w:tblLook w:val="04A0" w:firstRow="1" w:lastRow="0" w:firstColumn="1" w:lastColumn="0" w:noHBand="0" w:noVBand="1"/>
        <w:tblDescription w:val="Comment summary and BLM response."/>
      </w:tblPr>
      <w:tblGrid>
        <w:gridCol w:w="1145"/>
        <w:gridCol w:w="1683"/>
        <w:gridCol w:w="2315"/>
        <w:gridCol w:w="1402"/>
        <w:gridCol w:w="2805"/>
      </w:tblGrid>
      <w:tr w:rsidR="00F07417" w:rsidRPr="00BF1B20" w14:paraId="6ECFA660" w14:textId="77777777" w:rsidTr="00BA4532">
        <w:trPr>
          <w:trHeight w:val="144"/>
          <w:tblHeader/>
        </w:trPr>
        <w:tc>
          <w:tcPr>
            <w:tcW w:w="1145" w:type="dxa"/>
            <w:shd w:val="clear" w:color="auto" w:fill="EDEDED" w:themeFill="accent3" w:themeFillTint="33"/>
            <w:hideMark/>
          </w:tcPr>
          <w:p w14:paraId="14D66A62" w14:textId="040C1592" w:rsidR="00D94666" w:rsidRPr="00BF1B20" w:rsidRDefault="000B0BF1">
            <w:pPr>
              <w:rPr>
                <w:rFonts w:eastAsia="Times New Roman" w:cs="Times New Roman"/>
                <w:b/>
                <w:color w:val="000000"/>
              </w:rPr>
            </w:pPr>
            <w:r>
              <w:rPr>
                <w:rFonts w:eastAsia="Times New Roman" w:cs="Times New Roman"/>
                <w:b/>
                <w:color w:val="000000"/>
              </w:rPr>
              <w:t>Comment</w:t>
            </w:r>
            <w:r w:rsidRPr="00BF1B20">
              <w:rPr>
                <w:rFonts w:eastAsia="Times New Roman" w:cs="Times New Roman"/>
                <w:b/>
                <w:color w:val="000000"/>
              </w:rPr>
              <w:t xml:space="preserve"> </w:t>
            </w:r>
            <w:r w:rsidR="00D94666" w:rsidRPr="00BF1B20">
              <w:rPr>
                <w:rFonts w:eastAsia="Times New Roman" w:cs="Times New Roman"/>
                <w:b/>
                <w:color w:val="000000"/>
              </w:rPr>
              <w:t>number</w:t>
            </w:r>
          </w:p>
        </w:tc>
        <w:tc>
          <w:tcPr>
            <w:tcW w:w="1550" w:type="dxa"/>
            <w:shd w:val="clear" w:color="auto" w:fill="EDEDED" w:themeFill="accent3" w:themeFillTint="33"/>
            <w:hideMark/>
          </w:tcPr>
          <w:p w14:paraId="00BBE994" w14:textId="77777777" w:rsidR="00D94666" w:rsidRPr="00BF1B20" w:rsidRDefault="00D94666">
            <w:pPr>
              <w:rPr>
                <w:rFonts w:eastAsia="Times New Roman" w:cs="Times New Roman"/>
                <w:b/>
                <w:color w:val="000000"/>
              </w:rPr>
            </w:pPr>
            <w:r w:rsidRPr="00BF1B20">
              <w:rPr>
                <w:rFonts w:eastAsia="Times New Roman" w:cs="Times New Roman"/>
                <w:b/>
                <w:color w:val="000000"/>
              </w:rPr>
              <w:t>Resource/Topic</w:t>
            </w:r>
          </w:p>
        </w:tc>
        <w:tc>
          <w:tcPr>
            <w:tcW w:w="2372" w:type="dxa"/>
            <w:shd w:val="clear" w:color="auto" w:fill="EDEDED" w:themeFill="accent3" w:themeFillTint="33"/>
            <w:hideMark/>
          </w:tcPr>
          <w:p w14:paraId="43FC7A2E" w14:textId="77777777" w:rsidR="00D94666" w:rsidRPr="00BF1B20" w:rsidRDefault="00D94666">
            <w:pPr>
              <w:rPr>
                <w:rFonts w:eastAsia="Times New Roman" w:cs="Times New Roman"/>
                <w:b/>
                <w:color w:val="000000"/>
              </w:rPr>
            </w:pPr>
            <w:r w:rsidRPr="00BF1B20">
              <w:rPr>
                <w:rFonts w:eastAsia="Times New Roman" w:cs="Times New Roman"/>
                <w:b/>
                <w:color w:val="000000"/>
              </w:rPr>
              <w:t xml:space="preserve">Summarized Comment* </w:t>
            </w:r>
          </w:p>
        </w:tc>
        <w:tc>
          <w:tcPr>
            <w:tcW w:w="1402" w:type="dxa"/>
            <w:shd w:val="clear" w:color="auto" w:fill="EDEDED" w:themeFill="accent3" w:themeFillTint="33"/>
            <w:hideMark/>
          </w:tcPr>
          <w:p w14:paraId="47E7FF05" w14:textId="77777777" w:rsidR="00D94666" w:rsidRPr="00BF1B20" w:rsidRDefault="00D94666">
            <w:pPr>
              <w:rPr>
                <w:rFonts w:eastAsia="Times New Roman" w:cs="Times New Roman"/>
                <w:b/>
                <w:color w:val="000000"/>
              </w:rPr>
            </w:pPr>
            <w:r w:rsidRPr="00BF1B20">
              <w:rPr>
                <w:rFonts w:eastAsia="Times New Roman" w:cs="Times New Roman"/>
                <w:b/>
                <w:color w:val="000000"/>
              </w:rPr>
              <w:t>Addressed in the EA, Section:</w:t>
            </w:r>
          </w:p>
        </w:tc>
        <w:tc>
          <w:tcPr>
            <w:tcW w:w="2881" w:type="dxa"/>
            <w:shd w:val="clear" w:color="auto" w:fill="EDEDED" w:themeFill="accent3" w:themeFillTint="33"/>
            <w:hideMark/>
          </w:tcPr>
          <w:p w14:paraId="2A2F2C9F" w14:textId="77777777" w:rsidR="00D94666" w:rsidRPr="00BF1B20" w:rsidRDefault="00D94666">
            <w:pPr>
              <w:rPr>
                <w:rFonts w:eastAsia="Times New Roman" w:cs="Times New Roman"/>
                <w:b/>
                <w:color w:val="000000"/>
              </w:rPr>
            </w:pPr>
            <w:r w:rsidRPr="00BF1B20">
              <w:rPr>
                <w:rFonts w:eastAsia="Times New Roman" w:cs="Times New Roman"/>
                <w:b/>
                <w:color w:val="000000"/>
              </w:rPr>
              <w:t>Comment Response</w:t>
            </w:r>
          </w:p>
        </w:tc>
      </w:tr>
      <w:tr w:rsidR="0048023E" w:rsidRPr="00BF1B20" w14:paraId="1517355D" w14:textId="77777777" w:rsidTr="0050637F">
        <w:trPr>
          <w:trHeight w:val="1448"/>
        </w:trPr>
        <w:tc>
          <w:tcPr>
            <w:tcW w:w="1145" w:type="dxa"/>
            <w:noWrap/>
          </w:tcPr>
          <w:p w14:paraId="1E9A4BE8" w14:textId="32E2208A" w:rsidR="0048023E" w:rsidRDefault="000A0B37">
            <w:pPr>
              <w:rPr>
                <w:rFonts w:eastAsia="Times New Roman" w:cs="Times New Roman"/>
                <w:color w:val="000000"/>
              </w:rPr>
            </w:pPr>
            <w:r>
              <w:rPr>
                <w:rFonts w:eastAsia="Times New Roman" w:cs="Times New Roman"/>
                <w:color w:val="000000"/>
              </w:rPr>
              <w:t>G-1a</w:t>
            </w:r>
          </w:p>
        </w:tc>
        <w:tc>
          <w:tcPr>
            <w:tcW w:w="1550" w:type="dxa"/>
            <w:noWrap/>
          </w:tcPr>
          <w:p w14:paraId="205ED0D6" w14:textId="2EFBCAB6" w:rsidR="00E9062E" w:rsidRDefault="00E9062E">
            <w:pPr>
              <w:rPr>
                <w:rFonts w:eastAsia="Times New Roman" w:cs="Times New Roman"/>
                <w:color w:val="000000"/>
              </w:rPr>
            </w:pPr>
            <w:r>
              <w:rPr>
                <w:rFonts w:eastAsia="Times New Roman" w:cs="Times New Roman"/>
                <w:color w:val="000000"/>
              </w:rPr>
              <w:t>Air Resources</w:t>
            </w:r>
          </w:p>
        </w:tc>
        <w:tc>
          <w:tcPr>
            <w:tcW w:w="2372" w:type="dxa"/>
          </w:tcPr>
          <w:p w14:paraId="707E5524" w14:textId="5DB35A57" w:rsidR="0048023E" w:rsidRPr="000674BB" w:rsidRDefault="00037C63">
            <w:pPr>
              <w:rPr>
                <w:rFonts w:eastAsia="Times New Roman" w:cs="Times New Roman"/>
                <w:color w:val="000000"/>
              </w:rPr>
            </w:pPr>
            <w:r w:rsidRPr="00037C63">
              <w:rPr>
                <w:rFonts w:eastAsia="Times New Roman" w:cs="Times New Roman"/>
                <w:color w:val="000000"/>
              </w:rPr>
              <w:t>The EPA believes that Table 16 should be updated with 2021-2023 ozone concentration data.</w:t>
            </w:r>
          </w:p>
        </w:tc>
        <w:tc>
          <w:tcPr>
            <w:tcW w:w="1402" w:type="dxa"/>
            <w:noWrap/>
          </w:tcPr>
          <w:p w14:paraId="39953725" w14:textId="76B7B294" w:rsidR="0048023E" w:rsidRPr="00DF0EAD" w:rsidRDefault="002A2025">
            <w:pPr>
              <w:rPr>
                <w:rFonts w:eastAsia="Times New Roman" w:cs="Times New Roman"/>
                <w:color w:val="000000"/>
              </w:rPr>
            </w:pPr>
            <w:r>
              <w:rPr>
                <w:rFonts w:eastAsia="Times New Roman" w:cs="Times New Roman"/>
                <w:color w:val="000000"/>
              </w:rPr>
              <w:t xml:space="preserve">3.6.1 </w:t>
            </w:r>
            <w:r w:rsidR="00E341D6">
              <w:rPr>
                <w:rFonts w:eastAsia="Times New Roman" w:cs="Times New Roman"/>
                <w:color w:val="000000"/>
              </w:rPr>
              <w:t>Table 16</w:t>
            </w:r>
          </w:p>
        </w:tc>
        <w:tc>
          <w:tcPr>
            <w:tcW w:w="2881" w:type="dxa"/>
          </w:tcPr>
          <w:p w14:paraId="2C716407" w14:textId="5440E912" w:rsidR="0048023E" w:rsidRPr="00582337" w:rsidRDefault="00FE4006">
            <w:pPr>
              <w:rPr>
                <w:rFonts w:eastAsia="Times New Roman" w:cs="Times New Roman"/>
                <w:color w:val="000000"/>
              </w:rPr>
            </w:pPr>
            <w:r w:rsidRPr="00FE4006">
              <w:rPr>
                <w:rFonts w:eastAsia="Times New Roman" w:cs="Times New Roman"/>
                <w:color w:val="000000"/>
              </w:rPr>
              <w:t>The BLM has updated Table 16 to include the new design values (2021 to 2023) that became available after the EA was initially prepared.</w:t>
            </w:r>
          </w:p>
        </w:tc>
      </w:tr>
      <w:tr w:rsidR="0048023E" w:rsidRPr="00BF1B20" w14:paraId="7C848327" w14:textId="77777777" w:rsidTr="0050637F">
        <w:trPr>
          <w:trHeight w:val="1448"/>
        </w:trPr>
        <w:tc>
          <w:tcPr>
            <w:tcW w:w="1145" w:type="dxa"/>
            <w:noWrap/>
          </w:tcPr>
          <w:p w14:paraId="296E613E" w14:textId="77D51BDE" w:rsidR="0048023E" w:rsidRDefault="00E81C6A">
            <w:pPr>
              <w:rPr>
                <w:rFonts w:eastAsia="Times New Roman" w:cs="Times New Roman"/>
                <w:color w:val="000000"/>
              </w:rPr>
            </w:pPr>
            <w:r>
              <w:rPr>
                <w:rFonts w:eastAsia="Times New Roman" w:cs="Times New Roman"/>
                <w:color w:val="000000"/>
              </w:rPr>
              <w:t>G-1d</w:t>
            </w:r>
          </w:p>
        </w:tc>
        <w:tc>
          <w:tcPr>
            <w:tcW w:w="1550" w:type="dxa"/>
            <w:noWrap/>
          </w:tcPr>
          <w:p w14:paraId="0A95547A" w14:textId="379621B5" w:rsidR="0048023E" w:rsidRDefault="00E9062E">
            <w:pPr>
              <w:rPr>
                <w:rFonts w:eastAsia="Times New Roman" w:cs="Times New Roman"/>
                <w:color w:val="000000"/>
              </w:rPr>
            </w:pPr>
            <w:r>
              <w:rPr>
                <w:rFonts w:eastAsia="Times New Roman" w:cs="Times New Roman"/>
                <w:color w:val="000000"/>
              </w:rPr>
              <w:t>NORM</w:t>
            </w:r>
          </w:p>
        </w:tc>
        <w:tc>
          <w:tcPr>
            <w:tcW w:w="2372" w:type="dxa"/>
          </w:tcPr>
          <w:p w14:paraId="1DD694B4" w14:textId="391CC6B7" w:rsidR="0048023E" w:rsidRPr="000674BB" w:rsidRDefault="00037C63">
            <w:pPr>
              <w:rPr>
                <w:rFonts w:eastAsia="Times New Roman" w:cs="Times New Roman"/>
                <w:color w:val="000000"/>
              </w:rPr>
            </w:pPr>
            <w:r>
              <w:rPr>
                <w:rFonts w:eastAsia="Times New Roman" w:cs="Times New Roman"/>
                <w:color w:val="000000"/>
              </w:rPr>
              <w:t>W</w:t>
            </w:r>
            <w:r w:rsidRPr="00037C63">
              <w:rPr>
                <w:rFonts w:eastAsia="Times New Roman" w:cs="Times New Roman"/>
                <w:color w:val="000000"/>
              </w:rPr>
              <w:t>e recommend the EA discuss the existing NORM that may be present in the target production zones and potential radionuclides in overlying geological formations that would be drilled through during development of the offered parcels.</w:t>
            </w:r>
          </w:p>
        </w:tc>
        <w:tc>
          <w:tcPr>
            <w:tcW w:w="1402" w:type="dxa"/>
            <w:noWrap/>
          </w:tcPr>
          <w:p w14:paraId="4C1382B3" w14:textId="7E15FD52" w:rsidR="0048023E" w:rsidRPr="00DF0EAD" w:rsidRDefault="00F422BC">
            <w:pPr>
              <w:rPr>
                <w:rFonts w:eastAsia="Times New Roman" w:cs="Times New Roman"/>
                <w:color w:val="000000"/>
              </w:rPr>
            </w:pPr>
            <w:r>
              <w:rPr>
                <w:rFonts w:eastAsia="Times New Roman" w:cs="Times New Roman"/>
                <w:color w:val="000000"/>
              </w:rPr>
              <w:t>AIB-22</w:t>
            </w:r>
            <w:r w:rsidR="00CD2B95">
              <w:rPr>
                <w:rFonts w:eastAsia="Times New Roman" w:cs="Times New Roman"/>
                <w:color w:val="000000"/>
              </w:rPr>
              <w:t>, Appendix E</w:t>
            </w:r>
          </w:p>
        </w:tc>
        <w:tc>
          <w:tcPr>
            <w:tcW w:w="2881" w:type="dxa"/>
          </w:tcPr>
          <w:p w14:paraId="2389E78B" w14:textId="7505C2A2" w:rsidR="0048023E" w:rsidRPr="00582337" w:rsidRDefault="00F422BC">
            <w:pPr>
              <w:rPr>
                <w:rFonts w:eastAsia="Times New Roman" w:cs="Times New Roman"/>
                <w:color w:val="000000"/>
              </w:rPr>
            </w:pPr>
            <w:r w:rsidRPr="00F422BC">
              <w:rPr>
                <w:rFonts w:eastAsia="Times New Roman" w:cs="Times New Roman"/>
                <w:color w:val="000000"/>
              </w:rPr>
              <w:t xml:space="preserve">The EA discusses naturally </w:t>
            </w:r>
            <w:r w:rsidR="004C1FA1" w:rsidRPr="00F422BC">
              <w:rPr>
                <w:rFonts w:eastAsia="Times New Roman" w:cs="Times New Roman"/>
                <w:color w:val="000000"/>
              </w:rPr>
              <w:t>occurring</w:t>
            </w:r>
            <w:r w:rsidRPr="00F422BC">
              <w:rPr>
                <w:rFonts w:eastAsia="Times New Roman" w:cs="Times New Roman"/>
                <w:color w:val="000000"/>
              </w:rPr>
              <w:t xml:space="preserve"> radioactive material (NORM) in AIB-22, and Appendix E. This information shows that the EPA found that Utah has very low levels of NORM associated with oil and gas production waste (EPA, 2003).</w:t>
            </w:r>
          </w:p>
        </w:tc>
      </w:tr>
      <w:tr w:rsidR="0048023E" w:rsidRPr="00BF1B20" w14:paraId="094E6D8A" w14:textId="77777777" w:rsidTr="0050637F">
        <w:trPr>
          <w:trHeight w:val="1448"/>
        </w:trPr>
        <w:tc>
          <w:tcPr>
            <w:tcW w:w="1145" w:type="dxa"/>
            <w:noWrap/>
          </w:tcPr>
          <w:p w14:paraId="435F9B48" w14:textId="0BA8EC45" w:rsidR="0048023E" w:rsidRDefault="00E81C6A">
            <w:pPr>
              <w:rPr>
                <w:rFonts w:eastAsia="Times New Roman" w:cs="Times New Roman"/>
                <w:color w:val="000000"/>
              </w:rPr>
            </w:pPr>
            <w:r>
              <w:rPr>
                <w:rFonts w:eastAsia="Times New Roman" w:cs="Times New Roman"/>
                <w:color w:val="000000"/>
              </w:rPr>
              <w:t>G-1e</w:t>
            </w:r>
          </w:p>
        </w:tc>
        <w:tc>
          <w:tcPr>
            <w:tcW w:w="1550" w:type="dxa"/>
            <w:noWrap/>
          </w:tcPr>
          <w:p w14:paraId="45D4E176" w14:textId="268A6AB4" w:rsidR="0048023E" w:rsidRDefault="00E9062E">
            <w:pPr>
              <w:rPr>
                <w:rFonts w:eastAsia="Times New Roman" w:cs="Times New Roman"/>
                <w:color w:val="000000"/>
              </w:rPr>
            </w:pPr>
            <w:r>
              <w:rPr>
                <w:rFonts w:eastAsia="Times New Roman" w:cs="Times New Roman"/>
                <w:color w:val="000000"/>
              </w:rPr>
              <w:t>Air Resources</w:t>
            </w:r>
          </w:p>
        </w:tc>
        <w:tc>
          <w:tcPr>
            <w:tcW w:w="2372" w:type="dxa"/>
          </w:tcPr>
          <w:p w14:paraId="12DA5093" w14:textId="7577C8A7" w:rsidR="0048023E" w:rsidRPr="000674BB" w:rsidRDefault="0007692B">
            <w:pPr>
              <w:rPr>
                <w:rFonts w:eastAsia="Times New Roman" w:cs="Times New Roman"/>
                <w:color w:val="000000"/>
              </w:rPr>
            </w:pPr>
            <w:r>
              <w:rPr>
                <w:sz w:val="23"/>
                <w:szCs w:val="23"/>
              </w:rPr>
              <w:t xml:space="preserve">Consistent with the Council on Environmental Quality’s </w:t>
            </w:r>
            <w:r>
              <w:rPr>
                <w:i/>
                <w:iCs/>
                <w:sz w:val="23"/>
                <w:szCs w:val="23"/>
              </w:rPr>
              <w:t xml:space="preserve">National Environmental Policy Act Guidance on Consideration of Greenhouse Gas Emissions and Climate Change, </w:t>
            </w:r>
            <w:r w:rsidR="002456DE">
              <w:rPr>
                <w:rFonts w:eastAsia="Times New Roman" w:cs="Times New Roman"/>
                <w:color w:val="000000"/>
              </w:rPr>
              <w:t xml:space="preserve">BLM </w:t>
            </w:r>
            <w:r w:rsidR="00093512">
              <w:rPr>
                <w:rFonts w:eastAsia="Times New Roman" w:cs="Times New Roman"/>
                <w:color w:val="000000"/>
              </w:rPr>
              <w:t>should</w:t>
            </w:r>
            <w:r w:rsidR="003A6B06">
              <w:rPr>
                <w:rFonts w:eastAsia="Times New Roman" w:cs="Times New Roman"/>
                <w:color w:val="000000"/>
              </w:rPr>
              <w:t xml:space="preserve">: </w:t>
            </w:r>
            <w:r w:rsidR="00093512">
              <w:rPr>
                <w:rFonts w:eastAsia="Times New Roman" w:cs="Times New Roman"/>
                <w:color w:val="000000"/>
              </w:rPr>
              <w:t xml:space="preserve"> </w:t>
            </w:r>
            <w:r w:rsidR="006807D3">
              <w:rPr>
                <w:rFonts w:eastAsia="Times New Roman" w:cs="Times New Roman"/>
                <w:color w:val="000000"/>
              </w:rPr>
              <w:t>discuss ongoing and projected regional clima</w:t>
            </w:r>
            <w:r w:rsidR="00CD196A">
              <w:rPr>
                <w:rFonts w:eastAsia="Times New Roman" w:cs="Times New Roman"/>
                <w:color w:val="000000"/>
              </w:rPr>
              <w:t>te</w:t>
            </w:r>
            <w:r w:rsidR="006807D3">
              <w:rPr>
                <w:rFonts w:eastAsia="Times New Roman" w:cs="Times New Roman"/>
                <w:color w:val="000000"/>
              </w:rPr>
              <w:t xml:space="preserve"> change relevant to the project area</w:t>
            </w:r>
            <w:r w:rsidR="00305D64">
              <w:rPr>
                <w:rFonts w:eastAsia="Times New Roman" w:cs="Times New Roman"/>
                <w:color w:val="000000"/>
              </w:rPr>
              <w:t xml:space="preserve"> based on </w:t>
            </w:r>
            <w:r w:rsidR="00093A4F">
              <w:rPr>
                <w:rFonts w:eastAsia="Times New Roman" w:cs="Times New Roman"/>
                <w:color w:val="000000"/>
              </w:rPr>
              <w:t xml:space="preserve">EPA’s recommended </w:t>
            </w:r>
            <w:r w:rsidR="00093A4F">
              <w:rPr>
                <w:rFonts w:eastAsia="Times New Roman" w:cs="Times New Roman"/>
                <w:color w:val="000000"/>
              </w:rPr>
              <w:lastRenderedPageBreak/>
              <w:t>sources</w:t>
            </w:r>
            <w:r w:rsidR="003A6B06">
              <w:rPr>
                <w:rFonts w:eastAsia="Times New Roman" w:cs="Times New Roman"/>
                <w:color w:val="000000"/>
              </w:rPr>
              <w:t xml:space="preserve">; </w:t>
            </w:r>
            <w:r w:rsidR="004C6C32">
              <w:rPr>
                <w:rFonts w:eastAsia="Times New Roman" w:cs="Times New Roman"/>
                <w:color w:val="000000"/>
              </w:rPr>
              <w:t>estimate GHG emissions in</w:t>
            </w:r>
            <w:r w:rsidR="003A6E3C">
              <w:rPr>
                <w:rFonts w:eastAsia="Times New Roman" w:cs="Times New Roman"/>
                <w:color w:val="000000"/>
              </w:rPr>
              <w:t xml:space="preserve"> </w:t>
            </w:r>
            <w:r w:rsidR="0087429E">
              <w:rPr>
                <w:rFonts w:eastAsia="Times New Roman" w:cs="Times New Roman"/>
                <w:color w:val="000000"/>
              </w:rPr>
              <w:t xml:space="preserve">CO2-equivalent terms and </w:t>
            </w:r>
            <w:r w:rsidR="005101D3">
              <w:rPr>
                <w:rFonts w:eastAsia="Times New Roman" w:cs="Times New Roman"/>
                <w:color w:val="000000"/>
              </w:rPr>
              <w:t>easily understood equiv</w:t>
            </w:r>
            <w:r w:rsidR="00FA475B">
              <w:rPr>
                <w:rFonts w:eastAsia="Times New Roman" w:cs="Times New Roman"/>
                <w:color w:val="000000"/>
              </w:rPr>
              <w:t>alencies (</w:t>
            </w:r>
            <w:r w:rsidR="001337AC">
              <w:rPr>
                <w:rFonts w:eastAsia="Times New Roman" w:cs="Times New Roman"/>
                <w:color w:val="000000"/>
              </w:rPr>
              <w:t xml:space="preserve">e.g. </w:t>
            </w:r>
            <w:r w:rsidR="00284EC6">
              <w:rPr>
                <w:rFonts w:eastAsia="Times New Roman" w:cs="Times New Roman"/>
                <w:color w:val="000000"/>
              </w:rPr>
              <w:t xml:space="preserve">motor vehicles); </w:t>
            </w:r>
            <w:r w:rsidR="00D922D6">
              <w:rPr>
                <w:rFonts w:eastAsia="Times New Roman" w:cs="Times New Roman"/>
                <w:color w:val="000000"/>
              </w:rPr>
              <w:t xml:space="preserve">and </w:t>
            </w:r>
            <w:r w:rsidR="00D37D36">
              <w:rPr>
                <w:rFonts w:eastAsia="Times New Roman" w:cs="Times New Roman"/>
                <w:color w:val="000000"/>
              </w:rPr>
              <w:t xml:space="preserve">use EPA’s updated </w:t>
            </w:r>
            <w:r w:rsidR="00A73A3F">
              <w:rPr>
                <w:rFonts w:eastAsia="Times New Roman" w:cs="Times New Roman"/>
                <w:color w:val="000000"/>
              </w:rPr>
              <w:t xml:space="preserve">social cost of GHG estimates; and </w:t>
            </w:r>
            <w:r w:rsidR="00A00AA5">
              <w:rPr>
                <w:rFonts w:eastAsia="Times New Roman" w:cs="Times New Roman"/>
                <w:color w:val="000000"/>
              </w:rPr>
              <w:t>discuss how reasonably foreseeable GHG emissions are or are not consistent with state or federal policies or goals.</w:t>
            </w:r>
          </w:p>
        </w:tc>
        <w:tc>
          <w:tcPr>
            <w:tcW w:w="1402" w:type="dxa"/>
            <w:noWrap/>
          </w:tcPr>
          <w:p w14:paraId="5C51CFAC" w14:textId="4EF727E9" w:rsidR="0048023E" w:rsidRPr="00DF0EAD" w:rsidRDefault="00DA35AA">
            <w:pPr>
              <w:rPr>
                <w:rFonts w:eastAsia="Times New Roman" w:cs="Times New Roman"/>
                <w:color w:val="000000"/>
              </w:rPr>
            </w:pPr>
            <w:r>
              <w:rPr>
                <w:rFonts w:eastAsia="Times New Roman" w:cs="Times New Roman"/>
                <w:color w:val="000000"/>
              </w:rPr>
              <w:lastRenderedPageBreak/>
              <w:t>3.6.2</w:t>
            </w:r>
          </w:p>
        </w:tc>
        <w:tc>
          <w:tcPr>
            <w:tcW w:w="2881" w:type="dxa"/>
          </w:tcPr>
          <w:p w14:paraId="4998E322" w14:textId="49F1EE7F" w:rsidR="0048023E" w:rsidRPr="00582337" w:rsidRDefault="00051AF6">
            <w:pPr>
              <w:rPr>
                <w:rFonts w:eastAsia="Times New Roman" w:cs="Times New Roman"/>
                <w:color w:val="000000"/>
              </w:rPr>
            </w:pPr>
            <w:r w:rsidRPr="00051AF6">
              <w:rPr>
                <w:rFonts w:eastAsia="Times New Roman" w:cs="Times New Roman"/>
                <w:color w:val="000000"/>
              </w:rPr>
              <w:t xml:space="preserve">The EA is consistent with CEQ guidance on the consideration of GHG emissions and climate change, and with recent case law. The information requested by the EPA is all in the BLM Specialist Report on Annual Greenhouse Gas Emissions and Climate Trends (Annual GHG Report), and relevant information to the decision is incorporated by reference into the EA. Ongoing and projected climate change is discussed in the affected </w:t>
            </w:r>
            <w:r w:rsidRPr="00051AF6">
              <w:rPr>
                <w:rFonts w:eastAsia="Times New Roman" w:cs="Times New Roman"/>
                <w:color w:val="000000"/>
              </w:rPr>
              <w:lastRenderedPageBreak/>
              <w:t>environment and cumulative effects in section 3.6.2. GHG</w:t>
            </w:r>
            <w:r>
              <w:rPr>
                <w:rFonts w:eastAsia="Times New Roman" w:cs="Times New Roman"/>
                <w:color w:val="000000"/>
              </w:rPr>
              <w:t xml:space="preserve"> </w:t>
            </w:r>
            <w:r w:rsidRPr="00051AF6">
              <w:rPr>
                <w:rFonts w:eastAsia="Times New Roman" w:cs="Times New Roman"/>
                <w:color w:val="000000"/>
              </w:rPr>
              <w:t xml:space="preserve">emissions are presented in CO2-equivalent terms in Tables 22 and </w:t>
            </w:r>
            <w:proofErr w:type="gramStart"/>
            <w:r w:rsidRPr="00051AF6">
              <w:rPr>
                <w:rFonts w:eastAsia="Times New Roman" w:cs="Times New Roman"/>
                <w:color w:val="000000"/>
              </w:rPr>
              <w:t>23, and</w:t>
            </w:r>
            <w:proofErr w:type="gramEnd"/>
            <w:r w:rsidRPr="00051AF6">
              <w:rPr>
                <w:rFonts w:eastAsia="Times New Roman" w:cs="Times New Roman"/>
                <w:color w:val="000000"/>
              </w:rPr>
              <w:t xml:space="preserve"> are equivalent to 41,169 vehicles and 52 wind turbines. Social Cost of GHG's </w:t>
            </w:r>
            <w:proofErr w:type="gramStart"/>
            <w:r w:rsidRPr="00051AF6">
              <w:rPr>
                <w:rFonts w:eastAsia="Times New Roman" w:cs="Times New Roman"/>
                <w:color w:val="000000"/>
              </w:rPr>
              <w:t>are</w:t>
            </w:r>
            <w:proofErr w:type="gramEnd"/>
            <w:r w:rsidRPr="00051AF6">
              <w:rPr>
                <w:rFonts w:eastAsia="Times New Roman" w:cs="Times New Roman"/>
                <w:color w:val="000000"/>
              </w:rPr>
              <w:t xml:space="preserve"> presented in Table 25</w:t>
            </w:r>
            <w:r w:rsidR="00512909">
              <w:rPr>
                <w:rFonts w:eastAsia="Times New Roman" w:cs="Times New Roman"/>
                <w:color w:val="000000"/>
              </w:rPr>
              <w:t xml:space="preserve">. The </w:t>
            </w:r>
            <w:r w:rsidR="00FF7A2F">
              <w:rPr>
                <w:rFonts w:eastAsia="Times New Roman" w:cs="Times New Roman"/>
                <w:color w:val="000000"/>
              </w:rPr>
              <w:t>B</w:t>
            </w:r>
            <w:r w:rsidR="00512909">
              <w:rPr>
                <w:rFonts w:eastAsia="Times New Roman" w:cs="Times New Roman"/>
                <w:color w:val="000000"/>
              </w:rPr>
              <w:t>LM update</w:t>
            </w:r>
            <w:r w:rsidR="001B72AC">
              <w:rPr>
                <w:rFonts w:eastAsia="Times New Roman" w:cs="Times New Roman"/>
                <w:color w:val="000000"/>
              </w:rPr>
              <w:t>d</w:t>
            </w:r>
            <w:r w:rsidRPr="00051AF6">
              <w:rPr>
                <w:rFonts w:eastAsia="Times New Roman" w:cs="Times New Roman"/>
                <w:color w:val="000000"/>
              </w:rPr>
              <w:t xml:space="preserve"> the </w:t>
            </w:r>
            <w:r w:rsidR="00512909">
              <w:rPr>
                <w:rFonts w:eastAsia="Times New Roman" w:cs="Times New Roman"/>
                <w:color w:val="000000"/>
              </w:rPr>
              <w:t>SC-GHG</w:t>
            </w:r>
            <w:r w:rsidR="007F381A">
              <w:rPr>
                <w:rFonts w:eastAsia="Times New Roman" w:cs="Times New Roman"/>
                <w:color w:val="000000"/>
              </w:rPr>
              <w:t xml:space="preserve"> values to use </w:t>
            </w:r>
            <w:r w:rsidR="00AF4A2E">
              <w:rPr>
                <w:rFonts w:eastAsia="Times New Roman" w:cs="Times New Roman"/>
                <w:color w:val="000000"/>
              </w:rPr>
              <w:t>EPA</w:t>
            </w:r>
            <w:r w:rsidRPr="00051AF6">
              <w:rPr>
                <w:rFonts w:eastAsia="Times New Roman" w:cs="Times New Roman"/>
                <w:color w:val="000000"/>
              </w:rPr>
              <w:t xml:space="preserve"> estimates</w:t>
            </w:r>
            <w:r w:rsidR="00AF4A2E">
              <w:rPr>
                <w:rFonts w:eastAsia="Times New Roman" w:cs="Times New Roman"/>
                <w:color w:val="000000"/>
              </w:rPr>
              <w:t>.</w:t>
            </w:r>
            <w:r w:rsidRPr="00051AF6">
              <w:rPr>
                <w:rFonts w:eastAsia="Times New Roman" w:cs="Times New Roman"/>
                <w:color w:val="000000"/>
              </w:rPr>
              <w:t xml:space="preserve"> The cumulative effects analysis in section 3.6.2 discusses how this leasing action is consistent with the Inflation Reduction Acts mandate to continue to offer Federal oil and gas leases while the nation expands </w:t>
            </w:r>
            <w:r w:rsidR="00700577" w:rsidRPr="00051AF6">
              <w:rPr>
                <w:rFonts w:eastAsia="Times New Roman" w:cs="Times New Roman"/>
                <w:color w:val="000000"/>
              </w:rPr>
              <w:t>its</w:t>
            </w:r>
            <w:r w:rsidRPr="00051AF6">
              <w:rPr>
                <w:rFonts w:eastAsia="Times New Roman" w:cs="Times New Roman"/>
                <w:color w:val="000000"/>
              </w:rPr>
              <w:t xml:space="preserve"> renewable energy infrastructure, and that the mandates in the Inflation Reduction Act move the nation closer to meeting U.S. Paris agreement emissions commitments.</w:t>
            </w:r>
          </w:p>
        </w:tc>
      </w:tr>
      <w:tr w:rsidR="0048023E" w:rsidRPr="00BF1B20" w14:paraId="52EAA894" w14:textId="77777777" w:rsidTr="0050637F">
        <w:trPr>
          <w:trHeight w:val="1448"/>
        </w:trPr>
        <w:tc>
          <w:tcPr>
            <w:tcW w:w="1145" w:type="dxa"/>
            <w:noWrap/>
          </w:tcPr>
          <w:p w14:paraId="49ECD8D3" w14:textId="5CA27271" w:rsidR="0048023E" w:rsidRDefault="00E81C6A">
            <w:pPr>
              <w:rPr>
                <w:rFonts w:eastAsia="Times New Roman" w:cs="Times New Roman"/>
                <w:color w:val="000000"/>
              </w:rPr>
            </w:pPr>
            <w:r>
              <w:rPr>
                <w:rFonts w:eastAsia="Times New Roman" w:cs="Times New Roman"/>
                <w:color w:val="000000"/>
              </w:rPr>
              <w:t>G-1f</w:t>
            </w:r>
          </w:p>
        </w:tc>
        <w:tc>
          <w:tcPr>
            <w:tcW w:w="1550" w:type="dxa"/>
            <w:noWrap/>
          </w:tcPr>
          <w:p w14:paraId="1E46EBA0" w14:textId="63768D3A" w:rsidR="0048023E" w:rsidRDefault="00E9062E">
            <w:pPr>
              <w:rPr>
                <w:rFonts w:eastAsia="Times New Roman" w:cs="Times New Roman"/>
                <w:color w:val="000000"/>
              </w:rPr>
            </w:pPr>
            <w:r>
              <w:rPr>
                <w:rFonts w:eastAsia="Times New Roman" w:cs="Times New Roman"/>
                <w:color w:val="000000"/>
              </w:rPr>
              <w:t>Environmental Justice</w:t>
            </w:r>
          </w:p>
        </w:tc>
        <w:tc>
          <w:tcPr>
            <w:tcW w:w="2372" w:type="dxa"/>
          </w:tcPr>
          <w:p w14:paraId="21CA0BDB" w14:textId="64CE5EF8" w:rsidR="0048023E" w:rsidRPr="000674BB" w:rsidRDefault="00725BE2">
            <w:pPr>
              <w:rPr>
                <w:rFonts w:eastAsia="Times New Roman" w:cs="Times New Roman"/>
                <w:color w:val="000000"/>
              </w:rPr>
            </w:pPr>
            <w:r w:rsidRPr="00725BE2">
              <w:rPr>
                <w:rFonts w:eastAsia="Times New Roman" w:cs="Times New Roman"/>
                <w:color w:val="000000"/>
              </w:rPr>
              <w:t>EPA supports BLM providing those communities</w:t>
            </w:r>
            <w:r w:rsidR="007C19C1">
              <w:rPr>
                <w:rFonts w:eastAsia="Times New Roman" w:cs="Times New Roman"/>
                <w:color w:val="000000"/>
              </w:rPr>
              <w:t xml:space="preserve"> </w:t>
            </w:r>
            <w:r w:rsidR="00D07C19">
              <w:rPr>
                <w:rFonts w:eastAsia="Times New Roman" w:cs="Times New Roman"/>
                <w:color w:val="000000"/>
              </w:rPr>
              <w:t>(Ute Tribe)</w:t>
            </w:r>
            <w:r w:rsidRPr="00725BE2">
              <w:rPr>
                <w:rFonts w:eastAsia="Times New Roman" w:cs="Times New Roman"/>
                <w:color w:val="000000"/>
              </w:rPr>
              <w:t xml:space="preserve"> opportunities to identify potential adverse environmental impacts at the time of site-specific analysis during the APD stage; however, we continue to recommend carrying out a more complete analysis at the leasing stage, since the ability to address impacts is more limited at the APD phase.</w:t>
            </w:r>
          </w:p>
        </w:tc>
        <w:tc>
          <w:tcPr>
            <w:tcW w:w="1402" w:type="dxa"/>
            <w:noWrap/>
          </w:tcPr>
          <w:p w14:paraId="5F3582E9" w14:textId="0E5DF996" w:rsidR="0048023E" w:rsidRPr="00DF0EAD" w:rsidRDefault="007444DA">
            <w:pPr>
              <w:rPr>
                <w:rFonts w:eastAsia="Times New Roman" w:cs="Times New Roman"/>
                <w:color w:val="000000"/>
              </w:rPr>
            </w:pPr>
            <w:r>
              <w:rPr>
                <w:rFonts w:eastAsia="Times New Roman" w:cs="Times New Roman"/>
                <w:color w:val="000000"/>
              </w:rPr>
              <w:t>AIB-7</w:t>
            </w:r>
          </w:p>
        </w:tc>
        <w:tc>
          <w:tcPr>
            <w:tcW w:w="2881" w:type="dxa"/>
          </w:tcPr>
          <w:p w14:paraId="22EC00E2" w14:textId="02642D0D" w:rsidR="0048023E" w:rsidRPr="00582337" w:rsidRDefault="00687221">
            <w:pPr>
              <w:rPr>
                <w:rFonts w:eastAsia="Times New Roman" w:cs="Times New Roman"/>
                <w:color w:val="000000"/>
              </w:rPr>
            </w:pPr>
            <w:r w:rsidRPr="00687221">
              <w:rPr>
                <w:rFonts w:eastAsia="Times New Roman" w:cs="Times New Roman"/>
                <w:color w:val="000000"/>
              </w:rPr>
              <w:t xml:space="preserve">Any potentially impacted EJ communities, including the tribes mentioned, </w:t>
            </w:r>
            <w:proofErr w:type="gramStart"/>
            <w:r w:rsidRPr="00687221">
              <w:rPr>
                <w:rFonts w:eastAsia="Times New Roman" w:cs="Times New Roman"/>
                <w:color w:val="000000"/>
              </w:rPr>
              <w:t>have the opportunity to</w:t>
            </w:r>
            <w:proofErr w:type="gramEnd"/>
            <w:r w:rsidRPr="00687221">
              <w:rPr>
                <w:rFonts w:eastAsia="Times New Roman" w:cs="Times New Roman"/>
                <w:color w:val="000000"/>
              </w:rPr>
              <w:t xml:space="preserve"> comment at the EA stage. With the information </w:t>
            </w:r>
            <w:r w:rsidR="00953AB2" w:rsidRPr="00687221">
              <w:rPr>
                <w:rFonts w:eastAsia="Times New Roman" w:cs="Times New Roman"/>
                <w:color w:val="000000"/>
              </w:rPr>
              <w:t>available</w:t>
            </w:r>
            <w:r w:rsidRPr="00687221">
              <w:rPr>
                <w:rFonts w:eastAsia="Times New Roman" w:cs="Times New Roman"/>
                <w:color w:val="000000"/>
              </w:rPr>
              <w:t xml:space="preserve"> to BLM, we do not anticipate any </w:t>
            </w:r>
            <w:r w:rsidR="00953AB2" w:rsidRPr="00687221">
              <w:rPr>
                <w:rFonts w:eastAsia="Times New Roman" w:cs="Times New Roman"/>
                <w:color w:val="000000"/>
              </w:rPr>
              <w:t>disproportionately</w:t>
            </w:r>
            <w:r w:rsidRPr="00687221">
              <w:rPr>
                <w:rFonts w:eastAsia="Times New Roman" w:cs="Times New Roman"/>
                <w:color w:val="000000"/>
              </w:rPr>
              <w:t xml:space="preserve"> adverse </w:t>
            </w:r>
            <w:r w:rsidR="00953AB2" w:rsidRPr="00687221">
              <w:rPr>
                <w:rFonts w:eastAsia="Times New Roman" w:cs="Times New Roman"/>
                <w:color w:val="000000"/>
              </w:rPr>
              <w:t>impacts</w:t>
            </w:r>
            <w:r w:rsidRPr="00687221">
              <w:rPr>
                <w:rFonts w:eastAsia="Times New Roman" w:cs="Times New Roman"/>
                <w:color w:val="000000"/>
              </w:rPr>
              <w:t xml:space="preserve"> to EJ communities from the </w:t>
            </w:r>
            <w:r w:rsidR="00953AB2" w:rsidRPr="00687221">
              <w:rPr>
                <w:rFonts w:eastAsia="Times New Roman" w:cs="Times New Roman"/>
                <w:color w:val="000000"/>
              </w:rPr>
              <w:t>proposed</w:t>
            </w:r>
            <w:r w:rsidRPr="00687221">
              <w:rPr>
                <w:rFonts w:eastAsia="Times New Roman" w:cs="Times New Roman"/>
                <w:color w:val="000000"/>
              </w:rPr>
              <w:t xml:space="preserve"> </w:t>
            </w:r>
            <w:r w:rsidR="005C6D6C" w:rsidRPr="00687221">
              <w:rPr>
                <w:rFonts w:eastAsia="Times New Roman" w:cs="Times New Roman"/>
                <w:color w:val="000000"/>
              </w:rPr>
              <w:t>action but</w:t>
            </w:r>
            <w:r w:rsidRPr="00687221">
              <w:rPr>
                <w:rFonts w:eastAsia="Times New Roman" w:cs="Times New Roman"/>
                <w:color w:val="000000"/>
              </w:rPr>
              <w:t xml:space="preserve"> welcome any comment to the contrary (none received to date).</w:t>
            </w:r>
          </w:p>
        </w:tc>
      </w:tr>
      <w:tr w:rsidR="00D94666" w:rsidRPr="00BF1B20" w14:paraId="670E4903" w14:textId="77777777" w:rsidTr="0050637F">
        <w:trPr>
          <w:trHeight w:val="1448"/>
        </w:trPr>
        <w:tc>
          <w:tcPr>
            <w:tcW w:w="1145" w:type="dxa"/>
            <w:noWrap/>
          </w:tcPr>
          <w:p w14:paraId="2F2EB02E" w14:textId="04627D99" w:rsidR="00D94666" w:rsidRPr="00DF0EAD" w:rsidRDefault="000B0BF1">
            <w:pPr>
              <w:rPr>
                <w:rFonts w:eastAsia="Times New Roman" w:cs="Times New Roman"/>
                <w:color w:val="000000"/>
              </w:rPr>
            </w:pPr>
            <w:r>
              <w:rPr>
                <w:rFonts w:eastAsia="Times New Roman" w:cs="Times New Roman"/>
                <w:color w:val="000000"/>
              </w:rPr>
              <w:lastRenderedPageBreak/>
              <w:t>O-2a</w:t>
            </w:r>
          </w:p>
        </w:tc>
        <w:tc>
          <w:tcPr>
            <w:tcW w:w="1550" w:type="dxa"/>
            <w:noWrap/>
          </w:tcPr>
          <w:p w14:paraId="2D299F91" w14:textId="7A9C13BC" w:rsidR="00D94666" w:rsidRPr="00DF0EAD" w:rsidRDefault="000B0BF1">
            <w:pPr>
              <w:rPr>
                <w:rFonts w:eastAsia="Times New Roman" w:cs="Times New Roman"/>
                <w:color w:val="000000"/>
              </w:rPr>
            </w:pPr>
            <w:r>
              <w:rPr>
                <w:rFonts w:eastAsia="Times New Roman" w:cs="Times New Roman"/>
                <w:color w:val="000000"/>
              </w:rPr>
              <w:t>Wildlife</w:t>
            </w:r>
          </w:p>
        </w:tc>
        <w:tc>
          <w:tcPr>
            <w:tcW w:w="2372" w:type="dxa"/>
          </w:tcPr>
          <w:p w14:paraId="30DB42C3" w14:textId="7EF75C71" w:rsidR="00D94666" w:rsidRPr="00DF0EAD" w:rsidRDefault="000674BB">
            <w:pPr>
              <w:rPr>
                <w:rFonts w:eastAsia="Times New Roman" w:cs="Times New Roman"/>
                <w:color w:val="000000"/>
              </w:rPr>
            </w:pPr>
            <w:r w:rsidRPr="000674BB">
              <w:rPr>
                <w:rFonts w:eastAsia="Times New Roman" w:cs="Times New Roman"/>
                <w:color w:val="000000"/>
              </w:rPr>
              <w:t>The BLM should avoid impacts to crucial fawning ground for antelope.</w:t>
            </w:r>
          </w:p>
        </w:tc>
        <w:tc>
          <w:tcPr>
            <w:tcW w:w="1402" w:type="dxa"/>
            <w:noWrap/>
          </w:tcPr>
          <w:p w14:paraId="669CF872" w14:textId="756725D4" w:rsidR="00D94666" w:rsidRPr="00DF0EAD" w:rsidRDefault="00AA1A97">
            <w:pPr>
              <w:rPr>
                <w:rFonts w:eastAsia="Times New Roman" w:cs="Times New Roman"/>
                <w:color w:val="000000"/>
              </w:rPr>
            </w:pPr>
            <w:r>
              <w:rPr>
                <w:rFonts w:eastAsia="Times New Roman" w:cs="Times New Roman"/>
                <w:color w:val="000000"/>
              </w:rPr>
              <w:t>AIB-8</w:t>
            </w:r>
          </w:p>
        </w:tc>
        <w:tc>
          <w:tcPr>
            <w:tcW w:w="2881" w:type="dxa"/>
          </w:tcPr>
          <w:p w14:paraId="2EF423CD" w14:textId="07AA5978" w:rsidR="00D94666" w:rsidRPr="0050637F" w:rsidRDefault="00582337">
            <w:pPr>
              <w:rPr>
                <w:color w:val="000000"/>
              </w:rPr>
            </w:pPr>
            <w:r w:rsidRPr="00582337">
              <w:rPr>
                <w:rFonts w:eastAsia="Times New Roman" w:cs="Times New Roman"/>
                <w:color w:val="000000"/>
              </w:rPr>
              <w:t xml:space="preserve">UDWR has the area listed as year-long crucial habitat. This would include fawning habitat, however UDWR has not </w:t>
            </w:r>
            <w:r w:rsidR="007444DA" w:rsidRPr="00582337">
              <w:rPr>
                <w:rFonts w:eastAsia="Times New Roman" w:cs="Times New Roman"/>
                <w:color w:val="000000"/>
              </w:rPr>
              <w:t>delineated</w:t>
            </w:r>
            <w:r w:rsidRPr="00582337">
              <w:rPr>
                <w:rFonts w:eastAsia="Times New Roman" w:cs="Times New Roman"/>
                <w:color w:val="000000"/>
              </w:rPr>
              <w:t xml:space="preserve"> fawning habitat in the area such as they have for the Ant</w:t>
            </w:r>
            <w:r w:rsidR="0087113B">
              <w:rPr>
                <w:rFonts w:eastAsia="Times New Roman" w:cs="Times New Roman"/>
                <w:color w:val="000000"/>
              </w:rPr>
              <w:t>e</w:t>
            </w:r>
            <w:r w:rsidRPr="00582337">
              <w:rPr>
                <w:rFonts w:eastAsia="Times New Roman" w:cs="Times New Roman"/>
                <w:color w:val="000000"/>
              </w:rPr>
              <w:t xml:space="preserve">lope Flats area. Lease Notices </w:t>
            </w:r>
            <w:r w:rsidR="005B30F0">
              <w:rPr>
                <w:rFonts w:eastAsia="Times New Roman" w:cs="Times New Roman"/>
                <w:color w:val="000000"/>
              </w:rPr>
              <w:t>UT-LN-13: Pronghorn Winter Habitat and UT-LN-14</w:t>
            </w:r>
            <w:r w:rsidR="005117A9">
              <w:rPr>
                <w:rFonts w:eastAsia="Times New Roman" w:cs="Times New Roman"/>
                <w:color w:val="000000"/>
              </w:rPr>
              <w:t xml:space="preserve">: Pronghorn </w:t>
            </w:r>
            <w:r w:rsidR="001C7BA7">
              <w:rPr>
                <w:rFonts w:eastAsia="Times New Roman" w:cs="Times New Roman"/>
                <w:color w:val="000000"/>
              </w:rPr>
              <w:t xml:space="preserve">Fawning Habitat </w:t>
            </w:r>
            <w:r w:rsidRPr="00582337">
              <w:rPr>
                <w:rFonts w:eastAsia="Times New Roman" w:cs="Times New Roman"/>
                <w:color w:val="000000"/>
              </w:rPr>
              <w:t xml:space="preserve">are on both parcels </w:t>
            </w:r>
            <w:r w:rsidR="003C1151">
              <w:rPr>
                <w:rFonts w:eastAsia="Times New Roman" w:cs="Times New Roman"/>
                <w:color w:val="000000"/>
              </w:rPr>
              <w:t xml:space="preserve">and inform </w:t>
            </w:r>
            <w:r w:rsidR="00D40E72">
              <w:rPr>
                <w:rFonts w:eastAsia="Times New Roman" w:cs="Times New Roman"/>
                <w:color w:val="000000"/>
              </w:rPr>
              <w:t xml:space="preserve">potential purchasers that </w:t>
            </w:r>
            <w:r w:rsidR="00797301">
              <w:rPr>
                <w:rFonts w:eastAsia="Times New Roman" w:cs="Times New Roman"/>
                <w:color w:val="000000"/>
              </w:rPr>
              <w:t xml:space="preserve">surface use or otherwise disruptive activity may be restricted for up to </w:t>
            </w:r>
            <w:r w:rsidR="00314EF2">
              <w:rPr>
                <w:rFonts w:eastAsia="Times New Roman" w:cs="Times New Roman"/>
                <w:color w:val="000000"/>
              </w:rPr>
              <w:t>60 days during pronghorn fawning season</w:t>
            </w:r>
            <w:r w:rsidR="00FD4355">
              <w:rPr>
                <w:rFonts w:eastAsia="Times New Roman" w:cs="Times New Roman"/>
                <w:color w:val="000000"/>
              </w:rPr>
              <w:t xml:space="preserve"> (S</w:t>
            </w:r>
            <w:r w:rsidR="0056098E">
              <w:rPr>
                <w:rFonts w:eastAsia="Times New Roman" w:cs="Times New Roman"/>
                <w:color w:val="000000"/>
              </w:rPr>
              <w:t>ee</w:t>
            </w:r>
            <w:r w:rsidR="00241A69">
              <w:rPr>
                <w:rFonts w:eastAsia="Times New Roman" w:cs="Times New Roman"/>
                <w:color w:val="000000"/>
              </w:rPr>
              <w:t xml:space="preserve"> Appendix B)</w:t>
            </w:r>
            <w:r w:rsidR="00D37686">
              <w:rPr>
                <w:rFonts w:eastAsia="Times New Roman" w:cs="Times New Roman"/>
                <w:color w:val="000000"/>
              </w:rPr>
              <w:t>.</w:t>
            </w:r>
          </w:p>
        </w:tc>
      </w:tr>
      <w:tr w:rsidR="00D94666" w:rsidRPr="00BF1B20" w14:paraId="42063071" w14:textId="77777777" w:rsidTr="0050637F">
        <w:trPr>
          <w:trHeight w:val="1727"/>
        </w:trPr>
        <w:tc>
          <w:tcPr>
            <w:tcW w:w="1145" w:type="dxa"/>
            <w:noWrap/>
          </w:tcPr>
          <w:p w14:paraId="2A13D441" w14:textId="64B1EEA7" w:rsidR="00D94666" w:rsidRPr="00DF0EAD" w:rsidRDefault="00257623">
            <w:pPr>
              <w:rPr>
                <w:rFonts w:eastAsia="Times New Roman" w:cs="Times New Roman"/>
                <w:color w:val="000000"/>
              </w:rPr>
            </w:pPr>
            <w:r w:rsidRPr="00257623">
              <w:rPr>
                <w:rFonts w:eastAsia="Times New Roman" w:cs="Times New Roman"/>
                <w:color w:val="000000"/>
              </w:rPr>
              <w:t>O-2c</w:t>
            </w:r>
          </w:p>
        </w:tc>
        <w:tc>
          <w:tcPr>
            <w:tcW w:w="1550" w:type="dxa"/>
            <w:noWrap/>
          </w:tcPr>
          <w:p w14:paraId="55C2851F" w14:textId="36F4457F" w:rsidR="00D94666" w:rsidRPr="00DF0EAD" w:rsidRDefault="00257623">
            <w:pPr>
              <w:rPr>
                <w:rFonts w:eastAsia="Times New Roman" w:cs="Times New Roman"/>
                <w:color w:val="000000"/>
              </w:rPr>
            </w:pPr>
            <w:r>
              <w:rPr>
                <w:rFonts w:eastAsia="Times New Roman" w:cs="Times New Roman"/>
                <w:color w:val="000000"/>
              </w:rPr>
              <w:t>Sound</w:t>
            </w:r>
          </w:p>
        </w:tc>
        <w:tc>
          <w:tcPr>
            <w:tcW w:w="2372" w:type="dxa"/>
          </w:tcPr>
          <w:p w14:paraId="2279E95B" w14:textId="3EFD3DBE" w:rsidR="00D94666" w:rsidRPr="00DF0EAD" w:rsidRDefault="00257623">
            <w:pPr>
              <w:rPr>
                <w:rFonts w:eastAsia="Times New Roman" w:cs="Times New Roman"/>
                <w:color w:val="000000"/>
              </w:rPr>
            </w:pPr>
            <w:r w:rsidRPr="00257623">
              <w:rPr>
                <w:rFonts w:eastAsia="Times New Roman" w:cs="Times New Roman"/>
                <w:color w:val="000000"/>
              </w:rPr>
              <w:t>The BLM should analyze and disclose more information regarding topographical screening of noise pollution.</w:t>
            </w:r>
          </w:p>
        </w:tc>
        <w:tc>
          <w:tcPr>
            <w:tcW w:w="1402" w:type="dxa"/>
            <w:noWrap/>
          </w:tcPr>
          <w:p w14:paraId="39F9FB89" w14:textId="495916A1" w:rsidR="00D94666" w:rsidRPr="00DF0EAD" w:rsidRDefault="00F75FC6">
            <w:pPr>
              <w:rPr>
                <w:rFonts w:eastAsia="Times New Roman" w:cs="Times New Roman"/>
                <w:color w:val="000000"/>
              </w:rPr>
            </w:pPr>
            <w:r>
              <w:rPr>
                <w:rFonts w:eastAsia="Times New Roman" w:cs="Times New Roman"/>
                <w:color w:val="000000"/>
              </w:rPr>
              <w:t>AIB-17</w:t>
            </w:r>
          </w:p>
        </w:tc>
        <w:tc>
          <w:tcPr>
            <w:tcW w:w="2881" w:type="dxa"/>
          </w:tcPr>
          <w:p w14:paraId="46338871" w14:textId="5247289A" w:rsidR="00D94666" w:rsidRPr="00DF0EAD" w:rsidRDefault="00014E0F">
            <w:pPr>
              <w:rPr>
                <w:rFonts w:eastAsia="Times New Roman" w:cs="Times New Roman"/>
                <w:color w:val="000000"/>
              </w:rPr>
            </w:pPr>
            <w:r w:rsidRPr="00014E0F">
              <w:rPr>
                <w:rFonts w:eastAsia="Times New Roman" w:cs="Times New Roman"/>
                <w:color w:val="000000"/>
              </w:rPr>
              <w:t xml:space="preserve">The commenter is correct that topographic effects on noise vary based on "location, hill slope, and other factors." At the leasing stage the BLM does not know where a well pad and noise generating equipment </w:t>
            </w:r>
            <w:r w:rsidR="000F42BF" w:rsidRPr="00014E0F">
              <w:rPr>
                <w:rFonts w:eastAsia="Times New Roman" w:cs="Times New Roman"/>
                <w:color w:val="000000"/>
              </w:rPr>
              <w:t>w</w:t>
            </w:r>
            <w:r w:rsidR="000F42BF">
              <w:rPr>
                <w:rFonts w:eastAsia="Times New Roman" w:cs="Times New Roman"/>
                <w:color w:val="000000"/>
              </w:rPr>
              <w:t>ould</w:t>
            </w:r>
            <w:r w:rsidRPr="00014E0F">
              <w:rPr>
                <w:rFonts w:eastAsia="Times New Roman" w:cs="Times New Roman"/>
                <w:color w:val="000000"/>
              </w:rPr>
              <w:t xml:space="preserve"> </w:t>
            </w:r>
            <w:proofErr w:type="gramStart"/>
            <w:r w:rsidRPr="00014E0F">
              <w:rPr>
                <w:rFonts w:eastAsia="Times New Roman" w:cs="Times New Roman"/>
                <w:color w:val="000000"/>
              </w:rPr>
              <w:t>be located in</w:t>
            </w:r>
            <w:proofErr w:type="gramEnd"/>
            <w:r w:rsidRPr="00014E0F">
              <w:rPr>
                <w:rFonts w:eastAsia="Times New Roman" w:cs="Times New Roman"/>
                <w:color w:val="000000"/>
              </w:rPr>
              <w:t xml:space="preserve"> relation to topographic features and sensitive noise receptors. At the APD stage this information is known and a more detailed noise </w:t>
            </w:r>
            <w:r w:rsidR="0057320D" w:rsidRPr="00014E0F">
              <w:rPr>
                <w:rFonts w:eastAsia="Times New Roman" w:cs="Times New Roman"/>
                <w:color w:val="000000"/>
              </w:rPr>
              <w:t>analysis</w:t>
            </w:r>
            <w:r w:rsidRPr="00014E0F">
              <w:rPr>
                <w:rFonts w:eastAsia="Times New Roman" w:cs="Times New Roman"/>
                <w:color w:val="000000"/>
              </w:rPr>
              <w:t xml:space="preserve"> may be performed if necessary.</w:t>
            </w:r>
          </w:p>
        </w:tc>
      </w:tr>
    </w:tbl>
    <w:p w14:paraId="2AF5F581" w14:textId="38EB8A0E" w:rsidR="002136A3" w:rsidRDefault="002136A3">
      <w:pPr>
        <w:spacing w:after="160" w:line="259" w:lineRule="auto"/>
        <w:rPr>
          <w:rFonts w:ascii="Times New Roman Bold" w:eastAsiaTheme="majorEastAsia" w:hAnsi="Times New Roman Bold" w:cs="Arial" w:hint="eastAsia"/>
          <w:b/>
          <w:caps/>
          <w:sz w:val="32"/>
          <w:szCs w:val="32"/>
        </w:rPr>
      </w:pPr>
      <w:bookmarkStart w:id="355" w:name="_Toc127312112"/>
      <w:bookmarkStart w:id="356" w:name="_Ref133577733"/>
      <w:bookmarkStart w:id="357" w:name="_Ref133583997"/>
      <w:bookmarkStart w:id="358" w:name="_Toc128755986"/>
      <w:bookmarkStart w:id="359" w:name="_Toc128984196"/>
    </w:p>
    <w:p w14:paraId="38D82211" w14:textId="77777777" w:rsidR="002136A3" w:rsidRDefault="002136A3" w:rsidP="00D94666">
      <w:pPr>
        <w:pStyle w:val="AppendixHeading1"/>
        <w:ind w:left="0" w:firstLine="0"/>
        <w:rPr>
          <w:rFonts w:hint="eastAsia"/>
        </w:rPr>
        <w:sectPr w:rsidR="002136A3" w:rsidSect="00D54281">
          <w:footerReference w:type="default" r:id="rId40"/>
          <w:type w:val="continuous"/>
          <w:pgSz w:w="12240" w:h="15840"/>
          <w:pgMar w:top="1440" w:right="1440" w:bottom="1440" w:left="1440" w:header="720" w:footer="720" w:gutter="0"/>
          <w:pgNumType w:start="5"/>
          <w:cols w:space="720"/>
          <w:docGrid w:linePitch="299"/>
        </w:sectPr>
      </w:pPr>
    </w:p>
    <w:p w14:paraId="1196540A" w14:textId="5E6D878C" w:rsidR="00D94666" w:rsidRDefault="00D94666" w:rsidP="00D94666">
      <w:pPr>
        <w:pStyle w:val="AppendixHeading1"/>
        <w:ind w:left="0" w:firstLine="0"/>
        <w:rPr>
          <w:rFonts w:hint="eastAsia"/>
        </w:rPr>
      </w:pPr>
      <w:bookmarkStart w:id="360" w:name="_Toc179464278"/>
      <w:bookmarkStart w:id="361" w:name="_Toc170114933"/>
      <w:r w:rsidRPr="00861BCC">
        <w:lastRenderedPageBreak/>
        <w:t xml:space="preserve">Appendix </w:t>
      </w:r>
      <w:r w:rsidR="00BC406D">
        <w:t>D</w:t>
      </w:r>
      <w:r w:rsidRPr="00861BCC">
        <w:t xml:space="preserve">. </w:t>
      </w:r>
      <w:bookmarkEnd w:id="355"/>
      <w:r>
        <w:t>Leasing Preference Rating For Nominated Lease Parcels</w:t>
      </w:r>
      <w:bookmarkEnd w:id="356"/>
      <w:bookmarkEnd w:id="357"/>
      <w:bookmarkEnd w:id="360"/>
      <w:bookmarkEnd w:id="361"/>
    </w:p>
    <w:p w14:paraId="4F22BEAD" w14:textId="77777777" w:rsidR="00D94666" w:rsidRPr="00DA24BF" w:rsidRDefault="00D94666" w:rsidP="00D94666">
      <w:pPr>
        <w:pStyle w:val="AppHeading2"/>
        <w:rPr>
          <w:rFonts w:ascii="Times" w:hAnsi="Times" w:cs="Times"/>
        </w:rPr>
      </w:pPr>
      <w:bookmarkStart w:id="362" w:name="_Toc128755987"/>
      <w:bookmarkStart w:id="363" w:name="_Toc128984197"/>
      <w:bookmarkEnd w:id="358"/>
      <w:bookmarkEnd w:id="359"/>
      <w:r w:rsidRPr="00DA24BF">
        <w:rPr>
          <w:rFonts w:ascii="Times" w:hAnsi="Times" w:cs="Times"/>
        </w:rPr>
        <w:t>Background</w:t>
      </w:r>
      <w:bookmarkEnd w:id="362"/>
      <w:bookmarkEnd w:id="363"/>
    </w:p>
    <w:p w14:paraId="02F9D1C9" w14:textId="77777777" w:rsidR="00D94666" w:rsidRPr="00D46E0E" w:rsidRDefault="00D94666" w:rsidP="00D94666">
      <w:r w:rsidRPr="00D46E0E">
        <w:t> </w:t>
      </w:r>
    </w:p>
    <w:p w14:paraId="44F1C4D1" w14:textId="77777777" w:rsidR="00D94666" w:rsidRPr="00D46E0E" w:rsidRDefault="00D94666" w:rsidP="00D94666">
      <w:r w:rsidRPr="00D46E0E">
        <w:t xml:space="preserve">The following states have a permanent injunction on implementation on any stop or pause on quarterly sales: Louisiana, Alabama, Alaska, Arkansas, Georgia, Mississippi, Missouri, Montana, Nebraska, Oklahoma, Texas, Utah, and West Virginia. </w:t>
      </w:r>
    </w:p>
    <w:p w14:paraId="0A1853A2" w14:textId="77777777" w:rsidR="00D94666" w:rsidRPr="00D46E0E" w:rsidRDefault="00D94666" w:rsidP="00D94666"/>
    <w:p w14:paraId="624D1FD4" w14:textId="77777777" w:rsidR="00D94666" w:rsidRPr="00D46E0E" w:rsidRDefault="00D94666" w:rsidP="00D94666">
      <w:r w:rsidRPr="00D46E0E">
        <w:t xml:space="preserve">Upon the conclusion of the 30-day Public Scoping period, the BLM completed the parcel review as directed by </w:t>
      </w:r>
      <w:r>
        <w:t>Section 208 in the Executive Order 14008: Tackling The Climate Crisis at Home and Abroad,</w:t>
      </w:r>
      <w:r w:rsidRPr="00D46E0E" w:rsidDel="008616BE">
        <w:t xml:space="preserve"> </w:t>
      </w:r>
      <w:r w:rsidRPr="00D46E0E">
        <w:t>Department of Interior’s </w:t>
      </w:r>
      <w:hyperlink r:id="rId41" w:tgtFrame="_blank" w:history="1">
        <w:r w:rsidRPr="00D46E0E">
          <w:rPr>
            <w:rStyle w:val="Hyperlink"/>
            <w:i/>
          </w:rPr>
          <w:t>Report on the Federal Oil and Gas Leasing Program</w:t>
        </w:r>
      </w:hyperlink>
      <w:r w:rsidRPr="00D46E0E">
        <w:t xml:space="preserve">, and </w:t>
      </w:r>
      <w:r>
        <w:t xml:space="preserve">HQ </w:t>
      </w:r>
      <w:r w:rsidRPr="00D46E0E">
        <w:t>IM-2023-007</w:t>
      </w:r>
      <w:r>
        <w:t xml:space="preserve">, </w:t>
      </w:r>
      <w:r w:rsidRPr="001F5902">
        <w:rPr>
          <w:i/>
          <w:iCs/>
        </w:rPr>
        <w:t>Evaluating Competitive Oil and Gas Lease Sale Parcels for Future Lease Sales</w:t>
      </w:r>
      <w:r w:rsidRPr="00D46E0E">
        <w:t xml:space="preserve">. </w:t>
      </w:r>
    </w:p>
    <w:p w14:paraId="43CAE7C6" w14:textId="77777777" w:rsidR="00D94666" w:rsidRPr="00D46E0E" w:rsidRDefault="00D94666" w:rsidP="00D94666"/>
    <w:p w14:paraId="5A2A7603" w14:textId="011C2873" w:rsidR="00D94666" w:rsidRPr="00D46E0E" w:rsidRDefault="00D94666" w:rsidP="00D94666">
      <w:r w:rsidRPr="00D46E0E">
        <w:t xml:space="preserve">In accordance with </w:t>
      </w:r>
      <w:r>
        <w:t>HQ</w:t>
      </w:r>
      <w:r w:rsidRPr="00D46E0E">
        <w:t xml:space="preserve"> IM-2023-007, the BLM has evaluated the nominated lease parcels against five criteria to determine each parcel’s leasing preference. All the parcels nominated are rated as low preference based on one or more criteria. The IM states that if there are no high-preference parcels available for the sale, the office will select one or more low-preference parcels that present the least number of conflicts based on the criteria listed. Given the BLM’s ability to mitigate resource impacts through the attachment of stipulations and lease notices at the leasing stage and coupled with site-specific analysis and pre-disturbance biological surveys at the lease development stage, impacts to resources are expected to be avoided, minimized, and reduced, such that any reasonably foreseeable impacts can be effectively addressed. </w:t>
      </w:r>
      <w:r w:rsidR="00A4044C">
        <w:t>T</w:t>
      </w:r>
      <w:r w:rsidRPr="004F73BC">
        <w:t>he Deputy State Director, in their delegated authority, determined to</w:t>
      </w:r>
      <w:r w:rsidR="00CE5701">
        <w:t xml:space="preserve"> move</w:t>
      </w:r>
      <w:r w:rsidRPr="004F73BC">
        <w:t xml:space="preserve"> forward for continued leasing analysis, furthering the intent of Section 50265 of the Inflation Reduction Act of 2022, which states that the BLM may not issue a right-of-way for wind or solar energy development on federal land unless it has 1)</w:t>
      </w:r>
      <w:r w:rsidRPr="00D46E0E">
        <w:t xml:space="preserve"> held an onshore oil and gas lease sale during the past 120 days, and 2) offered the lessee a “sum total” of either 2,000,000 acres or 50% of the acreage for which EOIs have been submitted for lease sales during the previous 1-year period.</w:t>
      </w:r>
    </w:p>
    <w:p w14:paraId="29FE3E30" w14:textId="77777777" w:rsidR="00D94666" w:rsidRDefault="00D94666" w:rsidP="00D94666">
      <w:bookmarkStart w:id="364" w:name="_Toc128755988"/>
    </w:p>
    <w:p w14:paraId="19A47CE6" w14:textId="77777777" w:rsidR="00D94666" w:rsidRPr="00B23F25" w:rsidRDefault="00D94666" w:rsidP="00D94666">
      <w:pPr>
        <w:rPr>
          <w:b/>
          <w:bCs/>
        </w:rPr>
      </w:pPr>
      <w:r w:rsidRPr="00B23F25">
        <w:rPr>
          <w:b/>
          <w:bCs/>
        </w:rPr>
        <w:t>Lease Parcel Preference Criteria</w:t>
      </w:r>
      <w:bookmarkEnd w:id="364"/>
    </w:p>
    <w:p w14:paraId="565845A4" w14:textId="77777777" w:rsidR="00D94666" w:rsidRPr="00D46E0E" w:rsidRDefault="00D94666" w:rsidP="00D94666">
      <w:pPr>
        <w:pStyle w:val="ListNumber"/>
      </w:pPr>
      <w:r w:rsidRPr="00D46E0E">
        <w:t>Proximity to existing oil and gas development, giving preference to lands upon which a</w:t>
      </w:r>
      <w:r>
        <w:t xml:space="preserve"> </w:t>
      </w:r>
      <w:r w:rsidRPr="00D46E0E">
        <w:t xml:space="preserve">prudent operator would seek to expand existing </w:t>
      </w:r>
      <w:proofErr w:type="gramStart"/>
      <w:r w:rsidRPr="00D46E0E">
        <w:t>operations;</w:t>
      </w:r>
      <w:proofErr w:type="gramEnd"/>
      <w:r w:rsidRPr="00D46E0E">
        <w:t xml:space="preserve"> </w:t>
      </w:r>
    </w:p>
    <w:p w14:paraId="1374865D" w14:textId="77777777" w:rsidR="00D94666" w:rsidRPr="00D46E0E" w:rsidRDefault="00D94666" w:rsidP="00D94666">
      <w:pPr>
        <w:pStyle w:val="ListNumber"/>
      </w:pPr>
      <w:r w:rsidRPr="00D46E0E">
        <w:t>The presence of important fish and wildlife habitats or connectivity areas, giving</w:t>
      </w:r>
      <w:r>
        <w:t xml:space="preserve"> </w:t>
      </w:r>
      <w:r w:rsidRPr="00D46E0E">
        <w:t xml:space="preserve">preference to lands that would not impair the proper functioning of such habitats or </w:t>
      </w:r>
      <w:proofErr w:type="gramStart"/>
      <w:r w:rsidRPr="00D46E0E">
        <w:t>corridors;</w:t>
      </w:r>
      <w:proofErr w:type="gramEnd"/>
    </w:p>
    <w:p w14:paraId="785352D5" w14:textId="77777777" w:rsidR="00D94666" w:rsidRPr="00D46E0E" w:rsidRDefault="00D94666" w:rsidP="00D94666">
      <w:pPr>
        <w:pStyle w:val="ListNumber"/>
      </w:pPr>
      <w:r w:rsidRPr="00D46E0E">
        <w:t xml:space="preserve">The presence of historic properties, sacred sites, or other high value cultural resources, giving preference to lands that do not contribute to the cultural significance of such </w:t>
      </w:r>
      <w:proofErr w:type="gramStart"/>
      <w:r w:rsidRPr="00D46E0E">
        <w:t>resources;</w:t>
      </w:r>
      <w:proofErr w:type="gramEnd"/>
      <w:r w:rsidRPr="00D46E0E">
        <w:t> </w:t>
      </w:r>
    </w:p>
    <w:p w14:paraId="2F9DA64C" w14:textId="77777777" w:rsidR="00D94666" w:rsidRPr="00D46E0E" w:rsidRDefault="00D94666" w:rsidP="00D94666">
      <w:pPr>
        <w:pStyle w:val="ListNumber"/>
      </w:pPr>
      <w:r w:rsidRPr="00D46E0E">
        <w:t>The presence of recreation and other important uses or resources, giving preference to lands that do not contribute to the value of such uses or resources; and</w:t>
      </w:r>
    </w:p>
    <w:p w14:paraId="4E018142" w14:textId="77777777" w:rsidR="00D94666" w:rsidRPr="00D46E0E" w:rsidRDefault="00D94666" w:rsidP="00D94666">
      <w:pPr>
        <w:pStyle w:val="ListNumber"/>
      </w:pPr>
      <w:r w:rsidRPr="00D46E0E">
        <w:t>Potential for development, giving preference to lands with high potential for development.</w:t>
      </w:r>
      <w:r w:rsidRPr="00D46E0E">
        <w:br w:type="page"/>
      </w:r>
    </w:p>
    <w:p w14:paraId="2AC89E0A" w14:textId="45A73C6C" w:rsidR="00D94666" w:rsidRDefault="00D94666" w:rsidP="00D94666">
      <w:pPr>
        <w:pStyle w:val="Caption"/>
      </w:pPr>
      <w:bookmarkStart w:id="365" w:name="_Toc163734295"/>
      <w:bookmarkStart w:id="366" w:name="_Toc179464314"/>
      <w:bookmarkStart w:id="367" w:name="_Toc170114969"/>
      <w:r>
        <w:lastRenderedPageBreak/>
        <w:t xml:space="preserve">Table </w:t>
      </w:r>
      <w:r>
        <w:fldChar w:fldCharType="begin"/>
      </w:r>
      <w:r>
        <w:instrText>SEQ Table \* ARABIC</w:instrText>
      </w:r>
      <w:r>
        <w:fldChar w:fldCharType="separate"/>
      </w:r>
      <w:r w:rsidR="00BB3F01">
        <w:rPr>
          <w:noProof/>
        </w:rPr>
        <w:t>33</w:t>
      </w:r>
      <w:r>
        <w:fldChar w:fldCharType="end"/>
      </w:r>
      <w:r>
        <w:t xml:space="preserve">. </w:t>
      </w:r>
      <w:r w:rsidRPr="00D40ED3">
        <w:t>Criteria for leasing related to IM-2023-007 for BLM’s Utah Lease Sale</w:t>
      </w:r>
      <w:bookmarkEnd w:id="365"/>
      <w:bookmarkEnd w:id="366"/>
      <w:bookmarkEnd w:id="367"/>
    </w:p>
    <w:tbl>
      <w:tblPr>
        <w:tblStyle w:val="TableGrid"/>
        <w:tblW w:w="5051" w:type="pct"/>
        <w:tblInd w:w="-95" w:type="dxa"/>
        <w:tblLook w:val="04A0" w:firstRow="1" w:lastRow="0" w:firstColumn="1" w:lastColumn="0" w:noHBand="0" w:noVBand="1"/>
        <w:tblDescription w:val="Criteria for leasing related to DOI’s Report on the Federal Oil and Gas Leasing Program"/>
      </w:tblPr>
      <w:tblGrid>
        <w:gridCol w:w="1522"/>
        <w:gridCol w:w="1017"/>
        <w:gridCol w:w="940"/>
        <w:gridCol w:w="1135"/>
        <w:gridCol w:w="1897"/>
        <w:gridCol w:w="1303"/>
        <w:gridCol w:w="841"/>
        <w:gridCol w:w="790"/>
      </w:tblGrid>
      <w:tr w:rsidR="001528FC" w:rsidRPr="00CC66D3" w14:paraId="3C08F732" w14:textId="77777777">
        <w:trPr>
          <w:tblHeader/>
        </w:trPr>
        <w:tc>
          <w:tcPr>
            <w:tcW w:w="806" w:type="pct"/>
            <w:shd w:val="clear" w:color="auto" w:fill="E7E6E6" w:themeFill="background2"/>
          </w:tcPr>
          <w:p w14:paraId="6D63B009" w14:textId="77777777" w:rsidR="00D94666" w:rsidRPr="00CC66D3" w:rsidRDefault="00D94666">
            <w:pPr>
              <w:pStyle w:val="TableHeading"/>
              <w:rPr>
                <w:rFonts w:ascii="Times New Roman" w:hAnsi="Times New Roman" w:cs="Times New Roman"/>
                <w:sz w:val="20"/>
              </w:rPr>
            </w:pPr>
            <w:r w:rsidRPr="00CC66D3">
              <w:rPr>
                <w:rFonts w:ascii="Times New Roman" w:hAnsi="Times New Roman" w:cs="Times New Roman"/>
                <w:sz w:val="20"/>
              </w:rPr>
              <w:t>Parcel Number</w:t>
            </w:r>
          </w:p>
        </w:tc>
        <w:tc>
          <w:tcPr>
            <w:tcW w:w="3331" w:type="pct"/>
            <w:gridSpan w:val="5"/>
            <w:shd w:val="clear" w:color="auto" w:fill="E7E6E6" w:themeFill="background2"/>
          </w:tcPr>
          <w:p w14:paraId="24653146" w14:textId="77777777" w:rsidR="00D94666" w:rsidRPr="00CC66D3" w:rsidRDefault="00D94666">
            <w:pPr>
              <w:pStyle w:val="TableHeading"/>
              <w:rPr>
                <w:rFonts w:ascii="Times New Roman" w:hAnsi="Times New Roman" w:cs="Times New Roman"/>
                <w:sz w:val="20"/>
              </w:rPr>
            </w:pPr>
            <w:r w:rsidRPr="00CC66D3">
              <w:rPr>
                <w:rFonts w:ascii="Times New Roman" w:hAnsi="Times New Roman" w:cs="Times New Roman"/>
                <w:sz w:val="20"/>
              </w:rPr>
              <w:t>Criteria for leasing related to DOI’s Report on the Federal Oil and Gas Leasing Program</w:t>
            </w:r>
          </w:p>
        </w:tc>
        <w:tc>
          <w:tcPr>
            <w:tcW w:w="863" w:type="pct"/>
            <w:gridSpan w:val="2"/>
            <w:shd w:val="clear" w:color="auto" w:fill="E7E6E6" w:themeFill="background2"/>
          </w:tcPr>
          <w:p w14:paraId="59200266" w14:textId="77777777" w:rsidR="00D94666" w:rsidRPr="00CC66D3" w:rsidRDefault="00D94666">
            <w:pPr>
              <w:pStyle w:val="TableHeading"/>
              <w:rPr>
                <w:rFonts w:ascii="Times New Roman" w:hAnsi="Times New Roman" w:cs="Times New Roman"/>
                <w:sz w:val="20"/>
              </w:rPr>
            </w:pPr>
            <w:r w:rsidRPr="00CC66D3">
              <w:rPr>
                <w:rFonts w:ascii="Times New Roman" w:hAnsi="Times New Roman" w:cs="Times New Roman"/>
                <w:sz w:val="20"/>
              </w:rPr>
              <w:t>Preference for Leasing</w:t>
            </w:r>
          </w:p>
        </w:tc>
      </w:tr>
      <w:tr w:rsidR="007E0D97" w:rsidRPr="00CC66D3" w14:paraId="5CAE026A" w14:textId="77777777" w:rsidTr="00BF1D19">
        <w:tc>
          <w:tcPr>
            <w:tcW w:w="806" w:type="pct"/>
          </w:tcPr>
          <w:p w14:paraId="3F000178" w14:textId="77777777" w:rsidR="00D94666" w:rsidRPr="00CC66D3" w:rsidRDefault="00D94666">
            <w:pPr>
              <w:pStyle w:val="TableTextLeft"/>
              <w:rPr>
                <w:rFonts w:ascii="Times New Roman" w:hAnsi="Times New Roman"/>
                <w:sz w:val="20"/>
                <w:szCs w:val="20"/>
              </w:rPr>
            </w:pPr>
          </w:p>
        </w:tc>
        <w:tc>
          <w:tcPr>
            <w:tcW w:w="538" w:type="pct"/>
            <w:tcBorders>
              <w:top w:val="nil"/>
              <w:left w:val="nil"/>
              <w:bottom w:val="single" w:sz="6" w:space="0" w:color="auto"/>
              <w:right w:val="single" w:sz="6" w:space="0" w:color="auto"/>
            </w:tcBorders>
            <w:shd w:val="clear" w:color="auto" w:fill="auto"/>
          </w:tcPr>
          <w:p w14:paraId="7E453D4B"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O&amp;G Proximity</w:t>
            </w:r>
          </w:p>
        </w:tc>
        <w:tc>
          <w:tcPr>
            <w:tcW w:w="498" w:type="pct"/>
            <w:tcBorders>
              <w:top w:val="nil"/>
              <w:left w:val="nil"/>
              <w:bottom w:val="single" w:sz="6" w:space="0" w:color="auto"/>
              <w:right w:val="single" w:sz="6" w:space="0" w:color="auto"/>
            </w:tcBorders>
            <w:shd w:val="clear" w:color="auto" w:fill="auto"/>
          </w:tcPr>
          <w:p w14:paraId="414D6B3E"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Plant and Wildlife Habitat</w:t>
            </w:r>
            <w:r w:rsidRPr="00CC66D3">
              <w:rPr>
                <w:rFonts w:ascii="Times New Roman" w:hAnsi="Times New Roman"/>
                <w:sz w:val="20"/>
                <w:szCs w:val="20"/>
                <w:vertAlign w:val="superscript"/>
              </w:rPr>
              <w:footnoteReference w:id="13"/>
            </w:r>
          </w:p>
        </w:tc>
        <w:tc>
          <w:tcPr>
            <w:tcW w:w="601" w:type="pct"/>
            <w:tcBorders>
              <w:top w:val="nil"/>
              <w:left w:val="nil"/>
              <w:bottom w:val="single" w:sz="6" w:space="0" w:color="auto"/>
              <w:right w:val="single" w:sz="6" w:space="0" w:color="auto"/>
            </w:tcBorders>
            <w:shd w:val="clear" w:color="auto" w:fill="auto"/>
          </w:tcPr>
          <w:p w14:paraId="5218133F"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Cultural Resources</w:t>
            </w:r>
          </w:p>
        </w:tc>
        <w:tc>
          <w:tcPr>
            <w:tcW w:w="1004" w:type="pct"/>
            <w:tcBorders>
              <w:top w:val="nil"/>
              <w:left w:val="nil"/>
              <w:bottom w:val="single" w:sz="6" w:space="0" w:color="auto"/>
              <w:right w:val="single" w:sz="6" w:space="0" w:color="auto"/>
            </w:tcBorders>
            <w:shd w:val="clear" w:color="auto" w:fill="auto"/>
          </w:tcPr>
          <w:p w14:paraId="00A73D0B"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Recreation</w:t>
            </w:r>
            <w:r w:rsidRPr="00CC66D3">
              <w:rPr>
                <w:rFonts w:ascii="Times New Roman" w:hAnsi="Times New Roman"/>
                <w:sz w:val="20"/>
                <w:szCs w:val="20"/>
                <w:vertAlign w:val="superscript"/>
              </w:rPr>
              <w:footnoteReference w:id="14"/>
            </w:r>
            <w:r w:rsidRPr="00CC66D3">
              <w:rPr>
                <w:rFonts w:ascii="Times New Roman" w:hAnsi="Times New Roman"/>
                <w:sz w:val="20"/>
                <w:szCs w:val="20"/>
              </w:rPr>
              <w:t xml:space="preserve"> (Other Resources)</w:t>
            </w:r>
          </w:p>
        </w:tc>
        <w:tc>
          <w:tcPr>
            <w:tcW w:w="689" w:type="pct"/>
            <w:tcBorders>
              <w:top w:val="nil"/>
              <w:left w:val="nil"/>
              <w:bottom w:val="single" w:sz="6" w:space="0" w:color="auto"/>
              <w:right w:val="single" w:sz="6" w:space="0" w:color="auto"/>
            </w:tcBorders>
          </w:tcPr>
          <w:p w14:paraId="2ADD8AB7"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Development Potential</w:t>
            </w:r>
            <w:r w:rsidRPr="00CC66D3">
              <w:rPr>
                <w:rFonts w:ascii="Times New Roman" w:hAnsi="Times New Roman"/>
                <w:sz w:val="20"/>
                <w:szCs w:val="20"/>
                <w:vertAlign w:val="superscript"/>
              </w:rPr>
              <w:footnoteReference w:id="15"/>
            </w:r>
          </w:p>
        </w:tc>
        <w:tc>
          <w:tcPr>
            <w:tcW w:w="445" w:type="pct"/>
            <w:tcBorders>
              <w:top w:val="nil"/>
              <w:left w:val="nil"/>
              <w:bottom w:val="single" w:sz="6" w:space="0" w:color="auto"/>
              <w:right w:val="single" w:sz="6" w:space="0" w:color="auto"/>
            </w:tcBorders>
          </w:tcPr>
          <w:p w14:paraId="101F5F68"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High</w:t>
            </w:r>
          </w:p>
        </w:tc>
        <w:tc>
          <w:tcPr>
            <w:tcW w:w="418" w:type="pct"/>
            <w:tcBorders>
              <w:top w:val="nil"/>
              <w:left w:val="nil"/>
              <w:bottom w:val="single" w:sz="6" w:space="0" w:color="auto"/>
              <w:right w:val="single" w:sz="6" w:space="0" w:color="auto"/>
            </w:tcBorders>
            <w:shd w:val="clear" w:color="auto" w:fill="F2F2F2" w:themeFill="background1" w:themeFillShade="F2"/>
          </w:tcPr>
          <w:p w14:paraId="1E9BDE5B" w14:textId="77777777" w:rsidR="00D94666" w:rsidRPr="00CC66D3" w:rsidRDefault="00D94666">
            <w:pPr>
              <w:pStyle w:val="TableTextLeft"/>
              <w:rPr>
                <w:rFonts w:ascii="Times New Roman" w:hAnsi="Times New Roman"/>
                <w:sz w:val="20"/>
                <w:szCs w:val="20"/>
              </w:rPr>
            </w:pPr>
            <w:r w:rsidRPr="00CC66D3">
              <w:rPr>
                <w:rFonts w:ascii="Times New Roman" w:hAnsi="Times New Roman"/>
                <w:sz w:val="20"/>
                <w:szCs w:val="20"/>
              </w:rPr>
              <w:t>Low</w:t>
            </w:r>
          </w:p>
        </w:tc>
      </w:tr>
      <w:tr w:rsidR="00D94666" w:rsidRPr="00CC66D3" w14:paraId="6B7B4841" w14:textId="77777777" w:rsidTr="00BF1D19">
        <w:tc>
          <w:tcPr>
            <w:tcW w:w="806" w:type="pct"/>
          </w:tcPr>
          <w:p w14:paraId="1A9F8B4B" w14:textId="419C84A0" w:rsidR="00D94666" w:rsidRPr="00E80238" w:rsidRDefault="0023437F">
            <w:pPr>
              <w:pStyle w:val="TableTextLeft"/>
              <w:rPr>
                <w:rFonts w:ascii="Times New Roman" w:hAnsi="Times New Roman"/>
                <w:sz w:val="20"/>
                <w:szCs w:val="20"/>
              </w:rPr>
            </w:pPr>
            <w:r>
              <w:rPr>
                <w:rFonts w:ascii="Times New Roman" w:hAnsi="Times New Roman"/>
                <w:sz w:val="20"/>
                <w:szCs w:val="20"/>
              </w:rPr>
              <w:t>1551</w:t>
            </w:r>
          </w:p>
        </w:tc>
        <w:tc>
          <w:tcPr>
            <w:tcW w:w="538" w:type="pct"/>
          </w:tcPr>
          <w:p w14:paraId="75AF71E4" w14:textId="0EB1B330" w:rsidR="00D94666" w:rsidRPr="00E80238" w:rsidRDefault="004A5526">
            <w:pPr>
              <w:pStyle w:val="TableTextLeft"/>
              <w:rPr>
                <w:rFonts w:ascii="Times New Roman" w:hAnsi="Times New Roman"/>
                <w:sz w:val="20"/>
                <w:szCs w:val="20"/>
              </w:rPr>
            </w:pPr>
            <w:r>
              <w:rPr>
                <w:rFonts w:ascii="Times New Roman" w:hAnsi="Times New Roman"/>
                <w:sz w:val="20"/>
                <w:szCs w:val="20"/>
              </w:rPr>
              <w:t>High</w:t>
            </w:r>
          </w:p>
        </w:tc>
        <w:tc>
          <w:tcPr>
            <w:tcW w:w="498" w:type="pct"/>
          </w:tcPr>
          <w:p w14:paraId="66B13A20" w14:textId="446370C4" w:rsidR="00D94666" w:rsidRPr="00E80238" w:rsidRDefault="00195E82">
            <w:pPr>
              <w:pStyle w:val="TableTextLeft"/>
              <w:rPr>
                <w:rFonts w:ascii="Times New Roman" w:hAnsi="Times New Roman"/>
                <w:sz w:val="20"/>
                <w:szCs w:val="20"/>
              </w:rPr>
            </w:pPr>
            <w:r>
              <w:rPr>
                <w:rFonts w:ascii="Times New Roman" w:hAnsi="Times New Roman"/>
                <w:sz w:val="20"/>
                <w:szCs w:val="20"/>
              </w:rPr>
              <w:t>Low</w:t>
            </w:r>
          </w:p>
        </w:tc>
        <w:tc>
          <w:tcPr>
            <w:tcW w:w="601" w:type="pct"/>
          </w:tcPr>
          <w:p w14:paraId="380FD908" w14:textId="32D1FB55" w:rsidR="00D94666" w:rsidRPr="00E80238" w:rsidRDefault="00195E82">
            <w:pPr>
              <w:pStyle w:val="TableTextLeft"/>
              <w:rPr>
                <w:rFonts w:ascii="Times New Roman" w:hAnsi="Times New Roman"/>
                <w:sz w:val="20"/>
                <w:szCs w:val="20"/>
              </w:rPr>
            </w:pPr>
            <w:r>
              <w:rPr>
                <w:rFonts w:ascii="Times New Roman" w:hAnsi="Times New Roman"/>
                <w:sz w:val="20"/>
                <w:szCs w:val="20"/>
              </w:rPr>
              <w:t>Low</w:t>
            </w:r>
          </w:p>
        </w:tc>
        <w:tc>
          <w:tcPr>
            <w:tcW w:w="1004" w:type="pct"/>
          </w:tcPr>
          <w:p w14:paraId="5305E7F7" w14:textId="4E6B2E27" w:rsidR="00D94666" w:rsidRPr="00E80238" w:rsidRDefault="00641128">
            <w:pPr>
              <w:pStyle w:val="TableTextLeft"/>
              <w:rPr>
                <w:rFonts w:ascii="Times New Roman" w:hAnsi="Times New Roman"/>
                <w:sz w:val="20"/>
                <w:szCs w:val="20"/>
              </w:rPr>
            </w:pPr>
            <w:r>
              <w:rPr>
                <w:rFonts w:ascii="Times New Roman" w:hAnsi="Times New Roman"/>
                <w:sz w:val="20"/>
                <w:szCs w:val="20"/>
              </w:rPr>
              <w:t>Low</w:t>
            </w:r>
          </w:p>
        </w:tc>
        <w:tc>
          <w:tcPr>
            <w:tcW w:w="689" w:type="pct"/>
          </w:tcPr>
          <w:p w14:paraId="24A0C354" w14:textId="23DAAD37" w:rsidR="00D94666" w:rsidRPr="00E80238" w:rsidRDefault="009E1824">
            <w:pPr>
              <w:pStyle w:val="TableTextLeft"/>
              <w:rPr>
                <w:rFonts w:ascii="Times New Roman" w:hAnsi="Times New Roman"/>
                <w:sz w:val="20"/>
                <w:szCs w:val="20"/>
              </w:rPr>
            </w:pPr>
            <w:r>
              <w:rPr>
                <w:rFonts w:ascii="Times New Roman" w:hAnsi="Times New Roman"/>
                <w:sz w:val="20"/>
                <w:szCs w:val="20"/>
              </w:rPr>
              <w:t>High</w:t>
            </w:r>
          </w:p>
        </w:tc>
        <w:tc>
          <w:tcPr>
            <w:tcW w:w="445" w:type="pct"/>
          </w:tcPr>
          <w:p w14:paraId="467223C3" w14:textId="0E640917" w:rsidR="00D94666" w:rsidRPr="00E80238" w:rsidRDefault="00B30969">
            <w:pPr>
              <w:pStyle w:val="TableTextLeft"/>
              <w:rPr>
                <w:rFonts w:ascii="Times New Roman" w:hAnsi="Times New Roman"/>
                <w:sz w:val="20"/>
                <w:szCs w:val="20"/>
              </w:rPr>
            </w:pPr>
            <w:r>
              <w:rPr>
                <w:rFonts w:ascii="Times New Roman" w:hAnsi="Times New Roman"/>
                <w:sz w:val="20"/>
                <w:szCs w:val="20"/>
              </w:rPr>
              <w:t>High</w:t>
            </w:r>
          </w:p>
        </w:tc>
        <w:tc>
          <w:tcPr>
            <w:tcW w:w="418" w:type="pct"/>
          </w:tcPr>
          <w:p w14:paraId="23D2DD2A" w14:textId="77777777" w:rsidR="00D94666" w:rsidRPr="00E80238" w:rsidRDefault="00D94666">
            <w:pPr>
              <w:pStyle w:val="TableTextLeft"/>
              <w:rPr>
                <w:rFonts w:ascii="Times New Roman" w:hAnsi="Times New Roman"/>
                <w:sz w:val="20"/>
                <w:szCs w:val="20"/>
              </w:rPr>
            </w:pPr>
          </w:p>
        </w:tc>
      </w:tr>
      <w:tr w:rsidR="00D94666" w:rsidRPr="00CC66D3" w14:paraId="238942C9" w14:textId="77777777" w:rsidTr="00BF1D19">
        <w:tc>
          <w:tcPr>
            <w:tcW w:w="806" w:type="pct"/>
          </w:tcPr>
          <w:p w14:paraId="738FE810" w14:textId="62020854" w:rsidR="00D94666" w:rsidRPr="00E80238" w:rsidRDefault="00BA1FBD">
            <w:pPr>
              <w:pStyle w:val="TableTextLeft"/>
              <w:rPr>
                <w:rFonts w:ascii="Times New Roman" w:hAnsi="Times New Roman"/>
                <w:sz w:val="20"/>
                <w:szCs w:val="20"/>
              </w:rPr>
            </w:pPr>
            <w:r>
              <w:rPr>
                <w:rFonts w:ascii="Times New Roman" w:hAnsi="Times New Roman"/>
                <w:sz w:val="20"/>
                <w:szCs w:val="20"/>
              </w:rPr>
              <w:t>7688</w:t>
            </w:r>
          </w:p>
        </w:tc>
        <w:tc>
          <w:tcPr>
            <w:tcW w:w="538" w:type="pct"/>
          </w:tcPr>
          <w:p w14:paraId="72C690CA" w14:textId="3D2CD88E" w:rsidR="00D94666" w:rsidRPr="00E80238" w:rsidRDefault="004A5526">
            <w:pPr>
              <w:pStyle w:val="TableTextLeft"/>
              <w:rPr>
                <w:rFonts w:ascii="Times New Roman" w:hAnsi="Times New Roman"/>
                <w:sz w:val="20"/>
                <w:szCs w:val="20"/>
              </w:rPr>
            </w:pPr>
            <w:r>
              <w:rPr>
                <w:rFonts w:ascii="Times New Roman" w:hAnsi="Times New Roman"/>
                <w:sz w:val="20"/>
                <w:szCs w:val="20"/>
              </w:rPr>
              <w:t>High</w:t>
            </w:r>
          </w:p>
        </w:tc>
        <w:tc>
          <w:tcPr>
            <w:tcW w:w="498" w:type="pct"/>
          </w:tcPr>
          <w:p w14:paraId="46AD93A3" w14:textId="5573240D" w:rsidR="00D94666" w:rsidRPr="00E80238" w:rsidRDefault="00195E82">
            <w:pPr>
              <w:pStyle w:val="TableTextLeft"/>
              <w:rPr>
                <w:rFonts w:ascii="Times New Roman" w:hAnsi="Times New Roman"/>
                <w:sz w:val="20"/>
                <w:szCs w:val="20"/>
              </w:rPr>
            </w:pPr>
            <w:r>
              <w:rPr>
                <w:rFonts w:ascii="Times New Roman" w:hAnsi="Times New Roman"/>
                <w:sz w:val="20"/>
                <w:szCs w:val="20"/>
              </w:rPr>
              <w:t>Low</w:t>
            </w:r>
          </w:p>
        </w:tc>
        <w:tc>
          <w:tcPr>
            <w:tcW w:w="601" w:type="pct"/>
          </w:tcPr>
          <w:p w14:paraId="0C05B09B" w14:textId="569D64AA" w:rsidR="00D94666" w:rsidRPr="00E80238" w:rsidRDefault="00195E82">
            <w:pPr>
              <w:pStyle w:val="TableTextLeft"/>
              <w:rPr>
                <w:rFonts w:ascii="Times New Roman" w:hAnsi="Times New Roman"/>
                <w:sz w:val="20"/>
                <w:szCs w:val="20"/>
              </w:rPr>
            </w:pPr>
            <w:r>
              <w:rPr>
                <w:rFonts w:ascii="Times New Roman" w:hAnsi="Times New Roman"/>
                <w:sz w:val="20"/>
                <w:szCs w:val="20"/>
              </w:rPr>
              <w:t>Low</w:t>
            </w:r>
          </w:p>
        </w:tc>
        <w:tc>
          <w:tcPr>
            <w:tcW w:w="1004" w:type="pct"/>
          </w:tcPr>
          <w:p w14:paraId="5154DC5C" w14:textId="5EE08F39" w:rsidR="00D94666" w:rsidRPr="00E80238" w:rsidRDefault="00641128">
            <w:pPr>
              <w:pStyle w:val="TableTextLeft"/>
              <w:rPr>
                <w:rFonts w:ascii="Times New Roman" w:hAnsi="Times New Roman"/>
                <w:sz w:val="20"/>
                <w:szCs w:val="20"/>
              </w:rPr>
            </w:pPr>
            <w:r>
              <w:rPr>
                <w:rFonts w:ascii="Times New Roman" w:hAnsi="Times New Roman"/>
                <w:sz w:val="20"/>
                <w:szCs w:val="20"/>
              </w:rPr>
              <w:t>Low</w:t>
            </w:r>
          </w:p>
        </w:tc>
        <w:tc>
          <w:tcPr>
            <w:tcW w:w="689" w:type="pct"/>
          </w:tcPr>
          <w:p w14:paraId="3F969C26" w14:textId="4F5CE7EA" w:rsidR="00D94666" w:rsidRPr="00E80238" w:rsidRDefault="00B30969">
            <w:pPr>
              <w:pStyle w:val="TableTextLeft"/>
              <w:rPr>
                <w:rFonts w:ascii="Times New Roman" w:hAnsi="Times New Roman"/>
                <w:sz w:val="20"/>
                <w:szCs w:val="20"/>
              </w:rPr>
            </w:pPr>
            <w:r>
              <w:rPr>
                <w:rFonts w:ascii="Times New Roman" w:hAnsi="Times New Roman"/>
                <w:sz w:val="20"/>
                <w:szCs w:val="20"/>
              </w:rPr>
              <w:t>High</w:t>
            </w:r>
          </w:p>
        </w:tc>
        <w:tc>
          <w:tcPr>
            <w:tcW w:w="445" w:type="pct"/>
          </w:tcPr>
          <w:p w14:paraId="0FF138C5" w14:textId="085A4F9E" w:rsidR="00D94666" w:rsidRPr="00E80238" w:rsidRDefault="00B30969">
            <w:pPr>
              <w:pStyle w:val="TableTextLeft"/>
              <w:rPr>
                <w:rFonts w:ascii="Times New Roman" w:hAnsi="Times New Roman"/>
                <w:sz w:val="20"/>
                <w:szCs w:val="20"/>
              </w:rPr>
            </w:pPr>
            <w:r>
              <w:rPr>
                <w:rFonts w:ascii="Times New Roman" w:hAnsi="Times New Roman"/>
                <w:sz w:val="20"/>
                <w:szCs w:val="20"/>
              </w:rPr>
              <w:t>High</w:t>
            </w:r>
          </w:p>
        </w:tc>
        <w:tc>
          <w:tcPr>
            <w:tcW w:w="418" w:type="pct"/>
          </w:tcPr>
          <w:p w14:paraId="341BA4AD" w14:textId="77777777" w:rsidR="00D94666" w:rsidRPr="00E80238" w:rsidRDefault="00D94666">
            <w:pPr>
              <w:pStyle w:val="TableTextLeft"/>
              <w:rPr>
                <w:rFonts w:ascii="Times New Roman" w:hAnsi="Times New Roman"/>
                <w:sz w:val="20"/>
                <w:szCs w:val="20"/>
              </w:rPr>
            </w:pPr>
          </w:p>
        </w:tc>
      </w:tr>
    </w:tbl>
    <w:p w14:paraId="569FB599" w14:textId="77777777" w:rsidR="002136A3" w:rsidRDefault="002136A3" w:rsidP="00D94666">
      <w:pPr>
        <w:spacing w:after="160" w:line="259" w:lineRule="auto"/>
        <w:sectPr w:rsidR="002136A3" w:rsidSect="00334790">
          <w:pgSz w:w="12240" w:h="15840"/>
          <w:pgMar w:top="1440" w:right="1440" w:bottom="1440" w:left="1440" w:header="720" w:footer="720" w:gutter="0"/>
          <w:cols w:space="720"/>
          <w:docGrid w:linePitch="299"/>
        </w:sectPr>
      </w:pPr>
    </w:p>
    <w:p w14:paraId="7FC86AE8" w14:textId="5A2BD92B" w:rsidR="00D94666" w:rsidRPr="00345767" w:rsidRDefault="00D94666" w:rsidP="00D94666">
      <w:pPr>
        <w:pStyle w:val="AppendixHeading1"/>
        <w:ind w:left="0" w:firstLine="0"/>
        <w:rPr>
          <w:rFonts w:hint="eastAsia"/>
        </w:rPr>
      </w:pPr>
      <w:bookmarkStart w:id="368" w:name="_Toc128755989"/>
      <w:bookmarkStart w:id="369" w:name="_Toc128984198"/>
      <w:bookmarkStart w:id="370" w:name="_Toc179464279"/>
      <w:bookmarkStart w:id="371" w:name="_Toc170114934"/>
      <w:r w:rsidRPr="00345767">
        <w:lastRenderedPageBreak/>
        <w:t xml:space="preserve">Appendix </w:t>
      </w:r>
      <w:r w:rsidR="00BC406D">
        <w:t>E</w:t>
      </w:r>
      <w:r w:rsidRPr="00345767">
        <w:t>.</w:t>
      </w:r>
      <w:bookmarkStart w:id="372" w:name="_Toc127312113"/>
      <w:r w:rsidRPr="00345767">
        <w:t xml:space="preserve"> Summary of the Typical Phases of Oil and Gas Development</w:t>
      </w:r>
      <w:bookmarkEnd w:id="368"/>
      <w:bookmarkEnd w:id="369"/>
      <w:bookmarkEnd w:id="370"/>
      <w:bookmarkEnd w:id="371"/>
      <w:bookmarkEnd w:id="372"/>
    </w:p>
    <w:p w14:paraId="46BA31BA" w14:textId="77777777" w:rsidR="00D94666" w:rsidRPr="00DA24BF" w:rsidRDefault="00D94666" w:rsidP="00D94666">
      <w:pPr>
        <w:pStyle w:val="AppHeading2"/>
        <w:rPr>
          <w:rFonts w:ascii="Times" w:hAnsi="Times" w:cs="Times"/>
        </w:rPr>
      </w:pPr>
      <w:bookmarkStart w:id="373" w:name="_Toc35516891"/>
      <w:bookmarkStart w:id="374" w:name="_Toc35517006"/>
      <w:bookmarkStart w:id="375" w:name="_Toc42787066"/>
      <w:r w:rsidRPr="00DA24BF">
        <w:rPr>
          <w:rFonts w:ascii="Times" w:hAnsi="Times" w:cs="Times"/>
        </w:rPr>
        <w:t>I</w:t>
      </w:r>
      <w:bookmarkEnd w:id="373"/>
      <w:bookmarkEnd w:id="374"/>
      <w:r w:rsidRPr="00DA24BF">
        <w:rPr>
          <w:rFonts w:ascii="Times" w:hAnsi="Times" w:cs="Times"/>
        </w:rPr>
        <w:t>ntroduction</w:t>
      </w:r>
      <w:bookmarkEnd w:id="375"/>
    </w:p>
    <w:p w14:paraId="701298B0" w14:textId="77777777" w:rsidR="00D94666" w:rsidRPr="00345767" w:rsidRDefault="00D94666" w:rsidP="00D94666">
      <w:pPr>
        <w:pStyle w:val="BodyText"/>
      </w:pPr>
      <w:r w:rsidRPr="00345767">
        <w:t>The phases of oil and gas development include construction, drilling operations, completion operations, hydraulic fracturing, and production. During the construction activity phase, the area is cleared of vegetation and the pad is constructed. Throughout the drilling operation phase, equipment is moved on site and used to install the drill rig and other associated infrastructure. At this stage, the well is drilled. Well completion follows well drilling. Well completion includes setting the casing to depth, cementing the casing,</w:t>
      </w:r>
      <w:r w:rsidRPr="00345767">
        <w:rPr>
          <w:rStyle w:val="FootnoteReference"/>
        </w:rPr>
        <w:footnoteReference w:id="16"/>
      </w:r>
      <w:r w:rsidRPr="00345767">
        <w:t xml:space="preserve"> and perforating the casing in target zones. If a well is going to be drilled directionally,</w:t>
      </w:r>
      <w:r w:rsidRPr="00345767">
        <w:rPr>
          <w:rStyle w:val="FootnoteReference"/>
        </w:rPr>
        <w:footnoteReference w:id="17"/>
      </w:r>
      <w:r w:rsidRPr="00345767">
        <w:t xml:space="preserve"> horizontally,</w:t>
      </w:r>
      <w:r w:rsidRPr="00345767">
        <w:rPr>
          <w:rStyle w:val="FootnoteReference"/>
        </w:rPr>
        <w:footnoteReference w:id="18"/>
      </w:r>
      <w:r w:rsidRPr="00345767">
        <w:t xml:space="preserve"> or vertically</w:t>
      </w:r>
      <w:r w:rsidRPr="00345767">
        <w:rPr>
          <w:rStyle w:val="FootnoteReference"/>
        </w:rPr>
        <w:footnoteReference w:id="19"/>
      </w:r>
      <w:r w:rsidRPr="00345767">
        <w:t xml:space="preserve"> this phase may be followed by hydraulic fracturing which involves pumping fracturing fluid into a formation at a calculated, predetermined rate and pressure to generate fractures or cracks in the target formation. The production phase begins when the well starts producing. The well abandonment and reclamation phases occur after the productive life of the well has concluded. Well abandonment and reclamation involve plugging wells and reclaiming the surface according to BLM guidelines and requirements. </w:t>
      </w:r>
    </w:p>
    <w:p w14:paraId="14789C44" w14:textId="77777777" w:rsidR="00D94666" w:rsidRPr="00DA24BF" w:rsidRDefault="00D94666" w:rsidP="00D94666">
      <w:pPr>
        <w:pStyle w:val="AppHeading3"/>
        <w:rPr>
          <w:rFonts w:ascii="Times" w:hAnsi="Times" w:cs="Times"/>
        </w:rPr>
      </w:pPr>
      <w:bookmarkStart w:id="376" w:name="_Toc35516892"/>
      <w:bookmarkStart w:id="377" w:name="_Toc35517007"/>
      <w:r w:rsidRPr="00DA24BF">
        <w:rPr>
          <w:rFonts w:ascii="Times" w:hAnsi="Times" w:cs="Times"/>
        </w:rPr>
        <w:t>Construction A</w:t>
      </w:r>
      <w:bookmarkEnd w:id="376"/>
      <w:bookmarkEnd w:id="377"/>
      <w:r w:rsidRPr="00DA24BF">
        <w:rPr>
          <w:rFonts w:ascii="Times" w:hAnsi="Times" w:cs="Times"/>
        </w:rPr>
        <w:t>ctivities</w:t>
      </w:r>
    </w:p>
    <w:p w14:paraId="720F87C9" w14:textId="77777777" w:rsidR="00D94666" w:rsidRPr="00345767" w:rsidRDefault="00D94666" w:rsidP="00D94666">
      <w:pPr>
        <w:pStyle w:val="BodyText"/>
      </w:pPr>
      <w:r w:rsidRPr="00345767">
        <w:t>First, new construction areas need to be cleared of all vegetation. Clearing of the proposed well pad and access road are typically limited to the smallest area possible to provide safe and efficient work areas for all phases of construction. All clearing activities are accomplished by cutting, mowing, and/or grading vegetation, as necessary. Cut vegetation may be mulched and spread on site or hauled to a commercial waste disposal facility.</w:t>
      </w:r>
    </w:p>
    <w:p w14:paraId="58D914DE" w14:textId="77777777" w:rsidR="00D94666" w:rsidRPr="00345767" w:rsidRDefault="00D94666" w:rsidP="00D94666">
      <w:pPr>
        <w:pStyle w:val="BodyText"/>
      </w:pPr>
      <w:r w:rsidRPr="00345767">
        <w:t xml:space="preserve">Next, heavy equipment, including but not limited to, bulldozers, graders, front-end loaders, and/or track hoes are used to construct the pad, along with other features, as needed for development. Other features may include, but are not limited to, an access road, reserve pit, pipeline, and/or fracturing pond. Cut and fills may be required to level the pad or road surfaces. Reserve pits, if authorized, are lined using an impermeable liner or other lining mechanism (i.e., bentonite or clay) to prevent fluids from leaching into the soil. Access roads may have cattle guards, gates, drainage control, or pull-outs installed, among a host of other features that may be necessary based on the site-specific situation. Long-term surface </w:t>
      </w:r>
      <w:r w:rsidRPr="00345767">
        <w:lastRenderedPageBreak/>
        <w:t>disturbances such as pads and roads are typically surfaced with a layer of crushed rock. Areas not needed for long-term development are reclaimed by recontouring the surface and re-establishing vegetation.</w:t>
      </w:r>
    </w:p>
    <w:p w14:paraId="1B026364" w14:textId="77777777" w:rsidR="00D94666" w:rsidRPr="00345767" w:rsidRDefault="00D94666" w:rsidP="00D94666">
      <w:pPr>
        <w:pStyle w:val="BodyText"/>
      </w:pPr>
      <w:r w:rsidRPr="00345767">
        <w:t xml:space="preserve">A pipeline, if needed, is laid within a right-of-way that is first cleared of vegetation. A backhoe, or similar piece of equipment, digs a trench to a depth at least 36 inches below ground surface. After the trench is dug, the pipeline is assembled by welding pieces of pipe together to fit the contour of the pipeline’s path. Once inspected, the pipe can be lowered into the trench and covered with stockpiled subsoil originally removed from the trench. Each pipeline undergoes hydrostatic testing prior to natural gas being pumped through the pipeline. This ensures the pipeline is strong enough and absent any leaks. </w:t>
      </w:r>
      <w:r>
        <w:fldChar w:fldCharType="begin"/>
      </w:r>
      <w:r>
        <w:instrText xml:space="preserve"> REF _Ref128922268 \h </w:instrText>
      </w:r>
      <w:r>
        <w:fldChar w:fldCharType="separate"/>
      </w:r>
      <w:r>
        <w:t xml:space="preserve">Table </w:t>
      </w:r>
      <w:r>
        <w:rPr>
          <w:noProof/>
        </w:rPr>
        <w:t>36</w:t>
      </w:r>
      <w:r>
        <w:fldChar w:fldCharType="end"/>
      </w:r>
      <w:r>
        <w:t>36</w:t>
      </w:r>
      <w:r w:rsidRPr="00345767">
        <w:t xml:space="preserve"> includes some of the common wastes (hazardous and nonhazardous) that are produced during construction.</w:t>
      </w:r>
    </w:p>
    <w:p w14:paraId="45ABA588" w14:textId="77777777" w:rsidR="00D94666" w:rsidRPr="00DA24BF" w:rsidRDefault="00D94666" w:rsidP="00D94666">
      <w:pPr>
        <w:pStyle w:val="AppHeading3"/>
        <w:rPr>
          <w:rFonts w:ascii="Times" w:hAnsi="Times" w:cs="Times"/>
        </w:rPr>
      </w:pPr>
      <w:bookmarkStart w:id="378" w:name="_Toc531273576"/>
      <w:bookmarkStart w:id="379" w:name="_Toc532297115"/>
      <w:bookmarkStart w:id="380" w:name="_Toc864524"/>
      <w:bookmarkStart w:id="381" w:name="_Toc35516893"/>
      <w:bookmarkStart w:id="382" w:name="_Toc35517008"/>
      <w:r w:rsidRPr="00DA24BF">
        <w:rPr>
          <w:rFonts w:ascii="Times" w:hAnsi="Times" w:cs="Times"/>
        </w:rPr>
        <w:t>D</w:t>
      </w:r>
      <w:bookmarkEnd w:id="378"/>
      <w:bookmarkEnd w:id="379"/>
      <w:bookmarkEnd w:id="380"/>
      <w:r w:rsidRPr="00DA24BF">
        <w:rPr>
          <w:rFonts w:ascii="Times" w:hAnsi="Times" w:cs="Times"/>
        </w:rPr>
        <w:t>rilling O</w:t>
      </w:r>
      <w:bookmarkEnd w:id="381"/>
      <w:bookmarkEnd w:id="382"/>
      <w:r w:rsidRPr="00DA24BF">
        <w:rPr>
          <w:rFonts w:ascii="Times" w:hAnsi="Times" w:cs="Times"/>
        </w:rPr>
        <w:t>perations</w:t>
      </w:r>
    </w:p>
    <w:p w14:paraId="64FA20B4" w14:textId="77777777" w:rsidR="00D94666" w:rsidRPr="00345767" w:rsidRDefault="00D94666" w:rsidP="00D94666">
      <w:pPr>
        <w:pStyle w:val="BodyText"/>
      </w:pPr>
      <w:r w:rsidRPr="00345767">
        <w:t>When construction of the well-pad is complete, the drilling rig and associated equipment are moved on site and erected. Usually, a conventional rotary drill rig is used. The drill rig must be capable of withstanding all the anticipated conditions that may be encountered while drilling. Wells may be drilled directionally, horizontally, or vertically based on the target formation. The depth of the well is entirely dependent on the target formation depth and may be several hundred feet deep to over 20,000 feet deep.</w:t>
      </w:r>
    </w:p>
    <w:p w14:paraId="6AC59279" w14:textId="77777777" w:rsidR="00D94666" w:rsidRPr="00345767" w:rsidRDefault="00D94666" w:rsidP="00D94666">
      <w:pPr>
        <w:pStyle w:val="BodyText"/>
      </w:pPr>
      <w:r w:rsidRPr="00345767">
        <w:t xml:space="preserve">When a conventional reserve pit </w:t>
      </w:r>
      <w:r w:rsidRPr="00345767">
        <w:rPr>
          <w:rStyle w:val="FootnoteReference"/>
        </w:rPr>
        <w:footnoteReference w:id="20"/>
      </w:r>
      <w:r w:rsidRPr="00345767">
        <w:t>system is used, drilling fluid or mud is circulated through the drill pipe to the bottom of the hole, through the bit, up the bore of the well, and finally to the surface. When drilling mud emerges from the hole, it enters the reserve pit where it remains until all fluids are evaporated and the solids can be buried.</w:t>
      </w:r>
    </w:p>
    <w:p w14:paraId="38911A2D" w14:textId="77777777" w:rsidR="00D94666" w:rsidRPr="00345767" w:rsidRDefault="00D94666" w:rsidP="00D94666">
      <w:pPr>
        <w:pStyle w:val="BodyText"/>
      </w:pPr>
      <w:r w:rsidRPr="00345767">
        <w:t>A closed-loop system operates in a similar fashion except that when the drilling mud emerges from the hole, it passes through equipment used to screen and remove drill cuttings (rock chips) and sand-sized solids rather than going into a pit. When the solids have been removed, the drilling mud is placed into holding tanks, and from the tank, used again.</w:t>
      </w:r>
    </w:p>
    <w:p w14:paraId="31A611AE" w14:textId="77777777" w:rsidR="00D94666" w:rsidRPr="00345767" w:rsidRDefault="00D94666" w:rsidP="00D94666">
      <w:pPr>
        <w:pStyle w:val="BodyText"/>
      </w:pPr>
      <w:r w:rsidRPr="00345767">
        <w:t>In either situation the drilling mud is maintained at a specific weight and viscosity to cool the bit, seal off any porous zones (thereby protecting aquifers and preventing damage to producing zone productivity), control subsurface pressure, lubricate the drill string, clean the bottom of the hole, and bring the drill cuttings to the surface. Water-based or oil-based muds can be used. This choice is dependent on the site-specific conditions.</w:t>
      </w:r>
    </w:p>
    <w:p w14:paraId="4B01182D" w14:textId="77777777" w:rsidR="00D94666" w:rsidRPr="00345767" w:rsidRDefault="00D94666" w:rsidP="00D94666">
      <w:pPr>
        <w:pStyle w:val="BodyText"/>
      </w:pPr>
      <w:bookmarkStart w:id="383" w:name="_2fk6b3p"/>
      <w:bookmarkEnd w:id="383"/>
      <w:r w:rsidRPr="00345767">
        <w:t>Once a well has been drilled, completion operations begin. Well completion involves setting casing to depth and perforating the casing in target zones.</w:t>
      </w:r>
    </w:p>
    <w:p w14:paraId="040959A2" w14:textId="77777777" w:rsidR="00D94666" w:rsidRPr="00345767" w:rsidRDefault="00D94666" w:rsidP="00D94666">
      <w:pPr>
        <w:pStyle w:val="BodyText"/>
      </w:pPr>
      <w:r w:rsidRPr="00345767">
        <w:t>Wells are often treated during completion to improve the recovery of hydrocarbons by increasing the rate and volume of hydrocarbons moving from the natural oil and gas reservoir into the wellbore. These processes are known as well-stimulation treatments, which create new fluid passageways in the producing formation or remove blockages within existing passageways. They include fracturing, acidizing, and other mechanical and chemical treatments often used in combination. The results from different treatments are additive and complement each other.</w:t>
      </w:r>
    </w:p>
    <w:p w14:paraId="75C042D0" w14:textId="77777777" w:rsidR="00D94666" w:rsidRPr="00DA24BF" w:rsidRDefault="00D94666" w:rsidP="00D94666">
      <w:pPr>
        <w:pStyle w:val="AppHeading3"/>
        <w:rPr>
          <w:rFonts w:ascii="Times" w:hAnsi="Times" w:cs="Times"/>
        </w:rPr>
      </w:pPr>
      <w:bookmarkStart w:id="384" w:name="_Toc531273578"/>
      <w:bookmarkStart w:id="385" w:name="_Toc532297117"/>
      <w:bookmarkStart w:id="386" w:name="_Toc864526"/>
      <w:bookmarkStart w:id="387" w:name="_Toc35516894"/>
      <w:bookmarkStart w:id="388" w:name="_Toc35517009"/>
      <w:r w:rsidRPr="00DA24BF">
        <w:rPr>
          <w:rFonts w:ascii="Times" w:hAnsi="Times" w:cs="Times"/>
        </w:rPr>
        <w:lastRenderedPageBreak/>
        <w:t>H</w:t>
      </w:r>
      <w:bookmarkEnd w:id="384"/>
      <w:bookmarkEnd w:id="385"/>
      <w:bookmarkEnd w:id="386"/>
      <w:r w:rsidRPr="00DA24BF">
        <w:rPr>
          <w:rFonts w:ascii="Times" w:hAnsi="Times" w:cs="Times"/>
        </w:rPr>
        <w:t>ydraulic F</w:t>
      </w:r>
      <w:bookmarkEnd w:id="387"/>
      <w:bookmarkEnd w:id="388"/>
      <w:r w:rsidRPr="00DA24BF">
        <w:rPr>
          <w:rFonts w:ascii="Times" w:hAnsi="Times" w:cs="Times"/>
        </w:rPr>
        <w:t>racturing</w:t>
      </w:r>
    </w:p>
    <w:p w14:paraId="6BD010C8" w14:textId="38B309BE" w:rsidR="00D94666" w:rsidRPr="00345767" w:rsidRDefault="00D94666" w:rsidP="00D94666">
      <w:pPr>
        <w:pStyle w:val="BodyText"/>
      </w:pPr>
      <w:r w:rsidRPr="00345767">
        <w:t xml:space="preserve">Hydraulic fracturing is a formation stimulation practice used to create additional permeability in a producing formation, thus allowing oil and/or gas to flow more readily toward and into the wellbore. Hydraulic fracturing can be used to overcome natural barriers, such as naturally low permeability or reduced permeability resulting from near wellbore damage to the flow of fluids (gas or water) to the wellbore </w:t>
      </w:r>
      <w:sdt>
        <w:sdtPr>
          <w:id w:val="1360399859"/>
          <w:citation/>
        </w:sdtPr>
        <w:sdtContent>
          <w:r>
            <w:fldChar w:fldCharType="begin"/>
          </w:r>
          <w:r>
            <w:instrText xml:space="preserve"> CITATION Gro17 \l 1033 </w:instrText>
          </w:r>
          <w:r>
            <w:fldChar w:fldCharType="separate"/>
          </w:r>
          <w:r w:rsidR="0093463A">
            <w:rPr>
              <w:noProof/>
            </w:rPr>
            <w:t>(Groundwater Protection Council, 2017)</w:t>
          </w:r>
          <w:r>
            <w:fldChar w:fldCharType="end"/>
          </w:r>
        </w:sdtContent>
      </w:sdt>
      <w:r w:rsidRPr="00345767">
        <w:t>. The process has been a method for additional oil and gas recovery since the 1900s; however, with the advancement of technology, in both hydraulic fracturing and horizontal drilling, it is more commonly used than previous hydraulic fracturing and horizontal drilling technologies.</w:t>
      </w:r>
    </w:p>
    <w:p w14:paraId="2820C62A" w14:textId="77777777" w:rsidR="00D94666" w:rsidRPr="00345767" w:rsidRDefault="00D94666" w:rsidP="00D94666">
      <w:pPr>
        <w:pStyle w:val="BodyText"/>
      </w:pPr>
      <w:r w:rsidRPr="00345767">
        <w:t>Hydraulic fracturing uses high pressure pumps to pump fracturing fluid into a formation at a calculated, predetermined rate and pressure to generate fractures or cracks in the target formation. For shale developments, fracture fluids are primarily water-based fluids mixed with additives that help the water to carry “proppants” into the fractures. Proppants, which may be made up of sand, walnut hulls, or other small particles, are needed to “prop” open the fractures once the pumping of fluids has stopped. Once the fracture has initiated, additional fluids are pumped into the wellbore to continue the development of the fracture and to carry the proppant deeper into the formation. The additional fluids are needed to maintain the downhole pressure necessary to accommodate the increasing length of opened fracture in the formation.</w:t>
      </w:r>
    </w:p>
    <w:p w14:paraId="0C5EF654" w14:textId="77777777" w:rsidR="00D94666" w:rsidRPr="00345767" w:rsidRDefault="00D94666" w:rsidP="00D94666">
      <w:pPr>
        <w:pStyle w:val="BodyText"/>
      </w:pPr>
      <w:r w:rsidRPr="00345767">
        <w:t xml:space="preserve">Hydraulic fracturing increases the flow rate and volume of reservoir fluids that move from the producing formation into the wellbore. The fracturing fluid is typically more than 99% water and sand, with small amounts of readily available chemical additives used to control the chemical and mechanical properties of the water and sand mixture. Because the fluid is composed mostly of water, large volumes of water </w:t>
      </w:r>
      <w:r>
        <w:t>may be</w:t>
      </w:r>
      <w:r w:rsidRPr="00345767">
        <w:t xml:space="preserve"> needed to perform hydraulic fracturing </w:t>
      </w:r>
      <w:r>
        <w:t>but depends on the area being fractured.</w:t>
      </w:r>
      <w:r w:rsidRPr="00345767">
        <w:t xml:space="preserve"> However, in some cases, water is recycled or produced water is used.</w:t>
      </w:r>
    </w:p>
    <w:p w14:paraId="321CA96B" w14:textId="7B511CA6" w:rsidR="00D94666" w:rsidRPr="00345767" w:rsidRDefault="00D94666" w:rsidP="00D94666">
      <w:pPr>
        <w:pStyle w:val="BodyText"/>
      </w:pPr>
      <w:r w:rsidRPr="00345767">
        <w:t xml:space="preserve">The predominant fluids currently being used for fracture treatments in the shale gas plays are water-based fracturing fluids mixed with friction-reducing additives, also known as slick water </w:t>
      </w:r>
      <w:sdt>
        <w:sdtPr>
          <w:id w:val="-1454788913"/>
          <w:citation/>
        </w:sdtPr>
        <w:sdtContent>
          <w:r>
            <w:fldChar w:fldCharType="begin"/>
          </w:r>
          <w:r>
            <w:instrText xml:space="preserve"> CITATION Gro17 \l 1033 </w:instrText>
          </w:r>
          <w:r>
            <w:fldChar w:fldCharType="separate"/>
          </w:r>
          <w:r w:rsidR="0093463A">
            <w:rPr>
              <w:noProof/>
            </w:rPr>
            <w:t>(Groundwater Protection Council, 2017)</w:t>
          </w:r>
          <w:r>
            <w:fldChar w:fldCharType="end"/>
          </w:r>
        </w:sdtContent>
      </w:sdt>
      <w:r w:rsidRPr="00345767">
        <w:t xml:space="preserve">. The number of chemical additives used in a typical fracture treatment varies depending on the conditions of the specific well that is to be fractured. A typical fracture treatment uses very low concentrations of between three and 12 additive chemicals, depending on the characteristics of the water and the shale formation being fractured. Each component serves a specific, engineered purpose, from limiting the growth of bacteria to preventing corrosion of the well casing. The makeup of fracturing fluid varies from one geologic basin or formation to another. Because the makeup of each fracturing fluid varies to meet the specific needs of each area, there is no one-size-fits-all formula for the volumes for each additive. In classifying fracture fluids and their additives, it is important to realize that service companies that provide these additives have developed </w:t>
      </w:r>
      <w:proofErr w:type="gramStart"/>
      <w:r w:rsidRPr="00345767">
        <w:t>a number of</w:t>
      </w:r>
      <w:proofErr w:type="gramEnd"/>
      <w:r w:rsidRPr="00345767">
        <w:t xml:space="preserve"> compounds with similar functional properties to be used for the same purpose in different well environments. The difference between additive formulations may be as small as a change in concentration of a specific compound </w:t>
      </w:r>
      <w:sdt>
        <w:sdtPr>
          <w:id w:val="-1754430371"/>
          <w:citation/>
        </w:sdtPr>
        <w:sdtContent>
          <w:r>
            <w:fldChar w:fldCharType="begin"/>
          </w:r>
          <w:r>
            <w:instrText xml:space="preserve"> CITATION Gro17 \l 1033 </w:instrText>
          </w:r>
          <w:r>
            <w:fldChar w:fldCharType="separate"/>
          </w:r>
          <w:r w:rsidR="0093463A">
            <w:rPr>
              <w:noProof/>
            </w:rPr>
            <w:t>(Groundwater Protection Council, 2017)</w:t>
          </w:r>
          <w:r>
            <w:fldChar w:fldCharType="end"/>
          </w:r>
        </w:sdtContent>
      </w:sdt>
      <w:r w:rsidRPr="00345767">
        <w:t>.</w:t>
      </w:r>
    </w:p>
    <w:p w14:paraId="109C2A7E" w14:textId="77777777" w:rsidR="00D94666" w:rsidRPr="00345767" w:rsidRDefault="00D94666" w:rsidP="00D94666">
      <w:pPr>
        <w:pStyle w:val="BodyText"/>
      </w:pPr>
      <w:r w:rsidRPr="00345767">
        <w:t>Before operators or service companies perform a hydraulic fracturing treatment, a series of tests are performed. These tests are designed to ensure that the well, including casing and cement, well equipment, and fracturing equipment are in proper working order and would safely withstand the application of the fracture treatment pressures and pump flow rates.</w:t>
      </w:r>
    </w:p>
    <w:p w14:paraId="5216D53A" w14:textId="77777777" w:rsidR="00D94666" w:rsidRPr="00345767" w:rsidRDefault="00D94666" w:rsidP="00D94666">
      <w:pPr>
        <w:pStyle w:val="BodyText"/>
      </w:pPr>
      <w:r w:rsidRPr="00345767">
        <w:t xml:space="preserve">Hydraulic fracturing of horizontal shale gas wells is commonly performed in stages. Lateral lengths in horizontal wells for development may range from 1,000 feet to more than 5,000 feet. Depending on the lengths of the laterals, treatment of wells may be performed by isolating smaller portions of the lateral. </w:t>
      </w:r>
      <w:r w:rsidRPr="00345767">
        <w:lastRenderedPageBreak/>
        <w:t xml:space="preserve">The fracturing of each portion of the lateral wellbore is called a stage. Stages are fractured sequentially beginning with the section at the farthest end of the wellbore, moving up hole as each stage of the treatment is completed until the entire lateral well has been stimulated. During drilling, the BLM is on location during the casing and cementing of the surface casing, which is often the string of casing that protects groundwater, along with other critical casing and cementing intervals. Before hydraulic fracturing takes place, all surface casing and some deeper, intermediate zones are required to be cemented from the bottom of the cased hole to the surface. The cemented well is pressure tested to ensure there are no leaks and in some cases a cement bond log is run to ensure the cement has bonded to the casing and the formation. If the fracturing of the well </w:t>
      </w:r>
      <w:proofErr w:type="gramStart"/>
      <w:r w:rsidRPr="00345767">
        <w:t>is considered to be</w:t>
      </w:r>
      <w:proofErr w:type="gramEnd"/>
      <w:r w:rsidRPr="00345767">
        <w:t xml:space="preserve"> a “non-routine” fracturing job for the area, the BLM would always be on-site during those operations as well as when abnormal conditions develop during the drilling or completion of a well.</w:t>
      </w:r>
    </w:p>
    <w:p w14:paraId="50FEE76A" w14:textId="6F9AEA0E" w:rsidR="00D94666" w:rsidRPr="00345767" w:rsidRDefault="00D94666" w:rsidP="00D94666">
      <w:pPr>
        <w:pStyle w:val="BodyText"/>
        <w:rPr>
          <w:rFonts w:eastAsia="Times New Roman" w:cs="Times New Roman"/>
        </w:rPr>
      </w:pPr>
      <w:r w:rsidRPr="00345767">
        <w:rPr>
          <w:rFonts w:eastAsia="Times New Roman" w:cs="Times New Roman"/>
        </w:rPr>
        <w:t xml:space="preserve">Some soils and geologic formations contain low levels of radioactive material. This naturally occurring radioactive material (NORM) emits low levels of radiation, to which everyone is exposed </w:t>
      </w:r>
      <w:proofErr w:type="gramStart"/>
      <w:r w:rsidRPr="00345767">
        <w:rPr>
          <w:rFonts w:eastAsia="Times New Roman" w:cs="Times New Roman"/>
        </w:rPr>
        <w:t>on a daily basis</w:t>
      </w:r>
      <w:proofErr w:type="gramEnd"/>
      <w:r w:rsidRPr="00345767">
        <w:rPr>
          <w:rFonts w:eastAsia="Times New Roman" w:cs="Times New Roman"/>
        </w:rPr>
        <w:t xml:space="preserve">. When NORM is associated with oil and natural gas production, it begins as small amounts of uranium and thorium within the rock. These elements, along with some of their decay elements, notably Radium-226 and Radium-228, can be brought to the surface in drill cuttings and produced water. Radon-222, a gaseous decay element of radium, can come to the surface along with the shale gas. When NORM is brought to the surface, it remains in the rock pieces of the drill cuttings, remains in solution with produced water, or, under certain conditions, precipitates out in scales or sludges. The radiation is weak and cannot penetrate dense materials such as the steel used in pipes and tanks. </w:t>
      </w:r>
      <w:r>
        <w:rPr>
          <w:rFonts w:eastAsia="Times New Roman" w:cs="Times New Roman"/>
        </w:rPr>
        <w:t>The EPA has found that Utah has very low levels of NORM associated with oil and gas production waste</w:t>
      </w:r>
      <w:sdt>
        <w:sdtPr>
          <w:rPr>
            <w:rFonts w:eastAsia="Times New Roman" w:cs="Times New Roman"/>
          </w:rPr>
          <w:id w:val="-1082366386"/>
          <w:citation/>
        </w:sdtPr>
        <w:sdtContent>
          <w:r>
            <w:rPr>
              <w:rFonts w:eastAsia="Times New Roman" w:cs="Times New Roman"/>
            </w:rPr>
            <w:fldChar w:fldCharType="begin"/>
          </w:r>
          <w:r>
            <w:rPr>
              <w:rFonts w:eastAsia="Times New Roman" w:cs="Times New Roman"/>
            </w:rPr>
            <w:instrText xml:space="preserve"> CITATION EPA231 \l 1033 </w:instrText>
          </w:r>
          <w:r>
            <w:rPr>
              <w:rFonts w:eastAsia="Times New Roman" w:cs="Times New Roman"/>
            </w:rPr>
            <w:fldChar w:fldCharType="separate"/>
          </w:r>
          <w:r w:rsidR="0093463A">
            <w:rPr>
              <w:rFonts w:eastAsia="Times New Roman" w:cs="Times New Roman"/>
              <w:noProof/>
            </w:rPr>
            <w:t xml:space="preserve"> </w:t>
          </w:r>
          <w:r w:rsidR="0093463A" w:rsidRPr="0093463A">
            <w:rPr>
              <w:rFonts w:eastAsia="Times New Roman" w:cs="Times New Roman"/>
              <w:noProof/>
            </w:rPr>
            <w:t>(EPA, 2023)</w:t>
          </w:r>
          <w:r>
            <w:rPr>
              <w:rFonts w:eastAsia="Times New Roman" w:cs="Times New Roman"/>
            </w:rPr>
            <w:fldChar w:fldCharType="end"/>
          </w:r>
        </w:sdtContent>
      </w:sdt>
      <w:r>
        <w:rPr>
          <w:rFonts w:eastAsia="Times New Roman" w:cs="Times New Roman"/>
        </w:rPr>
        <w:t>.</w:t>
      </w:r>
    </w:p>
    <w:p w14:paraId="5E00A313" w14:textId="77777777" w:rsidR="00D94666" w:rsidRPr="00DA24BF" w:rsidRDefault="00D94666" w:rsidP="00D94666">
      <w:pPr>
        <w:pStyle w:val="AppHeading3"/>
        <w:rPr>
          <w:rFonts w:ascii="Times" w:hAnsi="Times" w:cs="Times"/>
        </w:rPr>
      </w:pPr>
      <w:bookmarkStart w:id="389" w:name="_Toc35516895"/>
      <w:bookmarkStart w:id="390" w:name="_Toc35517010"/>
      <w:r w:rsidRPr="00DA24BF">
        <w:rPr>
          <w:rFonts w:ascii="Times" w:hAnsi="Times" w:cs="Times"/>
        </w:rPr>
        <w:t>Production O</w:t>
      </w:r>
      <w:bookmarkEnd w:id="389"/>
      <w:bookmarkEnd w:id="390"/>
      <w:r w:rsidRPr="00DA24BF">
        <w:rPr>
          <w:rFonts w:ascii="Times" w:hAnsi="Times" w:cs="Times"/>
        </w:rPr>
        <w:t>perations</w:t>
      </w:r>
    </w:p>
    <w:p w14:paraId="597CFA60" w14:textId="77777777" w:rsidR="00D94666" w:rsidRPr="00345767" w:rsidRDefault="00D94666" w:rsidP="00D94666">
      <w:pPr>
        <w:pStyle w:val="BodyText"/>
      </w:pPr>
      <w:r w:rsidRPr="00345767">
        <w:t>Production equipment used during the life of the well may include a three-phase separator-dehydrator, flowlines, a meter run, tanks for condensate, produced oil and water, and heater treater. A pumpjack may be required if the back pressure of the well is too high. Production facilities are arranged to facilitate safety and maximize reclamation opportunities. All permanent aboveground structures not subject to safety considerations are painted a standard BLM environmental color or as landowner specified.</w:t>
      </w:r>
    </w:p>
    <w:p w14:paraId="2A9E12FD" w14:textId="0AA2D31A" w:rsidR="00D94666" w:rsidRPr="00345767" w:rsidRDefault="00D94666" w:rsidP="00D94666">
      <w:pPr>
        <w:pStyle w:val="BodyText"/>
      </w:pPr>
      <w:r w:rsidRPr="00345767">
        <w:t xml:space="preserve">Workovers may be performed multiple times over the life of the well. Because oil and gas production usually </w:t>
      </w:r>
      <w:r w:rsidR="00DA24BF" w:rsidRPr="00345767">
        <w:t>decline</w:t>
      </w:r>
      <w:r w:rsidRPr="00345767">
        <w:t xml:space="preserve"> over the years, operators perform workover operations, which involve cleaning, repairing, and maintaining the well for the purposes of increasing or restoring production.</w:t>
      </w:r>
    </w:p>
    <w:p w14:paraId="0D4B2CC9" w14:textId="77777777" w:rsidR="00D94666" w:rsidRPr="00DA24BF" w:rsidRDefault="00D94666" w:rsidP="00D94666">
      <w:pPr>
        <w:pStyle w:val="AppHeading3"/>
        <w:rPr>
          <w:rFonts w:ascii="Times" w:hAnsi="Times" w:cs="Times"/>
        </w:rPr>
      </w:pPr>
      <w:bookmarkStart w:id="391" w:name="_Toc35516896"/>
      <w:bookmarkStart w:id="392" w:name="_Toc35517011"/>
      <w:r w:rsidRPr="00DA24BF">
        <w:rPr>
          <w:rFonts w:ascii="Times" w:hAnsi="Times" w:cs="Times"/>
        </w:rPr>
        <w:t>Abandonment and R</w:t>
      </w:r>
      <w:bookmarkEnd w:id="391"/>
      <w:bookmarkEnd w:id="392"/>
      <w:r w:rsidRPr="00DA24BF">
        <w:rPr>
          <w:rFonts w:ascii="Times" w:hAnsi="Times" w:cs="Times"/>
        </w:rPr>
        <w:t>eclamation</w:t>
      </w:r>
    </w:p>
    <w:p w14:paraId="1801C954" w14:textId="77777777" w:rsidR="00D94666" w:rsidRPr="00345767" w:rsidRDefault="00D94666" w:rsidP="00D94666">
      <w:pPr>
        <w:pStyle w:val="BodyText"/>
      </w:pPr>
      <w:r w:rsidRPr="00345767">
        <w:t xml:space="preserve">Well abandonment (whether dry hole or depleted producer) and reclamation of location, access road, and other facilities requires BLM approval. After approval, wellbores are plugged with cement as necessary to prevent fluid or pressure mitigation and to protect and isolate mineral and water resources. Wellheads are removed, and both the surface casing and the production casing are cut off below ground in compliance with federal and state regulations. The well pad, reserve pit and access are reclaimed according to BLM guidelines. This may include backfilling the pit, recontouring the surface to blend with natural surroundings and redistributing topsoil. All surfaces are then reseeded per BLM and </w:t>
      </w:r>
      <w:r>
        <w:t>s</w:t>
      </w:r>
      <w:r w:rsidRPr="00345767">
        <w:t xml:space="preserve">tate requirements specified in the Application for Permit to Drill (APD) approval. </w:t>
      </w:r>
    </w:p>
    <w:p w14:paraId="179558BC" w14:textId="77777777" w:rsidR="00D94666" w:rsidRPr="00DA24BF" w:rsidRDefault="00D94666" w:rsidP="00D94666">
      <w:pPr>
        <w:pStyle w:val="AppHeading3"/>
        <w:rPr>
          <w:rFonts w:ascii="Times" w:hAnsi="Times" w:cs="Times"/>
        </w:rPr>
      </w:pPr>
      <w:bookmarkStart w:id="393" w:name="_Toc35516897"/>
      <w:bookmarkStart w:id="394" w:name="_Toc35517012"/>
      <w:r w:rsidRPr="00DA24BF">
        <w:rPr>
          <w:rFonts w:ascii="Times" w:hAnsi="Times" w:cs="Times"/>
        </w:rPr>
        <w:t>Common W</w:t>
      </w:r>
      <w:bookmarkEnd w:id="393"/>
      <w:bookmarkEnd w:id="394"/>
      <w:r w:rsidRPr="00DA24BF">
        <w:rPr>
          <w:rFonts w:ascii="Times" w:hAnsi="Times" w:cs="Times"/>
        </w:rPr>
        <w:t>astes</w:t>
      </w:r>
    </w:p>
    <w:p w14:paraId="5779E722" w14:textId="77777777" w:rsidR="00D94666" w:rsidRPr="00345767" w:rsidRDefault="00D94666" w:rsidP="00D94666">
      <w:pPr>
        <w:pStyle w:val="BodyText"/>
      </w:pPr>
      <w:r>
        <w:fldChar w:fldCharType="begin"/>
      </w:r>
      <w:r>
        <w:instrText xml:space="preserve"> REF _Ref128922268 \h </w:instrText>
      </w:r>
      <w:r>
        <w:fldChar w:fldCharType="separate"/>
      </w:r>
      <w:r>
        <w:t xml:space="preserve">Table </w:t>
      </w:r>
      <w:r>
        <w:rPr>
          <w:noProof/>
        </w:rPr>
        <w:t>36</w:t>
      </w:r>
      <w:r>
        <w:fldChar w:fldCharType="end"/>
      </w:r>
      <w:r>
        <w:t xml:space="preserve">36 </w:t>
      </w:r>
      <w:r w:rsidRPr="00345767">
        <w:t xml:space="preserve">includes some of the common wastes (hazardous and nonhazardous) that are produced during oil and gas development. </w:t>
      </w:r>
    </w:p>
    <w:p w14:paraId="7AA4DE16" w14:textId="560128C0" w:rsidR="00D94666" w:rsidRDefault="00D94666" w:rsidP="00D94666">
      <w:pPr>
        <w:pStyle w:val="Caption"/>
      </w:pPr>
      <w:bookmarkStart w:id="395" w:name="_Ref128922268"/>
      <w:bookmarkStart w:id="396" w:name="_Toc163734296"/>
      <w:bookmarkStart w:id="397" w:name="_Toc179464315"/>
      <w:bookmarkStart w:id="398" w:name="_Toc170114970"/>
      <w:r>
        <w:lastRenderedPageBreak/>
        <w:t xml:space="preserve">Table </w:t>
      </w:r>
      <w:r>
        <w:fldChar w:fldCharType="begin"/>
      </w:r>
      <w:r>
        <w:instrText>SEQ Table \* ARABIC</w:instrText>
      </w:r>
      <w:r>
        <w:fldChar w:fldCharType="separate"/>
      </w:r>
      <w:r w:rsidR="00BB3F01">
        <w:rPr>
          <w:noProof/>
        </w:rPr>
        <w:t>34</w:t>
      </w:r>
      <w:r>
        <w:fldChar w:fldCharType="end"/>
      </w:r>
      <w:bookmarkEnd w:id="395"/>
      <w:r>
        <w:t xml:space="preserve">. </w:t>
      </w:r>
      <w:r w:rsidRPr="00565CD0">
        <w:t>Common Wastes Produced during Oil and Gas Development</w:t>
      </w:r>
      <w:bookmarkEnd w:id="396"/>
      <w:bookmarkEnd w:id="397"/>
      <w:bookmarkEnd w:id="398"/>
    </w:p>
    <w:tbl>
      <w:tblPr>
        <w:tblStyle w:v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15" w:type="dxa"/>
          <w:bottom w:w="0" w:type="dxa"/>
          <w:right w:w="115" w:type="dxa"/>
        </w:tblCellMar>
        <w:tblLook w:val="0400" w:firstRow="0" w:lastRow="0" w:firstColumn="0" w:lastColumn="0" w:noHBand="0" w:noVBand="1"/>
      </w:tblPr>
      <w:tblGrid>
        <w:gridCol w:w="1706"/>
        <w:gridCol w:w="4138"/>
        <w:gridCol w:w="3510"/>
      </w:tblGrid>
      <w:tr w:rsidR="00D94666" w:rsidRPr="00672879" w14:paraId="4B3057BB" w14:textId="77777777">
        <w:trPr>
          <w:cantSplit/>
          <w:tblHeader/>
        </w:trPr>
        <w:tc>
          <w:tcPr>
            <w:tcW w:w="912" w:type="pct"/>
            <w:vAlign w:val="center"/>
          </w:tcPr>
          <w:p w14:paraId="21E8F0EC" w14:textId="77777777" w:rsidR="00D94666" w:rsidRPr="00672879" w:rsidRDefault="00D94666">
            <w:pPr>
              <w:spacing w:before="120" w:after="120"/>
              <w:rPr>
                <w:b/>
              </w:rPr>
            </w:pPr>
            <w:r w:rsidRPr="00672879">
              <w:rPr>
                <w:b/>
              </w:rPr>
              <w:t>Phase</w:t>
            </w:r>
          </w:p>
        </w:tc>
        <w:tc>
          <w:tcPr>
            <w:tcW w:w="4088" w:type="pct"/>
            <w:gridSpan w:val="2"/>
            <w:vAlign w:val="center"/>
          </w:tcPr>
          <w:p w14:paraId="006F5C30" w14:textId="77777777" w:rsidR="00D94666" w:rsidRPr="00672879" w:rsidRDefault="00D94666">
            <w:pPr>
              <w:spacing w:before="120" w:after="120"/>
              <w:rPr>
                <w:b/>
              </w:rPr>
            </w:pPr>
            <w:r w:rsidRPr="00672879">
              <w:rPr>
                <w:b/>
              </w:rPr>
              <w:t>Waste</w:t>
            </w:r>
          </w:p>
        </w:tc>
      </w:tr>
      <w:tr w:rsidR="00D94666" w:rsidRPr="00672879" w14:paraId="640BEED5" w14:textId="77777777">
        <w:trPr>
          <w:cantSplit/>
        </w:trPr>
        <w:tc>
          <w:tcPr>
            <w:tcW w:w="912" w:type="pct"/>
            <w:vMerge w:val="restart"/>
          </w:tcPr>
          <w:p w14:paraId="18A286EA" w14:textId="77777777" w:rsidR="00D94666" w:rsidRPr="00672879" w:rsidRDefault="00D94666">
            <w:pPr>
              <w:spacing w:before="60" w:after="60"/>
            </w:pPr>
            <w:r w:rsidRPr="00672879">
              <w:t>Construction, Well Drilling and Completion (including hydraulic fracturing)</w:t>
            </w:r>
          </w:p>
        </w:tc>
        <w:tc>
          <w:tcPr>
            <w:tcW w:w="4088" w:type="pct"/>
            <w:gridSpan w:val="2"/>
          </w:tcPr>
          <w:p w14:paraId="2E1E861E" w14:textId="77777777" w:rsidR="00D94666" w:rsidRPr="00672879" w:rsidRDefault="00D94666">
            <w:pPr>
              <w:spacing w:before="60" w:after="60"/>
            </w:pPr>
            <w:r w:rsidRPr="00672879">
              <w:t>Domestic wastes (i.e., food scraps, paper, etc.)</w:t>
            </w:r>
          </w:p>
        </w:tc>
      </w:tr>
      <w:tr w:rsidR="00D94666" w:rsidRPr="00672879" w14:paraId="508F7B4A" w14:textId="77777777">
        <w:trPr>
          <w:cantSplit/>
        </w:trPr>
        <w:tc>
          <w:tcPr>
            <w:tcW w:w="912" w:type="pct"/>
            <w:vMerge/>
          </w:tcPr>
          <w:p w14:paraId="38D65B96" w14:textId="77777777" w:rsidR="00D94666" w:rsidRPr="00672879" w:rsidRDefault="00D94666">
            <w:pPr>
              <w:spacing w:before="60" w:after="60"/>
            </w:pPr>
          </w:p>
        </w:tc>
        <w:tc>
          <w:tcPr>
            <w:tcW w:w="2212" w:type="pct"/>
          </w:tcPr>
          <w:p w14:paraId="12846D26" w14:textId="77777777" w:rsidR="00D94666" w:rsidRPr="00672879" w:rsidRDefault="00D94666">
            <w:pPr>
              <w:spacing w:before="60" w:after="60"/>
            </w:pPr>
            <w:r w:rsidRPr="00672879">
              <w:t>Excess construction materials</w:t>
            </w:r>
          </w:p>
        </w:tc>
        <w:tc>
          <w:tcPr>
            <w:tcW w:w="1877" w:type="pct"/>
          </w:tcPr>
          <w:p w14:paraId="7D5C149B" w14:textId="77777777" w:rsidR="00D94666" w:rsidRPr="00672879" w:rsidRDefault="00D94666">
            <w:pPr>
              <w:spacing w:before="60" w:after="60"/>
            </w:pPr>
            <w:r w:rsidRPr="00672879">
              <w:t>Woody debris</w:t>
            </w:r>
          </w:p>
        </w:tc>
      </w:tr>
      <w:tr w:rsidR="00D94666" w:rsidRPr="00672879" w14:paraId="5E3D1FDB" w14:textId="77777777">
        <w:trPr>
          <w:cantSplit/>
        </w:trPr>
        <w:tc>
          <w:tcPr>
            <w:tcW w:w="912" w:type="pct"/>
            <w:vMerge/>
          </w:tcPr>
          <w:p w14:paraId="2B799ED3" w14:textId="77777777" w:rsidR="00D94666" w:rsidRPr="00672879" w:rsidRDefault="00D94666">
            <w:pPr>
              <w:spacing w:before="60" w:after="60"/>
            </w:pPr>
          </w:p>
        </w:tc>
        <w:tc>
          <w:tcPr>
            <w:tcW w:w="2212" w:type="pct"/>
          </w:tcPr>
          <w:p w14:paraId="73CECF6E" w14:textId="77777777" w:rsidR="00D94666" w:rsidRPr="00672879" w:rsidRDefault="00D94666">
            <w:pPr>
              <w:spacing w:before="60" w:after="60"/>
            </w:pPr>
            <w:r w:rsidRPr="00672879">
              <w:t>Used lubricating oils</w:t>
            </w:r>
          </w:p>
        </w:tc>
        <w:tc>
          <w:tcPr>
            <w:tcW w:w="1877" w:type="pct"/>
          </w:tcPr>
          <w:p w14:paraId="5FF89370" w14:textId="77777777" w:rsidR="00D94666" w:rsidRPr="00672879" w:rsidRDefault="00D94666">
            <w:pPr>
              <w:spacing w:before="60" w:after="60"/>
            </w:pPr>
            <w:r w:rsidRPr="00672879">
              <w:t>Paints</w:t>
            </w:r>
          </w:p>
        </w:tc>
      </w:tr>
      <w:tr w:rsidR="00D94666" w:rsidRPr="00672879" w14:paraId="72991ADF" w14:textId="77777777">
        <w:trPr>
          <w:cantSplit/>
        </w:trPr>
        <w:tc>
          <w:tcPr>
            <w:tcW w:w="912" w:type="pct"/>
            <w:vMerge/>
          </w:tcPr>
          <w:p w14:paraId="69FBEB2C" w14:textId="77777777" w:rsidR="00D94666" w:rsidRPr="00672879" w:rsidRDefault="00D94666">
            <w:pPr>
              <w:spacing w:before="60" w:after="60"/>
            </w:pPr>
          </w:p>
        </w:tc>
        <w:tc>
          <w:tcPr>
            <w:tcW w:w="2212" w:type="pct"/>
          </w:tcPr>
          <w:p w14:paraId="0079F64B" w14:textId="77777777" w:rsidR="00D94666" w:rsidRPr="00672879" w:rsidRDefault="00D94666">
            <w:pPr>
              <w:spacing w:before="60" w:after="60"/>
            </w:pPr>
            <w:r w:rsidRPr="00672879">
              <w:t>Solvents</w:t>
            </w:r>
          </w:p>
        </w:tc>
        <w:tc>
          <w:tcPr>
            <w:tcW w:w="1877" w:type="pct"/>
          </w:tcPr>
          <w:p w14:paraId="61EA3FA9" w14:textId="77777777" w:rsidR="00D94666" w:rsidRPr="00672879" w:rsidRDefault="00D94666">
            <w:pPr>
              <w:spacing w:before="60" w:after="60"/>
            </w:pPr>
            <w:r w:rsidRPr="00672879">
              <w:t>Sewage</w:t>
            </w:r>
          </w:p>
        </w:tc>
      </w:tr>
      <w:tr w:rsidR="00D94666" w:rsidRPr="00672879" w14:paraId="1E6F62DE" w14:textId="77777777">
        <w:trPr>
          <w:cantSplit/>
        </w:trPr>
        <w:tc>
          <w:tcPr>
            <w:tcW w:w="912" w:type="pct"/>
            <w:vMerge/>
          </w:tcPr>
          <w:p w14:paraId="76A8D891" w14:textId="77777777" w:rsidR="00D94666" w:rsidRPr="00672879" w:rsidRDefault="00D94666">
            <w:pPr>
              <w:spacing w:before="60" w:after="60"/>
            </w:pPr>
          </w:p>
        </w:tc>
        <w:tc>
          <w:tcPr>
            <w:tcW w:w="4088" w:type="pct"/>
            <w:gridSpan w:val="2"/>
          </w:tcPr>
          <w:p w14:paraId="468920BF" w14:textId="77777777" w:rsidR="00D94666" w:rsidRPr="00672879" w:rsidRDefault="00D94666">
            <w:pPr>
              <w:spacing w:before="60" w:after="60"/>
            </w:pPr>
            <w:r w:rsidRPr="00672879">
              <w:t xml:space="preserve">Drilling muds, including additives (i.e., chromate and barite) and </w:t>
            </w:r>
            <w:proofErr w:type="gramStart"/>
            <w:r w:rsidRPr="00672879">
              <w:t>cuttings;</w:t>
            </w:r>
            <w:proofErr w:type="gramEnd"/>
          </w:p>
          <w:p w14:paraId="15BA12C9" w14:textId="77777777" w:rsidR="00D94666" w:rsidRPr="00672879" w:rsidRDefault="00D94666">
            <w:pPr>
              <w:spacing w:before="60" w:after="60"/>
            </w:pPr>
            <w:r w:rsidRPr="00672879">
              <w:t>Well drilling, completion, workover, and stimulation fluids (i.e., oil derivatives such as polycyclic aromatic hydrocarbons (PAHs), spilled chemicals, suspended and dissolved solids, phenols, cadmium, chromium, copper, lead, mercury, nickel)</w:t>
            </w:r>
          </w:p>
        </w:tc>
      </w:tr>
      <w:tr w:rsidR="00D94666" w:rsidRPr="00672879" w14:paraId="37A0E351" w14:textId="77777777">
        <w:trPr>
          <w:cantSplit/>
        </w:trPr>
        <w:tc>
          <w:tcPr>
            <w:tcW w:w="912" w:type="pct"/>
            <w:vMerge/>
          </w:tcPr>
          <w:p w14:paraId="32309AD1" w14:textId="77777777" w:rsidR="00D94666" w:rsidRPr="00672879" w:rsidRDefault="00D94666">
            <w:pPr>
              <w:spacing w:before="60" w:after="60"/>
            </w:pPr>
          </w:p>
        </w:tc>
        <w:tc>
          <w:tcPr>
            <w:tcW w:w="4088" w:type="pct"/>
            <w:gridSpan w:val="2"/>
          </w:tcPr>
          <w:p w14:paraId="0DB0184C" w14:textId="77777777" w:rsidR="00D94666" w:rsidRPr="00672879" w:rsidRDefault="00D94666">
            <w:pPr>
              <w:spacing w:before="60" w:after="60"/>
            </w:pPr>
            <w:r w:rsidRPr="00672879">
              <w:t>Equipment, power unit and transport maintenance wastes (i.e., batteries; used filters,</w:t>
            </w:r>
            <w:r w:rsidRPr="00672879" w:rsidDel="7AB99932">
              <w:t xml:space="preserve"> </w:t>
            </w:r>
            <w:r w:rsidRPr="00672879">
              <w:t>lubricants, oil, tires, hoses, hydraulic fluids; paints; solvents)</w:t>
            </w:r>
          </w:p>
        </w:tc>
      </w:tr>
      <w:tr w:rsidR="00D94666" w:rsidRPr="00672879" w14:paraId="3FB90DC7" w14:textId="77777777">
        <w:trPr>
          <w:cantSplit/>
        </w:trPr>
        <w:tc>
          <w:tcPr>
            <w:tcW w:w="912" w:type="pct"/>
            <w:vMerge/>
          </w:tcPr>
          <w:p w14:paraId="323D6DBF" w14:textId="77777777" w:rsidR="00D94666" w:rsidRPr="00672879" w:rsidRDefault="00D94666">
            <w:pPr>
              <w:spacing w:before="60" w:after="60"/>
            </w:pPr>
          </w:p>
        </w:tc>
        <w:tc>
          <w:tcPr>
            <w:tcW w:w="4088" w:type="pct"/>
            <w:gridSpan w:val="2"/>
          </w:tcPr>
          <w:p w14:paraId="79A811A0" w14:textId="77777777" w:rsidR="00D94666" w:rsidRPr="00672879" w:rsidRDefault="00D94666">
            <w:pPr>
              <w:spacing w:before="60" w:after="60"/>
            </w:pPr>
            <w:r w:rsidRPr="00672879">
              <w:t>Fuel and chemical storage drums and containers</w:t>
            </w:r>
          </w:p>
        </w:tc>
      </w:tr>
      <w:tr w:rsidR="00D94666" w:rsidRPr="00672879" w14:paraId="4C29F5DB" w14:textId="77777777">
        <w:trPr>
          <w:cantSplit/>
        </w:trPr>
        <w:tc>
          <w:tcPr>
            <w:tcW w:w="912" w:type="pct"/>
            <w:vMerge/>
          </w:tcPr>
          <w:p w14:paraId="39525F70" w14:textId="77777777" w:rsidR="00D94666" w:rsidRPr="00672879" w:rsidRDefault="00D94666">
            <w:pPr>
              <w:spacing w:before="60" w:after="60"/>
            </w:pPr>
          </w:p>
        </w:tc>
        <w:tc>
          <w:tcPr>
            <w:tcW w:w="2212" w:type="pct"/>
          </w:tcPr>
          <w:p w14:paraId="282424DB" w14:textId="77777777" w:rsidR="00D94666" w:rsidRPr="00672879" w:rsidRDefault="00D94666">
            <w:pPr>
              <w:spacing w:before="60" w:after="60"/>
            </w:pPr>
            <w:r w:rsidRPr="00672879">
              <w:t>Cementing wastes</w:t>
            </w:r>
          </w:p>
        </w:tc>
        <w:tc>
          <w:tcPr>
            <w:tcW w:w="1877" w:type="pct"/>
          </w:tcPr>
          <w:p w14:paraId="0DA69EE2" w14:textId="77777777" w:rsidR="00D94666" w:rsidRPr="00672879" w:rsidRDefault="00D94666">
            <w:pPr>
              <w:spacing w:before="60" w:after="60"/>
            </w:pPr>
            <w:r w:rsidRPr="00672879">
              <w:t>Rig wash</w:t>
            </w:r>
          </w:p>
        </w:tc>
      </w:tr>
      <w:tr w:rsidR="00D94666" w:rsidRPr="00672879" w14:paraId="3540AC81" w14:textId="77777777">
        <w:trPr>
          <w:cantSplit/>
        </w:trPr>
        <w:tc>
          <w:tcPr>
            <w:tcW w:w="912" w:type="pct"/>
            <w:vMerge/>
          </w:tcPr>
          <w:p w14:paraId="00C99D6B" w14:textId="77777777" w:rsidR="00D94666" w:rsidRPr="00672879" w:rsidRDefault="00D94666">
            <w:pPr>
              <w:spacing w:before="60" w:after="60"/>
            </w:pPr>
          </w:p>
        </w:tc>
        <w:tc>
          <w:tcPr>
            <w:tcW w:w="2212" w:type="pct"/>
          </w:tcPr>
          <w:p w14:paraId="51A8B097" w14:textId="77777777" w:rsidR="00D94666" w:rsidRPr="00672879" w:rsidRDefault="00D94666">
            <w:pPr>
              <w:spacing w:before="60" w:after="60"/>
            </w:pPr>
            <w:r w:rsidRPr="00672879">
              <w:t>Production testing wastes</w:t>
            </w:r>
          </w:p>
        </w:tc>
        <w:tc>
          <w:tcPr>
            <w:tcW w:w="1877" w:type="pct"/>
          </w:tcPr>
          <w:p w14:paraId="4F8B7CD4" w14:textId="77777777" w:rsidR="00D94666" w:rsidRPr="00672879" w:rsidRDefault="00D94666">
            <w:pPr>
              <w:spacing w:before="60" w:after="60"/>
            </w:pPr>
            <w:r w:rsidRPr="00672879">
              <w:t>Excess drilling chemicals</w:t>
            </w:r>
          </w:p>
        </w:tc>
      </w:tr>
      <w:tr w:rsidR="00D94666" w:rsidRPr="00672879" w14:paraId="01906A9D" w14:textId="77777777">
        <w:trPr>
          <w:cantSplit/>
        </w:trPr>
        <w:tc>
          <w:tcPr>
            <w:tcW w:w="912" w:type="pct"/>
            <w:vMerge/>
          </w:tcPr>
          <w:p w14:paraId="0D26A264" w14:textId="77777777" w:rsidR="00D94666" w:rsidRPr="00672879" w:rsidRDefault="00D94666">
            <w:pPr>
              <w:spacing w:before="60" w:after="60"/>
            </w:pPr>
          </w:p>
        </w:tc>
        <w:tc>
          <w:tcPr>
            <w:tcW w:w="2212" w:type="pct"/>
          </w:tcPr>
          <w:p w14:paraId="1E307B6C" w14:textId="77777777" w:rsidR="00D94666" w:rsidRPr="00672879" w:rsidRDefault="00D94666">
            <w:pPr>
              <w:spacing w:before="60" w:after="60"/>
            </w:pPr>
            <w:r w:rsidRPr="00672879">
              <w:t>Excess construction materials</w:t>
            </w:r>
          </w:p>
        </w:tc>
        <w:tc>
          <w:tcPr>
            <w:tcW w:w="1877" w:type="pct"/>
          </w:tcPr>
          <w:p w14:paraId="44FB8E57" w14:textId="77777777" w:rsidR="00D94666" w:rsidRPr="00672879" w:rsidRDefault="00D94666">
            <w:pPr>
              <w:spacing w:before="60" w:after="60"/>
            </w:pPr>
            <w:r w:rsidRPr="00672879">
              <w:t>Processed water</w:t>
            </w:r>
          </w:p>
        </w:tc>
      </w:tr>
      <w:tr w:rsidR="00D94666" w:rsidRPr="00672879" w14:paraId="00B6FBD2" w14:textId="77777777">
        <w:trPr>
          <w:cantSplit/>
        </w:trPr>
        <w:tc>
          <w:tcPr>
            <w:tcW w:w="912" w:type="pct"/>
            <w:vMerge/>
          </w:tcPr>
          <w:p w14:paraId="1C56B5B2" w14:textId="77777777" w:rsidR="00D94666" w:rsidRPr="00672879" w:rsidRDefault="00D94666">
            <w:pPr>
              <w:spacing w:before="60" w:after="60"/>
            </w:pPr>
          </w:p>
        </w:tc>
        <w:tc>
          <w:tcPr>
            <w:tcW w:w="2212" w:type="pct"/>
          </w:tcPr>
          <w:p w14:paraId="45852B08" w14:textId="77777777" w:rsidR="00D94666" w:rsidRPr="00672879" w:rsidRDefault="00D94666">
            <w:pPr>
              <w:spacing w:before="60" w:after="60"/>
            </w:pPr>
            <w:r w:rsidRPr="00672879">
              <w:t>Scrap metal</w:t>
            </w:r>
          </w:p>
        </w:tc>
        <w:tc>
          <w:tcPr>
            <w:tcW w:w="1877" w:type="pct"/>
          </w:tcPr>
          <w:p w14:paraId="20D0AE2F" w14:textId="77777777" w:rsidR="00D94666" w:rsidRPr="00672879" w:rsidRDefault="00D94666">
            <w:pPr>
              <w:spacing w:before="60" w:after="60"/>
            </w:pPr>
            <w:r w:rsidRPr="00672879">
              <w:t>Contaminated soil including hazardous and non-hazardous materials (potential)</w:t>
            </w:r>
          </w:p>
        </w:tc>
      </w:tr>
      <w:tr w:rsidR="00D94666" w:rsidRPr="00672879" w14:paraId="66E187DD" w14:textId="77777777">
        <w:trPr>
          <w:cantSplit/>
        </w:trPr>
        <w:tc>
          <w:tcPr>
            <w:tcW w:w="912" w:type="pct"/>
            <w:vMerge/>
          </w:tcPr>
          <w:p w14:paraId="06E76A5B" w14:textId="77777777" w:rsidR="00D94666" w:rsidRPr="00672879" w:rsidRDefault="00D94666">
            <w:pPr>
              <w:spacing w:before="60" w:after="60"/>
            </w:pPr>
          </w:p>
        </w:tc>
        <w:tc>
          <w:tcPr>
            <w:tcW w:w="2212" w:type="pct"/>
          </w:tcPr>
          <w:p w14:paraId="76E7C7F9" w14:textId="77777777" w:rsidR="00D94666" w:rsidRPr="00672879" w:rsidRDefault="00D94666">
            <w:pPr>
              <w:spacing w:before="60" w:after="60"/>
            </w:pPr>
            <w:r w:rsidRPr="00672879">
              <w:t>Sewage</w:t>
            </w:r>
          </w:p>
        </w:tc>
        <w:tc>
          <w:tcPr>
            <w:tcW w:w="1877" w:type="pct"/>
          </w:tcPr>
          <w:p w14:paraId="34EF9986" w14:textId="77777777" w:rsidR="00D94666" w:rsidRPr="00672879" w:rsidRDefault="00D94666">
            <w:pPr>
              <w:spacing w:before="60" w:after="60"/>
            </w:pPr>
            <w:r w:rsidRPr="00672879">
              <w:t>Domestic wastes</w:t>
            </w:r>
          </w:p>
        </w:tc>
      </w:tr>
      <w:tr w:rsidR="00D94666" w:rsidRPr="00672879" w14:paraId="693DE108" w14:textId="77777777">
        <w:trPr>
          <w:cantSplit/>
        </w:trPr>
        <w:tc>
          <w:tcPr>
            <w:tcW w:w="912" w:type="pct"/>
            <w:vMerge w:val="restart"/>
          </w:tcPr>
          <w:p w14:paraId="75260F7C" w14:textId="77777777" w:rsidR="00D94666" w:rsidRPr="00672879" w:rsidRDefault="00D94666">
            <w:pPr>
              <w:spacing w:before="60" w:after="60"/>
            </w:pPr>
            <w:r w:rsidRPr="00672879">
              <w:t>Production</w:t>
            </w:r>
          </w:p>
        </w:tc>
        <w:tc>
          <w:tcPr>
            <w:tcW w:w="4088" w:type="pct"/>
            <w:gridSpan w:val="2"/>
          </w:tcPr>
          <w:p w14:paraId="502CFEF5" w14:textId="77777777" w:rsidR="00D94666" w:rsidRPr="00672879" w:rsidRDefault="00D94666">
            <w:pPr>
              <w:spacing w:before="60" w:after="60"/>
            </w:pPr>
            <w:r w:rsidRPr="00672879">
              <w:t>Power unit and transport maintenance wastes (i.e., batteries; used filters, lubricants, filters, tires, hoses, coolants, antifreeze; paints; solvents, used parts)</w:t>
            </w:r>
          </w:p>
        </w:tc>
      </w:tr>
      <w:tr w:rsidR="00D94666" w:rsidRPr="00672879" w14:paraId="28CDC966" w14:textId="77777777">
        <w:trPr>
          <w:cantSplit/>
        </w:trPr>
        <w:tc>
          <w:tcPr>
            <w:tcW w:w="912" w:type="pct"/>
            <w:vMerge/>
          </w:tcPr>
          <w:p w14:paraId="05EEDC8E" w14:textId="77777777" w:rsidR="00D94666" w:rsidRPr="00672879" w:rsidRDefault="00D94666">
            <w:pPr>
              <w:spacing w:before="60" w:after="60"/>
            </w:pPr>
          </w:p>
        </w:tc>
        <w:tc>
          <w:tcPr>
            <w:tcW w:w="4088" w:type="pct"/>
            <w:gridSpan w:val="2"/>
          </w:tcPr>
          <w:p w14:paraId="378FF599" w14:textId="77777777" w:rsidR="00D94666" w:rsidRPr="00672879" w:rsidRDefault="00D94666">
            <w:pPr>
              <w:spacing w:before="60" w:after="60"/>
            </w:pPr>
            <w:r w:rsidRPr="00672879">
              <w:t>Discharged produced water</w:t>
            </w:r>
          </w:p>
        </w:tc>
      </w:tr>
      <w:tr w:rsidR="00D94666" w:rsidRPr="00672879" w14:paraId="52AA987F" w14:textId="77777777">
        <w:trPr>
          <w:cantSplit/>
        </w:trPr>
        <w:tc>
          <w:tcPr>
            <w:tcW w:w="912" w:type="pct"/>
            <w:vMerge/>
          </w:tcPr>
          <w:p w14:paraId="79B40739" w14:textId="77777777" w:rsidR="00D94666" w:rsidRPr="00672879" w:rsidRDefault="00D94666">
            <w:pPr>
              <w:spacing w:before="60" w:after="60"/>
            </w:pPr>
          </w:p>
        </w:tc>
        <w:tc>
          <w:tcPr>
            <w:tcW w:w="4088" w:type="pct"/>
            <w:gridSpan w:val="2"/>
          </w:tcPr>
          <w:p w14:paraId="0A860641" w14:textId="77777777" w:rsidR="00D94666" w:rsidRPr="00672879" w:rsidRDefault="00D94666">
            <w:pPr>
              <w:spacing w:before="60" w:after="60"/>
            </w:pPr>
            <w:r w:rsidRPr="00672879">
              <w:t>Production chemicals</w:t>
            </w:r>
          </w:p>
        </w:tc>
      </w:tr>
      <w:tr w:rsidR="00D94666" w:rsidRPr="00672879" w14:paraId="5185BD48" w14:textId="77777777">
        <w:trPr>
          <w:cantSplit/>
        </w:trPr>
        <w:tc>
          <w:tcPr>
            <w:tcW w:w="912" w:type="pct"/>
            <w:vMerge/>
          </w:tcPr>
          <w:p w14:paraId="75A91268" w14:textId="77777777" w:rsidR="00D94666" w:rsidRPr="00672879" w:rsidRDefault="00D94666">
            <w:pPr>
              <w:spacing w:before="60" w:after="60"/>
            </w:pPr>
          </w:p>
        </w:tc>
        <w:tc>
          <w:tcPr>
            <w:tcW w:w="4088" w:type="pct"/>
            <w:gridSpan w:val="2"/>
          </w:tcPr>
          <w:p w14:paraId="72340A8D" w14:textId="77777777" w:rsidR="00D94666" w:rsidRPr="00672879" w:rsidRDefault="00D94666">
            <w:pPr>
              <w:spacing w:before="60" w:after="60"/>
            </w:pPr>
            <w:r w:rsidRPr="00672879">
              <w:t>Workover wastes (e.g., brines)</w:t>
            </w:r>
          </w:p>
        </w:tc>
      </w:tr>
      <w:tr w:rsidR="00D94666" w:rsidRPr="00672879" w14:paraId="7D22EDFD" w14:textId="77777777">
        <w:trPr>
          <w:cantSplit/>
        </w:trPr>
        <w:tc>
          <w:tcPr>
            <w:tcW w:w="912" w:type="pct"/>
            <w:vMerge w:val="restart"/>
          </w:tcPr>
          <w:p w14:paraId="12BB48F4" w14:textId="77777777" w:rsidR="00D94666" w:rsidRPr="00672879" w:rsidRDefault="00D94666">
            <w:pPr>
              <w:spacing w:before="60" w:after="60"/>
            </w:pPr>
            <w:r w:rsidRPr="00672879">
              <w:t>Abandonment / Reclamation</w:t>
            </w:r>
          </w:p>
        </w:tc>
        <w:tc>
          <w:tcPr>
            <w:tcW w:w="4088" w:type="pct"/>
            <w:gridSpan w:val="2"/>
          </w:tcPr>
          <w:p w14:paraId="35EA6B4B" w14:textId="77777777" w:rsidR="00D94666" w:rsidRPr="00672879" w:rsidRDefault="00D94666">
            <w:pPr>
              <w:spacing w:before="60" w:after="60"/>
            </w:pPr>
            <w:r w:rsidRPr="00672879">
              <w:t>Construction materials</w:t>
            </w:r>
          </w:p>
        </w:tc>
      </w:tr>
      <w:tr w:rsidR="00D94666" w:rsidRPr="00672879" w14:paraId="101323E0" w14:textId="77777777">
        <w:trPr>
          <w:cantSplit/>
        </w:trPr>
        <w:tc>
          <w:tcPr>
            <w:tcW w:w="912" w:type="pct"/>
            <w:vMerge/>
          </w:tcPr>
          <w:p w14:paraId="401109A2" w14:textId="77777777" w:rsidR="00D94666" w:rsidRPr="00672879" w:rsidRDefault="00D94666">
            <w:pPr>
              <w:spacing w:before="60" w:after="60"/>
            </w:pPr>
          </w:p>
        </w:tc>
        <w:tc>
          <w:tcPr>
            <w:tcW w:w="4088" w:type="pct"/>
            <w:gridSpan w:val="2"/>
          </w:tcPr>
          <w:p w14:paraId="68AB561A" w14:textId="77777777" w:rsidR="00D94666" w:rsidRPr="00672879" w:rsidRDefault="00D94666">
            <w:pPr>
              <w:spacing w:before="60" w:after="60"/>
            </w:pPr>
            <w:r w:rsidRPr="00672879">
              <w:t>Decommissioned equipment</w:t>
            </w:r>
          </w:p>
        </w:tc>
      </w:tr>
      <w:tr w:rsidR="00D94666" w:rsidRPr="00672879" w14:paraId="4E1D8E73" w14:textId="77777777">
        <w:trPr>
          <w:cantSplit/>
        </w:trPr>
        <w:tc>
          <w:tcPr>
            <w:tcW w:w="912" w:type="pct"/>
            <w:vMerge/>
          </w:tcPr>
          <w:p w14:paraId="49540897" w14:textId="77777777" w:rsidR="00D94666" w:rsidRPr="00672879" w:rsidRDefault="00D94666">
            <w:pPr>
              <w:spacing w:before="60" w:after="60"/>
            </w:pPr>
          </w:p>
        </w:tc>
        <w:tc>
          <w:tcPr>
            <w:tcW w:w="4088" w:type="pct"/>
            <w:gridSpan w:val="2"/>
          </w:tcPr>
          <w:p w14:paraId="37DA55E2" w14:textId="77777777" w:rsidR="00D94666" w:rsidRPr="00672879" w:rsidRDefault="00D94666">
            <w:pPr>
              <w:spacing w:before="60" w:after="60"/>
            </w:pPr>
            <w:r w:rsidRPr="00672879">
              <w:t>Contaminated soil (potential)</w:t>
            </w:r>
          </w:p>
        </w:tc>
      </w:tr>
      <w:tr w:rsidR="00D94666" w:rsidRPr="00672879" w14:paraId="0924A3EC" w14:textId="77777777">
        <w:trPr>
          <w:cantSplit/>
        </w:trPr>
        <w:tc>
          <w:tcPr>
            <w:tcW w:w="912" w:type="pct"/>
            <w:vMerge/>
          </w:tcPr>
          <w:p w14:paraId="5EEEB954" w14:textId="77777777" w:rsidR="00D94666" w:rsidRPr="00672879" w:rsidRDefault="00D94666">
            <w:pPr>
              <w:spacing w:before="60" w:after="60"/>
            </w:pPr>
          </w:p>
        </w:tc>
        <w:tc>
          <w:tcPr>
            <w:tcW w:w="4088" w:type="pct"/>
            <w:gridSpan w:val="2"/>
          </w:tcPr>
          <w:p w14:paraId="0748A668" w14:textId="77777777" w:rsidR="00D94666" w:rsidRPr="00672879" w:rsidRDefault="00D94666">
            <w:pPr>
              <w:spacing w:before="60" w:after="60"/>
            </w:pPr>
            <w:r w:rsidRPr="00672879">
              <w:t xml:space="preserve">Equipment or wastes that could contain hazardous and nonhazardous materials </w:t>
            </w:r>
          </w:p>
        </w:tc>
      </w:tr>
    </w:tbl>
    <w:p w14:paraId="5DB15ACA" w14:textId="77777777" w:rsidR="00D94666" w:rsidRDefault="00D94666" w:rsidP="00D94666">
      <w:pPr>
        <w:spacing w:after="160" w:line="259" w:lineRule="auto"/>
      </w:pPr>
      <w:bookmarkStart w:id="399" w:name="_Ref131003515"/>
      <w:bookmarkStart w:id="400" w:name="_Toc35516898"/>
      <w:bookmarkStart w:id="401" w:name="_Toc35517013"/>
      <w:r>
        <w:br w:type="page"/>
      </w:r>
    </w:p>
    <w:p w14:paraId="77F4F137" w14:textId="77777777" w:rsidR="00D94666" w:rsidRPr="00DA24BF" w:rsidRDefault="00D94666" w:rsidP="00D94666">
      <w:pPr>
        <w:pStyle w:val="AppHeading2"/>
        <w:rPr>
          <w:rFonts w:ascii="Times" w:hAnsi="Times" w:cs="Times"/>
        </w:rPr>
      </w:pPr>
      <w:r w:rsidRPr="00DA24BF">
        <w:rPr>
          <w:rFonts w:ascii="Times" w:hAnsi="Times" w:cs="Times"/>
        </w:rPr>
        <w:lastRenderedPageBreak/>
        <w:t>LITERATURE CITED in Appendix f</w:t>
      </w:r>
    </w:p>
    <w:p w14:paraId="61D3A483" w14:textId="77777777" w:rsidR="00DA24BF" w:rsidRDefault="00DA24BF" w:rsidP="00D94666">
      <w:pPr>
        <w:ind w:left="720" w:hanging="720"/>
      </w:pPr>
    </w:p>
    <w:p w14:paraId="697D8703" w14:textId="2389356F" w:rsidR="00D94666" w:rsidRDefault="00D94666" w:rsidP="00D94666">
      <w:pPr>
        <w:ind w:left="720" w:hanging="720"/>
      </w:pPr>
      <w:r>
        <w:t xml:space="preserve">North Dakota Department of Mineral Resources. 2008. </w:t>
      </w:r>
      <w:r w:rsidRPr="008B410E">
        <w:rPr>
          <w:i/>
          <w:iCs/>
        </w:rPr>
        <w:t>Horizontal Drilling</w:t>
      </w:r>
      <w:r>
        <w:t xml:space="preserve">. Available at: https://www.dmr.nd.gov/ndgs/documents/newsletter/2008Winter/pdfs/Horizontal.pdf. Accessed October 2022. </w:t>
      </w:r>
    </w:p>
    <w:p w14:paraId="0FB1802B" w14:textId="77777777" w:rsidR="00D94666" w:rsidRDefault="00D94666" w:rsidP="00D94666"/>
    <w:p w14:paraId="278EB1B0" w14:textId="77777777" w:rsidR="00D94666" w:rsidRDefault="00D94666" w:rsidP="00D94666">
      <w:pPr>
        <w:ind w:left="720" w:hanging="720"/>
      </w:pPr>
      <w:r>
        <w:t xml:space="preserve">Groundwater Protection Council. State Oil and Natural Gas Regulations Designed to Protect Water Resources. 3rd edition. Available at: </w:t>
      </w:r>
      <w:r w:rsidRPr="00664C58">
        <w:t>https://www.gwpc.org/sites/gwpc/uploads/documents/</w:t>
      </w:r>
      <w:r>
        <w:t>publications/ State_Regulations_Report_2017_Final.pdf. Accessed November 2022.</w:t>
      </w:r>
    </w:p>
    <w:p w14:paraId="28436C07" w14:textId="77777777" w:rsidR="00D94666" w:rsidRDefault="00D94666" w:rsidP="00D94666">
      <w:pPr>
        <w:ind w:left="720" w:hanging="720"/>
      </w:pPr>
    </w:p>
    <w:p w14:paraId="3D942022" w14:textId="77777777" w:rsidR="00D94666" w:rsidRDefault="00D94666" w:rsidP="00D94666">
      <w:pPr>
        <w:ind w:left="720" w:hanging="720"/>
      </w:pPr>
      <w:r>
        <w:t xml:space="preserve">U.S. Department of Energy. 2015. Quadrennial Technology Review 2015, Oil and Gas Technologies. Chapter 7: Advancing Systems and Technologies to Produce Cleaner Fuels. Available at: </w:t>
      </w:r>
      <w:r w:rsidRPr="0081104B">
        <w:t>https://www.energy.gov/sites/prod/files/2016/05/f32/</w:t>
      </w:r>
      <w:r>
        <w:t xml:space="preserve"> Ch.7-SI-Oil-and-Gas-Technologies.pdf. Accessed November 2022. </w:t>
      </w:r>
    </w:p>
    <w:p w14:paraId="76A19F26" w14:textId="77777777" w:rsidR="00D94666" w:rsidRDefault="00D94666" w:rsidP="00D94666">
      <w:pPr>
        <w:ind w:left="720" w:hanging="720"/>
      </w:pPr>
    </w:p>
    <w:p w14:paraId="7111AD0F" w14:textId="6F57D283" w:rsidR="008F1660" w:rsidRDefault="00D94666" w:rsidP="00DA24BF">
      <w:pPr>
        <w:ind w:left="720" w:hanging="720"/>
        <w:sectPr w:rsidR="008F1660" w:rsidSect="00334790">
          <w:pgSz w:w="12240" w:h="15840"/>
          <w:pgMar w:top="1440" w:right="1440" w:bottom="1440" w:left="1440" w:header="720" w:footer="720" w:gutter="0"/>
          <w:cols w:space="720"/>
          <w:docGrid w:linePitch="299"/>
        </w:sectPr>
      </w:pPr>
      <w:r>
        <w:t xml:space="preserve">U.S. Fish and Wildlife Service. 2009. Reserve Pits. Available at: </w:t>
      </w:r>
      <w:r w:rsidRPr="00FC318D">
        <w:t>https://www.fws.gov/mountain-prairie/</w:t>
      </w:r>
      <w:r>
        <w:t>contaminants/ documents/ReservePitsBirdMortality.pdf. Accessed November 2022.</w:t>
      </w:r>
    </w:p>
    <w:p w14:paraId="5BA6546D" w14:textId="1817C436" w:rsidR="00D94666" w:rsidRDefault="00D94666" w:rsidP="00D94666">
      <w:pPr>
        <w:pStyle w:val="AppendixHeading1"/>
        <w:ind w:left="0" w:firstLine="0"/>
        <w:rPr>
          <w:rFonts w:hint="eastAsia"/>
        </w:rPr>
      </w:pPr>
      <w:bookmarkStart w:id="402" w:name="_Toc179464280"/>
      <w:bookmarkStart w:id="403" w:name="_Toc170114935"/>
      <w:r w:rsidRPr="00345767">
        <w:lastRenderedPageBreak/>
        <w:t xml:space="preserve">Appendix </w:t>
      </w:r>
      <w:r w:rsidR="00BC406D">
        <w:t>F</w:t>
      </w:r>
      <w:r w:rsidRPr="00345767">
        <w:t xml:space="preserve">. </w:t>
      </w:r>
      <w:r>
        <w:t>General Conformity Applicability</w:t>
      </w:r>
      <w:bookmarkEnd w:id="399"/>
      <w:bookmarkEnd w:id="402"/>
      <w:bookmarkEnd w:id="403"/>
    </w:p>
    <w:p w14:paraId="3393FED3" w14:textId="77777777" w:rsidR="00DA24BF" w:rsidRDefault="00DA24BF" w:rsidP="00D94666">
      <w:pPr>
        <w:rPr>
          <w:rFonts w:eastAsia="Times"/>
        </w:rPr>
      </w:pPr>
    </w:p>
    <w:p w14:paraId="3B7DD11F" w14:textId="0F5B107B" w:rsidR="00D94666" w:rsidRDefault="00D94666" w:rsidP="00D94666">
      <w:pPr>
        <w:rPr>
          <w:rFonts w:eastAsia="Times"/>
        </w:rPr>
      </w:pPr>
      <w:r>
        <w:rPr>
          <w:rFonts w:eastAsia="Times"/>
        </w:rPr>
        <w:t>T</w:t>
      </w:r>
      <w:r w:rsidRPr="006D6B18">
        <w:rPr>
          <w:rFonts w:eastAsia="Times"/>
        </w:rPr>
        <w:t>he Clean Air Act</w:t>
      </w:r>
      <w:r>
        <w:rPr>
          <w:rFonts w:eastAsia="Times"/>
        </w:rPr>
        <w:t>’s (CAA) General Conformity Rule</w:t>
      </w:r>
      <w:r w:rsidRPr="006D6B18">
        <w:rPr>
          <w:rFonts w:eastAsia="Times"/>
        </w:rPr>
        <w:t xml:space="preserve"> </w:t>
      </w:r>
      <w:r>
        <w:rPr>
          <w:rFonts w:eastAsia="Times"/>
        </w:rPr>
        <w:t xml:space="preserve">mandates that </w:t>
      </w:r>
      <w:r w:rsidRPr="006D6B18">
        <w:rPr>
          <w:rFonts w:eastAsia="Times"/>
        </w:rPr>
        <w:t xml:space="preserve">the BLM </w:t>
      </w:r>
      <w:r>
        <w:rPr>
          <w:rFonts w:eastAsia="Times"/>
        </w:rPr>
        <w:t xml:space="preserve">evaluate </w:t>
      </w:r>
      <w:r w:rsidRPr="006D6B18">
        <w:rPr>
          <w:rFonts w:eastAsia="Times"/>
        </w:rPr>
        <w:t xml:space="preserve">reasonably foreseeable emissions that result from </w:t>
      </w:r>
      <w:r>
        <w:rPr>
          <w:rFonts w:eastAsia="Times"/>
        </w:rPr>
        <w:t xml:space="preserve">its </w:t>
      </w:r>
      <w:r w:rsidRPr="006D6B18">
        <w:rPr>
          <w:rFonts w:eastAsia="Times"/>
        </w:rPr>
        <w:t xml:space="preserve">actions in </w:t>
      </w:r>
      <w:r>
        <w:rPr>
          <w:rFonts w:eastAsia="Times"/>
        </w:rPr>
        <w:t xml:space="preserve">a nonattainment </w:t>
      </w:r>
      <w:r w:rsidRPr="006D6B18">
        <w:rPr>
          <w:rFonts w:eastAsia="Times"/>
        </w:rPr>
        <w:t>area</w:t>
      </w:r>
      <w:r>
        <w:rPr>
          <w:rFonts w:eastAsia="Times"/>
        </w:rPr>
        <w:t xml:space="preserve"> to determine if they conform with the applicable regulatory agency implementation plans</w:t>
      </w:r>
      <w:r w:rsidRPr="006D6B18">
        <w:rPr>
          <w:rFonts w:eastAsia="Times"/>
        </w:rPr>
        <w:t xml:space="preserve"> (40 CFR 93.153). </w:t>
      </w:r>
      <w:r w:rsidRPr="00716874">
        <w:rPr>
          <w:rFonts w:eastAsia="Times"/>
        </w:rPr>
        <w:t xml:space="preserve">The rule </w:t>
      </w:r>
      <w:proofErr w:type="gramStart"/>
      <w:r w:rsidRPr="00716874">
        <w:rPr>
          <w:rFonts w:eastAsia="Times"/>
        </w:rPr>
        <w:t>takes into account</w:t>
      </w:r>
      <w:proofErr w:type="gramEnd"/>
      <w:r w:rsidRPr="00716874">
        <w:rPr>
          <w:rFonts w:eastAsia="Times"/>
        </w:rPr>
        <w:t xml:space="preserve"> air pollution emissions associated with actions that are</w:t>
      </w:r>
      <w:r>
        <w:rPr>
          <w:rFonts w:eastAsia="Times"/>
        </w:rPr>
        <w:t xml:space="preserve"> </w:t>
      </w:r>
      <w:r w:rsidRPr="00716874">
        <w:rPr>
          <w:rFonts w:eastAsia="Times"/>
        </w:rPr>
        <w:t>federally funded, licensed, permitted, or approved, and ensures emissions do not contribute to air</w:t>
      </w:r>
      <w:r>
        <w:rPr>
          <w:rFonts w:eastAsia="Times"/>
        </w:rPr>
        <w:t xml:space="preserve"> </w:t>
      </w:r>
      <w:r w:rsidRPr="00716874">
        <w:rPr>
          <w:rFonts w:eastAsia="Times"/>
        </w:rPr>
        <w:t>quality degradation, thus preventing the achievement of state and federal air quality goals. In</w:t>
      </w:r>
      <w:r>
        <w:rPr>
          <w:rFonts w:eastAsia="Times"/>
        </w:rPr>
        <w:t xml:space="preserve"> </w:t>
      </w:r>
      <w:r w:rsidRPr="00716874">
        <w:rPr>
          <w:rFonts w:eastAsia="Times"/>
        </w:rPr>
        <w:t xml:space="preserve">short, </w:t>
      </w:r>
      <w:r>
        <w:rPr>
          <w:rFonts w:eastAsia="Times"/>
        </w:rPr>
        <w:t>general</w:t>
      </w:r>
      <w:r w:rsidRPr="00716874">
        <w:rPr>
          <w:rFonts w:eastAsia="Times"/>
        </w:rPr>
        <w:t xml:space="preserve"> conformity refers to the process of evaluating plans, programs, and projects to</w:t>
      </w:r>
      <w:r>
        <w:rPr>
          <w:rFonts w:eastAsia="Times"/>
        </w:rPr>
        <w:t xml:space="preserve"> </w:t>
      </w:r>
      <w:r w:rsidRPr="00716874">
        <w:rPr>
          <w:rFonts w:eastAsia="Times"/>
        </w:rPr>
        <w:t>determine and demonstrate they meet the requirements of the CAA and an applicable</w:t>
      </w:r>
      <w:r>
        <w:rPr>
          <w:rFonts w:eastAsia="Times"/>
        </w:rPr>
        <w:t xml:space="preserve"> </w:t>
      </w:r>
      <w:r w:rsidRPr="00716874">
        <w:rPr>
          <w:rFonts w:eastAsia="Times"/>
        </w:rPr>
        <w:t>implementation plan.</w:t>
      </w:r>
      <w:r>
        <w:rPr>
          <w:rFonts w:eastAsia="Times"/>
        </w:rPr>
        <w:t xml:space="preserve"> </w:t>
      </w:r>
    </w:p>
    <w:p w14:paraId="64CC6907" w14:textId="77777777" w:rsidR="00D94666" w:rsidRDefault="00D94666" w:rsidP="00D94666">
      <w:pPr>
        <w:rPr>
          <w:rFonts w:eastAsia="Times"/>
        </w:rPr>
      </w:pPr>
    </w:p>
    <w:p w14:paraId="10E6186C" w14:textId="6AE253F7" w:rsidR="00D94666" w:rsidRDefault="00D94666" w:rsidP="00D94666">
      <w:pPr>
        <w:rPr>
          <w:rFonts w:eastAsia="Times"/>
        </w:rPr>
      </w:pPr>
      <w:r w:rsidRPr="00FE38F9">
        <w:rPr>
          <w:rFonts w:eastAsia="Times"/>
        </w:rPr>
        <w:t>The General Conformity Rule divides the air conformity process into two distinct areas,</w:t>
      </w:r>
      <w:r>
        <w:rPr>
          <w:rFonts w:eastAsia="Times"/>
        </w:rPr>
        <w:t xml:space="preserve"> </w:t>
      </w:r>
      <w:proofErr w:type="gramStart"/>
      <w:r w:rsidRPr="00FE38F9">
        <w:rPr>
          <w:rFonts w:eastAsia="Times"/>
        </w:rPr>
        <w:t>applicability</w:t>
      </w:r>
      <w:proofErr w:type="gramEnd"/>
      <w:r w:rsidRPr="00FE38F9">
        <w:rPr>
          <w:rFonts w:eastAsia="Times"/>
        </w:rPr>
        <w:t xml:space="preserve"> and determination</w:t>
      </w:r>
      <w:r>
        <w:rPr>
          <w:rFonts w:eastAsia="Times"/>
        </w:rPr>
        <w:t xml:space="preserve">. </w:t>
      </w:r>
      <w:r w:rsidRPr="00040272">
        <w:rPr>
          <w:rFonts w:eastAsia="Times"/>
        </w:rPr>
        <w:t>Federal agencies must</w:t>
      </w:r>
      <w:r>
        <w:rPr>
          <w:rFonts w:eastAsia="Times"/>
        </w:rPr>
        <w:t xml:space="preserve"> </w:t>
      </w:r>
      <w:r w:rsidRPr="00040272">
        <w:rPr>
          <w:rFonts w:eastAsia="Times"/>
        </w:rPr>
        <w:t>initially assess if an action is subject to the Conformity Rule (Applicability Analysis) and then if</w:t>
      </w:r>
      <w:r>
        <w:rPr>
          <w:rFonts w:eastAsia="Times"/>
        </w:rPr>
        <w:t xml:space="preserve"> </w:t>
      </w:r>
      <w:r w:rsidRPr="00040272">
        <w:rPr>
          <w:rFonts w:eastAsia="Times"/>
        </w:rPr>
        <w:t>the action conforms to an applicable implementation plan (Conformity Determination)</w:t>
      </w:r>
      <w:r>
        <w:rPr>
          <w:rFonts w:eastAsia="Times"/>
        </w:rPr>
        <w:t xml:space="preserve">. Guidance from Information Bulletin 2014-084 </w:t>
      </w:r>
      <w:sdt>
        <w:sdtPr>
          <w:rPr>
            <w:rFonts w:eastAsia="Times"/>
          </w:rPr>
          <w:id w:val="624825228"/>
          <w:citation/>
        </w:sdtPr>
        <w:sdtContent>
          <w:r>
            <w:rPr>
              <w:rFonts w:eastAsia="Times"/>
            </w:rPr>
            <w:fldChar w:fldCharType="begin"/>
          </w:r>
          <w:r>
            <w:rPr>
              <w:rFonts w:eastAsia="Times"/>
            </w:rPr>
            <w:instrText xml:space="preserve"> CITATION BLM14a \l 1033 </w:instrText>
          </w:r>
          <w:r>
            <w:rPr>
              <w:rFonts w:eastAsia="Times"/>
            </w:rPr>
            <w:fldChar w:fldCharType="separate"/>
          </w:r>
          <w:r w:rsidR="0093463A" w:rsidRPr="0093463A">
            <w:rPr>
              <w:rFonts w:eastAsia="Times"/>
              <w:noProof/>
            </w:rPr>
            <w:t>(BLM, 2014)</w:t>
          </w:r>
          <w:r>
            <w:rPr>
              <w:rFonts w:eastAsia="Times"/>
            </w:rPr>
            <w:fldChar w:fldCharType="end"/>
          </w:r>
        </w:sdtContent>
      </w:sdt>
      <w:r>
        <w:rPr>
          <w:rFonts w:eastAsia="Times"/>
        </w:rPr>
        <w:t xml:space="preserve"> was used to perform an applicability analysis </w:t>
      </w:r>
      <w:proofErr w:type="gramStart"/>
      <w:r>
        <w:rPr>
          <w:rFonts w:eastAsia="Times"/>
        </w:rPr>
        <w:t>in order to</w:t>
      </w:r>
      <w:proofErr w:type="gramEnd"/>
      <w:r>
        <w:rPr>
          <w:rFonts w:eastAsia="Times"/>
        </w:rPr>
        <w:t xml:space="preserve"> determine if a conformity determination is needed for this lease. </w:t>
      </w:r>
    </w:p>
    <w:p w14:paraId="6643A9C5" w14:textId="77777777" w:rsidR="00D94666" w:rsidRDefault="00D94666" w:rsidP="00D94666">
      <w:pPr>
        <w:rPr>
          <w:rFonts w:eastAsia="Times"/>
        </w:rPr>
      </w:pPr>
    </w:p>
    <w:p w14:paraId="4CD4CFCB" w14:textId="77777777" w:rsidR="00D94666" w:rsidRPr="006D6B18" w:rsidRDefault="00D94666" w:rsidP="00D94666">
      <w:r>
        <w:t xml:space="preserve">The general conformity rules are not applicable to this lease sale because: 1) leasing does not directly authorize pollutant emitting activities, and no direct emissions would result, 2) indirect emissions are not reasonably foreseeable as defined in 40 CFR 93.152 as it is unknown what design features or mitigation measures an operator will use, and 3) it is unknown what emissions sources would be included in an air quality permit and not subject to a general conformity review. The BLM has evaluated the proposed lease sale in accordance with the provisions of 40 CFR Part 93, Subpart B. Based on a review of 40 CFR 93.153(c), BLM has determined that the requirement to perform a full conformity determination is not required for the Proposed Action for the following reasons: </w:t>
      </w:r>
    </w:p>
    <w:p w14:paraId="1B3487CC" w14:textId="77777777" w:rsidR="00D94666" w:rsidRPr="006D6B18" w:rsidRDefault="00D94666" w:rsidP="00D94666">
      <w:pPr>
        <w:pStyle w:val="ListParagraph"/>
        <w:numPr>
          <w:ilvl w:val="0"/>
          <w:numId w:val="47"/>
        </w:numPr>
        <w:spacing w:after="160" w:line="259" w:lineRule="auto"/>
        <w:contextualSpacing/>
      </w:pPr>
      <w:r w:rsidRPr="006D6B18">
        <w:t>Under 40 CFR</w:t>
      </w:r>
      <w:r>
        <w:t xml:space="preserve"> </w:t>
      </w:r>
      <w:r w:rsidRPr="006D6B18">
        <w:t>93.153(c)(2), a conformity determination is not required for actions “which would result in no emissions increase or an increase in emissions that is clearly de minimis</w:t>
      </w:r>
      <w:r>
        <w:t>,</w:t>
      </w:r>
      <w:r w:rsidRPr="006D6B18">
        <w:t>”</w:t>
      </w:r>
      <w:r>
        <w:t xml:space="preserve"> such as the “granting of leases.”</w:t>
      </w:r>
      <w:r w:rsidRPr="006D6B18">
        <w:t xml:space="preserve"> Leasing does not authorize emissions generating activities, and therefore does not directly result in an emissions increase.</w:t>
      </w:r>
      <w:r>
        <w:t xml:space="preserve"> </w:t>
      </w:r>
      <w:r w:rsidRPr="009D1E7B">
        <w:t>Additionally, 40 CFR</w:t>
      </w:r>
      <w:r>
        <w:t xml:space="preserve"> </w:t>
      </w:r>
      <w:r w:rsidRPr="009D1E7B">
        <w:t>93.153(c)(3) lists Initial Outer Continental Shelf leasing as not having reasonably foreseeable emissions and onshore leasing is similar where lease sales “are made on a broad scale and are followed by exploration and development plans on a project level.” At the leasing stage the BLM does not have a development plan for lease parcels and has determined that indirect emissions are not reasonably foreseeable until the project level.</w:t>
      </w:r>
    </w:p>
    <w:p w14:paraId="494A69E9" w14:textId="77777777" w:rsidR="00D94666" w:rsidRPr="006D6B18" w:rsidRDefault="00D94666" w:rsidP="00D94666">
      <w:pPr>
        <w:pStyle w:val="ListParagraph"/>
        <w:numPr>
          <w:ilvl w:val="0"/>
          <w:numId w:val="47"/>
        </w:numPr>
        <w:spacing w:after="160" w:line="259" w:lineRule="auto"/>
        <w:contextualSpacing/>
      </w:pPr>
      <w:r w:rsidRPr="006D6B18">
        <w:t xml:space="preserve">A conformity determination also is not required “where the emissions (direct or indirect) are not reasonably foreseeable.” 40 CFR 93.153(c)(3). As defined in the CAA, “Reasonably foreseeable emissions are projected future direct and indirect emissions that are identified at the time the conformity determination is made; the location of such emissions is known and the emissions are quantifiable as described and documented by the Federal agency based on its own information and after reviewing any information presented to the Federal agency.” 40 CFR 93.152 While this EA provides information for the factors that should be considered to determine a reasonable </w:t>
      </w:r>
      <w:r w:rsidRPr="00C013DF">
        <w:rPr>
          <w:i/>
        </w:rPr>
        <w:t>estimate</w:t>
      </w:r>
      <w:r w:rsidRPr="006D6B18">
        <w:t xml:space="preserve"> of foreseeable emissions for the proposed lease parcels and overall for the region for purposes of NEPA </w:t>
      </w:r>
      <w:r>
        <w:t xml:space="preserve">indirect and </w:t>
      </w:r>
      <w:r w:rsidRPr="006D6B18">
        <w:t xml:space="preserve">cumulative impacts analysis, it does not have specific information about whether or how the specific parcel under consideration will be developed during the initial 10 year lease period, such that a more precise emissions inventory could be reasonably estimated and compared to the thresholds provided in 40 CFR 93.153(b). </w:t>
      </w:r>
    </w:p>
    <w:p w14:paraId="46CDF074" w14:textId="77777777" w:rsidR="00D94666" w:rsidRPr="006D6B18" w:rsidRDefault="00D94666" w:rsidP="00D94666">
      <w:pPr>
        <w:pStyle w:val="ListParagraph"/>
        <w:numPr>
          <w:ilvl w:val="0"/>
          <w:numId w:val="47"/>
        </w:numPr>
        <w:spacing w:after="160" w:line="259" w:lineRule="auto"/>
        <w:contextualSpacing/>
      </w:pPr>
      <w:r w:rsidRPr="006D6B18">
        <w:lastRenderedPageBreak/>
        <w:t>Furthermore, 40 CFR 93.153(d) provides, “[notwithstanding the other requirements of this subpart, a conformity determination is not required for:</w:t>
      </w:r>
    </w:p>
    <w:p w14:paraId="658E5FB0" w14:textId="77777777" w:rsidR="00D94666" w:rsidRPr="006D6B18" w:rsidRDefault="00D94666" w:rsidP="00D94666">
      <w:pPr>
        <w:pStyle w:val="ListParagraph"/>
        <w:numPr>
          <w:ilvl w:val="1"/>
          <w:numId w:val="47"/>
        </w:numPr>
        <w:spacing w:after="160" w:line="259" w:lineRule="auto"/>
        <w:contextualSpacing/>
      </w:pPr>
      <w:r w:rsidRPr="006D6B18">
        <w:t xml:space="preserve">The portion of an action that includes major or minor new or modified stationary sources that require a permit under the new source review program (Section 110(a)(2)(c) and Section 173 of the [CAA]) or the prevention of significant deterioration program (title I, part C of the [CAA]).” 40 CFR 93.153(d)(1). It is uncertain at this time, but highly likely, that several project design features, for example equipment sets, such as </w:t>
      </w:r>
      <w:r>
        <w:t>storage vessels</w:t>
      </w:r>
      <w:r w:rsidRPr="006D6B18">
        <w:t xml:space="preserve">, truck loading, </w:t>
      </w:r>
      <w:r w:rsidRPr="0035099C">
        <w:t>wellsite</w:t>
      </w:r>
      <w:r w:rsidRPr="006D6B18">
        <w:t xml:space="preserve"> stationary engines, VOC control devices, dehydration units, and other equipment will require at least a minor new source review (permit) prior to constructing such facilities to implement any subsequent development proposals. Emissions from such permitted facilities would not be subject to the general conformity analysis provisions. </w:t>
      </w:r>
      <w:r>
        <w:t xml:space="preserve">Potential sources that would be permitted, and not subject to general conformity provisions, are identified </w:t>
      </w:r>
      <w:r w:rsidRPr="006D6B18">
        <w:t>in Utah Administrative Code R307-504-511 or the Federal Implementation Plan for the Indian Country Minor New Source Review Program for the Oil and Natural Gas Industry (80 FR 51991).</w:t>
      </w:r>
    </w:p>
    <w:p w14:paraId="21F9E311" w14:textId="671F467B" w:rsidR="006E5475" w:rsidRDefault="00D94666" w:rsidP="00D94666">
      <w:r w:rsidRPr="006D6B18">
        <w:t xml:space="preserve">For </w:t>
      </w:r>
      <w:proofErr w:type="gramStart"/>
      <w:r w:rsidRPr="006D6B18">
        <w:t>all of</w:t>
      </w:r>
      <w:proofErr w:type="gramEnd"/>
      <w:r w:rsidRPr="006D6B18">
        <w:t xml:space="preserve"> these reasons, a conformity determination is not required for the sale of the leases under consideration.</w:t>
      </w:r>
    </w:p>
    <w:bookmarkEnd w:id="400"/>
    <w:bookmarkEnd w:id="401"/>
    <w:p w14:paraId="30C68562" w14:textId="77777777" w:rsidR="006E5475" w:rsidRDefault="006E5475" w:rsidP="00D94666">
      <w:pPr>
        <w:spacing w:after="160" w:line="259" w:lineRule="auto"/>
        <w:sectPr w:rsidR="006E5475" w:rsidSect="00334790">
          <w:pgSz w:w="12240" w:h="15840"/>
          <w:pgMar w:top="1440" w:right="1440" w:bottom="1440" w:left="1440" w:header="720" w:footer="720" w:gutter="0"/>
          <w:cols w:space="720"/>
          <w:docGrid w:linePitch="299"/>
        </w:sectPr>
      </w:pPr>
    </w:p>
    <w:p w14:paraId="7E644333" w14:textId="77777777" w:rsidR="00485597" w:rsidRDefault="00485597" w:rsidP="00D94666">
      <w:pPr>
        <w:spacing w:after="160" w:line="259" w:lineRule="auto"/>
        <w:sectPr w:rsidR="00485597" w:rsidSect="006E5475">
          <w:type w:val="continuous"/>
          <w:pgSz w:w="12240" w:h="15840"/>
          <w:pgMar w:top="1440" w:right="1440" w:bottom="1440" w:left="1440" w:header="720" w:footer="720" w:gutter="0"/>
          <w:cols w:space="720"/>
          <w:docGrid w:linePitch="299"/>
        </w:sectPr>
      </w:pPr>
    </w:p>
    <w:p w14:paraId="1CE27B1A" w14:textId="4F9546FD" w:rsidR="00D94666" w:rsidRDefault="00D94666" w:rsidP="00D94666">
      <w:pPr>
        <w:pStyle w:val="AppendixHeading1"/>
        <w:ind w:left="0" w:firstLine="0"/>
        <w:rPr>
          <w:rFonts w:hint="eastAsia"/>
        </w:rPr>
      </w:pPr>
      <w:bookmarkStart w:id="404" w:name="_Appendix_H._Utah"/>
      <w:bookmarkStart w:id="405" w:name="_Toc179464281"/>
      <w:bookmarkStart w:id="406" w:name="_Toc170114936"/>
      <w:bookmarkEnd w:id="404"/>
      <w:r>
        <w:lastRenderedPageBreak/>
        <w:t xml:space="preserve">Appendix </w:t>
      </w:r>
      <w:r w:rsidR="00BC406D">
        <w:t>G</w:t>
      </w:r>
      <w:r>
        <w:t>.</w:t>
      </w:r>
      <w:r w:rsidRPr="00763624">
        <w:t xml:space="preserve"> </w:t>
      </w:r>
      <w:r w:rsidR="000D2BA9">
        <w:t>Emissions Tables</w:t>
      </w:r>
      <w:bookmarkEnd w:id="405"/>
      <w:bookmarkEnd w:id="406"/>
    </w:p>
    <w:p w14:paraId="1CF1712B" w14:textId="77777777" w:rsidR="00A677DB" w:rsidRDefault="00A677DB" w:rsidP="00A677DB">
      <w:pPr>
        <w:pStyle w:val="BodyText"/>
      </w:pPr>
      <w:bookmarkStart w:id="407" w:name="Quarter4_GRSG_Leasing_Prioritization_Fin"/>
      <w:bookmarkEnd w:id="407"/>
      <w:r>
        <w:t xml:space="preserve">This appendix provides the per well emissions factors (GHG’s and non-GHG’s) by phase (well development and production operations) and the total emissions calculated for each alternative on an annual basis. </w:t>
      </w:r>
      <w:r w:rsidRPr="00C36683">
        <w:t>An emissions factor is a value that relates the quantity of a pollutant released into the atmosphere with an activity that generates the pollutant. They are typically expressed in units of eight or mass (e.g. pounds, kilograms, tons) per activity (e.g. duration of equipment operation, construction of an oil or gas well). Emissions factors are the basis for developing emissions inventories that are used for air quality management decisions. The BLM uses emissions inventories to evaluate the change to county-level emissions, comparison between NEPA alternatives, and as inputs for air quality models</w:t>
      </w:r>
      <w:r>
        <w:t xml:space="preserve"> if modeling is warranted</w:t>
      </w:r>
      <w:r w:rsidRPr="00C36683">
        <w:t xml:space="preserve">. Over time emissions factors may change due to new emissions regulations, development of control technologies, or </w:t>
      </w:r>
      <w:r>
        <w:t>data and information improvements for emissions</w:t>
      </w:r>
      <w:r w:rsidRPr="00C36683">
        <w:t>.</w:t>
      </w:r>
    </w:p>
    <w:p w14:paraId="758F4593" w14:textId="3D9FC2A2" w:rsidR="00A677DB" w:rsidRDefault="00A677DB" w:rsidP="00A677DB">
      <w:pPr>
        <w:pStyle w:val="BodyText"/>
        <w:rPr>
          <w:rFonts w:eastAsia="Calibri"/>
        </w:rPr>
      </w:pPr>
      <w:r w:rsidRPr="00734DE0">
        <w:rPr>
          <w:rFonts w:eastAsia="Calibri"/>
        </w:rPr>
        <w:t>Air pollutant emissions from oil and gas activities occur during construction and operations of a well.  Construction related emissions occur from the use of heavy machinery during pad construction, drilling, testing and completion, venting and flaring, interim reclamation, and vehicles. Construction emissions are typically a onetime occurrence. Operation related emissions occur from well workovers, pump engines, heaters, tanks, truck loading, fugitive leaks, pneumatics, dehydrators, compressor engines, reclamation, and vehicle traffic. Emissions from operation activities occur throughout the life of a well. Several factors may influence actual emissions including location, geological formation, well depth, equipment used, supporting infrastructure, and other factors.</w:t>
      </w:r>
      <w:r>
        <w:rPr>
          <w:rFonts w:eastAsia="Calibri"/>
        </w:rPr>
        <w:t xml:space="preserve"> To estimate emissions for this lease sale the BLM </w:t>
      </w:r>
      <w:r w:rsidR="00DA529B">
        <w:rPr>
          <w:rFonts w:eastAsia="Calibri"/>
        </w:rPr>
        <w:t xml:space="preserve">used </w:t>
      </w:r>
      <w:r w:rsidR="00F065CC">
        <w:rPr>
          <w:rFonts w:eastAsia="Calibri"/>
        </w:rPr>
        <w:t>the emission factors from the AMR</w:t>
      </w:r>
      <w:sdt>
        <w:sdtPr>
          <w:rPr>
            <w:rFonts w:eastAsia="Calibri"/>
          </w:rPr>
          <w:id w:val="1686095619"/>
          <w:citation/>
        </w:sdtPr>
        <w:sdtContent>
          <w:r w:rsidR="00F90664">
            <w:rPr>
              <w:rFonts w:eastAsia="Calibri"/>
            </w:rPr>
            <w:fldChar w:fldCharType="begin"/>
          </w:r>
          <w:r w:rsidR="00F90664">
            <w:rPr>
              <w:rFonts w:eastAsia="Calibri"/>
            </w:rPr>
            <w:instrText xml:space="preserve">CITATION Placeholder7 \l 1033 </w:instrText>
          </w:r>
          <w:r w:rsidR="00F90664">
            <w:rPr>
              <w:rFonts w:eastAsia="Calibri"/>
            </w:rPr>
            <w:fldChar w:fldCharType="separate"/>
          </w:r>
          <w:r w:rsidR="0093463A">
            <w:rPr>
              <w:rFonts w:eastAsia="Calibri"/>
              <w:noProof/>
            </w:rPr>
            <w:t xml:space="preserve"> </w:t>
          </w:r>
          <w:r w:rsidR="0093463A" w:rsidRPr="0093463A">
            <w:rPr>
              <w:rFonts w:eastAsia="Calibri"/>
              <w:noProof/>
            </w:rPr>
            <w:t>(BLM, 2023)</w:t>
          </w:r>
          <w:r w:rsidR="00F90664">
            <w:rPr>
              <w:rFonts w:eastAsia="Calibri"/>
            </w:rPr>
            <w:fldChar w:fldCharType="end"/>
          </w:r>
        </w:sdtContent>
      </w:sdt>
      <w:r w:rsidR="00F065CC">
        <w:rPr>
          <w:rFonts w:eastAsia="Calibri"/>
        </w:rPr>
        <w:t xml:space="preserve"> for a vertical/direction gas well</w:t>
      </w:r>
      <w:r w:rsidR="001F37EB">
        <w:rPr>
          <w:rFonts w:eastAsia="Calibri"/>
        </w:rPr>
        <w:t>.</w:t>
      </w:r>
      <w:r>
        <w:rPr>
          <w:rFonts w:eastAsia="Calibri"/>
        </w:rPr>
        <w:t xml:space="preserve"> These single well emissions are presented in </w:t>
      </w:r>
      <w:r>
        <w:rPr>
          <w:rFonts w:eastAsia="Calibri"/>
        </w:rPr>
        <w:fldChar w:fldCharType="begin"/>
      </w:r>
      <w:r>
        <w:rPr>
          <w:rFonts w:eastAsia="Calibri"/>
        </w:rPr>
        <w:instrText xml:space="preserve"> REF _Ref140223005 \h </w:instrText>
      </w:r>
      <w:r>
        <w:rPr>
          <w:rFonts w:eastAsia="Calibri"/>
        </w:rPr>
      </w:r>
      <w:r>
        <w:rPr>
          <w:rFonts w:eastAsia="Calibri"/>
        </w:rPr>
        <w:fldChar w:fldCharType="separate"/>
      </w:r>
      <w:r>
        <w:t xml:space="preserve">Table </w:t>
      </w:r>
      <w:r w:rsidR="00793A05">
        <w:rPr>
          <w:noProof/>
        </w:rPr>
        <w:t>12</w:t>
      </w:r>
      <w:r>
        <w:rPr>
          <w:rFonts w:eastAsia="Calibri"/>
        </w:rPr>
        <w:fldChar w:fldCharType="end"/>
      </w:r>
      <w:r>
        <w:rPr>
          <w:rFonts w:eastAsia="Calibri"/>
        </w:rPr>
        <w:t xml:space="preserve">. Annual emissions for each alternative are based on the single well emissions factors and the estimated number of wells developed and operating in each year and are presented in </w:t>
      </w:r>
      <w:r w:rsidR="00A17268">
        <w:rPr>
          <w:rFonts w:eastAsia="Calibri"/>
        </w:rPr>
        <w:fldChar w:fldCharType="begin"/>
      </w:r>
      <w:r w:rsidR="00A17268">
        <w:rPr>
          <w:rFonts w:eastAsia="Calibri"/>
        </w:rPr>
        <w:instrText xml:space="preserve"> REF _Ref164929349 \h </w:instrText>
      </w:r>
      <w:r w:rsidR="00A17268">
        <w:rPr>
          <w:rFonts w:eastAsia="Calibri"/>
        </w:rPr>
      </w:r>
      <w:r w:rsidR="00A17268">
        <w:rPr>
          <w:rFonts w:eastAsia="Calibri"/>
        </w:rPr>
        <w:fldChar w:fldCharType="separate"/>
      </w:r>
      <w:r w:rsidR="00A17268">
        <w:t xml:space="preserve">Table </w:t>
      </w:r>
      <w:r w:rsidR="00A17268">
        <w:rPr>
          <w:noProof/>
        </w:rPr>
        <w:t>13</w:t>
      </w:r>
      <w:r w:rsidR="00A17268">
        <w:rPr>
          <w:rFonts w:eastAsia="Calibri"/>
        </w:rPr>
        <w:fldChar w:fldCharType="end"/>
      </w:r>
      <w:r w:rsidR="00A17268">
        <w:rPr>
          <w:rFonts w:eastAsia="Calibri"/>
        </w:rPr>
        <w:t xml:space="preserve"> and </w:t>
      </w:r>
      <w:r w:rsidR="00A17268">
        <w:rPr>
          <w:rFonts w:eastAsia="Calibri"/>
        </w:rPr>
        <w:fldChar w:fldCharType="begin"/>
      </w:r>
      <w:r w:rsidR="00A17268">
        <w:rPr>
          <w:rFonts w:eastAsia="Calibri"/>
        </w:rPr>
        <w:instrText xml:space="preserve"> REF _Ref164929351 \h </w:instrText>
      </w:r>
      <w:r w:rsidR="00A17268">
        <w:rPr>
          <w:rFonts w:eastAsia="Calibri"/>
        </w:rPr>
      </w:r>
      <w:r w:rsidR="00A17268">
        <w:rPr>
          <w:rFonts w:eastAsia="Calibri"/>
        </w:rPr>
        <w:fldChar w:fldCharType="separate"/>
      </w:r>
      <w:r w:rsidR="00A17268">
        <w:t xml:space="preserve">Table </w:t>
      </w:r>
      <w:r w:rsidR="00A17268">
        <w:rPr>
          <w:noProof/>
        </w:rPr>
        <w:t>14</w:t>
      </w:r>
      <w:r w:rsidR="00A17268">
        <w:rPr>
          <w:rFonts w:eastAsia="Calibri"/>
        </w:rPr>
        <w:fldChar w:fldCharType="end"/>
      </w:r>
      <w:r>
        <w:rPr>
          <w:rFonts w:eastAsia="Calibri"/>
        </w:rPr>
        <w:t>.</w:t>
      </w:r>
    </w:p>
    <w:p w14:paraId="146D1922" w14:textId="0DCF0F6F" w:rsidR="00A677DB" w:rsidRDefault="00A677DB" w:rsidP="00A677DB">
      <w:pPr>
        <w:pStyle w:val="Caption"/>
      </w:pPr>
      <w:bookmarkStart w:id="408" w:name="_Ref140223005"/>
      <w:bookmarkStart w:id="409" w:name="_Toc151039472"/>
      <w:bookmarkStart w:id="410" w:name="_Toc179464316"/>
      <w:bookmarkStart w:id="411" w:name="_Toc170114971"/>
      <w:r>
        <w:t xml:space="preserve">Table </w:t>
      </w:r>
      <w:r>
        <w:fldChar w:fldCharType="begin"/>
      </w:r>
      <w:r>
        <w:instrText>SEQ Table \* ARABIC</w:instrText>
      </w:r>
      <w:r>
        <w:fldChar w:fldCharType="separate"/>
      </w:r>
      <w:r w:rsidR="00BB3F01">
        <w:rPr>
          <w:noProof/>
        </w:rPr>
        <w:t>35</w:t>
      </w:r>
      <w:r>
        <w:fldChar w:fldCharType="end"/>
      </w:r>
      <w:bookmarkEnd w:id="408"/>
      <w:r>
        <w:t xml:space="preserve">. Single </w:t>
      </w:r>
      <w:proofErr w:type="spellStart"/>
      <w:r>
        <w:t>Wll</w:t>
      </w:r>
      <w:proofErr w:type="spellEnd"/>
      <w:r>
        <w:t xml:space="preserve"> Emissions Factors in Tons Per Year (</w:t>
      </w:r>
      <w:proofErr w:type="spellStart"/>
      <w:r>
        <w:t>tpy</w:t>
      </w:r>
      <w:proofErr w:type="spellEnd"/>
      <w:r>
        <w:t xml:space="preserve">), and Metric </w:t>
      </w:r>
      <w:proofErr w:type="spellStart"/>
      <w:r>
        <w:t>Tonnes</w:t>
      </w:r>
      <w:proofErr w:type="spellEnd"/>
      <w:r>
        <w:t xml:space="preserve"> (t)</w:t>
      </w:r>
      <w:bookmarkEnd w:id="409"/>
      <w:bookmarkEnd w:id="410"/>
      <w:bookmarkEnd w:id="411"/>
    </w:p>
    <w:tbl>
      <w:tblPr>
        <w:tblW w:w="5003" w:type="pct"/>
        <w:tblInd w:w="-5" w:type="dxa"/>
        <w:tblLook w:val="04A0" w:firstRow="1" w:lastRow="0" w:firstColumn="1" w:lastColumn="0" w:noHBand="0" w:noVBand="1"/>
        <w:tblDescription w:val="Single Well Emissions Factors in Tons Per Year (tpy), and Metric Tonnes (t)"/>
      </w:tblPr>
      <w:tblGrid>
        <w:gridCol w:w="2488"/>
        <w:gridCol w:w="918"/>
        <w:gridCol w:w="1001"/>
        <w:gridCol w:w="1069"/>
        <w:gridCol w:w="1144"/>
        <w:gridCol w:w="1188"/>
        <w:gridCol w:w="967"/>
        <w:gridCol w:w="934"/>
        <w:gridCol w:w="1152"/>
        <w:gridCol w:w="909"/>
        <w:gridCol w:w="1188"/>
      </w:tblGrid>
      <w:tr w:rsidR="00B37171" w:rsidRPr="003324BE" w14:paraId="034FF330" w14:textId="77777777" w:rsidTr="00D5297D">
        <w:trPr>
          <w:trHeight w:val="410"/>
        </w:trPr>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9E33A" w14:textId="77777777" w:rsidR="00A677DB" w:rsidRPr="003324BE" w:rsidRDefault="00A677DB">
            <w:pPr>
              <w:jc w:val="center"/>
              <w:rPr>
                <w:rFonts w:eastAsia="Times New Roman" w:cs="Times New Roman"/>
                <w:b/>
                <w:bCs/>
                <w:sz w:val="24"/>
                <w:szCs w:val="24"/>
              </w:rPr>
            </w:pPr>
            <w:r w:rsidRPr="00AF0AD9">
              <w:rPr>
                <w:rFonts w:eastAsia="Times New Roman" w:cs="Times New Roman"/>
                <w:b/>
                <w:bCs/>
                <w:sz w:val="24"/>
                <w:szCs w:val="24"/>
              </w:rPr>
              <w:t>Well Type</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F28C"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CO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BD3D3"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NOx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A463B"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PM10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51397"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PM2.5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D2648"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SOx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241E4"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VOC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6B3D6"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HAP (</w:t>
            </w:r>
            <w:proofErr w:type="spellStart"/>
            <w:r w:rsidRPr="003324BE">
              <w:rPr>
                <w:rFonts w:eastAsia="Times New Roman" w:cs="Times New Roman"/>
                <w:b/>
                <w:bCs/>
                <w:color w:val="000000"/>
              </w:rPr>
              <w:t>tpy</w:t>
            </w:r>
            <w:proofErr w:type="spellEnd"/>
            <w:r w:rsidRPr="003324BE">
              <w:rPr>
                <w:rFonts w:eastAsia="Times New Roman" w:cs="Times New Roman"/>
                <w:b/>
                <w:bCs/>
                <w:color w:val="000000"/>
              </w:rPr>
              <w:t>)</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FF65"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CO</w:t>
            </w:r>
            <w:r w:rsidRPr="003324BE">
              <w:rPr>
                <w:rFonts w:eastAsia="Times New Roman" w:cs="Times New Roman"/>
                <w:b/>
                <w:bCs/>
                <w:color w:val="000000"/>
                <w:vertAlign w:val="subscript"/>
              </w:rPr>
              <w:t>2</w:t>
            </w:r>
            <w:r w:rsidRPr="003324BE">
              <w:rPr>
                <w:rFonts w:eastAsia="Times New Roman" w:cs="Times New Roman"/>
                <w:b/>
                <w:bCs/>
                <w:color w:val="000000"/>
              </w:rPr>
              <w:t xml:space="preserve"> (t)</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B99B0"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CH</w:t>
            </w:r>
            <w:r w:rsidRPr="003324BE">
              <w:rPr>
                <w:rFonts w:eastAsia="Times New Roman" w:cs="Times New Roman"/>
                <w:b/>
                <w:bCs/>
                <w:color w:val="000000"/>
                <w:vertAlign w:val="subscript"/>
              </w:rPr>
              <w:t>4</w:t>
            </w:r>
            <w:r w:rsidRPr="003324BE">
              <w:rPr>
                <w:rFonts w:eastAsia="Times New Roman" w:cs="Times New Roman"/>
                <w:b/>
                <w:bCs/>
                <w:color w:val="000000"/>
              </w:rPr>
              <w:t xml:space="preserve"> (t)</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C02A" w14:textId="77777777" w:rsidR="00A677DB" w:rsidRPr="003324BE" w:rsidRDefault="00A677DB">
            <w:pPr>
              <w:jc w:val="center"/>
              <w:rPr>
                <w:rFonts w:eastAsia="Times New Roman" w:cs="Times New Roman"/>
                <w:b/>
                <w:bCs/>
                <w:color w:val="000000"/>
              </w:rPr>
            </w:pPr>
            <w:r w:rsidRPr="003324BE">
              <w:rPr>
                <w:rFonts w:eastAsia="Times New Roman" w:cs="Times New Roman"/>
                <w:b/>
                <w:bCs/>
                <w:color w:val="000000"/>
              </w:rPr>
              <w:t>N</w:t>
            </w:r>
            <w:r w:rsidRPr="003324BE">
              <w:rPr>
                <w:rFonts w:eastAsia="Times New Roman" w:cs="Times New Roman"/>
                <w:b/>
                <w:bCs/>
                <w:color w:val="000000"/>
                <w:vertAlign w:val="subscript"/>
              </w:rPr>
              <w:t>2</w:t>
            </w:r>
            <w:r w:rsidRPr="003324BE">
              <w:rPr>
                <w:rFonts w:eastAsia="Times New Roman" w:cs="Times New Roman"/>
                <w:b/>
                <w:bCs/>
                <w:color w:val="000000"/>
              </w:rPr>
              <w:t>O (t)</w:t>
            </w:r>
          </w:p>
        </w:tc>
      </w:tr>
      <w:tr w:rsidR="00B37171" w:rsidRPr="003324BE" w14:paraId="743B9ADD" w14:textId="77777777" w:rsidTr="00D5297D">
        <w:trPr>
          <w:trHeight w:val="342"/>
        </w:trPr>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87105"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Vertical/Direction Gas - Development</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4C8BF"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2.05</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3203"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6.55</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962C6"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1.14</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F1CEC"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0.35</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55F28"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0.0471</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37B4"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0.36</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DABE"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58983"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961.4</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1BF0"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0.03</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1AC9D"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0.007</w:t>
            </w:r>
          </w:p>
        </w:tc>
      </w:tr>
      <w:tr w:rsidR="00B37171" w:rsidRPr="003324BE" w14:paraId="072F2979" w14:textId="77777777" w:rsidTr="00D5297D">
        <w:trPr>
          <w:trHeight w:val="342"/>
        </w:trPr>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AF3"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Vertical/Direction Gas - Operation</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DBF91"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0.1</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AD57F"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0.03</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D4F57"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0.05</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98D28"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0.007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8F51F"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0.0004</w:t>
            </w:r>
          </w:p>
        </w:tc>
        <w:tc>
          <w:tcPr>
            <w:tcW w:w="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08BF1"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0.85</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562B0"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0.065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AE04"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44.19</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B8C26"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0.57</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C4639" w14:textId="77777777" w:rsidR="00A677DB" w:rsidRPr="008D427E" w:rsidRDefault="00A677DB">
            <w:pPr>
              <w:jc w:val="center"/>
              <w:rPr>
                <w:rFonts w:eastAsia="Times New Roman" w:cs="Times New Roman"/>
                <w:color w:val="000000"/>
                <w:sz w:val="20"/>
                <w:szCs w:val="20"/>
              </w:rPr>
            </w:pPr>
            <w:r w:rsidRPr="008D427E">
              <w:rPr>
                <w:rFonts w:eastAsia="Times New Roman" w:cs="Times New Roman"/>
                <w:color w:val="000000"/>
                <w:sz w:val="20"/>
                <w:szCs w:val="20"/>
              </w:rPr>
              <w:t>1.98E-05</w:t>
            </w:r>
          </w:p>
        </w:tc>
      </w:tr>
    </w:tbl>
    <w:p w14:paraId="473D313F" w14:textId="63A6ECC3" w:rsidR="00A17268" w:rsidRDefault="00A17268" w:rsidP="00A17268">
      <w:pPr>
        <w:pStyle w:val="Caption"/>
      </w:pPr>
      <w:bookmarkStart w:id="412" w:name="_Ref164929349"/>
      <w:bookmarkStart w:id="413" w:name="_Toc179464317"/>
      <w:bookmarkStart w:id="414" w:name="_Toc170114972"/>
      <w:r>
        <w:lastRenderedPageBreak/>
        <w:t xml:space="preserve">Table </w:t>
      </w:r>
      <w:r w:rsidR="00BB3F01">
        <w:fldChar w:fldCharType="begin"/>
      </w:r>
      <w:r w:rsidR="00BB3F01">
        <w:instrText xml:space="preserve"> SEQ Table \* ARABIC </w:instrText>
      </w:r>
      <w:r w:rsidR="00BB3F01">
        <w:fldChar w:fldCharType="separate"/>
      </w:r>
      <w:r w:rsidR="00BB3F01">
        <w:rPr>
          <w:noProof/>
        </w:rPr>
        <w:t>36</w:t>
      </w:r>
      <w:r w:rsidR="00BB3F01">
        <w:rPr>
          <w:noProof/>
        </w:rPr>
        <w:fldChar w:fldCharType="end"/>
      </w:r>
      <w:bookmarkEnd w:id="412"/>
      <w:r>
        <w:t xml:space="preserve"> Annual CAP and HAP emissions for the Proposed Action Alternative (Alternative A) in Tons Per Year.</w:t>
      </w:r>
      <w:bookmarkEnd w:id="413"/>
      <w:bookmarkEnd w:id="414"/>
    </w:p>
    <w:p w14:paraId="3D055920" w14:textId="77777777" w:rsidR="008E6804" w:rsidRDefault="008E6804" w:rsidP="008E6804">
      <w:pPr>
        <w:pStyle w:val="BodyText"/>
        <w:jc w:val="center"/>
        <w:rPr>
          <w:rFonts w:eastAsia="Calibri"/>
        </w:rPr>
      </w:pPr>
      <w:r w:rsidRPr="001C796D">
        <w:rPr>
          <w:noProof/>
        </w:rPr>
        <w:drawing>
          <wp:inline distT="0" distB="0" distL="0" distR="0" wp14:anchorId="6B51FACC" wp14:editId="59279152">
            <wp:extent cx="8220456" cy="4347279"/>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8220456" cy="4347279"/>
                    </a:xfrm>
                    <a:prstGeom prst="rect">
                      <a:avLst/>
                    </a:prstGeom>
                    <a:noFill/>
                    <a:ln>
                      <a:noFill/>
                    </a:ln>
                  </pic:spPr>
                </pic:pic>
              </a:graphicData>
            </a:graphic>
          </wp:inline>
        </w:drawing>
      </w:r>
    </w:p>
    <w:p w14:paraId="7AB49C3A" w14:textId="5C57744C" w:rsidR="00A17268" w:rsidRDefault="00A17268" w:rsidP="00A17268">
      <w:pPr>
        <w:pStyle w:val="Caption"/>
      </w:pPr>
      <w:bookmarkStart w:id="415" w:name="_Ref164929351"/>
      <w:bookmarkStart w:id="416" w:name="_Toc179464318"/>
      <w:bookmarkStart w:id="417" w:name="_Toc170114973"/>
      <w:r>
        <w:lastRenderedPageBreak/>
        <w:t xml:space="preserve">Table </w:t>
      </w:r>
      <w:r w:rsidR="00BB3F01">
        <w:fldChar w:fldCharType="begin"/>
      </w:r>
      <w:r w:rsidR="00BB3F01">
        <w:instrText xml:space="preserve"> SEQ Table \* ARABIC </w:instrText>
      </w:r>
      <w:r w:rsidR="00BB3F01">
        <w:fldChar w:fldCharType="separate"/>
      </w:r>
      <w:r w:rsidR="00BB3F01">
        <w:rPr>
          <w:noProof/>
        </w:rPr>
        <w:t>37</w:t>
      </w:r>
      <w:r w:rsidR="00BB3F01">
        <w:rPr>
          <w:noProof/>
        </w:rPr>
        <w:fldChar w:fldCharType="end"/>
      </w:r>
      <w:bookmarkEnd w:id="415"/>
      <w:r>
        <w:t xml:space="preserve"> </w:t>
      </w:r>
      <w:r w:rsidRPr="00191137">
        <w:t xml:space="preserve">Annual </w:t>
      </w:r>
      <w:r>
        <w:t>GHG</w:t>
      </w:r>
      <w:r w:rsidRPr="00191137">
        <w:t xml:space="preserve"> </w:t>
      </w:r>
      <w:r>
        <w:t>E</w:t>
      </w:r>
      <w:r w:rsidRPr="00191137">
        <w:t xml:space="preserve">missions for the Proposed Action </w:t>
      </w:r>
      <w:r>
        <w:t xml:space="preserve">Alternative </w:t>
      </w:r>
      <w:r w:rsidRPr="00191137">
        <w:t xml:space="preserve">(Alternative A) in </w:t>
      </w:r>
      <w:r>
        <w:t xml:space="preserve">Metric </w:t>
      </w:r>
      <w:proofErr w:type="spellStart"/>
      <w:r>
        <w:t>Tonnes</w:t>
      </w:r>
      <w:bookmarkEnd w:id="416"/>
      <w:bookmarkEnd w:id="417"/>
      <w:proofErr w:type="spellEnd"/>
    </w:p>
    <w:p w14:paraId="36ADB607" w14:textId="78244749" w:rsidR="00905011" w:rsidRDefault="008E6804" w:rsidP="006E5475">
      <w:pPr>
        <w:pStyle w:val="BodyText"/>
        <w:jc w:val="center"/>
      </w:pPr>
      <w:r w:rsidRPr="00E90DE9">
        <w:rPr>
          <w:noProof/>
        </w:rPr>
        <w:drawing>
          <wp:inline distT="0" distB="0" distL="0" distR="0" wp14:anchorId="3FA22D28" wp14:editId="54FC9108">
            <wp:extent cx="8183880" cy="5123977"/>
            <wp:effectExtent l="0" t="0" r="7620" b="635"/>
            <wp:docPr id="623674998" name="Picture 62367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4998" name="Picture 62367499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8183880" cy="5123977"/>
                    </a:xfrm>
                    <a:prstGeom prst="rect">
                      <a:avLst/>
                    </a:prstGeom>
                    <a:noFill/>
                    <a:ln>
                      <a:noFill/>
                    </a:ln>
                  </pic:spPr>
                </pic:pic>
              </a:graphicData>
            </a:graphic>
          </wp:inline>
        </w:drawing>
      </w:r>
    </w:p>
    <w:sectPr w:rsidR="00905011" w:rsidSect="006E5475">
      <w:headerReference w:type="default" r:id="rId44"/>
      <w:pgSz w:w="15840" w:h="12240" w:orient="landscape"/>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0" w:author="Kern, Travis W" w:date="2024-12-05T11:04:00Z" w:initials="TK">
    <w:p w14:paraId="29385FBB" w14:textId="77777777" w:rsidR="00172514" w:rsidRDefault="004D7736" w:rsidP="00172514">
      <w:pPr>
        <w:pStyle w:val="CommentText"/>
      </w:pPr>
      <w:r>
        <w:rPr>
          <w:rStyle w:val="CommentReference"/>
        </w:rPr>
        <w:annotationRef/>
      </w:r>
      <w:r w:rsidR="00172514">
        <w:t>HQ310 appreciates that UT used this language to close the loop essentially stating that that existing stipulations, federal and state laws, regulations, and policy are adequate.</w:t>
      </w:r>
    </w:p>
    <w:p w14:paraId="72BD616C" w14:textId="77777777" w:rsidR="00172514" w:rsidRDefault="00172514" w:rsidP="00172514">
      <w:pPr>
        <w:pStyle w:val="CommentText"/>
      </w:pPr>
    </w:p>
    <w:p w14:paraId="664F59ED" w14:textId="77777777" w:rsidR="00172514" w:rsidRDefault="00172514" w:rsidP="00172514">
      <w:pPr>
        <w:pStyle w:val="CommentText"/>
      </w:pPr>
      <w:r>
        <w:t xml:space="preserve">On p. 37 of the EA for the water section it states, “The site-specific SOPs, BMPs, COAs, and lease stipulations attached to each parcel would minimize impacts from the Proposed Action to surface water resources..”  </w:t>
      </w:r>
    </w:p>
    <w:p w14:paraId="0D39D64E" w14:textId="77777777" w:rsidR="00172514" w:rsidRDefault="00172514" w:rsidP="00172514">
      <w:pPr>
        <w:pStyle w:val="CommentText"/>
      </w:pPr>
    </w:p>
    <w:p w14:paraId="300E3B26" w14:textId="77777777" w:rsidR="00172514" w:rsidRDefault="00172514" w:rsidP="00172514">
      <w:pPr>
        <w:pStyle w:val="CommentText"/>
      </w:pPr>
      <w:r>
        <w:t xml:space="preserve">BLM Utah uses stipulations and COAs to minimize effects to cultural resources during construction and operations, to the extent practicable. </w:t>
      </w:r>
    </w:p>
  </w:comment>
  <w:comment w:id="141" w:author="Kern, Travis W" w:date="2024-12-04T15:33:00Z" w:initials="TK">
    <w:p w14:paraId="6412D493" w14:textId="542077B4" w:rsidR="005C69FD" w:rsidRDefault="00356AD1" w:rsidP="005C69FD">
      <w:pPr>
        <w:pStyle w:val="CommentText"/>
      </w:pPr>
      <w:r>
        <w:rPr>
          <w:rStyle w:val="CommentReference"/>
        </w:rPr>
        <w:annotationRef/>
      </w:r>
      <w:r w:rsidR="005C69FD">
        <w:fldChar w:fldCharType="begin"/>
      </w:r>
      <w:r w:rsidR="005C69FD">
        <w:instrText>HYPERLINK "mailto:npacker@blm.gov"</w:instrText>
      </w:r>
      <w:bookmarkStart w:id="142" w:name="_@_50C68FED9B1B4457AC13630250B7F47BZ"/>
      <w:r w:rsidR="005C69FD">
        <w:fldChar w:fldCharType="separate"/>
      </w:r>
      <w:bookmarkEnd w:id="142"/>
      <w:r w:rsidR="005C69FD" w:rsidRPr="005C69FD">
        <w:rPr>
          <w:rStyle w:val="Mention"/>
          <w:noProof/>
        </w:rPr>
        <w:t>@Packer, Nathan W</w:t>
      </w:r>
      <w:r w:rsidR="005C69FD">
        <w:fldChar w:fldCharType="end"/>
      </w:r>
      <w:r w:rsidR="005C69FD">
        <w:t xml:space="preserve"> </w:t>
      </w:r>
      <w:r w:rsidR="005C69FD">
        <w:fldChar w:fldCharType="begin"/>
      </w:r>
      <w:r w:rsidR="005C69FD">
        <w:instrText>HYPERLINK "mailto:awadman@blm.gov"</w:instrText>
      </w:r>
      <w:bookmarkStart w:id="143" w:name="_@_3B0A552CF8C94CDBA1E80E2E480493CCZ"/>
      <w:r w:rsidR="005C69FD">
        <w:fldChar w:fldCharType="separate"/>
      </w:r>
      <w:bookmarkEnd w:id="143"/>
      <w:r w:rsidR="005C69FD" w:rsidRPr="005C69FD">
        <w:rPr>
          <w:rStyle w:val="Mention"/>
          <w:noProof/>
        </w:rPr>
        <w:t>@Wadman, Angela K</w:t>
      </w:r>
      <w:r w:rsidR="005C69FD">
        <w:fldChar w:fldCharType="end"/>
      </w:r>
      <w:r w:rsidR="005C69FD">
        <w:t xml:space="preserve"> Hi Nathan, HQ would suggest closing the loop here with a statement that existing stipulations, federal and state laws, regulations, and policy are adequate because.. </w:t>
      </w:r>
    </w:p>
    <w:p w14:paraId="417209A8" w14:textId="77777777" w:rsidR="005C69FD" w:rsidRDefault="005C69FD" w:rsidP="005C69FD">
      <w:pPr>
        <w:pStyle w:val="CommentText"/>
      </w:pPr>
    </w:p>
    <w:p w14:paraId="4EE94E58" w14:textId="77777777" w:rsidR="005C69FD" w:rsidRDefault="005C69FD" w:rsidP="005C69FD">
      <w:pPr>
        <w:pStyle w:val="CommentText"/>
      </w:pPr>
      <w:r>
        <w:t>For example, “BLM Utah uses stipulations and COAs to minimize effects to nearby populations, including communities of concern, during construction and operations, to the extent practicable.”</w:t>
      </w:r>
    </w:p>
    <w:p w14:paraId="676F576A" w14:textId="77777777" w:rsidR="005C69FD" w:rsidRDefault="005C69FD" w:rsidP="005C69FD">
      <w:pPr>
        <w:pStyle w:val="CommentText"/>
      </w:pPr>
    </w:p>
    <w:p w14:paraId="457E187A" w14:textId="77777777" w:rsidR="005C69FD" w:rsidRDefault="005C69FD" w:rsidP="005C69FD">
      <w:pPr>
        <w:pStyle w:val="CommentText"/>
      </w:pPr>
      <w:r>
        <w:t xml:space="preserve">Feel free to edit as needed and confirm with your EJ specialist that this statement is accurate and acceptable from their perspective. </w:t>
      </w:r>
    </w:p>
  </w:comment>
  <w:comment w:id="146" w:author="Kern, Travis W" w:date="2024-12-05T12:11:00Z" w:initials="TK">
    <w:p w14:paraId="3E8A6944" w14:textId="77777777" w:rsidR="001438D6" w:rsidRDefault="005A078A" w:rsidP="001438D6">
      <w:pPr>
        <w:pStyle w:val="CommentText"/>
      </w:pPr>
      <w:r>
        <w:rPr>
          <w:rStyle w:val="CommentReference"/>
        </w:rPr>
        <w:annotationRef/>
      </w:r>
      <w:r w:rsidR="001438D6">
        <w:t>HQ310 suggests a statement that the stipulations [UT-LN-13 Pronghorn Fawning Habitat UT-LN-14] that are applied are sufficient to protect pronghorn species according to BLM and/or State data. Please have your WL specialist select the exact language they go with if the stipulations on these parcels are believed to be adequate to protect pronghorn.</w:t>
      </w:r>
    </w:p>
    <w:p w14:paraId="5EF53469" w14:textId="77777777" w:rsidR="001438D6" w:rsidRDefault="001438D6" w:rsidP="001438D6">
      <w:pPr>
        <w:pStyle w:val="CommentText"/>
      </w:pPr>
    </w:p>
    <w:p w14:paraId="75CC716B" w14:textId="77777777" w:rsidR="001438D6" w:rsidRDefault="001438D6" w:rsidP="001438D6">
      <w:pPr>
        <w:pStyle w:val="CommentText"/>
      </w:pPr>
      <w:r>
        <w:t xml:space="preserve">It may be worth mentioning that the UT Division of Wildlife Resources was a cooperating agency during the development of these RMPs and the stipulation timeframes are based on UT Division of Wildlife Resources input and data. </w:t>
      </w:r>
    </w:p>
  </w:comment>
  <w:comment w:id="258" w:author="Kern, Travis W" w:date="2024-12-05T14:50:00Z" w:initials="TK">
    <w:p w14:paraId="584B03EA" w14:textId="77777777" w:rsidR="00A00005" w:rsidRDefault="005D1916" w:rsidP="00A00005">
      <w:pPr>
        <w:pStyle w:val="CommentText"/>
      </w:pPr>
      <w:r>
        <w:rPr>
          <w:rStyle w:val="CommentReference"/>
        </w:rPr>
        <w:annotationRef/>
      </w:r>
      <w:r w:rsidR="00A00005">
        <w:t>Start here. Looking into the total state emissions from all sectors is found in Table 5-2 of the BLM Specialist Report on Annual GHG Emissions</w:t>
      </w:r>
    </w:p>
  </w:comment>
  <w:comment w:id="288" w:author="Kern, Travis W" w:date="2024-12-06T13:17:00Z" w:initials="TK">
    <w:p w14:paraId="2D426B70" w14:textId="77777777" w:rsidR="00D63320" w:rsidRDefault="00C30A31" w:rsidP="00D63320">
      <w:pPr>
        <w:pStyle w:val="CommentText"/>
      </w:pPr>
      <w:r>
        <w:rPr>
          <w:rStyle w:val="CommentReference"/>
        </w:rPr>
        <w:annotationRef/>
      </w:r>
      <w:r w:rsidR="00D63320">
        <w:t xml:space="preserve">This is probably a stray reference to the 2022 report.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0E3B26" w15:done="0"/>
  <w15:commentEx w15:paraId="457E187A" w15:done="0"/>
  <w15:commentEx w15:paraId="75CC716B" w15:done="0"/>
  <w15:commentEx w15:paraId="584B03EA" w15:done="0"/>
  <w15:commentEx w15:paraId="2D426B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5A26D2" w16cex:dateUtc="2024-12-05T18:04:00Z"/>
  <w16cex:commentExtensible w16cex:durableId="36C272C7" w16cex:dateUtc="2024-12-04T22:33:00Z"/>
  <w16cex:commentExtensible w16cex:durableId="63709B1A" w16cex:dateUtc="2024-12-05T19:11:00Z"/>
  <w16cex:commentExtensible w16cex:durableId="486FF0F1" w16cex:dateUtc="2024-12-05T21:50:00Z"/>
  <w16cex:commentExtensible w16cex:durableId="6E6DDD1C" w16cex:dateUtc="2024-12-06T2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0E3B26" w16cid:durableId="495A26D2"/>
  <w16cid:commentId w16cid:paraId="457E187A" w16cid:durableId="36C272C7"/>
  <w16cid:commentId w16cid:paraId="75CC716B" w16cid:durableId="63709B1A"/>
  <w16cid:commentId w16cid:paraId="584B03EA" w16cid:durableId="486FF0F1"/>
  <w16cid:commentId w16cid:paraId="2D426B70" w16cid:durableId="6E6DDD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583CB" w14:textId="77777777" w:rsidR="00A612AA" w:rsidRDefault="00A612AA" w:rsidP="004E68A8">
      <w:r>
        <w:separator/>
      </w:r>
    </w:p>
  </w:endnote>
  <w:endnote w:type="continuationSeparator" w:id="0">
    <w:p w14:paraId="3965C402" w14:textId="77777777" w:rsidR="00A612AA" w:rsidRDefault="00A612AA" w:rsidP="004E68A8">
      <w:r>
        <w:continuationSeparator/>
      </w:r>
    </w:p>
  </w:endnote>
  <w:endnote w:type="continuationNotice" w:id="1">
    <w:p w14:paraId="4DBB85CB" w14:textId="77777777" w:rsidR="00A612AA" w:rsidRDefault="00A61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Roboto">
    <w:panose1 w:val="02000000000000000000"/>
    <w:charset w:val="00"/>
    <w:family w:val="auto"/>
    <w:pitch w:val="variable"/>
    <w:sig w:usb0="E00002EF" w:usb1="5000205B" w:usb2="00000020" w:usb3="00000000" w:csb0="0000019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A8D3" w14:textId="77777777" w:rsidR="00BC7459" w:rsidRDefault="00000000">
    <w:pPr>
      <w:pStyle w:val="Footer"/>
    </w:pPr>
    <w:sdt>
      <w:sdtPr>
        <w:id w:val="-761757577"/>
        <w:docPartObj>
          <w:docPartGallery w:val="Page Numbers (Bottom of Page)"/>
          <w:docPartUnique/>
        </w:docPartObj>
      </w:sdtPr>
      <w:sdtEndPr>
        <w:rPr>
          <w:noProof/>
        </w:rPr>
      </w:sdtEndPr>
      <w:sdtContent>
        <w:r w:rsidR="00BC7459">
          <w:fldChar w:fldCharType="begin"/>
        </w:r>
        <w:r w:rsidR="00BC7459">
          <w:instrText xml:space="preserve"> PAGE   \* MERGEFORMAT </w:instrText>
        </w:r>
        <w:r w:rsidR="00BC7459">
          <w:fldChar w:fldCharType="separate"/>
        </w:r>
        <w:r w:rsidR="00BC7459">
          <w:rPr>
            <w:noProof/>
          </w:rPr>
          <w:t>2</w:t>
        </w:r>
        <w:r w:rsidR="00BC745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B80E" w14:textId="77777777" w:rsidR="00A612AA" w:rsidRDefault="00A612AA" w:rsidP="004E68A8">
      <w:r>
        <w:separator/>
      </w:r>
    </w:p>
  </w:footnote>
  <w:footnote w:type="continuationSeparator" w:id="0">
    <w:p w14:paraId="3B41C22C" w14:textId="77777777" w:rsidR="00A612AA" w:rsidRDefault="00A612AA" w:rsidP="004E68A8">
      <w:r>
        <w:continuationSeparator/>
      </w:r>
    </w:p>
  </w:footnote>
  <w:footnote w:type="continuationNotice" w:id="1">
    <w:p w14:paraId="2525AC18" w14:textId="77777777" w:rsidR="00A612AA" w:rsidRDefault="00A612AA"/>
  </w:footnote>
  <w:footnote w:id="2">
    <w:p w14:paraId="7F0DCE01" w14:textId="6A902921" w:rsidR="00613327" w:rsidRDefault="00613327">
      <w:pPr>
        <w:pStyle w:val="FootnoteText"/>
      </w:pPr>
      <w:r>
        <w:rPr>
          <w:rStyle w:val="FootnoteReference"/>
        </w:rPr>
        <w:footnoteRef/>
      </w:r>
      <w:r>
        <w:t xml:space="preserve"> This EA </w:t>
      </w:r>
      <w:r w:rsidR="00BE25D0">
        <w:t xml:space="preserve">has been prepared </w:t>
      </w:r>
      <w:r w:rsidR="009E1160">
        <w:t xml:space="preserve">based on </w:t>
      </w:r>
      <w:r w:rsidR="001A40AF">
        <w:t xml:space="preserve">the Council on Environmental Quality’s 2022 </w:t>
      </w:r>
      <w:r w:rsidR="00C63FC4">
        <w:t>NEPA regulations.</w:t>
      </w:r>
    </w:p>
  </w:footnote>
  <w:footnote w:id="3">
    <w:p w14:paraId="45F049A6" w14:textId="77777777" w:rsidR="004E68A8" w:rsidRDefault="004E68A8" w:rsidP="004E68A8">
      <w:pPr>
        <w:pStyle w:val="FootnoteText"/>
      </w:pPr>
      <w:r>
        <w:rPr>
          <w:rStyle w:val="FootnoteReference"/>
        </w:rPr>
        <w:footnoteRef/>
      </w:r>
      <w:r>
        <w:t xml:space="preserve"> Prior to September 4, 2020, the BLM’s Headquarters Office was referred to as the “Washington Office.” IMs predating this change in designation contain the prefix “WO,” whereas IMs issued afterwards contain the prefix “HQ.”</w:t>
      </w:r>
    </w:p>
  </w:footnote>
  <w:footnote w:id="4">
    <w:p w14:paraId="638AC9A5" w14:textId="7F929B05" w:rsidR="009B600D" w:rsidRDefault="009B600D">
      <w:pPr>
        <w:pStyle w:val="FootnoteText"/>
      </w:pPr>
      <w:r>
        <w:rPr>
          <w:rStyle w:val="FootnoteReference"/>
        </w:rPr>
        <w:footnoteRef/>
      </w:r>
      <w:r>
        <w:t xml:space="preserve"> </w:t>
      </w:r>
      <w:r w:rsidRPr="009B600D">
        <w:t>The term “exterior boundary” of a reservation refers to the initial boundary established by the first applicable treaty between the United States government and the affected Tribe(s). The originally established exterior boundary for a reservation may be larger than the present-day boundaries. The United States restructured land status and ownership of Tribal lands through various mechanisms such as the Dawes Act (1887) which reduced reservation lands for many Tribes, including the Ute Indian Tribe. Land within a current “exterior boundary” of a reservation may not be administered by Tribes or held in trust for them; many are owned either by private parties or other federal and state agencies.</w:t>
      </w:r>
    </w:p>
  </w:footnote>
  <w:footnote w:id="5">
    <w:p w14:paraId="2E4642F7" w14:textId="77777777" w:rsidR="004E68A8" w:rsidRDefault="004E68A8" w:rsidP="004E68A8">
      <w:pPr>
        <w:pStyle w:val="FootnoteText"/>
      </w:pPr>
      <w:r>
        <w:rPr>
          <w:rStyle w:val="FootnoteReference"/>
        </w:rPr>
        <w:footnoteRef/>
      </w:r>
      <w:r>
        <w:t xml:space="preserve"> </w:t>
      </w:r>
      <w:r>
        <w:rPr>
          <w:i/>
          <w:iCs/>
        </w:rPr>
        <w:t>Id.</w:t>
      </w:r>
    </w:p>
  </w:footnote>
  <w:footnote w:id="6">
    <w:p w14:paraId="1A35F101" w14:textId="77777777" w:rsidR="004E68A8" w:rsidRPr="00964F1E" w:rsidRDefault="004E68A8" w:rsidP="004E68A8">
      <w:pPr>
        <w:pStyle w:val="FootnoteText"/>
      </w:pPr>
      <w:r w:rsidRPr="00964F1E">
        <w:rPr>
          <w:rStyle w:val="FootnoteReference"/>
        </w:rPr>
        <w:footnoteRef/>
      </w:r>
      <w:r w:rsidRPr="00964F1E">
        <w:t xml:space="preserve"> </w:t>
      </w:r>
      <w:r>
        <w:t>The regulations</w:t>
      </w:r>
      <w:r w:rsidRPr="00AE4BF3">
        <w:t xml:space="preserve">, however, recognize an exception to this rule for a lease that is within an operating Unit and the Unit is held by production of wells on other leases within the </w:t>
      </w:r>
      <w:r w:rsidRPr="00964F1E" w:rsidDel="00AE4BF3">
        <w:t>Unit</w:t>
      </w:r>
      <w:r w:rsidRPr="00964F1E">
        <w:t>.</w:t>
      </w:r>
    </w:p>
  </w:footnote>
  <w:footnote w:id="7">
    <w:p w14:paraId="226B7DEB" w14:textId="77777777" w:rsidR="004E68A8" w:rsidRDefault="004E68A8" w:rsidP="004E68A8">
      <w:pPr>
        <w:pStyle w:val="FootnoteText"/>
      </w:pPr>
      <w:r>
        <w:rPr>
          <w:rStyle w:val="FootnoteReference"/>
        </w:rPr>
        <w:footnoteRef/>
      </w:r>
      <w:r>
        <w:t xml:space="preserve"> </w:t>
      </w:r>
      <w:r w:rsidRPr="00964F1E">
        <w:t xml:space="preserve">Additional Information regarding the BLM’s oil and gas management program can be accessed online at: </w:t>
      </w:r>
      <w:hyperlink r:id="rId1" w:history="1">
        <w:r w:rsidRPr="00964F1E">
          <w:rPr>
            <w:rStyle w:val="Hyperlink"/>
          </w:rPr>
          <w:t>https://www.blm.gov/programs/energy-and-minerals/oil-and-gas/</w:t>
        </w:r>
      </w:hyperlink>
      <w:r>
        <w:rPr>
          <w:rStyle w:val="Hyperlink"/>
        </w:rPr>
        <w:t>.</w:t>
      </w:r>
    </w:p>
  </w:footnote>
  <w:footnote w:id="8">
    <w:p w14:paraId="6CE8BE4D" w14:textId="426D0D1F" w:rsidR="00CE19AA" w:rsidRDefault="00CE19AA" w:rsidP="00CE19AA">
      <w:pPr>
        <w:pStyle w:val="FootnoteText"/>
      </w:pPr>
      <w:r>
        <w:rPr>
          <w:rStyle w:val="FootnoteReference"/>
        </w:rPr>
        <w:footnoteRef/>
      </w:r>
      <w:r>
        <w:t xml:space="preserve"> The Utah Native American population is </w:t>
      </w:r>
      <w:proofErr w:type="gramStart"/>
      <w:r>
        <w:t>actually 1.3%</w:t>
      </w:r>
      <w:proofErr w:type="gramEnd"/>
      <w:r>
        <w:t>, but BM recommends 2.0% as the statewide threshold.</w:t>
      </w:r>
    </w:p>
  </w:footnote>
  <w:footnote w:id="9">
    <w:p w14:paraId="1ACD603A" w14:textId="77777777" w:rsidR="00B07A46" w:rsidRDefault="00B07A46" w:rsidP="00B07A46">
      <w:pPr>
        <w:pStyle w:val="FootnoteText"/>
      </w:pPr>
      <w:r>
        <w:rPr>
          <w:rStyle w:val="FootnoteReference"/>
        </w:rPr>
        <w:footnoteRef/>
      </w:r>
      <w:r>
        <w:t xml:space="preserve"> All Onshore Orders were published in the Federal Register and codifies in the CFR. The only changes made to the Onshore Orders pertain to formatting. </w:t>
      </w:r>
      <w:hyperlink r:id="rId2" w:history="1">
        <w:r w:rsidRPr="00AA7ECC">
          <w:rPr>
            <w:rStyle w:val="Hyperlink"/>
            <w:sz w:val="20"/>
            <w:shd w:val="clear" w:color="auto" w:fill="FFFFFF"/>
          </w:rPr>
          <w:t>https://www.federalregister.gov/documents/2023/06/16/2023-11742/onshore-oil-and-gas-operations-federal-and-indian-oil-and-gas-leases-codification-of-onshore-orders</w:t>
        </w:r>
      </w:hyperlink>
      <w:r>
        <w:rPr>
          <w:rStyle w:val="normaltextrun"/>
          <w:color w:val="0563C1"/>
          <w:sz w:val="20"/>
          <w:u w:val="single"/>
          <w:shd w:val="clear" w:color="auto" w:fill="FFFFFF"/>
        </w:rPr>
        <w:t xml:space="preserve">. </w:t>
      </w:r>
      <w:r w:rsidRPr="00E25E6A">
        <w:rPr>
          <w:rStyle w:val="normaltextrun"/>
          <w:color w:val="000000"/>
          <w:sz w:val="20"/>
          <w:shd w:val="clear" w:color="auto" w:fill="FFFFFF"/>
        </w:rPr>
        <w:t> </w:t>
      </w:r>
      <w:r w:rsidRPr="00E25E6A">
        <w:rPr>
          <w:rStyle w:val="eop"/>
          <w:color w:val="000000"/>
          <w:sz w:val="20"/>
          <w:shd w:val="clear" w:color="auto" w:fill="FFFFFF"/>
        </w:rPr>
        <w:t> </w:t>
      </w:r>
    </w:p>
  </w:footnote>
  <w:footnote w:id="10">
    <w:p w14:paraId="7D443BD3" w14:textId="77777777" w:rsidR="00523755" w:rsidRPr="006A5170" w:rsidRDefault="00523755" w:rsidP="00523755">
      <w:pPr>
        <w:pStyle w:val="FootnoteText"/>
      </w:pPr>
      <w:r>
        <w:rPr>
          <w:rStyle w:val="FootnoteReference"/>
        </w:rPr>
        <w:footnoteRef/>
      </w:r>
      <w:r>
        <w:t xml:space="preserve"> National Academies of Sciences, Engineering, and Medicine. 2017. </w:t>
      </w:r>
      <w:r>
        <w:rPr>
          <w:i/>
          <w:iCs/>
        </w:rPr>
        <w:t>Valuing Climate Damages: Updating Estimation of the Social Cost of Carbon Dioxide</w:t>
      </w:r>
      <w:r>
        <w:t xml:space="preserve">. National Academies Press. </w:t>
      </w:r>
    </w:p>
  </w:footnote>
  <w:footnote w:id="11">
    <w:p w14:paraId="3DB80A8F" w14:textId="77777777" w:rsidR="00523755" w:rsidRDefault="00523755" w:rsidP="00523755">
      <w:pPr>
        <w:pStyle w:val="FootnoteText"/>
      </w:pPr>
      <w:r>
        <w:rPr>
          <w:rStyle w:val="FootnoteReference"/>
        </w:rPr>
        <w:footnoteRef/>
      </w:r>
      <w:r>
        <w:t xml:space="preserve"> </w:t>
      </w:r>
      <w:r w:rsidRPr="007E28AE">
        <w:t>https://www.epa.gov/environmental-economics/scghg</w:t>
      </w:r>
    </w:p>
  </w:footnote>
  <w:footnote w:id="12">
    <w:p w14:paraId="1FA06595" w14:textId="77777777" w:rsidR="00A56025" w:rsidRDefault="00A56025" w:rsidP="00A56025">
      <w:pPr>
        <w:pStyle w:val="FootnoteText"/>
      </w:pPr>
      <w:r>
        <w:rPr>
          <w:rStyle w:val="FootnoteReference"/>
        </w:rPr>
        <w:footnoteRef/>
      </w:r>
      <w:r>
        <w:t xml:space="preserve"> </w:t>
      </w:r>
      <w:hyperlink r:id="rId3" w:anchor="!" w:tgtFrame="_blank" w:tooltip="https://www.blm.gov/content/ghg/2022/#!" w:history="1">
        <w:r w:rsidRPr="00EE3E44">
          <w:rPr>
            <w:color w:val="0000FF"/>
            <w:u w:val="single"/>
          </w:rPr>
          <w:t>held-by-production</w:t>
        </w:r>
      </w:hyperlink>
      <w:r w:rsidRPr="00EE3E44">
        <w:t xml:space="preserve"> - A provision in an oil or natural gas property lease that allows the lessee</w:t>
      </w:r>
      <w:r>
        <w:t xml:space="preserve"> </w:t>
      </w:r>
      <w:r w:rsidRPr="00EE3E44">
        <w:t>to continue drilling activities on the property as long as it is economically producing a minimum amount of oil or gas. The held-by-production provision thereby extends the lessee's right to operate the property beyond the initial lease ter</w:t>
      </w:r>
      <w:r>
        <w:t>m.</w:t>
      </w:r>
    </w:p>
  </w:footnote>
  <w:footnote w:id="13">
    <w:p w14:paraId="12936A6E" w14:textId="77777777" w:rsidR="00D94666" w:rsidRDefault="00D94666" w:rsidP="00D94666">
      <w:r>
        <w:rPr>
          <w:rStyle w:val="FootnoteReference"/>
        </w:rPr>
        <w:footnoteRef/>
      </w:r>
      <w:r>
        <w:t xml:space="preserve"> </w:t>
      </w:r>
      <w:r w:rsidRPr="005F5DCF">
        <w:rPr>
          <w:sz w:val="20"/>
          <w:szCs w:val="20"/>
        </w:rPr>
        <w:t>Low Determinations were made if the parcel</w:t>
      </w:r>
      <w:r>
        <w:rPr>
          <w:sz w:val="20"/>
          <w:szCs w:val="20"/>
        </w:rPr>
        <w:t>(s)</w:t>
      </w:r>
      <w:r w:rsidRPr="005F5DCF">
        <w:rPr>
          <w:sz w:val="20"/>
          <w:szCs w:val="20"/>
        </w:rPr>
        <w:t xml:space="preserve"> is within important habitat or connectivity areas</w:t>
      </w:r>
      <w:r>
        <w:rPr>
          <w:sz w:val="20"/>
          <w:szCs w:val="20"/>
        </w:rPr>
        <w:t>.</w:t>
      </w:r>
      <w:r w:rsidRPr="00FF0DEF">
        <w:t xml:space="preserve"> </w:t>
      </w:r>
      <w:r w:rsidRPr="00FF0DEF">
        <w:rPr>
          <w:sz w:val="20"/>
          <w:szCs w:val="20"/>
        </w:rPr>
        <w:t>If the preference value for leasing i</w:t>
      </w:r>
      <w:r>
        <w:rPr>
          <w:sz w:val="20"/>
          <w:szCs w:val="20"/>
        </w:rPr>
        <w:t xml:space="preserve">s High if the </w:t>
      </w:r>
      <w:r w:rsidRPr="00FF0DEF">
        <w:rPr>
          <w:sz w:val="20"/>
          <w:szCs w:val="20"/>
        </w:rPr>
        <w:t>nominated parcel</w:t>
      </w:r>
      <w:r>
        <w:rPr>
          <w:sz w:val="20"/>
          <w:szCs w:val="20"/>
        </w:rPr>
        <w:t>(s)</w:t>
      </w:r>
      <w:r w:rsidRPr="00FF0DEF">
        <w:rPr>
          <w:sz w:val="20"/>
          <w:szCs w:val="20"/>
        </w:rPr>
        <w:t xml:space="preserve"> is NOT within important habitat or connectivity area and there is not a high potential for conflict with important habitats</w:t>
      </w:r>
      <w:r>
        <w:rPr>
          <w:sz w:val="20"/>
          <w:szCs w:val="20"/>
        </w:rPr>
        <w:t>.</w:t>
      </w:r>
      <w:r w:rsidRPr="00FF0DEF">
        <w:rPr>
          <w:sz w:val="20"/>
          <w:szCs w:val="20"/>
        </w:rPr>
        <w:t xml:space="preserve">  </w:t>
      </w:r>
    </w:p>
  </w:footnote>
  <w:footnote w:id="14">
    <w:p w14:paraId="3C66B69B" w14:textId="77777777" w:rsidR="00D94666" w:rsidRDefault="00D94666" w:rsidP="00D94666">
      <w:pPr>
        <w:pStyle w:val="FootnoteText"/>
      </w:pPr>
      <w:r>
        <w:rPr>
          <w:rStyle w:val="FootnoteReference"/>
        </w:rPr>
        <w:footnoteRef/>
      </w:r>
      <w:r>
        <w:t xml:space="preserve"> Low Determinations were made if parcel(s) contains competing uses of the Federal lands that will be curtailed due to the lease issuance. If the preference value is High because the nominated parcel(s) does NOT contain incompatible uses. </w:t>
      </w:r>
    </w:p>
  </w:footnote>
  <w:footnote w:id="15">
    <w:p w14:paraId="4B783E6F" w14:textId="77777777" w:rsidR="00D94666" w:rsidRDefault="00D94666" w:rsidP="00D94666">
      <w:pPr>
        <w:pStyle w:val="FootnoteText"/>
      </w:pPr>
      <w:r>
        <w:rPr>
          <w:rStyle w:val="FootnoteReference"/>
        </w:rPr>
        <w:footnoteRef/>
      </w:r>
      <w:r>
        <w:t xml:space="preserve"> Low Determinations were made if the parcel(s) because of Low or Very Low potential for development based on the BLM or USFS’ Reasonably Foreseeable Development (RFD) scenario where the RFD contains projections of the number of possible oil and gas wells that could be drilled and produced within each of the development potential areas specified as Very High, High, Moderate, Low, and Very Low development potential. Any nominated parcel that falls within Very High or High in the RFD will have a preference value of HIGH for this criterion. </w:t>
      </w:r>
    </w:p>
  </w:footnote>
  <w:footnote w:id="16">
    <w:p w14:paraId="5F001844" w14:textId="77777777" w:rsidR="00D94666" w:rsidRDefault="00D94666" w:rsidP="00D94666">
      <w:pPr>
        <w:pStyle w:val="FootnoteText"/>
      </w:pPr>
      <w:r w:rsidRPr="008B0EFC">
        <w:rPr>
          <w:rStyle w:val="FootnoteReference"/>
        </w:rPr>
        <w:footnoteRef/>
      </w:r>
      <w:r w:rsidRPr="008B0EFC">
        <w:t xml:space="preserve"> According to BLM regulations from 43 CFR 3160: </w:t>
      </w:r>
      <w:r>
        <w:t>43 CFR 3172</w:t>
      </w:r>
      <w:r w:rsidRPr="008B0EFC">
        <w:t>, casing and cementing programs are conducted to protect and/or isolate all usable water zones, lost circulation zones, abnormally pressured zones, and any prospectively valuable deposits of minerals. The casing setting depth is calculated to position the casing seat opposite a competent formation which will contain the maximum pressure to which it will be exposed during normal drilling operations. Determination of casing setting depth is based on all relevant factors, including presence/absence of hydrocarbons; fracture gradients; usable water zones; formation pressures; lost circulation zones; other minerals; or other unusual characteristics.</w:t>
      </w:r>
      <w:r>
        <w:t xml:space="preserve"> </w:t>
      </w:r>
      <w:r w:rsidRPr="008B0EFC">
        <w:t xml:space="preserve">Any isolating medium other than cement shall receive approval prior to use. The deepest casing may not be cemented and may remain open hole depending on the type of formation </w:t>
      </w:r>
      <w:r>
        <w:t xml:space="preserve">it </w:t>
      </w:r>
      <w:r w:rsidRPr="008B0EFC">
        <w:t>is located in.</w:t>
      </w:r>
    </w:p>
  </w:footnote>
  <w:footnote w:id="17">
    <w:p w14:paraId="21AFD0C8" w14:textId="77777777" w:rsidR="00D94666" w:rsidRPr="00345767" w:rsidRDefault="00D94666" w:rsidP="00D94666">
      <w:pPr>
        <w:pStyle w:val="FootnoteText"/>
        <w:spacing w:before="60"/>
      </w:pPr>
      <w:r>
        <w:rPr>
          <w:rStyle w:val="FootnoteReference"/>
        </w:rPr>
        <w:footnoteRef/>
      </w:r>
      <w:r>
        <w:t xml:space="preserve"> Vertical drilling is the process of drilling a well from the surface vertically to a subsurface location where the target oil or gas reservoir is </w:t>
      </w:r>
      <w:r w:rsidRPr="00345767">
        <w:t>located (U.S. Department of Energy 2015).</w:t>
      </w:r>
    </w:p>
  </w:footnote>
  <w:footnote w:id="18">
    <w:p w14:paraId="70E94798" w14:textId="77777777" w:rsidR="00D94666" w:rsidRDefault="00D94666" w:rsidP="00D94666">
      <w:pPr>
        <w:pStyle w:val="FootnoteText"/>
        <w:spacing w:before="60"/>
      </w:pPr>
      <w:r w:rsidRPr="00345767">
        <w:rPr>
          <w:rStyle w:val="FootnoteReference"/>
        </w:rPr>
        <w:footnoteRef/>
      </w:r>
      <w:r w:rsidRPr="00345767">
        <w:t xml:space="preserve"> Horizontal drilling is the process of drilling a well from</w:t>
      </w:r>
      <w:r>
        <w:t xml:space="preserve"> the surface to a subsurface location just above the target oil or gas reservoir called the “kickoff point,” then deviating the well bore from the vertical plane around a curve to intersect the reservoir at the “entry point” with a near-horizontal inclination and remaining within the reservoir until the desired bottom hole location is reached (North Dakota Department of Mineral Resources 2008).</w:t>
      </w:r>
    </w:p>
  </w:footnote>
  <w:footnote w:id="19">
    <w:p w14:paraId="406C823D" w14:textId="77777777" w:rsidR="00D94666" w:rsidRDefault="00D94666" w:rsidP="00D94666">
      <w:pPr>
        <w:pStyle w:val="FootnoteText"/>
        <w:spacing w:before="60"/>
      </w:pPr>
      <w:r>
        <w:rPr>
          <w:rStyle w:val="FootnoteReference"/>
        </w:rPr>
        <w:footnoteRef/>
      </w:r>
      <w:r>
        <w:t xml:space="preserve"> Directional drilling is the process of controlling the direction and deviation of drilling a well from the surface to a subsurface location without disturbing the land directly above the target oil or gas reservoir (U.S. Department of Energy 2015).</w:t>
      </w:r>
    </w:p>
  </w:footnote>
  <w:footnote w:id="20">
    <w:p w14:paraId="1DCD26EB" w14:textId="77777777" w:rsidR="00D94666" w:rsidRDefault="00D94666" w:rsidP="00D94666">
      <w:pPr>
        <w:pStyle w:val="FootnoteText"/>
      </w:pPr>
      <w:r>
        <w:rPr>
          <w:rStyle w:val="FootnoteReference"/>
        </w:rPr>
        <w:footnoteRef/>
      </w:r>
      <w:r>
        <w:t xml:space="preserve"> A conventional reserve pit is a lined earthen pit excavated adjacent to a well pad and is commonly used for the disposal of drilling muds and fluids in gas or oil fields (USFWS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C728" w14:textId="7A597250" w:rsidR="005A577B" w:rsidRDefault="005A577B" w:rsidP="006E5475">
    <w:pPr>
      <w:pStyle w:val="Header"/>
      <w:tabs>
        <w:tab w:val="clear" w:pos="9360"/>
      </w:tabs>
    </w:pPr>
    <w:r>
      <w:t xml:space="preserve">Utah State </w:t>
    </w:r>
    <w:r w:rsidRPr="00C1417D">
      <w:t xml:space="preserve">Office </w:t>
    </w:r>
    <w:r w:rsidR="00E85BA0">
      <w:t xml:space="preserve">Second </w:t>
    </w:r>
    <w:r>
      <w:t xml:space="preserve">Quarter </w:t>
    </w:r>
    <w:r w:rsidRPr="001C3E9D">
      <w:t>202</w:t>
    </w:r>
    <w:r w:rsidR="00E85BA0">
      <w:t>5</w:t>
    </w:r>
    <w:r w:rsidRPr="00C1417D">
      <w:t xml:space="preserve"> Oil and Gas Lease Sale</w:t>
    </w:r>
    <w:r w:rsidR="006E5475">
      <w:tab/>
    </w:r>
    <w:r w:rsidR="006E5475">
      <w:tab/>
      <w:t xml:space="preserve">  DOI</w:t>
    </w:r>
    <w:r>
      <w:t>-</w:t>
    </w:r>
    <w:r w:rsidRPr="00D6762C">
      <w:t>BLM-UT-0000-202</w:t>
    </w:r>
    <w:r w:rsidR="001242A6">
      <w:t>4</w:t>
    </w:r>
    <w:r>
      <w:t>-0001-EA</w:t>
    </w:r>
  </w:p>
  <w:p w14:paraId="3AC053B8" w14:textId="293A8F13" w:rsidR="003A7661" w:rsidRDefault="00093C67" w:rsidP="0050637F">
    <w:pPr>
      <w:pStyle w:val="Header"/>
      <w:tabs>
        <w:tab w:val="clear" w:pos="9360"/>
      </w:tabs>
      <w:jc w:val="right"/>
    </w:pPr>
    <w:r>
      <w:tab/>
    </w:r>
    <w:r>
      <w:tab/>
    </w:r>
    <w:r>
      <w:tab/>
    </w:r>
    <w:r>
      <w:tab/>
    </w:r>
    <w:r w:rsidR="00DB63BD">
      <w:t xml:space="preserve">30-day </w:t>
    </w:r>
    <w:r w:rsidR="00467D6B">
      <w:t>Protest Period</w:t>
    </w:r>
    <w:r w:rsidR="007053A9">
      <w:t xml:space="preserve"> </w:t>
    </w:r>
  </w:p>
  <w:p w14:paraId="216812EF" w14:textId="29466EAB" w:rsidR="005A577B" w:rsidRDefault="007053A9" w:rsidP="0050637F">
    <w:pPr>
      <w:pStyle w:val="Header"/>
      <w:tabs>
        <w:tab w:val="clear" w:pos="9360"/>
      </w:tabs>
      <w:jc w:val="right"/>
    </w:pPr>
    <w:r>
      <w:t xml:space="preserve">Dec. 18, </w:t>
    </w:r>
    <w:r w:rsidR="008F233D">
      <w:t>2024,</w:t>
    </w:r>
    <w:r>
      <w:t xml:space="preserve"> to </w:t>
    </w:r>
    <w:r w:rsidR="0077533B">
      <w:t xml:space="preserve">Jan. </w:t>
    </w:r>
    <w:r w:rsidR="00B6255B">
      <w:t>1</w:t>
    </w:r>
    <w:r w:rsidR="00480934">
      <w:t>7</w:t>
    </w:r>
    <w:r w:rsidR="002B1374">
      <w:t xml:space="preserve">, </w:t>
    </w:r>
    <w:r w:rsidR="00B6255B">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DC72" w14:textId="31025B15" w:rsidR="006E5475" w:rsidRDefault="006E5475" w:rsidP="0050637F">
    <w:pPr>
      <w:pStyle w:val="Header"/>
      <w:tabs>
        <w:tab w:val="clear" w:pos="9360"/>
      </w:tabs>
    </w:pPr>
    <w:r>
      <w:t xml:space="preserve">Utah State </w:t>
    </w:r>
    <w:r w:rsidRPr="00C1417D">
      <w:t xml:space="preserve">Office </w:t>
    </w:r>
    <w:r>
      <w:t xml:space="preserve">Second Quarter </w:t>
    </w:r>
    <w:r w:rsidRPr="001C3E9D">
      <w:t>202</w:t>
    </w:r>
    <w:r>
      <w:t>5</w:t>
    </w:r>
    <w:r w:rsidRPr="00C1417D">
      <w:t xml:space="preserve"> Oil and Gas Lease Sale</w:t>
    </w:r>
    <w:r>
      <w:tab/>
    </w:r>
    <w:r>
      <w:tab/>
      <w:t xml:space="preserve">  </w:t>
    </w:r>
    <w:r>
      <w:tab/>
    </w:r>
    <w:r>
      <w:tab/>
    </w:r>
    <w:r>
      <w:tab/>
    </w:r>
    <w:r>
      <w:tab/>
    </w:r>
    <w:r>
      <w:tab/>
      <w:t xml:space="preserve">  DOI-</w:t>
    </w:r>
    <w:r w:rsidRPr="00D6762C">
      <w:t>BLM-UT-0000-202</w:t>
    </w:r>
    <w:r>
      <w:t>4-0001-EA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hybridMultilevel"/>
    <w:tmpl w:val="F4029306"/>
    <w:lvl w:ilvl="0" w:tplc="F94ED904">
      <w:start w:val="1"/>
      <w:numFmt w:val="bullet"/>
      <w:pStyle w:val="ListBullet4"/>
      <w:lvlText w:val=""/>
      <w:lvlJc w:val="left"/>
      <w:pPr>
        <w:tabs>
          <w:tab w:val="num" w:pos="1440"/>
        </w:tabs>
        <w:ind w:left="1440" w:hanging="360"/>
      </w:pPr>
      <w:rPr>
        <w:rFonts w:ascii="Symbol" w:hAnsi="Symbol" w:hint="default"/>
      </w:rPr>
    </w:lvl>
    <w:lvl w:ilvl="1" w:tplc="31BA325A">
      <w:numFmt w:val="decimal"/>
      <w:lvlText w:val=""/>
      <w:lvlJc w:val="left"/>
    </w:lvl>
    <w:lvl w:ilvl="2" w:tplc="1CE03FD0">
      <w:numFmt w:val="decimal"/>
      <w:lvlText w:val=""/>
      <w:lvlJc w:val="left"/>
    </w:lvl>
    <w:lvl w:ilvl="3" w:tplc="9D6CB498">
      <w:numFmt w:val="decimal"/>
      <w:lvlText w:val=""/>
      <w:lvlJc w:val="left"/>
    </w:lvl>
    <w:lvl w:ilvl="4" w:tplc="DDF0F770">
      <w:numFmt w:val="decimal"/>
      <w:lvlText w:val=""/>
      <w:lvlJc w:val="left"/>
    </w:lvl>
    <w:lvl w:ilvl="5" w:tplc="3E9A0582">
      <w:numFmt w:val="decimal"/>
      <w:lvlText w:val=""/>
      <w:lvlJc w:val="left"/>
    </w:lvl>
    <w:lvl w:ilvl="6" w:tplc="A7ECA11E">
      <w:numFmt w:val="decimal"/>
      <w:lvlText w:val=""/>
      <w:lvlJc w:val="left"/>
    </w:lvl>
    <w:lvl w:ilvl="7" w:tplc="8196E524">
      <w:numFmt w:val="decimal"/>
      <w:lvlText w:val=""/>
      <w:lvlJc w:val="left"/>
    </w:lvl>
    <w:lvl w:ilvl="8" w:tplc="39D05196">
      <w:numFmt w:val="decimal"/>
      <w:lvlText w:val=""/>
      <w:lvlJc w:val="left"/>
    </w:lvl>
  </w:abstractNum>
  <w:abstractNum w:abstractNumId="1" w15:restartNumberingAfterBreak="0">
    <w:nsid w:val="000279FB"/>
    <w:multiLevelType w:val="multilevel"/>
    <w:tmpl w:val="CF08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17255B"/>
    <w:multiLevelType w:val="multilevel"/>
    <w:tmpl w:val="AE06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333F35"/>
    <w:multiLevelType w:val="hybridMultilevel"/>
    <w:tmpl w:val="9AE24C9C"/>
    <w:lvl w:ilvl="0" w:tplc="0DC6D50C">
      <w:start w:val="1"/>
      <w:numFmt w:val="decimal"/>
      <w:lvlText w:val="Table %1."/>
      <w:lvlJc w:val="left"/>
      <w:pPr>
        <w:ind w:left="720" w:hanging="360"/>
      </w:pPr>
      <w:rPr>
        <w:rFonts w:hint="default"/>
        <w:b w:val="0"/>
        <w:i w:val="0"/>
        <w:caps w:val="0"/>
        <w:strike w:val="0"/>
        <w:dstrike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11657"/>
    <w:multiLevelType w:val="multilevel"/>
    <w:tmpl w:val="0B842F00"/>
    <w:lvl w:ilvl="0">
      <w:start w:val="2"/>
      <w:numFmt w:val="decimal"/>
      <w:lvlText w:val="Chapter %1"/>
      <w:lvlJc w:val="left"/>
      <w:pPr>
        <w:ind w:left="0" w:firstLine="0"/>
      </w:pPr>
      <w:rPr>
        <w:rFonts w:ascii="Times New Roman Bold" w:hAnsi="Times New Roman Bold" w:hint="default"/>
        <w:b/>
        <w:i w:val="0"/>
        <w:color w:val="000000" w:themeColor="text1"/>
        <w:sz w:val="28"/>
      </w:rPr>
    </w:lvl>
    <w:lvl w:ilvl="1">
      <w:start w:val="1"/>
      <w:numFmt w:val="decimal"/>
      <w:lvlText w:val="%1.%2"/>
      <w:lvlJc w:val="left"/>
      <w:pPr>
        <w:ind w:left="0" w:firstLine="0"/>
      </w:pPr>
      <w:rPr>
        <w:rFonts w:ascii="Times New Roman Bold" w:hAnsi="Times New Roman Bold" w:hint="default"/>
        <w:b/>
        <w:i w:val="0"/>
        <w:color w:val="000000" w:themeColor="text1"/>
        <w:sz w:val="24"/>
      </w:rPr>
    </w:lvl>
    <w:lvl w:ilvl="2">
      <w:start w:val="1"/>
      <w:numFmt w:val="decimal"/>
      <w:lvlText w:val="%1.%2.%3"/>
      <w:lvlJc w:val="left"/>
      <w:pPr>
        <w:ind w:left="540" w:firstLine="0"/>
      </w:pPr>
      <w:rPr>
        <w:rFonts w:ascii="Times New Roman Bold" w:hAnsi="Times New Roman Bold" w:hint="default"/>
        <w:b/>
        <w:i w:val="0"/>
        <w:color w:val="000000" w:themeColor="text1"/>
        <w:sz w:val="24"/>
      </w:rPr>
    </w:lvl>
    <w:lvl w:ilvl="3">
      <w:start w:val="1"/>
      <w:numFmt w:val="decimal"/>
      <w:lvlText w:val="%1.%2.%3.%4"/>
      <w:lvlJc w:val="left"/>
      <w:pPr>
        <w:ind w:left="0" w:firstLine="0"/>
      </w:pPr>
      <w:rPr>
        <w:rFonts w:ascii="Times New Roman Bold" w:hAnsi="Times New Roman Bold" w:hint="default"/>
        <w:b w:val="0"/>
        <w:bCs/>
        <w:i w:val="0"/>
        <w:color w:val="000000" w:themeColor="text1"/>
        <w:sz w:val="22"/>
        <w:szCs w:val="22"/>
      </w:rPr>
    </w:lvl>
    <w:lvl w:ilvl="4">
      <w:start w:val="1"/>
      <w:numFmt w:val="decimal"/>
      <w:pStyle w:val="Sub-heading4"/>
      <w:lvlText w:val="%1.%2.%3.%4.%5"/>
      <w:lvlJc w:val="left"/>
      <w:pPr>
        <w:ind w:left="0" w:firstLine="0"/>
      </w:pPr>
      <w:rPr>
        <w:rFonts w:ascii="Times New Roman Bold" w:hAnsi="Times New Roman Bold" w:hint="default"/>
        <w:b/>
        <w:i w:val="0"/>
        <w:color w:val="000000" w:themeColor="text1"/>
        <w:sz w:val="22"/>
        <w:szCs w:val="22"/>
      </w:rPr>
    </w:lvl>
    <w:lvl w:ilvl="5">
      <w:start w:val="1"/>
      <w:numFmt w:val="decimal"/>
      <w:lvlText w:val="%1.%2.%3.%4.%5.%6"/>
      <w:lvlJc w:val="left"/>
      <w:pPr>
        <w:ind w:left="0" w:firstLine="0"/>
      </w:pPr>
      <w:rPr>
        <w:rFonts w:ascii="Times New Roman Bold" w:hAnsi="Times New Roman Bold" w:hint="default"/>
        <w:b/>
        <w:i w:val="0"/>
        <w:color w:val="000000" w:themeColor="text1"/>
        <w:sz w:val="24"/>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0294DC84"/>
    <w:multiLevelType w:val="hybridMultilevel"/>
    <w:tmpl w:val="FFFFFFFF"/>
    <w:lvl w:ilvl="0" w:tplc="326A9698">
      <w:start w:val="1"/>
      <w:numFmt w:val="bullet"/>
      <w:lvlText w:val=""/>
      <w:lvlJc w:val="left"/>
      <w:pPr>
        <w:ind w:left="720" w:hanging="360"/>
      </w:pPr>
      <w:rPr>
        <w:rFonts w:ascii="Symbol" w:hAnsi="Symbol" w:hint="default"/>
      </w:rPr>
    </w:lvl>
    <w:lvl w:ilvl="1" w:tplc="E828ED00">
      <w:start w:val="1"/>
      <w:numFmt w:val="bullet"/>
      <w:lvlText w:val="o"/>
      <w:lvlJc w:val="left"/>
      <w:pPr>
        <w:ind w:left="1440" w:hanging="360"/>
      </w:pPr>
      <w:rPr>
        <w:rFonts w:ascii="Courier New" w:hAnsi="Courier New" w:hint="default"/>
      </w:rPr>
    </w:lvl>
    <w:lvl w:ilvl="2" w:tplc="CB52A4C6">
      <w:start w:val="1"/>
      <w:numFmt w:val="bullet"/>
      <w:lvlText w:val=""/>
      <w:lvlJc w:val="left"/>
      <w:pPr>
        <w:ind w:left="2160" w:hanging="360"/>
      </w:pPr>
      <w:rPr>
        <w:rFonts w:ascii="Wingdings" w:hAnsi="Wingdings" w:hint="default"/>
      </w:rPr>
    </w:lvl>
    <w:lvl w:ilvl="3" w:tplc="C268C782">
      <w:start w:val="1"/>
      <w:numFmt w:val="bullet"/>
      <w:lvlText w:val=""/>
      <w:lvlJc w:val="left"/>
      <w:pPr>
        <w:ind w:left="2880" w:hanging="360"/>
      </w:pPr>
      <w:rPr>
        <w:rFonts w:ascii="Symbol" w:hAnsi="Symbol" w:hint="default"/>
      </w:rPr>
    </w:lvl>
    <w:lvl w:ilvl="4" w:tplc="6EC26AA4">
      <w:start w:val="1"/>
      <w:numFmt w:val="bullet"/>
      <w:lvlText w:val="o"/>
      <w:lvlJc w:val="left"/>
      <w:pPr>
        <w:ind w:left="3600" w:hanging="360"/>
      </w:pPr>
      <w:rPr>
        <w:rFonts w:ascii="Courier New" w:hAnsi="Courier New" w:hint="default"/>
      </w:rPr>
    </w:lvl>
    <w:lvl w:ilvl="5" w:tplc="8C5C51FC">
      <w:start w:val="1"/>
      <w:numFmt w:val="bullet"/>
      <w:lvlText w:val=""/>
      <w:lvlJc w:val="left"/>
      <w:pPr>
        <w:ind w:left="4320" w:hanging="360"/>
      </w:pPr>
      <w:rPr>
        <w:rFonts w:ascii="Wingdings" w:hAnsi="Wingdings" w:hint="default"/>
      </w:rPr>
    </w:lvl>
    <w:lvl w:ilvl="6" w:tplc="B7CA57F4">
      <w:start w:val="1"/>
      <w:numFmt w:val="bullet"/>
      <w:lvlText w:val=""/>
      <w:lvlJc w:val="left"/>
      <w:pPr>
        <w:ind w:left="5040" w:hanging="360"/>
      </w:pPr>
      <w:rPr>
        <w:rFonts w:ascii="Symbol" w:hAnsi="Symbol" w:hint="default"/>
      </w:rPr>
    </w:lvl>
    <w:lvl w:ilvl="7" w:tplc="905E12E2">
      <w:start w:val="1"/>
      <w:numFmt w:val="bullet"/>
      <w:lvlText w:val="o"/>
      <w:lvlJc w:val="left"/>
      <w:pPr>
        <w:ind w:left="5760" w:hanging="360"/>
      </w:pPr>
      <w:rPr>
        <w:rFonts w:ascii="Courier New" w:hAnsi="Courier New" w:hint="default"/>
      </w:rPr>
    </w:lvl>
    <w:lvl w:ilvl="8" w:tplc="B7721788">
      <w:start w:val="1"/>
      <w:numFmt w:val="bullet"/>
      <w:lvlText w:val=""/>
      <w:lvlJc w:val="left"/>
      <w:pPr>
        <w:ind w:left="6480" w:hanging="360"/>
      </w:pPr>
      <w:rPr>
        <w:rFonts w:ascii="Wingdings" w:hAnsi="Wingdings" w:hint="default"/>
      </w:rPr>
    </w:lvl>
  </w:abstractNum>
  <w:abstractNum w:abstractNumId="6" w15:restartNumberingAfterBreak="0">
    <w:nsid w:val="039528C9"/>
    <w:multiLevelType w:val="hybridMultilevel"/>
    <w:tmpl w:val="B854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E722FC"/>
    <w:multiLevelType w:val="hybridMultilevel"/>
    <w:tmpl w:val="FFFFFFFF"/>
    <w:lvl w:ilvl="0" w:tplc="1000388C">
      <w:start w:val="1"/>
      <w:numFmt w:val="decimal"/>
      <w:lvlText w:val="%1."/>
      <w:lvlJc w:val="left"/>
      <w:pPr>
        <w:ind w:left="720" w:hanging="360"/>
      </w:pPr>
    </w:lvl>
    <w:lvl w:ilvl="1" w:tplc="C2E6659E">
      <w:start w:val="2"/>
      <w:numFmt w:val="lowerLetter"/>
      <w:lvlText w:val="%2."/>
      <w:lvlJc w:val="left"/>
      <w:pPr>
        <w:ind w:left="1440" w:hanging="360"/>
      </w:pPr>
      <w:rPr>
        <w:rFonts w:ascii="Times New Roman" w:hAnsi="Times New Roman" w:hint="default"/>
      </w:rPr>
    </w:lvl>
    <w:lvl w:ilvl="2" w:tplc="E9DA1238">
      <w:start w:val="1"/>
      <w:numFmt w:val="lowerRoman"/>
      <w:lvlText w:val="%3."/>
      <w:lvlJc w:val="right"/>
      <w:pPr>
        <w:ind w:left="2160" w:hanging="180"/>
      </w:pPr>
    </w:lvl>
    <w:lvl w:ilvl="3" w:tplc="51D00976">
      <w:start w:val="1"/>
      <w:numFmt w:val="decimal"/>
      <w:lvlText w:val="%4."/>
      <w:lvlJc w:val="left"/>
      <w:pPr>
        <w:ind w:left="2880" w:hanging="360"/>
      </w:pPr>
    </w:lvl>
    <w:lvl w:ilvl="4" w:tplc="5E8C7A94">
      <w:start w:val="1"/>
      <w:numFmt w:val="lowerLetter"/>
      <w:lvlText w:val="%5."/>
      <w:lvlJc w:val="left"/>
      <w:pPr>
        <w:ind w:left="3600" w:hanging="360"/>
      </w:pPr>
    </w:lvl>
    <w:lvl w:ilvl="5" w:tplc="F8129526">
      <w:start w:val="1"/>
      <w:numFmt w:val="lowerRoman"/>
      <w:lvlText w:val="%6."/>
      <w:lvlJc w:val="right"/>
      <w:pPr>
        <w:ind w:left="4320" w:hanging="180"/>
      </w:pPr>
    </w:lvl>
    <w:lvl w:ilvl="6" w:tplc="50D8EB7E">
      <w:start w:val="1"/>
      <w:numFmt w:val="decimal"/>
      <w:lvlText w:val="%7."/>
      <w:lvlJc w:val="left"/>
      <w:pPr>
        <w:ind w:left="5040" w:hanging="360"/>
      </w:pPr>
    </w:lvl>
    <w:lvl w:ilvl="7" w:tplc="EDF8EA36">
      <w:start w:val="1"/>
      <w:numFmt w:val="lowerLetter"/>
      <w:lvlText w:val="%8."/>
      <w:lvlJc w:val="left"/>
      <w:pPr>
        <w:ind w:left="5760" w:hanging="360"/>
      </w:pPr>
    </w:lvl>
    <w:lvl w:ilvl="8" w:tplc="AF780E6A">
      <w:start w:val="1"/>
      <w:numFmt w:val="lowerRoman"/>
      <w:lvlText w:val="%9."/>
      <w:lvlJc w:val="right"/>
      <w:pPr>
        <w:ind w:left="6480" w:hanging="180"/>
      </w:pPr>
    </w:lvl>
  </w:abstractNum>
  <w:abstractNum w:abstractNumId="8" w15:restartNumberingAfterBreak="0">
    <w:nsid w:val="0451FCC4"/>
    <w:multiLevelType w:val="hybridMultilevel"/>
    <w:tmpl w:val="FFFFFFFF"/>
    <w:lvl w:ilvl="0" w:tplc="0262EAA2">
      <w:start w:val="6"/>
      <w:numFmt w:val="decimal"/>
      <w:lvlText w:val="%1."/>
      <w:lvlJc w:val="left"/>
      <w:pPr>
        <w:ind w:left="720" w:hanging="360"/>
      </w:pPr>
      <w:rPr>
        <w:rFonts w:ascii="Times New Roman" w:hAnsi="Times New Roman" w:hint="default"/>
      </w:rPr>
    </w:lvl>
    <w:lvl w:ilvl="1" w:tplc="F5AA3112">
      <w:start w:val="1"/>
      <w:numFmt w:val="lowerLetter"/>
      <w:lvlText w:val="%2."/>
      <w:lvlJc w:val="left"/>
      <w:pPr>
        <w:ind w:left="1440" w:hanging="360"/>
      </w:pPr>
    </w:lvl>
    <w:lvl w:ilvl="2" w:tplc="E77E70C4">
      <w:start w:val="1"/>
      <w:numFmt w:val="lowerRoman"/>
      <w:lvlText w:val="%3."/>
      <w:lvlJc w:val="right"/>
      <w:pPr>
        <w:ind w:left="2160" w:hanging="180"/>
      </w:pPr>
    </w:lvl>
    <w:lvl w:ilvl="3" w:tplc="AA28394C">
      <w:start w:val="1"/>
      <w:numFmt w:val="decimal"/>
      <w:lvlText w:val="%4."/>
      <w:lvlJc w:val="left"/>
      <w:pPr>
        <w:ind w:left="2880" w:hanging="360"/>
      </w:pPr>
    </w:lvl>
    <w:lvl w:ilvl="4" w:tplc="8774CCEC">
      <w:start w:val="1"/>
      <w:numFmt w:val="lowerLetter"/>
      <w:lvlText w:val="%5."/>
      <w:lvlJc w:val="left"/>
      <w:pPr>
        <w:ind w:left="3600" w:hanging="360"/>
      </w:pPr>
    </w:lvl>
    <w:lvl w:ilvl="5" w:tplc="FE2C8A44">
      <w:start w:val="1"/>
      <w:numFmt w:val="lowerRoman"/>
      <w:lvlText w:val="%6."/>
      <w:lvlJc w:val="right"/>
      <w:pPr>
        <w:ind w:left="4320" w:hanging="180"/>
      </w:pPr>
    </w:lvl>
    <w:lvl w:ilvl="6" w:tplc="F424C106">
      <w:start w:val="1"/>
      <w:numFmt w:val="decimal"/>
      <w:lvlText w:val="%7."/>
      <w:lvlJc w:val="left"/>
      <w:pPr>
        <w:ind w:left="5040" w:hanging="360"/>
      </w:pPr>
    </w:lvl>
    <w:lvl w:ilvl="7" w:tplc="BEEE6830">
      <w:start w:val="1"/>
      <w:numFmt w:val="lowerLetter"/>
      <w:lvlText w:val="%8."/>
      <w:lvlJc w:val="left"/>
      <w:pPr>
        <w:ind w:left="5760" w:hanging="360"/>
      </w:pPr>
    </w:lvl>
    <w:lvl w:ilvl="8" w:tplc="838AABDC">
      <w:start w:val="1"/>
      <w:numFmt w:val="lowerRoman"/>
      <w:lvlText w:val="%9."/>
      <w:lvlJc w:val="right"/>
      <w:pPr>
        <w:ind w:left="6480" w:hanging="180"/>
      </w:pPr>
    </w:lvl>
  </w:abstractNum>
  <w:abstractNum w:abstractNumId="9" w15:restartNumberingAfterBreak="0">
    <w:nsid w:val="090B0D72"/>
    <w:multiLevelType w:val="hybridMultilevel"/>
    <w:tmpl w:val="FFFFFFFF"/>
    <w:lvl w:ilvl="0" w:tplc="78C2429E">
      <w:start w:val="1"/>
      <w:numFmt w:val="decimal"/>
      <w:lvlText w:val="%1."/>
      <w:lvlJc w:val="left"/>
      <w:pPr>
        <w:ind w:left="720" w:hanging="360"/>
      </w:pPr>
      <w:rPr>
        <w:rFonts w:ascii="Times New Roman" w:hAnsi="Times New Roman" w:hint="default"/>
      </w:rPr>
    </w:lvl>
    <w:lvl w:ilvl="1" w:tplc="F900F632">
      <w:start w:val="1"/>
      <w:numFmt w:val="lowerLetter"/>
      <w:lvlText w:val="%2."/>
      <w:lvlJc w:val="left"/>
      <w:pPr>
        <w:ind w:left="1440" w:hanging="360"/>
      </w:pPr>
    </w:lvl>
    <w:lvl w:ilvl="2" w:tplc="88CA2AD2">
      <w:start w:val="1"/>
      <w:numFmt w:val="lowerRoman"/>
      <w:lvlText w:val="%3."/>
      <w:lvlJc w:val="right"/>
      <w:pPr>
        <w:ind w:left="2160" w:hanging="180"/>
      </w:pPr>
    </w:lvl>
    <w:lvl w:ilvl="3" w:tplc="24D2F1F6">
      <w:start w:val="1"/>
      <w:numFmt w:val="decimal"/>
      <w:lvlText w:val="%4."/>
      <w:lvlJc w:val="left"/>
      <w:pPr>
        <w:ind w:left="2880" w:hanging="360"/>
      </w:pPr>
    </w:lvl>
    <w:lvl w:ilvl="4" w:tplc="015EEA44">
      <w:start w:val="1"/>
      <w:numFmt w:val="lowerLetter"/>
      <w:lvlText w:val="%5."/>
      <w:lvlJc w:val="left"/>
      <w:pPr>
        <w:ind w:left="3600" w:hanging="360"/>
      </w:pPr>
    </w:lvl>
    <w:lvl w:ilvl="5" w:tplc="C92649EC">
      <w:start w:val="1"/>
      <w:numFmt w:val="lowerRoman"/>
      <w:lvlText w:val="%6."/>
      <w:lvlJc w:val="right"/>
      <w:pPr>
        <w:ind w:left="4320" w:hanging="180"/>
      </w:pPr>
    </w:lvl>
    <w:lvl w:ilvl="6" w:tplc="4FC815AA">
      <w:start w:val="1"/>
      <w:numFmt w:val="decimal"/>
      <w:lvlText w:val="%7."/>
      <w:lvlJc w:val="left"/>
      <w:pPr>
        <w:ind w:left="5040" w:hanging="360"/>
      </w:pPr>
    </w:lvl>
    <w:lvl w:ilvl="7" w:tplc="5BFE835C">
      <w:start w:val="1"/>
      <w:numFmt w:val="lowerLetter"/>
      <w:lvlText w:val="%8."/>
      <w:lvlJc w:val="left"/>
      <w:pPr>
        <w:ind w:left="5760" w:hanging="360"/>
      </w:pPr>
    </w:lvl>
    <w:lvl w:ilvl="8" w:tplc="02B2C0E6">
      <w:start w:val="1"/>
      <w:numFmt w:val="lowerRoman"/>
      <w:lvlText w:val="%9."/>
      <w:lvlJc w:val="right"/>
      <w:pPr>
        <w:ind w:left="6480" w:hanging="180"/>
      </w:pPr>
    </w:lvl>
  </w:abstractNum>
  <w:abstractNum w:abstractNumId="10" w15:restartNumberingAfterBreak="0">
    <w:nsid w:val="099D6AD5"/>
    <w:multiLevelType w:val="multilevel"/>
    <w:tmpl w:val="993A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9E27FE"/>
    <w:multiLevelType w:val="multilevel"/>
    <w:tmpl w:val="D9B8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15E116"/>
    <w:multiLevelType w:val="hybridMultilevel"/>
    <w:tmpl w:val="FFFFFFFF"/>
    <w:lvl w:ilvl="0" w:tplc="AA32F228">
      <w:start w:val="1"/>
      <w:numFmt w:val="decimal"/>
      <w:lvlText w:val="%1."/>
      <w:lvlJc w:val="left"/>
      <w:pPr>
        <w:ind w:left="720" w:hanging="360"/>
      </w:pPr>
    </w:lvl>
    <w:lvl w:ilvl="1" w:tplc="8F4CF5C6">
      <w:start w:val="4"/>
      <w:numFmt w:val="lowerLetter"/>
      <w:lvlText w:val="%2."/>
      <w:lvlJc w:val="left"/>
      <w:pPr>
        <w:ind w:left="1440" w:hanging="360"/>
      </w:pPr>
      <w:rPr>
        <w:rFonts w:ascii="Times New Roman" w:hAnsi="Times New Roman" w:hint="default"/>
      </w:rPr>
    </w:lvl>
    <w:lvl w:ilvl="2" w:tplc="766A38C4">
      <w:start w:val="1"/>
      <w:numFmt w:val="lowerRoman"/>
      <w:lvlText w:val="%3."/>
      <w:lvlJc w:val="right"/>
      <w:pPr>
        <w:ind w:left="2160" w:hanging="180"/>
      </w:pPr>
    </w:lvl>
    <w:lvl w:ilvl="3" w:tplc="1B2E04DC">
      <w:start w:val="1"/>
      <w:numFmt w:val="decimal"/>
      <w:lvlText w:val="%4."/>
      <w:lvlJc w:val="left"/>
      <w:pPr>
        <w:ind w:left="2880" w:hanging="360"/>
      </w:pPr>
    </w:lvl>
    <w:lvl w:ilvl="4" w:tplc="A88804D2">
      <w:start w:val="1"/>
      <w:numFmt w:val="lowerLetter"/>
      <w:lvlText w:val="%5."/>
      <w:lvlJc w:val="left"/>
      <w:pPr>
        <w:ind w:left="3600" w:hanging="360"/>
      </w:pPr>
    </w:lvl>
    <w:lvl w:ilvl="5" w:tplc="4544D4B2">
      <w:start w:val="1"/>
      <w:numFmt w:val="lowerRoman"/>
      <w:lvlText w:val="%6."/>
      <w:lvlJc w:val="right"/>
      <w:pPr>
        <w:ind w:left="4320" w:hanging="180"/>
      </w:pPr>
    </w:lvl>
    <w:lvl w:ilvl="6" w:tplc="2E1EAF24">
      <w:start w:val="1"/>
      <w:numFmt w:val="decimal"/>
      <w:lvlText w:val="%7."/>
      <w:lvlJc w:val="left"/>
      <w:pPr>
        <w:ind w:left="5040" w:hanging="360"/>
      </w:pPr>
    </w:lvl>
    <w:lvl w:ilvl="7" w:tplc="89726AEE">
      <w:start w:val="1"/>
      <w:numFmt w:val="lowerLetter"/>
      <w:lvlText w:val="%8."/>
      <w:lvlJc w:val="left"/>
      <w:pPr>
        <w:ind w:left="5760" w:hanging="360"/>
      </w:pPr>
    </w:lvl>
    <w:lvl w:ilvl="8" w:tplc="A5D08500">
      <w:start w:val="1"/>
      <w:numFmt w:val="lowerRoman"/>
      <w:lvlText w:val="%9."/>
      <w:lvlJc w:val="right"/>
      <w:pPr>
        <w:ind w:left="6480" w:hanging="180"/>
      </w:pPr>
    </w:lvl>
  </w:abstractNum>
  <w:abstractNum w:abstractNumId="13" w15:restartNumberingAfterBreak="0">
    <w:nsid w:val="0AD7058A"/>
    <w:multiLevelType w:val="hybridMultilevel"/>
    <w:tmpl w:val="FFFFFFFF"/>
    <w:lvl w:ilvl="0" w:tplc="7F3A5368">
      <w:start w:val="1"/>
      <w:numFmt w:val="decimal"/>
      <w:lvlText w:val="%1."/>
      <w:lvlJc w:val="left"/>
      <w:pPr>
        <w:ind w:left="720" w:hanging="360"/>
      </w:pPr>
      <w:rPr>
        <w:rFonts w:ascii="Times New Roman" w:hAnsi="Times New Roman" w:hint="default"/>
      </w:rPr>
    </w:lvl>
    <w:lvl w:ilvl="1" w:tplc="554E0DEA">
      <w:start w:val="1"/>
      <w:numFmt w:val="lowerLetter"/>
      <w:lvlText w:val="%2."/>
      <w:lvlJc w:val="left"/>
      <w:pPr>
        <w:ind w:left="1440" w:hanging="360"/>
      </w:pPr>
    </w:lvl>
    <w:lvl w:ilvl="2" w:tplc="2B56C6A8">
      <w:start w:val="1"/>
      <w:numFmt w:val="lowerRoman"/>
      <w:lvlText w:val="%3."/>
      <w:lvlJc w:val="right"/>
      <w:pPr>
        <w:ind w:left="2160" w:hanging="180"/>
      </w:pPr>
    </w:lvl>
    <w:lvl w:ilvl="3" w:tplc="D62260A6">
      <w:start w:val="1"/>
      <w:numFmt w:val="decimal"/>
      <w:lvlText w:val="%4."/>
      <w:lvlJc w:val="left"/>
      <w:pPr>
        <w:ind w:left="2880" w:hanging="360"/>
      </w:pPr>
    </w:lvl>
    <w:lvl w:ilvl="4" w:tplc="1CBA8A84">
      <w:start w:val="1"/>
      <w:numFmt w:val="lowerLetter"/>
      <w:lvlText w:val="%5."/>
      <w:lvlJc w:val="left"/>
      <w:pPr>
        <w:ind w:left="3600" w:hanging="360"/>
      </w:pPr>
    </w:lvl>
    <w:lvl w:ilvl="5" w:tplc="5712AF5A">
      <w:start w:val="1"/>
      <w:numFmt w:val="lowerRoman"/>
      <w:lvlText w:val="%6."/>
      <w:lvlJc w:val="right"/>
      <w:pPr>
        <w:ind w:left="4320" w:hanging="180"/>
      </w:pPr>
    </w:lvl>
    <w:lvl w:ilvl="6" w:tplc="C5F250EC">
      <w:start w:val="1"/>
      <w:numFmt w:val="decimal"/>
      <w:lvlText w:val="%7."/>
      <w:lvlJc w:val="left"/>
      <w:pPr>
        <w:ind w:left="5040" w:hanging="360"/>
      </w:pPr>
    </w:lvl>
    <w:lvl w:ilvl="7" w:tplc="E05EF2D4">
      <w:start w:val="1"/>
      <w:numFmt w:val="lowerLetter"/>
      <w:lvlText w:val="%8."/>
      <w:lvlJc w:val="left"/>
      <w:pPr>
        <w:ind w:left="5760" w:hanging="360"/>
      </w:pPr>
    </w:lvl>
    <w:lvl w:ilvl="8" w:tplc="32DC9910">
      <w:start w:val="1"/>
      <w:numFmt w:val="lowerRoman"/>
      <w:lvlText w:val="%9."/>
      <w:lvlJc w:val="right"/>
      <w:pPr>
        <w:ind w:left="6480" w:hanging="180"/>
      </w:pPr>
    </w:lvl>
  </w:abstractNum>
  <w:abstractNum w:abstractNumId="14" w15:restartNumberingAfterBreak="0">
    <w:nsid w:val="0B4B1EED"/>
    <w:multiLevelType w:val="hybridMultilevel"/>
    <w:tmpl w:val="31865C8C"/>
    <w:lvl w:ilvl="0" w:tplc="C12EBB2A">
      <w:start w:val="3"/>
      <w:numFmt w:val="decimal"/>
      <w:lvlText w:val="%1."/>
      <w:lvlJc w:val="left"/>
      <w:pPr>
        <w:ind w:left="720" w:hanging="360"/>
      </w:pPr>
      <w:rPr>
        <w:rFonts w:ascii="Times New Roman" w:hAnsi="Times New Roman" w:hint="default"/>
      </w:rPr>
    </w:lvl>
    <w:lvl w:ilvl="1" w:tplc="CBEE00E4">
      <w:start w:val="1"/>
      <w:numFmt w:val="lowerLetter"/>
      <w:lvlText w:val="%2."/>
      <w:lvlJc w:val="left"/>
      <w:pPr>
        <w:ind w:left="1440" w:hanging="360"/>
      </w:pPr>
    </w:lvl>
    <w:lvl w:ilvl="2" w:tplc="6368FB10">
      <w:start w:val="1"/>
      <w:numFmt w:val="lowerRoman"/>
      <w:lvlText w:val="%3."/>
      <w:lvlJc w:val="right"/>
      <w:pPr>
        <w:ind w:left="2160" w:hanging="180"/>
      </w:pPr>
    </w:lvl>
    <w:lvl w:ilvl="3" w:tplc="6128BFEE">
      <w:start w:val="1"/>
      <w:numFmt w:val="decimal"/>
      <w:lvlText w:val="%4."/>
      <w:lvlJc w:val="left"/>
      <w:pPr>
        <w:ind w:left="2880" w:hanging="360"/>
      </w:pPr>
    </w:lvl>
    <w:lvl w:ilvl="4" w:tplc="93FE1720">
      <w:start w:val="1"/>
      <w:numFmt w:val="lowerLetter"/>
      <w:lvlText w:val="%5."/>
      <w:lvlJc w:val="left"/>
      <w:pPr>
        <w:ind w:left="3600" w:hanging="360"/>
      </w:pPr>
    </w:lvl>
    <w:lvl w:ilvl="5" w:tplc="6EEAA70E">
      <w:start w:val="1"/>
      <w:numFmt w:val="lowerRoman"/>
      <w:lvlText w:val="%6."/>
      <w:lvlJc w:val="right"/>
      <w:pPr>
        <w:ind w:left="4320" w:hanging="180"/>
      </w:pPr>
    </w:lvl>
    <w:lvl w:ilvl="6" w:tplc="45F072F0">
      <w:start w:val="1"/>
      <w:numFmt w:val="decimal"/>
      <w:lvlText w:val="%7."/>
      <w:lvlJc w:val="left"/>
      <w:pPr>
        <w:ind w:left="5040" w:hanging="360"/>
      </w:pPr>
    </w:lvl>
    <w:lvl w:ilvl="7" w:tplc="D4E03E2A">
      <w:start w:val="1"/>
      <w:numFmt w:val="lowerLetter"/>
      <w:lvlText w:val="%8."/>
      <w:lvlJc w:val="left"/>
      <w:pPr>
        <w:ind w:left="5760" w:hanging="360"/>
      </w:pPr>
    </w:lvl>
    <w:lvl w:ilvl="8" w:tplc="250819FE">
      <w:start w:val="1"/>
      <w:numFmt w:val="lowerRoman"/>
      <w:lvlText w:val="%9."/>
      <w:lvlJc w:val="right"/>
      <w:pPr>
        <w:ind w:left="6480" w:hanging="180"/>
      </w:pPr>
    </w:lvl>
  </w:abstractNum>
  <w:abstractNum w:abstractNumId="15" w15:restartNumberingAfterBreak="0">
    <w:nsid w:val="0C9F6B9C"/>
    <w:multiLevelType w:val="hybridMultilevel"/>
    <w:tmpl w:val="FFFFFFFF"/>
    <w:lvl w:ilvl="0" w:tplc="1F1CF860">
      <w:start w:val="1"/>
      <w:numFmt w:val="decimal"/>
      <w:lvlText w:val="%1."/>
      <w:lvlJc w:val="left"/>
      <w:pPr>
        <w:ind w:left="720" w:hanging="360"/>
      </w:pPr>
    </w:lvl>
    <w:lvl w:ilvl="1" w:tplc="1CECD014">
      <w:start w:val="1"/>
      <w:numFmt w:val="lowerLetter"/>
      <w:lvlText w:val="%2."/>
      <w:lvlJc w:val="left"/>
      <w:pPr>
        <w:ind w:left="1440" w:hanging="360"/>
      </w:pPr>
    </w:lvl>
    <w:lvl w:ilvl="2" w:tplc="1F28B110">
      <w:start w:val="2"/>
      <w:numFmt w:val="lowerRoman"/>
      <w:lvlText w:val="%3."/>
      <w:lvlJc w:val="right"/>
      <w:pPr>
        <w:ind w:left="2160" w:hanging="180"/>
      </w:pPr>
      <w:rPr>
        <w:rFonts w:ascii="Times New Roman" w:hAnsi="Times New Roman" w:hint="default"/>
      </w:rPr>
    </w:lvl>
    <w:lvl w:ilvl="3" w:tplc="6240CE46">
      <w:start w:val="1"/>
      <w:numFmt w:val="decimal"/>
      <w:lvlText w:val="%4."/>
      <w:lvlJc w:val="left"/>
      <w:pPr>
        <w:ind w:left="2880" w:hanging="360"/>
      </w:pPr>
    </w:lvl>
    <w:lvl w:ilvl="4" w:tplc="0EF6443E">
      <w:start w:val="1"/>
      <w:numFmt w:val="lowerLetter"/>
      <w:lvlText w:val="%5."/>
      <w:lvlJc w:val="left"/>
      <w:pPr>
        <w:ind w:left="3600" w:hanging="360"/>
      </w:pPr>
    </w:lvl>
    <w:lvl w:ilvl="5" w:tplc="505C494A">
      <w:start w:val="1"/>
      <w:numFmt w:val="lowerRoman"/>
      <w:lvlText w:val="%6."/>
      <w:lvlJc w:val="right"/>
      <w:pPr>
        <w:ind w:left="4320" w:hanging="180"/>
      </w:pPr>
    </w:lvl>
    <w:lvl w:ilvl="6" w:tplc="F10CFB36">
      <w:start w:val="1"/>
      <w:numFmt w:val="decimal"/>
      <w:lvlText w:val="%7."/>
      <w:lvlJc w:val="left"/>
      <w:pPr>
        <w:ind w:left="5040" w:hanging="360"/>
      </w:pPr>
    </w:lvl>
    <w:lvl w:ilvl="7" w:tplc="03788E14">
      <w:start w:val="1"/>
      <w:numFmt w:val="lowerLetter"/>
      <w:lvlText w:val="%8."/>
      <w:lvlJc w:val="left"/>
      <w:pPr>
        <w:ind w:left="5760" w:hanging="360"/>
      </w:pPr>
    </w:lvl>
    <w:lvl w:ilvl="8" w:tplc="0B6EF2D2">
      <w:start w:val="1"/>
      <w:numFmt w:val="lowerRoman"/>
      <w:lvlText w:val="%9."/>
      <w:lvlJc w:val="right"/>
      <w:pPr>
        <w:ind w:left="6480" w:hanging="180"/>
      </w:pPr>
    </w:lvl>
  </w:abstractNum>
  <w:abstractNum w:abstractNumId="16" w15:restartNumberingAfterBreak="0">
    <w:nsid w:val="0D26221E"/>
    <w:multiLevelType w:val="hybridMultilevel"/>
    <w:tmpl w:val="D1205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55763F"/>
    <w:multiLevelType w:val="hybridMultilevel"/>
    <w:tmpl w:val="3650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2975D1"/>
    <w:multiLevelType w:val="hybridMultilevel"/>
    <w:tmpl w:val="FFFFFFFF"/>
    <w:lvl w:ilvl="0" w:tplc="9498F6B2">
      <w:start w:val="3"/>
      <w:numFmt w:val="decimal"/>
      <w:lvlText w:val="%1."/>
      <w:lvlJc w:val="left"/>
      <w:pPr>
        <w:ind w:left="720" w:hanging="360"/>
      </w:pPr>
      <w:rPr>
        <w:rFonts w:ascii="Times New Roman" w:hAnsi="Times New Roman" w:hint="default"/>
      </w:rPr>
    </w:lvl>
    <w:lvl w:ilvl="1" w:tplc="BF6AE624">
      <w:start w:val="1"/>
      <w:numFmt w:val="lowerLetter"/>
      <w:lvlText w:val="%2."/>
      <w:lvlJc w:val="left"/>
      <w:pPr>
        <w:ind w:left="1440" w:hanging="360"/>
      </w:pPr>
    </w:lvl>
    <w:lvl w:ilvl="2" w:tplc="B79A10C0">
      <w:start w:val="1"/>
      <w:numFmt w:val="lowerRoman"/>
      <w:lvlText w:val="%3."/>
      <w:lvlJc w:val="right"/>
      <w:pPr>
        <w:ind w:left="2160" w:hanging="180"/>
      </w:pPr>
    </w:lvl>
    <w:lvl w:ilvl="3" w:tplc="1026C5DA">
      <w:start w:val="1"/>
      <w:numFmt w:val="decimal"/>
      <w:lvlText w:val="%4."/>
      <w:lvlJc w:val="left"/>
      <w:pPr>
        <w:ind w:left="2880" w:hanging="360"/>
      </w:pPr>
    </w:lvl>
    <w:lvl w:ilvl="4" w:tplc="D3F4CEBC">
      <w:start w:val="1"/>
      <w:numFmt w:val="lowerLetter"/>
      <w:lvlText w:val="%5."/>
      <w:lvlJc w:val="left"/>
      <w:pPr>
        <w:ind w:left="3600" w:hanging="360"/>
      </w:pPr>
    </w:lvl>
    <w:lvl w:ilvl="5" w:tplc="7AB638CA">
      <w:start w:val="1"/>
      <w:numFmt w:val="lowerRoman"/>
      <w:lvlText w:val="%6."/>
      <w:lvlJc w:val="right"/>
      <w:pPr>
        <w:ind w:left="4320" w:hanging="180"/>
      </w:pPr>
    </w:lvl>
    <w:lvl w:ilvl="6" w:tplc="27461260">
      <w:start w:val="1"/>
      <w:numFmt w:val="decimal"/>
      <w:lvlText w:val="%7."/>
      <w:lvlJc w:val="left"/>
      <w:pPr>
        <w:ind w:left="5040" w:hanging="360"/>
      </w:pPr>
    </w:lvl>
    <w:lvl w:ilvl="7" w:tplc="715C6454">
      <w:start w:val="1"/>
      <w:numFmt w:val="lowerLetter"/>
      <w:lvlText w:val="%8."/>
      <w:lvlJc w:val="left"/>
      <w:pPr>
        <w:ind w:left="5760" w:hanging="360"/>
      </w:pPr>
    </w:lvl>
    <w:lvl w:ilvl="8" w:tplc="884E7A16">
      <w:start w:val="1"/>
      <w:numFmt w:val="lowerRoman"/>
      <w:lvlText w:val="%9."/>
      <w:lvlJc w:val="right"/>
      <w:pPr>
        <w:ind w:left="6480" w:hanging="180"/>
      </w:pPr>
    </w:lvl>
  </w:abstractNum>
  <w:abstractNum w:abstractNumId="19" w15:restartNumberingAfterBreak="0">
    <w:nsid w:val="13E2602A"/>
    <w:multiLevelType w:val="hybridMultilevel"/>
    <w:tmpl w:val="FFFFFFFF"/>
    <w:lvl w:ilvl="0" w:tplc="D6587B48">
      <w:start w:val="5"/>
      <w:numFmt w:val="decimal"/>
      <w:lvlText w:val="%1."/>
      <w:lvlJc w:val="left"/>
      <w:pPr>
        <w:ind w:left="720" w:hanging="360"/>
      </w:pPr>
      <w:rPr>
        <w:rFonts w:ascii="Times New Roman" w:hAnsi="Times New Roman" w:hint="default"/>
      </w:rPr>
    </w:lvl>
    <w:lvl w:ilvl="1" w:tplc="D8B408E6">
      <w:start w:val="1"/>
      <w:numFmt w:val="lowerLetter"/>
      <w:lvlText w:val="%2."/>
      <w:lvlJc w:val="left"/>
      <w:pPr>
        <w:ind w:left="1440" w:hanging="360"/>
      </w:pPr>
    </w:lvl>
    <w:lvl w:ilvl="2" w:tplc="E3A02F62">
      <w:start w:val="1"/>
      <w:numFmt w:val="lowerRoman"/>
      <w:lvlText w:val="%3."/>
      <w:lvlJc w:val="right"/>
      <w:pPr>
        <w:ind w:left="2160" w:hanging="180"/>
      </w:pPr>
    </w:lvl>
    <w:lvl w:ilvl="3" w:tplc="280259AE">
      <w:start w:val="1"/>
      <w:numFmt w:val="decimal"/>
      <w:lvlText w:val="%4."/>
      <w:lvlJc w:val="left"/>
      <w:pPr>
        <w:ind w:left="2880" w:hanging="360"/>
      </w:pPr>
    </w:lvl>
    <w:lvl w:ilvl="4" w:tplc="E63880A0">
      <w:start w:val="1"/>
      <w:numFmt w:val="lowerLetter"/>
      <w:lvlText w:val="%5."/>
      <w:lvlJc w:val="left"/>
      <w:pPr>
        <w:ind w:left="3600" w:hanging="360"/>
      </w:pPr>
    </w:lvl>
    <w:lvl w:ilvl="5" w:tplc="155CBF7C">
      <w:start w:val="1"/>
      <w:numFmt w:val="lowerRoman"/>
      <w:lvlText w:val="%6."/>
      <w:lvlJc w:val="right"/>
      <w:pPr>
        <w:ind w:left="4320" w:hanging="180"/>
      </w:pPr>
    </w:lvl>
    <w:lvl w:ilvl="6" w:tplc="9A1482B0">
      <w:start w:val="1"/>
      <w:numFmt w:val="decimal"/>
      <w:lvlText w:val="%7."/>
      <w:lvlJc w:val="left"/>
      <w:pPr>
        <w:ind w:left="5040" w:hanging="360"/>
      </w:pPr>
    </w:lvl>
    <w:lvl w:ilvl="7" w:tplc="2AD0B9A6">
      <w:start w:val="1"/>
      <w:numFmt w:val="lowerLetter"/>
      <w:lvlText w:val="%8."/>
      <w:lvlJc w:val="left"/>
      <w:pPr>
        <w:ind w:left="5760" w:hanging="360"/>
      </w:pPr>
    </w:lvl>
    <w:lvl w:ilvl="8" w:tplc="8724EE88">
      <w:start w:val="1"/>
      <w:numFmt w:val="lowerRoman"/>
      <w:lvlText w:val="%9."/>
      <w:lvlJc w:val="right"/>
      <w:pPr>
        <w:ind w:left="6480" w:hanging="180"/>
      </w:pPr>
    </w:lvl>
  </w:abstractNum>
  <w:abstractNum w:abstractNumId="20" w15:restartNumberingAfterBreak="0">
    <w:nsid w:val="14C00778"/>
    <w:multiLevelType w:val="hybridMultilevel"/>
    <w:tmpl w:val="FFFFFFFF"/>
    <w:lvl w:ilvl="0" w:tplc="287695BE">
      <w:start w:val="1"/>
      <w:numFmt w:val="decimal"/>
      <w:lvlText w:val="%1."/>
      <w:lvlJc w:val="left"/>
      <w:pPr>
        <w:ind w:left="720" w:hanging="360"/>
      </w:pPr>
    </w:lvl>
    <w:lvl w:ilvl="1" w:tplc="190C5136">
      <w:start w:val="6"/>
      <w:numFmt w:val="lowerLetter"/>
      <w:lvlText w:val="%2."/>
      <w:lvlJc w:val="left"/>
      <w:pPr>
        <w:ind w:left="1440" w:hanging="360"/>
      </w:pPr>
      <w:rPr>
        <w:rFonts w:ascii="Times New Roman" w:hAnsi="Times New Roman" w:hint="default"/>
      </w:rPr>
    </w:lvl>
    <w:lvl w:ilvl="2" w:tplc="1A7EA8A2">
      <w:start w:val="1"/>
      <w:numFmt w:val="lowerRoman"/>
      <w:lvlText w:val="%3."/>
      <w:lvlJc w:val="right"/>
      <w:pPr>
        <w:ind w:left="2160" w:hanging="180"/>
      </w:pPr>
    </w:lvl>
    <w:lvl w:ilvl="3" w:tplc="D6FAF304">
      <w:start w:val="1"/>
      <w:numFmt w:val="decimal"/>
      <w:lvlText w:val="%4."/>
      <w:lvlJc w:val="left"/>
      <w:pPr>
        <w:ind w:left="2880" w:hanging="360"/>
      </w:pPr>
    </w:lvl>
    <w:lvl w:ilvl="4" w:tplc="72BAB576">
      <w:start w:val="1"/>
      <w:numFmt w:val="lowerLetter"/>
      <w:lvlText w:val="%5."/>
      <w:lvlJc w:val="left"/>
      <w:pPr>
        <w:ind w:left="3600" w:hanging="360"/>
      </w:pPr>
    </w:lvl>
    <w:lvl w:ilvl="5" w:tplc="2182C9A2">
      <w:start w:val="1"/>
      <w:numFmt w:val="lowerRoman"/>
      <w:lvlText w:val="%6."/>
      <w:lvlJc w:val="right"/>
      <w:pPr>
        <w:ind w:left="4320" w:hanging="180"/>
      </w:pPr>
    </w:lvl>
    <w:lvl w:ilvl="6" w:tplc="F1EC932A">
      <w:start w:val="1"/>
      <w:numFmt w:val="decimal"/>
      <w:lvlText w:val="%7."/>
      <w:lvlJc w:val="left"/>
      <w:pPr>
        <w:ind w:left="5040" w:hanging="360"/>
      </w:pPr>
    </w:lvl>
    <w:lvl w:ilvl="7" w:tplc="57AE0280">
      <w:start w:val="1"/>
      <w:numFmt w:val="lowerLetter"/>
      <w:lvlText w:val="%8."/>
      <w:lvlJc w:val="left"/>
      <w:pPr>
        <w:ind w:left="5760" w:hanging="360"/>
      </w:pPr>
    </w:lvl>
    <w:lvl w:ilvl="8" w:tplc="2FFAEE06">
      <w:start w:val="1"/>
      <w:numFmt w:val="lowerRoman"/>
      <w:lvlText w:val="%9."/>
      <w:lvlJc w:val="right"/>
      <w:pPr>
        <w:ind w:left="6480" w:hanging="180"/>
      </w:pPr>
    </w:lvl>
  </w:abstractNum>
  <w:abstractNum w:abstractNumId="21" w15:restartNumberingAfterBreak="0">
    <w:nsid w:val="14D9005E"/>
    <w:multiLevelType w:val="multilevel"/>
    <w:tmpl w:val="7164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C8547C"/>
    <w:multiLevelType w:val="multilevel"/>
    <w:tmpl w:val="D7AEC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2514D7"/>
    <w:multiLevelType w:val="hybridMultilevel"/>
    <w:tmpl w:val="FFFFFFFF"/>
    <w:lvl w:ilvl="0" w:tplc="1D92DCCC">
      <w:start w:val="5"/>
      <w:numFmt w:val="decimal"/>
      <w:lvlText w:val="%1."/>
      <w:lvlJc w:val="left"/>
      <w:pPr>
        <w:ind w:left="720" w:hanging="360"/>
      </w:pPr>
      <w:rPr>
        <w:rFonts w:ascii="Times New Roman" w:hAnsi="Times New Roman" w:hint="default"/>
      </w:rPr>
    </w:lvl>
    <w:lvl w:ilvl="1" w:tplc="05A60FEE">
      <w:start w:val="1"/>
      <w:numFmt w:val="lowerLetter"/>
      <w:lvlText w:val="%2."/>
      <w:lvlJc w:val="left"/>
      <w:pPr>
        <w:ind w:left="1440" w:hanging="360"/>
      </w:pPr>
    </w:lvl>
    <w:lvl w:ilvl="2" w:tplc="7444E236">
      <w:start w:val="1"/>
      <w:numFmt w:val="lowerRoman"/>
      <w:lvlText w:val="%3."/>
      <w:lvlJc w:val="right"/>
      <w:pPr>
        <w:ind w:left="2160" w:hanging="180"/>
      </w:pPr>
    </w:lvl>
    <w:lvl w:ilvl="3" w:tplc="CEE6C686">
      <w:start w:val="1"/>
      <w:numFmt w:val="decimal"/>
      <w:lvlText w:val="%4."/>
      <w:lvlJc w:val="left"/>
      <w:pPr>
        <w:ind w:left="2880" w:hanging="360"/>
      </w:pPr>
    </w:lvl>
    <w:lvl w:ilvl="4" w:tplc="7CF65BB4">
      <w:start w:val="1"/>
      <w:numFmt w:val="lowerLetter"/>
      <w:lvlText w:val="%5."/>
      <w:lvlJc w:val="left"/>
      <w:pPr>
        <w:ind w:left="3600" w:hanging="360"/>
      </w:pPr>
    </w:lvl>
    <w:lvl w:ilvl="5" w:tplc="6E2E799E">
      <w:start w:val="1"/>
      <w:numFmt w:val="lowerRoman"/>
      <w:lvlText w:val="%6."/>
      <w:lvlJc w:val="right"/>
      <w:pPr>
        <w:ind w:left="4320" w:hanging="180"/>
      </w:pPr>
    </w:lvl>
    <w:lvl w:ilvl="6" w:tplc="0ABC1802">
      <w:start w:val="1"/>
      <w:numFmt w:val="decimal"/>
      <w:lvlText w:val="%7."/>
      <w:lvlJc w:val="left"/>
      <w:pPr>
        <w:ind w:left="5040" w:hanging="360"/>
      </w:pPr>
    </w:lvl>
    <w:lvl w:ilvl="7" w:tplc="6C72D41A">
      <w:start w:val="1"/>
      <w:numFmt w:val="lowerLetter"/>
      <w:lvlText w:val="%8."/>
      <w:lvlJc w:val="left"/>
      <w:pPr>
        <w:ind w:left="5760" w:hanging="360"/>
      </w:pPr>
    </w:lvl>
    <w:lvl w:ilvl="8" w:tplc="90381C04">
      <w:start w:val="1"/>
      <w:numFmt w:val="lowerRoman"/>
      <w:lvlText w:val="%9."/>
      <w:lvlJc w:val="right"/>
      <w:pPr>
        <w:ind w:left="6480" w:hanging="180"/>
      </w:pPr>
    </w:lvl>
  </w:abstractNum>
  <w:abstractNum w:abstractNumId="24" w15:restartNumberingAfterBreak="0">
    <w:nsid w:val="168237DC"/>
    <w:multiLevelType w:val="hybridMultilevel"/>
    <w:tmpl w:val="FFFFFFFF"/>
    <w:lvl w:ilvl="0" w:tplc="BE6E2E66">
      <w:start w:val="1"/>
      <w:numFmt w:val="bullet"/>
      <w:lvlText w:val=""/>
      <w:lvlJc w:val="left"/>
      <w:pPr>
        <w:ind w:left="2880" w:hanging="360"/>
      </w:pPr>
      <w:rPr>
        <w:rFonts w:ascii="Wingdings" w:hAnsi="Wingdings" w:hint="default"/>
      </w:rPr>
    </w:lvl>
    <w:lvl w:ilvl="1" w:tplc="5C86E2FA">
      <w:start w:val="1"/>
      <w:numFmt w:val="bullet"/>
      <w:lvlText w:val="o"/>
      <w:lvlJc w:val="left"/>
      <w:pPr>
        <w:ind w:left="1440" w:hanging="360"/>
      </w:pPr>
      <w:rPr>
        <w:rFonts w:ascii="Courier New" w:hAnsi="Courier New" w:hint="default"/>
      </w:rPr>
    </w:lvl>
    <w:lvl w:ilvl="2" w:tplc="36688886">
      <w:start w:val="1"/>
      <w:numFmt w:val="bullet"/>
      <w:lvlText w:val=""/>
      <w:lvlJc w:val="left"/>
      <w:pPr>
        <w:ind w:left="2160" w:hanging="360"/>
      </w:pPr>
      <w:rPr>
        <w:rFonts w:ascii="Wingdings" w:hAnsi="Wingdings" w:hint="default"/>
      </w:rPr>
    </w:lvl>
    <w:lvl w:ilvl="3" w:tplc="F3A0015A">
      <w:start w:val="1"/>
      <w:numFmt w:val="bullet"/>
      <w:lvlText w:val=""/>
      <w:lvlJc w:val="left"/>
      <w:pPr>
        <w:ind w:left="2880" w:hanging="360"/>
      </w:pPr>
      <w:rPr>
        <w:rFonts w:ascii="Symbol" w:hAnsi="Symbol" w:hint="default"/>
      </w:rPr>
    </w:lvl>
    <w:lvl w:ilvl="4" w:tplc="2C24EDBC">
      <w:start w:val="1"/>
      <w:numFmt w:val="bullet"/>
      <w:lvlText w:val="o"/>
      <w:lvlJc w:val="left"/>
      <w:pPr>
        <w:ind w:left="3600" w:hanging="360"/>
      </w:pPr>
      <w:rPr>
        <w:rFonts w:ascii="Courier New" w:hAnsi="Courier New" w:hint="default"/>
      </w:rPr>
    </w:lvl>
    <w:lvl w:ilvl="5" w:tplc="C8784C88">
      <w:start w:val="1"/>
      <w:numFmt w:val="bullet"/>
      <w:lvlText w:val=""/>
      <w:lvlJc w:val="left"/>
      <w:pPr>
        <w:ind w:left="4320" w:hanging="360"/>
      </w:pPr>
      <w:rPr>
        <w:rFonts w:ascii="Wingdings" w:hAnsi="Wingdings" w:hint="default"/>
      </w:rPr>
    </w:lvl>
    <w:lvl w:ilvl="6" w:tplc="5218C0AE">
      <w:start w:val="1"/>
      <w:numFmt w:val="bullet"/>
      <w:lvlText w:val=""/>
      <w:lvlJc w:val="left"/>
      <w:pPr>
        <w:ind w:left="5040" w:hanging="360"/>
      </w:pPr>
      <w:rPr>
        <w:rFonts w:ascii="Symbol" w:hAnsi="Symbol" w:hint="default"/>
      </w:rPr>
    </w:lvl>
    <w:lvl w:ilvl="7" w:tplc="5B5C340A">
      <w:start w:val="1"/>
      <w:numFmt w:val="bullet"/>
      <w:lvlText w:val="o"/>
      <w:lvlJc w:val="left"/>
      <w:pPr>
        <w:ind w:left="5760" w:hanging="360"/>
      </w:pPr>
      <w:rPr>
        <w:rFonts w:ascii="Courier New" w:hAnsi="Courier New" w:hint="default"/>
      </w:rPr>
    </w:lvl>
    <w:lvl w:ilvl="8" w:tplc="D29428F6">
      <w:start w:val="1"/>
      <w:numFmt w:val="bullet"/>
      <w:lvlText w:val=""/>
      <w:lvlJc w:val="left"/>
      <w:pPr>
        <w:ind w:left="6480" w:hanging="360"/>
      </w:pPr>
      <w:rPr>
        <w:rFonts w:ascii="Wingdings" w:hAnsi="Wingdings" w:hint="default"/>
      </w:rPr>
    </w:lvl>
  </w:abstractNum>
  <w:abstractNum w:abstractNumId="25" w15:restartNumberingAfterBreak="0">
    <w:nsid w:val="16AE3FEE"/>
    <w:multiLevelType w:val="multilevel"/>
    <w:tmpl w:val="89F6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5054CA"/>
    <w:multiLevelType w:val="hybridMultilevel"/>
    <w:tmpl w:val="FFFFFFFF"/>
    <w:lvl w:ilvl="0" w:tplc="CC2C4C08">
      <w:start w:val="1"/>
      <w:numFmt w:val="decimal"/>
      <w:lvlText w:val="%1."/>
      <w:lvlJc w:val="left"/>
      <w:pPr>
        <w:ind w:left="720" w:hanging="360"/>
      </w:pPr>
    </w:lvl>
    <w:lvl w:ilvl="1" w:tplc="654CA26E">
      <w:start w:val="2"/>
      <w:numFmt w:val="lowerLetter"/>
      <w:lvlText w:val="%2."/>
      <w:lvlJc w:val="left"/>
      <w:pPr>
        <w:ind w:left="1440" w:hanging="360"/>
      </w:pPr>
      <w:rPr>
        <w:rFonts w:ascii="Times New Roman" w:hAnsi="Times New Roman" w:hint="default"/>
      </w:rPr>
    </w:lvl>
    <w:lvl w:ilvl="2" w:tplc="CEFAC698">
      <w:start w:val="1"/>
      <w:numFmt w:val="lowerRoman"/>
      <w:lvlText w:val="%3."/>
      <w:lvlJc w:val="right"/>
      <w:pPr>
        <w:ind w:left="2160" w:hanging="180"/>
      </w:pPr>
    </w:lvl>
    <w:lvl w:ilvl="3" w:tplc="29E4768E">
      <w:start w:val="1"/>
      <w:numFmt w:val="decimal"/>
      <w:lvlText w:val="%4."/>
      <w:lvlJc w:val="left"/>
      <w:pPr>
        <w:ind w:left="2880" w:hanging="360"/>
      </w:pPr>
    </w:lvl>
    <w:lvl w:ilvl="4" w:tplc="8D5C6A6E">
      <w:start w:val="1"/>
      <w:numFmt w:val="lowerLetter"/>
      <w:lvlText w:val="%5."/>
      <w:lvlJc w:val="left"/>
      <w:pPr>
        <w:ind w:left="3600" w:hanging="360"/>
      </w:pPr>
    </w:lvl>
    <w:lvl w:ilvl="5" w:tplc="7FC63EB0">
      <w:start w:val="1"/>
      <w:numFmt w:val="lowerRoman"/>
      <w:lvlText w:val="%6."/>
      <w:lvlJc w:val="right"/>
      <w:pPr>
        <w:ind w:left="4320" w:hanging="180"/>
      </w:pPr>
    </w:lvl>
    <w:lvl w:ilvl="6" w:tplc="5AF6F3A4">
      <w:start w:val="1"/>
      <w:numFmt w:val="decimal"/>
      <w:lvlText w:val="%7."/>
      <w:lvlJc w:val="left"/>
      <w:pPr>
        <w:ind w:left="5040" w:hanging="360"/>
      </w:pPr>
    </w:lvl>
    <w:lvl w:ilvl="7" w:tplc="7318D0A0">
      <w:start w:val="1"/>
      <w:numFmt w:val="lowerLetter"/>
      <w:lvlText w:val="%8."/>
      <w:lvlJc w:val="left"/>
      <w:pPr>
        <w:ind w:left="5760" w:hanging="360"/>
      </w:pPr>
    </w:lvl>
    <w:lvl w:ilvl="8" w:tplc="37540A1E">
      <w:start w:val="1"/>
      <w:numFmt w:val="lowerRoman"/>
      <w:lvlText w:val="%9."/>
      <w:lvlJc w:val="right"/>
      <w:pPr>
        <w:ind w:left="6480" w:hanging="180"/>
      </w:pPr>
    </w:lvl>
  </w:abstractNum>
  <w:abstractNum w:abstractNumId="27" w15:restartNumberingAfterBreak="0">
    <w:nsid w:val="180533C5"/>
    <w:multiLevelType w:val="hybridMultilevel"/>
    <w:tmpl w:val="92262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3243E3"/>
    <w:multiLevelType w:val="hybridMultilevel"/>
    <w:tmpl w:val="FFFFFFFF"/>
    <w:lvl w:ilvl="0" w:tplc="3AFAFA58">
      <w:start w:val="1"/>
      <w:numFmt w:val="decimal"/>
      <w:lvlText w:val="%1."/>
      <w:lvlJc w:val="left"/>
      <w:pPr>
        <w:ind w:left="720" w:hanging="360"/>
      </w:pPr>
    </w:lvl>
    <w:lvl w:ilvl="1" w:tplc="AE66FAA0">
      <w:start w:val="3"/>
      <w:numFmt w:val="lowerLetter"/>
      <w:lvlText w:val="%2."/>
      <w:lvlJc w:val="left"/>
      <w:pPr>
        <w:ind w:left="1440" w:hanging="360"/>
      </w:pPr>
      <w:rPr>
        <w:rFonts w:ascii="Times New Roman" w:hAnsi="Times New Roman" w:hint="default"/>
      </w:rPr>
    </w:lvl>
    <w:lvl w:ilvl="2" w:tplc="588EA548">
      <w:start w:val="1"/>
      <w:numFmt w:val="lowerRoman"/>
      <w:lvlText w:val="%3."/>
      <w:lvlJc w:val="right"/>
      <w:pPr>
        <w:ind w:left="2160" w:hanging="180"/>
      </w:pPr>
    </w:lvl>
    <w:lvl w:ilvl="3" w:tplc="5E28794A">
      <w:start w:val="1"/>
      <w:numFmt w:val="decimal"/>
      <w:lvlText w:val="%4."/>
      <w:lvlJc w:val="left"/>
      <w:pPr>
        <w:ind w:left="2880" w:hanging="360"/>
      </w:pPr>
    </w:lvl>
    <w:lvl w:ilvl="4" w:tplc="86FCF4BE">
      <w:start w:val="1"/>
      <w:numFmt w:val="lowerLetter"/>
      <w:lvlText w:val="%5."/>
      <w:lvlJc w:val="left"/>
      <w:pPr>
        <w:ind w:left="3600" w:hanging="360"/>
      </w:pPr>
    </w:lvl>
    <w:lvl w:ilvl="5" w:tplc="B4022518">
      <w:start w:val="1"/>
      <w:numFmt w:val="lowerRoman"/>
      <w:lvlText w:val="%6."/>
      <w:lvlJc w:val="right"/>
      <w:pPr>
        <w:ind w:left="4320" w:hanging="180"/>
      </w:pPr>
    </w:lvl>
    <w:lvl w:ilvl="6" w:tplc="5484CC0C">
      <w:start w:val="1"/>
      <w:numFmt w:val="decimal"/>
      <w:lvlText w:val="%7."/>
      <w:lvlJc w:val="left"/>
      <w:pPr>
        <w:ind w:left="5040" w:hanging="360"/>
      </w:pPr>
    </w:lvl>
    <w:lvl w:ilvl="7" w:tplc="8AC2B934">
      <w:start w:val="1"/>
      <w:numFmt w:val="lowerLetter"/>
      <w:lvlText w:val="%8."/>
      <w:lvlJc w:val="left"/>
      <w:pPr>
        <w:ind w:left="5760" w:hanging="360"/>
      </w:pPr>
    </w:lvl>
    <w:lvl w:ilvl="8" w:tplc="A6EAEDC4">
      <w:start w:val="1"/>
      <w:numFmt w:val="lowerRoman"/>
      <w:lvlText w:val="%9."/>
      <w:lvlJc w:val="right"/>
      <w:pPr>
        <w:ind w:left="6480" w:hanging="180"/>
      </w:pPr>
    </w:lvl>
  </w:abstractNum>
  <w:abstractNum w:abstractNumId="29" w15:restartNumberingAfterBreak="0">
    <w:nsid w:val="1C4420A1"/>
    <w:multiLevelType w:val="hybridMultilevel"/>
    <w:tmpl w:val="FFFFFFFF"/>
    <w:lvl w:ilvl="0" w:tplc="6050633A">
      <w:start w:val="1"/>
      <w:numFmt w:val="decimal"/>
      <w:lvlText w:val="%1."/>
      <w:lvlJc w:val="left"/>
      <w:pPr>
        <w:ind w:left="720" w:hanging="360"/>
      </w:pPr>
    </w:lvl>
    <w:lvl w:ilvl="1" w:tplc="0470BFA8">
      <w:start w:val="1"/>
      <w:numFmt w:val="lowerLetter"/>
      <w:lvlText w:val="%2."/>
      <w:lvlJc w:val="left"/>
      <w:pPr>
        <w:ind w:left="1440" w:hanging="360"/>
      </w:pPr>
    </w:lvl>
    <w:lvl w:ilvl="2" w:tplc="0616B83E">
      <w:start w:val="1"/>
      <w:numFmt w:val="lowerRoman"/>
      <w:lvlText w:val="%3."/>
      <w:lvlJc w:val="right"/>
      <w:pPr>
        <w:ind w:left="2160" w:hanging="180"/>
      </w:pPr>
    </w:lvl>
    <w:lvl w:ilvl="3" w:tplc="B0982A5E">
      <w:start w:val="1"/>
      <w:numFmt w:val="decimal"/>
      <w:lvlText w:val="%4."/>
      <w:lvlJc w:val="left"/>
      <w:pPr>
        <w:ind w:left="2880" w:hanging="360"/>
      </w:pPr>
    </w:lvl>
    <w:lvl w:ilvl="4" w:tplc="E454139E">
      <w:start w:val="1"/>
      <w:numFmt w:val="lowerLetter"/>
      <w:lvlText w:val="%5."/>
      <w:lvlJc w:val="left"/>
      <w:pPr>
        <w:ind w:left="3600" w:hanging="360"/>
      </w:pPr>
    </w:lvl>
    <w:lvl w:ilvl="5" w:tplc="E7FC6EA4">
      <w:start w:val="1"/>
      <w:numFmt w:val="lowerRoman"/>
      <w:lvlText w:val="%6."/>
      <w:lvlJc w:val="right"/>
      <w:pPr>
        <w:ind w:left="4320" w:hanging="180"/>
      </w:pPr>
    </w:lvl>
    <w:lvl w:ilvl="6" w:tplc="EDE2759A">
      <w:start w:val="1"/>
      <w:numFmt w:val="decimal"/>
      <w:lvlText w:val="%7."/>
      <w:lvlJc w:val="left"/>
      <w:pPr>
        <w:ind w:left="5040" w:hanging="360"/>
      </w:pPr>
    </w:lvl>
    <w:lvl w:ilvl="7" w:tplc="13C4939E">
      <w:start w:val="1"/>
      <w:numFmt w:val="lowerLetter"/>
      <w:lvlText w:val="%8."/>
      <w:lvlJc w:val="left"/>
      <w:pPr>
        <w:ind w:left="5760" w:hanging="360"/>
      </w:pPr>
    </w:lvl>
    <w:lvl w:ilvl="8" w:tplc="BF688DD8">
      <w:start w:val="1"/>
      <w:numFmt w:val="lowerRoman"/>
      <w:lvlText w:val="%9."/>
      <w:lvlJc w:val="right"/>
      <w:pPr>
        <w:ind w:left="6480" w:hanging="180"/>
      </w:pPr>
    </w:lvl>
  </w:abstractNum>
  <w:abstractNum w:abstractNumId="30" w15:restartNumberingAfterBreak="0">
    <w:nsid w:val="1C9D32C1"/>
    <w:multiLevelType w:val="hybridMultilevel"/>
    <w:tmpl w:val="FFFFFFFF"/>
    <w:lvl w:ilvl="0" w:tplc="7592D4D8">
      <w:start w:val="1"/>
      <w:numFmt w:val="decimal"/>
      <w:lvlText w:val="%1."/>
      <w:lvlJc w:val="left"/>
      <w:pPr>
        <w:ind w:left="720" w:hanging="360"/>
      </w:pPr>
    </w:lvl>
    <w:lvl w:ilvl="1" w:tplc="E34C6CA0">
      <w:start w:val="5"/>
      <w:numFmt w:val="lowerLetter"/>
      <w:lvlText w:val="%2."/>
      <w:lvlJc w:val="left"/>
      <w:pPr>
        <w:ind w:left="1440" w:hanging="360"/>
      </w:pPr>
      <w:rPr>
        <w:rFonts w:ascii="Times New Roman" w:hAnsi="Times New Roman" w:hint="default"/>
      </w:rPr>
    </w:lvl>
    <w:lvl w:ilvl="2" w:tplc="CE0891B4">
      <w:start w:val="1"/>
      <w:numFmt w:val="lowerRoman"/>
      <w:lvlText w:val="%3."/>
      <w:lvlJc w:val="right"/>
      <w:pPr>
        <w:ind w:left="2160" w:hanging="180"/>
      </w:pPr>
    </w:lvl>
    <w:lvl w:ilvl="3" w:tplc="50E2476C">
      <w:start w:val="1"/>
      <w:numFmt w:val="decimal"/>
      <w:lvlText w:val="%4."/>
      <w:lvlJc w:val="left"/>
      <w:pPr>
        <w:ind w:left="2880" w:hanging="360"/>
      </w:pPr>
    </w:lvl>
    <w:lvl w:ilvl="4" w:tplc="8BCEC548">
      <w:start w:val="1"/>
      <w:numFmt w:val="lowerLetter"/>
      <w:lvlText w:val="%5."/>
      <w:lvlJc w:val="left"/>
      <w:pPr>
        <w:ind w:left="3600" w:hanging="360"/>
      </w:pPr>
    </w:lvl>
    <w:lvl w:ilvl="5" w:tplc="082490C4">
      <w:start w:val="1"/>
      <w:numFmt w:val="lowerRoman"/>
      <w:lvlText w:val="%6."/>
      <w:lvlJc w:val="right"/>
      <w:pPr>
        <w:ind w:left="4320" w:hanging="180"/>
      </w:pPr>
    </w:lvl>
    <w:lvl w:ilvl="6" w:tplc="124C47C2">
      <w:start w:val="1"/>
      <w:numFmt w:val="decimal"/>
      <w:lvlText w:val="%7."/>
      <w:lvlJc w:val="left"/>
      <w:pPr>
        <w:ind w:left="5040" w:hanging="360"/>
      </w:pPr>
    </w:lvl>
    <w:lvl w:ilvl="7" w:tplc="2A346850">
      <w:start w:val="1"/>
      <w:numFmt w:val="lowerLetter"/>
      <w:lvlText w:val="%8."/>
      <w:lvlJc w:val="left"/>
      <w:pPr>
        <w:ind w:left="5760" w:hanging="360"/>
      </w:pPr>
    </w:lvl>
    <w:lvl w:ilvl="8" w:tplc="24A89B8E">
      <w:start w:val="1"/>
      <w:numFmt w:val="lowerRoman"/>
      <w:lvlText w:val="%9."/>
      <w:lvlJc w:val="right"/>
      <w:pPr>
        <w:ind w:left="6480" w:hanging="180"/>
      </w:pPr>
    </w:lvl>
  </w:abstractNum>
  <w:abstractNum w:abstractNumId="31" w15:restartNumberingAfterBreak="0">
    <w:nsid w:val="1CA21B74"/>
    <w:multiLevelType w:val="hybridMultilevel"/>
    <w:tmpl w:val="C81EC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6D0299"/>
    <w:multiLevelType w:val="hybridMultilevel"/>
    <w:tmpl w:val="B6267994"/>
    <w:lvl w:ilvl="0" w:tplc="BF20C9A8">
      <w:start w:val="1"/>
      <w:numFmt w:val="decimal"/>
      <w:lvlText w:val="%1)"/>
      <w:lvlJc w:val="left"/>
      <w:pPr>
        <w:ind w:left="1020" w:hanging="360"/>
      </w:pPr>
    </w:lvl>
    <w:lvl w:ilvl="1" w:tplc="B7E206E6">
      <w:start w:val="1"/>
      <w:numFmt w:val="decimal"/>
      <w:lvlText w:val="%2)"/>
      <w:lvlJc w:val="left"/>
      <w:pPr>
        <w:ind w:left="1020" w:hanging="360"/>
      </w:pPr>
    </w:lvl>
    <w:lvl w:ilvl="2" w:tplc="254E85FC">
      <w:start w:val="1"/>
      <w:numFmt w:val="decimal"/>
      <w:lvlText w:val="%3)"/>
      <w:lvlJc w:val="left"/>
      <w:pPr>
        <w:ind w:left="1020" w:hanging="360"/>
      </w:pPr>
    </w:lvl>
    <w:lvl w:ilvl="3" w:tplc="B2D06500">
      <w:start w:val="1"/>
      <w:numFmt w:val="decimal"/>
      <w:lvlText w:val="%4)"/>
      <w:lvlJc w:val="left"/>
      <w:pPr>
        <w:ind w:left="1020" w:hanging="360"/>
      </w:pPr>
    </w:lvl>
    <w:lvl w:ilvl="4" w:tplc="0660DC4A">
      <w:start w:val="1"/>
      <w:numFmt w:val="decimal"/>
      <w:lvlText w:val="%5)"/>
      <w:lvlJc w:val="left"/>
      <w:pPr>
        <w:ind w:left="1020" w:hanging="360"/>
      </w:pPr>
    </w:lvl>
    <w:lvl w:ilvl="5" w:tplc="96E420EA">
      <w:start w:val="1"/>
      <w:numFmt w:val="decimal"/>
      <w:lvlText w:val="%6)"/>
      <w:lvlJc w:val="left"/>
      <w:pPr>
        <w:ind w:left="1020" w:hanging="360"/>
      </w:pPr>
    </w:lvl>
    <w:lvl w:ilvl="6" w:tplc="210070CA">
      <w:start w:val="1"/>
      <w:numFmt w:val="decimal"/>
      <w:lvlText w:val="%7)"/>
      <w:lvlJc w:val="left"/>
      <w:pPr>
        <w:ind w:left="1020" w:hanging="360"/>
      </w:pPr>
    </w:lvl>
    <w:lvl w:ilvl="7" w:tplc="4FEA13C2">
      <w:start w:val="1"/>
      <w:numFmt w:val="decimal"/>
      <w:lvlText w:val="%8)"/>
      <w:lvlJc w:val="left"/>
      <w:pPr>
        <w:ind w:left="1020" w:hanging="360"/>
      </w:pPr>
    </w:lvl>
    <w:lvl w:ilvl="8" w:tplc="4A06173C">
      <w:start w:val="1"/>
      <w:numFmt w:val="decimal"/>
      <w:lvlText w:val="%9)"/>
      <w:lvlJc w:val="left"/>
      <w:pPr>
        <w:ind w:left="1020" w:hanging="360"/>
      </w:pPr>
    </w:lvl>
  </w:abstractNum>
  <w:abstractNum w:abstractNumId="33" w15:restartNumberingAfterBreak="0">
    <w:nsid w:val="214F3CBC"/>
    <w:multiLevelType w:val="hybridMultilevel"/>
    <w:tmpl w:val="FFFFFFFF"/>
    <w:lvl w:ilvl="0" w:tplc="103083A2">
      <w:start w:val="1"/>
      <w:numFmt w:val="decimal"/>
      <w:lvlText w:val="%1."/>
      <w:lvlJc w:val="left"/>
      <w:pPr>
        <w:ind w:left="720" w:hanging="360"/>
      </w:pPr>
    </w:lvl>
    <w:lvl w:ilvl="1" w:tplc="86A4B800">
      <w:start w:val="2"/>
      <w:numFmt w:val="lowerLetter"/>
      <w:lvlText w:val="%2."/>
      <w:lvlJc w:val="left"/>
      <w:pPr>
        <w:ind w:left="1440" w:hanging="360"/>
      </w:pPr>
      <w:rPr>
        <w:rFonts w:ascii="Times New Roman" w:hAnsi="Times New Roman" w:hint="default"/>
      </w:rPr>
    </w:lvl>
    <w:lvl w:ilvl="2" w:tplc="689821F8">
      <w:start w:val="1"/>
      <w:numFmt w:val="lowerRoman"/>
      <w:lvlText w:val="%3."/>
      <w:lvlJc w:val="right"/>
      <w:pPr>
        <w:ind w:left="2160" w:hanging="180"/>
      </w:pPr>
    </w:lvl>
    <w:lvl w:ilvl="3" w:tplc="92E283F8">
      <w:start w:val="1"/>
      <w:numFmt w:val="decimal"/>
      <w:lvlText w:val="%4."/>
      <w:lvlJc w:val="left"/>
      <w:pPr>
        <w:ind w:left="2880" w:hanging="360"/>
      </w:pPr>
    </w:lvl>
    <w:lvl w:ilvl="4" w:tplc="63448D1E">
      <w:start w:val="1"/>
      <w:numFmt w:val="lowerLetter"/>
      <w:lvlText w:val="%5."/>
      <w:lvlJc w:val="left"/>
      <w:pPr>
        <w:ind w:left="3600" w:hanging="360"/>
      </w:pPr>
    </w:lvl>
    <w:lvl w:ilvl="5" w:tplc="260621E4">
      <w:start w:val="1"/>
      <w:numFmt w:val="lowerRoman"/>
      <w:lvlText w:val="%6."/>
      <w:lvlJc w:val="right"/>
      <w:pPr>
        <w:ind w:left="4320" w:hanging="180"/>
      </w:pPr>
    </w:lvl>
    <w:lvl w:ilvl="6" w:tplc="A1025D5C">
      <w:start w:val="1"/>
      <w:numFmt w:val="decimal"/>
      <w:lvlText w:val="%7."/>
      <w:lvlJc w:val="left"/>
      <w:pPr>
        <w:ind w:left="5040" w:hanging="360"/>
      </w:pPr>
    </w:lvl>
    <w:lvl w:ilvl="7" w:tplc="EDF45EB2">
      <w:start w:val="1"/>
      <w:numFmt w:val="lowerLetter"/>
      <w:lvlText w:val="%8."/>
      <w:lvlJc w:val="left"/>
      <w:pPr>
        <w:ind w:left="5760" w:hanging="360"/>
      </w:pPr>
    </w:lvl>
    <w:lvl w:ilvl="8" w:tplc="39BE7E04">
      <w:start w:val="1"/>
      <w:numFmt w:val="lowerRoman"/>
      <w:lvlText w:val="%9."/>
      <w:lvlJc w:val="right"/>
      <w:pPr>
        <w:ind w:left="6480" w:hanging="180"/>
      </w:pPr>
    </w:lvl>
  </w:abstractNum>
  <w:abstractNum w:abstractNumId="34" w15:restartNumberingAfterBreak="0">
    <w:nsid w:val="246279C3"/>
    <w:multiLevelType w:val="hybridMultilevel"/>
    <w:tmpl w:val="4E928988"/>
    <w:lvl w:ilvl="0" w:tplc="8AFC75D0">
      <w:start w:val="1"/>
      <w:numFmt w:val="decimal"/>
      <w:pStyle w:val="AIBChapter3"/>
      <w:lvlText w:val="AIB-%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9B8B70"/>
    <w:multiLevelType w:val="hybridMultilevel"/>
    <w:tmpl w:val="B91A985C"/>
    <w:lvl w:ilvl="0" w:tplc="9AFC30CE">
      <w:start w:val="1"/>
      <w:numFmt w:val="decimal"/>
      <w:lvlText w:val="%1."/>
      <w:lvlJc w:val="left"/>
      <w:pPr>
        <w:ind w:left="720" w:hanging="360"/>
      </w:pPr>
      <w:rPr>
        <w:rFonts w:ascii="Times New Roman" w:hAnsi="Times New Roman" w:hint="default"/>
      </w:rPr>
    </w:lvl>
    <w:lvl w:ilvl="1" w:tplc="A4722DA6">
      <w:start w:val="1"/>
      <w:numFmt w:val="lowerLetter"/>
      <w:lvlText w:val="%2."/>
      <w:lvlJc w:val="left"/>
      <w:pPr>
        <w:ind w:left="1440" w:hanging="360"/>
      </w:pPr>
    </w:lvl>
    <w:lvl w:ilvl="2" w:tplc="A2809788">
      <w:start w:val="1"/>
      <w:numFmt w:val="lowerRoman"/>
      <w:lvlText w:val="%3."/>
      <w:lvlJc w:val="right"/>
      <w:pPr>
        <w:ind w:left="2160" w:hanging="180"/>
      </w:pPr>
    </w:lvl>
    <w:lvl w:ilvl="3" w:tplc="C71E3FA8">
      <w:start w:val="1"/>
      <w:numFmt w:val="decimal"/>
      <w:lvlText w:val="%4."/>
      <w:lvlJc w:val="left"/>
      <w:pPr>
        <w:ind w:left="2880" w:hanging="360"/>
      </w:pPr>
    </w:lvl>
    <w:lvl w:ilvl="4" w:tplc="8B4A40C4">
      <w:start w:val="1"/>
      <w:numFmt w:val="lowerLetter"/>
      <w:lvlText w:val="%5."/>
      <w:lvlJc w:val="left"/>
      <w:pPr>
        <w:ind w:left="3600" w:hanging="360"/>
      </w:pPr>
    </w:lvl>
    <w:lvl w:ilvl="5" w:tplc="F9C21CB0">
      <w:start w:val="1"/>
      <w:numFmt w:val="lowerRoman"/>
      <w:lvlText w:val="%6."/>
      <w:lvlJc w:val="right"/>
      <w:pPr>
        <w:ind w:left="4320" w:hanging="180"/>
      </w:pPr>
    </w:lvl>
    <w:lvl w:ilvl="6" w:tplc="F9F84566">
      <w:start w:val="1"/>
      <w:numFmt w:val="decimal"/>
      <w:lvlText w:val="%7."/>
      <w:lvlJc w:val="left"/>
      <w:pPr>
        <w:ind w:left="5040" w:hanging="360"/>
      </w:pPr>
    </w:lvl>
    <w:lvl w:ilvl="7" w:tplc="EB50DA82">
      <w:start w:val="1"/>
      <w:numFmt w:val="lowerLetter"/>
      <w:lvlText w:val="%8."/>
      <w:lvlJc w:val="left"/>
      <w:pPr>
        <w:ind w:left="5760" w:hanging="360"/>
      </w:pPr>
    </w:lvl>
    <w:lvl w:ilvl="8" w:tplc="35928BAA">
      <w:start w:val="1"/>
      <w:numFmt w:val="lowerRoman"/>
      <w:lvlText w:val="%9."/>
      <w:lvlJc w:val="right"/>
      <w:pPr>
        <w:ind w:left="6480" w:hanging="180"/>
      </w:pPr>
    </w:lvl>
  </w:abstractNum>
  <w:abstractNum w:abstractNumId="36" w15:restartNumberingAfterBreak="0">
    <w:nsid w:val="24A92757"/>
    <w:multiLevelType w:val="hybridMultilevel"/>
    <w:tmpl w:val="FFFFFFFF"/>
    <w:lvl w:ilvl="0" w:tplc="A39E9762">
      <w:start w:val="1"/>
      <w:numFmt w:val="decimal"/>
      <w:lvlText w:val="%1."/>
      <w:lvlJc w:val="left"/>
      <w:pPr>
        <w:ind w:left="720" w:hanging="360"/>
      </w:pPr>
    </w:lvl>
    <w:lvl w:ilvl="1" w:tplc="FEACD6EC">
      <w:start w:val="1"/>
      <w:numFmt w:val="lowerLetter"/>
      <w:lvlText w:val="%2."/>
      <w:lvlJc w:val="left"/>
      <w:pPr>
        <w:ind w:left="1440" w:hanging="360"/>
      </w:pPr>
      <w:rPr>
        <w:rFonts w:ascii="Times New Roman" w:hAnsi="Times New Roman" w:hint="default"/>
      </w:rPr>
    </w:lvl>
    <w:lvl w:ilvl="2" w:tplc="A2DAFA02">
      <w:start w:val="1"/>
      <w:numFmt w:val="lowerRoman"/>
      <w:lvlText w:val="%3."/>
      <w:lvlJc w:val="right"/>
      <w:pPr>
        <w:ind w:left="2160" w:hanging="180"/>
      </w:pPr>
    </w:lvl>
    <w:lvl w:ilvl="3" w:tplc="D1F09F50">
      <w:start w:val="1"/>
      <w:numFmt w:val="decimal"/>
      <w:lvlText w:val="%4."/>
      <w:lvlJc w:val="left"/>
      <w:pPr>
        <w:ind w:left="2880" w:hanging="360"/>
      </w:pPr>
    </w:lvl>
    <w:lvl w:ilvl="4" w:tplc="28909BD0">
      <w:start w:val="1"/>
      <w:numFmt w:val="lowerLetter"/>
      <w:lvlText w:val="%5."/>
      <w:lvlJc w:val="left"/>
      <w:pPr>
        <w:ind w:left="3600" w:hanging="360"/>
      </w:pPr>
    </w:lvl>
    <w:lvl w:ilvl="5" w:tplc="0C06A4E6">
      <w:start w:val="1"/>
      <w:numFmt w:val="lowerRoman"/>
      <w:lvlText w:val="%6."/>
      <w:lvlJc w:val="right"/>
      <w:pPr>
        <w:ind w:left="4320" w:hanging="180"/>
      </w:pPr>
    </w:lvl>
    <w:lvl w:ilvl="6" w:tplc="9D52CD48">
      <w:start w:val="1"/>
      <w:numFmt w:val="decimal"/>
      <w:lvlText w:val="%7."/>
      <w:lvlJc w:val="left"/>
      <w:pPr>
        <w:ind w:left="5040" w:hanging="360"/>
      </w:pPr>
    </w:lvl>
    <w:lvl w:ilvl="7" w:tplc="CD5AA728">
      <w:start w:val="1"/>
      <w:numFmt w:val="lowerLetter"/>
      <w:lvlText w:val="%8."/>
      <w:lvlJc w:val="left"/>
      <w:pPr>
        <w:ind w:left="5760" w:hanging="360"/>
      </w:pPr>
    </w:lvl>
    <w:lvl w:ilvl="8" w:tplc="33F6ADA0">
      <w:start w:val="1"/>
      <w:numFmt w:val="lowerRoman"/>
      <w:lvlText w:val="%9."/>
      <w:lvlJc w:val="right"/>
      <w:pPr>
        <w:ind w:left="6480" w:hanging="180"/>
      </w:pPr>
    </w:lvl>
  </w:abstractNum>
  <w:abstractNum w:abstractNumId="37" w15:restartNumberingAfterBreak="0">
    <w:nsid w:val="24B32A5D"/>
    <w:multiLevelType w:val="hybridMultilevel"/>
    <w:tmpl w:val="FFFFFFFF"/>
    <w:lvl w:ilvl="0" w:tplc="CDBE6D90">
      <w:start w:val="1"/>
      <w:numFmt w:val="bullet"/>
      <w:lvlText w:val=""/>
      <w:lvlJc w:val="left"/>
      <w:pPr>
        <w:ind w:left="2880" w:hanging="360"/>
      </w:pPr>
      <w:rPr>
        <w:rFonts w:ascii="Wingdings" w:hAnsi="Wingdings" w:hint="default"/>
      </w:rPr>
    </w:lvl>
    <w:lvl w:ilvl="1" w:tplc="8DEABA70">
      <w:start w:val="1"/>
      <w:numFmt w:val="bullet"/>
      <w:lvlText w:val="o"/>
      <w:lvlJc w:val="left"/>
      <w:pPr>
        <w:ind w:left="1440" w:hanging="360"/>
      </w:pPr>
      <w:rPr>
        <w:rFonts w:ascii="Courier New" w:hAnsi="Courier New" w:hint="default"/>
      </w:rPr>
    </w:lvl>
    <w:lvl w:ilvl="2" w:tplc="F188A382">
      <w:start w:val="1"/>
      <w:numFmt w:val="bullet"/>
      <w:lvlText w:val=""/>
      <w:lvlJc w:val="left"/>
      <w:pPr>
        <w:ind w:left="2160" w:hanging="360"/>
      </w:pPr>
      <w:rPr>
        <w:rFonts w:ascii="Wingdings" w:hAnsi="Wingdings" w:hint="default"/>
      </w:rPr>
    </w:lvl>
    <w:lvl w:ilvl="3" w:tplc="2BE8C492">
      <w:start w:val="1"/>
      <w:numFmt w:val="bullet"/>
      <w:lvlText w:val=""/>
      <w:lvlJc w:val="left"/>
      <w:pPr>
        <w:ind w:left="2880" w:hanging="360"/>
      </w:pPr>
      <w:rPr>
        <w:rFonts w:ascii="Symbol" w:hAnsi="Symbol" w:hint="default"/>
      </w:rPr>
    </w:lvl>
    <w:lvl w:ilvl="4" w:tplc="C0A6265E">
      <w:start w:val="1"/>
      <w:numFmt w:val="bullet"/>
      <w:lvlText w:val="o"/>
      <w:lvlJc w:val="left"/>
      <w:pPr>
        <w:ind w:left="3600" w:hanging="360"/>
      </w:pPr>
      <w:rPr>
        <w:rFonts w:ascii="Courier New" w:hAnsi="Courier New" w:hint="default"/>
      </w:rPr>
    </w:lvl>
    <w:lvl w:ilvl="5" w:tplc="49B2BCCC">
      <w:start w:val="1"/>
      <w:numFmt w:val="bullet"/>
      <w:lvlText w:val=""/>
      <w:lvlJc w:val="left"/>
      <w:pPr>
        <w:ind w:left="4320" w:hanging="360"/>
      </w:pPr>
      <w:rPr>
        <w:rFonts w:ascii="Wingdings" w:hAnsi="Wingdings" w:hint="default"/>
      </w:rPr>
    </w:lvl>
    <w:lvl w:ilvl="6" w:tplc="5F6C39E0">
      <w:start w:val="1"/>
      <w:numFmt w:val="bullet"/>
      <w:lvlText w:val=""/>
      <w:lvlJc w:val="left"/>
      <w:pPr>
        <w:ind w:left="5040" w:hanging="360"/>
      </w:pPr>
      <w:rPr>
        <w:rFonts w:ascii="Symbol" w:hAnsi="Symbol" w:hint="default"/>
      </w:rPr>
    </w:lvl>
    <w:lvl w:ilvl="7" w:tplc="AC2A4662">
      <w:start w:val="1"/>
      <w:numFmt w:val="bullet"/>
      <w:lvlText w:val="o"/>
      <w:lvlJc w:val="left"/>
      <w:pPr>
        <w:ind w:left="5760" w:hanging="360"/>
      </w:pPr>
      <w:rPr>
        <w:rFonts w:ascii="Courier New" w:hAnsi="Courier New" w:hint="default"/>
      </w:rPr>
    </w:lvl>
    <w:lvl w:ilvl="8" w:tplc="B330B84E">
      <w:start w:val="1"/>
      <w:numFmt w:val="bullet"/>
      <w:lvlText w:val=""/>
      <w:lvlJc w:val="left"/>
      <w:pPr>
        <w:ind w:left="6480" w:hanging="360"/>
      </w:pPr>
      <w:rPr>
        <w:rFonts w:ascii="Wingdings" w:hAnsi="Wingdings" w:hint="default"/>
      </w:rPr>
    </w:lvl>
  </w:abstractNum>
  <w:abstractNum w:abstractNumId="38" w15:restartNumberingAfterBreak="0">
    <w:nsid w:val="252D0A6D"/>
    <w:multiLevelType w:val="hybridMultilevel"/>
    <w:tmpl w:val="FFFFFFFF"/>
    <w:lvl w:ilvl="0" w:tplc="76C045A4">
      <w:start w:val="1"/>
      <w:numFmt w:val="decimal"/>
      <w:lvlText w:val="%1."/>
      <w:lvlJc w:val="left"/>
      <w:pPr>
        <w:ind w:left="720" w:hanging="360"/>
      </w:pPr>
    </w:lvl>
    <w:lvl w:ilvl="1" w:tplc="1D0CDCF6">
      <w:start w:val="4"/>
      <w:numFmt w:val="lowerLetter"/>
      <w:lvlText w:val="%2."/>
      <w:lvlJc w:val="left"/>
      <w:pPr>
        <w:ind w:left="1440" w:hanging="360"/>
      </w:pPr>
      <w:rPr>
        <w:rFonts w:ascii="Times New Roman" w:hAnsi="Times New Roman" w:hint="default"/>
      </w:rPr>
    </w:lvl>
    <w:lvl w:ilvl="2" w:tplc="783CF716">
      <w:start w:val="1"/>
      <w:numFmt w:val="lowerRoman"/>
      <w:lvlText w:val="%3."/>
      <w:lvlJc w:val="right"/>
      <w:pPr>
        <w:ind w:left="2160" w:hanging="180"/>
      </w:pPr>
    </w:lvl>
    <w:lvl w:ilvl="3" w:tplc="8FFEA84A">
      <w:start w:val="1"/>
      <w:numFmt w:val="decimal"/>
      <w:lvlText w:val="%4."/>
      <w:lvlJc w:val="left"/>
      <w:pPr>
        <w:ind w:left="2880" w:hanging="360"/>
      </w:pPr>
    </w:lvl>
    <w:lvl w:ilvl="4" w:tplc="B194034A">
      <w:start w:val="1"/>
      <w:numFmt w:val="lowerLetter"/>
      <w:lvlText w:val="%5."/>
      <w:lvlJc w:val="left"/>
      <w:pPr>
        <w:ind w:left="3600" w:hanging="360"/>
      </w:pPr>
    </w:lvl>
    <w:lvl w:ilvl="5" w:tplc="81B0BB74">
      <w:start w:val="1"/>
      <w:numFmt w:val="lowerRoman"/>
      <w:lvlText w:val="%6."/>
      <w:lvlJc w:val="right"/>
      <w:pPr>
        <w:ind w:left="4320" w:hanging="180"/>
      </w:pPr>
    </w:lvl>
    <w:lvl w:ilvl="6" w:tplc="03E00CC4">
      <w:start w:val="1"/>
      <w:numFmt w:val="decimal"/>
      <w:lvlText w:val="%7."/>
      <w:lvlJc w:val="left"/>
      <w:pPr>
        <w:ind w:left="5040" w:hanging="360"/>
      </w:pPr>
    </w:lvl>
    <w:lvl w:ilvl="7" w:tplc="05E21EF2">
      <w:start w:val="1"/>
      <w:numFmt w:val="lowerLetter"/>
      <w:lvlText w:val="%8."/>
      <w:lvlJc w:val="left"/>
      <w:pPr>
        <w:ind w:left="5760" w:hanging="360"/>
      </w:pPr>
    </w:lvl>
    <w:lvl w:ilvl="8" w:tplc="7D5249C4">
      <w:start w:val="1"/>
      <w:numFmt w:val="lowerRoman"/>
      <w:lvlText w:val="%9."/>
      <w:lvlJc w:val="right"/>
      <w:pPr>
        <w:ind w:left="6480" w:hanging="180"/>
      </w:pPr>
    </w:lvl>
  </w:abstractNum>
  <w:abstractNum w:abstractNumId="39" w15:restartNumberingAfterBreak="0">
    <w:nsid w:val="256257AE"/>
    <w:multiLevelType w:val="multilevel"/>
    <w:tmpl w:val="12824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621CF4D"/>
    <w:multiLevelType w:val="hybridMultilevel"/>
    <w:tmpl w:val="FFFFFFFF"/>
    <w:lvl w:ilvl="0" w:tplc="3B08FB5A">
      <w:start w:val="1"/>
      <w:numFmt w:val="lowerLetter"/>
      <w:lvlText w:val="%1."/>
      <w:lvlJc w:val="left"/>
      <w:pPr>
        <w:ind w:left="1800" w:hanging="360"/>
      </w:pPr>
    </w:lvl>
    <w:lvl w:ilvl="1" w:tplc="2F263222">
      <w:start w:val="1"/>
      <w:numFmt w:val="lowerLetter"/>
      <w:lvlText w:val="%2."/>
      <w:lvlJc w:val="left"/>
      <w:pPr>
        <w:ind w:left="2520" w:hanging="360"/>
      </w:pPr>
      <w:rPr>
        <w:rFonts w:ascii="Times New Roman" w:hAnsi="Times New Roman" w:hint="default"/>
      </w:rPr>
    </w:lvl>
    <w:lvl w:ilvl="2" w:tplc="D1E2775A">
      <w:start w:val="1"/>
      <w:numFmt w:val="lowerRoman"/>
      <w:lvlText w:val="%3."/>
      <w:lvlJc w:val="right"/>
      <w:pPr>
        <w:ind w:left="2160" w:hanging="180"/>
      </w:pPr>
    </w:lvl>
    <w:lvl w:ilvl="3" w:tplc="43129D08">
      <w:start w:val="1"/>
      <w:numFmt w:val="decimal"/>
      <w:lvlText w:val="%4."/>
      <w:lvlJc w:val="left"/>
      <w:pPr>
        <w:ind w:left="2880" w:hanging="360"/>
      </w:pPr>
    </w:lvl>
    <w:lvl w:ilvl="4" w:tplc="A3B86EEA">
      <w:start w:val="1"/>
      <w:numFmt w:val="lowerLetter"/>
      <w:lvlText w:val="%5."/>
      <w:lvlJc w:val="left"/>
      <w:pPr>
        <w:ind w:left="3600" w:hanging="360"/>
      </w:pPr>
    </w:lvl>
    <w:lvl w:ilvl="5" w:tplc="755EF830">
      <w:start w:val="1"/>
      <w:numFmt w:val="lowerRoman"/>
      <w:lvlText w:val="%6."/>
      <w:lvlJc w:val="right"/>
      <w:pPr>
        <w:ind w:left="4320" w:hanging="180"/>
      </w:pPr>
    </w:lvl>
    <w:lvl w:ilvl="6" w:tplc="FC8C41B6">
      <w:start w:val="1"/>
      <w:numFmt w:val="decimal"/>
      <w:lvlText w:val="%7."/>
      <w:lvlJc w:val="left"/>
      <w:pPr>
        <w:ind w:left="5040" w:hanging="360"/>
      </w:pPr>
    </w:lvl>
    <w:lvl w:ilvl="7" w:tplc="4754E186">
      <w:start w:val="1"/>
      <w:numFmt w:val="lowerLetter"/>
      <w:lvlText w:val="%8."/>
      <w:lvlJc w:val="left"/>
      <w:pPr>
        <w:ind w:left="5760" w:hanging="360"/>
      </w:pPr>
    </w:lvl>
    <w:lvl w:ilvl="8" w:tplc="5E2877B6">
      <w:start w:val="1"/>
      <w:numFmt w:val="lowerRoman"/>
      <w:lvlText w:val="%9."/>
      <w:lvlJc w:val="right"/>
      <w:pPr>
        <w:ind w:left="6480" w:hanging="180"/>
      </w:pPr>
    </w:lvl>
  </w:abstractNum>
  <w:abstractNum w:abstractNumId="41" w15:restartNumberingAfterBreak="0">
    <w:nsid w:val="2B1CF16B"/>
    <w:multiLevelType w:val="hybridMultilevel"/>
    <w:tmpl w:val="20885B48"/>
    <w:lvl w:ilvl="0" w:tplc="4C1420EE">
      <w:start w:val="1"/>
      <w:numFmt w:val="decimal"/>
      <w:lvlText w:val="%1."/>
      <w:lvlJc w:val="left"/>
      <w:pPr>
        <w:ind w:left="720" w:hanging="360"/>
      </w:pPr>
    </w:lvl>
    <w:lvl w:ilvl="1" w:tplc="8FDE9C54">
      <w:start w:val="1"/>
      <w:numFmt w:val="lowerLetter"/>
      <w:lvlText w:val="%2."/>
      <w:lvlJc w:val="left"/>
      <w:pPr>
        <w:ind w:left="1440" w:hanging="360"/>
      </w:pPr>
    </w:lvl>
    <w:lvl w:ilvl="2" w:tplc="DF6CDE8E">
      <w:start w:val="1"/>
      <w:numFmt w:val="lowerRoman"/>
      <w:lvlText w:val="%3."/>
      <w:lvlJc w:val="right"/>
      <w:pPr>
        <w:ind w:left="2160" w:hanging="180"/>
      </w:pPr>
    </w:lvl>
    <w:lvl w:ilvl="3" w:tplc="89CCD486">
      <w:start w:val="1"/>
      <w:numFmt w:val="decimal"/>
      <w:lvlText w:val="%4."/>
      <w:lvlJc w:val="left"/>
      <w:pPr>
        <w:ind w:left="2880" w:hanging="360"/>
      </w:pPr>
    </w:lvl>
    <w:lvl w:ilvl="4" w:tplc="D5084D00">
      <w:start w:val="1"/>
      <w:numFmt w:val="lowerLetter"/>
      <w:lvlText w:val="%5."/>
      <w:lvlJc w:val="left"/>
      <w:pPr>
        <w:ind w:left="3600" w:hanging="360"/>
      </w:pPr>
    </w:lvl>
    <w:lvl w:ilvl="5" w:tplc="6B843C34">
      <w:start w:val="1"/>
      <w:numFmt w:val="lowerRoman"/>
      <w:lvlText w:val="%6."/>
      <w:lvlJc w:val="right"/>
      <w:pPr>
        <w:ind w:left="4320" w:hanging="180"/>
      </w:pPr>
    </w:lvl>
    <w:lvl w:ilvl="6" w:tplc="04A82110">
      <w:start w:val="1"/>
      <w:numFmt w:val="decimal"/>
      <w:lvlText w:val="%7."/>
      <w:lvlJc w:val="left"/>
      <w:pPr>
        <w:ind w:left="5040" w:hanging="360"/>
      </w:pPr>
    </w:lvl>
    <w:lvl w:ilvl="7" w:tplc="B462A204">
      <w:start w:val="1"/>
      <w:numFmt w:val="lowerLetter"/>
      <w:lvlText w:val="%8."/>
      <w:lvlJc w:val="left"/>
      <w:pPr>
        <w:ind w:left="5760" w:hanging="360"/>
      </w:pPr>
    </w:lvl>
    <w:lvl w:ilvl="8" w:tplc="F59C27AE">
      <w:start w:val="1"/>
      <w:numFmt w:val="lowerRoman"/>
      <w:lvlText w:val="%9."/>
      <w:lvlJc w:val="right"/>
      <w:pPr>
        <w:ind w:left="6480" w:hanging="180"/>
      </w:pPr>
    </w:lvl>
  </w:abstractNum>
  <w:abstractNum w:abstractNumId="42" w15:restartNumberingAfterBreak="0">
    <w:nsid w:val="2CF145C2"/>
    <w:multiLevelType w:val="hybridMultilevel"/>
    <w:tmpl w:val="FFFFFFFF"/>
    <w:lvl w:ilvl="0" w:tplc="D5E40F46">
      <w:start w:val="1"/>
      <w:numFmt w:val="decimal"/>
      <w:lvlText w:val="%1."/>
      <w:lvlJc w:val="left"/>
      <w:pPr>
        <w:ind w:left="720" w:hanging="360"/>
      </w:pPr>
      <w:rPr>
        <w:rFonts w:ascii="Times New Roman" w:hAnsi="Times New Roman" w:hint="default"/>
      </w:rPr>
    </w:lvl>
    <w:lvl w:ilvl="1" w:tplc="4A760654">
      <w:start w:val="1"/>
      <w:numFmt w:val="lowerLetter"/>
      <w:lvlText w:val="%2."/>
      <w:lvlJc w:val="left"/>
      <w:pPr>
        <w:ind w:left="1440" w:hanging="360"/>
      </w:pPr>
    </w:lvl>
    <w:lvl w:ilvl="2" w:tplc="3AAE7FBA">
      <w:start w:val="1"/>
      <w:numFmt w:val="lowerRoman"/>
      <w:lvlText w:val="%3."/>
      <w:lvlJc w:val="right"/>
      <w:pPr>
        <w:ind w:left="2160" w:hanging="180"/>
      </w:pPr>
    </w:lvl>
    <w:lvl w:ilvl="3" w:tplc="7C5680BC">
      <w:start w:val="1"/>
      <w:numFmt w:val="decimal"/>
      <w:lvlText w:val="%4."/>
      <w:lvlJc w:val="left"/>
      <w:pPr>
        <w:ind w:left="2880" w:hanging="360"/>
      </w:pPr>
    </w:lvl>
    <w:lvl w:ilvl="4" w:tplc="48EE246C">
      <w:start w:val="1"/>
      <w:numFmt w:val="lowerLetter"/>
      <w:lvlText w:val="%5."/>
      <w:lvlJc w:val="left"/>
      <w:pPr>
        <w:ind w:left="3600" w:hanging="360"/>
      </w:pPr>
    </w:lvl>
    <w:lvl w:ilvl="5" w:tplc="97E84A6E">
      <w:start w:val="1"/>
      <w:numFmt w:val="lowerRoman"/>
      <w:lvlText w:val="%6."/>
      <w:lvlJc w:val="right"/>
      <w:pPr>
        <w:ind w:left="4320" w:hanging="180"/>
      </w:pPr>
    </w:lvl>
    <w:lvl w:ilvl="6" w:tplc="F6A4B07E">
      <w:start w:val="1"/>
      <w:numFmt w:val="decimal"/>
      <w:lvlText w:val="%7."/>
      <w:lvlJc w:val="left"/>
      <w:pPr>
        <w:ind w:left="5040" w:hanging="360"/>
      </w:pPr>
    </w:lvl>
    <w:lvl w:ilvl="7" w:tplc="4558A520">
      <w:start w:val="1"/>
      <w:numFmt w:val="lowerLetter"/>
      <w:lvlText w:val="%8."/>
      <w:lvlJc w:val="left"/>
      <w:pPr>
        <w:ind w:left="5760" w:hanging="360"/>
      </w:pPr>
    </w:lvl>
    <w:lvl w:ilvl="8" w:tplc="3B463E6A">
      <w:start w:val="1"/>
      <w:numFmt w:val="lowerRoman"/>
      <w:lvlText w:val="%9."/>
      <w:lvlJc w:val="right"/>
      <w:pPr>
        <w:ind w:left="6480" w:hanging="180"/>
      </w:pPr>
    </w:lvl>
  </w:abstractNum>
  <w:abstractNum w:abstractNumId="43" w15:restartNumberingAfterBreak="0">
    <w:nsid w:val="2D1408D7"/>
    <w:multiLevelType w:val="hybridMultilevel"/>
    <w:tmpl w:val="849CD3A0"/>
    <w:lvl w:ilvl="0" w:tplc="2620E73E">
      <w:start w:val="1"/>
      <w:numFmt w:val="decimal"/>
      <w:pStyle w:val="NumberedList1"/>
      <w:lvlText w:val="%1."/>
      <w:lvlJc w:val="left"/>
      <w:pPr>
        <w:ind w:left="720" w:hanging="360"/>
      </w:pPr>
      <w:rPr>
        <w:b w:val="0"/>
        <w:bCs/>
        <w:i w:val="0"/>
        <w:iCs/>
      </w:rPr>
    </w:lvl>
    <w:lvl w:ilvl="1" w:tplc="7EDC3C50">
      <w:start w:val="1"/>
      <w:numFmt w:val="lowerLetter"/>
      <w:pStyle w:val="NumberedList2"/>
      <w:lvlText w:val="%2."/>
      <w:lvlJc w:val="left"/>
      <w:pPr>
        <w:ind w:left="1440" w:hanging="360"/>
      </w:pPr>
    </w:lvl>
    <w:lvl w:ilvl="2" w:tplc="B5840DEC">
      <w:start w:val="1"/>
      <w:numFmt w:val="lowerRoman"/>
      <w:pStyle w:val="NumberedList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D88A5A6"/>
    <w:multiLevelType w:val="hybridMultilevel"/>
    <w:tmpl w:val="FFFFFFFF"/>
    <w:lvl w:ilvl="0" w:tplc="66461F22">
      <w:start w:val="2"/>
      <w:numFmt w:val="decimal"/>
      <w:lvlText w:val="%1."/>
      <w:lvlJc w:val="left"/>
      <w:pPr>
        <w:ind w:left="720" w:hanging="360"/>
      </w:pPr>
      <w:rPr>
        <w:rFonts w:ascii="Times New Roman" w:hAnsi="Times New Roman" w:hint="default"/>
      </w:rPr>
    </w:lvl>
    <w:lvl w:ilvl="1" w:tplc="C53ADBC2">
      <w:start w:val="1"/>
      <w:numFmt w:val="lowerLetter"/>
      <w:lvlText w:val="%2."/>
      <w:lvlJc w:val="left"/>
      <w:pPr>
        <w:ind w:left="1440" w:hanging="360"/>
      </w:pPr>
    </w:lvl>
    <w:lvl w:ilvl="2" w:tplc="63B46F3E">
      <w:start w:val="1"/>
      <w:numFmt w:val="lowerRoman"/>
      <w:lvlText w:val="%3."/>
      <w:lvlJc w:val="right"/>
      <w:pPr>
        <w:ind w:left="2160" w:hanging="180"/>
      </w:pPr>
    </w:lvl>
    <w:lvl w:ilvl="3" w:tplc="189CA296">
      <w:start w:val="1"/>
      <w:numFmt w:val="decimal"/>
      <w:lvlText w:val="%4."/>
      <w:lvlJc w:val="left"/>
      <w:pPr>
        <w:ind w:left="2880" w:hanging="360"/>
      </w:pPr>
    </w:lvl>
    <w:lvl w:ilvl="4" w:tplc="EF60C1BC">
      <w:start w:val="1"/>
      <w:numFmt w:val="lowerLetter"/>
      <w:lvlText w:val="%5."/>
      <w:lvlJc w:val="left"/>
      <w:pPr>
        <w:ind w:left="3600" w:hanging="360"/>
      </w:pPr>
    </w:lvl>
    <w:lvl w:ilvl="5" w:tplc="DCEA93AE">
      <w:start w:val="1"/>
      <w:numFmt w:val="lowerRoman"/>
      <w:lvlText w:val="%6."/>
      <w:lvlJc w:val="right"/>
      <w:pPr>
        <w:ind w:left="4320" w:hanging="180"/>
      </w:pPr>
    </w:lvl>
    <w:lvl w:ilvl="6" w:tplc="EBE08F9A">
      <w:start w:val="1"/>
      <w:numFmt w:val="decimal"/>
      <w:lvlText w:val="%7."/>
      <w:lvlJc w:val="left"/>
      <w:pPr>
        <w:ind w:left="5040" w:hanging="360"/>
      </w:pPr>
    </w:lvl>
    <w:lvl w:ilvl="7" w:tplc="9DAEA484">
      <w:start w:val="1"/>
      <w:numFmt w:val="lowerLetter"/>
      <w:lvlText w:val="%8."/>
      <w:lvlJc w:val="left"/>
      <w:pPr>
        <w:ind w:left="5760" w:hanging="360"/>
      </w:pPr>
    </w:lvl>
    <w:lvl w:ilvl="8" w:tplc="FF90D51A">
      <w:start w:val="1"/>
      <w:numFmt w:val="lowerRoman"/>
      <w:lvlText w:val="%9."/>
      <w:lvlJc w:val="right"/>
      <w:pPr>
        <w:ind w:left="6480" w:hanging="180"/>
      </w:pPr>
    </w:lvl>
  </w:abstractNum>
  <w:abstractNum w:abstractNumId="45" w15:restartNumberingAfterBreak="0">
    <w:nsid w:val="2E4D7F2E"/>
    <w:multiLevelType w:val="hybridMultilevel"/>
    <w:tmpl w:val="FFFFFFFF"/>
    <w:lvl w:ilvl="0" w:tplc="5234F668">
      <w:start w:val="1"/>
      <w:numFmt w:val="decimal"/>
      <w:lvlText w:val="%1."/>
      <w:lvlJc w:val="left"/>
      <w:pPr>
        <w:ind w:left="720" w:hanging="360"/>
      </w:pPr>
    </w:lvl>
    <w:lvl w:ilvl="1" w:tplc="AA5C33F6">
      <w:start w:val="4"/>
      <w:numFmt w:val="lowerLetter"/>
      <w:lvlText w:val="%2."/>
      <w:lvlJc w:val="left"/>
      <w:pPr>
        <w:ind w:left="1440" w:hanging="360"/>
      </w:pPr>
      <w:rPr>
        <w:rFonts w:ascii="Times New Roman" w:hAnsi="Times New Roman" w:hint="default"/>
      </w:rPr>
    </w:lvl>
    <w:lvl w:ilvl="2" w:tplc="B128F2A2">
      <w:start w:val="1"/>
      <w:numFmt w:val="lowerRoman"/>
      <w:lvlText w:val="%3."/>
      <w:lvlJc w:val="right"/>
      <w:pPr>
        <w:ind w:left="2160" w:hanging="180"/>
      </w:pPr>
    </w:lvl>
    <w:lvl w:ilvl="3" w:tplc="BF967910">
      <w:start w:val="1"/>
      <w:numFmt w:val="decimal"/>
      <w:lvlText w:val="%4."/>
      <w:lvlJc w:val="left"/>
      <w:pPr>
        <w:ind w:left="2880" w:hanging="360"/>
      </w:pPr>
    </w:lvl>
    <w:lvl w:ilvl="4" w:tplc="E09C70F8">
      <w:start w:val="1"/>
      <w:numFmt w:val="lowerLetter"/>
      <w:lvlText w:val="%5."/>
      <w:lvlJc w:val="left"/>
      <w:pPr>
        <w:ind w:left="3600" w:hanging="360"/>
      </w:pPr>
    </w:lvl>
    <w:lvl w:ilvl="5" w:tplc="3F0C3370">
      <w:start w:val="1"/>
      <w:numFmt w:val="lowerRoman"/>
      <w:lvlText w:val="%6."/>
      <w:lvlJc w:val="right"/>
      <w:pPr>
        <w:ind w:left="4320" w:hanging="180"/>
      </w:pPr>
    </w:lvl>
    <w:lvl w:ilvl="6" w:tplc="9DF07288">
      <w:start w:val="1"/>
      <w:numFmt w:val="decimal"/>
      <w:lvlText w:val="%7."/>
      <w:lvlJc w:val="left"/>
      <w:pPr>
        <w:ind w:left="5040" w:hanging="360"/>
      </w:pPr>
    </w:lvl>
    <w:lvl w:ilvl="7" w:tplc="5E08DC38">
      <w:start w:val="1"/>
      <w:numFmt w:val="lowerLetter"/>
      <w:lvlText w:val="%8."/>
      <w:lvlJc w:val="left"/>
      <w:pPr>
        <w:ind w:left="5760" w:hanging="360"/>
      </w:pPr>
    </w:lvl>
    <w:lvl w:ilvl="8" w:tplc="060E8548">
      <w:start w:val="1"/>
      <w:numFmt w:val="lowerRoman"/>
      <w:lvlText w:val="%9."/>
      <w:lvlJc w:val="right"/>
      <w:pPr>
        <w:ind w:left="6480" w:hanging="180"/>
      </w:pPr>
    </w:lvl>
  </w:abstractNum>
  <w:abstractNum w:abstractNumId="46" w15:restartNumberingAfterBreak="0">
    <w:nsid w:val="2ED842AF"/>
    <w:multiLevelType w:val="hybridMultilevel"/>
    <w:tmpl w:val="F93AF0AA"/>
    <w:lvl w:ilvl="0" w:tplc="39DC3760">
      <w:start w:val="1"/>
      <w:numFmt w:val="decimal"/>
      <w:lvlText w:val="AI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FBE23EF"/>
    <w:multiLevelType w:val="hybridMultilevel"/>
    <w:tmpl w:val="FFFFFFFF"/>
    <w:lvl w:ilvl="0" w:tplc="F7D8A246">
      <w:start w:val="1"/>
      <w:numFmt w:val="decimal"/>
      <w:lvlText w:val="%1."/>
      <w:lvlJc w:val="left"/>
      <w:pPr>
        <w:ind w:left="720" w:hanging="360"/>
      </w:pPr>
    </w:lvl>
    <w:lvl w:ilvl="1" w:tplc="F19EF4D8">
      <w:start w:val="5"/>
      <w:numFmt w:val="lowerLetter"/>
      <w:lvlText w:val="%2."/>
      <w:lvlJc w:val="left"/>
      <w:pPr>
        <w:ind w:left="1440" w:hanging="360"/>
      </w:pPr>
      <w:rPr>
        <w:rFonts w:ascii="Times New Roman" w:hAnsi="Times New Roman" w:hint="default"/>
      </w:rPr>
    </w:lvl>
    <w:lvl w:ilvl="2" w:tplc="91889AE2">
      <w:start w:val="1"/>
      <w:numFmt w:val="lowerRoman"/>
      <w:lvlText w:val="%3."/>
      <w:lvlJc w:val="right"/>
      <w:pPr>
        <w:ind w:left="2160" w:hanging="180"/>
      </w:pPr>
    </w:lvl>
    <w:lvl w:ilvl="3" w:tplc="409C326C">
      <w:start w:val="1"/>
      <w:numFmt w:val="decimal"/>
      <w:lvlText w:val="%4."/>
      <w:lvlJc w:val="left"/>
      <w:pPr>
        <w:ind w:left="2880" w:hanging="360"/>
      </w:pPr>
    </w:lvl>
    <w:lvl w:ilvl="4" w:tplc="E66A06BA">
      <w:start w:val="1"/>
      <w:numFmt w:val="lowerLetter"/>
      <w:lvlText w:val="%5."/>
      <w:lvlJc w:val="left"/>
      <w:pPr>
        <w:ind w:left="3600" w:hanging="360"/>
      </w:pPr>
    </w:lvl>
    <w:lvl w:ilvl="5" w:tplc="60F642C8">
      <w:start w:val="1"/>
      <w:numFmt w:val="lowerRoman"/>
      <w:lvlText w:val="%6."/>
      <w:lvlJc w:val="right"/>
      <w:pPr>
        <w:ind w:left="4320" w:hanging="180"/>
      </w:pPr>
    </w:lvl>
    <w:lvl w:ilvl="6" w:tplc="54A80956">
      <w:start w:val="1"/>
      <w:numFmt w:val="decimal"/>
      <w:lvlText w:val="%7."/>
      <w:lvlJc w:val="left"/>
      <w:pPr>
        <w:ind w:left="5040" w:hanging="360"/>
      </w:pPr>
    </w:lvl>
    <w:lvl w:ilvl="7" w:tplc="96048D12">
      <w:start w:val="1"/>
      <w:numFmt w:val="lowerLetter"/>
      <w:lvlText w:val="%8."/>
      <w:lvlJc w:val="left"/>
      <w:pPr>
        <w:ind w:left="5760" w:hanging="360"/>
      </w:pPr>
    </w:lvl>
    <w:lvl w:ilvl="8" w:tplc="5A84DF58">
      <w:start w:val="1"/>
      <w:numFmt w:val="lowerRoman"/>
      <w:lvlText w:val="%9."/>
      <w:lvlJc w:val="right"/>
      <w:pPr>
        <w:ind w:left="6480" w:hanging="180"/>
      </w:pPr>
    </w:lvl>
  </w:abstractNum>
  <w:abstractNum w:abstractNumId="48" w15:restartNumberingAfterBreak="0">
    <w:nsid w:val="30097AE9"/>
    <w:multiLevelType w:val="hybridMultilevel"/>
    <w:tmpl w:val="43E4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2123A3"/>
    <w:multiLevelType w:val="multilevel"/>
    <w:tmpl w:val="B812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271A849"/>
    <w:multiLevelType w:val="hybridMultilevel"/>
    <w:tmpl w:val="FFFFFFFF"/>
    <w:lvl w:ilvl="0" w:tplc="992235D4">
      <w:start w:val="1"/>
      <w:numFmt w:val="decimal"/>
      <w:lvlText w:val="%1."/>
      <w:lvlJc w:val="left"/>
      <w:pPr>
        <w:ind w:left="720" w:hanging="360"/>
      </w:pPr>
    </w:lvl>
    <w:lvl w:ilvl="1" w:tplc="56D45EE2">
      <w:start w:val="8"/>
      <w:numFmt w:val="lowerLetter"/>
      <w:lvlText w:val="%2."/>
      <w:lvlJc w:val="left"/>
      <w:pPr>
        <w:ind w:left="1440" w:hanging="360"/>
      </w:pPr>
      <w:rPr>
        <w:rFonts w:ascii="Times New Roman" w:hAnsi="Times New Roman" w:hint="default"/>
      </w:rPr>
    </w:lvl>
    <w:lvl w:ilvl="2" w:tplc="8D743CEC">
      <w:start w:val="1"/>
      <w:numFmt w:val="lowerRoman"/>
      <w:lvlText w:val="%3."/>
      <w:lvlJc w:val="right"/>
      <w:pPr>
        <w:ind w:left="2160" w:hanging="180"/>
      </w:pPr>
    </w:lvl>
    <w:lvl w:ilvl="3" w:tplc="BE88E778">
      <w:start w:val="1"/>
      <w:numFmt w:val="decimal"/>
      <w:lvlText w:val="%4."/>
      <w:lvlJc w:val="left"/>
      <w:pPr>
        <w:ind w:left="2880" w:hanging="360"/>
      </w:pPr>
    </w:lvl>
    <w:lvl w:ilvl="4" w:tplc="75AA8FE4">
      <w:start w:val="1"/>
      <w:numFmt w:val="lowerLetter"/>
      <w:lvlText w:val="%5."/>
      <w:lvlJc w:val="left"/>
      <w:pPr>
        <w:ind w:left="3600" w:hanging="360"/>
      </w:pPr>
    </w:lvl>
    <w:lvl w:ilvl="5" w:tplc="813E9DCA">
      <w:start w:val="1"/>
      <w:numFmt w:val="lowerRoman"/>
      <w:lvlText w:val="%6."/>
      <w:lvlJc w:val="right"/>
      <w:pPr>
        <w:ind w:left="4320" w:hanging="180"/>
      </w:pPr>
    </w:lvl>
    <w:lvl w:ilvl="6" w:tplc="E60635D4">
      <w:start w:val="1"/>
      <w:numFmt w:val="decimal"/>
      <w:lvlText w:val="%7."/>
      <w:lvlJc w:val="left"/>
      <w:pPr>
        <w:ind w:left="5040" w:hanging="360"/>
      </w:pPr>
    </w:lvl>
    <w:lvl w:ilvl="7" w:tplc="8C726704">
      <w:start w:val="1"/>
      <w:numFmt w:val="lowerLetter"/>
      <w:lvlText w:val="%8."/>
      <w:lvlJc w:val="left"/>
      <w:pPr>
        <w:ind w:left="5760" w:hanging="360"/>
      </w:pPr>
    </w:lvl>
    <w:lvl w:ilvl="8" w:tplc="742089AA">
      <w:start w:val="1"/>
      <w:numFmt w:val="lowerRoman"/>
      <w:lvlText w:val="%9."/>
      <w:lvlJc w:val="right"/>
      <w:pPr>
        <w:ind w:left="6480" w:hanging="180"/>
      </w:pPr>
    </w:lvl>
  </w:abstractNum>
  <w:abstractNum w:abstractNumId="51" w15:restartNumberingAfterBreak="0">
    <w:nsid w:val="32825439"/>
    <w:multiLevelType w:val="multilevel"/>
    <w:tmpl w:val="C6D44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3A964B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45185A5"/>
    <w:multiLevelType w:val="hybridMultilevel"/>
    <w:tmpl w:val="FFFFFFFF"/>
    <w:lvl w:ilvl="0" w:tplc="35D21A92">
      <w:start w:val="1"/>
      <w:numFmt w:val="decimal"/>
      <w:lvlText w:val="%1."/>
      <w:lvlJc w:val="left"/>
      <w:pPr>
        <w:ind w:left="720" w:hanging="360"/>
      </w:pPr>
    </w:lvl>
    <w:lvl w:ilvl="1" w:tplc="9BA6BB5A">
      <w:start w:val="1"/>
      <w:numFmt w:val="lowerLetter"/>
      <w:lvlText w:val="%2."/>
      <w:lvlJc w:val="left"/>
      <w:pPr>
        <w:ind w:left="1440" w:hanging="360"/>
      </w:pPr>
      <w:rPr>
        <w:rFonts w:ascii="Times New Roman" w:hAnsi="Times New Roman" w:hint="default"/>
      </w:rPr>
    </w:lvl>
    <w:lvl w:ilvl="2" w:tplc="E87C8DC0">
      <w:start w:val="1"/>
      <w:numFmt w:val="lowerRoman"/>
      <w:lvlText w:val="%3."/>
      <w:lvlJc w:val="right"/>
      <w:pPr>
        <w:ind w:left="2160" w:hanging="180"/>
      </w:pPr>
    </w:lvl>
    <w:lvl w:ilvl="3" w:tplc="7BC0F58C">
      <w:start w:val="1"/>
      <w:numFmt w:val="decimal"/>
      <w:lvlText w:val="%4."/>
      <w:lvlJc w:val="left"/>
      <w:pPr>
        <w:ind w:left="2880" w:hanging="360"/>
      </w:pPr>
    </w:lvl>
    <w:lvl w:ilvl="4" w:tplc="8098B524">
      <w:start w:val="1"/>
      <w:numFmt w:val="lowerLetter"/>
      <w:lvlText w:val="%5."/>
      <w:lvlJc w:val="left"/>
      <w:pPr>
        <w:ind w:left="3600" w:hanging="360"/>
      </w:pPr>
    </w:lvl>
    <w:lvl w:ilvl="5" w:tplc="CC86E172">
      <w:start w:val="1"/>
      <w:numFmt w:val="lowerRoman"/>
      <w:lvlText w:val="%6."/>
      <w:lvlJc w:val="right"/>
      <w:pPr>
        <w:ind w:left="4320" w:hanging="180"/>
      </w:pPr>
    </w:lvl>
    <w:lvl w:ilvl="6" w:tplc="7520C168">
      <w:start w:val="1"/>
      <w:numFmt w:val="decimal"/>
      <w:lvlText w:val="%7."/>
      <w:lvlJc w:val="left"/>
      <w:pPr>
        <w:ind w:left="5040" w:hanging="360"/>
      </w:pPr>
    </w:lvl>
    <w:lvl w:ilvl="7" w:tplc="5F223498">
      <w:start w:val="1"/>
      <w:numFmt w:val="lowerLetter"/>
      <w:lvlText w:val="%8."/>
      <w:lvlJc w:val="left"/>
      <w:pPr>
        <w:ind w:left="5760" w:hanging="360"/>
      </w:pPr>
    </w:lvl>
    <w:lvl w:ilvl="8" w:tplc="FB9670B0">
      <w:start w:val="1"/>
      <w:numFmt w:val="lowerRoman"/>
      <w:lvlText w:val="%9."/>
      <w:lvlJc w:val="right"/>
      <w:pPr>
        <w:ind w:left="6480" w:hanging="180"/>
      </w:pPr>
    </w:lvl>
  </w:abstractNum>
  <w:abstractNum w:abstractNumId="54" w15:restartNumberingAfterBreak="0">
    <w:nsid w:val="35264EAB"/>
    <w:multiLevelType w:val="hybridMultilevel"/>
    <w:tmpl w:val="FFFFFFFF"/>
    <w:lvl w:ilvl="0" w:tplc="38A8EE80">
      <w:start w:val="5"/>
      <w:numFmt w:val="decimal"/>
      <w:lvlText w:val="%1."/>
      <w:lvlJc w:val="left"/>
      <w:pPr>
        <w:ind w:left="720" w:hanging="360"/>
      </w:pPr>
      <w:rPr>
        <w:rFonts w:ascii="Times New Roman" w:hAnsi="Times New Roman" w:hint="default"/>
      </w:rPr>
    </w:lvl>
    <w:lvl w:ilvl="1" w:tplc="271E043E">
      <w:start w:val="1"/>
      <w:numFmt w:val="lowerLetter"/>
      <w:lvlText w:val="%2."/>
      <w:lvlJc w:val="left"/>
      <w:pPr>
        <w:ind w:left="1440" w:hanging="360"/>
      </w:pPr>
    </w:lvl>
    <w:lvl w:ilvl="2" w:tplc="F68A9C90">
      <w:start w:val="1"/>
      <w:numFmt w:val="lowerRoman"/>
      <w:lvlText w:val="%3."/>
      <w:lvlJc w:val="right"/>
      <w:pPr>
        <w:ind w:left="2160" w:hanging="180"/>
      </w:pPr>
    </w:lvl>
    <w:lvl w:ilvl="3" w:tplc="B69E7872">
      <w:start w:val="1"/>
      <w:numFmt w:val="decimal"/>
      <w:lvlText w:val="%4."/>
      <w:lvlJc w:val="left"/>
      <w:pPr>
        <w:ind w:left="2880" w:hanging="360"/>
      </w:pPr>
    </w:lvl>
    <w:lvl w:ilvl="4" w:tplc="40289168">
      <w:start w:val="1"/>
      <w:numFmt w:val="lowerLetter"/>
      <w:lvlText w:val="%5."/>
      <w:lvlJc w:val="left"/>
      <w:pPr>
        <w:ind w:left="3600" w:hanging="360"/>
      </w:pPr>
    </w:lvl>
    <w:lvl w:ilvl="5" w:tplc="E1726BDA">
      <w:start w:val="1"/>
      <w:numFmt w:val="lowerRoman"/>
      <w:lvlText w:val="%6."/>
      <w:lvlJc w:val="right"/>
      <w:pPr>
        <w:ind w:left="4320" w:hanging="180"/>
      </w:pPr>
    </w:lvl>
    <w:lvl w:ilvl="6" w:tplc="F2B0D274">
      <w:start w:val="1"/>
      <w:numFmt w:val="decimal"/>
      <w:lvlText w:val="%7."/>
      <w:lvlJc w:val="left"/>
      <w:pPr>
        <w:ind w:left="5040" w:hanging="360"/>
      </w:pPr>
    </w:lvl>
    <w:lvl w:ilvl="7" w:tplc="5C267812">
      <w:start w:val="1"/>
      <w:numFmt w:val="lowerLetter"/>
      <w:lvlText w:val="%8."/>
      <w:lvlJc w:val="left"/>
      <w:pPr>
        <w:ind w:left="5760" w:hanging="360"/>
      </w:pPr>
    </w:lvl>
    <w:lvl w:ilvl="8" w:tplc="E99C9B38">
      <w:start w:val="1"/>
      <w:numFmt w:val="lowerRoman"/>
      <w:lvlText w:val="%9."/>
      <w:lvlJc w:val="right"/>
      <w:pPr>
        <w:ind w:left="6480" w:hanging="180"/>
      </w:pPr>
    </w:lvl>
  </w:abstractNum>
  <w:abstractNum w:abstractNumId="55" w15:restartNumberingAfterBreak="0">
    <w:nsid w:val="366030B9"/>
    <w:multiLevelType w:val="multilevel"/>
    <w:tmpl w:val="BF72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6E11A8F"/>
    <w:multiLevelType w:val="hybridMultilevel"/>
    <w:tmpl w:val="FFFFFFFF"/>
    <w:lvl w:ilvl="0" w:tplc="08E816E4">
      <w:start w:val="1"/>
      <w:numFmt w:val="decimal"/>
      <w:lvlText w:val="%1."/>
      <w:lvlJc w:val="left"/>
      <w:pPr>
        <w:ind w:left="720" w:hanging="360"/>
      </w:pPr>
    </w:lvl>
    <w:lvl w:ilvl="1" w:tplc="7E04FEF4">
      <w:start w:val="4"/>
      <w:numFmt w:val="lowerLetter"/>
      <w:lvlText w:val="%2."/>
      <w:lvlJc w:val="left"/>
      <w:pPr>
        <w:ind w:left="1440" w:hanging="360"/>
      </w:pPr>
      <w:rPr>
        <w:rFonts w:ascii="Times New Roman" w:hAnsi="Times New Roman" w:hint="default"/>
      </w:rPr>
    </w:lvl>
    <w:lvl w:ilvl="2" w:tplc="804EC534">
      <w:start w:val="1"/>
      <w:numFmt w:val="lowerRoman"/>
      <w:lvlText w:val="%3."/>
      <w:lvlJc w:val="right"/>
      <w:pPr>
        <w:ind w:left="2160" w:hanging="180"/>
      </w:pPr>
    </w:lvl>
    <w:lvl w:ilvl="3" w:tplc="F6605948">
      <w:start w:val="1"/>
      <w:numFmt w:val="decimal"/>
      <w:lvlText w:val="%4."/>
      <w:lvlJc w:val="left"/>
      <w:pPr>
        <w:ind w:left="2880" w:hanging="360"/>
      </w:pPr>
    </w:lvl>
    <w:lvl w:ilvl="4" w:tplc="9F1A184E">
      <w:start w:val="1"/>
      <w:numFmt w:val="lowerLetter"/>
      <w:lvlText w:val="%5."/>
      <w:lvlJc w:val="left"/>
      <w:pPr>
        <w:ind w:left="3600" w:hanging="360"/>
      </w:pPr>
    </w:lvl>
    <w:lvl w:ilvl="5" w:tplc="D494C6B8">
      <w:start w:val="1"/>
      <w:numFmt w:val="lowerRoman"/>
      <w:lvlText w:val="%6."/>
      <w:lvlJc w:val="right"/>
      <w:pPr>
        <w:ind w:left="4320" w:hanging="180"/>
      </w:pPr>
    </w:lvl>
    <w:lvl w:ilvl="6" w:tplc="30464600">
      <w:start w:val="1"/>
      <w:numFmt w:val="decimal"/>
      <w:lvlText w:val="%7."/>
      <w:lvlJc w:val="left"/>
      <w:pPr>
        <w:ind w:left="5040" w:hanging="360"/>
      </w:pPr>
    </w:lvl>
    <w:lvl w:ilvl="7" w:tplc="FACCF5F8">
      <w:start w:val="1"/>
      <w:numFmt w:val="lowerLetter"/>
      <w:lvlText w:val="%8."/>
      <w:lvlJc w:val="left"/>
      <w:pPr>
        <w:ind w:left="5760" w:hanging="360"/>
      </w:pPr>
    </w:lvl>
    <w:lvl w:ilvl="8" w:tplc="F52429B2">
      <w:start w:val="1"/>
      <w:numFmt w:val="lowerRoman"/>
      <w:lvlText w:val="%9."/>
      <w:lvlJc w:val="right"/>
      <w:pPr>
        <w:ind w:left="6480" w:hanging="180"/>
      </w:pPr>
    </w:lvl>
  </w:abstractNum>
  <w:abstractNum w:abstractNumId="57" w15:restartNumberingAfterBreak="0">
    <w:nsid w:val="387B01B9"/>
    <w:multiLevelType w:val="multilevel"/>
    <w:tmpl w:val="918A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87C1D47"/>
    <w:multiLevelType w:val="hybridMultilevel"/>
    <w:tmpl w:val="E368C9BC"/>
    <w:lvl w:ilvl="0" w:tplc="DC881054">
      <w:start w:val="1"/>
      <w:numFmt w:val="decimal"/>
      <w:lvlText w:val="Table %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A1594DE"/>
    <w:multiLevelType w:val="hybridMultilevel"/>
    <w:tmpl w:val="FFFFFFFF"/>
    <w:lvl w:ilvl="0" w:tplc="50149E4C">
      <w:start w:val="1"/>
      <w:numFmt w:val="decimal"/>
      <w:lvlText w:val="%1."/>
      <w:lvlJc w:val="left"/>
      <w:pPr>
        <w:ind w:left="720" w:hanging="360"/>
      </w:pPr>
    </w:lvl>
    <w:lvl w:ilvl="1" w:tplc="6C7C4376">
      <w:start w:val="7"/>
      <w:numFmt w:val="lowerLetter"/>
      <w:lvlText w:val="%2."/>
      <w:lvlJc w:val="left"/>
      <w:pPr>
        <w:ind w:left="1440" w:hanging="360"/>
      </w:pPr>
      <w:rPr>
        <w:rFonts w:ascii="Times New Roman" w:hAnsi="Times New Roman" w:hint="default"/>
      </w:rPr>
    </w:lvl>
    <w:lvl w:ilvl="2" w:tplc="86A25ADA">
      <w:start w:val="1"/>
      <w:numFmt w:val="lowerRoman"/>
      <w:lvlText w:val="%3."/>
      <w:lvlJc w:val="right"/>
      <w:pPr>
        <w:ind w:left="2160" w:hanging="180"/>
      </w:pPr>
    </w:lvl>
    <w:lvl w:ilvl="3" w:tplc="C8D8AC42">
      <w:start w:val="1"/>
      <w:numFmt w:val="decimal"/>
      <w:lvlText w:val="%4."/>
      <w:lvlJc w:val="left"/>
      <w:pPr>
        <w:ind w:left="2880" w:hanging="360"/>
      </w:pPr>
    </w:lvl>
    <w:lvl w:ilvl="4" w:tplc="FFD2B396">
      <w:start w:val="1"/>
      <w:numFmt w:val="lowerLetter"/>
      <w:lvlText w:val="%5."/>
      <w:lvlJc w:val="left"/>
      <w:pPr>
        <w:ind w:left="3600" w:hanging="360"/>
      </w:pPr>
    </w:lvl>
    <w:lvl w:ilvl="5" w:tplc="08B4348A">
      <w:start w:val="1"/>
      <w:numFmt w:val="lowerRoman"/>
      <w:lvlText w:val="%6."/>
      <w:lvlJc w:val="right"/>
      <w:pPr>
        <w:ind w:left="4320" w:hanging="180"/>
      </w:pPr>
    </w:lvl>
    <w:lvl w:ilvl="6" w:tplc="2274155C">
      <w:start w:val="1"/>
      <w:numFmt w:val="decimal"/>
      <w:lvlText w:val="%7."/>
      <w:lvlJc w:val="left"/>
      <w:pPr>
        <w:ind w:left="5040" w:hanging="360"/>
      </w:pPr>
    </w:lvl>
    <w:lvl w:ilvl="7" w:tplc="B5EA8746">
      <w:start w:val="1"/>
      <w:numFmt w:val="lowerLetter"/>
      <w:lvlText w:val="%8."/>
      <w:lvlJc w:val="left"/>
      <w:pPr>
        <w:ind w:left="5760" w:hanging="360"/>
      </w:pPr>
    </w:lvl>
    <w:lvl w:ilvl="8" w:tplc="097C3880">
      <w:start w:val="1"/>
      <w:numFmt w:val="lowerRoman"/>
      <w:lvlText w:val="%9."/>
      <w:lvlJc w:val="right"/>
      <w:pPr>
        <w:ind w:left="6480" w:hanging="180"/>
      </w:pPr>
    </w:lvl>
  </w:abstractNum>
  <w:abstractNum w:abstractNumId="60" w15:restartNumberingAfterBreak="0">
    <w:nsid w:val="3B4438E7"/>
    <w:multiLevelType w:val="hybridMultilevel"/>
    <w:tmpl w:val="FFFFFFFF"/>
    <w:lvl w:ilvl="0" w:tplc="292ABA86">
      <w:start w:val="1"/>
      <w:numFmt w:val="decimal"/>
      <w:lvlText w:val="%1."/>
      <w:lvlJc w:val="left"/>
      <w:pPr>
        <w:ind w:left="720" w:hanging="360"/>
      </w:pPr>
    </w:lvl>
    <w:lvl w:ilvl="1" w:tplc="5B761004">
      <w:start w:val="1"/>
      <w:numFmt w:val="lowerLetter"/>
      <w:lvlText w:val="%2."/>
      <w:lvlJc w:val="left"/>
      <w:pPr>
        <w:ind w:left="1440" w:hanging="360"/>
      </w:pPr>
      <w:rPr>
        <w:rFonts w:ascii="Times New Roman" w:hAnsi="Times New Roman" w:hint="default"/>
      </w:rPr>
    </w:lvl>
    <w:lvl w:ilvl="2" w:tplc="B9DA7234">
      <w:start w:val="1"/>
      <w:numFmt w:val="lowerRoman"/>
      <w:lvlText w:val="%3."/>
      <w:lvlJc w:val="right"/>
      <w:pPr>
        <w:ind w:left="2160" w:hanging="180"/>
      </w:pPr>
    </w:lvl>
    <w:lvl w:ilvl="3" w:tplc="B5680616">
      <w:start w:val="1"/>
      <w:numFmt w:val="decimal"/>
      <w:lvlText w:val="%4."/>
      <w:lvlJc w:val="left"/>
      <w:pPr>
        <w:ind w:left="2880" w:hanging="360"/>
      </w:pPr>
    </w:lvl>
    <w:lvl w:ilvl="4" w:tplc="E268507E">
      <w:start w:val="1"/>
      <w:numFmt w:val="lowerLetter"/>
      <w:lvlText w:val="%5."/>
      <w:lvlJc w:val="left"/>
      <w:pPr>
        <w:ind w:left="3600" w:hanging="360"/>
      </w:pPr>
    </w:lvl>
    <w:lvl w:ilvl="5" w:tplc="48D8F852">
      <w:start w:val="1"/>
      <w:numFmt w:val="lowerRoman"/>
      <w:lvlText w:val="%6."/>
      <w:lvlJc w:val="right"/>
      <w:pPr>
        <w:ind w:left="4320" w:hanging="180"/>
      </w:pPr>
    </w:lvl>
    <w:lvl w:ilvl="6" w:tplc="1038738E">
      <w:start w:val="1"/>
      <w:numFmt w:val="decimal"/>
      <w:lvlText w:val="%7."/>
      <w:lvlJc w:val="left"/>
      <w:pPr>
        <w:ind w:left="5040" w:hanging="360"/>
      </w:pPr>
    </w:lvl>
    <w:lvl w:ilvl="7" w:tplc="AE6CE608">
      <w:start w:val="1"/>
      <w:numFmt w:val="lowerLetter"/>
      <w:lvlText w:val="%8."/>
      <w:lvlJc w:val="left"/>
      <w:pPr>
        <w:ind w:left="5760" w:hanging="360"/>
      </w:pPr>
    </w:lvl>
    <w:lvl w:ilvl="8" w:tplc="52107EB6">
      <w:start w:val="1"/>
      <w:numFmt w:val="lowerRoman"/>
      <w:lvlText w:val="%9."/>
      <w:lvlJc w:val="right"/>
      <w:pPr>
        <w:ind w:left="6480" w:hanging="180"/>
      </w:pPr>
    </w:lvl>
  </w:abstractNum>
  <w:abstractNum w:abstractNumId="61" w15:restartNumberingAfterBreak="0">
    <w:nsid w:val="3C06843B"/>
    <w:multiLevelType w:val="hybridMultilevel"/>
    <w:tmpl w:val="65DAC304"/>
    <w:lvl w:ilvl="0" w:tplc="EB0E3598">
      <w:start w:val="1"/>
      <w:numFmt w:val="decimal"/>
      <w:lvlText w:val="%1."/>
      <w:lvlJc w:val="left"/>
      <w:pPr>
        <w:ind w:left="720" w:hanging="360"/>
      </w:pPr>
    </w:lvl>
    <w:lvl w:ilvl="1" w:tplc="7152EDEE">
      <w:start w:val="1"/>
      <w:numFmt w:val="lowerLetter"/>
      <w:lvlText w:val="%2."/>
      <w:lvlJc w:val="left"/>
      <w:pPr>
        <w:ind w:left="1440" w:hanging="360"/>
      </w:pPr>
    </w:lvl>
    <w:lvl w:ilvl="2" w:tplc="639E01F4">
      <w:start w:val="1"/>
      <w:numFmt w:val="lowerRoman"/>
      <w:lvlText w:val="%3."/>
      <w:lvlJc w:val="right"/>
      <w:pPr>
        <w:ind w:left="2160" w:hanging="180"/>
      </w:pPr>
    </w:lvl>
    <w:lvl w:ilvl="3" w:tplc="3DC4D190">
      <w:start w:val="1"/>
      <w:numFmt w:val="decimal"/>
      <w:lvlText w:val="%4."/>
      <w:lvlJc w:val="left"/>
      <w:pPr>
        <w:ind w:left="2880" w:hanging="360"/>
      </w:pPr>
    </w:lvl>
    <w:lvl w:ilvl="4" w:tplc="053897DE">
      <w:start w:val="1"/>
      <w:numFmt w:val="lowerLetter"/>
      <w:lvlText w:val="%5."/>
      <w:lvlJc w:val="left"/>
      <w:pPr>
        <w:ind w:left="3600" w:hanging="360"/>
      </w:pPr>
    </w:lvl>
    <w:lvl w:ilvl="5" w:tplc="84D0AF66">
      <w:start w:val="1"/>
      <w:numFmt w:val="lowerRoman"/>
      <w:lvlText w:val="%6."/>
      <w:lvlJc w:val="right"/>
      <w:pPr>
        <w:ind w:left="4320" w:hanging="180"/>
      </w:pPr>
    </w:lvl>
    <w:lvl w:ilvl="6" w:tplc="61CEA1A2">
      <w:start w:val="1"/>
      <w:numFmt w:val="decimal"/>
      <w:lvlText w:val="%7."/>
      <w:lvlJc w:val="left"/>
      <w:pPr>
        <w:ind w:left="5040" w:hanging="360"/>
      </w:pPr>
    </w:lvl>
    <w:lvl w:ilvl="7" w:tplc="40BE3392">
      <w:start w:val="1"/>
      <w:numFmt w:val="lowerLetter"/>
      <w:lvlText w:val="%8."/>
      <w:lvlJc w:val="left"/>
      <w:pPr>
        <w:ind w:left="5760" w:hanging="360"/>
      </w:pPr>
    </w:lvl>
    <w:lvl w:ilvl="8" w:tplc="ADD438FE">
      <w:start w:val="1"/>
      <w:numFmt w:val="lowerRoman"/>
      <w:lvlText w:val="%9."/>
      <w:lvlJc w:val="right"/>
      <w:pPr>
        <w:ind w:left="6480" w:hanging="180"/>
      </w:pPr>
    </w:lvl>
  </w:abstractNum>
  <w:abstractNum w:abstractNumId="62" w15:restartNumberingAfterBreak="0">
    <w:nsid w:val="3D89F84C"/>
    <w:multiLevelType w:val="hybridMultilevel"/>
    <w:tmpl w:val="FFFFFFFF"/>
    <w:lvl w:ilvl="0" w:tplc="8CDC764A">
      <w:start w:val="1"/>
      <w:numFmt w:val="decimal"/>
      <w:lvlText w:val="%1."/>
      <w:lvlJc w:val="left"/>
      <w:pPr>
        <w:ind w:left="720" w:hanging="360"/>
      </w:pPr>
    </w:lvl>
    <w:lvl w:ilvl="1" w:tplc="5E1EF756">
      <w:start w:val="4"/>
      <w:numFmt w:val="lowerLetter"/>
      <w:lvlText w:val="%2."/>
      <w:lvlJc w:val="left"/>
      <w:pPr>
        <w:ind w:left="1440" w:hanging="360"/>
      </w:pPr>
      <w:rPr>
        <w:rFonts w:ascii="Times New Roman" w:hAnsi="Times New Roman" w:hint="default"/>
      </w:rPr>
    </w:lvl>
    <w:lvl w:ilvl="2" w:tplc="579A2FDA">
      <w:start w:val="1"/>
      <w:numFmt w:val="lowerRoman"/>
      <w:lvlText w:val="%3."/>
      <w:lvlJc w:val="right"/>
      <w:pPr>
        <w:ind w:left="2160" w:hanging="180"/>
      </w:pPr>
    </w:lvl>
    <w:lvl w:ilvl="3" w:tplc="22F8C64C">
      <w:start w:val="1"/>
      <w:numFmt w:val="decimal"/>
      <w:lvlText w:val="%4."/>
      <w:lvlJc w:val="left"/>
      <w:pPr>
        <w:ind w:left="2880" w:hanging="360"/>
      </w:pPr>
    </w:lvl>
    <w:lvl w:ilvl="4" w:tplc="CA6ADDFE">
      <w:start w:val="1"/>
      <w:numFmt w:val="lowerLetter"/>
      <w:lvlText w:val="%5."/>
      <w:lvlJc w:val="left"/>
      <w:pPr>
        <w:ind w:left="3600" w:hanging="360"/>
      </w:pPr>
    </w:lvl>
    <w:lvl w:ilvl="5" w:tplc="EBBE8C96">
      <w:start w:val="1"/>
      <w:numFmt w:val="lowerRoman"/>
      <w:lvlText w:val="%6."/>
      <w:lvlJc w:val="right"/>
      <w:pPr>
        <w:ind w:left="4320" w:hanging="180"/>
      </w:pPr>
    </w:lvl>
    <w:lvl w:ilvl="6" w:tplc="FBE649D4">
      <w:start w:val="1"/>
      <w:numFmt w:val="decimal"/>
      <w:lvlText w:val="%7."/>
      <w:lvlJc w:val="left"/>
      <w:pPr>
        <w:ind w:left="5040" w:hanging="360"/>
      </w:pPr>
    </w:lvl>
    <w:lvl w:ilvl="7" w:tplc="9EEE9242">
      <w:start w:val="1"/>
      <w:numFmt w:val="lowerLetter"/>
      <w:lvlText w:val="%8."/>
      <w:lvlJc w:val="left"/>
      <w:pPr>
        <w:ind w:left="5760" w:hanging="360"/>
      </w:pPr>
    </w:lvl>
    <w:lvl w:ilvl="8" w:tplc="50EAA878">
      <w:start w:val="1"/>
      <w:numFmt w:val="lowerRoman"/>
      <w:lvlText w:val="%9."/>
      <w:lvlJc w:val="right"/>
      <w:pPr>
        <w:ind w:left="6480" w:hanging="180"/>
      </w:pPr>
    </w:lvl>
  </w:abstractNum>
  <w:abstractNum w:abstractNumId="63" w15:restartNumberingAfterBreak="0">
    <w:nsid w:val="3E7C69DC"/>
    <w:multiLevelType w:val="hybridMultilevel"/>
    <w:tmpl w:val="1DA0C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BF56FC"/>
    <w:multiLevelType w:val="hybridMultilevel"/>
    <w:tmpl w:val="96D27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364CC0"/>
    <w:multiLevelType w:val="hybridMultilevel"/>
    <w:tmpl w:val="450E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FA54E08"/>
    <w:multiLevelType w:val="hybridMultilevel"/>
    <w:tmpl w:val="7D80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0F4592"/>
    <w:multiLevelType w:val="multilevel"/>
    <w:tmpl w:val="8BBE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CC7E95"/>
    <w:multiLevelType w:val="hybridMultilevel"/>
    <w:tmpl w:val="ED24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E8157B"/>
    <w:multiLevelType w:val="multilevel"/>
    <w:tmpl w:val="F5A2FFCA"/>
    <w:lvl w:ilvl="0">
      <w:start w:val="1"/>
      <w:numFmt w:val="decimal"/>
      <w:pStyle w:val="Heading1"/>
      <w:lvlText w:val="CHAPTER %1."/>
      <w:lvlJc w:val="left"/>
      <w:pPr>
        <w:tabs>
          <w:tab w:val="num" w:pos="619"/>
        </w:tabs>
        <w:ind w:left="619" w:hanging="619"/>
      </w:pPr>
      <w:rPr>
        <w:rFonts w:ascii="Times New Roman Bold" w:hAnsi="Times New Roman Bold" w:cs="Arial" w:hint="default"/>
        <w:b/>
        <w:i w:val="0"/>
        <w:caps w:val="0"/>
        <w:strike w:val="0"/>
        <w:dstrike w:val="0"/>
        <w:vanish w:val="0"/>
        <w:color w:val="auto"/>
        <w:sz w:val="24"/>
        <w:u w:val="none"/>
        <w:vertAlign w:val="baseline"/>
      </w:rPr>
    </w:lvl>
    <w:lvl w:ilvl="1">
      <w:start w:val="1"/>
      <w:numFmt w:val="decimal"/>
      <w:pStyle w:val="Heading2"/>
      <w:lvlText w:val="%1.%2."/>
      <w:lvlJc w:val="left"/>
      <w:pPr>
        <w:tabs>
          <w:tab w:val="num" w:pos="907"/>
        </w:tabs>
        <w:ind w:left="907" w:hanging="907"/>
      </w:pPr>
      <w:rPr>
        <w:rFonts w:ascii="Times New Roman Bold" w:hAnsi="Times New Roman Bold" w:cs="Arial" w:hint="default"/>
        <w:b/>
        <w:i w:val="0"/>
        <w:caps w:val="0"/>
        <w:strike w:val="0"/>
        <w:dstrike w:val="0"/>
        <w:vanish w:val="0"/>
        <w:color w:val="auto"/>
        <w:spacing w:val="0"/>
        <w:w w:val="100"/>
        <w:position w:val="0"/>
        <w:sz w:val="24"/>
        <w:u w:val="none"/>
        <w:vertAlign w:val="baseline"/>
      </w:rPr>
    </w:lvl>
    <w:lvl w:ilvl="2">
      <w:start w:val="1"/>
      <w:numFmt w:val="decimal"/>
      <w:pStyle w:val="Heading3"/>
      <w:lvlText w:val="%1.%2.%3."/>
      <w:lvlJc w:val="left"/>
      <w:pPr>
        <w:tabs>
          <w:tab w:val="num" w:pos="1166"/>
        </w:tabs>
        <w:ind w:left="1166" w:hanging="1166"/>
      </w:pPr>
      <w:rPr>
        <w:rFonts w:hint="default"/>
      </w:rPr>
    </w:lvl>
    <w:lvl w:ilvl="3">
      <w:start w:val="1"/>
      <w:numFmt w:val="decimal"/>
      <w:pStyle w:val="Heading4"/>
      <w:lvlText w:val="%1.%2.%3.%4."/>
      <w:lvlJc w:val="left"/>
      <w:pPr>
        <w:tabs>
          <w:tab w:val="num" w:pos="1440"/>
        </w:tabs>
        <w:ind w:left="1440" w:hanging="1440"/>
      </w:pPr>
      <w:rPr>
        <w:rFonts w:ascii="Times New Roman" w:hAnsi="Times New Roman" w:hint="default"/>
        <w:b w:val="0"/>
        <w:i w:val="0"/>
        <w:sz w:val="24"/>
      </w:rPr>
    </w:lvl>
    <w:lvl w:ilvl="4">
      <w:start w:val="1"/>
      <w:numFmt w:val="decimal"/>
      <w:pStyle w:val="Heading5"/>
      <w:lvlText w:val="%1.%2.%3.%4.%5."/>
      <w:lvlJc w:val="left"/>
      <w:pPr>
        <w:tabs>
          <w:tab w:val="num" w:pos="1627"/>
        </w:tabs>
        <w:ind w:left="1627" w:hanging="1627"/>
      </w:pPr>
      <w:rPr>
        <w:rFonts w:ascii="Times New Roman Bold" w:hAnsi="Times New Roman Bold"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pStyle w:val="Heading6"/>
      <w:suff w:val="nothing"/>
      <w:lvlText w:val=""/>
      <w:lvlJc w:val="left"/>
      <w:pPr>
        <w:ind w:left="0" w:firstLine="0"/>
      </w:pPr>
      <w:rPr>
        <w:rFonts w:hint="default"/>
      </w:rPr>
    </w:lvl>
    <w:lvl w:ilvl="6">
      <w:start w:val="1"/>
      <w:numFmt w:val="none"/>
      <w:suff w:val="nothing"/>
      <w:lvlText w:val=""/>
      <w:lvlJc w:val="left"/>
      <w:pPr>
        <w:ind w:left="0" w:firstLine="0"/>
      </w:pPr>
      <w:rPr>
        <w:rFonts w:ascii="Arial" w:hAnsi="Arial" w:hint="default"/>
        <w:caps w:val="0"/>
        <w:strike w:val="0"/>
        <w:dstrike w:val="0"/>
        <w:vanish w:val="0"/>
        <w:color w:val="auto"/>
        <w:sz w:val="22"/>
        <w:u w:val="single"/>
        <w:vertAlign w:val="baseline"/>
      </w:rPr>
    </w:lvl>
    <w:lvl w:ilvl="7">
      <w:start w:val="1"/>
      <w:numFmt w:val="none"/>
      <w:lvlText w:val=""/>
      <w:lvlJc w:val="left"/>
      <w:pPr>
        <w:ind w:left="3744" w:hanging="1224"/>
      </w:pPr>
      <w:rPr>
        <w:rFonts w:ascii="Times New Roman Bold" w:hAnsi="Times New Roman Bold" w:hint="default"/>
        <w:b/>
        <w:i w:val="0"/>
        <w:caps w:val="0"/>
        <w:strike w:val="0"/>
        <w:dstrike w:val="0"/>
        <w:vanish w:val="0"/>
        <w:color w:val="auto"/>
        <w:sz w:val="22"/>
        <w:u w:val="none"/>
        <w:vertAlign w:val="baseline"/>
      </w:rPr>
    </w:lvl>
    <w:lvl w:ilvl="8">
      <w:start w:val="1"/>
      <w:numFmt w:val="none"/>
      <w:suff w:val="nothing"/>
      <w:lvlText w:val=""/>
      <w:lvlJc w:val="left"/>
      <w:pPr>
        <w:ind w:left="0" w:firstLine="0"/>
      </w:pPr>
      <w:rPr>
        <w:rFonts w:hint="default"/>
      </w:rPr>
    </w:lvl>
  </w:abstractNum>
  <w:abstractNum w:abstractNumId="70" w15:restartNumberingAfterBreak="0">
    <w:nsid w:val="427A7942"/>
    <w:multiLevelType w:val="hybridMultilevel"/>
    <w:tmpl w:val="462E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B990CF"/>
    <w:multiLevelType w:val="hybridMultilevel"/>
    <w:tmpl w:val="FFFFFFFF"/>
    <w:lvl w:ilvl="0" w:tplc="7034F826">
      <w:start w:val="1"/>
      <w:numFmt w:val="decimal"/>
      <w:lvlText w:val="%1."/>
      <w:lvlJc w:val="left"/>
      <w:pPr>
        <w:ind w:left="720" w:hanging="360"/>
      </w:pPr>
    </w:lvl>
    <w:lvl w:ilvl="1" w:tplc="7A66F6E4">
      <w:start w:val="1"/>
      <w:numFmt w:val="lowerLetter"/>
      <w:lvlText w:val="%2."/>
      <w:lvlJc w:val="left"/>
      <w:pPr>
        <w:ind w:left="1440" w:hanging="360"/>
      </w:pPr>
      <w:rPr>
        <w:rFonts w:ascii="Times New Roman" w:hAnsi="Times New Roman" w:hint="default"/>
      </w:rPr>
    </w:lvl>
    <w:lvl w:ilvl="2" w:tplc="32B00906">
      <w:start w:val="1"/>
      <w:numFmt w:val="lowerRoman"/>
      <w:lvlText w:val="%3."/>
      <w:lvlJc w:val="right"/>
      <w:pPr>
        <w:ind w:left="2160" w:hanging="180"/>
      </w:pPr>
    </w:lvl>
    <w:lvl w:ilvl="3" w:tplc="AFD408AE">
      <w:start w:val="1"/>
      <w:numFmt w:val="decimal"/>
      <w:lvlText w:val="%4."/>
      <w:lvlJc w:val="left"/>
      <w:pPr>
        <w:ind w:left="2880" w:hanging="360"/>
      </w:pPr>
    </w:lvl>
    <w:lvl w:ilvl="4" w:tplc="4A283482">
      <w:start w:val="1"/>
      <w:numFmt w:val="lowerLetter"/>
      <w:lvlText w:val="%5."/>
      <w:lvlJc w:val="left"/>
      <w:pPr>
        <w:ind w:left="3600" w:hanging="360"/>
      </w:pPr>
    </w:lvl>
    <w:lvl w:ilvl="5" w:tplc="C73E07C2">
      <w:start w:val="1"/>
      <w:numFmt w:val="lowerRoman"/>
      <w:lvlText w:val="%6."/>
      <w:lvlJc w:val="right"/>
      <w:pPr>
        <w:ind w:left="4320" w:hanging="180"/>
      </w:pPr>
    </w:lvl>
    <w:lvl w:ilvl="6" w:tplc="2060446E">
      <w:start w:val="1"/>
      <w:numFmt w:val="decimal"/>
      <w:lvlText w:val="%7."/>
      <w:lvlJc w:val="left"/>
      <w:pPr>
        <w:ind w:left="5040" w:hanging="360"/>
      </w:pPr>
    </w:lvl>
    <w:lvl w:ilvl="7" w:tplc="9B78D540">
      <w:start w:val="1"/>
      <w:numFmt w:val="lowerLetter"/>
      <w:lvlText w:val="%8."/>
      <w:lvlJc w:val="left"/>
      <w:pPr>
        <w:ind w:left="5760" w:hanging="360"/>
      </w:pPr>
    </w:lvl>
    <w:lvl w:ilvl="8" w:tplc="9C2E35A8">
      <w:start w:val="1"/>
      <w:numFmt w:val="lowerRoman"/>
      <w:lvlText w:val="%9."/>
      <w:lvlJc w:val="right"/>
      <w:pPr>
        <w:ind w:left="6480" w:hanging="180"/>
      </w:pPr>
    </w:lvl>
  </w:abstractNum>
  <w:abstractNum w:abstractNumId="72" w15:restartNumberingAfterBreak="0">
    <w:nsid w:val="4356512C"/>
    <w:multiLevelType w:val="hybridMultilevel"/>
    <w:tmpl w:val="FFFFFFFF"/>
    <w:lvl w:ilvl="0" w:tplc="B596D842">
      <w:start w:val="1"/>
      <w:numFmt w:val="decimal"/>
      <w:lvlText w:val="%1."/>
      <w:lvlJc w:val="left"/>
      <w:pPr>
        <w:ind w:left="720" w:hanging="360"/>
      </w:pPr>
    </w:lvl>
    <w:lvl w:ilvl="1" w:tplc="FA2C3792">
      <w:start w:val="3"/>
      <w:numFmt w:val="lowerLetter"/>
      <w:lvlText w:val="%2."/>
      <w:lvlJc w:val="left"/>
      <w:pPr>
        <w:ind w:left="1440" w:hanging="360"/>
      </w:pPr>
      <w:rPr>
        <w:rFonts w:ascii="Times New Roman" w:hAnsi="Times New Roman" w:hint="default"/>
      </w:rPr>
    </w:lvl>
    <w:lvl w:ilvl="2" w:tplc="28AE0F36">
      <w:start w:val="1"/>
      <w:numFmt w:val="lowerRoman"/>
      <w:lvlText w:val="%3."/>
      <w:lvlJc w:val="right"/>
      <w:pPr>
        <w:ind w:left="2160" w:hanging="180"/>
      </w:pPr>
    </w:lvl>
    <w:lvl w:ilvl="3" w:tplc="0B6EEA4E">
      <w:start w:val="1"/>
      <w:numFmt w:val="decimal"/>
      <w:lvlText w:val="%4."/>
      <w:lvlJc w:val="left"/>
      <w:pPr>
        <w:ind w:left="2880" w:hanging="360"/>
      </w:pPr>
    </w:lvl>
    <w:lvl w:ilvl="4" w:tplc="65A03214">
      <w:start w:val="1"/>
      <w:numFmt w:val="lowerLetter"/>
      <w:lvlText w:val="%5."/>
      <w:lvlJc w:val="left"/>
      <w:pPr>
        <w:ind w:left="3600" w:hanging="360"/>
      </w:pPr>
    </w:lvl>
    <w:lvl w:ilvl="5" w:tplc="BB10FC06">
      <w:start w:val="1"/>
      <w:numFmt w:val="lowerRoman"/>
      <w:lvlText w:val="%6."/>
      <w:lvlJc w:val="right"/>
      <w:pPr>
        <w:ind w:left="4320" w:hanging="180"/>
      </w:pPr>
    </w:lvl>
    <w:lvl w:ilvl="6" w:tplc="3CD4DEF8">
      <w:start w:val="1"/>
      <w:numFmt w:val="decimal"/>
      <w:lvlText w:val="%7."/>
      <w:lvlJc w:val="left"/>
      <w:pPr>
        <w:ind w:left="5040" w:hanging="360"/>
      </w:pPr>
    </w:lvl>
    <w:lvl w:ilvl="7" w:tplc="83000DAA">
      <w:start w:val="1"/>
      <w:numFmt w:val="lowerLetter"/>
      <w:lvlText w:val="%8."/>
      <w:lvlJc w:val="left"/>
      <w:pPr>
        <w:ind w:left="5760" w:hanging="360"/>
      </w:pPr>
    </w:lvl>
    <w:lvl w:ilvl="8" w:tplc="900CA74E">
      <w:start w:val="1"/>
      <w:numFmt w:val="lowerRoman"/>
      <w:lvlText w:val="%9."/>
      <w:lvlJc w:val="right"/>
      <w:pPr>
        <w:ind w:left="6480" w:hanging="180"/>
      </w:pPr>
    </w:lvl>
  </w:abstractNum>
  <w:abstractNum w:abstractNumId="73" w15:restartNumberingAfterBreak="0">
    <w:nsid w:val="45C721BC"/>
    <w:multiLevelType w:val="hybridMultilevel"/>
    <w:tmpl w:val="FFFFFFFF"/>
    <w:lvl w:ilvl="0" w:tplc="E9142B36">
      <w:start w:val="1"/>
      <w:numFmt w:val="decimal"/>
      <w:lvlText w:val="%1."/>
      <w:lvlJc w:val="left"/>
      <w:pPr>
        <w:ind w:left="720" w:hanging="360"/>
      </w:pPr>
    </w:lvl>
    <w:lvl w:ilvl="1" w:tplc="FDC8819A">
      <w:start w:val="11"/>
      <w:numFmt w:val="lowerLetter"/>
      <w:lvlText w:val="%2."/>
      <w:lvlJc w:val="left"/>
      <w:pPr>
        <w:ind w:left="1440" w:hanging="360"/>
      </w:pPr>
      <w:rPr>
        <w:rFonts w:ascii="Times New Roman" w:hAnsi="Times New Roman" w:hint="default"/>
      </w:rPr>
    </w:lvl>
    <w:lvl w:ilvl="2" w:tplc="6CB4C2A8">
      <w:start w:val="1"/>
      <w:numFmt w:val="lowerRoman"/>
      <w:lvlText w:val="%3."/>
      <w:lvlJc w:val="right"/>
      <w:pPr>
        <w:ind w:left="2160" w:hanging="180"/>
      </w:pPr>
    </w:lvl>
    <w:lvl w:ilvl="3" w:tplc="5DD87D3A">
      <w:start w:val="1"/>
      <w:numFmt w:val="decimal"/>
      <w:lvlText w:val="%4."/>
      <w:lvlJc w:val="left"/>
      <w:pPr>
        <w:ind w:left="2880" w:hanging="360"/>
      </w:pPr>
    </w:lvl>
    <w:lvl w:ilvl="4" w:tplc="93849DD0">
      <w:start w:val="1"/>
      <w:numFmt w:val="lowerLetter"/>
      <w:lvlText w:val="%5."/>
      <w:lvlJc w:val="left"/>
      <w:pPr>
        <w:ind w:left="3600" w:hanging="360"/>
      </w:pPr>
    </w:lvl>
    <w:lvl w:ilvl="5" w:tplc="A4B07CA0">
      <w:start w:val="1"/>
      <w:numFmt w:val="lowerRoman"/>
      <w:lvlText w:val="%6."/>
      <w:lvlJc w:val="right"/>
      <w:pPr>
        <w:ind w:left="4320" w:hanging="180"/>
      </w:pPr>
    </w:lvl>
    <w:lvl w:ilvl="6" w:tplc="8BD622F0">
      <w:start w:val="1"/>
      <w:numFmt w:val="decimal"/>
      <w:lvlText w:val="%7."/>
      <w:lvlJc w:val="left"/>
      <w:pPr>
        <w:ind w:left="5040" w:hanging="360"/>
      </w:pPr>
    </w:lvl>
    <w:lvl w:ilvl="7" w:tplc="B910242E">
      <w:start w:val="1"/>
      <w:numFmt w:val="lowerLetter"/>
      <w:lvlText w:val="%8."/>
      <w:lvlJc w:val="left"/>
      <w:pPr>
        <w:ind w:left="5760" w:hanging="360"/>
      </w:pPr>
    </w:lvl>
    <w:lvl w:ilvl="8" w:tplc="3C201CC4">
      <w:start w:val="1"/>
      <w:numFmt w:val="lowerRoman"/>
      <w:lvlText w:val="%9."/>
      <w:lvlJc w:val="right"/>
      <w:pPr>
        <w:ind w:left="6480" w:hanging="180"/>
      </w:pPr>
    </w:lvl>
  </w:abstractNum>
  <w:abstractNum w:abstractNumId="74" w15:restartNumberingAfterBreak="0">
    <w:nsid w:val="45D71FA7"/>
    <w:multiLevelType w:val="hybridMultilevel"/>
    <w:tmpl w:val="FFFFFFFF"/>
    <w:lvl w:ilvl="0" w:tplc="137E1930">
      <w:start w:val="1"/>
      <w:numFmt w:val="decimal"/>
      <w:lvlText w:val="%1."/>
      <w:lvlJc w:val="left"/>
      <w:pPr>
        <w:ind w:left="720" w:hanging="360"/>
      </w:pPr>
    </w:lvl>
    <w:lvl w:ilvl="1" w:tplc="A992E198">
      <w:start w:val="8"/>
      <w:numFmt w:val="lowerLetter"/>
      <w:lvlText w:val="%2."/>
      <w:lvlJc w:val="left"/>
      <w:pPr>
        <w:ind w:left="1440" w:hanging="360"/>
      </w:pPr>
      <w:rPr>
        <w:rFonts w:ascii="Times New Roman" w:hAnsi="Times New Roman" w:hint="default"/>
      </w:rPr>
    </w:lvl>
    <w:lvl w:ilvl="2" w:tplc="3C3E760C">
      <w:start w:val="1"/>
      <w:numFmt w:val="lowerRoman"/>
      <w:lvlText w:val="%3."/>
      <w:lvlJc w:val="right"/>
      <w:pPr>
        <w:ind w:left="2160" w:hanging="180"/>
      </w:pPr>
    </w:lvl>
    <w:lvl w:ilvl="3" w:tplc="3716B1CA">
      <w:start w:val="1"/>
      <w:numFmt w:val="decimal"/>
      <w:lvlText w:val="%4."/>
      <w:lvlJc w:val="left"/>
      <w:pPr>
        <w:ind w:left="2880" w:hanging="360"/>
      </w:pPr>
    </w:lvl>
    <w:lvl w:ilvl="4" w:tplc="38FA17A2">
      <w:start w:val="1"/>
      <w:numFmt w:val="lowerLetter"/>
      <w:lvlText w:val="%5."/>
      <w:lvlJc w:val="left"/>
      <w:pPr>
        <w:ind w:left="3600" w:hanging="360"/>
      </w:pPr>
    </w:lvl>
    <w:lvl w:ilvl="5" w:tplc="E816294E">
      <w:start w:val="1"/>
      <w:numFmt w:val="lowerRoman"/>
      <w:lvlText w:val="%6."/>
      <w:lvlJc w:val="right"/>
      <w:pPr>
        <w:ind w:left="4320" w:hanging="180"/>
      </w:pPr>
    </w:lvl>
    <w:lvl w:ilvl="6" w:tplc="FE800B3A">
      <w:start w:val="1"/>
      <w:numFmt w:val="decimal"/>
      <w:lvlText w:val="%7."/>
      <w:lvlJc w:val="left"/>
      <w:pPr>
        <w:ind w:left="5040" w:hanging="360"/>
      </w:pPr>
    </w:lvl>
    <w:lvl w:ilvl="7" w:tplc="FFC6FC1E">
      <w:start w:val="1"/>
      <w:numFmt w:val="lowerLetter"/>
      <w:lvlText w:val="%8."/>
      <w:lvlJc w:val="left"/>
      <w:pPr>
        <w:ind w:left="5760" w:hanging="360"/>
      </w:pPr>
    </w:lvl>
    <w:lvl w:ilvl="8" w:tplc="A85A0CA4">
      <w:start w:val="1"/>
      <w:numFmt w:val="lowerRoman"/>
      <w:lvlText w:val="%9."/>
      <w:lvlJc w:val="right"/>
      <w:pPr>
        <w:ind w:left="6480" w:hanging="180"/>
      </w:pPr>
    </w:lvl>
  </w:abstractNum>
  <w:abstractNum w:abstractNumId="75" w15:restartNumberingAfterBreak="0">
    <w:nsid w:val="46531D5B"/>
    <w:multiLevelType w:val="hybridMultilevel"/>
    <w:tmpl w:val="D86059B0"/>
    <w:lvl w:ilvl="0" w:tplc="81E8053E">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A0C717B"/>
    <w:multiLevelType w:val="hybridMultilevel"/>
    <w:tmpl w:val="FFFFFFFF"/>
    <w:lvl w:ilvl="0" w:tplc="A35C7364">
      <w:start w:val="1"/>
      <w:numFmt w:val="decimal"/>
      <w:lvlText w:val="%1."/>
      <w:lvlJc w:val="left"/>
      <w:pPr>
        <w:ind w:left="720" w:hanging="360"/>
      </w:pPr>
    </w:lvl>
    <w:lvl w:ilvl="1" w:tplc="52841EB0">
      <w:start w:val="5"/>
      <w:numFmt w:val="lowerLetter"/>
      <w:lvlText w:val="%2."/>
      <w:lvlJc w:val="left"/>
      <w:pPr>
        <w:ind w:left="1440" w:hanging="360"/>
      </w:pPr>
      <w:rPr>
        <w:rFonts w:ascii="Times New Roman" w:hAnsi="Times New Roman" w:hint="default"/>
      </w:rPr>
    </w:lvl>
    <w:lvl w:ilvl="2" w:tplc="A380CE76">
      <w:start w:val="1"/>
      <w:numFmt w:val="lowerRoman"/>
      <w:lvlText w:val="%3."/>
      <w:lvlJc w:val="right"/>
      <w:pPr>
        <w:ind w:left="2160" w:hanging="180"/>
      </w:pPr>
    </w:lvl>
    <w:lvl w:ilvl="3" w:tplc="350C8784">
      <w:start w:val="1"/>
      <w:numFmt w:val="decimal"/>
      <w:lvlText w:val="%4."/>
      <w:lvlJc w:val="left"/>
      <w:pPr>
        <w:ind w:left="2880" w:hanging="360"/>
      </w:pPr>
    </w:lvl>
    <w:lvl w:ilvl="4" w:tplc="339078A4">
      <w:start w:val="1"/>
      <w:numFmt w:val="lowerLetter"/>
      <w:lvlText w:val="%5."/>
      <w:lvlJc w:val="left"/>
      <w:pPr>
        <w:ind w:left="3600" w:hanging="360"/>
      </w:pPr>
    </w:lvl>
    <w:lvl w:ilvl="5" w:tplc="BEE01D8E">
      <w:start w:val="1"/>
      <w:numFmt w:val="lowerRoman"/>
      <w:lvlText w:val="%6."/>
      <w:lvlJc w:val="right"/>
      <w:pPr>
        <w:ind w:left="4320" w:hanging="180"/>
      </w:pPr>
    </w:lvl>
    <w:lvl w:ilvl="6" w:tplc="432AEF66">
      <w:start w:val="1"/>
      <w:numFmt w:val="decimal"/>
      <w:lvlText w:val="%7."/>
      <w:lvlJc w:val="left"/>
      <w:pPr>
        <w:ind w:left="5040" w:hanging="360"/>
      </w:pPr>
    </w:lvl>
    <w:lvl w:ilvl="7" w:tplc="B5181078">
      <w:start w:val="1"/>
      <w:numFmt w:val="lowerLetter"/>
      <w:lvlText w:val="%8."/>
      <w:lvlJc w:val="left"/>
      <w:pPr>
        <w:ind w:left="5760" w:hanging="360"/>
      </w:pPr>
    </w:lvl>
    <w:lvl w:ilvl="8" w:tplc="2EE4475A">
      <w:start w:val="1"/>
      <w:numFmt w:val="lowerRoman"/>
      <w:lvlText w:val="%9."/>
      <w:lvlJc w:val="right"/>
      <w:pPr>
        <w:ind w:left="6480" w:hanging="180"/>
      </w:pPr>
    </w:lvl>
  </w:abstractNum>
  <w:abstractNum w:abstractNumId="77" w15:restartNumberingAfterBreak="0">
    <w:nsid w:val="4A20FFFC"/>
    <w:multiLevelType w:val="hybridMultilevel"/>
    <w:tmpl w:val="FFFFFFFF"/>
    <w:lvl w:ilvl="0" w:tplc="CB06214A">
      <w:start w:val="1"/>
      <w:numFmt w:val="bullet"/>
      <w:lvlText w:val=""/>
      <w:lvlJc w:val="left"/>
      <w:pPr>
        <w:ind w:left="2880" w:hanging="360"/>
      </w:pPr>
      <w:rPr>
        <w:rFonts w:ascii="Wingdings" w:hAnsi="Wingdings" w:hint="default"/>
      </w:rPr>
    </w:lvl>
    <w:lvl w:ilvl="1" w:tplc="7E52A8F6">
      <w:start w:val="1"/>
      <w:numFmt w:val="bullet"/>
      <w:lvlText w:val="o"/>
      <w:lvlJc w:val="left"/>
      <w:pPr>
        <w:ind w:left="1440" w:hanging="360"/>
      </w:pPr>
      <w:rPr>
        <w:rFonts w:ascii="Courier New" w:hAnsi="Courier New" w:hint="default"/>
      </w:rPr>
    </w:lvl>
    <w:lvl w:ilvl="2" w:tplc="6D4A19D0">
      <w:start w:val="1"/>
      <w:numFmt w:val="bullet"/>
      <w:lvlText w:val=""/>
      <w:lvlJc w:val="left"/>
      <w:pPr>
        <w:ind w:left="2160" w:hanging="360"/>
      </w:pPr>
      <w:rPr>
        <w:rFonts w:ascii="Wingdings" w:hAnsi="Wingdings" w:hint="default"/>
      </w:rPr>
    </w:lvl>
    <w:lvl w:ilvl="3" w:tplc="C14C37AA">
      <w:start w:val="1"/>
      <w:numFmt w:val="bullet"/>
      <w:lvlText w:val=""/>
      <w:lvlJc w:val="left"/>
      <w:pPr>
        <w:ind w:left="2880" w:hanging="360"/>
      </w:pPr>
      <w:rPr>
        <w:rFonts w:ascii="Symbol" w:hAnsi="Symbol" w:hint="default"/>
      </w:rPr>
    </w:lvl>
    <w:lvl w:ilvl="4" w:tplc="F02EBFC6">
      <w:start w:val="1"/>
      <w:numFmt w:val="bullet"/>
      <w:lvlText w:val="o"/>
      <w:lvlJc w:val="left"/>
      <w:pPr>
        <w:ind w:left="3600" w:hanging="360"/>
      </w:pPr>
      <w:rPr>
        <w:rFonts w:ascii="Courier New" w:hAnsi="Courier New" w:hint="default"/>
      </w:rPr>
    </w:lvl>
    <w:lvl w:ilvl="5" w:tplc="BFCA4FB2">
      <w:start w:val="1"/>
      <w:numFmt w:val="bullet"/>
      <w:lvlText w:val=""/>
      <w:lvlJc w:val="left"/>
      <w:pPr>
        <w:ind w:left="4320" w:hanging="360"/>
      </w:pPr>
      <w:rPr>
        <w:rFonts w:ascii="Wingdings" w:hAnsi="Wingdings" w:hint="default"/>
      </w:rPr>
    </w:lvl>
    <w:lvl w:ilvl="6" w:tplc="BC406412">
      <w:start w:val="1"/>
      <w:numFmt w:val="bullet"/>
      <w:lvlText w:val=""/>
      <w:lvlJc w:val="left"/>
      <w:pPr>
        <w:ind w:left="5040" w:hanging="360"/>
      </w:pPr>
      <w:rPr>
        <w:rFonts w:ascii="Symbol" w:hAnsi="Symbol" w:hint="default"/>
      </w:rPr>
    </w:lvl>
    <w:lvl w:ilvl="7" w:tplc="5D8E8638">
      <w:start w:val="1"/>
      <w:numFmt w:val="bullet"/>
      <w:lvlText w:val="o"/>
      <w:lvlJc w:val="left"/>
      <w:pPr>
        <w:ind w:left="5760" w:hanging="360"/>
      </w:pPr>
      <w:rPr>
        <w:rFonts w:ascii="Courier New" w:hAnsi="Courier New" w:hint="default"/>
      </w:rPr>
    </w:lvl>
    <w:lvl w:ilvl="8" w:tplc="9A2C14E4">
      <w:start w:val="1"/>
      <w:numFmt w:val="bullet"/>
      <w:lvlText w:val=""/>
      <w:lvlJc w:val="left"/>
      <w:pPr>
        <w:ind w:left="6480" w:hanging="360"/>
      </w:pPr>
      <w:rPr>
        <w:rFonts w:ascii="Wingdings" w:hAnsi="Wingdings" w:hint="default"/>
      </w:rPr>
    </w:lvl>
  </w:abstractNum>
  <w:abstractNum w:abstractNumId="78" w15:restartNumberingAfterBreak="0">
    <w:nsid w:val="4AE57968"/>
    <w:multiLevelType w:val="hybridMultilevel"/>
    <w:tmpl w:val="FFFFFFFF"/>
    <w:lvl w:ilvl="0" w:tplc="96000DD4">
      <w:start w:val="1"/>
      <w:numFmt w:val="decimal"/>
      <w:lvlText w:val="%1."/>
      <w:lvlJc w:val="left"/>
      <w:pPr>
        <w:ind w:left="720" w:hanging="360"/>
      </w:pPr>
    </w:lvl>
    <w:lvl w:ilvl="1" w:tplc="CBFE79F0">
      <w:start w:val="2"/>
      <w:numFmt w:val="lowerLetter"/>
      <w:lvlText w:val="%2."/>
      <w:lvlJc w:val="left"/>
      <w:pPr>
        <w:ind w:left="1440" w:hanging="360"/>
      </w:pPr>
      <w:rPr>
        <w:rFonts w:ascii="Times New Roman" w:hAnsi="Times New Roman" w:hint="default"/>
      </w:rPr>
    </w:lvl>
    <w:lvl w:ilvl="2" w:tplc="935CD738">
      <w:start w:val="1"/>
      <w:numFmt w:val="lowerRoman"/>
      <w:lvlText w:val="%3."/>
      <w:lvlJc w:val="right"/>
      <w:pPr>
        <w:ind w:left="2160" w:hanging="180"/>
      </w:pPr>
    </w:lvl>
    <w:lvl w:ilvl="3" w:tplc="31EA2D74">
      <w:start w:val="1"/>
      <w:numFmt w:val="decimal"/>
      <w:lvlText w:val="%4."/>
      <w:lvlJc w:val="left"/>
      <w:pPr>
        <w:ind w:left="2880" w:hanging="360"/>
      </w:pPr>
    </w:lvl>
    <w:lvl w:ilvl="4" w:tplc="4676A4D2">
      <w:start w:val="1"/>
      <w:numFmt w:val="lowerLetter"/>
      <w:lvlText w:val="%5."/>
      <w:lvlJc w:val="left"/>
      <w:pPr>
        <w:ind w:left="3600" w:hanging="360"/>
      </w:pPr>
    </w:lvl>
    <w:lvl w:ilvl="5" w:tplc="7B201708">
      <w:start w:val="1"/>
      <w:numFmt w:val="lowerRoman"/>
      <w:lvlText w:val="%6."/>
      <w:lvlJc w:val="right"/>
      <w:pPr>
        <w:ind w:left="4320" w:hanging="180"/>
      </w:pPr>
    </w:lvl>
    <w:lvl w:ilvl="6" w:tplc="115EC332">
      <w:start w:val="1"/>
      <w:numFmt w:val="decimal"/>
      <w:lvlText w:val="%7."/>
      <w:lvlJc w:val="left"/>
      <w:pPr>
        <w:ind w:left="5040" w:hanging="360"/>
      </w:pPr>
    </w:lvl>
    <w:lvl w:ilvl="7" w:tplc="C63C9440">
      <w:start w:val="1"/>
      <w:numFmt w:val="lowerLetter"/>
      <w:lvlText w:val="%8."/>
      <w:lvlJc w:val="left"/>
      <w:pPr>
        <w:ind w:left="5760" w:hanging="360"/>
      </w:pPr>
    </w:lvl>
    <w:lvl w:ilvl="8" w:tplc="BF96946A">
      <w:start w:val="1"/>
      <w:numFmt w:val="lowerRoman"/>
      <w:lvlText w:val="%9."/>
      <w:lvlJc w:val="right"/>
      <w:pPr>
        <w:ind w:left="6480" w:hanging="180"/>
      </w:pPr>
    </w:lvl>
  </w:abstractNum>
  <w:abstractNum w:abstractNumId="79" w15:restartNumberingAfterBreak="0">
    <w:nsid w:val="4D7E322E"/>
    <w:multiLevelType w:val="hybridMultilevel"/>
    <w:tmpl w:val="BD087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DC705CD"/>
    <w:multiLevelType w:val="multilevel"/>
    <w:tmpl w:val="6054FB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EF4709C"/>
    <w:multiLevelType w:val="hybridMultilevel"/>
    <w:tmpl w:val="FFFFFFFF"/>
    <w:lvl w:ilvl="0" w:tplc="4AB459A4">
      <w:start w:val="1"/>
      <w:numFmt w:val="bullet"/>
      <w:lvlText w:val=""/>
      <w:lvlJc w:val="left"/>
      <w:pPr>
        <w:ind w:left="720" w:hanging="360"/>
      </w:pPr>
      <w:rPr>
        <w:rFonts w:ascii="Symbol" w:hAnsi="Symbol" w:hint="default"/>
      </w:rPr>
    </w:lvl>
    <w:lvl w:ilvl="1" w:tplc="666A47C8">
      <w:start w:val="1"/>
      <w:numFmt w:val="bullet"/>
      <w:lvlText w:val="o"/>
      <w:lvlJc w:val="left"/>
      <w:pPr>
        <w:ind w:left="1440" w:hanging="360"/>
      </w:pPr>
      <w:rPr>
        <w:rFonts w:ascii="Courier New" w:hAnsi="Courier New" w:hint="default"/>
      </w:rPr>
    </w:lvl>
    <w:lvl w:ilvl="2" w:tplc="18A4D572">
      <w:start w:val="1"/>
      <w:numFmt w:val="bullet"/>
      <w:lvlText w:val=""/>
      <w:lvlJc w:val="left"/>
      <w:pPr>
        <w:ind w:left="2160" w:hanging="360"/>
      </w:pPr>
      <w:rPr>
        <w:rFonts w:ascii="Wingdings" w:hAnsi="Wingdings" w:hint="default"/>
      </w:rPr>
    </w:lvl>
    <w:lvl w:ilvl="3" w:tplc="0BF2B9C8">
      <w:start w:val="1"/>
      <w:numFmt w:val="bullet"/>
      <w:lvlText w:val=""/>
      <w:lvlJc w:val="left"/>
      <w:pPr>
        <w:ind w:left="2880" w:hanging="360"/>
      </w:pPr>
      <w:rPr>
        <w:rFonts w:ascii="Symbol" w:hAnsi="Symbol" w:hint="default"/>
      </w:rPr>
    </w:lvl>
    <w:lvl w:ilvl="4" w:tplc="C3809842">
      <w:start w:val="1"/>
      <w:numFmt w:val="bullet"/>
      <w:lvlText w:val="o"/>
      <w:lvlJc w:val="left"/>
      <w:pPr>
        <w:ind w:left="3600" w:hanging="360"/>
      </w:pPr>
      <w:rPr>
        <w:rFonts w:ascii="Courier New" w:hAnsi="Courier New" w:hint="default"/>
      </w:rPr>
    </w:lvl>
    <w:lvl w:ilvl="5" w:tplc="B82CF3B2">
      <w:start w:val="1"/>
      <w:numFmt w:val="bullet"/>
      <w:lvlText w:val=""/>
      <w:lvlJc w:val="left"/>
      <w:pPr>
        <w:ind w:left="4320" w:hanging="360"/>
      </w:pPr>
      <w:rPr>
        <w:rFonts w:ascii="Wingdings" w:hAnsi="Wingdings" w:hint="default"/>
      </w:rPr>
    </w:lvl>
    <w:lvl w:ilvl="6" w:tplc="84AE9F84">
      <w:start w:val="1"/>
      <w:numFmt w:val="bullet"/>
      <w:lvlText w:val=""/>
      <w:lvlJc w:val="left"/>
      <w:pPr>
        <w:ind w:left="5040" w:hanging="360"/>
      </w:pPr>
      <w:rPr>
        <w:rFonts w:ascii="Symbol" w:hAnsi="Symbol" w:hint="default"/>
      </w:rPr>
    </w:lvl>
    <w:lvl w:ilvl="7" w:tplc="2A3E0E3A">
      <w:start w:val="1"/>
      <w:numFmt w:val="bullet"/>
      <w:lvlText w:val="o"/>
      <w:lvlJc w:val="left"/>
      <w:pPr>
        <w:ind w:left="5760" w:hanging="360"/>
      </w:pPr>
      <w:rPr>
        <w:rFonts w:ascii="Courier New" w:hAnsi="Courier New" w:hint="default"/>
      </w:rPr>
    </w:lvl>
    <w:lvl w:ilvl="8" w:tplc="0F4A0C98">
      <w:start w:val="1"/>
      <w:numFmt w:val="bullet"/>
      <w:lvlText w:val=""/>
      <w:lvlJc w:val="left"/>
      <w:pPr>
        <w:ind w:left="6480" w:hanging="360"/>
      </w:pPr>
      <w:rPr>
        <w:rFonts w:ascii="Wingdings" w:hAnsi="Wingdings" w:hint="default"/>
      </w:rPr>
    </w:lvl>
  </w:abstractNum>
  <w:abstractNum w:abstractNumId="82" w15:restartNumberingAfterBreak="0">
    <w:nsid w:val="4F0F6547"/>
    <w:multiLevelType w:val="hybridMultilevel"/>
    <w:tmpl w:val="E96EB83E"/>
    <w:lvl w:ilvl="0" w:tplc="C268BEEA">
      <w:start w:val="1"/>
      <w:numFmt w:val="lowerLetter"/>
      <w:lvlText w:val="%1."/>
      <w:lvlJc w:val="left"/>
      <w:pPr>
        <w:ind w:left="1440" w:hanging="360"/>
      </w:pPr>
    </w:lvl>
    <w:lvl w:ilvl="1" w:tplc="B98CC068">
      <w:start w:val="1"/>
      <w:numFmt w:val="lowerLetter"/>
      <w:lvlText w:val="%2."/>
      <w:lvlJc w:val="left"/>
      <w:pPr>
        <w:ind w:left="1440" w:hanging="360"/>
      </w:pPr>
    </w:lvl>
    <w:lvl w:ilvl="2" w:tplc="D99CB02A">
      <w:start w:val="1"/>
      <w:numFmt w:val="lowerRoman"/>
      <w:lvlText w:val="%3."/>
      <w:lvlJc w:val="right"/>
      <w:pPr>
        <w:ind w:left="2160" w:hanging="180"/>
      </w:pPr>
    </w:lvl>
    <w:lvl w:ilvl="3" w:tplc="C958AFD0">
      <w:start w:val="1"/>
      <w:numFmt w:val="decimal"/>
      <w:lvlText w:val="%4."/>
      <w:lvlJc w:val="left"/>
      <w:pPr>
        <w:ind w:left="2880" w:hanging="360"/>
      </w:pPr>
    </w:lvl>
    <w:lvl w:ilvl="4" w:tplc="609CD8B6">
      <w:start w:val="1"/>
      <w:numFmt w:val="lowerLetter"/>
      <w:lvlText w:val="%5."/>
      <w:lvlJc w:val="left"/>
      <w:pPr>
        <w:ind w:left="3600" w:hanging="360"/>
      </w:pPr>
    </w:lvl>
    <w:lvl w:ilvl="5" w:tplc="6D9C63EC">
      <w:start w:val="1"/>
      <w:numFmt w:val="lowerRoman"/>
      <w:lvlText w:val="%6."/>
      <w:lvlJc w:val="right"/>
      <w:pPr>
        <w:ind w:left="4320" w:hanging="180"/>
      </w:pPr>
    </w:lvl>
    <w:lvl w:ilvl="6" w:tplc="D1C641F8">
      <w:start w:val="1"/>
      <w:numFmt w:val="decimal"/>
      <w:lvlText w:val="%7."/>
      <w:lvlJc w:val="left"/>
      <w:pPr>
        <w:ind w:left="5040" w:hanging="360"/>
      </w:pPr>
    </w:lvl>
    <w:lvl w:ilvl="7" w:tplc="52B69A4C">
      <w:start w:val="1"/>
      <w:numFmt w:val="lowerLetter"/>
      <w:lvlText w:val="%8."/>
      <w:lvlJc w:val="left"/>
      <w:pPr>
        <w:ind w:left="5760" w:hanging="360"/>
      </w:pPr>
    </w:lvl>
    <w:lvl w:ilvl="8" w:tplc="CD0CC6C0">
      <w:start w:val="1"/>
      <w:numFmt w:val="lowerRoman"/>
      <w:lvlText w:val="%9."/>
      <w:lvlJc w:val="right"/>
      <w:pPr>
        <w:ind w:left="6480" w:hanging="180"/>
      </w:pPr>
    </w:lvl>
  </w:abstractNum>
  <w:abstractNum w:abstractNumId="83" w15:restartNumberingAfterBreak="0">
    <w:nsid w:val="4F3032B1"/>
    <w:multiLevelType w:val="hybridMultilevel"/>
    <w:tmpl w:val="FFFFFFFF"/>
    <w:lvl w:ilvl="0" w:tplc="D5CCAE18">
      <w:start w:val="1"/>
      <w:numFmt w:val="decimal"/>
      <w:lvlText w:val="%1."/>
      <w:lvlJc w:val="left"/>
      <w:pPr>
        <w:ind w:left="720" w:hanging="360"/>
      </w:pPr>
    </w:lvl>
    <w:lvl w:ilvl="1" w:tplc="7C5C55EA">
      <w:start w:val="9"/>
      <w:numFmt w:val="lowerLetter"/>
      <w:lvlText w:val="%2."/>
      <w:lvlJc w:val="left"/>
      <w:pPr>
        <w:ind w:left="1440" w:hanging="360"/>
      </w:pPr>
      <w:rPr>
        <w:rFonts w:ascii="Times New Roman" w:hAnsi="Times New Roman" w:hint="default"/>
      </w:rPr>
    </w:lvl>
    <w:lvl w:ilvl="2" w:tplc="4D529D34">
      <w:start w:val="1"/>
      <w:numFmt w:val="lowerRoman"/>
      <w:lvlText w:val="%3."/>
      <w:lvlJc w:val="right"/>
      <w:pPr>
        <w:ind w:left="2160" w:hanging="180"/>
      </w:pPr>
    </w:lvl>
    <w:lvl w:ilvl="3" w:tplc="3A589C6C">
      <w:start w:val="1"/>
      <w:numFmt w:val="decimal"/>
      <w:lvlText w:val="%4."/>
      <w:lvlJc w:val="left"/>
      <w:pPr>
        <w:ind w:left="2880" w:hanging="360"/>
      </w:pPr>
    </w:lvl>
    <w:lvl w:ilvl="4" w:tplc="667E60A2">
      <w:start w:val="1"/>
      <w:numFmt w:val="lowerLetter"/>
      <w:lvlText w:val="%5."/>
      <w:lvlJc w:val="left"/>
      <w:pPr>
        <w:ind w:left="3600" w:hanging="360"/>
      </w:pPr>
    </w:lvl>
    <w:lvl w:ilvl="5" w:tplc="B866B4BE">
      <w:start w:val="1"/>
      <w:numFmt w:val="lowerRoman"/>
      <w:lvlText w:val="%6."/>
      <w:lvlJc w:val="right"/>
      <w:pPr>
        <w:ind w:left="4320" w:hanging="180"/>
      </w:pPr>
    </w:lvl>
    <w:lvl w:ilvl="6" w:tplc="4B4E8754">
      <w:start w:val="1"/>
      <w:numFmt w:val="decimal"/>
      <w:lvlText w:val="%7."/>
      <w:lvlJc w:val="left"/>
      <w:pPr>
        <w:ind w:left="5040" w:hanging="360"/>
      </w:pPr>
    </w:lvl>
    <w:lvl w:ilvl="7" w:tplc="4CDE4700">
      <w:start w:val="1"/>
      <w:numFmt w:val="lowerLetter"/>
      <w:lvlText w:val="%8."/>
      <w:lvlJc w:val="left"/>
      <w:pPr>
        <w:ind w:left="5760" w:hanging="360"/>
      </w:pPr>
    </w:lvl>
    <w:lvl w:ilvl="8" w:tplc="17544D44">
      <w:start w:val="1"/>
      <w:numFmt w:val="lowerRoman"/>
      <w:lvlText w:val="%9."/>
      <w:lvlJc w:val="right"/>
      <w:pPr>
        <w:ind w:left="6480" w:hanging="180"/>
      </w:pPr>
    </w:lvl>
  </w:abstractNum>
  <w:abstractNum w:abstractNumId="84" w15:restartNumberingAfterBreak="0">
    <w:nsid w:val="50160A5C"/>
    <w:multiLevelType w:val="hybridMultilevel"/>
    <w:tmpl w:val="FFFFFFFF"/>
    <w:lvl w:ilvl="0" w:tplc="A6F466B8">
      <w:start w:val="1"/>
      <w:numFmt w:val="decimal"/>
      <w:lvlText w:val="%1."/>
      <w:lvlJc w:val="left"/>
      <w:pPr>
        <w:ind w:left="720" w:hanging="360"/>
      </w:pPr>
    </w:lvl>
    <w:lvl w:ilvl="1" w:tplc="156C29E6">
      <w:start w:val="5"/>
      <w:numFmt w:val="lowerLetter"/>
      <w:lvlText w:val="%2."/>
      <w:lvlJc w:val="left"/>
      <w:pPr>
        <w:ind w:left="1440" w:hanging="360"/>
      </w:pPr>
      <w:rPr>
        <w:rFonts w:ascii="Times New Roman" w:hAnsi="Times New Roman" w:hint="default"/>
      </w:rPr>
    </w:lvl>
    <w:lvl w:ilvl="2" w:tplc="A800A010">
      <w:start w:val="1"/>
      <w:numFmt w:val="lowerRoman"/>
      <w:lvlText w:val="%3."/>
      <w:lvlJc w:val="right"/>
      <w:pPr>
        <w:ind w:left="2160" w:hanging="180"/>
      </w:pPr>
    </w:lvl>
    <w:lvl w:ilvl="3" w:tplc="07DCCE0C">
      <w:start w:val="1"/>
      <w:numFmt w:val="decimal"/>
      <w:lvlText w:val="%4."/>
      <w:lvlJc w:val="left"/>
      <w:pPr>
        <w:ind w:left="2880" w:hanging="360"/>
      </w:pPr>
    </w:lvl>
    <w:lvl w:ilvl="4" w:tplc="4AB8E590">
      <w:start w:val="1"/>
      <w:numFmt w:val="lowerLetter"/>
      <w:lvlText w:val="%5."/>
      <w:lvlJc w:val="left"/>
      <w:pPr>
        <w:ind w:left="3600" w:hanging="360"/>
      </w:pPr>
    </w:lvl>
    <w:lvl w:ilvl="5" w:tplc="50C625CC">
      <w:start w:val="1"/>
      <w:numFmt w:val="lowerRoman"/>
      <w:lvlText w:val="%6."/>
      <w:lvlJc w:val="right"/>
      <w:pPr>
        <w:ind w:left="4320" w:hanging="180"/>
      </w:pPr>
    </w:lvl>
    <w:lvl w:ilvl="6" w:tplc="5D8E9B18">
      <w:start w:val="1"/>
      <w:numFmt w:val="decimal"/>
      <w:lvlText w:val="%7."/>
      <w:lvlJc w:val="left"/>
      <w:pPr>
        <w:ind w:left="5040" w:hanging="360"/>
      </w:pPr>
    </w:lvl>
    <w:lvl w:ilvl="7" w:tplc="5808B938">
      <w:start w:val="1"/>
      <w:numFmt w:val="lowerLetter"/>
      <w:lvlText w:val="%8."/>
      <w:lvlJc w:val="left"/>
      <w:pPr>
        <w:ind w:left="5760" w:hanging="360"/>
      </w:pPr>
    </w:lvl>
    <w:lvl w:ilvl="8" w:tplc="37F62560">
      <w:start w:val="1"/>
      <w:numFmt w:val="lowerRoman"/>
      <w:lvlText w:val="%9."/>
      <w:lvlJc w:val="right"/>
      <w:pPr>
        <w:ind w:left="6480" w:hanging="180"/>
      </w:pPr>
    </w:lvl>
  </w:abstractNum>
  <w:abstractNum w:abstractNumId="85" w15:restartNumberingAfterBreak="0">
    <w:nsid w:val="50C749C6"/>
    <w:multiLevelType w:val="hybridMultilevel"/>
    <w:tmpl w:val="FFFFFFFF"/>
    <w:lvl w:ilvl="0" w:tplc="A260A8BA">
      <w:start w:val="1"/>
      <w:numFmt w:val="decimal"/>
      <w:lvlText w:val="%1."/>
      <w:lvlJc w:val="left"/>
      <w:pPr>
        <w:ind w:left="720" w:hanging="360"/>
      </w:pPr>
    </w:lvl>
    <w:lvl w:ilvl="1" w:tplc="983239A8">
      <w:start w:val="7"/>
      <w:numFmt w:val="lowerLetter"/>
      <w:lvlText w:val="%2."/>
      <w:lvlJc w:val="left"/>
      <w:pPr>
        <w:ind w:left="1440" w:hanging="360"/>
      </w:pPr>
      <w:rPr>
        <w:rFonts w:ascii="Times New Roman" w:hAnsi="Times New Roman" w:hint="default"/>
      </w:rPr>
    </w:lvl>
    <w:lvl w:ilvl="2" w:tplc="4EC8A546">
      <w:start w:val="1"/>
      <w:numFmt w:val="lowerRoman"/>
      <w:lvlText w:val="%3."/>
      <w:lvlJc w:val="right"/>
      <w:pPr>
        <w:ind w:left="2160" w:hanging="180"/>
      </w:pPr>
    </w:lvl>
    <w:lvl w:ilvl="3" w:tplc="EB0A5C66">
      <w:start w:val="1"/>
      <w:numFmt w:val="decimal"/>
      <w:lvlText w:val="%4."/>
      <w:lvlJc w:val="left"/>
      <w:pPr>
        <w:ind w:left="2880" w:hanging="360"/>
      </w:pPr>
    </w:lvl>
    <w:lvl w:ilvl="4" w:tplc="3940ACA4">
      <w:start w:val="1"/>
      <w:numFmt w:val="lowerLetter"/>
      <w:lvlText w:val="%5."/>
      <w:lvlJc w:val="left"/>
      <w:pPr>
        <w:ind w:left="3600" w:hanging="360"/>
      </w:pPr>
    </w:lvl>
    <w:lvl w:ilvl="5" w:tplc="AE30DCC4">
      <w:start w:val="1"/>
      <w:numFmt w:val="lowerRoman"/>
      <w:lvlText w:val="%6."/>
      <w:lvlJc w:val="right"/>
      <w:pPr>
        <w:ind w:left="4320" w:hanging="180"/>
      </w:pPr>
    </w:lvl>
    <w:lvl w:ilvl="6" w:tplc="D1F0890C">
      <w:start w:val="1"/>
      <w:numFmt w:val="decimal"/>
      <w:lvlText w:val="%7."/>
      <w:lvlJc w:val="left"/>
      <w:pPr>
        <w:ind w:left="5040" w:hanging="360"/>
      </w:pPr>
    </w:lvl>
    <w:lvl w:ilvl="7" w:tplc="30DCC8B0">
      <w:start w:val="1"/>
      <w:numFmt w:val="lowerLetter"/>
      <w:lvlText w:val="%8."/>
      <w:lvlJc w:val="left"/>
      <w:pPr>
        <w:ind w:left="5760" w:hanging="360"/>
      </w:pPr>
    </w:lvl>
    <w:lvl w:ilvl="8" w:tplc="BAB68CA0">
      <w:start w:val="1"/>
      <w:numFmt w:val="lowerRoman"/>
      <w:lvlText w:val="%9."/>
      <w:lvlJc w:val="right"/>
      <w:pPr>
        <w:ind w:left="6480" w:hanging="180"/>
      </w:pPr>
    </w:lvl>
  </w:abstractNum>
  <w:abstractNum w:abstractNumId="86" w15:restartNumberingAfterBreak="0">
    <w:nsid w:val="51B31540"/>
    <w:multiLevelType w:val="multilevel"/>
    <w:tmpl w:val="D868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32C5727"/>
    <w:multiLevelType w:val="hybridMultilevel"/>
    <w:tmpl w:val="FFFFFFFF"/>
    <w:lvl w:ilvl="0" w:tplc="08B8F91E">
      <w:start w:val="1"/>
      <w:numFmt w:val="decimal"/>
      <w:lvlText w:val="%1."/>
      <w:lvlJc w:val="left"/>
      <w:pPr>
        <w:ind w:left="720" w:hanging="360"/>
      </w:pPr>
    </w:lvl>
    <w:lvl w:ilvl="1" w:tplc="7C0A2CF2">
      <w:start w:val="5"/>
      <w:numFmt w:val="lowerLetter"/>
      <w:lvlText w:val="%2."/>
      <w:lvlJc w:val="left"/>
      <w:pPr>
        <w:ind w:left="1440" w:hanging="360"/>
      </w:pPr>
      <w:rPr>
        <w:rFonts w:ascii="Times New Roman" w:hAnsi="Times New Roman" w:hint="default"/>
      </w:rPr>
    </w:lvl>
    <w:lvl w:ilvl="2" w:tplc="C49C1856">
      <w:start w:val="1"/>
      <w:numFmt w:val="lowerRoman"/>
      <w:lvlText w:val="%3."/>
      <w:lvlJc w:val="right"/>
      <w:pPr>
        <w:ind w:left="2160" w:hanging="180"/>
      </w:pPr>
    </w:lvl>
    <w:lvl w:ilvl="3" w:tplc="1C880F74">
      <w:start w:val="1"/>
      <w:numFmt w:val="decimal"/>
      <w:lvlText w:val="%4."/>
      <w:lvlJc w:val="left"/>
      <w:pPr>
        <w:ind w:left="2880" w:hanging="360"/>
      </w:pPr>
    </w:lvl>
    <w:lvl w:ilvl="4" w:tplc="224C0292">
      <w:start w:val="1"/>
      <w:numFmt w:val="lowerLetter"/>
      <w:lvlText w:val="%5."/>
      <w:lvlJc w:val="left"/>
      <w:pPr>
        <w:ind w:left="3600" w:hanging="360"/>
      </w:pPr>
    </w:lvl>
    <w:lvl w:ilvl="5" w:tplc="1D3254F6">
      <w:start w:val="1"/>
      <w:numFmt w:val="lowerRoman"/>
      <w:lvlText w:val="%6."/>
      <w:lvlJc w:val="right"/>
      <w:pPr>
        <w:ind w:left="4320" w:hanging="180"/>
      </w:pPr>
    </w:lvl>
    <w:lvl w:ilvl="6" w:tplc="B56A296A">
      <w:start w:val="1"/>
      <w:numFmt w:val="decimal"/>
      <w:lvlText w:val="%7."/>
      <w:lvlJc w:val="left"/>
      <w:pPr>
        <w:ind w:left="5040" w:hanging="360"/>
      </w:pPr>
    </w:lvl>
    <w:lvl w:ilvl="7" w:tplc="4B7AEDE0">
      <w:start w:val="1"/>
      <w:numFmt w:val="lowerLetter"/>
      <w:lvlText w:val="%8."/>
      <w:lvlJc w:val="left"/>
      <w:pPr>
        <w:ind w:left="5760" w:hanging="360"/>
      </w:pPr>
    </w:lvl>
    <w:lvl w:ilvl="8" w:tplc="38E4F288">
      <w:start w:val="1"/>
      <w:numFmt w:val="lowerRoman"/>
      <w:lvlText w:val="%9."/>
      <w:lvlJc w:val="right"/>
      <w:pPr>
        <w:ind w:left="6480" w:hanging="180"/>
      </w:pPr>
    </w:lvl>
  </w:abstractNum>
  <w:abstractNum w:abstractNumId="88" w15:restartNumberingAfterBreak="0">
    <w:nsid w:val="55B67CDB"/>
    <w:multiLevelType w:val="hybridMultilevel"/>
    <w:tmpl w:val="84AA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931DD2"/>
    <w:multiLevelType w:val="multilevel"/>
    <w:tmpl w:val="517E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6AE6409"/>
    <w:multiLevelType w:val="hybridMultilevel"/>
    <w:tmpl w:val="FFFFFFFF"/>
    <w:lvl w:ilvl="0" w:tplc="15F48D7E">
      <w:start w:val="1"/>
      <w:numFmt w:val="decimal"/>
      <w:lvlText w:val="%1."/>
      <w:lvlJc w:val="left"/>
      <w:pPr>
        <w:ind w:left="720" w:hanging="360"/>
      </w:pPr>
    </w:lvl>
    <w:lvl w:ilvl="1" w:tplc="82C8D0C2">
      <w:start w:val="3"/>
      <w:numFmt w:val="lowerLetter"/>
      <w:lvlText w:val="%2."/>
      <w:lvlJc w:val="left"/>
      <w:pPr>
        <w:ind w:left="1440" w:hanging="360"/>
      </w:pPr>
      <w:rPr>
        <w:rFonts w:ascii="Times New Roman" w:hAnsi="Times New Roman" w:hint="default"/>
      </w:rPr>
    </w:lvl>
    <w:lvl w:ilvl="2" w:tplc="547C9BEC">
      <w:start w:val="1"/>
      <w:numFmt w:val="lowerRoman"/>
      <w:lvlText w:val="%3."/>
      <w:lvlJc w:val="right"/>
      <w:pPr>
        <w:ind w:left="2160" w:hanging="180"/>
      </w:pPr>
    </w:lvl>
    <w:lvl w:ilvl="3" w:tplc="4A68C50C">
      <w:start w:val="1"/>
      <w:numFmt w:val="decimal"/>
      <w:lvlText w:val="%4."/>
      <w:lvlJc w:val="left"/>
      <w:pPr>
        <w:ind w:left="2880" w:hanging="360"/>
      </w:pPr>
    </w:lvl>
    <w:lvl w:ilvl="4" w:tplc="E5AEDEF8">
      <w:start w:val="1"/>
      <w:numFmt w:val="lowerLetter"/>
      <w:lvlText w:val="%5."/>
      <w:lvlJc w:val="left"/>
      <w:pPr>
        <w:ind w:left="3600" w:hanging="360"/>
      </w:pPr>
    </w:lvl>
    <w:lvl w:ilvl="5" w:tplc="6414BB66">
      <w:start w:val="1"/>
      <w:numFmt w:val="lowerRoman"/>
      <w:lvlText w:val="%6."/>
      <w:lvlJc w:val="right"/>
      <w:pPr>
        <w:ind w:left="4320" w:hanging="180"/>
      </w:pPr>
    </w:lvl>
    <w:lvl w:ilvl="6" w:tplc="CA5A9C2E">
      <w:start w:val="1"/>
      <w:numFmt w:val="decimal"/>
      <w:lvlText w:val="%7."/>
      <w:lvlJc w:val="left"/>
      <w:pPr>
        <w:ind w:left="5040" w:hanging="360"/>
      </w:pPr>
    </w:lvl>
    <w:lvl w:ilvl="7" w:tplc="2486AA1A">
      <w:start w:val="1"/>
      <w:numFmt w:val="lowerLetter"/>
      <w:lvlText w:val="%8."/>
      <w:lvlJc w:val="left"/>
      <w:pPr>
        <w:ind w:left="5760" w:hanging="360"/>
      </w:pPr>
    </w:lvl>
    <w:lvl w:ilvl="8" w:tplc="4F0E3AD8">
      <w:start w:val="1"/>
      <w:numFmt w:val="lowerRoman"/>
      <w:lvlText w:val="%9."/>
      <w:lvlJc w:val="right"/>
      <w:pPr>
        <w:ind w:left="6480" w:hanging="180"/>
      </w:pPr>
    </w:lvl>
  </w:abstractNum>
  <w:abstractNum w:abstractNumId="91" w15:restartNumberingAfterBreak="0">
    <w:nsid w:val="584A313C"/>
    <w:multiLevelType w:val="hybridMultilevel"/>
    <w:tmpl w:val="FFFFFFFF"/>
    <w:lvl w:ilvl="0" w:tplc="20F26416">
      <w:start w:val="2"/>
      <w:numFmt w:val="decimal"/>
      <w:lvlText w:val="%1."/>
      <w:lvlJc w:val="left"/>
      <w:pPr>
        <w:ind w:left="720" w:hanging="360"/>
      </w:pPr>
      <w:rPr>
        <w:rFonts w:ascii="Times New Roman" w:hAnsi="Times New Roman" w:hint="default"/>
      </w:rPr>
    </w:lvl>
    <w:lvl w:ilvl="1" w:tplc="2B6C238A">
      <w:start w:val="1"/>
      <w:numFmt w:val="lowerLetter"/>
      <w:lvlText w:val="%2."/>
      <w:lvlJc w:val="left"/>
      <w:pPr>
        <w:ind w:left="1440" w:hanging="360"/>
      </w:pPr>
    </w:lvl>
    <w:lvl w:ilvl="2" w:tplc="C87E3A30">
      <w:start w:val="1"/>
      <w:numFmt w:val="lowerRoman"/>
      <w:lvlText w:val="%3."/>
      <w:lvlJc w:val="right"/>
      <w:pPr>
        <w:ind w:left="2160" w:hanging="180"/>
      </w:pPr>
    </w:lvl>
    <w:lvl w:ilvl="3" w:tplc="C0260540">
      <w:start w:val="1"/>
      <w:numFmt w:val="decimal"/>
      <w:lvlText w:val="%4."/>
      <w:lvlJc w:val="left"/>
      <w:pPr>
        <w:ind w:left="2880" w:hanging="360"/>
      </w:pPr>
    </w:lvl>
    <w:lvl w:ilvl="4" w:tplc="C232B3B4">
      <w:start w:val="1"/>
      <w:numFmt w:val="lowerLetter"/>
      <w:lvlText w:val="%5."/>
      <w:lvlJc w:val="left"/>
      <w:pPr>
        <w:ind w:left="3600" w:hanging="360"/>
      </w:pPr>
    </w:lvl>
    <w:lvl w:ilvl="5" w:tplc="82CAF78E">
      <w:start w:val="1"/>
      <w:numFmt w:val="lowerRoman"/>
      <w:lvlText w:val="%6."/>
      <w:lvlJc w:val="right"/>
      <w:pPr>
        <w:ind w:left="4320" w:hanging="180"/>
      </w:pPr>
    </w:lvl>
    <w:lvl w:ilvl="6" w:tplc="B9A81C06">
      <w:start w:val="1"/>
      <w:numFmt w:val="decimal"/>
      <w:lvlText w:val="%7."/>
      <w:lvlJc w:val="left"/>
      <w:pPr>
        <w:ind w:left="5040" w:hanging="360"/>
      </w:pPr>
    </w:lvl>
    <w:lvl w:ilvl="7" w:tplc="5E8A7280">
      <w:start w:val="1"/>
      <w:numFmt w:val="lowerLetter"/>
      <w:lvlText w:val="%8."/>
      <w:lvlJc w:val="left"/>
      <w:pPr>
        <w:ind w:left="5760" w:hanging="360"/>
      </w:pPr>
    </w:lvl>
    <w:lvl w:ilvl="8" w:tplc="1DBE80EE">
      <w:start w:val="1"/>
      <w:numFmt w:val="lowerRoman"/>
      <w:lvlText w:val="%9."/>
      <w:lvlJc w:val="right"/>
      <w:pPr>
        <w:ind w:left="6480" w:hanging="180"/>
      </w:pPr>
    </w:lvl>
  </w:abstractNum>
  <w:abstractNum w:abstractNumId="92" w15:restartNumberingAfterBreak="0">
    <w:nsid w:val="5927ED14"/>
    <w:multiLevelType w:val="hybridMultilevel"/>
    <w:tmpl w:val="FFFFFFFF"/>
    <w:lvl w:ilvl="0" w:tplc="74A69462">
      <w:start w:val="1"/>
      <w:numFmt w:val="decimal"/>
      <w:lvlText w:val="%1."/>
      <w:lvlJc w:val="left"/>
      <w:pPr>
        <w:ind w:left="720" w:hanging="360"/>
      </w:pPr>
    </w:lvl>
    <w:lvl w:ilvl="1" w:tplc="F4B6777A">
      <w:start w:val="2"/>
      <w:numFmt w:val="lowerLetter"/>
      <w:lvlText w:val="%2."/>
      <w:lvlJc w:val="left"/>
      <w:pPr>
        <w:ind w:left="1440" w:hanging="360"/>
      </w:pPr>
      <w:rPr>
        <w:rFonts w:ascii="Times New Roman" w:hAnsi="Times New Roman" w:hint="default"/>
      </w:rPr>
    </w:lvl>
    <w:lvl w:ilvl="2" w:tplc="DF4E527A">
      <w:start w:val="1"/>
      <w:numFmt w:val="lowerRoman"/>
      <w:lvlText w:val="%3."/>
      <w:lvlJc w:val="right"/>
      <w:pPr>
        <w:ind w:left="2160" w:hanging="180"/>
      </w:pPr>
    </w:lvl>
    <w:lvl w:ilvl="3" w:tplc="7A2EAEE6">
      <w:start w:val="1"/>
      <w:numFmt w:val="decimal"/>
      <w:lvlText w:val="%4."/>
      <w:lvlJc w:val="left"/>
      <w:pPr>
        <w:ind w:left="2880" w:hanging="360"/>
      </w:pPr>
    </w:lvl>
    <w:lvl w:ilvl="4" w:tplc="1E1EAC84">
      <w:start w:val="1"/>
      <w:numFmt w:val="lowerLetter"/>
      <w:lvlText w:val="%5."/>
      <w:lvlJc w:val="left"/>
      <w:pPr>
        <w:ind w:left="3600" w:hanging="360"/>
      </w:pPr>
    </w:lvl>
    <w:lvl w:ilvl="5" w:tplc="BAF0269A">
      <w:start w:val="1"/>
      <w:numFmt w:val="lowerRoman"/>
      <w:lvlText w:val="%6."/>
      <w:lvlJc w:val="right"/>
      <w:pPr>
        <w:ind w:left="4320" w:hanging="180"/>
      </w:pPr>
    </w:lvl>
    <w:lvl w:ilvl="6" w:tplc="5CE8BCD0">
      <w:start w:val="1"/>
      <w:numFmt w:val="decimal"/>
      <w:lvlText w:val="%7."/>
      <w:lvlJc w:val="left"/>
      <w:pPr>
        <w:ind w:left="5040" w:hanging="360"/>
      </w:pPr>
    </w:lvl>
    <w:lvl w:ilvl="7" w:tplc="206AEFDC">
      <w:start w:val="1"/>
      <w:numFmt w:val="lowerLetter"/>
      <w:lvlText w:val="%8."/>
      <w:lvlJc w:val="left"/>
      <w:pPr>
        <w:ind w:left="5760" w:hanging="360"/>
      </w:pPr>
    </w:lvl>
    <w:lvl w:ilvl="8" w:tplc="70502F88">
      <w:start w:val="1"/>
      <w:numFmt w:val="lowerRoman"/>
      <w:lvlText w:val="%9."/>
      <w:lvlJc w:val="right"/>
      <w:pPr>
        <w:ind w:left="6480" w:hanging="180"/>
      </w:pPr>
    </w:lvl>
  </w:abstractNum>
  <w:abstractNum w:abstractNumId="93" w15:restartNumberingAfterBreak="0">
    <w:nsid w:val="5A1F211C"/>
    <w:multiLevelType w:val="hybridMultilevel"/>
    <w:tmpl w:val="D28A9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A23EB2C"/>
    <w:multiLevelType w:val="hybridMultilevel"/>
    <w:tmpl w:val="FFFFFFFF"/>
    <w:lvl w:ilvl="0" w:tplc="4E047EA4">
      <w:start w:val="4"/>
      <w:numFmt w:val="decimal"/>
      <w:lvlText w:val="%1."/>
      <w:lvlJc w:val="left"/>
      <w:pPr>
        <w:ind w:left="720" w:hanging="360"/>
      </w:pPr>
      <w:rPr>
        <w:rFonts w:ascii="Times New Roman" w:hAnsi="Times New Roman" w:hint="default"/>
      </w:rPr>
    </w:lvl>
    <w:lvl w:ilvl="1" w:tplc="F6F24C40">
      <w:start w:val="1"/>
      <w:numFmt w:val="lowerLetter"/>
      <w:lvlText w:val="%2."/>
      <w:lvlJc w:val="left"/>
      <w:pPr>
        <w:ind w:left="1440" w:hanging="360"/>
      </w:pPr>
    </w:lvl>
    <w:lvl w:ilvl="2" w:tplc="C2DE7A50">
      <w:start w:val="1"/>
      <w:numFmt w:val="lowerRoman"/>
      <w:lvlText w:val="%3."/>
      <w:lvlJc w:val="right"/>
      <w:pPr>
        <w:ind w:left="2160" w:hanging="180"/>
      </w:pPr>
    </w:lvl>
    <w:lvl w:ilvl="3" w:tplc="DDAE0F68">
      <w:start w:val="1"/>
      <w:numFmt w:val="decimal"/>
      <w:lvlText w:val="%4."/>
      <w:lvlJc w:val="left"/>
      <w:pPr>
        <w:ind w:left="2880" w:hanging="360"/>
      </w:pPr>
    </w:lvl>
    <w:lvl w:ilvl="4" w:tplc="8D461998">
      <w:start w:val="1"/>
      <w:numFmt w:val="lowerLetter"/>
      <w:lvlText w:val="%5."/>
      <w:lvlJc w:val="left"/>
      <w:pPr>
        <w:ind w:left="3600" w:hanging="360"/>
      </w:pPr>
    </w:lvl>
    <w:lvl w:ilvl="5" w:tplc="35C641AA">
      <w:start w:val="1"/>
      <w:numFmt w:val="lowerRoman"/>
      <w:lvlText w:val="%6."/>
      <w:lvlJc w:val="right"/>
      <w:pPr>
        <w:ind w:left="4320" w:hanging="180"/>
      </w:pPr>
    </w:lvl>
    <w:lvl w:ilvl="6" w:tplc="7B6C52AE">
      <w:start w:val="1"/>
      <w:numFmt w:val="decimal"/>
      <w:lvlText w:val="%7."/>
      <w:lvlJc w:val="left"/>
      <w:pPr>
        <w:ind w:left="5040" w:hanging="360"/>
      </w:pPr>
    </w:lvl>
    <w:lvl w:ilvl="7" w:tplc="7560472E">
      <w:start w:val="1"/>
      <w:numFmt w:val="lowerLetter"/>
      <w:lvlText w:val="%8."/>
      <w:lvlJc w:val="left"/>
      <w:pPr>
        <w:ind w:left="5760" w:hanging="360"/>
      </w:pPr>
    </w:lvl>
    <w:lvl w:ilvl="8" w:tplc="17E4CF4A">
      <w:start w:val="1"/>
      <w:numFmt w:val="lowerRoman"/>
      <w:lvlText w:val="%9."/>
      <w:lvlJc w:val="right"/>
      <w:pPr>
        <w:ind w:left="6480" w:hanging="180"/>
      </w:pPr>
    </w:lvl>
  </w:abstractNum>
  <w:abstractNum w:abstractNumId="95" w15:restartNumberingAfterBreak="0">
    <w:nsid w:val="5B157E0A"/>
    <w:multiLevelType w:val="multilevel"/>
    <w:tmpl w:val="1FF2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22A082"/>
    <w:multiLevelType w:val="hybridMultilevel"/>
    <w:tmpl w:val="FFFFFFFF"/>
    <w:lvl w:ilvl="0" w:tplc="607025DC">
      <w:start w:val="2"/>
      <w:numFmt w:val="decimal"/>
      <w:lvlText w:val="%1."/>
      <w:lvlJc w:val="left"/>
      <w:pPr>
        <w:ind w:left="720" w:hanging="360"/>
      </w:pPr>
      <w:rPr>
        <w:rFonts w:ascii="Times New Roman" w:hAnsi="Times New Roman" w:hint="default"/>
      </w:rPr>
    </w:lvl>
    <w:lvl w:ilvl="1" w:tplc="D458D15C">
      <w:start w:val="1"/>
      <w:numFmt w:val="lowerLetter"/>
      <w:lvlText w:val="%2."/>
      <w:lvlJc w:val="left"/>
      <w:pPr>
        <w:ind w:left="1440" w:hanging="360"/>
      </w:pPr>
    </w:lvl>
    <w:lvl w:ilvl="2" w:tplc="3DBE221A">
      <w:start w:val="1"/>
      <w:numFmt w:val="lowerRoman"/>
      <w:lvlText w:val="%3."/>
      <w:lvlJc w:val="right"/>
      <w:pPr>
        <w:ind w:left="2160" w:hanging="180"/>
      </w:pPr>
    </w:lvl>
    <w:lvl w:ilvl="3" w:tplc="B8C61252">
      <w:start w:val="1"/>
      <w:numFmt w:val="decimal"/>
      <w:lvlText w:val="%4."/>
      <w:lvlJc w:val="left"/>
      <w:pPr>
        <w:ind w:left="2880" w:hanging="360"/>
      </w:pPr>
    </w:lvl>
    <w:lvl w:ilvl="4" w:tplc="3502E408">
      <w:start w:val="1"/>
      <w:numFmt w:val="lowerLetter"/>
      <w:lvlText w:val="%5."/>
      <w:lvlJc w:val="left"/>
      <w:pPr>
        <w:ind w:left="3600" w:hanging="360"/>
      </w:pPr>
    </w:lvl>
    <w:lvl w:ilvl="5" w:tplc="895ADECC">
      <w:start w:val="1"/>
      <w:numFmt w:val="lowerRoman"/>
      <w:lvlText w:val="%6."/>
      <w:lvlJc w:val="right"/>
      <w:pPr>
        <w:ind w:left="4320" w:hanging="180"/>
      </w:pPr>
    </w:lvl>
    <w:lvl w:ilvl="6" w:tplc="E0E8A7E6">
      <w:start w:val="1"/>
      <w:numFmt w:val="decimal"/>
      <w:lvlText w:val="%7."/>
      <w:lvlJc w:val="left"/>
      <w:pPr>
        <w:ind w:left="5040" w:hanging="360"/>
      </w:pPr>
    </w:lvl>
    <w:lvl w:ilvl="7" w:tplc="8B16598E">
      <w:start w:val="1"/>
      <w:numFmt w:val="lowerLetter"/>
      <w:lvlText w:val="%8."/>
      <w:lvlJc w:val="left"/>
      <w:pPr>
        <w:ind w:left="5760" w:hanging="360"/>
      </w:pPr>
    </w:lvl>
    <w:lvl w:ilvl="8" w:tplc="11D46B0C">
      <w:start w:val="1"/>
      <w:numFmt w:val="lowerRoman"/>
      <w:lvlText w:val="%9."/>
      <w:lvlJc w:val="right"/>
      <w:pPr>
        <w:ind w:left="6480" w:hanging="180"/>
      </w:pPr>
    </w:lvl>
  </w:abstractNum>
  <w:abstractNum w:abstractNumId="97" w15:restartNumberingAfterBreak="0">
    <w:nsid w:val="5B6743EA"/>
    <w:multiLevelType w:val="hybridMultilevel"/>
    <w:tmpl w:val="5F1E5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F250F3"/>
    <w:multiLevelType w:val="hybridMultilevel"/>
    <w:tmpl w:val="148EDF18"/>
    <w:lvl w:ilvl="0" w:tplc="5E6A8F72">
      <w:start w:val="1"/>
      <w:numFmt w:val="lowerLetter"/>
      <w:lvlText w:val="%1."/>
      <w:lvlJc w:val="left"/>
      <w:pPr>
        <w:ind w:left="1440" w:hanging="360"/>
      </w:pPr>
    </w:lvl>
    <w:lvl w:ilvl="1" w:tplc="70F83E8E">
      <w:start w:val="1"/>
      <w:numFmt w:val="lowerLetter"/>
      <w:lvlText w:val="%2."/>
      <w:lvlJc w:val="left"/>
      <w:pPr>
        <w:ind w:left="1440" w:hanging="360"/>
      </w:pPr>
    </w:lvl>
    <w:lvl w:ilvl="2" w:tplc="3AB49380">
      <w:start w:val="1"/>
      <w:numFmt w:val="lowerRoman"/>
      <w:lvlText w:val="%3."/>
      <w:lvlJc w:val="right"/>
      <w:pPr>
        <w:ind w:left="2160" w:hanging="180"/>
      </w:pPr>
    </w:lvl>
    <w:lvl w:ilvl="3" w:tplc="0014419A">
      <w:start w:val="1"/>
      <w:numFmt w:val="decimal"/>
      <w:lvlText w:val="%4."/>
      <w:lvlJc w:val="left"/>
      <w:pPr>
        <w:ind w:left="2880" w:hanging="360"/>
      </w:pPr>
    </w:lvl>
    <w:lvl w:ilvl="4" w:tplc="301609F6">
      <w:start w:val="1"/>
      <w:numFmt w:val="lowerLetter"/>
      <w:lvlText w:val="%5."/>
      <w:lvlJc w:val="left"/>
      <w:pPr>
        <w:ind w:left="3600" w:hanging="360"/>
      </w:pPr>
    </w:lvl>
    <w:lvl w:ilvl="5" w:tplc="8C2CE63A">
      <w:start w:val="1"/>
      <w:numFmt w:val="lowerRoman"/>
      <w:lvlText w:val="%6."/>
      <w:lvlJc w:val="right"/>
      <w:pPr>
        <w:ind w:left="4320" w:hanging="180"/>
      </w:pPr>
    </w:lvl>
    <w:lvl w:ilvl="6" w:tplc="E814E252">
      <w:start w:val="1"/>
      <w:numFmt w:val="decimal"/>
      <w:lvlText w:val="%7."/>
      <w:lvlJc w:val="left"/>
      <w:pPr>
        <w:ind w:left="5040" w:hanging="360"/>
      </w:pPr>
    </w:lvl>
    <w:lvl w:ilvl="7" w:tplc="E8C678D2">
      <w:start w:val="1"/>
      <w:numFmt w:val="lowerLetter"/>
      <w:lvlText w:val="%8."/>
      <w:lvlJc w:val="left"/>
      <w:pPr>
        <w:ind w:left="5760" w:hanging="360"/>
      </w:pPr>
    </w:lvl>
    <w:lvl w:ilvl="8" w:tplc="B6DA45EA">
      <w:start w:val="1"/>
      <w:numFmt w:val="lowerRoman"/>
      <w:lvlText w:val="%9."/>
      <w:lvlJc w:val="right"/>
      <w:pPr>
        <w:ind w:left="6480" w:hanging="180"/>
      </w:pPr>
    </w:lvl>
  </w:abstractNum>
  <w:abstractNum w:abstractNumId="99" w15:restartNumberingAfterBreak="0">
    <w:nsid w:val="5F0167BD"/>
    <w:multiLevelType w:val="hybridMultilevel"/>
    <w:tmpl w:val="1BC4A148"/>
    <w:styleLink w:val="Style3"/>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5F050846"/>
    <w:multiLevelType w:val="hybridMultilevel"/>
    <w:tmpl w:val="FFFFFFFF"/>
    <w:lvl w:ilvl="0" w:tplc="498AA8BC">
      <w:start w:val="1"/>
      <w:numFmt w:val="decimal"/>
      <w:lvlText w:val="%1."/>
      <w:lvlJc w:val="left"/>
      <w:pPr>
        <w:ind w:left="720" w:hanging="360"/>
      </w:pPr>
    </w:lvl>
    <w:lvl w:ilvl="1" w:tplc="B3C87E6A">
      <w:start w:val="6"/>
      <w:numFmt w:val="lowerLetter"/>
      <w:lvlText w:val="%2."/>
      <w:lvlJc w:val="left"/>
      <w:pPr>
        <w:ind w:left="1440" w:hanging="360"/>
      </w:pPr>
      <w:rPr>
        <w:rFonts w:ascii="Times New Roman" w:hAnsi="Times New Roman" w:hint="default"/>
      </w:rPr>
    </w:lvl>
    <w:lvl w:ilvl="2" w:tplc="14A66ECA">
      <w:start w:val="1"/>
      <w:numFmt w:val="lowerRoman"/>
      <w:lvlText w:val="%3."/>
      <w:lvlJc w:val="right"/>
      <w:pPr>
        <w:ind w:left="2160" w:hanging="180"/>
      </w:pPr>
    </w:lvl>
    <w:lvl w:ilvl="3" w:tplc="CD22052A">
      <w:start w:val="1"/>
      <w:numFmt w:val="decimal"/>
      <w:lvlText w:val="%4."/>
      <w:lvlJc w:val="left"/>
      <w:pPr>
        <w:ind w:left="2880" w:hanging="360"/>
      </w:pPr>
    </w:lvl>
    <w:lvl w:ilvl="4" w:tplc="580078D0">
      <w:start w:val="1"/>
      <w:numFmt w:val="lowerLetter"/>
      <w:lvlText w:val="%5."/>
      <w:lvlJc w:val="left"/>
      <w:pPr>
        <w:ind w:left="3600" w:hanging="360"/>
      </w:pPr>
    </w:lvl>
    <w:lvl w:ilvl="5" w:tplc="476A3AB6">
      <w:start w:val="1"/>
      <w:numFmt w:val="lowerRoman"/>
      <w:lvlText w:val="%6."/>
      <w:lvlJc w:val="right"/>
      <w:pPr>
        <w:ind w:left="4320" w:hanging="180"/>
      </w:pPr>
    </w:lvl>
    <w:lvl w:ilvl="6" w:tplc="E834A656">
      <w:start w:val="1"/>
      <w:numFmt w:val="decimal"/>
      <w:lvlText w:val="%7."/>
      <w:lvlJc w:val="left"/>
      <w:pPr>
        <w:ind w:left="5040" w:hanging="360"/>
      </w:pPr>
    </w:lvl>
    <w:lvl w:ilvl="7" w:tplc="AA62141A">
      <w:start w:val="1"/>
      <w:numFmt w:val="lowerLetter"/>
      <w:lvlText w:val="%8."/>
      <w:lvlJc w:val="left"/>
      <w:pPr>
        <w:ind w:left="5760" w:hanging="360"/>
      </w:pPr>
    </w:lvl>
    <w:lvl w:ilvl="8" w:tplc="7EE2419A">
      <w:start w:val="1"/>
      <w:numFmt w:val="lowerRoman"/>
      <w:lvlText w:val="%9."/>
      <w:lvlJc w:val="right"/>
      <w:pPr>
        <w:ind w:left="6480" w:hanging="180"/>
      </w:pPr>
    </w:lvl>
  </w:abstractNum>
  <w:abstractNum w:abstractNumId="101" w15:restartNumberingAfterBreak="0">
    <w:nsid w:val="5FFD5894"/>
    <w:multiLevelType w:val="hybridMultilevel"/>
    <w:tmpl w:val="FFFFFFFF"/>
    <w:lvl w:ilvl="0" w:tplc="453CA4BA">
      <w:start w:val="7"/>
      <w:numFmt w:val="decimal"/>
      <w:lvlText w:val="%1."/>
      <w:lvlJc w:val="left"/>
      <w:pPr>
        <w:ind w:left="720" w:hanging="360"/>
      </w:pPr>
      <w:rPr>
        <w:rFonts w:ascii="Times New Roman" w:hAnsi="Times New Roman" w:hint="default"/>
      </w:rPr>
    </w:lvl>
    <w:lvl w:ilvl="1" w:tplc="0B947444">
      <w:start w:val="1"/>
      <w:numFmt w:val="lowerLetter"/>
      <w:lvlText w:val="%2."/>
      <w:lvlJc w:val="left"/>
      <w:pPr>
        <w:ind w:left="1440" w:hanging="360"/>
      </w:pPr>
    </w:lvl>
    <w:lvl w:ilvl="2" w:tplc="DB340DA0">
      <w:start w:val="1"/>
      <w:numFmt w:val="lowerRoman"/>
      <w:lvlText w:val="%3."/>
      <w:lvlJc w:val="right"/>
      <w:pPr>
        <w:ind w:left="2160" w:hanging="180"/>
      </w:pPr>
    </w:lvl>
    <w:lvl w:ilvl="3" w:tplc="01B02944">
      <w:start w:val="1"/>
      <w:numFmt w:val="decimal"/>
      <w:lvlText w:val="%4."/>
      <w:lvlJc w:val="left"/>
      <w:pPr>
        <w:ind w:left="2880" w:hanging="360"/>
      </w:pPr>
    </w:lvl>
    <w:lvl w:ilvl="4" w:tplc="894CBC60">
      <w:start w:val="1"/>
      <w:numFmt w:val="lowerLetter"/>
      <w:lvlText w:val="%5."/>
      <w:lvlJc w:val="left"/>
      <w:pPr>
        <w:ind w:left="3600" w:hanging="360"/>
      </w:pPr>
    </w:lvl>
    <w:lvl w:ilvl="5" w:tplc="57667B74">
      <w:start w:val="1"/>
      <w:numFmt w:val="lowerRoman"/>
      <w:lvlText w:val="%6."/>
      <w:lvlJc w:val="right"/>
      <w:pPr>
        <w:ind w:left="4320" w:hanging="180"/>
      </w:pPr>
    </w:lvl>
    <w:lvl w:ilvl="6" w:tplc="9D4A999A">
      <w:start w:val="1"/>
      <w:numFmt w:val="decimal"/>
      <w:lvlText w:val="%7."/>
      <w:lvlJc w:val="left"/>
      <w:pPr>
        <w:ind w:left="5040" w:hanging="360"/>
      </w:pPr>
    </w:lvl>
    <w:lvl w:ilvl="7" w:tplc="46F2FDF6">
      <w:start w:val="1"/>
      <w:numFmt w:val="lowerLetter"/>
      <w:lvlText w:val="%8."/>
      <w:lvlJc w:val="left"/>
      <w:pPr>
        <w:ind w:left="5760" w:hanging="360"/>
      </w:pPr>
    </w:lvl>
    <w:lvl w:ilvl="8" w:tplc="5B04FE64">
      <w:start w:val="1"/>
      <w:numFmt w:val="lowerRoman"/>
      <w:lvlText w:val="%9."/>
      <w:lvlJc w:val="right"/>
      <w:pPr>
        <w:ind w:left="6480" w:hanging="180"/>
      </w:pPr>
    </w:lvl>
  </w:abstractNum>
  <w:abstractNum w:abstractNumId="102" w15:restartNumberingAfterBreak="0">
    <w:nsid w:val="60548741"/>
    <w:multiLevelType w:val="hybridMultilevel"/>
    <w:tmpl w:val="FFFFFFFF"/>
    <w:lvl w:ilvl="0" w:tplc="82A0CFD8">
      <w:start w:val="1"/>
      <w:numFmt w:val="decimal"/>
      <w:lvlText w:val="%1."/>
      <w:lvlJc w:val="left"/>
      <w:pPr>
        <w:ind w:left="720" w:hanging="360"/>
      </w:pPr>
    </w:lvl>
    <w:lvl w:ilvl="1" w:tplc="16D0A752">
      <w:start w:val="6"/>
      <w:numFmt w:val="lowerLetter"/>
      <w:lvlText w:val="%2."/>
      <w:lvlJc w:val="left"/>
      <w:pPr>
        <w:ind w:left="1440" w:hanging="360"/>
      </w:pPr>
      <w:rPr>
        <w:rFonts w:ascii="Times New Roman" w:hAnsi="Times New Roman" w:hint="default"/>
      </w:rPr>
    </w:lvl>
    <w:lvl w:ilvl="2" w:tplc="9C7498F2">
      <w:start w:val="1"/>
      <w:numFmt w:val="lowerRoman"/>
      <w:lvlText w:val="%3."/>
      <w:lvlJc w:val="right"/>
      <w:pPr>
        <w:ind w:left="2160" w:hanging="180"/>
      </w:pPr>
    </w:lvl>
    <w:lvl w:ilvl="3" w:tplc="E312A426">
      <w:start w:val="1"/>
      <w:numFmt w:val="decimal"/>
      <w:lvlText w:val="%4."/>
      <w:lvlJc w:val="left"/>
      <w:pPr>
        <w:ind w:left="2880" w:hanging="360"/>
      </w:pPr>
    </w:lvl>
    <w:lvl w:ilvl="4" w:tplc="DF6841B0">
      <w:start w:val="1"/>
      <w:numFmt w:val="lowerLetter"/>
      <w:lvlText w:val="%5."/>
      <w:lvlJc w:val="left"/>
      <w:pPr>
        <w:ind w:left="3600" w:hanging="360"/>
      </w:pPr>
    </w:lvl>
    <w:lvl w:ilvl="5" w:tplc="933AA084">
      <w:start w:val="1"/>
      <w:numFmt w:val="lowerRoman"/>
      <w:lvlText w:val="%6."/>
      <w:lvlJc w:val="right"/>
      <w:pPr>
        <w:ind w:left="4320" w:hanging="180"/>
      </w:pPr>
    </w:lvl>
    <w:lvl w:ilvl="6" w:tplc="8240538C">
      <w:start w:val="1"/>
      <w:numFmt w:val="decimal"/>
      <w:lvlText w:val="%7."/>
      <w:lvlJc w:val="left"/>
      <w:pPr>
        <w:ind w:left="5040" w:hanging="360"/>
      </w:pPr>
    </w:lvl>
    <w:lvl w:ilvl="7" w:tplc="922C2854">
      <w:start w:val="1"/>
      <w:numFmt w:val="lowerLetter"/>
      <w:lvlText w:val="%8."/>
      <w:lvlJc w:val="left"/>
      <w:pPr>
        <w:ind w:left="5760" w:hanging="360"/>
      </w:pPr>
    </w:lvl>
    <w:lvl w:ilvl="8" w:tplc="9AEE426E">
      <w:start w:val="1"/>
      <w:numFmt w:val="lowerRoman"/>
      <w:lvlText w:val="%9."/>
      <w:lvlJc w:val="right"/>
      <w:pPr>
        <w:ind w:left="6480" w:hanging="180"/>
      </w:pPr>
    </w:lvl>
  </w:abstractNum>
  <w:abstractNum w:abstractNumId="103" w15:restartNumberingAfterBreak="0">
    <w:nsid w:val="615C4015"/>
    <w:multiLevelType w:val="multilevel"/>
    <w:tmpl w:val="4D5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21DFDC6"/>
    <w:multiLevelType w:val="hybridMultilevel"/>
    <w:tmpl w:val="FFFFFFFF"/>
    <w:lvl w:ilvl="0" w:tplc="98047DD4">
      <w:start w:val="1"/>
      <w:numFmt w:val="decimal"/>
      <w:lvlText w:val="%1."/>
      <w:lvlJc w:val="left"/>
      <w:pPr>
        <w:ind w:left="720" w:hanging="360"/>
      </w:pPr>
    </w:lvl>
    <w:lvl w:ilvl="1" w:tplc="C7D6118A">
      <w:start w:val="3"/>
      <w:numFmt w:val="lowerLetter"/>
      <w:lvlText w:val="%2."/>
      <w:lvlJc w:val="left"/>
      <w:pPr>
        <w:ind w:left="1440" w:hanging="360"/>
      </w:pPr>
      <w:rPr>
        <w:rFonts w:ascii="Times New Roman" w:hAnsi="Times New Roman" w:hint="default"/>
      </w:rPr>
    </w:lvl>
    <w:lvl w:ilvl="2" w:tplc="3094EC28">
      <w:start w:val="1"/>
      <w:numFmt w:val="lowerRoman"/>
      <w:lvlText w:val="%3."/>
      <w:lvlJc w:val="right"/>
      <w:pPr>
        <w:ind w:left="2160" w:hanging="180"/>
      </w:pPr>
    </w:lvl>
    <w:lvl w:ilvl="3" w:tplc="59FA3B5A">
      <w:start w:val="1"/>
      <w:numFmt w:val="decimal"/>
      <w:lvlText w:val="%4."/>
      <w:lvlJc w:val="left"/>
      <w:pPr>
        <w:ind w:left="2880" w:hanging="360"/>
      </w:pPr>
    </w:lvl>
    <w:lvl w:ilvl="4" w:tplc="5B5C4A14">
      <w:start w:val="1"/>
      <w:numFmt w:val="lowerLetter"/>
      <w:lvlText w:val="%5."/>
      <w:lvlJc w:val="left"/>
      <w:pPr>
        <w:ind w:left="3600" w:hanging="360"/>
      </w:pPr>
    </w:lvl>
    <w:lvl w:ilvl="5" w:tplc="6534DFFC">
      <w:start w:val="1"/>
      <w:numFmt w:val="lowerRoman"/>
      <w:lvlText w:val="%6."/>
      <w:lvlJc w:val="right"/>
      <w:pPr>
        <w:ind w:left="4320" w:hanging="180"/>
      </w:pPr>
    </w:lvl>
    <w:lvl w:ilvl="6" w:tplc="51F20E1C">
      <w:start w:val="1"/>
      <w:numFmt w:val="decimal"/>
      <w:lvlText w:val="%7."/>
      <w:lvlJc w:val="left"/>
      <w:pPr>
        <w:ind w:left="5040" w:hanging="360"/>
      </w:pPr>
    </w:lvl>
    <w:lvl w:ilvl="7" w:tplc="B352D696">
      <w:start w:val="1"/>
      <w:numFmt w:val="lowerLetter"/>
      <w:lvlText w:val="%8."/>
      <w:lvlJc w:val="left"/>
      <w:pPr>
        <w:ind w:left="5760" w:hanging="360"/>
      </w:pPr>
    </w:lvl>
    <w:lvl w:ilvl="8" w:tplc="DCD0C120">
      <w:start w:val="1"/>
      <w:numFmt w:val="lowerRoman"/>
      <w:lvlText w:val="%9."/>
      <w:lvlJc w:val="right"/>
      <w:pPr>
        <w:ind w:left="6480" w:hanging="180"/>
      </w:pPr>
    </w:lvl>
  </w:abstractNum>
  <w:abstractNum w:abstractNumId="105" w15:restartNumberingAfterBreak="0">
    <w:nsid w:val="62923569"/>
    <w:multiLevelType w:val="multilevel"/>
    <w:tmpl w:val="7C66F4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2D85285"/>
    <w:multiLevelType w:val="multilevel"/>
    <w:tmpl w:val="FBD2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386527F"/>
    <w:multiLevelType w:val="multilevel"/>
    <w:tmpl w:val="276E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3F03B21"/>
    <w:multiLevelType w:val="multilevel"/>
    <w:tmpl w:val="32D8E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50C4E6B"/>
    <w:multiLevelType w:val="hybridMultilevel"/>
    <w:tmpl w:val="59BAD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873E47"/>
    <w:multiLevelType w:val="hybridMultilevel"/>
    <w:tmpl w:val="EE5E0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5BCB498"/>
    <w:multiLevelType w:val="hybridMultilevel"/>
    <w:tmpl w:val="FFFFFFFF"/>
    <w:lvl w:ilvl="0" w:tplc="3F38C760">
      <w:start w:val="4"/>
      <w:numFmt w:val="decimal"/>
      <w:lvlText w:val="%1."/>
      <w:lvlJc w:val="left"/>
      <w:pPr>
        <w:ind w:left="720" w:hanging="360"/>
      </w:pPr>
      <w:rPr>
        <w:rFonts w:ascii="Times New Roman" w:hAnsi="Times New Roman" w:hint="default"/>
      </w:rPr>
    </w:lvl>
    <w:lvl w:ilvl="1" w:tplc="2EAE0FB4">
      <w:start w:val="1"/>
      <w:numFmt w:val="lowerLetter"/>
      <w:lvlText w:val="%2."/>
      <w:lvlJc w:val="left"/>
      <w:pPr>
        <w:ind w:left="1440" w:hanging="360"/>
      </w:pPr>
    </w:lvl>
    <w:lvl w:ilvl="2" w:tplc="DE1688AE">
      <w:start w:val="1"/>
      <w:numFmt w:val="lowerRoman"/>
      <w:lvlText w:val="%3."/>
      <w:lvlJc w:val="right"/>
      <w:pPr>
        <w:ind w:left="2160" w:hanging="180"/>
      </w:pPr>
    </w:lvl>
    <w:lvl w:ilvl="3" w:tplc="EE82A474">
      <w:start w:val="1"/>
      <w:numFmt w:val="decimal"/>
      <w:lvlText w:val="%4."/>
      <w:lvlJc w:val="left"/>
      <w:pPr>
        <w:ind w:left="2880" w:hanging="360"/>
      </w:pPr>
    </w:lvl>
    <w:lvl w:ilvl="4" w:tplc="7ED89AF4">
      <w:start w:val="1"/>
      <w:numFmt w:val="lowerLetter"/>
      <w:lvlText w:val="%5."/>
      <w:lvlJc w:val="left"/>
      <w:pPr>
        <w:ind w:left="3600" w:hanging="360"/>
      </w:pPr>
    </w:lvl>
    <w:lvl w:ilvl="5" w:tplc="EFAAFBAC">
      <w:start w:val="1"/>
      <w:numFmt w:val="lowerRoman"/>
      <w:lvlText w:val="%6."/>
      <w:lvlJc w:val="right"/>
      <w:pPr>
        <w:ind w:left="4320" w:hanging="180"/>
      </w:pPr>
    </w:lvl>
    <w:lvl w:ilvl="6" w:tplc="96D4DB98">
      <w:start w:val="1"/>
      <w:numFmt w:val="decimal"/>
      <w:lvlText w:val="%7."/>
      <w:lvlJc w:val="left"/>
      <w:pPr>
        <w:ind w:left="5040" w:hanging="360"/>
      </w:pPr>
    </w:lvl>
    <w:lvl w:ilvl="7" w:tplc="0BAE4E36">
      <w:start w:val="1"/>
      <w:numFmt w:val="lowerLetter"/>
      <w:lvlText w:val="%8."/>
      <w:lvlJc w:val="left"/>
      <w:pPr>
        <w:ind w:left="5760" w:hanging="360"/>
      </w:pPr>
    </w:lvl>
    <w:lvl w:ilvl="8" w:tplc="C4B4E94E">
      <w:start w:val="1"/>
      <w:numFmt w:val="lowerRoman"/>
      <w:lvlText w:val="%9."/>
      <w:lvlJc w:val="right"/>
      <w:pPr>
        <w:ind w:left="6480" w:hanging="180"/>
      </w:pPr>
    </w:lvl>
  </w:abstractNum>
  <w:abstractNum w:abstractNumId="112" w15:restartNumberingAfterBreak="0">
    <w:nsid w:val="65C17BB7"/>
    <w:multiLevelType w:val="multilevel"/>
    <w:tmpl w:val="E48A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65577DA"/>
    <w:multiLevelType w:val="hybridMultilevel"/>
    <w:tmpl w:val="FFFFFFFF"/>
    <w:lvl w:ilvl="0" w:tplc="E3B062E2">
      <w:start w:val="1"/>
      <w:numFmt w:val="bullet"/>
      <w:lvlText w:val=""/>
      <w:lvlJc w:val="left"/>
      <w:pPr>
        <w:ind w:left="2880" w:hanging="360"/>
      </w:pPr>
      <w:rPr>
        <w:rFonts w:ascii="Wingdings" w:hAnsi="Wingdings" w:hint="default"/>
      </w:rPr>
    </w:lvl>
    <w:lvl w:ilvl="1" w:tplc="CF00F06C">
      <w:start w:val="1"/>
      <w:numFmt w:val="bullet"/>
      <w:lvlText w:val="o"/>
      <w:lvlJc w:val="left"/>
      <w:pPr>
        <w:ind w:left="1440" w:hanging="360"/>
      </w:pPr>
      <w:rPr>
        <w:rFonts w:ascii="Courier New" w:hAnsi="Courier New" w:hint="default"/>
      </w:rPr>
    </w:lvl>
    <w:lvl w:ilvl="2" w:tplc="2284AC36">
      <w:start w:val="1"/>
      <w:numFmt w:val="bullet"/>
      <w:lvlText w:val=""/>
      <w:lvlJc w:val="left"/>
      <w:pPr>
        <w:ind w:left="2160" w:hanging="360"/>
      </w:pPr>
      <w:rPr>
        <w:rFonts w:ascii="Wingdings" w:hAnsi="Wingdings" w:hint="default"/>
      </w:rPr>
    </w:lvl>
    <w:lvl w:ilvl="3" w:tplc="17185F92">
      <w:start w:val="1"/>
      <w:numFmt w:val="bullet"/>
      <w:lvlText w:val=""/>
      <w:lvlJc w:val="left"/>
      <w:pPr>
        <w:ind w:left="2880" w:hanging="360"/>
      </w:pPr>
      <w:rPr>
        <w:rFonts w:ascii="Symbol" w:hAnsi="Symbol" w:hint="default"/>
      </w:rPr>
    </w:lvl>
    <w:lvl w:ilvl="4" w:tplc="E878C6A2">
      <w:start w:val="1"/>
      <w:numFmt w:val="bullet"/>
      <w:lvlText w:val="o"/>
      <w:lvlJc w:val="left"/>
      <w:pPr>
        <w:ind w:left="3600" w:hanging="360"/>
      </w:pPr>
      <w:rPr>
        <w:rFonts w:ascii="Courier New" w:hAnsi="Courier New" w:hint="default"/>
      </w:rPr>
    </w:lvl>
    <w:lvl w:ilvl="5" w:tplc="EBACEAB4">
      <w:start w:val="1"/>
      <w:numFmt w:val="bullet"/>
      <w:lvlText w:val=""/>
      <w:lvlJc w:val="left"/>
      <w:pPr>
        <w:ind w:left="4320" w:hanging="360"/>
      </w:pPr>
      <w:rPr>
        <w:rFonts w:ascii="Wingdings" w:hAnsi="Wingdings" w:hint="default"/>
      </w:rPr>
    </w:lvl>
    <w:lvl w:ilvl="6" w:tplc="894A5F0C">
      <w:start w:val="1"/>
      <w:numFmt w:val="bullet"/>
      <w:lvlText w:val=""/>
      <w:lvlJc w:val="left"/>
      <w:pPr>
        <w:ind w:left="5040" w:hanging="360"/>
      </w:pPr>
      <w:rPr>
        <w:rFonts w:ascii="Symbol" w:hAnsi="Symbol" w:hint="default"/>
      </w:rPr>
    </w:lvl>
    <w:lvl w:ilvl="7" w:tplc="DD3CC382">
      <w:start w:val="1"/>
      <w:numFmt w:val="bullet"/>
      <w:lvlText w:val="o"/>
      <w:lvlJc w:val="left"/>
      <w:pPr>
        <w:ind w:left="5760" w:hanging="360"/>
      </w:pPr>
      <w:rPr>
        <w:rFonts w:ascii="Courier New" w:hAnsi="Courier New" w:hint="default"/>
      </w:rPr>
    </w:lvl>
    <w:lvl w:ilvl="8" w:tplc="0276CAB2">
      <w:start w:val="1"/>
      <w:numFmt w:val="bullet"/>
      <w:lvlText w:val=""/>
      <w:lvlJc w:val="left"/>
      <w:pPr>
        <w:ind w:left="6480" w:hanging="360"/>
      </w:pPr>
      <w:rPr>
        <w:rFonts w:ascii="Wingdings" w:hAnsi="Wingdings" w:hint="default"/>
      </w:rPr>
    </w:lvl>
  </w:abstractNum>
  <w:abstractNum w:abstractNumId="114" w15:restartNumberingAfterBreak="0">
    <w:nsid w:val="66AC04E9"/>
    <w:multiLevelType w:val="hybridMultilevel"/>
    <w:tmpl w:val="FFFFFFFF"/>
    <w:lvl w:ilvl="0" w:tplc="A35A2810">
      <w:start w:val="1"/>
      <w:numFmt w:val="decimal"/>
      <w:lvlText w:val="%1."/>
      <w:lvlJc w:val="left"/>
      <w:pPr>
        <w:ind w:left="720" w:hanging="360"/>
      </w:pPr>
    </w:lvl>
    <w:lvl w:ilvl="1" w:tplc="55B2E528">
      <w:start w:val="7"/>
      <w:numFmt w:val="lowerLetter"/>
      <w:lvlText w:val="%2."/>
      <w:lvlJc w:val="left"/>
      <w:pPr>
        <w:ind w:left="1440" w:hanging="360"/>
      </w:pPr>
      <w:rPr>
        <w:rFonts w:ascii="Times New Roman" w:hAnsi="Times New Roman" w:hint="default"/>
      </w:rPr>
    </w:lvl>
    <w:lvl w:ilvl="2" w:tplc="B7AEFCEE">
      <w:start w:val="1"/>
      <w:numFmt w:val="lowerRoman"/>
      <w:lvlText w:val="%3."/>
      <w:lvlJc w:val="right"/>
      <w:pPr>
        <w:ind w:left="2160" w:hanging="180"/>
      </w:pPr>
    </w:lvl>
    <w:lvl w:ilvl="3" w:tplc="0122D078">
      <w:start w:val="1"/>
      <w:numFmt w:val="decimal"/>
      <w:lvlText w:val="%4."/>
      <w:lvlJc w:val="left"/>
      <w:pPr>
        <w:ind w:left="2880" w:hanging="360"/>
      </w:pPr>
    </w:lvl>
    <w:lvl w:ilvl="4" w:tplc="407C5778">
      <w:start w:val="1"/>
      <w:numFmt w:val="lowerLetter"/>
      <w:lvlText w:val="%5."/>
      <w:lvlJc w:val="left"/>
      <w:pPr>
        <w:ind w:left="3600" w:hanging="360"/>
      </w:pPr>
    </w:lvl>
    <w:lvl w:ilvl="5" w:tplc="EA706616">
      <w:start w:val="1"/>
      <w:numFmt w:val="lowerRoman"/>
      <w:lvlText w:val="%6."/>
      <w:lvlJc w:val="right"/>
      <w:pPr>
        <w:ind w:left="4320" w:hanging="180"/>
      </w:pPr>
    </w:lvl>
    <w:lvl w:ilvl="6" w:tplc="EDAC926E">
      <w:start w:val="1"/>
      <w:numFmt w:val="decimal"/>
      <w:lvlText w:val="%7."/>
      <w:lvlJc w:val="left"/>
      <w:pPr>
        <w:ind w:left="5040" w:hanging="360"/>
      </w:pPr>
    </w:lvl>
    <w:lvl w:ilvl="7" w:tplc="2248A990">
      <w:start w:val="1"/>
      <w:numFmt w:val="lowerLetter"/>
      <w:lvlText w:val="%8."/>
      <w:lvlJc w:val="left"/>
      <w:pPr>
        <w:ind w:left="5760" w:hanging="360"/>
      </w:pPr>
    </w:lvl>
    <w:lvl w:ilvl="8" w:tplc="74EC0BE6">
      <w:start w:val="1"/>
      <w:numFmt w:val="lowerRoman"/>
      <w:lvlText w:val="%9."/>
      <w:lvlJc w:val="right"/>
      <w:pPr>
        <w:ind w:left="6480" w:hanging="180"/>
      </w:pPr>
    </w:lvl>
  </w:abstractNum>
  <w:abstractNum w:abstractNumId="115" w15:restartNumberingAfterBreak="0">
    <w:nsid w:val="66DE2A91"/>
    <w:multiLevelType w:val="multilevel"/>
    <w:tmpl w:val="775097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76D1AC7"/>
    <w:multiLevelType w:val="hybridMultilevel"/>
    <w:tmpl w:val="FFFFFFFF"/>
    <w:lvl w:ilvl="0" w:tplc="590C9A4E">
      <w:start w:val="3"/>
      <w:numFmt w:val="lowerLetter"/>
      <w:lvlText w:val="%1."/>
      <w:lvlJc w:val="left"/>
      <w:pPr>
        <w:ind w:left="1800" w:hanging="360"/>
      </w:pPr>
      <w:rPr>
        <w:rFonts w:ascii="Times New Roman" w:hAnsi="Times New Roman" w:hint="default"/>
      </w:rPr>
    </w:lvl>
    <w:lvl w:ilvl="1" w:tplc="0B8C5DC6">
      <w:start w:val="1"/>
      <w:numFmt w:val="lowerLetter"/>
      <w:lvlText w:val="%2."/>
      <w:lvlJc w:val="left"/>
      <w:pPr>
        <w:ind w:left="1440" w:hanging="360"/>
      </w:pPr>
    </w:lvl>
    <w:lvl w:ilvl="2" w:tplc="D11223EE">
      <w:start w:val="1"/>
      <w:numFmt w:val="lowerRoman"/>
      <w:lvlText w:val="%3."/>
      <w:lvlJc w:val="right"/>
      <w:pPr>
        <w:ind w:left="2160" w:hanging="180"/>
      </w:pPr>
    </w:lvl>
    <w:lvl w:ilvl="3" w:tplc="EC5C4240">
      <w:start w:val="1"/>
      <w:numFmt w:val="decimal"/>
      <w:lvlText w:val="%4."/>
      <w:lvlJc w:val="left"/>
      <w:pPr>
        <w:ind w:left="2880" w:hanging="360"/>
      </w:pPr>
    </w:lvl>
    <w:lvl w:ilvl="4" w:tplc="EE024208">
      <w:start w:val="1"/>
      <w:numFmt w:val="lowerLetter"/>
      <w:lvlText w:val="%5."/>
      <w:lvlJc w:val="left"/>
      <w:pPr>
        <w:ind w:left="3600" w:hanging="360"/>
      </w:pPr>
    </w:lvl>
    <w:lvl w:ilvl="5" w:tplc="C23AAF70">
      <w:start w:val="1"/>
      <w:numFmt w:val="lowerRoman"/>
      <w:lvlText w:val="%6."/>
      <w:lvlJc w:val="right"/>
      <w:pPr>
        <w:ind w:left="4320" w:hanging="180"/>
      </w:pPr>
    </w:lvl>
    <w:lvl w:ilvl="6" w:tplc="FED02F00">
      <w:start w:val="1"/>
      <w:numFmt w:val="decimal"/>
      <w:lvlText w:val="%7."/>
      <w:lvlJc w:val="left"/>
      <w:pPr>
        <w:ind w:left="5040" w:hanging="360"/>
      </w:pPr>
    </w:lvl>
    <w:lvl w:ilvl="7" w:tplc="99F0FC02">
      <w:start w:val="1"/>
      <w:numFmt w:val="lowerLetter"/>
      <w:lvlText w:val="%8."/>
      <w:lvlJc w:val="left"/>
      <w:pPr>
        <w:ind w:left="5760" w:hanging="360"/>
      </w:pPr>
    </w:lvl>
    <w:lvl w:ilvl="8" w:tplc="A3B83856">
      <w:start w:val="1"/>
      <w:numFmt w:val="lowerRoman"/>
      <w:lvlText w:val="%9."/>
      <w:lvlJc w:val="right"/>
      <w:pPr>
        <w:ind w:left="6480" w:hanging="180"/>
      </w:pPr>
    </w:lvl>
  </w:abstractNum>
  <w:abstractNum w:abstractNumId="117" w15:restartNumberingAfterBreak="0">
    <w:nsid w:val="681A6182"/>
    <w:multiLevelType w:val="hybridMultilevel"/>
    <w:tmpl w:val="FFFFFFFF"/>
    <w:lvl w:ilvl="0" w:tplc="06CE6CD8">
      <w:start w:val="3"/>
      <w:numFmt w:val="decimal"/>
      <w:lvlText w:val="%1."/>
      <w:lvlJc w:val="left"/>
      <w:pPr>
        <w:ind w:left="720" w:hanging="360"/>
      </w:pPr>
      <w:rPr>
        <w:rFonts w:ascii="Times New Roman" w:hAnsi="Times New Roman" w:hint="default"/>
      </w:rPr>
    </w:lvl>
    <w:lvl w:ilvl="1" w:tplc="32429E52">
      <w:start w:val="1"/>
      <w:numFmt w:val="lowerLetter"/>
      <w:lvlText w:val="%2."/>
      <w:lvlJc w:val="left"/>
      <w:pPr>
        <w:ind w:left="1440" w:hanging="360"/>
      </w:pPr>
    </w:lvl>
    <w:lvl w:ilvl="2" w:tplc="4E6624F0">
      <w:start w:val="1"/>
      <w:numFmt w:val="lowerRoman"/>
      <w:lvlText w:val="%3."/>
      <w:lvlJc w:val="right"/>
      <w:pPr>
        <w:ind w:left="2160" w:hanging="180"/>
      </w:pPr>
    </w:lvl>
    <w:lvl w:ilvl="3" w:tplc="6BC4D780">
      <w:start w:val="1"/>
      <w:numFmt w:val="decimal"/>
      <w:lvlText w:val="%4."/>
      <w:lvlJc w:val="left"/>
      <w:pPr>
        <w:ind w:left="2880" w:hanging="360"/>
      </w:pPr>
    </w:lvl>
    <w:lvl w:ilvl="4" w:tplc="E102C2F0">
      <w:start w:val="1"/>
      <w:numFmt w:val="lowerLetter"/>
      <w:lvlText w:val="%5."/>
      <w:lvlJc w:val="left"/>
      <w:pPr>
        <w:ind w:left="3600" w:hanging="360"/>
      </w:pPr>
    </w:lvl>
    <w:lvl w:ilvl="5" w:tplc="E6DE7E14">
      <w:start w:val="1"/>
      <w:numFmt w:val="lowerRoman"/>
      <w:lvlText w:val="%6."/>
      <w:lvlJc w:val="right"/>
      <w:pPr>
        <w:ind w:left="4320" w:hanging="180"/>
      </w:pPr>
    </w:lvl>
    <w:lvl w:ilvl="6" w:tplc="60E8FD68">
      <w:start w:val="1"/>
      <w:numFmt w:val="decimal"/>
      <w:lvlText w:val="%7."/>
      <w:lvlJc w:val="left"/>
      <w:pPr>
        <w:ind w:left="5040" w:hanging="360"/>
      </w:pPr>
    </w:lvl>
    <w:lvl w:ilvl="7" w:tplc="067E808E">
      <w:start w:val="1"/>
      <w:numFmt w:val="lowerLetter"/>
      <w:lvlText w:val="%8."/>
      <w:lvlJc w:val="left"/>
      <w:pPr>
        <w:ind w:left="5760" w:hanging="360"/>
      </w:pPr>
    </w:lvl>
    <w:lvl w:ilvl="8" w:tplc="611CD916">
      <w:start w:val="1"/>
      <w:numFmt w:val="lowerRoman"/>
      <w:lvlText w:val="%9."/>
      <w:lvlJc w:val="right"/>
      <w:pPr>
        <w:ind w:left="6480" w:hanging="180"/>
      </w:pPr>
    </w:lvl>
  </w:abstractNum>
  <w:abstractNum w:abstractNumId="118" w15:restartNumberingAfterBreak="0">
    <w:nsid w:val="6831C2C6"/>
    <w:multiLevelType w:val="hybridMultilevel"/>
    <w:tmpl w:val="94007016"/>
    <w:lvl w:ilvl="0" w:tplc="63E028DC">
      <w:start w:val="1"/>
      <w:numFmt w:val="decimal"/>
      <w:lvlText w:val="%1."/>
      <w:lvlJc w:val="left"/>
      <w:pPr>
        <w:ind w:left="720" w:hanging="360"/>
      </w:pPr>
    </w:lvl>
    <w:lvl w:ilvl="1" w:tplc="C3A4F17A">
      <w:start w:val="1"/>
      <w:numFmt w:val="lowerLetter"/>
      <w:lvlText w:val="%2."/>
      <w:lvlJc w:val="left"/>
      <w:pPr>
        <w:ind w:left="1440" w:hanging="360"/>
      </w:pPr>
    </w:lvl>
    <w:lvl w:ilvl="2" w:tplc="628620FE">
      <w:start w:val="1"/>
      <w:numFmt w:val="lowerRoman"/>
      <w:lvlText w:val="%3."/>
      <w:lvlJc w:val="right"/>
      <w:pPr>
        <w:ind w:left="2160" w:hanging="180"/>
      </w:pPr>
    </w:lvl>
    <w:lvl w:ilvl="3" w:tplc="173CA370">
      <w:start w:val="1"/>
      <w:numFmt w:val="decimal"/>
      <w:lvlText w:val="%4."/>
      <w:lvlJc w:val="left"/>
      <w:pPr>
        <w:ind w:left="2880" w:hanging="360"/>
      </w:pPr>
    </w:lvl>
    <w:lvl w:ilvl="4" w:tplc="A14447CA">
      <w:start w:val="1"/>
      <w:numFmt w:val="lowerLetter"/>
      <w:lvlText w:val="%5."/>
      <w:lvlJc w:val="left"/>
      <w:pPr>
        <w:ind w:left="3600" w:hanging="360"/>
      </w:pPr>
    </w:lvl>
    <w:lvl w:ilvl="5" w:tplc="A428FFAC">
      <w:start w:val="1"/>
      <w:numFmt w:val="lowerRoman"/>
      <w:lvlText w:val="%6."/>
      <w:lvlJc w:val="right"/>
      <w:pPr>
        <w:ind w:left="4320" w:hanging="180"/>
      </w:pPr>
    </w:lvl>
    <w:lvl w:ilvl="6" w:tplc="2AE2A9FE">
      <w:start w:val="1"/>
      <w:numFmt w:val="decimal"/>
      <w:lvlText w:val="%7."/>
      <w:lvlJc w:val="left"/>
      <w:pPr>
        <w:ind w:left="5040" w:hanging="360"/>
      </w:pPr>
    </w:lvl>
    <w:lvl w:ilvl="7" w:tplc="0042390A">
      <w:start w:val="1"/>
      <w:numFmt w:val="lowerLetter"/>
      <w:lvlText w:val="%8."/>
      <w:lvlJc w:val="left"/>
      <w:pPr>
        <w:ind w:left="5760" w:hanging="360"/>
      </w:pPr>
    </w:lvl>
    <w:lvl w:ilvl="8" w:tplc="98EE74F0">
      <w:start w:val="1"/>
      <w:numFmt w:val="lowerRoman"/>
      <w:lvlText w:val="%9."/>
      <w:lvlJc w:val="right"/>
      <w:pPr>
        <w:ind w:left="6480" w:hanging="180"/>
      </w:pPr>
    </w:lvl>
  </w:abstractNum>
  <w:abstractNum w:abstractNumId="119" w15:restartNumberingAfterBreak="0">
    <w:nsid w:val="687C4CA6"/>
    <w:multiLevelType w:val="hybridMultilevel"/>
    <w:tmpl w:val="FFFFFFFF"/>
    <w:lvl w:ilvl="0" w:tplc="F850CA6C">
      <w:start w:val="4"/>
      <w:numFmt w:val="decimal"/>
      <w:lvlText w:val="%1."/>
      <w:lvlJc w:val="left"/>
      <w:pPr>
        <w:ind w:left="720" w:hanging="360"/>
      </w:pPr>
      <w:rPr>
        <w:rFonts w:ascii="Times New Roman" w:hAnsi="Times New Roman" w:hint="default"/>
      </w:rPr>
    </w:lvl>
    <w:lvl w:ilvl="1" w:tplc="37CA9100">
      <w:start w:val="1"/>
      <w:numFmt w:val="lowerLetter"/>
      <w:lvlText w:val="%2."/>
      <w:lvlJc w:val="left"/>
      <w:pPr>
        <w:ind w:left="1440" w:hanging="360"/>
      </w:pPr>
    </w:lvl>
    <w:lvl w:ilvl="2" w:tplc="59384032">
      <w:start w:val="1"/>
      <w:numFmt w:val="lowerRoman"/>
      <w:lvlText w:val="%3."/>
      <w:lvlJc w:val="right"/>
      <w:pPr>
        <w:ind w:left="2160" w:hanging="180"/>
      </w:pPr>
    </w:lvl>
    <w:lvl w:ilvl="3" w:tplc="2BBE6926">
      <w:start w:val="1"/>
      <w:numFmt w:val="decimal"/>
      <w:lvlText w:val="%4."/>
      <w:lvlJc w:val="left"/>
      <w:pPr>
        <w:ind w:left="2880" w:hanging="360"/>
      </w:pPr>
    </w:lvl>
    <w:lvl w:ilvl="4" w:tplc="438A77EA">
      <w:start w:val="1"/>
      <w:numFmt w:val="lowerLetter"/>
      <w:lvlText w:val="%5."/>
      <w:lvlJc w:val="left"/>
      <w:pPr>
        <w:ind w:left="3600" w:hanging="360"/>
      </w:pPr>
    </w:lvl>
    <w:lvl w:ilvl="5" w:tplc="D7741416">
      <w:start w:val="1"/>
      <w:numFmt w:val="lowerRoman"/>
      <w:lvlText w:val="%6."/>
      <w:lvlJc w:val="right"/>
      <w:pPr>
        <w:ind w:left="4320" w:hanging="180"/>
      </w:pPr>
    </w:lvl>
    <w:lvl w:ilvl="6" w:tplc="D27A16D2">
      <w:start w:val="1"/>
      <w:numFmt w:val="decimal"/>
      <w:lvlText w:val="%7."/>
      <w:lvlJc w:val="left"/>
      <w:pPr>
        <w:ind w:left="5040" w:hanging="360"/>
      </w:pPr>
    </w:lvl>
    <w:lvl w:ilvl="7" w:tplc="B7A27460">
      <w:start w:val="1"/>
      <w:numFmt w:val="lowerLetter"/>
      <w:lvlText w:val="%8."/>
      <w:lvlJc w:val="left"/>
      <w:pPr>
        <w:ind w:left="5760" w:hanging="360"/>
      </w:pPr>
    </w:lvl>
    <w:lvl w:ilvl="8" w:tplc="FEB04066">
      <w:start w:val="1"/>
      <w:numFmt w:val="lowerRoman"/>
      <w:lvlText w:val="%9."/>
      <w:lvlJc w:val="right"/>
      <w:pPr>
        <w:ind w:left="6480" w:hanging="180"/>
      </w:pPr>
    </w:lvl>
  </w:abstractNum>
  <w:abstractNum w:abstractNumId="120" w15:restartNumberingAfterBreak="0">
    <w:nsid w:val="6B3F7D9F"/>
    <w:multiLevelType w:val="hybridMultilevel"/>
    <w:tmpl w:val="FFFFFFFF"/>
    <w:lvl w:ilvl="0" w:tplc="1E8435BE">
      <w:start w:val="1"/>
      <w:numFmt w:val="decimal"/>
      <w:lvlText w:val="%1."/>
      <w:lvlJc w:val="left"/>
      <w:pPr>
        <w:ind w:left="720" w:hanging="360"/>
      </w:pPr>
    </w:lvl>
    <w:lvl w:ilvl="1" w:tplc="1272F8B4">
      <w:start w:val="4"/>
      <w:numFmt w:val="lowerLetter"/>
      <w:lvlText w:val="%2."/>
      <w:lvlJc w:val="left"/>
      <w:pPr>
        <w:ind w:left="1440" w:hanging="360"/>
      </w:pPr>
      <w:rPr>
        <w:rFonts w:ascii="Times New Roman" w:hAnsi="Times New Roman" w:hint="default"/>
      </w:rPr>
    </w:lvl>
    <w:lvl w:ilvl="2" w:tplc="A936F844">
      <w:start w:val="1"/>
      <w:numFmt w:val="lowerRoman"/>
      <w:lvlText w:val="%3."/>
      <w:lvlJc w:val="right"/>
      <w:pPr>
        <w:ind w:left="2160" w:hanging="180"/>
      </w:pPr>
    </w:lvl>
    <w:lvl w:ilvl="3" w:tplc="08D418A2">
      <w:start w:val="1"/>
      <w:numFmt w:val="decimal"/>
      <w:lvlText w:val="%4."/>
      <w:lvlJc w:val="left"/>
      <w:pPr>
        <w:ind w:left="2880" w:hanging="360"/>
      </w:pPr>
    </w:lvl>
    <w:lvl w:ilvl="4" w:tplc="781ADC8A">
      <w:start w:val="1"/>
      <w:numFmt w:val="lowerLetter"/>
      <w:lvlText w:val="%5."/>
      <w:lvlJc w:val="left"/>
      <w:pPr>
        <w:ind w:left="3600" w:hanging="360"/>
      </w:pPr>
    </w:lvl>
    <w:lvl w:ilvl="5" w:tplc="143247C8">
      <w:start w:val="1"/>
      <w:numFmt w:val="lowerRoman"/>
      <w:lvlText w:val="%6."/>
      <w:lvlJc w:val="right"/>
      <w:pPr>
        <w:ind w:left="4320" w:hanging="180"/>
      </w:pPr>
    </w:lvl>
    <w:lvl w:ilvl="6" w:tplc="5ADC3FC6">
      <w:start w:val="1"/>
      <w:numFmt w:val="decimal"/>
      <w:lvlText w:val="%7."/>
      <w:lvlJc w:val="left"/>
      <w:pPr>
        <w:ind w:left="5040" w:hanging="360"/>
      </w:pPr>
    </w:lvl>
    <w:lvl w:ilvl="7" w:tplc="F9D0404A">
      <w:start w:val="1"/>
      <w:numFmt w:val="lowerLetter"/>
      <w:lvlText w:val="%8."/>
      <w:lvlJc w:val="left"/>
      <w:pPr>
        <w:ind w:left="5760" w:hanging="360"/>
      </w:pPr>
    </w:lvl>
    <w:lvl w:ilvl="8" w:tplc="C9624E42">
      <w:start w:val="1"/>
      <w:numFmt w:val="lowerRoman"/>
      <w:lvlText w:val="%9."/>
      <w:lvlJc w:val="right"/>
      <w:pPr>
        <w:ind w:left="6480" w:hanging="180"/>
      </w:pPr>
    </w:lvl>
  </w:abstractNum>
  <w:abstractNum w:abstractNumId="121" w15:restartNumberingAfterBreak="0">
    <w:nsid w:val="6E130E6B"/>
    <w:multiLevelType w:val="hybridMultilevel"/>
    <w:tmpl w:val="56347DD6"/>
    <w:lvl w:ilvl="0" w:tplc="1FA6ACF0">
      <w:start w:val="1"/>
      <w:numFmt w:val="bullet"/>
      <w:lvlText w:val="·"/>
      <w:lvlJc w:val="left"/>
      <w:pPr>
        <w:ind w:left="720" w:hanging="360"/>
      </w:pPr>
      <w:rPr>
        <w:rFonts w:ascii="Symbol" w:hAnsi="Symbol" w:hint="default"/>
        <w:color w:val="auto"/>
      </w:rPr>
    </w:lvl>
    <w:lvl w:ilvl="1" w:tplc="7CD47262">
      <w:start w:val="1"/>
      <w:numFmt w:val="bullet"/>
      <w:lvlText w:val="o"/>
      <w:lvlJc w:val="left"/>
      <w:pPr>
        <w:ind w:left="1440" w:hanging="360"/>
      </w:pPr>
      <w:rPr>
        <w:rFonts w:ascii="Courier New" w:hAnsi="Courier New" w:hint="default"/>
      </w:rPr>
    </w:lvl>
    <w:lvl w:ilvl="2" w:tplc="7A34A89C">
      <w:start w:val="1"/>
      <w:numFmt w:val="bullet"/>
      <w:lvlText w:val=""/>
      <w:lvlJc w:val="left"/>
      <w:pPr>
        <w:ind w:left="2160" w:hanging="360"/>
      </w:pPr>
      <w:rPr>
        <w:rFonts w:ascii="Wingdings" w:hAnsi="Wingdings" w:hint="default"/>
      </w:rPr>
    </w:lvl>
    <w:lvl w:ilvl="3" w:tplc="DA045F56">
      <w:start w:val="1"/>
      <w:numFmt w:val="bullet"/>
      <w:lvlText w:val=""/>
      <w:lvlJc w:val="left"/>
      <w:pPr>
        <w:ind w:left="2880" w:hanging="360"/>
      </w:pPr>
      <w:rPr>
        <w:rFonts w:ascii="Symbol" w:hAnsi="Symbol" w:hint="default"/>
      </w:rPr>
    </w:lvl>
    <w:lvl w:ilvl="4" w:tplc="C50C17C0">
      <w:start w:val="1"/>
      <w:numFmt w:val="bullet"/>
      <w:lvlText w:val="o"/>
      <w:lvlJc w:val="left"/>
      <w:pPr>
        <w:ind w:left="3600" w:hanging="360"/>
      </w:pPr>
      <w:rPr>
        <w:rFonts w:ascii="Courier New" w:hAnsi="Courier New" w:hint="default"/>
      </w:rPr>
    </w:lvl>
    <w:lvl w:ilvl="5" w:tplc="664CD6A2">
      <w:start w:val="1"/>
      <w:numFmt w:val="bullet"/>
      <w:lvlText w:val=""/>
      <w:lvlJc w:val="left"/>
      <w:pPr>
        <w:ind w:left="4320" w:hanging="360"/>
      </w:pPr>
      <w:rPr>
        <w:rFonts w:ascii="Wingdings" w:hAnsi="Wingdings" w:hint="default"/>
      </w:rPr>
    </w:lvl>
    <w:lvl w:ilvl="6" w:tplc="88C8DC80">
      <w:start w:val="1"/>
      <w:numFmt w:val="bullet"/>
      <w:lvlText w:val=""/>
      <w:lvlJc w:val="left"/>
      <w:pPr>
        <w:ind w:left="5040" w:hanging="360"/>
      </w:pPr>
      <w:rPr>
        <w:rFonts w:ascii="Symbol" w:hAnsi="Symbol" w:hint="default"/>
      </w:rPr>
    </w:lvl>
    <w:lvl w:ilvl="7" w:tplc="AB08042A">
      <w:start w:val="1"/>
      <w:numFmt w:val="bullet"/>
      <w:lvlText w:val="o"/>
      <w:lvlJc w:val="left"/>
      <w:pPr>
        <w:ind w:left="5760" w:hanging="360"/>
      </w:pPr>
      <w:rPr>
        <w:rFonts w:ascii="Courier New" w:hAnsi="Courier New" w:hint="default"/>
      </w:rPr>
    </w:lvl>
    <w:lvl w:ilvl="8" w:tplc="F92A6A2C">
      <w:start w:val="1"/>
      <w:numFmt w:val="bullet"/>
      <w:lvlText w:val=""/>
      <w:lvlJc w:val="left"/>
      <w:pPr>
        <w:ind w:left="6480" w:hanging="360"/>
      </w:pPr>
      <w:rPr>
        <w:rFonts w:ascii="Wingdings" w:hAnsi="Wingdings" w:hint="default"/>
      </w:rPr>
    </w:lvl>
  </w:abstractNum>
  <w:abstractNum w:abstractNumId="122" w15:restartNumberingAfterBreak="0">
    <w:nsid w:val="6F2360CD"/>
    <w:multiLevelType w:val="hybridMultilevel"/>
    <w:tmpl w:val="CB7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CC1442"/>
    <w:multiLevelType w:val="hybridMultilevel"/>
    <w:tmpl w:val="FFFFFFFF"/>
    <w:lvl w:ilvl="0" w:tplc="8130801A">
      <w:start w:val="1"/>
      <w:numFmt w:val="decimal"/>
      <w:lvlText w:val="%1."/>
      <w:lvlJc w:val="left"/>
      <w:pPr>
        <w:ind w:left="720" w:hanging="360"/>
      </w:pPr>
    </w:lvl>
    <w:lvl w:ilvl="1" w:tplc="CFB85812">
      <w:start w:val="6"/>
      <w:numFmt w:val="lowerLetter"/>
      <w:lvlText w:val="%2."/>
      <w:lvlJc w:val="left"/>
      <w:pPr>
        <w:ind w:left="1440" w:hanging="360"/>
      </w:pPr>
      <w:rPr>
        <w:rFonts w:ascii="Times New Roman" w:hAnsi="Times New Roman" w:hint="default"/>
      </w:rPr>
    </w:lvl>
    <w:lvl w:ilvl="2" w:tplc="17C684D2">
      <w:start w:val="1"/>
      <w:numFmt w:val="lowerRoman"/>
      <w:lvlText w:val="%3."/>
      <w:lvlJc w:val="right"/>
      <w:pPr>
        <w:ind w:left="2160" w:hanging="180"/>
      </w:pPr>
    </w:lvl>
    <w:lvl w:ilvl="3" w:tplc="DDC2F9A0">
      <w:start w:val="1"/>
      <w:numFmt w:val="decimal"/>
      <w:lvlText w:val="%4."/>
      <w:lvlJc w:val="left"/>
      <w:pPr>
        <w:ind w:left="2880" w:hanging="360"/>
      </w:pPr>
    </w:lvl>
    <w:lvl w:ilvl="4" w:tplc="09A2EC0C">
      <w:start w:val="1"/>
      <w:numFmt w:val="lowerLetter"/>
      <w:lvlText w:val="%5."/>
      <w:lvlJc w:val="left"/>
      <w:pPr>
        <w:ind w:left="3600" w:hanging="360"/>
      </w:pPr>
    </w:lvl>
    <w:lvl w:ilvl="5" w:tplc="3EE8D1BE">
      <w:start w:val="1"/>
      <w:numFmt w:val="lowerRoman"/>
      <w:lvlText w:val="%6."/>
      <w:lvlJc w:val="right"/>
      <w:pPr>
        <w:ind w:left="4320" w:hanging="180"/>
      </w:pPr>
    </w:lvl>
    <w:lvl w:ilvl="6" w:tplc="0154423E">
      <w:start w:val="1"/>
      <w:numFmt w:val="decimal"/>
      <w:lvlText w:val="%7."/>
      <w:lvlJc w:val="left"/>
      <w:pPr>
        <w:ind w:left="5040" w:hanging="360"/>
      </w:pPr>
    </w:lvl>
    <w:lvl w:ilvl="7" w:tplc="ABC2D488">
      <w:start w:val="1"/>
      <w:numFmt w:val="lowerLetter"/>
      <w:lvlText w:val="%8."/>
      <w:lvlJc w:val="left"/>
      <w:pPr>
        <w:ind w:left="5760" w:hanging="360"/>
      </w:pPr>
    </w:lvl>
    <w:lvl w:ilvl="8" w:tplc="FF0408A2">
      <w:start w:val="1"/>
      <w:numFmt w:val="lowerRoman"/>
      <w:lvlText w:val="%9."/>
      <w:lvlJc w:val="right"/>
      <w:pPr>
        <w:ind w:left="6480" w:hanging="180"/>
      </w:pPr>
    </w:lvl>
  </w:abstractNum>
  <w:abstractNum w:abstractNumId="124" w15:restartNumberingAfterBreak="0">
    <w:nsid w:val="6FFB0985"/>
    <w:multiLevelType w:val="hybridMultilevel"/>
    <w:tmpl w:val="FFFFFFFF"/>
    <w:lvl w:ilvl="0" w:tplc="E3C813DE">
      <w:start w:val="6"/>
      <w:numFmt w:val="decimal"/>
      <w:lvlText w:val="%1."/>
      <w:lvlJc w:val="left"/>
      <w:pPr>
        <w:ind w:left="720" w:hanging="360"/>
      </w:pPr>
      <w:rPr>
        <w:rFonts w:ascii="Times New Roman" w:hAnsi="Times New Roman" w:hint="default"/>
      </w:rPr>
    </w:lvl>
    <w:lvl w:ilvl="1" w:tplc="96FE367A">
      <w:start w:val="1"/>
      <w:numFmt w:val="lowerLetter"/>
      <w:lvlText w:val="%2."/>
      <w:lvlJc w:val="left"/>
      <w:pPr>
        <w:ind w:left="1440" w:hanging="360"/>
      </w:pPr>
    </w:lvl>
    <w:lvl w:ilvl="2" w:tplc="73B8D21A">
      <w:start w:val="1"/>
      <w:numFmt w:val="lowerRoman"/>
      <w:lvlText w:val="%3."/>
      <w:lvlJc w:val="right"/>
      <w:pPr>
        <w:ind w:left="2160" w:hanging="180"/>
      </w:pPr>
    </w:lvl>
    <w:lvl w:ilvl="3" w:tplc="CD54C61A">
      <w:start w:val="1"/>
      <w:numFmt w:val="decimal"/>
      <w:lvlText w:val="%4."/>
      <w:lvlJc w:val="left"/>
      <w:pPr>
        <w:ind w:left="2880" w:hanging="360"/>
      </w:pPr>
    </w:lvl>
    <w:lvl w:ilvl="4" w:tplc="4AD05ABA">
      <w:start w:val="1"/>
      <w:numFmt w:val="lowerLetter"/>
      <w:lvlText w:val="%5."/>
      <w:lvlJc w:val="left"/>
      <w:pPr>
        <w:ind w:left="3600" w:hanging="360"/>
      </w:pPr>
    </w:lvl>
    <w:lvl w:ilvl="5" w:tplc="1E4C8B4A">
      <w:start w:val="1"/>
      <w:numFmt w:val="lowerRoman"/>
      <w:lvlText w:val="%6."/>
      <w:lvlJc w:val="right"/>
      <w:pPr>
        <w:ind w:left="4320" w:hanging="180"/>
      </w:pPr>
    </w:lvl>
    <w:lvl w:ilvl="6" w:tplc="2D209E0A">
      <w:start w:val="1"/>
      <w:numFmt w:val="decimal"/>
      <w:lvlText w:val="%7."/>
      <w:lvlJc w:val="left"/>
      <w:pPr>
        <w:ind w:left="5040" w:hanging="360"/>
      </w:pPr>
    </w:lvl>
    <w:lvl w:ilvl="7" w:tplc="9464377A">
      <w:start w:val="1"/>
      <w:numFmt w:val="lowerLetter"/>
      <w:lvlText w:val="%8."/>
      <w:lvlJc w:val="left"/>
      <w:pPr>
        <w:ind w:left="5760" w:hanging="360"/>
      </w:pPr>
    </w:lvl>
    <w:lvl w:ilvl="8" w:tplc="CFF2F264">
      <w:start w:val="1"/>
      <w:numFmt w:val="lowerRoman"/>
      <w:lvlText w:val="%9."/>
      <w:lvlJc w:val="right"/>
      <w:pPr>
        <w:ind w:left="6480" w:hanging="180"/>
      </w:pPr>
    </w:lvl>
  </w:abstractNum>
  <w:abstractNum w:abstractNumId="125" w15:restartNumberingAfterBreak="0">
    <w:nsid w:val="71B04D7A"/>
    <w:multiLevelType w:val="hybridMultilevel"/>
    <w:tmpl w:val="FFFFFFFF"/>
    <w:lvl w:ilvl="0" w:tplc="8FD678C6">
      <w:start w:val="1"/>
      <w:numFmt w:val="decimal"/>
      <w:lvlText w:val="%1."/>
      <w:lvlJc w:val="left"/>
      <w:pPr>
        <w:ind w:left="720" w:hanging="360"/>
      </w:pPr>
    </w:lvl>
    <w:lvl w:ilvl="1" w:tplc="CF6CD9B2">
      <w:start w:val="3"/>
      <w:numFmt w:val="lowerLetter"/>
      <w:lvlText w:val="%2."/>
      <w:lvlJc w:val="left"/>
      <w:pPr>
        <w:ind w:left="1440" w:hanging="360"/>
      </w:pPr>
      <w:rPr>
        <w:rFonts w:ascii="Times New Roman" w:hAnsi="Times New Roman" w:hint="default"/>
      </w:rPr>
    </w:lvl>
    <w:lvl w:ilvl="2" w:tplc="18B66490">
      <w:start w:val="1"/>
      <w:numFmt w:val="lowerRoman"/>
      <w:lvlText w:val="%3."/>
      <w:lvlJc w:val="right"/>
      <w:pPr>
        <w:ind w:left="2160" w:hanging="180"/>
      </w:pPr>
    </w:lvl>
    <w:lvl w:ilvl="3" w:tplc="504252EE">
      <w:start w:val="1"/>
      <w:numFmt w:val="decimal"/>
      <w:lvlText w:val="%4."/>
      <w:lvlJc w:val="left"/>
      <w:pPr>
        <w:ind w:left="2880" w:hanging="360"/>
      </w:pPr>
    </w:lvl>
    <w:lvl w:ilvl="4" w:tplc="F4E0B53E">
      <w:start w:val="1"/>
      <w:numFmt w:val="lowerLetter"/>
      <w:lvlText w:val="%5."/>
      <w:lvlJc w:val="left"/>
      <w:pPr>
        <w:ind w:left="3600" w:hanging="360"/>
      </w:pPr>
    </w:lvl>
    <w:lvl w:ilvl="5" w:tplc="9AB0C27A">
      <w:start w:val="1"/>
      <w:numFmt w:val="lowerRoman"/>
      <w:lvlText w:val="%6."/>
      <w:lvlJc w:val="right"/>
      <w:pPr>
        <w:ind w:left="4320" w:hanging="180"/>
      </w:pPr>
    </w:lvl>
    <w:lvl w:ilvl="6" w:tplc="67C8D630">
      <w:start w:val="1"/>
      <w:numFmt w:val="decimal"/>
      <w:lvlText w:val="%7."/>
      <w:lvlJc w:val="left"/>
      <w:pPr>
        <w:ind w:left="5040" w:hanging="360"/>
      </w:pPr>
    </w:lvl>
    <w:lvl w:ilvl="7" w:tplc="7F009E44">
      <w:start w:val="1"/>
      <w:numFmt w:val="lowerLetter"/>
      <w:lvlText w:val="%8."/>
      <w:lvlJc w:val="left"/>
      <w:pPr>
        <w:ind w:left="5760" w:hanging="360"/>
      </w:pPr>
    </w:lvl>
    <w:lvl w:ilvl="8" w:tplc="0158F856">
      <w:start w:val="1"/>
      <w:numFmt w:val="lowerRoman"/>
      <w:lvlText w:val="%9."/>
      <w:lvlJc w:val="right"/>
      <w:pPr>
        <w:ind w:left="6480" w:hanging="180"/>
      </w:pPr>
    </w:lvl>
  </w:abstractNum>
  <w:abstractNum w:abstractNumId="126" w15:restartNumberingAfterBreak="0">
    <w:nsid w:val="72131B71"/>
    <w:multiLevelType w:val="hybridMultilevel"/>
    <w:tmpl w:val="0E38D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727674DE"/>
    <w:multiLevelType w:val="multilevel"/>
    <w:tmpl w:val="76B459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4220DE6"/>
    <w:multiLevelType w:val="hybridMultilevel"/>
    <w:tmpl w:val="AC74594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3C775D"/>
    <w:multiLevelType w:val="hybridMultilevel"/>
    <w:tmpl w:val="0BD8C498"/>
    <w:lvl w:ilvl="0" w:tplc="82A690CA">
      <w:start w:val="1"/>
      <w:numFmt w:val="bullet"/>
      <w:pStyle w:val="Bullet1"/>
      <w:lvlText w:val=""/>
      <w:lvlJc w:val="left"/>
      <w:pPr>
        <w:ind w:left="360" w:hanging="360"/>
      </w:pPr>
      <w:rPr>
        <w:rFonts w:ascii="Symbol" w:hAnsi="Symbol" w:hint="default"/>
      </w:rPr>
    </w:lvl>
    <w:lvl w:ilvl="1" w:tplc="F686FA74">
      <w:start w:val="1"/>
      <w:numFmt w:val="bullet"/>
      <w:pStyle w:val="Bullet2"/>
      <w:lvlText w:val="o"/>
      <w:lvlJc w:val="left"/>
      <w:pPr>
        <w:ind w:left="1440" w:hanging="360"/>
      </w:pPr>
      <w:rPr>
        <w:rFonts w:ascii="Courier New" w:hAnsi="Courier New" w:cs="Courier New" w:hint="default"/>
      </w:rPr>
    </w:lvl>
    <w:lvl w:ilvl="2" w:tplc="2446EDD6">
      <w:start w:val="1"/>
      <w:numFmt w:val="bullet"/>
      <w:pStyle w:val="Bullet3"/>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49669CA"/>
    <w:multiLevelType w:val="hybridMultilevel"/>
    <w:tmpl w:val="4EC42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66E263"/>
    <w:multiLevelType w:val="hybridMultilevel"/>
    <w:tmpl w:val="40345B2A"/>
    <w:lvl w:ilvl="0" w:tplc="B502BCF6">
      <w:start w:val="1"/>
      <w:numFmt w:val="lowerLetter"/>
      <w:lvlText w:val="%1."/>
      <w:lvlJc w:val="left"/>
      <w:pPr>
        <w:ind w:left="1440" w:hanging="360"/>
      </w:pPr>
    </w:lvl>
    <w:lvl w:ilvl="1" w:tplc="BEE28FE2">
      <w:start w:val="1"/>
      <w:numFmt w:val="lowerLetter"/>
      <w:lvlText w:val="%2."/>
      <w:lvlJc w:val="left"/>
      <w:pPr>
        <w:ind w:left="1440" w:hanging="360"/>
      </w:pPr>
    </w:lvl>
    <w:lvl w:ilvl="2" w:tplc="5E405BDA">
      <w:start w:val="1"/>
      <w:numFmt w:val="lowerRoman"/>
      <w:lvlText w:val="%3."/>
      <w:lvlJc w:val="right"/>
      <w:pPr>
        <w:ind w:left="2160" w:hanging="180"/>
      </w:pPr>
    </w:lvl>
    <w:lvl w:ilvl="3" w:tplc="27B486D6">
      <w:start w:val="1"/>
      <w:numFmt w:val="decimal"/>
      <w:lvlText w:val="%4."/>
      <w:lvlJc w:val="left"/>
      <w:pPr>
        <w:ind w:left="2880" w:hanging="360"/>
      </w:pPr>
    </w:lvl>
    <w:lvl w:ilvl="4" w:tplc="4ABA3744">
      <w:start w:val="1"/>
      <w:numFmt w:val="lowerLetter"/>
      <w:lvlText w:val="%5."/>
      <w:lvlJc w:val="left"/>
      <w:pPr>
        <w:ind w:left="3600" w:hanging="360"/>
      </w:pPr>
    </w:lvl>
    <w:lvl w:ilvl="5" w:tplc="74741990">
      <w:start w:val="1"/>
      <w:numFmt w:val="lowerRoman"/>
      <w:lvlText w:val="%6."/>
      <w:lvlJc w:val="right"/>
      <w:pPr>
        <w:ind w:left="4320" w:hanging="180"/>
      </w:pPr>
    </w:lvl>
    <w:lvl w:ilvl="6" w:tplc="F766A82E">
      <w:start w:val="1"/>
      <w:numFmt w:val="decimal"/>
      <w:lvlText w:val="%7."/>
      <w:lvlJc w:val="left"/>
      <w:pPr>
        <w:ind w:left="5040" w:hanging="360"/>
      </w:pPr>
    </w:lvl>
    <w:lvl w:ilvl="7" w:tplc="62A60596">
      <w:start w:val="1"/>
      <w:numFmt w:val="lowerLetter"/>
      <w:lvlText w:val="%8."/>
      <w:lvlJc w:val="left"/>
      <w:pPr>
        <w:ind w:left="5760" w:hanging="360"/>
      </w:pPr>
    </w:lvl>
    <w:lvl w:ilvl="8" w:tplc="AEC64D50">
      <w:start w:val="1"/>
      <w:numFmt w:val="lowerRoman"/>
      <w:lvlText w:val="%9."/>
      <w:lvlJc w:val="right"/>
      <w:pPr>
        <w:ind w:left="6480" w:hanging="180"/>
      </w:pPr>
    </w:lvl>
  </w:abstractNum>
  <w:abstractNum w:abstractNumId="132" w15:restartNumberingAfterBreak="0">
    <w:nsid w:val="772D4002"/>
    <w:multiLevelType w:val="hybridMultilevel"/>
    <w:tmpl w:val="5A721C5E"/>
    <w:lvl w:ilvl="0" w:tplc="AF980A3A">
      <w:start w:val="1"/>
      <w:numFmt w:val="decimal"/>
      <w:lvlText w:val="AIB-%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7397439"/>
    <w:multiLevelType w:val="hybridMultilevel"/>
    <w:tmpl w:val="124E7B34"/>
    <w:lvl w:ilvl="0" w:tplc="1E26F170">
      <w:start w:val="2"/>
      <w:numFmt w:val="decimal"/>
      <w:lvlText w:val="%1."/>
      <w:lvlJc w:val="left"/>
      <w:pPr>
        <w:ind w:left="720" w:hanging="360"/>
      </w:pPr>
      <w:rPr>
        <w:rFonts w:ascii="Times New Roman" w:hAnsi="Times New Roman" w:hint="default"/>
      </w:rPr>
    </w:lvl>
    <w:lvl w:ilvl="1" w:tplc="0AB88BFE">
      <w:start w:val="1"/>
      <w:numFmt w:val="lowerLetter"/>
      <w:lvlText w:val="%2."/>
      <w:lvlJc w:val="left"/>
      <w:pPr>
        <w:ind w:left="1440" w:hanging="360"/>
      </w:pPr>
    </w:lvl>
    <w:lvl w:ilvl="2" w:tplc="FED6F62C">
      <w:start w:val="1"/>
      <w:numFmt w:val="lowerRoman"/>
      <w:lvlText w:val="%3."/>
      <w:lvlJc w:val="right"/>
      <w:pPr>
        <w:ind w:left="2160" w:hanging="180"/>
      </w:pPr>
    </w:lvl>
    <w:lvl w:ilvl="3" w:tplc="87C8A200">
      <w:start w:val="1"/>
      <w:numFmt w:val="decimal"/>
      <w:lvlText w:val="%4."/>
      <w:lvlJc w:val="left"/>
      <w:pPr>
        <w:ind w:left="2880" w:hanging="360"/>
      </w:pPr>
    </w:lvl>
    <w:lvl w:ilvl="4" w:tplc="84064D9E">
      <w:start w:val="1"/>
      <w:numFmt w:val="lowerLetter"/>
      <w:lvlText w:val="%5."/>
      <w:lvlJc w:val="left"/>
      <w:pPr>
        <w:ind w:left="3600" w:hanging="360"/>
      </w:pPr>
    </w:lvl>
    <w:lvl w:ilvl="5" w:tplc="3F6C9C96">
      <w:start w:val="1"/>
      <w:numFmt w:val="lowerRoman"/>
      <w:lvlText w:val="%6."/>
      <w:lvlJc w:val="right"/>
      <w:pPr>
        <w:ind w:left="4320" w:hanging="180"/>
      </w:pPr>
    </w:lvl>
    <w:lvl w:ilvl="6" w:tplc="BF8ABA92">
      <w:start w:val="1"/>
      <w:numFmt w:val="decimal"/>
      <w:lvlText w:val="%7."/>
      <w:lvlJc w:val="left"/>
      <w:pPr>
        <w:ind w:left="5040" w:hanging="360"/>
      </w:pPr>
    </w:lvl>
    <w:lvl w:ilvl="7" w:tplc="0254BF34">
      <w:start w:val="1"/>
      <w:numFmt w:val="lowerLetter"/>
      <w:lvlText w:val="%8."/>
      <w:lvlJc w:val="left"/>
      <w:pPr>
        <w:ind w:left="5760" w:hanging="360"/>
      </w:pPr>
    </w:lvl>
    <w:lvl w:ilvl="8" w:tplc="B0E26406">
      <w:start w:val="1"/>
      <w:numFmt w:val="lowerRoman"/>
      <w:lvlText w:val="%9."/>
      <w:lvlJc w:val="right"/>
      <w:pPr>
        <w:ind w:left="6480" w:hanging="180"/>
      </w:pPr>
    </w:lvl>
  </w:abstractNum>
  <w:abstractNum w:abstractNumId="134" w15:restartNumberingAfterBreak="0">
    <w:nsid w:val="78EA7474"/>
    <w:multiLevelType w:val="hybridMultilevel"/>
    <w:tmpl w:val="E4D07F0A"/>
    <w:lvl w:ilvl="0" w:tplc="1C74F76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127CF7"/>
    <w:multiLevelType w:val="hybridMultilevel"/>
    <w:tmpl w:val="C370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B10D65B"/>
    <w:multiLevelType w:val="hybridMultilevel"/>
    <w:tmpl w:val="FFFFFFFF"/>
    <w:lvl w:ilvl="0" w:tplc="30EC2E80">
      <w:start w:val="1"/>
      <w:numFmt w:val="decimal"/>
      <w:lvlText w:val="%1."/>
      <w:lvlJc w:val="left"/>
      <w:pPr>
        <w:ind w:left="720" w:hanging="360"/>
      </w:pPr>
    </w:lvl>
    <w:lvl w:ilvl="1" w:tplc="749ADB92">
      <w:start w:val="2"/>
      <w:numFmt w:val="lowerLetter"/>
      <w:lvlText w:val="%2."/>
      <w:lvlJc w:val="left"/>
      <w:pPr>
        <w:ind w:left="1440" w:hanging="360"/>
      </w:pPr>
      <w:rPr>
        <w:rFonts w:ascii="Times New Roman" w:hAnsi="Times New Roman" w:hint="default"/>
      </w:rPr>
    </w:lvl>
    <w:lvl w:ilvl="2" w:tplc="30D605AC">
      <w:start w:val="1"/>
      <w:numFmt w:val="lowerRoman"/>
      <w:lvlText w:val="%3."/>
      <w:lvlJc w:val="right"/>
      <w:pPr>
        <w:ind w:left="2160" w:hanging="180"/>
      </w:pPr>
    </w:lvl>
    <w:lvl w:ilvl="3" w:tplc="D87EDCC0">
      <w:start w:val="1"/>
      <w:numFmt w:val="decimal"/>
      <w:lvlText w:val="%4."/>
      <w:lvlJc w:val="left"/>
      <w:pPr>
        <w:ind w:left="2880" w:hanging="360"/>
      </w:pPr>
    </w:lvl>
    <w:lvl w:ilvl="4" w:tplc="3606FF56">
      <w:start w:val="1"/>
      <w:numFmt w:val="lowerLetter"/>
      <w:lvlText w:val="%5."/>
      <w:lvlJc w:val="left"/>
      <w:pPr>
        <w:ind w:left="3600" w:hanging="360"/>
      </w:pPr>
    </w:lvl>
    <w:lvl w:ilvl="5" w:tplc="42A2C526">
      <w:start w:val="1"/>
      <w:numFmt w:val="lowerRoman"/>
      <w:lvlText w:val="%6."/>
      <w:lvlJc w:val="right"/>
      <w:pPr>
        <w:ind w:left="4320" w:hanging="180"/>
      </w:pPr>
    </w:lvl>
    <w:lvl w:ilvl="6" w:tplc="B9CA304C">
      <w:start w:val="1"/>
      <w:numFmt w:val="decimal"/>
      <w:lvlText w:val="%7."/>
      <w:lvlJc w:val="left"/>
      <w:pPr>
        <w:ind w:left="5040" w:hanging="360"/>
      </w:pPr>
    </w:lvl>
    <w:lvl w:ilvl="7" w:tplc="543E2388">
      <w:start w:val="1"/>
      <w:numFmt w:val="lowerLetter"/>
      <w:lvlText w:val="%8."/>
      <w:lvlJc w:val="left"/>
      <w:pPr>
        <w:ind w:left="5760" w:hanging="360"/>
      </w:pPr>
    </w:lvl>
    <w:lvl w:ilvl="8" w:tplc="65500F4E">
      <w:start w:val="1"/>
      <w:numFmt w:val="lowerRoman"/>
      <w:lvlText w:val="%9."/>
      <w:lvlJc w:val="right"/>
      <w:pPr>
        <w:ind w:left="6480" w:hanging="180"/>
      </w:pPr>
    </w:lvl>
  </w:abstractNum>
  <w:abstractNum w:abstractNumId="137" w15:restartNumberingAfterBreak="0">
    <w:nsid w:val="7BF835AC"/>
    <w:multiLevelType w:val="multilevel"/>
    <w:tmpl w:val="55F626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C31CAFD"/>
    <w:multiLevelType w:val="hybridMultilevel"/>
    <w:tmpl w:val="FFFFFFFF"/>
    <w:lvl w:ilvl="0" w:tplc="A1BE7E12">
      <w:start w:val="1"/>
      <w:numFmt w:val="decimal"/>
      <w:lvlText w:val="%1."/>
      <w:lvlJc w:val="left"/>
      <w:pPr>
        <w:ind w:left="720" w:hanging="360"/>
      </w:pPr>
    </w:lvl>
    <w:lvl w:ilvl="1" w:tplc="148A4386">
      <w:start w:val="5"/>
      <w:numFmt w:val="lowerLetter"/>
      <w:lvlText w:val="%2."/>
      <w:lvlJc w:val="left"/>
      <w:pPr>
        <w:ind w:left="1440" w:hanging="360"/>
      </w:pPr>
      <w:rPr>
        <w:rFonts w:ascii="Times New Roman" w:hAnsi="Times New Roman" w:hint="default"/>
      </w:rPr>
    </w:lvl>
    <w:lvl w:ilvl="2" w:tplc="C59A5A0A">
      <w:start w:val="1"/>
      <w:numFmt w:val="lowerRoman"/>
      <w:lvlText w:val="%3."/>
      <w:lvlJc w:val="right"/>
      <w:pPr>
        <w:ind w:left="2160" w:hanging="180"/>
      </w:pPr>
    </w:lvl>
    <w:lvl w:ilvl="3" w:tplc="89AE71AE">
      <w:start w:val="1"/>
      <w:numFmt w:val="decimal"/>
      <w:lvlText w:val="%4."/>
      <w:lvlJc w:val="left"/>
      <w:pPr>
        <w:ind w:left="2880" w:hanging="360"/>
      </w:pPr>
    </w:lvl>
    <w:lvl w:ilvl="4" w:tplc="A71435A4">
      <w:start w:val="1"/>
      <w:numFmt w:val="lowerLetter"/>
      <w:lvlText w:val="%5."/>
      <w:lvlJc w:val="left"/>
      <w:pPr>
        <w:ind w:left="3600" w:hanging="360"/>
      </w:pPr>
    </w:lvl>
    <w:lvl w:ilvl="5" w:tplc="1C52F6D8">
      <w:start w:val="1"/>
      <w:numFmt w:val="lowerRoman"/>
      <w:lvlText w:val="%6."/>
      <w:lvlJc w:val="right"/>
      <w:pPr>
        <w:ind w:left="4320" w:hanging="180"/>
      </w:pPr>
    </w:lvl>
    <w:lvl w:ilvl="6" w:tplc="52CA9224">
      <w:start w:val="1"/>
      <w:numFmt w:val="decimal"/>
      <w:lvlText w:val="%7."/>
      <w:lvlJc w:val="left"/>
      <w:pPr>
        <w:ind w:left="5040" w:hanging="360"/>
      </w:pPr>
    </w:lvl>
    <w:lvl w:ilvl="7" w:tplc="EA9CEC00">
      <w:start w:val="1"/>
      <w:numFmt w:val="lowerLetter"/>
      <w:lvlText w:val="%8."/>
      <w:lvlJc w:val="left"/>
      <w:pPr>
        <w:ind w:left="5760" w:hanging="360"/>
      </w:pPr>
    </w:lvl>
    <w:lvl w:ilvl="8" w:tplc="3A9C0522">
      <w:start w:val="1"/>
      <w:numFmt w:val="lowerRoman"/>
      <w:lvlText w:val="%9."/>
      <w:lvlJc w:val="right"/>
      <w:pPr>
        <w:ind w:left="6480" w:hanging="180"/>
      </w:pPr>
    </w:lvl>
  </w:abstractNum>
  <w:abstractNum w:abstractNumId="139" w15:restartNumberingAfterBreak="0">
    <w:nsid w:val="7C7829E0"/>
    <w:multiLevelType w:val="hybridMultilevel"/>
    <w:tmpl w:val="FFFFFFFF"/>
    <w:lvl w:ilvl="0" w:tplc="17B6EB7C">
      <w:start w:val="3"/>
      <w:numFmt w:val="decimal"/>
      <w:lvlText w:val="%1."/>
      <w:lvlJc w:val="left"/>
      <w:pPr>
        <w:ind w:left="720" w:hanging="360"/>
      </w:pPr>
      <w:rPr>
        <w:rFonts w:ascii="Times New Roman" w:hAnsi="Times New Roman" w:hint="default"/>
      </w:rPr>
    </w:lvl>
    <w:lvl w:ilvl="1" w:tplc="7B3E6D82">
      <w:start w:val="1"/>
      <w:numFmt w:val="lowerLetter"/>
      <w:lvlText w:val="%2."/>
      <w:lvlJc w:val="left"/>
      <w:pPr>
        <w:ind w:left="1440" w:hanging="360"/>
      </w:pPr>
    </w:lvl>
    <w:lvl w:ilvl="2" w:tplc="AB52DDF2">
      <w:start w:val="1"/>
      <w:numFmt w:val="lowerRoman"/>
      <w:lvlText w:val="%3."/>
      <w:lvlJc w:val="right"/>
      <w:pPr>
        <w:ind w:left="2160" w:hanging="180"/>
      </w:pPr>
    </w:lvl>
    <w:lvl w:ilvl="3" w:tplc="3CCCE9C0">
      <w:start w:val="1"/>
      <w:numFmt w:val="decimal"/>
      <w:lvlText w:val="%4."/>
      <w:lvlJc w:val="left"/>
      <w:pPr>
        <w:ind w:left="2880" w:hanging="360"/>
      </w:pPr>
    </w:lvl>
    <w:lvl w:ilvl="4" w:tplc="00A4CC62">
      <w:start w:val="1"/>
      <w:numFmt w:val="lowerLetter"/>
      <w:lvlText w:val="%5."/>
      <w:lvlJc w:val="left"/>
      <w:pPr>
        <w:ind w:left="3600" w:hanging="360"/>
      </w:pPr>
    </w:lvl>
    <w:lvl w:ilvl="5" w:tplc="61849BF2">
      <w:start w:val="1"/>
      <w:numFmt w:val="lowerRoman"/>
      <w:lvlText w:val="%6."/>
      <w:lvlJc w:val="right"/>
      <w:pPr>
        <w:ind w:left="4320" w:hanging="180"/>
      </w:pPr>
    </w:lvl>
    <w:lvl w:ilvl="6" w:tplc="3CB0AC34">
      <w:start w:val="1"/>
      <w:numFmt w:val="decimal"/>
      <w:lvlText w:val="%7."/>
      <w:lvlJc w:val="left"/>
      <w:pPr>
        <w:ind w:left="5040" w:hanging="360"/>
      </w:pPr>
    </w:lvl>
    <w:lvl w:ilvl="7" w:tplc="DB90AEB4">
      <w:start w:val="1"/>
      <w:numFmt w:val="lowerLetter"/>
      <w:lvlText w:val="%8."/>
      <w:lvlJc w:val="left"/>
      <w:pPr>
        <w:ind w:left="5760" w:hanging="360"/>
      </w:pPr>
    </w:lvl>
    <w:lvl w:ilvl="8" w:tplc="E3C0D908">
      <w:start w:val="1"/>
      <w:numFmt w:val="lowerRoman"/>
      <w:lvlText w:val="%9."/>
      <w:lvlJc w:val="right"/>
      <w:pPr>
        <w:ind w:left="6480" w:hanging="180"/>
      </w:pPr>
    </w:lvl>
  </w:abstractNum>
  <w:abstractNum w:abstractNumId="140" w15:restartNumberingAfterBreak="0">
    <w:nsid w:val="7CE82512"/>
    <w:multiLevelType w:val="hybridMultilevel"/>
    <w:tmpl w:val="C5AE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E2945AA"/>
    <w:multiLevelType w:val="hybridMultilevel"/>
    <w:tmpl w:val="631A506C"/>
    <w:lvl w:ilvl="0" w:tplc="D8EC6856">
      <w:start w:val="1"/>
      <w:numFmt w:val="decimal"/>
      <w:lvlText w:val="Table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89B604"/>
    <w:multiLevelType w:val="hybridMultilevel"/>
    <w:tmpl w:val="FFFFFFFF"/>
    <w:lvl w:ilvl="0" w:tplc="E454FD82">
      <w:start w:val="1"/>
      <w:numFmt w:val="decimal"/>
      <w:lvlText w:val="%1."/>
      <w:lvlJc w:val="left"/>
      <w:pPr>
        <w:ind w:left="720" w:hanging="360"/>
      </w:pPr>
    </w:lvl>
    <w:lvl w:ilvl="1" w:tplc="2466D9F2">
      <w:start w:val="10"/>
      <w:numFmt w:val="lowerLetter"/>
      <w:lvlText w:val="%2."/>
      <w:lvlJc w:val="left"/>
      <w:pPr>
        <w:ind w:left="1440" w:hanging="360"/>
      </w:pPr>
      <w:rPr>
        <w:rFonts w:ascii="Times New Roman" w:hAnsi="Times New Roman" w:hint="default"/>
      </w:rPr>
    </w:lvl>
    <w:lvl w:ilvl="2" w:tplc="C2804022">
      <w:start w:val="1"/>
      <w:numFmt w:val="lowerRoman"/>
      <w:lvlText w:val="%3."/>
      <w:lvlJc w:val="right"/>
      <w:pPr>
        <w:ind w:left="2160" w:hanging="180"/>
      </w:pPr>
    </w:lvl>
    <w:lvl w:ilvl="3" w:tplc="D21406D8">
      <w:start w:val="1"/>
      <w:numFmt w:val="decimal"/>
      <w:lvlText w:val="%4."/>
      <w:lvlJc w:val="left"/>
      <w:pPr>
        <w:ind w:left="2880" w:hanging="360"/>
      </w:pPr>
    </w:lvl>
    <w:lvl w:ilvl="4" w:tplc="0D5A7AD0">
      <w:start w:val="1"/>
      <w:numFmt w:val="lowerLetter"/>
      <w:lvlText w:val="%5."/>
      <w:lvlJc w:val="left"/>
      <w:pPr>
        <w:ind w:left="3600" w:hanging="360"/>
      </w:pPr>
    </w:lvl>
    <w:lvl w:ilvl="5" w:tplc="20D264F8">
      <w:start w:val="1"/>
      <w:numFmt w:val="lowerRoman"/>
      <w:lvlText w:val="%6."/>
      <w:lvlJc w:val="right"/>
      <w:pPr>
        <w:ind w:left="4320" w:hanging="180"/>
      </w:pPr>
    </w:lvl>
    <w:lvl w:ilvl="6" w:tplc="E402D63A">
      <w:start w:val="1"/>
      <w:numFmt w:val="decimal"/>
      <w:lvlText w:val="%7."/>
      <w:lvlJc w:val="left"/>
      <w:pPr>
        <w:ind w:left="5040" w:hanging="360"/>
      </w:pPr>
    </w:lvl>
    <w:lvl w:ilvl="7" w:tplc="1A987C0E">
      <w:start w:val="1"/>
      <w:numFmt w:val="lowerLetter"/>
      <w:lvlText w:val="%8."/>
      <w:lvlJc w:val="left"/>
      <w:pPr>
        <w:ind w:left="5760" w:hanging="360"/>
      </w:pPr>
    </w:lvl>
    <w:lvl w:ilvl="8" w:tplc="B0E01C32">
      <w:start w:val="1"/>
      <w:numFmt w:val="lowerRoman"/>
      <w:lvlText w:val="%9."/>
      <w:lvlJc w:val="right"/>
      <w:pPr>
        <w:ind w:left="6480" w:hanging="180"/>
      </w:pPr>
    </w:lvl>
  </w:abstractNum>
  <w:abstractNum w:abstractNumId="143" w15:restartNumberingAfterBreak="0">
    <w:nsid w:val="7F01E1A9"/>
    <w:multiLevelType w:val="hybridMultilevel"/>
    <w:tmpl w:val="FFFFFFFF"/>
    <w:lvl w:ilvl="0" w:tplc="30B86D3E">
      <w:start w:val="1"/>
      <w:numFmt w:val="bullet"/>
      <w:lvlText w:val=""/>
      <w:lvlJc w:val="left"/>
      <w:pPr>
        <w:ind w:left="2880" w:hanging="360"/>
      </w:pPr>
      <w:rPr>
        <w:rFonts w:ascii="Wingdings" w:hAnsi="Wingdings" w:hint="default"/>
      </w:rPr>
    </w:lvl>
    <w:lvl w:ilvl="1" w:tplc="69B26794">
      <w:start w:val="1"/>
      <w:numFmt w:val="bullet"/>
      <w:lvlText w:val="o"/>
      <w:lvlJc w:val="left"/>
      <w:pPr>
        <w:ind w:left="1440" w:hanging="360"/>
      </w:pPr>
      <w:rPr>
        <w:rFonts w:ascii="Courier New" w:hAnsi="Courier New" w:hint="default"/>
      </w:rPr>
    </w:lvl>
    <w:lvl w:ilvl="2" w:tplc="FD62650C">
      <w:start w:val="1"/>
      <w:numFmt w:val="bullet"/>
      <w:lvlText w:val=""/>
      <w:lvlJc w:val="left"/>
      <w:pPr>
        <w:ind w:left="2160" w:hanging="360"/>
      </w:pPr>
      <w:rPr>
        <w:rFonts w:ascii="Wingdings" w:hAnsi="Wingdings" w:hint="default"/>
      </w:rPr>
    </w:lvl>
    <w:lvl w:ilvl="3" w:tplc="15A225B0">
      <w:start w:val="1"/>
      <w:numFmt w:val="bullet"/>
      <w:lvlText w:val=""/>
      <w:lvlJc w:val="left"/>
      <w:pPr>
        <w:ind w:left="2880" w:hanging="360"/>
      </w:pPr>
      <w:rPr>
        <w:rFonts w:ascii="Symbol" w:hAnsi="Symbol" w:hint="default"/>
      </w:rPr>
    </w:lvl>
    <w:lvl w:ilvl="4" w:tplc="46D81AE6">
      <w:start w:val="1"/>
      <w:numFmt w:val="bullet"/>
      <w:lvlText w:val="o"/>
      <w:lvlJc w:val="left"/>
      <w:pPr>
        <w:ind w:left="3600" w:hanging="360"/>
      </w:pPr>
      <w:rPr>
        <w:rFonts w:ascii="Courier New" w:hAnsi="Courier New" w:hint="default"/>
      </w:rPr>
    </w:lvl>
    <w:lvl w:ilvl="5" w:tplc="61C41F1E">
      <w:start w:val="1"/>
      <w:numFmt w:val="bullet"/>
      <w:lvlText w:val=""/>
      <w:lvlJc w:val="left"/>
      <w:pPr>
        <w:ind w:left="4320" w:hanging="360"/>
      </w:pPr>
      <w:rPr>
        <w:rFonts w:ascii="Wingdings" w:hAnsi="Wingdings" w:hint="default"/>
      </w:rPr>
    </w:lvl>
    <w:lvl w:ilvl="6" w:tplc="0C242148">
      <w:start w:val="1"/>
      <w:numFmt w:val="bullet"/>
      <w:lvlText w:val=""/>
      <w:lvlJc w:val="left"/>
      <w:pPr>
        <w:ind w:left="5040" w:hanging="360"/>
      </w:pPr>
      <w:rPr>
        <w:rFonts w:ascii="Symbol" w:hAnsi="Symbol" w:hint="default"/>
      </w:rPr>
    </w:lvl>
    <w:lvl w:ilvl="7" w:tplc="2770487E">
      <w:start w:val="1"/>
      <w:numFmt w:val="bullet"/>
      <w:lvlText w:val="o"/>
      <w:lvlJc w:val="left"/>
      <w:pPr>
        <w:ind w:left="5760" w:hanging="360"/>
      </w:pPr>
      <w:rPr>
        <w:rFonts w:ascii="Courier New" w:hAnsi="Courier New" w:hint="default"/>
      </w:rPr>
    </w:lvl>
    <w:lvl w:ilvl="8" w:tplc="68085172">
      <w:start w:val="1"/>
      <w:numFmt w:val="bullet"/>
      <w:lvlText w:val=""/>
      <w:lvlJc w:val="left"/>
      <w:pPr>
        <w:ind w:left="6480" w:hanging="360"/>
      </w:pPr>
      <w:rPr>
        <w:rFonts w:ascii="Wingdings" w:hAnsi="Wingdings" w:hint="default"/>
      </w:rPr>
    </w:lvl>
  </w:abstractNum>
  <w:abstractNum w:abstractNumId="144" w15:restartNumberingAfterBreak="0">
    <w:nsid w:val="7FB9A64E"/>
    <w:multiLevelType w:val="hybridMultilevel"/>
    <w:tmpl w:val="FFFFFFFF"/>
    <w:lvl w:ilvl="0" w:tplc="E9E0F240">
      <w:start w:val="1"/>
      <w:numFmt w:val="decimal"/>
      <w:lvlText w:val="%1."/>
      <w:lvlJc w:val="left"/>
      <w:pPr>
        <w:ind w:left="720" w:hanging="360"/>
      </w:pPr>
    </w:lvl>
    <w:lvl w:ilvl="1" w:tplc="2E805B10">
      <w:start w:val="3"/>
      <w:numFmt w:val="lowerLetter"/>
      <w:lvlText w:val="%2."/>
      <w:lvlJc w:val="left"/>
      <w:pPr>
        <w:ind w:left="1440" w:hanging="360"/>
      </w:pPr>
      <w:rPr>
        <w:rFonts w:ascii="Times New Roman" w:hAnsi="Times New Roman" w:hint="default"/>
      </w:rPr>
    </w:lvl>
    <w:lvl w:ilvl="2" w:tplc="F8462674">
      <w:start w:val="1"/>
      <w:numFmt w:val="lowerRoman"/>
      <w:lvlText w:val="%3."/>
      <w:lvlJc w:val="right"/>
      <w:pPr>
        <w:ind w:left="2160" w:hanging="180"/>
      </w:pPr>
    </w:lvl>
    <w:lvl w:ilvl="3" w:tplc="AA46D186">
      <w:start w:val="1"/>
      <w:numFmt w:val="decimal"/>
      <w:lvlText w:val="%4."/>
      <w:lvlJc w:val="left"/>
      <w:pPr>
        <w:ind w:left="2880" w:hanging="360"/>
      </w:pPr>
    </w:lvl>
    <w:lvl w:ilvl="4" w:tplc="9D845BC6">
      <w:start w:val="1"/>
      <w:numFmt w:val="lowerLetter"/>
      <w:lvlText w:val="%5."/>
      <w:lvlJc w:val="left"/>
      <w:pPr>
        <w:ind w:left="3600" w:hanging="360"/>
      </w:pPr>
    </w:lvl>
    <w:lvl w:ilvl="5" w:tplc="54745A3C">
      <w:start w:val="1"/>
      <w:numFmt w:val="lowerRoman"/>
      <w:lvlText w:val="%6."/>
      <w:lvlJc w:val="right"/>
      <w:pPr>
        <w:ind w:left="4320" w:hanging="180"/>
      </w:pPr>
    </w:lvl>
    <w:lvl w:ilvl="6" w:tplc="0890FA26">
      <w:start w:val="1"/>
      <w:numFmt w:val="decimal"/>
      <w:lvlText w:val="%7."/>
      <w:lvlJc w:val="left"/>
      <w:pPr>
        <w:ind w:left="5040" w:hanging="360"/>
      </w:pPr>
    </w:lvl>
    <w:lvl w:ilvl="7" w:tplc="40C2DE22">
      <w:start w:val="1"/>
      <w:numFmt w:val="lowerLetter"/>
      <w:lvlText w:val="%8."/>
      <w:lvlJc w:val="left"/>
      <w:pPr>
        <w:ind w:left="5760" w:hanging="360"/>
      </w:pPr>
    </w:lvl>
    <w:lvl w:ilvl="8" w:tplc="43BAA2BC">
      <w:start w:val="1"/>
      <w:numFmt w:val="lowerRoman"/>
      <w:lvlText w:val="%9."/>
      <w:lvlJc w:val="right"/>
      <w:pPr>
        <w:ind w:left="6480" w:hanging="180"/>
      </w:pPr>
    </w:lvl>
  </w:abstractNum>
  <w:num w:numId="1" w16cid:durableId="753090078">
    <w:abstractNumId w:val="137"/>
  </w:num>
  <w:num w:numId="2" w16cid:durableId="205875544">
    <w:abstractNumId w:val="69"/>
  </w:num>
  <w:num w:numId="3" w16cid:durableId="266081546">
    <w:abstractNumId w:val="69"/>
  </w:num>
  <w:num w:numId="4" w16cid:durableId="373039100">
    <w:abstractNumId w:val="69"/>
  </w:num>
  <w:num w:numId="5" w16cid:durableId="1734114092">
    <w:abstractNumId w:val="69"/>
  </w:num>
  <w:num w:numId="6" w16cid:durableId="1212574013">
    <w:abstractNumId w:val="69"/>
  </w:num>
  <w:num w:numId="7" w16cid:durableId="2059478052">
    <w:abstractNumId w:val="46"/>
  </w:num>
  <w:num w:numId="8" w16cid:durableId="818377525">
    <w:abstractNumId w:val="69"/>
  </w:num>
  <w:num w:numId="9" w16cid:durableId="402064037">
    <w:abstractNumId w:val="69"/>
  </w:num>
  <w:num w:numId="10" w16cid:durableId="1699894653">
    <w:abstractNumId w:val="69"/>
  </w:num>
  <w:num w:numId="11" w16cid:durableId="466312907">
    <w:abstractNumId w:val="69"/>
  </w:num>
  <w:num w:numId="12" w16cid:durableId="1774353947">
    <w:abstractNumId w:val="46"/>
  </w:num>
  <w:num w:numId="13" w16cid:durableId="581111358">
    <w:abstractNumId w:val="46"/>
  </w:num>
  <w:num w:numId="14" w16cid:durableId="929853748">
    <w:abstractNumId w:val="46"/>
  </w:num>
  <w:num w:numId="15" w16cid:durableId="209263896">
    <w:abstractNumId w:val="141"/>
  </w:num>
  <w:num w:numId="16" w16cid:durableId="2017993464">
    <w:abstractNumId w:val="141"/>
  </w:num>
  <w:num w:numId="17" w16cid:durableId="2106227732">
    <w:abstractNumId w:val="132"/>
  </w:num>
  <w:num w:numId="18" w16cid:durableId="1502432840">
    <w:abstractNumId w:val="69"/>
  </w:num>
  <w:num w:numId="19" w16cid:durableId="1228221089">
    <w:abstractNumId w:val="69"/>
  </w:num>
  <w:num w:numId="20" w16cid:durableId="1824929423">
    <w:abstractNumId w:val="69"/>
  </w:num>
  <w:num w:numId="21" w16cid:durableId="71319116">
    <w:abstractNumId w:val="46"/>
  </w:num>
  <w:num w:numId="22" w16cid:durableId="1007175748">
    <w:abstractNumId w:val="132"/>
  </w:num>
  <w:num w:numId="23" w16cid:durableId="1651791604">
    <w:abstractNumId w:val="69"/>
  </w:num>
  <w:num w:numId="24" w16cid:durableId="1269967988">
    <w:abstractNumId w:val="46"/>
  </w:num>
  <w:num w:numId="25" w16cid:durableId="1650360226">
    <w:abstractNumId w:val="0"/>
  </w:num>
  <w:num w:numId="26" w16cid:durableId="85158107">
    <w:abstractNumId w:val="122"/>
  </w:num>
  <w:num w:numId="27" w16cid:durableId="1517425162">
    <w:abstractNumId w:val="129"/>
  </w:num>
  <w:num w:numId="28" w16cid:durableId="136653567">
    <w:abstractNumId w:val="63"/>
  </w:num>
  <w:num w:numId="29" w16cid:durableId="1471433652">
    <w:abstractNumId w:val="4"/>
  </w:num>
  <w:num w:numId="30" w16cid:durableId="1209755267">
    <w:abstractNumId w:val="79"/>
  </w:num>
  <w:num w:numId="31" w16cid:durableId="797989258">
    <w:abstractNumId w:val="99"/>
  </w:num>
  <w:num w:numId="32" w16cid:durableId="1512450166">
    <w:abstractNumId w:val="93"/>
  </w:num>
  <w:num w:numId="33" w16cid:durableId="796946926">
    <w:abstractNumId w:val="52"/>
  </w:num>
  <w:num w:numId="34" w16cid:durableId="393163324">
    <w:abstractNumId w:val="17"/>
  </w:num>
  <w:num w:numId="35" w16cid:durableId="1832673658">
    <w:abstractNumId w:val="27"/>
  </w:num>
  <w:num w:numId="36" w16cid:durableId="76170579">
    <w:abstractNumId w:val="131"/>
  </w:num>
  <w:num w:numId="37" w16cid:durableId="943614158">
    <w:abstractNumId w:val="82"/>
  </w:num>
  <w:num w:numId="38" w16cid:durableId="1651399068">
    <w:abstractNumId w:val="98"/>
  </w:num>
  <w:num w:numId="39" w16cid:durableId="264967883">
    <w:abstractNumId w:val="41"/>
  </w:num>
  <w:num w:numId="40" w16cid:durableId="249631444">
    <w:abstractNumId w:val="118"/>
  </w:num>
  <w:num w:numId="41" w16cid:durableId="2135052771">
    <w:abstractNumId w:val="61"/>
  </w:num>
  <w:num w:numId="42" w16cid:durableId="1074667892">
    <w:abstractNumId w:val="29"/>
  </w:num>
  <w:num w:numId="43" w16cid:durableId="650983061">
    <w:abstractNumId w:val="81"/>
  </w:num>
  <w:num w:numId="44" w16cid:durableId="654797301">
    <w:abstractNumId w:val="5"/>
  </w:num>
  <w:num w:numId="45" w16cid:durableId="94983267">
    <w:abstractNumId w:val="135"/>
  </w:num>
  <w:num w:numId="46" w16cid:durableId="961228285">
    <w:abstractNumId w:val="75"/>
  </w:num>
  <w:num w:numId="47" w16cid:durableId="1115249461">
    <w:abstractNumId w:val="130"/>
  </w:num>
  <w:num w:numId="48" w16cid:durableId="1941985244">
    <w:abstractNumId w:val="88"/>
  </w:num>
  <w:num w:numId="49" w16cid:durableId="130102421">
    <w:abstractNumId w:val="126"/>
  </w:num>
  <w:num w:numId="50" w16cid:durableId="480659746">
    <w:abstractNumId w:val="97"/>
  </w:num>
  <w:num w:numId="51" w16cid:durableId="1798646669">
    <w:abstractNumId w:val="32"/>
  </w:num>
  <w:num w:numId="52" w16cid:durableId="96605643">
    <w:abstractNumId w:val="107"/>
  </w:num>
  <w:num w:numId="53" w16cid:durableId="670838610">
    <w:abstractNumId w:val="65"/>
  </w:num>
  <w:num w:numId="54" w16cid:durableId="1688290268">
    <w:abstractNumId w:val="128"/>
  </w:num>
  <w:num w:numId="55" w16cid:durableId="166944351">
    <w:abstractNumId w:val="121"/>
  </w:num>
  <w:num w:numId="56" w16cid:durableId="251672382">
    <w:abstractNumId w:val="16"/>
  </w:num>
  <w:num w:numId="57" w16cid:durableId="589004614">
    <w:abstractNumId w:val="140"/>
  </w:num>
  <w:num w:numId="58" w16cid:durableId="677660933">
    <w:abstractNumId w:val="134"/>
  </w:num>
  <w:num w:numId="59" w16cid:durableId="1651521630">
    <w:abstractNumId w:val="66"/>
  </w:num>
  <w:num w:numId="60" w16cid:durableId="1881169318">
    <w:abstractNumId w:val="109"/>
  </w:num>
  <w:num w:numId="61" w16cid:durableId="629285519">
    <w:abstractNumId w:val="3"/>
  </w:num>
  <w:num w:numId="62" w16cid:durableId="377508312">
    <w:abstractNumId w:val="34"/>
  </w:num>
  <w:num w:numId="63" w16cid:durableId="1506165741">
    <w:abstractNumId w:val="31"/>
  </w:num>
  <w:num w:numId="64" w16cid:durableId="1636522468">
    <w:abstractNumId w:val="58"/>
  </w:num>
  <w:num w:numId="65" w16cid:durableId="2124687750">
    <w:abstractNumId w:val="70"/>
  </w:num>
  <w:num w:numId="66" w16cid:durableId="1144665089">
    <w:abstractNumId w:val="51"/>
  </w:num>
  <w:num w:numId="67" w16cid:durableId="1143618541">
    <w:abstractNumId w:val="108"/>
  </w:num>
  <w:num w:numId="68" w16cid:durableId="608778080">
    <w:abstractNumId w:val="105"/>
  </w:num>
  <w:num w:numId="69" w16cid:durableId="327712114">
    <w:abstractNumId w:val="39"/>
  </w:num>
  <w:num w:numId="70" w16cid:durableId="2006273855">
    <w:abstractNumId w:val="115"/>
  </w:num>
  <w:num w:numId="71" w16cid:durableId="1402093907">
    <w:abstractNumId w:val="80"/>
  </w:num>
  <w:num w:numId="72" w16cid:durableId="618536048">
    <w:abstractNumId w:val="127"/>
  </w:num>
  <w:num w:numId="73" w16cid:durableId="844587350">
    <w:abstractNumId w:val="14"/>
  </w:num>
  <w:num w:numId="74" w16cid:durableId="1468009664">
    <w:abstractNumId w:val="133"/>
  </w:num>
  <w:num w:numId="75" w16cid:durableId="828248760">
    <w:abstractNumId w:val="35"/>
  </w:num>
  <w:num w:numId="76" w16cid:durableId="1432319377">
    <w:abstractNumId w:val="23"/>
  </w:num>
  <w:num w:numId="77" w16cid:durableId="683748302">
    <w:abstractNumId w:val="73"/>
  </w:num>
  <w:num w:numId="78" w16cid:durableId="1848012385">
    <w:abstractNumId w:val="142"/>
  </w:num>
  <w:num w:numId="79" w16cid:durableId="1547402832">
    <w:abstractNumId w:val="83"/>
  </w:num>
  <w:num w:numId="80" w16cid:durableId="698699065">
    <w:abstractNumId w:val="50"/>
  </w:num>
  <w:num w:numId="81" w16cid:durableId="1779131846">
    <w:abstractNumId w:val="114"/>
  </w:num>
  <w:num w:numId="82" w16cid:durableId="977034032">
    <w:abstractNumId w:val="123"/>
  </w:num>
  <w:num w:numId="83" w16cid:durableId="2045977271">
    <w:abstractNumId w:val="84"/>
  </w:num>
  <w:num w:numId="84" w16cid:durableId="1655912500">
    <w:abstractNumId w:val="38"/>
  </w:num>
  <w:num w:numId="85" w16cid:durableId="929389482">
    <w:abstractNumId w:val="28"/>
  </w:num>
  <w:num w:numId="86" w16cid:durableId="1976177816">
    <w:abstractNumId w:val="26"/>
  </w:num>
  <w:num w:numId="87" w16cid:durableId="1573202081">
    <w:abstractNumId w:val="60"/>
  </w:num>
  <w:num w:numId="88" w16cid:durableId="1608342712">
    <w:abstractNumId w:val="119"/>
  </w:num>
  <w:num w:numId="89" w16cid:durableId="2060550011">
    <w:abstractNumId w:val="102"/>
  </w:num>
  <w:num w:numId="90" w16cid:durableId="597754039">
    <w:abstractNumId w:val="87"/>
  </w:num>
  <w:num w:numId="91" w16cid:durableId="1102148171">
    <w:abstractNumId w:val="45"/>
  </w:num>
  <w:num w:numId="92" w16cid:durableId="2042320886">
    <w:abstractNumId w:val="125"/>
  </w:num>
  <w:num w:numId="93" w16cid:durableId="323583415">
    <w:abstractNumId w:val="92"/>
  </w:num>
  <w:num w:numId="94" w16cid:durableId="754520691">
    <w:abstractNumId w:val="71"/>
  </w:num>
  <w:num w:numId="95" w16cid:durableId="744686667">
    <w:abstractNumId w:val="117"/>
  </w:num>
  <w:num w:numId="96" w16cid:durableId="850920068">
    <w:abstractNumId w:val="138"/>
  </w:num>
  <w:num w:numId="97" w16cid:durableId="652101447">
    <w:abstractNumId w:val="56"/>
  </w:num>
  <w:num w:numId="98" w16cid:durableId="313266630">
    <w:abstractNumId w:val="72"/>
  </w:num>
  <w:num w:numId="99" w16cid:durableId="353578658">
    <w:abstractNumId w:val="7"/>
  </w:num>
  <w:num w:numId="100" w16cid:durableId="952711789">
    <w:abstractNumId w:val="44"/>
  </w:num>
  <w:num w:numId="101" w16cid:durableId="1972711759">
    <w:abstractNumId w:val="13"/>
  </w:num>
  <w:num w:numId="102" w16cid:durableId="454373252">
    <w:abstractNumId w:val="77"/>
  </w:num>
  <w:num w:numId="103" w16cid:durableId="272250807">
    <w:abstractNumId w:val="143"/>
  </w:num>
  <w:num w:numId="104" w16cid:durableId="2140493000">
    <w:abstractNumId w:val="113"/>
  </w:num>
  <w:num w:numId="105" w16cid:durableId="2089960958">
    <w:abstractNumId w:val="37"/>
  </w:num>
  <w:num w:numId="106" w16cid:durableId="1973099914">
    <w:abstractNumId w:val="24"/>
  </w:num>
  <w:num w:numId="107" w16cid:durableId="1194810041">
    <w:abstractNumId w:val="116"/>
  </w:num>
  <w:num w:numId="108" w16cid:durableId="673264199">
    <w:abstractNumId w:val="40"/>
  </w:num>
  <w:num w:numId="109" w16cid:durableId="317924825">
    <w:abstractNumId w:val="8"/>
  </w:num>
  <w:num w:numId="110" w16cid:durableId="2035375609">
    <w:abstractNumId w:val="19"/>
  </w:num>
  <w:num w:numId="111" w16cid:durableId="981236189">
    <w:abstractNumId w:val="94"/>
  </w:num>
  <w:num w:numId="112" w16cid:durableId="1358889352">
    <w:abstractNumId w:val="18"/>
  </w:num>
  <w:num w:numId="113" w16cid:durableId="1346900343">
    <w:abstractNumId w:val="96"/>
  </w:num>
  <w:num w:numId="114" w16cid:durableId="714962613">
    <w:abstractNumId w:val="42"/>
  </w:num>
  <w:num w:numId="115" w16cid:durableId="733890079">
    <w:abstractNumId w:val="101"/>
  </w:num>
  <w:num w:numId="116" w16cid:durableId="836502143">
    <w:abstractNumId w:val="124"/>
  </w:num>
  <w:num w:numId="117" w16cid:durableId="155459120">
    <w:abstractNumId w:val="54"/>
  </w:num>
  <w:num w:numId="118" w16cid:durableId="1120343490">
    <w:abstractNumId w:val="74"/>
  </w:num>
  <w:num w:numId="119" w16cid:durableId="1732385478">
    <w:abstractNumId w:val="85"/>
  </w:num>
  <w:num w:numId="120" w16cid:durableId="696857113">
    <w:abstractNumId w:val="20"/>
  </w:num>
  <w:num w:numId="121" w16cid:durableId="1662153818">
    <w:abstractNumId w:val="30"/>
  </w:num>
  <w:num w:numId="122" w16cid:durableId="111094271">
    <w:abstractNumId w:val="12"/>
  </w:num>
  <w:num w:numId="123" w16cid:durableId="1669871458">
    <w:abstractNumId w:val="144"/>
  </w:num>
  <w:num w:numId="124" w16cid:durableId="1036127569">
    <w:abstractNumId w:val="78"/>
  </w:num>
  <w:num w:numId="125" w16cid:durableId="1461724744">
    <w:abstractNumId w:val="53"/>
  </w:num>
  <w:num w:numId="126" w16cid:durableId="2049794648">
    <w:abstractNumId w:val="111"/>
  </w:num>
  <w:num w:numId="127" w16cid:durableId="246621073">
    <w:abstractNumId w:val="59"/>
  </w:num>
  <w:num w:numId="128" w16cid:durableId="1362629747">
    <w:abstractNumId w:val="100"/>
  </w:num>
  <w:num w:numId="129" w16cid:durableId="382020187">
    <w:abstractNumId w:val="47"/>
  </w:num>
  <w:num w:numId="130" w16cid:durableId="1847592181">
    <w:abstractNumId w:val="62"/>
  </w:num>
  <w:num w:numId="131" w16cid:durableId="1792549392">
    <w:abstractNumId w:val="90"/>
  </w:num>
  <w:num w:numId="132" w16cid:durableId="841310898">
    <w:abstractNumId w:val="136"/>
  </w:num>
  <w:num w:numId="133" w16cid:durableId="1606693944">
    <w:abstractNumId w:val="36"/>
  </w:num>
  <w:num w:numId="134" w16cid:durableId="1918128932">
    <w:abstractNumId w:val="139"/>
  </w:num>
  <w:num w:numId="135" w16cid:durableId="1540849071">
    <w:abstractNumId w:val="76"/>
  </w:num>
  <w:num w:numId="136" w16cid:durableId="80109008">
    <w:abstractNumId w:val="120"/>
  </w:num>
  <w:num w:numId="137" w16cid:durableId="267279988">
    <w:abstractNumId w:val="104"/>
  </w:num>
  <w:num w:numId="138" w16cid:durableId="572205372">
    <w:abstractNumId w:val="15"/>
  </w:num>
  <w:num w:numId="139" w16cid:durableId="1567379365">
    <w:abstractNumId w:val="33"/>
  </w:num>
  <w:num w:numId="140" w16cid:durableId="2093306945">
    <w:abstractNumId w:val="91"/>
  </w:num>
  <w:num w:numId="141" w16cid:durableId="1512642923">
    <w:abstractNumId w:val="9"/>
  </w:num>
  <w:num w:numId="142" w16cid:durableId="1213351478">
    <w:abstractNumId w:val="43"/>
  </w:num>
  <w:num w:numId="143" w16cid:durableId="1281299639">
    <w:abstractNumId w:val="1"/>
  </w:num>
  <w:num w:numId="144" w16cid:durableId="2144734002">
    <w:abstractNumId w:val="106"/>
  </w:num>
  <w:num w:numId="145" w16cid:durableId="618922713">
    <w:abstractNumId w:val="89"/>
  </w:num>
  <w:num w:numId="146" w16cid:durableId="412046917">
    <w:abstractNumId w:val="21"/>
  </w:num>
  <w:num w:numId="147" w16cid:durableId="797646206">
    <w:abstractNumId w:val="86"/>
  </w:num>
  <w:num w:numId="148" w16cid:durableId="2096706939">
    <w:abstractNumId w:val="22"/>
  </w:num>
  <w:num w:numId="149" w16cid:durableId="534924360">
    <w:abstractNumId w:val="11"/>
  </w:num>
  <w:num w:numId="150" w16cid:durableId="1439569389">
    <w:abstractNumId w:val="95"/>
  </w:num>
  <w:num w:numId="151" w16cid:durableId="671761607">
    <w:abstractNumId w:val="67"/>
  </w:num>
  <w:num w:numId="152" w16cid:durableId="1527401041">
    <w:abstractNumId w:val="112"/>
  </w:num>
  <w:num w:numId="153" w16cid:durableId="17414381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479955686">
    <w:abstractNumId w:val="103"/>
  </w:num>
  <w:num w:numId="155" w16cid:durableId="316811972">
    <w:abstractNumId w:val="25"/>
  </w:num>
  <w:num w:numId="156" w16cid:durableId="375813525">
    <w:abstractNumId w:val="49"/>
  </w:num>
  <w:num w:numId="157" w16cid:durableId="1723866649">
    <w:abstractNumId w:val="10"/>
  </w:num>
  <w:num w:numId="158" w16cid:durableId="1494495136">
    <w:abstractNumId w:val="2"/>
  </w:num>
  <w:num w:numId="159" w16cid:durableId="1117481408">
    <w:abstractNumId w:val="57"/>
  </w:num>
  <w:num w:numId="160" w16cid:durableId="1082677917">
    <w:abstractNumId w:val="55"/>
  </w:num>
  <w:num w:numId="161" w16cid:durableId="1612669566">
    <w:abstractNumId w:val="68"/>
  </w:num>
  <w:num w:numId="162" w16cid:durableId="1993555547">
    <w:abstractNumId w:val="6"/>
  </w:num>
  <w:num w:numId="163" w16cid:durableId="265041095">
    <w:abstractNumId w:val="64"/>
  </w:num>
  <w:num w:numId="164" w16cid:durableId="997465140">
    <w:abstractNumId w:val="48"/>
  </w:num>
  <w:num w:numId="165" w16cid:durableId="295182095">
    <w:abstractNumId w:val="110"/>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rn, Travis W">
    <w15:presenceInfo w15:providerId="AD" w15:userId="S::tkern@blm.gov::c7b7c2c7-d3a1-4659-a214-eaeae14284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011"/>
    <w:rsid w:val="0000013E"/>
    <w:rsid w:val="000001F5"/>
    <w:rsid w:val="00000275"/>
    <w:rsid w:val="0000040C"/>
    <w:rsid w:val="000007C1"/>
    <w:rsid w:val="0000080E"/>
    <w:rsid w:val="0000088D"/>
    <w:rsid w:val="00000AA9"/>
    <w:rsid w:val="00000AE9"/>
    <w:rsid w:val="00001078"/>
    <w:rsid w:val="000010BD"/>
    <w:rsid w:val="0000120C"/>
    <w:rsid w:val="0000129F"/>
    <w:rsid w:val="00001516"/>
    <w:rsid w:val="00001AFB"/>
    <w:rsid w:val="00001CA6"/>
    <w:rsid w:val="00001D5B"/>
    <w:rsid w:val="00001E89"/>
    <w:rsid w:val="00001E97"/>
    <w:rsid w:val="00001F58"/>
    <w:rsid w:val="00001F72"/>
    <w:rsid w:val="000020A2"/>
    <w:rsid w:val="00002157"/>
    <w:rsid w:val="0000218B"/>
    <w:rsid w:val="0000226D"/>
    <w:rsid w:val="00002649"/>
    <w:rsid w:val="00002750"/>
    <w:rsid w:val="0000290C"/>
    <w:rsid w:val="00002972"/>
    <w:rsid w:val="0000297A"/>
    <w:rsid w:val="00002D8F"/>
    <w:rsid w:val="00002E41"/>
    <w:rsid w:val="00002F10"/>
    <w:rsid w:val="0000311C"/>
    <w:rsid w:val="00003297"/>
    <w:rsid w:val="00003299"/>
    <w:rsid w:val="0000334D"/>
    <w:rsid w:val="00003923"/>
    <w:rsid w:val="00003A64"/>
    <w:rsid w:val="00003B63"/>
    <w:rsid w:val="00003C39"/>
    <w:rsid w:val="00003C94"/>
    <w:rsid w:val="00003CB5"/>
    <w:rsid w:val="00003CC2"/>
    <w:rsid w:val="00003F3B"/>
    <w:rsid w:val="000041B7"/>
    <w:rsid w:val="000041F1"/>
    <w:rsid w:val="0000439B"/>
    <w:rsid w:val="000043FF"/>
    <w:rsid w:val="00004664"/>
    <w:rsid w:val="000046F8"/>
    <w:rsid w:val="00004756"/>
    <w:rsid w:val="00004788"/>
    <w:rsid w:val="0000494B"/>
    <w:rsid w:val="00004A57"/>
    <w:rsid w:val="00004C26"/>
    <w:rsid w:val="00004D01"/>
    <w:rsid w:val="00004E9B"/>
    <w:rsid w:val="00004F5B"/>
    <w:rsid w:val="0000500C"/>
    <w:rsid w:val="00005166"/>
    <w:rsid w:val="00005669"/>
    <w:rsid w:val="000056E4"/>
    <w:rsid w:val="00005817"/>
    <w:rsid w:val="000059B0"/>
    <w:rsid w:val="00005AFE"/>
    <w:rsid w:val="00005B39"/>
    <w:rsid w:val="00005DD2"/>
    <w:rsid w:val="00005E18"/>
    <w:rsid w:val="00005F1E"/>
    <w:rsid w:val="0000606D"/>
    <w:rsid w:val="00006122"/>
    <w:rsid w:val="00006162"/>
    <w:rsid w:val="00006267"/>
    <w:rsid w:val="0000631A"/>
    <w:rsid w:val="0000644D"/>
    <w:rsid w:val="0000645C"/>
    <w:rsid w:val="000065A0"/>
    <w:rsid w:val="000065FE"/>
    <w:rsid w:val="000067DC"/>
    <w:rsid w:val="00006B62"/>
    <w:rsid w:val="00006FE6"/>
    <w:rsid w:val="00007166"/>
    <w:rsid w:val="000071BB"/>
    <w:rsid w:val="0000733C"/>
    <w:rsid w:val="0000736A"/>
    <w:rsid w:val="0000739C"/>
    <w:rsid w:val="00007404"/>
    <w:rsid w:val="0000755D"/>
    <w:rsid w:val="0000782B"/>
    <w:rsid w:val="00007A81"/>
    <w:rsid w:val="00007AE0"/>
    <w:rsid w:val="00007CD1"/>
    <w:rsid w:val="00007D86"/>
    <w:rsid w:val="00007DA2"/>
    <w:rsid w:val="00007DAE"/>
    <w:rsid w:val="00007DB0"/>
    <w:rsid w:val="00007E37"/>
    <w:rsid w:val="00010028"/>
    <w:rsid w:val="00010061"/>
    <w:rsid w:val="000101B8"/>
    <w:rsid w:val="0001035E"/>
    <w:rsid w:val="0001040D"/>
    <w:rsid w:val="00010455"/>
    <w:rsid w:val="000106E5"/>
    <w:rsid w:val="00010866"/>
    <w:rsid w:val="00010B3B"/>
    <w:rsid w:val="00010C8C"/>
    <w:rsid w:val="00010D80"/>
    <w:rsid w:val="00010DC1"/>
    <w:rsid w:val="00010E4D"/>
    <w:rsid w:val="00010E64"/>
    <w:rsid w:val="00010F33"/>
    <w:rsid w:val="00011018"/>
    <w:rsid w:val="00011378"/>
    <w:rsid w:val="0001142A"/>
    <w:rsid w:val="000117C1"/>
    <w:rsid w:val="0001182C"/>
    <w:rsid w:val="0001206D"/>
    <w:rsid w:val="000129B1"/>
    <w:rsid w:val="00012E30"/>
    <w:rsid w:val="00012E95"/>
    <w:rsid w:val="00012F14"/>
    <w:rsid w:val="0001301D"/>
    <w:rsid w:val="000130DD"/>
    <w:rsid w:val="00013163"/>
    <w:rsid w:val="000131E3"/>
    <w:rsid w:val="0001324D"/>
    <w:rsid w:val="0001333A"/>
    <w:rsid w:val="00013411"/>
    <w:rsid w:val="00013448"/>
    <w:rsid w:val="000134DD"/>
    <w:rsid w:val="00013517"/>
    <w:rsid w:val="0001352D"/>
    <w:rsid w:val="000138A0"/>
    <w:rsid w:val="000138C1"/>
    <w:rsid w:val="00013B64"/>
    <w:rsid w:val="00013D27"/>
    <w:rsid w:val="00013DD9"/>
    <w:rsid w:val="00013EE5"/>
    <w:rsid w:val="00013F92"/>
    <w:rsid w:val="000140AD"/>
    <w:rsid w:val="0001433B"/>
    <w:rsid w:val="0001450D"/>
    <w:rsid w:val="00014559"/>
    <w:rsid w:val="0001459A"/>
    <w:rsid w:val="00014768"/>
    <w:rsid w:val="00014862"/>
    <w:rsid w:val="00014937"/>
    <w:rsid w:val="000149A8"/>
    <w:rsid w:val="000149EA"/>
    <w:rsid w:val="00014BF4"/>
    <w:rsid w:val="00014DE7"/>
    <w:rsid w:val="00014E0F"/>
    <w:rsid w:val="00014EF8"/>
    <w:rsid w:val="00014F1B"/>
    <w:rsid w:val="00014FC7"/>
    <w:rsid w:val="00015035"/>
    <w:rsid w:val="000151DD"/>
    <w:rsid w:val="000151FB"/>
    <w:rsid w:val="000152A6"/>
    <w:rsid w:val="0001532F"/>
    <w:rsid w:val="0001554A"/>
    <w:rsid w:val="0001575F"/>
    <w:rsid w:val="0001592C"/>
    <w:rsid w:val="00015B33"/>
    <w:rsid w:val="000161DF"/>
    <w:rsid w:val="00016396"/>
    <w:rsid w:val="00016544"/>
    <w:rsid w:val="000167ED"/>
    <w:rsid w:val="00016A57"/>
    <w:rsid w:val="00016B12"/>
    <w:rsid w:val="00016B21"/>
    <w:rsid w:val="00016CBC"/>
    <w:rsid w:val="00016E1E"/>
    <w:rsid w:val="000170DF"/>
    <w:rsid w:val="000173E9"/>
    <w:rsid w:val="000175D8"/>
    <w:rsid w:val="000178AC"/>
    <w:rsid w:val="00017913"/>
    <w:rsid w:val="00017C93"/>
    <w:rsid w:val="00017CD1"/>
    <w:rsid w:val="00017E22"/>
    <w:rsid w:val="00020499"/>
    <w:rsid w:val="00020525"/>
    <w:rsid w:val="00020538"/>
    <w:rsid w:val="0002063D"/>
    <w:rsid w:val="00020932"/>
    <w:rsid w:val="00020AD6"/>
    <w:rsid w:val="00020B51"/>
    <w:rsid w:val="00020BFD"/>
    <w:rsid w:val="00020C87"/>
    <w:rsid w:val="00020CE5"/>
    <w:rsid w:val="00020DC8"/>
    <w:rsid w:val="00020F0F"/>
    <w:rsid w:val="0002101C"/>
    <w:rsid w:val="000214E3"/>
    <w:rsid w:val="00021632"/>
    <w:rsid w:val="00021707"/>
    <w:rsid w:val="00021712"/>
    <w:rsid w:val="00021C10"/>
    <w:rsid w:val="00021CD2"/>
    <w:rsid w:val="000220E1"/>
    <w:rsid w:val="0002218A"/>
    <w:rsid w:val="000222DE"/>
    <w:rsid w:val="00022353"/>
    <w:rsid w:val="000224AA"/>
    <w:rsid w:val="0002251D"/>
    <w:rsid w:val="0002266F"/>
    <w:rsid w:val="000228C2"/>
    <w:rsid w:val="0002291F"/>
    <w:rsid w:val="00022AE4"/>
    <w:rsid w:val="00022BCE"/>
    <w:rsid w:val="00022E22"/>
    <w:rsid w:val="000233E7"/>
    <w:rsid w:val="00023816"/>
    <w:rsid w:val="0002391D"/>
    <w:rsid w:val="00023C44"/>
    <w:rsid w:val="00023D7A"/>
    <w:rsid w:val="00023E3C"/>
    <w:rsid w:val="000240E5"/>
    <w:rsid w:val="000241D7"/>
    <w:rsid w:val="000242DC"/>
    <w:rsid w:val="000243E3"/>
    <w:rsid w:val="00024523"/>
    <w:rsid w:val="000245FB"/>
    <w:rsid w:val="000246F9"/>
    <w:rsid w:val="00024757"/>
    <w:rsid w:val="000247A4"/>
    <w:rsid w:val="000247E4"/>
    <w:rsid w:val="00024875"/>
    <w:rsid w:val="000248AA"/>
    <w:rsid w:val="00024B71"/>
    <w:rsid w:val="00024D9C"/>
    <w:rsid w:val="00024E81"/>
    <w:rsid w:val="00024F6A"/>
    <w:rsid w:val="00024FAF"/>
    <w:rsid w:val="000252CA"/>
    <w:rsid w:val="00025300"/>
    <w:rsid w:val="000253B6"/>
    <w:rsid w:val="000253EB"/>
    <w:rsid w:val="0002556B"/>
    <w:rsid w:val="00025A8F"/>
    <w:rsid w:val="00025B90"/>
    <w:rsid w:val="00025E06"/>
    <w:rsid w:val="000260BE"/>
    <w:rsid w:val="000260D1"/>
    <w:rsid w:val="000261CA"/>
    <w:rsid w:val="000264BE"/>
    <w:rsid w:val="000264BF"/>
    <w:rsid w:val="000264F5"/>
    <w:rsid w:val="000265F2"/>
    <w:rsid w:val="00026636"/>
    <w:rsid w:val="000267A7"/>
    <w:rsid w:val="00026932"/>
    <w:rsid w:val="00026984"/>
    <w:rsid w:val="00026A7E"/>
    <w:rsid w:val="00026D1F"/>
    <w:rsid w:val="00027298"/>
    <w:rsid w:val="000272F7"/>
    <w:rsid w:val="0002731D"/>
    <w:rsid w:val="000273F6"/>
    <w:rsid w:val="00027811"/>
    <w:rsid w:val="000278C1"/>
    <w:rsid w:val="00027BC8"/>
    <w:rsid w:val="00027C28"/>
    <w:rsid w:val="00027D19"/>
    <w:rsid w:val="00027DCD"/>
    <w:rsid w:val="00027EB6"/>
    <w:rsid w:val="00030178"/>
    <w:rsid w:val="00030344"/>
    <w:rsid w:val="0003056E"/>
    <w:rsid w:val="0003058F"/>
    <w:rsid w:val="00030590"/>
    <w:rsid w:val="00030688"/>
    <w:rsid w:val="00030748"/>
    <w:rsid w:val="00030BAA"/>
    <w:rsid w:val="00030D78"/>
    <w:rsid w:val="00030D8C"/>
    <w:rsid w:val="00030DAE"/>
    <w:rsid w:val="00030DC9"/>
    <w:rsid w:val="00030DF8"/>
    <w:rsid w:val="00030E45"/>
    <w:rsid w:val="00030E4F"/>
    <w:rsid w:val="00030E72"/>
    <w:rsid w:val="000310EA"/>
    <w:rsid w:val="00031223"/>
    <w:rsid w:val="000313DA"/>
    <w:rsid w:val="00031486"/>
    <w:rsid w:val="000316F9"/>
    <w:rsid w:val="000317CD"/>
    <w:rsid w:val="000319D4"/>
    <w:rsid w:val="00031D58"/>
    <w:rsid w:val="00031F34"/>
    <w:rsid w:val="00032222"/>
    <w:rsid w:val="000323E9"/>
    <w:rsid w:val="00032458"/>
    <w:rsid w:val="00032542"/>
    <w:rsid w:val="00032736"/>
    <w:rsid w:val="000329E8"/>
    <w:rsid w:val="00032AAF"/>
    <w:rsid w:val="00032EE6"/>
    <w:rsid w:val="00032F20"/>
    <w:rsid w:val="00033195"/>
    <w:rsid w:val="00033220"/>
    <w:rsid w:val="000334EE"/>
    <w:rsid w:val="00033923"/>
    <w:rsid w:val="000339D4"/>
    <w:rsid w:val="00033EBC"/>
    <w:rsid w:val="00033F8E"/>
    <w:rsid w:val="000342A5"/>
    <w:rsid w:val="00034405"/>
    <w:rsid w:val="000344EE"/>
    <w:rsid w:val="00034565"/>
    <w:rsid w:val="000348F4"/>
    <w:rsid w:val="00034933"/>
    <w:rsid w:val="0003499D"/>
    <w:rsid w:val="00034A07"/>
    <w:rsid w:val="00035073"/>
    <w:rsid w:val="00035120"/>
    <w:rsid w:val="000351D0"/>
    <w:rsid w:val="000352B2"/>
    <w:rsid w:val="00035480"/>
    <w:rsid w:val="000354FE"/>
    <w:rsid w:val="000358DD"/>
    <w:rsid w:val="0003590C"/>
    <w:rsid w:val="0003595F"/>
    <w:rsid w:val="00036199"/>
    <w:rsid w:val="00036266"/>
    <w:rsid w:val="00036360"/>
    <w:rsid w:val="00036584"/>
    <w:rsid w:val="00036705"/>
    <w:rsid w:val="00036715"/>
    <w:rsid w:val="000367EA"/>
    <w:rsid w:val="00036880"/>
    <w:rsid w:val="00036A39"/>
    <w:rsid w:val="00036A64"/>
    <w:rsid w:val="00036CA2"/>
    <w:rsid w:val="00036CE1"/>
    <w:rsid w:val="00036F2D"/>
    <w:rsid w:val="00037207"/>
    <w:rsid w:val="00037331"/>
    <w:rsid w:val="000373D9"/>
    <w:rsid w:val="000373F2"/>
    <w:rsid w:val="000374E8"/>
    <w:rsid w:val="00037941"/>
    <w:rsid w:val="00037BB8"/>
    <w:rsid w:val="00037C4B"/>
    <w:rsid w:val="00037C63"/>
    <w:rsid w:val="00037D98"/>
    <w:rsid w:val="00037E34"/>
    <w:rsid w:val="000401C5"/>
    <w:rsid w:val="000402CE"/>
    <w:rsid w:val="000404F7"/>
    <w:rsid w:val="000404FE"/>
    <w:rsid w:val="00040608"/>
    <w:rsid w:val="00040776"/>
    <w:rsid w:val="00040A71"/>
    <w:rsid w:val="00040A7C"/>
    <w:rsid w:val="00040CE1"/>
    <w:rsid w:val="00040DE4"/>
    <w:rsid w:val="00040DFD"/>
    <w:rsid w:val="000411A5"/>
    <w:rsid w:val="000411D9"/>
    <w:rsid w:val="000414A1"/>
    <w:rsid w:val="000414FC"/>
    <w:rsid w:val="0004150B"/>
    <w:rsid w:val="00041A95"/>
    <w:rsid w:val="00041A9D"/>
    <w:rsid w:val="00041B71"/>
    <w:rsid w:val="00041BDB"/>
    <w:rsid w:val="00041CD7"/>
    <w:rsid w:val="00041E07"/>
    <w:rsid w:val="00042177"/>
    <w:rsid w:val="0004217A"/>
    <w:rsid w:val="000423AB"/>
    <w:rsid w:val="0004254D"/>
    <w:rsid w:val="000426B1"/>
    <w:rsid w:val="0004274C"/>
    <w:rsid w:val="0004283B"/>
    <w:rsid w:val="000428C7"/>
    <w:rsid w:val="00042A9A"/>
    <w:rsid w:val="00042BE3"/>
    <w:rsid w:val="00042D1C"/>
    <w:rsid w:val="00042D3B"/>
    <w:rsid w:val="00042EA0"/>
    <w:rsid w:val="0004323D"/>
    <w:rsid w:val="00043276"/>
    <w:rsid w:val="000433FB"/>
    <w:rsid w:val="000434B9"/>
    <w:rsid w:val="00043564"/>
    <w:rsid w:val="00043696"/>
    <w:rsid w:val="000437CF"/>
    <w:rsid w:val="000438C5"/>
    <w:rsid w:val="000439F2"/>
    <w:rsid w:val="00043B23"/>
    <w:rsid w:val="00043B6D"/>
    <w:rsid w:val="00043B9E"/>
    <w:rsid w:val="00043BBE"/>
    <w:rsid w:val="00043D5D"/>
    <w:rsid w:val="00043E19"/>
    <w:rsid w:val="00043FD4"/>
    <w:rsid w:val="000440BC"/>
    <w:rsid w:val="00044169"/>
    <w:rsid w:val="000441C4"/>
    <w:rsid w:val="000441C7"/>
    <w:rsid w:val="000441D7"/>
    <w:rsid w:val="00044947"/>
    <w:rsid w:val="000449AC"/>
    <w:rsid w:val="00044E78"/>
    <w:rsid w:val="00044F7F"/>
    <w:rsid w:val="00045117"/>
    <w:rsid w:val="000451D5"/>
    <w:rsid w:val="00045447"/>
    <w:rsid w:val="000456C4"/>
    <w:rsid w:val="0004574B"/>
    <w:rsid w:val="0004595B"/>
    <w:rsid w:val="000459AB"/>
    <w:rsid w:val="00045A69"/>
    <w:rsid w:val="00045CD4"/>
    <w:rsid w:val="00045E1C"/>
    <w:rsid w:val="00045F1F"/>
    <w:rsid w:val="00046041"/>
    <w:rsid w:val="000461FB"/>
    <w:rsid w:val="00046230"/>
    <w:rsid w:val="0004636F"/>
    <w:rsid w:val="000466F1"/>
    <w:rsid w:val="00046793"/>
    <w:rsid w:val="00046CCA"/>
    <w:rsid w:val="00046E9D"/>
    <w:rsid w:val="00047067"/>
    <w:rsid w:val="00047557"/>
    <w:rsid w:val="0004770E"/>
    <w:rsid w:val="0004791B"/>
    <w:rsid w:val="00047B74"/>
    <w:rsid w:val="00047C85"/>
    <w:rsid w:val="00047CB7"/>
    <w:rsid w:val="00047CF0"/>
    <w:rsid w:val="00047D3D"/>
    <w:rsid w:val="00047E06"/>
    <w:rsid w:val="00047F39"/>
    <w:rsid w:val="0005009B"/>
    <w:rsid w:val="00050242"/>
    <w:rsid w:val="000505FF"/>
    <w:rsid w:val="00050785"/>
    <w:rsid w:val="0005094B"/>
    <w:rsid w:val="00050B18"/>
    <w:rsid w:val="00050EE8"/>
    <w:rsid w:val="00051268"/>
    <w:rsid w:val="0005126B"/>
    <w:rsid w:val="00051660"/>
    <w:rsid w:val="0005173C"/>
    <w:rsid w:val="000517CC"/>
    <w:rsid w:val="00051AF6"/>
    <w:rsid w:val="00051C10"/>
    <w:rsid w:val="00051ED9"/>
    <w:rsid w:val="00052573"/>
    <w:rsid w:val="00052B52"/>
    <w:rsid w:val="00052BA6"/>
    <w:rsid w:val="00052C91"/>
    <w:rsid w:val="00052E14"/>
    <w:rsid w:val="00053017"/>
    <w:rsid w:val="000530BC"/>
    <w:rsid w:val="000531F4"/>
    <w:rsid w:val="00053758"/>
    <w:rsid w:val="00053911"/>
    <w:rsid w:val="0005395A"/>
    <w:rsid w:val="00053A45"/>
    <w:rsid w:val="00053A5C"/>
    <w:rsid w:val="00053CEF"/>
    <w:rsid w:val="0005410E"/>
    <w:rsid w:val="000541D1"/>
    <w:rsid w:val="0005474C"/>
    <w:rsid w:val="0005475D"/>
    <w:rsid w:val="000547D8"/>
    <w:rsid w:val="0005483A"/>
    <w:rsid w:val="0005488F"/>
    <w:rsid w:val="00054893"/>
    <w:rsid w:val="00054943"/>
    <w:rsid w:val="00054B20"/>
    <w:rsid w:val="00054BF7"/>
    <w:rsid w:val="00054DDA"/>
    <w:rsid w:val="000556AD"/>
    <w:rsid w:val="00055863"/>
    <w:rsid w:val="00055A79"/>
    <w:rsid w:val="00055B61"/>
    <w:rsid w:val="00055BAE"/>
    <w:rsid w:val="00055CA0"/>
    <w:rsid w:val="00055E29"/>
    <w:rsid w:val="000560BA"/>
    <w:rsid w:val="000563B4"/>
    <w:rsid w:val="000564E8"/>
    <w:rsid w:val="000567E1"/>
    <w:rsid w:val="000568F5"/>
    <w:rsid w:val="0005692E"/>
    <w:rsid w:val="00056A49"/>
    <w:rsid w:val="00056A5A"/>
    <w:rsid w:val="00056A64"/>
    <w:rsid w:val="00056BA7"/>
    <w:rsid w:val="00056C79"/>
    <w:rsid w:val="00056F4A"/>
    <w:rsid w:val="0005707F"/>
    <w:rsid w:val="00057220"/>
    <w:rsid w:val="00057329"/>
    <w:rsid w:val="000573AF"/>
    <w:rsid w:val="00057492"/>
    <w:rsid w:val="00057567"/>
    <w:rsid w:val="00057695"/>
    <w:rsid w:val="00057BA4"/>
    <w:rsid w:val="00057C5A"/>
    <w:rsid w:val="00057CF2"/>
    <w:rsid w:val="00057F12"/>
    <w:rsid w:val="00060024"/>
    <w:rsid w:val="00060094"/>
    <w:rsid w:val="0006068F"/>
    <w:rsid w:val="00060CA2"/>
    <w:rsid w:val="00060CB0"/>
    <w:rsid w:val="00061008"/>
    <w:rsid w:val="00061060"/>
    <w:rsid w:val="00061074"/>
    <w:rsid w:val="000610B0"/>
    <w:rsid w:val="000611AA"/>
    <w:rsid w:val="0006147E"/>
    <w:rsid w:val="0006183B"/>
    <w:rsid w:val="00061A18"/>
    <w:rsid w:val="00061A97"/>
    <w:rsid w:val="00061BF2"/>
    <w:rsid w:val="00061E3C"/>
    <w:rsid w:val="00061F28"/>
    <w:rsid w:val="00061F77"/>
    <w:rsid w:val="0006232B"/>
    <w:rsid w:val="00062364"/>
    <w:rsid w:val="000623AD"/>
    <w:rsid w:val="0006268A"/>
    <w:rsid w:val="0006276F"/>
    <w:rsid w:val="00062E89"/>
    <w:rsid w:val="00062EB4"/>
    <w:rsid w:val="00062F96"/>
    <w:rsid w:val="00062FB6"/>
    <w:rsid w:val="000630D6"/>
    <w:rsid w:val="00063248"/>
    <w:rsid w:val="0006329A"/>
    <w:rsid w:val="000632D8"/>
    <w:rsid w:val="000633D8"/>
    <w:rsid w:val="000634B8"/>
    <w:rsid w:val="000634DA"/>
    <w:rsid w:val="000634F2"/>
    <w:rsid w:val="000636CC"/>
    <w:rsid w:val="000637FA"/>
    <w:rsid w:val="000639DE"/>
    <w:rsid w:val="00063A62"/>
    <w:rsid w:val="00063C46"/>
    <w:rsid w:val="00063C77"/>
    <w:rsid w:val="00063EA7"/>
    <w:rsid w:val="00063EB2"/>
    <w:rsid w:val="000643D7"/>
    <w:rsid w:val="00064432"/>
    <w:rsid w:val="000644DF"/>
    <w:rsid w:val="000644E3"/>
    <w:rsid w:val="00064505"/>
    <w:rsid w:val="00064729"/>
    <w:rsid w:val="00064777"/>
    <w:rsid w:val="00064833"/>
    <w:rsid w:val="00064AD2"/>
    <w:rsid w:val="00064CC6"/>
    <w:rsid w:val="00064D31"/>
    <w:rsid w:val="00064D41"/>
    <w:rsid w:val="00064DD1"/>
    <w:rsid w:val="00064DEA"/>
    <w:rsid w:val="0006508A"/>
    <w:rsid w:val="00065177"/>
    <w:rsid w:val="000651A3"/>
    <w:rsid w:val="0006522B"/>
    <w:rsid w:val="00065424"/>
    <w:rsid w:val="0006544D"/>
    <w:rsid w:val="00065513"/>
    <w:rsid w:val="00065675"/>
    <w:rsid w:val="00065695"/>
    <w:rsid w:val="00065937"/>
    <w:rsid w:val="00065B3E"/>
    <w:rsid w:val="00065C2E"/>
    <w:rsid w:val="00065DC1"/>
    <w:rsid w:val="0006601C"/>
    <w:rsid w:val="00066369"/>
    <w:rsid w:val="0006645D"/>
    <w:rsid w:val="00066464"/>
    <w:rsid w:val="00066652"/>
    <w:rsid w:val="00066BE0"/>
    <w:rsid w:val="00066EE7"/>
    <w:rsid w:val="00067189"/>
    <w:rsid w:val="000674BB"/>
    <w:rsid w:val="000675CC"/>
    <w:rsid w:val="00067B94"/>
    <w:rsid w:val="00067E0C"/>
    <w:rsid w:val="00070001"/>
    <w:rsid w:val="000700D6"/>
    <w:rsid w:val="0007068F"/>
    <w:rsid w:val="000706B9"/>
    <w:rsid w:val="0007082B"/>
    <w:rsid w:val="00070D41"/>
    <w:rsid w:val="000711BD"/>
    <w:rsid w:val="0007133B"/>
    <w:rsid w:val="0007138D"/>
    <w:rsid w:val="000713BA"/>
    <w:rsid w:val="000714FD"/>
    <w:rsid w:val="0007156D"/>
    <w:rsid w:val="000716F4"/>
    <w:rsid w:val="00071779"/>
    <w:rsid w:val="00071798"/>
    <w:rsid w:val="000717E7"/>
    <w:rsid w:val="000717EE"/>
    <w:rsid w:val="000719F6"/>
    <w:rsid w:val="00071A00"/>
    <w:rsid w:val="00071A0D"/>
    <w:rsid w:val="00071A2E"/>
    <w:rsid w:val="00071A6E"/>
    <w:rsid w:val="00071C10"/>
    <w:rsid w:val="00072076"/>
    <w:rsid w:val="000720E6"/>
    <w:rsid w:val="0007231D"/>
    <w:rsid w:val="00072380"/>
    <w:rsid w:val="00072502"/>
    <w:rsid w:val="00072621"/>
    <w:rsid w:val="000726F5"/>
    <w:rsid w:val="000728FC"/>
    <w:rsid w:val="0007299B"/>
    <w:rsid w:val="000729BD"/>
    <w:rsid w:val="00072A06"/>
    <w:rsid w:val="00072CAF"/>
    <w:rsid w:val="00072F16"/>
    <w:rsid w:val="00073019"/>
    <w:rsid w:val="00073033"/>
    <w:rsid w:val="000732D1"/>
    <w:rsid w:val="00073327"/>
    <w:rsid w:val="00073455"/>
    <w:rsid w:val="000734E2"/>
    <w:rsid w:val="000735EA"/>
    <w:rsid w:val="000736FC"/>
    <w:rsid w:val="000738A7"/>
    <w:rsid w:val="000738D4"/>
    <w:rsid w:val="00073A35"/>
    <w:rsid w:val="00073CAB"/>
    <w:rsid w:val="00073E4D"/>
    <w:rsid w:val="000741F6"/>
    <w:rsid w:val="00074337"/>
    <w:rsid w:val="000743A9"/>
    <w:rsid w:val="0007459B"/>
    <w:rsid w:val="000745AC"/>
    <w:rsid w:val="00074770"/>
    <w:rsid w:val="000749BF"/>
    <w:rsid w:val="000749F2"/>
    <w:rsid w:val="00074A62"/>
    <w:rsid w:val="00074BC0"/>
    <w:rsid w:val="00074D8C"/>
    <w:rsid w:val="00074DB9"/>
    <w:rsid w:val="00074E78"/>
    <w:rsid w:val="00074F1B"/>
    <w:rsid w:val="00075331"/>
    <w:rsid w:val="000753E1"/>
    <w:rsid w:val="00075452"/>
    <w:rsid w:val="0007556F"/>
    <w:rsid w:val="000758A0"/>
    <w:rsid w:val="00075952"/>
    <w:rsid w:val="00075CC1"/>
    <w:rsid w:val="00076000"/>
    <w:rsid w:val="00076167"/>
    <w:rsid w:val="000763FD"/>
    <w:rsid w:val="0007645A"/>
    <w:rsid w:val="000766CA"/>
    <w:rsid w:val="000767DE"/>
    <w:rsid w:val="00076917"/>
    <w:rsid w:val="0007692B"/>
    <w:rsid w:val="000769AF"/>
    <w:rsid w:val="000769E5"/>
    <w:rsid w:val="00076B51"/>
    <w:rsid w:val="00076B91"/>
    <w:rsid w:val="00076CE7"/>
    <w:rsid w:val="00076D10"/>
    <w:rsid w:val="00076D1D"/>
    <w:rsid w:val="00076D24"/>
    <w:rsid w:val="00076D6C"/>
    <w:rsid w:val="000770B8"/>
    <w:rsid w:val="00077145"/>
    <w:rsid w:val="00077157"/>
    <w:rsid w:val="000771EC"/>
    <w:rsid w:val="00077387"/>
    <w:rsid w:val="00077463"/>
    <w:rsid w:val="000774B2"/>
    <w:rsid w:val="000774E5"/>
    <w:rsid w:val="000775F3"/>
    <w:rsid w:val="0007763A"/>
    <w:rsid w:val="000777C6"/>
    <w:rsid w:val="00077A8E"/>
    <w:rsid w:val="00077DCD"/>
    <w:rsid w:val="00077FDF"/>
    <w:rsid w:val="000800E1"/>
    <w:rsid w:val="0008013C"/>
    <w:rsid w:val="0008045F"/>
    <w:rsid w:val="00080698"/>
    <w:rsid w:val="00080864"/>
    <w:rsid w:val="0008089C"/>
    <w:rsid w:val="00080B03"/>
    <w:rsid w:val="00080BC3"/>
    <w:rsid w:val="00080C4D"/>
    <w:rsid w:val="00080E98"/>
    <w:rsid w:val="00080FF6"/>
    <w:rsid w:val="0008105D"/>
    <w:rsid w:val="000813A1"/>
    <w:rsid w:val="0008166C"/>
    <w:rsid w:val="000816CE"/>
    <w:rsid w:val="000818F2"/>
    <w:rsid w:val="00081957"/>
    <w:rsid w:val="000819EC"/>
    <w:rsid w:val="00081D15"/>
    <w:rsid w:val="00081D41"/>
    <w:rsid w:val="00081EE6"/>
    <w:rsid w:val="00082171"/>
    <w:rsid w:val="00082278"/>
    <w:rsid w:val="0008229A"/>
    <w:rsid w:val="00082433"/>
    <w:rsid w:val="0008272B"/>
    <w:rsid w:val="000828F3"/>
    <w:rsid w:val="00082958"/>
    <w:rsid w:val="000829E8"/>
    <w:rsid w:val="00082B8B"/>
    <w:rsid w:val="00082C5E"/>
    <w:rsid w:val="00082D6F"/>
    <w:rsid w:val="00083259"/>
    <w:rsid w:val="000832FA"/>
    <w:rsid w:val="0008340A"/>
    <w:rsid w:val="00083560"/>
    <w:rsid w:val="000836F4"/>
    <w:rsid w:val="00083B84"/>
    <w:rsid w:val="00083D12"/>
    <w:rsid w:val="00083DCD"/>
    <w:rsid w:val="00083F52"/>
    <w:rsid w:val="00084288"/>
    <w:rsid w:val="000844A7"/>
    <w:rsid w:val="000844B4"/>
    <w:rsid w:val="00084508"/>
    <w:rsid w:val="000846E4"/>
    <w:rsid w:val="0008476F"/>
    <w:rsid w:val="000847A3"/>
    <w:rsid w:val="000847E1"/>
    <w:rsid w:val="000848AB"/>
    <w:rsid w:val="000848DD"/>
    <w:rsid w:val="000849D0"/>
    <w:rsid w:val="00084B36"/>
    <w:rsid w:val="00084BDA"/>
    <w:rsid w:val="0008501C"/>
    <w:rsid w:val="00085035"/>
    <w:rsid w:val="0008525B"/>
    <w:rsid w:val="00085408"/>
    <w:rsid w:val="00085581"/>
    <w:rsid w:val="0008580B"/>
    <w:rsid w:val="00085A25"/>
    <w:rsid w:val="00085A87"/>
    <w:rsid w:val="00085B63"/>
    <w:rsid w:val="00085DD3"/>
    <w:rsid w:val="00085F2A"/>
    <w:rsid w:val="00086095"/>
    <w:rsid w:val="000860B8"/>
    <w:rsid w:val="000860E3"/>
    <w:rsid w:val="00086126"/>
    <w:rsid w:val="000863ED"/>
    <w:rsid w:val="000865F8"/>
    <w:rsid w:val="0008663F"/>
    <w:rsid w:val="00086721"/>
    <w:rsid w:val="00086854"/>
    <w:rsid w:val="0008688D"/>
    <w:rsid w:val="000868AB"/>
    <w:rsid w:val="00086CC8"/>
    <w:rsid w:val="00086D32"/>
    <w:rsid w:val="00086FE3"/>
    <w:rsid w:val="00087214"/>
    <w:rsid w:val="00087219"/>
    <w:rsid w:val="000872B3"/>
    <w:rsid w:val="000874EE"/>
    <w:rsid w:val="00087679"/>
    <w:rsid w:val="0008793F"/>
    <w:rsid w:val="00087BD5"/>
    <w:rsid w:val="00087BE2"/>
    <w:rsid w:val="00087D02"/>
    <w:rsid w:val="00087D33"/>
    <w:rsid w:val="00087E9D"/>
    <w:rsid w:val="00087FC3"/>
    <w:rsid w:val="0009010E"/>
    <w:rsid w:val="000902D4"/>
    <w:rsid w:val="0009038D"/>
    <w:rsid w:val="00090396"/>
    <w:rsid w:val="00090700"/>
    <w:rsid w:val="00090778"/>
    <w:rsid w:val="0009082A"/>
    <w:rsid w:val="000909DC"/>
    <w:rsid w:val="00090A47"/>
    <w:rsid w:val="00090D1E"/>
    <w:rsid w:val="00090E21"/>
    <w:rsid w:val="0009149C"/>
    <w:rsid w:val="000915C2"/>
    <w:rsid w:val="000915F7"/>
    <w:rsid w:val="000918A6"/>
    <w:rsid w:val="000918CF"/>
    <w:rsid w:val="00091CA5"/>
    <w:rsid w:val="00091FA8"/>
    <w:rsid w:val="00092278"/>
    <w:rsid w:val="000922CB"/>
    <w:rsid w:val="00092342"/>
    <w:rsid w:val="00092562"/>
    <w:rsid w:val="00092710"/>
    <w:rsid w:val="000928A1"/>
    <w:rsid w:val="00092996"/>
    <w:rsid w:val="00093125"/>
    <w:rsid w:val="0009323C"/>
    <w:rsid w:val="00093397"/>
    <w:rsid w:val="000933FD"/>
    <w:rsid w:val="00093512"/>
    <w:rsid w:val="0009366C"/>
    <w:rsid w:val="00093815"/>
    <w:rsid w:val="000938B8"/>
    <w:rsid w:val="00093999"/>
    <w:rsid w:val="000939CA"/>
    <w:rsid w:val="00093A4F"/>
    <w:rsid w:val="00093AD1"/>
    <w:rsid w:val="00093C2A"/>
    <w:rsid w:val="00093C67"/>
    <w:rsid w:val="00094033"/>
    <w:rsid w:val="00094071"/>
    <w:rsid w:val="00094474"/>
    <w:rsid w:val="00094572"/>
    <w:rsid w:val="00094859"/>
    <w:rsid w:val="00094ABD"/>
    <w:rsid w:val="00094D1A"/>
    <w:rsid w:val="00094D4E"/>
    <w:rsid w:val="00094E1A"/>
    <w:rsid w:val="00094F8E"/>
    <w:rsid w:val="00094F95"/>
    <w:rsid w:val="000952A1"/>
    <w:rsid w:val="00095578"/>
    <w:rsid w:val="0009568F"/>
    <w:rsid w:val="0009582A"/>
    <w:rsid w:val="00095983"/>
    <w:rsid w:val="00095B21"/>
    <w:rsid w:val="00095BE5"/>
    <w:rsid w:val="00095F0D"/>
    <w:rsid w:val="00096183"/>
    <w:rsid w:val="000961DF"/>
    <w:rsid w:val="0009645B"/>
    <w:rsid w:val="00096614"/>
    <w:rsid w:val="00096AF8"/>
    <w:rsid w:val="00096B51"/>
    <w:rsid w:val="00096B54"/>
    <w:rsid w:val="00096C37"/>
    <w:rsid w:val="00096E27"/>
    <w:rsid w:val="00097055"/>
    <w:rsid w:val="000970B4"/>
    <w:rsid w:val="00097513"/>
    <w:rsid w:val="000975F6"/>
    <w:rsid w:val="000975F8"/>
    <w:rsid w:val="000976DA"/>
    <w:rsid w:val="00097726"/>
    <w:rsid w:val="00097793"/>
    <w:rsid w:val="00097CA9"/>
    <w:rsid w:val="00097D64"/>
    <w:rsid w:val="00097FCB"/>
    <w:rsid w:val="000A031D"/>
    <w:rsid w:val="000A040C"/>
    <w:rsid w:val="000A0832"/>
    <w:rsid w:val="000A0A97"/>
    <w:rsid w:val="000A0B37"/>
    <w:rsid w:val="000A0B42"/>
    <w:rsid w:val="000A0BB0"/>
    <w:rsid w:val="000A0BD0"/>
    <w:rsid w:val="000A0D7D"/>
    <w:rsid w:val="000A0E98"/>
    <w:rsid w:val="000A10D0"/>
    <w:rsid w:val="000A125C"/>
    <w:rsid w:val="000A1345"/>
    <w:rsid w:val="000A1567"/>
    <w:rsid w:val="000A1749"/>
    <w:rsid w:val="000A1789"/>
    <w:rsid w:val="000A18DC"/>
    <w:rsid w:val="000A1947"/>
    <w:rsid w:val="000A1B1B"/>
    <w:rsid w:val="000A1B47"/>
    <w:rsid w:val="000A1B52"/>
    <w:rsid w:val="000A1CC3"/>
    <w:rsid w:val="000A1D53"/>
    <w:rsid w:val="000A1F7C"/>
    <w:rsid w:val="000A2014"/>
    <w:rsid w:val="000A205B"/>
    <w:rsid w:val="000A20EA"/>
    <w:rsid w:val="000A211D"/>
    <w:rsid w:val="000A2219"/>
    <w:rsid w:val="000A238B"/>
    <w:rsid w:val="000A2552"/>
    <w:rsid w:val="000A268A"/>
    <w:rsid w:val="000A26E4"/>
    <w:rsid w:val="000A279A"/>
    <w:rsid w:val="000A27C5"/>
    <w:rsid w:val="000A2884"/>
    <w:rsid w:val="000A295D"/>
    <w:rsid w:val="000A2A66"/>
    <w:rsid w:val="000A2AA7"/>
    <w:rsid w:val="000A2AAC"/>
    <w:rsid w:val="000A2B12"/>
    <w:rsid w:val="000A2CA8"/>
    <w:rsid w:val="000A2FAB"/>
    <w:rsid w:val="000A3041"/>
    <w:rsid w:val="000A3045"/>
    <w:rsid w:val="000A3071"/>
    <w:rsid w:val="000A3284"/>
    <w:rsid w:val="000A3393"/>
    <w:rsid w:val="000A33F6"/>
    <w:rsid w:val="000A3435"/>
    <w:rsid w:val="000A357D"/>
    <w:rsid w:val="000A3736"/>
    <w:rsid w:val="000A39BF"/>
    <w:rsid w:val="000A3A6A"/>
    <w:rsid w:val="000A3ABA"/>
    <w:rsid w:val="000A3ACE"/>
    <w:rsid w:val="000A3AF4"/>
    <w:rsid w:val="000A3BA8"/>
    <w:rsid w:val="000A41DE"/>
    <w:rsid w:val="000A444D"/>
    <w:rsid w:val="000A4626"/>
    <w:rsid w:val="000A4633"/>
    <w:rsid w:val="000A4732"/>
    <w:rsid w:val="000A49F0"/>
    <w:rsid w:val="000A4A19"/>
    <w:rsid w:val="000A4AFE"/>
    <w:rsid w:val="000A4C70"/>
    <w:rsid w:val="000A4DA0"/>
    <w:rsid w:val="000A4DB2"/>
    <w:rsid w:val="000A4EFE"/>
    <w:rsid w:val="000A5492"/>
    <w:rsid w:val="000A54ED"/>
    <w:rsid w:val="000A55A8"/>
    <w:rsid w:val="000A5716"/>
    <w:rsid w:val="000A59D3"/>
    <w:rsid w:val="000A5D6F"/>
    <w:rsid w:val="000A5D89"/>
    <w:rsid w:val="000A5D91"/>
    <w:rsid w:val="000A5F6D"/>
    <w:rsid w:val="000A5F75"/>
    <w:rsid w:val="000A6210"/>
    <w:rsid w:val="000A634C"/>
    <w:rsid w:val="000A635A"/>
    <w:rsid w:val="000A675E"/>
    <w:rsid w:val="000A6A4F"/>
    <w:rsid w:val="000A6C13"/>
    <w:rsid w:val="000A7129"/>
    <w:rsid w:val="000A71C1"/>
    <w:rsid w:val="000A73C8"/>
    <w:rsid w:val="000A773A"/>
    <w:rsid w:val="000A77F3"/>
    <w:rsid w:val="000A79FB"/>
    <w:rsid w:val="000A7A60"/>
    <w:rsid w:val="000A7AB1"/>
    <w:rsid w:val="000A7AEE"/>
    <w:rsid w:val="000A7D5E"/>
    <w:rsid w:val="000A7DED"/>
    <w:rsid w:val="000B00C1"/>
    <w:rsid w:val="000B011D"/>
    <w:rsid w:val="000B01D8"/>
    <w:rsid w:val="000B03FB"/>
    <w:rsid w:val="000B07BA"/>
    <w:rsid w:val="000B09BE"/>
    <w:rsid w:val="000B0A18"/>
    <w:rsid w:val="000B0B15"/>
    <w:rsid w:val="000B0BF1"/>
    <w:rsid w:val="000B0E35"/>
    <w:rsid w:val="000B0EC1"/>
    <w:rsid w:val="000B0FEE"/>
    <w:rsid w:val="000B101E"/>
    <w:rsid w:val="000B111F"/>
    <w:rsid w:val="000B156C"/>
    <w:rsid w:val="000B1881"/>
    <w:rsid w:val="000B1A0B"/>
    <w:rsid w:val="000B1A75"/>
    <w:rsid w:val="000B1B32"/>
    <w:rsid w:val="000B1B8F"/>
    <w:rsid w:val="000B1D79"/>
    <w:rsid w:val="000B1DBA"/>
    <w:rsid w:val="000B1E0E"/>
    <w:rsid w:val="000B1E49"/>
    <w:rsid w:val="000B1E94"/>
    <w:rsid w:val="000B1F0E"/>
    <w:rsid w:val="000B1FEB"/>
    <w:rsid w:val="000B222F"/>
    <w:rsid w:val="000B23F6"/>
    <w:rsid w:val="000B2440"/>
    <w:rsid w:val="000B24E2"/>
    <w:rsid w:val="000B2558"/>
    <w:rsid w:val="000B2661"/>
    <w:rsid w:val="000B2B8A"/>
    <w:rsid w:val="000B2BD5"/>
    <w:rsid w:val="000B2C44"/>
    <w:rsid w:val="000B2C9C"/>
    <w:rsid w:val="000B2D9B"/>
    <w:rsid w:val="000B2E1E"/>
    <w:rsid w:val="000B2F6E"/>
    <w:rsid w:val="000B3165"/>
    <w:rsid w:val="000B31EA"/>
    <w:rsid w:val="000B34B1"/>
    <w:rsid w:val="000B352F"/>
    <w:rsid w:val="000B364A"/>
    <w:rsid w:val="000B3695"/>
    <w:rsid w:val="000B3696"/>
    <w:rsid w:val="000B384E"/>
    <w:rsid w:val="000B38FB"/>
    <w:rsid w:val="000B390E"/>
    <w:rsid w:val="000B39D3"/>
    <w:rsid w:val="000B39F0"/>
    <w:rsid w:val="000B3AC8"/>
    <w:rsid w:val="000B3D9B"/>
    <w:rsid w:val="000B40C8"/>
    <w:rsid w:val="000B4140"/>
    <w:rsid w:val="000B428B"/>
    <w:rsid w:val="000B4399"/>
    <w:rsid w:val="000B456D"/>
    <w:rsid w:val="000B471B"/>
    <w:rsid w:val="000B48B3"/>
    <w:rsid w:val="000B4B3E"/>
    <w:rsid w:val="000B4C31"/>
    <w:rsid w:val="000B4E7D"/>
    <w:rsid w:val="000B51B1"/>
    <w:rsid w:val="000B5290"/>
    <w:rsid w:val="000B5345"/>
    <w:rsid w:val="000B537B"/>
    <w:rsid w:val="000B5537"/>
    <w:rsid w:val="000B562A"/>
    <w:rsid w:val="000B5667"/>
    <w:rsid w:val="000B5762"/>
    <w:rsid w:val="000B593F"/>
    <w:rsid w:val="000B5997"/>
    <w:rsid w:val="000B5A17"/>
    <w:rsid w:val="000B5DA0"/>
    <w:rsid w:val="000B5F8E"/>
    <w:rsid w:val="000B608C"/>
    <w:rsid w:val="000B6481"/>
    <w:rsid w:val="000B65A3"/>
    <w:rsid w:val="000B65B9"/>
    <w:rsid w:val="000B6BC5"/>
    <w:rsid w:val="000B6BF3"/>
    <w:rsid w:val="000B6C54"/>
    <w:rsid w:val="000B6E22"/>
    <w:rsid w:val="000B6E26"/>
    <w:rsid w:val="000B6F23"/>
    <w:rsid w:val="000B722D"/>
    <w:rsid w:val="000B732A"/>
    <w:rsid w:val="000B7596"/>
    <w:rsid w:val="000B75CA"/>
    <w:rsid w:val="000B7620"/>
    <w:rsid w:val="000B7946"/>
    <w:rsid w:val="000B7A03"/>
    <w:rsid w:val="000B7B15"/>
    <w:rsid w:val="000B7B58"/>
    <w:rsid w:val="000B7D3B"/>
    <w:rsid w:val="000B7EFB"/>
    <w:rsid w:val="000C0017"/>
    <w:rsid w:val="000C02A9"/>
    <w:rsid w:val="000C053D"/>
    <w:rsid w:val="000C05DD"/>
    <w:rsid w:val="000C077F"/>
    <w:rsid w:val="000C07E8"/>
    <w:rsid w:val="000C088C"/>
    <w:rsid w:val="000C08CF"/>
    <w:rsid w:val="000C08FB"/>
    <w:rsid w:val="000C0F1E"/>
    <w:rsid w:val="000C0F5A"/>
    <w:rsid w:val="000C0FDA"/>
    <w:rsid w:val="000C1312"/>
    <w:rsid w:val="000C16A7"/>
    <w:rsid w:val="000C1702"/>
    <w:rsid w:val="000C17C4"/>
    <w:rsid w:val="000C197B"/>
    <w:rsid w:val="000C19D2"/>
    <w:rsid w:val="000C1A0A"/>
    <w:rsid w:val="000C1AF4"/>
    <w:rsid w:val="000C1F5D"/>
    <w:rsid w:val="000C2158"/>
    <w:rsid w:val="000C22BA"/>
    <w:rsid w:val="000C2343"/>
    <w:rsid w:val="000C2349"/>
    <w:rsid w:val="000C23E6"/>
    <w:rsid w:val="000C287D"/>
    <w:rsid w:val="000C2BD9"/>
    <w:rsid w:val="000C2D7A"/>
    <w:rsid w:val="000C2DA1"/>
    <w:rsid w:val="000C2E48"/>
    <w:rsid w:val="000C2E75"/>
    <w:rsid w:val="000C31FB"/>
    <w:rsid w:val="000C3451"/>
    <w:rsid w:val="000C35E4"/>
    <w:rsid w:val="000C365F"/>
    <w:rsid w:val="000C36AE"/>
    <w:rsid w:val="000C370A"/>
    <w:rsid w:val="000C38B6"/>
    <w:rsid w:val="000C38F2"/>
    <w:rsid w:val="000C3D5B"/>
    <w:rsid w:val="000C3D87"/>
    <w:rsid w:val="000C3E1F"/>
    <w:rsid w:val="000C3E76"/>
    <w:rsid w:val="000C3F34"/>
    <w:rsid w:val="000C3F45"/>
    <w:rsid w:val="000C3FFB"/>
    <w:rsid w:val="000C40A0"/>
    <w:rsid w:val="000C4121"/>
    <w:rsid w:val="000C427D"/>
    <w:rsid w:val="000C431C"/>
    <w:rsid w:val="000C44FB"/>
    <w:rsid w:val="000C467E"/>
    <w:rsid w:val="000C471F"/>
    <w:rsid w:val="000C48BE"/>
    <w:rsid w:val="000C48E1"/>
    <w:rsid w:val="000C49A5"/>
    <w:rsid w:val="000C49E7"/>
    <w:rsid w:val="000C4C84"/>
    <w:rsid w:val="000C4D57"/>
    <w:rsid w:val="000C4D92"/>
    <w:rsid w:val="000C4E6B"/>
    <w:rsid w:val="000C4F8B"/>
    <w:rsid w:val="000C50E7"/>
    <w:rsid w:val="000C50EE"/>
    <w:rsid w:val="000C51E9"/>
    <w:rsid w:val="000C52B5"/>
    <w:rsid w:val="000C541F"/>
    <w:rsid w:val="000C54A9"/>
    <w:rsid w:val="000C5585"/>
    <w:rsid w:val="000C5636"/>
    <w:rsid w:val="000C5A57"/>
    <w:rsid w:val="000C5BBA"/>
    <w:rsid w:val="000C5E91"/>
    <w:rsid w:val="000C5F44"/>
    <w:rsid w:val="000C60AF"/>
    <w:rsid w:val="000C6553"/>
    <w:rsid w:val="000C66AF"/>
    <w:rsid w:val="000C66D7"/>
    <w:rsid w:val="000C6A36"/>
    <w:rsid w:val="000C6AB9"/>
    <w:rsid w:val="000C6CFF"/>
    <w:rsid w:val="000C6FD5"/>
    <w:rsid w:val="000C75D7"/>
    <w:rsid w:val="000C761D"/>
    <w:rsid w:val="000C77DE"/>
    <w:rsid w:val="000C77DF"/>
    <w:rsid w:val="000C77EB"/>
    <w:rsid w:val="000C7846"/>
    <w:rsid w:val="000C79A2"/>
    <w:rsid w:val="000C7D43"/>
    <w:rsid w:val="000C7DB0"/>
    <w:rsid w:val="000C7E59"/>
    <w:rsid w:val="000C7F0E"/>
    <w:rsid w:val="000D00EA"/>
    <w:rsid w:val="000D01E1"/>
    <w:rsid w:val="000D0250"/>
    <w:rsid w:val="000D0316"/>
    <w:rsid w:val="000D031F"/>
    <w:rsid w:val="000D0399"/>
    <w:rsid w:val="000D0708"/>
    <w:rsid w:val="000D072C"/>
    <w:rsid w:val="000D07F9"/>
    <w:rsid w:val="000D097E"/>
    <w:rsid w:val="000D09A7"/>
    <w:rsid w:val="000D0D7D"/>
    <w:rsid w:val="000D0D9F"/>
    <w:rsid w:val="000D0F3A"/>
    <w:rsid w:val="000D123C"/>
    <w:rsid w:val="000D13EB"/>
    <w:rsid w:val="000D1437"/>
    <w:rsid w:val="000D1485"/>
    <w:rsid w:val="000D15A4"/>
    <w:rsid w:val="000D15B6"/>
    <w:rsid w:val="000D1961"/>
    <w:rsid w:val="000D19BE"/>
    <w:rsid w:val="000D1BB4"/>
    <w:rsid w:val="000D221F"/>
    <w:rsid w:val="000D22B2"/>
    <w:rsid w:val="000D2309"/>
    <w:rsid w:val="000D23EA"/>
    <w:rsid w:val="000D24C6"/>
    <w:rsid w:val="000D2621"/>
    <w:rsid w:val="000D26E0"/>
    <w:rsid w:val="000D292F"/>
    <w:rsid w:val="000D2AF8"/>
    <w:rsid w:val="000D2BA9"/>
    <w:rsid w:val="000D2BBB"/>
    <w:rsid w:val="000D2CCB"/>
    <w:rsid w:val="000D2ECA"/>
    <w:rsid w:val="000D2F95"/>
    <w:rsid w:val="000D2FB1"/>
    <w:rsid w:val="000D3172"/>
    <w:rsid w:val="000D3444"/>
    <w:rsid w:val="000D3480"/>
    <w:rsid w:val="000D3996"/>
    <w:rsid w:val="000D3998"/>
    <w:rsid w:val="000D39F5"/>
    <w:rsid w:val="000D3D35"/>
    <w:rsid w:val="000D3DF1"/>
    <w:rsid w:val="000D3E2D"/>
    <w:rsid w:val="000D3F60"/>
    <w:rsid w:val="000D413E"/>
    <w:rsid w:val="000D4194"/>
    <w:rsid w:val="000D42E0"/>
    <w:rsid w:val="000D42EB"/>
    <w:rsid w:val="000D4349"/>
    <w:rsid w:val="000D4360"/>
    <w:rsid w:val="000D437B"/>
    <w:rsid w:val="000D45D1"/>
    <w:rsid w:val="000D4780"/>
    <w:rsid w:val="000D4B01"/>
    <w:rsid w:val="000D4B15"/>
    <w:rsid w:val="000D4D71"/>
    <w:rsid w:val="000D4DD2"/>
    <w:rsid w:val="000D4EE8"/>
    <w:rsid w:val="000D4EFF"/>
    <w:rsid w:val="000D50CA"/>
    <w:rsid w:val="000D5206"/>
    <w:rsid w:val="000D546F"/>
    <w:rsid w:val="000D5599"/>
    <w:rsid w:val="000D570C"/>
    <w:rsid w:val="000D5846"/>
    <w:rsid w:val="000D5865"/>
    <w:rsid w:val="000D5A37"/>
    <w:rsid w:val="000D5C51"/>
    <w:rsid w:val="000D5D45"/>
    <w:rsid w:val="000D5DBD"/>
    <w:rsid w:val="000D5DD5"/>
    <w:rsid w:val="000D5F4D"/>
    <w:rsid w:val="000D60AB"/>
    <w:rsid w:val="000D60EE"/>
    <w:rsid w:val="000D681B"/>
    <w:rsid w:val="000D6822"/>
    <w:rsid w:val="000D68E4"/>
    <w:rsid w:val="000D6ACA"/>
    <w:rsid w:val="000D6CE7"/>
    <w:rsid w:val="000D6D38"/>
    <w:rsid w:val="000D6D45"/>
    <w:rsid w:val="000D6D6D"/>
    <w:rsid w:val="000D6E39"/>
    <w:rsid w:val="000D6FD0"/>
    <w:rsid w:val="000D7085"/>
    <w:rsid w:val="000D73E2"/>
    <w:rsid w:val="000D75E8"/>
    <w:rsid w:val="000D7620"/>
    <w:rsid w:val="000D7A80"/>
    <w:rsid w:val="000D7ADA"/>
    <w:rsid w:val="000D7B37"/>
    <w:rsid w:val="000D7C56"/>
    <w:rsid w:val="000D7E0F"/>
    <w:rsid w:val="000D7E24"/>
    <w:rsid w:val="000D7F79"/>
    <w:rsid w:val="000E022F"/>
    <w:rsid w:val="000E02C3"/>
    <w:rsid w:val="000E02D0"/>
    <w:rsid w:val="000E0479"/>
    <w:rsid w:val="000E0816"/>
    <w:rsid w:val="000E08B5"/>
    <w:rsid w:val="000E094A"/>
    <w:rsid w:val="000E0BE5"/>
    <w:rsid w:val="000E11AE"/>
    <w:rsid w:val="000E1414"/>
    <w:rsid w:val="000E142D"/>
    <w:rsid w:val="000E1450"/>
    <w:rsid w:val="000E148A"/>
    <w:rsid w:val="000E14D3"/>
    <w:rsid w:val="000E1647"/>
    <w:rsid w:val="000E171E"/>
    <w:rsid w:val="000E177A"/>
    <w:rsid w:val="000E187A"/>
    <w:rsid w:val="000E18DB"/>
    <w:rsid w:val="000E19A8"/>
    <w:rsid w:val="000E19C2"/>
    <w:rsid w:val="000E1A28"/>
    <w:rsid w:val="000E1CA0"/>
    <w:rsid w:val="000E1F14"/>
    <w:rsid w:val="000E200E"/>
    <w:rsid w:val="000E2087"/>
    <w:rsid w:val="000E2123"/>
    <w:rsid w:val="000E21B1"/>
    <w:rsid w:val="000E2272"/>
    <w:rsid w:val="000E2394"/>
    <w:rsid w:val="000E2B27"/>
    <w:rsid w:val="000E2C4A"/>
    <w:rsid w:val="000E2D4A"/>
    <w:rsid w:val="000E2EE3"/>
    <w:rsid w:val="000E3080"/>
    <w:rsid w:val="000E30B4"/>
    <w:rsid w:val="000E3340"/>
    <w:rsid w:val="000E33F3"/>
    <w:rsid w:val="000E35DA"/>
    <w:rsid w:val="000E3676"/>
    <w:rsid w:val="000E3AB8"/>
    <w:rsid w:val="000E3CAD"/>
    <w:rsid w:val="000E3DCD"/>
    <w:rsid w:val="000E4229"/>
    <w:rsid w:val="000E43F3"/>
    <w:rsid w:val="000E4515"/>
    <w:rsid w:val="000E483E"/>
    <w:rsid w:val="000E4879"/>
    <w:rsid w:val="000E48B5"/>
    <w:rsid w:val="000E49C0"/>
    <w:rsid w:val="000E4A62"/>
    <w:rsid w:val="000E4B23"/>
    <w:rsid w:val="000E4B79"/>
    <w:rsid w:val="000E4CFD"/>
    <w:rsid w:val="000E4F4E"/>
    <w:rsid w:val="000E4FF6"/>
    <w:rsid w:val="000E53C0"/>
    <w:rsid w:val="000E565C"/>
    <w:rsid w:val="000E5660"/>
    <w:rsid w:val="000E576E"/>
    <w:rsid w:val="000E5A78"/>
    <w:rsid w:val="000E5B23"/>
    <w:rsid w:val="000E5B6F"/>
    <w:rsid w:val="000E5BB7"/>
    <w:rsid w:val="000E5C6A"/>
    <w:rsid w:val="000E5CBF"/>
    <w:rsid w:val="000E5D72"/>
    <w:rsid w:val="000E5DF1"/>
    <w:rsid w:val="000E5EBB"/>
    <w:rsid w:val="000E5FD1"/>
    <w:rsid w:val="000E603E"/>
    <w:rsid w:val="000E60DE"/>
    <w:rsid w:val="000E6147"/>
    <w:rsid w:val="000E6252"/>
    <w:rsid w:val="000E63C9"/>
    <w:rsid w:val="000E64D2"/>
    <w:rsid w:val="000E6542"/>
    <w:rsid w:val="000E65D4"/>
    <w:rsid w:val="000E672D"/>
    <w:rsid w:val="000E67AC"/>
    <w:rsid w:val="000E67B7"/>
    <w:rsid w:val="000E67C8"/>
    <w:rsid w:val="000E68CE"/>
    <w:rsid w:val="000E6A40"/>
    <w:rsid w:val="000E6EE0"/>
    <w:rsid w:val="000E6F0F"/>
    <w:rsid w:val="000E6FEF"/>
    <w:rsid w:val="000E7102"/>
    <w:rsid w:val="000E720C"/>
    <w:rsid w:val="000E75E1"/>
    <w:rsid w:val="000E7D72"/>
    <w:rsid w:val="000F013C"/>
    <w:rsid w:val="000F0842"/>
    <w:rsid w:val="000F085D"/>
    <w:rsid w:val="000F0879"/>
    <w:rsid w:val="000F0961"/>
    <w:rsid w:val="000F0CB8"/>
    <w:rsid w:val="000F0CBA"/>
    <w:rsid w:val="000F10C5"/>
    <w:rsid w:val="000F1222"/>
    <w:rsid w:val="000F12BA"/>
    <w:rsid w:val="000F144C"/>
    <w:rsid w:val="000F14E2"/>
    <w:rsid w:val="000F1687"/>
    <w:rsid w:val="000F18D4"/>
    <w:rsid w:val="000F190A"/>
    <w:rsid w:val="000F1935"/>
    <w:rsid w:val="000F1BD0"/>
    <w:rsid w:val="000F1F50"/>
    <w:rsid w:val="000F2106"/>
    <w:rsid w:val="000F273D"/>
    <w:rsid w:val="000F295C"/>
    <w:rsid w:val="000F2A32"/>
    <w:rsid w:val="000F2ACC"/>
    <w:rsid w:val="000F2B88"/>
    <w:rsid w:val="000F2B92"/>
    <w:rsid w:val="000F2CA6"/>
    <w:rsid w:val="000F2CB1"/>
    <w:rsid w:val="000F2CB2"/>
    <w:rsid w:val="000F2D26"/>
    <w:rsid w:val="000F2E55"/>
    <w:rsid w:val="000F2E5D"/>
    <w:rsid w:val="000F318C"/>
    <w:rsid w:val="000F3290"/>
    <w:rsid w:val="000F357D"/>
    <w:rsid w:val="000F3C22"/>
    <w:rsid w:val="000F3D25"/>
    <w:rsid w:val="000F3FD2"/>
    <w:rsid w:val="000F4175"/>
    <w:rsid w:val="000F421A"/>
    <w:rsid w:val="000F42BF"/>
    <w:rsid w:val="000F4514"/>
    <w:rsid w:val="000F471E"/>
    <w:rsid w:val="000F4CD1"/>
    <w:rsid w:val="000F4E2C"/>
    <w:rsid w:val="000F4E62"/>
    <w:rsid w:val="000F4F80"/>
    <w:rsid w:val="000F4FE3"/>
    <w:rsid w:val="000F50E1"/>
    <w:rsid w:val="000F52BF"/>
    <w:rsid w:val="000F52DF"/>
    <w:rsid w:val="000F53D1"/>
    <w:rsid w:val="000F5688"/>
    <w:rsid w:val="000F5805"/>
    <w:rsid w:val="000F59B5"/>
    <w:rsid w:val="000F5BC5"/>
    <w:rsid w:val="000F5C71"/>
    <w:rsid w:val="000F5CD4"/>
    <w:rsid w:val="000F5E24"/>
    <w:rsid w:val="000F5E7B"/>
    <w:rsid w:val="000F5F4E"/>
    <w:rsid w:val="000F643B"/>
    <w:rsid w:val="000F6460"/>
    <w:rsid w:val="000F6627"/>
    <w:rsid w:val="000F676F"/>
    <w:rsid w:val="000F68C8"/>
    <w:rsid w:val="000F6B4F"/>
    <w:rsid w:val="000F6C2B"/>
    <w:rsid w:val="000F6DF9"/>
    <w:rsid w:val="000F708F"/>
    <w:rsid w:val="000F70E0"/>
    <w:rsid w:val="000F712A"/>
    <w:rsid w:val="000F7182"/>
    <w:rsid w:val="000F72E8"/>
    <w:rsid w:val="000F744B"/>
    <w:rsid w:val="000F74EC"/>
    <w:rsid w:val="000F75E7"/>
    <w:rsid w:val="000F771B"/>
    <w:rsid w:val="000F780E"/>
    <w:rsid w:val="000F78A3"/>
    <w:rsid w:val="000F7A09"/>
    <w:rsid w:val="000F7A31"/>
    <w:rsid w:val="000F7B76"/>
    <w:rsid w:val="000F7CFB"/>
    <w:rsid w:val="000F7EED"/>
    <w:rsid w:val="00100232"/>
    <w:rsid w:val="00100827"/>
    <w:rsid w:val="0010090E"/>
    <w:rsid w:val="00100AD1"/>
    <w:rsid w:val="00100D55"/>
    <w:rsid w:val="00100E16"/>
    <w:rsid w:val="00100FAE"/>
    <w:rsid w:val="001012F4"/>
    <w:rsid w:val="00101618"/>
    <w:rsid w:val="0010164A"/>
    <w:rsid w:val="00101A72"/>
    <w:rsid w:val="00101B7D"/>
    <w:rsid w:val="001021CD"/>
    <w:rsid w:val="0010261E"/>
    <w:rsid w:val="00102775"/>
    <w:rsid w:val="00102962"/>
    <w:rsid w:val="00102A33"/>
    <w:rsid w:val="00102C5B"/>
    <w:rsid w:val="00102C71"/>
    <w:rsid w:val="00102C9E"/>
    <w:rsid w:val="00102D87"/>
    <w:rsid w:val="00102E42"/>
    <w:rsid w:val="0010300D"/>
    <w:rsid w:val="001030F0"/>
    <w:rsid w:val="0010319D"/>
    <w:rsid w:val="00103427"/>
    <w:rsid w:val="0010349B"/>
    <w:rsid w:val="001035A0"/>
    <w:rsid w:val="001035CE"/>
    <w:rsid w:val="001038E7"/>
    <w:rsid w:val="00103936"/>
    <w:rsid w:val="001039A3"/>
    <w:rsid w:val="00103D1C"/>
    <w:rsid w:val="00103FEF"/>
    <w:rsid w:val="00104084"/>
    <w:rsid w:val="00104247"/>
    <w:rsid w:val="0010443E"/>
    <w:rsid w:val="0010454A"/>
    <w:rsid w:val="00104659"/>
    <w:rsid w:val="001048E6"/>
    <w:rsid w:val="00104AE5"/>
    <w:rsid w:val="00104BB0"/>
    <w:rsid w:val="00104BEC"/>
    <w:rsid w:val="00104DD1"/>
    <w:rsid w:val="00105009"/>
    <w:rsid w:val="001050E1"/>
    <w:rsid w:val="001050F2"/>
    <w:rsid w:val="00105123"/>
    <w:rsid w:val="0010525D"/>
    <w:rsid w:val="00105265"/>
    <w:rsid w:val="001054FF"/>
    <w:rsid w:val="0010550D"/>
    <w:rsid w:val="0010558E"/>
    <w:rsid w:val="00105A2C"/>
    <w:rsid w:val="00105A93"/>
    <w:rsid w:val="00105BB6"/>
    <w:rsid w:val="00105C71"/>
    <w:rsid w:val="00105C78"/>
    <w:rsid w:val="00105CD1"/>
    <w:rsid w:val="00105D46"/>
    <w:rsid w:val="00105F98"/>
    <w:rsid w:val="00106329"/>
    <w:rsid w:val="0010634B"/>
    <w:rsid w:val="00106350"/>
    <w:rsid w:val="00106370"/>
    <w:rsid w:val="001063DC"/>
    <w:rsid w:val="00106B3B"/>
    <w:rsid w:val="00106C1D"/>
    <w:rsid w:val="00106CB2"/>
    <w:rsid w:val="00106ED9"/>
    <w:rsid w:val="00106F45"/>
    <w:rsid w:val="00106F6A"/>
    <w:rsid w:val="0010723B"/>
    <w:rsid w:val="0010753E"/>
    <w:rsid w:val="00107779"/>
    <w:rsid w:val="001079BE"/>
    <w:rsid w:val="00107CA8"/>
    <w:rsid w:val="00107E94"/>
    <w:rsid w:val="00110061"/>
    <w:rsid w:val="001102C7"/>
    <w:rsid w:val="001102DC"/>
    <w:rsid w:val="001105D5"/>
    <w:rsid w:val="0011061D"/>
    <w:rsid w:val="001106DC"/>
    <w:rsid w:val="001107C2"/>
    <w:rsid w:val="0011081D"/>
    <w:rsid w:val="00110894"/>
    <w:rsid w:val="001108D2"/>
    <w:rsid w:val="0011093E"/>
    <w:rsid w:val="00110ADC"/>
    <w:rsid w:val="00110B12"/>
    <w:rsid w:val="00110BCA"/>
    <w:rsid w:val="00110D7D"/>
    <w:rsid w:val="00110DEA"/>
    <w:rsid w:val="001111A7"/>
    <w:rsid w:val="001111BE"/>
    <w:rsid w:val="00111285"/>
    <w:rsid w:val="001113B2"/>
    <w:rsid w:val="0011151D"/>
    <w:rsid w:val="00111600"/>
    <w:rsid w:val="00111666"/>
    <w:rsid w:val="0011174E"/>
    <w:rsid w:val="00111778"/>
    <w:rsid w:val="00111837"/>
    <w:rsid w:val="00111969"/>
    <w:rsid w:val="00111A13"/>
    <w:rsid w:val="00111D58"/>
    <w:rsid w:val="00111F3B"/>
    <w:rsid w:val="00112048"/>
    <w:rsid w:val="0011218E"/>
    <w:rsid w:val="001121DE"/>
    <w:rsid w:val="001122CD"/>
    <w:rsid w:val="0011245C"/>
    <w:rsid w:val="00112532"/>
    <w:rsid w:val="0011253A"/>
    <w:rsid w:val="00112B09"/>
    <w:rsid w:val="001130F4"/>
    <w:rsid w:val="001134BB"/>
    <w:rsid w:val="00113953"/>
    <w:rsid w:val="00113B9A"/>
    <w:rsid w:val="00113EC7"/>
    <w:rsid w:val="00114054"/>
    <w:rsid w:val="00114251"/>
    <w:rsid w:val="001142AF"/>
    <w:rsid w:val="001142F9"/>
    <w:rsid w:val="00114497"/>
    <w:rsid w:val="0011451F"/>
    <w:rsid w:val="001148CD"/>
    <w:rsid w:val="001149C7"/>
    <w:rsid w:val="00114A3E"/>
    <w:rsid w:val="00114BCE"/>
    <w:rsid w:val="00114E51"/>
    <w:rsid w:val="00114EC8"/>
    <w:rsid w:val="0011509A"/>
    <w:rsid w:val="001150B3"/>
    <w:rsid w:val="001153DD"/>
    <w:rsid w:val="0011547F"/>
    <w:rsid w:val="00115638"/>
    <w:rsid w:val="00115750"/>
    <w:rsid w:val="00115A8D"/>
    <w:rsid w:val="00115B00"/>
    <w:rsid w:val="00115B1E"/>
    <w:rsid w:val="00115B70"/>
    <w:rsid w:val="00115BD3"/>
    <w:rsid w:val="00115D16"/>
    <w:rsid w:val="00115FA7"/>
    <w:rsid w:val="00116096"/>
    <w:rsid w:val="001160D8"/>
    <w:rsid w:val="0011610E"/>
    <w:rsid w:val="001161B4"/>
    <w:rsid w:val="0011627C"/>
    <w:rsid w:val="0011653A"/>
    <w:rsid w:val="0011663F"/>
    <w:rsid w:val="00116687"/>
    <w:rsid w:val="001167F3"/>
    <w:rsid w:val="00116A0A"/>
    <w:rsid w:val="00116AD9"/>
    <w:rsid w:val="00116BF6"/>
    <w:rsid w:val="00116D7F"/>
    <w:rsid w:val="00116EBF"/>
    <w:rsid w:val="00116FB3"/>
    <w:rsid w:val="001172E0"/>
    <w:rsid w:val="001173D2"/>
    <w:rsid w:val="0011744E"/>
    <w:rsid w:val="001174C8"/>
    <w:rsid w:val="00117560"/>
    <w:rsid w:val="001175D7"/>
    <w:rsid w:val="0011761B"/>
    <w:rsid w:val="00117865"/>
    <w:rsid w:val="00117964"/>
    <w:rsid w:val="00117F56"/>
    <w:rsid w:val="0012026F"/>
    <w:rsid w:val="00120300"/>
    <w:rsid w:val="00120309"/>
    <w:rsid w:val="00120348"/>
    <w:rsid w:val="0012038F"/>
    <w:rsid w:val="001204EF"/>
    <w:rsid w:val="001205A4"/>
    <w:rsid w:val="00120743"/>
    <w:rsid w:val="001207F6"/>
    <w:rsid w:val="00120921"/>
    <w:rsid w:val="0012096C"/>
    <w:rsid w:val="001209A0"/>
    <w:rsid w:val="00120A63"/>
    <w:rsid w:val="00120AC6"/>
    <w:rsid w:val="00120BBB"/>
    <w:rsid w:val="00120C09"/>
    <w:rsid w:val="00120FBA"/>
    <w:rsid w:val="0012103C"/>
    <w:rsid w:val="0012111E"/>
    <w:rsid w:val="001211A8"/>
    <w:rsid w:val="00121218"/>
    <w:rsid w:val="0012128A"/>
    <w:rsid w:val="00121374"/>
    <w:rsid w:val="0012144F"/>
    <w:rsid w:val="001216BD"/>
    <w:rsid w:val="00121701"/>
    <w:rsid w:val="0012181C"/>
    <w:rsid w:val="0012188C"/>
    <w:rsid w:val="00121CFC"/>
    <w:rsid w:val="00121E1A"/>
    <w:rsid w:val="00122096"/>
    <w:rsid w:val="001221C9"/>
    <w:rsid w:val="00122401"/>
    <w:rsid w:val="00122407"/>
    <w:rsid w:val="00122427"/>
    <w:rsid w:val="00122502"/>
    <w:rsid w:val="00122558"/>
    <w:rsid w:val="001225A0"/>
    <w:rsid w:val="001228DB"/>
    <w:rsid w:val="00122B02"/>
    <w:rsid w:val="00122CAC"/>
    <w:rsid w:val="00122CFE"/>
    <w:rsid w:val="00122D04"/>
    <w:rsid w:val="00122E10"/>
    <w:rsid w:val="0012316C"/>
    <w:rsid w:val="001232AA"/>
    <w:rsid w:val="001234D6"/>
    <w:rsid w:val="00123A4B"/>
    <w:rsid w:val="00123BCA"/>
    <w:rsid w:val="00123DC8"/>
    <w:rsid w:val="001242A6"/>
    <w:rsid w:val="0012430E"/>
    <w:rsid w:val="001244B2"/>
    <w:rsid w:val="001244D0"/>
    <w:rsid w:val="00124568"/>
    <w:rsid w:val="0012458D"/>
    <w:rsid w:val="00124A2D"/>
    <w:rsid w:val="00124ACA"/>
    <w:rsid w:val="00124B9A"/>
    <w:rsid w:val="00124C7D"/>
    <w:rsid w:val="00124F18"/>
    <w:rsid w:val="00124FB1"/>
    <w:rsid w:val="001251DE"/>
    <w:rsid w:val="001252E8"/>
    <w:rsid w:val="0012533B"/>
    <w:rsid w:val="001254B1"/>
    <w:rsid w:val="0012550B"/>
    <w:rsid w:val="001256F2"/>
    <w:rsid w:val="00125A15"/>
    <w:rsid w:val="00125B44"/>
    <w:rsid w:val="00125B97"/>
    <w:rsid w:val="00125E3E"/>
    <w:rsid w:val="0012609F"/>
    <w:rsid w:val="001260B8"/>
    <w:rsid w:val="00126182"/>
    <w:rsid w:val="0012634B"/>
    <w:rsid w:val="00126458"/>
    <w:rsid w:val="0012650B"/>
    <w:rsid w:val="00126585"/>
    <w:rsid w:val="00126728"/>
    <w:rsid w:val="00126908"/>
    <w:rsid w:val="001269CE"/>
    <w:rsid w:val="00126B42"/>
    <w:rsid w:val="00126CD3"/>
    <w:rsid w:val="00126CF1"/>
    <w:rsid w:val="00126D35"/>
    <w:rsid w:val="00127163"/>
    <w:rsid w:val="0012719E"/>
    <w:rsid w:val="0012738A"/>
    <w:rsid w:val="00127AC3"/>
    <w:rsid w:val="00127AF5"/>
    <w:rsid w:val="00127B8C"/>
    <w:rsid w:val="00127C29"/>
    <w:rsid w:val="00127CFC"/>
    <w:rsid w:val="0013007B"/>
    <w:rsid w:val="001301A4"/>
    <w:rsid w:val="001303E2"/>
    <w:rsid w:val="001303E8"/>
    <w:rsid w:val="00130446"/>
    <w:rsid w:val="001304DD"/>
    <w:rsid w:val="00130551"/>
    <w:rsid w:val="001307DC"/>
    <w:rsid w:val="0013082C"/>
    <w:rsid w:val="00130D8C"/>
    <w:rsid w:val="00130E26"/>
    <w:rsid w:val="00130F49"/>
    <w:rsid w:val="00130F6D"/>
    <w:rsid w:val="00130FCD"/>
    <w:rsid w:val="0013117E"/>
    <w:rsid w:val="001314D0"/>
    <w:rsid w:val="0013183F"/>
    <w:rsid w:val="00131CB1"/>
    <w:rsid w:val="00132015"/>
    <w:rsid w:val="00132519"/>
    <w:rsid w:val="00132539"/>
    <w:rsid w:val="0013257C"/>
    <w:rsid w:val="00132641"/>
    <w:rsid w:val="001326A6"/>
    <w:rsid w:val="00132861"/>
    <w:rsid w:val="001328C1"/>
    <w:rsid w:val="001328C6"/>
    <w:rsid w:val="0013295E"/>
    <w:rsid w:val="00132B65"/>
    <w:rsid w:val="00132BB0"/>
    <w:rsid w:val="00132BDC"/>
    <w:rsid w:val="00133009"/>
    <w:rsid w:val="00133086"/>
    <w:rsid w:val="00133153"/>
    <w:rsid w:val="001331F2"/>
    <w:rsid w:val="001332C0"/>
    <w:rsid w:val="0013340A"/>
    <w:rsid w:val="00133413"/>
    <w:rsid w:val="001335FB"/>
    <w:rsid w:val="001337AC"/>
    <w:rsid w:val="00133DB3"/>
    <w:rsid w:val="00133DC7"/>
    <w:rsid w:val="00133E25"/>
    <w:rsid w:val="00133E80"/>
    <w:rsid w:val="00133F7C"/>
    <w:rsid w:val="001340C7"/>
    <w:rsid w:val="001342DA"/>
    <w:rsid w:val="00134386"/>
    <w:rsid w:val="00134415"/>
    <w:rsid w:val="00134A3E"/>
    <w:rsid w:val="00134C15"/>
    <w:rsid w:val="00134E97"/>
    <w:rsid w:val="00134F70"/>
    <w:rsid w:val="0013524A"/>
    <w:rsid w:val="00135354"/>
    <w:rsid w:val="001353A3"/>
    <w:rsid w:val="001354F1"/>
    <w:rsid w:val="001354F9"/>
    <w:rsid w:val="00135711"/>
    <w:rsid w:val="0013576B"/>
    <w:rsid w:val="001357AB"/>
    <w:rsid w:val="00135808"/>
    <w:rsid w:val="0013583F"/>
    <w:rsid w:val="001359FB"/>
    <w:rsid w:val="00135A16"/>
    <w:rsid w:val="00135A57"/>
    <w:rsid w:val="00135BC8"/>
    <w:rsid w:val="00135C82"/>
    <w:rsid w:val="00135DF0"/>
    <w:rsid w:val="00135EB1"/>
    <w:rsid w:val="00136042"/>
    <w:rsid w:val="00136274"/>
    <w:rsid w:val="001363D4"/>
    <w:rsid w:val="001365B9"/>
    <w:rsid w:val="00136EA9"/>
    <w:rsid w:val="00136ECF"/>
    <w:rsid w:val="001371F6"/>
    <w:rsid w:val="0013724A"/>
    <w:rsid w:val="001372CF"/>
    <w:rsid w:val="001373E1"/>
    <w:rsid w:val="001374D9"/>
    <w:rsid w:val="00137501"/>
    <w:rsid w:val="001375C5"/>
    <w:rsid w:val="0013773E"/>
    <w:rsid w:val="00137769"/>
    <w:rsid w:val="0013785D"/>
    <w:rsid w:val="00137883"/>
    <w:rsid w:val="001378BB"/>
    <w:rsid w:val="001378D7"/>
    <w:rsid w:val="00137A16"/>
    <w:rsid w:val="00137AF1"/>
    <w:rsid w:val="00137CC0"/>
    <w:rsid w:val="00137D73"/>
    <w:rsid w:val="00140A37"/>
    <w:rsid w:val="00140B57"/>
    <w:rsid w:val="00140DBC"/>
    <w:rsid w:val="00140E09"/>
    <w:rsid w:val="00141018"/>
    <w:rsid w:val="00141181"/>
    <w:rsid w:val="001411AE"/>
    <w:rsid w:val="001411C1"/>
    <w:rsid w:val="0014140D"/>
    <w:rsid w:val="001414AC"/>
    <w:rsid w:val="001416A4"/>
    <w:rsid w:val="00141717"/>
    <w:rsid w:val="00141E50"/>
    <w:rsid w:val="00141E6F"/>
    <w:rsid w:val="00141EC3"/>
    <w:rsid w:val="001420E8"/>
    <w:rsid w:val="00142144"/>
    <w:rsid w:val="00142174"/>
    <w:rsid w:val="00142188"/>
    <w:rsid w:val="00142388"/>
    <w:rsid w:val="0014248C"/>
    <w:rsid w:val="001425DD"/>
    <w:rsid w:val="00142605"/>
    <w:rsid w:val="001427CE"/>
    <w:rsid w:val="00142B82"/>
    <w:rsid w:val="00142C9C"/>
    <w:rsid w:val="00143030"/>
    <w:rsid w:val="0014338C"/>
    <w:rsid w:val="001434F3"/>
    <w:rsid w:val="001435B5"/>
    <w:rsid w:val="001435F1"/>
    <w:rsid w:val="0014372B"/>
    <w:rsid w:val="001438D6"/>
    <w:rsid w:val="00143A4A"/>
    <w:rsid w:val="00143F95"/>
    <w:rsid w:val="001440A5"/>
    <w:rsid w:val="001440D6"/>
    <w:rsid w:val="00144689"/>
    <w:rsid w:val="001448C8"/>
    <w:rsid w:val="001448CA"/>
    <w:rsid w:val="0014499D"/>
    <w:rsid w:val="00144DF1"/>
    <w:rsid w:val="00144E2E"/>
    <w:rsid w:val="00145038"/>
    <w:rsid w:val="00145451"/>
    <w:rsid w:val="0014567D"/>
    <w:rsid w:val="00145860"/>
    <w:rsid w:val="00145AB4"/>
    <w:rsid w:val="00145ACB"/>
    <w:rsid w:val="00145CB6"/>
    <w:rsid w:val="00145CCD"/>
    <w:rsid w:val="00145E20"/>
    <w:rsid w:val="00145ECD"/>
    <w:rsid w:val="00145F12"/>
    <w:rsid w:val="00145FF4"/>
    <w:rsid w:val="00145FF7"/>
    <w:rsid w:val="00146252"/>
    <w:rsid w:val="0014640D"/>
    <w:rsid w:val="0014641C"/>
    <w:rsid w:val="00146440"/>
    <w:rsid w:val="00146789"/>
    <w:rsid w:val="00146916"/>
    <w:rsid w:val="00146BBC"/>
    <w:rsid w:val="00146E3A"/>
    <w:rsid w:val="00146E3B"/>
    <w:rsid w:val="00146E97"/>
    <w:rsid w:val="0014704D"/>
    <w:rsid w:val="00147182"/>
    <w:rsid w:val="00147201"/>
    <w:rsid w:val="0014723B"/>
    <w:rsid w:val="0014748A"/>
    <w:rsid w:val="00147586"/>
    <w:rsid w:val="001477F1"/>
    <w:rsid w:val="00147836"/>
    <w:rsid w:val="001478A2"/>
    <w:rsid w:val="00147E02"/>
    <w:rsid w:val="00147E3A"/>
    <w:rsid w:val="00147F44"/>
    <w:rsid w:val="00150182"/>
    <w:rsid w:val="0015024A"/>
    <w:rsid w:val="0015037B"/>
    <w:rsid w:val="001503A0"/>
    <w:rsid w:val="001503D5"/>
    <w:rsid w:val="00150609"/>
    <w:rsid w:val="001507BE"/>
    <w:rsid w:val="00150C7C"/>
    <w:rsid w:val="00150CE0"/>
    <w:rsid w:val="00150CFD"/>
    <w:rsid w:val="00150F24"/>
    <w:rsid w:val="00151166"/>
    <w:rsid w:val="00151304"/>
    <w:rsid w:val="0015136D"/>
    <w:rsid w:val="001513E2"/>
    <w:rsid w:val="001514AA"/>
    <w:rsid w:val="001515B9"/>
    <w:rsid w:val="00151785"/>
    <w:rsid w:val="0015180E"/>
    <w:rsid w:val="00151826"/>
    <w:rsid w:val="00151AE5"/>
    <w:rsid w:val="00151B6C"/>
    <w:rsid w:val="00151CE8"/>
    <w:rsid w:val="00151DE3"/>
    <w:rsid w:val="00152249"/>
    <w:rsid w:val="0015243A"/>
    <w:rsid w:val="0015266E"/>
    <w:rsid w:val="001526F0"/>
    <w:rsid w:val="001528FC"/>
    <w:rsid w:val="001529B3"/>
    <w:rsid w:val="001529E5"/>
    <w:rsid w:val="00152BAC"/>
    <w:rsid w:val="00152D11"/>
    <w:rsid w:val="00152E23"/>
    <w:rsid w:val="00152FBF"/>
    <w:rsid w:val="001532E7"/>
    <w:rsid w:val="001535E5"/>
    <w:rsid w:val="001539E2"/>
    <w:rsid w:val="00153B20"/>
    <w:rsid w:val="00153B73"/>
    <w:rsid w:val="00153CDD"/>
    <w:rsid w:val="00153DEE"/>
    <w:rsid w:val="00153EB9"/>
    <w:rsid w:val="00153EC6"/>
    <w:rsid w:val="00153F63"/>
    <w:rsid w:val="00154015"/>
    <w:rsid w:val="001541B4"/>
    <w:rsid w:val="00154684"/>
    <w:rsid w:val="00154A12"/>
    <w:rsid w:val="00154AAF"/>
    <w:rsid w:val="00154AE6"/>
    <w:rsid w:val="00154BBA"/>
    <w:rsid w:val="00154C04"/>
    <w:rsid w:val="00154C43"/>
    <w:rsid w:val="00154D86"/>
    <w:rsid w:val="00154EA6"/>
    <w:rsid w:val="0015500F"/>
    <w:rsid w:val="00155029"/>
    <w:rsid w:val="0015507C"/>
    <w:rsid w:val="0015543D"/>
    <w:rsid w:val="00155517"/>
    <w:rsid w:val="0015551E"/>
    <w:rsid w:val="0015554F"/>
    <w:rsid w:val="0015558A"/>
    <w:rsid w:val="00155654"/>
    <w:rsid w:val="001557CC"/>
    <w:rsid w:val="00155943"/>
    <w:rsid w:val="00155A63"/>
    <w:rsid w:val="00155AE0"/>
    <w:rsid w:val="00155B05"/>
    <w:rsid w:val="00155C2C"/>
    <w:rsid w:val="00155FA8"/>
    <w:rsid w:val="001560CE"/>
    <w:rsid w:val="001561D7"/>
    <w:rsid w:val="001563AC"/>
    <w:rsid w:val="00156479"/>
    <w:rsid w:val="0015689F"/>
    <w:rsid w:val="00156C05"/>
    <w:rsid w:val="00156CE4"/>
    <w:rsid w:val="00156E22"/>
    <w:rsid w:val="0015716F"/>
    <w:rsid w:val="001573B6"/>
    <w:rsid w:val="001577B9"/>
    <w:rsid w:val="00157816"/>
    <w:rsid w:val="001579E9"/>
    <w:rsid w:val="00157A07"/>
    <w:rsid w:val="0016010D"/>
    <w:rsid w:val="00160160"/>
    <w:rsid w:val="00160326"/>
    <w:rsid w:val="0016051C"/>
    <w:rsid w:val="00160776"/>
    <w:rsid w:val="0016081C"/>
    <w:rsid w:val="00160A70"/>
    <w:rsid w:val="00160C15"/>
    <w:rsid w:val="00160CBC"/>
    <w:rsid w:val="00160D10"/>
    <w:rsid w:val="00160DA8"/>
    <w:rsid w:val="00160DB3"/>
    <w:rsid w:val="00160EC0"/>
    <w:rsid w:val="00160FED"/>
    <w:rsid w:val="001611CF"/>
    <w:rsid w:val="001611F5"/>
    <w:rsid w:val="00161231"/>
    <w:rsid w:val="001613F8"/>
    <w:rsid w:val="00161412"/>
    <w:rsid w:val="0016172E"/>
    <w:rsid w:val="00161956"/>
    <w:rsid w:val="00161C54"/>
    <w:rsid w:val="00161D19"/>
    <w:rsid w:val="00161EB7"/>
    <w:rsid w:val="00161F81"/>
    <w:rsid w:val="0016221A"/>
    <w:rsid w:val="001622B1"/>
    <w:rsid w:val="001625C7"/>
    <w:rsid w:val="00162694"/>
    <w:rsid w:val="001626AD"/>
    <w:rsid w:val="001627E5"/>
    <w:rsid w:val="001628C0"/>
    <w:rsid w:val="0016291A"/>
    <w:rsid w:val="001629FE"/>
    <w:rsid w:val="00162A43"/>
    <w:rsid w:val="00162BCE"/>
    <w:rsid w:val="00162BD0"/>
    <w:rsid w:val="00162E16"/>
    <w:rsid w:val="00162F4F"/>
    <w:rsid w:val="00162F57"/>
    <w:rsid w:val="00162F9B"/>
    <w:rsid w:val="00163050"/>
    <w:rsid w:val="001630DE"/>
    <w:rsid w:val="00163108"/>
    <w:rsid w:val="001631BE"/>
    <w:rsid w:val="001632FD"/>
    <w:rsid w:val="00163458"/>
    <w:rsid w:val="001634CD"/>
    <w:rsid w:val="001635D4"/>
    <w:rsid w:val="00163778"/>
    <w:rsid w:val="00163A16"/>
    <w:rsid w:val="00163AF4"/>
    <w:rsid w:val="00163DBA"/>
    <w:rsid w:val="00163EBE"/>
    <w:rsid w:val="0016424D"/>
    <w:rsid w:val="0016465A"/>
    <w:rsid w:val="00164831"/>
    <w:rsid w:val="00164974"/>
    <w:rsid w:val="00164A1F"/>
    <w:rsid w:val="00164AF2"/>
    <w:rsid w:val="00164D1E"/>
    <w:rsid w:val="00164DDB"/>
    <w:rsid w:val="00164E22"/>
    <w:rsid w:val="00164F3F"/>
    <w:rsid w:val="001655A7"/>
    <w:rsid w:val="001656CA"/>
    <w:rsid w:val="00165A2C"/>
    <w:rsid w:val="00165A4F"/>
    <w:rsid w:val="00165DDE"/>
    <w:rsid w:val="0016606E"/>
    <w:rsid w:val="00166115"/>
    <w:rsid w:val="00166198"/>
    <w:rsid w:val="001661C0"/>
    <w:rsid w:val="0016632F"/>
    <w:rsid w:val="0016660A"/>
    <w:rsid w:val="00166653"/>
    <w:rsid w:val="00166BEB"/>
    <w:rsid w:val="00166C88"/>
    <w:rsid w:val="00166DB5"/>
    <w:rsid w:val="00166F35"/>
    <w:rsid w:val="00166FFF"/>
    <w:rsid w:val="0016708A"/>
    <w:rsid w:val="00167648"/>
    <w:rsid w:val="0016768B"/>
    <w:rsid w:val="001676C5"/>
    <w:rsid w:val="001677C8"/>
    <w:rsid w:val="001677F5"/>
    <w:rsid w:val="001679CC"/>
    <w:rsid w:val="00167AED"/>
    <w:rsid w:val="00167B08"/>
    <w:rsid w:val="00167C48"/>
    <w:rsid w:val="00167E74"/>
    <w:rsid w:val="00167F3A"/>
    <w:rsid w:val="00167FF2"/>
    <w:rsid w:val="00170089"/>
    <w:rsid w:val="0017017B"/>
    <w:rsid w:val="00170565"/>
    <w:rsid w:val="00170845"/>
    <w:rsid w:val="00170BDC"/>
    <w:rsid w:val="00170C8B"/>
    <w:rsid w:val="00170E2D"/>
    <w:rsid w:val="00170ECE"/>
    <w:rsid w:val="00171081"/>
    <w:rsid w:val="00171374"/>
    <w:rsid w:val="001715FF"/>
    <w:rsid w:val="0017174F"/>
    <w:rsid w:val="0017178C"/>
    <w:rsid w:val="00171B40"/>
    <w:rsid w:val="00171C13"/>
    <w:rsid w:val="00171C3D"/>
    <w:rsid w:val="00171F1B"/>
    <w:rsid w:val="00172038"/>
    <w:rsid w:val="00172474"/>
    <w:rsid w:val="00172514"/>
    <w:rsid w:val="001726CC"/>
    <w:rsid w:val="00172836"/>
    <w:rsid w:val="00172891"/>
    <w:rsid w:val="00172959"/>
    <w:rsid w:val="00172D2B"/>
    <w:rsid w:val="00172D9B"/>
    <w:rsid w:val="00172F92"/>
    <w:rsid w:val="001731D1"/>
    <w:rsid w:val="001731FF"/>
    <w:rsid w:val="001732A2"/>
    <w:rsid w:val="001732DF"/>
    <w:rsid w:val="00173401"/>
    <w:rsid w:val="001734D7"/>
    <w:rsid w:val="0017363F"/>
    <w:rsid w:val="001736B3"/>
    <w:rsid w:val="0017393D"/>
    <w:rsid w:val="00173B80"/>
    <w:rsid w:val="00173CFC"/>
    <w:rsid w:val="00173F3F"/>
    <w:rsid w:val="00174043"/>
    <w:rsid w:val="0017416B"/>
    <w:rsid w:val="0017447B"/>
    <w:rsid w:val="0017466F"/>
    <w:rsid w:val="00174760"/>
    <w:rsid w:val="0017488E"/>
    <w:rsid w:val="001748D8"/>
    <w:rsid w:val="00174984"/>
    <w:rsid w:val="001749B1"/>
    <w:rsid w:val="00174B23"/>
    <w:rsid w:val="00174BE8"/>
    <w:rsid w:val="00175010"/>
    <w:rsid w:val="0017516A"/>
    <w:rsid w:val="001752C7"/>
    <w:rsid w:val="001756AC"/>
    <w:rsid w:val="00175941"/>
    <w:rsid w:val="00175ADA"/>
    <w:rsid w:val="00175B76"/>
    <w:rsid w:val="00175D99"/>
    <w:rsid w:val="00175FEF"/>
    <w:rsid w:val="0017612C"/>
    <w:rsid w:val="00176280"/>
    <w:rsid w:val="001762BB"/>
    <w:rsid w:val="001765C1"/>
    <w:rsid w:val="00176690"/>
    <w:rsid w:val="00176765"/>
    <w:rsid w:val="001767BA"/>
    <w:rsid w:val="00176941"/>
    <w:rsid w:val="0017698D"/>
    <w:rsid w:val="00176C45"/>
    <w:rsid w:val="0017715B"/>
    <w:rsid w:val="00177416"/>
    <w:rsid w:val="00177475"/>
    <w:rsid w:val="00177489"/>
    <w:rsid w:val="0017778D"/>
    <w:rsid w:val="001778BA"/>
    <w:rsid w:val="001778D4"/>
    <w:rsid w:val="0017790F"/>
    <w:rsid w:val="00177A48"/>
    <w:rsid w:val="00177A5C"/>
    <w:rsid w:val="00177B09"/>
    <w:rsid w:val="00177BC1"/>
    <w:rsid w:val="00177CF9"/>
    <w:rsid w:val="00177D16"/>
    <w:rsid w:val="00177EF8"/>
    <w:rsid w:val="00180029"/>
    <w:rsid w:val="001801FA"/>
    <w:rsid w:val="001803B3"/>
    <w:rsid w:val="001803DA"/>
    <w:rsid w:val="00180839"/>
    <w:rsid w:val="00180853"/>
    <w:rsid w:val="00180975"/>
    <w:rsid w:val="00180988"/>
    <w:rsid w:val="00180A47"/>
    <w:rsid w:val="00180C4E"/>
    <w:rsid w:val="00180D28"/>
    <w:rsid w:val="00180E22"/>
    <w:rsid w:val="00180F02"/>
    <w:rsid w:val="001812A6"/>
    <w:rsid w:val="001812D3"/>
    <w:rsid w:val="0018146E"/>
    <w:rsid w:val="00181A64"/>
    <w:rsid w:val="00182014"/>
    <w:rsid w:val="00182141"/>
    <w:rsid w:val="0018268B"/>
    <w:rsid w:val="00182948"/>
    <w:rsid w:val="00182AC2"/>
    <w:rsid w:val="00182B0E"/>
    <w:rsid w:val="00182B3E"/>
    <w:rsid w:val="00182B8E"/>
    <w:rsid w:val="00182C23"/>
    <w:rsid w:val="00182CA6"/>
    <w:rsid w:val="00182CB2"/>
    <w:rsid w:val="00182CB5"/>
    <w:rsid w:val="001831C8"/>
    <w:rsid w:val="001832C9"/>
    <w:rsid w:val="001833B6"/>
    <w:rsid w:val="00183530"/>
    <w:rsid w:val="00183564"/>
    <w:rsid w:val="001835D7"/>
    <w:rsid w:val="0018365D"/>
    <w:rsid w:val="0018370B"/>
    <w:rsid w:val="001837AC"/>
    <w:rsid w:val="00183CCC"/>
    <w:rsid w:val="00183E84"/>
    <w:rsid w:val="001840B6"/>
    <w:rsid w:val="001840F9"/>
    <w:rsid w:val="0018423B"/>
    <w:rsid w:val="00184333"/>
    <w:rsid w:val="001843F6"/>
    <w:rsid w:val="00184438"/>
    <w:rsid w:val="001846EE"/>
    <w:rsid w:val="00184723"/>
    <w:rsid w:val="00184811"/>
    <w:rsid w:val="00184B51"/>
    <w:rsid w:val="00184C77"/>
    <w:rsid w:val="00184C8A"/>
    <w:rsid w:val="00184D11"/>
    <w:rsid w:val="00184FE5"/>
    <w:rsid w:val="00185049"/>
    <w:rsid w:val="00185243"/>
    <w:rsid w:val="0018548C"/>
    <w:rsid w:val="00185648"/>
    <w:rsid w:val="001857F7"/>
    <w:rsid w:val="00185828"/>
    <w:rsid w:val="00185959"/>
    <w:rsid w:val="00185A0D"/>
    <w:rsid w:val="00185B19"/>
    <w:rsid w:val="00185B82"/>
    <w:rsid w:val="00185D96"/>
    <w:rsid w:val="001861D4"/>
    <w:rsid w:val="001867DC"/>
    <w:rsid w:val="00186827"/>
    <w:rsid w:val="001869EB"/>
    <w:rsid w:val="00186C20"/>
    <w:rsid w:val="00186C9E"/>
    <w:rsid w:val="00186D06"/>
    <w:rsid w:val="00186D8F"/>
    <w:rsid w:val="00186E03"/>
    <w:rsid w:val="00187425"/>
    <w:rsid w:val="0018750C"/>
    <w:rsid w:val="0018768F"/>
    <w:rsid w:val="001878D6"/>
    <w:rsid w:val="00187900"/>
    <w:rsid w:val="00187A82"/>
    <w:rsid w:val="00187AD3"/>
    <w:rsid w:val="00187B1E"/>
    <w:rsid w:val="00187C11"/>
    <w:rsid w:val="00187C81"/>
    <w:rsid w:val="00187EB4"/>
    <w:rsid w:val="00187F73"/>
    <w:rsid w:val="001901B1"/>
    <w:rsid w:val="001908A8"/>
    <w:rsid w:val="001908E7"/>
    <w:rsid w:val="00190BC2"/>
    <w:rsid w:val="00190CC6"/>
    <w:rsid w:val="00190CE9"/>
    <w:rsid w:val="00190EF2"/>
    <w:rsid w:val="00190F04"/>
    <w:rsid w:val="001911BF"/>
    <w:rsid w:val="0019131C"/>
    <w:rsid w:val="00191449"/>
    <w:rsid w:val="00191473"/>
    <w:rsid w:val="00191498"/>
    <w:rsid w:val="0019175F"/>
    <w:rsid w:val="001918A2"/>
    <w:rsid w:val="001919E5"/>
    <w:rsid w:val="00191D3F"/>
    <w:rsid w:val="00191D52"/>
    <w:rsid w:val="00191E71"/>
    <w:rsid w:val="00192035"/>
    <w:rsid w:val="001921EC"/>
    <w:rsid w:val="001922C8"/>
    <w:rsid w:val="0019236B"/>
    <w:rsid w:val="001923B9"/>
    <w:rsid w:val="001924CE"/>
    <w:rsid w:val="001926D6"/>
    <w:rsid w:val="00192AA5"/>
    <w:rsid w:val="00192B4E"/>
    <w:rsid w:val="00193233"/>
    <w:rsid w:val="001939F0"/>
    <w:rsid w:val="00193A7A"/>
    <w:rsid w:val="00193AB3"/>
    <w:rsid w:val="00193D8E"/>
    <w:rsid w:val="00193E4A"/>
    <w:rsid w:val="00193F25"/>
    <w:rsid w:val="001941CD"/>
    <w:rsid w:val="00194351"/>
    <w:rsid w:val="001944E7"/>
    <w:rsid w:val="00194548"/>
    <w:rsid w:val="00194588"/>
    <w:rsid w:val="001945E1"/>
    <w:rsid w:val="001945F2"/>
    <w:rsid w:val="00194827"/>
    <w:rsid w:val="00194A43"/>
    <w:rsid w:val="00194C28"/>
    <w:rsid w:val="00194DE1"/>
    <w:rsid w:val="00195178"/>
    <w:rsid w:val="001953A4"/>
    <w:rsid w:val="001954AF"/>
    <w:rsid w:val="00195596"/>
    <w:rsid w:val="00195648"/>
    <w:rsid w:val="001956EA"/>
    <w:rsid w:val="001958EE"/>
    <w:rsid w:val="0019597B"/>
    <w:rsid w:val="00195E82"/>
    <w:rsid w:val="00195E97"/>
    <w:rsid w:val="00195EAE"/>
    <w:rsid w:val="00195F3D"/>
    <w:rsid w:val="00195F92"/>
    <w:rsid w:val="0019602C"/>
    <w:rsid w:val="0019620B"/>
    <w:rsid w:val="001962C4"/>
    <w:rsid w:val="001962CA"/>
    <w:rsid w:val="001963A7"/>
    <w:rsid w:val="00196421"/>
    <w:rsid w:val="001965A9"/>
    <w:rsid w:val="0019664B"/>
    <w:rsid w:val="00196692"/>
    <w:rsid w:val="001966DF"/>
    <w:rsid w:val="00196727"/>
    <w:rsid w:val="00196930"/>
    <w:rsid w:val="001969AE"/>
    <w:rsid w:val="00196AFF"/>
    <w:rsid w:val="001970A0"/>
    <w:rsid w:val="001971C1"/>
    <w:rsid w:val="001974B7"/>
    <w:rsid w:val="0019757B"/>
    <w:rsid w:val="00197758"/>
    <w:rsid w:val="00197A19"/>
    <w:rsid w:val="00197B17"/>
    <w:rsid w:val="00197B88"/>
    <w:rsid w:val="00197C18"/>
    <w:rsid w:val="00197F50"/>
    <w:rsid w:val="001A0067"/>
    <w:rsid w:val="001A025D"/>
    <w:rsid w:val="001A045A"/>
    <w:rsid w:val="001A054E"/>
    <w:rsid w:val="001A0593"/>
    <w:rsid w:val="001A0A15"/>
    <w:rsid w:val="001A0C2B"/>
    <w:rsid w:val="001A0CD3"/>
    <w:rsid w:val="001A0CEC"/>
    <w:rsid w:val="001A10B7"/>
    <w:rsid w:val="001A1502"/>
    <w:rsid w:val="001A1557"/>
    <w:rsid w:val="001A15E6"/>
    <w:rsid w:val="001A16A6"/>
    <w:rsid w:val="001A19D4"/>
    <w:rsid w:val="001A1A44"/>
    <w:rsid w:val="001A1AF8"/>
    <w:rsid w:val="001A1B24"/>
    <w:rsid w:val="001A1C95"/>
    <w:rsid w:val="001A1CC8"/>
    <w:rsid w:val="001A1DBF"/>
    <w:rsid w:val="001A1FB5"/>
    <w:rsid w:val="001A200A"/>
    <w:rsid w:val="001A20F5"/>
    <w:rsid w:val="001A2152"/>
    <w:rsid w:val="001A22CB"/>
    <w:rsid w:val="001A23D4"/>
    <w:rsid w:val="001A25FB"/>
    <w:rsid w:val="001A29D7"/>
    <w:rsid w:val="001A2DA4"/>
    <w:rsid w:val="001A2E42"/>
    <w:rsid w:val="001A2F01"/>
    <w:rsid w:val="001A2F7D"/>
    <w:rsid w:val="001A2FBB"/>
    <w:rsid w:val="001A3036"/>
    <w:rsid w:val="001A316A"/>
    <w:rsid w:val="001A332B"/>
    <w:rsid w:val="001A35E9"/>
    <w:rsid w:val="001A37CA"/>
    <w:rsid w:val="001A3B95"/>
    <w:rsid w:val="001A3B96"/>
    <w:rsid w:val="001A3F8B"/>
    <w:rsid w:val="001A40AF"/>
    <w:rsid w:val="001A40D8"/>
    <w:rsid w:val="001A418A"/>
    <w:rsid w:val="001A41B3"/>
    <w:rsid w:val="001A46DD"/>
    <w:rsid w:val="001A4879"/>
    <w:rsid w:val="001A4B22"/>
    <w:rsid w:val="001A4B30"/>
    <w:rsid w:val="001A4D5E"/>
    <w:rsid w:val="001A4DC0"/>
    <w:rsid w:val="001A4FE5"/>
    <w:rsid w:val="001A4FF0"/>
    <w:rsid w:val="001A5058"/>
    <w:rsid w:val="001A50F1"/>
    <w:rsid w:val="001A52E1"/>
    <w:rsid w:val="001A568A"/>
    <w:rsid w:val="001A56CA"/>
    <w:rsid w:val="001A592A"/>
    <w:rsid w:val="001A5A78"/>
    <w:rsid w:val="001A5C62"/>
    <w:rsid w:val="001A5E64"/>
    <w:rsid w:val="001A5ED6"/>
    <w:rsid w:val="001A5FD8"/>
    <w:rsid w:val="001A6049"/>
    <w:rsid w:val="001A6296"/>
    <w:rsid w:val="001A636D"/>
    <w:rsid w:val="001A6655"/>
    <w:rsid w:val="001A6692"/>
    <w:rsid w:val="001A69AE"/>
    <w:rsid w:val="001A6A30"/>
    <w:rsid w:val="001A6AE7"/>
    <w:rsid w:val="001A6B6F"/>
    <w:rsid w:val="001A6C03"/>
    <w:rsid w:val="001A6D43"/>
    <w:rsid w:val="001A6DE2"/>
    <w:rsid w:val="001A6F16"/>
    <w:rsid w:val="001A7437"/>
    <w:rsid w:val="001A75BB"/>
    <w:rsid w:val="001A75EF"/>
    <w:rsid w:val="001A7826"/>
    <w:rsid w:val="001A799D"/>
    <w:rsid w:val="001A7BC4"/>
    <w:rsid w:val="001A7E61"/>
    <w:rsid w:val="001B0070"/>
    <w:rsid w:val="001B0184"/>
    <w:rsid w:val="001B0295"/>
    <w:rsid w:val="001B0305"/>
    <w:rsid w:val="001B0316"/>
    <w:rsid w:val="001B0427"/>
    <w:rsid w:val="001B06D5"/>
    <w:rsid w:val="001B0796"/>
    <w:rsid w:val="001B08A6"/>
    <w:rsid w:val="001B08E9"/>
    <w:rsid w:val="001B090A"/>
    <w:rsid w:val="001B0C6D"/>
    <w:rsid w:val="001B0DF3"/>
    <w:rsid w:val="001B0E1B"/>
    <w:rsid w:val="001B0EF2"/>
    <w:rsid w:val="001B0F86"/>
    <w:rsid w:val="001B1261"/>
    <w:rsid w:val="001B1485"/>
    <w:rsid w:val="001B14F7"/>
    <w:rsid w:val="001B15DE"/>
    <w:rsid w:val="001B15F2"/>
    <w:rsid w:val="001B17CF"/>
    <w:rsid w:val="001B195A"/>
    <w:rsid w:val="001B19AC"/>
    <w:rsid w:val="001B1A9D"/>
    <w:rsid w:val="001B1D1F"/>
    <w:rsid w:val="001B1D63"/>
    <w:rsid w:val="001B1E34"/>
    <w:rsid w:val="001B1FB4"/>
    <w:rsid w:val="001B21E4"/>
    <w:rsid w:val="001B220D"/>
    <w:rsid w:val="001B223F"/>
    <w:rsid w:val="001B22FE"/>
    <w:rsid w:val="001B2497"/>
    <w:rsid w:val="001B271B"/>
    <w:rsid w:val="001B289A"/>
    <w:rsid w:val="001B2A14"/>
    <w:rsid w:val="001B2A2F"/>
    <w:rsid w:val="001B2E12"/>
    <w:rsid w:val="001B3004"/>
    <w:rsid w:val="001B31BD"/>
    <w:rsid w:val="001B3287"/>
    <w:rsid w:val="001B342D"/>
    <w:rsid w:val="001B363C"/>
    <w:rsid w:val="001B36DC"/>
    <w:rsid w:val="001B36FA"/>
    <w:rsid w:val="001B384C"/>
    <w:rsid w:val="001B3962"/>
    <w:rsid w:val="001B396A"/>
    <w:rsid w:val="001B3C28"/>
    <w:rsid w:val="001B3C68"/>
    <w:rsid w:val="001B3DF8"/>
    <w:rsid w:val="001B3E33"/>
    <w:rsid w:val="001B3FDD"/>
    <w:rsid w:val="001B40BC"/>
    <w:rsid w:val="001B4100"/>
    <w:rsid w:val="001B41D8"/>
    <w:rsid w:val="001B41F7"/>
    <w:rsid w:val="001B428B"/>
    <w:rsid w:val="001B44EC"/>
    <w:rsid w:val="001B4886"/>
    <w:rsid w:val="001B4930"/>
    <w:rsid w:val="001B4BEC"/>
    <w:rsid w:val="001B4C9C"/>
    <w:rsid w:val="001B4EB8"/>
    <w:rsid w:val="001B4F01"/>
    <w:rsid w:val="001B5079"/>
    <w:rsid w:val="001B535C"/>
    <w:rsid w:val="001B54AF"/>
    <w:rsid w:val="001B5A02"/>
    <w:rsid w:val="001B5B1F"/>
    <w:rsid w:val="001B5BD9"/>
    <w:rsid w:val="001B5EE0"/>
    <w:rsid w:val="001B5F21"/>
    <w:rsid w:val="001B6168"/>
    <w:rsid w:val="001B6305"/>
    <w:rsid w:val="001B658F"/>
    <w:rsid w:val="001B6669"/>
    <w:rsid w:val="001B69C4"/>
    <w:rsid w:val="001B6B79"/>
    <w:rsid w:val="001B6D36"/>
    <w:rsid w:val="001B6F47"/>
    <w:rsid w:val="001B709A"/>
    <w:rsid w:val="001B71BF"/>
    <w:rsid w:val="001B71CF"/>
    <w:rsid w:val="001B72AC"/>
    <w:rsid w:val="001B7382"/>
    <w:rsid w:val="001B7496"/>
    <w:rsid w:val="001B74E4"/>
    <w:rsid w:val="001B7648"/>
    <w:rsid w:val="001B7790"/>
    <w:rsid w:val="001B7A1C"/>
    <w:rsid w:val="001B7E1B"/>
    <w:rsid w:val="001B7FA5"/>
    <w:rsid w:val="001C006D"/>
    <w:rsid w:val="001C00D9"/>
    <w:rsid w:val="001C01A0"/>
    <w:rsid w:val="001C0286"/>
    <w:rsid w:val="001C0417"/>
    <w:rsid w:val="001C0454"/>
    <w:rsid w:val="001C0636"/>
    <w:rsid w:val="001C0704"/>
    <w:rsid w:val="001C0782"/>
    <w:rsid w:val="001C0C44"/>
    <w:rsid w:val="001C0C99"/>
    <w:rsid w:val="001C0DB5"/>
    <w:rsid w:val="001C0DD2"/>
    <w:rsid w:val="001C0DEB"/>
    <w:rsid w:val="001C1068"/>
    <w:rsid w:val="001C155D"/>
    <w:rsid w:val="001C167E"/>
    <w:rsid w:val="001C1819"/>
    <w:rsid w:val="001C1A28"/>
    <w:rsid w:val="001C1BAE"/>
    <w:rsid w:val="001C1CD3"/>
    <w:rsid w:val="001C1E2F"/>
    <w:rsid w:val="001C1F09"/>
    <w:rsid w:val="001C1FB1"/>
    <w:rsid w:val="001C22FC"/>
    <w:rsid w:val="001C2388"/>
    <w:rsid w:val="001C2475"/>
    <w:rsid w:val="001C2731"/>
    <w:rsid w:val="001C2A1C"/>
    <w:rsid w:val="001C2B9F"/>
    <w:rsid w:val="001C2C6F"/>
    <w:rsid w:val="001C2F4F"/>
    <w:rsid w:val="001C32A9"/>
    <w:rsid w:val="001C3301"/>
    <w:rsid w:val="001C3317"/>
    <w:rsid w:val="001C351F"/>
    <w:rsid w:val="001C3560"/>
    <w:rsid w:val="001C36B7"/>
    <w:rsid w:val="001C3855"/>
    <w:rsid w:val="001C38E0"/>
    <w:rsid w:val="001C3927"/>
    <w:rsid w:val="001C395E"/>
    <w:rsid w:val="001C3BBD"/>
    <w:rsid w:val="001C3C87"/>
    <w:rsid w:val="001C3CF0"/>
    <w:rsid w:val="001C3D33"/>
    <w:rsid w:val="001C3E61"/>
    <w:rsid w:val="001C3FDF"/>
    <w:rsid w:val="001C426D"/>
    <w:rsid w:val="001C460C"/>
    <w:rsid w:val="001C4655"/>
    <w:rsid w:val="001C4A72"/>
    <w:rsid w:val="001C526B"/>
    <w:rsid w:val="001C52AA"/>
    <w:rsid w:val="001C5382"/>
    <w:rsid w:val="001C5571"/>
    <w:rsid w:val="001C56AA"/>
    <w:rsid w:val="001C57BE"/>
    <w:rsid w:val="001C57CE"/>
    <w:rsid w:val="001C5954"/>
    <w:rsid w:val="001C59D9"/>
    <w:rsid w:val="001C5A18"/>
    <w:rsid w:val="001C5D66"/>
    <w:rsid w:val="001C5D7C"/>
    <w:rsid w:val="001C5F35"/>
    <w:rsid w:val="001C5FEB"/>
    <w:rsid w:val="001C6075"/>
    <w:rsid w:val="001C6141"/>
    <w:rsid w:val="001C6394"/>
    <w:rsid w:val="001C6466"/>
    <w:rsid w:val="001C6502"/>
    <w:rsid w:val="001C6509"/>
    <w:rsid w:val="001C689D"/>
    <w:rsid w:val="001C68B9"/>
    <w:rsid w:val="001C68DA"/>
    <w:rsid w:val="001C6CEF"/>
    <w:rsid w:val="001C707B"/>
    <w:rsid w:val="001C76AA"/>
    <w:rsid w:val="001C7798"/>
    <w:rsid w:val="001C77B1"/>
    <w:rsid w:val="001C7A6E"/>
    <w:rsid w:val="001C7B50"/>
    <w:rsid w:val="001C7BA7"/>
    <w:rsid w:val="001C7BC1"/>
    <w:rsid w:val="001C7D4F"/>
    <w:rsid w:val="001D03E1"/>
    <w:rsid w:val="001D0485"/>
    <w:rsid w:val="001D079D"/>
    <w:rsid w:val="001D0A03"/>
    <w:rsid w:val="001D0A0E"/>
    <w:rsid w:val="001D0E2A"/>
    <w:rsid w:val="001D0E41"/>
    <w:rsid w:val="001D0F6A"/>
    <w:rsid w:val="001D121B"/>
    <w:rsid w:val="001D1226"/>
    <w:rsid w:val="001D1371"/>
    <w:rsid w:val="001D149C"/>
    <w:rsid w:val="001D1681"/>
    <w:rsid w:val="001D170A"/>
    <w:rsid w:val="001D186C"/>
    <w:rsid w:val="001D1E0D"/>
    <w:rsid w:val="001D1EF7"/>
    <w:rsid w:val="001D2069"/>
    <w:rsid w:val="001D213B"/>
    <w:rsid w:val="001D2277"/>
    <w:rsid w:val="001D2304"/>
    <w:rsid w:val="001D27AD"/>
    <w:rsid w:val="001D2905"/>
    <w:rsid w:val="001D2A81"/>
    <w:rsid w:val="001D2B8D"/>
    <w:rsid w:val="001D2E10"/>
    <w:rsid w:val="001D2F27"/>
    <w:rsid w:val="001D3242"/>
    <w:rsid w:val="001D34EE"/>
    <w:rsid w:val="001D372E"/>
    <w:rsid w:val="001D3894"/>
    <w:rsid w:val="001D38F7"/>
    <w:rsid w:val="001D38F9"/>
    <w:rsid w:val="001D39CC"/>
    <w:rsid w:val="001D3CAB"/>
    <w:rsid w:val="001D3D22"/>
    <w:rsid w:val="001D3E44"/>
    <w:rsid w:val="001D400E"/>
    <w:rsid w:val="001D41D8"/>
    <w:rsid w:val="001D432C"/>
    <w:rsid w:val="001D4357"/>
    <w:rsid w:val="001D45D4"/>
    <w:rsid w:val="001D4631"/>
    <w:rsid w:val="001D47B7"/>
    <w:rsid w:val="001D4C0A"/>
    <w:rsid w:val="001D4C9E"/>
    <w:rsid w:val="001D4CAD"/>
    <w:rsid w:val="001D4F4F"/>
    <w:rsid w:val="001D52D7"/>
    <w:rsid w:val="001D5333"/>
    <w:rsid w:val="001D542F"/>
    <w:rsid w:val="001D560C"/>
    <w:rsid w:val="001D58EE"/>
    <w:rsid w:val="001D594C"/>
    <w:rsid w:val="001D597D"/>
    <w:rsid w:val="001D59E9"/>
    <w:rsid w:val="001D5AE8"/>
    <w:rsid w:val="001D5C43"/>
    <w:rsid w:val="001D5FB9"/>
    <w:rsid w:val="001D604D"/>
    <w:rsid w:val="001D6185"/>
    <w:rsid w:val="001D62A6"/>
    <w:rsid w:val="001D6486"/>
    <w:rsid w:val="001D652A"/>
    <w:rsid w:val="001D6819"/>
    <w:rsid w:val="001D69C0"/>
    <w:rsid w:val="001D69E7"/>
    <w:rsid w:val="001D6A51"/>
    <w:rsid w:val="001D6A7F"/>
    <w:rsid w:val="001D6C50"/>
    <w:rsid w:val="001D6D7C"/>
    <w:rsid w:val="001D6EBF"/>
    <w:rsid w:val="001D7120"/>
    <w:rsid w:val="001D7207"/>
    <w:rsid w:val="001D7310"/>
    <w:rsid w:val="001D740E"/>
    <w:rsid w:val="001D769F"/>
    <w:rsid w:val="001D770E"/>
    <w:rsid w:val="001D775C"/>
    <w:rsid w:val="001D77B6"/>
    <w:rsid w:val="001D7824"/>
    <w:rsid w:val="001D7880"/>
    <w:rsid w:val="001D78A2"/>
    <w:rsid w:val="001D78ED"/>
    <w:rsid w:val="001D78F7"/>
    <w:rsid w:val="001D7F47"/>
    <w:rsid w:val="001D7F6D"/>
    <w:rsid w:val="001E0127"/>
    <w:rsid w:val="001E0326"/>
    <w:rsid w:val="001E036A"/>
    <w:rsid w:val="001E052B"/>
    <w:rsid w:val="001E0569"/>
    <w:rsid w:val="001E0570"/>
    <w:rsid w:val="001E0583"/>
    <w:rsid w:val="001E059E"/>
    <w:rsid w:val="001E05DE"/>
    <w:rsid w:val="001E06DA"/>
    <w:rsid w:val="001E0972"/>
    <w:rsid w:val="001E0C39"/>
    <w:rsid w:val="001E123A"/>
    <w:rsid w:val="001E1326"/>
    <w:rsid w:val="001E14E8"/>
    <w:rsid w:val="001E1855"/>
    <w:rsid w:val="001E1CE1"/>
    <w:rsid w:val="001E1EDD"/>
    <w:rsid w:val="001E2120"/>
    <w:rsid w:val="001E2125"/>
    <w:rsid w:val="001E2339"/>
    <w:rsid w:val="001E2368"/>
    <w:rsid w:val="001E23BF"/>
    <w:rsid w:val="001E24CA"/>
    <w:rsid w:val="001E263A"/>
    <w:rsid w:val="001E28FA"/>
    <w:rsid w:val="001E2F97"/>
    <w:rsid w:val="001E2FD3"/>
    <w:rsid w:val="001E302B"/>
    <w:rsid w:val="001E30D0"/>
    <w:rsid w:val="001E3175"/>
    <w:rsid w:val="001E32AA"/>
    <w:rsid w:val="001E3362"/>
    <w:rsid w:val="001E34D1"/>
    <w:rsid w:val="001E3718"/>
    <w:rsid w:val="001E3956"/>
    <w:rsid w:val="001E3AD3"/>
    <w:rsid w:val="001E3B47"/>
    <w:rsid w:val="001E3B9D"/>
    <w:rsid w:val="001E3E56"/>
    <w:rsid w:val="001E3F09"/>
    <w:rsid w:val="001E3F0D"/>
    <w:rsid w:val="001E3F9B"/>
    <w:rsid w:val="001E3FF3"/>
    <w:rsid w:val="001E4093"/>
    <w:rsid w:val="001E4146"/>
    <w:rsid w:val="001E4215"/>
    <w:rsid w:val="001E430E"/>
    <w:rsid w:val="001E4386"/>
    <w:rsid w:val="001E439A"/>
    <w:rsid w:val="001E43EA"/>
    <w:rsid w:val="001E43FD"/>
    <w:rsid w:val="001E4575"/>
    <w:rsid w:val="001E45AE"/>
    <w:rsid w:val="001E45F5"/>
    <w:rsid w:val="001E46F8"/>
    <w:rsid w:val="001E490D"/>
    <w:rsid w:val="001E4BFF"/>
    <w:rsid w:val="001E4D7B"/>
    <w:rsid w:val="001E4F3E"/>
    <w:rsid w:val="001E5219"/>
    <w:rsid w:val="001E5398"/>
    <w:rsid w:val="001E5399"/>
    <w:rsid w:val="001E5586"/>
    <w:rsid w:val="001E5C0B"/>
    <w:rsid w:val="001E6003"/>
    <w:rsid w:val="001E601B"/>
    <w:rsid w:val="001E6073"/>
    <w:rsid w:val="001E612C"/>
    <w:rsid w:val="001E6355"/>
    <w:rsid w:val="001E6361"/>
    <w:rsid w:val="001E6456"/>
    <w:rsid w:val="001E64B4"/>
    <w:rsid w:val="001E67F9"/>
    <w:rsid w:val="001E69D7"/>
    <w:rsid w:val="001E6B16"/>
    <w:rsid w:val="001E6C87"/>
    <w:rsid w:val="001E6CC9"/>
    <w:rsid w:val="001E6EDE"/>
    <w:rsid w:val="001E6F54"/>
    <w:rsid w:val="001E706B"/>
    <w:rsid w:val="001E70CE"/>
    <w:rsid w:val="001E7322"/>
    <w:rsid w:val="001E762B"/>
    <w:rsid w:val="001E7680"/>
    <w:rsid w:val="001E7818"/>
    <w:rsid w:val="001E7C98"/>
    <w:rsid w:val="001E7D0E"/>
    <w:rsid w:val="001E7E23"/>
    <w:rsid w:val="001E7E7E"/>
    <w:rsid w:val="001E7E88"/>
    <w:rsid w:val="001E7F4A"/>
    <w:rsid w:val="001F00A6"/>
    <w:rsid w:val="001F00B7"/>
    <w:rsid w:val="001F013E"/>
    <w:rsid w:val="001F02EB"/>
    <w:rsid w:val="001F04CD"/>
    <w:rsid w:val="001F05EF"/>
    <w:rsid w:val="001F07A9"/>
    <w:rsid w:val="001F0A10"/>
    <w:rsid w:val="001F0A7D"/>
    <w:rsid w:val="001F0B1A"/>
    <w:rsid w:val="001F0D5E"/>
    <w:rsid w:val="001F0F64"/>
    <w:rsid w:val="001F117A"/>
    <w:rsid w:val="001F118E"/>
    <w:rsid w:val="001F119C"/>
    <w:rsid w:val="001F128A"/>
    <w:rsid w:val="001F12CA"/>
    <w:rsid w:val="001F12D5"/>
    <w:rsid w:val="001F1387"/>
    <w:rsid w:val="001F15C7"/>
    <w:rsid w:val="001F1755"/>
    <w:rsid w:val="001F19DF"/>
    <w:rsid w:val="001F1A87"/>
    <w:rsid w:val="001F1C0E"/>
    <w:rsid w:val="001F1D1E"/>
    <w:rsid w:val="001F1EF4"/>
    <w:rsid w:val="001F1F16"/>
    <w:rsid w:val="001F236D"/>
    <w:rsid w:val="001F253E"/>
    <w:rsid w:val="001F2587"/>
    <w:rsid w:val="001F279E"/>
    <w:rsid w:val="001F284D"/>
    <w:rsid w:val="001F2868"/>
    <w:rsid w:val="001F288F"/>
    <w:rsid w:val="001F296E"/>
    <w:rsid w:val="001F2BE4"/>
    <w:rsid w:val="001F2C63"/>
    <w:rsid w:val="001F2DEA"/>
    <w:rsid w:val="001F2E3F"/>
    <w:rsid w:val="001F2E44"/>
    <w:rsid w:val="001F2EA1"/>
    <w:rsid w:val="001F2F22"/>
    <w:rsid w:val="001F32BD"/>
    <w:rsid w:val="001F3407"/>
    <w:rsid w:val="001F3466"/>
    <w:rsid w:val="001F37EB"/>
    <w:rsid w:val="001F39D8"/>
    <w:rsid w:val="001F3B78"/>
    <w:rsid w:val="001F3CA3"/>
    <w:rsid w:val="001F3E73"/>
    <w:rsid w:val="001F413D"/>
    <w:rsid w:val="001F4289"/>
    <w:rsid w:val="001F4365"/>
    <w:rsid w:val="001F4426"/>
    <w:rsid w:val="001F478C"/>
    <w:rsid w:val="001F4807"/>
    <w:rsid w:val="001F48C2"/>
    <w:rsid w:val="001F49B6"/>
    <w:rsid w:val="001F4A4D"/>
    <w:rsid w:val="001F4D75"/>
    <w:rsid w:val="001F4DC3"/>
    <w:rsid w:val="001F4F20"/>
    <w:rsid w:val="001F4F33"/>
    <w:rsid w:val="001F5058"/>
    <w:rsid w:val="001F51AF"/>
    <w:rsid w:val="001F5372"/>
    <w:rsid w:val="001F5572"/>
    <w:rsid w:val="001F5783"/>
    <w:rsid w:val="001F5B04"/>
    <w:rsid w:val="001F5C0A"/>
    <w:rsid w:val="001F5D63"/>
    <w:rsid w:val="001F5DE6"/>
    <w:rsid w:val="001F6177"/>
    <w:rsid w:val="001F619E"/>
    <w:rsid w:val="001F61DF"/>
    <w:rsid w:val="001F62C7"/>
    <w:rsid w:val="001F63A9"/>
    <w:rsid w:val="001F6661"/>
    <w:rsid w:val="001F671C"/>
    <w:rsid w:val="001F67EE"/>
    <w:rsid w:val="001F6A68"/>
    <w:rsid w:val="001F6ABA"/>
    <w:rsid w:val="001F6CED"/>
    <w:rsid w:val="001F6F58"/>
    <w:rsid w:val="001F723E"/>
    <w:rsid w:val="001F72E7"/>
    <w:rsid w:val="001F73FD"/>
    <w:rsid w:val="001F7476"/>
    <w:rsid w:val="001F76C4"/>
    <w:rsid w:val="001F78CE"/>
    <w:rsid w:val="001F7A6D"/>
    <w:rsid w:val="001F7BDB"/>
    <w:rsid w:val="001F7EBD"/>
    <w:rsid w:val="0020002D"/>
    <w:rsid w:val="002000B9"/>
    <w:rsid w:val="002000F1"/>
    <w:rsid w:val="00200104"/>
    <w:rsid w:val="002006F1"/>
    <w:rsid w:val="00200984"/>
    <w:rsid w:val="00200A75"/>
    <w:rsid w:val="00200D2E"/>
    <w:rsid w:val="00200D85"/>
    <w:rsid w:val="00200DDE"/>
    <w:rsid w:val="00200E2E"/>
    <w:rsid w:val="00200F32"/>
    <w:rsid w:val="00201016"/>
    <w:rsid w:val="00201018"/>
    <w:rsid w:val="002010A4"/>
    <w:rsid w:val="002010DE"/>
    <w:rsid w:val="00201342"/>
    <w:rsid w:val="0020148B"/>
    <w:rsid w:val="002016FA"/>
    <w:rsid w:val="00201827"/>
    <w:rsid w:val="0020188D"/>
    <w:rsid w:val="00201B20"/>
    <w:rsid w:val="00201C24"/>
    <w:rsid w:val="00201F2C"/>
    <w:rsid w:val="00201F32"/>
    <w:rsid w:val="002020E0"/>
    <w:rsid w:val="0020223C"/>
    <w:rsid w:val="00202453"/>
    <w:rsid w:val="00202454"/>
    <w:rsid w:val="0020266C"/>
    <w:rsid w:val="002026DE"/>
    <w:rsid w:val="0020295C"/>
    <w:rsid w:val="00202BDB"/>
    <w:rsid w:val="00202C1E"/>
    <w:rsid w:val="00202DA4"/>
    <w:rsid w:val="00202E0C"/>
    <w:rsid w:val="00202F1C"/>
    <w:rsid w:val="00203154"/>
    <w:rsid w:val="002031B3"/>
    <w:rsid w:val="00203225"/>
    <w:rsid w:val="002034BD"/>
    <w:rsid w:val="002035CB"/>
    <w:rsid w:val="0020377E"/>
    <w:rsid w:val="00203AA2"/>
    <w:rsid w:val="00203C59"/>
    <w:rsid w:val="00203D51"/>
    <w:rsid w:val="00203DE7"/>
    <w:rsid w:val="00203E49"/>
    <w:rsid w:val="0020408F"/>
    <w:rsid w:val="00204281"/>
    <w:rsid w:val="002042F9"/>
    <w:rsid w:val="002043C6"/>
    <w:rsid w:val="002043CC"/>
    <w:rsid w:val="00204436"/>
    <w:rsid w:val="0020497F"/>
    <w:rsid w:val="00204A27"/>
    <w:rsid w:val="00204B60"/>
    <w:rsid w:val="00204BEA"/>
    <w:rsid w:val="00204F26"/>
    <w:rsid w:val="0020504D"/>
    <w:rsid w:val="0020504F"/>
    <w:rsid w:val="002051E7"/>
    <w:rsid w:val="0020537F"/>
    <w:rsid w:val="002053A5"/>
    <w:rsid w:val="00205782"/>
    <w:rsid w:val="00205869"/>
    <w:rsid w:val="00205893"/>
    <w:rsid w:val="00205B15"/>
    <w:rsid w:val="00205B2E"/>
    <w:rsid w:val="00205B7E"/>
    <w:rsid w:val="00205C42"/>
    <w:rsid w:val="00205CFB"/>
    <w:rsid w:val="00205F58"/>
    <w:rsid w:val="00205F77"/>
    <w:rsid w:val="00205FD2"/>
    <w:rsid w:val="0020605E"/>
    <w:rsid w:val="002060B6"/>
    <w:rsid w:val="002063D2"/>
    <w:rsid w:val="002064FD"/>
    <w:rsid w:val="00206777"/>
    <w:rsid w:val="00206937"/>
    <w:rsid w:val="00206952"/>
    <w:rsid w:val="0020699A"/>
    <w:rsid w:val="00206A14"/>
    <w:rsid w:val="00206A55"/>
    <w:rsid w:val="00206D13"/>
    <w:rsid w:val="00206EF8"/>
    <w:rsid w:val="00206FAE"/>
    <w:rsid w:val="0020703B"/>
    <w:rsid w:val="00207552"/>
    <w:rsid w:val="00207598"/>
    <w:rsid w:val="00207620"/>
    <w:rsid w:val="00207AB4"/>
    <w:rsid w:val="00207B82"/>
    <w:rsid w:val="00207CD3"/>
    <w:rsid w:val="00207E18"/>
    <w:rsid w:val="0021027B"/>
    <w:rsid w:val="00210297"/>
    <w:rsid w:val="002103CB"/>
    <w:rsid w:val="002103F4"/>
    <w:rsid w:val="002106F5"/>
    <w:rsid w:val="0021085A"/>
    <w:rsid w:val="00210868"/>
    <w:rsid w:val="00210878"/>
    <w:rsid w:val="00210E92"/>
    <w:rsid w:val="0021108E"/>
    <w:rsid w:val="00211164"/>
    <w:rsid w:val="002112E5"/>
    <w:rsid w:val="002114FD"/>
    <w:rsid w:val="002116D7"/>
    <w:rsid w:val="002117B0"/>
    <w:rsid w:val="00211A0E"/>
    <w:rsid w:val="00211AF1"/>
    <w:rsid w:val="00211C72"/>
    <w:rsid w:val="00211E23"/>
    <w:rsid w:val="00211ED6"/>
    <w:rsid w:val="00211F2D"/>
    <w:rsid w:val="00211F2F"/>
    <w:rsid w:val="00212174"/>
    <w:rsid w:val="00212616"/>
    <w:rsid w:val="00212654"/>
    <w:rsid w:val="002126D1"/>
    <w:rsid w:val="002127A1"/>
    <w:rsid w:val="002127B3"/>
    <w:rsid w:val="00212852"/>
    <w:rsid w:val="0021292E"/>
    <w:rsid w:val="002129DA"/>
    <w:rsid w:val="00212BFC"/>
    <w:rsid w:val="00212D6B"/>
    <w:rsid w:val="00212ED5"/>
    <w:rsid w:val="00212F05"/>
    <w:rsid w:val="00213210"/>
    <w:rsid w:val="002133C5"/>
    <w:rsid w:val="00213695"/>
    <w:rsid w:val="002136A3"/>
    <w:rsid w:val="00213AC4"/>
    <w:rsid w:val="00213AD7"/>
    <w:rsid w:val="00213BDD"/>
    <w:rsid w:val="00213C93"/>
    <w:rsid w:val="00213EF2"/>
    <w:rsid w:val="00213FE3"/>
    <w:rsid w:val="0021408B"/>
    <w:rsid w:val="0021410F"/>
    <w:rsid w:val="00214295"/>
    <w:rsid w:val="002143E5"/>
    <w:rsid w:val="0021447B"/>
    <w:rsid w:val="002145BB"/>
    <w:rsid w:val="00214609"/>
    <w:rsid w:val="00214826"/>
    <w:rsid w:val="00214855"/>
    <w:rsid w:val="00214B96"/>
    <w:rsid w:val="00214F37"/>
    <w:rsid w:val="00214F58"/>
    <w:rsid w:val="00215164"/>
    <w:rsid w:val="0021533F"/>
    <w:rsid w:val="0021548A"/>
    <w:rsid w:val="002156A8"/>
    <w:rsid w:val="002156CF"/>
    <w:rsid w:val="002159F0"/>
    <w:rsid w:val="00216011"/>
    <w:rsid w:val="00216301"/>
    <w:rsid w:val="0021635E"/>
    <w:rsid w:val="0021671F"/>
    <w:rsid w:val="00216929"/>
    <w:rsid w:val="0021703C"/>
    <w:rsid w:val="0021714D"/>
    <w:rsid w:val="00217197"/>
    <w:rsid w:val="00217387"/>
    <w:rsid w:val="002174D3"/>
    <w:rsid w:val="00217653"/>
    <w:rsid w:val="002176C4"/>
    <w:rsid w:val="00217744"/>
    <w:rsid w:val="002177BB"/>
    <w:rsid w:val="002178C3"/>
    <w:rsid w:val="00217BBC"/>
    <w:rsid w:val="00217CA3"/>
    <w:rsid w:val="002202C8"/>
    <w:rsid w:val="002207BC"/>
    <w:rsid w:val="002207D5"/>
    <w:rsid w:val="0022094E"/>
    <w:rsid w:val="0022095C"/>
    <w:rsid w:val="00220A19"/>
    <w:rsid w:val="00220AD2"/>
    <w:rsid w:val="00220CFF"/>
    <w:rsid w:val="00220D11"/>
    <w:rsid w:val="00220FC5"/>
    <w:rsid w:val="002210ED"/>
    <w:rsid w:val="002211D3"/>
    <w:rsid w:val="002212E9"/>
    <w:rsid w:val="00221869"/>
    <w:rsid w:val="002218F4"/>
    <w:rsid w:val="00221ACD"/>
    <w:rsid w:val="00221B28"/>
    <w:rsid w:val="00221B54"/>
    <w:rsid w:val="00221BA4"/>
    <w:rsid w:val="00221E6A"/>
    <w:rsid w:val="00221EAC"/>
    <w:rsid w:val="0022208B"/>
    <w:rsid w:val="00222091"/>
    <w:rsid w:val="002220C7"/>
    <w:rsid w:val="0022233A"/>
    <w:rsid w:val="00222427"/>
    <w:rsid w:val="00222921"/>
    <w:rsid w:val="00222DE3"/>
    <w:rsid w:val="00222E90"/>
    <w:rsid w:val="00223534"/>
    <w:rsid w:val="002235DF"/>
    <w:rsid w:val="002235E3"/>
    <w:rsid w:val="0022374D"/>
    <w:rsid w:val="00223EC3"/>
    <w:rsid w:val="0022421A"/>
    <w:rsid w:val="00224529"/>
    <w:rsid w:val="0022458F"/>
    <w:rsid w:val="00224D80"/>
    <w:rsid w:val="00224ECA"/>
    <w:rsid w:val="00224FAB"/>
    <w:rsid w:val="0022511D"/>
    <w:rsid w:val="0022512C"/>
    <w:rsid w:val="002255B3"/>
    <w:rsid w:val="0022568B"/>
    <w:rsid w:val="002257C8"/>
    <w:rsid w:val="00225A98"/>
    <w:rsid w:val="00225D61"/>
    <w:rsid w:val="00225F8A"/>
    <w:rsid w:val="002260DF"/>
    <w:rsid w:val="002262D1"/>
    <w:rsid w:val="0022637F"/>
    <w:rsid w:val="002263BF"/>
    <w:rsid w:val="0022640D"/>
    <w:rsid w:val="00226640"/>
    <w:rsid w:val="00226B4A"/>
    <w:rsid w:val="00226BC7"/>
    <w:rsid w:val="00226CB4"/>
    <w:rsid w:val="00226F53"/>
    <w:rsid w:val="002270E3"/>
    <w:rsid w:val="002271B1"/>
    <w:rsid w:val="00227357"/>
    <w:rsid w:val="00227381"/>
    <w:rsid w:val="00227418"/>
    <w:rsid w:val="00227512"/>
    <w:rsid w:val="002275F3"/>
    <w:rsid w:val="002275FA"/>
    <w:rsid w:val="0022771E"/>
    <w:rsid w:val="00227A3F"/>
    <w:rsid w:val="00227BFC"/>
    <w:rsid w:val="00227ED4"/>
    <w:rsid w:val="00230075"/>
    <w:rsid w:val="00230458"/>
    <w:rsid w:val="0023050A"/>
    <w:rsid w:val="002305A3"/>
    <w:rsid w:val="0023072F"/>
    <w:rsid w:val="002307D5"/>
    <w:rsid w:val="0023091A"/>
    <w:rsid w:val="00230923"/>
    <w:rsid w:val="00230934"/>
    <w:rsid w:val="002309D9"/>
    <w:rsid w:val="00230B87"/>
    <w:rsid w:val="00230EE4"/>
    <w:rsid w:val="002312D4"/>
    <w:rsid w:val="002312FA"/>
    <w:rsid w:val="0023184B"/>
    <w:rsid w:val="00231BBF"/>
    <w:rsid w:val="00231C0E"/>
    <w:rsid w:val="00231E89"/>
    <w:rsid w:val="00231EC4"/>
    <w:rsid w:val="00231ED7"/>
    <w:rsid w:val="00231F84"/>
    <w:rsid w:val="00232107"/>
    <w:rsid w:val="00232245"/>
    <w:rsid w:val="002323D6"/>
    <w:rsid w:val="002326DA"/>
    <w:rsid w:val="0023271F"/>
    <w:rsid w:val="0023276C"/>
    <w:rsid w:val="002328E6"/>
    <w:rsid w:val="00232B24"/>
    <w:rsid w:val="00232BDD"/>
    <w:rsid w:val="00232CB8"/>
    <w:rsid w:val="00232D2F"/>
    <w:rsid w:val="00232DB3"/>
    <w:rsid w:val="00232E32"/>
    <w:rsid w:val="00232E34"/>
    <w:rsid w:val="00232E4C"/>
    <w:rsid w:val="00232EDD"/>
    <w:rsid w:val="00232FF0"/>
    <w:rsid w:val="002336B9"/>
    <w:rsid w:val="002336E1"/>
    <w:rsid w:val="00233870"/>
    <w:rsid w:val="002338C4"/>
    <w:rsid w:val="00233932"/>
    <w:rsid w:val="0023397B"/>
    <w:rsid w:val="00233BAA"/>
    <w:rsid w:val="00233D03"/>
    <w:rsid w:val="00233D5C"/>
    <w:rsid w:val="00233E8D"/>
    <w:rsid w:val="00234340"/>
    <w:rsid w:val="0023437F"/>
    <w:rsid w:val="002345A5"/>
    <w:rsid w:val="00234642"/>
    <w:rsid w:val="00234770"/>
    <w:rsid w:val="002347C4"/>
    <w:rsid w:val="002348B8"/>
    <w:rsid w:val="00234AC5"/>
    <w:rsid w:val="00234E8C"/>
    <w:rsid w:val="0023508F"/>
    <w:rsid w:val="0023515A"/>
    <w:rsid w:val="00235199"/>
    <w:rsid w:val="002351B6"/>
    <w:rsid w:val="00235253"/>
    <w:rsid w:val="00235486"/>
    <w:rsid w:val="002356BC"/>
    <w:rsid w:val="00235A8C"/>
    <w:rsid w:val="00235C38"/>
    <w:rsid w:val="00235C85"/>
    <w:rsid w:val="00235ECC"/>
    <w:rsid w:val="00236023"/>
    <w:rsid w:val="002362C2"/>
    <w:rsid w:val="002364A6"/>
    <w:rsid w:val="00236527"/>
    <w:rsid w:val="0023657A"/>
    <w:rsid w:val="00236B1C"/>
    <w:rsid w:val="00236DFD"/>
    <w:rsid w:val="00237126"/>
    <w:rsid w:val="00237265"/>
    <w:rsid w:val="00237309"/>
    <w:rsid w:val="0023737E"/>
    <w:rsid w:val="00237486"/>
    <w:rsid w:val="002379C4"/>
    <w:rsid w:val="00237B62"/>
    <w:rsid w:val="00237B88"/>
    <w:rsid w:val="00237E2A"/>
    <w:rsid w:val="00240192"/>
    <w:rsid w:val="0024048B"/>
    <w:rsid w:val="002405F2"/>
    <w:rsid w:val="00240AC1"/>
    <w:rsid w:val="00240F92"/>
    <w:rsid w:val="00241077"/>
    <w:rsid w:val="002410B6"/>
    <w:rsid w:val="002410CD"/>
    <w:rsid w:val="00241357"/>
    <w:rsid w:val="0024136F"/>
    <w:rsid w:val="002413B9"/>
    <w:rsid w:val="002414A8"/>
    <w:rsid w:val="00241631"/>
    <w:rsid w:val="002417C2"/>
    <w:rsid w:val="002418F6"/>
    <w:rsid w:val="00241A69"/>
    <w:rsid w:val="00241A9B"/>
    <w:rsid w:val="00241AAC"/>
    <w:rsid w:val="00241EA5"/>
    <w:rsid w:val="00241F6D"/>
    <w:rsid w:val="00242022"/>
    <w:rsid w:val="00242165"/>
    <w:rsid w:val="0024281C"/>
    <w:rsid w:val="00242893"/>
    <w:rsid w:val="00242901"/>
    <w:rsid w:val="00242C2B"/>
    <w:rsid w:val="00242D22"/>
    <w:rsid w:val="00242D48"/>
    <w:rsid w:val="00242F93"/>
    <w:rsid w:val="00243667"/>
    <w:rsid w:val="00243777"/>
    <w:rsid w:val="002438E3"/>
    <w:rsid w:val="002438EB"/>
    <w:rsid w:val="002438FA"/>
    <w:rsid w:val="002439DA"/>
    <w:rsid w:val="00243A49"/>
    <w:rsid w:val="00243A89"/>
    <w:rsid w:val="00243EDD"/>
    <w:rsid w:val="00243F6F"/>
    <w:rsid w:val="002446F2"/>
    <w:rsid w:val="00244742"/>
    <w:rsid w:val="00244778"/>
    <w:rsid w:val="00244926"/>
    <w:rsid w:val="00244A95"/>
    <w:rsid w:val="00244BC5"/>
    <w:rsid w:val="00244C14"/>
    <w:rsid w:val="00244F90"/>
    <w:rsid w:val="0024513D"/>
    <w:rsid w:val="0024553D"/>
    <w:rsid w:val="002456DE"/>
    <w:rsid w:val="00245BA0"/>
    <w:rsid w:val="00245BC0"/>
    <w:rsid w:val="00245C8E"/>
    <w:rsid w:val="00245D88"/>
    <w:rsid w:val="00245DCF"/>
    <w:rsid w:val="00245E5D"/>
    <w:rsid w:val="0024620E"/>
    <w:rsid w:val="00246303"/>
    <w:rsid w:val="00246370"/>
    <w:rsid w:val="002465EA"/>
    <w:rsid w:val="00246941"/>
    <w:rsid w:val="00246C2F"/>
    <w:rsid w:val="00246F55"/>
    <w:rsid w:val="0024706B"/>
    <w:rsid w:val="0024706F"/>
    <w:rsid w:val="00247076"/>
    <w:rsid w:val="0024709C"/>
    <w:rsid w:val="002472DD"/>
    <w:rsid w:val="00247447"/>
    <w:rsid w:val="00247660"/>
    <w:rsid w:val="0024794E"/>
    <w:rsid w:val="00247E28"/>
    <w:rsid w:val="00247FA1"/>
    <w:rsid w:val="002502AA"/>
    <w:rsid w:val="00250319"/>
    <w:rsid w:val="00250384"/>
    <w:rsid w:val="00250412"/>
    <w:rsid w:val="0025055D"/>
    <w:rsid w:val="0025066D"/>
    <w:rsid w:val="00250734"/>
    <w:rsid w:val="002507E8"/>
    <w:rsid w:val="00250885"/>
    <w:rsid w:val="002508FE"/>
    <w:rsid w:val="00250A58"/>
    <w:rsid w:val="00250AEA"/>
    <w:rsid w:val="00250B1D"/>
    <w:rsid w:val="00250B5A"/>
    <w:rsid w:val="00251033"/>
    <w:rsid w:val="00251043"/>
    <w:rsid w:val="0025118C"/>
    <w:rsid w:val="0025126C"/>
    <w:rsid w:val="00251291"/>
    <w:rsid w:val="0025141E"/>
    <w:rsid w:val="002514CF"/>
    <w:rsid w:val="002514F7"/>
    <w:rsid w:val="00251549"/>
    <w:rsid w:val="00251552"/>
    <w:rsid w:val="002516F9"/>
    <w:rsid w:val="00251CFE"/>
    <w:rsid w:val="00251D5B"/>
    <w:rsid w:val="00251F04"/>
    <w:rsid w:val="0025208B"/>
    <w:rsid w:val="0025210C"/>
    <w:rsid w:val="00252290"/>
    <w:rsid w:val="002522BA"/>
    <w:rsid w:val="002524D2"/>
    <w:rsid w:val="00252632"/>
    <w:rsid w:val="00252642"/>
    <w:rsid w:val="00252686"/>
    <w:rsid w:val="00252B21"/>
    <w:rsid w:val="00252BA8"/>
    <w:rsid w:val="00252DBC"/>
    <w:rsid w:val="0025309A"/>
    <w:rsid w:val="002530E0"/>
    <w:rsid w:val="0025328A"/>
    <w:rsid w:val="0025351A"/>
    <w:rsid w:val="002535CA"/>
    <w:rsid w:val="00253647"/>
    <w:rsid w:val="00253705"/>
    <w:rsid w:val="002539D3"/>
    <w:rsid w:val="002539FA"/>
    <w:rsid w:val="00253C8F"/>
    <w:rsid w:val="00253DB7"/>
    <w:rsid w:val="00253FB2"/>
    <w:rsid w:val="002540B7"/>
    <w:rsid w:val="002541E6"/>
    <w:rsid w:val="00254367"/>
    <w:rsid w:val="002543B4"/>
    <w:rsid w:val="00254478"/>
    <w:rsid w:val="00254809"/>
    <w:rsid w:val="00254814"/>
    <w:rsid w:val="00254A53"/>
    <w:rsid w:val="00254CED"/>
    <w:rsid w:val="00254DC1"/>
    <w:rsid w:val="00254DED"/>
    <w:rsid w:val="00254ECE"/>
    <w:rsid w:val="00254F36"/>
    <w:rsid w:val="00254FDF"/>
    <w:rsid w:val="00255231"/>
    <w:rsid w:val="00255233"/>
    <w:rsid w:val="002552D3"/>
    <w:rsid w:val="00255327"/>
    <w:rsid w:val="00255365"/>
    <w:rsid w:val="0025540A"/>
    <w:rsid w:val="00255507"/>
    <w:rsid w:val="00255742"/>
    <w:rsid w:val="00255AD2"/>
    <w:rsid w:val="00255E8D"/>
    <w:rsid w:val="0025628A"/>
    <w:rsid w:val="00256403"/>
    <w:rsid w:val="00256A15"/>
    <w:rsid w:val="00256DE7"/>
    <w:rsid w:val="00256F79"/>
    <w:rsid w:val="00257231"/>
    <w:rsid w:val="0025757D"/>
    <w:rsid w:val="002575B6"/>
    <w:rsid w:val="00257623"/>
    <w:rsid w:val="00257680"/>
    <w:rsid w:val="002576A3"/>
    <w:rsid w:val="002577EA"/>
    <w:rsid w:val="002578C1"/>
    <w:rsid w:val="00257AB6"/>
    <w:rsid w:val="00257B1A"/>
    <w:rsid w:val="00257C6D"/>
    <w:rsid w:val="00257D9B"/>
    <w:rsid w:val="00257EC0"/>
    <w:rsid w:val="002601F1"/>
    <w:rsid w:val="00260325"/>
    <w:rsid w:val="00260523"/>
    <w:rsid w:val="00260750"/>
    <w:rsid w:val="002608F0"/>
    <w:rsid w:val="0026099D"/>
    <w:rsid w:val="00260A7B"/>
    <w:rsid w:val="00260B0B"/>
    <w:rsid w:val="00260BC5"/>
    <w:rsid w:val="00260FDF"/>
    <w:rsid w:val="00261113"/>
    <w:rsid w:val="002612AF"/>
    <w:rsid w:val="00261403"/>
    <w:rsid w:val="0026152D"/>
    <w:rsid w:val="00261566"/>
    <w:rsid w:val="0026158A"/>
    <w:rsid w:val="002615A1"/>
    <w:rsid w:val="0026169C"/>
    <w:rsid w:val="002617DD"/>
    <w:rsid w:val="0026185A"/>
    <w:rsid w:val="00261B25"/>
    <w:rsid w:val="00261B5C"/>
    <w:rsid w:val="00261D68"/>
    <w:rsid w:val="00261DA5"/>
    <w:rsid w:val="00261F21"/>
    <w:rsid w:val="0026205B"/>
    <w:rsid w:val="00262346"/>
    <w:rsid w:val="002625F3"/>
    <w:rsid w:val="002626A9"/>
    <w:rsid w:val="00262809"/>
    <w:rsid w:val="002628A7"/>
    <w:rsid w:val="002628FD"/>
    <w:rsid w:val="002629EC"/>
    <w:rsid w:val="00262A88"/>
    <w:rsid w:val="00263012"/>
    <w:rsid w:val="002636FD"/>
    <w:rsid w:val="00263713"/>
    <w:rsid w:val="00263945"/>
    <w:rsid w:val="00263A90"/>
    <w:rsid w:val="00263D3E"/>
    <w:rsid w:val="00263E60"/>
    <w:rsid w:val="00263FA3"/>
    <w:rsid w:val="0026418A"/>
    <w:rsid w:val="00264256"/>
    <w:rsid w:val="0026429A"/>
    <w:rsid w:val="00264359"/>
    <w:rsid w:val="0026444E"/>
    <w:rsid w:val="00264761"/>
    <w:rsid w:val="00264829"/>
    <w:rsid w:val="00264925"/>
    <w:rsid w:val="00264B21"/>
    <w:rsid w:val="00264EFF"/>
    <w:rsid w:val="00264F4B"/>
    <w:rsid w:val="0026502A"/>
    <w:rsid w:val="00265455"/>
    <w:rsid w:val="0026553B"/>
    <w:rsid w:val="0026559B"/>
    <w:rsid w:val="00265621"/>
    <w:rsid w:val="00265657"/>
    <w:rsid w:val="002656B2"/>
    <w:rsid w:val="0026598D"/>
    <w:rsid w:val="00265AE4"/>
    <w:rsid w:val="00265C9A"/>
    <w:rsid w:val="00265EE8"/>
    <w:rsid w:val="00266108"/>
    <w:rsid w:val="002661D8"/>
    <w:rsid w:val="00266351"/>
    <w:rsid w:val="00266353"/>
    <w:rsid w:val="0026664A"/>
    <w:rsid w:val="002667E9"/>
    <w:rsid w:val="00266861"/>
    <w:rsid w:val="00266918"/>
    <w:rsid w:val="00266A7A"/>
    <w:rsid w:val="00266AFF"/>
    <w:rsid w:val="00266E06"/>
    <w:rsid w:val="00267007"/>
    <w:rsid w:val="00267010"/>
    <w:rsid w:val="00267815"/>
    <w:rsid w:val="00267A1F"/>
    <w:rsid w:val="00267A34"/>
    <w:rsid w:val="00267A45"/>
    <w:rsid w:val="00267E34"/>
    <w:rsid w:val="00270044"/>
    <w:rsid w:val="00270163"/>
    <w:rsid w:val="002701C3"/>
    <w:rsid w:val="002701E8"/>
    <w:rsid w:val="0027021A"/>
    <w:rsid w:val="0027048C"/>
    <w:rsid w:val="00270662"/>
    <w:rsid w:val="0027075D"/>
    <w:rsid w:val="002708AE"/>
    <w:rsid w:val="0027097A"/>
    <w:rsid w:val="002709CA"/>
    <w:rsid w:val="00270B31"/>
    <w:rsid w:val="00270BB7"/>
    <w:rsid w:val="00270CA6"/>
    <w:rsid w:val="00270E23"/>
    <w:rsid w:val="00270F29"/>
    <w:rsid w:val="0027101D"/>
    <w:rsid w:val="00271079"/>
    <w:rsid w:val="002710A3"/>
    <w:rsid w:val="002711DA"/>
    <w:rsid w:val="002711F9"/>
    <w:rsid w:val="002712F0"/>
    <w:rsid w:val="00271490"/>
    <w:rsid w:val="002714D6"/>
    <w:rsid w:val="0027190D"/>
    <w:rsid w:val="00271CA8"/>
    <w:rsid w:val="00271DA1"/>
    <w:rsid w:val="00271F9C"/>
    <w:rsid w:val="00272020"/>
    <w:rsid w:val="00272197"/>
    <w:rsid w:val="00272436"/>
    <w:rsid w:val="00272443"/>
    <w:rsid w:val="00272464"/>
    <w:rsid w:val="002724D7"/>
    <w:rsid w:val="00272631"/>
    <w:rsid w:val="00272981"/>
    <w:rsid w:val="00272985"/>
    <w:rsid w:val="00272CA7"/>
    <w:rsid w:val="00272F4D"/>
    <w:rsid w:val="00272FB1"/>
    <w:rsid w:val="00273211"/>
    <w:rsid w:val="00273403"/>
    <w:rsid w:val="002735A8"/>
    <w:rsid w:val="0027377C"/>
    <w:rsid w:val="00273876"/>
    <w:rsid w:val="00273E8A"/>
    <w:rsid w:val="00273F17"/>
    <w:rsid w:val="0027470E"/>
    <w:rsid w:val="00274749"/>
    <w:rsid w:val="002747BE"/>
    <w:rsid w:val="00274A44"/>
    <w:rsid w:val="00274AFF"/>
    <w:rsid w:val="00274D00"/>
    <w:rsid w:val="00274F59"/>
    <w:rsid w:val="002751B1"/>
    <w:rsid w:val="002751FE"/>
    <w:rsid w:val="00275521"/>
    <w:rsid w:val="002756C3"/>
    <w:rsid w:val="002758E1"/>
    <w:rsid w:val="00275921"/>
    <w:rsid w:val="0027596D"/>
    <w:rsid w:val="00275C34"/>
    <w:rsid w:val="00275D6B"/>
    <w:rsid w:val="00275FD9"/>
    <w:rsid w:val="002761E7"/>
    <w:rsid w:val="002764BD"/>
    <w:rsid w:val="002764E4"/>
    <w:rsid w:val="002765BE"/>
    <w:rsid w:val="002765EC"/>
    <w:rsid w:val="00276616"/>
    <w:rsid w:val="002768BE"/>
    <w:rsid w:val="0027693C"/>
    <w:rsid w:val="002769DA"/>
    <w:rsid w:val="00276A88"/>
    <w:rsid w:val="00276B85"/>
    <w:rsid w:val="00276EE5"/>
    <w:rsid w:val="00277082"/>
    <w:rsid w:val="0027722C"/>
    <w:rsid w:val="00277A1C"/>
    <w:rsid w:val="00277A7B"/>
    <w:rsid w:val="0028074F"/>
    <w:rsid w:val="002807B5"/>
    <w:rsid w:val="00280DA9"/>
    <w:rsid w:val="00280DFB"/>
    <w:rsid w:val="00280E2E"/>
    <w:rsid w:val="00280EEE"/>
    <w:rsid w:val="00280EF4"/>
    <w:rsid w:val="00280FDB"/>
    <w:rsid w:val="00281106"/>
    <w:rsid w:val="00281432"/>
    <w:rsid w:val="00281478"/>
    <w:rsid w:val="002817D4"/>
    <w:rsid w:val="00281825"/>
    <w:rsid w:val="002819A8"/>
    <w:rsid w:val="002819B2"/>
    <w:rsid w:val="00281B62"/>
    <w:rsid w:val="00281DB1"/>
    <w:rsid w:val="00281E08"/>
    <w:rsid w:val="00281EFC"/>
    <w:rsid w:val="00282086"/>
    <w:rsid w:val="00282215"/>
    <w:rsid w:val="0028221B"/>
    <w:rsid w:val="00282248"/>
    <w:rsid w:val="00282322"/>
    <w:rsid w:val="00282451"/>
    <w:rsid w:val="002824D2"/>
    <w:rsid w:val="00282898"/>
    <w:rsid w:val="00282B54"/>
    <w:rsid w:val="00282C63"/>
    <w:rsid w:val="00282D82"/>
    <w:rsid w:val="00282E5A"/>
    <w:rsid w:val="00282E93"/>
    <w:rsid w:val="00282ED3"/>
    <w:rsid w:val="00283498"/>
    <w:rsid w:val="00283753"/>
    <w:rsid w:val="0028380F"/>
    <w:rsid w:val="002839C8"/>
    <w:rsid w:val="00283B3D"/>
    <w:rsid w:val="00283C80"/>
    <w:rsid w:val="00283EF0"/>
    <w:rsid w:val="00284017"/>
    <w:rsid w:val="0028406A"/>
    <w:rsid w:val="002843B3"/>
    <w:rsid w:val="0028442C"/>
    <w:rsid w:val="00284461"/>
    <w:rsid w:val="0028470B"/>
    <w:rsid w:val="00284B2F"/>
    <w:rsid w:val="00284B70"/>
    <w:rsid w:val="00284BBF"/>
    <w:rsid w:val="00284CBF"/>
    <w:rsid w:val="00284E46"/>
    <w:rsid w:val="00284EC6"/>
    <w:rsid w:val="0028509C"/>
    <w:rsid w:val="002850FD"/>
    <w:rsid w:val="00285150"/>
    <w:rsid w:val="0028529B"/>
    <w:rsid w:val="002852B0"/>
    <w:rsid w:val="002855E8"/>
    <w:rsid w:val="00285835"/>
    <w:rsid w:val="002858AF"/>
    <w:rsid w:val="002859C9"/>
    <w:rsid w:val="00285A0C"/>
    <w:rsid w:val="00285C26"/>
    <w:rsid w:val="00285C80"/>
    <w:rsid w:val="00285D15"/>
    <w:rsid w:val="00286140"/>
    <w:rsid w:val="002861FB"/>
    <w:rsid w:val="00286362"/>
    <w:rsid w:val="00286388"/>
    <w:rsid w:val="0028654C"/>
    <w:rsid w:val="002868BB"/>
    <w:rsid w:val="002868C3"/>
    <w:rsid w:val="002868CA"/>
    <w:rsid w:val="002868E0"/>
    <w:rsid w:val="00286A79"/>
    <w:rsid w:val="00286CB6"/>
    <w:rsid w:val="00286D04"/>
    <w:rsid w:val="00286DD3"/>
    <w:rsid w:val="00286FDD"/>
    <w:rsid w:val="002870C5"/>
    <w:rsid w:val="00287164"/>
    <w:rsid w:val="00287250"/>
    <w:rsid w:val="00287320"/>
    <w:rsid w:val="0028732F"/>
    <w:rsid w:val="00287391"/>
    <w:rsid w:val="002873D5"/>
    <w:rsid w:val="00287496"/>
    <w:rsid w:val="002874CE"/>
    <w:rsid w:val="002878F3"/>
    <w:rsid w:val="00287994"/>
    <w:rsid w:val="00287A53"/>
    <w:rsid w:val="00287A6D"/>
    <w:rsid w:val="00287CB6"/>
    <w:rsid w:val="002900C2"/>
    <w:rsid w:val="0029021B"/>
    <w:rsid w:val="00290253"/>
    <w:rsid w:val="002903A2"/>
    <w:rsid w:val="0029050F"/>
    <w:rsid w:val="00290553"/>
    <w:rsid w:val="00290649"/>
    <w:rsid w:val="002907A6"/>
    <w:rsid w:val="0029087D"/>
    <w:rsid w:val="00290887"/>
    <w:rsid w:val="002909A3"/>
    <w:rsid w:val="00290A0D"/>
    <w:rsid w:val="00290B4D"/>
    <w:rsid w:val="00290D31"/>
    <w:rsid w:val="00290F83"/>
    <w:rsid w:val="00291002"/>
    <w:rsid w:val="0029101C"/>
    <w:rsid w:val="002910AA"/>
    <w:rsid w:val="002910C1"/>
    <w:rsid w:val="002915E3"/>
    <w:rsid w:val="0029189B"/>
    <w:rsid w:val="00291B89"/>
    <w:rsid w:val="00291CAD"/>
    <w:rsid w:val="00291CD8"/>
    <w:rsid w:val="00291E57"/>
    <w:rsid w:val="00291F18"/>
    <w:rsid w:val="0029211E"/>
    <w:rsid w:val="0029224B"/>
    <w:rsid w:val="0029229D"/>
    <w:rsid w:val="00292348"/>
    <w:rsid w:val="00292454"/>
    <w:rsid w:val="00292572"/>
    <w:rsid w:val="002925B8"/>
    <w:rsid w:val="002925F7"/>
    <w:rsid w:val="0029276F"/>
    <w:rsid w:val="00292809"/>
    <w:rsid w:val="00292971"/>
    <w:rsid w:val="00292A8A"/>
    <w:rsid w:val="00293264"/>
    <w:rsid w:val="0029345B"/>
    <w:rsid w:val="00293897"/>
    <w:rsid w:val="00293B13"/>
    <w:rsid w:val="00293CCA"/>
    <w:rsid w:val="00293E1A"/>
    <w:rsid w:val="00293E7A"/>
    <w:rsid w:val="00293EEB"/>
    <w:rsid w:val="00293FBE"/>
    <w:rsid w:val="00294252"/>
    <w:rsid w:val="0029447F"/>
    <w:rsid w:val="0029460E"/>
    <w:rsid w:val="00294687"/>
    <w:rsid w:val="00294971"/>
    <w:rsid w:val="00294A2D"/>
    <w:rsid w:val="00294DF6"/>
    <w:rsid w:val="00294DF7"/>
    <w:rsid w:val="00294E08"/>
    <w:rsid w:val="002951F2"/>
    <w:rsid w:val="0029521E"/>
    <w:rsid w:val="002952AC"/>
    <w:rsid w:val="002952F5"/>
    <w:rsid w:val="00295441"/>
    <w:rsid w:val="002959ED"/>
    <w:rsid w:val="00295B00"/>
    <w:rsid w:val="00295B54"/>
    <w:rsid w:val="00295D35"/>
    <w:rsid w:val="00295F70"/>
    <w:rsid w:val="00296020"/>
    <w:rsid w:val="002960D2"/>
    <w:rsid w:val="002966D8"/>
    <w:rsid w:val="002966E0"/>
    <w:rsid w:val="00296735"/>
    <w:rsid w:val="002967C9"/>
    <w:rsid w:val="00296927"/>
    <w:rsid w:val="0029692B"/>
    <w:rsid w:val="00296AFB"/>
    <w:rsid w:val="00296B04"/>
    <w:rsid w:val="00296B5D"/>
    <w:rsid w:val="00296C6F"/>
    <w:rsid w:val="00296E95"/>
    <w:rsid w:val="00297258"/>
    <w:rsid w:val="0029727A"/>
    <w:rsid w:val="002974CE"/>
    <w:rsid w:val="00297554"/>
    <w:rsid w:val="00297729"/>
    <w:rsid w:val="00297768"/>
    <w:rsid w:val="00297840"/>
    <w:rsid w:val="002979BA"/>
    <w:rsid w:val="00297B35"/>
    <w:rsid w:val="00297C36"/>
    <w:rsid w:val="00297D6B"/>
    <w:rsid w:val="00297EBA"/>
    <w:rsid w:val="002A0202"/>
    <w:rsid w:val="002A04C0"/>
    <w:rsid w:val="002A0B93"/>
    <w:rsid w:val="002A0C78"/>
    <w:rsid w:val="002A0CD4"/>
    <w:rsid w:val="002A0CEC"/>
    <w:rsid w:val="002A0EE3"/>
    <w:rsid w:val="002A1104"/>
    <w:rsid w:val="002A153F"/>
    <w:rsid w:val="002A157F"/>
    <w:rsid w:val="002A1632"/>
    <w:rsid w:val="002A163B"/>
    <w:rsid w:val="002A1825"/>
    <w:rsid w:val="002A18A1"/>
    <w:rsid w:val="002A19B0"/>
    <w:rsid w:val="002A1A11"/>
    <w:rsid w:val="002A1B59"/>
    <w:rsid w:val="002A1F08"/>
    <w:rsid w:val="002A1F0C"/>
    <w:rsid w:val="002A2025"/>
    <w:rsid w:val="002A2152"/>
    <w:rsid w:val="002A22A9"/>
    <w:rsid w:val="002A2301"/>
    <w:rsid w:val="002A249D"/>
    <w:rsid w:val="002A2545"/>
    <w:rsid w:val="002A2567"/>
    <w:rsid w:val="002A26F5"/>
    <w:rsid w:val="002A27E4"/>
    <w:rsid w:val="002A28F8"/>
    <w:rsid w:val="002A2A55"/>
    <w:rsid w:val="002A2AB1"/>
    <w:rsid w:val="002A2AC8"/>
    <w:rsid w:val="002A2B8E"/>
    <w:rsid w:val="002A2CFB"/>
    <w:rsid w:val="002A2F02"/>
    <w:rsid w:val="002A2F29"/>
    <w:rsid w:val="002A2F2D"/>
    <w:rsid w:val="002A2FCC"/>
    <w:rsid w:val="002A303C"/>
    <w:rsid w:val="002A30F5"/>
    <w:rsid w:val="002A31C8"/>
    <w:rsid w:val="002A3276"/>
    <w:rsid w:val="002A329A"/>
    <w:rsid w:val="002A32CA"/>
    <w:rsid w:val="002A3354"/>
    <w:rsid w:val="002A3378"/>
    <w:rsid w:val="002A3442"/>
    <w:rsid w:val="002A37F1"/>
    <w:rsid w:val="002A386A"/>
    <w:rsid w:val="002A38A9"/>
    <w:rsid w:val="002A3A0F"/>
    <w:rsid w:val="002A3AA3"/>
    <w:rsid w:val="002A3C51"/>
    <w:rsid w:val="002A3D16"/>
    <w:rsid w:val="002A3DE0"/>
    <w:rsid w:val="002A3E2B"/>
    <w:rsid w:val="002A3F45"/>
    <w:rsid w:val="002A3F47"/>
    <w:rsid w:val="002A3F7E"/>
    <w:rsid w:val="002A3FF5"/>
    <w:rsid w:val="002A42F4"/>
    <w:rsid w:val="002A459A"/>
    <w:rsid w:val="002A4631"/>
    <w:rsid w:val="002A47CE"/>
    <w:rsid w:val="002A4C8C"/>
    <w:rsid w:val="002A4D9F"/>
    <w:rsid w:val="002A5174"/>
    <w:rsid w:val="002A518D"/>
    <w:rsid w:val="002A541D"/>
    <w:rsid w:val="002A558C"/>
    <w:rsid w:val="002A55CE"/>
    <w:rsid w:val="002A57B9"/>
    <w:rsid w:val="002A57E9"/>
    <w:rsid w:val="002A5992"/>
    <w:rsid w:val="002A5AC7"/>
    <w:rsid w:val="002A5C53"/>
    <w:rsid w:val="002A5CF1"/>
    <w:rsid w:val="002A5CF6"/>
    <w:rsid w:val="002A6035"/>
    <w:rsid w:val="002A61B3"/>
    <w:rsid w:val="002A63BB"/>
    <w:rsid w:val="002A64BE"/>
    <w:rsid w:val="002A6532"/>
    <w:rsid w:val="002A6855"/>
    <w:rsid w:val="002A6940"/>
    <w:rsid w:val="002A6D0B"/>
    <w:rsid w:val="002A6DBD"/>
    <w:rsid w:val="002A6E11"/>
    <w:rsid w:val="002A6F44"/>
    <w:rsid w:val="002A70CD"/>
    <w:rsid w:val="002A727A"/>
    <w:rsid w:val="002A72B8"/>
    <w:rsid w:val="002A73CD"/>
    <w:rsid w:val="002A750F"/>
    <w:rsid w:val="002A7838"/>
    <w:rsid w:val="002A78ED"/>
    <w:rsid w:val="002A78EE"/>
    <w:rsid w:val="002A79D8"/>
    <w:rsid w:val="002B0121"/>
    <w:rsid w:val="002B0298"/>
    <w:rsid w:val="002B04F8"/>
    <w:rsid w:val="002B0610"/>
    <w:rsid w:val="002B0618"/>
    <w:rsid w:val="002B074D"/>
    <w:rsid w:val="002B08A7"/>
    <w:rsid w:val="002B094A"/>
    <w:rsid w:val="002B0CAF"/>
    <w:rsid w:val="002B0D13"/>
    <w:rsid w:val="002B0D9F"/>
    <w:rsid w:val="002B0F0D"/>
    <w:rsid w:val="002B0FCD"/>
    <w:rsid w:val="002B11E3"/>
    <w:rsid w:val="002B12BA"/>
    <w:rsid w:val="002B1374"/>
    <w:rsid w:val="002B15BE"/>
    <w:rsid w:val="002B1605"/>
    <w:rsid w:val="002B16B5"/>
    <w:rsid w:val="002B1704"/>
    <w:rsid w:val="002B1764"/>
    <w:rsid w:val="002B1853"/>
    <w:rsid w:val="002B1981"/>
    <w:rsid w:val="002B1B9D"/>
    <w:rsid w:val="002B1C1E"/>
    <w:rsid w:val="002B1D7A"/>
    <w:rsid w:val="002B1E71"/>
    <w:rsid w:val="002B2100"/>
    <w:rsid w:val="002B2253"/>
    <w:rsid w:val="002B227B"/>
    <w:rsid w:val="002B23EC"/>
    <w:rsid w:val="002B25D1"/>
    <w:rsid w:val="002B2893"/>
    <w:rsid w:val="002B2977"/>
    <w:rsid w:val="002B2BD3"/>
    <w:rsid w:val="002B2EE5"/>
    <w:rsid w:val="002B33BC"/>
    <w:rsid w:val="002B350B"/>
    <w:rsid w:val="002B359A"/>
    <w:rsid w:val="002B364C"/>
    <w:rsid w:val="002B386C"/>
    <w:rsid w:val="002B38DC"/>
    <w:rsid w:val="002B3A7F"/>
    <w:rsid w:val="002B3AB1"/>
    <w:rsid w:val="002B3AEE"/>
    <w:rsid w:val="002B3C64"/>
    <w:rsid w:val="002B3D28"/>
    <w:rsid w:val="002B3F45"/>
    <w:rsid w:val="002B3F74"/>
    <w:rsid w:val="002B3FE5"/>
    <w:rsid w:val="002B420E"/>
    <w:rsid w:val="002B4432"/>
    <w:rsid w:val="002B44DB"/>
    <w:rsid w:val="002B4756"/>
    <w:rsid w:val="002B4890"/>
    <w:rsid w:val="002B4D34"/>
    <w:rsid w:val="002B4D4C"/>
    <w:rsid w:val="002B51F1"/>
    <w:rsid w:val="002B555B"/>
    <w:rsid w:val="002B55CE"/>
    <w:rsid w:val="002B56B3"/>
    <w:rsid w:val="002B5A7A"/>
    <w:rsid w:val="002B5AA8"/>
    <w:rsid w:val="002B5BD0"/>
    <w:rsid w:val="002B5C5A"/>
    <w:rsid w:val="002B5E0B"/>
    <w:rsid w:val="002B5E23"/>
    <w:rsid w:val="002B5EC6"/>
    <w:rsid w:val="002B6088"/>
    <w:rsid w:val="002B61B0"/>
    <w:rsid w:val="002B61CF"/>
    <w:rsid w:val="002B6258"/>
    <w:rsid w:val="002B6331"/>
    <w:rsid w:val="002B63A7"/>
    <w:rsid w:val="002B6891"/>
    <w:rsid w:val="002B68D0"/>
    <w:rsid w:val="002B696F"/>
    <w:rsid w:val="002B6AF5"/>
    <w:rsid w:val="002B6E69"/>
    <w:rsid w:val="002B6F96"/>
    <w:rsid w:val="002B707B"/>
    <w:rsid w:val="002B70A6"/>
    <w:rsid w:val="002B70AA"/>
    <w:rsid w:val="002B7190"/>
    <w:rsid w:val="002B73FE"/>
    <w:rsid w:val="002B7434"/>
    <w:rsid w:val="002B75D4"/>
    <w:rsid w:val="002B7705"/>
    <w:rsid w:val="002B7740"/>
    <w:rsid w:val="002B78E8"/>
    <w:rsid w:val="002B7D4E"/>
    <w:rsid w:val="002B7E59"/>
    <w:rsid w:val="002B7E87"/>
    <w:rsid w:val="002B7F26"/>
    <w:rsid w:val="002B7F8B"/>
    <w:rsid w:val="002C02BB"/>
    <w:rsid w:val="002C0323"/>
    <w:rsid w:val="002C0364"/>
    <w:rsid w:val="002C0601"/>
    <w:rsid w:val="002C0704"/>
    <w:rsid w:val="002C0A67"/>
    <w:rsid w:val="002C0AD6"/>
    <w:rsid w:val="002C0D02"/>
    <w:rsid w:val="002C0D69"/>
    <w:rsid w:val="002C0EBD"/>
    <w:rsid w:val="002C0EF2"/>
    <w:rsid w:val="002C0F9E"/>
    <w:rsid w:val="002C0FE0"/>
    <w:rsid w:val="002C0FE7"/>
    <w:rsid w:val="002C12B5"/>
    <w:rsid w:val="002C12B9"/>
    <w:rsid w:val="002C139E"/>
    <w:rsid w:val="002C15B3"/>
    <w:rsid w:val="002C174B"/>
    <w:rsid w:val="002C1B8F"/>
    <w:rsid w:val="002C1C5C"/>
    <w:rsid w:val="002C1CA1"/>
    <w:rsid w:val="002C1DF1"/>
    <w:rsid w:val="002C2012"/>
    <w:rsid w:val="002C22CC"/>
    <w:rsid w:val="002C2308"/>
    <w:rsid w:val="002C23C9"/>
    <w:rsid w:val="002C260B"/>
    <w:rsid w:val="002C265E"/>
    <w:rsid w:val="002C2928"/>
    <w:rsid w:val="002C293B"/>
    <w:rsid w:val="002C2A7C"/>
    <w:rsid w:val="002C2CBA"/>
    <w:rsid w:val="002C2EE1"/>
    <w:rsid w:val="002C3082"/>
    <w:rsid w:val="002C340D"/>
    <w:rsid w:val="002C35B1"/>
    <w:rsid w:val="002C35EC"/>
    <w:rsid w:val="002C36C3"/>
    <w:rsid w:val="002C374A"/>
    <w:rsid w:val="002C3758"/>
    <w:rsid w:val="002C3890"/>
    <w:rsid w:val="002C390E"/>
    <w:rsid w:val="002C3C9D"/>
    <w:rsid w:val="002C3DF3"/>
    <w:rsid w:val="002C4274"/>
    <w:rsid w:val="002C42D2"/>
    <w:rsid w:val="002C4306"/>
    <w:rsid w:val="002C438D"/>
    <w:rsid w:val="002C44D1"/>
    <w:rsid w:val="002C4875"/>
    <w:rsid w:val="002C4BEA"/>
    <w:rsid w:val="002C4C1D"/>
    <w:rsid w:val="002C4D28"/>
    <w:rsid w:val="002C4D6E"/>
    <w:rsid w:val="002C4EBD"/>
    <w:rsid w:val="002C4F2D"/>
    <w:rsid w:val="002C508D"/>
    <w:rsid w:val="002C50B4"/>
    <w:rsid w:val="002C5395"/>
    <w:rsid w:val="002C53E3"/>
    <w:rsid w:val="002C56FB"/>
    <w:rsid w:val="002C5756"/>
    <w:rsid w:val="002C5853"/>
    <w:rsid w:val="002C58B9"/>
    <w:rsid w:val="002C5CF5"/>
    <w:rsid w:val="002C5D0A"/>
    <w:rsid w:val="002C5DB9"/>
    <w:rsid w:val="002C5FCF"/>
    <w:rsid w:val="002C6090"/>
    <w:rsid w:val="002C60CE"/>
    <w:rsid w:val="002C64CE"/>
    <w:rsid w:val="002C6631"/>
    <w:rsid w:val="002C6AC7"/>
    <w:rsid w:val="002C6BC5"/>
    <w:rsid w:val="002C6D49"/>
    <w:rsid w:val="002C6EC7"/>
    <w:rsid w:val="002C70E5"/>
    <w:rsid w:val="002C7137"/>
    <w:rsid w:val="002C7159"/>
    <w:rsid w:val="002C71DF"/>
    <w:rsid w:val="002C730D"/>
    <w:rsid w:val="002C7390"/>
    <w:rsid w:val="002C7580"/>
    <w:rsid w:val="002C75A9"/>
    <w:rsid w:val="002C760A"/>
    <w:rsid w:val="002C7665"/>
    <w:rsid w:val="002C7B32"/>
    <w:rsid w:val="002C7BFB"/>
    <w:rsid w:val="002C7C5A"/>
    <w:rsid w:val="002C7C84"/>
    <w:rsid w:val="002C7D24"/>
    <w:rsid w:val="002C7EF8"/>
    <w:rsid w:val="002D003F"/>
    <w:rsid w:val="002D02C2"/>
    <w:rsid w:val="002D037A"/>
    <w:rsid w:val="002D05FC"/>
    <w:rsid w:val="002D0735"/>
    <w:rsid w:val="002D0787"/>
    <w:rsid w:val="002D07ED"/>
    <w:rsid w:val="002D0826"/>
    <w:rsid w:val="002D08B5"/>
    <w:rsid w:val="002D0B9E"/>
    <w:rsid w:val="002D0E20"/>
    <w:rsid w:val="002D0E48"/>
    <w:rsid w:val="002D0FA1"/>
    <w:rsid w:val="002D0FAC"/>
    <w:rsid w:val="002D1148"/>
    <w:rsid w:val="002D11B3"/>
    <w:rsid w:val="002D11E3"/>
    <w:rsid w:val="002D1354"/>
    <w:rsid w:val="002D13C8"/>
    <w:rsid w:val="002D13CD"/>
    <w:rsid w:val="002D1457"/>
    <w:rsid w:val="002D1794"/>
    <w:rsid w:val="002D17A9"/>
    <w:rsid w:val="002D17B6"/>
    <w:rsid w:val="002D17DF"/>
    <w:rsid w:val="002D1859"/>
    <w:rsid w:val="002D188D"/>
    <w:rsid w:val="002D1953"/>
    <w:rsid w:val="002D1E56"/>
    <w:rsid w:val="002D2233"/>
    <w:rsid w:val="002D2360"/>
    <w:rsid w:val="002D23C9"/>
    <w:rsid w:val="002D2427"/>
    <w:rsid w:val="002D24B6"/>
    <w:rsid w:val="002D2764"/>
    <w:rsid w:val="002D2849"/>
    <w:rsid w:val="002D289A"/>
    <w:rsid w:val="002D2BD3"/>
    <w:rsid w:val="002D2F20"/>
    <w:rsid w:val="002D311B"/>
    <w:rsid w:val="002D319F"/>
    <w:rsid w:val="002D3883"/>
    <w:rsid w:val="002D3A03"/>
    <w:rsid w:val="002D3A78"/>
    <w:rsid w:val="002D3DD1"/>
    <w:rsid w:val="002D3EEE"/>
    <w:rsid w:val="002D3EFB"/>
    <w:rsid w:val="002D3F1F"/>
    <w:rsid w:val="002D4354"/>
    <w:rsid w:val="002D440C"/>
    <w:rsid w:val="002D4550"/>
    <w:rsid w:val="002D47CC"/>
    <w:rsid w:val="002D4881"/>
    <w:rsid w:val="002D49BA"/>
    <w:rsid w:val="002D4D1C"/>
    <w:rsid w:val="002D4E36"/>
    <w:rsid w:val="002D4F65"/>
    <w:rsid w:val="002D50C6"/>
    <w:rsid w:val="002D5281"/>
    <w:rsid w:val="002D5433"/>
    <w:rsid w:val="002D57F5"/>
    <w:rsid w:val="002D591E"/>
    <w:rsid w:val="002D59FF"/>
    <w:rsid w:val="002D5B34"/>
    <w:rsid w:val="002D5BFF"/>
    <w:rsid w:val="002D5C97"/>
    <w:rsid w:val="002D5CDD"/>
    <w:rsid w:val="002D5E7C"/>
    <w:rsid w:val="002D6014"/>
    <w:rsid w:val="002D60A6"/>
    <w:rsid w:val="002D60BD"/>
    <w:rsid w:val="002D62CB"/>
    <w:rsid w:val="002D6324"/>
    <w:rsid w:val="002D6410"/>
    <w:rsid w:val="002D6609"/>
    <w:rsid w:val="002D66CE"/>
    <w:rsid w:val="002D6780"/>
    <w:rsid w:val="002D682D"/>
    <w:rsid w:val="002D684A"/>
    <w:rsid w:val="002D69D8"/>
    <w:rsid w:val="002D6DEF"/>
    <w:rsid w:val="002D7144"/>
    <w:rsid w:val="002D72B1"/>
    <w:rsid w:val="002D74B1"/>
    <w:rsid w:val="002D74B4"/>
    <w:rsid w:val="002D74E6"/>
    <w:rsid w:val="002D752C"/>
    <w:rsid w:val="002D7586"/>
    <w:rsid w:val="002D7693"/>
    <w:rsid w:val="002D7779"/>
    <w:rsid w:val="002D77C5"/>
    <w:rsid w:val="002D787C"/>
    <w:rsid w:val="002D7D98"/>
    <w:rsid w:val="002E0272"/>
    <w:rsid w:val="002E0326"/>
    <w:rsid w:val="002E05E3"/>
    <w:rsid w:val="002E06AA"/>
    <w:rsid w:val="002E07C3"/>
    <w:rsid w:val="002E08D0"/>
    <w:rsid w:val="002E093C"/>
    <w:rsid w:val="002E0B8C"/>
    <w:rsid w:val="002E0B96"/>
    <w:rsid w:val="002E0C43"/>
    <w:rsid w:val="002E0EDD"/>
    <w:rsid w:val="002E108B"/>
    <w:rsid w:val="002E12A4"/>
    <w:rsid w:val="002E133D"/>
    <w:rsid w:val="002E1536"/>
    <w:rsid w:val="002E1637"/>
    <w:rsid w:val="002E181E"/>
    <w:rsid w:val="002E1AE3"/>
    <w:rsid w:val="002E1AE8"/>
    <w:rsid w:val="002E1BF3"/>
    <w:rsid w:val="002E1C39"/>
    <w:rsid w:val="002E1D0A"/>
    <w:rsid w:val="002E1D82"/>
    <w:rsid w:val="002E1E27"/>
    <w:rsid w:val="002E1F0E"/>
    <w:rsid w:val="002E22C6"/>
    <w:rsid w:val="002E247A"/>
    <w:rsid w:val="002E2780"/>
    <w:rsid w:val="002E27BD"/>
    <w:rsid w:val="002E297A"/>
    <w:rsid w:val="002E2B9F"/>
    <w:rsid w:val="002E2D94"/>
    <w:rsid w:val="002E2DCA"/>
    <w:rsid w:val="002E31CE"/>
    <w:rsid w:val="002E31E6"/>
    <w:rsid w:val="002E3251"/>
    <w:rsid w:val="002E32E1"/>
    <w:rsid w:val="002E32F7"/>
    <w:rsid w:val="002E331E"/>
    <w:rsid w:val="002E387D"/>
    <w:rsid w:val="002E39A9"/>
    <w:rsid w:val="002E3B20"/>
    <w:rsid w:val="002E3C7E"/>
    <w:rsid w:val="002E4072"/>
    <w:rsid w:val="002E40DA"/>
    <w:rsid w:val="002E41A4"/>
    <w:rsid w:val="002E420F"/>
    <w:rsid w:val="002E4732"/>
    <w:rsid w:val="002E47EF"/>
    <w:rsid w:val="002E49C2"/>
    <w:rsid w:val="002E4A55"/>
    <w:rsid w:val="002E4A5F"/>
    <w:rsid w:val="002E4AEA"/>
    <w:rsid w:val="002E4B8B"/>
    <w:rsid w:val="002E4D04"/>
    <w:rsid w:val="002E5068"/>
    <w:rsid w:val="002E5150"/>
    <w:rsid w:val="002E52B4"/>
    <w:rsid w:val="002E5324"/>
    <w:rsid w:val="002E540C"/>
    <w:rsid w:val="002E563D"/>
    <w:rsid w:val="002E5A6E"/>
    <w:rsid w:val="002E5AB5"/>
    <w:rsid w:val="002E5AB6"/>
    <w:rsid w:val="002E5E02"/>
    <w:rsid w:val="002E5E3A"/>
    <w:rsid w:val="002E5ECC"/>
    <w:rsid w:val="002E6143"/>
    <w:rsid w:val="002E6233"/>
    <w:rsid w:val="002E6348"/>
    <w:rsid w:val="002E6481"/>
    <w:rsid w:val="002E64B5"/>
    <w:rsid w:val="002E68EF"/>
    <w:rsid w:val="002E69D4"/>
    <w:rsid w:val="002E69F3"/>
    <w:rsid w:val="002E6F3A"/>
    <w:rsid w:val="002E701A"/>
    <w:rsid w:val="002E7087"/>
    <w:rsid w:val="002E73B4"/>
    <w:rsid w:val="002E765F"/>
    <w:rsid w:val="002E7908"/>
    <w:rsid w:val="002E7A32"/>
    <w:rsid w:val="002E7AAE"/>
    <w:rsid w:val="002E7C5F"/>
    <w:rsid w:val="002E7CBA"/>
    <w:rsid w:val="002E7D1F"/>
    <w:rsid w:val="002E7DF8"/>
    <w:rsid w:val="002F0057"/>
    <w:rsid w:val="002F0190"/>
    <w:rsid w:val="002F0542"/>
    <w:rsid w:val="002F05EC"/>
    <w:rsid w:val="002F092F"/>
    <w:rsid w:val="002F093B"/>
    <w:rsid w:val="002F09DC"/>
    <w:rsid w:val="002F09F2"/>
    <w:rsid w:val="002F0C97"/>
    <w:rsid w:val="002F0CEB"/>
    <w:rsid w:val="002F0D76"/>
    <w:rsid w:val="002F0D88"/>
    <w:rsid w:val="002F0F6E"/>
    <w:rsid w:val="002F0FDE"/>
    <w:rsid w:val="002F115C"/>
    <w:rsid w:val="002F138B"/>
    <w:rsid w:val="002F16F0"/>
    <w:rsid w:val="002F1862"/>
    <w:rsid w:val="002F1D2B"/>
    <w:rsid w:val="002F1D64"/>
    <w:rsid w:val="002F1E07"/>
    <w:rsid w:val="002F1E52"/>
    <w:rsid w:val="002F1EE9"/>
    <w:rsid w:val="002F1F5A"/>
    <w:rsid w:val="002F1FB3"/>
    <w:rsid w:val="002F1FDE"/>
    <w:rsid w:val="002F20D5"/>
    <w:rsid w:val="002F2170"/>
    <w:rsid w:val="002F229C"/>
    <w:rsid w:val="002F22A3"/>
    <w:rsid w:val="002F23EF"/>
    <w:rsid w:val="002F2449"/>
    <w:rsid w:val="002F2974"/>
    <w:rsid w:val="002F29A8"/>
    <w:rsid w:val="002F2B20"/>
    <w:rsid w:val="002F2B24"/>
    <w:rsid w:val="002F2BBF"/>
    <w:rsid w:val="002F2C95"/>
    <w:rsid w:val="002F2C9C"/>
    <w:rsid w:val="002F2E2F"/>
    <w:rsid w:val="002F2E3C"/>
    <w:rsid w:val="002F30FB"/>
    <w:rsid w:val="002F3144"/>
    <w:rsid w:val="002F319D"/>
    <w:rsid w:val="002F31A6"/>
    <w:rsid w:val="002F321A"/>
    <w:rsid w:val="002F3271"/>
    <w:rsid w:val="002F3331"/>
    <w:rsid w:val="002F3454"/>
    <w:rsid w:val="002F34C4"/>
    <w:rsid w:val="002F354B"/>
    <w:rsid w:val="002F3BF4"/>
    <w:rsid w:val="002F3DFE"/>
    <w:rsid w:val="002F3ED1"/>
    <w:rsid w:val="002F3FCD"/>
    <w:rsid w:val="002F3FF4"/>
    <w:rsid w:val="002F4635"/>
    <w:rsid w:val="002F482A"/>
    <w:rsid w:val="002F499D"/>
    <w:rsid w:val="002F4AD4"/>
    <w:rsid w:val="002F4B4E"/>
    <w:rsid w:val="002F4B96"/>
    <w:rsid w:val="002F4C3B"/>
    <w:rsid w:val="002F4C78"/>
    <w:rsid w:val="002F4DAE"/>
    <w:rsid w:val="002F4DFE"/>
    <w:rsid w:val="002F4FC8"/>
    <w:rsid w:val="002F5012"/>
    <w:rsid w:val="002F5483"/>
    <w:rsid w:val="002F55BB"/>
    <w:rsid w:val="002F56F1"/>
    <w:rsid w:val="002F5B91"/>
    <w:rsid w:val="002F5E1B"/>
    <w:rsid w:val="002F63AE"/>
    <w:rsid w:val="002F6415"/>
    <w:rsid w:val="002F64A7"/>
    <w:rsid w:val="002F6B3A"/>
    <w:rsid w:val="002F6F21"/>
    <w:rsid w:val="002F6FF2"/>
    <w:rsid w:val="002F7172"/>
    <w:rsid w:val="002F74A4"/>
    <w:rsid w:val="002F783E"/>
    <w:rsid w:val="002F7B0A"/>
    <w:rsid w:val="002F7D78"/>
    <w:rsid w:val="002F7E22"/>
    <w:rsid w:val="002F7E6B"/>
    <w:rsid w:val="002F7EA4"/>
    <w:rsid w:val="0030023E"/>
    <w:rsid w:val="00300390"/>
    <w:rsid w:val="00300406"/>
    <w:rsid w:val="0030046C"/>
    <w:rsid w:val="0030049A"/>
    <w:rsid w:val="0030064E"/>
    <w:rsid w:val="00300661"/>
    <w:rsid w:val="003008FC"/>
    <w:rsid w:val="00300B4F"/>
    <w:rsid w:val="00300E2C"/>
    <w:rsid w:val="00300F09"/>
    <w:rsid w:val="00300F7B"/>
    <w:rsid w:val="00301006"/>
    <w:rsid w:val="00301101"/>
    <w:rsid w:val="0030114F"/>
    <w:rsid w:val="003011AA"/>
    <w:rsid w:val="003013FD"/>
    <w:rsid w:val="00301638"/>
    <w:rsid w:val="00301651"/>
    <w:rsid w:val="00301790"/>
    <w:rsid w:val="003018CD"/>
    <w:rsid w:val="003018E2"/>
    <w:rsid w:val="00301958"/>
    <w:rsid w:val="0030196D"/>
    <w:rsid w:val="00301A0A"/>
    <w:rsid w:val="00301A73"/>
    <w:rsid w:val="00301DCA"/>
    <w:rsid w:val="00301E0D"/>
    <w:rsid w:val="00301E30"/>
    <w:rsid w:val="00301EEC"/>
    <w:rsid w:val="003022D4"/>
    <w:rsid w:val="00302402"/>
    <w:rsid w:val="00302494"/>
    <w:rsid w:val="003025C9"/>
    <w:rsid w:val="003026BC"/>
    <w:rsid w:val="0030275A"/>
    <w:rsid w:val="00302765"/>
    <w:rsid w:val="00302D5F"/>
    <w:rsid w:val="00302DD4"/>
    <w:rsid w:val="00302FB5"/>
    <w:rsid w:val="00303140"/>
    <w:rsid w:val="00303229"/>
    <w:rsid w:val="00303266"/>
    <w:rsid w:val="003032B2"/>
    <w:rsid w:val="0030365E"/>
    <w:rsid w:val="003038B8"/>
    <w:rsid w:val="0030392B"/>
    <w:rsid w:val="003039DF"/>
    <w:rsid w:val="00303A09"/>
    <w:rsid w:val="00303A7D"/>
    <w:rsid w:val="00303C58"/>
    <w:rsid w:val="00303D41"/>
    <w:rsid w:val="00303D64"/>
    <w:rsid w:val="00303F32"/>
    <w:rsid w:val="00304206"/>
    <w:rsid w:val="0030427C"/>
    <w:rsid w:val="0030445F"/>
    <w:rsid w:val="00304492"/>
    <w:rsid w:val="00304750"/>
    <w:rsid w:val="00304A6C"/>
    <w:rsid w:val="00304AD1"/>
    <w:rsid w:val="003050A5"/>
    <w:rsid w:val="00305454"/>
    <w:rsid w:val="003054A7"/>
    <w:rsid w:val="003059DC"/>
    <w:rsid w:val="003059EF"/>
    <w:rsid w:val="00305A65"/>
    <w:rsid w:val="00305BA2"/>
    <w:rsid w:val="00305BB2"/>
    <w:rsid w:val="00305C03"/>
    <w:rsid w:val="00305CDA"/>
    <w:rsid w:val="00305D64"/>
    <w:rsid w:val="00305D79"/>
    <w:rsid w:val="00305D82"/>
    <w:rsid w:val="00305F19"/>
    <w:rsid w:val="003060AA"/>
    <w:rsid w:val="00306209"/>
    <w:rsid w:val="00306428"/>
    <w:rsid w:val="0030655B"/>
    <w:rsid w:val="003066A8"/>
    <w:rsid w:val="003067FE"/>
    <w:rsid w:val="00306AB0"/>
    <w:rsid w:val="00306ACA"/>
    <w:rsid w:val="00306E42"/>
    <w:rsid w:val="003071A5"/>
    <w:rsid w:val="00307211"/>
    <w:rsid w:val="00307247"/>
    <w:rsid w:val="003072F4"/>
    <w:rsid w:val="003073DD"/>
    <w:rsid w:val="0030757C"/>
    <w:rsid w:val="00307797"/>
    <w:rsid w:val="0030780F"/>
    <w:rsid w:val="00307DDD"/>
    <w:rsid w:val="00307F59"/>
    <w:rsid w:val="00310055"/>
    <w:rsid w:val="00310227"/>
    <w:rsid w:val="0031022D"/>
    <w:rsid w:val="00310315"/>
    <w:rsid w:val="00310346"/>
    <w:rsid w:val="003103B4"/>
    <w:rsid w:val="003104CE"/>
    <w:rsid w:val="003105F9"/>
    <w:rsid w:val="003106D9"/>
    <w:rsid w:val="00310878"/>
    <w:rsid w:val="00310B05"/>
    <w:rsid w:val="00310CDD"/>
    <w:rsid w:val="00310DEF"/>
    <w:rsid w:val="00310E14"/>
    <w:rsid w:val="0031113F"/>
    <w:rsid w:val="0031126F"/>
    <w:rsid w:val="00311359"/>
    <w:rsid w:val="0031160C"/>
    <w:rsid w:val="00311955"/>
    <w:rsid w:val="003119A9"/>
    <w:rsid w:val="00311A4B"/>
    <w:rsid w:val="00311AF7"/>
    <w:rsid w:val="00311CDE"/>
    <w:rsid w:val="00311DA8"/>
    <w:rsid w:val="00311DC1"/>
    <w:rsid w:val="00311F06"/>
    <w:rsid w:val="00311F9B"/>
    <w:rsid w:val="0031206E"/>
    <w:rsid w:val="003126D3"/>
    <w:rsid w:val="003126F0"/>
    <w:rsid w:val="00312784"/>
    <w:rsid w:val="0031286E"/>
    <w:rsid w:val="00312A31"/>
    <w:rsid w:val="00312A7E"/>
    <w:rsid w:val="00312ABF"/>
    <w:rsid w:val="00312B7A"/>
    <w:rsid w:val="00312C58"/>
    <w:rsid w:val="00313032"/>
    <w:rsid w:val="0031315E"/>
    <w:rsid w:val="00313283"/>
    <w:rsid w:val="003132DC"/>
    <w:rsid w:val="003137A6"/>
    <w:rsid w:val="00313C9F"/>
    <w:rsid w:val="00313D8C"/>
    <w:rsid w:val="00313DF7"/>
    <w:rsid w:val="00314299"/>
    <w:rsid w:val="003142C0"/>
    <w:rsid w:val="003142C8"/>
    <w:rsid w:val="003142CE"/>
    <w:rsid w:val="00314408"/>
    <w:rsid w:val="00314438"/>
    <w:rsid w:val="00314544"/>
    <w:rsid w:val="0031459C"/>
    <w:rsid w:val="003147C2"/>
    <w:rsid w:val="003147CD"/>
    <w:rsid w:val="0031489B"/>
    <w:rsid w:val="00314E2D"/>
    <w:rsid w:val="00314EF2"/>
    <w:rsid w:val="00314F7E"/>
    <w:rsid w:val="00315129"/>
    <w:rsid w:val="00315436"/>
    <w:rsid w:val="0031546E"/>
    <w:rsid w:val="003154FE"/>
    <w:rsid w:val="00315705"/>
    <w:rsid w:val="003157BB"/>
    <w:rsid w:val="00315C63"/>
    <w:rsid w:val="00315C68"/>
    <w:rsid w:val="00315CA8"/>
    <w:rsid w:val="00315D7B"/>
    <w:rsid w:val="00315DEA"/>
    <w:rsid w:val="00315EA3"/>
    <w:rsid w:val="00316059"/>
    <w:rsid w:val="003161DB"/>
    <w:rsid w:val="003163E7"/>
    <w:rsid w:val="00316402"/>
    <w:rsid w:val="003169E8"/>
    <w:rsid w:val="00316B05"/>
    <w:rsid w:val="00316E00"/>
    <w:rsid w:val="00316E5F"/>
    <w:rsid w:val="00316F19"/>
    <w:rsid w:val="00316F2C"/>
    <w:rsid w:val="00317044"/>
    <w:rsid w:val="0031715D"/>
    <w:rsid w:val="00317469"/>
    <w:rsid w:val="00317549"/>
    <w:rsid w:val="00317611"/>
    <w:rsid w:val="00317826"/>
    <w:rsid w:val="00317878"/>
    <w:rsid w:val="00317C3C"/>
    <w:rsid w:val="00317C7B"/>
    <w:rsid w:val="00317FA6"/>
    <w:rsid w:val="00317FEA"/>
    <w:rsid w:val="0032012F"/>
    <w:rsid w:val="00320144"/>
    <w:rsid w:val="0032022B"/>
    <w:rsid w:val="003204F2"/>
    <w:rsid w:val="003205BF"/>
    <w:rsid w:val="00320626"/>
    <w:rsid w:val="00320A2A"/>
    <w:rsid w:val="00320A99"/>
    <w:rsid w:val="00320A9E"/>
    <w:rsid w:val="00320B24"/>
    <w:rsid w:val="00320CE6"/>
    <w:rsid w:val="00320E0F"/>
    <w:rsid w:val="00320E90"/>
    <w:rsid w:val="003214DB"/>
    <w:rsid w:val="00321622"/>
    <w:rsid w:val="00321728"/>
    <w:rsid w:val="00321837"/>
    <w:rsid w:val="00321BF7"/>
    <w:rsid w:val="00321CAF"/>
    <w:rsid w:val="00321D5C"/>
    <w:rsid w:val="00321FAC"/>
    <w:rsid w:val="003225A0"/>
    <w:rsid w:val="003225D8"/>
    <w:rsid w:val="003225FB"/>
    <w:rsid w:val="0032271F"/>
    <w:rsid w:val="00322731"/>
    <w:rsid w:val="00322767"/>
    <w:rsid w:val="00322AD3"/>
    <w:rsid w:val="00322E11"/>
    <w:rsid w:val="00322E20"/>
    <w:rsid w:val="00322E99"/>
    <w:rsid w:val="00322EAB"/>
    <w:rsid w:val="0032322A"/>
    <w:rsid w:val="00323545"/>
    <w:rsid w:val="003237EB"/>
    <w:rsid w:val="003237F2"/>
    <w:rsid w:val="003238FD"/>
    <w:rsid w:val="003239D6"/>
    <w:rsid w:val="00323E4E"/>
    <w:rsid w:val="0032406C"/>
    <w:rsid w:val="003240A7"/>
    <w:rsid w:val="00324103"/>
    <w:rsid w:val="0032414D"/>
    <w:rsid w:val="00324161"/>
    <w:rsid w:val="0032430C"/>
    <w:rsid w:val="0032459D"/>
    <w:rsid w:val="0032463A"/>
    <w:rsid w:val="00324664"/>
    <w:rsid w:val="0032485A"/>
    <w:rsid w:val="00324919"/>
    <w:rsid w:val="00324969"/>
    <w:rsid w:val="003249FD"/>
    <w:rsid w:val="00324C47"/>
    <w:rsid w:val="00324E05"/>
    <w:rsid w:val="00325476"/>
    <w:rsid w:val="0032554E"/>
    <w:rsid w:val="0032576D"/>
    <w:rsid w:val="00325901"/>
    <w:rsid w:val="00325921"/>
    <w:rsid w:val="0032602C"/>
    <w:rsid w:val="003260D1"/>
    <w:rsid w:val="0032620F"/>
    <w:rsid w:val="0032654F"/>
    <w:rsid w:val="0032667B"/>
    <w:rsid w:val="003266D1"/>
    <w:rsid w:val="0032670C"/>
    <w:rsid w:val="00326A47"/>
    <w:rsid w:val="00326B83"/>
    <w:rsid w:val="00326C77"/>
    <w:rsid w:val="00326D68"/>
    <w:rsid w:val="00326D81"/>
    <w:rsid w:val="00326DD4"/>
    <w:rsid w:val="00326E0F"/>
    <w:rsid w:val="00326F56"/>
    <w:rsid w:val="00327287"/>
    <w:rsid w:val="00327309"/>
    <w:rsid w:val="003274BA"/>
    <w:rsid w:val="0032757D"/>
    <w:rsid w:val="0032785C"/>
    <w:rsid w:val="00327901"/>
    <w:rsid w:val="00327BCF"/>
    <w:rsid w:val="00327C7B"/>
    <w:rsid w:val="00327D54"/>
    <w:rsid w:val="00327E9C"/>
    <w:rsid w:val="00327EF7"/>
    <w:rsid w:val="0033018E"/>
    <w:rsid w:val="003301EE"/>
    <w:rsid w:val="00330943"/>
    <w:rsid w:val="00330BA6"/>
    <w:rsid w:val="00330D66"/>
    <w:rsid w:val="00330FFA"/>
    <w:rsid w:val="003310CC"/>
    <w:rsid w:val="003311A5"/>
    <w:rsid w:val="0033133E"/>
    <w:rsid w:val="00331342"/>
    <w:rsid w:val="00331409"/>
    <w:rsid w:val="0033140F"/>
    <w:rsid w:val="00331671"/>
    <w:rsid w:val="003317B1"/>
    <w:rsid w:val="00331828"/>
    <w:rsid w:val="00331930"/>
    <w:rsid w:val="003319F0"/>
    <w:rsid w:val="00331AF0"/>
    <w:rsid w:val="00331BE2"/>
    <w:rsid w:val="00331C66"/>
    <w:rsid w:val="00331C97"/>
    <w:rsid w:val="00331CBD"/>
    <w:rsid w:val="00331D92"/>
    <w:rsid w:val="00331F04"/>
    <w:rsid w:val="00331FA0"/>
    <w:rsid w:val="0033268B"/>
    <w:rsid w:val="00332719"/>
    <w:rsid w:val="00332852"/>
    <w:rsid w:val="003329CB"/>
    <w:rsid w:val="00332C31"/>
    <w:rsid w:val="00332E10"/>
    <w:rsid w:val="00332FA7"/>
    <w:rsid w:val="00333208"/>
    <w:rsid w:val="00333648"/>
    <w:rsid w:val="003339CF"/>
    <w:rsid w:val="00333A2D"/>
    <w:rsid w:val="00333AC9"/>
    <w:rsid w:val="00333BD2"/>
    <w:rsid w:val="00333E62"/>
    <w:rsid w:val="00333F80"/>
    <w:rsid w:val="003340D1"/>
    <w:rsid w:val="0033413C"/>
    <w:rsid w:val="003341F8"/>
    <w:rsid w:val="003342E9"/>
    <w:rsid w:val="00334414"/>
    <w:rsid w:val="00334533"/>
    <w:rsid w:val="00334790"/>
    <w:rsid w:val="0033506E"/>
    <w:rsid w:val="00335070"/>
    <w:rsid w:val="003356B7"/>
    <w:rsid w:val="00335752"/>
    <w:rsid w:val="00335762"/>
    <w:rsid w:val="00335811"/>
    <w:rsid w:val="00335903"/>
    <w:rsid w:val="00335A20"/>
    <w:rsid w:val="00335AA2"/>
    <w:rsid w:val="00335AB9"/>
    <w:rsid w:val="00335B89"/>
    <w:rsid w:val="00335DBB"/>
    <w:rsid w:val="00335E11"/>
    <w:rsid w:val="00335E70"/>
    <w:rsid w:val="00335FCD"/>
    <w:rsid w:val="00336063"/>
    <w:rsid w:val="003363C7"/>
    <w:rsid w:val="00336512"/>
    <w:rsid w:val="00336614"/>
    <w:rsid w:val="00336779"/>
    <w:rsid w:val="003367E4"/>
    <w:rsid w:val="003367E9"/>
    <w:rsid w:val="00336940"/>
    <w:rsid w:val="00336950"/>
    <w:rsid w:val="00336A70"/>
    <w:rsid w:val="00336A73"/>
    <w:rsid w:val="00336AFF"/>
    <w:rsid w:val="00336B88"/>
    <w:rsid w:val="00336D55"/>
    <w:rsid w:val="00336DC2"/>
    <w:rsid w:val="003370B2"/>
    <w:rsid w:val="003374B1"/>
    <w:rsid w:val="003375F4"/>
    <w:rsid w:val="003377F1"/>
    <w:rsid w:val="00337824"/>
    <w:rsid w:val="0033798F"/>
    <w:rsid w:val="00337B26"/>
    <w:rsid w:val="00337D87"/>
    <w:rsid w:val="00337D9F"/>
    <w:rsid w:val="00337E7B"/>
    <w:rsid w:val="00337EA1"/>
    <w:rsid w:val="00337EA2"/>
    <w:rsid w:val="00340175"/>
    <w:rsid w:val="00340226"/>
    <w:rsid w:val="00340521"/>
    <w:rsid w:val="00340680"/>
    <w:rsid w:val="00340863"/>
    <w:rsid w:val="00340985"/>
    <w:rsid w:val="003409E4"/>
    <w:rsid w:val="00340C35"/>
    <w:rsid w:val="00340C67"/>
    <w:rsid w:val="00340F72"/>
    <w:rsid w:val="003411EE"/>
    <w:rsid w:val="0034125E"/>
    <w:rsid w:val="003412B7"/>
    <w:rsid w:val="003413DE"/>
    <w:rsid w:val="003413FE"/>
    <w:rsid w:val="00341434"/>
    <w:rsid w:val="0034167F"/>
    <w:rsid w:val="00341B57"/>
    <w:rsid w:val="00341B95"/>
    <w:rsid w:val="00341C50"/>
    <w:rsid w:val="00341E36"/>
    <w:rsid w:val="00341EDD"/>
    <w:rsid w:val="0034215A"/>
    <w:rsid w:val="00342403"/>
    <w:rsid w:val="00342994"/>
    <w:rsid w:val="003429CA"/>
    <w:rsid w:val="00342A0C"/>
    <w:rsid w:val="00342BD3"/>
    <w:rsid w:val="00342DF1"/>
    <w:rsid w:val="00342ED7"/>
    <w:rsid w:val="003430A1"/>
    <w:rsid w:val="00343159"/>
    <w:rsid w:val="0034330F"/>
    <w:rsid w:val="003433F2"/>
    <w:rsid w:val="0034347E"/>
    <w:rsid w:val="0034353C"/>
    <w:rsid w:val="0034359A"/>
    <w:rsid w:val="003435C9"/>
    <w:rsid w:val="00343923"/>
    <w:rsid w:val="00343A64"/>
    <w:rsid w:val="00343CD7"/>
    <w:rsid w:val="00343D86"/>
    <w:rsid w:val="00343EF6"/>
    <w:rsid w:val="003442BE"/>
    <w:rsid w:val="0034446B"/>
    <w:rsid w:val="003444FA"/>
    <w:rsid w:val="0034459D"/>
    <w:rsid w:val="00344813"/>
    <w:rsid w:val="0034486F"/>
    <w:rsid w:val="003448F2"/>
    <w:rsid w:val="00344904"/>
    <w:rsid w:val="003449B2"/>
    <w:rsid w:val="00344A82"/>
    <w:rsid w:val="00344AFA"/>
    <w:rsid w:val="00344E9C"/>
    <w:rsid w:val="0034503B"/>
    <w:rsid w:val="00345154"/>
    <w:rsid w:val="00345491"/>
    <w:rsid w:val="0034586B"/>
    <w:rsid w:val="00345AE5"/>
    <w:rsid w:val="00345C4B"/>
    <w:rsid w:val="00345C96"/>
    <w:rsid w:val="00345DA8"/>
    <w:rsid w:val="00345EA9"/>
    <w:rsid w:val="00345EB3"/>
    <w:rsid w:val="00346143"/>
    <w:rsid w:val="00346332"/>
    <w:rsid w:val="003465B1"/>
    <w:rsid w:val="0034680A"/>
    <w:rsid w:val="00346A3E"/>
    <w:rsid w:val="00346B65"/>
    <w:rsid w:val="00346B83"/>
    <w:rsid w:val="00346C8B"/>
    <w:rsid w:val="00346E42"/>
    <w:rsid w:val="00346E79"/>
    <w:rsid w:val="00346EDC"/>
    <w:rsid w:val="00346F8A"/>
    <w:rsid w:val="0034742C"/>
    <w:rsid w:val="0034747A"/>
    <w:rsid w:val="003474EC"/>
    <w:rsid w:val="0034795D"/>
    <w:rsid w:val="00347974"/>
    <w:rsid w:val="003479C5"/>
    <w:rsid w:val="00347B26"/>
    <w:rsid w:val="00347BD8"/>
    <w:rsid w:val="00347C3D"/>
    <w:rsid w:val="00347D9A"/>
    <w:rsid w:val="00347F56"/>
    <w:rsid w:val="0035000C"/>
    <w:rsid w:val="00350117"/>
    <w:rsid w:val="00350167"/>
    <w:rsid w:val="00350275"/>
    <w:rsid w:val="003504DA"/>
    <w:rsid w:val="0035055C"/>
    <w:rsid w:val="0035060D"/>
    <w:rsid w:val="00350718"/>
    <w:rsid w:val="003508BA"/>
    <w:rsid w:val="00350AF7"/>
    <w:rsid w:val="00350E20"/>
    <w:rsid w:val="00350E45"/>
    <w:rsid w:val="00350E9C"/>
    <w:rsid w:val="00350FA4"/>
    <w:rsid w:val="003514F0"/>
    <w:rsid w:val="0035157D"/>
    <w:rsid w:val="0035195F"/>
    <w:rsid w:val="00351BB5"/>
    <w:rsid w:val="00351BC5"/>
    <w:rsid w:val="00351BDA"/>
    <w:rsid w:val="00351D01"/>
    <w:rsid w:val="00351EB1"/>
    <w:rsid w:val="0035200E"/>
    <w:rsid w:val="00352171"/>
    <w:rsid w:val="00352388"/>
    <w:rsid w:val="003523C5"/>
    <w:rsid w:val="00352969"/>
    <w:rsid w:val="00352B55"/>
    <w:rsid w:val="00352D0C"/>
    <w:rsid w:val="003530DB"/>
    <w:rsid w:val="003530FD"/>
    <w:rsid w:val="0035319A"/>
    <w:rsid w:val="003535DD"/>
    <w:rsid w:val="003535EF"/>
    <w:rsid w:val="0035382A"/>
    <w:rsid w:val="003538FA"/>
    <w:rsid w:val="00353C06"/>
    <w:rsid w:val="00353C4D"/>
    <w:rsid w:val="00353F67"/>
    <w:rsid w:val="003541A3"/>
    <w:rsid w:val="003543B2"/>
    <w:rsid w:val="00354455"/>
    <w:rsid w:val="0035447E"/>
    <w:rsid w:val="003544C9"/>
    <w:rsid w:val="003544D4"/>
    <w:rsid w:val="00354E6D"/>
    <w:rsid w:val="00354EA4"/>
    <w:rsid w:val="0035516A"/>
    <w:rsid w:val="00355263"/>
    <w:rsid w:val="00355386"/>
    <w:rsid w:val="003553E4"/>
    <w:rsid w:val="003558D7"/>
    <w:rsid w:val="003559C6"/>
    <w:rsid w:val="00355C4C"/>
    <w:rsid w:val="00355D61"/>
    <w:rsid w:val="00355FEB"/>
    <w:rsid w:val="0035600F"/>
    <w:rsid w:val="003560B2"/>
    <w:rsid w:val="003560EB"/>
    <w:rsid w:val="003561AB"/>
    <w:rsid w:val="003564C6"/>
    <w:rsid w:val="00356627"/>
    <w:rsid w:val="003568D5"/>
    <w:rsid w:val="003568D7"/>
    <w:rsid w:val="00356A35"/>
    <w:rsid w:val="00356A5E"/>
    <w:rsid w:val="00356AAA"/>
    <w:rsid w:val="00356AD1"/>
    <w:rsid w:val="00356D0B"/>
    <w:rsid w:val="00356D91"/>
    <w:rsid w:val="00356DBD"/>
    <w:rsid w:val="00356EF2"/>
    <w:rsid w:val="00357002"/>
    <w:rsid w:val="0035725E"/>
    <w:rsid w:val="00357357"/>
    <w:rsid w:val="003573C3"/>
    <w:rsid w:val="00357467"/>
    <w:rsid w:val="0035747F"/>
    <w:rsid w:val="003575F6"/>
    <w:rsid w:val="003576BE"/>
    <w:rsid w:val="00357774"/>
    <w:rsid w:val="0035793B"/>
    <w:rsid w:val="00357BC3"/>
    <w:rsid w:val="00357CCC"/>
    <w:rsid w:val="00357EBF"/>
    <w:rsid w:val="00360160"/>
    <w:rsid w:val="003601E4"/>
    <w:rsid w:val="00360267"/>
    <w:rsid w:val="003602A4"/>
    <w:rsid w:val="00360350"/>
    <w:rsid w:val="00360365"/>
    <w:rsid w:val="003603C2"/>
    <w:rsid w:val="003604D9"/>
    <w:rsid w:val="003604FA"/>
    <w:rsid w:val="00360739"/>
    <w:rsid w:val="003608DB"/>
    <w:rsid w:val="00360961"/>
    <w:rsid w:val="00360B57"/>
    <w:rsid w:val="00360B67"/>
    <w:rsid w:val="00360F90"/>
    <w:rsid w:val="0036123E"/>
    <w:rsid w:val="00361638"/>
    <w:rsid w:val="00361ABA"/>
    <w:rsid w:val="00361B30"/>
    <w:rsid w:val="00361BFB"/>
    <w:rsid w:val="003621D0"/>
    <w:rsid w:val="0036239A"/>
    <w:rsid w:val="003623A6"/>
    <w:rsid w:val="00362845"/>
    <w:rsid w:val="00362A6D"/>
    <w:rsid w:val="00362A72"/>
    <w:rsid w:val="00362ACF"/>
    <w:rsid w:val="00362AE4"/>
    <w:rsid w:val="00362B24"/>
    <w:rsid w:val="00362D68"/>
    <w:rsid w:val="00362DD9"/>
    <w:rsid w:val="00362E74"/>
    <w:rsid w:val="0036306B"/>
    <w:rsid w:val="00363753"/>
    <w:rsid w:val="00363770"/>
    <w:rsid w:val="0036397E"/>
    <w:rsid w:val="003639ED"/>
    <w:rsid w:val="00363BD7"/>
    <w:rsid w:val="0036418D"/>
    <w:rsid w:val="00364273"/>
    <w:rsid w:val="0036432A"/>
    <w:rsid w:val="003648F0"/>
    <w:rsid w:val="003649C6"/>
    <w:rsid w:val="00364A7A"/>
    <w:rsid w:val="00364BF3"/>
    <w:rsid w:val="00364D89"/>
    <w:rsid w:val="00364F37"/>
    <w:rsid w:val="00365159"/>
    <w:rsid w:val="0036523B"/>
    <w:rsid w:val="0036531B"/>
    <w:rsid w:val="0036533C"/>
    <w:rsid w:val="003653EB"/>
    <w:rsid w:val="0036541E"/>
    <w:rsid w:val="003654A3"/>
    <w:rsid w:val="003656C6"/>
    <w:rsid w:val="0036584F"/>
    <w:rsid w:val="003658E7"/>
    <w:rsid w:val="00365A82"/>
    <w:rsid w:val="00365BAD"/>
    <w:rsid w:val="003660D6"/>
    <w:rsid w:val="003660FD"/>
    <w:rsid w:val="003661A3"/>
    <w:rsid w:val="0036623A"/>
    <w:rsid w:val="003663C9"/>
    <w:rsid w:val="003664DC"/>
    <w:rsid w:val="003666BB"/>
    <w:rsid w:val="00366719"/>
    <w:rsid w:val="00366756"/>
    <w:rsid w:val="00366799"/>
    <w:rsid w:val="0036688C"/>
    <w:rsid w:val="003669E1"/>
    <w:rsid w:val="00366A49"/>
    <w:rsid w:val="00366B15"/>
    <w:rsid w:val="00366C49"/>
    <w:rsid w:val="003670C9"/>
    <w:rsid w:val="003677C0"/>
    <w:rsid w:val="0036782D"/>
    <w:rsid w:val="003678F0"/>
    <w:rsid w:val="0036792F"/>
    <w:rsid w:val="003679DD"/>
    <w:rsid w:val="00367B02"/>
    <w:rsid w:val="00367C18"/>
    <w:rsid w:val="00367C6C"/>
    <w:rsid w:val="00367D0E"/>
    <w:rsid w:val="00367DF2"/>
    <w:rsid w:val="003700AE"/>
    <w:rsid w:val="003702E0"/>
    <w:rsid w:val="0037031D"/>
    <w:rsid w:val="003704D2"/>
    <w:rsid w:val="0037060E"/>
    <w:rsid w:val="0037085C"/>
    <w:rsid w:val="00370905"/>
    <w:rsid w:val="00370A5E"/>
    <w:rsid w:val="00370AE8"/>
    <w:rsid w:val="00370C59"/>
    <w:rsid w:val="00371165"/>
    <w:rsid w:val="0037121B"/>
    <w:rsid w:val="0037135A"/>
    <w:rsid w:val="0037155A"/>
    <w:rsid w:val="00371637"/>
    <w:rsid w:val="003716D1"/>
    <w:rsid w:val="003717B9"/>
    <w:rsid w:val="00371AAD"/>
    <w:rsid w:val="00371B56"/>
    <w:rsid w:val="00371CE8"/>
    <w:rsid w:val="00371DB2"/>
    <w:rsid w:val="0037206D"/>
    <w:rsid w:val="00372094"/>
    <w:rsid w:val="003721F4"/>
    <w:rsid w:val="0037248E"/>
    <w:rsid w:val="0037249C"/>
    <w:rsid w:val="00372733"/>
    <w:rsid w:val="0037278B"/>
    <w:rsid w:val="00372B14"/>
    <w:rsid w:val="00372D45"/>
    <w:rsid w:val="00372EF0"/>
    <w:rsid w:val="003730FA"/>
    <w:rsid w:val="0037312D"/>
    <w:rsid w:val="00373258"/>
    <w:rsid w:val="0037331A"/>
    <w:rsid w:val="00373635"/>
    <w:rsid w:val="0037397F"/>
    <w:rsid w:val="00373BB2"/>
    <w:rsid w:val="00373D5A"/>
    <w:rsid w:val="00373E95"/>
    <w:rsid w:val="00373EBB"/>
    <w:rsid w:val="00373EC9"/>
    <w:rsid w:val="00374029"/>
    <w:rsid w:val="0037404D"/>
    <w:rsid w:val="0037430D"/>
    <w:rsid w:val="00374336"/>
    <w:rsid w:val="00374436"/>
    <w:rsid w:val="00374479"/>
    <w:rsid w:val="00374549"/>
    <w:rsid w:val="00374716"/>
    <w:rsid w:val="003747CC"/>
    <w:rsid w:val="00374979"/>
    <w:rsid w:val="00374A4E"/>
    <w:rsid w:val="00374D87"/>
    <w:rsid w:val="00374FF1"/>
    <w:rsid w:val="00375363"/>
    <w:rsid w:val="003753D1"/>
    <w:rsid w:val="003753FD"/>
    <w:rsid w:val="00375668"/>
    <w:rsid w:val="00375672"/>
    <w:rsid w:val="0037568B"/>
    <w:rsid w:val="0037573E"/>
    <w:rsid w:val="00375F88"/>
    <w:rsid w:val="00376185"/>
    <w:rsid w:val="00376307"/>
    <w:rsid w:val="00376334"/>
    <w:rsid w:val="00376405"/>
    <w:rsid w:val="003764C8"/>
    <w:rsid w:val="00376810"/>
    <w:rsid w:val="00376975"/>
    <w:rsid w:val="00376A4C"/>
    <w:rsid w:val="00376A56"/>
    <w:rsid w:val="00376C1B"/>
    <w:rsid w:val="00376E38"/>
    <w:rsid w:val="00376F0A"/>
    <w:rsid w:val="00376FB0"/>
    <w:rsid w:val="003772D5"/>
    <w:rsid w:val="0037733D"/>
    <w:rsid w:val="003776FB"/>
    <w:rsid w:val="003777E7"/>
    <w:rsid w:val="003779FE"/>
    <w:rsid w:val="00377D12"/>
    <w:rsid w:val="00377D8E"/>
    <w:rsid w:val="00377DB5"/>
    <w:rsid w:val="00377EAF"/>
    <w:rsid w:val="00380276"/>
    <w:rsid w:val="00380304"/>
    <w:rsid w:val="003803C7"/>
    <w:rsid w:val="00380416"/>
    <w:rsid w:val="003804F7"/>
    <w:rsid w:val="0038056D"/>
    <w:rsid w:val="0038067F"/>
    <w:rsid w:val="00380898"/>
    <w:rsid w:val="00380966"/>
    <w:rsid w:val="003809D7"/>
    <w:rsid w:val="00380A02"/>
    <w:rsid w:val="00380A82"/>
    <w:rsid w:val="00380AA9"/>
    <w:rsid w:val="00380BA0"/>
    <w:rsid w:val="00380CF7"/>
    <w:rsid w:val="00380EEE"/>
    <w:rsid w:val="00380F1E"/>
    <w:rsid w:val="00380FA5"/>
    <w:rsid w:val="0038113D"/>
    <w:rsid w:val="003811EC"/>
    <w:rsid w:val="00381407"/>
    <w:rsid w:val="00381516"/>
    <w:rsid w:val="00381577"/>
    <w:rsid w:val="003817A4"/>
    <w:rsid w:val="003818EA"/>
    <w:rsid w:val="00381945"/>
    <w:rsid w:val="00381962"/>
    <w:rsid w:val="00381ACC"/>
    <w:rsid w:val="00381C87"/>
    <w:rsid w:val="00381CF7"/>
    <w:rsid w:val="00381D9B"/>
    <w:rsid w:val="00381FF1"/>
    <w:rsid w:val="00382117"/>
    <w:rsid w:val="003821B0"/>
    <w:rsid w:val="00382543"/>
    <w:rsid w:val="003825CF"/>
    <w:rsid w:val="00382689"/>
    <w:rsid w:val="00382B01"/>
    <w:rsid w:val="00382B1A"/>
    <w:rsid w:val="00382B4C"/>
    <w:rsid w:val="00382B94"/>
    <w:rsid w:val="00382E2B"/>
    <w:rsid w:val="00382EF6"/>
    <w:rsid w:val="00382F1B"/>
    <w:rsid w:val="00382FA5"/>
    <w:rsid w:val="00383064"/>
    <w:rsid w:val="0038317C"/>
    <w:rsid w:val="003834D9"/>
    <w:rsid w:val="00383631"/>
    <w:rsid w:val="003836CF"/>
    <w:rsid w:val="003836E5"/>
    <w:rsid w:val="0038379E"/>
    <w:rsid w:val="0038388A"/>
    <w:rsid w:val="00383911"/>
    <w:rsid w:val="003839B4"/>
    <w:rsid w:val="00383B01"/>
    <w:rsid w:val="00383CBA"/>
    <w:rsid w:val="00383D41"/>
    <w:rsid w:val="00383D74"/>
    <w:rsid w:val="00383D89"/>
    <w:rsid w:val="00383F5C"/>
    <w:rsid w:val="0038420D"/>
    <w:rsid w:val="0038423F"/>
    <w:rsid w:val="00384262"/>
    <w:rsid w:val="003843A0"/>
    <w:rsid w:val="003844B6"/>
    <w:rsid w:val="0038469A"/>
    <w:rsid w:val="00384909"/>
    <w:rsid w:val="00384B1C"/>
    <w:rsid w:val="00384B64"/>
    <w:rsid w:val="00384EB0"/>
    <w:rsid w:val="00384FD0"/>
    <w:rsid w:val="00385329"/>
    <w:rsid w:val="00385426"/>
    <w:rsid w:val="003854DF"/>
    <w:rsid w:val="003859CA"/>
    <w:rsid w:val="00385B4B"/>
    <w:rsid w:val="00385BC1"/>
    <w:rsid w:val="00385C8A"/>
    <w:rsid w:val="00385FAD"/>
    <w:rsid w:val="0038601C"/>
    <w:rsid w:val="0038615F"/>
    <w:rsid w:val="003861B5"/>
    <w:rsid w:val="00386260"/>
    <w:rsid w:val="0038627D"/>
    <w:rsid w:val="0038628D"/>
    <w:rsid w:val="00386427"/>
    <w:rsid w:val="0038645B"/>
    <w:rsid w:val="00386629"/>
    <w:rsid w:val="003866B7"/>
    <w:rsid w:val="00386A7A"/>
    <w:rsid w:val="00386CF9"/>
    <w:rsid w:val="00386E94"/>
    <w:rsid w:val="00386EED"/>
    <w:rsid w:val="00386EF7"/>
    <w:rsid w:val="00386FD2"/>
    <w:rsid w:val="0038709D"/>
    <w:rsid w:val="0038722C"/>
    <w:rsid w:val="003872D8"/>
    <w:rsid w:val="0038796F"/>
    <w:rsid w:val="00387974"/>
    <w:rsid w:val="003879C7"/>
    <w:rsid w:val="003879E2"/>
    <w:rsid w:val="00387A9F"/>
    <w:rsid w:val="00387EB8"/>
    <w:rsid w:val="00387F33"/>
    <w:rsid w:val="00390007"/>
    <w:rsid w:val="00390056"/>
    <w:rsid w:val="0039007D"/>
    <w:rsid w:val="003901E4"/>
    <w:rsid w:val="00390261"/>
    <w:rsid w:val="003902B3"/>
    <w:rsid w:val="003903D5"/>
    <w:rsid w:val="003905F5"/>
    <w:rsid w:val="00390899"/>
    <w:rsid w:val="00390D47"/>
    <w:rsid w:val="00390DA6"/>
    <w:rsid w:val="00390EBE"/>
    <w:rsid w:val="00391147"/>
    <w:rsid w:val="003911F3"/>
    <w:rsid w:val="00391390"/>
    <w:rsid w:val="00391537"/>
    <w:rsid w:val="0039177B"/>
    <w:rsid w:val="003919D0"/>
    <w:rsid w:val="00391B03"/>
    <w:rsid w:val="00391B91"/>
    <w:rsid w:val="00391FA2"/>
    <w:rsid w:val="003920C8"/>
    <w:rsid w:val="003920F9"/>
    <w:rsid w:val="003922C8"/>
    <w:rsid w:val="00392422"/>
    <w:rsid w:val="00392702"/>
    <w:rsid w:val="0039289C"/>
    <w:rsid w:val="003928EC"/>
    <w:rsid w:val="003929B9"/>
    <w:rsid w:val="00392E12"/>
    <w:rsid w:val="00392E2C"/>
    <w:rsid w:val="00392E7D"/>
    <w:rsid w:val="00392FB4"/>
    <w:rsid w:val="0039312F"/>
    <w:rsid w:val="00393172"/>
    <w:rsid w:val="0039350C"/>
    <w:rsid w:val="00393623"/>
    <w:rsid w:val="003936AD"/>
    <w:rsid w:val="003937DB"/>
    <w:rsid w:val="0039389A"/>
    <w:rsid w:val="003939AC"/>
    <w:rsid w:val="003939B1"/>
    <w:rsid w:val="00393A94"/>
    <w:rsid w:val="00393ECF"/>
    <w:rsid w:val="00393EE2"/>
    <w:rsid w:val="00394071"/>
    <w:rsid w:val="00394116"/>
    <w:rsid w:val="003941F4"/>
    <w:rsid w:val="0039426D"/>
    <w:rsid w:val="0039430C"/>
    <w:rsid w:val="0039442D"/>
    <w:rsid w:val="00394A57"/>
    <w:rsid w:val="00394ACD"/>
    <w:rsid w:val="003950D0"/>
    <w:rsid w:val="003950FD"/>
    <w:rsid w:val="0039512B"/>
    <w:rsid w:val="003951C8"/>
    <w:rsid w:val="00395315"/>
    <w:rsid w:val="00395721"/>
    <w:rsid w:val="003957DA"/>
    <w:rsid w:val="00395A0C"/>
    <w:rsid w:val="00395A93"/>
    <w:rsid w:val="00395AA2"/>
    <w:rsid w:val="00395BA4"/>
    <w:rsid w:val="00395EE3"/>
    <w:rsid w:val="00395F32"/>
    <w:rsid w:val="00396155"/>
    <w:rsid w:val="00396223"/>
    <w:rsid w:val="00396228"/>
    <w:rsid w:val="00396254"/>
    <w:rsid w:val="003966D3"/>
    <w:rsid w:val="00396920"/>
    <w:rsid w:val="00396B42"/>
    <w:rsid w:val="00397416"/>
    <w:rsid w:val="00397581"/>
    <w:rsid w:val="0039763D"/>
    <w:rsid w:val="003976F1"/>
    <w:rsid w:val="0039784B"/>
    <w:rsid w:val="003979E7"/>
    <w:rsid w:val="00397E62"/>
    <w:rsid w:val="003A00E1"/>
    <w:rsid w:val="003A023A"/>
    <w:rsid w:val="003A03A6"/>
    <w:rsid w:val="003A03C9"/>
    <w:rsid w:val="003A0408"/>
    <w:rsid w:val="003A041B"/>
    <w:rsid w:val="003A04D4"/>
    <w:rsid w:val="003A08E6"/>
    <w:rsid w:val="003A0903"/>
    <w:rsid w:val="003A0BA5"/>
    <w:rsid w:val="003A0DD9"/>
    <w:rsid w:val="003A0F2E"/>
    <w:rsid w:val="003A0FB5"/>
    <w:rsid w:val="003A1119"/>
    <w:rsid w:val="003A11BF"/>
    <w:rsid w:val="003A11D6"/>
    <w:rsid w:val="003A12AF"/>
    <w:rsid w:val="003A12F1"/>
    <w:rsid w:val="003A1837"/>
    <w:rsid w:val="003A18B9"/>
    <w:rsid w:val="003A1B95"/>
    <w:rsid w:val="003A1DA2"/>
    <w:rsid w:val="003A1FC4"/>
    <w:rsid w:val="003A243D"/>
    <w:rsid w:val="003A247D"/>
    <w:rsid w:val="003A273F"/>
    <w:rsid w:val="003A275F"/>
    <w:rsid w:val="003A27B5"/>
    <w:rsid w:val="003A28FC"/>
    <w:rsid w:val="003A2DC5"/>
    <w:rsid w:val="003A2E4D"/>
    <w:rsid w:val="003A2F4D"/>
    <w:rsid w:val="003A323A"/>
    <w:rsid w:val="003A343A"/>
    <w:rsid w:val="003A36F0"/>
    <w:rsid w:val="003A38DE"/>
    <w:rsid w:val="003A3A2E"/>
    <w:rsid w:val="003A3A6A"/>
    <w:rsid w:val="003A3D40"/>
    <w:rsid w:val="003A3E04"/>
    <w:rsid w:val="003A3F19"/>
    <w:rsid w:val="003A3F1D"/>
    <w:rsid w:val="003A3FC2"/>
    <w:rsid w:val="003A407A"/>
    <w:rsid w:val="003A449B"/>
    <w:rsid w:val="003A4660"/>
    <w:rsid w:val="003A46E8"/>
    <w:rsid w:val="003A49AF"/>
    <w:rsid w:val="003A4B9F"/>
    <w:rsid w:val="003A4EA7"/>
    <w:rsid w:val="003A5012"/>
    <w:rsid w:val="003A5360"/>
    <w:rsid w:val="003A5441"/>
    <w:rsid w:val="003A5442"/>
    <w:rsid w:val="003A5537"/>
    <w:rsid w:val="003A5575"/>
    <w:rsid w:val="003A56A9"/>
    <w:rsid w:val="003A56F9"/>
    <w:rsid w:val="003A571D"/>
    <w:rsid w:val="003A5860"/>
    <w:rsid w:val="003A5B7D"/>
    <w:rsid w:val="003A5D3C"/>
    <w:rsid w:val="003A613E"/>
    <w:rsid w:val="003A6282"/>
    <w:rsid w:val="003A655C"/>
    <w:rsid w:val="003A6752"/>
    <w:rsid w:val="003A68E7"/>
    <w:rsid w:val="003A6A34"/>
    <w:rsid w:val="003A6B06"/>
    <w:rsid w:val="003A6D1C"/>
    <w:rsid w:val="003A6E3C"/>
    <w:rsid w:val="003A7024"/>
    <w:rsid w:val="003A705B"/>
    <w:rsid w:val="003A70C4"/>
    <w:rsid w:val="003A7282"/>
    <w:rsid w:val="003A7411"/>
    <w:rsid w:val="003A74FA"/>
    <w:rsid w:val="003A7661"/>
    <w:rsid w:val="003A7813"/>
    <w:rsid w:val="003A7D77"/>
    <w:rsid w:val="003A7FD3"/>
    <w:rsid w:val="003B0620"/>
    <w:rsid w:val="003B06D2"/>
    <w:rsid w:val="003B0897"/>
    <w:rsid w:val="003B0936"/>
    <w:rsid w:val="003B0BFA"/>
    <w:rsid w:val="003B0C6D"/>
    <w:rsid w:val="003B0C71"/>
    <w:rsid w:val="003B0D69"/>
    <w:rsid w:val="003B0D81"/>
    <w:rsid w:val="003B141E"/>
    <w:rsid w:val="003B1447"/>
    <w:rsid w:val="003B145D"/>
    <w:rsid w:val="003B16AA"/>
    <w:rsid w:val="003B1757"/>
    <w:rsid w:val="003B1962"/>
    <w:rsid w:val="003B1ADF"/>
    <w:rsid w:val="003B1B5D"/>
    <w:rsid w:val="003B1B8A"/>
    <w:rsid w:val="003B1D48"/>
    <w:rsid w:val="003B1D61"/>
    <w:rsid w:val="003B1D86"/>
    <w:rsid w:val="003B1E4D"/>
    <w:rsid w:val="003B1E87"/>
    <w:rsid w:val="003B21B3"/>
    <w:rsid w:val="003B2291"/>
    <w:rsid w:val="003B2465"/>
    <w:rsid w:val="003B250E"/>
    <w:rsid w:val="003B25C1"/>
    <w:rsid w:val="003B2770"/>
    <w:rsid w:val="003B284B"/>
    <w:rsid w:val="003B29ED"/>
    <w:rsid w:val="003B2B4D"/>
    <w:rsid w:val="003B2B5F"/>
    <w:rsid w:val="003B2C73"/>
    <w:rsid w:val="003B2D62"/>
    <w:rsid w:val="003B2D70"/>
    <w:rsid w:val="003B2E98"/>
    <w:rsid w:val="003B3084"/>
    <w:rsid w:val="003B3562"/>
    <w:rsid w:val="003B35C2"/>
    <w:rsid w:val="003B379E"/>
    <w:rsid w:val="003B37BB"/>
    <w:rsid w:val="003B3853"/>
    <w:rsid w:val="003B3D1E"/>
    <w:rsid w:val="003B420B"/>
    <w:rsid w:val="003B4273"/>
    <w:rsid w:val="003B4278"/>
    <w:rsid w:val="003B453C"/>
    <w:rsid w:val="003B456E"/>
    <w:rsid w:val="003B4582"/>
    <w:rsid w:val="003B47B7"/>
    <w:rsid w:val="003B4917"/>
    <w:rsid w:val="003B4955"/>
    <w:rsid w:val="003B4BE1"/>
    <w:rsid w:val="003B4C19"/>
    <w:rsid w:val="003B4F9D"/>
    <w:rsid w:val="003B50DA"/>
    <w:rsid w:val="003B52AB"/>
    <w:rsid w:val="003B549B"/>
    <w:rsid w:val="003B551A"/>
    <w:rsid w:val="003B5758"/>
    <w:rsid w:val="003B5854"/>
    <w:rsid w:val="003B5A64"/>
    <w:rsid w:val="003B5F44"/>
    <w:rsid w:val="003B607C"/>
    <w:rsid w:val="003B61A8"/>
    <w:rsid w:val="003B61A9"/>
    <w:rsid w:val="003B652F"/>
    <w:rsid w:val="003B672D"/>
    <w:rsid w:val="003B6A30"/>
    <w:rsid w:val="003B6DA8"/>
    <w:rsid w:val="003B7337"/>
    <w:rsid w:val="003B73A3"/>
    <w:rsid w:val="003B7446"/>
    <w:rsid w:val="003B7494"/>
    <w:rsid w:val="003B7621"/>
    <w:rsid w:val="003B771D"/>
    <w:rsid w:val="003B7805"/>
    <w:rsid w:val="003B7849"/>
    <w:rsid w:val="003B7EE2"/>
    <w:rsid w:val="003C0047"/>
    <w:rsid w:val="003C0113"/>
    <w:rsid w:val="003C0200"/>
    <w:rsid w:val="003C023F"/>
    <w:rsid w:val="003C033E"/>
    <w:rsid w:val="003C0343"/>
    <w:rsid w:val="003C05B4"/>
    <w:rsid w:val="003C0758"/>
    <w:rsid w:val="003C0A4C"/>
    <w:rsid w:val="003C0C57"/>
    <w:rsid w:val="003C0CEB"/>
    <w:rsid w:val="003C0D0C"/>
    <w:rsid w:val="003C0D31"/>
    <w:rsid w:val="003C0E6D"/>
    <w:rsid w:val="003C0F58"/>
    <w:rsid w:val="003C107C"/>
    <w:rsid w:val="003C1151"/>
    <w:rsid w:val="003C1178"/>
    <w:rsid w:val="003C1373"/>
    <w:rsid w:val="003C143B"/>
    <w:rsid w:val="003C149B"/>
    <w:rsid w:val="003C16DA"/>
    <w:rsid w:val="003C1BC9"/>
    <w:rsid w:val="003C1CBA"/>
    <w:rsid w:val="003C1EC6"/>
    <w:rsid w:val="003C2081"/>
    <w:rsid w:val="003C221D"/>
    <w:rsid w:val="003C2314"/>
    <w:rsid w:val="003C2479"/>
    <w:rsid w:val="003C24E6"/>
    <w:rsid w:val="003C263D"/>
    <w:rsid w:val="003C2767"/>
    <w:rsid w:val="003C29B4"/>
    <w:rsid w:val="003C2A7D"/>
    <w:rsid w:val="003C2D81"/>
    <w:rsid w:val="003C2E28"/>
    <w:rsid w:val="003C2ECA"/>
    <w:rsid w:val="003C2F9E"/>
    <w:rsid w:val="003C3112"/>
    <w:rsid w:val="003C3510"/>
    <w:rsid w:val="003C3516"/>
    <w:rsid w:val="003C364E"/>
    <w:rsid w:val="003C38AA"/>
    <w:rsid w:val="003C398E"/>
    <w:rsid w:val="003C3AE8"/>
    <w:rsid w:val="003C3CE7"/>
    <w:rsid w:val="003C3DEB"/>
    <w:rsid w:val="003C3E79"/>
    <w:rsid w:val="003C4408"/>
    <w:rsid w:val="003C459E"/>
    <w:rsid w:val="003C48FA"/>
    <w:rsid w:val="003C4B48"/>
    <w:rsid w:val="003C4C4B"/>
    <w:rsid w:val="003C4ED7"/>
    <w:rsid w:val="003C4EE9"/>
    <w:rsid w:val="003C500D"/>
    <w:rsid w:val="003C529A"/>
    <w:rsid w:val="003C52F1"/>
    <w:rsid w:val="003C52F4"/>
    <w:rsid w:val="003C5481"/>
    <w:rsid w:val="003C552B"/>
    <w:rsid w:val="003C55F5"/>
    <w:rsid w:val="003C5638"/>
    <w:rsid w:val="003C5656"/>
    <w:rsid w:val="003C571D"/>
    <w:rsid w:val="003C57DE"/>
    <w:rsid w:val="003C58B9"/>
    <w:rsid w:val="003C5B40"/>
    <w:rsid w:val="003C5B8C"/>
    <w:rsid w:val="003C5C50"/>
    <w:rsid w:val="003C60FF"/>
    <w:rsid w:val="003C6103"/>
    <w:rsid w:val="003C62E2"/>
    <w:rsid w:val="003C62FE"/>
    <w:rsid w:val="003C6348"/>
    <w:rsid w:val="003C63A1"/>
    <w:rsid w:val="003C65D4"/>
    <w:rsid w:val="003C6681"/>
    <w:rsid w:val="003C6990"/>
    <w:rsid w:val="003C6A29"/>
    <w:rsid w:val="003C6AA8"/>
    <w:rsid w:val="003C6CAA"/>
    <w:rsid w:val="003C6E5A"/>
    <w:rsid w:val="003C6EB2"/>
    <w:rsid w:val="003C7174"/>
    <w:rsid w:val="003C722C"/>
    <w:rsid w:val="003C7364"/>
    <w:rsid w:val="003C7571"/>
    <w:rsid w:val="003C76A6"/>
    <w:rsid w:val="003C76D1"/>
    <w:rsid w:val="003C78FE"/>
    <w:rsid w:val="003C7B91"/>
    <w:rsid w:val="003C7E58"/>
    <w:rsid w:val="003C7F29"/>
    <w:rsid w:val="003D008B"/>
    <w:rsid w:val="003D0562"/>
    <w:rsid w:val="003D0738"/>
    <w:rsid w:val="003D0821"/>
    <w:rsid w:val="003D092F"/>
    <w:rsid w:val="003D096C"/>
    <w:rsid w:val="003D0997"/>
    <w:rsid w:val="003D0A5C"/>
    <w:rsid w:val="003D0AA5"/>
    <w:rsid w:val="003D0B6D"/>
    <w:rsid w:val="003D0B85"/>
    <w:rsid w:val="003D0C9E"/>
    <w:rsid w:val="003D0D5D"/>
    <w:rsid w:val="003D0FB9"/>
    <w:rsid w:val="003D105F"/>
    <w:rsid w:val="003D10DA"/>
    <w:rsid w:val="003D10E3"/>
    <w:rsid w:val="003D1135"/>
    <w:rsid w:val="003D129F"/>
    <w:rsid w:val="003D132B"/>
    <w:rsid w:val="003D1427"/>
    <w:rsid w:val="003D14F0"/>
    <w:rsid w:val="003D15D8"/>
    <w:rsid w:val="003D168C"/>
    <w:rsid w:val="003D1ADA"/>
    <w:rsid w:val="003D1BB0"/>
    <w:rsid w:val="003D1BE8"/>
    <w:rsid w:val="003D1D25"/>
    <w:rsid w:val="003D20C4"/>
    <w:rsid w:val="003D25DD"/>
    <w:rsid w:val="003D2841"/>
    <w:rsid w:val="003D2B58"/>
    <w:rsid w:val="003D2CB4"/>
    <w:rsid w:val="003D2D0A"/>
    <w:rsid w:val="003D3103"/>
    <w:rsid w:val="003D3212"/>
    <w:rsid w:val="003D3482"/>
    <w:rsid w:val="003D354E"/>
    <w:rsid w:val="003D3696"/>
    <w:rsid w:val="003D39C1"/>
    <w:rsid w:val="003D3AC9"/>
    <w:rsid w:val="003D3BB5"/>
    <w:rsid w:val="003D3F4F"/>
    <w:rsid w:val="003D4174"/>
    <w:rsid w:val="003D47EE"/>
    <w:rsid w:val="003D47F6"/>
    <w:rsid w:val="003D47FA"/>
    <w:rsid w:val="003D49ED"/>
    <w:rsid w:val="003D49FC"/>
    <w:rsid w:val="003D4CD4"/>
    <w:rsid w:val="003D4D93"/>
    <w:rsid w:val="003D4E31"/>
    <w:rsid w:val="003D5586"/>
    <w:rsid w:val="003D5618"/>
    <w:rsid w:val="003D5642"/>
    <w:rsid w:val="003D566A"/>
    <w:rsid w:val="003D576E"/>
    <w:rsid w:val="003D5773"/>
    <w:rsid w:val="003D5774"/>
    <w:rsid w:val="003D5793"/>
    <w:rsid w:val="003D57AE"/>
    <w:rsid w:val="003D5970"/>
    <w:rsid w:val="003D5A60"/>
    <w:rsid w:val="003D5B46"/>
    <w:rsid w:val="003D5E08"/>
    <w:rsid w:val="003D5FB7"/>
    <w:rsid w:val="003D601A"/>
    <w:rsid w:val="003D60CF"/>
    <w:rsid w:val="003D641B"/>
    <w:rsid w:val="003D652A"/>
    <w:rsid w:val="003D6751"/>
    <w:rsid w:val="003D6886"/>
    <w:rsid w:val="003D6901"/>
    <w:rsid w:val="003D693D"/>
    <w:rsid w:val="003D698E"/>
    <w:rsid w:val="003D69B6"/>
    <w:rsid w:val="003D6A32"/>
    <w:rsid w:val="003D6A6F"/>
    <w:rsid w:val="003D6BF7"/>
    <w:rsid w:val="003D6C46"/>
    <w:rsid w:val="003D6F6B"/>
    <w:rsid w:val="003D7332"/>
    <w:rsid w:val="003D7689"/>
    <w:rsid w:val="003D7750"/>
    <w:rsid w:val="003D77C1"/>
    <w:rsid w:val="003D7A53"/>
    <w:rsid w:val="003D7D77"/>
    <w:rsid w:val="003D7E14"/>
    <w:rsid w:val="003D7F91"/>
    <w:rsid w:val="003D7FD9"/>
    <w:rsid w:val="003E000E"/>
    <w:rsid w:val="003E0135"/>
    <w:rsid w:val="003E04C2"/>
    <w:rsid w:val="003E04E5"/>
    <w:rsid w:val="003E057B"/>
    <w:rsid w:val="003E05AC"/>
    <w:rsid w:val="003E0600"/>
    <w:rsid w:val="003E0663"/>
    <w:rsid w:val="003E0A15"/>
    <w:rsid w:val="003E0AEA"/>
    <w:rsid w:val="003E0BFE"/>
    <w:rsid w:val="003E0C7F"/>
    <w:rsid w:val="003E0C8C"/>
    <w:rsid w:val="003E10F1"/>
    <w:rsid w:val="003E1105"/>
    <w:rsid w:val="003E14C6"/>
    <w:rsid w:val="003E161D"/>
    <w:rsid w:val="003E1ACB"/>
    <w:rsid w:val="003E1C29"/>
    <w:rsid w:val="003E2030"/>
    <w:rsid w:val="003E2296"/>
    <w:rsid w:val="003E2467"/>
    <w:rsid w:val="003E2479"/>
    <w:rsid w:val="003E24B3"/>
    <w:rsid w:val="003E276D"/>
    <w:rsid w:val="003E2B4B"/>
    <w:rsid w:val="003E2B8E"/>
    <w:rsid w:val="003E2D36"/>
    <w:rsid w:val="003E3729"/>
    <w:rsid w:val="003E373C"/>
    <w:rsid w:val="003E3943"/>
    <w:rsid w:val="003E40A1"/>
    <w:rsid w:val="003E4287"/>
    <w:rsid w:val="003E4353"/>
    <w:rsid w:val="003E435A"/>
    <w:rsid w:val="003E438A"/>
    <w:rsid w:val="003E4500"/>
    <w:rsid w:val="003E4873"/>
    <w:rsid w:val="003E49B8"/>
    <w:rsid w:val="003E49C1"/>
    <w:rsid w:val="003E4A06"/>
    <w:rsid w:val="003E4FEE"/>
    <w:rsid w:val="003E512B"/>
    <w:rsid w:val="003E521E"/>
    <w:rsid w:val="003E526A"/>
    <w:rsid w:val="003E5307"/>
    <w:rsid w:val="003E5313"/>
    <w:rsid w:val="003E56BD"/>
    <w:rsid w:val="003E608E"/>
    <w:rsid w:val="003E625C"/>
    <w:rsid w:val="003E655B"/>
    <w:rsid w:val="003E65F5"/>
    <w:rsid w:val="003E6744"/>
    <w:rsid w:val="003E69B9"/>
    <w:rsid w:val="003E6A62"/>
    <w:rsid w:val="003E6A66"/>
    <w:rsid w:val="003E6B49"/>
    <w:rsid w:val="003E6EF1"/>
    <w:rsid w:val="003E7189"/>
    <w:rsid w:val="003E749B"/>
    <w:rsid w:val="003E76B7"/>
    <w:rsid w:val="003E771F"/>
    <w:rsid w:val="003E77D5"/>
    <w:rsid w:val="003E7930"/>
    <w:rsid w:val="003E79B2"/>
    <w:rsid w:val="003E7BCB"/>
    <w:rsid w:val="003F017F"/>
    <w:rsid w:val="003F026C"/>
    <w:rsid w:val="003F05B0"/>
    <w:rsid w:val="003F07DA"/>
    <w:rsid w:val="003F07F2"/>
    <w:rsid w:val="003F0980"/>
    <w:rsid w:val="003F0994"/>
    <w:rsid w:val="003F0B35"/>
    <w:rsid w:val="003F0B6A"/>
    <w:rsid w:val="003F0D79"/>
    <w:rsid w:val="003F0E1F"/>
    <w:rsid w:val="003F10A9"/>
    <w:rsid w:val="003F11A1"/>
    <w:rsid w:val="003F141C"/>
    <w:rsid w:val="003F1491"/>
    <w:rsid w:val="003F17A8"/>
    <w:rsid w:val="003F187B"/>
    <w:rsid w:val="003F1A98"/>
    <w:rsid w:val="003F1CC2"/>
    <w:rsid w:val="003F1F4B"/>
    <w:rsid w:val="003F203C"/>
    <w:rsid w:val="003F2170"/>
    <w:rsid w:val="003F2194"/>
    <w:rsid w:val="003F21F8"/>
    <w:rsid w:val="003F23F7"/>
    <w:rsid w:val="003F24DF"/>
    <w:rsid w:val="003F2547"/>
    <w:rsid w:val="003F2653"/>
    <w:rsid w:val="003F268B"/>
    <w:rsid w:val="003F2775"/>
    <w:rsid w:val="003F2DE4"/>
    <w:rsid w:val="003F2E92"/>
    <w:rsid w:val="003F2E97"/>
    <w:rsid w:val="003F312A"/>
    <w:rsid w:val="003F32C6"/>
    <w:rsid w:val="003F3476"/>
    <w:rsid w:val="003F34D6"/>
    <w:rsid w:val="003F3551"/>
    <w:rsid w:val="003F359B"/>
    <w:rsid w:val="003F3901"/>
    <w:rsid w:val="003F393A"/>
    <w:rsid w:val="003F3BF2"/>
    <w:rsid w:val="003F3CEF"/>
    <w:rsid w:val="003F3F85"/>
    <w:rsid w:val="003F443E"/>
    <w:rsid w:val="003F44D1"/>
    <w:rsid w:val="003F4542"/>
    <w:rsid w:val="003F45CD"/>
    <w:rsid w:val="003F46A6"/>
    <w:rsid w:val="003F4808"/>
    <w:rsid w:val="003F4A81"/>
    <w:rsid w:val="003F4B2A"/>
    <w:rsid w:val="003F4B82"/>
    <w:rsid w:val="003F4E88"/>
    <w:rsid w:val="003F4EF5"/>
    <w:rsid w:val="003F5024"/>
    <w:rsid w:val="003F5038"/>
    <w:rsid w:val="003F51B1"/>
    <w:rsid w:val="003F5655"/>
    <w:rsid w:val="003F5726"/>
    <w:rsid w:val="003F5F8C"/>
    <w:rsid w:val="003F6187"/>
    <w:rsid w:val="003F62D4"/>
    <w:rsid w:val="003F636C"/>
    <w:rsid w:val="003F64C4"/>
    <w:rsid w:val="003F6725"/>
    <w:rsid w:val="003F6728"/>
    <w:rsid w:val="003F672C"/>
    <w:rsid w:val="003F67AE"/>
    <w:rsid w:val="003F6886"/>
    <w:rsid w:val="003F69DC"/>
    <w:rsid w:val="003F6A2E"/>
    <w:rsid w:val="003F6C08"/>
    <w:rsid w:val="003F6F72"/>
    <w:rsid w:val="003F717A"/>
    <w:rsid w:val="003F72BE"/>
    <w:rsid w:val="003F7412"/>
    <w:rsid w:val="003F7471"/>
    <w:rsid w:val="003F74A6"/>
    <w:rsid w:val="003F766C"/>
    <w:rsid w:val="003F77E5"/>
    <w:rsid w:val="003F78D5"/>
    <w:rsid w:val="003F798D"/>
    <w:rsid w:val="003F79FB"/>
    <w:rsid w:val="003F7D2D"/>
    <w:rsid w:val="003F7FDC"/>
    <w:rsid w:val="0040001F"/>
    <w:rsid w:val="00400165"/>
    <w:rsid w:val="0040023D"/>
    <w:rsid w:val="00400391"/>
    <w:rsid w:val="004003CD"/>
    <w:rsid w:val="004004FA"/>
    <w:rsid w:val="00400626"/>
    <w:rsid w:val="004007C7"/>
    <w:rsid w:val="004008C4"/>
    <w:rsid w:val="00400B16"/>
    <w:rsid w:val="00400E49"/>
    <w:rsid w:val="00400EA7"/>
    <w:rsid w:val="00401033"/>
    <w:rsid w:val="004010CF"/>
    <w:rsid w:val="004010D9"/>
    <w:rsid w:val="0040116E"/>
    <w:rsid w:val="004011ED"/>
    <w:rsid w:val="00401258"/>
    <w:rsid w:val="0040174B"/>
    <w:rsid w:val="004018A4"/>
    <w:rsid w:val="004018DC"/>
    <w:rsid w:val="00401C4A"/>
    <w:rsid w:val="00401C7F"/>
    <w:rsid w:val="00402687"/>
    <w:rsid w:val="0040291E"/>
    <w:rsid w:val="004029A9"/>
    <w:rsid w:val="004029B3"/>
    <w:rsid w:val="00402AD7"/>
    <w:rsid w:val="00402C49"/>
    <w:rsid w:val="00402CAB"/>
    <w:rsid w:val="00402E71"/>
    <w:rsid w:val="00403072"/>
    <w:rsid w:val="004031DA"/>
    <w:rsid w:val="0040325F"/>
    <w:rsid w:val="00403296"/>
    <w:rsid w:val="0040333B"/>
    <w:rsid w:val="004034AF"/>
    <w:rsid w:val="00403567"/>
    <w:rsid w:val="00403593"/>
    <w:rsid w:val="0040362D"/>
    <w:rsid w:val="00403674"/>
    <w:rsid w:val="00403740"/>
    <w:rsid w:val="0040375C"/>
    <w:rsid w:val="00403B90"/>
    <w:rsid w:val="00403C5B"/>
    <w:rsid w:val="00403CF7"/>
    <w:rsid w:val="00403E7A"/>
    <w:rsid w:val="00403F6F"/>
    <w:rsid w:val="00403F9E"/>
    <w:rsid w:val="00404000"/>
    <w:rsid w:val="00404179"/>
    <w:rsid w:val="0040417E"/>
    <w:rsid w:val="00404327"/>
    <w:rsid w:val="00404A50"/>
    <w:rsid w:val="00404B53"/>
    <w:rsid w:val="00404C8C"/>
    <w:rsid w:val="00404D86"/>
    <w:rsid w:val="00404E55"/>
    <w:rsid w:val="00404EA9"/>
    <w:rsid w:val="0040509E"/>
    <w:rsid w:val="004050A6"/>
    <w:rsid w:val="00405225"/>
    <w:rsid w:val="0040538F"/>
    <w:rsid w:val="004053B8"/>
    <w:rsid w:val="0040557E"/>
    <w:rsid w:val="004059CD"/>
    <w:rsid w:val="00405A36"/>
    <w:rsid w:val="00405BE2"/>
    <w:rsid w:val="00405D13"/>
    <w:rsid w:val="00405D61"/>
    <w:rsid w:val="00406220"/>
    <w:rsid w:val="00406361"/>
    <w:rsid w:val="0040645F"/>
    <w:rsid w:val="004064FC"/>
    <w:rsid w:val="004065C7"/>
    <w:rsid w:val="00406639"/>
    <w:rsid w:val="0040670A"/>
    <w:rsid w:val="004068FA"/>
    <w:rsid w:val="004069E3"/>
    <w:rsid w:val="00406E5E"/>
    <w:rsid w:val="00406E9B"/>
    <w:rsid w:val="00406EE9"/>
    <w:rsid w:val="004070F9"/>
    <w:rsid w:val="004071B9"/>
    <w:rsid w:val="004071DD"/>
    <w:rsid w:val="00407265"/>
    <w:rsid w:val="00407319"/>
    <w:rsid w:val="00407356"/>
    <w:rsid w:val="00407425"/>
    <w:rsid w:val="00407514"/>
    <w:rsid w:val="00407623"/>
    <w:rsid w:val="00407748"/>
    <w:rsid w:val="004077C3"/>
    <w:rsid w:val="0040790F"/>
    <w:rsid w:val="0040791B"/>
    <w:rsid w:val="0040795A"/>
    <w:rsid w:val="00407987"/>
    <w:rsid w:val="00407A4A"/>
    <w:rsid w:val="00407A54"/>
    <w:rsid w:val="00407B91"/>
    <w:rsid w:val="00407BDB"/>
    <w:rsid w:val="00410116"/>
    <w:rsid w:val="004103A1"/>
    <w:rsid w:val="004108E5"/>
    <w:rsid w:val="00410AF9"/>
    <w:rsid w:val="00410C3A"/>
    <w:rsid w:val="00410C92"/>
    <w:rsid w:val="00410D1B"/>
    <w:rsid w:val="00410E6F"/>
    <w:rsid w:val="0041101F"/>
    <w:rsid w:val="00411235"/>
    <w:rsid w:val="0041123F"/>
    <w:rsid w:val="0041146F"/>
    <w:rsid w:val="00411860"/>
    <w:rsid w:val="00411B36"/>
    <w:rsid w:val="00411C59"/>
    <w:rsid w:val="00411CC3"/>
    <w:rsid w:val="00411E78"/>
    <w:rsid w:val="00411E9F"/>
    <w:rsid w:val="004120B5"/>
    <w:rsid w:val="0041219B"/>
    <w:rsid w:val="004124B9"/>
    <w:rsid w:val="0041251F"/>
    <w:rsid w:val="00412535"/>
    <w:rsid w:val="00412597"/>
    <w:rsid w:val="004125BF"/>
    <w:rsid w:val="004126F2"/>
    <w:rsid w:val="0041288F"/>
    <w:rsid w:val="004129D8"/>
    <w:rsid w:val="00412B70"/>
    <w:rsid w:val="00412BA3"/>
    <w:rsid w:val="00412D46"/>
    <w:rsid w:val="00412E5C"/>
    <w:rsid w:val="00412E70"/>
    <w:rsid w:val="00412EC1"/>
    <w:rsid w:val="00412EF4"/>
    <w:rsid w:val="004130FE"/>
    <w:rsid w:val="00413371"/>
    <w:rsid w:val="00413460"/>
    <w:rsid w:val="004136D1"/>
    <w:rsid w:val="004136FD"/>
    <w:rsid w:val="004137C2"/>
    <w:rsid w:val="00413959"/>
    <w:rsid w:val="00413962"/>
    <w:rsid w:val="00413AB9"/>
    <w:rsid w:val="00413E0A"/>
    <w:rsid w:val="00413FBE"/>
    <w:rsid w:val="0041437B"/>
    <w:rsid w:val="00414392"/>
    <w:rsid w:val="004144DB"/>
    <w:rsid w:val="00414826"/>
    <w:rsid w:val="00414A2B"/>
    <w:rsid w:val="00414C95"/>
    <w:rsid w:val="00414DE4"/>
    <w:rsid w:val="00414EDB"/>
    <w:rsid w:val="00414F33"/>
    <w:rsid w:val="00414F45"/>
    <w:rsid w:val="0041520B"/>
    <w:rsid w:val="00415610"/>
    <w:rsid w:val="00415639"/>
    <w:rsid w:val="00415719"/>
    <w:rsid w:val="004157AA"/>
    <w:rsid w:val="004158F9"/>
    <w:rsid w:val="00415AB2"/>
    <w:rsid w:val="00415C20"/>
    <w:rsid w:val="00415DFD"/>
    <w:rsid w:val="00415E6C"/>
    <w:rsid w:val="00416084"/>
    <w:rsid w:val="0041623D"/>
    <w:rsid w:val="0041632D"/>
    <w:rsid w:val="00416441"/>
    <w:rsid w:val="0041651F"/>
    <w:rsid w:val="0041666B"/>
    <w:rsid w:val="00416690"/>
    <w:rsid w:val="00416778"/>
    <w:rsid w:val="00416870"/>
    <w:rsid w:val="004168F2"/>
    <w:rsid w:val="004168F7"/>
    <w:rsid w:val="00416906"/>
    <w:rsid w:val="00416E8A"/>
    <w:rsid w:val="00416F25"/>
    <w:rsid w:val="00417021"/>
    <w:rsid w:val="004172CF"/>
    <w:rsid w:val="00417376"/>
    <w:rsid w:val="0041741C"/>
    <w:rsid w:val="00417470"/>
    <w:rsid w:val="004174D5"/>
    <w:rsid w:val="004175E1"/>
    <w:rsid w:val="004176C7"/>
    <w:rsid w:val="004176E0"/>
    <w:rsid w:val="00417825"/>
    <w:rsid w:val="00417C56"/>
    <w:rsid w:val="00417DC0"/>
    <w:rsid w:val="00417EE7"/>
    <w:rsid w:val="004203BF"/>
    <w:rsid w:val="004205D7"/>
    <w:rsid w:val="0042063A"/>
    <w:rsid w:val="0042078F"/>
    <w:rsid w:val="0042086F"/>
    <w:rsid w:val="004208A8"/>
    <w:rsid w:val="0042096C"/>
    <w:rsid w:val="0042097B"/>
    <w:rsid w:val="00420C60"/>
    <w:rsid w:val="00420E97"/>
    <w:rsid w:val="00420F6E"/>
    <w:rsid w:val="004211A3"/>
    <w:rsid w:val="00421277"/>
    <w:rsid w:val="0042133A"/>
    <w:rsid w:val="00421394"/>
    <w:rsid w:val="00421591"/>
    <w:rsid w:val="004216BC"/>
    <w:rsid w:val="004217F9"/>
    <w:rsid w:val="00421A0D"/>
    <w:rsid w:val="00421E88"/>
    <w:rsid w:val="00422023"/>
    <w:rsid w:val="00422315"/>
    <w:rsid w:val="00422402"/>
    <w:rsid w:val="00422421"/>
    <w:rsid w:val="00422846"/>
    <w:rsid w:val="004228C7"/>
    <w:rsid w:val="00422BAD"/>
    <w:rsid w:val="00423020"/>
    <w:rsid w:val="00423208"/>
    <w:rsid w:val="00423382"/>
    <w:rsid w:val="0042340B"/>
    <w:rsid w:val="004236DE"/>
    <w:rsid w:val="004236E5"/>
    <w:rsid w:val="0042370D"/>
    <w:rsid w:val="004238C0"/>
    <w:rsid w:val="00423936"/>
    <w:rsid w:val="0042396C"/>
    <w:rsid w:val="004239D5"/>
    <w:rsid w:val="00423A42"/>
    <w:rsid w:val="00423BAA"/>
    <w:rsid w:val="00423CC1"/>
    <w:rsid w:val="00423CC5"/>
    <w:rsid w:val="00423E42"/>
    <w:rsid w:val="00423EEB"/>
    <w:rsid w:val="00424059"/>
    <w:rsid w:val="00424073"/>
    <w:rsid w:val="0042415E"/>
    <w:rsid w:val="004243CC"/>
    <w:rsid w:val="00424449"/>
    <w:rsid w:val="00424569"/>
    <w:rsid w:val="00424631"/>
    <w:rsid w:val="00424660"/>
    <w:rsid w:val="0042466D"/>
    <w:rsid w:val="004246F3"/>
    <w:rsid w:val="0042477B"/>
    <w:rsid w:val="00424808"/>
    <w:rsid w:val="0042497E"/>
    <w:rsid w:val="00424D1D"/>
    <w:rsid w:val="0042515D"/>
    <w:rsid w:val="00425E44"/>
    <w:rsid w:val="00425FB7"/>
    <w:rsid w:val="00426207"/>
    <w:rsid w:val="0042646D"/>
    <w:rsid w:val="004264D7"/>
    <w:rsid w:val="00426509"/>
    <w:rsid w:val="004266A1"/>
    <w:rsid w:val="004267C4"/>
    <w:rsid w:val="00426967"/>
    <w:rsid w:val="00426C72"/>
    <w:rsid w:val="00426C74"/>
    <w:rsid w:val="00426C77"/>
    <w:rsid w:val="00426D20"/>
    <w:rsid w:val="004274F1"/>
    <w:rsid w:val="00427BB0"/>
    <w:rsid w:val="00427D7F"/>
    <w:rsid w:val="00427DD9"/>
    <w:rsid w:val="004301E5"/>
    <w:rsid w:val="00430352"/>
    <w:rsid w:val="0043036B"/>
    <w:rsid w:val="004305BD"/>
    <w:rsid w:val="004308C6"/>
    <w:rsid w:val="00430A52"/>
    <w:rsid w:val="00430D07"/>
    <w:rsid w:val="00430DEE"/>
    <w:rsid w:val="00430DF1"/>
    <w:rsid w:val="00430F2B"/>
    <w:rsid w:val="00430FEA"/>
    <w:rsid w:val="004310DD"/>
    <w:rsid w:val="00431370"/>
    <w:rsid w:val="004313C9"/>
    <w:rsid w:val="004313DE"/>
    <w:rsid w:val="0043145E"/>
    <w:rsid w:val="00431484"/>
    <w:rsid w:val="004316CB"/>
    <w:rsid w:val="00431732"/>
    <w:rsid w:val="00431C3D"/>
    <w:rsid w:val="00431C60"/>
    <w:rsid w:val="00431D09"/>
    <w:rsid w:val="00431DB1"/>
    <w:rsid w:val="00431E2A"/>
    <w:rsid w:val="00431F33"/>
    <w:rsid w:val="00432137"/>
    <w:rsid w:val="00432273"/>
    <w:rsid w:val="00432290"/>
    <w:rsid w:val="00432388"/>
    <w:rsid w:val="00432519"/>
    <w:rsid w:val="0043257F"/>
    <w:rsid w:val="00432618"/>
    <w:rsid w:val="00432A0A"/>
    <w:rsid w:val="0043309C"/>
    <w:rsid w:val="004330AC"/>
    <w:rsid w:val="004330FF"/>
    <w:rsid w:val="00433380"/>
    <w:rsid w:val="004333C0"/>
    <w:rsid w:val="004334ED"/>
    <w:rsid w:val="00433564"/>
    <w:rsid w:val="00433664"/>
    <w:rsid w:val="004337AC"/>
    <w:rsid w:val="0043392F"/>
    <w:rsid w:val="00433A46"/>
    <w:rsid w:val="00433E44"/>
    <w:rsid w:val="00433F01"/>
    <w:rsid w:val="00433F70"/>
    <w:rsid w:val="004341AB"/>
    <w:rsid w:val="004344CE"/>
    <w:rsid w:val="0043474E"/>
    <w:rsid w:val="004348FF"/>
    <w:rsid w:val="00434A58"/>
    <w:rsid w:val="00434C45"/>
    <w:rsid w:val="00434D59"/>
    <w:rsid w:val="00434EB0"/>
    <w:rsid w:val="00434FC9"/>
    <w:rsid w:val="00435113"/>
    <w:rsid w:val="00435117"/>
    <w:rsid w:val="004353AA"/>
    <w:rsid w:val="0043559B"/>
    <w:rsid w:val="00435794"/>
    <w:rsid w:val="00435951"/>
    <w:rsid w:val="00435E23"/>
    <w:rsid w:val="004365B4"/>
    <w:rsid w:val="004368B1"/>
    <w:rsid w:val="00436926"/>
    <w:rsid w:val="0043694B"/>
    <w:rsid w:val="00436B73"/>
    <w:rsid w:val="00436C5F"/>
    <w:rsid w:val="00436C7A"/>
    <w:rsid w:val="00436E99"/>
    <w:rsid w:val="0043706D"/>
    <w:rsid w:val="004370E0"/>
    <w:rsid w:val="00437191"/>
    <w:rsid w:val="004373D0"/>
    <w:rsid w:val="0043752F"/>
    <w:rsid w:val="00437684"/>
    <w:rsid w:val="004376C3"/>
    <w:rsid w:val="004379D0"/>
    <w:rsid w:val="00437AD6"/>
    <w:rsid w:val="00437B5B"/>
    <w:rsid w:val="00437F8A"/>
    <w:rsid w:val="0044031B"/>
    <w:rsid w:val="00440483"/>
    <w:rsid w:val="0044048A"/>
    <w:rsid w:val="004404E4"/>
    <w:rsid w:val="00440725"/>
    <w:rsid w:val="004407A7"/>
    <w:rsid w:val="00440B7E"/>
    <w:rsid w:val="00440FC3"/>
    <w:rsid w:val="004411D3"/>
    <w:rsid w:val="0044132B"/>
    <w:rsid w:val="0044146D"/>
    <w:rsid w:val="00441AA0"/>
    <w:rsid w:val="00441B00"/>
    <w:rsid w:val="00441B88"/>
    <w:rsid w:val="00441C2A"/>
    <w:rsid w:val="00441F63"/>
    <w:rsid w:val="004420B2"/>
    <w:rsid w:val="00442183"/>
    <w:rsid w:val="00442375"/>
    <w:rsid w:val="0044240C"/>
    <w:rsid w:val="00442B7D"/>
    <w:rsid w:val="00442B80"/>
    <w:rsid w:val="00442C02"/>
    <w:rsid w:val="00442C8A"/>
    <w:rsid w:val="00442F19"/>
    <w:rsid w:val="0044317F"/>
    <w:rsid w:val="00443219"/>
    <w:rsid w:val="00443310"/>
    <w:rsid w:val="00443332"/>
    <w:rsid w:val="0044335E"/>
    <w:rsid w:val="00443469"/>
    <w:rsid w:val="00443527"/>
    <w:rsid w:val="00443529"/>
    <w:rsid w:val="004435D0"/>
    <w:rsid w:val="0044379E"/>
    <w:rsid w:val="00443983"/>
    <w:rsid w:val="004439F1"/>
    <w:rsid w:val="00443D04"/>
    <w:rsid w:val="00443E2D"/>
    <w:rsid w:val="00443E82"/>
    <w:rsid w:val="00443FF1"/>
    <w:rsid w:val="00444182"/>
    <w:rsid w:val="004441D0"/>
    <w:rsid w:val="00444469"/>
    <w:rsid w:val="00444495"/>
    <w:rsid w:val="00444516"/>
    <w:rsid w:val="00444627"/>
    <w:rsid w:val="0044465D"/>
    <w:rsid w:val="00444695"/>
    <w:rsid w:val="00444760"/>
    <w:rsid w:val="0044491F"/>
    <w:rsid w:val="004449F3"/>
    <w:rsid w:val="00444AF6"/>
    <w:rsid w:val="00444DA2"/>
    <w:rsid w:val="00444E43"/>
    <w:rsid w:val="00445031"/>
    <w:rsid w:val="00445262"/>
    <w:rsid w:val="00445297"/>
    <w:rsid w:val="00445425"/>
    <w:rsid w:val="0044543B"/>
    <w:rsid w:val="004458C7"/>
    <w:rsid w:val="00445B8D"/>
    <w:rsid w:val="00445BB0"/>
    <w:rsid w:val="00445C10"/>
    <w:rsid w:val="00445ED7"/>
    <w:rsid w:val="00445F37"/>
    <w:rsid w:val="0044613F"/>
    <w:rsid w:val="004461DE"/>
    <w:rsid w:val="00446622"/>
    <w:rsid w:val="00446A78"/>
    <w:rsid w:val="00446B7F"/>
    <w:rsid w:val="00446C8C"/>
    <w:rsid w:val="00446DB7"/>
    <w:rsid w:val="00446F76"/>
    <w:rsid w:val="00447062"/>
    <w:rsid w:val="00447079"/>
    <w:rsid w:val="00447561"/>
    <w:rsid w:val="0044758B"/>
    <w:rsid w:val="004477DA"/>
    <w:rsid w:val="00447888"/>
    <w:rsid w:val="00447ACE"/>
    <w:rsid w:val="00447B03"/>
    <w:rsid w:val="00447C3A"/>
    <w:rsid w:val="00447D99"/>
    <w:rsid w:val="00447EC0"/>
    <w:rsid w:val="00450078"/>
    <w:rsid w:val="00450087"/>
    <w:rsid w:val="004504B2"/>
    <w:rsid w:val="004504D4"/>
    <w:rsid w:val="004506AC"/>
    <w:rsid w:val="00450BB9"/>
    <w:rsid w:val="00450D40"/>
    <w:rsid w:val="00450EDB"/>
    <w:rsid w:val="00450EDE"/>
    <w:rsid w:val="00450F88"/>
    <w:rsid w:val="004510D7"/>
    <w:rsid w:val="00451232"/>
    <w:rsid w:val="00451399"/>
    <w:rsid w:val="00451461"/>
    <w:rsid w:val="004514A6"/>
    <w:rsid w:val="0045157E"/>
    <w:rsid w:val="004517DF"/>
    <w:rsid w:val="00451802"/>
    <w:rsid w:val="00451BAE"/>
    <w:rsid w:val="00451C88"/>
    <w:rsid w:val="00451E67"/>
    <w:rsid w:val="00451E99"/>
    <w:rsid w:val="004522EA"/>
    <w:rsid w:val="004523C0"/>
    <w:rsid w:val="0045241B"/>
    <w:rsid w:val="004524D1"/>
    <w:rsid w:val="0045254D"/>
    <w:rsid w:val="00452A06"/>
    <w:rsid w:val="00452A4D"/>
    <w:rsid w:val="00452BD2"/>
    <w:rsid w:val="00452C5C"/>
    <w:rsid w:val="00452E14"/>
    <w:rsid w:val="00452EE4"/>
    <w:rsid w:val="0045322A"/>
    <w:rsid w:val="004533C4"/>
    <w:rsid w:val="004534A4"/>
    <w:rsid w:val="004535D3"/>
    <w:rsid w:val="00453692"/>
    <w:rsid w:val="00453B33"/>
    <w:rsid w:val="00453FE7"/>
    <w:rsid w:val="0045430C"/>
    <w:rsid w:val="00454357"/>
    <w:rsid w:val="00454453"/>
    <w:rsid w:val="00454527"/>
    <w:rsid w:val="004546B0"/>
    <w:rsid w:val="00454829"/>
    <w:rsid w:val="004549E8"/>
    <w:rsid w:val="00454BA9"/>
    <w:rsid w:val="00454BEB"/>
    <w:rsid w:val="00454C03"/>
    <w:rsid w:val="00454C7F"/>
    <w:rsid w:val="00454F33"/>
    <w:rsid w:val="0045516E"/>
    <w:rsid w:val="004552FE"/>
    <w:rsid w:val="00455416"/>
    <w:rsid w:val="0045544F"/>
    <w:rsid w:val="00455553"/>
    <w:rsid w:val="004555DB"/>
    <w:rsid w:val="00455666"/>
    <w:rsid w:val="004556CB"/>
    <w:rsid w:val="00455767"/>
    <w:rsid w:val="00455893"/>
    <w:rsid w:val="00455A25"/>
    <w:rsid w:val="00455ACE"/>
    <w:rsid w:val="00455B48"/>
    <w:rsid w:val="00455C38"/>
    <w:rsid w:val="00455D30"/>
    <w:rsid w:val="00455EE5"/>
    <w:rsid w:val="00455FA1"/>
    <w:rsid w:val="0045604E"/>
    <w:rsid w:val="004561D9"/>
    <w:rsid w:val="004562D4"/>
    <w:rsid w:val="004562F8"/>
    <w:rsid w:val="004565A0"/>
    <w:rsid w:val="004568CB"/>
    <w:rsid w:val="00456A57"/>
    <w:rsid w:val="00456A76"/>
    <w:rsid w:val="00456AA1"/>
    <w:rsid w:val="00456B38"/>
    <w:rsid w:val="00456C69"/>
    <w:rsid w:val="00456D6A"/>
    <w:rsid w:val="00456E58"/>
    <w:rsid w:val="00456F32"/>
    <w:rsid w:val="0045701C"/>
    <w:rsid w:val="00457070"/>
    <w:rsid w:val="004572C4"/>
    <w:rsid w:val="00457484"/>
    <w:rsid w:val="00457929"/>
    <w:rsid w:val="004579CF"/>
    <w:rsid w:val="00457E60"/>
    <w:rsid w:val="004600CE"/>
    <w:rsid w:val="004605E2"/>
    <w:rsid w:val="00460695"/>
    <w:rsid w:val="00460A81"/>
    <w:rsid w:val="00460F8E"/>
    <w:rsid w:val="00461083"/>
    <w:rsid w:val="0046110D"/>
    <w:rsid w:val="0046114F"/>
    <w:rsid w:val="0046160D"/>
    <w:rsid w:val="00461937"/>
    <w:rsid w:val="00461B71"/>
    <w:rsid w:val="00461BAB"/>
    <w:rsid w:val="00461C01"/>
    <w:rsid w:val="00461C10"/>
    <w:rsid w:val="00461D21"/>
    <w:rsid w:val="00461F31"/>
    <w:rsid w:val="00461F44"/>
    <w:rsid w:val="0046223D"/>
    <w:rsid w:val="00462450"/>
    <w:rsid w:val="004624AB"/>
    <w:rsid w:val="00462563"/>
    <w:rsid w:val="00462A54"/>
    <w:rsid w:val="00462D7F"/>
    <w:rsid w:val="00462F74"/>
    <w:rsid w:val="00462F9E"/>
    <w:rsid w:val="0046334B"/>
    <w:rsid w:val="004634B9"/>
    <w:rsid w:val="004635D3"/>
    <w:rsid w:val="00463651"/>
    <w:rsid w:val="004638EC"/>
    <w:rsid w:val="00463B9B"/>
    <w:rsid w:val="00463CA1"/>
    <w:rsid w:val="00463DD7"/>
    <w:rsid w:val="00463ECB"/>
    <w:rsid w:val="00463ED0"/>
    <w:rsid w:val="0046412A"/>
    <w:rsid w:val="0046428D"/>
    <w:rsid w:val="004646D3"/>
    <w:rsid w:val="004647A3"/>
    <w:rsid w:val="004649F8"/>
    <w:rsid w:val="004651D4"/>
    <w:rsid w:val="0046548D"/>
    <w:rsid w:val="00465614"/>
    <w:rsid w:val="004657AF"/>
    <w:rsid w:val="004658F6"/>
    <w:rsid w:val="00465A7F"/>
    <w:rsid w:val="00465B60"/>
    <w:rsid w:val="00465BAC"/>
    <w:rsid w:val="00465C7B"/>
    <w:rsid w:val="00465D5F"/>
    <w:rsid w:val="00465E56"/>
    <w:rsid w:val="00465EF2"/>
    <w:rsid w:val="00466115"/>
    <w:rsid w:val="00466277"/>
    <w:rsid w:val="0046650F"/>
    <w:rsid w:val="0046695E"/>
    <w:rsid w:val="004669AE"/>
    <w:rsid w:val="00466C28"/>
    <w:rsid w:val="00466D3A"/>
    <w:rsid w:val="00466D70"/>
    <w:rsid w:val="00467035"/>
    <w:rsid w:val="0046726F"/>
    <w:rsid w:val="00467305"/>
    <w:rsid w:val="00467392"/>
    <w:rsid w:val="00467824"/>
    <w:rsid w:val="004679FD"/>
    <w:rsid w:val="00467B18"/>
    <w:rsid w:val="00467B6B"/>
    <w:rsid w:val="00467D05"/>
    <w:rsid w:val="00467D6B"/>
    <w:rsid w:val="00467D9A"/>
    <w:rsid w:val="00467E65"/>
    <w:rsid w:val="00467F98"/>
    <w:rsid w:val="00470029"/>
    <w:rsid w:val="004700CC"/>
    <w:rsid w:val="00470196"/>
    <w:rsid w:val="004706A0"/>
    <w:rsid w:val="00470D69"/>
    <w:rsid w:val="00470ED1"/>
    <w:rsid w:val="00471344"/>
    <w:rsid w:val="0047162F"/>
    <w:rsid w:val="00471B85"/>
    <w:rsid w:val="00471C44"/>
    <w:rsid w:val="00471DAE"/>
    <w:rsid w:val="00471E72"/>
    <w:rsid w:val="00472416"/>
    <w:rsid w:val="00472595"/>
    <w:rsid w:val="004727E3"/>
    <w:rsid w:val="00472892"/>
    <w:rsid w:val="00472982"/>
    <w:rsid w:val="004729AC"/>
    <w:rsid w:val="00472D1C"/>
    <w:rsid w:val="00472D34"/>
    <w:rsid w:val="00473028"/>
    <w:rsid w:val="004730C2"/>
    <w:rsid w:val="004730E5"/>
    <w:rsid w:val="004734F4"/>
    <w:rsid w:val="00473780"/>
    <w:rsid w:val="004737AB"/>
    <w:rsid w:val="0047393B"/>
    <w:rsid w:val="00473ABD"/>
    <w:rsid w:val="00473C99"/>
    <w:rsid w:val="00473CE6"/>
    <w:rsid w:val="00473D1D"/>
    <w:rsid w:val="00473D2D"/>
    <w:rsid w:val="00473E66"/>
    <w:rsid w:val="00473E9F"/>
    <w:rsid w:val="00473EDD"/>
    <w:rsid w:val="00474039"/>
    <w:rsid w:val="00474041"/>
    <w:rsid w:val="00474048"/>
    <w:rsid w:val="004740F5"/>
    <w:rsid w:val="004742AA"/>
    <w:rsid w:val="0047437B"/>
    <w:rsid w:val="0047443E"/>
    <w:rsid w:val="00474523"/>
    <w:rsid w:val="00474659"/>
    <w:rsid w:val="004748B5"/>
    <w:rsid w:val="00474A27"/>
    <w:rsid w:val="00474A98"/>
    <w:rsid w:val="00474BA2"/>
    <w:rsid w:val="00474DA0"/>
    <w:rsid w:val="00474F39"/>
    <w:rsid w:val="00474FCB"/>
    <w:rsid w:val="0047515B"/>
    <w:rsid w:val="0047518F"/>
    <w:rsid w:val="0047535D"/>
    <w:rsid w:val="00475643"/>
    <w:rsid w:val="00475BF0"/>
    <w:rsid w:val="00475D57"/>
    <w:rsid w:val="00475E04"/>
    <w:rsid w:val="00475E1D"/>
    <w:rsid w:val="00475EEE"/>
    <w:rsid w:val="00475EFD"/>
    <w:rsid w:val="00476129"/>
    <w:rsid w:val="0047632B"/>
    <w:rsid w:val="0047634D"/>
    <w:rsid w:val="0047643A"/>
    <w:rsid w:val="0047678F"/>
    <w:rsid w:val="004769DC"/>
    <w:rsid w:val="00476B5C"/>
    <w:rsid w:val="00476BBF"/>
    <w:rsid w:val="00476DB0"/>
    <w:rsid w:val="00476DD0"/>
    <w:rsid w:val="00476E47"/>
    <w:rsid w:val="00476E87"/>
    <w:rsid w:val="00476EBB"/>
    <w:rsid w:val="00476F05"/>
    <w:rsid w:val="0047705E"/>
    <w:rsid w:val="004770E1"/>
    <w:rsid w:val="00477162"/>
    <w:rsid w:val="004772BD"/>
    <w:rsid w:val="004773A4"/>
    <w:rsid w:val="0047749A"/>
    <w:rsid w:val="00477698"/>
    <w:rsid w:val="00477715"/>
    <w:rsid w:val="00477749"/>
    <w:rsid w:val="00477883"/>
    <w:rsid w:val="00477BA5"/>
    <w:rsid w:val="00477C00"/>
    <w:rsid w:val="00477C44"/>
    <w:rsid w:val="00477D28"/>
    <w:rsid w:val="00477D2D"/>
    <w:rsid w:val="00477D5B"/>
    <w:rsid w:val="00477D67"/>
    <w:rsid w:val="00477DE6"/>
    <w:rsid w:val="00477F32"/>
    <w:rsid w:val="00477F8F"/>
    <w:rsid w:val="00480163"/>
    <w:rsid w:val="0048023E"/>
    <w:rsid w:val="004803FA"/>
    <w:rsid w:val="00480483"/>
    <w:rsid w:val="00480785"/>
    <w:rsid w:val="00480934"/>
    <w:rsid w:val="00480B23"/>
    <w:rsid w:val="00480EF6"/>
    <w:rsid w:val="00480F52"/>
    <w:rsid w:val="00480F6D"/>
    <w:rsid w:val="00480FA0"/>
    <w:rsid w:val="00481108"/>
    <w:rsid w:val="004811DA"/>
    <w:rsid w:val="00481275"/>
    <w:rsid w:val="004814BF"/>
    <w:rsid w:val="004814CC"/>
    <w:rsid w:val="004815B5"/>
    <w:rsid w:val="004815C5"/>
    <w:rsid w:val="0048162F"/>
    <w:rsid w:val="00481813"/>
    <w:rsid w:val="00481815"/>
    <w:rsid w:val="00481A1E"/>
    <w:rsid w:val="00481BEC"/>
    <w:rsid w:val="00481F44"/>
    <w:rsid w:val="00481F8C"/>
    <w:rsid w:val="00482067"/>
    <w:rsid w:val="00482110"/>
    <w:rsid w:val="004821B0"/>
    <w:rsid w:val="0048283B"/>
    <w:rsid w:val="00482960"/>
    <w:rsid w:val="00482AC0"/>
    <w:rsid w:val="00482C21"/>
    <w:rsid w:val="00482C81"/>
    <w:rsid w:val="00482ECF"/>
    <w:rsid w:val="0048301C"/>
    <w:rsid w:val="004830F1"/>
    <w:rsid w:val="004833AF"/>
    <w:rsid w:val="004834B8"/>
    <w:rsid w:val="004835A1"/>
    <w:rsid w:val="004837A8"/>
    <w:rsid w:val="0048380D"/>
    <w:rsid w:val="004839D1"/>
    <w:rsid w:val="00483AF2"/>
    <w:rsid w:val="00483BDB"/>
    <w:rsid w:val="00483F1A"/>
    <w:rsid w:val="0048417A"/>
    <w:rsid w:val="004841BB"/>
    <w:rsid w:val="00484200"/>
    <w:rsid w:val="00484299"/>
    <w:rsid w:val="00484327"/>
    <w:rsid w:val="004843DD"/>
    <w:rsid w:val="004843EA"/>
    <w:rsid w:val="004847AC"/>
    <w:rsid w:val="00484919"/>
    <w:rsid w:val="0048493C"/>
    <w:rsid w:val="00484A1A"/>
    <w:rsid w:val="00484A81"/>
    <w:rsid w:val="00484ACD"/>
    <w:rsid w:val="00484B3B"/>
    <w:rsid w:val="00484BA9"/>
    <w:rsid w:val="00484DE4"/>
    <w:rsid w:val="00484EF1"/>
    <w:rsid w:val="004850F7"/>
    <w:rsid w:val="0048523A"/>
    <w:rsid w:val="00485323"/>
    <w:rsid w:val="00485334"/>
    <w:rsid w:val="00485393"/>
    <w:rsid w:val="004853BA"/>
    <w:rsid w:val="0048540A"/>
    <w:rsid w:val="00485597"/>
    <w:rsid w:val="0048569D"/>
    <w:rsid w:val="0048587E"/>
    <w:rsid w:val="0048597B"/>
    <w:rsid w:val="00485EEE"/>
    <w:rsid w:val="004861C1"/>
    <w:rsid w:val="004868DD"/>
    <w:rsid w:val="00486ABA"/>
    <w:rsid w:val="00486C2E"/>
    <w:rsid w:val="00486DA1"/>
    <w:rsid w:val="00486F63"/>
    <w:rsid w:val="00486F8D"/>
    <w:rsid w:val="00486FBB"/>
    <w:rsid w:val="0048706B"/>
    <w:rsid w:val="004870F1"/>
    <w:rsid w:val="004871FA"/>
    <w:rsid w:val="004872ED"/>
    <w:rsid w:val="00487330"/>
    <w:rsid w:val="00487636"/>
    <w:rsid w:val="0048779D"/>
    <w:rsid w:val="0048794C"/>
    <w:rsid w:val="00487A9C"/>
    <w:rsid w:val="00487E03"/>
    <w:rsid w:val="0049044B"/>
    <w:rsid w:val="00490542"/>
    <w:rsid w:val="0049072F"/>
    <w:rsid w:val="00490733"/>
    <w:rsid w:val="00490839"/>
    <w:rsid w:val="00490891"/>
    <w:rsid w:val="00490A53"/>
    <w:rsid w:val="00490A68"/>
    <w:rsid w:val="00490B50"/>
    <w:rsid w:val="00490CC2"/>
    <w:rsid w:val="00490D3A"/>
    <w:rsid w:val="004911A8"/>
    <w:rsid w:val="0049147B"/>
    <w:rsid w:val="00491B60"/>
    <w:rsid w:val="00491E3B"/>
    <w:rsid w:val="00491ED4"/>
    <w:rsid w:val="0049211B"/>
    <w:rsid w:val="00492215"/>
    <w:rsid w:val="004923A1"/>
    <w:rsid w:val="00492466"/>
    <w:rsid w:val="00492547"/>
    <w:rsid w:val="00492657"/>
    <w:rsid w:val="004926AA"/>
    <w:rsid w:val="00492B47"/>
    <w:rsid w:val="00492B5C"/>
    <w:rsid w:val="00492CEF"/>
    <w:rsid w:val="00492F35"/>
    <w:rsid w:val="0049302A"/>
    <w:rsid w:val="004930BC"/>
    <w:rsid w:val="00493114"/>
    <w:rsid w:val="004931D0"/>
    <w:rsid w:val="0049325C"/>
    <w:rsid w:val="00493625"/>
    <w:rsid w:val="0049364C"/>
    <w:rsid w:val="00493698"/>
    <w:rsid w:val="0049384D"/>
    <w:rsid w:val="0049385E"/>
    <w:rsid w:val="00493D16"/>
    <w:rsid w:val="00494296"/>
    <w:rsid w:val="004942D5"/>
    <w:rsid w:val="00494364"/>
    <w:rsid w:val="004947BF"/>
    <w:rsid w:val="00494840"/>
    <w:rsid w:val="00494ADB"/>
    <w:rsid w:val="00494BE1"/>
    <w:rsid w:val="00494BE5"/>
    <w:rsid w:val="00495123"/>
    <w:rsid w:val="00495236"/>
    <w:rsid w:val="00495243"/>
    <w:rsid w:val="004956B7"/>
    <w:rsid w:val="00495AC3"/>
    <w:rsid w:val="00495B0E"/>
    <w:rsid w:val="00495B1A"/>
    <w:rsid w:val="00495CB9"/>
    <w:rsid w:val="00495CDD"/>
    <w:rsid w:val="00495F54"/>
    <w:rsid w:val="00495FD8"/>
    <w:rsid w:val="00495FF6"/>
    <w:rsid w:val="00496489"/>
    <w:rsid w:val="004965DA"/>
    <w:rsid w:val="004968C1"/>
    <w:rsid w:val="0049691A"/>
    <w:rsid w:val="00496945"/>
    <w:rsid w:val="004969E3"/>
    <w:rsid w:val="00496A99"/>
    <w:rsid w:val="00496BAE"/>
    <w:rsid w:val="00497367"/>
    <w:rsid w:val="00497410"/>
    <w:rsid w:val="0049788F"/>
    <w:rsid w:val="00497A62"/>
    <w:rsid w:val="00497AE8"/>
    <w:rsid w:val="00497AEE"/>
    <w:rsid w:val="00497BC0"/>
    <w:rsid w:val="00497D6E"/>
    <w:rsid w:val="00497DAC"/>
    <w:rsid w:val="00497DF4"/>
    <w:rsid w:val="00497E71"/>
    <w:rsid w:val="00497F93"/>
    <w:rsid w:val="004A04EA"/>
    <w:rsid w:val="004A054D"/>
    <w:rsid w:val="004A077C"/>
    <w:rsid w:val="004A0813"/>
    <w:rsid w:val="004A0AA2"/>
    <w:rsid w:val="004A0BF7"/>
    <w:rsid w:val="004A0CAB"/>
    <w:rsid w:val="004A0D01"/>
    <w:rsid w:val="004A0F0C"/>
    <w:rsid w:val="004A0F1A"/>
    <w:rsid w:val="004A136B"/>
    <w:rsid w:val="004A13B2"/>
    <w:rsid w:val="004A1496"/>
    <w:rsid w:val="004A1529"/>
    <w:rsid w:val="004A17B3"/>
    <w:rsid w:val="004A1CAC"/>
    <w:rsid w:val="004A1E80"/>
    <w:rsid w:val="004A21EB"/>
    <w:rsid w:val="004A221D"/>
    <w:rsid w:val="004A2402"/>
    <w:rsid w:val="004A240E"/>
    <w:rsid w:val="004A24C9"/>
    <w:rsid w:val="004A2638"/>
    <w:rsid w:val="004A2859"/>
    <w:rsid w:val="004A28B8"/>
    <w:rsid w:val="004A2981"/>
    <w:rsid w:val="004A29EE"/>
    <w:rsid w:val="004A2AEA"/>
    <w:rsid w:val="004A2C24"/>
    <w:rsid w:val="004A2C35"/>
    <w:rsid w:val="004A2E30"/>
    <w:rsid w:val="004A2F30"/>
    <w:rsid w:val="004A3162"/>
    <w:rsid w:val="004A32E9"/>
    <w:rsid w:val="004A34A9"/>
    <w:rsid w:val="004A34F0"/>
    <w:rsid w:val="004A35CD"/>
    <w:rsid w:val="004A3619"/>
    <w:rsid w:val="004A392C"/>
    <w:rsid w:val="004A39E3"/>
    <w:rsid w:val="004A3C8E"/>
    <w:rsid w:val="004A3DC4"/>
    <w:rsid w:val="004A3F34"/>
    <w:rsid w:val="004A404B"/>
    <w:rsid w:val="004A40A7"/>
    <w:rsid w:val="004A416B"/>
    <w:rsid w:val="004A418B"/>
    <w:rsid w:val="004A4227"/>
    <w:rsid w:val="004A49D6"/>
    <w:rsid w:val="004A4BCE"/>
    <w:rsid w:val="004A4DF0"/>
    <w:rsid w:val="004A4E69"/>
    <w:rsid w:val="004A4F0E"/>
    <w:rsid w:val="004A5259"/>
    <w:rsid w:val="004A53C3"/>
    <w:rsid w:val="004A54CC"/>
    <w:rsid w:val="004A5526"/>
    <w:rsid w:val="004A55D1"/>
    <w:rsid w:val="004A57A8"/>
    <w:rsid w:val="004A58EA"/>
    <w:rsid w:val="004A5AE6"/>
    <w:rsid w:val="004A5B50"/>
    <w:rsid w:val="004A5C0B"/>
    <w:rsid w:val="004A5F92"/>
    <w:rsid w:val="004A605B"/>
    <w:rsid w:val="004A607A"/>
    <w:rsid w:val="004A6259"/>
    <w:rsid w:val="004A6360"/>
    <w:rsid w:val="004A6761"/>
    <w:rsid w:val="004A67E0"/>
    <w:rsid w:val="004A6E3A"/>
    <w:rsid w:val="004A6F9A"/>
    <w:rsid w:val="004A71A6"/>
    <w:rsid w:val="004A73CA"/>
    <w:rsid w:val="004A748D"/>
    <w:rsid w:val="004A74AB"/>
    <w:rsid w:val="004A74DA"/>
    <w:rsid w:val="004A77EC"/>
    <w:rsid w:val="004A7880"/>
    <w:rsid w:val="004A7B5A"/>
    <w:rsid w:val="004A7CB4"/>
    <w:rsid w:val="004B0255"/>
    <w:rsid w:val="004B0344"/>
    <w:rsid w:val="004B03CA"/>
    <w:rsid w:val="004B0920"/>
    <w:rsid w:val="004B0F11"/>
    <w:rsid w:val="004B0F7D"/>
    <w:rsid w:val="004B1045"/>
    <w:rsid w:val="004B122C"/>
    <w:rsid w:val="004B12F6"/>
    <w:rsid w:val="004B16CE"/>
    <w:rsid w:val="004B1971"/>
    <w:rsid w:val="004B1ADD"/>
    <w:rsid w:val="004B1FAA"/>
    <w:rsid w:val="004B2905"/>
    <w:rsid w:val="004B296F"/>
    <w:rsid w:val="004B2CF0"/>
    <w:rsid w:val="004B2DC6"/>
    <w:rsid w:val="004B2EC0"/>
    <w:rsid w:val="004B3031"/>
    <w:rsid w:val="004B321B"/>
    <w:rsid w:val="004B3272"/>
    <w:rsid w:val="004B328D"/>
    <w:rsid w:val="004B33D5"/>
    <w:rsid w:val="004B3506"/>
    <w:rsid w:val="004B3735"/>
    <w:rsid w:val="004B38EA"/>
    <w:rsid w:val="004B394C"/>
    <w:rsid w:val="004B3EC5"/>
    <w:rsid w:val="004B4331"/>
    <w:rsid w:val="004B462B"/>
    <w:rsid w:val="004B4644"/>
    <w:rsid w:val="004B4679"/>
    <w:rsid w:val="004B46B1"/>
    <w:rsid w:val="004B46D3"/>
    <w:rsid w:val="004B495B"/>
    <w:rsid w:val="004B49FB"/>
    <w:rsid w:val="004B4AE4"/>
    <w:rsid w:val="004B4C57"/>
    <w:rsid w:val="004B4D7E"/>
    <w:rsid w:val="004B4DA4"/>
    <w:rsid w:val="004B4E48"/>
    <w:rsid w:val="004B4E5E"/>
    <w:rsid w:val="004B52D6"/>
    <w:rsid w:val="004B5339"/>
    <w:rsid w:val="004B5501"/>
    <w:rsid w:val="004B559D"/>
    <w:rsid w:val="004B56D4"/>
    <w:rsid w:val="004B5799"/>
    <w:rsid w:val="004B583E"/>
    <w:rsid w:val="004B5A85"/>
    <w:rsid w:val="004B5B02"/>
    <w:rsid w:val="004B5B06"/>
    <w:rsid w:val="004B5F80"/>
    <w:rsid w:val="004B6252"/>
    <w:rsid w:val="004B63DD"/>
    <w:rsid w:val="004B63F2"/>
    <w:rsid w:val="004B65B8"/>
    <w:rsid w:val="004B6692"/>
    <w:rsid w:val="004B6854"/>
    <w:rsid w:val="004B6876"/>
    <w:rsid w:val="004B68D2"/>
    <w:rsid w:val="004B6A5A"/>
    <w:rsid w:val="004B6BA8"/>
    <w:rsid w:val="004B6F68"/>
    <w:rsid w:val="004B70DD"/>
    <w:rsid w:val="004B73EF"/>
    <w:rsid w:val="004B76E9"/>
    <w:rsid w:val="004B7897"/>
    <w:rsid w:val="004B78DB"/>
    <w:rsid w:val="004B79E1"/>
    <w:rsid w:val="004B7EB7"/>
    <w:rsid w:val="004C00C6"/>
    <w:rsid w:val="004C0300"/>
    <w:rsid w:val="004C056B"/>
    <w:rsid w:val="004C059D"/>
    <w:rsid w:val="004C0614"/>
    <w:rsid w:val="004C06A5"/>
    <w:rsid w:val="004C09A6"/>
    <w:rsid w:val="004C0DB5"/>
    <w:rsid w:val="004C0DFC"/>
    <w:rsid w:val="004C0E3D"/>
    <w:rsid w:val="004C0F18"/>
    <w:rsid w:val="004C13D4"/>
    <w:rsid w:val="004C1493"/>
    <w:rsid w:val="004C15C1"/>
    <w:rsid w:val="004C165F"/>
    <w:rsid w:val="004C169E"/>
    <w:rsid w:val="004C16B8"/>
    <w:rsid w:val="004C178C"/>
    <w:rsid w:val="004C189D"/>
    <w:rsid w:val="004C18C4"/>
    <w:rsid w:val="004C190A"/>
    <w:rsid w:val="004C1927"/>
    <w:rsid w:val="004C1BBC"/>
    <w:rsid w:val="004C1DE3"/>
    <w:rsid w:val="004C1DEE"/>
    <w:rsid w:val="004C1F5C"/>
    <w:rsid w:val="004C1FA1"/>
    <w:rsid w:val="004C2019"/>
    <w:rsid w:val="004C2174"/>
    <w:rsid w:val="004C22ED"/>
    <w:rsid w:val="004C241D"/>
    <w:rsid w:val="004C2471"/>
    <w:rsid w:val="004C25C6"/>
    <w:rsid w:val="004C27A3"/>
    <w:rsid w:val="004C27FC"/>
    <w:rsid w:val="004C2814"/>
    <w:rsid w:val="004C28BA"/>
    <w:rsid w:val="004C2A93"/>
    <w:rsid w:val="004C2C4F"/>
    <w:rsid w:val="004C3074"/>
    <w:rsid w:val="004C30E0"/>
    <w:rsid w:val="004C30F5"/>
    <w:rsid w:val="004C3146"/>
    <w:rsid w:val="004C31C1"/>
    <w:rsid w:val="004C3424"/>
    <w:rsid w:val="004C34F2"/>
    <w:rsid w:val="004C3762"/>
    <w:rsid w:val="004C3867"/>
    <w:rsid w:val="004C3D1C"/>
    <w:rsid w:val="004C3D57"/>
    <w:rsid w:val="004C3DC9"/>
    <w:rsid w:val="004C3E67"/>
    <w:rsid w:val="004C3F40"/>
    <w:rsid w:val="004C3F47"/>
    <w:rsid w:val="004C3F80"/>
    <w:rsid w:val="004C44D5"/>
    <w:rsid w:val="004C4753"/>
    <w:rsid w:val="004C48BF"/>
    <w:rsid w:val="004C4A2B"/>
    <w:rsid w:val="004C4B04"/>
    <w:rsid w:val="004C4BE5"/>
    <w:rsid w:val="004C4F1D"/>
    <w:rsid w:val="004C4F86"/>
    <w:rsid w:val="004C4F9D"/>
    <w:rsid w:val="004C4FDE"/>
    <w:rsid w:val="004C503C"/>
    <w:rsid w:val="004C53B5"/>
    <w:rsid w:val="004C553E"/>
    <w:rsid w:val="004C5832"/>
    <w:rsid w:val="004C59D1"/>
    <w:rsid w:val="004C5DAA"/>
    <w:rsid w:val="004C5F82"/>
    <w:rsid w:val="004C61F0"/>
    <w:rsid w:val="004C66FB"/>
    <w:rsid w:val="004C6913"/>
    <w:rsid w:val="004C6945"/>
    <w:rsid w:val="004C69B1"/>
    <w:rsid w:val="004C6B48"/>
    <w:rsid w:val="004C6C32"/>
    <w:rsid w:val="004C6C4C"/>
    <w:rsid w:val="004C6F66"/>
    <w:rsid w:val="004C7045"/>
    <w:rsid w:val="004C734D"/>
    <w:rsid w:val="004C744D"/>
    <w:rsid w:val="004C746E"/>
    <w:rsid w:val="004C7646"/>
    <w:rsid w:val="004C76AC"/>
    <w:rsid w:val="004C7810"/>
    <w:rsid w:val="004C782E"/>
    <w:rsid w:val="004C7A35"/>
    <w:rsid w:val="004C7AE0"/>
    <w:rsid w:val="004C7E98"/>
    <w:rsid w:val="004C7EF0"/>
    <w:rsid w:val="004C7FCE"/>
    <w:rsid w:val="004D0186"/>
    <w:rsid w:val="004D024E"/>
    <w:rsid w:val="004D03A4"/>
    <w:rsid w:val="004D0A23"/>
    <w:rsid w:val="004D0B8F"/>
    <w:rsid w:val="004D0D1C"/>
    <w:rsid w:val="004D1174"/>
    <w:rsid w:val="004D1266"/>
    <w:rsid w:val="004D126E"/>
    <w:rsid w:val="004D12D3"/>
    <w:rsid w:val="004D15B5"/>
    <w:rsid w:val="004D160C"/>
    <w:rsid w:val="004D1870"/>
    <w:rsid w:val="004D1AE0"/>
    <w:rsid w:val="004D1E13"/>
    <w:rsid w:val="004D1E27"/>
    <w:rsid w:val="004D212B"/>
    <w:rsid w:val="004D21A2"/>
    <w:rsid w:val="004D21D7"/>
    <w:rsid w:val="004D236A"/>
    <w:rsid w:val="004D2454"/>
    <w:rsid w:val="004D2481"/>
    <w:rsid w:val="004D255C"/>
    <w:rsid w:val="004D2668"/>
    <w:rsid w:val="004D2712"/>
    <w:rsid w:val="004D2748"/>
    <w:rsid w:val="004D2857"/>
    <w:rsid w:val="004D2A6E"/>
    <w:rsid w:val="004D2AE4"/>
    <w:rsid w:val="004D2E1A"/>
    <w:rsid w:val="004D2E5F"/>
    <w:rsid w:val="004D30DE"/>
    <w:rsid w:val="004D3242"/>
    <w:rsid w:val="004D3413"/>
    <w:rsid w:val="004D34E9"/>
    <w:rsid w:val="004D3551"/>
    <w:rsid w:val="004D357D"/>
    <w:rsid w:val="004D37DB"/>
    <w:rsid w:val="004D3807"/>
    <w:rsid w:val="004D3874"/>
    <w:rsid w:val="004D39C4"/>
    <w:rsid w:val="004D3C64"/>
    <w:rsid w:val="004D3D1D"/>
    <w:rsid w:val="004D40E4"/>
    <w:rsid w:val="004D4402"/>
    <w:rsid w:val="004D44DA"/>
    <w:rsid w:val="004D4589"/>
    <w:rsid w:val="004D4617"/>
    <w:rsid w:val="004D4937"/>
    <w:rsid w:val="004D49F3"/>
    <w:rsid w:val="004D4D47"/>
    <w:rsid w:val="004D4DC4"/>
    <w:rsid w:val="004D4EA0"/>
    <w:rsid w:val="004D4ECB"/>
    <w:rsid w:val="004D4F48"/>
    <w:rsid w:val="004D51F2"/>
    <w:rsid w:val="004D5266"/>
    <w:rsid w:val="004D52BF"/>
    <w:rsid w:val="004D54BD"/>
    <w:rsid w:val="004D5529"/>
    <w:rsid w:val="004D55D2"/>
    <w:rsid w:val="004D56FA"/>
    <w:rsid w:val="004D59C0"/>
    <w:rsid w:val="004D5A3C"/>
    <w:rsid w:val="004D5AE4"/>
    <w:rsid w:val="004D5C86"/>
    <w:rsid w:val="004D60B2"/>
    <w:rsid w:val="004D61FC"/>
    <w:rsid w:val="004D6364"/>
    <w:rsid w:val="004D643D"/>
    <w:rsid w:val="004D64E6"/>
    <w:rsid w:val="004D66A8"/>
    <w:rsid w:val="004D6B3F"/>
    <w:rsid w:val="004D6C2B"/>
    <w:rsid w:val="004D6D9F"/>
    <w:rsid w:val="004D6F25"/>
    <w:rsid w:val="004D7275"/>
    <w:rsid w:val="004D7343"/>
    <w:rsid w:val="004D7445"/>
    <w:rsid w:val="004D7635"/>
    <w:rsid w:val="004D7658"/>
    <w:rsid w:val="004D7736"/>
    <w:rsid w:val="004D777C"/>
    <w:rsid w:val="004D77FD"/>
    <w:rsid w:val="004D7961"/>
    <w:rsid w:val="004D7BA0"/>
    <w:rsid w:val="004D7BDF"/>
    <w:rsid w:val="004D7C9F"/>
    <w:rsid w:val="004D7F25"/>
    <w:rsid w:val="004D7F26"/>
    <w:rsid w:val="004E0008"/>
    <w:rsid w:val="004E0373"/>
    <w:rsid w:val="004E039A"/>
    <w:rsid w:val="004E078C"/>
    <w:rsid w:val="004E07C0"/>
    <w:rsid w:val="004E084D"/>
    <w:rsid w:val="004E0A97"/>
    <w:rsid w:val="004E0AAB"/>
    <w:rsid w:val="004E0B2E"/>
    <w:rsid w:val="004E0D25"/>
    <w:rsid w:val="004E107A"/>
    <w:rsid w:val="004E136B"/>
    <w:rsid w:val="004E13F7"/>
    <w:rsid w:val="004E1406"/>
    <w:rsid w:val="004E17BA"/>
    <w:rsid w:val="004E1841"/>
    <w:rsid w:val="004E19FB"/>
    <w:rsid w:val="004E1EC4"/>
    <w:rsid w:val="004E2012"/>
    <w:rsid w:val="004E238B"/>
    <w:rsid w:val="004E246A"/>
    <w:rsid w:val="004E2929"/>
    <w:rsid w:val="004E2988"/>
    <w:rsid w:val="004E2AFD"/>
    <w:rsid w:val="004E2BFF"/>
    <w:rsid w:val="004E2CDA"/>
    <w:rsid w:val="004E2DD8"/>
    <w:rsid w:val="004E2E19"/>
    <w:rsid w:val="004E2E81"/>
    <w:rsid w:val="004E2F4B"/>
    <w:rsid w:val="004E2FF6"/>
    <w:rsid w:val="004E3148"/>
    <w:rsid w:val="004E3327"/>
    <w:rsid w:val="004E342D"/>
    <w:rsid w:val="004E3589"/>
    <w:rsid w:val="004E35F3"/>
    <w:rsid w:val="004E3B00"/>
    <w:rsid w:val="004E3CCB"/>
    <w:rsid w:val="004E3D9A"/>
    <w:rsid w:val="004E3F20"/>
    <w:rsid w:val="004E3FC3"/>
    <w:rsid w:val="004E4017"/>
    <w:rsid w:val="004E4385"/>
    <w:rsid w:val="004E43C8"/>
    <w:rsid w:val="004E4436"/>
    <w:rsid w:val="004E445D"/>
    <w:rsid w:val="004E450D"/>
    <w:rsid w:val="004E45A7"/>
    <w:rsid w:val="004E462C"/>
    <w:rsid w:val="004E472E"/>
    <w:rsid w:val="004E4839"/>
    <w:rsid w:val="004E48AF"/>
    <w:rsid w:val="004E48EF"/>
    <w:rsid w:val="004E498C"/>
    <w:rsid w:val="004E4A6D"/>
    <w:rsid w:val="004E4AC2"/>
    <w:rsid w:val="004E4B97"/>
    <w:rsid w:val="004E4E57"/>
    <w:rsid w:val="004E4F0A"/>
    <w:rsid w:val="004E5112"/>
    <w:rsid w:val="004E5270"/>
    <w:rsid w:val="004E52E2"/>
    <w:rsid w:val="004E5709"/>
    <w:rsid w:val="004E573D"/>
    <w:rsid w:val="004E5853"/>
    <w:rsid w:val="004E58D8"/>
    <w:rsid w:val="004E58E4"/>
    <w:rsid w:val="004E5AAA"/>
    <w:rsid w:val="004E5AAC"/>
    <w:rsid w:val="004E5ACA"/>
    <w:rsid w:val="004E5C18"/>
    <w:rsid w:val="004E5F0B"/>
    <w:rsid w:val="004E602D"/>
    <w:rsid w:val="004E6099"/>
    <w:rsid w:val="004E66D8"/>
    <w:rsid w:val="004E66F6"/>
    <w:rsid w:val="004E6812"/>
    <w:rsid w:val="004E68A8"/>
    <w:rsid w:val="004E6CFA"/>
    <w:rsid w:val="004E6DE0"/>
    <w:rsid w:val="004E6E22"/>
    <w:rsid w:val="004E6F96"/>
    <w:rsid w:val="004E712B"/>
    <w:rsid w:val="004E720E"/>
    <w:rsid w:val="004E76A3"/>
    <w:rsid w:val="004E76CD"/>
    <w:rsid w:val="004E78A9"/>
    <w:rsid w:val="004E78D1"/>
    <w:rsid w:val="004E7C5C"/>
    <w:rsid w:val="004E7CA9"/>
    <w:rsid w:val="004F03DD"/>
    <w:rsid w:val="004F04F2"/>
    <w:rsid w:val="004F053E"/>
    <w:rsid w:val="004F0615"/>
    <w:rsid w:val="004F0948"/>
    <w:rsid w:val="004F0F6A"/>
    <w:rsid w:val="004F10B9"/>
    <w:rsid w:val="004F11B7"/>
    <w:rsid w:val="004F1268"/>
    <w:rsid w:val="004F131A"/>
    <w:rsid w:val="004F15F9"/>
    <w:rsid w:val="004F1765"/>
    <w:rsid w:val="004F1824"/>
    <w:rsid w:val="004F182C"/>
    <w:rsid w:val="004F1879"/>
    <w:rsid w:val="004F1B2B"/>
    <w:rsid w:val="004F1BC2"/>
    <w:rsid w:val="004F1C1D"/>
    <w:rsid w:val="004F25B0"/>
    <w:rsid w:val="004F26BC"/>
    <w:rsid w:val="004F26ED"/>
    <w:rsid w:val="004F277F"/>
    <w:rsid w:val="004F290C"/>
    <w:rsid w:val="004F2A21"/>
    <w:rsid w:val="004F2C30"/>
    <w:rsid w:val="004F2C8D"/>
    <w:rsid w:val="004F2E32"/>
    <w:rsid w:val="004F2EB0"/>
    <w:rsid w:val="004F315E"/>
    <w:rsid w:val="004F33C8"/>
    <w:rsid w:val="004F362D"/>
    <w:rsid w:val="004F36BA"/>
    <w:rsid w:val="004F36D0"/>
    <w:rsid w:val="004F38DD"/>
    <w:rsid w:val="004F3A72"/>
    <w:rsid w:val="004F3AD8"/>
    <w:rsid w:val="004F3AE0"/>
    <w:rsid w:val="004F3D35"/>
    <w:rsid w:val="004F3EB0"/>
    <w:rsid w:val="004F405D"/>
    <w:rsid w:val="004F453E"/>
    <w:rsid w:val="004F4C6E"/>
    <w:rsid w:val="004F4DAD"/>
    <w:rsid w:val="004F4E2F"/>
    <w:rsid w:val="004F5014"/>
    <w:rsid w:val="004F5082"/>
    <w:rsid w:val="004F52B9"/>
    <w:rsid w:val="004F5487"/>
    <w:rsid w:val="004F54B0"/>
    <w:rsid w:val="004F54B3"/>
    <w:rsid w:val="004F55DE"/>
    <w:rsid w:val="004F58F1"/>
    <w:rsid w:val="004F5AC7"/>
    <w:rsid w:val="004F5B0A"/>
    <w:rsid w:val="004F5BF9"/>
    <w:rsid w:val="004F5E44"/>
    <w:rsid w:val="004F60BF"/>
    <w:rsid w:val="004F61D7"/>
    <w:rsid w:val="004F61E7"/>
    <w:rsid w:val="004F61F9"/>
    <w:rsid w:val="004F6606"/>
    <w:rsid w:val="004F667E"/>
    <w:rsid w:val="004F68E3"/>
    <w:rsid w:val="004F6AB3"/>
    <w:rsid w:val="004F6AE3"/>
    <w:rsid w:val="004F6D7D"/>
    <w:rsid w:val="004F6E56"/>
    <w:rsid w:val="004F701D"/>
    <w:rsid w:val="004F70BF"/>
    <w:rsid w:val="004F70F1"/>
    <w:rsid w:val="004F7226"/>
    <w:rsid w:val="004F7488"/>
    <w:rsid w:val="004F75D8"/>
    <w:rsid w:val="004F7723"/>
    <w:rsid w:val="004F77DF"/>
    <w:rsid w:val="004F792A"/>
    <w:rsid w:val="004F797F"/>
    <w:rsid w:val="004F7A4F"/>
    <w:rsid w:val="004F7C9A"/>
    <w:rsid w:val="004F7D78"/>
    <w:rsid w:val="004F7F78"/>
    <w:rsid w:val="005002D4"/>
    <w:rsid w:val="00500627"/>
    <w:rsid w:val="005006D9"/>
    <w:rsid w:val="00500A44"/>
    <w:rsid w:val="00500D17"/>
    <w:rsid w:val="00500D74"/>
    <w:rsid w:val="005010EB"/>
    <w:rsid w:val="005011DB"/>
    <w:rsid w:val="005012AC"/>
    <w:rsid w:val="00501329"/>
    <w:rsid w:val="005013DF"/>
    <w:rsid w:val="005015DD"/>
    <w:rsid w:val="00501B6D"/>
    <w:rsid w:val="0050275D"/>
    <w:rsid w:val="005028F2"/>
    <w:rsid w:val="00502BF5"/>
    <w:rsid w:val="00502BFE"/>
    <w:rsid w:val="00502D51"/>
    <w:rsid w:val="00502E47"/>
    <w:rsid w:val="005031F7"/>
    <w:rsid w:val="0050321C"/>
    <w:rsid w:val="00503347"/>
    <w:rsid w:val="0050355E"/>
    <w:rsid w:val="00503595"/>
    <w:rsid w:val="0050367C"/>
    <w:rsid w:val="00503788"/>
    <w:rsid w:val="005039E3"/>
    <w:rsid w:val="005039ED"/>
    <w:rsid w:val="00503B17"/>
    <w:rsid w:val="00503EE0"/>
    <w:rsid w:val="00503F5D"/>
    <w:rsid w:val="0050424A"/>
    <w:rsid w:val="005044A5"/>
    <w:rsid w:val="0050461B"/>
    <w:rsid w:val="005049E7"/>
    <w:rsid w:val="00504B52"/>
    <w:rsid w:val="00504DE2"/>
    <w:rsid w:val="00505087"/>
    <w:rsid w:val="0050509B"/>
    <w:rsid w:val="00505196"/>
    <w:rsid w:val="005054EE"/>
    <w:rsid w:val="005056A9"/>
    <w:rsid w:val="00505903"/>
    <w:rsid w:val="00505A48"/>
    <w:rsid w:val="0050609E"/>
    <w:rsid w:val="0050637F"/>
    <w:rsid w:val="005063C9"/>
    <w:rsid w:val="005063EA"/>
    <w:rsid w:val="0050650C"/>
    <w:rsid w:val="0050651A"/>
    <w:rsid w:val="00506747"/>
    <w:rsid w:val="0050675D"/>
    <w:rsid w:val="005069CA"/>
    <w:rsid w:val="005069F9"/>
    <w:rsid w:val="00506C78"/>
    <w:rsid w:val="00506DDC"/>
    <w:rsid w:val="00506E1F"/>
    <w:rsid w:val="00506F81"/>
    <w:rsid w:val="00506FBA"/>
    <w:rsid w:val="005071B7"/>
    <w:rsid w:val="00507455"/>
    <w:rsid w:val="00507475"/>
    <w:rsid w:val="005074EC"/>
    <w:rsid w:val="00507542"/>
    <w:rsid w:val="005075B5"/>
    <w:rsid w:val="005077D1"/>
    <w:rsid w:val="0050780A"/>
    <w:rsid w:val="0050783D"/>
    <w:rsid w:val="005078F2"/>
    <w:rsid w:val="00507AF0"/>
    <w:rsid w:val="00507C4D"/>
    <w:rsid w:val="00507D4C"/>
    <w:rsid w:val="005100AD"/>
    <w:rsid w:val="00510134"/>
    <w:rsid w:val="005101D3"/>
    <w:rsid w:val="00510468"/>
    <w:rsid w:val="005108EC"/>
    <w:rsid w:val="0051096B"/>
    <w:rsid w:val="00510AD9"/>
    <w:rsid w:val="00510CBB"/>
    <w:rsid w:val="00510CE9"/>
    <w:rsid w:val="00510D08"/>
    <w:rsid w:val="00510E07"/>
    <w:rsid w:val="00511035"/>
    <w:rsid w:val="005110CE"/>
    <w:rsid w:val="005113C7"/>
    <w:rsid w:val="00511572"/>
    <w:rsid w:val="005115B7"/>
    <w:rsid w:val="00511645"/>
    <w:rsid w:val="00511672"/>
    <w:rsid w:val="005117A9"/>
    <w:rsid w:val="00511865"/>
    <w:rsid w:val="00511AA1"/>
    <w:rsid w:val="00511E64"/>
    <w:rsid w:val="0051204F"/>
    <w:rsid w:val="0051215F"/>
    <w:rsid w:val="0051224E"/>
    <w:rsid w:val="005122DA"/>
    <w:rsid w:val="00512339"/>
    <w:rsid w:val="00512482"/>
    <w:rsid w:val="00512572"/>
    <w:rsid w:val="00512613"/>
    <w:rsid w:val="00512909"/>
    <w:rsid w:val="005129FA"/>
    <w:rsid w:val="00512C8A"/>
    <w:rsid w:val="00512D73"/>
    <w:rsid w:val="00512DB5"/>
    <w:rsid w:val="00512DFA"/>
    <w:rsid w:val="00512E9B"/>
    <w:rsid w:val="00513065"/>
    <w:rsid w:val="005130FB"/>
    <w:rsid w:val="005133C3"/>
    <w:rsid w:val="00513420"/>
    <w:rsid w:val="005135C9"/>
    <w:rsid w:val="005137A5"/>
    <w:rsid w:val="00513854"/>
    <w:rsid w:val="00513FA0"/>
    <w:rsid w:val="00514035"/>
    <w:rsid w:val="005140EF"/>
    <w:rsid w:val="005141CE"/>
    <w:rsid w:val="00514292"/>
    <w:rsid w:val="00514466"/>
    <w:rsid w:val="005144C2"/>
    <w:rsid w:val="00514618"/>
    <w:rsid w:val="0051465B"/>
    <w:rsid w:val="005147BE"/>
    <w:rsid w:val="005147C6"/>
    <w:rsid w:val="005147E6"/>
    <w:rsid w:val="00514881"/>
    <w:rsid w:val="0051494E"/>
    <w:rsid w:val="00514955"/>
    <w:rsid w:val="00514A15"/>
    <w:rsid w:val="00514A1B"/>
    <w:rsid w:val="00514CE8"/>
    <w:rsid w:val="00514CFF"/>
    <w:rsid w:val="005150CF"/>
    <w:rsid w:val="00515281"/>
    <w:rsid w:val="00515299"/>
    <w:rsid w:val="005152EB"/>
    <w:rsid w:val="005155F8"/>
    <w:rsid w:val="0051577D"/>
    <w:rsid w:val="0051593B"/>
    <w:rsid w:val="00515B63"/>
    <w:rsid w:val="00515C22"/>
    <w:rsid w:val="00516133"/>
    <w:rsid w:val="005162C3"/>
    <w:rsid w:val="005166D6"/>
    <w:rsid w:val="005166DB"/>
    <w:rsid w:val="005167FC"/>
    <w:rsid w:val="0051688F"/>
    <w:rsid w:val="00516A57"/>
    <w:rsid w:val="00516BE9"/>
    <w:rsid w:val="00516CA1"/>
    <w:rsid w:val="00516CE5"/>
    <w:rsid w:val="00516D55"/>
    <w:rsid w:val="00516EA0"/>
    <w:rsid w:val="005170E3"/>
    <w:rsid w:val="005171E0"/>
    <w:rsid w:val="005173E1"/>
    <w:rsid w:val="005176B0"/>
    <w:rsid w:val="00517807"/>
    <w:rsid w:val="00517827"/>
    <w:rsid w:val="005178F9"/>
    <w:rsid w:val="0051793A"/>
    <w:rsid w:val="00517B47"/>
    <w:rsid w:val="005200F3"/>
    <w:rsid w:val="005200FF"/>
    <w:rsid w:val="005201A5"/>
    <w:rsid w:val="005203B8"/>
    <w:rsid w:val="00520793"/>
    <w:rsid w:val="005207F7"/>
    <w:rsid w:val="005209C6"/>
    <w:rsid w:val="00520C1E"/>
    <w:rsid w:val="00520E1B"/>
    <w:rsid w:val="00520FAA"/>
    <w:rsid w:val="00520FB1"/>
    <w:rsid w:val="00521090"/>
    <w:rsid w:val="005210D8"/>
    <w:rsid w:val="00521336"/>
    <w:rsid w:val="005213CE"/>
    <w:rsid w:val="00521650"/>
    <w:rsid w:val="00521833"/>
    <w:rsid w:val="0052188D"/>
    <w:rsid w:val="00521ADF"/>
    <w:rsid w:val="00521EDC"/>
    <w:rsid w:val="00522059"/>
    <w:rsid w:val="00522395"/>
    <w:rsid w:val="0052253B"/>
    <w:rsid w:val="0052254A"/>
    <w:rsid w:val="005227CC"/>
    <w:rsid w:val="00522826"/>
    <w:rsid w:val="0052289A"/>
    <w:rsid w:val="005228F1"/>
    <w:rsid w:val="00522A50"/>
    <w:rsid w:val="00522B6E"/>
    <w:rsid w:val="00523326"/>
    <w:rsid w:val="005234B0"/>
    <w:rsid w:val="00523755"/>
    <w:rsid w:val="005238B6"/>
    <w:rsid w:val="005239DA"/>
    <w:rsid w:val="005239F6"/>
    <w:rsid w:val="00523D0E"/>
    <w:rsid w:val="00523D66"/>
    <w:rsid w:val="00523E9E"/>
    <w:rsid w:val="0052404B"/>
    <w:rsid w:val="00524143"/>
    <w:rsid w:val="00524220"/>
    <w:rsid w:val="00524256"/>
    <w:rsid w:val="005246CF"/>
    <w:rsid w:val="00524914"/>
    <w:rsid w:val="005249E9"/>
    <w:rsid w:val="00524A35"/>
    <w:rsid w:val="00524B70"/>
    <w:rsid w:val="00524ECB"/>
    <w:rsid w:val="005252DA"/>
    <w:rsid w:val="005252DE"/>
    <w:rsid w:val="00525780"/>
    <w:rsid w:val="0052582C"/>
    <w:rsid w:val="0052590A"/>
    <w:rsid w:val="00525ABC"/>
    <w:rsid w:val="00525BF0"/>
    <w:rsid w:val="00525C42"/>
    <w:rsid w:val="00525DA3"/>
    <w:rsid w:val="00525E9F"/>
    <w:rsid w:val="0052612E"/>
    <w:rsid w:val="00526171"/>
    <w:rsid w:val="00526371"/>
    <w:rsid w:val="0052667F"/>
    <w:rsid w:val="005266C5"/>
    <w:rsid w:val="00526726"/>
    <w:rsid w:val="00526920"/>
    <w:rsid w:val="00526958"/>
    <w:rsid w:val="005269A8"/>
    <w:rsid w:val="00526A96"/>
    <w:rsid w:val="00526DF7"/>
    <w:rsid w:val="00527368"/>
    <w:rsid w:val="005273D4"/>
    <w:rsid w:val="00527A15"/>
    <w:rsid w:val="00527A76"/>
    <w:rsid w:val="00527C5D"/>
    <w:rsid w:val="00527CA4"/>
    <w:rsid w:val="00527EF0"/>
    <w:rsid w:val="00527F7F"/>
    <w:rsid w:val="00527FB1"/>
    <w:rsid w:val="0053012E"/>
    <w:rsid w:val="005302DF"/>
    <w:rsid w:val="0053030D"/>
    <w:rsid w:val="0053030E"/>
    <w:rsid w:val="00530402"/>
    <w:rsid w:val="00530515"/>
    <w:rsid w:val="00530654"/>
    <w:rsid w:val="005309BF"/>
    <w:rsid w:val="00530B03"/>
    <w:rsid w:val="00530CFD"/>
    <w:rsid w:val="00530DC9"/>
    <w:rsid w:val="00530F5C"/>
    <w:rsid w:val="00530FBC"/>
    <w:rsid w:val="00530FF4"/>
    <w:rsid w:val="005312C4"/>
    <w:rsid w:val="00531452"/>
    <w:rsid w:val="00531723"/>
    <w:rsid w:val="0053187B"/>
    <w:rsid w:val="005319E6"/>
    <w:rsid w:val="00531D1F"/>
    <w:rsid w:val="00531E8F"/>
    <w:rsid w:val="00531ED2"/>
    <w:rsid w:val="00532249"/>
    <w:rsid w:val="00532329"/>
    <w:rsid w:val="0053240B"/>
    <w:rsid w:val="00532BC7"/>
    <w:rsid w:val="00532FD3"/>
    <w:rsid w:val="0053312A"/>
    <w:rsid w:val="00533142"/>
    <w:rsid w:val="00533242"/>
    <w:rsid w:val="00533244"/>
    <w:rsid w:val="00533380"/>
    <w:rsid w:val="005337A1"/>
    <w:rsid w:val="005337E9"/>
    <w:rsid w:val="00533C70"/>
    <w:rsid w:val="00533D05"/>
    <w:rsid w:val="00533DFC"/>
    <w:rsid w:val="00534328"/>
    <w:rsid w:val="00534727"/>
    <w:rsid w:val="00534995"/>
    <w:rsid w:val="00534BFB"/>
    <w:rsid w:val="00534F02"/>
    <w:rsid w:val="00535041"/>
    <w:rsid w:val="005350DF"/>
    <w:rsid w:val="005352DF"/>
    <w:rsid w:val="005355BD"/>
    <w:rsid w:val="005358C7"/>
    <w:rsid w:val="005358EB"/>
    <w:rsid w:val="0053597A"/>
    <w:rsid w:val="00535A34"/>
    <w:rsid w:val="00535B55"/>
    <w:rsid w:val="00535C66"/>
    <w:rsid w:val="00535C9F"/>
    <w:rsid w:val="00535E1E"/>
    <w:rsid w:val="00535F5C"/>
    <w:rsid w:val="00536644"/>
    <w:rsid w:val="00536654"/>
    <w:rsid w:val="0053665F"/>
    <w:rsid w:val="00536703"/>
    <w:rsid w:val="00536C4D"/>
    <w:rsid w:val="00536CE4"/>
    <w:rsid w:val="00536E3B"/>
    <w:rsid w:val="005371EB"/>
    <w:rsid w:val="005375D0"/>
    <w:rsid w:val="00537681"/>
    <w:rsid w:val="005376A8"/>
    <w:rsid w:val="005379C9"/>
    <w:rsid w:val="00537A0B"/>
    <w:rsid w:val="00537B5D"/>
    <w:rsid w:val="00537E23"/>
    <w:rsid w:val="00537E56"/>
    <w:rsid w:val="00537FDF"/>
    <w:rsid w:val="005401E4"/>
    <w:rsid w:val="00540218"/>
    <w:rsid w:val="005402D5"/>
    <w:rsid w:val="0054045B"/>
    <w:rsid w:val="005408B3"/>
    <w:rsid w:val="00540F59"/>
    <w:rsid w:val="00540F91"/>
    <w:rsid w:val="0054111A"/>
    <w:rsid w:val="00541471"/>
    <w:rsid w:val="0054154F"/>
    <w:rsid w:val="00541585"/>
    <w:rsid w:val="005416C8"/>
    <w:rsid w:val="00541A88"/>
    <w:rsid w:val="00541AF9"/>
    <w:rsid w:val="00541EBB"/>
    <w:rsid w:val="00541EEB"/>
    <w:rsid w:val="0054208F"/>
    <w:rsid w:val="005420BE"/>
    <w:rsid w:val="005421BE"/>
    <w:rsid w:val="005423E7"/>
    <w:rsid w:val="005424C4"/>
    <w:rsid w:val="005425BB"/>
    <w:rsid w:val="0054265D"/>
    <w:rsid w:val="005426FB"/>
    <w:rsid w:val="00542770"/>
    <w:rsid w:val="005427F4"/>
    <w:rsid w:val="005428EF"/>
    <w:rsid w:val="0054309B"/>
    <w:rsid w:val="0054317D"/>
    <w:rsid w:val="0054322D"/>
    <w:rsid w:val="00543330"/>
    <w:rsid w:val="0054368F"/>
    <w:rsid w:val="005437D5"/>
    <w:rsid w:val="00543819"/>
    <w:rsid w:val="005438BA"/>
    <w:rsid w:val="005438F7"/>
    <w:rsid w:val="005439CE"/>
    <w:rsid w:val="005439DE"/>
    <w:rsid w:val="00543A06"/>
    <w:rsid w:val="00543B4D"/>
    <w:rsid w:val="00543BCA"/>
    <w:rsid w:val="00543DE6"/>
    <w:rsid w:val="00544002"/>
    <w:rsid w:val="00544125"/>
    <w:rsid w:val="00544138"/>
    <w:rsid w:val="0054413B"/>
    <w:rsid w:val="005445CC"/>
    <w:rsid w:val="005446F9"/>
    <w:rsid w:val="00544997"/>
    <w:rsid w:val="005449E1"/>
    <w:rsid w:val="00544A28"/>
    <w:rsid w:val="00544A42"/>
    <w:rsid w:val="00544ABE"/>
    <w:rsid w:val="00544AE9"/>
    <w:rsid w:val="00544BFD"/>
    <w:rsid w:val="00544FCE"/>
    <w:rsid w:val="00545174"/>
    <w:rsid w:val="005454DB"/>
    <w:rsid w:val="005458D6"/>
    <w:rsid w:val="005460CD"/>
    <w:rsid w:val="0054613D"/>
    <w:rsid w:val="0054618D"/>
    <w:rsid w:val="0054665B"/>
    <w:rsid w:val="005467A8"/>
    <w:rsid w:val="005467AD"/>
    <w:rsid w:val="0054683A"/>
    <w:rsid w:val="005469A6"/>
    <w:rsid w:val="005469F5"/>
    <w:rsid w:val="00546A45"/>
    <w:rsid w:val="00546E57"/>
    <w:rsid w:val="00546E84"/>
    <w:rsid w:val="00546FCA"/>
    <w:rsid w:val="00547176"/>
    <w:rsid w:val="0054732C"/>
    <w:rsid w:val="005474A4"/>
    <w:rsid w:val="005476EE"/>
    <w:rsid w:val="005477EA"/>
    <w:rsid w:val="00547B13"/>
    <w:rsid w:val="00547C04"/>
    <w:rsid w:val="00547DA3"/>
    <w:rsid w:val="00547EA8"/>
    <w:rsid w:val="00547EE2"/>
    <w:rsid w:val="00547F4F"/>
    <w:rsid w:val="00550032"/>
    <w:rsid w:val="005500C8"/>
    <w:rsid w:val="005501A4"/>
    <w:rsid w:val="005501A8"/>
    <w:rsid w:val="00550234"/>
    <w:rsid w:val="005502F1"/>
    <w:rsid w:val="00550440"/>
    <w:rsid w:val="00550967"/>
    <w:rsid w:val="00550980"/>
    <w:rsid w:val="005509BE"/>
    <w:rsid w:val="00550A03"/>
    <w:rsid w:val="00550A2D"/>
    <w:rsid w:val="00550A97"/>
    <w:rsid w:val="00550B15"/>
    <w:rsid w:val="00550B84"/>
    <w:rsid w:val="00550EF2"/>
    <w:rsid w:val="00550EF7"/>
    <w:rsid w:val="0055149A"/>
    <w:rsid w:val="00551871"/>
    <w:rsid w:val="00551A68"/>
    <w:rsid w:val="00551A85"/>
    <w:rsid w:val="00551B24"/>
    <w:rsid w:val="00551DFF"/>
    <w:rsid w:val="00551F4F"/>
    <w:rsid w:val="00552603"/>
    <w:rsid w:val="00552766"/>
    <w:rsid w:val="005527E3"/>
    <w:rsid w:val="00552913"/>
    <w:rsid w:val="00552B9E"/>
    <w:rsid w:val="00552C2C"/>
    <w:rsid w:val="00552E81"/>
    <w:rsid w:val="00552EAF"/>
    <w:rsid w:val="00552F89"/>
    <w:rsid w:val="005530A9"/>
    <w:rsid w:val="0055323F"/>
    <w:rsid w:val="00553249"/>
    <w:rsid w:val="00553532"/>
    <w:rsid w:val="00553541"/>
    <w:rsid w:val="00553832"/>
    <w:rsid w:val="00553891"/>
    <w:rsid w:val="0055391B"/>
    <w:rsid w:val="00553A32"/>
    <w:rsid w:val="00553A52"/>
    <w:rsid w:val="00553E26"/>
    <w:rsid w:val="00553F1E"/>
    <w:rsid w:val="00553F91"/>
    <w:rsid w:val="00554031"/>
    <w:rsid w:val="00554044"/>
    <w:rsid w:val="0055409E"/>
    <w:rsid w:val="0055412E"/>
    <w:rsid w:val="00554179"/>
    <w:rsid w:val="00554275"/>
    <w:rsid w:val="0055430D"/>
    <w:rsid w:val="0055434A"/>
    <w:rsid w:val="0055439A"/>
    <w:rsid w:val="00554428"/>
    <w:rsid w:val="0055451B"/>
    <w:rsid w:val="0055462D"/>
    <w:rsid w:val="00554701"/>
    <w:rsid w:val="00554B8F"/>
    <w:rsid w:val="00554CDC"/>
    <w:rsid w:val="00554EDB"/>
    <w:rsid w:val="00554F3C"/>
    <w:rsid w:val="0055502E"/>
    <w:rsid w:val="00555328"/>
    <w:rsid w:val="0055553C"/>
    <w:rsid w:val="0055559B"/>
    <w:rsid w:val="005556DE"/>
    <w:rsid w:val="005557F1"/>
    <w:rsid w:val="00555BAD"/>
    <w:rsid w:val="00555F25"/>
    <w:rsid w:val="00555FA0"/>
    <w:rsid w:val="00556342"/>
    <w:rsid w:val="00556546"/>
    <w:rsid w:val="00556683"/>
    <w:rsid w:val="005566EF"/>
    <w:rsid w:val="005567CC"/>
    <w:rsid w:val="0055688A"/>
    <w:rsid w:val="00556983"/>
    <w:rsid w:val="005569E5"/>
    <w:rsid w:val="00556E0D"/>
    <w:rsid w:val="00556FCF"/>
    <w:rsid w:val="005570AA"/>
    <w:rsid w:val="00557209"/>
    <w:rsid w:val="005572CB"/>
    <w:rsid w:val="0055755A"/>
    <w:rsid w:val="0055756E"/>
    <w:rsid w:val="00557621"/>
    <w:rsid w:val="00557747"/>
    <w:rsid w:val="00557801"/>
    <w:rsid w:val="00557A86"/>
    <w:rsid w:val="00557B11"/>
    <w:rsid w:val="00557B2D"/>
    <w:rsid w:val="00557C93"/>
    <w:rsid w:val="00557D87"/>
    <w:rsid w:val="005600B3"/>
    <w:rsid w:val="00560173"/>
    <w:rsid w:val="005602BD"/>
    <w:rsid w:val="0056033B"/>
    <w:rsid w:val="00560665"/>
    <w:rsid w:val="00560730"/>
    <w:rsid w:val="0056078C"/>
    <w:rsid w:val="005607A8"/>
    <w:rsid w:val="005607EB"/>
    <w:rsid w:val="00560839"/>
    <w:rsid w:val="005608CD"/>
    <w:rsid w:val="00560924"/>
    <w:rsid w:val="0056098E"/>
    <w:rsid w:val="00560C0A"/>
    <w:rsid w:val="00560D6C"/>
    <w:rsid w:val="00560DA4"/>
    <w:rsid w:val="00561052"/>
    <w:rsid w:val="005610E6"/>
    <w:rsid w:val="005611A1"/>
    <w:rsid w:val="00561355"/>
    <w:rsid w:val="005614FC"/>
    <w:rsid w:val="0056165F"/>
    <w:rsid w:val="0056184F"/>
    <w:rsid w:val="005618E3"/>
    <w:rsid w:val="0056197D"/>
    <w:rsid w:val="005619D0"/>
    <w:rsid w:val="00561B18"/>
    <w:rsid w:val="00561C06"/>
    <w:rsid w:val="00561DB0"/>
    <w:rsid w:val="00562031"/>
    <w:rsid w:val="0056218E"/>
    <w:rsid w:val="0056219E"/>
    <w:rsid w:val="005622E9"/>
    <w:rsid w:val="005624F0"/>
    <w:rsid w:val="00562DE8"/>
    <w:rsid w:val="00563080"/>
    <w:rsid w:val="005631CE"/>
    <w:rsid w:val="00563213"/>
    <w:rsid w:val="0056348D"/>
    <w:rsid w:val="00563641"/>
    <w:rsid w:val="005637AE"/>
    <w:rsid w:val="005638B9"/>
    <w:rsid w:val="005639FB"/>
    <w:rsid w:val="00563A4F"/>
    <w:rsid w:val="00563B51"/>
    <w:rsid w:val="00563BC3"/>
    <w:rsid w:val="00563DE5"/>
    <w:rsid w:val="00563EE8"/>
    <w:rsid w:val="005640FA"/>
    <w:rsid w:val="00564292"/>
    <w:rsid w:val="00564372"/>
    <w:rsid w:val="0056438B"/>
    <w:rsid w:val="005643AB"/>
    <w:rsid w:val="00564593"/>
    <w:rsid w:val="005645C3"/>
    <w:rsid w:val="0056490A"/>
    <w:rsid w:val="005649CE"/>
    <w:rsid w:val="005649DE"/>
    <w:rsid w:val="00564A6C"/>
    <w:rsid w:val="00564BAD"/>
    <w:rsid w:val="00564C09"/>
    <w:rsid w:val="00564F1D"/>
    <w:rsid w:val="005652A5"/>
    <w:rsid w:val="0056537E"/>
    <w:rsid w:val="0056538F"/>
    <w:rsid w:val="005654CB"/>
    <w:rsid w:val="00565750"/>
    <w:rsid w:val="00565861"/>
    <w:rsid w:val="0056595B"/>
    <w:rsid w:val="00565A8C"/>
    <w:rsid w:val="00565D2F"/>
    <w:rsid w:val="00565D44"/>
    <w:rsid w:val="00565E14"/>
    <w:rsid w:val="00565EEE"/>
    <w:rsid w:val="00565FBF"/>
    <w:rsid w:val="00566098"/>
    <w:rsid w:val="0056638A"/>
    <w:rsid w:val="0056638F"/>
    <w:rsid w:val="00566617"/>
    <w:rsid w:val="005667D6"/>
    <w:rsid w:val="005669E9"/>
    <w:rsid w:val="00566A44"/>
    <w:rsid w:val="00566CC4"/>
    <w:rsid w:val="00566CF2"/>
    <w:rsid w:val="00566D27"/>
    <w:rsid w:val="00566D57"/>
    <w:rsid w:val="00566E6E"/>
    <w:rsid w:val="00566F3D"/>
    <w:rsid w:val="005671D9"/>
    <w:rsid w:val="0056735D"/>
    <w:rsid w:val="00567696"/>
    <w:rsid w:val="005678BF"/>
    <w:rsid w:val="005679AC"/>
    <w:rsid w:val="005679E9"/>
    <w:rsid w:val="00567C99"/>
    <w:rsid w:val="00567D00"/>
    <w:rsid w:val="00567E65"/>
    <w:rsid w:val="00567F31"/>
    <w:rsid w:val="0057004F"/>
    <w:rsid w:val="00570200"/>
    <w:rsid w:val="005702C0"/>
    <w:rsid w:val="005702E3"/>
    <w:rsid w:val="00570576"/>
    <w:rsid w:val="005709C9"/>
    <w:rsid w:val="005709E6"/>
    <w:rsid w:val="00571322"/>
    <w:rsid w:val="0057141F"/>
    <w:rsid w:val="00571444"/>
    <w:rsid w:val="0057148F"/>
    <w:rsid w:val="0057153F"/>
    <w:rsid w:val="005716E3"/>
    <w:rsid w:val="0057189E"/>
    <w:rsid w:val="00571A99"/>
    <w:rsid w:val="00571AF9"/>
    <w:rsid w:val="00571C0F"/>
    <w:rsid w:val="00571D2A"/>
    <w:rsid w:val="00571E11"/>
    <w:rsid w:val="00572132"/>
    <w:rsid w:val="00572279"/>
    <w:rsid w:val="0057229B"/>
    <w:rsid w:val="00572444"/>
    <w:rsid w:val="00572499"/>
    <w:rsid w:val="00572508"/>
    <w:rsid w:val="00572667"/>
    <w:rsid w:val="005727F0"/>
    <w:rsid w:val="00572807"/>
    <w:rsid w:val="00572CBA"/>
    <w:rsid w:val="00572D98"/>
    <w:rsid w:val="00572FE2"/>
    <w:rsid w:val="0057320D"/>
    <w:rsid w:val="00573283"/>
    <w:rsid w:val="005732F6"/>
    <w:rsid w:val="005734CC"/>
    <w:rsid w:val="00573610"/>
    <w:rsid w:val="00573713"/>
    <w:rsid w:val="005739EE"/>
    <w:rsid w:val="00573B02"/>
    <w:rsid w:val="00573C1E"/>
    <w:rsid w:val="00573CE7"/>
    <w:rsid w:val="00573E11"/>
    <w:rsid w:val="00574153"/>
    <w:rsid w:val="005742D7"/>
    <w:rsid w:val="00574346"/>
    <w:rsid w:val="005743D4"/>
    <w:rsid w:val="0057452E"/>
    <w:rsid w:val="005745E4"/>
    <w:rsid w:val="00574846"/>
    <w:rsid w:val="00574B06"/>
    <w:rsid w:val="00574E97"/>
    <w:rsid w:val="005753F4"/>
    <w:rsid w:val="00575488"/>
    <w:rsid w:val="005754C0"/>
    <w:rsid w:val="005758BD"/>
    <w:rsid w:val="00575B7F"/>
    <w:rsid w:val="00575C84"/>
    <w:rsid w:val="00575EB4"/>
    <w:rsid w:val="005761D4"/>
    <w:rsid w:val="005762E7"/>
    <w:rsid w:val="00576585"/>
    <w:rsid w:val="00576825"/>
    <w:rsid w:val="00576B79"/>
    <w:rsid w:val="00576C97"/>
    <w:rsid w:val="00576F25"/>
    <w:rsid w:val="00576FBB"/>
    <w:rsid w:val="005770EC"/>
    <w:rsid w:val="0057711D"/>
    <w:rsid w:val="005771BE"/>
    <w:rsid w:val="00577214"/>
    <w:rsid w:val="0057730A"/>
    <w:rsid w:val="00577434"/>
    <w:rsid w:val="00577521"/>
    <w:rsid w:val="00577593"/>
    <w:rsid w:val="00577758"/>
    <w:rsid w:val="005777A0"/>
    <w:rsid w:val="005779DE"/>
    <w:rsid w:val="00577ABF"/>
    <w:rsid w:val="00577B2B"/>
    <w:rsid w:val="00577D2B"/>
    <w:rsid w:val="00577EF1"/>
    <w:rsid w:val="005801E4"/>
    <w:rsid w:val="00580AB6"/>
    <w:rsid w:val="00580AC8"/>
    <w:rsid w:val="00580C77"/>
    <w:rsid w:val="00581315"/>
    <w:rsid w:val="005813A6"/>
    <w:rsid w:val="00581435"/>
    <w:rsid w:val="0058158C"/>
    <w:rsid w:val="0058162A"/>
    <w:rsid w:val="005816D9"/>
    <w:rsid w:val="005817FF"/>
    <w:rsid w:val="0058190D"/>
    <w:rsid w:val="005819BD"/>
    <w:rsid w:val="005819FB"/>
    <w:rsid w:val="00581AAA"/>
    <w:rsid w:val="00581AF0"/>
    <w:rsid w:val="00581CE9"/>
    <w:rsid w:val="00581D7E"/>
    <w:rsid w:val="00581ECB"/>
    <w:rsid w:val="005820B9"/>
    <w:rsid w:val="0058212A"/>
    <w:rsid w:val="005821D7"/>
    <w:rsid w:val="00582337"/>
    <w:rsid w:val="00582481"/>
    <w:rsid w:val="00582489"/>
    <w:rsid w:val="00582557"/>
    <w:rsid w:val="005825B6"/>
    <w:rsid w:val="005826FF"/>
    <w:rsid w:val="00582755"/>
    <w:rsid w:val="0058277E"/>
    <w:rsid w:val="00582834"/>
    <w:rsid w:val="0058306B"/>
    <w:rsid w:val="0058307F"/>
    <w:rsid w:val="00583182"/>
    <w:rsid w:val="005833BB"/>
    <w:rsid w:val="00583413"/>
    <w:rsid w:val="00583428"/>
    <w:rsid w:val="00583449"/>
    <w:rsid w:val="00583495"/>
    <w:rsid w:val="005834D5"/>
    <w:rsid w:val="00583952"/>
    <w:rsid w:val="00583BBB"/>
    <w:rsid w:val="00583DF2"/>
    <w:rsid w:val="00583ECA"/>
    <w:rsid w:val="00584076"/>
    <w:rsid w:val="005842B2"/>
    <w:rsid w:val="005842B6"/>
    <w:rsid w:val="005842BE"/>
    <w:rsid w:val="005843F1"/>
    <w:rsid w:val="00584471"/>
    <w:rsid w:val="00584582"/>
    <w:rsid w:val="005845A8"/>
    <w:rsid w:val="00584A4F"/>
    <w:rsid w:val="00584CD4"/>
    <w:rsid w:val="00584D16"/>
    <w:rsid w:val="00584E47"/>
    <w:rsid w:val="00584F15"/>
    <w:rsid w:val="00585090"/>
    <w:rsid w:val="00585360"/>
    <w:rsid w:val="005854BE"/>
    <w:rsid w:val="005855B2"/>
    <w:rsid w:val="00585A76"/>
    <w:rsid w:val="00585C0C"/>
    <w:rsid w:val="00585C8B"/>
    <w:rsid w:val="00585D32"/>
    <w:rsid w:val="00585F0A"/>
    <w:rsid w:val="00585FCD"/>
    <w:rsid w:val="00585FD3"/>
    <w:rsid w:val="00586206"/>
    <w:rsid w:val="005862BB"/>
    <w:rsid w:val="005864BC"/>
    <w:rsid w:val="0058657F"/>
    <w:rsid w:val="00586789"/>
    <w:rsid w:val="005869C6"/>
    <w:rsid w:val="00586E01"/>
    <w:rsid w:val="0058707A"/>
    <w:rsid w:val="00587262"/>
    <w:rsid w:val="00587285"/>
    <w:rsid w:val="0058728C"/>
    <w:rsid w:val="005872AE"/>
    <w:rsid w:val="005874B9"/>
    <w:rsid w:val="0058755D"/>
    <w:rsid w:val="00587755"/>
    <w:rsid w:val="00587767"/>
    <w:rsid w:val="005877B4"/>
    <w:rsid w:val="00587901"/>
    <w:rsid w:val="00587931"/>
    <w:rsid w:val="00587C23"/>
    <w:rsid w:val="00587F8F"/>
    <w:rsid w:val="0059011E"/>
    <w:rsid w:val="0059025A"/>
    <w:rsid w:val="0059045A"/>
    <w:rsid w:val="00590534"/>
    <w:rsid w:val="005905E7"/>
    <w:rsid w:val="005905FA"/>
    <w:rsid w:val="00590610"/>
    <w:rsid w:val="00590862"/>
    <w:rsid w:val="005908D1"/>
    <w:rsid w:val="00590A41"/>
    <w:rsid w:val="005912E8"/>
    <w:rsid w:val="005913D3"/>
    <w:rsid w:val="0059171B"/>
    <w:rsid w:val="00591797"/>
    <w:rsid w:val="00591828"/>
    <w:rsid w:val="00591942"/>
    <w:rsid w:val="00591DBB"/>
    <w:rsid w:val="00591F32"/>
    <w:rsid w:val="005920A2"/>
    <w:rsid w:val="00592194"/>
    <w:rsid w:val="005923D9"/>
    <w:rsid w:val="0059251F"/>
    <w:rsid w:val="005925E8"/>
    <w:rsid w:val="00592663"/>
    <w:rsid w:val="0059270D"/>
    <w:rsid w:val="00592726"/>
    <w:rsid w:val="00592936"/>
    <w:rsid w:val="00592AB4"/>
    <w:rsid w:val="00592E5F"/>
    <w:rsid w:val="00593128"/>
    <w:rsid w:val="005931EE"/>
    <w:rsid w:val="00593252"/>
    <w:rsid w:val="005933E6"/>
    <w:rsid w:val="00593501"/>
    <w:rsid w:val="0059364B"/>
    <w:rsid w:val="00593719"/>
    <w:rsid w:val="00593946"/>
    <w:rsid w:val="00593E92"/>
    <w:rsid w:val="00594085"/>
    <w:rsid w:val="005941BF"/>
    <w:rsid w:val="00594239"/>
    <w:rsid w:val="00594835"/>
    <w:rsid w:val="00594985"/>
    <w:rsid w:val="00594A61"/>
    <w:rsid w:val="00595044"/>
    <w:rsid w:val="005954C0"/>
    <w:rsid w:val="0059551C"/>
    <w:rsid w:val="0059556E"/>
    <w:rsid w:val="0059578E"/>
    <w:rsid w:val="00595877"/>
    <w:rsid w:val="0059589B"/>
    <w:rsid w:val="00595A78"/>
    <w:rsid w:val="00595E60"/>
    <w:rsid w:val="0059607D"/>
    <w:rsid w:val="005962F6"/>
    <w:rsid w:val="00596356"/>
    <w:rsid w:val="00596628"/>
    <w:rsid w:val="005966EC"/>
    <w:rsid w:val="00596884"/>
    <w:rsid w:val="00596B10"/>
    <w:rsid w:val="00596EDF"/>
    <w:rsid w:val="005970D2"/>
    <w:rsid w:val="0059734B"/>
    <w:rsid w:val="00597749"/>
    <w:rsid w:val="005977BA"/>
    <w:rsid w:val="00597A50"/>
    <w:rsid w:val="00597C00"/>
    <w:rsid w:val="00597C4E"/>
    <w:rsid w:val="00597E0A"/>
    <w:rsid w:val="00597E31"/>
    <w:rsid w:val="00597E5B"/>
    <w:rsid w:val="005A003C"/>
    <w:rsid w:val="005A00A4"/>
    <w:rsid w:val="005A01A8"/>
    <w:rsid w:val="005A0365"/>
    <w:rsid w:val="005A0388"/>
    <w:rsid w:val="005A0761"/>
    <w:rsid w:val="005A078A"/>
    <w:rsid w:val="005A081C"/>
    <w:rsid w:val="005A0829"/>
    <w:rsid w:val="005A08EB"/>
    <w:rsid w:val="005A0A0B"/>
    <w:rsid w:val="005A0A12"/>
    <w:rsid w:val="005A0A6F"/>
    <w:rsid w:val="005A0C1D"/>
    <w:rsid w:val="005A0E33"/>
    <w:rsid w:val="005A187D"/>
    <w:rsid w:val="005A1AD3"/>
    <w:rsid w:val="005A1B71"/>
    <w:rsid w:val="005A1BC3"/>
    <w:rsid w:val="005A1C0D"/>
    <w:rsid w:val="005A1E1E"/>
    <w:rsid w:val="005A21AE"/>
    <w:rsid w:val="005A2211"/>
    <w:rsid w:val="005A231A"/>
    <w:rsid w:val="005A248D"/>
    <w:rsid w:val="005A24F6"/>
    <w:rsid w:val="005A2666"/>
    <w:rsid w:val="005A2697"/>
    <w:rsid w:val="005A26D5"/>
    <w:rsid w:val="005A2711"/>
    <w:rsid w:val="005A2792"/>
    <w:rsid w:val="005A27E9"/>
    <w:rsid w:val="005A2A33"/>
    <w:rsid w:val="005A33BD"/>
    <w:rsid w:val="005A3428"/>
    <w:rsid w:val="005A3698"/>
    <w:rsid w:val="005A3A06"/>
    <w:rsid w:val="005A3AF4"/>
    <w:rsid w:val="005A3DF8"/>
    <w:rsid w:val="005A3FDD"/>
    <w:rsid w:val="005A431B"/>
    <w:rsid w:val="005A4328"/>
    <w:rsid w:val="005A4627"/>
    <w:rsid w:val="005A4636"/>
    <w:rsid w:val="005A4673"/>
    <w:rsid w:val="005A4B61"/>
    <w:rsid w:val="005A4B8D"/>
    <w:rsid w:val="005A4C88"/>
    <w:rsid w:val="005A4D0C"/>
    <w:rsid w:val="005A5181"/>
    <w:rsid w:val="005A51C0"/>
    <w:rsid w:val="005A526E"/>
    <w:rsid w:val="005A52BF"/>
    <w:rsid w:val="005A530F"/>
    <w:rsid w:val="005A53E1"/>
    <w:rsid w:val="005A54A1"/>
    <w:rsid w:val="005A55D2"/>
    <w:rsid w:val="005A577B"/>
    <w:rsid w:val="005A5AD6"/>
    <w:rsid w:val="005A5AF8"/>
    <w:rsid w:val="005A5C46"/>
    <w:rsid w:val="005A5C86"/>
    <w:rsid w:val="005A6021"/>
    <w:rsid w:val="005A608E"/>
    <w:rsid w:val="005A6218"/>
    <w:rsid w:val="005A6301"/>
    <w:rsid w:val="005A6326"/>
    <w:rsid w:val="005A636D"/>
    <w:rsid w:val="005A6414"/>
    <w:rsid w:val="005A683F"/>
    <w:rsid w:val="005A6904"/>
    <w:rsid w:val="005A6A35"/>
    <w:rsid w:val="005A6AD6"/>
    <w:rsid w:val="005A6CF3"/>
    <w:rsid w:val="005A6D81"/>
    <w:rsid w:val="005A6E8E"/>
    <w:rsid w:val="005A708B"/>
    <w:rsid w:val="005A7102"/>
    <w:rsid w:val="005A7138"/>
    <w:rsid w:val="005A75B2"/>
    <w:rsid w:val="005A76F1"/>
    <w:rsid w:val="005A799D"/>
    <w:rsid w:val="005A79C2"/>
    <w:rsid w:val="005A7A1B"/>
    <w:rsid w:val="005A7A5A"/>
    <w:rsid w:val="005A7BDA"/>
    <w:rsid w:val="005A7E9B"/>
    <w:rsid w:val="005A7F4D"/>
    <w:rsid w:val="005A7FD1"/>
    <w:rsid w:val="005B01F0"/>
    <w:rsid w:val="005B0210"/>
    <w:rsid w:val="005B0790"/>
    <w:rsid w:val="005B090F"/>
    <w:rsid w:val="005B09E5"/>
    <w:rsid w:val="005B0A9B"/>
    <w:rsid w:val="005B0B00"/>
    <w:rsid w:val="005B0BFA"/>
    <w:rsid w:val="005B0FDC"/>
    <w:rsid w:val="005B10D7"/>
    <w:rsid w:val="005B123F"/>
    <w:rsid w:val="005B132E"/>
    <w:rsid w:val="005B13C7"/>
    <w:rsid w:val="005B18A4"/>
    <w:rsid w:val="005B19C8"/>
    <w:rsid w:val="005B1ABC"/>
    <w:rsid w:val="005B2057"/>
    <w:rsid w:val="005B20BB"/>
    <w:rsid w:val="005B20FA"/>
    <w:rsid w:val="005B21F6"/>
    <w:rsid w:val="005B259B"/>
    <w:rsid w:val="005B25DD"/>
    <w:rsid w:val="005B27DA"/>
    <w:rsid w:val="005B27FD"/>
    <w:rsid w:val="005B2A2D"/>
    <w:rsid w:val="005B2BC3"/>
    <w:rsid w:val="005B2FAD"/>
    <w:rsid w:val="005B3026"/>
    <w:rsid w:val="005B30C6"/>
    <w:rsid w:val="005B30F0"/>
    <w:rsid w:val="005B318F"/>
    <w:rsid w:val="005B327B"/>
    <w:rsid w:val="005B33C3"/>
    <w:rsid w:val="005B34C0"/>
    <w:rsid w:val="005B34F5"/>
    <w:rsid w:val="005B362F"/>
    <w:rsid w:val="005B376F"/>
    <w:rsid w:val="005B3C81"/>
    <w:rsid w:val="005B3CA1"/>
    <w:rsid w:val="005B4184"/>
    <w:rsid w:val="005B42FF"/>
    <w:rsid w:val="005B44E3"/>
    <w:rsid w:val="005B485B"/>
    <w:rsid w:val="005B4A15"/>
    <w:rsid w:val="005B4ED6"/>
    <w:rsid w:val="005B51BA"/>
    <w:rsid w:val="005B52B1"/>
    <w:rsid w:val="005B5374"/>
    <w:rsid w:val="005B53BF"/>
    <w:rsid w:val="005B5818"/>
    <w:rsid w:val="005B58AF"/>
    <w:rsid w:val="005B5C3E"/>
    <w:rsid w:val="005B5E58"/>
    <w:rsid w:val="005B6291"/>
    <w:rsid w:val="005B6322"/>
    <w:rsid w:val="005B6377"/>
    <w:rsid w:val="005B64C8"/>
    <w:rsid w:val="005B6565"/>
    <w:rsid w:val="005B6725"/>
    <w:rsid w:val="005B672D"/>
    <w:rsid w:val="005B6C75"/>
    <w:rsid w:val="005B6C7C"/>
    <w:rsid w:val="005B6D0F"/>
    <w:rsid w:val="005B6DFE"/>
    <w:rsid w:val="005B6EDC"/>
    <w:rsid w:val="005B6EFD"/>
    <w:rsid w:val="005B6F56"/>
    <w:rsid w:val="005B7050"/>
    <w:rsid w:val="005B707E"/>
    <w:rsid w:val="005B730B"/>
    <w:rsid w:val="005B734E"/>
    <w:rsid w:val="005B7504"/>
    <w:rsid w:val="005B7702"/>
    <w:rsid w:val="005B7799"/>
    <w:rsid w:val="005B77BD"/>
    <w:rsid w:val="005B787D"/>
    <w:rsid w:val="005B797D"/>
    <w:rsid w:val="005B79A3"/>
    <w:rsid w:val="005B7B9F"/>
    <w:rsid w:val="005B7CA3"/>
    <w:rsid w:val="005C007F"/>
    <w:rsid w:val="005C0138"/>
    <w:rsid w:val="005C0335"/>
    <w:rsid w:val="005C0370"/>
    <w:rsid w:val="005C0461"/>
    <w:rsid w:val="005C04AF"/>
    <w:rsid w:val="005C0632"/>
    <w:rsid w:val="005C0725"/>
    <w:rsid w:val="005C07A0"/>
    <w:rsid w:val="005C08C1"/>
    <w:rsid w:val="005C0B2B"/>
    <w:rsid w:val="005C0CA1"/>
    <w:rsid w:val="005C0CCC"/>
    <w:rsid w:val="005C0CEB"/>
    <w:rsid w:val="005C0FF4"/>
    <w:rsid w:val="005C104C"/>
    <w:rsid w:val="005C11F1"/>
    <w:rsid w:val="005C1285"/>
    <w:rsid w:val="005C12E8"/>
    <w:rsid w:val="005C1341"/>
    <w:rsid w:val="005C13A1"/>
    <w:rsid w:val="005C1502"/>
    <w:rsid w:val="005C180F"/>
    <w:rsid w:val="005C184F"/>
    <w:rsid w:val="005C1D26"/>
    <w:rsid w:val="005C1DBF"/>
    <w:rsid w:val="005C1ED6"/>
    <w:rsid w:val="005C21CC"/>
    <w:rsid w:val="005C2240"/>
    <w:rsid w:val="005C2373"/>
    <w:rsid w:val="005C23E8"/>
    <w:rsid w:val="005C2639"/>
    <w:rsid w:val="005C2737"/>
    <w:rsid w:val="005C2B6C"/>
    <w:rsid w:val="005C2D4C"/>
    <w:rsid w:val="005C2EB8"/>
    <w:rsid w:val="005C3741"/>
    <w:rsid w:val="005C3988"/>
    <w:rsid w:val="005C3CB3"/>
    <w:rsid w:val="005C3CDB"/>
    <w:rsid w:val="005C3CF3"/>
    <w:rsid w:val="005C4126"/>
    <w:rsid w:val="005C427E"/>
    <w:rsid w:val="005C4340"/>
    <w:rsid w:val="005C4382"/>
    <w:rsid w:val="005C490A"/>
    <w:rsid w:val="005C4A32"/>
    <w:rsid w:val="005C4BB0"/>
    <w:rsid w:val="005C4CEC"/>
    <w:rsid w:val="005C4DD4"/>
    <w:rsid w:val="005C4EC3"/>
    <w:rsid w:val="005C51F2"/>
    <w:rsid w:val="005C5224"/>
    <w:rsid w:val="005C539A"/>
    <w:rsid w:val="005C54E4"/>
    <w:rsid w:val="005C558D"/>
    <w:rsid w:val="005C5723"/>
    <w:rsid w:val="005C5CA4"/>
    <w:rsid w:val="005C5CE7"/>
    <w:rsid w:val="005C5E4E"/>
    <w:rsid w:val="005C5FBA"/>
    <w:rsid w:val="005C6308"/>
    <w:rsid w:val="005C66CC"/>
    <w:rsid w:val="005C67B0"/>
    <w:rsid w:val="005C6858"/>
    <w:rsid w:val="005C69FD"/>
    <w:rsid w:val="005C6AAE"/>
    <w:rsid w:val="005C6CCC"/>
    <w:rsid w:val="005C6D6C"/>
    <w:rsid w:val="005C6D81"/>
    <w:rsid w:val="005C6F0C"/>
    <w:rsid w:val="005C73A5"/>
    <w:rsid w:val="005C744A"/>
    <w:rsid w:val="005C757B"/>
    <w:rsid w:val="005C759B"/>
    <w:rsid w:val="005C772C"/>
    <w:rsid w:val="005C7734"/>
    <w:rsid w:val="005C7764"/>
    <w:rsid w:val="005C776B"/>
    <w:rsid w:val="005C777B"/>
    <w:rsid w:val="005C77A0"/>
    <w:rsid w:val="005C7898"/>
    <w:rsid w:val="005C7A9D"/>
    <w:rsid w:val="005C7CD9"/>
    <w:rsid w:val="005D025F"/>
    <w:rsid w:val="005D0504"/>
    <w:rsid w:val="005D07CB"/>
    <w:rsid w:val="005D0E7F"/>
    <w:rsid w:val="005D118B"/>
    <w:rsid w:val="005D15E3"/>
    <w:rsid w:val="005D189A"/>
    <w:rsid w:val="005D1916"/>
    <w:rsid w:val="005D195A"/>
    <w:rsid w:val="005D1996"/>
    <w:rsid w:val="005D1A60"/>
    <w:rsid w:val="005D1AE2"/>
    <w:rsid w:val="005D1B72"/>
    <w:rsid w:val="005D1B83"/>
    <w:rsid w:val="005D1DA0"/>
    <w:rsid w:val="005D1DE8"/>
    <w:rsid w:val="005D22DB"/>
    <w:rsid w:val="005D2416"/>
    <w:rsid w:val="005D24B0"/>
    <w:rsid w:val="005D24B7"/>
    <w:rsid w:val="005D257B"/>
    <w:rsid w:val="005D288C"/>
    <w:rsid w:val="005D28B8"/>
    <w:rsid w:val="005D2A6B"/>
    <w:rsid w:val="005D2ABD"/>
    <w:rsid w:val="005D2B45"/>
    <w:rsid w:val="005D2EE3"/>
    <w:rsid w:val="005D31A4"/>
    <w:rsid w:val="005D31C1"/>
    <w:rsid w:val="005D38B8"/>
    <w:rsid w:val="005D3AEC"/>
    <w:rsid w:val="005D3CE8"/>
    <w:rsid w:val="005D3F5D"/>
    <w:rsid w:val="005D4070"/>
    <w:rsid w:val="005D44D0"/>
    <w:rsid w:val="005D4501"/>
    <w:rsid w:val="005D4621"/>
    <w:rsid w:val="005D4657"/>
    <w:rsid w:val="005D46CB"/>
    <w:rsid w:val="005D4897"/>
    <w:rsid w:val="005D48ED"/>
    <w:rsid w:val="005D4921"/>
    <w:rsid w:val="005D4AAC"/>
    <w:rsid w:val="005D4AED"/>
    <w:rsid w:val="005D4CC6"/>
    <w:rsid w:val="005D4CE2"/>
    <w:rsid w:val="005D54A8"/>
    <w:rsid w:val="005D5587"/>
    <w:rsid w:val="005D568A"/>
    <w:rsid w:val="005D57B8"/>
    <w:rsid w:val="005D5C2E"/>
    <w:rsid w:val="005D5E5F"/>
    <w:rsid w:val="005D613F"/>
    <w:rsid w:val="005D6255"/>
    <w:rsid w:val="005D6370"/>
    <w:rsid w:val="005D6591"/>
    <w:rsid w:val="005D66DB"/>
    <w:rsid w:val="005D68EB"/>
    <w:rsid w:val="005D69FC"/>
    <w:rsid w:val="005D6AE7"/>
    <w:rsid w:val="005D6C04"/>
    <w:rsid w:val="005D6E9B"/>
    <w:rsid w:val="005D6F95"/>
    <w:rsid w:val="005D70C1"/>
    <w:rsid w:val="005D7168"/>
    <w:rsid w:val="005D719E"/>
    <w:rsid w:val="005D74AB"/>
    <w:rsid w:val="005D7665"/>
    <w:rsid w:val="005D7706"/>
    <w:rsid w:val="005D7809"/>
    <w:rsid w:val="005D7E70"/>
    <w:rsid w:val="005D7FD1"/>
    <w:rsid w:val="005E0171"/>
    <w:rsid w:val="005E01B7"/>
    <w:rsid w:val="005E07D6"/>
    <w:rsid w:val="005E082C"/>
    <w:rsid w:val="005E08F0"/>
    <w:rsid w:val="005E0A2A"/>
    <w:rsid w:val="005E0B7D"/>
    <w:rsid w:val="005E0C51"/>
    <w:rsid w:val="005E0C91"/>
    <w:rsid w:val="005E0F26"/>
    <w:rsid w:val="005E1011"/>
    <w:rsid w:val="005E1120"/>
    <w:rsid w:val="005E170B"/>
    <w:rsid w:val="005E1813"/>
    <w:rsid w:val="005E18F5"/>
    <w:rsid w:val="005E1988"/>
    <w:rsid w:val="005E1B65"/>
    <w:rsid w:val="005E1E32"/>
    <w:rsid w:val="005E2099"/>
    <w:rsid w:val="005E20EE"/>
    <w:rsid w:val="005E2683"/>
    <w:rsid w:val="005E28F6"/>
    <w:rsid w:val="005E2A1C"/>
    <w:rsid w:val="005E3303"/>
    <w:rsid w:val="005E350C"/>
    <w:rsid w:val="005E3603"/>
    <w:rsid w:val="005E3764"/>
    <w:rsid w:val="005E3854"/>
    <w:rsid w:val="005E3918"/>
    <w:rsid w:val="005E391C"/>
    <w:rsid w:val="005E396D"/>
    <w:rsid w:val="005E3A5E"/>
    <w:rsid w:val="005E3BBD"/>
    <w:rsid w:val="005E3BE0"/>
    <w:rsid w:val="005E3C8F"/>
    <w:rsid w:val="005E3CB2"/>
    <w:rsid w:val="005E3CF6"/>
    <w:rsid w:val="005E3DDE"/>
    <w:rsid w:val="005E40C8"/>
    <w:rsid w:val="005E43B9"/>
    <w:rsid w:val="005E4498"/>
    <w:rsid w:val="005E44D6"/>
    <w:rsid w:val="005E48EA"/>
    <w:rsid w:val="005E4A53"/>
    <w:rsid w:val="005E4A69"/>
    <w:rsid w:val="005E4AB4"/>
    <w:rsid w:val="005E4CEC"/>
    <w:rsid w:val="005E4DE8"/>
    <w:rsid w:val="005E4EC3"/>
    <w:rsid w:val="005E4FCB"/>
    <w:rsid w:val="005E5234"/>
    <w:rsid w:val="005E53C0"/>
    <w:rsid w:val="005E542A"/>
    <w:rsid w:val="005E55B5"/>
    <w:rsid w:val="005E57DB"/>
    <w:rsid w:val="005E5890"/>
    <w:rsid w:val="005E596E"/>
    <w:rsid w:val="005E5B13"/>
    <w:rsid w:val="005E5D70"/>
    <w:rsid w:val="005E60F6"/>
    <w:rsid w:val="005E640C"/>
    <w:rsid w:val="005E648B"/>
    <w:rsid w:val="005E650C"/>
    <w:rsid w:val="005E6784"/>
    <w:rsid w:val="005E67F6"/>
    <w:rsid w:val="005E6841"/>
    <w:rsid w:val="005E6850"/>
    <w:rsid w:val="005E6936"/>
    <w:rsid w:val="005E698E"/>
    <w:rsid w:val="005E6B7A"/>
    <w:rsid w:val="005E6D41"/>
    <w:rsid w:val="005E6DB8"/>
    <w:rsid w:val="005E6E9B"/>
    <w:rsid w:val="005E6EC8"/>
    <w:rsid w:val="005E6F82"/>
    <w:rsid w:val="005E71B7"/>
    <w:rsid w:val="005E74B6"/>
    <w:rsid w:val="005E757E"/>
    <w:rsid w:val="005E7655"/>
    <w:rsid w:val="005E78CD"/>
    <w:rsid w:val="005E799E"/>
    <w:rsid w:val="005E7B25"/>
    <w:rsid w:val="005E7D02"/>
    <w:rsid w:val="005E7E10"/>
    <w:rsid w:val="005E7EA2"/>
    <w:rsid w:val="005E7FA0"/>
    <w:rsid w:val="005F0201"/>
    <w:rsid w:val="005F041C"/>
    <w:rsid w:val="005F0587"/>
    <w:rsid w:val="005F05F5"/>
    <w:rsid w:val="005F0641"/>
    <w:rsid w:val="005F0847"/>
    <w:rsid w:val="005F08E2"/>
    <w:rsid w:val="005F0CAB"/>
    <w:rsid w:val="005F0CFD"/>
    <w:rsid w:val="005F1269"/>
    <w:rsid w:val="005F164B"/>
    <w:rsid w:val="005F16DF"/>
    <w:rsid w:val="005F198D"/>
    <w:rsid w:val="005F19A8"/>
    <w:rsid w:val="005F1B75"/>
    <w:rsid w:val="005F1B85"/>
    <w:rsid w:val="005F1E86"/>
    <w:rsid w:val="005F1EE6"/>
    <w:rsid w:val="005F1FE8"/>
    <w:rsid w:val="005F20CB"/>
    <w:rsid w:val="005F2401"/>
    <w:rsid w:val="005F254B"/>
    <w:rsid w:val="005F25A4"/>
    <w:rsid w:val="005F26DC"/>
    <w:rsid w:val="005F280F"/>
    <w:rsid w:val="005F2B67"/>
    <w:rsid w:val="005F2D0D"/>
    <w:rsid w:val="005F2DF1"/>
    <w:rsid w:val="005F2E4B"/>
    <w:rsid w:val="005F300B"/>
    <w:rsid w:val="005F357C"/>
    <w:rsid w:val="005F35F1"/>
    <w:rsid w:val="005F361A"/>
    <w:rsid w:val="005F36B5"/>
    <w:rsid w:val="005F37DD"/>
    <w:rsid w:val="005F37E7"/>
    <w:rsid w:val="005F39D0"/>
    <w:rsid w:val="005F3B30"/>
    <w:rsid w:val="005F3DA9"/>
    <w:rsid w:val="005F3DDE"/>
    <w:rsid w:val="005F4033"/>
    <w:rsid w:val="005F409D"/>
    <w:rsid w:val="005F40BB"/>
    <w:rsid w:val="005F4123"/>
    <w:rsid w:val="005F415B"/>
    <w:rsid w:val="005F44AC"/>
    <w:rsid w:val="005F451F"/>
    <w:rsid w:val="005F45D0"/>
    <w:rsid w:val="005F4678"/>
    <w:rsid w:val="005F481A"/>
    <w:rsid w:val="005F4C96"/>
    <w:rsid w:val="005F4D3A"/>
    <w:rsid w:val="005F4E56"/>
    <w:rsid w:val="005F507A"/>
    <w:rsid w:val="005F52AB"/>
    <w:rsid w:val="005F5352"/>
    <w:rsid w:val="005F548F"/>
    <w:rsid w:val="005F5AEB"/>
    <w:rsid w:val="005F5C2E"/>
    <w:rsid w:val="005F5E50"/>
    <w:rsid w:val="005F604C"/>
    <w:rsid w:val="005F605B"/>
    <w:rsid w:val="005F6390"/>
    <w:rsid w:val="005F66A1"/>
    <w:rsid w:val="005F67D0"/>
    <w:rsid w:val="005F6816"/>
    <w:rsid w:val="005F69B4"/>
    <w:rsid w:val="005F6E13"/>
    <w:rsid w:val="005F6F46"/>
    <w:rsid w:val="005F7206"/>
    <w:rsid w:val="005F723F"/>
    <w:rsid w:val="005F73C7"/>
    <w:rsid w:val="005F7485"/>
    <w:rsid w:val="005F7584"/>
    <w:rsid w:val="005F7637"/>
    <w:rsid w:val="005F7641"/>
    <w:rsid w:val="005F76C2"/>
    <w:rsid w:val="005F76E4"/>
    <w:rsid w:val="005F7976"/>
    <w:rsid w:val="005F7AA6"/>
    <w:rsid w:val="005F7AC9"/>
    <w:rsid w:val="005F7C83"/>
    <w:rsid w:val="005F7DF6"/>
    <w:rsid w:val="006001A4"/>
    <w:rsid w:val="00600445"/>
    <w:rsid w:val="0060047A"/>
    <w:rsid w:val="006004A7"/>
    <w:rsid w:val="0060053A"/>
    <w:rsid w:val="00600639"/>
    <w:rsid w:val="006007ED"/>
    <w:rsid w:val="00600853"/>
    <w:rsid w:val="0060092A"/>
    <w:rsid w:val="00600991"/>
    <w:rsid w:val="006009A0"/>
    <w:rsid w:val="006009B5"/>
    <w:rsid w:val="00600F92"/>
    <w:rsid w:val="00600FC7"/>
    <w:rsid w:val="00600FE5"/>
    <w:rsid w:val="00601050"/>
    <w:rsid w:val="0060107A"/>
    <w:rsid w:val="006011B0"/>
    <w:rsid w:val="006011BC"/>
    <w:rsid w:val="006014A0"/>
    <w:rsid w:val="00601570"/>
    <w:rsid w:val="006016C4"/>
    <w:rsid w:val="00601702"/>
    <w:rsid w:val="00601999"/>
    <w:rsid w:val="006019AC"/>
    <w:rsid w:val="00601AC8"/>
    <w:rsid w:val="00601CBA"/>
    <w:rsid w:val="00601D7C"/>
    <w:rsid w:val="00601E76"/>
    <w:rsid w:val="00601F16"/>
    <w:rsid w:val="00601FF4"/>
    <w:rsid w:val="006020F4"/>
    <w:rsid w:val="0060224F"/>
    <w:rsid w:val="0060256C"/>
    <w:rsid w:val="006025F0"/>
    <w:rsid w:val="00602810"/>
    <w:rsid w:val="00602B17"/>
    <w:rsid w:val="00602BE2"/>
    <w:rsid w:val="00602DD1"/>
    <w:rsid w:val="00602E74"/>
    <w:rsid w:val="00602FD5"/>
    <w:rsid w:val="00603139"/>
    <w:rsid w:val="00603258"/>
    <w:rsid w:val="0060329A"/>
    <w:rsid w:val="00603782"/>
    <w:rsid w:val="006037ED"/>
    <w:rsid w:val="006038CD"/>
    <w:rsid w:val="006039AE"/>
    <w:rsid w:val="006039E0"/>
    <w:rsid w:val="00603BB4"/>
    <w:rsid w:val="00603C7F"/>
    <w:rsid w:val="00603F7B"/>
    <w:rsid w:val="00603F7D"/>
    <w:rsid w:val="00604000"/>
    <w:rsid w:val="00604168"/>
    <w:rsid w:val="006042DD"/>
    <w:rsid w:val="0060467F"/>
    <w:rsid w:val="00604B76"/>
    <w:rsid w:val="00604BF4"/>
    <w:rsid w:val="00604D95"/>
    <w:rsid w:val="00604E45"/>
    <w:rsid w:val="00604EC2"/>
    <w:rsid w:val="00604F3C"/>
    <w:rsid w:val="006051CC"/>
    <w:rsid w:val="006051D0"/>
    <w:rsid w:val="0060525C"/>
    <w:rsid w:val="00605330"/>
    <w:rsid w:val="00605387"/>
    <w:rsid w:val="00605439"/>
    <w:rsid w:val="006055A3"/>
    <w:rsid w:val="00605667"/>
    <w:rsid w:val="0060566C"/>
    <w:rsid w:val="00605858"/>
    <w:rsid w:val="0060585B"/>
    <w:rsid w:val="006058D2"/>
    <w:rsid w:val="006058D7"/>
    <w:rsid w:val="00605BA6"/>
    <w:rsid w:val="00605C88"/>
    <w:rsid w:val="00605CBE"/>
    <w:rsid w:val="00605D0D"/>
    <w:rsid w:val="00605D4B"/>
    <w:rsid w:val="00605D91"/>
    <w:rsid w:val="00605E75"/>
    <w:rsid w:val="00605EEE"/>
    <w:rsid w:val="0060602A"/>
    <w:rsid w:val="006062FB"/>
    <w:rsid w:val="006064B2"/>
    <w:rsid w:val="006064EC"/>
    <w:rsid w:val="0060667F"/>
    <w:rsid w:val="00606801"/>
    <w:rsid w:val="006069E7"/>
    <w:rsid w:val="00606BA5"/>
    <w:rsid w:val="00606CB4"/>
    <w:rsid w:val="00606D82"/>
    <w:rsid w:val="00606DD2"/>
    <w:rsid w:val="00606DEE"/>
    <w:rsid w:val="00606F37"/>
    <w:rsid w:val="00606FC3"/>
    <w:rsid w:val="00607498"/>
    <w:rsid w:val="0060756B"/>
    <w:rsid w:val="00607640"/>
    <w:rsid w:val="00607933"/>
    <w:rsid w:val="00607BA8"/>
    <w:rsid w:val="00607D4C"/>
    <w:rsid w:val="00607E33"/>
    <w:rsid w:val="006100DA"/>
    <w:rsid w:val="00610140"/>
    <w:rsid w:val="0061018F"/>
    <w:rsid w:val="00610237"/>
    <w:rsid w:val="006105D9"/>
    <w:rsid w:val="006108D9"/>
    <w:rsid w:val="006109AD"/>
    <w:rsid w:val="00610CA7"/>
    <w:rsid w:val="00610D19"/>
    <w:rsid w:val="00610DDE"/>
    <w:rsid w:val="0061107C"/>
    <w:rsid w:val="00611320"/>
    <w:rsid w:val="006114AA"/>
    <w:rsid w:val="006114AD"/>
    <w:rsid w:val="00611518"/>
    <w:rsid w:val="00611528"/>
    <w:rsid w:val="00611538"/>
    <w:rsid w:val="006115F7"/>
    <w:rsid w:val="006116A8"/>
    <w:rsid w:val="0061174F"/>
    <w:rsid w:val="00611C56"/>
    <w:rsid w:val="00611D5A"/>
    <w:rsid w:val="00612112"/>
    <w:rsid w:val="00612116"/>
    <w:rsid w:val="00612139"/>
    <w:rsid w:val="006122B5"/>
    <w:rsid w:val="00612566"/>
    <w:rsid w:val="006128A0"/>
    <w:rsid w:val="00612924"/>
    <w:rsid w:val="00612A87"/>
    <w:rsid w:val="00612BD9"/>
    <w:rsid w:val="00612DC4"/>
    <w:rsid w:val="00612EFD"/>
    <w:rsid w:val="00613327"/>
    <w:rsid w:val="006133B9"/>
    <w:rsid w:val="00613461"/>
    <w:rsid w:val="006138D5"/>
    <w:rsid w:val="00613AD8"/>
    <w:rsid w:val="00613B5D"/>
    <w:rsid w:val="00614013"/>
    <w:rsid w:val="0061413C"/>
    <w:rsid w:val="00614410"/>
    <w:rsid w:val="006144E1"/>
    <w:rsid w:val="006146FA"/>
    <w:rsid w:val="0061470D"/>
    <w:rsid w:val="0061479F"/>
    <w:rsid w:val="00614D8E"/>
    <w:rsid w:val="006150CE"/>
    <w:rsid w:val="0061514C"/>
    <w:rsid w:val="006151E0"/>
    <w:rsid w:val="00615231"/>
    <w:rsid w:val="00615425"/>
    <w:rsid w:val="00615756"/>
    <w:rsid w:val="00615AFE"/>
    <w:rsid w:val="00615BCB"/>
    <w:rsid w:val="00615C4E"/>
    <w:rsid w:val="00615FC4"/>
    <w:rsid w:val="00615FEB"/>
    <w:rsid w:val="00616028"/>
    <w:rsid w:val="006163FD"/>
    <w:rsid w:val="00616617"/>
    <w:rsid w:val="006169F3"/>
    <w:rsid w:val="00616A65"/>
    <w:rsid w:val="00616B13"/>
    <w:rsid w:val="00616E3A"/>
    <w:rsid w:val="006170EF"/>
    <w:rsid w:val="006172AB"/>
    <w:rsid w:val="006172B6"/>
    <w:rsid w:val="00617426"/>
    <w:rsid w:val="0061775D"/>
    <w:rsid w:val="00617B71"/>
    <w:rsid w:val="00617C22"/>
    <w:rsid w:val="00617CC0"/>
    <w:rsid w:val="00617CDF"/>
    <w:rsid w:val="00617DF4"/>
    <w:rsid w:val="00617E29"/>
    <w:rsid w:val="0062001C"/>
    <w:rsid w:val="006200E8"/>
    <w:rsid w:val="0062032E"/>
    <w:rsid w:val="00620519"/>
    <w:rsid w:val="00620580"/>
    <w:rsid w:val="006208D6"/>
    <w:rsid w:val="00620AB2"/>
    <w:rsid w:val="00620BE7"/>
    <w:rsid w:val="00620C26"/>
    <w:rsid w:val="00620CF5"/>
    <w:rsid w:val="006210EE"/>
    <w:rsid w:val="0062114E"/>
    <w:rsid w:val="0062131F"/>
    <w:rsid w:val="00621384"/>
    <w:rsid w:val="006214AC"/>
    <w:rsid w:val="00621580"/>
    <w:rsid w:val="0062158F"/>
    <w:rsid w:val="0062198F"/>
    <w:rsid w:val="00621A3A"/>
    <w:rsid w:val="00621FF0"/>
    <w:rsid w:val="00622046"/>
    <w:rsid w:val="0062216B"/>
    <w:rsid w:val="00622606"/>
    <w:rsid w:val="006226C9"/>
    <w:rsid w:val="0062273E"/>
    <w:rsid w:val="00622838"/>
    <w:rsid w:val="006229B3"/>
    <w:rsid w:val="00622A13"/>
    <w:rsid w:val="00622A9C"/>
    <w:rsid w:val="00622AAF"/>
    <w:rsid w:val="00622AC6"/>
    <w:rsid w:val="00622C2D"/>
    <w:rsid w:val="00622C39"/>
    <w:rsid w:val="00622CD3"/>
    <w:rsid w:val="00622DB7"/>
    <w:rsid w:val="00622E6E"/>
    <w:rsid w:val="006230E7"/>
    <w:rsid w:val="00623162"/>
    <w:rsid w:val="0062329A"/>
    <w:rsid w:val="0062334E"/>
    <w:rsid w:val="0062355D"/>
    <w:rsid w:val="00623707"/>
    <w:rsid w:val="00623738"/>
    <w:rsid w:val="00623C2D"/>
    <w:rsid w:val="00623D02"/>
    <w:rsid w:val="00623E07"/>
    <w:rsid w:val="00623E38"/>
    <w:rsid w:val="00623F0D"/>
    <w:rsid w:val="006241BB"/>
    <w:rsid w:val="006241E0"/>
    <w:rsid w:val="00624524"/>
    <w:rsid w:val="0062489A"/>
    <w:rsid w:val="006248C7"/>
    <w:rsid w:val="00624944"/>
    <w:rsid w:val="00624A4A"/>
    <w:rsid w:val="00624EED"/>
    <w:rsid w:val="0062532C"/>
    <w:rsid w:val="00625485"/>
    <w:rsid w:val="00625764"/>
    <w:rsid w:val="00625775"/>
    <w:rsid w:val="006259B2"/>
    <w:rsid w:val="00625A65"/>
    <w:rsid w:val="00625A68"/>
    <w:rsid w:val="00625DB1"/>
    <w:rsid w:val="0062610F"/>
    <w:rsid w:val="006264D9"/>
    <w:rsid w:val="0062694D"/>
    <w:rsid w:val="00626BA3"/>
    <w:rsid w:val="00626BE3"/>
    <w:rsid w:val="00626C2B"/>
    <w:rsid w:val="00626E88"/>
    <w:rsid w:val="00626F51"/>
    <w:rsid w:val="0062706E"/>
    <w:rsid w:val="00627166"/>
    <w:rsid w:val="00627302"/>
    <w:rsid w:val="00627474"/>
    <w:rsid w:val="006274CE"/>
    <w:rsid w:val="00627579"/>
    <w:rsid w:val="006277E8"/>
    <w:rsid w:val="00627822"/>
    <w:rsid w:val="00627866"/>
    <w:rsid w:val="006278BE"/>
    <w:rsid w:val="00627A8A"/>
    <w:rsid w:val="00627FDA"/>
    <w:rsid w:val="0063018A"/>
    <w:rsid w:val="0063037B"/>
    <w:rsid w:val="00630500"/>
    <w:rsid w:val="00630736"/>
    <w:rsid w:val="0063099F"/>
    <w:rsid w:val="00630DA7"/>
    <w:rsid w:val="00630F7C"/>
    <w:rsid w:val="00630FC2"/>
    <w:rsid w:val="006311A2"/>
    <w:rsid w:val="00631255"/>
    <w:rsid w:val="006312BF"/>
    <w:rsid w:val="00631741"/>
    <w:rsid w:val="006319C7"/>
    <w:rsid w:val="00631D27"/>
    <w:rsid w:val="00632061"/>
    <w:rsid w:val="0063243E"/>
    <w:rsid w:val="006325F7"/>
    <w:rsid w:val="006328A5"/>
    <w:rsid w:val="00632B78"/>
    <w:rsid w:val="00632B9A"/>
    <w:rsid w:val="00632C3F"/>
    <w:rsid w:val="00632CBB"/>
    <w:rsid w:val="00632D54"/>
    <w:rsid w:val="00632EE6"/>
    <w:rsid w:val="00633164"/>
    <w:rsid w:val="00633325"/>
    <w:rsid w:val="00633331"/>
    <w:rsid w:val="006336A5"/>
    <w:rsid w:val="006336C5"/>
    <w:rsid w:val="00633A40"/>
    <w:rsid w:val="00633BB0"/>
    <w:rsid w:val="00633CEF"/>
    <w:rsid w:val="00633E95"/>
    <w:rsid w:val="00633FC1"/>
    <w:rsid w:val="0063405B"/>
    <w:rsid w:val="00634267"/>
    <w:rsid w:val="006343B3"/>
    <w:rsid w:val="006343C9"/>
    <w:rsid w:val="006344C1"/>
    <w:rsid w:val="006345CB"/>
    <w:rsid w:val="00634609"/>
    <w:rsid w:val="00634682"/>
    <w:rsid w:val="0063475B"/>
    <w:rsid w:val="006349F2"/>
    <w:rsid w:val="00634AFC"/>
    <w:rsid w:val="00634BFF"/>
    <w:rsid w:val="00634C2D"/>
    <w:rsid w:val="00634CD5"/>
    <w:rsid w:val="00634F75"/>
    <w:rsid w:val="00635146"/>
    <w:rsid w:val="006352E3"/>
    <w:rsid w:val="0063540D"/>
    <w:rsid w:val="0063552E"/>
    <w:rsid w:val="0063564F"/>
    <w:rsid w:val="00635802"/>
    <w:rsid w:val="00635F11"/>
    <w:rsid w:val="006360FE"/>
    <w:rsid w:val="006364BB"/>
    <w:rsid w:val="00636576"/>
    <w:rsid w:val="006368C3"/>
    <w:rsid w:val="00636AED"/>
    <w:rsid w:val="00636B74"/>
    <w:rsid w:val="00636B86"/>
    <w:rsid w:val="00636C39"/>
    <w:rsid w:val="00637049"/>
    <w:rsid w:val="0063705D"/>
    <w:rsid w:val="00637096"/>
    <w:rsid w:val="006370A0"/>
    <w:rsid w:val="006371B7"/>
    <w:rsid w:val="0063724B"/>
    <w:rsid w:val="00637683"/>
    <w:rsid w:val="00637852"/>
    <w:rsid w:val="00637931"/>
    <w:rsid w:val="006379F7"/>
    <w:rsid w:val="00637B18"/>
    <w:rsid w:val="00637B58"/>
    <w:rsid w:val="00637C22"/>
    <w:rsid w:val="00637C58"/>
    <w:rsid w:val="00637CEF"/>
    <w:rsid w:val="00637D22"/>
    <w:rsid w:val="00640307"/>
    <w:rsid w:val="00640581"/>
    <w:rsid w:val="006405C0"/>
    <w:rsid w:val="00640662"/>
    <w:rsid w:val="006407EB"/>
    <w:rsid w:val="006409E4"/>
    <w:rsid w:val="00640B30"/>
    <w:rsid w:val="00640BB1"/>
    <w:rsid w:val="00640BC6"/>
    <w:rsid w:val="00641106"/>
    <w:rsid w:val="0064110D"/>
    <w:rsid w:val="00641128"/>
    <w:rsid w:val="00641131"/>
    <w:rsid w:val="00641214"/>
    <w:rsid w:val="00641329"/>
    <w:rsid w:val="006413AE"/>
    <w:rsid w:val="006416D9"/>
    <w:rsid w:val="00641701"/>
    <w:rsid w:val="00641903"/>
    <w:rsid w:val="006419AE"/>
    <w:rsid w:val="00641CBB"/>
    <w:rsid w:val="00641CBF"/>
    <w:rsid w:val="00641E46"/>
    <w:rsid w:val="00641FB8"/>
    <w:rsid w:val="00642653"/>
    <w:rsid w:val="0064268C"/>
    <w:rsid w:val="006426D2"/>
    <w:rsid w:val="00642871"/>
    <w:rsid w:val="00642DCB"/>
    <w:rsid w:val="00642E65"/>
    <w:rsid w:val="00643177"/>
    <w:rsid w:val="00643230"/>
    <w:rsid w:val="006434F0"/>
    <w:rsid w:val="006436B0"/>
    <w:rsid w:val="006436FB"/>
    <w:rsid w:val="00643B95"/>
    <w:rsid w:val="00643D21"/>
    <w:rsid w:val="00643D82"/>
    <w:rsid w:val="00643F77"/>
    <w:rsid w:val="0064408A"/>
    <w:rsid w:val="006441AA"/>
    <w:rsid w:val="006442AF"/>
    <w:rsid w:val="006442E4"/>
    <w:rsid w:val="0064445C"/>
    <w:rsid w:val="006444F9"/>
    <w:rsid w:val="00644506"/>
    <w:rsid w:val="006446AB"/>
    <w:rsid w:val="006447D7"/>
    <w:rsid w:val="006448BB"/>
    <w:rsid w:val="006448D0"/>
    <w:rsid w:val="00644943"/>
    <w:rsid w:val="0064496A"/>
    <w:rsid w:val="00644CAB"/>
    <w:rsid w:val="00644E01"/>
    <w:rsid w:val="00644E2F"/>
    <w:rsid w:val="00644F47"/>
    <w:rsid w:val="00645005"/>
    <w:rsid w:val="0064549D"/>
    <w:rsid w:val="0064576E"/>
    <w:rsid w:val="006458B8"/>
    <w:rsid w:val="00645F41"/>
    <w:rsid w:val="00646014"/>
    <w:rsid w:val="00646044"/>
    <w:rsid w:val="00646442"/>
    <w:rsid w:val="006464DB"/>
    <w:rsid w:val="00646623"/>
    <w:rsid w:val="0064663C"/>
    <w:rsid w:val="0064666A"/>
    <w:rsid w:val="006467AA"/>
    <w:rsid w:val="006467BD"/>
    <w:rsid w:val="00646867"/>
    <w:rsid w:val="00646A04"/>
    <w:rsid w:val="00646AF2"/>
    <w:rsid w:val="00646C6A"/>
    <w:rsid w:val="00647008"/>
    <w:rsid w:val="0064743D"/>
    <w:rsid w:val="0064745A"/>
    <w:rsid w:val="0064795B"/>
    <w:rsid w:val="00647A20"/>
    <w:rsid w:val="00647B27"/>
    <w:rsid w:val="00647D1F"/>
    <w:rsid w:val="00647F16"/>
    <w:rsid w:val="00650121"/>
    <w:rsid w:val="00650353"/>
    <w:rsid w:val="006504CD"/>
    <w:rsid w:val="00650721"/>
    <w:rsid w:val="006509C8"/>
    <w:rsid w:val="00650AB3"/>
    <w:rsid w:val="00650B20"/>
    <w:rsid w:val="00650BCC"/>
    <w:rsid w:val="00650DD3"/>
    <w:rsid w:val="00650EED"/>
    <w:rsid w:val="0065127A"/>
    <w:rsid w:val="0065129E"/>
    <w:rsid w:val="006512DD"/>
    <w:rsid w:val="0065141D"/>
    <w:rsid w:val="006516B1"/>
    <w:rsid w:val="006516EE"/>
    <w:rsid w:val="00651717"/>
    <w:rsid w:val="006517E3"/>
    <w:rsid w:val="00651886"/>
    <w:rsid w:val="006519A5"/>
    <w:rsid w:val="0065217A"/>
    <w:rsid w:val="0065240F"/>
    <w:rsid w:val="0065249C"/>
    <w:rsid w:val="0065290B"/>
    <w:rsid w:val="00652AEF"/>
    <w:rsid w:val="00652E44"/>
    <w:rsid w:val="00652EE6"/>
    <w:rsid w:val="00653004"/>
    <w:rsid w:val="00653079"/>
    <w:rsid w:val="0065388F"/>
    <w:rsid w:val="00653949"/>
    <w:rsid w:val="0065396A"/>
    <w:rsid w:val="00653A14"/>
    <w:rsid w:val="00654046"/>
    <w:rsid w:val="0065447C"/>
    <w:rsid w:val="0065476B"/>
    <w:rsid w:val="006547CC"/>
    <w:rsid w:val="00654935"/>
    <w:rsid w:val="00654A97"/>
    <w:rsid w:val="006551FD"/>
    <w:rsid w:val="006553A7"/>
    <w:rsid w:val="0065540D"/>
    <w:rsid w:val="006557BF"/>
    <w:rsid w:val="00655BA4"/>
    <w:rsid w:val="00655BD6"/>
    <w:rsid w:val="00655C86"/>
    <w:rsid w:val="00655CEA"/>
    <w:rsid w:val="00655E58"/>
    <w:rsid w:val="00656221"/>
    <w:rsid w:val="00656481"/>
    <w:rsid w:val="006567AD"/>
    <w:rsid w:val="00656828"/>
    <w:rsid w:val="00656B1F"/>
    <w:rsid w:val="00656C4A"/>
    <w:rsid w:val="00656C70"/>
    <w:rsid w:val="00656CB0"/>
    <w:rsid w:val="00656D64"/>
    <w:rsid w:val="00656D70"/>
    <w:rsid w:val="00656E50"/>
    <w:rsid w:val="00657046"/>
    <w:rsid w:val="006570FB"/>
    <w:rsid w:val="006573DE"/>
    <w:rsid w:val="00657490"/>
    <w:rsid w:val="00657AD5"/>
    <w:rsid w:val="00657C29"/>
    <w:rsid w:val="00657DD3"/>
    <w:rsid w:val="00657F85"/>
    <w:rsid w:val="00660127"/>
    <w:rsid w:val="00660231"/>
    <w:rsid w:val="00660241"/>
    <w:rsid w:val="00660373"/>
    <w:rsid w:val="006603C8"/>
    <w:rsid w:val="00660506"/>
    <w:rsid w:val="00660535"/>
    <w:rsid w:val="006605EA"/>
    <w:rsid w:val="006607A1"/>
    <w:rsid w:val="006607F0"/>
    <w:rsid w:val="00660CB1"/>
    <w:rsid w:val="00660D7F"/>
    <w:rsid w:val="00660DD2"/>
    <w:rsid w:val="00660E95"/>
    <w:rsid w:val="00660EA4"/>
    <w:rsid w:val="00660EE1"/>
    <w:rsid w:val="00661141"/>
    <w:rsid w:val="006611F2"/>
    <w:rsid w:val="00661206"/>
    <w:rsid w:val="006613FC"/>
    <w:rsid w:val="006614C2"/>
    <w:rsid w:val="00661510"/>
    <w:rsid w:val="00661557"/>
    <w:rsid w:val="006615B3"/>
    <w:rsid w:val="0066176C"/>
    <w:rsid w:val="00662047"/>
    <w:rsid w:val="006620FA"/>
    <w:rsid w:val="0066241E"/>
    <w:rsid w:val="00662477"/>
    <w:rsid w:val="00662503"/>
    <w:rsid w:val="00662654"/>
    <w:rsid w:val="00662827"/>
    <w:rsid w:val="00662BC7"/>
    <w:rsid w:val="006631E4"/>
    <w:rsid w:val="0066325A"/>
    <w:rsid w:val="0066340B"/>
    <w:rsid w:val="006635D7"/>
    <w:rsid w:val="006637A6"/>
    <w:rsid w:val="00663AB0"/>
    <w:rsid w:val="00663BB2"/>
    <w:rsid w:val="00663BF8"/>
    <w:rsid w:val="00663F39"/>
    <w:rsid w:val="0066405F"/>
    <w:rsid w:val="00664097"/>
    <w:rsid w:val="006640C1"/>
    <w:rsid w:val="0066441B"/>
    <w:rsid w:val="006647D4"/>
    <w:rsid w:val="006647D5"/>
    <w:rsid w:val="00664967"/>
    <w:rsid w:val="00664977"/>
    <w:rsid w:val="00664A18"/>
    <w:rsid w:val="00664A7F"/>
    <w:rsid w:val="00664B7B"/>
    <w:rsid w:val="00664C4F"/>
    <w:rsid w:val="00664CA3"/>
    <w:rsid w:val="00664E36"/>
    <w:rsid w:val="00664E99"/>
    <w:rsid w:val="00665148"/>
    <w:rsid w:val="00665569"/>
    <w:rsid w:val="00665C07"/>
    <w:rsid w:val="0066634D"/>
    <w:rsid w:val="00666372"/>
    <w:rsid w:val="006664E7"/>
    <w:rsid w:val="00666523"/>
    <w:rsid w:val="00666558"/>
    <w:rsid w:val="006665FA"/>
    <w:rsid w:val="00666842"/>
    <w:rsid w:val="006668F6"/>
    <w:rsid w:val="006669BE"/>
    <w:rsid w:val="006669CB"/>
    <w:rsid w:val="00666A84"/>
    <w:rsid w:val="00666B2D"/>
    <w:rsid w:val="00666B63"/>
    <w:rsid w:val="00666B91"/>
    <w:rsid w:val="00666BB1"/>
    <w:rsid w:val="00666D8F"/>
    <w:rsid w:val="006673DF"/>
    <w:rsid w:val="0066747B"/>
    <w:rsid w:val="00667548"/>
    <w:rsid w:val="006675DC"/>
    <w:rsid w:val="006676E2"/>
    <w:rsid w:val="006676FB"/>
    <w:rsid w:val="0066799C"/>
    <w:rsid w:val="006679D9"/>
    <w:rsid w:val="00667A0F"/>
    <w:rsid w:val="00667F18"/>
    <w:rsid w:val="00667FCF"/>
    <w:rsid w:val="0067027C"/>
    <w:rsid w:val="006702E9"/>
    <w:rsid w:val="00671217"/>
    <w:rsid w:val="00671339"/>
    <w:rsid w:val="006713E1"/>
    <w:rsid w:val="00671504"/>
    <w:rsid w:val="006715F1"/>
    <w:rsid w:val="00671684"/>
    <w:rsid w:val="0067181B"/>
    <w:rsid w:val="00671882"/>
    <w:rsid w:val="00671884"/>
    <w:rsid w:val="006718EC"/>
    <w:rsid w:val="0067194B"/>
    <w:rsid w:val="00671AC3"/>
    <w:rsid w:val="00671B44"/>
    <w:rsid w:val="00671CD9"/>
    <w:rsid w:val="00671DD8"/>
    <w:rsid w:val="0067213E"/>
    <w:rsid w:val="006721D8"/>
    <w:rsid w:val="00672285"/>
    <w:rsid w:val="00672330"/>
    <w:rsid w:val="006726A5"/>
    <w:rsid w:val="00672758"/>
    <w:rsid w:val="0067278D"/>
    <w:rsid w:val="006729A0"/>
    <w:rsid w:val="00672A3D"/>
    <w:rsid w:val="00672B3B"/>
    <w:rsid w:val="00672B60"/>
    <w:rsid w:val="00672DF8"/>
    <w:rsid w:val="0067335D"/>
    <w:rsid w:val="00673457"/>
    <w:rsid w:val="0067364E"/>
    <w:rsid w:val="006736E0"/>
    <w:rsid w:val="00673706"/>
    <w:rsid w:val="00673853"/>
    <w:rsid w:val="00673925"/>
    <w:rsid w:val="00673A1F"/>
    <w:rsid w:val="00673A5B"/>
    <w:rsid w:val="00673BED"/>
    <w:rsid w:val="00673C5E"/>
    <w:rsid w:val="00673D4C"/>
    <w:rsid w:val="00673DBB"/>
    <w:rsid w:val="00673EF0"/>
    <w:rsid w:val="0067400F"/>
    <w:rsid w:val="006743D6"/>
    <w:rsid w:val="0067442D"/>
    <w:rsid w:val="0067454F"/>
    <w:rsid w:val="0067477B"/>
    <w:rsid w:val="00674A52"/>
    <w:rsid w:val="00674BC7"/>
    <w:rsid w:val="00674BCB"/>
    <w:rsid w:val="00674C2E"/>
    <w:rsid w:val="00674C59"/>
    <w:rsid w:val="00674E04"/>
    <w:rsid w:val="0067507C"/>
    <w:rsid w:val="0067519D"/>
    <w:rsid w:val="00675346"/>
    <w:rsid w:val="0067561E"/>
    <w:rsid w:val="006756F4"/>
    <w:rsid w:val="00675730"/>
    <w:rsid w:val="006757A0"/>
    <w:rsid w:val="006757B0"/>
    <w:rsid w:val="00675B84"/>
    <w:rsid w:val="00675C3F"/>
    <w:rsid w:val="00675D95"/>
    <w:rsid w:val="00675D96"/>
    <w:rsid w:val="00675E08"/>
    <w:rsid w:val="00675FA8"/>
    <w:rsid w:val="006763C7"/>
    <w:rsid w:val="006764BD"/>
    <w:rsid w:val="006764F3"/>
    <w:rsid w:val="006766FA"/>
    <w:rsid w:val="00676706"/>
    <w:rsid w:val="0067675F"/>
    <w:rsid w:val="0067676F"/>
    <w:rsid w:val="00676844"/>
    <w:rsid w:val="006768D9"/>
    <w:rsid w:val="00676A0B"/>
    <w:rsid w:val="00676ACF"/>
    <w:rsid w:val="00676B5A"/>
    <w:rsid w:val="00676E6F"/>
    <w:rsid w:val="00676FDC"/>
    <w:rsid w:val="00676FFA"/>
    <w:rsid w:val="00677667"/>
    <w:rsid w:val="00677AA9"/>
    <w:rsid w:val="00677C42"/>
    <w:rsid w:val="00677E71"/>
    <w:rsid w:val="0068008F"/>
    <w:rsid w:val="0068010C"/>
    <w:rsid w:val="00680216"/>
    <w:rsid w:val="00680658"/>
    <w:rsid w:val="006807D3"/>
    <w:rsid w:val="00680810"/>
    <w:rsid w:val="00680A04"/>
    <w:rsid w:val="00680C25"/>
    <w:rsid w:val="00680C49"/>
    <w:rsid w:val="00680D1F"/>
    <w:rsid w:val="00680D49"/>
    <w:rsid w:val="00680EEC"/>
    <w:rsid w:val="00680F2C"/>
    <w:rsid w:val="00681176"/>
    <w:rsid w:val="00681248"/>
    <w:rsid w:val="00681287"/>
    <w:rsid w:val="00681419"/>
    <w:rsid w:val="00681529"/>
    <w:rsid w:val="00681541"/>
    <w:rsid w:val="006816A4"/>
    <w:rsid w:val="00681751"/>
    <w:rsid w:val="00681908"/>
    <w:rsid w:val="00681B87"/>
    <w:rsid w:val="00681CC3"/>
    <w:rsid w:val="00681D6D"/>
    <w:rsid w:val="00681DD9"/>
    <w:rsid w:val="00681DE4"/>
    <w:rsid w:val="00681E80"/>
    <w:rsid w:val="00681EF6"/>
    <w:rsid w:val="006820EC"/>
    <w:rsid w:val="0068219F"/>
    <w:rsid w:val="00682209"/>
    <w:rsid w:val="006824C5"/>
    <w:rsid w:val="00682520"/>
    <w:rsid w:val="006825CB"/>
    <w:rsid w:val="006827F0"/>
    <w:rsid w:val="006827F9"/>
    <w:rsid w:val="00682877"/>
    <w:rsid w:val="0068294F"/>
    <w:rsid w:val="00682C24"/>
    <w:rsid w:val="00682DB3"/>
    <w:rsid w:val="006830E0"/>
    <w:rsid w:val="006831C2"/>
    <w:rsid w:val="00683274"/>
    <w:rsid w:val="0068336B"/>
    <w:rsid w:val="00683492"/>
    <w:rsid w:val="006835C6"/>
    <w:rsid w:val="006837A4"/>
    <w:rsid w:val="006838B7"/>
    <w:rsid w:val="0068393F"/>
    <w:rsid w:val="00683A20"/>
    <w:rsid w:val="00683A94"/>
    <w:rsid w:val="00683AF1"/>
    <w:rsid w:val="00683ECE"/>
    <w:rsid w:val="006842BF"/>
    <w:rsid w:val="00684353"/>
    <w:rsid w:val="00684406"/>
    <w:rsid w:val="00684583"/>
    <w:rsid w:val="006845D6"/>
    <w:rsid w:val="006847C4"/>
    <w:rsid w:val="00684B2C"/>
    <w:rsid w:val="00684C53"/>
    <w:rsid w:val="00684C83"/>
    <w:rsid w:val="00684DD9"/>
    <w:rsid w:val="00684E0B"/>
    <w:rsid w:val="00684FDE"/>
    <w:rsid w:val="00685077"/>
    <w:rsid w:val="00685255"/>
    <w:rsid w:val="006852C4"/>
    <w:rsid w:val="006854AB"/>
    <w:rsid w:val="006855D0"/>
    <w:rsid w:val="00685E50"/>
    <w:rsid w:val="00685FED"/>
    <w:rsid w:val="00686087"/>
    <w:rsid w:val="00686461"/>
    <w:rsid w:val="00686594"/>
    <w:rsid w:val="006869C2"/>
    <w:rsid w:val="00686B6A"/>
    <w:rsid w:val="00686B91"/>
    <w:rsid w:val="006870FC"/>
    <w:rsid w:val="00687165"/>
    <w:rsid w:val="006871ED"/>
    <w:rsid w:val="00687221"/>
    <w:rsid w:val="0068749E"/>
    <w:rsid w:val="006875D7"/>
    <w:rsid w:val="006877D1"/>
    <w:rsid w:val="00687883"/>
    <w:rsid w:val="00687951"/>
    <w:rsid w:val="00687D95"/>
    <w:rsid w:val="00687E74"/>
    <w:rsid w:val="00687F94"/>
    <w:rsid w:val="00687FC3"/>
    <w:rsid w:val="00687FC7"/>
    <w:rsid w:val="006902A4"/>
    <w:rsid w:val="006902D3"/>
    <w:rsid w:val="00690302"/>
    <w:rsid w:val="00690307"/>
    <w:rsid w:val="00690465"/>
    <w:rsid w:val="00690495"/>
    <w:rsid w:val="0069050C"/>
    <w:rsid w:val="006905AF"/>
    <w:rsid w:val="00690699"/>
    <w:rsid w:val="006906D5"/>
    <w:rsid w:val="006907CF"/>
    <w:rsid w:val="0069081E"/>
    <w:rsid w:val="00690A66"/>
    <w:rsid w:val="00690C22"/>
    <w:rsid w:val="00690DC6"/>
    <w:rsid w:val="00690DC9"/>
    <w:rsid w:val="00690E88"/>
    <w:rsid w:val="00691103"/>
    <w:rsid w:val="0069125B"/>
    <w:rsid w:val="006913B4"/>
    <w:rsid w:val="00691409"/>
    <w:rsid w:val="0069145C"/>
    <w:rsid w:val="0069160E"/>
    <w:rsid w:val="00691633"/>
    <w:rsid w:val="00691744"/>
    <w:rsid w:val="00691959"/>
    <w:rsid w:val="00691E07"/>
    <w:rsid w:val="00691E20"/>
    <w:rsid w:val="00691F81"/>
    <w:rsid w:val="006920B7"/>
    <w:rsid w:val="0069210B"/>
    <w:rsid w:val="0069214E"/>
    <w:rsid w:val="00692211"/>
    <w:rsid w:val="00692271"/>
    <w:rsid w:val="006922C3"/>
    <w:rsid w:val="0069242F"/>
    <w:rsid w:val="00692719"/>
    <w:rsid w:val="00692955"/>
    <w:rsid w:val="00692D6C"/>
    <w:rsid w:val="00693140"/>
    <w:rsid w:val="006931C8"/>
    <w:rsid w:val="00693367"/>
    <w:rsid w:val="006935E5"/>
    <w:rsid w:val="00693674"/>
    <w:rsid w:val="006936AC"/>
    <w:rsid w:val="00693706"/>
    <w:rsid w:val="00693743"/>
    <w:rsid w:val="00693A82"/>
    <w:rsid w:val="00693D31"/>
    <w:rsid w:val="00693EDC"/>
    <w:rsid w:val="0069424D"/>
    <w:rsid w:val="0069468A"/>
    <w:rsid w:val="00694703"/>
    <w:rsid w:val="0069487C"/>
    <w:rsid w:val="00694D80"/>
    <w:rsid w:val="00695465"/>
    <w:rsid w:val="00695537"/>
    <w:rsid w:val="006955C7"/>
    <w:rsid w:val="0069598A"/>
    <w:rsid w:val="00695C58"/>
    <w:rsid w:val="00695D33"/>
    <w:rsid w:val="00695DFF"/>
    <w:rsid w:val="00695E27"/>
    <w:rsid w:val="0069606B"/>
    <w:rsid w:val="0069618C"/>
    <w:rsid w:val="006964E8"/>
    <w:rsid w:val="0069665E"/>
    <w:rsid w:val="006966C4"/>
    <w:rsid w:val="00696733"/>
    <w:rsid w:val="00696AAD"/>
    <w:rsid w:val="00696BC7"/>
    <w:rsid w:val="00696C10"/>
    <w:rsid w:val="00696D02"/>
    <w:rsid w:val="00696E04"/>
    <w:rsid w:val="00696E13"/>
    <w:rsid w:val="00697096"/>
    <w:rsid w:val="006975C8"/>
    <w:rsid w:val="006976C9"/>
    <w:rsid w:val="006977BE"/>
    <w:rsid w:val="00697A7A"/>
    <w:rsid w:val="00697AE4"/>
    <w:rsid w:val="00697DAB"/>
    <w:rsid w:val="00697FE5"/>
    <w:rsid w:val="006A0046"/>
    <w:rsid w:val="006A0194"/>
    <w:rsid w:val="006A02B8"/>
    <w:rsid w:val="006A0483"/>
    <w:rsid w:val="006A04F8"/>
    <w:rsid w:val="006A06D5"/>
    <w:rsid w:val="006A082F"/>
    <w:rsid w:val="006A0999"/>
    <w:rsid w:val="006A0B62"/>
    <w:rsid w:val="006A0B8E"/>
    <w:rsid w:val="006A1174"/>
    <w:rsid w:val="006A119E"/>
    <w:rsid w:val="006A1361"/>
    <w:rsid w:val="006A13DD"/>
    <w:rsid w:val="006A16CA"/>
    <w:rsid w:val="006A1808"/>
    <w:rsid w:val="006A18F0"/>
    <w:rsid w:val="006A19C1"/>
    <w:rsid w:val="006A1B53"/>
    <w:rsid w:val="006A1BCB"/>
    <w:rsid w:val="006A1CE0"/>
    <w:rsid w:val="006A207E"/>
    <w:rsid w:val="006A2180"/>
    <w:rsid w:val="006A239B"/>
    <w:rsid w:val="006A2426"/>
    <w:rsid w:val="006A258C"/>
    <w:rsid w:val="006A2CE5"/>
    <w:rsid w:val="006A2FEB"/>
    <w:rsid w:val="006A3222"/>
    <w:rsid w:val="006A3315"/>
    <w:rsid w:val="006A3386"/>
    <w:rsid w:val="006A34C5"/>
    <w:rsid w:val="006A3589"/>
    <w:rsid w:val="006A3740"/>
    <w:rsid w:val="006A3A4F"/>
    <w:rsid w:val="006A3CA9"/>
    <w:rsid w:val="006A4125"/>
    <w:rsid w:val="006A4333"/>
    <w:rsid w:val="006A4422"/>
    <w:rsid w:val="006A449A"/>
    <w:rsid w:val="006A4525"/>
    <w:rsid w:val="006A4641"/>
    <w:rsid w:val="006A484A"/>
    <w:rsid w:val="006A4931"/>
    <w:rsid w:val="006A4A64"/>
    <w:rsid w:val="006A4B68"/>
    <w:rsid w:val="006A4BA3"/>
    <w:rsid w:val="006A4BD8"/>
    <w:rsid w:val="006A4CA9"/>
    <w:rsid w:val="006A4D03"/>
    <w:rsid w:val="006A4D91"/>
    <w:rsid w:val="006A501F"/>
    <w:rsid w:val="006A5020"/>
    <w:rsid w:val="006A5048"/>
    <w:rsid w:val="006A50CB"/>
    <w:rsid w:val="006A516B"/>
    <w:rsid w:val="006A5234"/>
    <w:rsid w:val="006A5323"/>
    <w:rsid w:val="006A537A"/>
    <w:rsid w:val="006A53F7"/>
    <w:rsid w:val="006A5742"/>
    <w:rsid w:val="006A577A"/>
    <w:rsid w:val="006A57D1"/>
    <w:rsid w:val="006A5886"/>
    <w:rsid w:val="006A5D63"/>
    <w:rsid w:val="006A60E0"/>
    <w:rsid w:val="006A60EC"/>
    <w:rsid w:val="006A614C"/>
    <w:rsid w:val="006A62F8"/>
    <w:rsid w:val="006A634C"/>
    <w:rsid w:val="006A6473"/>
    <w:rsid w:val="006A6770"/>
    <w:rsid w:val="006A68DA"/>
    <w:rsid w:val="006A6924"/>
    <w:rsid w:val="006A6ADF"/>
    <w:rsid w:val="006A6BDE"/>
    <w:rsid w:val="006A6E8D"/>
    <w:rsid w:val="006A72B2"/>
    <w:rsid w:val="006A766E"/>
    <w:rsid w:val="006A7927"/>
    <w:rsid w:val="006A7A54"/>
    <w:rsid w:val="006A7A89"/>
    <w:rsid w:val="006A7AB7"/>
    <w:rsid w:val="006A7F93"/>
    <w:rsid w:val="006A7FDE"/>
    <w:rsid w:val="006B00C0"/>
    <w:rsid w:val="006B01EB"/>
    <w:rsid w:val="006B0345"/>
    <w:rsid w:val="006B049F"/>
    <w:rsid w:val="006B075C"/>
    <w:rsid w:val="006B0BB7"/>
    <w:rsid w:val="006B0D01"/>
    <w:rsid w:val="006B0EF6"/>
    <w:rsid w:val="006B1020"/>
    <w:rsid w:val="006B107F"/>
    <w:rsid w:val="006B1237"/>
    <w:rsid w:val="006B1401"/>
    <w:rsid w:val="006B15A8"/>
    <w:rsid w:val="006B21B0"/>
    <w:rsid w:val="006B248D"/>
    <w:rsid w:val="006B27DA"/>
    <w:rsid w:val="006B280D"/>
    <w:rsid w:val="006B2929"/>
    <w:rsid w:val="006B2C09"/>
    <w:rsid w:val="006B2C0F"/>
    <w:rsid w:val="006B2DDA"/>
    <w:rsid w:val="006B2F2B"/>
    <w:rsid w:val="006B2F74"/>
    <w:rsid w:val="006B3454"/>
    <w:rsid w:val="006B353D"/>
    <w:rsid w:val="006B39BC"/>
    <w:rsid w:val="006B39C0"/>
    <w:rsid w:val="006B3A40"/>
    <w:rsid w:val="006B3B4B"/>
    <w:rsid w:val="006B3C25"/>
    <w:rsid w:val="006B3F7D"/>
    <w:rsid w:val="006B3FC2"/>
    <w:rsid w:val="006B3FE5"/>
    <w:rsid w:val="006B4001"/>
    <w:rsid w:val="006B4137"/>
    <w:rsid w:val="006B4356"/>
    <w:rsid w:val="006B43F7"/>
    <w:rsid w:val="006B4595"/>
    <w:rsid w:val="006B45A8"/>
    <w:rsid w:val="006B45FD"/>
    <w:rsid w:val="006B47A5"/>
    <w:rsid w:val="006B48F6"/>
    <w:rsid w:val="006B49EE"/>
    <w:rsid w:val="006B4A1F"/>
    <w:rsid w:val="006B4D57"/>
    <w:rsid w:val="006B4D74"/>
    <w:rsid w:val="006B4E4B"/>
    <w:rsid w:val="006B510E"/>
    <w:rsid w:val="006B558C"/>
    <w:rsid w:val="006B5698"/>
    <w:rsid w:val="006B5766"/>
    <w:rsid w:val="006B5789"/>
    <w:rsid w:val="006B5AE7"/>
    <w:rsid w:val="006B5CCC"/>
    <w:rsid w:val="006B5CF2"/>
    <w:rsid w:val="006B5D7A"/>
    <w:rsid w:val="006B5FC7"/>
    <w:rsid w:val="006B64EC"/>
    <w:rsid w:val="006B6B6E"/>
    <w:rsid w:val="006B6C8B"/>
    <w:rsid w:val="006B6E1E"/>
    <w:rsid w:val="006B6E1F"/>
    <w:rsid w:val="006B703E"/>
    <w:rsid w:val="006B7869"/>
    <w:rsid w:val="006B7879"/>
    <w:rsid w:val="006B79B6"/>
    <w:rsid w:val="006B7B5C"/>
    <w:rsid w:val="006B7F8B"/>
    <w:rsid w:val="006C006E"/>
    <w:rsid w:val="006C04A3"/>
    <w:rsid w:val="006C086E"/>
    <w:rsid w:val="006C0A40"/>
    <w:rsid w:val="006C0D2F"/>
    <w:rsid w:val="006C110A"/>
    <w:rsid w:val="006C119B"/>
    <w:rsid w:val="006C11DB"/>
    <w:rsid w:val="006C1741"/>
    <w:rsid w:val="006C1A07"/>
    <w:rsid w:val="006C1BB9"/>
    <w:rsid w:val="006C1BC4"/>
    <w:rsid w:val="006C1E11"/>
    <w:rsid w:val="006C1E4C"/>
    <w:rsid w:val="006C1FE1"/>
    <w:rsid w:val="006C20AF"/>
    <w:rsid w:val="006C2109"/>
    <w:rsid w:val="006C2149"/>
    <w:rsid w:val="006C22D6"/>
    <w:rsid w:val="006C23AA"/>
    <w:rsid w:val="006C24E1"/>
    <w:rsid w:val="006C25C0"/>
    <w:rsid w:val="006C2623"/>
    <w:rsid w:val="006C280E"/>
    <w:rsid w:val="006C2965"/>
    <w:rsid w:val="006C2A3B"/>
    <w:rsid w:val="006C2C33"/>
    <w:rsid w:val="006C2C8E"/>
    <w:rsid w:val="006C2E02"/>
    <w:rsid w:val="006C2F6F"/>
    <w:rsid w:val="006C2FC2"/>
    <w:rsid w:val="006C3048"/>
    <w:rsid w:val="006C3143"/>
    <w:rsid w:val="006C322A"/>
    <w:rsid w:val="006C32CF"/>
    <w:rsid w:val="006C3464"/>
    <w:rsid w:val="006C35A7"/>
    <w:rsid w:val="006C37AC"/>
    <w:rsid w:val="006C3873"/>
    <w:rsid w:val="006C3A44"/>
    <w:rsid w:val="006C3BD5"/>
    <w:rsid w:val="006C3D51"/>
    <w:rsid w:val="006C3E35"/>
    <w:rsid w:val="006C3F51"/>
    <w:rsid w:val="006C40DB"/>
    <w:rsid w:val="006C43A0"/>
    <w:rsid w:val="006C4707"/>
    <w:rsid w:val="006C4788"/>
    <w:rsid w:val="006C4860"/>
    <w:rsid w:val="006C49FE"/>
    <w:rsid w:val="006C4C58"/>
    <w:rsid w:val="006C4CEC"/>
    <w:rsid w:val="006C4DBA"/>
    <w:rsid w:val="006C4E79"/>
    <w:rsid w:val="006C5342"/>
    <w:rsid w:val="006C549C"/>
    <w:rsid w:val="006C54C3"/>
    <w:rsid w:val="006C5595"/>
    <w:rsid w:val="006C58A3"/>
    <w:rsid w:val="006C5B98"/>
    <w:rsid w:val="006C5D93"/>
    <w:rsid w:val="006C5E4A"/>
    <w:rsid w:val="006C63A4"/>
    <w:rsid w:val="006C648C"/>
    <w:rsid w:val="006C6650"/>
    <w:rsid w:val="006C669B"/>
    <w:rsid w:val="006C697F"/>
    <w:rsid w:val="006C6A21"/>
    <w:rsid w:val="006C6A51"/>
    <w:rsid w:val="006C6B00"/>
    <w:rsid w:val="006C6BAB"/>
    <w:rsid w:val="006C6D1A"/>
    <w:rsid w:val="006C6DD2"/>
    <w:rsid w:val="006C6E4F"/>
    <w:rsid w:val="006C6FF7"/>
    <w:rsid w:val="006C7123"/>
    <w:rsid w:val="006C71B9"/>
    <w:rsid w:val="006C72DA"/>
    <w:rsid w:val="006C76A5"/>
    <w:rsid w:val="006C78E2"/>
    <w:rsid w:val="006C79E9"/>
    <w:rsid w:val="006C7B67"/>
    <w:rsid w:val="006C7EDF"/>
    <w:rsid w:val="006D002C"/>
    <w:rsid w:val="006D0031"/>
    <w:rsid w:val="006D02B1"/>
    <w:rsid w:val="006D039F"/>
    <w:rsid w:val="006D05A3"/>
    <w:rsid w:val="006D05DF"/>
    <w:rsid w:val="006D0663"/>
    <w:rsid w:val="006D06D1"/>
    <w:rsid w:val="006D06E7"/>
    <w:rsid w:val="006D08C7"/>
    <w:rsid w:val="006D0B49"/>
    <w:rsid w:val="006D0C31"/>
    <w:rsid w:val="006D0FDB"/>
    <w:rsid w:val="006D10C9"/>
    <w:rsid w:val="006D136B"/>
    <w:rsid w:val="006D1438"/>
    <w:rsid w:val="006D151A"/>
    <w:rsid w:val="006D157A"/>
    <w:rsid w:val="006D1878"/>
    <w:rsid w:val="006D1993"/>
    <w:rsid w:val="006D1D5D"/>
    <w:rsid w:val="006D1EF8"/>
    <w:rsid w:val="006D1F6A"/>
    <w:rsid w:val="006D206E"/>
    <w:rsid w:val="006D2238"/>
    <w:rsid w:val="006D2290"/>
    <w:rsid w:val="006D23F7"/>
    <w:rsid w:val="006D264B"/>
    <w:rsid w:val="006D26BC"/>
    <w:rsid w:val="006D2911"/>
    <w:rsid w:val="006D2941"/>
    <w:rsid w:val="006D299E"/>
    <w:rsid w:val="006D2AE9"/>
    <w:rsid w:val="006D308E"/>
    <w:rsid w:val="006D3193"/>
    <w:rsid w:val="006D33AD"/>
    <w:rsid w:val="006D366B"/>
    <w:rsid w:val="006D3856"/>
    <w:rsid w:val="006D3B04"/>
    <w:rsid w:val="006D3CE2"/>
    <w:rsid w:val="006D3D7D"/>
    <w:rsid w:val="006D44FB"/>
    <w:rsid w:val="006D4541"/>
    <w:rsid w:val="006D459F"/>
    <w:rsid w:val="006D4A0D"/>
    <w:rsid w:val="006D4AE2"/>
    <w:rsid w:val="006D4F24"/>
    <w:rsid w:val="006D5192"/>
    <w:rsid w:val="006D51C3"/>
    <w:rsid w:val="006D5279"/>
    <w:rsid w:val="006D52CD"/>
    <w:rsid w:val="006D5557"/>
    <w:rsid w:val="006D55DC"/>
    <w:rsid w:val="006D577E"/>
    <w:rsid w:val="006D57DB"/>
    <w:rsid w:val="006D59E1"/>
    <w:rsid w:val="006D59EE"/>
    <w:rsid w:val="006D5C7E"/>
    <w:rsid w:val="006D5E12"/>
    <w:rsid w:val="006D5E2F"/>
    <w:rsid w:val="006D5F0D"/>
    <w:rsid w:val="006D6545"/>
    <w:rsid w:val="006D6569"/>
    <w:rsid w:val="006D6591"/>
    <w:rsid w:val="006D6B53"/>
    <w:rsid w:val="006D6E1E"/>
    <w:rsid w:val="006D6EA2"/>
    <w:rsid w:val="006D6F00"/>
    <w:rsid w:val="006D6FED"/>
    <w:rsid w:val="006D7272"/>
    <w:rsid w:val="006D7300"/>
    <w:rsid w:val="006D7303"/>
    <w:rsid w:val="006D74F5"/>
    <w:rsid w:val="006D786A"/>
    <w:rsid w:val="006D7C11"/>
    <w:rsid w:val="006D7C1E"/>
    <w:rsid w:val="006D7D79"/>
    <w:rsid w:val="006D7EAE"/>
    <w:rsid w:val="006E0003"/>
    <w:rsid w:val="006E0242"/>
    <w:rsid w:val="006E0659"/>
    <w:rsid w:val="006E0715"/>
    <w:rsid w:val="006E0823"/>
    <w:rsid w:val="006E0895"/>
    <w:rsid w:val="006E0C67"/>
    <w:rsid w:val="006E1823"/>
    <w:rsid w:val="006E184D"/>
    <w:rsid w:val="006E18CE"/>
    <w:rsid w:val="006E1CD4"/>
    <w:rsid w:val="006E2026"/>
    <w:rsid w:val="006E2187"/>
    <w:rsid w:val="006E22A8"/>
    <w:rsid w:val="006E24F8"/>
    <w:rsid w:val="006E2771"/>
    <w:rsid w:val="006E27FA"/>
    <w:rsid w:val="006E2818"/>
    <w:rsid w:val="006E281F"/>
    <w:rsid w:val="006E2950"/>
    <w:rsid w:val="006E2955"/>
    <w:rsid w:val="006E29FB"/>
    <w:rsid w:val="006E2B0F"/>
    <w:rsid w:val="006E2C9E"/>
    <w:rsid w:val="006E2EF3"/>
    <w:rsid w:val="006E3180"/>
    <w:rsid w:val="006E32F8"/>
    <w:rsid w:val="006E33FA"/>
    <w:rsid w:val="006E3415"/>
    <w:rsid w:val="006E35A0"/>
    <w:rsid w:val="006E3678"/>
    <w:rsid w:val="006E3999"/>
    <w:rsid w:val="006E3B19"/>
    <w:rsid w:val="006E3C02"/>
    <w:rsid w:val="006E3D50"/>
    <w:rsid w:val="006E3F87"/>
    <w:rsid w:val="006E421A"/>
    <w:rsid w:val="006E4317"/>
    <w:rsid w:val="006E4407"/>
    <w:rsid w:val="006E4520"/>
    <w:rsid w:val="006E4638"/>
    <w:rsid w:val="006E46B8"/>
    <w:rsid w:val="006E48A1"/>
    <w:rsid w:val="006E4A72"/>
    <w:rsid w:val="006E4A93"/>
    <w:rsid w:val="006E4D75"/>
    <w:rsid w:val="006E4DA8"/>
    <w:rsid w:val="006E545C"/>
    <w:rsid w:val="006E5475"/>
    <w:rsid w:val="006E571D"/>
    <w:rsid w:val="006E5720"/>
    <w:rsid w:val="006E57D2"/>
    <w:rsid w:val="006E594A"/>
    <w:rsid w:val="006E597A"/>
    <w:rsid w:val="006E5E15"/>
    <w:rsid w:val="006E606F"/>
    <w:rsid w:val="006E6321"/>
    <w:rsid w:val="006E645D"/>
    <w:rsid w:val="006E6614"/>
    <w:rsid w:val="006E6862"/>
    <w:rsid w:val="006E6916"/>
    <w:rsid w:val="006E69C3"/>
    <w:rsid w:val="006E6C3F"/>
    <w:rsid w:val="006E6FDF"/>
    <w:rsid w:val="006E7003"/>
    <w:rsid w:val="006E7126"/>
    <w:rsid w:val="006E71F6"/>
    <w:rsid w:val="006E7394"/>
    <w:rsid w:val="006E7548"/>
    <w:rsid w:val="006E7713"/>
    <w:rsid w:val="006E79BA"/>
    <w:rsid w:val="006E7A42"/>
    <w:rsid w:val="006E7B59"/>
    <w:rsid w:val="006E7B7C"/>
    <w:rsid w:val="006F0187"/>
    <w:rsid w:val="006F0215"/>
    <w:rsid w:val="006F0416"/>
    <w:rsid w:val="006F05D2"/>
    <w:rsid w:val="006F0639"/>
    <w:rsid w:val="006F0667"/>
    <w:rsid w:val="006F06A5"/>
    <w:rsid w:val="006F096E"/>
    <w:rsid w:val="006F0D6A"/>
    <w:rsid w:val="006F10F2"/>
    <w:rsid w:val="006F1222"/>
    <w:rsid w:val="006F1297"/>
    <w:rsid w:val="006F17D1"/>
    <w:rsid w:val="006F183D"/>
    <w:rsid w:val="006F198D"/>
    <w:rsid w:val="006F1BCA"/>
    <w:rsid w:val="006F1C02"/>
    <w:rsid w:val="006F1C21"/>
    <w:rsid w:val="006F1CE3"/>
    <w:rsid w:val="006F20E1"/>
    <w:rsid w:val="006F20F9"/>
    <w:rsid w:val="006F221E"/>
    <w:rsid w:val="006F22AB"/>
    <w:rsid w:val="006F2306"/>
    <w:rsid w:val="006F23A2"/>
    <w:rsid w:val="006F241E"/>
    <w:rsid w:val="006F2474"/>
    <w:rsid w:val="006F24CC"/>
    <w:rsid w:val="006F2524"/>
    <w:rsid w:val="006F255F"/>
    <w:rsid w:val="006F258A"/>
    <w:rsid w:val="006F265E"/>
    <w:rsid w:val="006F2C9D"/>
    <w:rsid w:val="006F2E19"/>
    <w:rsid w:val="006F2F52"/>
    <w:rsid w:val="006F3121"/>
    <w:rsid w:val="006F3133"/>
    <w:rsid w:val="006F3211"/>
    <w:rsid w:val="006F33E8"/>
    <w:rsid w:val="006F349E"/>
    <w:rsid w:val="006F38EB"/>
    <w:rsid w:val="006F38F1"/>
    <w:rsid w:val="006F390F"/>
    <w:rsid w:val="006F3924"/>
    <w:rsid w:val="006F396B"/>
    <w:rsid w:val="006F39B8"/>
    <w:rsid w:val="006F3CBE"/>
    <w:rsid w:val="006F3DDD"/>
    <w:rsid w:val="006F3E73"/>
    <w:rsid w:val="006F3FE1"/>
    <w:rsid w:val="006F4053"/>
    <w:rsid w:val="006F412C"/>
    <w:rsid w:val="006F41F4"/>
    <w:rsid w:val="006F42CF"/>
    <w:rsid w:val="006F42E2"/>
    <w:rsid w:val="006F43D2"/>
    <w:rsid w:val="006F45E3"/>
    <w:rsid w:val="006F4B10"/>
    <w:rsid w:val="006F4C00"/>
    <w:rsid w:val="006F4D34"/>
    <w:rsid w:val="006F4DD7"/>
    <w:rsid w:val="006F504D"/>
    <w:rsid w:val="006F50C9"/>
    <w:rsid w:val="006F5194"/>
    <w:rsid w:val="006F5240"/>
    <w:rsid w:val="006F5266"/>
    <w:rsid w:val="006F5278"/>
    <w:rsid w:val="006F5292"/>
    <w:rsid w:val="006F53AA"/>
    <w:rsid w:val="006F545C"/>
    <w:rsid w:val="006F55F6"/>
    <w:rsid w:val="006F5628"/>
    <w:rsid w:val="006F56EC"/>
    <w:rsid w:val="006F5AFC"/>
    <w:rsid w:val="006F5B29"/>
    <w:rsid w:val="006F5D65"/>
    <w:rsid w:val="006F5EB8"/>
    <w:rsid w:val="006F601E"/>
    <w:rsid w:val="006F611D"/>
    <w:rsid w:val="006F62C1"/>
    <w:rsid w:val="006F6460"/>
    <w:rsid w:val="006F651D"/>
    <w:rsid w:val="006F6592"/>
    <w:rsid w:val="006F68CA"/>
    <w:rsid w:val="006F6D23"/>
    <w:rsid w:val="006F6F03"/>
    <w:rsid w:val="006F6FAD"/>
    <w:rsid w:val="006F6FBC"/>
    <w:rsid w:val="006F706C"/>
    <w:rsid w:val="006F72D7"/>
    <w:rsid w:val="006F73E9"/>
    <w:rsid w:val="006F74FB"/>
    <w:rsid w:val="006F75AC"/>
    <w:rsid w:val="006F75E3"/>
    <w:rsid w:val="006F76DD"/>
    <w:rsid w:val="006F77C6"/>
    <w:rsid w:val="006F7892"/>
    <w:rsid w:val="006F7A30"/>
    <w:rsid w:val="006F7AD5"/>
    <w:rsid w:val="006F7CA1"/>
    <w:rsid w:val="006F7FBE"/>
    <w:rsid w:val="0070000B"/>
    <w:rsid w:val="007001E7"/>
    <w:rsid w:val="007002BE"/>
    <w:rsid w:val="0070039F"/>
    <w:rsid w:val="0070046C"/>
    <w:rsid w:val="00700577"/>
    <w:rsid w:val="0070060A"/>
    <w:rsid w:val="00700796"/>
    <w:rsid w:val="0070084F"/>
    <w:rsid w:val="00700886"/>
    <w:rsid w:val="00700A11"/>
    <w:rsid w:val="00700A13"/>
    <w:rsid w:val="00700B20"/>
    <w:rsid w:val="00700B74"/>
    <w:rsid w:val="00700C59"/>
    <w:rsid w:val="00700D9C"/>
    <w:rsid w:val="00700E14"/>
    <w:rsid w:val="00700F85"/>
    <w:rsid w:val="007010EA"/>
    <w:rsid w:val="007011AC"/>
    <w:rsid w:val="007012A8"/>
    <w:rsid w:val="00701432"/>
    <w:rsid w:val="007014F7"/>
    <w:rsid w:val="00701522"/>
    <w:rsid w:val="007017D1"/>
    <w:rsid w:val="007017FA"/>
    <w:rsid w:val="007018B9"/>
    <w:rsid w:val="007019FB"/>
    <w:rsid w:val="00701BE3"/>
    <w:rsid w:val="00701C2E"/>
    <w:rsid w:val="00701CF3"/>
    <w:rsid w:val="00701E4F"/>
    <w:rsid w:val="00701ED3"/>
    <w:rsid w:val="00701F57"/>
    <w:rsid w:val="00701FC4"/>
    <w:rsid w:val="00702112"/>
    <w:rsid w:val="00702367"/>
    <w:rsid w:val="00702562"/>
    <w:rsid w:val="007026CB"/>
    <w:rsid w:val="00702C98"/>
    <w:rsid w:val="00702EA4"/>
    <w:rsid w:val="00702FA7"/>
    <w:rsid w:val="00702FDF"/>
    <w:rsid w:val="007032C3"/>
    <w:rsid w:val="007032D9"/>
    <w:rsid w:val="00703306"/>
    <w:rsid w:val="00703559"/>
    <w:rsid w:val="0070365E"/>
    <w:rsid w:val="00703676"/>
    <w:rsid w:val="0070368F"/>
    <w:rsid w:val="0070380E"/>
    <w:rsid w:val="007039CE"/>
    <w:rsid w:val="00703B1A"/>
    <w:rsid w:val="00703D66"/>
    <w:rsid w:val="0070416A"/>
    <w:rsid w:val="00704208"/>
    <w:rsid w:val="00704261"/>
    <w:rsid w:val="007042CF"/>
    <w:rsid w:val="007042D2"/>
    <w:rsid w:val="0070430A"/>
    <w:rsid w:val="007047D7"/>
    <w:rsid w:val="0070484C"/>
    <w:rsid w:val="0070498A"/>
    <w:rsid w:val="00704E53"/>
    <w:rsid w:val="007050D7"/>
    <w:rsid w:val="007052F4"/>
    <w:rsid w:val="007052F7"/>
    <w:rsid w:val="007053A9"/>
    <w:rsid w:val="00705477"/>
    <w:rsid w:val="0070555B"/>
    <w:rsid w:val="007058B9"/>
    <w:rsid w:val="007058EC"/>
    <w:rsid w:val="007058F4"/>
    <w:rsid w:val="00705B1C"/>
    <w:rsid w:val="00705DA5"/>
    <w:rsid w:val="00706039"/>
    <w:rsid w:val="0070606C"/>
    <w:rsid w:val="007066A0"/>
    <w:rsid w:val="00706734"/>
    <w:rsid w:val="00706865"/>
    <w:rsid w:val="00706903"/>
    <w:rsid w:val="00706BB3"/>
    <w:rsid w:val="00706E1E"/>
    <w:rsid w:val="00706E4A"/>
    <w:rsid w:val="00706ECA"/>
    <w:rsid w:val="007072E1"/>
    <w:rsid w:val="007076C4"/>
    <w:rsid w:val="00707749"/>
    <w:rsid w:val="007078E7"/>
    <w:rsid w:val="00707B54"/>
    <w:rsid w:val="00707C49"/>
    <w:rsid w:val="00707C57"/>
    <w:rsid w:val="00707D11"/>
    <w:rsid w:val="00707ED7"/>
    <w:rsid w:val="0071022F"/>
    <w:rsid w:val="007102E0"/>
    <w:rsid w:val="00710414"/>
    <w:rsid w:val="0071075C"/>
    <w:rsid w:val="00710811"/>
    <w:rsid w:val="00710820"/>
    <w:rsid w:val="00710A98"/>
    <w:rsid w:val="00710AA0"/>
    <w:rsid w:val="00710B7D"/>
    <w:rsid w:val="00710BA3"/>
    <w:rsid w:val="00710EA5"/>
    <w:rsid w:val="00710F0D"/>
    <w:rsid w:val="00711140"/>
    <w:rsid w:val="007111F3"/>
    <w:rsid w:val="00711293"/>
    <w:rsid w:val="007112E5"/>
    <w:rsid w:val="0071139D"/>
    <w:rsid w:val="0071166F"/>
    <w:rsid w:val="00711763"/>
    <w:rsid w:val="00711825"/>
    <w:rsid w:val="00711A60"/>
    <w:rsid w:val="00711ABC"/>
    <w:rsid w:val="00711D51"/>
    <w:rsid w:val="00711E26"/>
    <w:rsid w:val="00712184"/>
    <w:rsid w:val="00712260"/>
    <w:rsid w:val="007122B5"/>
    <w:rsid w:val="007122C7"/>
    <w:rsid w:val="00712325"/>
    <w:rsid w:val="0071252A"/>
    <w:rsid w:val="0071265F"/>
    <w:rsid w:val="00712ABB"/>
    <w:rsid w:val="00712D09"/>
    <w:rsid w:val="00712F5C"/>
    <w:rsid w:val="00713014"/>
    <w:rsid w:val="00713103"/>
    <w:rsid w:val="0071330A"/>
    <w:rsid w:val="007134BE"/>
    <w:rsid w:val="007137D3"/>
    <w:rsid w:val="00713A05"/>
    <w:rsid w:val="00713A69"/>
    <w:rsid w:val="00713B8B"/>
    <w:rsid w:val="00713D12"/>
    <w:rsid w:val="00713E08"/>
    <w:rsid w:val="00713FC7"/>
    <w:rsid w:val="00714224"/>
    <w:rsid w:val="0071478E"/>
    <w:rsid w:val="007147C6"/>
    <w:rsid w:val="007149DE"/>
    <w:rsid w:val="00714B24"/>
    <w:rsid w:val="00714FE6"/>
    <w:rsid w:val="007150BC"/>
    <w:rsid w:val="0071553C"/>
    <w:rsid w:val="007155E7"/>
    <w:rsid w:val="0071567D"/>
    <w:rsid w:val="0071573F"/>
    <w:rsid w:val="007157EA"/>
    <w:rsid w:val="007159C2"/>
    <w:rsid w:val="007159FB"/>
    <w:rsid w:val="00715B4B"/>
    <w:rsid w:val="00716099"/>
    <w:rsid w:val="007160AD"/>
    <w:rsid w:val="007161CC"/>
    <w:rsid w:val="00716455"/>
    <w:rsid w:val="00716483"/>
    <w:rsid w:val="007165CD"/>
    <w:rsid w:val="007165F5"/>
    <w:rsid w:val="00716689"/>
    <w:rsid w:val="0071668C"/>
    <w:rsid w:val="0071689E"/>
    <w:rsid w:val="00716A0C"/>
    <w:rsid w:val="00716AF8"/>
    <w:rsid w:val="00716D4A"/>
    <w:rsid w:val="00716D91"/>
    <w:rsid w:val="00716DD2"/>
    <w:rsid w:val="00716E04"/>
    <w:rsid w:val="00717501"/>
    <w:rsid w:val="007175A4"/>
    <w:rsid w:val="0071768D"/>
    <w:rsid w:val="007176A4"/>
    <w:rsid w:val="00717851"/>
    <w:rsid w:val="00717940"/>
    <w:rsid w:val="00717AE4"/>
    <w:rsid w:val="00717BE4"/>
    <w:rsid w:val="00717D50"/>
    <w:rsid w:val="0072001A"/>
    <w:rsid w:val="007200BB"/>
    <w:rsid w:val="0072012A"/>
    <w:rsid w:val="0072062E"/>
    <w:rsid w:val="007209B0"/>
    <w:rsid w:val="007209CA"/>
    <w:rsid w:val="00720B89"/>
    <w:rsid w:val="00720E4D"/>
    <w:rsid w:val="007210BF"/>
    <w:rsid w:val="00721473"/>
    <w:rsid w:val="007216FB"/>
    <w:rsid w:val="0072174A"/>
    <w:rsid w:val="007217B6"/>
    <w:rsid w:val="007217D8"/>
    <w:rsid w:val="007218AD"/>
    <w:rsid w:val="00721A37"/>
    <w:rsid w:val="00721B68"/>
    <w:rsid w:val="00721B70"/>
    <w:rsid w:val="00721C90"/>
    <w:rsid w:val="00721CF4"/>
    <w:rsid w:val="00721DB2"/>
    <w:rsid w:val="00721F9E"/>
    <w:rsid w:val="0072256D"/>
    <w:rsid w:val="0072256F"/>
    <w:rsid w:val="0072264B"/>
    <w:rsid w:val="00722846"/>
    <w:rsid w:val="00722918"/>
    <w:rsid w:val="0072296F"/>
    <w:rsid w:val="00722A7E"/>
    <w:rsid w:val="00722AD1"/>
    <w:rsid w:val="00722CE3"/>
    <w:rsid w:val="00722F72"/>
    <w:rsid w:val="007232C8"/>
    <w:rsid w:val="0072335E"/>
    <w:rsid w:val="00723852"/>
    <w:rsid w:val="0072385C"/>
    <w:rsid w:val="00723BEF"/>
    <w:rsid w:val="00723C30"/>
    <w:rsid w:val="00723C95"/>
    <w:rsid w:val="00723DCC"/>
    <w:rsid w:val="00723DD5"/>
    <w:rsid w:val="00724096"/>
    <w:rsid w:val="007241A6"/>
    <w:rsid w:val="007243C4"/>
    <w:rsid w:val="00724598"/>
    <w:rsid w:val="007247BF"/>
    <w:rsid w:val="00724A28"/>
    <w:rsid w:val="00724B6B"/>
    <w:rsid w:val="00725200"/>
    <w:rsid w:val="0072528E"/>
    <w:rsid w:val="00725367"/>
    <w:rsid w:val="0072596C"/>
    <w:rsid w:val="007259A3"/>
    <w:rsid w:val="00725BE2"/>
    <w:rsid w:val="00725C2A"/>
    <w:rsid w:val="00725EDC"/>
    <w:rsid w:val="00725FA1"/>
    <w:rsid w:val="007264C5"/>
    <w:rsid w:val="0072655D"/>
    <w:rsid w:val="0072670C"/>
    <w:rsid w:val="00726838"/>
    <w:rsid w:val="00726895"/>
    <w:rsid w:val="00726AB9"/>
    <w:rsid w:val="00726C5D"/>
    <w:rsid w:val="00727055"/>
    <w:rsid w:val="00727471"/>
    <w:rsid w:val="007274C9"/>
    <w:rsid w:val="0072761B"/>
    <w:rsid w:val="007276F6"/>
    <w:rsid w:val="007277FD"/>
    <w:rsid w:val="0072790C"/>
    <w:rsid w:val="00727B6D"/>
    <w:rsid w:val="00727C29"/>
    <w:rsid w:val="00727D7C"/>
    <w:rsid w:val="00727F93"/>
    <w:rsid w:val="0073011A"/>
    <w:rsid w:val="00730159"/>
    <w:rsid w:val="00730210"/>
    <w:rsid w:val="00730425"/>
    <w:rsid w:val="007304A2"/>
    <w:rsid w:val="007304CE"/>
    <w:rsid w:val="007309D9"/>
    <w:rsid w:val="00730D26"/>
    <w:rsid w:val="00730DEE"/>
    <w:rsid w:val="00730FF1"/>
    <w:rsid w:val="007310CC"/>
    <w:rsid w:val="007314E8"/>
    <w:rsid w:val="0073185E"/>
    <w:rsid w:val="0073193B"/>
    <w:rsid w:val="00731969"/>
    <w:rsid w:val="007319EF"/>
    <w:rsid w:val="0073223C"/>
    <w:rsid w:val="00732525"/>
    <w:rsid w:val="00732758"/>
    <w:rsid w:val="00732811"/>
    <w:rsid w:val="00732A8B"/>
    <w:rsid w:val="00732AD6"/>
    <w:rsid w:val="00732D07"/>
    <w:rsid w:val="00732E2F"/>
    <w:rsid w:val="0073306C"/>
    <w:rsid w:val="007330FF"/>
    <w:rsid w:val="0073368E"/>
    <w:rsid w:val="00733791"/>
    <w:rsid w:val="00733A06"/>
    <w:rsid w:val="00733B5C"/>
    <w:rsid w:val="00733CBA"/>
    <w:rsid w:val="00733EA6"/>
    <w:rsid w:val="00733F55"/>
    <w:rsid w:val="007341FF"/>
    <w:rsid w:val="00734350"/>
    <w:rsid w:val="007343DF"/>
    <w:rsid w:val="007345F4"/>
    <w:rsid w:val="0073470C"/>
    <w:rsid w:val="0073482D"/>
    <w:rsid w:val="0073483D"/>
    <w:rsid w:val="00734B66"/>
    <w:rsid w:val="00734BF5"/>
    <w:rsid w:val="00734C65"/>
    <w:rsid w:val="00734CA3"/>
    <w:rsid w:val="00734CF4"/>
    <w:rsid w:val="00734D8B"/>
    <w:rsid w:val="00734E55"/>
    <w:rsid w:val="00734F75"/>
    <w:rsid w:val="00734F8E"/>
    <w:rsid w:val="007353A2"/>
    <w:rsid w:val="007353C0"/>
    <w:rsid w:val="007354DB"/>
    <w:rsid w:val="007355A1"/>
    <w:rsid w:val="007357F4"/>
    <w:rsid w:val="00735901"/>
    <w:rsid w:val="00735ABB"/>
    <w:rsid w:val="00735BCF"/>
    <w:rsid w:val="00735C82"/>
    <w:rsid w:val="00735DA0"/>
    <w:rsid w:val="00735DE3"/>
    <w:rsid w:val="00735E25"/>
    <w:rsid w:val="0073619D"/>
    <w:rsid w:val="007365C8"/>
    <w:rsid w:val="00736611"/>
    <w:rsid w:val="0073673C"/>
    <w:rsid w:val="007368C4"/>
    <w:rsid w:val="0073692E"/>
    <w:rsid w:val="007369D7"/>
    <w:rsid w:val="00736B8E"/>
    <w:rsid w:val="00736B95"/>
    <w:rsid w:val="00736BC2"/>
    <w:rsid w:val="00736D21"/>
    <w:rsid w:val="00736D49"/>
    <w:rsid w:val="00736D7B"/>
    <w:rsid w:val="00736EA6"/>
    <w:rsid w:val="00736EC4"/>
    <w:rsid w:val="00736EF7"/>
    <w:rsid w:val="00736F86"/>
    <w:rsid w:val="00737153"/>
    <w:rsid w:val="00737184"/>
    <w:rsid w:val="0073755E"/>
    <w:rsid w:val="0073794E"/>
    <w:rsid w:val="0073796D"/>
    <w:rsid w:val="00737B33"/>
    <w:rsid w:val="007400EA"/>
    <w:rsid w:val="007404E7"/>
    <w:rsid w:val="00740576"/>
    <w:rsid w:val="0074090A"/>
    <w:rsid w:val="00740A3F"/>
    <w:rsid w:val="00740B09"/>
    <w:rsid w:val="00740D78"/>
    <w:rsid w:val="0074101F"/>
    <w:rsid w:val="0074103A"/>
    <w:rsid w:val="00741161"/>
    <w:rsid w:val="00741253"/>
    <w:rsid w:val="00741295"/>
    <w:rsid w:val="00741518"/>
    <w:rsid w:val="0074177B"/>
    <w:rsid w:val="0074197F"/>
    <w:rsid w:val="00741D42"/>
    <w:rsid w:val="0074200C"/>
    <w:rsid w:val="0074200D"/>
    <w:rsid w:val="00742099"/>
    <w:rsid w:val="00742317"/>
    <w:rsid w:val="00742543"/>
    <w:rsid w:val="00742AD1"/>
    <w:rsid w:val="00742B28"/>
    <w:rsid w:val="00742F4A"/>
    <w:rsid w:val="00742FB1"/>
    <w:rsid w:val="00743183"/>
    <w:rsid w:val="0074351E"/>
    <w:rsid w:val="00743590"/>
    <w:rsid w:val="00743607"/>
    <w:rsid w:val="00743766"/>
    <w:rsid w:val="00743785"/>
    <w:rsid w:val="007438C0"/>
    <w:rsid w:val="00743C91"/>
    <w:rsid w:val="00743CD5"/>
    <w:rsid w:val="00743CED"/>
    <w:rsid w:val="00743D60"/>
    <w:rsid w:val="00744082"/>
    <w:rsid w:val="00744237"/>
    <w:rsid w:val="007444DA"/>
    <w:rsid w:val="007446A7"/>
    <w:rsid w:val="0074480E"/>
    <w:rsid w:val="00744B55"/>
    <w:rsid w:val="00744D05"/>
    <w:rsid w:val="00744E8E"/>
    <w:rsid w:val="007450D9"/>
    <w:rsid w:val="007453C3"/>
    <w:rsid w:val="00745445"/>
    <w:rsid w:val="00745455"/>
    <w:rsid w:val="0074557B"/>
    <w:rsid w:val="007456DC"/>
    <w:rsid w:val="00745AC3"/>
    <w:rsid w:val="00745B9B"/>
    <w:rsid w:val="00745D30"/>
    <w:rsid w:val="00745D4C"/>
    <w:rsid w:val="00745EF3"/>
    <w:rsid w:val="00745F85"/>
    <w:rsid w:val="00746256"/>
    <w:rsid w:val="007463A2"/>
    <w:rsid w:val="007467F5"/>
    <w:rsid w:val="00746872"/>
    <w:rsid w:val="007468A2"/>
    <w:rsid w:val="00746BA5"/>
    <w:rsid w:val="00746CBD"/>
    <w:rsid w:val="00746CD1"/>
    <w:rsid w:val="00746D21"/>
    <w:rsid w:val="00746D75"/>
    <w:rsid w:val="00746DFA"/>
    <w:rsid w:val="00746E8F"/>
    <w:rsid w:val="0074705F"/>
    <w:rsid w:val="007472DB"/>
    <w:rsid w:val="007472E9"/>
    <w:rsid w:val="00747395"/>
    <w:rsid w:val="007473E6"/>
    <w:rsid w:val="0074743A"/>
    <w:rsid w:val="0074795F"/>
    <w:rsid w:val="00747E1F"/>
    <w:rsid w:val="0075004B"/>
    <w:rsid w:val="00750504"/>
    <w:rsid w:val="007506AF"/>
    <w:rsid w:val="007509D4"/>
    <w:rsid w:val="00750A8B"/>
    <w:rsid w:val="00750B4A"/>
    <w:rsid w:val="00750B94"/>
    <w:rsid w:val="00750BB4"/>
    <w:rsid w:val="00750E4F"/>
    <w:rsid w:val="00750F03"/>
    <w:rsid w:val="00750F23"/>
    <w:rsid w:val="00751010"/>
    <w:rsid w:val="0075111E"/>
    <w:rsid w:val="007511CD"/>
    <w:rsid w:val="007512A8"/>
    <w:rsid w:val="0075165F"/>
    <w:rsid w:val="0075166C"/>
    <w:rsid w:val="0075178F"/>
    <w:rsid w:val="00751889"/>
    <w:rsid w:val="007518B4"/>
    <w:rsid w:val="007519C1"/>
    <w:rsid w:val="00751ADF"/>
    <w:rsid w:val="00751B13"/>
    <w:rsid w:val="00751E0F"/>
    <w:rsid w:val="00751E35"/>
    <w:rsid w:val="00752256"/>
    <w:rsid w:val="007522B4"/>
    <w:rsid w:val="00752334"/>
    <w:rsid w:val="007524BB"/>
    <w:rsid w:val="007525ED"/>
    <w:rsid w:val="007526A9"/>
    <w:rsid w:val="007526E2"/>
    <w:rsid w:val="007527AA"/>
    <w:rsid w:val="007527D0"/>
    <w:rsid w:val="007528B9"/>
    <w:rsid w:val="00752A7F"/>
    <w:rsid w:val="00752BBB"/>
    <w:rsid w:val="00752CFB"/>
    <w:rsid w:val="00753057"/>
    <w:rsid w:val="0075323D"/>
    <w:rsid w:val="0075370E"/>
    <w:rsid w:val="00753799"/>
    <w:rsid w:val="007538B4"/>
    <w:rsid w:val="007538C8"/>
    <w:rsid w:val="00753CCD"/>
    <w:rsid w:val="0075439C"/>
    <w:rsid w:val="007545F4"/>
    <w:rsid w:val="00754916"/>
    <w:rsid w:val="00754A2D"/>
    <w:rsid w:val="00754A95"/>
    <w:rsid w:val="00754AE2"/>
    <w:rsid w:val="00754C22"/>
    <w:rsid w:val="00754CA2"/>
    <w:rsid w:val="00754CB1"/>
    <w:rsid w:val="00754CD1"/>
    <w:rsid w:val="00754DC5"/>
    <w:rsid w:val="00754DF5"/>
    <w:rsid w:val="00755500"/>
    <w:rsid w:val="00755618"/>
    <w:rsid w:val="007558DD"/>
    <w:rsid w:val="00755906"/>
    <w:rsid w:val="0075597A"/>
    <w:rsid w:val="007559AA"/>
    <w:rsid w:val="00755C2F"/>
    <w:rsid w:val="00755DBC"/>
    <w:rsid w:val="00755E50"/>
    <w:rsid w:val="00756173"/>
    <w:rsid w:val="007561B0"/>
    <w:rsid w:val="00756227"/>
    <w:rsid w:val="007562E4"/>
    <w:rsid w:val="0075651B"/>
    <w:rsid w:val="00756543"/>
    <w:rsid w:val="00756771"/>
    <w:rsid w:val="0075682B"/>
    <w:rsid w:val="0075698F"/>
    <w:rsid w:val="007569AC"/>
    <w:rsid w:val="00756BB2"/>
    <w:rsid w:val="00756BC5"/>
    <w:rsid w:val="00756EF2"/>
    <w:rsid w:val="007570A3"/>
    <w:rsid w:val="00757158"/>
    <w:rsid w:val="00757207"/>
    <w:rsid w:val="00757254"/>
    <w:rsid w:val="007574AF"/>
    <w:rsid w:val="007577C0"/>
    <w:rsid w:val="007577D6"/>
    <w:rsid w:val="00757A7B"/>
    <w:rsid w:val="00757E45"/>
    <w:rsid w:val="00757F15"/>
    <w:rsid w:val="007602DB"/>
    <w:rsid w:val="00760451"/>
    <w:rsid w:val="00760486"/>
    <w:rsid w:val="00760754"/>
    <w:rsid w:val="007607DF"/>
    <w:rsid w:val="00760902"/>
    <w:rsid w:val="00760B45"/>
    <w:rsid w:val="00760ED3"/>
    <w:rsid w:val="00760F25"/>
    <w:rsid w:val="00760F78"/>
    <w:rsid w:val="00760FA9"/>
    <w:rsid w:val="007610FE"/>
    <w:rsid w:val="00761386"/>
    <w:rsid w:val="00761480"/>
    <w:rsid w:val="00761700"/>
    <w:rsid w:val="00761750"/>
    <w:rsid w:val="00761A07"/>
    <w:rsid w:val="00761BAD"/>
    <w:rsid w:val="00761BB6"/>
    <w:rsid w:val="00761E82"/>
    <w:rsid w:val="00761F58"/>
    <w:rsid w:val="00761F6D"/>
    <w:rsid w:val="00762011"/>
    <w:rsid w:val="00762090"/>
    <w:rsid w:val="0076246E"/>
    <w:rsid w:val="00762753"/>
    <w:rsid w:val="00762759"/>
    <w:rsid w:val="00762818"/>
    <w:rsid w:val="00762910"/>
    <w:rsid w:val="00762919"/>
    <w:rsid w:val="00762B42"/>
    <w:rsid w:val="00762C4D"/>
    <w:rsid w:val="00762CB8"/>
    <w:rsid w:val="00762E1E"/>
    <w:rsid w:val="00762F4E"/>
    <w:rsid w:val="007630B5"/>
    <w:rsid w:val="00763674"/>
    <w:rsid w:val="00763B97"/>
    <w:rsid w:val="00763D24"/>
    <w:rsid w:val="00763EE7"/>
    <w:rsid w:val="00763FD3"/>
    <w:rsid w:val="00764025"/>
    <w:rsid w:val="00764098"/>
    <w:rsid w:val="007640E2"/>
    <w:rsid w:val="0076440D"/>
    <w:rsid w:val="007646C4"/>
    <w:rsid w:val="007646F8"/>
    <w:rsid w:val="007648EB"/>
    <w:rsid w:val="00764A0D"/>
    <w:rsid w:val="00764A3B"/>
    <w:rsid w:val="00764A85"/>
    <w:rsid w:val="00764AAC"/>
    <w:rsid w:val="00764B11"/>
    <w:rsid w:val="00764CFF"/>
    <w:rsid w:val="00764E65"/>
    <w:rsid w:val="00764F18"/>
    <w:rsid w:val="007651B8"/>
    <w:rsid w:val="00765357"/>
    <w:rsid w:val="0076537B"/>
    <w:rsid w:val="00765513"/>
    <w:rsid w:val="007655AA"/>
    <w:rsid w:val="007655E9"/>
    <w:rsid w:val="00765DC8"/>
    <w:rsid w:val="00765EDC"/>
    <w:rsid w:val="00765EE0"/>
    <w:rsid w:val="00765EFF"/>
    <w:rsid w:val="00766030"/>
    <w:rsid w:val="0076603D"/>
    <w:rsid w:val="00766266"/>
    <w:rsid w:val="0076647C"/>
    <w:rsid w:val="007664AD"/>
    <w:rsid w:val="00766658"/>
    <w:rsid w:val="007667B3"/>
    <w:rsid w:val="00766929"/>
    <w:rsid w:val="00766992"/>
    <w:rsid w:val="00766D50"/>
    <w:rsid w:val="00766DF4"/>
    <w:rsid w:val="00766EE2"/>
    <w:rsid w:val="00766F65"/>
    <w:rsid w:val="00766F9C"/>
    <w:rsid w:val="00767134"/>
    <w:rsid w:val="007675E3"/>
    <w:rsid w:val="0076776F"/>
    <w:rsid w:val="00767B59"/>
    <w:rsid w:val="00767D2C"/>
    <w:rsid w:val="00767DD4"/>
    <w:rsid w:val="00767E83"/>
    <w:rsid w:val="00767E9D"/>
    <w:rsid w:val="00767F3B"/>
    <w:rsid w:val="00770415"/>
    <w:rsid w:val="0077057E"/>
    <w:rsid w:val="007706B4"/>
    <w:rsid w:val="0077079C"/>
    <w:rsid w:val="007708EF"/>
    <w:rsid w:val="007709BF"/>
    <w:rsid w:val="00770AF3"/>
    <w:rsid w:val="00770B23"/>
    <w:rsid w:val="00770B95"/>
    <w:rsid w:val="00770D9E"/>
    <w:rsid w:val="00770DA7"/>
    <w:rsid w:val="00770E9F"/>
    <w:rsid w:val="00770F6C"/>
    <w:rsid w:val="007710FD"/>
    <w:rsid w:val="0077112A"/>
    <w:rsid w:val="00771510"/>
    <w:rsid w:val="007715FC"/>
    <w:rsid w:val="00771725"/>
    <w:rsid w:val="0077183E"/>
    <w:rsid w:val="00771B54"/>
    <w:rsid w:val="0077220C"/>
    <w:rsid w:val="00772240"/>
    <w:rsid w:val="0077233C"/>
    <w:rsid w:val="00772352"/>
    <w:rsid w:val="007724B0"/>
    <w:rsid w:val="00772511"/>
    <w:rsid w:val="007726E4"/>
    <w:rsid w:val="00772A39"/>
    <w:rsid w:val="00772ABE"/>
    <w:rsid w:val="00772C8C"/>
    <w:rsid w:val="00772DEC"/>
    <w:rsid w:val="00772F5C"/>
    <w:rsid w:val="00772F9B"/>
    <w:rsid w:val="00773088"/>
    <w:rsid w:val="007730DB"/>
    <w:rsid w:val="007736E4"/>
    <w:rsid w:val="00773752"/>
    <w:rsid w:val="007737F2"/>
    <w:rsid w:val="0077399D"/>
    <w:rsid w:val="00773B44"/>
    <w:rsid w:val="00773BB5"/>
    <w:rsid w:val="00773C0A"/>
    <w:rsid w:val="00773E7F"/>
    <w:rsid w:val="00773FF0"/>
    <w:rsid w:val="00774075"/>
    <w:rsid w:val="00774158"/>
    <w:rsid w:val="00774268"/>
    <w:rsid w:val="007742D3"/>
    <w:rsid w:val="0077439E"/>
    <w:rsid w:val="007743E0"/>
    <w:rsid w:val="007744C1"/>
    <w:rsid w:val="007744E7"/>
    <w:rsid w:val="0077463D"/>
    <w:rsid w:val="00774792"/>
    <w:rsid w:val="00774B5E"/>
    <w:rsid w:val="0077533B"/>
    <w:rsid w:val="00775434"/>
    <w:rsid w:val="0077570C"/>
    <w:rsid w:val="00775718"/>
    <w:rsid w:val="0077580A"/>
    <w:rsid w:val="00775A62"/>
    <w:rsid w:val="00775A6A"/>
    <w:rsid w:val="00775B8D"/>
    <w:rsid w:val="00775B91"/>
    <w:rsid w:val="00775DDA"/>
    <w:rsid w:val="00775E1A"/>
    <w:rsid w:val="00776033"/>
    <w:rsid w:val="0077606A"/>
    <w:rsid w:val="00776193"/>
    <w:rsid w:val="0077622F"/>
    <w:rsid w:val="007762B3"/>
    <w:rsid w:val="00776495"/>
    <w:rsid w:val="007765C2"/>
    <w:rsid w:val="0077695F"/>
    <w:rsid w:val="007769A4"/>
    <w:rsid w:val="007769F9"/>
    <w:rsid w:val="00777196"/>
    <w:rsid w:val="007773D4"/>
    <w:rsid w:val="00777438"/>
    <w:rsid w:val="00777576"/>
    <w:rsid w:val="0077764F"/>
    <w:rsid w:val="0077776B"/>
    <w:rsid w:val="00777A9F"/>
    <w:rsid w:val="00777BA9"/>
    <w:rsid w:val="00777F1B"/>
    <w:rsid w:val="00780041"/>
    <w:rsid w:val="0078020A"/>
    <w:rsid w:val="00780425"/>
    <w:rsid w:val="0078055F"/>
    <w:rsid w:val="0078073D"/>
    <w:rsid w:val="00780A02"/>
    <w:rsid w:val="00780AA4"/>
    <w:rsid w:val="00780AC0"/>
    <w:rsid w:val="007810FC"/>
    <w:rsid w:val="00781245"/>
    <w:rsid w:val="0078128E"/>
    <w:rsid w:val="007813D6"/>
    <w:rsid w:val="007813F6"/>
    <w:rsid w:val="0078147F"/>
    <w:rsid w:val="007815D1"/>
    <w:rsid w:val="0078161E"/>
    <w:rsid w:val="00781712"/>
    <w:rsid w:val="007817FC"/>
    <w:rsid w:val="00781895"/>
    <w:rsid w:val="00781A03"/>
    <w:rsid w:val="00781AC3"/>
    <w:rsid w:val="00781C08"/>
    <w:rsid w:val="00781DB8"/>
    <w:rsid w:val="00781E66"/>
    <w:rsid w:val="00781FBA"/>
    <w:rsid w:val="00782168"/>
    <w:rsid w:val="00782189"/>
    <w:rsid w:val="0078231C"/>
    <w:rsid w:val="007823FA"/>
    <w:rsid w:val="0078253E"/>
    <w:rsid w:val="0078275F"/>
    <w:rsid w:val="007828D5"/>
    <w:rsid w:val="0078290C"/>
    <w:rsid w:val="00782A9F"/>
    <w:rsid w:val="00782AE2"/>
    <w:rsid w:val="00782D6F"/>
    <w:rsid w:val="00782D99"/>
    <w:rsid w:val="0078308A"/>
    <w:rsid w:val="0078312D"/>
    <w:rsid w:val="0078312F"/>
    <w:rsid w:val="007831F8"/>
    <w:rsid w:val="007837CC"/>
    <w:rsid w:val="00783928"/>
    <w:rsid w:val="00783A3B"/>
    <w:rsid w:val="00783BBF"/>
    <w:rsid w:val="00783CDA"/>
    <w:rsid w:val="00783CEA"/>
    <w:rsid w:val="00783E38"/>
    <w:rsid w:val="0078402F"/>
    <w:rsid w:val="00784233"/>
    <w:rsid w:val="00784723"/>
    <w:rsid w:val="0078487D"/>
    <w:rsid w:val="00784937"/>
    <w:rsid w:val="00784948"/>
    <w:rsid w:val="00784D8B"/>
    <w:rsid w:val="00784D95"/>
    <w:rsid w:val="00784E10"/>
    <w:rsid w:val="00785081"/>
    <w:rsid w:val="007853A2"/>
    <w:rsid w:val="007853D4"/>
    <w:rsid w:val="007855D3"/>
    <w:rsid w:val="0078592C"/>
    <w:rsid w:val="0078597C"/>
    <w:rsid w:val="00785A43"/>
    <w:rsid w:val="00785A84"/>
    <w:rsid w:val="00785ADE"/>
    <w:rsid w:val="00785B3F"/>
    <w:rsid w:val="00785E28"/>
    <w:rsid w:val="007860C6"/>
    <w:rsid w:val="007860C9"/>
    <w:rsid w:val="0078613F"/>
    <w:rsid w:val="007861B6"/>
    <w:rsid w:val="00786402"/>
    <w:rsid w:val="0078649B"/>
    <w:rsid w:val="007868E5"/>
    <w:rsid w:val="00786E1C"/>
    <w:rsid w:val="00786E2D"/>
    <w:rsid w:val="007870F9"/>
    <w:rsid w:val="007871ED"/>
    <w:rsid w:val="00787229"/>
    <w:rsid w:val="007874B0"/>
    <w:rsid w:val="007874FE"/>
    <w:rsid w:val="0078754E"/>
    <w:rsid w:val="0078763B"/>
    <w:rsid w:val="007877B8"/>
    <w:rsid w:val="007878CA"/>
    <w:rsid w:val="007878E3"/>
    <w:rsid w:val="0078794A"/>
    <w:rsid w:val="007879F3"/>
    <w:rsid w:val="00787D0E"/>
    <w:rsid w:val="00787D51"/>
    <w:rsid w:val="00787D6A"/>
    <w:rsid w:val="00787DCE"/>
    <w:rsid w:val="007902E9"/>
    <w:rsid w:val="00790319"/>
    <w:rsid w:val="007903BD"/>
    <w:rsid w:val="007904CE"/>
    <w:rsid w:val="00790502"/>
    <w:rsid w:val="007906E2"/>
    <w:rsid w:val="007906E9"/>
    <w:rsid w:val="0079074F"/>
    <w:rsid w:val="0079084D"/>
    <w:rsid w:val="00790899"/>
    <w:rsid w:val="007909A0"/>
    <w:rsid w:val="007909A2"/>
    <w:rsid w:val="00790A47"/>
    <w:rsid w:val="00790DA7"/>
    <w:rsid w:val="00790EC9"/>
    <w:rsid w:val="00791046"/>
    <w:rsid w:val="007912FE"/>
    <w:rsid w:val="00791477"/>
    <w:rsid w:val="00791960"/>
    <w:rsid w:val="007919B9"/>
    <w:rsid w:val="00791C3F"/>
    <w:rsid w:val="00791F24"/>
    <w:rsid w:val="00791F9D"/>
    <w:rsid w:val="007926CA"/>
    <w:rsid w:val="00792A7F"/>
    <w:rsid w:val="00792C48"/>
    <w:rsid w:val="00792D8C"/>
    <w:rsid w:val="00792E3E"/>
    <w:rsid w:val="007930C5"/>
    <w:rsid w:val="00793380"/>
    <w:rsid w:val="00793424"/>
    <w:rsid w:val="00793792"/>
    <w:rsid w:val="007938BE"/>
    <w:rsid w:val="00793A05"/>
    <w:rsid w:val="00793A2F"/>
    <w:rsid w:val="00793D94"/>
    <w:rsid w:val="00793F76"/>
    <w:rsid w:val="0079407B"/>
    <w:rsid w:val="0079407E"/>
    <w:rsid w:val="007941B9"/>
    <w:rsid w:val="007941C2"/>
    <w:rsid w:val="007943DA"/>
    <w:rsid w:val="00794599"/>
    <w:rsid w:val="007948C3"/>
    <w:rsid w:val="00794C2D"/>
    <w:rsid w:val="00794D3E"/>
    <w:rsid w:val="00794DEE"/>
    <w:rsid w:val="00794F5E"/>
    <w:rsid w:val="00794FF8"/>
    <w:rsid w:val="0079515D"/>
    <w:rsid w:val="00795222"/>
    <w:rsid w:val="00795240"/>
    <w:rsid w:val="007956DE"/>
    <w:rsid w:val="00795769"/>
    <w:rsid w:val="00795786"/>
    <w:rsid w:val="007957CA"/>
    <w:rsid w:val="007958F0"/>
    <w:rsid w:val="00795916"/>
    <w:rsid w:val="00795BAC"/>
    <w:rsid w:val="00795C2C"/>
    <w:rsid w:val="00795C63"/>
    <w:rsid w:val="00795C66"/>
    <w:rsid w:val="00795D9C"/>
    <w:rsid w:val="00795DD4"/>
    <w:rsid w:val="00795E9A"/>
    <w:rsid w:val="00795FD6"/>
    <w:rsid w:val="007962F7"/>
    <w:rsid w:val="00796445"/>
    <w:rsid w:val="0079647E"/>
    <w:rsid w:val="0079674B"/>
    <w:rsid w:val="007969AB"/>
    <w:rsid w:val="007969E1"/>
    <w:rsid w:val="00796C52"/>
    <w:rsid w:val="00796CA4"/>
    <w:rsid w:val="00796EA8"/>
    <w:rsid w:val="00796F7A"/>
    <w:rsid w:val="007970F3"/>
    <w:rsid w:val="00797210"/>
    <w:rsid w:val="007972ED"/>
    <w:rsid w:val="00797301"/>
    <w:rsid w:val="007973AF"/>
    <w:rsid w:val="00797743"/>
    <w:rsid w:val="00797832"/>
    <w:rsid w:val="00797B26"/>
    <w:rsid w:val="00797C9D"/>
    <w:rsid w:val="00797D03"/>
    <w:rsid w:val="00797D26"/>
    <w:rsid w:val="00797D34"/>
    <w:rsid w:val="00797DF9"/>
    <w:rsid w:val="00797FC8"/>
    <w:rsid w:val="007A0024"/>
    <w:rsid w:val="007A017B"/>
    <w:rsid w:val="007A02B7"/>
    <w:rsid w:val="007A02D6"/>
    <w:rsid w:val="007A041A"/>
    <w:rsid w:val="007A07B4"/>
    <w:rsid w:val="007A0815"/>
    <w:rsid w:val="007A0A53"/>
    <w:rsid w:val="007A0B63"/>
    <w:rsid w:val="007A0D69"/>
    <w:rsid w:val="007A0E0C"/>
    <w:rsid w:val="007A0E9A"/>
    <w:rsid w:val="007A0FBC"/>
    <w:rsid w:val="007A11E3"/>
    <w:rsid w:val="007A1332"/>
    <w:rsid w:val="007A13D2"/>
    <w:rsid w:val="007A142F"/>
    <w:rsid w:val="007A1501"/>
    <w:rsid w:val="007A150E"/>
    <w:rsid w:val="007A16B1"/>
    <w:rsid w:val="007A17AF"/>
    <w:rsid w:val="007A1AB5"/>
    <w:rsid w:val="007A1B45"/>
    <w:rsid w:val="007A1B70"/>
    <w:rsid w:val="007A1CDD"/>
    <w:rsid w:val="007A1DDA"/>
    <w:rsid w:val="007A1F74"/>
    <w:rsid w:val="007A1F7A"/>
    <w:rsid w:val="007A1FC6"/>
    <w:rsid w:val="007A207E"/>
    <w:rsid w:val="007A22CF"/>
    <w:rsid w:val="007A230E"/>
    <w:rsid w:val="007A232F"/>
    <w:rsid w:val="007A235F"/>
    <w:rsid w:val="007A2503"/>
    <w:rsid w:val="007A25C7"/>
    <w:rsid w:val="007A25E8"/>
    <w:rsid w:val="007A2B4D"/>
    <w:rsid w:val="007A2C82"/>
    <w:rsid w:val="007A2ED4"/>
    <w:rsid w:val="007A2F1B"/>
    <w:rsid w:val="007A30FF"/>
    <w:rsid w:val="007A311B"/>
    <w:rsid w:val="007A3294"/>
    <w:rsid w:val="007A330D"/>
    <w:rsid w:val="007A3431"/>
    <w:rsid w:val="007A375B"/>
    <w:rsid w:val="007A3DE3"/>
    <w:rsid w:val="007A3F1C"/>
    <w:rsid w:val="007A4345"/>
    <w:rsid w:val="007A45CA"/>
    <w:rsid w:val="007A4626"/>
    <w:rsid w:val="007A471C"/>
    <w:rsid w:val="007A48E3"/>
    <w:rsid w:val="007A49FA"/>
    <w:rsid w:val="007A4A4C"/>
    <w:rsid w:val="007A4B61"/>
    <w:rsid w:val="007A4B9B"/>
    <w:rsid w:val="007A4C87"/>
    <w:rsid w:val="007A4C93"/>
    <w:rsid w:val="007A4CE1"/>
    <w:rsid w:val="007A4D8E"/>
    <w:rsid w:val="007A4F3D"/>
    <w:rsid w:val="007A5090"/>
    <w:rsid w:val="007A515E"/>
    <w:rsid w:val="007A5325"/>
    <w:rsid w:val="007A535C"/>
    <w:rsid w:val="007A5E05"/>
    <w:rsid w:val="007A5E1A"/>
    <w:rsid w:val="007A6305"/>
    <w:rsid w:val="007A652C"/>
    <w:rsid w:val="007A6578"/>
    <w:rsid w:val="007A66C6"/>
    <w:rsid w:val="007A676B"/>
    <w:rsid w:val="007A6823"/>
    <w:rsid w:val="007A68CA"/>
    <w:rsid w:val="007A6A7E"/>
    <w:rsid w:val="007A6C33"/>
    <w:rsid w:val="007A6CB0"/>
    <w:rsid w:val="007A6D8D"/>
    <w:rsid w:val="007A6DDB"/>
    <w:rsid w:val="007A6E5F"/>
    <w:rsid w:val="007A6E84"/>
    <w:rsid w:val="007A7097"/>
    <w:rsid w:val="007A75AB"/>
    <w:rsid w:val="007A7692"/>
    <w:rsid w:val="007A77FC"/>
    <w:rsid w:val="007A78FD"/>
    <w:rsid w:val="007A79C3"/>
    <w:rsid w:val="007A7B8D"/>
    <w:rsid w:val="007A7FD4"/>
    <w:rsid w:val="007B01AD"/>
    <w:rsid w:val="007B04E5"/>
    <w:rsid w:val="007B0505"/>
    <w:rsid w:val="007B0550"/>
    <w:rsid w:val="007B072A"/>
    <w:rsid w:val="007B0941"/>
    <w:rsid w:val="007B0AF2"/>
    <w:rsid w:val="007B0C21"/>
    <w:rsid w:val="007B0D00"/>
    <w:rsid w:val="007B0ED8"/>
    <w:rsid w:val="007B111F"/>
    <w:rsid w:val="007B1134"/>
    <w:rsid w:val="007B135F"/>
    <w:rsid w:val="007B1638"/>
    <w:rsid w:val="007B16FA"/>
    <w:rsid w:val="007B173A"/>
    <w:rsid w:val="007B17B2"/>
    <w:rsid w:val="007B1A6D"/>
    <w:rsid w:val="007B1B00"/>
    <w:rsid w:val="007B1CBF"/>
    <w:rsid w:val="007B1CF0"/>
    <w:rsid w:val="007B1E06"/>
    <w:rsid w:val="007B2563"/>
    <w:rsid w:val="007B274C"/>
    <w:rsid w:val="007B27D1"/>
    <w:rsid w:val="007B293D"/>
    <w:rsid w:val="007B2FFC"/>
    <w:rsid w:val="007B300A"/>
    <w:rsid w:val="007B30B9"/>
    <w:rsid w:val="007B3168"/>
    <w:rsid w:val="007B33D1"/>
    <w:rsid w:val="007B3822"/>
    <w:rsid w:val="007B3A27"/>
    <w:rsid w:val="007B400D"/>
    <w:rsid w:val="007B403F"/>
    <w:rsid w:val="007B4148"/>
    <w:rsid w:val="007B41AF"/>
    <w:rsid w:val="007B4267"/>
    <w:rsid w:val="007B426A"/>
    <w:rsid w:val="007B43C1"/>
    <w:rsid w:val="007B43C4"/>
    <w:rsid w:val="007B442D"/>
    <w:rsid w:val="007B456F"/>
    <w:rsid w:val="007B4A5D"/>
    <w:rsid w:val="007B4CD4"/>
    <w:rsid w:val="007B4E44"/>
    <w:rsid w:val="007B4E9C"/>
    <w:rsid w:val="007B501A"/>
    <w:rsid w:val="007B50D2"/>
    <w:rsid w:val="007B51A7"/>
    <w:rsid w:val="007B5427"/>
    <w:rsid w:val="007B54A3"/>
    <w:rsid w:val="007B56F0"/>
    <w:rsid w:val="007B574B"/>
    <w:rsid w:val="007B595E"/>
    <w:rsid w:val="007B5AE2"/>
    <w:rsid w:val="007B6490"/>
    <w:rsid w:val="007B658A"/>
    <w:rsid w:val="007B66DD"/>
    <w:rsid w:val="007B6748"/>
    <w:rsid w:val="007B68C2"/>
    <w:rsid w:val="007B6936"/>
    <w:rsid w:val="007B6A59"/>
    <w:rsid w:val="007B6D7D"/>
    <w:rsid w:val="007B6F29"/>
    <w:rsid w:val="007B718E"/>
    <w:rsid w:val="007B71CC"/>
    <w:rsid w:val="007B740A"/>
    <w:rsid w:val="007B776C"/>
    <w:rsid w:val="007B79B8"/>
    <w:rsid w:val="007B7AAB"/>
    <w:rsid w:val="007B7EF6"/>
    <w:rsid w:val="007B7F49"/>
    <w:rsid w:val="007B7F70"/>
    <w:rsid w:val="007B7FA7"/>
    <w:rsid w:val="007B7FB7"/>
    <w:rsid w:val="007C0132"/>
    <w:rsid w:val="007C01EB"/>
    <w:rsid w:val="007C03F1"/>
    <w:rsid w:val="007C0467"/>
    <w:rsid w:val="007C04E6"/>
    <w:rsid w:val="007C084D"/>
    <w:rsid w:val="007C0979"/>
    <w:rsid w:val="007C0A46"/>
    <w:rsid w:val="007C0AC5"/>
    <w:rsid w:val="007C0AC7"/>
    <w:rsid w:val="007C0ADA"/>
    <w:rsid w:val="007C0B84"/>
    <w:rsid w:val="007C0C25"/>
    <w:rsid w:val="007C0E64"/>
    <w:rsid w:val="007C0F4D"/>
    <w:rsid w:val="007C0F56"/>
    <w:rsid w:val="007C1520"/>
    <w:rsid w:val="007C15B2"/>
    <w:rsid w:val="007C1791"/>
    <w:rsid w:val="007C19C1"/>
    <w:rsid w:val="007C2183"/>
    <w:rsid w:val="007C2240"/>
    <w:rsid w:val="007C22F0"/>
    <w:rsid w:val="007C2305"/>
    <w:rsid w:val="007C24DE"/>
    <w:rsid w:val="007C25FC"/>
    <w:rsid w:val="007C2620"/>
    <w:rsid w:val="007C2B3B"/>
    <w:rsid w:val="007C2CFA"/>
    <w:rsid w:val="007C2F59"/>
    <w:rsid w:val="007C2F76"/>
    <w:rsid w:val="007C353F"/>
    <w:rsid w:val="007C37FF"/>
    <w:rsid w:val="007C390C"/>
    <w:rsid w:val="007C39C9"/>
    <w:rsid w:val="007C3B0C"/>
    <w:rsid w:val="007C3BB0"/>
    <w:rsid w:val="007C3C02"/>
    <w:rsid w:val="007C3EA6"/>
    <w:rsid w:val="007C3EB7"/>
    <w:rsid w:val="007C401D"/>
    <w:rsid w:val="007C4777"/>
    <w:rsid w:val="007C48EF"/>
    <w:rsid w:val="007C4935"/>
    <w:rsid w:val="007C4AD1"/>
    <w:rsid w:val="007C4C05"/>
    <w:rsid w:val="007C4DEF"/>
    <w:rsid w:val="007C4EAC"/>
    <w:rsid w:val="007C5020"/>
    <w:rsid w:val="007C5038"/>
    <w:rsid w:val="007C505A"/>
    <w:rsid w:val="007C5154"/>
    <w:rsid w:val="007C51C5"/>
    <w:rsid w:val="007C5317"/>
    <w:rsid w:val="007C5499"/>
    <w:rsid w:val="007C5618"/>
    <w:rsid w:val="007C567F"/>
    <w:rsid w:val="007C5853"/>
    <w:rsid w:val="007C59D0"/>
    <w:rsid w:val="007C5B3B"/>
    <w:rsid w:val="007C5B6F"/>
    <w:rsid w:val="007C5D00"/>
    <w:rsid w:val="007C5D39"/>
    <w:rsid w:val="007C5D3B"/>
    <w:rsid w:val="007C5DA8"/>
    <w:rsid w:val="007C5FF9"/>
    <w:rsid w:val="007C6009"/>
    <w:rsid w:val="007C604F"/>
    <w:rsid w:val="007C616E"/>
    <w:rsid w:val="007C61D6"/>
    <w:rsid w:val="007C6227"/>
    <w:rsid w:val="007C66E4"/>
    <w:rsid w:val="007C6764"/>
    <w:rsid w:val="007C6775"/>
    <w:rsid w:val="007C6790"/>
    <w:rsid w:val="007C691D"/>
    <w:rsid w:val="007C6B53"/>
    <w:rsid w:val="007C6D17"/>
    <w:rsid w:val="007C6DB7"/>
    <w:rsid w:val="007C6F10"/>
    <w:rsid w:val="007C701B"/>
    <w:rsid w:val="007C7333"/>
    <w:rsid w:val="007C7D7A"/>
    <w:rsid w:val="007C7E4E"/>
    <w:rsid w:val="007C7F5D"/>
    <w:rsid w:val="007C7FA5"/>
    <w:rsid w:val="007C7FF7"/>
    <w:rsid w:val="007D0037"/>
    <w:rsid w:val="007D0073"/>
    <w:rsid w:val="007D0359"/>
    <w:rsid w:val="007D03B7"/>
    <w:rsid w:val="007D03D4"/>
    <w:rsid w:val="007D066F"/>
    <w:rsid w:val="007D07D1"/>
    <w:rsid w:val="007D09DC"/>
    <w:rsid w:val="007D0A24"/>
    <w:rsid w:val="007D0C02"/>
    <w:rsid w:val="007D0E4D"/>
    <w:rsid w:val="007D0E7E"/>
    <w:rsid w:val="007D0FBE"/>
    <w:rsid w:val="007D124A"/>
    <w:rsid w:val="007D12F9"/>
    <w:rsid w:val="007D147D"/>
    <w:rsid w:val="007D166F"/>
    <w:rsid w:val="007D16A9"/>
    <w:rsid w:val="007D1972"/>
    <w:rsid w:val="007D1A5E"/>
    <w:rsid w:val="007D1AE0"/>
    <w:rsid w:val="007D1AF2"/>
    <w:rsid w:val="007D1BAA"/>
    <w:rsid w:val="007D1C10"/>
    <w:rsid w:val="007D1E11"/>
    <w:rsid w:val="007D1EAA"/>
    <w:rsid w:val="007D1FF7"/>
    <w:rsid w:val="007D208B"/>
    <w:rsid w:val="007D21DE"/>
    <w:rsid w:val="007D22A0"/>
    <w:rsid w:val="007D23BD"/>
    <w:rsid w:val="007D2472"/>
    <w:rsid w:val="007D24E8"/>
    <w:rsid w:val="007D2517"/>
    <w:rsid w:val="007D2856"/>
    <w:rsid w:val="007D294C"/>
    <w:rsid w:val="007D29A0"/>
    <w:rsid w:val="007D2A59"/>
    <w:rsid w:val="007D2B6E"/>
    <w:rsid w:val="007D2CEC"/>
    <w:rsid w:val="007D2DA4"/>
    <w:rsid w:val="007D2FD0"/>
    <w:rsid w:val="007D311A"/>
    <w:rsid w:val="007D3197"/>
    <w:rsid w:val="007D31A5"/>
    <w:rsid w:val="007D35BA"/>
    <w:rsid w:val="007D371B"/>
    <w:rsid w:val="007D37EB"/>
    <w:rsid w:val="007D38B0"/>
    <w:rsid w:val="007D391A"/>
    <w:rsid w:val="007D3B4C"/>
    <w:rsid w:val="007D3C09"/>
    <w:rsid w:val="007D3C2D"/>
    <w:rsid w:val="007D3EAF"/>
    <w:rsid w:val="007D4056"/>
    <w:rsid w:val="007D43EA"/>
    <w:rsid w:val="007D44C2"/>
    <w:rsid w:val="007D4578"/>
    <w:rsid w:val="007D45A6"/>
    <w:rsid w:val="007D471A"/>
    <w:rsid w:val="007D4763"/>
    <w:rsid w:val="007D4933"/>
    <w:rsid w:val="007D4C8D"/>
    <w:rsid w:val="007D4CA1"/>
    <w:rsid w:val="007D4CA4"/>
    <w:rsid w:val="007D4D04"/>
    <w:rsid w:val="007D4D9F"/>
    <w:rsid w:val="007D4F94"/>
    <w:rsid w:val="007D501B"/>
    <w:rsid w:val="007D5225"/>
    <w:rsid w:val="007D52C2"/>
    <w:rsid w:val="007D53FE"/>
    <w:rsid w:val="007D568E"/>
    <w:rsid w:val="007D5888"/>
    <w:rsid w:val="007D58A1"/>
    <w:rsid w:val="007D59E2"/>
    <w:rsid w:val="007D5A3D"/>
    <w:rsid w:val="007D5B5B"/>
    <w:rsid w:val="007D5BDA"/>
    <w:rsid w:val="007D5BF6"/>
    <w:rsid w:val="007D5C1D"/>
    <w:rsid w:val="007D5D0A"/>
    <w:rsid w:val="007D5D0F"/>
    <w:rsid w:val="007D5D41"/>
    <w:rsid w:val="007D5E32"/>
    <w:rsid w:val="007D5F5D"/>
    <w:rsid w:val="007D6049"/>
    <w:rsid w:val="007D609A"/>
    <w:rsid w:val="007D625C"/>
    <w:rsid w:val="007D6284"/>
    <w:rsid w:val="007D6301"/>
    <w:rsid w:val="007D632E"/>
    <w:rsid w:val="007D633B"/>
    <w:rsid w:val="007D637E"/>
    <w:rsid w:val="007D6437"/>
    <w:rsid w:val="007D64CD"/>
    <w:rsid w:val="007D64E8"/>
    <w:rsid w:val="007D6501"/>
    <w:rsid w:val="007D6630"/>
    <w:rsid w:val="007D6794"/>
    <w:rsid w:val="007D688A"/>
    <w:rsid w:val="007D6B5F"/>
    <w:rsid w:val="007D6C0C"/>
    <w:rsid w:val="007D6C18"/>
    <w:rsid w:val="007D6C47"/>
    <w:rsid w:val="007D6E23"/>
    <w:rsid w:val="007D7004"/>
    <w:rsid w:val="007D72AC"/>
    <w:rsid w:val="007D731A"/>
    <w:rsid w:val="007D7327"/>
    <w:rsid w:val="007D736B"/>
    <w:rsid w:val="007D7398"/>
    <w:rsid w:val="007D794D"/>
    <w:rsid w:val="007D7A19"/>
    <w:rsid w:val="007D7C3A"/>
    <w:rsid w:val="007D7D73"/>
    <w:rsid w:val="007D7FC4"/>
    <w:rsid w:val="007E0038"/>
    <w:rsid w:val="007E0042"/>
    <w:rsid w:val="007E0321"/>
    <w:rsid w:val="007E044A"/>
    <w:rsid w:val="007E0494"/>
    <w:rsid w:val="007E04EB"/>
    <w:rsid w:val="007E058E"/>
    <w:rsid w:val="007E07DB"/>
    <w:rsid w:val="007E0BBD"/>
    <w:rsid w:val="007E0D84"/>
    <w:rsid w:val="007E0D97"/>
    <w:rsid w:val="007E0EBD"/>
    <w:rsid w:val="007E0EDB"/>
    <w:rsid w:val="007E0FC7"/>
    <w:rsid w:val="007E12B1"/>
    <w:rsid w:val="007E1426"/>
    <w:rsid w:val="007E177F"/>
    <w:rsid w:val="007E17BA"/>
    <w:rsid w:val="007E193A"/>
    <w:rsid w:val="007E1A89"/>
    <w:rsid w:val="007E1DAD"/>
    <w:rsid w:val="007E1E82"/>
    <w:rsid w:val="007E1F6A"/>
    <w:rsid w:val="007E2084"/>
    <w:rsid w:val="007E22A5"/>
    <w:rsid w:val="007E22B5"/>
    <w:rsid w:val="007E26CC"/>
    <w:rsid w:val="007E2925"/>
    <w:rsid w:val="007E2A1E"/>
    <w:rsid w:val="007E2AED"/>
    <w:rsid w:val="007E2B24"/>
    <w:rsid w:val="007E2B3C"/>
    <w:rsid w:val="007E2BC6"/>
    <w:rsid w:val="007E2D3A"/>
    <w:rsid w:val="007E2D97"/>
    <w:rsid w:val="007E313A"/>
    <w:rsid w:val="007E324D"/>
    <w:rsid w:val="007E3383"/>
    <w:rsid w:val="007E3482"/>
    <w:rsid w:val="007E3546"/>
    <w:rsid w:val="007E378D"/>
    <w:rsid w:val="007E3B59"/>
    <w:rsid w:val="007E3D61"/>
    <w:rsid w:val="007E3FD6"/>
    <w:rsid w:val="007E402E"/>
    <w:rsid w:val="007E4035"/>
    <w:rsid w:val="007E40E2"/>
    <w:rsid w:val="007E4376"/>
    <w:rsid w:val="007E44E3"/>
    <w:rsid w:val="007E4D19"/>
    <w:rsid w:val="007E4D55"/>
    <w:rsid w:val="007E4DD0"/>
    <w:rsid w:val="007E4E69"/>
    <w:rsid w:val="007E4F0E"/>
    <w:rsid w:val="007E506E"/>
    <w:rsid w:val="007E5116"/>
    <w:rsid w:val="007E5592"/>
    <w:rsid w:val="007E5604"/>
    <w:rsid w:val="007E57B0"/>
    <w:rsid w:val="007E57F8"/>
    <w:rsid w:val="007E5822"/>
    <w:rsid w:val="007E5967"/>
    <w:rsid w:val="007E5C9A"/>
    <w:rsid w:val="007E6008"/>
    <w:rsid w:val="007E6A5B"/>
    <w:rsid w:val="007E6B0E"/>
    <w:rsid w:val="007E6FCF"/>
    <w:rsid w:val="007E701A"/>
    <w:rsid w:val="007E7142"/>
    <w:rsid w:val="007E7266"/>
    <w:rsid w:val="007E730C"/>
    <w:rsid w:val="007E7607"/>
    <w:rsid w:val="007E7801"/>
    <w:rsid w:val="007E7CFD"/>
    <w:rsid w:val="007E7D12"/>
    <w:rsid w:val="007E7EF7"/>
    <w:rsid w:val="007E7FCD"/>
    <w:rsid w:val="007F0252"/>
    <w:rsid w:val="007F02D5"/>
    <w:rsid w:val="007F0499"/>
    <w:rsid w:val="007F0525"/>
    <w:rsid w:val="007F06E9"/>
    <w:rsid w:val="007F087B"/>
    <w:rsid w:val="007F08E9"/>
    <w:rsid w:val="007F0BE2"/>
    <w:rsid w:val="007F0D1B"/>
    <w:rsid w:val="007F109B"/>
    <w:rsid w:val="007F11DB"/>
    <w:rsid w:val="007F1301"/>
    <w:rsid w:val="007F134F"/>
    <w:rsid w:val="007F146D"/>
    <w:rsid w:val="007F15D4"/>
    <w:rsid w:val="007F15E4"/>
    <w:rsid w:val="007F167E"/>
    <w:rsid w:val="007F1830"/>
    <w:rsid w:val="007F1871"/>
    <w:rsid w:val="007F1A91"/>
    <w:rsid w:val="007F1AAE"/>
    <w:rsid w:val="007F1B99"/>
    <w:rsid w:val="007F1C3B"/>
    <w:rsid w:val="007F1CD4"/>
    <w:rsid w:val="007F1EDD"/>
    <w:rsid w:val="007F1F1C"/>
    <w:rsid w:val="007F20AF"/>
    <w:rsid w:val="007F2227"/>
    <w:rsid w:val="007F2428"/>
    <w:rsid w:val="007F296A"/>
    <w:rsid w:val="007F29F9"/>
    <w:rsid w:val="007F2BEF"/>
    <w:rsid w:val="007F2DCA"/>
    <w:rsid w:val="007F2F16"/>
    <w:rsid w:val="007F306B"/>
    <w:rsid w:val="007F3162"/>
    <w:rsid w:val="007F3235"/>
    <w:rsid w:val="007F32B2"/>
    <w:rsid w:val="007F32B6"/>
    <w:rsid w:val="007F33A3"/>
    <w:rsid w:val="007F35E9"/>
    <w:rsid w:val="007F3757"/>
    <w:rsid w:val="007F381A"/>
    <w:rsid w:val="007F3998"/>
    <w:rsid w:val="007F3A40"/>
    <w:rsid w:val="007F3B9C"/>
    <w:rsid w:val="007F3BE3"/>
    <w:rsid w:val="007F3C9D"/>
    <w:rsid w:val="007F3CE8"/>
    <w:rsid w:val="007F3FA9"/>
    <w:rsid w:val="007F41B1"/>
    <w:rsid w:val="007F44A0"/>
    <w:rsid w:val="007F450C"/>
    <w:rsid w:val="007F4575"/>
    <w:rsid w:val="007F474E"/>
    <w:rsid w:val="007F4916"/>
    <w:rsid w:val="007F4C1B"/>
    <w:rsid w:val="007F4C1E"/>
    <w:rsid w:val="007F4C84"/>
    <w:rsid w:val="007F4E3B"/>
    <w:rsid w:val="007F50E2"/>
    <w:rsid w:val="007F529F"/>
    <w:rsid w:val="007F52B0"/>
    <w:rsid w:val="007F5867"/>
    <w:rsid w:val="007F5946"/>
    <w:rsid w:val="007F5962"/>
    <w:rsid w:val="007F5AA9"/>
    <w:rsid w:val="007F5BEC"/>
    <w:rsid w:val="007F5DA5"/>
    <w:rsid w:val="007F60A8"/>
    <w:rsid w:val="007F6103"/>
    <w:rsid w:val="007F612A"/>
    <w:rsid w:val="007F62A3"/>
    <w:rsid w:val="007F62D1"/>
    <w:rsid w:val="007F638A"/>
    <w:rsid w:val="007F63BC"/>
    <w:rsid w:val="007F6772"/>
    <w:rsid w:val="007F67B3"/>
    <w:rsid w:val="007F6801"/>
    <w:rsid w:val="007F6AF8"/>
    <w:rsid w:val="007F6BF4"/>
    <w:rsid w:val="007F6D80"/>
    <w:rsid w:val="007F6DFE"/>
    <w:rsid w:val="007F71FA"/>
    <w:rsid w:val="007F7398"/>
    <w:rsid w:val="007F748E"/>
    <w:rsid w:val="007F74D1"/>
    <w:rsid w:val="007F7581"/>
    <w:rsid w:val="007F7716"/>
    <w:rsid w:val="007F77EC"/>
    <w:rsid w:val="007F7A71"/>
    <w:rsid w:val="007F7A7E"/>
    <w:rsid w:val="007F7D86"/>
    <w:rsid w:val="007F7DAD"/>
    <w:rsid w:val="007F7DCD"/>
    <w:rsid w:val="007F7E82"/>
    <w:rsid w:val="007F7F08"/>
    <w:rsid w:val="007F7FB7"/>
    <w:rsid w:val="007F7FD7"/>
    <w:rsid w:val="0080001B"/>
    <w:rsid w:val="00800042"/>
    <w:rsid w:val="00800243"/>
    <w:rsid w:val="008003B0"/>
    <w:rsid w:val="008003FE"/>
    <w:rsid w:val="00800744"/>
    <w:rsid w:val="00800747"/>
    <w:rsid w:val="00800762"/>
    <w:rsid w:val="00800A0C"/>
    <w:rsid w:val="00800BBC"/>
    <w:rsid w:val="00800C4C"/>
    <w:rsid w:val="00800FB0"/>
    <w:rsid w:val="00801068"/>
    <w:rsid w:val="0080118F"/>
    <w:rsid w:val="00801421"/>
    <w:rsid w:val="008014C2"/>
    <w:rsid w:val="0080152B"/>
    <w:rsid w:val="00801876"/>
    <w:rsid w:val="00801A55"/>
    <w:rsid w:val="00801BD2"/>
    <w:rsid w:val="00801D4C"/>
    <w:rsid w:val="00801F45"/>
    <w:rsid w:val="00802127"/>
    <w:rsid w:val="008021AD"/>
    <w:rsid w:val="008023B5"/>
    <w:rsid w:val="008023BD"/>
    <w:rsid w:val="00802438"/>
    <w:rsid w:val="00802C8E"/>
    <w:rsid w:val="0080304A"/>
    <w:rsid w:val="008031E3"/>
    <w:rsid w:val="008032E7"/>
    <w:rsid w:val="008033C3"/>
    <w:rsid w:val="008035C8"/>
    <w:rsid w:val="0080380B"/>
    <w:rsid w:val="008039A6"/>
    <w:rsid w:val="00803A05"/>
    <w:rsid w:val="00803B0E"/>
    <w:rsid w:val="00803D37"/>
    <w:rsid w:val="00803F5D"/>
    <w:rsid w:val="00803F71"/>
    <w:rsid w:val="0080444F"/>
    <w:rsid w:val="00804600"/>
    <w:rsid w:val="00804795"/>
    <w:rsid w:val="00805152"/>
    <w:rsid w:val="0080529B"/>
    <w:rsid w:val="008052D9"/>
    <w:rsid w:val="0080532D"/>
    <w:rsid w:val="008053D4"/>
    <w:rsid w:val="0080543E"/>
    <w:rsid w:val="0080548A"/>
    <w:rsid w:val="00805654"/>
    <w:rsid w:val="00805855"/>
    <w:rsid w:val="008059C5"/>
    <w:rsid w:val="00805C40"/>
    <w:rsid w:val="00805CF0"/>
    <w:rsid w:val="00805DFA"/>
    <w:rsid w:val="00805E7F"/>
    <w:rsid w:val="00805E8D"/>
    <w:rsid w:val="00805F3D"/>
    <w:rsid w:val="00806457"/>
    <w:rsid w:val="0080657F"/>
    <w:rsid w:val="008065B9"/>
    <w:rsid w:val="008067C9"/>
    <w:rsid w:val="008068FE"/>
    <w:rsid w:val="00806904"/>
    <w:rsid w:val="00806953"/>
    <w:rsid w:val="008069C4"/>
    <w:rsid w:val="008069D9"/>
    <w:rsid w:val="00806C6D"/>
    <w:rsid w:val="00806D8B"/>
    <w:rsid w:val="00806F20"/>
    <w:rsid w:val="00806F5D"/>
    <w:rsid w:val="00806F7C"/>
    <w:rsid w:val="0080702F"/>
    <w:rsid w:val="00807052"/>
    <w:rsid w:val="00807104"/>
    <w:rsid w:val="00807471"/>
    <w:rsid w:val="00807492"/>
    <w:rsid w:val="00807880"/>
    <w:rsid w:val="00807A20"/>
    <w:rsid w:val="00807DCE"/>
    <w:rsid w:val="00807E9D"/>
    <w:rsid w:val="00807EF0"/>
    <w:rsid w:val="00807FF8"/>
    <w:rsid w:val="0081057B"/>
    <w:rsid w:val="008105CD"/>
    <w:rsid w:val="008105CF"/>
    <w:rsid w:val="00810892"/>
    <w:rsid w:val="00810C19"/>
    <w:rsid w:val="00810DED"/>
    <w:rsid w:val="00811359"/>
    <w:rsid w:val="0081171A"/>
    <w:rsid w:val="008117F9"/>
    <w:rsid w:val="0081182B"/>
    <w:rsid w:val="00811999"/>
    <w:rsid w:val="00811A4D"/>
    <w:rsid w:val="00811B00"/>
    <w:rsid w:val="00811F8B"/>
    <w:rsid w:val="0081235D"/>
    <w:rsid w:val="008123F5"/>
    <w:rsid w:val="008124E6"/>
    <w:rsid w:val="00812859"/>
    <w:rsid w:val="0081289B"/>
    <w:rsid w:val="0081289D"/>
    <w:rsid w:val="008128E3"/>
    <w:rsid w:val="00812A2C"/>
    <w:rsid w:val="00812A8C"/>
    <w:rsid w:val="00812B2A"/>
    <w:rsid w:val="00812D79"/>
    <w:rsid w:val="00812DD2"/>
    <w:rsid w:val="00812DEF"/>
    <w:rsid w:val="008130CC"/>
    <w:rsid w:val="0081316A"/>
    <w:rsid w:val="008132B4"/>
    <w:rsid w:val="008133B2"/>
    <w:rsid w:val="00813465"/>
    <w:rsid w:val="00813609"/>
    <w:rsid w:val="008136CC"/>
    <w:rsid w:val="00813724"/>
    <w:rsid w:val="00813804"/>
    <w:rsid w:val="008138B4"/>
    <w:rsid w:val="00813BF4"/>
    <w:rsid w:val="00813EAD"/>
    <w:rsid w:val="00814039"/>
    <w:rsid w:val="0081444C"/>
    <w:rsid w:val="0081451E"/>
    <w:rsid w:val="00814584"/>
    <w:rsid w:val="00814713"/>
    <w:rsid w:val="008147FA"/>
    <w:rsid w:val="00814A6D"/>
    <w:rsid w:val="00814BD3"/>
    <w:rsid w:val="00814CFB"/>
    <w:rsid w:val="00814E4B"/>
    <w:rsid w:val="00815048"/>
    <w:rsid w:val="00815391"/>
    <w:rsid w:val="008155A8"/>
    <w:rsid w:val="008155D4"/>
    <w:rsid w:val="0081569E"/>
    <w:rsid w:val="008158AE"/>
    <w:rsid w:val="008158D7"/>
    <w:rsid w:val="00815A24"/>
    <w:rsid w:val="00815BAE"/>
    <w:rsid w:val="00815CE1"/>
    <w:rsid w:val="00815D05"/>
    <w:rsid w:val="00815D42"/>
    <w:rsid w:val="00815DCA"/>
    <w:rsid w:val="00815E0C"/>
    <w:rsid w:val="00815E28"/>
    <w:rsid w:val="00815E45"/>
    <w:rsid w:val="00816078"/>
    <w:rsid w:val="008160FE"/>
    <w:rsid w:val="008162F9"/>
    <w:rsid w:val="00816384"/>
    <w:rsid w:val="008164B8"/>
    <w:rsid w:val="00816559"/>
    <w:rsid w:val="0081659D"/>
    <w:rsid w:val="008165AD"/>
    <w:rsid w:val="00816667"/>
    <w:rsid w:val="0081694F"/>
    <w:rsid w:val="00816B9F"/>
    <w:rsid w:val="00817024"/>
    <w:rsid w:val="00817057"/>
    <w:rsid w:val="00817099"/>
    <w:rsid w:val="008171C9"/>
    <w:rsid w:val="00817424"/>
    <w:rsid w:val="008175F5"/>
    <w:rsid w:val="00817683"/>
    <w:rsid w:val="0081770D"/>
    <w:rsid w:val="008177AF"/>
    <w:rsid w:val="00817B6A"/>
    <w:rsid w:val="00817D73"/>
    <w:rsid w:val="008202ED"/>
    <w:rsid w:val="0082033F"/>
    <w:rsid w:val="008206DD"/>
    <w:rsid w:val="0082094D"/>
    <w:rsid w:val="00820981"/>
    <w:rsid w:val="008209D0"/>
    <w:rsid w:val="00820A81"/>
    <w:rsid w:val="00820A86"/>
    <w:rsid w:val="00820B72"/>
    <w:rsid w:val="00820BA2"/>
    <w:rsid w:val="00820D92"/>
    <w:rsid w:val="008210F2"/>
    <w:rsid w:val="008211EB"/>
    <w:rsid w:val="00821270"/>
    <w:rsid w:val="008212DC"/>
    <w:rsid w:val="0082162C"/>
    <w:rsid w:val="00821635"/>
    <w:rsid w:val="00821807"/>
    <w:rsid w:val="00821840"/>
    <w:rsid w:val="00821861"/>
    <w:rsid w:val="00821BB2"/>
    <w:rsid w:val="00821BCE"/>
    <w:rsid w:val="00821CF5"/>
    <w:rsid w:val="00821DEC"/>
    <w:rsid w:val="00821E69"/>
    <w:rsid w:val="00822028"/>
    <w:rsid w:val="00822317"/>
    <w:rsid w:val="00822433"/>
    <w:rsid w:val="00822506"/>
    <w:rsid w:val="0082260C"/>
    <w:rsid w:val="0082280F"/>
    <w:rsid w:val="008229DE"/>
    <w:rsid w:val="00822A05"/>
    <w:rsid w:val="00822A42"/>
    <w:rsid w:val="00822C3C"/>
    <w:rsid w:val="00822D7E"/>
    <w:rsid w:val="00822E0D"/>
    <w:rsid w:val="00822EC6"/>
    <w:rsid w:val="00822ED1"/>
    <w:rsid w:val="00822F69"/>
    <w:rsid w:val="0082324F"/>
    <w:rsid w:val="008232B3"/>
    <w:rsid w:val="0082354F"/>
    <w:rsid w:val="0082373C"/>
    <w:rsid w:val="0082379B"/>
    <w:rsid w:val="00823987"/>
    <w:rsid w:val="008239C4"/>
    <w:rsid w:val="00823C9C"/>
    <w:rsid w:val="00824228"/>
    <w:rsid w:val="008243E0"/>
    <w:rsid w:val="0082472D"/>
    <w:rsid w:val="008247A1"/>
    <w:rsid w:val="008247AE"/>
    <w:rsid w:val="0082496B"/>
    <w:rsid w:val="00824FD9"/>
    <w:rsid w:val="00825024"/>
    <w:rsid w:val="008250F4"/>
    <w:rsid w:val="00825101"/>
    <w:rsid w:val="0082511B"/>
    <w:rsid w:val="008253E8"/>
    <w:rsid w:val="00825526"/>
    <w:rsid w:val="008255F7"/>
    <w:rsid w:val="008255FF"/>
    <w:rsid w:val="008259D4"/>
    <w:rsid w:val="00825BB9"/>
    <w:rsid w:val="00825C36"/>
    <w:rsid w:val="00825CDC"/>
    <w:rsid w:val="00825EBB"/>
    <w:rsid w:val="00826120"/>
    <w:rsid w:val="008262A7"/>
    <w:rsid w:val="00826433"/>
    <w:rsid w:val="008267E0"/>
    <w:rsid w:val="00826990"/>
    <w:rsid w:val="00826C0C"/>
    <w:rsid w:val="00826C10"/>
    <w:rsid w:val="00826CF6"/>
    <w:rsid w:val="008270BD"/>
    <w:rsid w:val="008270D6"/>
    <w:rsid w:val="00827290"/>
    <w:rsid w:val="00827345"/>
    <w:rsid w:val="00827404"/>
    <w:rsid w:val="00827420"/>
    <w:rsid w:val="008274F0"/>
    <w:rsid w:val="00827E29"/>
    <w:rsid w:val="00827E56"/>
    <w:rsid w:val="00830967"/>
    <w:rsid w:val="0083097B"/>
    <w:rsid w:val="00830B5E"/>
    <w:rsid w:val="00830B7B"/>
    <w:rsid w:val="00830DE5"/>
    <w:rsid w:val="00830EED"/>
    <w:rsid w:val="0083163F"/>
    <w:rsid w:val="0083164F"/>
    <w:rsid w:val="008316A9"/>
    <w:rsid w:val="00831A99"/>
    <w:rsid w:val="00831B03"/>
    <w:rsid w:val="00831F9C"/>
    <w:rsid w:val="008321B4"/>
    <w:rsid w:val="008321F5"/>
    <w:rsid w:val="0083236E"/>
    <w:rsid w:val="0083243D"/>
    <w:rsid w:val="0083254B"/>
    <w:rsid w:val="00832560"/>
    <w:rsid w:val="00832842"/>
    <w:rsid w:val="00832920"/>
    <w:rsid w:val="0083297C"/>
    <w:rsid w:val="00832AE8"/>
    <w:rsid w:val="00832B17"/>
    <w:rsid w:val="00832D90"/>
    <w:rsid w:val="00832F32"/>
    <w:rsid w:val="00833153"/>
    <w:rsid w:val="00833284"/>
    <w:rsid w:val="00833319"/>
    <w:rsid w:val="0083332B"/>
    <w:rsid w:val="0083337A"/>
    <w:rsid w:val="0083343E"/>
    <w:rsid w:val="00833967"/>
    <w:rsid w:val="00833A0A"/>
    <w:rsid w:val="00833BC5"/>
    <w:rsid w:val="00833C13"/>
    <w:rsid w:val="00833C47"/>
    <w:rsid w:val="00833DE2"/>
    <w:rsid w:val="00833EE5"/>
    <w:rsid w:val="00834083"/>
    <w:rsid w:val="008340F4"/>
    <w:rsid w:val="0083441A"/>
    <w:rsid w:val="008346EB"/>
    <w:rsid w:val="0083471E"/>
    <w:rsid w:val="008348D8"/>
    <w:rsid w:val="00834AC8"/>
    <w:rsid w:val="00834B2D"/>
    <w:rsid w:val="00834BEA"/>
    <w:rsid w:val="00834C0B"/>
    <w:rsid w:val="00834DBE"/>
    <w:rsid w:val="00834F38"/>
    <w:rsid w:val="00834F3C"/>
    <w:rsid w:val="00834FD3"/>
    <w:rsid w:val="008351FE"/>
    <w:rsid w:val="0083524E"/>
    <w:rsid w:val="00835310"/>
    <w:rsid w:val="0083585B"/>
    <w:rsid w:val="008358FA"/>
    <w:rsid w:val="0083596B"/>
    <w:rsid w:val="00835A70"/>
    <w:rsid w:val="00835BDA"/>
    <w:rsid w:val="00835C83"/>
    <w:rsid w:val="00835D06"/>
    <w:rsid w:val="00835DFA"/>
    <w:rsid w:val="00835E2A"/>
    <w:rsid w:val="008360AE"/>
    <w:rsid w:val="00836229"/>
    <w:rsid w:val="00836366"/>
    <w:rsid w:val="008364D4"/>
    <w:rsid w:val="0083651A"/>
    <w:rsid w:val="0083659B"/>
    <w:rsid w:val="008365E6"/>
    <w:rsid w:val="00836927"/>
    <w:rsid w:val="00836BE2"/>
    <w:rsid w:val="00836C9F"/>
    <w:rsid w:val="00836D01"/>
    <w:rsid w:val="00836D3D"/>
    <w:rsid w:val="00837034"/>
    <w:rsid w:val="0083719B"/>
    <w:rsid w:val="008371E2"/>
    <w:rsid w:val="00837A9C"/>
    <w:rsid w:val="00837B03"/>
    <w:rsid w:val="00837B6D"/>
    <w:rsid w:val="00837D05"/>
    <w:rsid w:val="00837D61"/>
    <w:rsid w:val="00837F73"/>
    <w:rsid w:val="008401AF"/>
    <w:rsid w:val="008401FE"/>
    <w:rsid w:val="00840256"/>
    <w:rsid w:val="008402CF"/>
    <w:rsid w:val="008402EB"/>
    <w:rsid w:val="00840506"/>
    <w:rsid w:val="0084059F"/>
    <w:rsid w:val="008405FA"/>
    <w:rsid w:val="00840614"/>
    <w:rsid w:val="00840675"/>
    <w:rsid w:val="00840777"/>
    <w:rsid w:val="00840B60"/>
    <w:rsid w:val="00840B89"/>
    <w:rsid w:val="00840D6A"/>
    <w:rsid w:val="008411AC"/>
    <w:rsid w:val="008413AE"/>
    <w:rsid w:val="0084141F"/>
    <w:rsid w:val="0084146A"/>
    <w:rsid w:val="0084160A"/>
    <w:rsid w:val="00841722"/>
    <w:rsid w:val="00841787"/>
    <w:rsid w:val="008417F5"/>
    <w:rsid w:val="00841897"/>
    <w:rsid w:val="0084194E"/>
    <w:rsid w:val="00841977"/>
    <w:rsid w:val="00841F0A"/>
    <w:rsid w:val="00842360"/>
    <w:rsid w:val="00842617"/>
    <w:rsid w:val="00842711"/>
    <w:rsid w:val="008429C8"/>
    <w:rsid w:val="00842D9A"/>
    <w:rsid w:val="00842EAF"/>
    <w:rsid w:val="0084329C"/>
    <w:rsid w:val="008435B2"/>
    <w:rsid w:val="008435BB"/>
    <w:rsid w:val="0084370C"/>
    <w:rsid w:val="00843921"/>
    <w:rsid w:val="008439BC"/>
    <w:rsid w:val="00843C78"/>
    <w:rsid w:val="00843CCC"/>
    <w:rsid w:val="00843CE1"/>
    <w:rsid w:val="00843D77"/>
    <w:rsid w:val="00844020"/>
    <w:rsid w:val="00844168"/>
    <w:rsid w:val="0084459B"/>
    <w:rsid w:val="0084480B"/>
    <w:rsid w:val="00844990"/>
    <w:rsid w:val="00844B57"/>
    <w:rsid w:val="00844CFC"/>
    <w:rsid w:val="00844E11"/>
    <w:rsid w:val="00844E51"/>
    <w:rsid w:val="00844FAA"/>
    <w:rsid w:val="0084504D"/>
    <w:rsid w:val="008452F0"/>
    <w:rsid w:val="0084558E"/>
    <w:rsid w:val="008456A1"/>
    <w:rsid w:val="00845865"/>
    <w:rsid w:val="008458AF"/>
    <w:rsid w:val="00845B19"/>
    <w:rsid w:val="00845B31"/>
    <w:rsid w:val="00845C55"/>
    <w:rsid w:val="00846032"/>
    <w:rsid w:val="00846493"/>
    <w:rsid w:val="008465AB"/>
    <w:rsid w:val="008466AD"/>
    <w:rsid w:val="00846703"/>
    <w:rsid w:val="00846864"/>
    <w:rsid w:val="00846897"/>
    <w:rsid w:val="008468C7"/>
    <w:rsid w:val="00846922"/>
    <w:rsid w:val="00846A59"/>
    <w:rsid w:val="00846ACF"/>
    <w:rsid w:val="00846E57"/>
    <w:rsid w:val="008470CD"/>
    <w:rsid w:val="008471FC"/>
    <w:rsid w:val="008473B4"/>
    <w:rsid w:val="00847525"/>
    <w:rsid w:val="00847542"/>
    <w:rsid w:val="008477A6"/>
    <w:rsid w:val="0084794F"/>
    <w:rsid w:val="00847B08"/>
    <w:rsid w:val="00847B89"/>
    <w:rsid w:val="00847CC8"/>
    <w:rsid w:val="00847DC2"/>
    <w:rsid w:val="00847E68"/>
    <w:rsid w:val="00850169"/>
    <w:rsid w:val="008502C1"/>
    <w:rsid w:val="00850682"/>
    <w:rsid w:val="008506E4"/>
    <w:rsid w:val="008508E2"/>
    <w:rsid w:val="008508F5"/>
    <w:rsid w:val="00850AEA"/>
    <w:rsid w:val="00850B6D"/>
    <w:rsid w:val="00850BF3"/>
    <w:rsid w:val="00850CF7"/>
    <w:rsid w:val="00850D0E"/>
    <w:rsid w:val="00850F34"/>
    <w:rsid w:val="00851036"/>
    <w:rsid w:val="00851107"/>
    <w:rsid w:val="008511F5"/>
    <w:rsid w:val="00851515"/>
    <w:rsid w:val="008517B8"/>
    <w:rsid w:val="00851A88"/>
    <w:rsid w:val="00851B49"/>
    <w:rsid w:val="00851C54"/>
    <w:rsid w:val="00851CE3"/>
    <w:rsid w:val="0085207F"/>
    <w:rsid w:val="008522A6"/>
    <w:rsid w:val="008523BA"/>
    <w:rsid w:val="008524A7"/>
    <w:rsid w:val="0085253C"/>
    <w:rsid w:val="008525AA"/>
    <w:rsid w:val="00852609"/>
    <w:rsid w:val="0085268D"/>
    <w:rsid w:val="008526F9"/>
    <w:rsid w:val="0085290F"/>
    <w:rsid w:val="00852A50"/>
    <w:rsid w:val="00852C8D"/>
    <w:rsid w:val="00852CC4"/>
    <w:rsid w:val="00852F97"/>
    <w:rsid w:val="00853029"/>
    <w:rsid w:val="008535F7"/>
    <w:rsid w:val="00853886"/>
    <w:rsid w:val="008539AC"/>
    <w:rsid w:val="00853A39"/>
    <w:rsid w:val="00853B64"/>
    <w:rsid w:val="00853D3B"/>
    <w:rsid w:val="00853F2F"/>
    <w:rsid w:val="00853FD7"/>
    <w:rsid w:val="00854616"/>
    <w:rsid w:val="0085465F"/>
    <w:rsid w:val="00854784"/>
    <w:rsid w:val="00854811"/>
    <w:rsid w:val="0085489B"/>
    <w:rsid w:val="00854905"/>
    <w:rsid w:val="00854B77"/>
    <w:rsid w:val="00854B8B"/>
    <w:rsid w:val="00854CF8"/>
    <w:rsid w:val="00854E25"/>
    <w:rsid w:val="00854EEA"/>
    <w:rsid w:val="0085505F"/>
    <w:rsid w:val="00855128"/>
    <w:rsid w:val="00855171"/>
    <w:rsid w:val="0085543E"/>
    <w:rsid w:val="00855682"/>
    <w:rsid w:val="008556B0"/>
    <w:rsid w:val="00855761"/>
    <w:rsid w:val="00855A4E"/>
    <w:rsid w:val="00855C2A"/>
    <w:rsid w:val="00855C8D"/>
    <w:rsid w:val="00856137"/>
    <w:rsid w:val="008564A7"/>
    <w:rsid w:val="008568C3"/>
    <w:rsid w:val="008568F2"/>
    <w:rsid w:val="008568FE"/>
    <w:rsid w:val="00856A89"/>
    <w:rsid w:val="00856D16"/>
    <w:rsid w:val="00856D3F"/>
    <w:rsid w:val="00856DA0"/>
    <w:rsid w:val="00856DBB"/>
    <w:rsid w:val="00856DEB"/>
    <w:rsid w:val="00856DFC"/>
    <w:rsid w:val="00856EAA"/>
    <w:rsid w:val="0085700C"/>
    <w:rsid w:val="0085721B"/>
    <w:rsid w:val="0085729D"/>
    <w:rsid w:val="008572BB"/>
    <w:rsid w:val="00857375"/>
    <w:rsid w:val="008573D5"/>
    <w:rsid w:val="008574C5"/>
    <w:rsid w:val="008575C2"/>
    <w:rsid w:val="00857663"/>
    <w:rsid w:val="008576F4"/>
    <w:rsid w:val="00857972"/>
    <w:rsid w:val="00857B88"/>
    <w:rsid w:val="00857C3B"/>
    <w:rsid w:val="00857F3F"/>
    <w:rsid w:val="00857FA1"/>
    <w:rsid w:val="00857FFE"/>
    <w:rsid w:val="0086015C"/>
    <w:rsid w:val="00860177"/>
    <w:rsid w:val="00860226"/>
    <w:rsid w:val="00860391"/>
    <w:rsid w:val="008603B1"/>
    <w:rsid w:val="00860723"/>
    <w:rsid w:val="00860821"/>
    <w:rsid w:val="008608B6"/>
    <w:rsid w:val="008609E0"/>
    <w:rsid w:val="00860B91"/>
    <w:rsid w:val="00860F1E"/>
    <w:rsid w:val="00860F73"/>
    <w:rsid w:val="00861094"/>
    <w:rsid w:val="008611FD"/>
    <w:rsid w:val="008614C1"/>
    <w:rsid w:val="00861573"/>
    <w:rsid w:val="008615FC"/>
    <w:rsid w:val="00861729"/>
    <w:rsid w:val="0086185D"/>
    <w:rsid w:val="00861E47"/>
    <w:rsid w:val="00861FFE"/>
    <w:rsid w:val="008621D5"/>
    <w:rsid w:val="008622DA"/>
    <w:rsid w:val="00862719"/>
    <w:rsid w:val="00862795"/>
    <w:rsid w:val="00862957"/>
    <w:rsid w:val="008629DF"/>
    <w:rsid w:val="00862A96"/>
    <w:rsid w:val="00862B14"/>
    <w:rsid w:val="00862BA0"/>
    <w:rsid w:val="00862CB7"/>
    <w:rsid w:val="00862DAF"/>
    <w:rsid w:val="00862E65"/>
    <w:rsid w:val="00862F2F"/>
    <w:rsid w:val="00862FF2"/>
    <w:rsid w:val="008633A2"/>
    <w:rsid w:val="00863473"/>
    <w:rsid w:val="00863590"/>
    <w:rsid w:val="008637E7"/>
    <w:rsid w:val="0086392F"/>
    <w:rsid w:val="00863A49"/>
    <w:rsid w:val="00863BDF"/>
    <w:rsid w:val="00863D9D"/>
    <w:rsid w:val="00863F9F"/>
    <w:rsid w:val="00863FF1"/>
    <w:rsid w:val="00864023"/>
    <w:rsid w:val="008642D9"/>
    <w:rsid w:val="00864633"/>
    <w:rsid w:val="00864899"/>
    <w:rsid w:val="00864AE2"/>
    <w:rsid w:val="00864BE0"/>
    <w:rsid w:val="00864E12"/>
    <w:rsid w:val="00864F56"/>
    <w:rsid w:val="00864F7C"/>
    <w:rsid w:val="00865323"/>
    <w:rsid w:val="00865465"/>
    <w:rsid w:val="00865512"/>
    <w:rsid w:val="0086556E"/>
    <w:rsid w:val="008655BF"/>
    <w:rsid w:val="008656FE"/>
    <w:rsid w:val="00865937"/>
    <w:rsid w:val="00865AFF"/>
    <w:rsid w:val="00865D64"/>
    <w:rsid w:val="00865F2A"/>
    <w:rsid w:val="0086637C"/>
    <w:rsid w:val="00866413"/>
    <w:rsid w:val="0086658A"/>
    <w:rsid w:val="008666B0"/>
    <w:rsid w:val="00866789"/>
    <w:rsid w:val="00866850"/>
    <w:rsid w:val="008669FE"/>
    <w:rsid w:val="00866B5C"/>
    <w:rsid w:val="00866C44"/>
    <w:rsid w:val="00866D0D"/>
    <w:rsid w:val="00866FAA"/>
    <w:rsid w:val="00867389"/>
    <w:rsid w:val="00867447"/>
    <w:rsid w:val="00867596"/>
    <w:rsid w:val="008679A5"/>
    <w:rsid w:val="00867D5F"/>
    <w:rsid w:val="00867FFE"/>
    <w:rsid w:val="008700D2"/>
    <w:rsid w:val="00870253"/>
    <w:rsid w:val="00870386"/>
    <w:rsid w:val="008705E2"/>
    <w:rsid w:val="00870851"/>
    <w:rsid w:val="00870855"/>
    <w:rsid w:val="00870B1F"/>
    <w:rsid w:val="00870CB5"/>
    <w:rsid w:val="00870DFE"/>
    <w:rsid w:val="00870E6F"/>
    <w:rsid w:val="0087113B"/>
    <w:rsid w:val="008712CE"/>
    <w:rsid w:val="00871581"/>
    <w:rsid w:val="00871638"/>
    <w:rsid w:val="008717B8"/>
    <w:rsid w:val="008718C4"/>
    <w:rsid w:val="00871A18"/>
    <w:rsid w:val="00871A2A"/>
    <w:rsid w:val="00871C05"/>
    <w:rsid w:val="00871D3C"/>
    <w:rsid w:val="00871DAF"/>
    <w:rsid w:val="008721D6"/>
    <w:rsid w:val="00872201"/>
    <w:rsid w:val="00872243"/>
    <w:rsid w:val="0087238C"/>
    <w:rsid w:val="008723C8"/>
    <w:rsid w:val="0087248C"/>
    <w:rsid w:val="00872501"/>
    <w:rsid w:val="008725F1"/>
    <w:rsid w:val="00872750"/>
    <w:rsid w:val="00872871"/>
    <w:rsid w:val="00872946"/>
    <w:rsid w:val="0087294D"/>
    <w:rsid w:val="00872C3E"/>
    <w:rsid w:val="00872C76"/>
    <w:rsid w:val="00872C7F"/>
    <w:rsid w:val="00872CD1"/>
    <w:rsid w:val="00872F00"/>
    <w:rsid w:val="00872F86"/>
    <w:rsid w:val="00873170"/>
    <w:rsid w:val="008733B4"/>
    <w:rsid w:val="00873415"/>
    <w:rsid w:val="0087347F"/>
    <w:rsid w:val="00873847"/>
    <w:rsid w:val="008738AA"/>
    <w:rsid w:val="00873AD7"/>
    <w:rsid w:val="00873B06"/>
    <w:rsid w:val="00873CEC"/>
    <w:rsid w:val="00873DEC"/>
    <w:rsid w:val="0087429E"/>
    <w:rsid w:val="008742A2"/>
    <w:rsid w:val="008742C4"/>
    <w:rsid w:val="00874332"/>
    <w:rsid w:val="008743BE"/>
    <w:rsid w:val="008745A8"/>
    <w:rsid w:val="00874700"/>
    <w:rsid w:val="00874BC6"/>
    <w:rsid w:val="00874D48"/>
    <w:rsid w:val="00874D94"/>
    <w:rsid w:val="00874F88"/>
    <w:rsid w:val="008753B9"/>
    <w:rsid w:val="00875467"/>
    <w:rsid w:val="0087559D"/>
    <w:rsid w:val="00875754"/>
    <w:rsid w:val="00875899"/>
    <w:rsid w:val="008758B0"/>
    <w:rsid w:val="00875C90"/>
    <w:rsid w:val="00875E73"/>
    <w:rsid w:val="00875F27"/>
    <w:rsid w:val="00875F39"/>
    <w:rsid w:val="008761B8"/>
    <w:rsid w:val="00876494"/>
    <w:rsid w:val="00876618"/>
    <w:rsid w:val="0087697E"/>
    <w:rsid w:val="008769AC"/>
    <w:rsid w:val="00876A0C"/>
    <w:rsid w:val="00876B00"/>
    <w:rsid w:val="00876B4F"/>
    <w:rsid w:val="00876B87"/>
    <w:rsid w:val="00876C37"/>
    <w:rsid w:val="00876D63"/>
    <w:rsid w:val="00876ECF"/>
    <w:rsid w:val="00876F59"/>
    <w:rsid w:val="00876FDD"/>
    <w:rsid w:val="0087709C"/>
    <w:rsid w:val="008772B9"/>
    <w:rsid w:val="008772FD"/>
    <w:rsid w:val="008773B8"/>
    <w:rsid w:val="008776A7"/>
    <w:rsid w:val="0087770E"/>
    <w:rsid w:val="008777A6"/>
    <w:rsid w:val="00877981"/>
    <w:rsid w:val="00877999"/>
    <w:rsid w:val="00877A30"/>
    <w:rsid w:val="00877D19"/>
    <w:rsid w:val="00877EB5"/>
    <w:rsid w:val="00877F64"/>
    <w:rsid w:val="0088011E"/>
    <w:rsid w:val="008803B6"/>
    <w:rsid w:val="00880652"/>
    <w:rsid w:val="00880860"/>
    <w:rsid w:val="0088094F"/>
    <w:rsid w:val="00880B69"/>
    <w:rsid w:val="00880E76"/>
    <w:rsid w:val="00880EC0"/>
    <w:rsid w:val="0088115F"/>
    <w:rsid w:val="008811DF"/>
    <w:rsid w:val="00881219"/>
    <w:rsid w:val="0088140B"/>
    <w:rsid w:val="0088158B"/>
    <w:rsid w:val="00881A48"/>
    <w:rsid w:val="00881BB0"/>
    <w:rsid w:val="00882010"/>
    <w:rsid w:val="0088205A"/>
    <w:rsid w:val="0088208F"/>
    <w:rsid w:val="00882254"/>
    <w:rsid w:val="00882495"/>
    <w:rsid w:val="008825DF"/>
    <w:rsid w:val="0088260B"/>
    <w:rsid w:val="0088274D"/>
    <w:rsid w:val="00882829"/>
    <w:rsid w:val="00882980"/>
    <w:rsid w:val="00882BF6"/>
    <w:rsid w:val="00882D85"/>
    <w:rsid w:val="0088312B"/>
    <w:rsid w:val="008832D6"/>
    <w:rsid w:val="00883300"/>
    <w:rsid w:val="008835AC"/>
    <w:rsid w:val="008836F6"/>
    <w:rsid w:val="008839EA"/>
    <w:rsid w:val="00883E24"/>
    <w:rsid w:val="00883E39"/>
    <w:rsid w:val="00883FAA"/>
    <w:rsid w:val="00883FBE"/>
    <w:rsid w:val="00883FDF"/>
    <w:rsid w:val="0088427B"/>
    <w:rsid w:val="008842B5"/>
    <w:rsid w:val="00884326"/>
    <w:rsid w:val="0088437A"/>
    <w:rsid w:val="008843E6"/>
    <w:rsid w:val="00884601"/>
    <w:rsid w:val="0088479A"/>
    <w:rsid w:val="00884938"/>
    <w:rsid w:val="00884A12"/>
    <w:rsid w:val="00884BA0"/>
    <w:rsid w:val="00884C67"/>
    <w:rsid w:val="00884CB6"/>
    <w:rsid w:val="00884DF2"/>
    <w:rsid w:val="00885052"/>
    <w:rsid w:val="008850A8"/>
    <w:rsid w:val="008850B0"/>
    <w:rsid w:val="008850CE"/>
    <w:rsid w:val="0088513E"/>
    <w:rsid w:val="0088521B"/>
    <w:rsid w:val="008852D0"/>
    <w:rsid w:val="00885526"/>
    <w:rsid w:val="0088554C"/>
    <w:rsid w:val="008855E1"/>
    <w:rsid w:val="00885B53"/>
    <w:rsid w:val="00885C29"/>
    <w:rsid w:val="00885C71"/>
    <w:rsid w:val="00885D38"/>
    <w:rsid w:val="008860B5"/>
    <w:rsid w:val="00886151"/>
    <w:rsid w:val="00886632"/>
    <w:rsid w:val="00886722"/>
    <w:rsid w:val="008867A9"/>
    <w:rsid w:val="008869A6"/>
    <w:rsid w:val="00886ACC"/>
    <w:rsid w:val="00886DF8"/>
    <w:rsid w:val="00886FAD"/>
    <w:rsid w:val="008873A7"/>
    <w:rsid w:val="00887537"/>
    <w:rsid w:val="0088753D"/>
    <w:rsid w:val="008875BD"/>
    <w:rsid w:val="008877FC"/>
    <w:rsid w:val="00887974"/>
    <w:rsid w:val="00887E33"/>
    <w:rsid w:val="0089019E"/>
    <w:rsid w:val="008905FD"/>
    <w:rsid w:val="0089065D"/>
    <w:rsid w:val="008908F5"/>
    <w:rsid w:val="00890D16"/>
    <w:rsid w:val="008912A0"/>
    <w:rsid w:val="008912A2"/>
    <w:rsid w:val="008912D9"/>
    <w:rsid w:val="0089175F"/>
    <w:rsid w:val="008917F3"/>
    <w:rsid w:val="008918F5"/>
    <w:rsid w:val="008919C7"/>
    <w:rsid w:val="008919C9"/>
    <w:rsid w:val="00891B0C"/>
    <w:rsid w:val="00891C32"/>
    <w:rsid w:val="00891E7F"/>
    <w:rsid w:val="00892A2C"/>
    <w:rsid w:val="00892A3F"/>
    <w:rsid w:val="00892F0B"/>
    <w:rsid w:val="00893025"/>
    <w:rsid w:val="00893252"/>
    <w:rsid w:val="00893266"/>
    <w:rsid w:val="008935AE"/>
    <w:rsid w:val="00893859"/>
    <w:rsid w:val="008939AC"/>
    <w:rsid w:val="00893AB6"/>
    <w:rsid w:val="00893AF2"/>
    <w:rsid w:val="00893E0C"/>
    <w:rsid w:val="00893EB8"/>
    <w:rsid w:val="00893F07"/>
    <w:rsid w:val="00893F51"/>
    <w:rsid w:val="0089420D"/>
    <w:rsid w:val="00894216"/>
    <w:rsid w:val="0089422D"/>
    <w:rsid w:val="00894452"/>
    <w:rsid w:val="008946EA"/>
    <w:rsid w:val="008947EF"/>
    <w:rsid w:val="0089480E"/>
    <w:rsid w:val="00894A31"/>
    <w:rsid w:val="00894B36"/>
    <w:rsid w:val="00894BDF"/>
    <w:rsid w:val="00894C62"/>
    <w:rsid w:val="0089505E"/>
    <w:rsid w:val="008952F9"/>
    <w:rsid w:val="008956AD"/>
    <w:rsid w:val="008957D5"/>
    <w:rsid w:val="00895C08"/>
    <w:rsid w:val="00895E7B"/>
    <w:rsid w:val="00895EF2"/>
    <w:rsid w:val="00895FB1"/>
    <w:rsid w:val="008961DB"/>
    <w:rsid w:val="008963A7"/>
    <w:rsid w:val="00896467"/>
    <w:rsid w:val="008965DD"/>
    <w:rsid w:val="00896784"/>
    <w:rsid w:val="0089686F"/>
    <w:rsid w:val="008968CF"/>
    <w:rsid w:val="008969F7"/>
    <w:rsid w:val="00896B6A"/>
    <w:rsid w:val="00896C0A"/>
    <w:rsid w:val="00896C37"/>
    <w:rsid w:val="00896C42"/>
    <w:rsid w:val="00896D0A"/>
    <w:rsid w:val="00896E40"/>
    <w:rsid w:val="00896E9B"/>
    <w:rsid w:val="00896ED6"/>
    <w:rsid w:val="00897010"/>
    <w:rsid w:val="008970A8"/>
    <w:rsid w:val="008970CA"/>
    <w:rsid w:val="0089726B"/>
    <w:rsid w:val="00897696"/>
    <w:rsid w:val="00897720"/>
    <w:rsid w:val="00897802"/>
    <w:rsid w:val="00897986"/>
    <w:rsid w:val="00897999"/>
    <w:rsid w:val="008979C1"/>
    <w:rsid w:val="00897B1D"/>
    <w:rsid w:val="00897C4E"/>
    <w:rsid w:val="00897D63"/>
    <w:rsid w:val="00897E34"/>
    <w:rsid w:val="00897EB8"/>
    <w:rsid w:val="008A0038"/>
    <w:rsid w:val="008A0275"/>
    <w:rsid w:val="008A0536"/>
    <w:rsid w:val="008A0808"/>
    <w:rsid w:val="008A0852"/>
    <w:rsid w:val="008A0B19"/>
    <w:rsid w:val="008A0FFF"/>
    <w:rsid w:val="008A110A"/>
    <w:rsid w:val="008A11D9"/>
    <w:rsid w:val="008A183F"/>
    <w:rsid w:val="008A1DF2"/>
    <w:rsid w:val="008A1F04"/>
    <w:rsid w:val="008A2023"/>
    <w:rsid w:val="008A22C8"/>
    <w:rsid w:val="008A2571"/>
    <w:rsid w:val="008A266E"/>
    <w:rsid w:val="008A2760"/>
    <w:rsid w:val="008A291F"/>
    <w:rsid w:val="008A2929"/>
    <w:rsid w:val="008A2AC2"/>
    <w:rsid w:val="008A2C9E"/>
    <w:rsid w:val="008A2CD6"/>
    <w:rsid w:val="008A2CF8"/>
    <w:rsid w:val="008A2DC5"/>
    <w:rsid w:val="008A30D9"/>
    <w:rsid w:val="008A30EA"/>
    <w:rsid w:val="008A34A7"/>
    <w:rsid w:val="008A353A"/>
    <w:rsid w:val="008A3599"/>
    <w:rsid w:val="008A3610"/>
    <w:rsid w:val="008A375C"/>
    <w:rsid w:val="008A37E7"/>
    <w:rsid w:val="008A38BE"/>
    <w:rsid w:val="008A3A1A"/>
    <w:rsid w:val="008A3A38"/>
    <w:rsid w:val="008A3CF7"/>
    <w:rsid w:val="008A3DF1"/>
    <w:rsid w:val="008A3E0C"/>
    <w:rsid w:val="008A3EF1"/>
    <w:rsid w:val="008A3F3F"/>
    <w:rsid w:val="008A3F45"/>
    <w:rsid w:val="008A4018"/>
    <w:rsid w:val="008A43EC"/>
    <w:rsid w:val="008A447F"/>
    <w:rsid w:val="008A45AF"/>
    <w:rsid w:val="008A47D7"/>
    <w:rsid w:val="008A47F2"/>
    <w:rsid w:val="008A4837"/>
    <w:rsid w:val="008A4A4C"/>
    <w:rsid w:val="008A4AC6"/>
    <w:rsid w:val="008A4AD0"/>
    <w:rsid w:val="008A4B4B"/>
    <w:rsid w:val="008A4C89"/>
    <w:rsid w:val="008A4D61"/>
    <w:rsid w:val="008A4DF4"/>
    <w:rsid w:val="008A504C"/>
    <w:rsid w:val="008A50C7"/>
    <w:rsid w:val="008A5116"/>
    <w:rsid w:val="008A51A0"/>
    <w:rsid w:val="008A5278"/>
    <w:rsid w:val="008A532E"/>
    <w:rsid w:val="008A54E8"/>
    <w:rsid w:val="008A5675"/>
    <w:rsid w:val="008A5847"/>
    <w:rsid w:val="008A5E38"/>
    <w:rsid w:val="008A5ED2"/>
    <w:rsid w:val="008A607B"/>
    <w:rsid w:val="008A60F5"/>
    <w:rsid w:val="008A621A"/>
    <w:rsid w:val="008A621F"/>
    <w:rsid w:val="008A6236"/>
    <w:rsid w:val="008A6341"/>
    <w:rsid w:val="008A6556"/>
    <w:rsid w:val="008A65E7"/>
    <w:rsid w:val="008A666C"/>
    <w:rsid w:val="008A6957"/>
    <w:rsid w:val="008A6CF2"/>
    <w:rsid w:val="008A701F"/>
    <w:rsid w:val="008A7043"/>
    <w:rsid w:val="008A7086"/>
    <w:rsid w:val="008A715B"/>
    <w:rsid w:val="008A71F7"/>
    <w:rsid w:val="008A7220"/>
    <w:rsid w:val="008A7993"/>
    <w:rsid w:val="008A7A02"/>
    <w:rsid w:val="008A7AFE"/>
    <w:rsid w:val="008A7C19"/>
    <w:rsid w:val="008A7DB3"/>
    <w:rsid w:val="008A7FCB"/>
    <w:rsid w:val="008B0050"/>
    <w:rsid w:val="008B00CB"/>
    <w:rsid w:val="008B00D3"/>
    <w:rsid w:val="008B0269"/>
    <w:rsid w:val="008B02D4"/>
    <w:rsid w:val="008B03F4"/>
    <w:rsid w:val="008B0897"/>
    <w:rsid w:val="008B08BA"/>
    <w:rsid w:val="008B0A0B"/>
    <w:rsid w:val="008B0E02"/>
    <w:rsid w:val="008B0E2B"/>
    <w:rsid w:val="008B0F23"/>
    <w:rsid w:val="008B1353"/>
    <w:rsid w:val="008B16A9"/>
    <w:rsid w:val="008B17E3"/>
    <w:rsid w:val="008B1A0A"/>
    <w:rsid w:val="008B1A45"/>
    <w:rsid w:val="008B1B16"/>
    <w:rsid w:val="008B1D9B"/>
    <w:rsid w:val="008B1E2D"/>
    <w:rsid w:val="008B1F43"/>
    <w:rsid w:val="008B24BD"/>
    <w:rsid w:val="008B269D"/>
    <w:rsid w:val="008B28DB"/>
    <w:rsid w:val="008B2D23"/>
    <w:rsid w:val="008B2DAB"/>
    <w:rsid w:val="008B2E69"/>
    <w:rsid w:val="008B2FE3"/>
    <w:rsid w:val="008B31B8"/>
    <w:rsid w:val="008B329D"/>
    <w:rsid w:val="008B3476"/>
    <w:rsid w:val="008B34E7"/>
    <w:rsid w:val="008B3609"/>
    <w:rsid w:val="008B38BE"/>
    <w:rsid w:val="008B38C5"/>
    <w:rsid w:val="008B38E6"/>
    <w:rsid w:val="008B3A02"/>
    <w:rsid w:val="008B3C1D"/>
    <w:rsid w:val="008B3CB6"/>
    <w:rsid w:val="008B3DA0"/>
    <w:rsid w:val="008B409E"/>
    <w:rsid w:val="008B43F3"/>
    <w:rsid w:val="008B4424"/>
    <w:rsid w:val="008B4448"/>
    <w:rsid w:val="008B4518"/>
    <w:rsid w:val="008B4579"/>
    <w:rsid w:val="008B45A6"/>
    <w:rsid w:val="008B4648"/>
    <w:rsid w:val="008B4788"/>
    <w:rsid w:val="008B4A3D"/>
    <w:rsid w:val="008B4C5C"/>
    <w:rsid w:val="008B4CF4"/>
    <w:rsid w:val="008B4D5C"/>
    <w:rsid w:val="008B4DC4"/>
    <w:rsid w:val="008B50BC"/>
    <w:rsid w:val="008B52B5"/>
    <w:rsid w:val="008B52F9"/>
    <w:rsid w:val="008B52FE"/>
    <w:rsid w:val="008B55B7"/>
    <w:rsid w:val="008B566B"/>
    <w:rsid w:val="008B5835"/>
    <w:rsid w:val="008B59F4"/>
    <w:rsid w:val="008B5D2E"/>
    <w:rsid w:val="008B5EFD"/>
    <w:rsid w:val="008B5F8F"/>
    <w:rsid w:val="008B621D"/>
    <w:rsid w:val="008B636F"/>
    <w:rsid w:val="008B68D1"/>
    <w:rsid w:val="008B690B"/>
    <w:rsid w:val="008B692B"/>
    <w:rsid w:val="008B694B"/>
    <w:rsid w:val="008B6B13"/>
    <w:rsid w:val="008B6E13"/>
    <w:rsid w:val="008B7143"/>
    <w:rsid w:val="008B7260"/>
    <w:rsid w:val="008B7477"/>
    <w:rsid w:val="008B762F"/>
    <w:rsid w:val="008B765E"/>
    <w:rsid w:val="008B7733"/>
    <w:rsid w:val="008B7889"/>
    <w:rsid w:val="008B7925"/>
    <w:rsid w:val="008B7BA3"/>
    <w:rsid w:val="008B7EDF"/>
    <w:rsid w:val="008B7F94"/>
    <w:rsid w:val="008C0006"/>
    <w:rsid w:val="008C0122"/>
    <w:rsid w:val="008C0228"/>
    <w:rsid w:val="008C03D7"/>
    <w:rsid w:val="008C047A"/>
    <w:rsid w:val="008C0584"/>
    <w:rsid w:val="008C06C9"/>
    <w:rsid w:val="008C0B64"/>
    <w:rsid w:val="008C0C23"/>
    <w:rsid w:val="008C0E42"/>
    <w:rsid w:val="008C0F6A"/>
    <w:rsid w:val="008C1042"/>
    <w:rsid w:val="008C10F8"/>
    <w:rsid w:val="008C1447"/>
    <w:rsid w:val="008C14E0"/>
    <w:rsid w:val="008C1549"/>
    <w:rsid w:val="008C1654"/>
    <w:rsid w:val="008C170C"/>
    <w:rsid w:val="008C186A"/>
    <w:rsid w:val="008C197F"/>
    <w:rsid w:val="008C1AD3"/>
    <w:rsid w:val="008C1B51"/>
    <w:rsid w:val="008C1D01"/>
    <w:rsid w:val="008C1D81"/>
    <w:rsid w:val="008C1E28"/>
    <w:rsid w:val="008C22AD"/>
    <w:rsid w:val="008C22C4"/>
    <w:rsid w:val="008C23E8"/>
    <w:rsid w:val="008C24D2"/>
    <w:rsid w:val="008C2502"/>
    <w:rsid w:val="008C2702"/>
    <w:rsid w:val="008C28C3"/>
    <w:rsid w:val="008C2A87"/>
    <w:rsid w:val="008C2B2D"/>
    <w:rsid w:val="008C2B77"/>
    <w:rsid w:val="008C2DE7"/>
    <w:rsid w:val="008C2DF4"/>
    <w:rsid w:val="008C2E73"/>
    <w:rsid w:val="008C2F78"/>
    <w:rsid w:val="008C32DD"/>
    <w:rsid w:val="008C3407"/>
    <w:rsid w:val="008C39E8"/>
    <w:rsid w:val="008C39F9"/>
    <w:rsid w:val="008C3A45"/>
    <w:rsid w:val="008C3EE0"/>
    <w:rsid w:val="008C3F45"/>
    <w:rsid w:val="008C4142"/>
    <w:rsid w:val="008C4180"/>
    <w:rsid w:val="008C42C3"/>
    <w:rsid w:val="008C45F8"/>
    <w:rsid w:val="008C4790"/>
    <w:rsid w:val="008C4795"/>
    <w:rsid w:val="008C488E"/>
    <w:rsid w:val="008C48FA"/>
    <w:rsid w:val="008C4960"/>
    <w:rsid w:val="008C4D52"/>
    <w:rsid w:val="008C4EB6"/>
    <w:rsid w:val="008C53EA"/>
    <w:rsid w:val="008C54C7"/>
    <w:rsid w:val="008C5C57"/>
    <w:rsid w:val="008C5FCC"/>
    <w:rsid w:val="008C613D"/>
    <w:rsid w:val="008C6207"/>
    <w:rsid w:val="008C62B3"/>
    <w:rsid w:val="008C64FD"/>
    <w:rsid w:val="008C670C"/>
    <w:rsid w:val="008C673A"/>
    <w:rsid w:val="008C679F"/>
    <w:rsid w:val="008C6DB4"/>
    <w:rsid w:val="008C70A5"/>
    <w:rsid w:val="008C7153"/>
    <w:rsid w:val="008C724C"/>
    <w:rsid w:val="008C731E"/>
    <w:rsid w:val="008C75C1"/>
    <w:rsid w:val="008C7765"/>
    <w:rsid w:val="008C7872"/>
    <w:rsid w:val="008C7A08"/>
    <w:rsid w:val="008C7A14"/>
    <w:rsid w:val="008C7A45"/>
    <w:rsid w:val="008C7AF2"/>
    <w:rsid w:val="008C7B07"/>
    <w:rsid w:val="008C7D0F"/>
    <w:rsid w:val="008D027D"/>
    <w:rsid w:val="008D035D"/>
    <w:rsid w:val="008D0384"/>
    <w:rsid w:val="008D0408"/>
    <w:rsid w:val="008D0620"/>
    <w:rsid w:val="008D088F"/>
    <w:rsid w:val="008D096E"/>
    <w:rsid w:val="008D0B5C"/>
    <w:rsid w:val="008D0B62"/>
    <w:rsid w:val="008D0C5E"/>
    <w:rsid w:val="008D12B3"/>
    <w:rsid w:val="008D138B"/>
    <w:rsid w:val="008D13F4"/>
    <w:rsid w:val="008D1550"/>
    <w:rsid w:val="008D18E7"/>
    <w:rsid w:val="008D1962"/>
    <w:rsid w:val="008D1985"/>
    <w:rsid w:val="008D19EC"/>
    <w:rsid w:val="008D1A57"/>
    <w:rsid w:val="008D1AD3"/>
    <w:rsid w:val="008D1BEE"/>
    <w:rsid w:val="008D1C61"/>
    <w:rsid w:val="008D1CDF"/>
    <w:rsid w:val="008D1E02"/>
    <w:rsid w:val="008D1F82"/>
    <w:rsid w:val="008D236B"/>
    <w:rsid w:val="008D25EC"/>
    <w:rsid w:val="008D2782"/>
    <w:rsid w:val="008D27F0"/>
    <w:rsid w:val="008D2945"/>
    <w:rsid w:val="008D2B8D"/>
    <w:rsid w:val="008D2CA0"/>
    <w:rsid w:val="008D3312"/>
    <w:rsid w:val="008D334D"/>
    <w:rsid w:val="008D34A0"/>
    <w:rsid w:val="008D356D"/>
    <w:rsid w:val="008D35E2"/>
    <w:rsid w:val="008D3896"/>
    <w:rsid w:val="008D39F2"/>
    <w:rsid w:val="008D3A50"/>
    <w:rsid w:val="008D3A90"/>
    <w:rsid w:val="008D3BF4"/>
    <w:rsid w:val="008D3DF6"/>
    <w:rsid w:val="008D413A"/>
    <w:rsid w:val="008D4296"/>
    <w:rsid w:val="008D4481"/>
    <w:rsid w:val="008D468E"/>
    <w:rsid w:val="008D47C1"/>
    <w:rsid w:val="008D4A49"/>
    <w:rsid w:val="008D4E5F"/>
    <w:rsid w:val="008D4E96"/>
    <w:rsid w:val="008D4EED"/>
    <w:rsid w:val="008D4FAA"/>
    <w:rsid w:val="008D5187"/>
    <w:rsid w:val="008D51A6"/>
    <w:rsid w:val="008D5220"/>
    <w:rsid w:val="008D533E"/>
    <w:rsid w:val="008D5451"/>
    <w:rsid w:val="008D5756"/>
    <w:rsid w:val="008D5E94"/>
    <w:rsid w:val="008D6063"/>
    <w:rsid w:val="008D6202"/>
    <w:rsid w:val="008D6227"/>
    <w:rsid w:val="008D62A9"/>
    <w:rsid w:val="008D6491"/>
    <w:rsid w:val="008D6930"/>
    <w:rsid w:val="008D6B6F"/>
    <w:rsid w:val="008D6E51"/>
    <w:rsid w:val="008D6F57"/>
    <w:rsid w:val="008D70D1"/>
    <w:rsid w:val="008D72DB"/>
    <w:rsid w:val="008D75F5"/>
    <w:rsid w:val="008D7883"/>
    <w:rsid w:val="008D7ADD"/>
    <w:rsid w:val="008D7C61"/>
    <w:rsid w:val="008D7C77"/>
    <w:rsid w:val="008D7D63"/>
    <w:rsid w:val="008D7DB9"/>
    <w:rsid w:val="008E0382"/>
    <w:rsid w:val="008E03A4"/>
    <w:rsid w:val="008E094A"/>
    <w:rsid w:val="008E0C6C"/>
    <w:rsid w:val="008E0D68"/>
    <w:rsid w:val="008E0DF9"/>
    <w:rsid w:val="008E15A4"/>
    <w:rsid w:val="008E16A2"/>
    <w:rsid w:val="008E16CC"/>
    <w:rsid w:val="008E1882"/>
    <w:rsid w:val="008E1A4D"/>
    <w:rsid w:val="008E1B68"/>
    <w:rsid w:val="008E217A"/>
    <w:rsid w:val="008E22C9"/>
    <w:rsid w:val="008E257A"/>
    <w:rsid w:val="008E26A6"/>
    <w:rsid w:val="008E2B28"/>
    <w:rsid w:val="008E2C11"/>
    <w:rsid w:val="008E2D42"/>
    <w:rsid w:val="008E2E29"/>
    <w:rsid w:val="008E3064"/>
    <w:rsid w:val="008E3099"/>
    <w:rsid w:val="008E31AA"/>
    <w:rsid w:val="008E33D9"/>
    <w:rsid w:val="008E33EC"/>
    <w:rsid w:val="008E3540"/>
    <w:rsid w:val="008E35EA"/>
    <w:rsid w:val="008E36F1"/>
    <w:rsid w:val="008E38A6"/>
    <w:rsid w:val="008E3A47"/>
    <w:rsid w:val="008E3B45"/>
    <w:rsid w:val="008E3FC1"/>
    <w:rsid w:val="008E408E"/>
    <w:rsid w:val="008E41BC"/>
    <w:rsid w:val="008E42C2"/>
    <w:rsid w:val="008E45AB"/>
    <w:rsid w:val="008E491A"/>
    <w:rsid w:val="008E498E"/>
    <w:rsid w:val="008E4A85"/>
    <w:rsid w:val="008E4A9E"/>
    <w:rsid w:val="008E4B63"/>
    <w:rsid w:val="008E4C10"/>
    <w:rsid w:val="008E4F71"/>
    <w:rsid w:val="008E50C4"/>
    <w:rsid w:val="008E5296"/>
    <w:rsid w:val="008E52D8"/>
    <w:rsid w:val="008E536E"/>
    <w:rsid w:val="008E5427"/>
    <w:rsid w:val="008E543E"/>
    <w:rsid w:val="008E54B5"/>
    <w:rsid w:val="008E5592"/>
    <w:rsid w:val="008E5773"/>
    <w:rsid w:val="008E57D2"/>
    <w:rsid w:val="008E5CC4"/>
    <w:rsid w:val="008E607F"/>
    <w:rsid w:val="008E60F6"/>
    <w:rsid w:val="008E61A8"/>
    <w:rsid w:val="008E6435"/>
    <w:rsid w:val="008E654F"/>
    <w:rsid w:val="008E6745"/>
    <w:rsid w:val="008E675D"/>
    <w:rsid w:val="008E6793"/>
    <w:rsid w:val="008E6804"/>
    <w:rsid w:val="008E68CE"/>
    <w:rsid w:val="008E6A12"/>
    <w:rsid w:val="008E6AE1"/>
    <w:rsid w:val="008E6BA2"/>
    <w:rsid w:val="008E6CC7"/>
    <w:rsid w:val="008E6CD1"/>
    <w:rsid w:val="008E6E12"/>
    <w:rsid w:val="008E6F88"/>
    <w:rsid w:val="008E6FA4"/>
    <w:rsid w:val="008E702C"/>
    <w:rsid w:val="008E7125"/>
    <w:rsid w:val="008E78B2"/>
    <w:rsid w:val="008E7960"/>
    <w:rsid w:val="008E7A66"/>
    <w:rsid w:val="008E7BB0"/>
    <w:rsid w:val="008E7D4D"/>
    <w:rsid w:val="008F0233"/>
    <w:rsid w:val="008F03B2"/>
    <w:rsid w:val="008F0492"/>
    <w:rsid w:val="008F0570"/>
    <w:rsid w:val="008F0881"/>
    <w:rsid w:val="008F0AF1"/>
    <w:rsid w:val="008F0B8E"/>
    <w:rsid w:val="008F0DB2"/>
    <w:rsid w:val="008F1039"/>
    <w:rsid w:val="008F113A"/>
    <w:rsid w:val="008F115D"/>
    <w:rsid w:val="008F1200"/>
    <w:rsid w:val="008F12F6"/>
    <w:rsid w:val="008F1377"/>
    <w:rsid w:val="008F13BA"/>
    <w:rsid w:val="008F13F1"/>
    <w:rsid w:val="008F1660"/>
    <w:rsid w:val="008F16AB"/>
    <w:rsid w:val="008F19AD"/>
    <w:rsid w:val="008F1AF9"/>
    <w:rsid w:val="008F1C2B"/>
    <w:rsid w:val="008F1EE2"/>
    <w:rsid w:val="008F2154"/>
    <w:rsid w:val="008F219C"/>
    <w:rsid w:val="008F229D"/>
    <w:rsid w:val="008F22E7"/>
    <w:rsid w:val="008F233D"/>
    <w:rsid w:val="008F264E"/>
    <w:rsid w:val="008F26AE"/>
    <w:rsid w:val="008F2707"/>
    <w:rsid w:val="008F2C50"/>
    <w:rsid w:val="008F2C7E"/>
    <w:rsid w:val="008F2E06"/>
    <w:rsid w:val="008F2F6B"/>
    <w:rsid w:val="008F3170"/>
    <w:rsid w:val="008F3232"/>
    <w:rsid w:val="008F3234"/>
    <w:rsid w:val="008F34B5"/>
    <w:rsid w:val="008F35E6"/>
    <w:rsid w:val="008F3BBF"/>
    <w:rsid w:val="008F3BE8"/>
    <w:rsid w:val="008F3F1F"/>
    <w:rsid w:val="008F3F41"/>
    <w:rsid w:val="008F4019"/>
    <w:rsid w:val="008F4036"/>
    <w:rsid w:val="008F42C7"/>
    <w:rsid w:val="008F42F2"/>
    <w:rsid w:val="008F4391"/>
    <w:rsid w:val="008F465B"/>
    <w:rsid w:val="008F46AD"/>
    <w:rsid w:val="008F48AC"/>
    <w:rsid w:val="008F490A"/>
    <w:rsid w:val="008F495B"/>
    <w:rsid w:val="008F49DE"/>
    <w:rsid w:val="008F4B40"/>
    <w:rsid w:val="008F4DD8"/>
    <w:rsid w:val="008F4F01"/>
    <w:rsid w:val="008F51AE"/>
    <w:rsid w:val="008F54E2"/>
    <w:rsid w:val="008F5546"/>
    <w:rsid w:val="008F5602"/>
    <w:rsid w:val="008F58FC"/>
    <w:rsid w:val="008F5D60"/>
    <w:rsid w:val="008F5E64"/>
    <w:rsid w:val="008F5E73"/>
    <w:rsid w:val="008F6104"/>
    <w:rsid w:val="008F6161"/>
    <w:rsid w:val="008F6189"/>
    <w:rsid w:val="008F618A"/>
    <w:rsid w:val="008F6250"/>
    <w:rsid w:val="008F651F"/>
    <w:rsid w:val="008F65F8"/>
    <w:rsid w:val="008F66C0"/>
    <w:rsid w:val="008F67A4"/>
    <w:rsid w:val="008F6E98"/>
    <w:rsid w:val="008F6FBB"/>
    <w:rsid w:val="008F71C7"/>
    <w:rsid w:val="008F7514"/>
    <w:rsid w:val="008F754D"/>
    <w:rsid w:val="008F7570"/>
    <w:rsid w:val="008F77BC"/>
    <w:rsid w:val="008F785F"/>
    <w:rsid w:val="008F7901"/>
    <w:rsid w:val="008F7D32"/>
    <w:rsid w:val="008F7E9C"/>
    <w:rsid w:val="00900043"/>
    <w:rsid w:val="0090021C"/>
    <w:rsid w:val="00900634"/>
    <w:rsid w:val="0090063A"/>
    <w:rsid w:val="009006A5"/>
    <w:rsid w:val="009007E3"/>
    <w:rsid w:val="00900977"/>
    <w:rsid w:val="00900CE3"/>
    <w:rsid w:val="00900D1F"/>
    <w:rsid w:val="00900D41"/>
    <w:rsid w:val="00900E2D"/>
    <w:rsid w:val="00901465"/>
    <w:rsid w:val="009014E6"/>
    <w:rsid w:val="0090150E"/>
    <w:rsid w:val="009016A2"/>
    <w:rsid w:val="009017B9"/>
    <w:rsid w:val="00901930"/>
    <w:rsid w:val="00901A7B"/>
    <w:rsid w:val="00901C54"/>
    <w:rsid w:val="00901C87"/>
    <w:rsid w:val="00901D9B"/>
    <w:rsid w:val="00901DD0"/>
    <w:rsid w:val="00901E7F"/>
    <w:rsid w:val="0090200C"/>
    <w:rsid w:val="0090216A"/>
    <w:rsid w:val="009021B5"/>
    <w:rsid w:val="00902213"/>
    <w:rsid w:val="009022B5"/>
    <w:rsid w:val="00902536"/>
    <w:rsid w:val="00902A7F"/>
    <w:rsid w:val="00902B1D"/>
    <w:rsid w:val="00902B7E"/>
    <w:rsid w:val="009030F5"/>
    <w:rsid w:val="00903362"/>
    <w:rsid w:val="00903744"/>
    <w:rsid w:val="00903801"/>
    <w:rsid w:val="009038A0"/>
    <w:rsid w:val="009038A6"/>
    <w:rsid w:val="009038FB"/>
    <w:rsid w:val="0090394E"/>
    <w:rsid w:val="00903A78"/>
    <w:rsid w:val="00903CDB"/>
    <w:rsid w:val="0090405C"/>
    <w:rsid w:val="0090418C"/>
    <w:rsid w:val="009041E3"/>
    <w:rsid w:val="00904216"/>
    <w:rsid w:val="009045E2"/>
    <w:rsid w:val="009047DB"/>
    <w:rsid w:val="00904867"/>
    <w:rsid w:val="00904A16"/>
    <w:rsid w:val="00904BB5"/>
    <w:rsid w:val="00905011"/>
    <w:rsid w:val="00905013"/>
    <w:rsid w:val="00905378"/>
    <w:rsid w:val="009055D6"/>
    <w:rsid w:val="009055F7"/>
    <w:rsid w:val="0090561C"/>
    <w:rsid w:val="009056E9"/>
    <w:rsid w:val="00905A31"/>
    <w:rsid w:val="00905AD3"/>
    <w:rsid w:val="00905B1B"/>
    <w:rsid w:val="00905C16"/>
    <w:rsid w:val="00905E7D"/>
    <w:rsid w:val="00905F17"/>
    <w:rsid w:val="00905F61"/>
    <w:rsid w:val="009060CA"/>
    <w:rsid w:val="00906418"/>
    <w:rsid w:val="009064AC"/>
    <w:rsid w:val="00906A81"/>
    <w:rsid w:val="00906DFF"/>
    <w:rsid w:val="00906E38"/>
    <w:rsid w:val="00906F1F"/>
    <w:rsid w:val="00906F5D"/>
    <w:rsid w:val="009073CD"/>
    <w:rsid w:val="00907818"/>
    <w:rsid w:val="00907823"/>
    <w:rsid w:val="00907A73"/>
    <w:rsid w:val="00907C4C"/>
    <w:rsid w:val="00907CE6"/>
    <w:rsid w:val="00907D6B"/>
    <w:rsid w:val="00907DDF"/>
    <w:rsid w:val="00910018"/>
    <w:rsid w:val="00910026"/>
    <w:rsid w:val="0091002E"/>
    <w:rsid w:val="00910091"/>
    <w:rsid w:val="009102C9"/>
    <w:rsid w:val="00910385"/>
    <w:rsid w:val="009103D1"/>
    <w:rsid w:val="00910416"/>
    <w:rsid w:val="009104F4"/>
    <w:rsid w:val="009105C7"/>
    <w:rsid w:val="009106D2"/>
    <w:rsid w:val="00910838"/>
    <w:rsid w:val="00910A85"/>
    <w:rsid w:val="00910ACF"/>
    <w:rsid w:val="00910CD7"/>
    <w:rsid w:val="00910D39"/>
    <w:rsid w:val="00911061"/>
    <w:rsid w:val="0091142F"/>
    <w:rsid w:val="009115B1"/>
    <w:rsid w:val="009117B9"/>
    <w:rsid w:val="00911954"/>
    <w:rsid w:val="00911A3B"/>
    <w:rsid w:val="00911A6C"/>
    <w:rsid w:val="00911B3E"/>
    <w:rsid w:val="00911FC9"/>
    <w:rsid w:val="0091235B"/>
    <w:rsid w:val="00912375"/>
    <w:rsid w:val="009123CE"/>
    <w:rsid w:val="0091272E"/>
    <w:rsid w:val="00912853"/>
    <w:rsid w:val="009128B8"/>
    <w:rsid w:val="00912A3E"/>
    <w:rsid w:val="00912B9F"/>
    <w:rsid w:val="00912C2B"/>
    <w:rsid w:val="00912C61"/>
    <w:rsid w:val="00913145"/>
    <w:rsid w:val="00913160"/>
    <w:rsid w:val="00913195"/>
    <w:rsid w:val="009133F7"/>
    <w:rsid w:val="009134E8"/>
    <w:rsid w:val="00913921"/>
    <w:rsid w:val="00913AF1"/>
    <w:rsid w:val="00913B23"/>
    <w:rsid w:val="00913B65"/>
    <w:rsid w:val="00913D14"/>
    <w:rsid w:val="00913F4D"/>
    <w:rsid w:val="0091408A"/>
    <w:rsid w:val="00914259"/>
    <w:rsid w:val="00914307"/>
    <w:rsid w:val="0091435F"/>
    <w:rsid w:val="00914496"/>
    <w:rsid w:val="0091456A"/>
    <w:rsid w:val="00914705"/>
    <w:rsid w:val="0091472E"/>
    <w:rsid w:val="00914914"/>
    <w:rsid w:val="0091495E"/>
    <w:rsid w:val="00914A6F"/>
    <w:rsid w:val="00914B62"/>
    <w:rsid w:val="00914B7C"/>
    <w:rsid w:val="00914D6D"/>
    <w:rsid w:val="00914E7B"/>
    <w:rsid w:val="00914F6B"/>
    <w:rsid w:val="0091501C"/>
    <w:rsid w:val="009151A6"/>
    <w:rsid w:val="0091529F"/>
    <w:rsid w:val="009152C2"/>
    <w:rsid w:val="009153C8"/>
    <w:rsid w:val="00915446"/>
    <w:rsid w:val="0091559D"/>
    <w:rsid w:val="00915687"/>
    <w:rsid w:val="009156BF"/>
    <w:rsid w:val="00915799"/>
    <w:rsid w:val="0091593C"/>
    <w:rsid w:val="009159A3"/>
    <w:rsid w:val="00915C93"/>
    <w:rsid w:val="00915CB5"/>
    <w:rsid w:val="00915D9B"/>
    <w:rsid w:val="00915DAC"/>
    <w:rsid w:val="009163A7"/>
    <w:rsid w:val="009163FB"/>
    <w:rsid w:val="00916458"/>
    <w:rsid w:val="00916699"/>
    <w:rsid w:val="009167CD"/>
    <w:rsid w:val="009168B0"/>
    <w:rsid w:val="00916CEB"/>
    <w:rsid w:val="00916D1A"/>
    <w:rsid w:val="00916ECA"/>
    <w:rsid w:val="00917153"/>
    <w:rsid w:val="00917599"/>
    <w:rsid w:val="009176DD"/>
    <w:rsid w:val="00917811"/>
    <w:rsid w:val="00917953"/>
    <w:rsid w:val="00917AB6"/>
    <w:rsid w:val="00917D25"/>
    <w:rsid w:val="00917E11"/>
    <w:rsid w:val="00917E83"/>
    <w:rsid w:val="00917EA9"/>
    <w:rsid w:val="00917FC4"/>
    <w:rsid w:val="00920224"/>
    <w:rsid w:val="0092030D"/>
    <w:rsid w:val="009205DC"/>
    <w:rsid w:val="00920880"/>
    <w:rsid w:val="009208B7"/>
    <w:rsid w:val="0092095D"/>
    <w:rsid w:val="00920A4D"/>
    <w:rsid w:val="00920DB5"/>
    <w:rsid w:val="00920E7A"/>
    <w:rsid w:val="00920FF1"/>
    <w:rsid w:val="009211CB"/>
    <w:rsid w:val="0092125C"/>
    <w:rsid w:val="0092125D"/>
    <w:rsid w:val="009215C8"/>
    <w:rsid w:val="009216E0"/>
    <w:rsid w:val="009219E3"/>
    <w:rsid w:val="00921B56"/>
    <w:rsid w:val="00921C2C"/>
    <w:rsid w:val="00921E74"/>
    <w:rsid w:val="0092206E"/>
    <w:rsid w:val="009220C6"/>
    <w:rsid w:val="00922126"/>
    <w:rsid w:val="00922141"/>
    <w:rsid w:val="009224AE"/>
    <w:rsid w:val="00922506"/>
    <w:rsid w:val="00922545"/>
    <w:rsid w:val="00922A30"/>
    <w:rsid w:val="00922A3F"/>
    <w:rsid w:val="00922B1C"/>
    <w:rsid w:val="00922B8B"/>
    <w:rsid w:val="00922D8A"/>
    <w:rsid w:val="00922DDF"/>
    <w:rsid w:val="009230A8"/>
    <w:rsid w:val="00923257"/>
    <w:rsid w:val="00923271"/>
    <w:rsid w:val="00923568"/>
    <w:rsid w:val="00923586"/>
    <w:rsid w:val="009236DA"/>
    <w:rsid w:val="009236F2"/>
    <w:rsid w:val="0092380B"/>
    <w:rsid w:val="0092393E"/>
    <w:rsid w:val="00923B40"/>
    <w:rsid w:val="00923F1F"/>
    <w:rsid w:val="00924565"/>
    <w:rsid w:val="0092459C"/>
    <w:rsid w:val="009245E3"/>
    <w:rsid w:val="0092470F"/>
    <w:rsid w:val="009247A7"/>
    <w:rsid w:val="00924876"/>
    <w:rsid w:val="009248B1"/>
    <w:rsid w:val="00924B0A"/>
    <w:rsid w:val="00924BD5"/>
    <w:rsid w:val="00924BF7"/>
    <w:rsid w:val="00924C6A"/>
    <w:rsid w:val="00924CF6"/>
    <w:rsid w:val="00924D95"/>
    <w:rsid w:val="00925076"/>
    <w:rsid w:val="00925085"/>
    <w:rsid w:val="0092527E"/>
    <w:rsid w:val="009252F7"/>
    <w:rsid w:val="009255CA"/>
    <w:rsid w:val="009256FA"/>
    <w:rsid w:val="00925763"/>
    <w:rsid w:val="00925765"/>
    <w:rsid w:val="0092576A"/>
    <w:rsid w:val="00925848"/>
    <w:rsid w:val="00925E0E"/>
    <w:rsid w:val="00925EFF"/>
    <w:rsid w:val="00925F81"/>
    <w:rsid w:val="00926088"/>
    <w:rsid w:val="009260D3"/>
    <w:rsid w:val="0092625B"/>
    <w:rsid w:val="0092636C"/>
    <w:rsid w:val="00926469"/>
    <w:rsid w:val="009267CB"/>
    <w:rsid w:val="009267D5"/>
    <w:rsid w:val="00926A31"/>
    <w:rsid w:val="00926BC2"/>
    <w:rsid w:val="00926FE7"/>
    <w:rsid w:val="00927243"/>
    <w:rsid w:val="00927336"/>
    <w:rsid w:val="00927459"/>
    <w:rsid w:val="00927618"/>
    <w:rsid w:val="0092770C"/>
    <w:rsid w:val="00927768"/>
    <w:rsid w:val="009277CE"/>
    <w:rsid w:val="009279E8"/>
    <w:rsid w:val="00927A6B"/>
    <w:rsid w:val="00927AA3"/>
    <w:rsid w:val="00927B2C"/>
    <w:rsid w:val="00927CD6"/>
    <w:rsid w:val="00927D69"/>
    <w:rsid w:val="00927DC8"/>
    <w:rsid w:val="00927F2F"/>
    <w:rsid w:val="00927F69"/>
    <w:rsid w:val="00927F87"/>
    <w:rsid w:val="00930A6E"/>
    <w:rsid w:val="00930CFB"/>
    <w:rsid w:val="00930F8E"/>
    <w:rsid w:val="00931176"/>
    <w:rsid w:val="00931388"/>
    <w:rsid w:val="00931478"/>
    <w:rsid w:val="00931693"/>
    <w:rsid w:val="009316D0"/>
    <w:rsid w:val="00931A99"/>
    <w:rsid w:val="00931B6B"/>
    <w:rsid w:val="00931C21"/>
    <w:rsid w:val="00931CC3"/>
    <w:rsid w:val="00931F24"/>
    <w:rsid w:val="00931FD9"/>
    <w:rsid w:val="0093219C"/>
    <w:rsid w:val="009321AF"/>
    <w:rsid w:val="009321E8"/>
    <w:rsid w:val="00932242"/>
    <w:rsid w:val="00932246"/>
    <w:rsid w:val="00932489"/>
    <w:rsid w:val="009325A4"/>
    <w:rsid w:val="0093262A"/>
    <w:rsid w:val="00932715"/>
    <w:rsid w:val="0093273E"/>
    <w:rsid w:val="00932798"/>
    <w:rsid w:val="009327FA"/>
    <w:rsid w:val="009328DB"/>
    <w:rsid w:val="009329AB"/>
    <w:rsid w:val="009329AC"/>
    <w:rsid w:val="00932CBE"/>
    <w:rsid w:val="00932F5F"/>
    <w:rsid w:val="00932F87"/>
    <w:rsid w:val="00933026"/>
    <w:rsid w:val="009330CE"/>
    <w:rsid w:val="009330FB"/>
    <w:rsid w:val="0093318D"/>
    <w:rsid w:val="00933603"/>
    <w:rsid w:val="009337E5"/>
    <w:rsid w:val="009337F2"/>
    <w:rsid w:val="00933E37"/>
    <w:rsid w:val="00933E7C"/>
    <w:rsid w:val="00934054"/>
    <w:rsid w:val="00934438"/>
    <w:rsid w:val="00934573"/>
    <w:rsid w:val="0093463A"/>
    <w:rsid w:val="00934716"/>
    <w:rsid w:val="00934813"/>
    <w:rsid w:val="00934ACD"/>
    <w:rsid w:val="00934C39"/>
    <w:rsid w:val="00934D91"/>
    <w:rsid w:val="00935156"/>
    <w:rsid w:val="00935187"/>
    <w:rsid w:val="0093538E"/>
    <w:rsid w:val="009355CF"/>
    <w:rsid w:val="00935798"/>
    <w:rsid w:val="00935BB0"/>
    <w:rsid w:val="00935EAC"/>
    <w:rsid w:val="0093601B"/>
    <w:rsid w:val="00936163"/>
    <w:rsid w:val="0093622A"/>
    <w:rsid w:val="009362C2"/>
    <w:rsid w:val="00936496"/>
    <w:rsid w:val="009364BA"/>
    <w:rsid w:val="00936526"/>
    <w:rsid w:val="00936541"/>
    <w:rsid w:val="00936681"/>
    <w:rsid w:val="009366A1"/>
    <w:rsid w:val="00936946"/>
    <w:rsid w:val="009369A4"/>
    <w:rsid w:val="00936C25"/>
    <w:rsid w:val="00936C89"/>
    <w:rsid w:val="00936F35"/>
    <w:rsid w:val="009372A0"/>
    <w:rsid w:val="009373BD"/>
    <w:rsid w:val="009375EC"/>
    <w:rsid w:val="009376EB"/>
    <w:rsid w:val="009376F7"/>
    <w:rsid w:val="009377C8"/>
    <w:rsid w:val="0093782D"/>
    <w:rsid w:val="009378B4"/>
    <w:rsid w:val="00937C4D"/>
    <w:rsid w:val="00937CD4"/>
    <w:rsid w:val="00937CF1"/>
    <w:rsid w:val="00937E80"/>
    <w:rsid w:val="00937EA8"/>
    <w:rsid w:val="00937FC0"/>
    <w:rsid w:val="009401B5"/>
    <w:rsid w:val="0094093F"/>
    <w:rsid w:val="00940D1F"/>
    <w:rsid w:val="00941091"/>
    <w:rsid w:val="00941639"/>
    <w:rsid w:val="009416D5"/>
    <w:rsid w:val="0094177B"/>
    <w:rsid w:val="009417F3"/>
    <w:rsid w:val="00941902"/>
    <w:rsid w:val="0094195E"/>
    <w:rsid w:val="00941A5E"/>
    <w:rsid w:val="00941A81"/>
    <w:rsid w:val="0094210D"/>
    <w:rsid w:val="009423A5"/>
    <w:rsid w:val="0094257D"/>
    <w:rsid w:val="0094260C"/>
    <w:rsid w:val="009428DF"/>
    <w:rsid w:val="00942AC4"/>
    <w:rsid w:val="00942CE4"/>
    <w:rsid w:val="00942F97"/>
    <w:rsid w:val="00942FE9"/>
    <w:rsid w:val="00943102"/>
    <w:rsid w:val="00943165"/>
    <w:rsid w:val="0094316F"/>
    <w:rsid w:val="00943440"/>
    <w:rsid w:val="009434E2"/>
    <w:rsid w:val="0094364C"/>
    <w:rsid w:val="009436D1"/>
    <w:rsid w:val="00943911"/>
    <w:rsid w:val="009439D7"/>
    <w:rsid w:val="00943A3E"/>
    <w:rsid w:val="00943B67"/>
    <w:rsid w:val="00943BFD"/>
    <w:rsid w:val="00943C6B"/>
    <w:rsid w:val="00943E6B"/>
    <w:rsid w:val="00943F8E"/>
    <w:rsid w:val="009441A8"/>
    <w:rsid w:val="009441E7"/>
    <w:rsid w:val="0094427D"/>
    <w:rsid w:val="00944471"/>
    <w:rsid w:val="009445DE"/>
    <w:rsid w:val="0094491A"/>
    <w:rsid w:val="00944A77"/>
    <w:rsid w:val="00944A88"/>
    <w:rsid w:val="00944BDA"/>
    <w:rsid w:val="00944C03"/>
    <w:rsid w:val="00944D78"/>
    <w:rsid w:val="00944EA4"/>
    <w:rsid w:val="00944F76"/>
    <w:rsid w:val="00945162"/>
    <w:rsid w:val="00945317"/>
    <w:rsid w:val="00945490"/>
    <w:rsid w:val="009454F5"/>
    <w:rsid w:val="009459BD"/>
    <w:rsid w:val="00945C7F"/>
    <w:rsid w:val="00945DBB"/>
    <w:rsid w:val="00945DC2"/>
    <w:rsid w:val="00945E61"/>
    <w:rsid w:val="00945E98"/>
    <w:rsid w:val="00945FE4"/>
    <w:rsid w:val="00946003"/>
    <w:rsid w:val="00946064"/>
    <w:rsid w:val="00946161"/>
    <w:rsid w:val="0094642D"/>
    <w:rsid w:val="00946943"/>
    <w:rsid w:val="00946A0A"/>
    <w:rsid w:val="00946A19"/>
    <w:rsid w:val="00946A50"/>
    <w:rsid w:val="00946AAB"/>
    <w:rsid w:val="00946C0A"/>
    <w:rsid w:val="00946CE8"/>
    <w:rsid w:val="00946DA6"/>
    <w:rsid w:val="009471EE"/>
    <w:rsid w:val="009472AE"/>
    <w:rsid w:val="009474A0"/>
    <w:rsid w:val="009478CB"/>
    <w:rsid w:val="00947A61"/>
    <w:rsid w:val="00947AC6"/>
    <w:rsid w:val="00947EAC"/>
    <w:rsid w:val="00947F30"/>
    <w:rsid w:val="009500C4"/>
    <w:rsid w:val="009501B8"/>
    <w:rsid w:val="0095026E"/>
    <w:rsid w:val="0095032C"/>
    <w:rsid w:val="0095038F"/>
    <w:rsid w:val="00950466"/>
    <w:rsid w:val="009505D1"/>
    <w:rsid w:val="0095097D"/>
    <w:rsid w:val="00950CBB"/>
    <w:rsid w:val="00950E89"/>
    <w:rsid w:val="009513FF"/>
    <w:rsid w:val="009514A6"/>
    <w:rsid w:val="00951528"/>
    <w:rsid w:val="00951618"/>
    <w:rsid w:val="00951731"/>
    <w:rsid w:val="009519F9"/>
    <w:rsid w:val="00951BBE"/>
    <w:rsid w:val="00951D13"/>
    <w:rsid w:val="0095214E"/>
    <w:rsid w:val="0095227A"/>
    <w:rsid w:val="00952363"/>
    <w:rsid w:val="009526A6"/>
    <w:rsid w:val="009528E8"/>
    <w:rsid w:val="00952951"/>
    <w:rsid w:val="00952973"/>
    <w:rsid w:val="00952977"/>
    <w:rsid w:val="00952A5A"/>
    <w:rsid w:val="00952AD0"/>
    <w:rsid w:val="00952C53"/>
    <w:rsid w:val="00952D41"/>
    <w:rsid w:val="00952DA1"/>
    <w:rsid w:val="00952F3F"/>
    <w:rsid w:val="00953356"/>
    <w:rsid w:val="0095365A"/>
    <w:rsid w:val="0095373A"/>
    <w:rsid w:val="0095381E"/>
    <w:rsid w:val="009539E0"/>
    <w:rsid w:val="00953AA5"/>
    <w:rsid w:val="00953AB2"/>
    <w:rsid w:val="00953D3A"/>
    <w:rsid w:val="00953F92"/>
    <w:rsid w:val="0095402F"/>
    <w:rsid w:val="00954090"/>
    <w:rsid w:val="009540D8"/>
    <w:rsid w:val="009542FD"/>
    <w:rsid w:val="009543CD"/>
    <w:rsid w:val="00954650"/>
    <w:rsid w:val="009546C4"/>
    <w:rsid w:val="0095498B"/>
    <w:rsid w:val="00954AE9"/>
    <w:rsid w:val="00954AED"/>
    <w:rsid w:val="00954B7D"/>
    <w:rsid w:val="00954C1F"/>
    <w:rsid w:val="00954D2A"/>
    <w:rsid w:val="009550A1"/>
    <w:rsid w:val="0095511A"/>
    <w:rsid w:val="00955268"/>
    <w:rsid w:val="00955363"/>
    <w:rsid w:val="00955519"/>
    <w:rsid w:val="0095555E"/>
    <w:rsid w:val="009555AF"/>
    <w:rsid w:val="0095569C"/>
    <w:rsid w:val="0095580F"/>
    <w:rsid w:val="00955A1C"/>
    <w:rsid w:val="00955A5D"/>
    <w:rsid w:val="00955AD0"/>
    <w:rsid w:val="00955AF0"/>
    <w:rsid w:val="00955C66"/>
    <w:rsid w:val="00955D69"/>
    <w:rsid w:val="00955E88"/>
    <w:rsid w:val="00955E98"/>
    <w:rsid w:val="00955FC9"/>
    <w:rsid w:val="009562D2"/>
    <w:rsid w:val="009564A0"/>
    <w:rsid w:val="009565AD"/>
    <w:rsid w:val="009565FE"/>
    <w:rsid w:val="0095660D"/>
    <w:rsid w:val="00956623"/>
    <w:rsid w:val="00956752"/>
    <w:rsid w:val="00956823"/>
    <w:rsid w:val="0095686C"/>
    <w:rsid w:val="0095687A"/>
    <w:rsid w:val="009569E4"/>
    <w:rsid w:val="00956B25"/>
    <w:rsid w:val="00956C87"/>
    <w:rsid w:val="00956F89"/>
    <w:rsid w:val="00957057"/>
    <w:rsid w:val="009570CA"/>
    <w:rsid w:val="00957168"/>
    <w:rsid w:val="009571E7"/>
    <w:rsid w:val="00957332"/>
    <w:rsid w:val="00957475"/>
    <w:rsid w:val="0095767F"/>
    <w:rsid w:val="0095773F"/>
    <w:rsid w:val="00957786"/>
    <w:rsid w:val="009578EE"/>
    <w:rsid w:val="00957990"/>
    <w:rsid w:val="00957A03"/>
    <w:rsid w:val="00957BD0"/>
    <w:rsid w:val="00957C40"/>
    <w:rsid w:val="00957C63"/>
    <w:rsid w:val="00957C6B"/>
    <w:rsid w:val="00957C9A"/>
    <w:rsid w:val="00957E6F"/>
    <w:rsid w:val="00957E92"/>
    <w:rsid w:val="00957FB4"/>
    <w:rsid w:val="0096006E"/>
    <w:rsid w:val="0096018E"/>
    <w:rsid w:val="00960206"/>
    <w:rsid w:val="00960320"/>
    <w:rsid w:val="009603D2"/>
    <w:rsid w:val="00960458"/>
    <w:rsid w:val="00960625"/>
    <w:rsid w:val="009606C1"/>
    <w:rsid w:val="00960AF2"/>
    <w:rsid w:val="00960BA1"/>
    <w:rsid w:val="00960BF8"/>
    <w:rsid w:val="00960D08"/>
    <w:rsid w:val="00960D64"/>
    <w:rsid w:val="00960EDF"/>
    <w:rsid w:val="00960F37"/>
    <w:rsid w:val="00960FE8"/>
    <w:rsid w:val="00961002"/>
    <w:rsid w:val="0096120A"/>
    <w:rsid w:val="0096138E"/>
    <w:rsid w:val="009615D4"/>
    <w:rsid w:val="0096160F"/>
    <w:rsid w:val="009616EC"/>
    <w:rsid w:val="0096182A"/>
    <w:rsid w:val="009618DC"/>
    <w:rsid w:val="00961A94"/>
    <w:rsid w:val="00961B14"/>
    <w:rsid w:val="00962058"/>
    <w:rsid w:val="0096235A"/>
    <w:rsid w:val="00962381"/>
    <w:rsid w:val="00962432"/>
    <w:rsid w:val="0096249C"/>
    <w:rsid w:val="009626FD"/>
    <w:rsid w:val="009629BA"/>
    <w:rsid w:val="009629E8"/>
    <w:rsid w:val="00962A05"/>
    <w:rsid w:val="00962ABA"/>
    <w:rsid w:val="00962D0C"/>
    <w:rsid w:val="00962D57"/>
    <w:rsid w:val="00962E66"/>
    <w:rsid w:val="00962EA4"/>
    <w:rsid w:val="009632E8"/>
    <w:rsid w:val="00963517"/>
    <w:rsid w:val="0096353C"/>
    <w:rsid w:val="00963770"/>
    <w:rsid w:val="00963A73"/>
    <w:rsid w:val="00963BD6"/>
    <w:rsid w:val="00963C10"/>
    <w:rsid w:val="00963C81"/>
    <w:rsid w:val="00963E52"/>
    <w:rsid w:val="00963E58"/>
    <w:rsid w:val="00963EAB"/>
    <w:rsid w:val="00963EF4"/>
    <w:rsid w:val="00964097"/>
    <w:rsid w:val="009640CE"/>
    <w:rsid w:val="00964104"/>
    <w:rsid w:val="00964428"/>
    <w:rsid w:val="00964616"/>
    <w:rsid w:val="0096480F"/>
    <w:rsid w:val="00964921"/>
    <w:rsid w:val="009649AE"/>
    <w:rsid w:val="00964B3E"/>
    <w:rsid w:val="00964B6A"/>
    <w:rsid w:val="00964CB4"/>
    <w:rsid w:val="00964D42"/>
    <w:rsid w:val="00964DA5"/>
    <w:rsid w:val="00964E17"/>
    <w:rsid w:val="00965027"/>
    <w:rsid w:val="009650A8"/>
    <w:rsid w:val="0096525B"/>
    <w:rsid w:val="0096543E"/>
    <w:rsid w:val="009656D5"/>
    <w:rsid w:val="00965724"/>
    <w:rsid w:val="00965853"/>
    <w:rsid w:val="0096594A"/>
    <w:rsid w:val="009659B9"/>
    <w:rsid w:val="00965AEE"/>
    <w:rsid w:val="00965BCB"/>
    <w:rsid w:val="00965BF4"/>
    <w:rsid w:val="00965FEC"/>
    <w:rsid w:val="00966238"/>
    <w:rsid w:val="00966415"/>
    <w:rsid w:val="009664F3"/>
    <w:rsid w:val="009665C6"/>
    <w:rsid w:val="00966624"/>
    <w:rsid w:val="00966719"/>
    <w:rsid w:val="00966BB9"/>
    <w:rsid w:val="00966C14"/>
    <w:rsid w:val="00966C32"/>
    <w:rsid w:val="00966DAF"/>
    <w:rsid w:val="00966FBA"/>
    <w:rsid w:val="009672E2"/>
    <w:rsid w:val="00967600"/>
    <w:rsid w:val="0096771E"/>
    <w:rsid w:val="00967860"/>
    <w:rsid w:val="009678E3"/>
    <w:rsid w:val="00967C4D"/>
    <w:rsid w:val="00967E9C"/>
    <w:rsid w:val="00970321"/>
    <w:rsid w:val="00970456"/>
    <w:rsid w:val="00970625"/>
    <w:rsid w:val="00970914"/>
    <w:rsid w:val="00970B2B"/>
    <w:rsid w:val="00970C16"/>
    <w:rsid w:val="00970D48"/>
    <w:rsid w:val="00970E8C"/>
    <w:rsid w:val="0097104A"/>
    <w:rsid w:val="00971130"/>
    <w:rsid w:val="00971193"/>
    <w:rsid w:val="009711B2"/>
    <w:rsid w:val="009713E6"/>
    <w:rsid w:val="00971404"/>
    <w:rsid w:val="00971609"/>
    <w:rsid w:val="00971611"/>
    <w:rsid w:val="009717C3"/>
    <w:rsid w:val="00971931"/>
    <w:rsid w:val="00971BBC"/>
    <w:rsid w:val="00971E16"/>
    <w:rsid w:val="00971FD3"/>
    <w:rsid w:val="009720F0"/>
    <w:rsid w:val="00972141"/>
    <w:rsid w:val="00972243"/>
    <w:rsid w:val="009722B4"/>
    <w:rsid w:val="009723CA"/>
    <w:rsid w:val="00972411"/>
    <w:rsid w:val="009724DE"/>
    <w:rsid w:val="009725EF"/>
    <w:rsid w:val="00972749"/>
    <w:rsid w:val="00972845"/>
    <w:rsid w:val="009729F3"/>
    <w:rsid w:val="00972CE8"/>
    <w:rsid w:val="00972DF1"/>
    <w:rsid w:val="00972F0F"/>
    <w:rsid w:val="00972FBE"/>
    <w:rsid w:val="00972FC6"/>
    <w:rsid w:val="0097319A"/>
    <w:rsid w:val="00973234"/>
    <w:rsid w:val="00973491"/>
    <w:rsid w:val="009735CF"/>
    <w:rsid w:val="009735E2"/>
    <w:rsid w:val="0097375A"/>
    <w:rsid w:val="00973D19"/>
    <w:rsid w:val="00973DDA"/>
    <w:rsid w:val="00973E4F"/>
    <w:rsid w:val="00974154"/>
    <w:rsid w:val="00974201"/>
    <w:rsid w:val="0097436B"/>
    <w:rsid w:val="009743E5"/>
    <w:rsid w:val="00974422"/>
    <w:rsid w:val="009744EF"/>
    <w:rsid w:val="00974542"/>
    <w:rsid w:val="00974563"/>
    <w:rsid w:val="009747B6"/>
    <w:rsid w:val="009747C0"/>
    <w:rsid w:val="009747EE"/>
    <w:rsid w:val="00974845"/>
    <w:rsid w:val="009748FB"/>
    <w:rsid w:val="00974A91"/>
    <w:rsid w:val="00974C49"/>
    <w:rsid w:val="00974C57"/>
    <w:rsid w:val="00974CD4"/>
    <w:rsid w:val="00974D6D"/>
    <w:rsid w:val="00974F7A"/>
    <w:rsid w:val="009750DA"/>
    <w:rsid w:val="00975132"/>
    <w:rsid w:val="00975374"/>
    <w:rsid w:val="009755D5"/>
    <w:rsid w:val="009755EB"/>
    <w:rsid w:val="0097566B"/>
    <w:rsid w:val="0097567F"/>
    <w:rsid w:val="00975702"/>
    <w:rsid w:val="00975766"/>
    <w:rsid w:val="0097589D"/>
    <w:rsid w:val="00975996"/>
    <w:rsid w:val="00975A07"/>
    <w:rsid w:val="00975B3E"/>
    <w:rsid w:val="00975E3F"/>
    <w:rsid w:val="00975E71"/>
    <w:rsid w:val="00975F00"/>
    <w:rsid w:val="0097619C"/>
    <w:rsid w:val="009764E8"/>
    <w:rsid w:val="00976503"/>
    <w:rsid w:val="009766DB"/>
    <w:rsid w:val="009767F4"/>
    <w:rsid w:val="009768F6"/>
    <w:rsid w:val="00976CDE"/>
    <w:rsid w:val="00976DD5"/>
    <w:rsid w:val="009770B7"/>
    <w:rsid w:val="009770EA"/>
    <w:rsid w:val="0097775C"/>
    <w:rsid w:val="0097775F"/>
    <w:rsid w:val="00977999"/>
    <w:rsid w:val="00977A31"/>
    <w:rsid w:val="00977B1A"/>
    <w:rsid w:val="00977D10"/>
    <w:rsid w:val="00977E7F"/>
    <w:rsid w:val="00977EB5"/>
    <w:rsid w:val="00977F9B"/>
    <w:rsid w:val="009803B5"/>
    <w:rsid w:val="0098045E"/>
    <w:rsid w:val="00980BF6"/>
    <w:rsid w:val="00980D98"/>
    <w:rsid w:val="00980F44"/>
    <w:rsid w:val="00980FE7"/>
    <w:rsid w:val="0098111C"/>
    <w:rsid w:val="00981131"/>
    <w:rsid w:val="0098120D"/>
    <w:rsid w:val="009812A3"/>
    <w:rsid w:val="00981489"/>
    <w:rsid w:val="009814BC"/>
    <w:rsid w:val="009817E2"/>
    <w:rsid w:val="00981807"/>
    <w:rsid w:val="00981822"/>
    <w:rsid w:val="0098183A"/>
    <w:rsid w:val="00981871"/>
    <w:rsid w:val="00981902"/>
    <w:rsid w:val="00981D3F"/>
    <w:rsid w:val="00981DCD"/>
    <w:rsid w:val="009823C5"/>
    <w:rsid w:val="0098240B"/>
    <w:rsid w:val="0098274C"/>
    <w:rsid w:val="00982941"/>
    <w:rsid w:val="00982BAF"/>
    <w:rsid w:val="00982BEC"/>
    <w:rsid w:val="00982CA3"/>
    <w:rsid w:val="00982D59"/>
    <w:rsid w:val="00982E31"/>
    <w:rsid w:val="00982ED1"/>
    <w:rsid w:val="00982FCA"/>
    <w:rsid w:val="0098306F"/>
    <w:rsid w:val="0098339C"/>
    <w:rsid w:val="009833EF"/>
    <w:rsid w:val="00983470"/>
    <w:rsid w:val="009834D2"/>
    <w:rsid w:val="00983556"/>
    <w:rsid w:val="0098366B"/>
    <w:rsid w:val="009836C2"/>
    <w:rsid w:val="009836C9"/>
    <w:rsid w:val="00983887"/>
    <w:rsid w:val="00983C8E"/>
    <w:rsid w:val="009840D0"/>
    <w:rsid w:val="00984119"/>
    <w:rsid w:val="009841E1"/>
    <w:rsid w:val="009844DD"/>
    <w:rsid w:val="0098455B"/>
    <w:rsid w:val="009846E5"/>
    <w:rsid w:val="009847C8"/>
    <w:rsid w:val="00984853"/>
    <w:rsid w:val="00984910"/>
    <w:rsid w:val="00984AF3"/>
    <w:rsid w:val="00984B16"/>
    <w:rsid w:val="00984B51"/>
    <w:rsid w:val="00984BCD"/>
    <w:rsid w:val="00984D35"/>
    <w:rsid w:val="009851C5"/>
    <w:rsid w:val="00985299"/>
    <w:rsid w:val="0098537F"/>
    <w:rsid w:val="00985732"/>
    <w:rsid w:val="009858B9"/>
    <w:rsid w:val="00985B8E"/>
    <w:rsid w:val="00985CFB"/>
    <w:rsid w:val="00985D24"/>
    <w:rsid w:val="00985E4E"/>
    <w:rsid w:val="009860E1"/>
    <w:rsid w:val="009861B6"/>
    <w:rsid w:val="009862A0"/>
    <w:rsid w:val="009864B6"/>
    <w:rsid w:val="009865C9"/>
    <w:rsid w:val="009865D1"/>
    <w:rsid w:val="0098694A"/>
    <w:rsid w:val="00986A0C"/>
    <w:rsid w:val="00986BB4"/>
    <w:rsid w:val="00986D08"/>
    <w:rsid w:val="00986E06"/>
    <w:rsid w:val="00986E10"/>
    <w:rsid w:val="00986EA3"/>
    <w:rsid w:val="009871B0"/>
    <w:rsid w:val="00987206"/>
    <w:rsid w:val="0098720D"/>
    <w:rsid w:val="00987262"/>
    <w:rsid w:val="009873F5"/>
    <w:rsid w:val="0098757A"/>
    <w:rsid w:val="00987622"/>
    <w:rsid w:val="009876DA"/>
    <w:rsid w:val="009879DB"/>
    <w:rsid w:val="00987C55"/>
    <w:rsid w:val="00987DD3"/>
    <w:rsid w:val="00987E05"/>
    <w:rsid w:val="009901D4"/>
    <w:rsid w:val="00990623"/>
    <w:rsid w:val="00990796"/>
    <w:rsid w:val="00990A8D"/>
    <w:rsid w:val="00990AC1"/>
    <w:rsid w:val="00990ADF"/>
    <w:rsid w:val="00990B06"/>
    <w:rsid w:val="00990BEF"/>
    <w:rsid w:val="00990D1B"/>
    <w:rsid w:val="00990D7A"/>
    <w:rsid w:val="00990D7F"/>
    <w:rsid w:val="00990FBF"/>
    <w:rsid w:val="009910A4"/>
    <w:rsid w:val="009910AE"/>
    <w:rsid w:val="009917A6"/>
    <w:rsid w:val="009917AA"/>
    <w:rsid w:val="0099180C"/>
    <w:rsid w:val="0099182B"/>
    <w:rsid w:val="00991835"/>
    <w:rsid w:val="00991847"/>
    <w:rsid w:val="00991BB9"/>
    <w:rsid w:val="00991F8B"/>
    <w:rsid w:val="00991FB4"/>
    <w:rsid w:val="0099217D"/>
    <w:rsid w:val="00992329"/>
    <w:rsid w:val="009923A4"/>
    <w:rsid w:val="00992478"/>
    <w:rsid w:val="009924FA"/>
    <w:rsid w:val="00992574"/>
    <w:rsid w:val="00992644"/>
    <w:rsid w:val="0099297C"/>
    <w:rsid w:val="00992A2F"/>
    <w:rsid w:val="00992B1B"/>
    <w:rsid w:val="00992D6D"/>
    <w:rsid w:val="00992DCF"/>
    <w:rsid w:val="00992E22"/>
    <w:rsid w:val="00992F76"/>
    <w:rsid w:val="009932EC"/>
    <w:rsid w:val="00993642"/>
    <w:rsid w:val="00993661"/>
    <w:rsid w:val="00993A0C"/>
    <w:rsid w:val="0099407E"/>
    <w:rsid w:val="009940B2"/>
    <w:rsid w:val="0099440F"/>
    <w:rsid w:val="00994425"/>
    <w:rsid w:val="00994608"/>
    <w:rsid w:val="0099463B"/>
    <w:rsid w:val="00994641"/>
    <w:rsid w:val="00994722"/>
    <w:rsid w:val="0099482B"/>
    <w:rsid w:val="00994D6D"/>
    <w:rsid w:val="00994EE2"/>
    <w:rsid w:val="00994FF1"/>
    <w:rsid w:val="0099506F"/>
    <w:rsid w:val="009953B2"/>
    <w:rsid w:val="009954A6"/>
    <w:rsid w:val="009954C7"/>
    <w:rsid w:val="0099552D"/>
    <w:rsid w:val="00995603"/>
    <w:rsid w:val="00995716"/>
    <w:rsid w:val="00995760"/>
    <w:rsid w:val="0099599A"/>
    <w:rsid w:val="00995B30"/>
    <w:rsid w:val="00995C47"/>
    <w:rsid w:val="00995CEA"/>
    <w:rsid w:val="009960A0"/>
    <w:rsid w:val="0099610F"/>
    <w:rsid w:val="00996434"/>
    <w:rsid w:val="0099648F"/>
    <w:rsid w:val="009965FC"/>
    <w:rsid w:val="0099661D"/>
    <w:rsid w:val="0099666D"/>
    <w:rsid w:val="009966D3"/>
    <w:rsid w:val="009967E1"/>
    <w:rsid w:val="00996FD4"/>
    <w:rsid w:val="009970E8"/>
    <w:rsid w:val="00997234"/>
    <w:rsid w:val="009973D1"/>
    <w:rsid w:val="009974EB"/>
    <w:rsid w:val="00997651"/>
    <w:rsid w:val="0099765B"/>
    <w:rsid w:val="0099774F"/>
    <w:rsid w:val="0099791B"/>
    <w:rsid w:val="00997D24"/>
    <w:rsid w:val="00997D3B"/>
    <w:rsid w:val="00997F57"/>
    <w:rsid w:val="009A002C"/>
    <w:rsid w:val="009A00DA"/>
    <w:rsid w:val="009A01FD"/>
    <w:rsid w:val="009A0307"/>
    <w:rsid w:val="009A03BF"/>
    <w:rsid w:val="009A059E"/>
    <w:rsid w:val="009A076B"/>
    <w:rsid w:val="009A095B"/>
    <w:rsid w:val="009A09A6"/>
    <w:rsid w:val="009A0A57"/>
    <w:rsid w:val="009A0AB3"/>
    <w:rsid w:val="009A0C79"/>
    <w:rsid w:val="009A0C84"/>
    <w:rsid w:val="009A0CE8"/>
    <w:rsid w:val="009A0D5A"/>
    <w:rsid w:val="009A0F82"/>
    <w:rsid w:val="009A10DD"/>
    <w:rsid w:val="009A1120"/>
    <w:rsid w:val="009A131E"/>
    <w:rsid w:val="009A137C"/>
    <w:rsid w:val="009A137D"/>
    <w:rsid w:val="009A14D5"/>
    <w:rsid w:val="009A1867"/>
    <w:rsid w:val="009A1C7E"/>
    <w:rsid w:val="009A1C81"/>
    <w:rsid w:val="009A1D5F"/>
    <w:rsid w:val="009A1E21"/>
    <w:rsid w:val="009A1E29"/>
    <w:rsid w:val="009A1F54"/>
    <w:rsid w:val="009A22BD"/>
    <w:rsid w:val="009A2316"/>
    <w:rsid w:val="009A2516"/>
    <w:rsid w:val="009A25E7"/>
    <w:rsid w:val="009A2678"/>
    <w:rsid w:val="009A2752"/>
    <w:rsid w:val="009A2C2F"/>
    <w:rsid w:val="009A2CDF"/>
    <w:rsid w:val="009A2DEC"/>
    <w:rsid w:val="009A2E15"/>
    <w:rsid w:val="009A2F1C"/>
    <w:rsid w:val="009A3088"/>
    <w:rsid w:val="009A30AE"/>
    <w:rsid w:val="009A3387"/>
    <w:rsid w:val="009A3621"/>
    <w:rsid w:val="009A3777"/>
    <w:rsid w:val="009A389B"/>
    <w:rsid w:val="009A397B"/>
    <w:rsid w:val="009A39E4"/>
    <w:rsid w:val="009A3AC4"/>
    <w:rsid w:val="009A4006"/>
    <w:rsid w:val="009A4058"/>
    <w:rsid w:val="009A410C"/>
    <w:rsid w:val="009A44EA"/>
    <w:rsid w:val="009A4774"/>
    <w:rsid w:val="009A4930"/>
    <w:rsid w:val="009A49FA"/>
    <w:rsid w:val="009A4A86"/>
    <w:rsid w:val="009A4B65"/>
    <w:rsid w:val="009A4D68"/>
    <w:rsid w:val="009A4E0D"/>
    <w:rsid w:val="009A5A13"/>
    <w:rsid w:val="009A5A3F"/>
    <w:rsid w:val="009A5B08"/>
    <w:rsid w:val="009A5B2B"/>
    <w:rsid w:val="009A5BF8"/>
    <w:rsid w:val="009A5EB5"/>
    <w:rsid w:val="009A5EE3"/>
    <w:rsid w:val="009A5F04"/>
    <w:rsid w:val="009A60F3"/>
    <w:rsid w:val="009A61FE"/>
    <w:rsid w:val="009A6271"/>
    <w:rsid w:val="009A638E"/>
    <w:rsid w:val="009A6487"/>
    <w:rsid w:val="009A6676"/>
    <w:rsid w:val="009A6753"/>
    <w:rsid w:val="009A6826"/>
    <w:rsid w:val="009A6930"/>
    <w:rsid w:val="009A6B23"/>
    <w:rsid w:val="009A6CBC"/>
    <w:rsid w:val="009A6D00"/>
    <w:rsid w:val="009A6D22"/>
    <w:rsid w:val="009A70BD"/>
    <w:rsid w:val="009A71AC"/>
    <w:rsid w:val="009A724C"/>
    <w:rsid w:val="009A7447"/>
    <w:rsid w:val="009A76B3"/>
    <w:rsid w:val="009A76DC"/>
    <w:rsid w:val="009A76FC"/>
    <w:rsid w:val="009A7783"/>
    <w:rsid w:val="009A77C6"/>
    <w:rsid w:val="009A77E4"/>
    <w:rsid w:val="009A78A2"/>
    <w:rsid w:val="009A78C7"/>
    <w:rsid w:val="009A78E6"/>
    <w:rsid w:val="009A790E"/>
    <w:rsid w:val="009A79D1"/>
    <w:rsid w:val="009A7A90"/>
    <w:rsid w:val="009A7BF6"/>
    <w:rsid w:val="009A7E52"/>
    <w:rsid w:val="009A7F3C"/>
    <w:rsid w:val="009A7FA7"/>
    <w:rsid w:val="009B007C"/>
    <w:rsid w:val="009B008C"/>
    <w:rsid w:val="009B0153"/>
    <w:rsid w:val="009B067C"/>
    <w:rsid w:val="009B0AD1"/>
    <w:rsid w:val="009B0C6C"/>
    <w:rsid w:val="009B0D3F"/>
    <w:rsid w:val="009B0D4D"/>
    <w:rsid w:val="009B0DEA"/>
    <w:rsid w:val="009B0EA8"/>
    <w:rsid w:val="009B1000"/>
    <w:rsid w:val="009B1176"/>
    <w:rsid w:val="009B1239"/>
    <w:rsid w:val="009B137F"/>
    <w:rsid w:val="009B148C"/>
    <w:rsid w:val="009B158A"/>
    <w:rsid w:val="009B179D"/>
    <w:rsid w:val="009B17B5"/>
    <w:rsid w:val="009B17F1"/>
    <w:rsid w:val="009B192C"/>
    <w:rsid w:val="009B1ABC"/>
    <w:rsid w:val="009B1CAC"/>
    <w:rsid w:val="009B1D51"/>
    <w:rsid w:val="009B1D76"/>
    <w:rsid w:val="009B1DD3"/>
    <w:rsid w:val="009B1FF8"/>
    <w:rsid w:val="009B202E"/>
    <w:rsid w:val="009B20BC"/>
    <w:rsid w:val="009B21BF"/>
    <w:rsid w:val="009B2239"/>
    <w:rsid w:val="009B28E2"/>
    <w:rsid w:val="009B29D2"/>
    <w:rsid w:val="009B2AE5"/>
    <w:rsid w:val="009B2BEF"/>
    <w:rsid w:val="009B2D33"/>
    <w:rsid w:val="009B2ECD"/>
    <w:rsid w:val="009B2F35"/>
    <w:rsid w:val="009B2F88"/>
    <w:rsid w:val="009B3300"/>
    <w:rsid w:val="009B3456"/>
    <w:rsid w:val="009B364F"/>
    <w:rsid w:val="009B3651"/>
    <w:rsid w:val="009B39D3"/>
    <w:rsid w:val="009B3CFF"/>
    <w:rsid w:val="009B3D6D"/>
    <w:rsid w:val="009B3DDC"/>
    <w:rsid w:val="009B4038"/>
    <w:rsid w:val="009B4297"/>
    <w:rsid w:val="009B4298"/>
    <w:rsid w:val="009B4340"/>
    <w:rsid w:val="009B464B"/>
    <w:rsid w:val="009B4729"/>
    <w:rsid w:val="009B475B"/>
    <w:rsid w:val="009B4823"/>
    <w:rsid w:val="009B4827"/>
    <w:rsid w:val="009B4C7E"/>
    <w:rsid w:val="009B4CE7"/>
    <w:rsid w:val="009B4D2E"/>
    <w:rsid w:val="009B4DF7"/>
    <w:rsid w:val="009B4F47"/>
    <w:rsid w:val="009B5279"/>
    <w:rsid w:val="009B5294"/>
    <w:rsid w:val="009B52C7"/>
    <w:rsid w:val="009B5411"/>
    <w:rsid w:val="009B5478"/>
    <w:rsid w:val="009B5994"/>
    <w:rsid w:val="009B5CC3"/>
    <w:rsid w:val="009B5F9C"/>
    <w:rsid w:val="009B5FD4"/>
    <w:rsid w:val="009B5FF9"/>
    <w:rsid w:val="009B600D"/>
    <w:rsid w:val="009B6105"/>
    <w:rsid w:val="009B6381"/>
    <w:rsid w:val="009B6405"/>
    <w:rsid w:val="009B6507"/>
    <w:rsid w:val="009B65C5"/>
    <w:rsid w:val="009B6A50"/>
    <w:rsid w:val="009B7084"/>
    <w:rsid w:val="009B708A"/>
    <w:rsid w:val="009B708C"/>
    <w:rsid w:val="009B7460"/>
    <w:rsid w:val="009B7492"/>
    <w:rsid w:val="009B753B"/>
    <w:rsid w:val="009B76E4"/>
    <w:rsid w:val="009B77F7"/>
    <w:rsid w:val="009B788B"/>
    <w:rsid w:val="009B78D3"/>
    <w:rsid w:val="009B7912"/>
    <w:rsid w:val="009B7936"/>
    <w:rsid w:val="009B7A1C"/>
    <w:rsid w:val="009B7AC8"/>
    <w:rsid w:val="009B7D20"/>
    <w:rsid w:val="009B7FA3"/>
    <w:rsid w:val="009C00BA"/>
    <w:rsid w:val="009C021D"/>
    <w:rsid w:val="009C030A"/>
    <w:rsid w:val="009C030B"/>
    <w:rsid w:val="009C048F"/>
    <w:rsid w:val="009C053E"/>
    <w:rsid w:val="009C06A8"/>
    <w:rsid w:val="009C07D8"/>
    <w:rsid w:val="009C0BE8"/>
    <w:rsid w:val="009C0DFD"/>
    <w:rsid w:val="009C0EE3"/>
    <w:rsid w:val="009C119D"/>
    <w:rsid w:val="009C128F"/>
    <w:rsid w:val="009C12E0"/>
    <w:rsid w:val="009C14DD"/>
    <w:rsid w:val="009C15AC"/>
    <w:rsid w:val="009C1715"/>
    <w:rsid w:val="009C171B"/>
    <w:rsid w:val="009C1813"/>
    <w:rsid w:val="009C18E1"/>
    <w:rsid w:val="009C196F"/>
    <w:rsid w:val="009C19DC"/>
    <w:rsid w:val="009C1C2D"/>
    <w:rsid w:val="009C1CE0"/>
    <w:rsid w:val="009C1DEB"/>
    <w:rsid w:val="009C1F00"/>
    <w:rsid w:val="009C21B9"/>
    <w:rsid w:val="009C2370"/>
    <w:rsid w:val="009C2624"/>
    <w:rsid w:val="009C2644"/>
    <w:rsid w:val="009C2652"/>
    <w:rsid w:val="009C26D9"/>
    <w:rsid w:val="009C29AE"/>
    <w:rsid w:val="009C2A18"/>
    <w:rsid w:val="009C2BFE"/>
    <w:rsid w:val="009C2D40"/>
    <w:rsid w:val="009C2DD3"/>
    <w:rsid w:val="009C2DFA"/>
    <w:rsid w:val="009C2F4B"/>
    <w:rsid w:val="009C3018"/>
    <w:rsid w:val="009C33BE"/>
    <w:rsid w:val="009C343C"/>
    <w:rsid w:val="009C3546"/>
    <w:rsid w:val="009C35D5"/>
    <w:rsid w:val="009C361F"/>
    <w:rsid w:val="009C36C1"/>
    <w:rsid w:val="009C3743"/>
    <w:rsid w:val="009C386A"/>
    <w:rsid w:val="009C3973"/>
    <w:rsid w:val="009C3AA1"/>
    <w:rsid w:val="009C3AC6"/>
    <w:rsid w:val="009C3E3C"/>
    <w:rsid w:val="009C3EA5"/>
    <w:rsid w:val="009C3F06"/>
    <w:rsid w:val="009C3F44"/>
    <w:rsid w:val="009C3FE4"/>
    <w:rsid w:val="009C43E1"/>
    <w:rsid w:val="009C4870"/>
    <w:rsid w:val="009C48B0"/>
    <w:rsid w:val="009C4933"/>
    <w:rsid w:val="009C49BB"/>
    <w:rsid w:val="009C4BD0"/>
    <w:rsid w:val="009C4E25"/>
    <w:rsid w:val="009C4F31"/>
    <w:rsid w:val="009C50E7"/>
    <w:rsid w:val="009C532D"/>
    <w:rsid w:val="009C562E"/>
    <w:rsid w:val="009C5AB0"/>
    <w:rsid w:val="009C5DA3"/>
    <w:rsid w:val="009C5F4A"/>
    <w:rsid w:val="009C5FE1"/>
    <w:rsid w:val="009C6179"/>
    <w:rsid w:val="009C638D"/>
    <w:rsid w:val="009C67F1"/>
    <w:rsid w:val="009C6970"/>
    <w:rsid w:val="009C6A26"/>
    <w:rsid w:val="009C6A74"/>
    <w:rsid w:val="009C6BA8"/>
    <w:rsid w:val="009C6F8A"/>
    <w:rsid w:val="009C7008"/>
    <w:rsid w:val="009C7119"/>
    <w:rsid w:val="009C71C1"/>
    <w:rsid w:val="009C7259"/>
    <w:rsid w:val="009C744F"/>
    <w:rsid w:val="009C74AC"/>
    <w:rsid w:val="009C7CA5"/>
    <w:rsid w:val="009C7D2E"/>
    <w:rsid w:val="009C7E26"/>
    <w:rsid w:val="009C7E41"/>
    <w:rsid w:val="009C7E5E"/>
    <w:rsid w:val="009C7F30"/>
    <w:rsid w:val="009D008A"/>
    <w:rsid w:val="009D0148"/>
    <w:rsid w:val="009D0265"/>
    <w:rsid w:val="009D02CD"/>
    <w:rsid w:val="009D07E5"/>
    <w:rsid w:val="009D08ED"/>
    <w:rsid w:val="009D0F60"/>
    <w:rsid w:val="009D0FB8"/>
    <w:rsid w:val="009D1419"/>
    <w:rsid w:val="009D1535"/>
    <w:rsid w:val="009D170F"/>
    <w:rsid w:val="009D1776"/>
    <w:rsid w:val="009D181E"/>
    <w:rsid w:val="009D19C9"/>
    <w:rsid w:val="009D19E0"/>
    <w:rsid w:val="009D1C14"/>
    <w:rsid w:val="009D1ECF"/>
    <w:rsid w:val="009D20EB"/>
    <w:rsid w:val="009D235B"/>
    <w:rsid w:val="009D2532"/>
    <w:rsid w:val="009D2561"/>
    <w:rsid w:val="009D25FA"/>
    <w:rsid w:val="009D28BD"/>
    <w:rsid w:val="009D2917"/>
    <w:rsid w:val="009D29BA"/>
    <w:rsid w:val="009D2A4E"/>
    <w:rsid w:val="009D2DF9"/>
    <w:rsid w:val="009D2E15"/>
    <w:rsid w:val="009D2FB4"/>
    <w:rsid w:val="009D3422"/>
    <w:rsid w:val="009D3465"/>
    <w:rsid w:val="009D350C"/>
    <w:rsid w:val="009D3BB4"/>
    <w:rsid w:val="009D3D1A"/>
    <w:rsid w:val="009D3D29"/>
    <w:rsid w:val="009D3D6D"/>
    <w:rsid w:val="009D3E5A"/>
    <w:rsid w:val="009D3EDC"/>
    <w:rsid w:val="009D3F4A"/>
    <w:rsid w:val="009D3FB5"/>
    <w:rsid w:val="009D4111"/>
    <w:rsid w:val="009D442F"/>
    <w:rsid w:val="009D444E"/>
    <w:rsid w:val="009D44BF"/>
    <w:rsid w:val="009D44CB"/>
    <w:rsid w:val="009D4535"/>
    <w:rsid w:val="009D45C2"/>
    <w:rsid w:val="009D466E"/>
    <w:rsid w:val="009D486B"/>
    <w:rsid w:val="009D4972"/>
    <w:rsid w:val="009D4BCA"/>
    <w:rsid w:val="009D4C12"/>
    <w:rsid w:val="009D4C9E"/>
    <w:rsid w:val="009D4D33"/>
    <w:rsid w:val="009D4F4C"/>
    <w:rsid w:val="009D500F"/>
    <w:rsid w:val="009D5297"/>
    <w:rsid w:val="009D59EE"/>
    <w:rsid w:val="009D5DCF"/>
    <w:rsid w:val="009D5DFC"/>
    <w:rsid w:val="009D5EB3"/>
    <w:rsid w:val="009D601F"/>
    <w:rsid w:val="009D61DE"/>
    <w:rsid w:val="009D6485"/>
    <w:rsid w:val="009D66FF"/>
    <w:rsid w:val="009D67DB"/>
    <w:rsid w:val="009D6913"/>
    <w:rsid w:val="009D6984"/>
    <w:rsid w:val="009D69C5"/>
    <w:rsid w:val="009D6A44"/>
    <w:rsid w:val="009D6C61"/>
    <w:rsid w:val="009D6D80"/>
    <w:rsid w:val="009D6DAC"/>
    <w:rsid w:val="009D6ED3"/>
    <w:rsid w:val="009D6F20"/>
    <w:rsid w:val="009D6F9A"/>
    <w:rsid w:val="009D7038"/>
    <w:rsid w:val="009D7324"/>
    <w:rsid w:val="009D759B"/>
    <w:rsid w:val="009D7910"/>
    <w:rsid w:val="009D7BD8"/>
    <w:rsid w:val="009D7C47"/>
    <w:rsid w:val="009D7C6D"/>
    <w:rsid w:val="009D7D27"/>
    <w:rsid w:val="009D7D61"/>
    <w:rsid w:val="009D7E06"/>
    <w:rsid w:val="009D7E0D"/>
    <w:rsid w:val="009D7E67"/>
    <w:rsid w:val="009D7EC9"/>
    <w:rsid w:val="009D7F28"/>
    <w:rsid w:val="009E02C9"/>
    <w:rsid w:val="009E041E"/>
    <w:rsid w:val="009E0491"/>
    <w:rsid w:val="009E06B2"/>
    <w:rsid w:val="009E0A37"/>
    <w:rsid w:val="009E0A4E"/>
    <w:rsid w:val="009E0B33"/>
    <w:rsid w:val="009E0B39"/>
    <w:rsid w:val="009E0C1D"/>
    <w:rsid w:val="009E0C8E"/>
    <w:rsid w:val="009E0DE9"/>
    <w:rsid w:val="009E0E54"/>
    <w:rsid w:val="009E0E69"/>
    <w:rsid w:val="009E0EAD"/>
    <w:rsid w:val="009E0FD2"/>
    <w:rsid w:val="009E0FED"/>
    <w:rsid w:val="009E1100"/>
    <w:rsid w:val="009E1128"/>
    <w:rsid w:val="009E1160"/>
    <w:rsid w:val="009E11EF"/>
    <w:rsid w:val="009E131D"/>
    <w:rsid w:val="009E14AB"/>
    <w:rsid w:val="009E14AE"/>
    <w:rsid w:val="009E15C1"/>
    <w:rsid w:val="009E161C"/>
    <w:rsid w:val="009E162F"/>
    <w:rsid w:val="009E1639"/>
    <w:rsid w:val="009E180C"/>
    <w:rsid w:val="009E1824"/>
    <w:rsid w:val="009E1876"/>
    <w:rsid w:val="009E1908"/>
    <w:rsid w:val="009E1A8A"/>
    <w:rsid w:val="009E1B15"/>
    <w:rsid w:val="009E1B48"/>
    <w:rsid w:val="009E1B76"/>
    <w:rsid w:val="009E1B7A"/>
    <w:rsid w:val="009E1DD6"/>
    <w:rsid w:val="009E1DDC"/>
    <w:rsid w:val="009E1ED4"/>
    <w:rsid w:val="009E20BE"/>
    <w:rsid w:val="009E2141"/>
    <w:rsid w:val="009E21F7"/>
    <w:rsid w:val="009E22C3"/>
    <w:rsid w:val="009E22F9"/>
    <w:rsid w:val="009E2429"/>
    <w:rsid w:val="009E26F3"/>
    <w:rsid w:val="009E2848"/>
    <w:rsid w:val="009E2892"/>
    <w:rsid w:val="009E2A3B"/>
    <w:rsid w:val="009E2B41"/>
    <w:rsid w:val="009E2B80"/>
    <w:rsid w:val="009E2BB2"/>
    <w:rsid w:val="009E2C38"/>
    <w:rsid w:val="009E2E00"/>
    <w:rsid w:val="009E2F30"/>
    <w:rsid w:val="009E30CA"/>
    <w:rsid w:val="009E338C"/>
    <w:rsid w:val="009E3433"/>
    <w:rsid w:val="009E37E4"/>
    <w:rsid w:val="009E3B04"/>
    <w:rsid w:val="009E4A85"/>
    <w:rsid w:val="009E4B40"/>
    <w:rsid w:val="009E4E6E"/>
    <w:rsid w:val="009E4EE4"/>
    <w:rsid w:val="009E4FFC"/>
    <w:rsid w:val="009E523E"/>
    <w:rsid w:val="009E5328"/>
    <w:rsid w:val="009E5654"/>
    <w:rsid w:val="009E588E"/>
    <w:rsid w:val="009E58E1"/>
    <w:rsid w:val="009E59F5"/>
    <w:rsid w:val="009E5D81"/>
    <w:rsid w:val="009E6018"/>
    <w:rsid w:val="009E6085"/>
    <w:rsid w:val="009E61FE"/>
    <w:rsid w:val="009E630F"/>
    <w:rsid w:val="009E632C"/>
    <w:rsid w:val="009E64FC"/>
    <w:rsid w:val="009E673D"/>
    <w:rsid w:val="009E6E49"/>
    <w:rsid w:val="009E6EB8"/>
    <w:rsid w:val="009E7116"/>
    <w:rsid w:val="009E74FA"/>
    <w:rsid w:val="009E7727"/>
    <w:rsid w:val="009E7930"/>
    <w:rsid w:val="009E79B8"/>
    <w:rsid w:val="009E7BF4"/>
    <w:rsid w:val="009E7E87"/>
    <w:rsid w:val="009E7F38"/>
    <w:rsid w:val="009F0010"/>
    <w:rsid w:val="009F029C"/>
    <w:rsid w:val="009F03F7"/>
    <w:rsid w:val="009F0749"/>
    <w:rsid w:val="009F08AC"/>
    <w:rsid w:val="009F0918"/>
    <w:rsid w:val="009F0971"/>
    <w:rsid w:val="009F0A2D"/>
    <w:rsid w:val="009F0ABF"/>
    <w:rsid w:val="009F0CC4"/>
    <w:rsid w:val="009F0F8D"/>
    <w:rsid w:val="009F0FEC"/>
    <w:rsid w:val="009F1115"/>
    <w:rsid w:val="009F12D2"/>
    <w:rsid w:val="009F1400"/>
    <w:rsid w:val="009F1979"/>
    <w:rsid w:val="009F19A2"/>
    <w:rsid w:val="009F1A3E"/>
    <w:rsid w:val="009F1CC2"/>
    <w:rsid w:val="009F1E11"/>
    <w:rsid w:val="009F1E85"/>
    <w:rsid w:val="009F1E8A"/>
    <w:rsid w:val="009F2029"/>
    <w:rsid w:val="009F208C"/>
    <w:rsid w:val="009F20A5"/>
    <w:rsid w:val="009F20BA"/>
    <w:rsid w:val="009F2132"/>
    <w:rsid w:val="009F25F6"/>
    <w:rsid w:val="009F27BA"/>
    <w:rsid w:val="009F2942"/>
    <w:rsid w:val="009F2B92"/>
    <w:rsid w:val="009F33A7"/>
    <w:rsid w:val="009F33DE"/>
    <w:rsid w:val="009F33EA"/>
    <w:rsid w:val="009F37D3"/>
    <w:rsid w:val="009F3954"/>
    <w:rsid w:val="009F3AA1"/>
    <w:rsid w:val="009F3BAB"/>
    <w:rsid w:val="009F3BC3"/>
    <w:rsid w:val="009F3C67"/>
    <w:rsid w:val="009F3C73"/>
    <w:rsid w:val="009F3C83"/>
    <w:rsid w:val="009F3E98"/>
    <w:rsid w:val="009F415D"/>
    <w:rsid w:val="009F4265"/>
    <w:rsid w:val="009F431E"/>
    <w:rsid w:val="009F450F"/>
    <w:rsid w:val="009F4644"/>
    <w:rsid w:val="009F47F4"/>
    <w:rsid w:val="009F49BE"/>
    <w:rsid w:val="009F4A11"/>
    <w:rsid w:val="009F4B77"/>
    <w:rsid w:val="009F4BBB"/>
    <w:rsid w:val="009F50F5"/>
    <w:rsid w:val="009F51B4"/>
    <w:rsid w:val="009F5327"/>
    <w:rsid w:val="009F5AD0"/>
    <w:rsid w:val="009F5B61"/>
    <w:rsid w:val="009F5B93"/>
    <w:rsid w:val="009F5BEE"/>
    <w:rsid w:val="009F5D1F"/>
    <w:rsid w:val="009F5EFD"/>
    <w:rsid w:val="009F6054"/>
    <w:rsid w:val="009F63EE"/>
    <w:rsid w:val="009F64D7"/>
    <w:rsid w:val="009F6629"/>
    <w:rsid w:val="009F6631"/>
    <w:rsid w:val="009F6644"/>
    <w:rsid w:val="009F67B7"/>
    <w:rsid w:val="009F67BB"/>
    <w:rsid w:val="009F6998"/>
    <w:rsid w:val="009F6AFA"/>
    <w:rsid w:val="009F6CBA"/>
    <w:rsid w:val="009F6E14"/>
    <w:rsid w:val="009F6EEF"/>
    <w:rsid w:val="009F6FFE"/>
    <w:rsid w:val="009F7021"/>
    <w:rsid w:val="009F7203"/>
    <w:rsid w:val="009F727D"/>
    <w:rsid w:val="009F72DA"/>
    <w:rsid w:val="009F72E1"/>
    <w:rsid w:val="009F7646"/>
    <w:rsid w:val="009F786D"/>
    <w:rsid w:val="009F79F8"/>
    <w:rsid w:val="009F7A15"/>
    <w:rsid w:val="009F7BC2"/>
    <w:rsid w:val="009F7CE5"/>
    <w:rsid w:val="009F7D62"/>
    <w:rsid w:val="00A00005"/>
    <w:rsid w:val="00A0004A"/>
    <w:rsid w:val="00A000AD"/>
    <w:rsid w:val="00A001FD"/>
    <w:rsid w:val="00A002CA"/>
    <w:rsid w:val="00A00354"/>
    <w:rsid w:val="00A003B9"/>
    <w:rsid w:val="00A00430"/>
    <w:rsid w:val="00A005BB"/>
    <w:rsid w:val="00A00775"/>
    <w:rsid w:val="00A007A5"/>
    <w:rsid w:val="00A007BF"/>
    <w:rsid w:val="00A00AA5"/>
    <w:rsid w:val="00A00D19"/>
    <w:rsid w:val="00A00D97"/>
    <w:rsid w:val="00A00DC8"/>
    <w:rsid w:val="00A00DDB"/>
    <w:rsid w:val="00A00EED"/>
    <w:rsid w:val="00A00F66"/>
    <w:rsid w:val="00A00FBD"/>
    <w:rsid w:val="00A01013"/>
    <w:rsid w:val="00A01326"/>
    <w:rsid w:val="00A01822"/>
    <w:rsid w:val="00A01A25"/>
    <w:rsid w:val="00A01A43"/>
    <w:rsid w:val="00A01A56"/>
    <w:rsid w:val="00A01B6E"/>
    <w:rsid w:val="00A01B7F"/>
    <w:rsid w:val="00A01CC2"/>
    <w:rsid w:val="00A01D48"/>
    <w:rsid w:val="00A02116"/>
    <w:rsid w:val="00A02202"/>
    <w:rsid w:val="00A0244E"/>
    <w:rsid w:val="00A0268E"/>
    <w:rsid w:val="00A0284B"/>
    <w:rsid w:val="00A02853"/>
    <w:rsid w:val="00A02985"/>
    <w:rsid w:val="00A029D8"/>
    <w:rsid w:val="00A029E3"/>
    <w:rsid w:val="00A02A03"/>
    <w:rsid w:val="00A02BDF"/>
    <w:rsid w:val="00A02BFD"/>
    <w:rsid w:val="00A02F4D"/>
    <w:rsid w:val="00A03164"/>
    <w:rsid w:val="00A032BD"/>
    <w:rsid w:val="00A032E1"/>
    <w:rsid w:val="00A033B2"/>
    <w:rsid w:val="00A03410"/>
    <w:rsid w:val="00A03580"/>
    <w:rsid w:val="00A03585"/>
    <w:rsid w:val="00A039A0"/>
    <w:rsid w:val="00A03B61"/>
    <w:rsid w:val="00A03C20"/>
    <w:rsid w:val="00A03C39"/>
    <w:rsid w:val="00A0402B"/>
    <w:rsid w:val="00A04256"/>
    <w:rsid w:val="00A04385"/>
    <w:rsid w:val="00A04415"/>
    <w:rsid w:val="00A0450D"/>
    <w:rsid w:val="00A0459C"/>
    <w:rsid w:val="00A04664"/>
    <w:rsid w:val="00A046FF"/>
    <w:rsid w:val="00A047EC"/>
    <w:rsid w:val="00A04AAB"/>
    <w:rsid w:val="00A04C5F"/>
    <w:rsid w:val="00A04D0B"/>
    <w:rsid w:val="00A04DBF"/>
    <w:rsid w:val="00A04DD6"/>
    <w:rsid w:val="00A0500A"/>
    <w:rsid w:val="00A050D4"/>
    <w:rsid w:val="00A05123"/>
    <w:rsid w:val="00A051FF"/>
    <w:rsid w:val="00A05588"/>
    <w:rsid w:val="00A05625"/>
    <w:rsid w:val="00A05839"/>
    <w:rsid w:val="00A0585E"/>
    <w:rsid w:val="00A05971"/>
    <w:rsid w:val="00A05BF7"/>
    <w:rsid w:val="00A05EBD"/>
    <w:rsid w:val="00A065AB"/>
    <w:rsid w:val="00A065BC"/>
    <w:rsid w:val="00A065E6"/>
    <w:rsid w:val="00A0666B"/>
    <w:rsid w:val="00A0681D"/>
    <w:rsid w:val="00A06822"/>
    <w:rsid w:val="00A068FD"/>
    <w:rsid w:val="00A069E7"/>
    <w:rsid w:val="00A06BAA"/>
    <w:rsid w:val="00A06E66"/>
    <w:rsid w:val="00A06FEC"/>
    <w:rsid w:val="00A0700A"/>
    <w:rsid w:val="00A07094"/>
    <w:rsid w:val="00A0732F"/>
    <w:rsid w:val="00A074D0"/>
    <w:rsid w:val="00A076E0"/>
    <w:rsid w:val="00A07789"/>
    <w:rsid w:val="00A079DB"/>
    <w:rsid w:val="00A07A0F"/>
    <w:rsid w:val="00A07A25"/>
    <w:rsid w:val="00A07B70"/>
    <w:rsid w:val="00A07DDF"/>
    <w:rsid w:val="00A07DF2"/>
    <w:rsid w:val="00A07DFE"/>
    <w:rsid w:val="00A07E52"/>
    <w:rsid w:val="00A101F7"/>
    <w:rsid w:val="00A1020D"/>
    <w:rsid w:val="00A10527"/>
    <w:rsid w:val="00A106CF"/>
    <w:rsid w:val="00A10834"/>
    <w:rsid w:val="00A10937"/>
    <w:rsid w:val="00A10C81"/>
    <w:rsid w:val="00A11053"/>
    <w:rsid w:val="00A11114"/>
    <w:rsid w:val="00A1112E"/>
    <w:rsid w:val="00A111FE"/>
    <w:rsid w:val="00A112ED"/>
    <w:rsid w:val="00A113B1"/>
    <w:rsid w:val="00A113F6"/>
    <w:rsid w:val="00A11406"/>
    <w:rsid w:val="00A11A9A"/>
    <w:rsid w:val="00A11DA2"/>
    <w:rsid w:val="00A11E5D"/>
    <w:rsid w:val="00A1230F"/>
    <w:rsid w:val="00A12446"/>
    <w:rsid w:val="00A124C5"/>
    <w:rsid w:val="00A12520"/>
    <w:rsid w:val="00A125DE"/>
    <w:rsid w:val="00A125F2"/>
    <w:rsid w:val="00A1263E"/>
    <w:rsid w:val="00A12681"/>
    <w:rsid w:val="00A126C4"/>
    <w:rsid w:val="00A12A18"/>
    <w:rsid w:val="00A12CD7"/>
    <w:rsid w:val="00A1302B"/>
    <w:rsid w:val="00A130FE"/>
    <w:rsid w:val="00A13142"/>
    <w:rsid w:val="00A13539"/>
    <w:rsid w:val="00A135C9"/>
    <w:rsid w:val="00A13740"/>
    <w:rsid w:val="00A137B8"/>
    <w:rsid w:val="00A137C5"/>
    <w:rsid w:val="00A13CA9"/>
    <w:rsid w:val="00A13D97"/>
    <w:rsid w:val="00A13DBA"/>
    <w:rsid w:val="00A1403A"/>
    <w:rsid w:val="00A140B6"/>
    <w:rsid w:val="00A1413F"/>
    <w:rsid w:val="00A1414B"/>
    <w:rsid w:val="00A141CD"/>
    <w:rsid w:val="00A1451B"/>
    <w:rsid w:val="00A1458E"/>
    <w:rsid w:val="00A14743"/>
    <w:rsid w:val="00A14AB9"/>
    <w:rsid w:val="00A14C00"/>
    <w:rsid w:val="00A14CC0"/>
    <w:rsid w:val="00A14CCB"/>
    <w:rsid w:val="00A14FAA"/>
    <w:rsid w:val="00A14FB1"/>
    <w:rsid w:val="00A14FC5"/>
    <w:rsid w:val="00A1517A"/>
    <w:rsid w:val="00A152CD"/>
    <w:rsid w:val="00A15368"/>
    <w:rsid w:val="00A1542B"/>
    <w:rsid w:val="00A15551"/>
    <w:rsid w:val="00A15587"/>
    <w:rsid w:val="00A1567B"/>
    <w:rsid w:val="00A156F8"/>
    <w:rsid w:val="00A157D2"/>
    <w:rsid w:val="00A15961"/>
    <w:rsid w:val="00A15A01"/>
    <w:rsid w:val="00A15CCE"/>
    <w:rsid w:val="00A1605E"/>
    <w:rsid w:val="00A1607F"/>
    <w:rsid w:val="00A16121"/>
    <w:rsid w:val="00A161B9"/>
    <w:rsid w:val="00A163BD"/>
    <w:rsid w:val="00A1647A"/>
    <w:rsid w:val="00A1651F"/>
    <w:rsid w:val="00A16723"/>
    <w:rsid w:val="00A168FA"/>
    <w:rsid w:val="00A16924"/>
    <w:rsid w:val="00A16AA6"/>
    <w:rsid w:val="00A16B3D"/>
    <w:rsid w:val="00A16BCD"/>
    <w:rsid w:val="00A16C5F"/>
    <w:rsid w:val="00A16C6F"/>
    <w:rsid w:val="00A16DE0"/>
    <w:rsid w:val="00A16EE1"/>
    <w:rsid w:val="00A17134"/>
    <w:rsid w:val="00A1713B"/>
    <w:rsid w:val="00A17182"/>
    <w:rsid w:val="00A17268"/>
    <w:rsid w:val="00A17781"/>
    <w:rsid w:val="00A17A09"/>
    <w:rsid w:val="00A2032F"/>
    <w:rsid w:val="00A2048E"/>
    <w:rsid w:val="00A204C9"/>
    <w:rsid w:val="00A205F8"/>
    <w:rsid w:val="00A20675"/>
    <w:rsid w:val="00A2090C"/>
    <w:rsid w:val="00A2097F"/>
    <w:rsid w:val="00A20D36"/>
    <w:rsid w:val="00A21150"/>
    <w:rsid w:val="00A2129C"/>
    <w:rsid w:val="00A212BD"/>
    <w:rsid w:val="00A213E5"/>
    <w:rsid w:val="00A21826"/>
    <w:rsid w:val="00A218E3"/>
    <w:rsid w:val="00A21ADC"/>
    <w:rsid w:val="00A21BF6"/>
    <w:rsid w:val="00A21E1C"/>
    <w:rsid w:val="00A21E92"/>
    <w:rsid w:val="00A21EE4"/>
    <w:rsid w:val="00A2224A"/>
    <w:rsid w:val="00A222A8"/>
    <w:rsid w:val="00A22447"/>
    <w:rsid w:val="00A22494"/>
    <w:rsid w:val="00A2263F"/>
    <w:rsid w:val="00A226AA"/>
    <w:rsid w:val="00A227C4"/>
    <w:rsid w:val="00A227F3"/>
    <w:rsid w:val="00A2295B"/>
    <w:rsid w:val="00A22B8E"/>
    <w:rsid w:val="00A22CCE"/>
    <w:rsid w:val="00A23067"/>
    <w:rsid w:val="00A23222"/>
    <w:rsid w:val="00A23226"/>
    <w:rsid w:val="00A232DF"/>
    <w:rsid w:val="00A2334D"/>
    <w:rsid w:val="00A23401"/>
    <w:rsid w:val="00A2341A"/>
    <w:rsid w:val="00A23BCB"/>
    <w:rsid w:val="00A23BF1"/>
    <w:rsid w:val="00A23CCA"/>
    <w:rsid w:val="00A241AD"/>
    <w:rsid w:val="00A2423B"/>
    <w:rsid w:val="00A243CF"/>
    <w:rsid w:val="00A24419"/>
    <w:rsid w:val="00A2442B"/>
    <w:rsid w:val="00A244E4"/>
    <w:rsid w:val="00A245AD"/>
    <w:rsid w:val="00A246B2"/>
    <w:rsid w:val="00A24822"/>
    <w:rsid w:val="00A24A60"/>
    <w:rsid w:val="00A24C7C"/>
    <w:rsid w:val="00A25387"/>
    <w:rsid w:val="00A25527"/>
    <w:rsid w:val="00A2555A"/>
    <w:rsid w:val="00A255E9"/>
    <w:rsid w:val="00A25874"/>
    <w:rsid w:val="00A25B08"/>
    <w:rsid w:val="00A25C0E"/>
    <w:rsid w:val="00A25E1B"/>
    <w:rsid w:val="00A25EB8"/>
    <w:rsid w:val="00A26518"/>
    <w:rsid w:val="00A26705"/>
    <w:rsid w:val="00A26742"/>
    <w:rsid w:val="00A26838"/>
    <w:rsid w:val="00A269A2"/>
    <w:rsid w:val="00A26A23"/>
    <w:rsid w:val="00A26B79"/>
    <w:rsid w:val="00A26DCE"/>
    <w:rsid w:val="00A26E1F"/>
    <w:rsid w:val="00A271EC"/>
    <w:rsid w:val="00A2730A"/>
    <w:rsid w:val="00A27365"/>
    <w:rsid w:val="00A273E7"/>
    <w:rsid w:val="00A27470"/>
    <w:rsid w:val="00A27505"/>
    <w:rsid w:val="00A275FE"/>
    <w:rsid w:val="00A2785A"/>
    <w:rsid w:val="00A27994"/>
    <w:rsid w:val="00A279EF"/>
    <w:rsid w:val="00A27B85"/>
    <w:rsid w:val="00A27CD8"/>
    <w:rsid w:val="00A27D1B"/>
    <w:rsid w:val="00A27F73"/>
    <w:rsid w:val="00A3012C"/>
    <w:rsid w:val="00A30172"/>
    <w:rsid w:val="00A30254"/>
    <w:rsid w:val="00A30488"/>
    <w:rsid w:val="00A305EE"/>
    <w:rsid w:val="00A3085A"/>
    <w:rsid w:val="00A308DB"/>
    <w:rsid w:val="00A3093A"/>
    <w:rsid w:val="00A30D6D"/>
    <w:rsid w:val="00A30EC5"/>
    <w:rsid w:val="00A30FE1"/>
    <w:rsid w:val="00A31078"/>
    <w:rsid w:val="00A3129C"/>
    <w:rsid w:val="00A3143C"/>
    <w:rsid w:val="00A314A2"/>
    <w:rsid w:val="00A31624"/>
    <w:rsid w:val="00A316EC"/>
    <w:rsid w:val="00A317A5"/>
    <w:rsid w:val="00A3181A"/>
    <w:rsid w:val="00A31867"/>
    <w:rsid w:val="00A31955"/>
    <w:rsid w:val="00A31995"/>
    <w:rsid w:val="00A31CFB"/>
    <w:rsid w:val="00A31E71"/>
    <w:rsid w:val="00A31EF5"/>
    <w:rsid w:val="00A31FEF"/>
    <w:rsid w:val="00A321CE"/>
    <w:rsid w:val="00A3230B"/>
    <w:rsid w:val="00A32387"/>
    <w:rsid w:val="00A323EA"/>
    <w:rsid w:val="00A32486"/>
    <w:rsid w:val="00A32735"/>
    <w:rsid w:val="00A32736"/>
    <w:rsid w:val="00A3282A"/>
    <w:rsid w:val="00A32A62"/>
    <w:rsid w:val="00A32D55"/>
    <w:rsid w:val="00A32FFA"/>
    <w:rsid w:val="00A3327D"/>
    <w:rsid w:val="00A33450"/>
    <w:rsid w:val="00A3349D"/>
    <w:rsid w:val="00A334FD"/>
    <w:rsid w:val="00A33545"/>
    <w:rsid w:val="00A33621"/>
    <w:rsid w:val="00A33AF3"/>
    <w:rsid w:val="00A33B28"/>
    <w:rsid w:val="00A33BE4"/>
    <w:rsid w:val="00A33DF0"/>
    <w:rsid w:val="00A33FAC"/>
    <w:rsid w:val="00A3434B"/>
    <w:rsid w:val="00A34598"/>
    <w:rsid w:val="00A34784"/>
    <w:rsid w:val="00A34AE1"/>
    <w:rsid w:val="00A34B3F"/>
    <w:rsid w:val="00A34B8B"/>
    <w:rsid w:val="00A34D94"/>
    <w:rsid w:val="00A34E23"/>
    <w:rsid w:val="00A34F3F"/>
    <w:rsid w:val="00A35033"/>
    <w:rsid w:val="00A3522D"/>
    <w:rsid w:val="00A354CC"/>
    <w:rsid w:val="00A35764"/>
    <w:rsid w:val="00A358CC"/>
    <w:rsid w:val="00A35D6D"/>
    <w:rsid w:val="00A35E1C"/>
    <w:rsid w:val="00A35E9F"/>
    <w:rsid w:val="00A3602C"/>
    <w:rsid w:val="00A36080"/>
    <w:rsid w:val="00A36114"/>
    <w:rsid w:val="00A3640E"/>
    <w:rsid w:val="00A36727"/>
    <w:rsid w:val="00A3673A"/>
    <w:rsid w:val="00A36B10"/>
    <w:rsid w:val="00A36B21"/>
    <w:rsid w:val="00A371FC"/>
    <w:rsid w:val="00A3730C"/>
    <w:rsid w:val="00A37496"/>
    <w:rsid w:val="00A374D0"/>
    <w:rsid w:val="00A3754A"/>
    <w:rsid w:val="00A37595"/>
    <w:rsid w:val="00A375C9"/>
    <w:rsid w:val="00A375F4"/>
    <w:rsid w:val="00A37700"/>
    <w:rsid w:val="00A377F0"/>
    <w:rsid w:val="00A37899"/>
    <w:rsid w:val="00A3796B"/>
    <w:rsid w:val="00A37E9F"/>
    <w:rsid w:val="00A4008B"/>
    <w:rsid w:val="00A4028E"/>
    <w:rsid w:val="00A402EA"/>
    <w:rsid w:val="00A4044C"/>
    <w:rsid w:val="00A40483"/>
    <w:rsid w:val="00A40591"/>
    <w:rsid w:val="00A40A59"/>
    <w:rsid w:val="00A4120A"/>
    <w:rsid w:val="00A41450"/>
    <w:rsid w:val="00A414E8"/>
    <w:rsid w:val="00A4150A"/>
    <w:rsid w:val="00A41540"/>
    <w:rsid w:val="00A416DB"/>
    <w:rsid w:val="00A416E6"/>
    <w:rsid w:val="00A417C3"/>
    <w:rsid w:val="00A418E5"/>
    <w:rsid w:val="00A41C31"/>
    <w:rsid w:val="00A41F5E"/>
    <w:rsid w:val="00A420CF"/>
    <w:rsid w:val="00A422A5"/>
    <w:rsid w:val="00A42462"/>
    <w:rsid w:val="00A42707"/>
    <w:rsid w:val="00A4286D"/>
    <w:rsid w:val="00A4289E"/>
    <w:rsid w:val="00A4294F"/>
    <w:rsid w:val="00A42976"/>
    <w:rsid w:val="00A42AFC"/>
    <w:rsid w:val="00A42BE0"/>
    <w:rsid w:val="00A42CC3"/>
    <w:rsid w:val="00A42ED3"/>
    <w:rsid w:val="00A42FD0"/>
    <w:rsid w:val="00A43044"/>
    <w:rsid w:val="00A4309B"/>
    <w:rsid w:val="00A432B0"/>
    <w:rsid w:val="00A4361D"/>
    <w:rsid w:val="00A43848"/>
    <w:rsid w:val="00A4386E"/>
    <w:rsid w:val="00A438BC"/>
    <w:rsid w:val="00A43A34"/>
    <w:rsid w:val="00A43C44"/>
    <w:rsid w:val="00A43E05"/>
    <w:rsid w:val="00A43EC5"/>
    <w:rsid w:val="00A4432F"/>
    <w:rsid w:val="00A444ED"/>
    <w:rsid w:val="00A445AA"/>
    <w:rsid w:val="00A445EE"/>
    <w:rsid w:val="00A448F1"/>
    <w:rsid w:val="00A449A2"/>
    <w:rsid w:val="00A44CB6"/>
    <w:rsid w:val="00A44EA2"/>
    <w:rsid w:val="00A45205"/>
    <w:rsid w:val="00A455DF"/>
    <w:rsid w:val="00A45705"/>
    <w:rsid w:val="00A457A4"/>
    <w:rsid w:val="00A457D8"/>
    <w:rsid w:val="00A45806"/>
    <w:rsid w:val="00A45847"/>
    <w:rsid w:val="00A45B0F"/>
    <w:rsid w:val="00A45CCC"/>
    <w:rsid w:val="00A45CDF"/>
    <w:rsid w:val="00A45F7D"/>
    <w:rsid w:val="00A46060"/>
    <w:rsid w:val="00A461B1"/>
    <w:rsid w:val="00A46243"/>
    <w:rsid w:val="00A462F0"/>
    <w:rsid w:val="00A464B6"/>
    <w:rsid w:val="00A46507"/>
    <w:rsid w:val="00A4669C"/>
    <w:rsid w:val="00A468A6"/>
    <w:rsid w:val="00A46A31"/>
    <w:rsid w:val="00A46B1F"/>
    <w:rsid w:val="00A46B79"/>
    <w:rsid w:val="00A46FFF"/>
    <w:rsid w:val="00A4707B"/>
    <w:rsid w:val="00A47171"/>
    <w:rsid w:val="00A4725A"/>
    <w:rsid w:val="00A472BF"/>
    <w:rsid w:val="00A4738A"/>
    <w:rsid w:val="00A47A76"/>
    <w:rsid w:val="00A47BEF"/>
    <w:rsid w:val="00A47F69"/>
    <w:rsid w:val="00A47F73"/>
    <w:rsid w:val="00A50001"/>
    <w:rsid w:val="00A5042A"/>
    <w:rsid w:val="00A50520"/>
    <w:rsid w:val="00A505D6"/>
    <w:rsid w:val="00A5060F"/>
    <w:rsid w:val="00A506AE"/>
    <w:rsid w:val="00A5095E"/>
    <w:rsid w:val="00A5096D"/>
    <w:rsid w:val="00A50A2D"/>
    <w:rsid w:val="00A50A43"/>
    <w:rsid w:val="00A50AB2"/>
    <w:rsid w:val="00A50B3F"/>
    <w:rsid w:val="00A50DF4"/>
    <w:rsid w:val="00A50E32"/>
    <w:rsid w:val="00A51032"/>
    <w:rsid w:val="00A5112C"/>
    <w:rsid w:val="00A5113C"/>
    <w:rsid w:val="00A51911"/>
    <w:rsid w:val="00A51948"/>
    <w:rsid w:val="00A51C03"/>
    <w:rsid w:val="00A51C1F"/>
    <w:rsid w:val="00A51DD7"/>
    <w:rsid w:val="00A51E17"/>
    <w:rsid w:val="00A522B0"/>
    <w:rsid w:val="00A52360"/>
    <w:rsid w:val="00A524A9"/>
    <w:rsid w:val="00A524ED"/>
    <w:rsid w:val="00A525D1"/>
    <w:rsid w:val="00A52689"/>
    <w:rsid w:val="00A527BD"/>
    <w:rsid w:val="00A527CA"/>
    <w:rsid w:val="00A527E7"/>
    <w:rsid w:val="00A52883"/>
    <w:rsid w:val="00A529C3"/>
    <w:rsid w:val="00A52A21"/>
    <w:rsid w:val="00A52AAF"/>
    <w:rsid w:val="00A52BCD"/>
    <w:rsid w:val="00A52D08"/>
    <w:rsid w:val="00A52E92"/>
    <w:rsid w:val="00A52EDC"/>
    <w:rsid w:val="00A52FB6"/>
    <w:rsid w:val="00A530C4"/>
    <w:rsid w:val="00A53159"/>
    <w:rsid w:val="00A531FB"/>
    <w:rsid w:val="00A53284"/>
    <w:rsid w:val="00A532BB"/>
    <w:rsid w:val="00A5337E"/>
    <w:rsid w:val="00A533B6"/>
    <w:rsid w:val="00A5345B"/>
    <w:rsid w:val="00A53499"/>
    <w:rsid w:val="00A53580"/>
    <w:rsid w:val="00A535CD"/>
    <w:rsid w:val="00A53696"/>
    <w:rsid w:val="00A537BC"/>
    <w:rsid w:val="00A5387B"/>
    <w:rsid w:val="00A53B3C"/>
    <w:rsid w:val="00A53CC7"/>
    <w:rsid w:val="00A53F32"/>
    <w:rsid w:val="00A54268"/>
    <w:rsid w:val="00A54332"/>
    <w:rsid w:val="00A544EC"/>
    <w:rsid w:val="00A54548"/>
    <w:rsid w:val="00A54781"/>
    <w:rsid w:val="00A54834"/>
    <w:rsid w:val="00A54AB7"/>
    <w:rsid w:val="00A54BA0"/>
    <w:rsid w:val="00A54CA8"/>
    <w:rsid w:val="00A54D40"/>
    <w:rsid w:val="00A54E55"/>
    <w:rsid w:val="00A54FE2"/>
    <w:rsid w:val="00A54FFB"/>
    <w:rsid w:val="00A55255"/>
    <w:rsid w:val="00A553CF"/>
    <w:rsid w:val="00A5553D"/>
    <w:rsid w:val="00A55770"/>
    <w:rsid w:val="00A5596D"/>
    <w:rsid w:val="00A55DA3"/>
    <w:rsid w:val="00A55E4B"/>
    <w:rsid w:val="00A56025"/>
    <w:rsid w:val="00A561F1"/>
    <w:rsid w:val="00A562D7"/>
    <w:rsid w:val="00A565A4"/>
    <w:rsid w:val="00A56639"/>
    <w:rsid w:val="00A56683"/>
    <w:rsid w:val="00A56695"/>
    <w:rsid w:val="00A5670F"/>
    <w:rsid w:val="00A5679F"/>
    <w:rsid w:val="00A569F2"/>
    <w:rsid w:val="00A56B08"/>
    <w:rsid w:val="00A56B75"/>
    <w:rsid w:val="00A56BCF"/>
    <w:rsid w:val="00A56BDB"/>
    <w:rsid w:val="00A56C17"/>
    <w:rsid w:val="00A56E88"/>
    <w:rsid w:val="00A56EFB"/>
    <w:rsid w:val="00A57213"/>
    <w:rsid w:val="00A57409"/>
    <w:rsid w:val="00A5774D"/>
    <w:rsid w:val="00A60060"/>
    <w:rsid w:val="00A60545"/>
    <w:rsid w:val="00A6054A"/>
    <w:rsid w:val="00A6058A"/>
    <w:rsid w:val="00A605D8"/>
    <w:rsid w:val="00A60635"/>
    <w:rsid w:val="00A606AB"/>
    <w:rsid w:val="00A608A4"/>
    <w:rsid w:val="00A60997"/>
    <w:rsid w:val="00A60A4B"/>
    <w:rsid w:val="00A60F9F"/>
    <w:rsid w:val="00A61070"/>
    <w:rsid w:val="00A6112B"/>
    <w:rsid w:val="00A612AA"/>
    <w:rsid w:val="00A61799"/>
    <w:rsid w:val="00A619EE"/>
    <w:rsid w:val="00A61ABA"/>
    <w:rsid w:val="00A61AD4"/>
    <w:rsid w:val="00A61B0F"/>
    <w:rsid w:val="00A61BBF"/>
    <w:rsid w:val="00A61D99"/>
    <w:rsid w:val="00A61E3C"/>
    <w:rsid w:val="00A61E9C"/>
    <w:rsid w:val="00A61EE2"/>
    <w:rsid w:val="00A62172"/>
    <w:rsid w:val="00A62478"/>
    <w:rsid w:val="00A62593"/>
    <w:rsid w:val="00A62729"/>
    <w:rsid w:val="00A628FF"/>
    <w:rsid w:val="00A62D43"/>
    <w:rsid w:val="00A62E30"/>
    <w:rsid w:val="00A62EF6"/>
    <w:rsid w:val="00A63035"/>
    <w:rsid w:val="00A6324B"/>
    <w:rsid w:val="00A6324F"/>
    <w:rsid w:val="00A6355C"/>
    <w:rsid w:val="00A63597"/>
    <w:rsid w:val="00A635B6"/>
    <w:rsid w:val="00A635CC"/>
    <w:rsid w:val="00A635EC"/>
    <w:rsid w:val="00A63A3E"/>
    <w:rsid w:val="00A63DD5"/>
    <w:rsid w:val="00A63F05"/>
    <w:rsid w:val="00A63F49"/>
    <w:rsid w:val="00A6403F"/>
    <w:rsid w:val="00A6415A"/>
    <w:rsid w:val="00A644E2"/>
    <w:rsid w:val="00A644E8"/>
    <w:rsid w:val="00A646FA"/>
    <w:rsid w:val="00A64755"/>
    <w:rsid w:val="00A64876"/>
    <w:rsid w:val="00A6489A"/>
    <w:rsid w:val="00A649D9"/>
    <w:rsid w:val="00A64A76"/>
    <w:rsid w:val="00A64B75"/>
    <w:rsid w:val="00A64DC8"/>
    <w:rsid w:val="00A64E56"/>
    <w:rsid w:val="00A6502E"/>
    <w:rsid w:val="00A650E0"/>
    <w:rsid w:val="00A651BA"/>
    <w:rsid w:val="00A65251"/>
    <w:rsid w:val="00A6532E"/>
    <w:rsid w:val="00A65441"/>
    <w:rsid w:val="00A655AD"/>
    <w:rsid w:val="00A65AF9"/>
    <w:rsid w:val="00A65BEE"/>
    <w:rsid w:val="00A65CD4"/>
    <w:rsid w:val="00A65DB0"/>
    <w:rsid w:val="00A65F83"/>
    <w:rsid w:val="00A65FC9"/>
    <w:rsid w:val="00A66546"/>
    <w:rsid w:val="00A666E8"/>
    <w:rsid w:val="00A668EA"/>
    <w:rsid w:val="00A66916"/>
    <w:rsid w:val="00A669D5"/>
    <w:rsid w:val="00A66C34"/>
    <w:rsid w:val="00A66CD2"/>
    <w:rsid w:val="00A66D2C"/>
    <w:rsid w:val="00A66DC0"/>
    <w:rsid w:val="00A66E18"/>
    <w:rsid w:val="00A66E3D"/>
    <w:rsid w:val="00A66F7F"/>
    <w:rsid w:val="00A67185"/>
    <w:rsid w:val="00A671E9"/>
    <w:rsid w:val="00A673FC"/>
    <w:rsid w:val="00A67458"/>
    <w:rsid w:val="00A6763D"/>
    <w:rsid w:val="00A67748"/>
    <w:rsid w:val="00A677DB"/>
    <w:rsid w:val="00A67A0D"/>
    <w:rsid w:val="00A67B3D"/>
    <w:rsid w:val="00A67BFD"/>
    <w:rsid w:val="00A67EC5"/>
    <w:rsid w:val="00A67FF8"/>
    <w:rsid w:val="00A70009"/>
    <w:rsid w:val="00A70080"/>
    <w:rsid w:val="00A701DB"/>
    <w:rsid w:val="00A703B5"/>
    <w:rsid w:val="00A703C2"/>
    <w:rsid w:val="00A704BB"/>
    <w:rsid w:val="00A704D4"/>
    <w:rsid w:val="00A706F3"/>
    <w:rsid w:val="00A70724"/>
    <w:rsid w:val="00A7075B"/>
    <w:rsid w:val="00A70954"/>
    <w:rsid w:val="00A70971"/>
    <w:rsid w:val="00A709DC"/>
    <w:rsid w:val="00A70C95"/>
    <w:rsid w:val="00A70CD6"/>
    <w:rsid w:val="00A70EBD"/>
    <w:rsid w:val="00A710D0"/>
    <w:rsid w:val="00A71262"/>
    <w:rsid w:val="00A717A4"/>
    <w:rsid w:val="00A71A12"/>
    <w:rsid w:val="00A71C6F"/>
    <w:rsid w:val="00A71C9D"/>
    <w:rsid w:val="00A71E08"/>
    <w:rsid w:val="00A71E39"/>
    <w:rsid w:val="00A71ED4"/>
    <w:rsid w:val="00A72116"/>
    <w:rsid w:val="00A7215A"/>
    <w:rsid w:val="00A7240C"/>
    <w:rsid w:val="00A72569"/>
    <w:rsid w:val="00A726BF"/>
    <w:rsid w:val="00A7283D"/>
    <w:rsid w:val="00A72AC9"/>
    <w:rsid w:val="00A72B2B"/>
    <w:rsid w:val="00A72B63"/>
    <w:rsid w:val="00A72C14"/>
    <w:rsid w:val="00A72C4A"/>
    <w:rsid w:val="00A72C71"/>
    <w:rsid w:val="00A72D89"/>
    <w:rsid w:val="00A72F1D"/>
    <w:rsid w:val="00A72F9F"/>
    <w:rsid w:val="00A72FE9"/>
    <w:rsid w:val="00A731EC"/>
    <w:rsid w:val="00A7330E"/>
    <w:rsid w:val="00A73446"/>
    <w:rsid w:val="00A73598"/>
    <w:rsid w:val="00A7379D"/>
    <w:rsid w:val="00A738DF"/>
    <w:rsid w:val="00A73A3F"/>
    <w:rsid w:val="00A73B43"/>
    <w:rsid w:val="00A73C50"/>
    <w:rsid w:val="00A73D51"/>
    <w:rsid w:val="00A73D8B"/>
    <w:rsid w:val="00A73F50"/>
    <w:rsid w:val="00A7434B"/>
    <w:rsid w:val="00A7436C"/>
    <w:rsid w:val="00A74721"/>
    <w:rsid w:val="00A74737"/>
    <w:rsid w:val="00A74762"/>
    <w:rsid w:val="00A7477F"/>
    <w:rsid w:val="00A7484C"/>
    <w:rsid w:val="00A74F2E"/>
    <w:rsid w:val="00A74F85"/>
    <w:rsid w:val="00A75182"/>
    <w:rsid w:val="00A7528C"/>
    <w:rsid w:val="00A752B6"/>
    <w:rsid w:val="00A755B3"/>
    <w:rsid w:val="00A75785"/>
    <w:rsid w:val="00A757AD"/>
    <w:rsid w:val="00A75AC4"/>
    <w:rsid w:val="00A75C16"/>
    <w:rsid w:val="00A75CCD"/>
    <w:rsid w:val="00A75F1E"/>
    <w:rsid w:val="00A75F50"/>
    <w:rsid w:val="00A760B6"/>
    <w:rsid w:val="00A76155"/>
    <w:rsid w:val="00A763E7"/>
    <w:rsid w:val="00A76542"/>
    <w:rsid w:val="00A765D5"/>
    <w:rsid w:val="00A765E7"/>
    <w:rsid w:val="00A76658"/>
    <w:rsid w:val="00A766CD"/>
    <w:rsid w:val="00A76A3B"/>
    <w:rsid w:val="00A76AAB"/>
    <w:rsid w:val="00A76AB7"/>
    <w:rsid w:val="00A76B1B"/>
    <w:rsid w:val="00A76DBE"/>
    <w:rsid w:val="00A7708D"/>
    <w:rsid w:val="00A7719C"/>
    <w:rsid w:val="00A772F3"/>
    <w:rsid w:val="00A7741A"/>
    <w:rsid w:val="00A77B15"/>
    <w:rsid w:val="00A77C76"/>
    <w:rsid w:val="00A77D8E"/>
    <w:rsid w:val="00A77DB5"/>
    <w:rsid w:val="00A77DF1"/>
    <w:rsid w:val="00A77E79"/>
    <w:rsid w:val="00A77ED4"/>
    <w:rsid w:val="00A77FB2"/>
    <w:rsid w:val="00A80011"/>
    <w:rsid w:val="00A800C9"/>
    <w:rsid w:val="00A8013C"/>
    <w:rsid w:val="00A8018B"/>
    <w:rsid w:val="00A80206"/>
    <w:rsid w:val="00A8064F"/>
    <w:rsid w:val="00A80AB9"/>
    <w:rsid w:val="00A80CEB"/>
    <w:rsid w:val="00A80DAC"/>
    <w:rsid w:val="00A80DE3"/>
    <w:rsid w:val="00A80E55"/>
    <w:rsid w:val="00A80F9D"/>
    <w:rsid w:val="00A80FE3"/>
    <w:rsid w:val="00A81094"/>
    <w:rsid w:val="00A81169"/>
    <w:rsid w:val="00A8131B"/>
    <w:rsid w:val="00A81739"/>
    <w:rsid w:val="00A8179B"/>
    <w:rsid w:val="00A81983"/>
    <w:rsid w:val="00A821E9"/>
    <w:rsid w:val="00A8223C"/>
    <w:rsid w:val="00A8234E"/>
    <w:rsid w:val="00A82491"/>
    <w:rsid w:val="00A82530"/>
    <w:rsid w:val="00A825E7"/>
    <w:rsid w:val="00A826DB"/>
    <w:rsid w:val="00A829AE"/>
    <w:rsid w:val="00A82B1A"/>
    <w:rsid w:val="00A82C22"/>
    <w:rsid w:val="00A83064"/>
    <w:rsid w:val="00A83077"/>
    <w:rsid w:val="00A830FE"/>
    <w:rsid w:val="00A83144"/>
    <w:rsid w:val="00A83213"/>
    <w:rsid w:val="00A832F1"/>
    <w:rsid w:val="00A8356A"/>
    <w:rsid w:val="00A83775"/>
    <w:rsid w:val="00A837D0"/>
    <w:rsid w:val="00A83945"/>
    <w:rsid w:val="00A839B8"/>
    <w:rsid w:val="00A83F60"/>
    <w:rsid w:val="00A83FF2"/>
    <w:rsid w:val="00A841F0"/>
    <w:rsid w:val="00A843D5"/>
    <w:rsid w:val="00A84425"/>
    <w:rsid w:val="00A844A5"/>
    <w:rsid w:val="00A847A4"/>
    <w:rsid w:val="00A84841"/>
    <w:rsid w:val="00A84892"/>
    <w:rsid w:val="00A848DD"/>
    <w:rsid w:val="00A848EA"/>
    <w:rsid w:val="00A84B8D"/>
    <w:rsid w:val="00A84CB4"/>
    <w:rsid w:val="00A84CEB"/>
    <w:rsid w:val="00A84D43"/>
    <w:rsid w:val="00A84D99"/>
    <w:rsid w:val="00A850F2"/>
    <w:rsid w:val="00A85136"/>
    <w:rsid w:val="00A856FB"/>
    <w:rsid w:val="00A85813"/>
    <w:rsid w:val="00A85981"/>
    <w:rsid w:val="00A85B34"/>
    <w:rsid w:val="00A85C78"/>
    <w:rsid w:val="00A85CCC"/>
    <w:rsid w:val="00A85EFD"/>
    <w:rsid w:val="00A85F8E"/>
    <w:rsid w:val="00A86176"/>
    <w:rsid w:val="00A861CA"/>
    <w:rsid w:val="00A86354"/>
    <w:rsid w:val="00A865CE"/>
    <w:rsid w:val="00A8672F"/>
    <w:rsid w:val="00A86815"/>
    <w:rsid w:val="00A86942"/>
    <w:rsid w:val="00A869B1"/>
    <w:rsid w:val="00A86A0B"/>
    <w:rsid w:val="00A86B04"/>
    <w:rsid w:val="00A86B34"/>
    <w:rsid w:val="00A86C26"/>
    <w:rsid w:val="00A86E33"/>
    <w:rsid w:val="00A86F48"/>
    <w:rsid w:val="00A87018"/>
    <w:rsid w:val="00A870B6"/>
    <w:rsid w:val="00A87136"/>
    <w:rsid w:val="00A8729D"/>
    <w:rsid w:val="00A873D4"/>
    <w:rsid w:val="00A87461"/>
    <w:rsid w:val="00A87787"/>
    <w:rsid w:val="00A87D0D"/>
    <w:rsid w:val="00A87D1C"/>
    <w:rsid w:val="00A87E00"/>
    <w:rsid w:val="00A9026F"/>
    <w:rsid w:val="00A90404"/>
    <w:rsid w:val="00A9040D"/>
    <w:rsid w:val="00A90668"/>
    <w:rsid w:val="00A907C3"/>
    <w:rsid w:val="00A90807"/>
    <w:rsid w:val="00A90927"/>
    <w:rsid w:val="00A9095F"/>
    <w:rsid w:val="00A90B75"/>
    <w:rsid w:val="00A90C3C"/>
    <w:rsid w:val="00A90C5F"/>
    <w:rsid w:val="00A90F01"/>
    <w:rsid w:val="00A90F09"/>
    <w:rsid w:val="00A90F19"/>
    <w:rsid w:val="00A90F90"/>
    <w:rsid w:val="00A9103D"/>
    <w:rsid w:val="00A913BC"/>
    <w:rsid w:val="00A91531"/>
    <w:rsid w:val="00A91569"/>
    <w:rsid w:val="00A9179B"/>
    <w:rsid w:val="00A917DD"/>
    <w:rsid w:val="00A918AA"/>
    <w:rsid w:val="00A919AF"/>
    <w:rsid w:val="00A919FF"/>
    <w:rsid w:val="00A91A1B"/>
    <w:rsid w:val="00A91A42"/>
    <w:rsid w:val="00A91C03"/>
    <w:rsid w:val="00A91DD7"/>
    <w:rsid w:val="00A92459"/>
    <w:rsid w:val="00A9259C"/>
    <w:rsid w:val="00A92689"/>
    <w:rsid w:val="00A9286C"/>
    <w:rsid w:val="00A92887"/>
    <w:rsid w:val="00A92ABF"/>
    <w:rsid w:val="00A92B84"/>
    <w:rsid w:val="00A92C1D"/>
    <w:rsid w:val="00A92C48"/>
    <w:rsid w:val="00A92C8A"/>
    <w:rsid w:val="00A933D2"/>
    <w:rsid w:val="00A934F3"/>
    <w:rsid w:val="00A9356F"/>
    <w:rsid w:val="00A9357D"/>
    <w:rsid w:val="00A937C5"/>
    <w:rsid w:val="00A93A37"/>
    <w:rsid w:val="00A93A4E"/>
    <w:rsid w:val="00A93AD0"/>
    <w:rsid w:val="00A93B1A"/>
    <w:rsid w:val="00A93E81"/>
    <w:rsid w:val="00A93F0F"/>
    <w:rsid w:val="00A93F33"/>
    <w:rsid w:val="00A93F60"/>
    <w:rsid w:val="00A94025"/>
    <w:rsid w:val="00A9406D"/>
    <w:rsid w:val="00A94105"/>
    <w:rsid w:val="00A941BE"/>
    <w:rsid w:val="00A94354"/>
    <w:rsid w:val="00A943B6"/>
    <w:rsid w:val="00A943E4"/>
    <w:rsid w:val="00A944D4"/>
    <w:rsid w:val="00A944EA"/>
    <w:rsid w:val="00A946D5"/>
    <w:rsid w:val="00A949FA"/>
    <w:rsid w:val="00A94AFD"/>
    <w:rsid w:val="00A94CF3"/>
    <w:rsid w:val="00A94E0D"/>
    <w:rsid w:val="00A94EE0"/>
    <w:rsid w:val="00A95095"/>
    <w:rsid w:val="00A950EE"/>
    <w:rsid w:val="00A95396"/>
    <w:rsid w:val="00A9542C"/>
    <w:rsid w:val="00A954E1"/>
    <w:rsid w:val="00A957A5"/>
    <w:rsid w:val="00A957DB"/>
    <w:rsid w:val="00A95A26"/>
    <w:rsid w:val="00A95AC5"/>
    <w:rsid w:val="00A95DEB"/>
    <w:rsid w:val="00A95E3B"/>
    <w:rsid w:val="00A95E57"/>
    <w:rsid w:val="00A95FF9"/>
    <w:rsid w:val="00A962DF"/>
    <w:rsid w:val="00A96300"/>
    <w:rsid w:val="00A9637B"/>
    <w:rsid w:val="00A9639C"/>
    <w:rsid w:val="00A96581"/>
    <w:rsid w:val="00A96669"/>
    <w:rsid w:val="00A9693C"/>
    <w:rsid w:val="00A96B6A"/>
    <w:rsid w:val="00A96B89"/>
    <w:rsid w:val="00A96C73"/>
    <w:rsid w:val="00A96E74"/>
    <w:rsid w:val="00A96EAF"/>
    <w:rsid w:val="00A9711B"/>
    <w:rsid w:val="00A9716E"/>
    <w:rsid w:val="00A97187"/>
    <w:rsid w:val="00A9720E"/>
    <w:rsid w:val="00A97309"/>
    <w:rsid w:val="00A973C9"/>
    <w:rsid w:val="00A97615"/>
    <w:rsid w:val="00A9775C"/>
    <w:rsid w:val="00A97A1C"/>
    <w:rsid w:val="00A97B26"/>
    <w:rsid w:val="00A97D9E"/>
    <w:rsid w:val="00A97E5F"/>
    <w:rsid w:val="00AA00A2"/>
    <w:rsid w:val="00AA03C4"/>
    <w:rsid w:val="00AA055F"/>
    <w:rsid w:val="00AA05B8"/>
    <w:rsid w:val="00AA0674"/>
    <w:rsid w:val="00AA06AA"/>
    <w:rsid w:val="00AA0810"/>
    <w:rsid w:val="00AA086E"/>
    <w:rsid w:val="00AA09B9"/>
    <w:rsid w:val="00AA0AF6"/>
    <w:rsid w:val="00AA0B14"/>
    <w:rsid w:val="00AA0FCF"/>
    <w:rsid w:val="00AA139D"/>
    <w:rsid w:val="00AA15DF"/>
    <w:rsid w:val="00AA16A5"/>
    <w:rsid w:val="00AA17D2"/>
    <w:rsid w:val="00AA17E5"/>
    <w:rsid w:val="00AA1805"/>
    <w:rsid w:val="00AA1903"/>
    <w:rsid w:val="00AA19BA"/>
    <w:rsid w:val="00AA1A97"/>
    <w:rsid w:val="00AA1AF7"/>
    <w:rsid w:val="00AA1C3F"/>
    <w:rsid w:val="00AA1C90"/>
    <w:rsid w:val="00AA1D44"/>
    <w:rsid w:val="00AA1D7E"/>
    <w:rsid w:val="00AA1EC7"/>
    <w:rsid w:val="00AA2362"/>
    <w:rsid w:val="00AA249A"/>
    <w:rsid w:val="00AA2715"/>
    <w:rsid w:val="00AA29A6"/>
    <w:rsid w:val="00AA29FD"/>
    <w:rsid w:val="00AA2D14"/>
    <w:rsid w:val="00AA2FD7"/>
    <w:rsid w:val="00AA3115"/>
    <w:rsid w:val="00AA31D0"/>
    <w:rsid w:val="00AA323E"/>
    <w:rsid w:val="00AA367F"/>
    <w:rsid w:val="00AA3961"/>
    <w:rsid w:val="00AA3B9E"/>
    <w:rsid w:val="00AA3C71"/>
    <w:rsid w:val="00AA3D34"/>
    <w:rsid w:val="00AA3D95"/>
    <w:rsid w:val="00AA3DB7"/>
    <w:rsid w:val="00AA3E33"/>
    <w:rsid w:val="00AA3EA2"/>
    <w:rsid w:val="00AA4063"/>
    <w:rsid w:val="00AA408E"/>
    <w:rsid w:val="00AA40A9"/>
    <w:rsid w:val="00AA4100"/>
    <w:rsid w:val="00AA4113"/>
    <w:rsid w:val="00AA48B0"/>
    <w:rsid w:val="00AA4B48"/>
    <w:rsid w:val="00AA4C7A"/>
    <w:rsid w:val="00AA4DD5"/>
    <w:rsid w:val="00AA4E27"/>
    <w:rsid w:val="00AA4FC3"/>
    <w:rsid w:val="00AA516C"/>
    <w:rsid w:val="00AA52DF"/>
    <w:rsid w:val="00AA52E3"/>
    <w:rsid w:val="00AA5463"/>
    <w:rsid w:val="00AA54DA"/>
    <w:rsid w:val="00AA5542"/>
    <w:rsid w:val="00AA5616"/>
    <w:rsid w:val="00AA5633"/>
    <w:rsid w:val="00AA57AB"/>
    <w:rsid w:val="00AA57EB"/>
    <w:rsid w:val="00AA58B6"/>
    <w:rsid w:val="00AA5AE2"/>
    <w:rsid w:val="00AA5B12"/>
    <w:rsid w:val="00AA5B1F"/>
    <w:rsid w:val="00AA5D4E"/>
    <w:rsid w:val="00AA5D99"/>
    <w:rsid w:val="00AA6229"/>
    <w:rsid w:val="00AA62F8"/>
    <w:rsid w:val="00AA6335"/>
    <w:rsid w:val="00AA644F"/>
    <w:rsid w:val="00AA6791"/>
    <w:rsid w:val="00AA689D"/>
    <w:rsid w:val="00AA69C8"/>
    <w:rsid w:val="00AA6CE0"/>
    <w:rsid w:val="00AA6F72"/>
    <w:rsid w:val="00AA712A"/>
    <w:rsid w:val="00AA729C"/>
    <w:rsid w:val="00AA74B1"/>
    <w:rsid w:val="00AA77B1"/>
    <w:rsid w:val="00AA7A36"/>
    <w:rsid w:val="00AA7A45"/>
    <w:rsid w:val="00AB0091"/>
    <w:rsid w:val="00AB00DA"/>
    <w:rsid w:val="00AB03C8"/>
    <w:rsid w:val="00AB066D"/>
    <w:rsid w:val="00AB0678"/>
    <w:rsid w:val="00AB0B42"/>
    <w:rsid w:val="00AB0C29"/>
    <w:rsid w:val="00AB0F8F"/>
    <w:rsid w:val="00AB1011"/>
    <w:rsid w:val="00AB10F0"/>
    <w:rsid w:val="00AB11E1"/>
    <w:rsid w:val="00AB1320"/>
    <w:rsid w:val="00AB142A"/>
    <w:rsid w:val="00AB14F1"/>
    <w:rsid w:val="00AB15A0"/>
    <w:rsid w:val="00AB1877"/>
    <w:rsid w:val="00AB1878"/>
    <w:rsid w:val="00AB18DF"/>
    <w:rsid w:val="00AB1A56"/>
    <w:rsid w:val="00AB1B32"/>
    <w:rsid w:val="00AB1D09"/>
    <w:rsid w:val="00AB1D19"/>
    <w:rsid w:val="00AB2283"/>
    <w:rsid w:val="00AB2351"/>
    <w:rsid w:val="00AB244F"/>
    <w:rsid w:val="00AB2650"/>
    <w:rsid w:val="00AB2A73"/>
    <w:rsid w:val="00AB2B00"/>
    <w:rsid w:val="00AB2B97"/>
    <w:rsid w:val="00AB2E05"/>
    <w:rsid w:val="00AB2E7A"/>
    <w:rsid w:val="00AB31E8"/>
    <w:rsid w:val="00AB3275"/>
    <w:rsid w:val="00AB3647"/>
    <w:rsid w:val="00AB3ED4"/>
    <w:rsid w:val="00AB41D6"/>
    <w:rsid w:val="00AB43CA"/>
    <w:rsid w:val="00AB462C"/>
    <w:rsid w:val="00AB48E9"/>
    <w:rsid w:val="00AB493F"/>
    <w:rsid w:val="00AB4B0A"/>
    <w:rsid w:val="00AB4B62"/>
    <w:rsid w:val="00AB4BD2"/>
    <w:rsid w:val="00AB4C2F"/>
    <w:rsid w:val="00AB4C86"/>
    <w:rsid w:val="00AB5253"/>
    <w:rsid w:val="00AB53AE"/>
    <w:rsid w:val="00AB5451"/>
    <w:rsid w:val="00AB5592"/>
    <w:rsid w:val="00AB55C0"/>
    <w:rsid w:val="00AB55FB"/>
    <w:rsid w:val="00AB55FF"/>
    <w:rsid w:val="00AB565E"/>
    <w:rsid w:val="00AB5A9F"/>
    <w:rsid w:val="00AB5C2C"/>
    <w:rsid w:val="00AB5E29"/>
    <w:rsid w:val="00AB5F32"/>
    <w:rsid w:val="00AB60FA"/>
    <w:rsid w:val="00AB616D"/>
    <w:rsid w:val="00AB6246"/>
    <w:rsid w:val="00AB6516"/>
    <w:rsid w:val="00AB6699"/>
    <w:rsid w:val="00AB67BF"/>
    <w:rsid w:val="00AB6831"/>
    <w:rsid w:val="00AB69F2"/>
    <w:rsid w:val="00AB6B56"/>
    <w:rsid w:val="00AB6C35"/>
    <w:rsid w:val="00AB6C8A"/>
    <w:rsid w:val="00AB6CA1"/>
    <w:rsid w:val="00AB6DD9"/>
    <w:rsid w:val="00AB701C"/>
    <w:rsid w:val="00AB70A9"/>
    <w:rsid w:val="00AB7580"/>
    <w:rsid w:val="00AB76B7"/>
    <w:rsid w:val="00AB76CD"/>
    <w:rsid w:val="00AB777D"/>
    <w:rsid w:val="00AB784A"/>
    <w:rsid w:val="00AB7A74"/>
    <w:rsid w:val="00AB7B49"/>
    <w:rsid w:val="00AB7B68"/>
    <w:rsid w:val="00AB7B9B"/>
    <w:rsid w:val="00AB7DDD"/>
    <w:rsid w:val="00AC008D"/>
    <w:rsid w:val="00AC011C"/>
    <w:rsid w:val="00AC0254"/>
    <w:rsid w:val="00AC02C2"/>
    <w:rsid w:val="00AC032E"/>
    <w:rsid w:val="00AC0555"/>
    <w:rsid w:val="00AC0753"/>
    <w:rsid w:val="00AC0A32"/>
    <w:rsid w:val="00AC0AB3"/>
    <w:rsid w:val="00AC0C02"/>
    <w:rsid w:val="00AC0F26"/>
    <w:rsid w:val="00AC0FA5"/>
    <w:rsid w:val="00AC118A"/>
    <w:rsid w:val="00AC1343"/>
    <w:rsid w:val="00AC13D8"/>
    <w:rsid w:val="00AC146F"/>
    <w:rsid w:val="00AC1577"/>
    <w:rsid w:val="00AC1607"/>
    <w:rsid w:val="00AC1628"/>
    <w:rsid w:val="00AC1652"/>
    <w:rsid w:val="00AC1657"/>
    <w:rsid w:val="00AC1878"/>
    <w:rsid w:val="00AC1980"/>
    <w:rsid w:val="00AC1B50"/>
    <w:rsid w:val="00AC1BE9"/>
    <w:rsid w:val="00AC1F6C"/>
    <w:rsid w:val="00AC1FCD"/>
    <w:rsid w:val="00AC2163"/>
    <w:rsid w:val="00AC217F"/>
    <w:rsid w:val="00AC251D"/>
    <w:rsid w:val="00AC25C2"/>
    <w:rsid w:val="00AC2845"/>
    <w:rsid w:val="00AC293C"/>
    <w:rsid w:val="00AC299C"/>
    <w:rsid w:val="00AC29F3"/>
    <w:rsid w:val="00AC2BC0"/>
    <w:rsid w:val="00AC2D1C"/>
    <w:rsid w:val="00AC2D3A"/>
    <w:rsid w:val="00AC2D68"/>
    <w:rsid w:val="00AC3016"/>
    <w:rsid w:val="00AC3064"/>
    <w:rsid w:val="00AC314B"/>
    <w:rsid w:val="00AC3304"/>
    <w:rsid w:val="00AC3335"/>
    <w:rsid w:val="00AC337A"/>
    <w:rsid w:val="00AC33B9"/>
    <w:rsid w:val="00AC34E2"/>
    <w:rsid w:val="00AC375A"/>
    <w:rsid w:val="00AC3C0E"/>
    <w:rsid w:val="00AC3C77"/>
    <w:rsid w:val="00AC3D56"/>
    <w:rsid w:val="00AC4011"/>
    <w:rsid w:val="00AC4180"/>
    <w:rsid w:val="00AC426E"/>
    <w:rsid w:val="00AC47A5"/>
    <w:rsid w:val="00AC481D"/>
    <w:rsid w:val="00AC49D3"/>
    <w:rsid w:val="00AC4A4D"/>
    <w:rsid w:val="00AC4C1B"/>
    <w:rsid w:val="00AC4C28"/>
    <w:rsid w:val="00AC4C5E"/>
    <w:rsid w:val="00AC4EBF"/>
    <w:rsid w:val="00AC511F"/>
    <w:rsid w:val="00AC51DE"/>
    <w:rsid w:val="00AC51EB"/>
    <w:rsid w:val="00AC5399"/>
    <w:rsid w:val="00AC54DF"/>
    <w:rsid w:val="00AC576C"/>
    <w:rsid w:val="00AC592C"/>
    <w:rsid w:val="00AC594D"/>
    <w:rsid w:val="00AC5A25"/>
    <w:rsid w:val="00AC5A58"/>
    <w:rsid w:val="00AC5B01"/>
    <w:rsid w:val="00AC5C0F"/>
    <w:rsid w:val="00AC5DB6"/>
    <w:rsid w:val="00AC5E38"/>
    <w:rsid w:val="00AC5F81"/>
    <w:rsid w:val="00AC632C"/>
    <w:rsid w:val="00AC6333"/>
    <w:rsid w:val="00AC6473"/>
    <w:rsid w:val="00AC66C6"/>
    <w:rsid w:val="00AC687A"/>
    <w:rsid w:val="00AC6C28"/>
    <w:rsid w:val="00AC6F08"/>
    <w:rsid w:val="00AC7013"/>
    <w:rsid w:val="00AC7049"/>
    <w:rsid w:val="00AC7182"/>
    <w:rsid w:val="00AC7255"/>
    <w:rsid w:val="00AC72C4"/>
    <w:rsid w:val="00AC7314"/>
    <w:rsid w:val="00AC7413"/>
    <w:rsid w:val="00AC764A"/>
    <w:rsid w:val="00AC769D"/>
    <w:rsid w:val="00AC76E2"/>
    <w:rsid w:val="00AC7ABB"/>
    <w:rsid w:val="00AC7B2D"/>
    <w:rsid w:val="00AC7B6C"/>
    <w:rsid w:val="00AC7C52"/>
    <w:rsid w:val="00AC7C62"/>
    <w:rsid w:val="00AC7E20"/>
    <w:rsid w:val="00AD0006"/>
    <w:rsid w:val="00AD036C"/>
    <w:rsid w:val="00AD0741"/>
    <w:rsid w:val="00AD0755"/>
    <w:rsid w:val="00AD089C"/>
    <w:rsid w:val="00AD0A77"/>
    <w:rsid w:val="00AD0D61"/>
    <w:rsid w:val="00AD0E40"/>
    <w:rsid w:val="00AD0F9F"/>
    <w:rsid w:val="00AD11CA"/>
    <w:rsid w:val="00AD14F9"/>
    <w:rsid w:val="00AD1519"/>
    <w:rsid w:val="00AD15CB"/>
    <w:rsid w:val="00AD176F"/>
    <w:rsid w:val="00AD18EC"/>
    <w:rsid w:val="00AD1A38"/>
    <w:rsid w:val="00AD1BE8"/>
    <w:rsid w:val="00AD1C3D"/>
    <w:rsid w:val="00AD1C7A"/>
    <w:rsid w:val="00AD1CDC"/>
    <w:rsid w:val="00AD1E84"/>
    <w:rsid w:val="00AD22DE"/>
    <w:rsid w:val="00AD2356"/>
    <w:rsid w:val="00AD23B7"/>
    <w:rsid w:val="00AD24C6"/>
    <w:rsid w:val="00AD2520"/>
    <w:rsid w:val="00AD25CB"/>
    <w:rsid w:val="00AD2687"/>
    <w:rsid w:val="00AD2736"/>
    <w:rsid w:val="00AD2827"/>
    <w:rsid w:val="00AD2B6A"/>
    <w:rsid w:val="00AD2CD9"/>
    <w:rsid w:val="00AD2EBB"/>
    <w:rsid w:val="00AD2F52"/>
    <w:rsid w:val="00AD30F4"/>
    <w:rsid w:val="00AD3182"/>
    <w:rsid w:val="00AD3444"/>
    <w:rsid w:val="00AD34C8"/>
    <w:rsid w:val="00AD36B7"/>
    <w:rsid w:val="00AD3B94"/>
    <w:rsid w:val="00AD3BA0"/>
    <w:rsid w:val="00AD3D98"/>
    <w:rsid w:val="00AD3EB8"/>
    <w:rsid w:val="00AD3FAD"/>
    <w:rsid w:val="00AD4614"/>
    <w:rsid w:val="00AD46DB"/>
    <w:rsid w:val="00AD48DA"/>
    <w:rsid w:val="00AD4950"/>
    <w:rsid w:val="00AD4999"/>
    <w:rsid w:val="00AD4A41"/>
    <w:rsid w:val="00AD4A70"/>
    <w:rsid w:val="00AD4D39"/>
    <w:rsid w:val="00AD4FB7"/>
    <w:rsid w:val="00AD508D"/>
    <w:rsid w:val="00AD52D7"/>
    <w:rsid w:val="00AD54C1"/>
    <w:rsid w:val="00AD5569"/>
    <w:rsid w:val="00AD56A3"/>
    <w:rsid w:val="00AD5864"/>
    <w:rsid w:val="00AD5B7D"/>
    <w:rsid w:val="00AD5C76"/>
    <w:rsid w:val="00AD5F38"/>
    <w:rsid w:val="00AD5FD8"/>
    <w:rsid w:val="00AD5FEE"/>
    <w:rsid w:val="00AD6151"/>
    <w:rsid w:val="00AD61E0"/>
    <w:rsid w:val="00AD6643"/>
    <w:rsid w:val="00AD6681"/>
    <w:rsid w:val="00AD67E2"/>
    <w:rsid w:val="00AD68D4"/>
    <w:rsid w:val="00AD6B1F"/>
    <w:rsid w:val="00AD6EFA"/>
    <w:rsid w:val="00AD711C"/>
    <w:rsid w:val="00AD72CB"/>
    <w:rsid w:val="00AD746E"/>
    <w:rsid w:val="00AD74CE"/>
    <w:rsid w:val="00AD75B9"/>
    <w:rsid w:val="00AD7689"/>
    <w:rsid w:val="00AD778D"/>
    <w:rsid w:val="00AD7889"/>
    <w:rsid w:val="00AD78C2"/>
    <w:rsid w:val="00AD7974"/>
    <w:rsid w:val="00AD7B8F"/>
    <w:rsid w:val="00AD7C5C"/>
    <w:rsid w:val="00AD7D09"/>
    <w:rsid w:val="00AD7D29"/>
    <w:rsid w:val="00AD7D49"/>
    <w:rsid w:val="00AE0118"/>
    <w:rsid w:val="00AE0282"/>
    <w:rsid w:val="00AE02CA"/>
    <w:rsid w:val="00AE043A"/>
    <w:rsid w:val="00AE05CE"/>
    <w:rsid w:val="00AE0647"/>
    <w:rsid w:val="00AE0938"/>
    <w:rsid w:val="00AE0B10"/>
    <w:rsid w:val="00AE0B40"/>
    <w:rsid w:val="00AE0C0F"/>
    <w:rsid w:val="00AE0FB2"/>
    <w:rsid w:val="00AE1174"/>
    <w:rsid w:val="00AE1383"/>
    <w:rsid w:val="00AE14DD"/>
    <w:rsid w:val="00AE1660"/>
    <w:rsid w:val="00AE18CA"/>
    <w:rsid w:val="00AE19A7"/>
    <w:rsid w:val="00AE1B7F"/>
    <w:rsid w:val="00AE1C7D"/>
    <w:rsid w:val="00AE1CE4"/>
    <w:rsid w:val="00AE1CF2"/>
    <w:rsid w:val="00AE1D0C"/>
    <w:rsid w:val="00AE1EBF"/>
    <w:rsid w:val="00AE2250"/>
    <w:rsid w:val="00AE22DF"/>
    <w:rsid w:val="00AE24EE"/>
    <w:rsid w:val="00AE26A2"/>
    <w:rsid w:val="00AE2885"/>
    <w:rsid w:val="00AE2B09"/>
    <w:rsid w:val="00AE2CF0"/>
    <w:rsid w:val="00AE2EB6"/>
    <w:rsid w:val="00AE3222"/>
    <w:rsid w:val="00AE33BD"/>
    <w:rsid w:val="00AE33CE"/>
    <w:rsid w:val="00AE33EC"/>
    <w:rsid w:val="00AE358A"/>
    <w:rsid w:val="00AE360F"/>
    <w:rsid w:val="00AE3744"/>
    <w:rsid w:val="00AE379D"/>
    <w:rsid w:val="00AE37DB"/>
    <w:rsid w:val="00AE3810"/>
    <w:rsid w:val="00AE39AE"/>
    <w:rsid w:val="00AE3BE6"/>
    <w:rsid w:val="00AE3BF4"/>
    <w:rsid w:val="00AE3ED9"/>
    <w:rsid w:val="00AE3F69"/>
    <w:rsid w:val="00AE4056"/>
    <w:rsid w:val="00AE427B"/>
    <w:rsid w:val="00AE429B"/>
    <w:rsid w:val="00AE4548"/>
    <w:rsid w:val="00AE460E"/>
    <w:rsid w:val="00AE468A"/>
    <w:rsid w:val="00AE479C"/>
    <w:rsid w:val="00AE4ABC"/>
    <w:rsid w:val="00AE4C07"/>
    <w:rsid w:val="00AE5104"/>
    <w:rsid w:val="00AE5113"/>
    <w:rsid w:val="00AE527A"/>
    <w:rsid w:val="00AE5588"/>
    <w:rsid w:val="00AE55C5"/>
    <w:rsid w:val="00AE5A4F"/>
    <w:rsid w:val="00AE5E0E"/>
    <w:rsid w:val="00AE5EA4"/>
    <w:rsid w:val="00AE5FA9"/>
    <w:rsid w:val="00AE623C"/>
    <w:rsid w:val="00AE642E"/>
    <w:rsid w:val="00AE67D4"/>
    <w:rsid w:val="00AE698D"/>
    <w:rsid w:val="00AE6AF0"/>
    <w:rsid w:val="00AE6B8A"/>
    <w:rsid w:val="00AE6BB7"/>
    <w:rsid w:val="00AE6D49"/>
    <w:rsid w:val="00AE6E84"/>
    <w:rsid w:val="00AE6F0D"/>
    <w:rsid w:val="00AE6FE9"/>
    <w:rsid w:val="00AE6FFF"/>
    <w:rsid w:val="00AE70DF"/>
    <w:rsid w:val="00AE72C6"/>
    <w:rsid w:val="00AE72D6"/>
    <w:rsid w:val="00AE733F"/>
    <w:rsid w:val="00AE74C7"/>
    <w:rsid w:val="00AE767D"/>
    <w:rsid w:val="00AE76E6"/>
    <w:rsid w:val="00AE77A6"/>
    <w:rsid w:val="00AE790B"/>
    <w:rsid w:val="00AE7987"/>
    <w:rsid w:val="00AE7996"/>
    <w:rsid w:val="00AE7BD5"/>
    <w:rsid w:val="00AE7CAD"/>
    <w:rsid w:val="00AE7DDD"/>
    <w:rsid w:val="00AE7ECD"/>
    <w:rsid w:val="00AE7F55"/>
    <w:rsid w:val="00AF007D"/>
    <w:rsid w:val="00AF044E"/>
    <w:rsid w:val="00AF04AC"/>
    <w:rsid w:val="00AF057E"/>
    <w:rsid w:val="00AF0855"/>
    <w:rsid w:val="00AF08D3"/>
    <w:rsid w:val="00AF0ACC"/>
    <w:rsid w:val="00AF0FD1"/>
    <w:rsid w:val="00AF1111"/>
    <w:rsid w:val="00AF1278"/>
    <w:rsid w:val="00AF132E"/>
    <w:rsid w:val="00AF17E8"/>
    <w:rsid w:val="00AF18FE"/>
    <w:rsid w:val="00AF19E5"/>
    <w:rsid w:val="00AF1B33"/>
    <w:rsid w:val="00AF1B5B"/>
    <w:rsid w:val="00AF1BB8"/>
    <w:rsid w:val="00AF1CAD"/>
    <w:rsid w:val="00AF1D52"/>
    <w:rsid w:val="00AF1D9A"/>
    <w:rsid w:val="00AF1DFC"/>
    <w:rsid w:val="00AF1F64"/>
    <w:rsid w:val="00AF2065"/>
    <w:rsid w:val="00AF208D"/>
    <w:rsid w:val="00AF2205"/>
    <w:rsid w:val="00AF22DA"/>
    <w:rsid w:val="00AF22E9"/>
    <w:rsid w:val="00AF23F3"/>
    <w:rsid w:val="00AF2B45"/>
    <w:rsid w:val="00AF2B9C"/>
    <w:rsid w:val="00AF2CE0"/>
    <w:rsid w:val="00AF2F36"/>
    <w:rsid w:val="00AF32F9"/>
    <w:rsid w:val="00AF33B0"/>
    <w:rsid w:val="00AF34F5"/>
    <w:rsid w:val="00AF3820"/>
    <w:rsid w:val="00AF3D0A"/>
    <w:rsid w:val="00AF3D10"/>
    <w:rsid w:val="00AF414D"/>
    <w:rsid w:val="00AF42D4"/>
    <w:rsid w:val="00AF4382"/>
    <w:rsid w:val="00AF4503"/>
    <w:rsid w:val="00AF4549"/>
    <w:rsid w:val="00AF481E"/>
    <w:rsid w:val="00AF4876"/>
    <w:rsid w:val="00AF4894"/>
    <w:rsid w:val="00AF48B9"/>
    <w:rsid w:val="00AF49FA"/>
    <w:rsid w:val="00AF4A2E"/>
    <w:rsid w:val="00AF4B46"/>
    <w:rsid w:val="00AF4E33"/>
    <w:rsid w:val="00AF4FFD"/>
    <w:rsid w:val="00AF50D4"/>
    <w:rsid w:val="00AF5552"/>
    <w:rsid w:val="00AF557D"/>
    <w:rsid w:val="00AF57CF"/>
    <w:rsid w:val="00AF5900"/>
    <w:rsid w:val="00AF5961"/>
    <w:rsid w:val="00AF5985"/>
    <w:rsid w:val="00AF5A03"/>
    <w:rsid w:val="00AF5FFC"/>
    <w:rsid w:val="00AF62BC"/>
    <w:rsid w:val="00AF653D"/>
    <w:rsid w:val="00AF65E0"/>
    <w:rsid w:val="00AF6608"/>
    <w:rsid w:val="00AF66B3"/>
    <w:rsid w:val="00AF682A"/>
    <w:rsid w:val="00AF6AEB"/>
    <w:rsid w:val="00AF712F"/>
    <w:rsid w:val="00AF7191"/>
    <w:rsid w:val="00AF7247"/>
    <w:rsid w:val="00AF7293"/>
    <w:rsid w:val="00AF75EE"/>
    <w:rsid w:val="00AF798C"/>
    <w:rsid w:val="00AF7C38"/>
    <w:rsid w:val="00AF7CF6"/>
    <w:rsid w:val="00AF7EA3"/>
    <w:rsid w:val="00B003CF"/>
    <w:rsid w:val="00B00495"/>
    <w:rsid w:val="00B00593"/>
    <w:rsid w:val="00B00667"/>
    <w:rsid w:val="00B00697"/>
    <w:rsid w:val="00B007A2"/>
    <w:rsid w:val="00B00833"/>
    <w:rsid w:val="00B0089C"/>
    <w:rsid w:val="00B00D2F"/>
    <w:rsid w:val="00B0107C"/>
    <w:rsid w:val="00B01357"/>
    <w:rsid w:val="00B0158B"/>
    <w:rsid w:val="00B0172C"/>
    <w:rsid w:val="00B01B86"/>
    <w:rsid w:val="00B01DAA"/>
    <w:rsid w:val="00B01FE0"/>
    <w:rsid w:val="00B02042"/>
    <w:rsid w:val="00B020A5"/>
    <w:rsid w:val="00B0229D"/>
    <w:rsid w:val="00B023E4"/>
    <w:rsid w:val="00B024C3"/>
    <w:rsid w:val="00B025AB"/>
    <w:rsid w:val="00B026B2"/>
    <w:rsid w:val="00B026D1"/>
    <w:rsid w:val="00B02896"/>
    <w:rsid w:val="00B0298E"/>
    <w:rsid w:val="00B029BE"/>
    <w:rsid w:val="00B02D40"/>
    <w:rsid w:val="00B02EC0"/>
    <w:rsid w:val="00B031B7"/>
    <w:rsid w:val="00B03376"/>
    <w:rsid w:val="00B03403"/>
    <w:rsid w:val="00B034B7"/>
    <w:rsid w:val="00B03755"/>
    <w:rsid w:val="00B037BD"/>
    <w:rsid w:val="00B03921"/>
    <w:rsid w:val="00B03A26"/>
    <w:rsid w:val="00B03A87"/>
    <w:rsid w:val="00B03C6F"/>
    <w:rsid w:val="00B03DAE"/>
    <w:rsid w:val="00B03F18"/>
    <w:rsid w:val="00B04082"/>
    <w:rsid w:val="00B04144"/>
    <w:rsid w:val="00B0414D"/>
    <w:rsid w:val="00B041CB"/>
    <w:rsid w:val="00B041EF"/>
    <w:rsid w:val="00B042DF"/>
    <w:rsid w:val="00B044AF"/>
    <w:rsid w:val="00B044F4"/>
    <w:rsid w:val="00B0463E"/>
    <w:rsid w:val="00B049AE"/>
    <w:rsid w:val="00B04A0E"/>
    <w:rsid w:val="00B04A4F"/>
    <w:rsid w:val="00B04AD3"/>
    <w:rsid w:val="00B04BE2"/>
    <w:rsid w:val="00B04C69"/>
    <w:rsid w:val="00B04EC4"/>
    <w:rsid w:val="00B04F8C"/>
    <w:rsid w:val="00B05107"/>
    <w:rsid w:val="00B05326"/>
    <w:rsid w:val="00B054E1"/>
    <w:rsid w:val="00B05771"/>
    <w:rsid w:val="00B05A05"/>
    <w:rsid w:val="00B05A7B"/>
    <w:rsid w:val="00B05B30"/>
    <w:rsid w:val="00B05C20"/>
    <w:rsid w:val="00B06025"/>
    <w:rsid w:val="00B060A6"/>
    <w:rsid w:val="00B061A1"/>
    <w:rsid w:val="00B062DD"/>
    <w:rsid w:val="00B06353"/>
    <w:rsid w:val="00B06429"/>
    <w:rsid w:val="00B06469"/>
    <w:rsid w:val="00B064D3"/>
    <w:rsid w:val="00B06585"/>
    <w:rsid w:val="00B06781"/>
    <w:rsid w:val="00B0681F"/>
    <w:rsid w:val="00B06855"/>
    <w:rsid w:val="00B069A7"/>
    <w:rsid w:val="00B06A50"/>
    <w:rsid w:val="00B06A97"/>
    <w:rsid w:val="00B06A9B"/>
    <w:rsid w:val="00B06B5A"/>
    <w:rsid w:val="00B06BAB"/>
    <w:rsid w:val="00B06CDD"/>
    <w:rsid w:val="00B06E94"/>
    <w:rsid w:val="00B06FDA"/>
    <w:rsid w:val="00B06FF7"/>
    <w:rsid w:val="00B07026"/>
    <w:rsid w:val="00B071C9"/>
    <w:rsid w:val="00B07474"/>
    <w:rsid w:val="00B078A3"/>
    <w:rsid w:val="00B078AB"/>
    <w:rsid w:val="00B07A27"/>
    <w:rsid w:val="00B07A46"/>
    <w:rsid w:val="00B07B27"/>
    <w:rsid w:val="00B07C23"/>
    <w:rsid w:val="00B07C8F"/>
    <w:rsid w:val="00B07CDA"/>
    <w:rsid w:val="00B103A0"/>
    <w:rsid w:val="00B10607"/>
    <w:rsid w:val="00B106DE"/>
    <w:rsid w:val="00B106DF"/>
    <w:rsid w:val="00B10776"/>
    <w:rsid w:val="00B10CF9"/>
    <w:rsid w:val="00B11161"/>
    <w:rsid w:val="00B11423"/>
    <w:rsid w:val="00B11448"/>
    <w:rsid w:val="00B117CB"/>
    <w:rsid w:val="00B117EC"/>
    <w:rsid w:val="00B11825"/>
    <w:rsid w:val="00B118C5"/>
    <w:rsid w:val="00B11AF0"/>
    <w:rsid w:val="00B11B85"/>
    <w:rsid w:val="00B11CB5"/>
    <w:rsid w:val="00B12022"/>
    <w:rsid w:val="00B120A6"/>
    <w:rsid w:val="00B122EA"/>
    <w:rsid w:val="00B1230A"/>
    <w:rsid w:val="00B1246B"/>
    <w:rsid w:val="00B12565"/>
    <w:rsid w:val="00B1265E"/>
    <w:rsid w:val="00B12663"/>
    <w:rsid w:val="00B12718"/>
    <w:rsid w:val="00B129BB"/>
    <w:rsid w:val="00B129C7"/>
    <w:rsid w:val="00B12BD7"/>
    <w:rsid w:val="00B12F33"/>
    <w:rsid w:val="00B13099"/>
    <w:rsid w:val="00B13167"/>
    <w:rsid w:val="00B1317E"/>
    <w:rsid w:val="00B1336E"/>
    <w:rsid w:val="00B133AD"/>
    <w:rsid w:val="00B13965"/>
    <w:rsid w:val="00B13974"/>
    <w:rsid w:val="00B13A8E"/>
    <w:rsid w:val="00B13AA5"/>
    <w:rsid w:val="00B13B87"/>
    <w:rsid w:val="00B13D48"/>
    <w:rsid w:val="00B14062"/>
    <w:rsid w:val="00B14068"/>
    <w:rsid w:val="00B14071"/>
    <w:rsid w:val="00B1430D"/>
    <w:rsid w:val="00B14432"/>
    <w:rsid w:val="00B146A5"/>
    <w:rsid w:val="00B14764"/>
    <w:rsid w:val="00B14846"/>
    <w:rsid w:val="00B14910"/>
    <w:rsid w:val="00B149E4"/>
    <w:rsid w:val="00B14C3F"/>
    <w:rsid w:val="00B14F17"/>
    <w:rsid w:val="00B15177"/>
    <w:rsid w:val="00B1518E"/>
    <w:rsid w:val="00B15372"/>
    <w:rsid w:val="00B153FE"/>
    <w:rsid w:val="00B158A4"/>
    <w:rsid w:val="00B15A6E"/>
    <w:rsid w:val="00B15AEF"/>
    <w:rsid w:val="00B15C35"/>
    <w:rsid w:val="00B15C4C"/>
    <w:rsid w:val="00B15CC2"/>
    <w:rsid w:val="00B15F1B"/>
    <w:rsid w:val="00B15F68"/>
    <w:rsid w:val="00B1609C"/>
    <w:rsid w:val="00B164B3"/>
    <w:rsid w:val="00B1654A"/>
    <w:rsid w:val="00B16643"/>
    <w:rsid w:val="00B16716"/>
    <w:rsid w:val="00B1674C"/>
    <w:rsid w:val="00B1695E"/>
    <w:rsid w:val="00B16985"/>
    <w:rsid w:val="00B16BCE"/>
    <w:rsid w:val="00B16C0F"/>
    <w:rsid w:val="00B16CD5"/>
    <w:rsid w:val="00B16D36"/>
    <w:rsid w:val="00B16DA4"/>
    <w:rsid w:val="00B1702C"/>
    <w:rsid w:val="00B170F3"/>
    <w:rsid w:val="00B17157"/>
    <w:rsid w:val="00B17483"/>
    <w:rsid w:val="00B1755E"/>
    <w:rsid w:val="00B1781D"/>
    <w:rsid w:val="00B178A3"/>
    <w:rsid w:val="00B17B08"/>
    <w:rsid w:val="00B17BB2"/>
    <w:rsid w:val="00B20023"/>
    <w:rsid w:val="00B20089"/>
    <w:rsid w:val="00B201CB"/>
    <w:rsid w:val="00B201D9"/>
    <w:rsid w:val="00B2022F"/>
    <w:rsid w:val="00B20292"/>
    <w:rsid w:val="00B20486"/>
    <w:rsid w:val="00B204EB"/>
    <w:rsid w:val="00B204F7"/>
    <w:rsid w:val="00B20565"/>
    <w:rsid w:val="00B205CC"/>
    <w:rsid w:val="00B20601"/>
    <w:rsid w:val="00B206A5"/>
    <w:rsid w:val="00B20871"/>
    <w:rsid w:val="00B20A07"/>
    <w:rsid w:val="00B20ABB"/>
    <w:rsid w:val="00B20C32"/>
    <w:rsid w:val="00B20D12"/>
    <w:rsid w:val="00B20F8A"/>
    <w:rsid w:val="00B212B7"/>
    <w:rsid w:val="00B213F7"/>
    <w:rsid w:val="00B214B3"/>
    <w:rsid w:val="00B214E0"/>
    <w:rsid w:val="00B21688"/>
    <w:rsid w:val="00B21993"/>
    <w:rsid w:val="00B21ACF"/>
    <w:rsid w:val="00B21AE7"/>
    <w:rsid w:val="00B21BAA"/>
    <w:rsid w:val="00B21C0E"/>
    <w:rsid w:val="00B21C6F"/>
    <w:rsid w:val="00B21D9C"/>
    <w:rsid w:val="00B21F4E"/>
    <w:rsid w:val="00B21F64"/>
    <w:rsid w:val="00B22046"/>
    <w:rsid w:val="00B220A8"/>
    <w:rsid w:val="00B220B4"/>
    <w:rsid w:val="00B22157"/>
    <w:rsid w:val="00B221A8"/>
    <w:rsid w:val="00B22397"/>
    <w:rsid w:val="00B22446"/>
    <w:rsid w:val="00B225A1"/>
    <w:rsid w:val="00B225EB"/>
    <w:rsid w:val="00B226C7"/>
    <w:rsid w:val="00B226D7"/>
    <w:rsid w:val="00B22C13"/>
    <w:rsid w:val="00B22EB2"/>
    <w:rsid w:val="00B22F53"/>
    <w:rsid w:val="00B22F68"/>
    <w:rsid w:val="00B2305F"/>
    <w:rsid w:val="00B230F9"/>
    <w:rsid w:val="00B23311"/>
    <w:rsid w:val="00B23845"/>
    <w:rsid w:val="00B23917"/>
    <w:rsid w:val="00B23C90"/>
    <w:rsid w:val="00B23CC8"/>
    <w:rsid w:val="00B2426D"/>
    <w:rsid w:val="00B24585"/>
    <w:rsid w:val="00B247C5"/>
    <w:rsid w:val="00B24AC5"/>
    <w:rsid w:val="00B24DEE"/>
    <w:rsid w:val="00B24FAC"/>
    <w:rsid w:val="00B25042"/>
    <w:rsid w:val="00B25109"/>
    <w:rsid w:val="00B252E5"/>
    <w:rsid w:val="00B25422"/>
    <w:rsid w:val="00B2547B"/>
    <w:rsid w:val="00B2551C"/>
    <w:rsid w:val="00B2563E"/>
    <w:rsid w:val="00B25893"/>
    <w:rsid w:val="00B25AE3"/>
    <w:rsid w:val="00B25BD7"/>
    <w:rsid w:val="00B25E5B"/>
    <w:rsid w:val="00B26132"/>
    <w:rsid w:val="00B2644A"/>
    <w:rsid w:val="00B264C4"/>
    <w:rsid w:val="00B2650B"/>
    <w:rsid w:val="00B2667B"/>
    <w:rsid w:val="00B2668F"/>
    <w:rsid w:val="00B2683E"/>
    <w:rsid w:val="00B269C3"/>
    <w:rsid w:val="00B26D09"/>
    <w:rsid w:val="00B26F32"/>
    <w:rsid w:val="00B272F2"/>
    <w:rsid w:val="00B27373"/>
    <w:rsid w:val="00B274C0"/>
    <w:rsid w:val="00B276EA"/>
    <w:rsid w:val="00B27A4C"/>
    <w:rsid w:val="00B27C85"/>
    <w:rsid w:val="00B3003C"/>
    <w:rsid w:val="00B302F7"/>
    <w:rsid w:val="00B30464"/>
    <w:rsid w:val="00B30653"/>
    <w:rsid w:val="00B30969"/>
    <w:rsid w:val="00B309A1"/>
    <w:rsid w:val="00B30C31"/>
    <w:rsid w:val="00B31019"/>
    <w:rsid w:val="00B31034"/>
    <w:rsid w:val="00B310B2"/>
    <w:rsid w:val="00B3118A"/>
    <w:rsid w:val="00B316EA"/>
    <w:rsid w:val="00B316FB"/>
    <w:rsid w:val="00B317DF"/>
    <w:rsid w:val="00B3181F"/>
    <w:rsid w:val="00B318F2"/>
    <w:rsid w:val="00B31D5C"/>
    <w:rsid w:val="00B31E53"/>
    <w:rsid w:val="00B32071"/>
    <w:rsid w:val="00B32172"/>
    <w:rsid w:val="00B32242"/>
    <w:rsid w:val="00B3224C"/>
    <w:rsid w:val="00B326B6"/>
    <w:rsid w:val="00B32A50"/>
    <w:rsid w:val="00B32B16"/>
    <w:rsid w:val="00B32DD1"/>
    <w:rsid w:val="00B33085"/>
    <w:rsid w:val="00B332CB"/>
    <w:rsid w:val="00B333DA"/>
    <w:rsid w:val="00B334FF"/>
    <w:rsid w:val="00B335AE"/>
    <w:rsid w:val="00B33659"/>
    <w:rsid w:val="00B3378A"/>
    <w:rsid w:val="00B337E9"/>
    <w:rsid w:val="00B33903"/>
    <w:rsid w:val="00B33A64"/>
    <w:rsid w:val="00B33A95"/>
    <w:rsid w:val="00B33F17"/>
    <w:rsid w:val="00B34016"/>
    <w:rsid w:val="00B3406D"/>
    <w:rsid w:val="00B341A5"/>
    <w:rsid w:val="00B34326"/>
    <w:rsid w:val="00B34377"/>
    <w:rsid w:val="00B3453E"/>
    <w:rsid w:val="00B34630"/>
    <w:rsid w:val="00B34789"/>
    <w:rsid w:val="00B347A6"/>
    <w:rsid w:val="00B348D3"/>
    <w:rsid w:val="00B34C9A"/>
    <w:rsid w:val="00B34EA5"/>
    <w:rsid w:val="00B34EFC"/>
    <w:rsid w:val="00B34FB9"/>
    <w:rsid w:val="00B34FDE"/>
    <w:rsid w:val="00B350CD"/>
    <w:rsid w:val="00B35224"/>
    <w:rsid w:val="00B35237"/>
    <w:rsid w:val="00B3535F"/>
    <w:rsid w:val="00B357B8"/>
    <w:rsid w:val="00B35876"/>
    <w:rsid w:val="00B35961"/>
    <w:rsid w:val="00B35973"/>
    <w:rsid w:val="00B359C4"/>
    <w:rsid w:val="00B35A73"/>
    <w:rsid w:val="00B35A97"/>
    <w:rsid w:val="00B35BE4"/>
    <w:rsid w:val="00B35C69"/>
    <w:rsid w:val="00B35DF1"/>
    <w:rsid w:val="00B35ED5"/>
    <w:rsid w:val="00B35FC1"/>
    <w:rsid w:val="00B361AA"/>
    <w:rsid w:val="00B361B7"/>
    <w:rsid w:val="00B36465"/>
    <w:rsid w:val="00B36515"/>
    <w:rsid w:val="00B3658A"/>
    <w:rsid w:val="00B36645"/>
    <w:rsid w:val="00B366DC"/>
    <w:rsid w:val="00B3675F"/>
    <w:rsid w:val="00B36D2D"/>
    <w:rsid w:val="00B36E62"/>
    <w:rsid w:val="00B370E7"/>
    <w:rsid w:val="00B37171"/>
    <w:rsid w:val="00B3718F"/>
    <w:rsid w:val="00B37200"/>
    <w:rsid w:val="00B37348"/>
    <w:rsid w:val="00B37A2D"/>
    <w:rsid w:val="00B37B6B"/>
    <w:rsid w:val="00B37B9D"/>
    <w:rsid w:val="00B37BF2"/>
    <w:rsid w:val="00B37C22"/>
    <w:rsid w:val="00B37D78"/>
    <w:rsid w:val="00B37DA4"/>
    <w:rsid w:val="00B37F1F"/>
    <w:rsid w:val="00B37FC3"/>
    <w:rsid w:val="00B400A4"/>
    <w:rsid w:val="00B40130"/>
    <w:rsid w:val="00B40521"/>
    <w:rsid w:val="00B4062D"/>
    <w:rsid w:val="00B40C55"/>
    <w:rsid w:val="00B41010"/>
    <w:rsid w:val="00B410D4"/>
    <w:rsid w:val="00B41206"/>
    <w:rsid w:val="00B41464"/>
    <w:rsid w:val="00B41545"/>
    <w:rsid w:val="00B41577"/>
    <w:rsid w:val="00B41817"/>
    <w:rsid w:val="00B41B08"/>
    <w:rsid w:val="00B41C94"/>
    <w:rsid w:val="00B41C9E"/>
    <w:rsid w:val="00B41D9B"/>
    <w:rsid w:val="00B41DE9"/>
    <w:rsid w:val="00B41FA3"/>
    <w:rsid w:val="00B4202A"/>
    <w:rsid w:val="00B42122"/>
    <w:rsid w:val="00B421A6"/>
    <w:rsid w:val="00B421BC"/>
    <w:rsid w:val="00B421EE"/>
    <w:rsid w:val="00B42200"/>
    <w:rsid w:val="00B4228E"/>
    <w:rsid w:val="00B42461"/>
    <w:rsid w:val="00B424AC"/>
    <w:rsid w:val="00B42503"/>
    <w:rsid w:val="00B4253A"/>
    <w:rsid w:val="00B42636"/>
    <w:rsid w:val="00B4279B"/>
    <w:rsid w:val="00B42BB4"/>
    <w:rsid w:val="00B42EA2"/>
    <w:rsid w:val="00B42F1A"/>
    <w:rsid w:val="00B43280"/>
    <w:rsid w:val="00B433FF"/>
    <w:rsid w:val="00B435B4"/>
    <w:rsid w:val="00B435BB"/>
    <w:rsid w:val="00B43683"/>
    <w:rsid w:val="00B437ED"/>
    <w:rsid w:val="00B43865"/>
    <w:rsid w:val="00B4390F"/>
    <w:rsid w:val="00B43980"/>
    <w:rsid w:val="00B43D4E"/>
    <w:rsid w:val="00B43DD6"/>
    <w:rsid w:val="00B44117"/>
    <w:rsid w:val="00B441E8"/>
    <w:rsid w:val="00B441F3"/>
    <w:rsid w:val="00B44311"/>
    <w:rsid w:val="00B44595"/>
    <w:rsid w:val="00B4463D"/>
    <w:rsid w:val="00B448A4"/>
    <w:rsid w:val="00B449EB"/>
    <w:rsid w:val="00B44A75"/>
    <w:rsid w:val="00B44E05"/>
    <w:rsid w:val="00B45018"/>
    <w:rsid w:val="00B450B5"/>
    <w:rsid w:val="00B45111"/>
    <w:rsid w:val="00B45148"/>
    <w:rsid w:val="00B45169"/>
    <w:rsid w:val="00B45359"/>
    <w:rsid w:val="00B45497"/>
    <w:rsid w:val="00B4570D"/>
    <w:rsid w:val="00B45A36"/>
    <w:rsid w:val="00B45BE7"/>
    <w:rsid w:val="00B45C1E"/>
    <w:rsid w:val="00B45FC2"/>
    <w:rsid w:val="00B46012"/>
    <w:rsid w:val="00B4608A"/>
    <w:rsid w:val="00B46093"/>
    <w:rsid w:val="00B4629A"/>
    <w:rsid w:val="00B463E1"/>
    <w:rsid w:val="00B463EB"/>
    <w:rsid w:val="00B46449"/>
    <w:rsid w:val="00B46828"/>
    <w:rsid w:val="00B468A4"/>
    <w:rsid w:val="00B4698B"/>
    <w:rsid w:val="00B469F9"/>
    <w:rsid w:val="00B46AEF"/>
    <w:rsid w:val="00B46C24"/>
    <w:rsid w:val="00B46C5B"/>
    <w:rsid w:val="00B46DD4"/>
    <w:rsid w:val="00B46DD8"/>
    <w:rsid w:val="00B47052"/>
    <w:rsid w:val="00B4714E"/>
    <w:rsid w:val="00B4721E"/>
    <w:rsid w:val="00B472D4"/>
    <w:rsid w:val="00B473A8"/>
    <w:rsid w:val="00B47423"/>
    <w:rsid w:val="00B4776F"/>
    <w:rsid w:val="00B4794F"/>
    <w:rsid w:val="00B479E6"/>
    <w:rsid w:val="00B47C79"/>
    <w:rsid w:val="00B502BC"/>
    <w:rsid w:val="00B504F8"/>
    <w:rsid w:val="00B5054A"/>
    <w:rsid w:val="00B509EA"/>
    <w:rsid w:val="00B50CAE"/>
    <w:rsid w:val="00B50D58"/>
    <w:rsid w:val="00B50D96"/>
    <w:rsid w:val="00B50E00"/>
    <w:rsid w:val="00B50E3B"/>
    <w:rsid w:val="00B50F30"/>
    <w:rsid w:val="00B510EE"/>
    <w:rsid w:val="00B51391"/>
    <w:rsid w:val="00B515C6"/>
    <w:rsid w:val="00B51899"/>
    <w:rsid w:val="00B51A34"/>
    <w:rsid w:val="00B51B2C"/>
    <w:rsid w:val="00B51EE1"/>
    <w:rsid w:val="00B5205B"/>
    <w:rsid w:val="00B5225A"/>
    <w:rsid w:val="00B5254C"/>
    <w:rsid w:val="00B526B3"/>
    <w:rsid w:val="00B5281A"/>
    <w:rsid w:val="00B5285A"/>
    <w:rsid w:val="00B52897"/>
    <w:rsid w:val="00B52898"/>
    <w:rsid w:val="00B529DA"/>
    <w:rsid w:val="00B529FB"/>
    <w:rsid w:val="00B52D4A"/>
    <w:rsid w:val="00B52F09"/>
    <w:rsid w:val="00B52F69"/>
    <w:rsid w:val="00B53246"/>
    <w:rsid w:val="00B532BA"/>
    <w:rsid w:val="00B5341C"/>
    <w:rsid w:val="00B53428"/>
    <w:rsid w:val="00B53467"/>
    <w:rsid w:val="00B535A0"/>
    <w:rsid w:val="00B53613"/>
    <w:rsid w:val="00B53673"/>
    <w:rsid w:val="00B536D4"/>
    <w:rsid w:val="00B53AD7"/>
    <w:rsid w:val="00B53AEF"/>
    <w:rsid w:val="00B53CCA"/>
    <w:rsid w:val="00B53EB9"/>
    <w:rsid w:val="00B53FE5"/>
    <w:rsid w:val="00B54353"/>
    <w:rsid w:val="00B54685"/>
    <w:rsid w:val="00B549FD"/>
    <w:rsid w:val="00B54B6A"/>
    <w:rsid w:val="00B54E4E"/>
    <w:rsid w:val="00B54FAA"/>
    <w:rsid w:val="00B5500D"/>
    <w:rsid w:val="00B551F6"/>
    <w:rsid w:val="00B55418"/>
    <w:rsid w:val="00B55592"/>
    <w:rsid w:val="00B5578D"/>
    <w:rsid w:val="00B55902"/>
    <w:rsid w:val="00B55969"/>
    <w:rsid w:val="00B55AA3"/>
    <w:rsid w:val="00B55C52"/>
    <w:rsid w:val="00B55D20"/>
    <w:rsid w:val="00B55D7B"/>
    <w:rsid w:val="00B55D84"/>
    <w:rsid w:val="00B55E0E"/>
    <w:rsid w:val="00B561F7"/>
    <w:rsid w:val="00B562FC"/>
    <w:rsid w:val="00B56393"/>
    <w:rsid w:val="00B56582"/>
    <w:rsid w:val="00B5692C"/>
    <w:rsid w:val="00B569D7"/>
    <w:rsid w:val="00B56A73"/>
    <w:rsid w:val="00B56B75"/>
    <w:rsid w:val="00B56CC1"/>
    <w:rsid w:val="00B56DB0"/>
    <w:rsid w:val="00B56EEE"/>
    <w:rsid w:val="00B56FED"/>
    <w:rsid w:val="00B57091"/>
    <w:rsid w:val="00B57345"/>
    <w:rsid w:val="00B573FC"/>
    <w:rsid w:val="00B575CD"/>
    <w:rsid w:val="00B5772D"/>
    <w:rsid w:val="00B577C6"/>
    <w:rsid w:val="00B57815"/>
    <w:rsid w:val="00B579BD"/>
    <w:rsid w:val="00B57B6C"/>
    <w:rsid w:val="00B57C3F"/>
    <w:rsid w:val="00B57C59"/>
    <w:rsid w:val="00B57CA7"/>
    <w:rsid w:val="00B57DED"/>
    <w:rsid w:val="00B57F33"/>
    <w:rsid w:val="00B57F46"/>
    <w:rsid w:val="00B6004F"/>
    <w:rsid w:val="00B601A6"/>
    <w:rsid w:val="00B6025F"/>
    <w:rsid w:val="00B602D1"/>
    <w:rsid w:val="00B604E1"/>
    <w:rsid w:val="00B604F6"/>
    <w:rsid w:val="00B6060F"/>
    <w:rsid w:val="00B60874"/>
    <w:rsid w:val="00B608BC"/>
    <w:rsid w:val="00B60A9F"/>
    <w:rsid w:val="00B60B04"/>
    <w:rsid w:val="00B60CE5"/>
    <w:rsid w:val="00B60D67"/>
    <w:rsid w:val="00B60E43"/>
    <w:rsid w:val="00B60FFB"/>
    <w:rsid w:val="00B61009"/>
    <w:rsid w:val="00B61173"/>
    <w:rsid w:val="00B611F2"/>
    <w:rsid w:val="00B612CB"/>
    <w:rsid w:val="00B61772"/>
    <w:rsid w:val="00B617D1"/>
    <w:rsid w:val="00B618EE"/>
    <w:rsid w:val="00B61AF1"/>
    <w:rsid w:val="00B61E59"/>
    <w:rsid w:val="00B6205B"/>
    <w:rsid w:val="00B621D6"/>
    <w:rsid w:val="00B62265"/>
    <w:rsid w:val="00B623A5"/>
    <w:rsid w:val="00B62445"/>
    <w:rsid w:val="00B62500"/>
    <w:rsid w:val="00B62555"/>
    <w:rsid w:val="00B6255B"/>
    <w:rsid w:val="00B62590"/>
    <w:rsid w:val="00B6282F"/>
    <w:rsid w:val="00B62A2C"/>
    <w:rsid w:val="00B62A54"/>
    <w:rsid w:val="00B62A9D"/>
    <w:rsid w:val="00B630F5"/>
    <w:rsid w:val="00B631B6"/>
    <w:rsid w:val="00B631E6"/>
    <w:rsid w:val="00B63240"/>
    <w:rsid w:val="00B63257"/>
    <w:rsid w:val="00B632AB"/>
    <w:rsid w:val="00B63322"/>
    <w:rsid w:val="00B63451"/>
    <w:rsid w:val="00B635A7"/>
    <w:rsid w:val="00B6374C"/>
    <w:rsid w:val="00B63A85"/>
    <w:rsid w:val="00B63AA9"/>
    <w:rsid w:val="00B63D07"/>
    <w:rsid w:val="00B63D53"/>
    <w:rsid w:val="00B63D85"/>
    <w:rsid w:val="00B63E89"/>
    <w:rsid w:val="00B63F7D"/>
    <w:rsid w:val="00B63F89"/>
    <w:rsid w:val="00B63FFB"/>
    <w:rsid w:val="00B64262"/>
    <w:rsid w:val="00B648F1"/>
    <w:rsid w:val="00B64A5B"/>
    <w:rsid w:val="00B64A71"/>
    <w:rsid w:val="00B64C06"/>
    <w:rsid w:val="00B64C1A"/>
    <w:rsid w:val="00B64E38"/>
    <w:rsid w:val="00B650B6"/>
    <w:rsid w:val="00B652EC"/>
    <w:rsid w:val="00B65622"/>
    <w:rsid w:val="00B65658"/>
    <w:rsid w:val="00B65723"/>
    <w:rsid w:val="00B65927"/>
    <w:rsid w:val="00B65B23"/>
    <w:rsid w:val="00B65B9C"/>
    <w:rsid w:val="00B65BD7"/>
    <w:rsid w:val="00B65C95"/>
    <w:rsid w:val="00B65EDF"/>
    <w:rsid w:val="00B66393"/>
    <w:rsid w:val="00B663D3"/>
    <w:rsid w:val="00B66557"/>
    <w:rsid w:val="00B6683D"/>
    <w:rsid w:val="00B6685C"/>
    <w:rsid w:val="00B66972"/>
    <w:rsid w:val="00B669D4"/>
    <w:rsid w:val="00B66DAC"/>
    <w:rsid w:val="00B66DAD"/>
    <w:rsid w:val="00B66EDB"/>
    <w:rsid w:val="00B66F09"/>
    <w:rsid w:val="00B67019"/>
    <w:rsid w:val="00B6708F"/>
    <w:rsid w:val="00B670E6"/>
    <w:rsid w:val="00B6719E"/>
    <w:rsid w:val="00B672D2"/>
    <w:rsid w:val="00B67691"/>
    <w:rsid w:val="00B6780D"/>
    <w:rsid w:val="00B678A9"/>
    <w:rsid w:val="00B678D1"/>
    <w:rsid w:val="00B679BB"/>
    <w:rsid w:val="00B67C9A"/>
    <w:rsid w:val="00B67CB9"/>
    <w:rsid w:val="00B67ED9"/>
    <w:rsid w:val="00B70043"/>
    <w:rsid w:val="00B70073"/>
    <w:rsid w:val="00B70274"/>
    <w:rsid w:val="00B70317"/>
    <w:rsid w:val="00B704D4"/>
    <w:rsid w:val="00B705DC"/>
    <w:rsid w:val="00B706D4"/>
    <w:rsid w:val="00B70743"/>
    <w:rsid w:val="00B70972"/>
    <w:rsid w:val="00B70B15"/>
    <w:rsid w:val="00B70ED1"/>
    <w:rsid w:val="00B70F00"/>
    <w:rsid w:val="00B70F63"/>
    <w:rsid w:val="00B71010"/>
    <w:rsid w:val="00B71322"/>
    <w:rsid w:val="00B7133E"/>
    <w:rsid w:val="00B7142C"/>
    <w:rsid w:val="00B7164D"/>
    <w:rsid w:val="00B716BB"/>
    <w:rsid w:val="00B71719"/>
    <w:rsid w:val="00B71977"/>
    <w:rsid w:val="00B719C3"/>
    <w:rsid w:val="00B71B0C"/>
    <w:rsid w:val="00B71B44"/>
    <w:rsid w:val="00B71C70"/>
    <w:rsid w:val="00B71DCB"/>
    <w:rsid w:val="00B72249"/>
    <w:rsid w:val="00B722B8"/>
    <w:rsid w:val="00B72484"/>
    <w:rsid w:val="00B724B2"/>
    <w:rsid w:val="00B726B2"/>
    <w:rsid w:val="00B728EE"/>
    <w:rsid w:val="00B72969"/>
    <w:rsid w:val="00B72A96"/>
    <w:rsid w:val="00B72B01"/>
    <w:rsid w:val="00B730B8"/>
    <w:rsid w:val="00B73179"/>
    <w:rsid w:val="00B7328F"/>
    <w:rsid w:val="00B733CF"/>
    <w:rsid w:val="00B7357F"/>
    <w:rsid w:val="00B7385B"/>
    <w:rsid w:val="00B73860"/>
    <w:rsid w:val="00B738B0"/>
    <w:rsid w:val="00B73909"/>
    <w:rsid w:val="00B73A1C"/>
    <w:rsid w:val="00B73BAD"/>
    <w:rsid w:val="00B73D16"/>
    <w:rsid w:val="00B73D83"/>
    <w:rsid w:val="00B73E29"/>
    <w:rsid w:val="00B73FEB"/>
    <w:rsid w:val="00B74147"/>
    <w:rsid w:val="00B7419D"/>
    <w:rsid w:val="00B742E0"/>
    <w:rsid w:val="00B74728"/>
    <w:rsid w:val="00B74823"/>
    <w:rsid w:val="00B749CD"/>
    <w:rsid w:val="00B74C28"/>
    <w:rsid w:val="00B74DFC"/>
    <w:rsid w:val="00B74E2F"/>
    <w:rsid w:val="00B74E89"/>
    <w:rsid w:val="00B750A7"/>
    <w:rsid w:val="00B75120"/>
    <w:rsid w:val="00B75356"/>
    <w:rsid w:val="00B75358"/>
    <w:rsid w:val="00B7539B"/>
    <w:rsid w:val="00B75664"/>
    <w:rsid w:val="00B7596D"/>
    <w:rsid w:val="00B75981"/>
    <w:rsid w:val="00B7622D"/>
    <w:rsid w:val="00B76245"/>
    <w:rsid w:val="00B76259"/>
    <w:rsid w:val="00B76440"/>
    <w:rsid w:val="00B765F8"/>
    <w:rsid w:val="00B76637"/>
    <w:rsid w:val="00B76817"/>
    <w:rsid w:val="00B76874"/>
    <w:rsid w:val="00B768A4"/>
    <w:rsid w:val="00B76A38"/>
    <w:rsid w:val="00B76A58"/>
    <w:rsid w:val="00B76B74"/>
    <w:rsid w:val="00B76CFD"/>
    <w:rsid w:val="00B76D65"/>
    <w:rsid w:val="00B76EA7"/>
    <w:rsid w:val="00B76F4D"/>
    <w:rsid w:val="00B773AA"/>
    <w:rsid w:val="00B774AF"/>
    <w:rsid w:val="00B774E7"/>
    <w:rsid w:val="00B776DB"/>
    <w:rsid w:val="00B7770C"/>
    <w:rsid w:val="00B778A6"/>
    <w:rsid w:val="00B778A9"/>
    <w:rsid w:val="00B779B2"/>
    <w:rsid w:val="00B77A65"/>
    <w:rsid w:val="00B77B65"/>
    <w:rsid w:val="00B77CAC"/>
    <w:rsid w:val="00B77CFF"/>
    <w:rsid w:val="00B77D15"/>
    <w:rsid w:val="00B77D68"/>
    <w:rsid w:val="00B77DC6"/>
    <w:rsid w:val="00B77E30"/>
    <w:rsid w:val="00B800E6"/>
    <w:rsid w:val="00B80194"/>
    <w:rsid w:val="00B805ED"/>
    <w:rsid w:val="00B807C5"/>
    <w:rsid w:val="00B807CC"/>
    <w:rsid w:val="00B808A7"/>
    <w:rsid w:val="00B809BD"/>
    <w:rsid w:val="00B80D1C"/>
    <w:rsid w:val="00B80FA2"/>
    <w:rsid w:val="00B80FDD"/>
    <w:rsid w:val="00B81042"/>
    <w:rsid w:val="00B811DE"/>
    <w:rsid w:val="00B81294"/>
    <w:rsid w:val="00B814B6"/>
    <w:rsid w:val="00B8173A"/>
    <w:rsid w:val="00B8184B"/>
    <w:rsid w:val="00B81C53"/>
    <w:rsid w:val="00B81C60"/>
    <w:rsid w:val="00B81E38"/>
    <w:rsid w:val="00B81E5B"/>
    <w:rsid w:val="00B821C0"/>
    <w:rsid w:val="00B822AB"/>
    <w:rsid w:val="00B82472"/>
    <w:rsid w:val="00B8247F"/>
    <w:rsid w:val="00B826E4"/>
    <w:rsid w:val="00B826FF"/>
    <w:rsid w:val="00B82A3D"/>
    <w:rsid w:val="00B82AEC"/>
    <w:rsid w:val="00B82DAC"/>
    <w:rsid w:val="00B82EDB"/>
    <w:rsid w:val="00B831E3"/>
    <w:rsid w:val="00B832C8"/>
    <w:rsid w:val="00B8337F"/>
    <w:rsid w:val="00B833D0"/>
    <w:rsid w:val="00B83400"/>
    <w:rsid w:val="00B83411"/>
    <w:rsid w:val="00B83497"/>
    <w:rsid w:val="00B837CA"/>
    <w:rsid w:val="00B839B5"/>
    <w:rsid w:val="00B83AE9"/>
    <w:rsid w:val="00B83C6D"/>
    <w:rsid w:val="00B83D39"/>
    <w:rsid w:val="00B83D71"/>
    <w:rsid w:val="00B83E5F"/>
    <w:rsid w:val="00B83F63"/>
    <w:rsid w:val="00B83FE4"/>
    <w:rsid w:val="00B8407A"/>
    <w:rsid w:val="00B841B5"/>
    <w:rsid w:val="00B84273"/>
    <w:rsid w:val="00B842FD"/>
    <w:rsid w:val="00B84627"/>
    <w:rsid w:val="00B8477A"/>
    <w:rsid w:val="00B84DCF"/>
    <w:rsid w:val="00B84E73"/>
    <w:rsid w:val="00B84FCD"/>
    <w:rsid w:val="00B85155"/>
    <w:rsid w:val="00B851D1"/>
    <w:rsid w:val="00B85214"/>
    <w:rsid w:val="00B85323"/>
    <w:rsid w:val="00B85562"/>
    <w:rsid w:val="00B85657"/>
    <w:rsid w:val="00B8590D"/>
    <w:rsid w:val="00B859D0"/>
    <w:rsid w:val="00B85B47"/>
    <w:rsid w:val="00B85B55"/>
    <w:rsid w:val="00B85BEE"/>
    <w:rsid w:val="00B85C69"/>
    <w:rsid w:val="00B85D52"/>
    <w:rsid w:val="00B85E41"/>
    <w:rsid w:val="00B85F1A"/>
    <w:rsid w:val="00B86215"/>
    <w:rsid w:val="00B8627E"/>
    <w:rsid w:val="00B862ED"/>
    <w:rsid w:val="00B86383"/>
    <w:rsid w:val="00B8651D"/>
    <w:rsid w:val="00B86944"/>
    <w:rsid w:val="00B86A53"/>
    <w:rsid w:val="00B86A96"/>
    <w:rsid w:val="00B86C42"/>
    <w:rsid w:val="00B86CE6"/>
    <w:rsid w:val="00B86D08"/>
    <w:rsid w:val="00B86E86"/>
    <w:rsid w:val="00B86F41"/>
    <w:rsid w:val="00B870C5"/>
    <w:rsid w:val="00B8735A"/>
    <w:rsid w:val="00B87415"/>
    <w:rsid w:val="00B87497"/>
    <w:rsid w:val="00B8757A"/>
    <w:rsid w:val="00B8787C"/>
    <w:rsid w:val="00B878A4"/>
    <w:rsid w:val="00B87929"/>
    <w:rsid w:val="00B87C15"/>
    <w:rsid w:val="00B90266"/>
    <w:rsid w:val="00B902D6"/>
    <w:rsid w:val="00B90322"/>
    <w:rsid w:val="00B907D4"/>
    <w:rsid w:val="00B908AF"/>
    <w:rsid w:val="00B908C3"/>
    <w:rsid w:val="00B90A74"/>
    <w:rsid w:val="00B90B0D"/>
    <w:rsid w:val="00B90BB3"/>
    <w:rsid w:val="00B90C19"/>
    <w:rsid w:val="00B90F8D"/>
    <w:rsid w:val="00B90F94"/>
    <w:rsid w:val="00B91109"/>
    <w:rsid w:val="00B911B9"/>
    <w:rsid w:val="00B9139D"/>
    <w:rsid w:val="00B913C3"/>
    <w:rsid w:val="00B914AB"/>
    <w:rsid w:val="00B9164A"/>
    <w:rsid w:val="00B91652"/>
    <w:rsid w:val="00B91821"/>
    <w:rsid w:val="00B91BDF"/>
    <w:rsid w:val="00B91DDF"/>
    <w:rsid w:val="00B91E0A"/>
    <w:rsid w:val="00B92193"/>
    <w:rsid w:val="00B9221B"/>
    <w:rsid w:val="00B92267"/>
    <w:rsid w:val="00B9228A"/>
    <w:rsid w:val="00B9276B"/>
    <w:rsid w:val="00B92A95"/>
    <w:rsid w:val="00B92B91"/>
    <w:rsid w:val="00B92C6C"/>
    <w:rsid w:val="00B92C6D"/>
    <w:rsid w:val="00B92CA7"/>
    <w:rsid w:val="00B92D1F"/>
    <w:rsid w:val="00B92F99"/>
    <w:rsid w:val="00B9346A"/>
    <w:rsid w:val="00B934AA"/>
    <w:rsid w:val="00B934DF"/>
    <w:rsid w:val="00B93557"/>
    <w:rsid w:val="00B937E6"/>
    <w:rsid w:val="00B93C2E"/>
    <w:rsid w:val="00B93D40"/>
    <w:rsid w:val="00B93E7A"/>
    <w:rsid w:val="00B94024"/>
    <w:rsid w:val="00B9405C"/>
    <w:rsid w:val="00B94134"/>
    <w:rsid w:val="00B9414F"/>
    <w:rsid w:val="00B941BA"/>
    <w:rsid w:val="00B94233"/>
    <w:rsid w:val="00B94575"/>
    <w:rsid w:val="00B945C3"/>
    <w:rsid w:val="00B9493D"/>
    <w:rsid w:val="00B94A0A"/>
    <w:rsid w:val="00B94A56"/>
    <w:rsid w:val="00B94B8E"/>
    <w:rsid w:val="00B94C6C"/>
    <w:rsid w:val="00B94E54"/>
    <w:rsid w:val="00B9511F"/>
    <w:rsid w:val="00B95239"/>
    <w:rsid w:val="00B95320"/>
    <w:rsid w:val="00B955BD"/>
    <w:rsid w:val="00B956DC"/>
    <w:rsid w:val="00B957D3"/>
    <w:rsid w:val="00B95842"/>
    <w:rsid w:val="00B9587E"/>
    <w:rsid w:val="00B95888"/>
    <w:rsid w:val="00B95A10"/>
    <w:rsid w:val="00B95ABB"/>
    <w:rsid w:val="00B95C1A"/>
    <w:rsid w:val="00B95C2C"/>
    <w:rsid w:val="00B95E3E"/>
    <w:rsid w:val="00B95EBC"/>
    <w:rsid w:val="00B961C1"/>
    <w:rsid w:val="00B96261"/>
    <w:rsid w:val="00B9645C"/>
    <w:rsid w:val="00B9646B"/>
    <w:rsid w:val="00B9647A"/>
    <w:rsid w:val="00B96491"/>
    <w:rsid w:val="00B9691F"/>
    <w:rsid w:val="00B96BC6"/>
    <w:rsid w:val="00B96C3C"/>
    <w:rsid w:val="00B96CA5"/>
    <w:rsid w:val="00B96D74"/>
    <w:rsid w:val="00B970D9"/>
    <w:rsid w:val="00B97132"/>
    <w:rsid w:val="00B971A4"/>
    <w:rsid w:val="00B974E4"/>
    <w:rsid w:val="00B978D8"/>
    <w:rsid w:val="00B97C95"/>
    <w:rsid w:val="00B97D2B"/>
    <w:rsid w:val="00BA02AD"/>
    <w:rsid w:val="00BA036D"/>
    <w:rsid w:val="00BA0494"/>
    <w:rsid w:val="00BA056D"/>
    <w:rsid w:val="00BA0584"/>
    <w:rsid w:val="00BA05A2"/>
    <w:rsid w:val="00BA0630"/>
    <w:rsid w:val="00BA064A"/>
    <w:rsid w:val="00BA06D3"/>
    <w:rsid w:val="00BA0739"/>
    <w:rsid w:val="00BA09D0"/>
    <w:rsid w:val="00BA0A43"/>
    <w:rsid w:val="00BA0E46"/>
    <w:rsid w:val="00BA0FC5"/>
    <w:rsid w:val="00BA182A"/>
    <w:rsid w:val="00BA1A78"/>
    <w:rsid w:val="00BA1E38"/>
    <w:rsid w:val="00BA1E58"/>
    <w:rsid w:val="00BA1F9A"/>
    <w:rsid w:val="00BA1FAC"/>
    <w:rsid w:val="00BA1FBD"/>
    <w:rsid w:val="00BA2168"/>
    <w:rsid w:val="00BA252C"/>
    <w:rsid w:val="00BA2579"/>
    <w:rsid w:val="00BA2D93"/>
    <w:rsid w:val="00BA2E0E"/>
    <w:rsid w:val="00BA2E46"/>
    <w:rsid w:val="00BA31EE"/>
    <w:rsid w:val="00BA339B"/>
    <w:rsid w:val="00BA34E6"/>
    <w:rsid w:val="00BA35A7"/>
    <w:rsid w:val="00BA386D"/>
    <w:rsid w:val="00BA3A25"/>
    <w:rsid w:val="00BA3D34"/>
    <w:rsid w:val="00BA429D"/>
    <w:rsid w:val="00BA442F"/>
    <w:rsid w:val="00BA4443"/>
    <w:rsid w:val="00BA44B2"/>
    <w:rsid w:val="00BA4532"/>
    <w:rsid w:val="00BA496C"/>
    <w:rsid w:val="00BA49EB"/>
    <w:rsid w:val="00BA4A4F"/>
    <w:rsid w:val="00BA4C0D"/>
    <w:rsid w:val="00BA4E02"/>
    <w:rsid w:val="00BA4FD0"/>
    <w:rsid w:val="00BA50C2"/>
    <w:rsid w:val="00BA52A4"/>
    <w:rsid w:val="00BA5639"/>
    <w:rsid w:val="00BA578E"/>
    <w:rsid w:val="00BA57F1"/>
    <w:rsid w:val="00BA5866"/>
    <w:rsid w:val="00BA58B3"/>
    <w:rsid w:val="00BA590B"/>
    <w:rsid w:val="00BA5969"/>
    <w:rsid w:val="00BA5E76"/>
    <w:rsid w:val="00BA5EC8"/>
    <w:rsid w:val="00BA6413"/>
    <w:rsid w:val="00BA6433"/>
    <w:rsid w:val="00BA6633"/>
    <w:rsid w:val="00BA67C7"/>
    <w:rsid w:val="00BA689C"/>
    <w:rsid w:val="00BA6938"/>
    <w:rsid w:val="00BA6B1A"/>
    <w:rsid w:val="00BA6D38"/>
    <w:rsid w:val="00BA6D3B"/>
    <w:rsid w:val="00BA7371"/>
    <w:rsid w:val="00BA750E"/>
    <w:rsid w:val="00BA756F"/>
    <w:rsid w:val="00BA75DF"/>
    <w:rsid w:val="00BA75EC"/>
    <w:rsid w:val="00BA761C"/>
    <w:rsid w:val="00BA7756"/>
    <w:rsid w:val="00BA783F"/>
    <w:rsid w:val="00BA7CDF"/>
    <w:rsid w:val="00BA7D8C"/>
    <w:rsid w:val="00BA7E7E"/>
    <w:rsid w:val="00BB0009"/>
    <w:rsid w:val="00BB039F"/>
    <w:rsid w:val="00BB08B2"/>
    <w:rsid w:val="00BB0CF5"/>
    <w:rsid w:val="00BB0E6A"/>
    <w:rsid w:val="00BB100C"/>
    <w:rsid w:val="00BB103E"/>
    <w:rsid w:val="00BB10C6"/>
    <w:rsid w:val="00BB1249"/>
    <w:rsid w:val="00BB1616"/>
    <w:rsid w:val="00BB169E"/>
    <w:rsid w:val="00BB1937"/>
    <w:rsid w:val="00BB1A98"/>
    <w:rsid w:val="00BB2041"/>
    <w:rsid w:val="00BB2202"/>
    <w:rsid w:val="00BB2216"/>
    <w:rsid w:val="00BB232A"/>
    <w:rsid w:val="00BB2392"/>
    <w:rsid w:val="00BB2527"/>
    <w:rsid w:val="00BB2529"/>
    <w:rsid w:val="00BB25D3"/>
    <w:rsid w:val="00BB273C"/>
    <w:rsid w:val="00BB29EA"/>
    <w:rsid w:val="00BB2AE7"/>
    <w:rsid w:val="00BB2B89"/>
    <w:rsid w:val="00BB2D33"/>
    <w:rsid w:val="00BB2D45"/>
    <w:rsid w:val="00BB2D5D"/>
    <w:rsid w:val="00BB2D5F"/>
    <w:rsid w:val="00BB2E0A"/>
    <w:rsid w:val="00BB2EF7"/>
    <w:rsid w:val="00BB2F4C"/>
    <w:rsid w:val="00BB2F5F"/>
    <w:rsid w:val="00BB3319"/>
    <w:rsid w:val="00BB342E"/>
    <w:rsid w:val="00BB34FD"/>
    <w:rsid w:val="00BB358C"/>
    <w:rsid w:val="00BB363B"/>
    <w:rsid w:val="00BB378C"/>
    <w:rsid w:val="00BB37AF"/>
    <w:rsid w:val="00BB3923"/>
    <w:rsid w:val="00BB3A0B"/>
    <w:rsid w:val="00BB3B54"/>
    <w:rsid w:val="00BB3B5C"/>
    <w:rsid w:val="00BB3B98"/>
    <w:rsid w:val="00BB3D15"/>
    <w:rsid w:val="00BB3D3C"/>
    <w:rsid w:val="00BB3D8C"/>
    <w:rsid w:val="00BB3E18"/>
    <w:rsid w:val="00BB3F01"/>
    <w:rsid w:val="00BB405B"/>
    <w:rsid w:val="00BB4346"/>
    <w:rsid w:val="00BB4358"/>
    <w:rsid w:val="00BB43DD"/>
    <w:rsid w:val="00BB443F"/>
    <w:rsid w:val="00BB45D3"/>
    <w:rsid w:val="00BB48A3"/>
    <w:rsid w:val="00BB49AE"/>
    <w:rsid w:val="00BB4A50"/>
    <w:rsid w:val="00BB4A90"/>
    <w:rsid w:val="00BB4DAB"/>
    <w:rsid w:val="00BB4F53"/>
    <w:rsid w:val="00BB50AB"/>
    <w:rsid w:val="00BB51D0"/>
    <w:rsid w:val="00BB5321"/>
    <w:rsid w:val="00BB53B2"/>
    <w:rsid w:val="00BB56AF"/>
    <w:rsid w:val="00BB58ED"/>
    <w:rsid w:val="00BB5D24"/>
    <w:rsid w:val="00BB5D75"/>
    <w:rsid w:val="00BB5E76"/>
    <w:rsid w:val="00BB609C"/>
    <w:rsid w:val="00BB61C3"/>
    <w:rsid w:val="00BB6217"/>
    <w:rsid w:val="00BB66A4"/>
    <w:rsid w:val="00BB68AF"/>
    <w:rsid w:val="00BB6ADB"/>
    <w:rsid w:val="00BB6B43"/>
    <w:rsid w:val="00BB6B9A"/>
    <w:rsid w:val="00BB6E5D"/>
    <w:rsid w:val="00BB7293"/>
    <w:rsid w:val="00BB7384"/>
    <w:rsid w:val="00BB74A8"/>
    <w:rsid w:val="00BB7802"/>
    <w:rsid w:val="00BB7B7F"/>
    <w:rsid w:val="00BB7BA0"/>
    <w:rsid w:val="00BB7BC7"/>
    <w:rsid w:val="00BB7C36"/>
    <w:rsid w:val="00BB7C44"/>
    <w:rsid w:val="00BB7F3A"/>
    <w:rsid w:val="00BC02FE"/>
    <w:rsid w:val="00BC0540"/>
    <w:rsid w:val="00BC0606"/>
    <w:rsid w:val="00BC07A5"/>
    <w:rsid w:val="00BC0863"/>
    <w:rsid w:val="00BC09D3"/>
    <w:rsid w:val="00BC0B5B"/>
    <w:rsid w:val="00BC0C3E"/>
    <w:rsid w:val="00BC0D59"/>
    <w:rsid w:val="00BC0FB4"/>
    <w:rsid w:val="00BC130A"/>
    <w:rsid w:val="00BC1330"/>
    <w:rsid w:val="00BC16EF"/>
    <w:rsid w:val="00BC1912"/>
    <w:rsid w:val="00BC1AFD"/>
    <w:rsid w:val="00BC1CC6"/>
    <w:rsid w:val="00BC1CE0"/>
    <w:rsid w:val="00BC1D59"/>
    <w:rsid w:val="00BC1E4E"/>
    <w:rsid w:val="00BC20F5"/>
    <w:rsid w:val="00BC2106"/>
    <w:rsid w:val="00BC218E"/>
    <w:rsid w:val="00BC2378"/>
    <w:rsid w:val="00BC2416"/>
    <w:rsid w:val="00BC2673"/>
    <w:rsid w:val="00BC2840"/>
    <w:rsid w:val="00BC2919"/>
    <w:rsid w:val="00BC2960"/>
    <w:rsid w:val="00BC2A21"/>
    <w:rsid w:val="00BC2AD5"/>
    <w:rsid w:val="00BC2B4E"/>
    <w:rsid w:val="00BC2C42"/>
    <w:rsid w:val="00BC2C91"/>
    <w:rsid w:val="00BC2D3A"/>
    <w:rsid w:val="00BC2DBD"/>
    <w:rsid w:val="00BC33D1"/>
    <w:rsid w:val="00BC35E3"/>
    <w:rsid w:val="00BC36B7"/>
    <w:rsid w:val="00BC3AEC"/>
    <w:rsid w:val="00BC3C22"/>
    <w:rsid w:val="00BC3C43"/>
    <w:rsid w:val="00BC3F7C"/>
    <w:rsid w:val="00BC406D"/>
    <w:rsid w:val="00BC40BA"/>
    <w:rsid w:val="00BC4190"/>
    <w:rsid w:val="00BC42ED"/>
    <w:rsid w:val="00BC45D8"/>
    <w:rsid w:val="00BC463E"/>
    <w:rsid w:val="00BC46BC"/>
    <w:rsid w:val="00BC472B"/>
    <w:rsid w:val="00BC48CB"/>
    <w:rsid w:val="00BC4A7E"/>
    <w:rsid w:val="00BC4B4C"/>
    <w:rsid w:val="00BC4DF3"/>
    <w:rsid w:val="00BC5248"/>
    <w:rsid w:val="00BC52B4"/>
    <w:rsid w:val="00BC5317"/>
    <w:rsid w:val="00BC53CF"/>
    <w:rsid w:val="00BC55FC"/>
    <w:rsid w:val="00BC56BC"/>
    <w:rsid w:val="00BC57D5"/>
    <w:rsid w:val="00BC589B"/>
    <w:rsid w:val="00BC58E1"/>
    <w:rsid w:val="00BC5909"/>
    <w:rsid w:val="00BC59CB"/>
    <w:rsid w:val="00BC5AEF"/>
    <w:rsid w:val="00BC5D1A"/>
    <w:rsid w:val="00BC5DAC"/>
    <w:rsid w:val="00BC5E1F"/>
    <w:rsid w:val="00BC5E3E"/>
    <w:rsid w:val="00BC5E7A"/>
    <w:rsid w:val="00BC5EEC"/>
    <w:rsid w:val="00BC6191"/>
    <w:rsid w:val="00BC65CF"/>
    <w:rsid w:val="00BC6730"/>
    <w:rsid w:val="00BC68E0"/>
    <w:rsid w:val="00BC6A2F"/>
    <w:rsid w:val="00BC6B5B"/>
    <w:rsid w:val="00BC6E1B"/>
    <w:rsid w:val="00BC6E92"/>
    <w:rsid w:val="00BC6EA5"/>
    <w:rsid w:val="00BC6FC2"/>
    <w:rsid w:val="00BC706E"/>
    <w:rsid w:val="00BC70FA"/>
    <w:rsid w:val="00BC71EA"/>
    <w:rsid w:val="00BC736C"/>
    <w:rsid w:val="00BC7459"/>
    <w:rsid w:val="00BC74A3"/>
    <w:rsid w:val="00BC74DC"/>
    <w:rsid w:val="00BC7608"/>
    <w:rsid w:val="00BC7770"/>
    <w:rsid w:val="00BC7B61"/>
    <w:rsid w:val="00BC7D2E"/>
    <w:rsid w:val="00BC7D3F"/>
    <w:rsid w:val="00BC7D4B"/>
    <w:rsid w:val="00BC7E7A"/>
    <w:rsid w:val="00BC7F32"/>
    <w:rsid w:val="00BD00B8"/>
    <w:rsid w:val="00BD0108"/>
    <w:rsid w:val="00BD02E1"/>
    <w:rsid w:val="00BD051F"/>
    <w:rsid w:val="00BD077F"/>
    <w:rsid w:val="00BD0887"/>
    <w:rsid w:val="00BD09A3"/>
    <w:rsid w:val="00BD0BA4"/>
    <w:rsid w:val="00BD0DE9"/>
    <w:rsid w:val="00BD0F90"/>
    <w:rsid w:val="00BD10F4"/>
    <w:rsid w:val="00BD120D"/>
    <w:rsid w:val="00BD1274"/>
    <w:rsid w:val="00BD1565"/>
    <w:rsid w:val="00BD1628"/>
    <w:rsid w:val="00BD16D4"/>
    <w:rsid w:val="00BD1800"/>
    <w:rsid w:val="00BD1C7C"/>
    <w:rsid w:val="00BD1E42"/>
    <w:rsid w:val="00BD20AB"/>
    <w:rsid w:val="00BD25B8"/>
    <w:rsid w:val="00BD27A9"/>
    <w:rsid w:val="00BD29B0"/>
    <w:rsid w:val="00BD2B56"/>
    <w:rsid w:val="00BD2C03"/>
    <w:rsid w:val="00BD2CED"/>
    <w:rsid w:val="00BD2DF7"/>
    <w:rsid w:val="00BD2E66"/>
    <w:rsid w:val="00BD2E7D"/>
    <w:rsid w:val="00BD2E96"/>
    <w:rsid w:val="00BD2EA0"/>
    <w:rsid w:val="00BD2EE1"/>
    <w:rsid w:val="00BD2FB7"/>
    <w:rsid w:val="00BD302F"/>
    <w:rsid w:val="00BD32EF"/>
    <w:rsid w:val="00BD32FE"/>
    <w:rsid w:val="00BD33D9"/>
    <w:rsid w:val="00BD3556"/>
    <w:rsid w:val="00BD39BF"/>
    <w:rsid w:val="00BD3AA6"/>
    <w:rsid w:val="00BD3DE6"/>
    <w:rsid w:val="00BD4290"/>
    <w:rsid w:val="00BD4309"/>
    <w:rsid w:val="00BD439D"/>
    <w:rsid w:val="00BD4503"/>
    <w:rsid w:val="00BD45D3"/>
    <w:rsid w:val="00BD46CF"/>
    <w:rsid w:val="00BD4714"/>
    <w:rsid w:val="00BD4931"/>
    <w:rsid w:val="00BD4A33"/>
    <w:rsid w:val="00BD4ADD"/>
    <w:rsid w:val="00BD4BDA"/>
    <w:rsid w:val="00BD4D15"/>
    <w:rsid w:val="00BD4DFE"/>
    <w:rsid w:val="00BD4E2F"/>
    <w:rsid w:val="00BD4E75"/>
    <w:rsid w:val="00BD50FC"/>
    <w:rsid w:val="00BD521B"/>
    <w:rsid w:val="00BD527E"/>
    <w:rsid w:val="00BD597F"/>
    <w:rsid w:val="00BD59E6"/>
    <w:rsid w:val="00BD5A04"/>
    <w:rsid w:val="00BD5AFC"/>
    <w:rsid w:val="00BD5C51"/>
    <w:rsid w:val="00BD5DCF"/>
    <w:rsid w:val="00BD5EDB"/>
    <w:rsid w:val="00BD5F82"/>
    <w:rsid w:val="00BD5FD1"/>
    <w:rsid w:val="00BD606E"/>
    <w:rsid w:val="00BD610B"/>
    <w:rsid w:val="00BD6312"/>
    <w:rsid w:val="00BD66E2"/>
    <w:rsid w:val="00BD69D0"/>
    <w:rsid w:val="00BD6A52"/>
    <w:rsid w:val="00BD6A8B"/>
    <w:rsid w:val="00BD6B00"/>
    <w:rsid w:val="00BD6C74"/>
    <w:rsid w:val="00BD6E11"/>
    <w:rsid w:val="00BD6FC2"/>
    <w:rsid w:val="00BD7091"/>
    <w:rsid w:val="00BD7126"/>
    <w:rsid w:val="00BD71A3"/>
    <w:rsid w:val="00BD72D6"/>
    <w:rsid w:val="00BD755D"/>
    <w:rsid w:val="00BD7636"/>
    <w:rsid w:val="00BD764A"/>
    <w:rsid w:val="00BD7973"/>
    <w:rsid w:val="00BD7ABE"/>
    <w:rsid w:val="00BD7BDB"/>
    <w:rsid w:val="00BD7EA8"/>
    <w:rsid w:val="00BD7F8D"/>
    <w:rsid w:val="00BE0168"/>
    <w:rsid w:val="00BE038A"/>
    <w:rsid w:val="00BE062E"/>
    <w:rsid w:val="00BE0759"/>
    <w:rsid w:val="00BE0923"/>
    <w:rsid w:val="00BE0C38"/>
    <w:rsid w:val="00BE0CC0"/>
    <w:rsid w:val="00BE0CC1"/>
    <w:rsid w:val="00BE0D67"/>
    <w:rsid w:val="00BE0E6A"/>
    <w:rsid w:val="00BE0E9A"/>
    <w:rsid w:val="00BE0F38"/>
    <w:rsid w:val="00BE10C2"/>
    <w:rsid w:val="00BE1266"/>
    <w:rsid w:val="00BE17C8"/>
    <w:rsid w:val="00BE180C"/>
    <w:rsid w:val="00BE1825"/>
    <w:rsid w:val="00BE1A0B"/>
    <w:rsid w:val="00BE1A76"/>
    <w:rsid w:val="00BE1AA4"/>
    <w:rsid w:val="00BE1E27"/>
    <w:rsid w:val="00BE1EB9"/>
    <w:rsid w:val="00BE1F9E"/>
    <w:rsid w:val="00BE2149"/>
    <w:rsid w:val="00BE225D"/>
    <w:rsid w:val="00BE2293"/>
    <w:rsid w:val="00BE23AB"/>
    <w:rsid w:val="00BE25D0"/>
    <w:rsid w:val="00BE26D3"/>
    <w:rsid w:val="00BE27BF"/>
    <w:rsid w:val="00BE2D3D"/>
    <w:rsid w:val="00BE2D9D"/>
    <w:rsid w:val="00BE2EB6"/>
    <w:rsid w:val="00BE328F"/>
    <w:rsid w:val="00BE3321"/>
    <w:rsid w:val="00BE346A"/>
    <w:rsid w:val="00BE3890"/>
    <w:rsid w:val="00BE3936"/>
    <w:rsid w:val="00BE399F"/>
    <w:rsid w:val="00BE3B2F"/>
    <w:rsid w:val="00BE3DE8"/>
    <w:rsid w:val="00BE3E74"/>
    <w:rsid w:val="00BE3F4B"/>
    <w:rsid w:val="00BE40CA"/>
    <w:rsid w:val="00BE4109"/>
    <w:rsid w:val="00BE4310"/>
    <w:rsid w:val="00BE43F6"/>
    <w:rsid w:val="00BE454B"/>
    <w:rsid w:val="00BE455F"/>
    <w:rsid w:val="00BE484E"/>
    <w:rsid w:val="00BE4BBC"/>
    <w:rsid w:val="00BE4DA5"/>
    <w:rsid w:val="00BE4F87"/>
    <w:rsid w:val="00BE545D"/>
    <w:rsid w:val="00BE570A"/>
    <w:rsid w:val="00BE59F1"/>
    <w:rsid w:val="00BE5B5A"/>
    <w:rsid w:val="00BE5C64"/>
    <w:rsid w:val="00BE5CB3"/>
    <w:rsid w:val="00BE5D11"/>
    <w:rsid w:val="00BE5D54"/>
    <w:rsid w:val="00BE5E7A"/>
    <w:rsid w:val="00BE5F21"/>
    <w:rsid w:val="00BE5F8F"/>
    <w:rsid w:val="00BE5FBB"/>
    <w:rsid w:val="00BE602B"/>
    <w:rsid w:val="00BE6117"/>
    <w:rsid w:val="00BE61DE"/>
    <w:rsid w:val="00BE65E0"/>
    <w:rsid w:val="00BE665F"/>
    <w:rsid w:val="00BE66F7"/>
    <w:rsid w:val="00BE687A"/>
    <w:rsid w:val="00BE6B33"/>
    <w:rsid w:val="00BE6CDA"/>
    <w:rsid w:val="00BE6CE1"/>
    <w:rsid w:val="00BE6F25"/>
    <w:rsid w:val="00BE74C2"/>
    <w:rsid w:val="00BE76C5"/>
    <w:rsid w:val="00BE7803"/>
    <w:rsid w:val="00BE7994"/>
    <w:rsid w:val="00BE7A32"/>
    <w:rsid w:val="00BE7AB9"/>
    <w:rsid w:val="00BE7E39"/>
    <w:rsid w:val="00BE7EBA"/>
    <w:rsid w:val="00BE7F7B"/>
    <w:rsid w:val="00BF007F"/>
    <w:rsid w:val="00BF02F8"/>
    <w:rsid w:val="00BF035E"/>
    <w:rsid w:val="00BF0647"/>
    <w:rsid w:val="00BF072D"/>
    <w:rsid w:val="00BF081B"/>
    <w:rsid w:val="00BF08D0"/>
    <w:rsid w:val="00BF0AEE"/>
    <w:rsid w:val="00BF0B2A"/>
    <w:rsid w:val="00BF0D4C"/>
    <w:rsid w:val="00BF0D6B"/>
    <w:rsid w:val="00BF0DD3"/>
    <w:rsid w:val="00BF0E1E"/>
    <w:rsid w:val="00BF107E"/>
    <w:rsid w:val="00BF108D"/>
    <w:rsid w:val="00BF12CB"/>
    <w:rsid w:val="00BF13CC"/>
    <w:rsid w:val="00BF1478"/>
    <w:rsid w:val="00BF149D"/>
    <w:rsid w:val="00BF15BE"/>
    <w:rsid w:val="00BF1824"/>
    <w:rsid w:val="00BF18F6"/>
    <w:rsid w:val="00BF1A1A"/>
    <w:rsid w:val="00BF1A85"/>
    <w:rsid w:val="00BF1A95"/>
    <w:rsid w:val="00BF1D19"/>
    <w:rsid w:val="00BF1EDD"/>
    <w:rsid w:val="00BF212D"/>
    <w:rsid w:val="00BF212F"/>
    <w:rsid w:val="00BF22C2"/>
    <w:rsid w:val="00BF2336"/>
    <w:rsid w:val="00BF2412"/>
    <w:rsid w:val="00BF2469"/>
    <w:rsid w:val="00BF26F3"/>
    <w:rsid w:val="00BF289B"/>
    <w:rsid w:val="00BF2ADD"/>
    <w:rsid w:val="00BF2B91"/>
    <w:rsid w:val="00BF2BA5"/>
    <w:rsid w:val="00BF2C0D"/>
    <w:rsid w:val="00BF2C2C"/>
    <w:rsid w:val="00BF2E6F"/>
    <w:rsid w:val="00BF3026"/>
    <w:rsid w:val="00BF31F3"/>
    <w:rsid w:val="00BF3500"/>
    <w:rsid w:val="00BF351B"/>
    <w:rsid w:val="00BF3601"/>
    <w:rsid w:val="00BF3636"/>
    <w:rsid w:val="00BF36E4"/>
    <w:rsid w:val="00BF39F2"/>
    <w:rsid w:val="00BF3A41"/>
    <w:rsid w:val="00BF3C7B"/>
    <w:rsid w:val="00BF3E2B"/>
    <w:rsid w:val="00BF3EB7"/>
    <w:rsid w:val="00BF3EF4"/>
    <w:rsid w:val="00BF3FED"/>
    <w:rsid w:val="00BF4009"/>
    <w:rsid w:val="00BF4146"/>
    <w:rsid w:val="00BF430A"/>
    <w:rsid w:val="00BF4367"/>
    <w:rsid w:val="00BF4426"/>
    <w:rsid w:val="00BF44F5"/>
    <w:rsid w:val="00BF4632"/>
    <w:rsid w:val="00BF4818"/>
    <w:rsid w:val="00BF482D"/>
    <w:rsid w:val="00BF4DE5"/>
    <w:rsid w:val="00BF4E6E"/>
    <w:rsid w:val="00BF4E7E"/>
    <w:rsid w:val="00BF4FA6"/>
    <w:rsid w:val="00BF546F"/>
    <w:rsid w:val="00BF56F6"/>
    <w:rsid w:val="00BF59B7"/>
    <w:rsid w:val="00BF5A45"/>
    <w:rsid w:val="00BF5C11"/>
    <w:rsid w:val="00BF5D46"/>
    <w:rsid w:val="00BF5EBB"/>
    <w:rsid w:val="00BF5F92"/>
    <w:rsid w:val="00BF6059"/>
    <w:rsid w:val="00BF60A7"/>
    <w:rsid w:val="00BF61F9"/>
    <w:rsid w:val="00BF62F0"/>
    <w:rsid w:val="00BF636B"/>
    <w:rsid w:val="00BF66FB"/>
    <w:rsid w:val="00BF677F"/>
    <w:rsid w:val="00BF69F0"/>
    <w:rsid w:val="00BF6AEF"/>
    <w:rsid w:val="00BF6B95"/>
    <w:rsid w:val="00BF6CDA"/>
    <w:rsid w:val="00BF6FA6"/>
    <w:rsid w:val="00BF7031"/>
    <w:rsid w:val="00BF7312"/>
    <w:rsid w:val="00BF737E"/>
    <w:rsid w:val="00BF7414"/>
    <w:rsid w:val="00BF77B9"/>
    <w:rsid w:val="00BF7913"/>
    <w:rsid w:val="00BF7DC1"/>
    <w:rsid w:val="00BF7E36"/>
    <w:rsid w:val="00BF7F27"/>
    <w:rsid w:val="00C002B7"/>
    <w:rsid w:val="00C00893"/>
    <w:rsid w:val="00C00A3D"/>
    <w:rsid w:val="00C00CB8"/>
    <w:rsid w:val="00C00DCE"/>
    <w:rsid w:val="00C00F99"/>
    <w:rsid w:val="00C0115F"/>
    <w:rsid w:val="00C0123C"/>
    <w:rsid w:val="00C0137A"/>
    <w:rsid w:val="00C01381"/>
    <w:rsid w:val="00C01812"/>
    <w:rsid w:val="00C018D1"/>
    <w:rsid w:val="00C01A19"/>
    <w:rsid w:val="00C021A4"/>
    <w:rsid w:val="00C021BB"/>
    <w:rsid w:val="00C02513"/>
    <w:rsid w:val="00C02897"/>
    <w:rsid w:val="00C02AA1"/>
    <w:rsid w:val="00C02AB5"/>
    <w:rsid w:val="00C02B3F"/>
    <w:rsid w:val="00C02CFD"/>
    <w:rsid w:val="00C02D19"/>
    <w:rsid w:val="00C02EAC"/>
    <w:rsid w:val="00C02F38"/>
    <w:rsid w:val="00C02F60"/>
    <w:rsid w:val="00C02FAA"/>
    <w:rsid w:val="00C03630"/>
    <w:rsid w:val="00C03642"/>
    <w:rsid w:val="00C03786"/>
    <w:rsid w:val="00C03853"/>
    <w:rsid w:val="00C038B6"/>
    <w:rsid w:val="00C03A61"/>
    <w:rsid w:val="00C03A77"/>
    <w:rsid w:val="00C03A7E"/>
    <w:rsid w:val="00C03A85"/>
    <w:rsid w:val="00C03AD1"/>
    <w:rsid w:val="00C040C3"/>
    <w:rsid w:val="00C044A6"/>
    <w:rsid w:val="00C047CE"/>
    <w:rsid w:val="00C04930"/>
    <w:rsid w:val="00C049B1"/>
    <w:rsid w:val="00C049DB"/>
    <w:rsid w:val="00C04BA5"/>
    <w:rsid w:val="00C04C53"/>
    <w:rsid w:val="00C04C5C"/>
    <w:rsid w:val="00C04CB3"/>
    <w:rsid w:val="00C04F2C"/>
    <w:rsid w:val="00C04FCF"/>
    <w:rsid w:val="00C058B2"/>
    <w:rsid w:val="00C05AC0"/>
    <w:rsid w:val="00C05C08"/>
    <w:rsid w:val="00C06019"/>
    <w:rsid w:val="00C06078"/>
    <w:rsid w:val="00C06193"/>
    <w:rsid w:val="00C06213"/>
    <w:rsid w:val="00C06359"/>
    <w:rsid w:val="00C064E7"/>
    <w:rsid w:val="00C06578"/>
    <w:rsid w:val="00C0668F"/>
    <w:rsid w:val="00C066FD"/>
    <w:rsid w:val="00C06896"/>
    <w:rsid w:val="00C06A38"/>
    <w:rsid w:val="00C06A85"/>
    <w:rsid w:val="00C06A9B"/>
    <w:rsid w:val="00C06ABA"/>
    <w:rsid w:val="00C06CC6"/>
    <w:rsid w:val="00C06CCF"/>
    <w:rsid w:val="00C06D83"/>
    <w:rsid w:val="00C06FE1"/>
    <w:rsid w:val="00C0704C"/>
    <w:rsid w:val="00C07051"/>
    <w:rsid w:val="00C070A0"/>
    <w:rsid w:val="00C070CB"/>
    <w:rsid w:val="00C071B6"/>
    <w:rsid w:val="00C07280"/>
    <w:rsid w:val="00C07528"/>
    <w:rsid w:val="00C07749"/>
    <w:rsid w:val="00C077D2"/>
    <w:rsid w:val="00C07AA9"/>
    <w:rsid w:val="00C07B2D"/>
    <w:rsid w:val="00C07C27"/>
    <w:rsid w:val="00C07C53"/>
    <w:rsid w:val="00C07C6F"/>
    <w:rsid w:val="00C07CB6"/>
    <w:rsid w:val="00C07D48"/>
    <w:rsid w:val="00C0D021"/>
    <w:rsid w:val="00C10036"/>
    <w:rsid w:val="00C10359"/>
    <w:rsid w:val="00C10711"/>
    <w:rsid w:val="00C10911"/>
    <w:rsid w:val="00C10A6E"/>
    <w:rsid w:val="00C10C3B"/>
    <w:rsid w:val="00C10DE2"/>
    <w:rsid w:val="00C10F8E"/>
    <w:rsid w:val="00C10FA0"/>
    <w:rsid w:val="00C10FD6"/>
    <w:rsid w:val="00C111E7"/>
    <w:rsid w:val="00C1155A"/>
    <w:rsid w:val="00C116D5"/>
    <w:rsid w:val="00C117C0"/>
    <w:rsid w:val="00C117D3"/>
    <w:rsid w:val="00C11A3D"/>
    <w:rsid w:val="00C11E3C"/>
    <w:rsid w:val="00C11F39"/>
    <w:rsid w:val="00C11F64"/>
    <w:rsid w:val="00C1216C"/>
    <w:rsid w:val="00C121E5"/>
    <w:rsid w:val="00C122BE"/>
    <w:rsid w:val="00C1252B"/>
    <w:rsid w:val="00C12568"/>
    <w:rsid w:val="00C12760"/>
    <w:rsid w:val="00C127B4"/>
    <w:rsid w:val="00C128D3"/>
    <w:rsid w:val="00C12FAB"/>
    <w:rsid w:val="00C132B6"/>
    <w:rsid w:val="00C134A2"/>
    <w:rsid w:val="00C135D4"/>
    <w:rsid w:val="00C135ED"/>
    <w:rsid w:val="00C1368F"/>
    <w:rsid w:val="00C1387B"/>
    <w:rsid w:val="00C13CC4"/>
    <w:rsid w:val="00C13CFB"/>
    <w:rsid w:val="00C144B7"/>
    <w:rsid w:val="00C14609"/>
    <w:rsid w:val="00C14B8E"/>
    <w:rsid w:val="00C14C6E"/>
    <w:rsid w:val="00C14C81"/>
    <w:rsid w:val="00C14EA8"/>
    <w:rsid w:val="00C15194"/>
    <w:rsid w:val="00C151CB"/>
    <w:rsid w:val="00C152B9"/>
    <w:rsid w:val="00C153CE"/>
    <w:rsid w:val="00C153D4"/>
    <w:rsid w:val="00C15554"/>
    <w:rsid w:val="00C155CA"/>
    <w:rsid w:val="00C1582B"/>
    <w:rsid w:val="00C15853"/>
    <w:rsid w:val="00C159E1"/>
    <w:rsid w:val="00C15A68"/>
    <w:rsid w:val="00C15ACD"/>
    <w:rsid w:val="00C15AD5"/>
    <w:rsid w:val="00C15D63"/>
    <w:rsid w:val="00C15E28"/>
    <w:rsid w:val="00C15F41"/>
    <w:rsid w:val="00C16049"/>
    <w:rsid w:val="00C16130"/>
    <w:rsid w:val="00C16232"/>
    <w:rsid w:val="00C16448"/>
    <w:rsid w:val="00C166E0"/>
    <w:rsid w:val="00C167E3"/>
    <w:rsid w:val="00C16D81"/>
    <w:rsid w:val="00C16E4E"/>
    <w:rsid w:val="00C16E7D"/>
    <w:rsid w:val="00C17193"/>
    <w:rsid w:val="00C171C6"/>
    <w:rsid w:val="00C17235"/>
    <w:rsid w:val="00C1724E"/>
    <w:rsid w:val="00C1729D"/>
    <w:rsid w:val="00C1729E"/>
    <w:rsid w:val="00C172CD"/>
    <w:rsid w:val="00C172FA"/>
    <w:rsid w:val="00C1745C"/>
    <w:rsid w:val="00C17589"/>
    <w:rsid w:val="00C175AF"/>
    <w:rsid w:val="00C17C47"/>
    <w:rsid w:val="00C17D5B"/>
    <w:rsid w:val="00C17D98"/>
    <w:rsid w:val="00C17E61"/>
    <w:rsid w:val="00C17F79"/>
    <w:rsid w:val="00C20078"/>
    <w:rsid w:val="00C200D2"/>
    <w:rsid w:val="00C20153"/>
    <w:rsid w:val="00C2041A"/>
    <w:rsid w:val="00C20696"/>
    <w:rsid w:val="00C207C2"/>
    <w:rsid w:val="00C20CA2"/>
    <w:rsid w:val="00C20D83"/>
    <w:rsid w:val="00C20FF5"/>
    <w:rsid w:val="00C2100E"/>
    <w:rsid w:val="00C210CA"/>
    <w:rsid w:val="00C210F9"/>
    <w:rsid w:val="00C21229"/>
    <w:rsid w:val="00C21270"/>
    <w:rsid w:val="00C213E7"/>
    <w:rsid w:val="00C21565"/>
    <w:rsid w:val="00C216A3"/>
    <w:rsid w:val="00C2191B"/>
    <w:rsid w:val="00C2199F"/>
    <w:rsid w:val="00C2221D"/>
    <w:rsid w:val="00C22276"/>
    <w:rsid w:val="00C22346"/>
    <w:rsid w:val="00C224BA"/>
    <w:rsid w:val="00C226E3"/>
    <w:rsid w:val="00C22838"/>
    <w:rsid w:val="00C22B46"/>
    <w:rsid w:val="00C22DA3"/>
    <w:rsid w:val="00C23038"/>
    <w:rsid w:val="00C230E2"/>
    <w:rsid w:val="00C232CA"/>
    <w:rsid w:val="00C23600"/>
    <w:rsid w:val="00C23709"/>
    <w:rsid w:val="00C2388F"/>
    <w:rsid w:val="00C23A90"/>
    <w:rsid w:val="00C23DF2"/>
    <w:rsid w:val="00C240AB"/>
    <w:rsid w:val="00C240D6"/>
    <w:rsid w:val="00C2458F"/>
    <w:rsid w:val="00C246B4"/>
    <w:rsid w:val="00C246CE"/>
    <w:rsid w:val="00C24802"/>
    <w:rsid w:val="00C248B1"/>
    <w:rsid w:val="00C24ACA"/>
    <w:rsid w:val="00C24B22"/>
    <w:rsid w:val="00C24D4E"/>
    <w:rsid w:val="00C24F10"/>
    <w:rsid w:val="00C250CA"/>
    <w:rsid w:val="00C25724"/>
    <w:rsid w:val="00C2595A"/>
    <w:rsid w:val="00C2595D"/>
    <w:rsid w:val="00C25FDB"/>
    <w:rsid w:val="00C265A0"/>
    <w:rsid w:val="00C2663F"/>
    <w:rsid w:val="00C26667"/>
    <w:rsid w:val="00C26928"/>
    <w:rsid w:val="00C26B01"/>
    <w:rsid w:val="00C26B15"/>
    <w:rsid w:val="00C26B3D"/>
    <w:rsid w:val="00C26E63"/>
    <w:rsid w:val="00C26F59"/>
    <w:rsid w:val="00C26F81"/>
    <w:rsid w:val="00C2715E"/>
    <w:rsid w:val="00C27203"/>
    <w:rsid w:val="00C27286"/>
    <w:rsid w:val="00C2764C"/>
    <w:rsid w:val="00C27730"/>
    <w:rsid w:val="00C27773"/>
    <w:rsid w:val="00C27A08"/>
    <w:rsid w:val="00C27A22"/>
    <w:rsid w:val="00C27A4F"/>
    <w:rsid w:val="00C27AD0"/>
    <w:rsid w:val="00C27C61"/>
    <w:rsid w:val="00C27DD9"/>
    <w:rsid w:val="00C27E34"/>
    <w:rsid w:val="00C27F5E"/>
    <w:rsid w:val="00C300F7"/>
    <w:rsid w:val="00C30782"/>
    <w:rsid w:val="00C3091A"/>
    <w:rsid w:val="00C30A31"/>
    <w:rsid w:val="00C30B56"/>
    <w:rsid w:val="00C30E2B"/>
    <w:rsid w:val="00C30E50"/>
    <w:rsid w:val="00C30F29"/>
    <w:rsid w:val="00C30F9A"/>
    <w:rsid w:val="00C310C9"/>
    <w:rsid w:val="00C310E4"/>
    <w:rsid w:val="00C31202"/>
    <w:rsid w:val="00C31289"/>
    <w:rsid w:val="00C3154F"/>
    <w:rsid w:val="00C315F0"/>
    <w:rsid w:val="00C316DF"/>
    <w:rsid w:val="00C317BD"/>
    <w:rsid w:val="00C3182F"/>
    <w:rsid w:val="00C31A36"/>
    <w:rsid w:val="00C31C03"/>
    <w:rsid w:val="00C31DEF"/>
    <w:rsid w:val="00C31E77"/>
    <w:rsid w:val="00C31F92"/>
    <w:rsid w:val="00C32246"/>
    <w:rsid w:val="00C322A1"/>
    <w:rsid w:val="00C32435"/>
    <w:rsid w:val="00C325DA"/>
    <w:rsid w:val="00C325F8"/>
    <w:rsid w:val="00C326AB"/>
    <w:rsid w:val="00C3274E"/>
    <w:rsid w:val="00C327A0"/>
    <w:rsid w:val="00C32A26"/>
    <w:rsid w:val="00C32DA1"/>
    <w:rsid w:val="00C33132"/>
    <w:rsid w:val="00C335F9"/>
    <w:rsid w:val="00C33687"/>
    <w:rsid w:val="00C33805"/>
    <w:rsid w:val="00C339F6"/>
    <w:rsid w:val="00C33A26"/>
    <w:rsid w:val="00C33BBE"/>
    <w:rsid w:val="00C33BC8"/>
    <w:rsid w:val="00C33D49"/>
    <w:rsid w:val="00C34069"/>
    <w:rsid w:val="00C3433B"/>
    <w:rsid w:val="00C34426"/>
    <w:rsid w:val="00C344B2"/>
    <w:rsid w:val="00C3450E"/>
    <w:rsid w:val="00C3451E"/>
    <w:rsid w:val="00C34759"/>
    <w:rsid w:val="00C34815"/>
    <w:rsid w:val="00C34863"/>
    <w:rsid w:val="00C34986"/>
    <w:rsid w:val="00C34A18"/>
    <w:rsid w:val="00C34A7D"/>
    <w:rsid w:val="00C351ED"/>
    <w:rsid w:val="00C35292"/>
    <w:rsid w:val="00C35905"/>
    <w:rsid w:val="00C359B2"/>
    <w:rsid w:val="00C35B2B"/>
    <w:rsid w:val="00C35C01"/>
    <w:rsid w:val="00C35C62"/>
    <w:rsid w:val="00C35C68"/>
    <w:rsid w:val="00C361C0"/>
    <w:rsid w:val="00C364D3"/>
    <w:rsid w:val="00C36583"/>
    <w:rsid w:val="00C3665A"/>
    <w:rsid w:val="00C3681F"/>
    <w:rsid w:val="00C369A3"/>
    <w:rsid w:val="00C369FD"/>
    <w:rsid w:val="00C36A93"/>
    <w:rsid w:val="00C36ABD"/>
    <w:rsid w:val="00C36BEB"/>
    <w:rsid w:val="00C36C9C"/>
    <w:rsid w:val="00C36D6D"/>
    <w:rsid w:val="00C36F2A"/>
    <w:rsid w:val="00C3701E"/>
    <w:rsid w:val="00C37124"/>
    <w:rsid w:val="00C3726F"/>
    <w:rsid w:val="00C372D3"/>
    <w:rsid w:val="00C37305"/>
    <w:rsid w:val="00C373D8"/>
    <w:rsid w:val="00C37427"/>
    <w:rsid w:val="00C374D4"/>
    <w:rsid w:val="00C377C2"/>
    <w:rsid w:val="00C37829"/>
    <w:rsid w:val="00C37878"/>
    <w:rsid w:val="00C3787E"/>
    <w:rsid w:val="00C37AA6"/>
    <w:rsid w:val="00C37B61"/>
    <w:rsid w:val="00C37D0A"/>
    <w:rsid w:val="00C37DAB"/>
    <w:rsid w:val="00C4010C"/>
    <w:rsid w:val="00C4019D"/>
    <w:rsid w:val="00C40351"/>
    <w:rsid w:val="00C4050F"/>
    <w:rsid w:val="00C4072E"/>
    <w:rsid w:val="00C4092A"/>
    <w:rsid w:val="00C409BF"/>
    <w:rsid w:val="00C40B31"/>
    <w:rsid w:val="00C40C57"/>
    <w:rsid w:val="00C40C74"/>
    <w:rsid w:val="00C4149A"/>
    <w:rsid w:val="00C414BC"/>
    <w:rsid w:val="00C414E8"/>
    <w:rsid w:val="00C415A6"/>
    <w:rsid w:val="00C4178A"/>
    <w:rsid w:val="00C417D3"/>
    <w:rsid w:val="00C41E19"/>
    <w:rsid w:val="00C4203C"/>
    <w:rsid w:val="00C42222"/>
    <w:rsid w:val="00C42289"/>
    <w:rsid w:val="00C42444"/>
    <w:rsid w:val="00C4262E"/>
    <w:rsid w:val="00C426FD"/>
    <w:rsid w:val="00C427C5"/>
    <w:rsid w:val="00C42890"/>
    <w:rsid w:val="00C42B47"/>
    <w:rsid w:val="00C42BBC"/>
    <w:rsid w:val="00C42D4A"/>
    <w:rsid w:val="00C42E84"/>
    <w:rsid w:val="00C42F94"/>
    <w:rsid w:val="00C430B8"/>
    <w:rsid w:val="00C436BB"/>
    <w:rsid w:val="00C437C4"/>
    <w:rsid w:val="00C43895"/>
    <w:rsid w:val="00C43A3F"/>
    <w:rsid w:val="00C43B4E"/>
    <w:rsid w:val="00C43C56"/>
    <w:rsid w:val="00C43D5E"/>
    <w:rsid w:val="00C43DA8"/>
    <w:rsid w:val="00C440AE"/>
    <w:rsid w:val="00C44155"/>
    <w:rsid w:val="00C44512"/>
    <w:rsid w:val="00C44753"/>
    <w:rsid w:val="00C44861"/>
    <w:rsid w:val="00C44DDF"/>
    <w:rsid w:val="00C44E68"/>
    <w:rsid w:val="00C450D9"/>
    <w:rsid w:val="00C4512A"/>
    <w:rsid w:val="00C451A9"/>
    <w:rsid w:val="00C45218"/>
    <w:rsid w:val="00C453E2"/>
    <w:rsid w:val="00C4578F"/>
    <w:rsid w:val="00C45DFD"/>
    <w:rsid w:val="00C45F1A"/>
    <w:rsid w:val="00C45F42"/>
    <w:rsid w:val="00C45F43"/>
    <w:rsid w:val="00C45FCE"/>
    <w:rsid w:val="00C46034"/>
    <w:rsid w:val="00C4610C"/>
    <w:rsid w:val="00C46386"/>
    <w:rsid w:val="00C463E5"/>
    <w:rsid w:val="00C46563"/>
    <w:rsid w:val="00C46564"/>
    <w:rsid w:val="00C4660C"/>
    <w:rsid w:val="00C4677E"/>
    <w:rsid w:val="00C46A1F"/>
    <w:rsid w:val="00C46B5E"/>
    <w:rsid w:val="00C46FCB"/>
    <w:rsid w:val="00C471CF"/>
    <w:rsid w:val="00C4725B"/>
    <w:rsid w:val="00C47438"/>
    <w:rsid w:val="00C4760B"/>
    <w:rsid w:val="00C47914"/>
    <w:rsid w:val="00C4795D"/>
    <w:rsid w:val="00C47A23"/>
    <w:rsid w:val="00C47A9D"/>
    <w:rsid w:val="00C47EEE"/>
    <w:rsid w:val="00C50219"/>
    <w:rsid w:val="00C504F0"/>
    <w:rsid w:val="00C50596"/>
    <w:rsid w:val="00C5062C"/>
    <w:rsid w:val="00C507ED"/>
    <w:rsid w:val="00C50A45"/>
    <w:rsid w:val="00C50C7D"/>
    <w:rsid w:val="00C50D76"/>
    <w:rsid w:val="00C50E21"/>
    <w:rsid w:val="00C513BE"/>
    <w:rsid w:val="00C5140C"/>
    <w:rsid w:val="00C51501"/>
    <w:rsid w:val="00C51661"/>
    <w:rsid w:val="00C51765"/>
    <w:rsid w:val="00C517D1"/>
    <w:rsid w:val="00C5192A"/>
    <w:rsid w:val="00C51E6C"/>
    <w:rsid w:val="00C51EB7"/>
    <w:rsid w:val="00C521C4"/>
    <w:rsid w:val="00C52274"/>
    <w:rsid w:val="00C52721"/>
    <w:rsid w:val="00C5278A"/>
    <w:rsid w:val="00C52A51"/>
    <w:rsid w:val="00C52B71"/>
    <w:rsid w:val="00C52C3F"/>
    <w:rsid w:val="00C52E98"/>
    <w:rsid w:val="00C52EAD"/>
    <w:rsid w:val="00C52EDB"/>
    <w:rsid w:val="00C53083"/>
    <w:rsid w:val="00C5310D"/>
    <w:rsid w:val="00C5313B"/>
    <w:rsid w:val="00C534B3"/>
    <w:rsid w:val="00C53635"/>
    <w:rsid w:val="00C5373A"/>
    <w:rsid w:val="00C53A7C"/>
    <w:rsid w:val="00C53B6A"/>
    <w:rsid w:val="00C53C31"/>
    <w:rsid w:val="00C53F80"/>
    <w:rsid w:val="00C53FCC"/>
    <w:rsid w:val="00C53FDB"/>
    <w:rsid w:val="00C543F7"/>
    <w:rsid w:val="00C544E0"/>
    <w:rsid w:val="00C54645"/>
    <w:rsid w:val="00C54B4E"/>
    <w:rsid w:val="00C54BDF"/>
    <w:rsid w:val="00C54CC1"/>
    <w:rsid w:val="00C54D12"/>
    <w:rsid w:val="00C54DA1"/>
    <w:rsid w:val="00C54DB3"/>
    <w:rsid w:val="00C54DF5"/>
    <w:rsid w:val="00C54FD6"/>
    <w:rsid w:val="00C5535A"/>
    <w:rsid w:val="00C55922"/>
    <w:rsid w:val="00C55B8C"/>
    <w:rsid w:val="00C55E29"/>
    <w:rsid w:val="00C55F09"/>
    <w:rsid w:val="00C56050"/>
    <w:rsid w:val="00C56082"/>
    <w:rsid w:val="00C561A7"/>
    <w:rsid w:val="00C561D8"/>
    <w:rsid w:val="00C56274"/>
    <w:rsid w:val="00C5690F"/>
    <w:rsid w:val="00C5694D"/>
    <w:rsid w:val="00C56A1D"/>
    <w:rsid w:val="00C56B31"/>
    <w:rsid w:val="00C56CAA"/>
    <w:rsid w:val="00C56D72"/>
    <w:rsid w:val="00C56D9C"/>
    <w:rsid w:val="00C56E43"/>
    <w:rsid w:val="00C56E95"/>
    <w:rsid w:val="00C56EB6"/>
    <w:rsid w:val="00C56FAA"/>
    <w:rsid w:val="00C5701E"/>
    <w:rsid w:val="00C570BD"/>
    <w:rsid w:val="00C57161"/>
    <w:rsid w:val="00C57181"/>
    <w:rsid w:val="00C57209"/>
    <w:rsid w:val="00C572BB"/>
    <w:rsid w:val="00C57441"/>
    <w:rsid w:val="00C574E4"/>
    <w:rsid w:val="00C575F9"/>
    <w:rsid w:val="00C5777F"/>
    <w:rsid w:val="00C57798"/>
    <w:rsid w:val="00C57C35"/>
    <w:rsid w:val="00C57F4D"/>
    <w:rsid w:val="00C600E6"/>
    <w:rsid w:val="00C60118"/>
    <w:rsid w:val="00C60288"/>
    <w:rsid w:val="00C602E1"/>
    <w:rsid w:val="00C608E9"/>
    <w:rsid w:val="00C60991"/>
    <w:rsid w:val="00C609E3"/>
    <w:rsid w:val="00C60A07"/>
    <w:rsid w:val="00C60A16"/>
    <w:rsid w:val="00C60ADB"/>
    <w:rsid w:val="00C60CCE"/>
    <w:rsid w:val="00C60D45"/>
    <w:rsid w:val="00C60EA3"/>
    <w:rsid w:val="00C60EB7"/>
    <w:rsid w:val="00C60EBD"/>
    <w:rsid w:val="00C60ECE"/>
    <w:rsid w:val="00C60ED8"/>
    <w:rsid w:val="00C613F3"/>
    <w:rsid w:val="00C614C9"/>
    <w:rsid w:val="00C615FA"/>
    <w:rsid w:val="00C61723"/>
    <w:rsid w:val="00C61968"/>
    <w:rsid w:val="00C619C9"/>
    <w:rsid w:val="00C61F2E"/>
    <w:rsid w:val="00C62185"/>
    <w:rsid w:val="00C623CE"/>
    <w:rsid w:val="00C624C8"/>
    <w:rsid w:val="00C626C0"/>
    <w:rsid w:val="00C62775"/>
    <w:rsid w:val="00C62991"/>
    <w:rsid w:val="00C629A2"/>
    <w:rsid w:val="00C62BD4"/>
    <w:rsid w:val="00C62D7A"/>
    <w:rsid w:val="00C62E50"/>
    <w:rsid w:val="00C62E81"/>
    <w:rsid w:val="00C62EE9"/>
    <w:rsid w:val="00C630C0"/>
    <w:rsid w:val="00C632DB"/>
    <w:rsid w:val="00C6331F"/>
    <w:rsid w:val="00C634FD"/>
    <w:rsid w:val="00C6351E"/>
    <w:rsid w:val="00C636F3"/>
    <w:rsid w:val="00C63783"/>
    <w:rsid w:val="00C639E0"/>
    <w:rsid w:val="00C63A7A"/>
    <w:rsid w:val="00C63C35"/>
    <w:rsid w:val="00C63DA8"/>
    <w:rsid w:val="00C63DF2"/>
    <w:rsid w:val="00C63E9C"/>
    <w:rsid w:val="00C63FC4"/>
    <w:rsid w:val="00C6406C"/>
    <w:rsid w:val="00C64079"/>
    <w:rsid w:val="00C640CA"/>
    <w:rsid w:val="00C642C4"/>
    <w:rsid w:val="00C64307"/>
    <w:rsid w:val="00C6476B"/>
    <w:rsid w:val="00C64775"/>
    <w:rsid w:val="00C647B7"/>
    <w:rsid w:val="00C64915"/>
    <w:rsid w:val="00C64ABC"/>
    <w:rsid w:val="00C64B4C"/>
    <w:rsid w:val="00C64D3E"/>
    <w:rsid w:val="00C650B4"/>
    <w:rsid w:val="00C65666"/>
    <w:rsid w:val="00C6567C"/>
    <w:rsid w:val="00C65759"/>
    <w:rsid w:val="00C65762"/>
    <w:rsid w:val="00C657DD"/>
    <w:rsid w:val="00C659A2"/>
    <w:rsid w:val="00C659C8"/>
    <w:rsid w:val="00C65ABF"/>
    <w:rsid w:val="00C65C10"/>
    <w:rsid w:val="00C66043"/>
    <w:rsid w:val="00C661BA"/>
    <w:rsid w:val="00C663A0"/>
    <w:rsid w:val="00C66413"/>
    <w:rsid w:val="00C66752"/>
    <w:rsid w:val="00C6679C"/>
    <w:rsid w:val="00C667D1"/>
    <w:rsid w:val="00C6680F"/>
    <w:rsid w:val="00C66871"/>
    <w:rsid w:val="00C66AD7"/>
    <w:rsid w:val="00C66BAC"/>
    <w:rsid w:val="00C66CCD"/>
    <w:rsid w:val="00C675C7"/>
    <w:rsid w:val="00C676B9"/>
    <w:rsid w:val="00C6785D"/>
    <w:rsid w:val="00C67889"/>
    <w:rsid w:val="00C67945"/>
    <w:rsid w:val="00C67C5E"/>
    <w:rsid w:val="00C700B5"/>
    <w:rsid w:val="00C70399"/>
    <w:rsid w:val="00C7039C"/>
    <w:rsid w:val="00C70461"/>
    <w:rsid w:val="00C70722"/>
    <w:rsid w:val="00C708D3"/>
    <w:rsid w:val="00C70A56"/>
    <w:rsid w:val="00C70E5C"/>
    <w:rsid w:val="00C712AE"/>
    <w:rsid w:val="00C71766"/>
    <w:rsid w:val="00C7183A"/>
    <w:rsid w:val="00C7197A"/>
    <w:rsid w:val="00C71CB5"/>
    <w:rsid w:val="00C71E22"/>
    <w:rsid w:val="00C71EE0"/>
    <w:rsid w:val="00C71F7A"/>
    <w:rsid w:val="00C7203B"/>
    <w:rsid w:val="00C720D2"/>
    <w:rsid w:val="00C72667"/>
    <w:rsid w:val="00C72704"/>
    <w:rsid w:val="00C72705"/>
    <w:rsid w:val="00C72736"/>
    <w:rsid w:val="00C727DD"/>
    <w:rsid w:val="00C72D46"/>
    <w:rsid w:val="00C730DA"/>
    <w:rsid w:val="00C73611"/>
    <w:rsid w:val="00C7376B"/>
    <w:rsid w:val="00C73863"/>
    <w:rsid w:val="00C739CC"/>
    <w:rsid w:val="00C73CF4"/>
    <w:rsid w:val="00C73D1A"/>
    <w:rsid w:val="00C740E4"/>
    <w:rsid w:val="00C74530"/>
    <w:rsid w:val="00C74721"/>
    <w:rsid w:val="00C747A3"/>
    <w:rsid w:val="00C74842"/>
    <w:rsid w:val="00C74A28"/>
    <w:rsid w:val="00C74AC9"/>
    <w:rsid w:val="00C74ADB"/>
    <w:rsid w:val="00C74DB6"/>
    <w:rsid w:val="00C74EB3"/>
    <w:rsid w:val="00C74F8C"/>
    <w:rsid w:val="00C750EA"/>
    <w:rsid w:val="00C750F0"/>
    <w:rsid w:val="00C75117"/>
    <w:rsid w:val="00C75167"/>
    <w:rsid w:val="00C75902"/>
    <w:rsid w:val="00C75BAC"/>
    <w:rsid w:val="00C75DC5"/>
    <w:rsid w:val="00C760A5"/>
    <w:rsid w:val="00C762A1"/>
    <w:rsid w:val="00C76438"/>
    <w:rsid w:val="00C76835"/>
    <w:rsid w:val="00C76AB1"/>
    <w:rsid w:val="00C76BB8"/>
    <w:rsid w:val="00C76DCE"/>
    <w:rsid w:val="00C76FB1"/>
    <w:rsid w:val="00C76FE4"/>
    <w:rsid w:val="00C77063"/>
    <w:rsid w:val="00C771D0"/>
    <w:rsid w:val="00C771D4"/>
    <w:rsid w:val="00C77211"/>
    <w:rsid w:val="00C7725D"/>
    <w:rsid w:val="00C7758F"/>
    <w:rsid w:val="00C777FB"/>
    <w:rsid w:val="00C7783E"/>
    <w:rsid w:val="00C77892"/>
    <w:rsid w:val="00C7798A"/>
    <w:rsid w:val="00C77A6C"/>
    <w:rsid w:val="00C77B3B"/>
    <w:rsid w:val="00C77CD4"/>
    <w:rsid w:val="00C77D3A"/>
    <w:rsid w:val="00C77DB2"/>
    <w:rsid w:val="00C77FC6"/>
    <w:rsid w:val="00C8009A"/>
    <w:rsid w:val="00C8016B"/>
    <w:rsid w:val="00C80282"/>
    <w:rsid w:val="00C803BA"/>
    <w:rsid w:val="00C8061A"/>
    <w:rsid w:val="00C80693"/>
    <w:rsid w:val="00C806A7"/>
    <w:rsid w:val="00C8070D"/>
    <w:rsid w:val="00C80941"/>
    <w:rsid w:val="00C8096C"/>
    <w:rsid w:val="00C809D2"/>
    <w:rsid w:val="00C80B1D"/>
    <w:rsid w:val="00C80C90"/>
    <w:rsid w:val="00C813BA"/>
    <w:rsid w:val="00C8151B"/>
    <w:rsid w:val="00C81737"/>
    <w:rsid w:val="00C81980"/>
    <w:rsid w:val="00C81A9E"/>
    <w:rsid w:val="00C81C7B"/>
    <w:rsid w:val="00C81E8E"/>
    <w:rsid w:val="00C81EFC"/>
    <w:rsid w:val="00C81F57"/>
    <w:rsid w:val="00C81FD6"/>
    <w:rsid w:val="00C8220F"/>
    <w:rsid w:val="00C82459"/>
    <w:rsid w:val="00C825C5"/>
    <w:rsid w:val="00C826AE"/>
    <w:rsid w:val="00C826DE"/>
    <w:rsid w:val="00C82984"/>
    <w:rsid w:val="00C82A22"/>
    <w:rsid w:val="00C82AA3"/>
    <w:rsid w:val="00C82C79"/>
    <w:rsid w:val="00C82E2F"/>
    <w:rsid w:val="00C82E56"/>
    <w:rsid w:val="00C82F8F"/>
    <w:rsid w:val="00C830A4"/>
    <w:rsid w:val="00C830EB"/>
    <w:rsid w:val="00C83132"/>
    <w:rsid w:val="00C833C7"/>
    <w:rsid w:val="00C8349C"/>
    <w:rsid w:val="00C83538"/>
    <w:rsid w:val="00C836AF"/>
    <w:rsid w:val="00C83712"/>
    <w:rsid w:val="00C838A6"/>
    <w:rsid w:val="00C8392A"/>
    <w:rsid w:val="00C839A1"/>
    <w:rsid w:val="00C839BA"/>
    <w:rsid w:val="00C83A11"/>
    <w:rsid w:val="00C83A9A"/>
    <w:rsid w:val="00C83AF7"/>
    <w:rsid w:val="00C83BB0"/>
    <w:rsid w:val="00C83CAE"/>
    <w:rsid w:val="00C83F5E"/>
    <w:rsid w:val="00C840EA"/>
    <w:rsid w:val="00C8428E"/>
    <w:rsid w:val="00C84391"/>
    <w:rsid w:val="00C84440"/>
    <w:rsid w:val="00C845C1"/>
    <w:rsid w:val="00C84760"/>
    <w:rsid w:val="00C8491B"/>
    <w:rsid w:val="00C84971"/>
    <w:rsid w:val="00C84C07"/>
    <w:rsid w:val="00C84E4F"/>
    <w:rsid w:val="00C84EBC"/>
    <w:rsid w:val="00C84F86"/>
    <w:rsid w:val="00C85306"/>
    <w:rsid w:val="00C85418"/>
    <w:rsid w:val="00C854B3"/>
    <w:rsid w:val="00C85592"/>
    <w:rsid w:val="00C855B0"/>
    <w:rsid w:val="00C85609"/>
    <w:rsid w:val="00C85875"/>
    <w:rsid w:val="00C85B9C"/>
    <w:rsid w:val="00C85BD9"/>
    <w:rsid w:val="00C85D63"/>
    <w:rsid w:val="00C8641C"/>
    <w:rsid w:val="00C8649F"/>
    <w:rsid w:val="00C865AD"/>
    <w:rsid w:val="00C8661C"/>
    <w:rsid w:val="00C866BE"/>
    <w:rsid w:val="00C866F0"/>
    <w:rsid w:val="00C86793"/>
    <w:rsid w:val="00C86CFA"/>
    <w:rsid w:val="00C86D04"/>
    <w:rsid w:val="00C86DBA"/>
    <w:rsid w:val="00C870C4"/>
    <w:rsid w:val="00C87327"/>
    <w:rsid w:val="00C87735"/>
    <w:rsid w:val="00C877DF"/>
    <w:rsid w:val="00C87878"/>
    <w:rsid w:val="00C878E5"/>
    <w:rsid w:val="00C879AB"/>
    <w:rsid w:val="00C87B84"/>
    <w:rsid w:val="00C87C16"/>
    <w:rsid w:val="00C87CFF"/>
    <w:rsid w:val="00C87DDF"/>
    <w:rsid w:val="00C87F0C"/>
    <w:rsid w:val="00C90253"/>
    <w:rsid w:val="00C9030F"/>
    <w:rsid w:val="00C904F9"/>
    <w:rsid w:val="00C90C65"/>
    <w:rsid w:val="00C90D04"/>
    <w:rsid w:val="00C90D06"/>
    <w:rsid w:val="00C9117F"/>
    <w:rsid w:val="00C9127C"/>
    <w:rsid w:val="00C917EA"/>
    <w:rsid w:val="00C91A97"/>
    <w:rsid w:val="00C91A99"/>
    <w:rsid w:val="00C91B99"/>
    <w:rsid w:val="00C91BA2"/>
    <w:rsid w:val="00C91BC6"/>
    <w:rsid w:val="00C91D63"/>
    <w:rsid w:val="00C92099"/>
    <w:rsid w:val="00C923D6"/>
    <w:rsid w:val="00C924D8"/>
    <w:rsid w:val="00C926A6"/>
    <w:rsid w:val="00C926E8"/>
    <w:rsid w:val="00C928DC"/>
    <w:rsid w:val="00C92B60"/>
    <w:rsid w:val="00C92CAC"/>
    <w:rsid w:val="00C92D1C"/>
    <w:rsid w:val="00C932C9"/>
    <w:rsid w:val="00C93485"/>
    <w:rsid w:val="00C93749"/>
    <w:rsid w:val="00C93A65"/>
    <w:rsid w:val="00C93B89"/>
    <w:rsid w:val="00C93D98"/>
    <w:rsid w:val="00C93E00"/>
    <w:rsid w:val="00C93EB1"/>
    <w:rsid w:val="00C9406E"/>
    <w:rsid w:val="00C94247"/>
    <w:rsid w:val="00C9449F"/>
    <w:rsid w:val="00C945AE"/>
    <w:rsid w:val="00C945BA"/>
    <w:rsid w:val="00C946B5"/>
    <w:rsid w:val="00C947BF"/>
    <w:rsid w:val="00C949B6"/>
    <w:rsid w:val="00C94A4B"/>
    <w:rsid w:val="00C94B5A"/>
    <w:rsid w:val="00C94C62"/>
    <w:rsid w:val="00C94D08"/>
    <w:rsid w:val="00C94D29"/>
    <w:rsid w:val="00C94DEC"/>
    <w:rsid w:val="00C94E29"/>
    <w:rsid w:val="00C94EF9"/>
    <w:rsid w:val="00C94F03"/>
    <w:rsid w:val="00C95027"/>
    <w:rsid w:val="00C950B5"/>
    <w:rsid w:val="00C952EC"/>
    <w:rsid w:val="00C95436"/>
    <w:rsid w:val="00C95619"/>
    <w:rsid w:val="00C95858"/>
    <w:rsid w:val="00C95C2D"/>
    <w:rsid w:val="00C95D16"/>
    <w:rsid w:val="00C95EBE"/>
    <w:rsid w:val="00C960F2"/>
    <w:rsid w:val="00C961EC"/>
    <w:rsid w:val="00C9646C"/>
    <w:rsid w:val="00C9671F"/>
    <w:rsid w:val="00C9673B"/>
    <w:rsid w:val="00C9674B"/>
    <w:rsid w:val="00C967E6"/>
    <w:rsid w:val="00C96824"/>
    <w:rsid w:val="00C96843"/>
    <w:rsid w:val="00C969DD"/>
    <w:rsid w:val="00C969FC"/>
    <w:rsid w:val="00C96C93"/>
    <w:rsid w:val="00C96CF5"/>
    <w:rsid w:val="00C96EAE"/>
    <w:rsid w:val="00C96F86"/>
    <w:rsid w:val="00C970F8"/>
    <w:rsid w:val="00C9744D"/>
    <w:rsid w:val="00C9752A"/>
    <w:rsid w:val="00C97875"/>
    <w:rsid w:val="00C97A3C"/>
    <w:rsid w:val="00C97B05"/>
    <w:rsid w:val="00C97B28"/>
    <w:rsid w:val="00C97CD4"/>
    <w:rsid w:val="00C97E07"/>
    <w:rsid w:val="00C97E6E"/>
    <w:rsid w:val="00CA034E"/>
    <w:rsid w:val="00CA0466"/>
    <w:rsid w:val="00CA066E"/>
    <w:rsid w:val="00CA0B69"/>
    <w:rsid w:val="00CA0DBB"/>
    <w:rsid w:val="00CA0E05"/>
    <w:rsid w:val="00CA0E25"/>
    <w:rsid w:val="00CA0FEF"/>
    <w:rsid w:val="00CA13FB"/>
    <w:rsid w:val="00CA1517"/>
    <w:rsid w:val="00CA157B"/>
    <w:rsid w:val="00CA1697"/>
    <w:rsid w:val="00CA16B7"/>
    <w:rsid w:val="00CA1785"/>
    <w:rsid w:val="00CA17C4"/>
    <w:rsid w:val="00CA184F"/>
    <w:rsid w:val="00CA1963"/>
    <w:rsid w:val="00CA1997"/>
    <w:rsid w:val="00CA1B37"/>
    <w:rsid w:val="00CA1C5D"/>
    <w:rsid w:val="00CA1F53"/>
    <w:rsid w:val="00CA216B"/>
    <w:rsid w:val="00CA227C"/>
    <w:rsid w:val="00CA2289"/>
    <w:rsid w:val="00CA230B"/>
    <w:rsid w:val="00CA236F"/>
    <w:rsid w:val="00CA2492"/>
    <w:rsid w:val="00CA28E4"/>
    <w:rsid w:val="00CA2966"/>
    <w:rsid w:val="00CA2A2A"/>
    <w:rsid w:val="00CA2BB8"/>
    <w:rsid w:val="00CA2D95"/>
    <w:rsid w:val="00CA2DC0"/>
    <w:rsid w:val="00CA2DD7"/>
    <w:rsid w:val="00CA2FBA"/>
    <w:rsid w:val="00CA3033"/>
    <w:rsid w:val="00CA342C"/>
    <w:rsid w:val="00CA36E5"/>
    <w:rsid w:val="00CA3A9D"/>
    <w:rsid w:val="00CA3E91"/>
    <w:rsid w:val="00CA4014"/>
    <w:rsid w:val="00CA4108"/>
    <w:rsid w:val="00CA4202"/>
    <w:rsid w:val="00CA44CA"/>
    <w:rsid w:val="00CA47DF"/>
    <w:rsid w:val="00CA4BD6"/>
    <w:rsid w:val="00CA4C15"/>
    <w:rsid w:val="00CA4C3F"/>
    <w:rsid w:val="00CA4D5B"/>
    <w:rsid w:val="00CA4F38"/>
    <w:rsid w:val="00CA4F3C"/>
    <w:rsid w:val="00CA50BE"/>
    <w:rsid w:val="00CA52DD"/>
    <w:rsid w:val="00CA5590"/>
    <w:rsid w:val="00CA56B4"/>
    <w:rsid w:val="00CA571C"/>
    <w:rsid w:val="00CA58C7"/>
    <w:rsid w:val="00CA5AFF"/>
    <w:rsid w:val="00CA5BC4"/>
    <w:rsid w:val="00CA5C2D"/>
    <w:rsid w:val="00CA5C4D"/>
    <w:rsid w:val="00CA5D57"/>
    <w:rsid w:val="00CA5EA0"/>
    <w:rsid w:val="00CA5F2C"/>
    <w:rsid w:val="00CA5FA5"/>
    <w:rsid w:val="00CA6114"/>
    <w:rsid w:val="00CA63A2"/>
    <w:rsid w:val="00CA652D"/>
    <w:rsid w:val="00CA65A8"/>
    <w:rsid w:val="00CA6747"/>
    <w:rsid w:val="00CA674D"/>
    <w:rsid w:val="00CA6832"/>
    <w:rsid w:val="00CA6859"/>
    <w:rsid w:val="00CA6A67"/>
    <w:rsid w:val="00CA6B2C"/>
    <w:rsid w:val="00CA7139"/>
    <w:rsid w:val="00CA713B"/>
    <w:rsid w:val="00CA72A2"/>
    <w:rsid w:val="00CA74A2"/>
    <w:rsid w:val="00CA77CF"/>
    <w:rsid w:val="00CA78E5"/>
    <w:rsid w:val="00CA7AB5"/>
    <w:rsid w:val="00CA7ABD"/>
    <w:rsid w:val="00CA7BC4"/>
    <w:rsid w:val="00CA7D3A"/>
    <w:rsid w:val="00CB014E"/>
    <w:rsid w:val="00CB030D"/>
    <w:rsid w:val="00CB07FE"/>
    <w:rsid w:val="00CB09E8"/>
    <w:rsid w:val="00CB1029"/>
    <w:rsid w:val="00CB11AB"/>
    <w:rsid w:val="00CB13F7"/>
    <w:rsid w:val="00CB1607"/>
    <w:rsid w:val="00CB161D"/>
    <w:rsid w:val="00CB179D"/>
    <w:rsid w:val="00CB198C"/>
    <w:rsid w:val="00CB1BD4"/>
    <w:rsid w:val="00CB1F9B"/>
    <w:rsid w:val="00CB1FEE"/>
    <w:rsid w:val="00CB2293"/>
    <w:rsid w:val="00CB24E5"/>
    <w:rsid w:val="00CB2969"/>
    <w:rsid w:val="00CB2A0E"/>
    <w:rsid w:val="00CB2B34"/>
    <w:rsid w:val="00CB2E14"/>
    <w:rsid w:val="00CB3133"/>
    <w:rsid w:val="00CB319F"/>
    <w:rsid w:val="00CB362F"/>
    <w:rsid w:val="00CB36F3"/>
    <w:rsid w:val="00CB379B"/>
    <w:rsid w:val="00CB38EB"/>
    <w:rsid w:val="00CB3AB6"/>
    <w:rsid w:val="00CB3AB9"/>
    <w:rsid w:val="00CB3D2C"/>
    <w:rsid w:val="00CB3F56"/>
    <w:rsid w:val="00CB40A0"/>
    <w:rsid w:val="00CB412E"/>
    <w:rsid w:val="00CB4712"/>
    <w:rsid w:val="00CB4825"/>
    <w:rsid w:val="00CB4946"/>
    <w:rsid w:val="00CB4F3E"/>
    <w:rsid w:val="00CB4FF7"/>
    <w:rsid w:val="00CB52E0"/>
    <w:rsid w:val="00CB5608"/>
    <w:rsid w:val="00CB5694"/>
    <w:rsid w:val="00CB56F5"/>
    <w:rsid w:val="00CB570A"/>
    <w:rsid w:val="00CB573F"/>
    <w:rsid w:val="00CB58C1"/>
    <w:rsid w:val="00CB5ABB"/>
    <w:rsid w:val="00CB5ABD"/>
    <w:rsid w:val="00CB5AF5"/>
    <w:rsid w:val="00CB5BCC"/>
    <w:rsid w:val="00CB5BF7"/>
    <w:rsid w:val="00CB5F98"/>
    <w:rsid w:val="00CB6008"/>
    <w:rsid w:val="00CB6079"/>
    <w:rsid w:val="00CB61FB"/>
    <w:rsid w:val="00CB62B3"/>
    <w:rsid w:val="00CB6522"/>
    <w:rsid w:val="00CB65BC"/>
    <w:rsid w:val="00CB671F"/>
    <w:rsid w:val="00CB6AE7"/>
    <w:rsid w:val="00CB6B42"/>
    <w:rsid w:val="00CB6BCA"/>
    <w:rsid w:val="00CB6C20"/>
    <w:rsid w:val="00CB6D1E"/>
    <w:rsid w:val="00CB6D8C"/>
    <w:rsid w:val="00CB6D98"/>
    <w:rsid w:val="00CB702F"/>
    <w:rsid w:val="00CB7050"/>
    <w:rsid w:val="00CB7053"/>
    <w:rsid w:val="00CB721D"/>
    <w:rsid w:val="00CB7345"/>
    <w:rsid w:val="00CB745A"/>
    <w:rsid w:val="00CB748D"/>
    <w:rsid w:val="00CB7537"/>
    <w:rsid w:val="00CB75D4"/>
    <w:rsid w:val="00CB77EC"/>
    <w:rsid w:val="00CB7960"/>
    <w:rsid w:val="00CB7B62"/>
    <w:rsid w:val="00CB7BB7"/>
    <w:rsid w:val="00CB7D4F"/>
    <w:rsid w:val="00CB7DFA"/>
    <w:rsid w:val="00CB7ED0"/>
    <w:rsid w:val="00CC010F"/>
    <w:rsid w:val="00CC0118"/>
    <w:rsid w:val="00CC0144"/>
    <w:rsid w:val="00CC0549"/>
    <w:rsid w:val="00CC05B0"/>
    <w:rsid w:val="00CC0638"/>
    <w:rsid w:val="00CC0649"/>
    <w:rsid w:val="00CC0716"/>
    <w:rsid w:val="00CC077C"/>
    <w:rsid w:val="00CC0810"/>
    <w:rsid w:val="00CC0AF4"/>
    <w:rsid w:val="00CC0D99"/>
    <w:rsid w:val="00CC0FFA"/>
    <w:rsid w:val="00CC1075"/>
    <w:rsid w:val="00CC110E"/>
    <w:rsid w:val="00CC137D"/>
    <w:rsid w:val="00CC1455"/>
    <w:rsid w:val="00CC1464"/>
    <w:rsid w:val="00CC14E7"/>
    <w:rsid w:val="00CC1526"/>
    <w:rsid w:val="00CC16EB"/>
    <w:rsid w:val="00CC1C26"/>
    <w:rsid w:val="00CC1D8F"/>
    <w:rsid w:val="00CC1DD9"/>
    <w:rsid w:val="00CC1E2A"/>
    <w:rsid w:val="00CC229D"/>
    <w:rsid w:val="00CC24EC"/>
    <w:rsid w:val="00CC2514"/>
    <w:rsid w:val="00CC2584"/>
    <w:rsid w:val="00CC267E"/>
    <w:rsid w:val="00CC26A4"/>
    <w:rsid w:val="00CC28B6"/>
    <w:rsid w:val="00CC2BE5"/>
    <w:rsid w:val="00CC2CC3"/>
    <w:rsid w:val="00CC2DF8"/>
    <w:rsid w:val="00CC2F42"/>
    <w:rsid w:val="00CC3262"/>
    <w:rsid w:val="00CC32DB"/>
    <w:rsid w:val="00CC35DB"/>
    <w:rsid w:val="00CC3645"/>
    <w:rsid w:val="00CC36D8"/>
    <w:rsid w:val="00CC3767"/>
    <w:rsid w:val="00CC37E6"/>
    <w:rsid w:val="00CC37F7"/>
    <w:rsid w:val="00CC3B32"/>
    <w:rsid w:val="00CC3B3D"/>
    <w:rsid w:val="00CC3B5B"/>
    <w:rsid w:val="00CC3CCD"/>
    <w:rsid w:val="00CC3ECA"/>
    <w:rsid w:val="00CC4125"/>
    <w:rsid w:val="00CC4173"/>
    <w:rsid w:val="00CC41E1"/>
    <w:rsid w:val="00CC4456"/>
    <w:rsid w:val="00CC4738"/>
    <w:rsid w:val="00CC4765"/>
    <w:rsid w:val="00CC480D"/>
    <w:rsid w:val="00CC4945"/>
    <w:rsid w:val="00CC49E4"/>
    <w:rsid w:val="00CC4A4F"/>
    <w:rsid w:val="00CC4B16"/>
    <w:rsid w:val="00CC4DB2"/>
    <w:rsid w:val="00CC516B"/>
    <w:rsid w:val="00CC5426"/>
    <w:rsid w:val="00CC56F4"/>
    <w:rsid w:val="00CC59AE"/>
    <w:rsid w:val="00CC5AE2"/>
    <w:rsid w:val="00CC5B22"/>
    <w:rsid w:val="00CC5C2F"/>
    <w:rsid w:val="00CC600A"/>
    <w:rsid w:val="00CC63EB"/>
    <w:rsid w:val="00CC6412"/>
    <w:rsid w:val="00CC66B9"/>
    <w:rsid w:val="00CC66D8"/>
    <w:rsid w:val="00CC69CF"/>
    <w:rsid w:val="00CC6B0D"/>
    <w:rsid w:val="00CC704E"/>
    <w:rsid w:val="00CC719A"/>
    <w:rsid w:val="00CC72D7"/>
    <w:rsid w:val="00CC7A09"/>
    <w:rsid w:val="00CC7A50"/>
    <w:rsid w:val="00CC7B7C"/>
    <w:rsid w:val="00CC7D5E"/>
    <w:rsid w:val="00CC7DF0"/>
    <w:rsid w:val="00CD0055"/>
    <w:rsid w:val="00CD07F3"/>
    <w:rsid w:val="00CD0BDF"/>
    <w:rsid w:val="00CD0C61"/>
    <w:rsid w:val="00CD0CDD"/>
    <w:rsid w:val="00CD0D05"/>
    <w:rsid w:val="00CD0E66"/>
    <w:rsid w:val="00CD0ECA"/>
    <w:rsid w:val="00CD12DE"/>
    <w:rsid w:val="00CD16F4"/>
    <w:rsid w:val="00CD183F"/>
    <w:rsid w:val="00CD18BA"/>
    <w:rsid w:val="00CD18BE"/>
    <w:rsid w:val="00CD196A"/>
    <w:rsid w:val="00CD1979"/>
    <w:rsid w:val="00CD1B96"/>
    <w:rsid w:val="00CD1C30"/>
    <w:rsid w:val="00CD1C89"/>
    <w:rsid w:val="00CD1D6A"/>
    <w:rsid w:val="00CD1E74"/>
    <w:rsid w:val="00CD2043"/>
    <w:rsid w:val="00CD205A"/>
    <w:rsid w:val="00CD22F6"/>
    <w:rsid w:val="00CD2306"/>
    <w:rsid w:val="00CD234B"/>
    <w:rsid w:val="00CD25E6"/>
    <w:rsid w:val="00CD2828"/>
    <w:rsid w:val="00CD2951"/>
    <w:rsid w:val="00CD2A1B"/>
    <w:rsid w:val="00CD2B95"/>
    <w:rsid w:val="00CD2C1D"/>
    <w:rsid w:val="00CD2C36"/>
    <w:rsid w:val="00CD2C42"/>
    <w:rsid w:val="00CD2D66"/>
    <w:rsid w:val="00CD318D"/>
    <w:rsid w:val="00CD321F"/>
    <w:rsid w:val="00CD34C7"/>
    <w:rsid w:val="00CD36A3"/>
    <w:rsid w:val="00CD36F1"/>
    <w:rsid w:val="00CD37C8"/>
    <w:rsid w:val="00CD3A17"/>
    <w:rsid w:val="00CD3A9F"/>
    <w:rsid w:val="00CD3AB2"/>
    <w:rsid w:val="00CD3B87"/>
    <w:rsid w:val="00CD3C43"/>
    <w:rsid w:val="00CD3D29"/>
    <w:rsid w:val="00CD3D81"/>
    <w:rsid w:val="00CD3E28"/>
    <w:rsid w:val="00CD4141"/>
    <w:rsid w:val="00CD4155"/>
    <w:rsid w:val="00CD42C1"/>
    <w:rsid w:val="00CD42D7"/>
    <w:rsid w:val="00CD4527"/>
    <w:rsid w:val="00CD4757"/>
    <w:rsid w:val="00CD476B"/>
    <w:rsid w:val="00CD4888"/>
    <w:rsid w:val="00CD4A06"/>
    <w:rsid w:val="00CD4AD5"/>
    <w:rsid w:val="00CD4B79"/>
    <w:rsid w:val="00CD4E24"/>
    <w:rsid w:val="00CD5130"/>
    <w:rsid w:val="00CD516B"/>
    <w:rsid w:val="00CD535D"/>
    <w:rsid w:val="00CD54DD"/>
    <w:rsid w:val="00CD5678"/>
    <w:rsid w:val="00CD5705"/>
    <w:rsid w:val="00CD5A71"/>
    <w:rsid w:val="00CD5B89"/>
    <w:rsid w:val="00CD5BD5"/>
    <w:rsid w:val="00CD5C21"/>
    <w:rsid w:val="00CD5E5B"/>
    <w:rsid w:val="00CD5FB4"/>
    <w:rsid w:val="00CD6092"/>
    <w:rsid w:val="00CD6298"/>
    <w:rsid w:val="00CD62CB"/>
    <w:rsid w:val="00CD6446"/>
    <w:rsid w:val="00CD653A"/>
    <w:rsid w:val="00CD67B8"/>
    <w:rsid w:val="00CD6905"/>
    <w:rsid w:val="00CD6AAB"/>
    <w:rsid w:val="00CD6CA2"/>
    <w:rsid w:val="00CD6DB0"/>
    <w:rsid w:val="00CD6F40"/>
    <w:rsid w:val="00CD6F8C"/>
    <w:rsid w:val="00CD708D"/>
    <w:rsid w:val="00CD7191"/>
    <w:rsid w:val="00CD735A"/>
    <w:rsid w:val="00CD738E"/>
    <w:rsid w:val="00CD73BC"/>
    <w:rsid w:val="00CD7414"/>
    <w:rsid w:val="00CD7679"/>
    <w:rsid w:val="00CD7811"/>
    <w:rsid w:val="00CD7861"/>
    <w:rsid w:val="00CD797E"/>
    <w:rsid w:val="00CD7B3B"/>
    <w:rsid w:val="00CD7C5A"/>
    <w:rsid w:val="00CD7DC4"/>
    <w:rsid w:val="00CD7E4B"/>
    <w:rsid w:val="00CD7F53"/>
    <w:rsid w:val="00CE01FB"/>
    <w:rsid w:val="00CE02AB"/>
    <w:rsid w:val="00CE040C"/>
    <w:rsid w:val="00CE0697"/>
    <w:rsid w:val="00CE0A8D"/>
    <w:rsid w:val="00CE0C1A"/>
    <w:rsid w:val="00CE0C47"/>
    <w:rsid w:val="00CE101C"/>
    <w:rsid w:val="00CE10A5"/>
    <w:rsid w:val="00CE17C4"/>
    <w:rsid w:val="00CE186B"/>
    <w:rsid w:val="00CE1961"/>
    <w:rsid w:val="00CE19AA"/>
    <w:rsid w:val="00CE1AA4"/>
    <w:rsid w:val="00CE1B40"/>
    <w:rsid w:val="00CE1B71"/>
    <w:rsid w:val="00CE1E0E"/>
    <w:rsid w:val="00CE1E58"/>
    <w:rsid w:val="00CE1EF2"/>
    <w:rsid w:val="00CE235B"/>
    <w:rsid w:val="00CE24B9"/>
    <w:rsid w:val="00CE2759"/>
    <w:rsid w:val="00CE2914"/>
    <w:rsid w:val="00CE296C"/>
    <w:rsid w:val="00CE2B23"/>
    <w:rsid w:val="00CE2B49"/>
    <w:rsid w:val="00CE2E70"/>
    <w:rsid w:val="00CE2FA6"/>
    <w:rsid w:val="00CE3046"/>
    <w:rsid w:val="00CE3074"/>
    <w:rsid w:val="00CE335A"/>
    <w:rsid w:val="00CE347C"/>
    <w:rsid w:val="00CE3621"/>
    <w:rsid w:val="00CE377C"/>
    <w:rsid w:val="00CE38B9"/>
    <w:rsid w:val="00CE39FD"/>
    <w:rsid w:val="00CE3AD7"/>
    <w:rsid w:val="00CE3F4B"/>
    <w:rsid w:val="00CE4129"/>
    <w:rsid w:val="00CE4211"/>
    <w:rsid w:val="00CE4871"/>
    <w:rsid w:val="00CE4A70"/>
    <w:rsid w:val="00CE4F20"/>
    <w:rsid w:val="00CE5066"/>
    <w:rsid w:val="00CE5068"/>
    <w:rsid w:val="00CE51E4"/>
    <w:rsid w:val="00CE529E"/>
    <w:rsid w:val="00CE5496"/>
    <w:rsid w:val="00CE54F2"/>
    <w:rsid w:val="00CE5580"/>
    <w:rsid w:val="00CE562D"/>
    <w:rsid w:val="00CE5701"/>
    <w:rsid w:val="00CE5889"/>
    <w:rsid w:val="00CE58D6"/>
    <w:rsid w:val="00CE590A"/>
    <w:rsid w:val="00CE5936"/>
    <w:rsid w:val="00CE5B74"/>
    <w:rsid w:val="00CE5BB9"/>
    <w:rsid w:val="00CE5CF3"/>
    <w:rsid w:val="00CE5D5A"/>
    <w:rsid w:val="00CE5ED4"/>
    <w:rsid w:val="00CE6093"/>
    <w:rsid w:val="00CE6293"/>
    <w:rsid w:val="00CE6313"/>
    <w:rsid w:val="00CE654D"/>
    <w:rsid w:val="00CE69C5"/>
    <w:rsid w:val="00CE69E4"/>
    <w:rsid w:val="00CE6B4B"/>
    <w:rsid w:val="00CE6D34"/>
    <w:rsid w:val="00CE70CA"/>
    <w:rsid w:val="00CE736D"/>
    <w:rsid w:val="00CE743D"/>
    <w:rsid w:val="00CE7759"/>
    <w:rsid w:val="00CE77F9"/>
    <w:rsid w:val="00CE787A"/>
    <w:rsid w:val="00CE7A30"/>
    <w:rsid w:val="00CE7F80"/>
    <w:rsid w:val="00CF0180"/>
    <w:rsid w:val="00CF06A8"/>
    <w:rsid w:val="00CF06F0"/>
    <w:rsid w:val="00CF06F4"/>
    <w:rsid w:val="00CF07B3"/>
    <w:rsid w:val="00CF09E1"/>
    <w:rsid w:val="00CF0A79"/>
    <w:rsid w:val="00CF0CAD"/>
    <w:rsid w:val="00CF0D08"/>
    <w:rsid w:val="00CF0EB7"/>
    <w:rsid w:val="00CF1375"/>
    <w:rsid w:val="00CF1636"/>
    <w:rsid w:val="00CF1B00"/>
    <w:rsid w:val="00CF204B"/>
    <w:rsid w:val="00CF2135"/>
    <w:rsid w:val="00CF22B3"/>
    <w:rsid w:val="00CF23C9"/>
    <w:rsid w:val="00CF273B"/>
    <w:rsid w:val="00CF275D"/>
    <w:rsid w:val="00CF283C"/>
    <w:rsid w:val="00CF2996"/>
    <w:rsid w:val="00CF2C3B"/>
    <w:rsid w:val="00CF2F53"/>
    <w:rsid w:val="00CF3104"/>
    <w:rsid w:val="00CF3163"/>
    <w:rsid w:val="00CF3290"/>
    <w:rsid w:val="00CF3313"/>
    <w:rsid w:val="00CF393B"/>
    <w:rsid w:val="00CF3A00"/>
    <w:rsid w:val="00CF3AFB"/>
    <w:rsid w:val="00CF3B22"/>
    <w:rsid w:val="00CF3BDD"/>
    <w:rsid w:val="00CF3C7A"/>
    <w:rsid w:val="00CF3DE7"/>
    <w:rsid w:val="00CF405E"/>
    <w:rsid w:val="00CF42A1"/>
    <w:rsid w:val="00CF44BA"/>
    <w:rsid w:val="00CF455F"/>
    <w:rsid w:val="00CF4718"/>
    <w:rsid w:val="00CF47F0"/>
    <w:rsid w:val="00CF48F0"/>
    <w:rsid w:val="00CF4948"/>
    <w:rsid w:val="00CF4A7A"/>
    <w:rsid w:val="00CF4B51"/>
    <w:rsid w:val="00CF4DB3"/>
    <w:rsid w:val="00CF4DBC"/>
    <w:rsid w:val="00CF4E19"/>
    <w:rsid w:val="00CF4E4C"/>
    <w:rsid w:val="00CF4EB0"/>
    <w:rsid w:val="00CF5075"/>
    <w:rsid w:val="00CF50D3"/>
    <w:rsid w:val="00CF5110"/>
    <w:rsid w:val="00CF515F"/>
    <w:rsid w:val="00CF52BC"/>
    <w:rsid w:val="00CF54B9"/>
    <w:rsid w:val="00CF5823"/>
    <w:rsid w:val="00CF5985"/>
    <w:rsid w:val="00CF5A65"/>
    <w:rsid w:val="00CF5ACE"/>
    <w:rsid w:val="00CF5DA3"/>
    <w:rsid w:val="00CF6063"/>
    <w:rsid w:val="00CF6149"/>
    <w:rsid w:val="00CF6153"/>
    <w:rsid w:val="00CF622F"/>
    <w:rsid w:val="00CF62CD"/>
    <w:rsid w:val="00CF665A"/>
    <w:rsid w:val="00CF686E"/>
    <w:rsid w:val="00CF6870"/>
    <w:rsid w:val="00CF6A5F"/>
    <w:rsid w:val="00CF6B75"/>
    <w:rsid w:val="00CF6C3F"/>
    <w:rsid w:val="00CF6D4E"/>
    <w:rsid w:val="00CF6F51"/>
    <w:rsid w:val="00CF6FBE"/>
    <w:rsid w:val="00CF7422"/>
    <w:rsid w:val="00CF7481"/>
    <w:rsid w:val="00CF75FB"/>
    <w:rsid w:val="00CF766B"/>
    <w:rsid w:val="00CF79C2"/>
    <w:rsid w:val="00CF79DB"/>
    <w:rsid w:val="00CF7D79"/>
    <w:rsid w:val="00CF7E77"/>
    <w:rsid w:val="00CF7EAB"/>
    <w:rsid w:val="00D00037"/>
    <w:rsid w:val="00D0031D"/>
    <w:rsid w:val="00D0039A"/>
    <w:rsid w:val="00D0056E"/>
    <w:rsid w:val="00D005AA"/>
    <w:rsid w:val="00D006A2"/>
    <w:rsid w:val="00D009FA"/>
    <w:rsid w:val="00D00A42"/>
    <w:rsid w:val="00D00C94"/>
    <w:rsid w:val="00D00DEF"/>
    <w:rsid w:val="00D00E63"/>
    <w:rsid w:val="00D011CD"/>
    <w:rsid w:val="00D011E0"/>
    <w:rsid w:val="00D0123B"/>
    <w:rsid w:val="00D01355"/>
    <w:rsid w:val="00D0141C"/>
    <w:rsid w:val="00D01542"/>
    <w:rsid w:val="00D01615"/>
    <w:rsid w:val="00D017AF"/>
    <w:rsid w:val="00D01A6D"/>
    <w:rsid w:val="00D01D74"/>
    <w:rsid w:val="00D01D95"/>
    <w:rsid w:val="00D01EE9"/>
    <w:rsid w:val="00D01F16"/>
    <w:rsid w:val="00D0226A"/>
    <w:rsid w:val="00D0231A"/>
    <w:rsid w:val="00D024E5"/>
    <w:rsid w:val="00D024F3"/>
    <w:rsid w:val="00D02B68"/>
    <w:rsid w:val="00D02D7C"/>
    <w:rsid w:val="00D02F0D"/>
    <w:rsid w:val="00D0310B"/>
    <w:rsid w:val="00D031CE"/>
    <w:rsid w:val="00D03336"/>
    <w:rsid w:val="00D0358E"/>
    <w:rsid w:val="00D036DE"/>
    <w:rsid w:val="00D03702"/>
    <w:rsid w:val="00D03716"/>
    <w:rsid w:val="00D03982"/>
    <w:rsid w:val="00D039FE"/>
    <w:rsid w:val="00D03A08"/>
    <w:rsid w:val="00D03B3E"/>
    <w:rsid w:val="00D03D13"/>
    <w:rsid w:val="00D0411F"/>
    <w:rsid w:val="00D04179"/>
    <w:rsid w:val="00D04231"/>
    <w:rsid w:val="00D04638"/>
    <w:rsid w:val="00D04667"/>
    <w:rsid w:val="00D049B8"/>
    <w:rsid w:val="00D04AB5"/>
    <w:rsid w:val="00D04B50"/>
    <w:rsid w:val="00D04C77"/>
    <w:rsid w:val="00D04F2A"/>
    <w:rsid w:val="00D04F47"/>
    <w:rsid w:val="00D04FEF"/>
    <w:rsid w:val="00D051F7"/>
    <w:rsid w:val="00D054FD"/>
    <w:rsid w:val="00D055B2"/>
    <w:rsid w:val="00D0564A"/>
    <w:rsid w:val="00D0580B"/>
    <w:rsid w:val="00D05859"/>
    <w:rsid w:val="00D05925"/>
    <w:rsid w:val="00D05933"/>
    <w:rsid w:val="00D05B02"/>
    <w:rsid w:val="00D05BA1"/>
    <w:rsid w:val="00D05BDD"/>
    <w:rsid w:val="00D05F18"/>
    <w:rsid w:val="00D05F66"/>
    <w:rsid w:val="00D060CB"/>
    <w:rsid w:val="00D0622E"/>
    <w:rsid w:val="00D062BB"/>
    <w:rsid w:val="00D06379"/>
    <w:rsid w:val="00D066A8"/>
    <w:rsid w:val="00D067BE"/>
    <w:rsid w:val="00D06802"/>
    <w:rsid w:val="00D06811"/>
    <w:rsid w:val="00D06920"/>
    <w:rsid w:val="00D06BBD"/>
    <w:rsid w:val="00D06C69"/>
    <w:rsid w:val="00D06D69"/>
    <w:rsid w:val="00D06E8B"/>
    <w:rsid w:val="00D070F0"/>
    <w:rsid w:val="00D07226"/>
    <w:rsid w:val="00D0726D"/>
    <w:rsid w:val="00D0746D"/>
    <w:rsid w:val="00D075B2"/>
    <w:rsid w:val="00D07883"/>
    <w:rsid w:val="00D07AAC"/>
    <w:rsid w:val="00D07C19"/>
    <w:rsid w:val="00D1000B"/>
    <w:rsid w:val="00D10112"/>
    <w:rsid w:val="00D1017C"/>
    <w:rsid w:val="00D10202"/>
    <w:rsid w:val="00D1033F"/>
    <w:rsid w:val="00D10459"/>
    <w:rsid w:val="00D105A9"/>
    <w:rsid w:val="00D106DD"/>
    <w:rsid w:val="00D10A81"/>
    <w:rsid w:val="00D10AE9"/>
    <w:rsid w:val="00D10B4B"/>
    <w:rsid w:val="00D10B8C"/>
    <w:rsid w:val="00D10B91"/>
    <w:rsid w:val="00D110F2"/>
    <w:rsid w:val="00D1117F"/>
    <w:rsid w:val="00D1125B"/>
    <w:rsid w:val="00D113D8"/>
    <w:rsid w:val="00D114B7"/>
    <w:rsid w:val="00D1165A"/>
    <w:rsid w:val="00D117FF"/>
    <w:rsid w:val="00D11B64"/>
    <w:rsid w:val="00D11B7B"/>
    <w:rsid w:val="00D11EA5"/>
    <w:rsid w:val="00D11ECF"/>
    <w:rsid w:val="00D12073"/>
    <w:rsid w:val="00D12510"/>
    <w:rsid w:val="00D12592"/>
    <w:rsid w:val="00D125CF"/>
    <w:rsid w:val="00D12AC4"/>
    <w:rsid w:val="00D12C6A"/>
    <w:rsid w:val="00D12D31"/>
    <w:rsid w:val="00D12D4D"/>
    <w:rsid w:val="00D12DE8"/>
    <w:rsid w:val="00D13486"/>
    <w:rsid w:val="00D134A3"/>
    <w:rsid w:val="00D1359A"/>
    <w:rsid w:val="00D136BB"/>
    <w:rsid w:val="00D136DD"/>
    <w:rsid w:val="00D139D0"/>
    <w:rsid w:val="00D13A45"/>
    <w:rsid w:val="00D13BF6"/>
    <w:rsid w:val="00D13CD7"/>
    <w:rsid w:val="00D13D10"/>
    <w:rsid w:val="00D13D14"/>
    <w:rsid w:val="00D13D38"/>
    <w:rsid w:val="00D145E8"/>
    <w:rsid w:val="00D1474F"/>
    <w:rsid w:val="00D1478A"/>
    <w:rsid w:val="00D1480B"/>
    <w:rsid w:val="00D1488F"/>
    <w:rsid w:val="00D14A29"/>
    <w:rsid w:val="00D14D62"/>
    <w:rsid w:val="00D15123"/>
    <w:rsid w:val="00D151D0"/>
    <w:rsid w:val="00D1521F"/>
    <w:rsid w:val="00D1522E"/>
    <w:rsid w:val="00D15326"/>
    <w:rsid w:val="00D15ABE"/>
    <w:rsid w:val="00D15B21"/>
    <w:rsid w:val="00D15CFB"/>
    <w:rsid w:val="00D15DF2"/>
    <w:rsid w:val="00D15E0D"/>
    <w:rsid w:val="00D15E89"/>
    <w:rsid w:val="00D161C8"/>
    <w:rsid w:val="00D16508"/>
    <w:rsid w:val="00D165F8"/>
    <w:rsid w:val="00D16667"/>
    <w:rsid w:val="00D166B5"/>
    <w:rsid w:val="00D16746"/>
    <w:rsid w:val="00D16C35"/>
    <w:rsid w:val="00D16C5D"/>
    <w:rsid w:val="00D16DD9"/>
    <w:rsid w:val="00D1713C"/>
    <w:rsid w:val="00D1737B"/>
    <w:rsid w:val="00D173B9"/>
    <w:rsid w:val="00D174A5"/>
    <w:rsid w:val="00D17530"/>
    <w:rsid w:val="00D17578"/>
    <w:rsid w:val="00D177BB"/>
    <w:rsid w:val="00D1781F"/>
    <w:rsid w:val="00D179AA"/>
    <w:rsid w:val="00D17AF2"/>
    <w:rsid w:val="00D17D17"/>
    <w:rsid w:val="00D17E6E"/>
    <w:rsid w:val="00D17F58"/>
    <w:rsid w:val="00D17FD1"/>
    <w:rsid w:val="00D20020"/>
    <w:rsid w:val="00D2003B"/>
    <w:rsid w:val="00D200BE"/>
    <w:rsid w:val="00D203A3"/>
    <w:rsid w:val="00D2040E"/>
    <w:rsid w:val="00D20453"/>
    <w:rsid w:val="00D20728"/>
    <w:rsid w:val="00D207AE"/>
    <w:rsid w:val="00D20C00"/>
    <w:rsid w:val="00D20CA5"/>
    <w:rsid w:val="00D20CE9"/>
    <w:rsid w:val="00D20DF7"/>
    <w:rsid w:val="00D20F40"/>
    <w:rsid w:val="00D21299"/>
    <w:rsid w:val="00D213A3"/>
    <w:rsid w:val="00D2175A"/>
    <w:rsid w:val="00D2180C"/>
    <w:rsid w:val="00D21825"/>
    <w:rsid w:val="00D218AB"/>
    <w:rsid w:val="00D21966"/>
    <w:rsid w:val="00D21C06"/>
    <w:rsid w:val="00D21E38"/>
    <w:rsid w:val="00D22017"/>
    <w:rsid w:val="00D22666"/>
    <w:rsid w:val="00D2268D"/>
    <w:rsid w:val="00D22701"/>
    <w:rsid w:val="00D2294D"/>
    <w:rsid w:val="00D229D6"/>
    <w:rsid w:val="00D22D3B"/>
    <w:rsid w:val="00D22EFF"/>
    <w:rsid w:val="00D22F0E"/>
    <w:rsid w:val="00D22F58"/>
    <w:rsid w:val="00D2335E"/>
    <w:rsid w:val="00D2353B"/>
    <w:rsid w:val="00D23771"/>
    <w:rsid w:val="00D2388D"/>
    <w:rsid w:val="00D23A0F"/>
    <w:rsid w:val="00D23CFF"/>
    <w:rsid w:val="00D240D3"/>
    <w:rsid w:val="00D241DA"/>
    <w:rsid w:val="00D2423E"/>
    <w:rsid w:val="00D242C7"/>
    <w:rsid w:val="00D242F1"/>
    <w:rsid w:val="00D24361"/>
    <w:rsid w:val="00D243FC"/>
    <w:rsid w:val="00D2443E"/>
    <w:rsid w:val="00D24BCF"/>
    <w:rsid w:val="00D24D14"/>
    <w:rsid w:val="00D24DB6"/>
    <w:rsid w:val="00D24F56"/>
    <w:rsid w:val="00D25079"/>
    <w:rsid w:val="00D25108"/>
    <w:rsid w:val="00D252D3"/>
    <w:rsid w:val="00D25395"/>
    <w:rsid w:val="00D25733"/>
    <w:rsid w:val="00D25841"/>
    <w:rsid w:val="00D258F6"/>
    <w:rsid w:val="00D258F7"/>
    <w:rsid w:val="00D25944"/>
    <w:rsid w:val="00D259A0"/>
    <w:rsid w:val="00D259F1"/>
    <w:rsid w:val="00D25C9A"/>
    <w:rsid w:val="00D25E5D"/>
    <w:rsid w:val="00D262CF"/>
    <w:rsid w:val="00D263D4"/>
    <w:rsid w:val="00D2643C"/>
    <w:rsid w:val="00D26556"/>
    <w:rsid w:val="00D266AC"/>
    <w:rsid w:val="00D266C7"/>
    <w:rsid w:val="00D2699D"/>
    <w:rsid w:val="00D269EC"/>
    <w:rsid w:val="00D26B19"/>
    <w:rsid w:val="00D26CA7"/>
    <w:rsid w:val="00D27367"/>
    <w:rsid w:val="00D2775F"/>
    <w:rsid w:val="00D2790C"/>
    <w:rsid w:val="00D2794B"/>
    <w:rsid w:val="00D2794F"/>
    <w:rsid w:val="00D27AB9"/>
    <w:rsid w:val="00D27D60"/>
    <w:rsid w:val="00D27DA3"/>
    <w:rsid w:val="00D27F7F"/>
    <w:rsid w:val="00D27F96"/>
    <w:rsid w:val="00D27FE5"/>
    <w:rsid w:val="00D300A2"/>
    <w:rsid w:val="00D30300"/>
    <w:rsid w:val="00D303EA"/>
    <w:rsid w:val="00D304CC"/>
    <w:rsid w:val="00D306A9"/>
    <w:rsid w:val="00D3071B"/>
    <w:rsid w:val="00D307F3"/>
    <w:rsid w:val="00D3084C"/>
    <w:rsid w:val="00D30ADE"/>
    <w:rsid w:val="00D30CDB"/>
    <w:rsid w:val="00D30E7E"/>
    <w:rsid w:val="00D30F82"/>
    <w:rsid w:val="00D31061"/>
    <w:rsid w:val="00D3117B"/>
    <w:rsid w:val="00D3117D"/>
    <w:rsid w:val="00D312E0"/>
    <w:rsid w:val="00D312E5"/>
    <w:rsid w:val="00D31601"/>
    <w:rsid w:val="00D31764"/>
    <w:rsid w:val="00D31A58"/>
    <w:rsid w:val="00D31C10"/>
    <w:rsid w:val="00D31C8B"/>
    <w:rsid w:val="00D31EB9"/>
    <w:rsid w:val="00D31F2A"/>
    <w:rsid w:val="00D31F71"/>
    <w:rsid w:val="00D32011"/>
    <w:rsid w:val="00D321B9"/>
    <w:rsid w:val="00D322FB"/>
    <w:rsid w:val="00D323F4"/>
    <w:rsid w:val="00D3279F"/>
    <w:rsid w:val="00D327F3"/>
    <w:rsid w:val="00D33186"/>
    <w:rsid w:val="00D331AF"/>
    <w:rsid w:val="00D33359"/>
    <w:rsid w:val="00D334F3"/>
    <w:rsid w:val="00D336F0"/>
    <w:rsid w:val="00D33748"/>
    <w:rsid w:val="00D33897"/>
    <w:rsid w:val="00D33911"/>
    <w:rsid w:val="00D339F0"/>
    <w:rsid w:val="00D341F6"/>
    <w:rsid w:val="00D34229"/>
    <w:rsid w:val="00D34245"/>
    <w:rsid w:val="00D343D3"/>
    <w:rsid w:val="00D3447E"/>
    <w:rsid w:val="00D344BE"/>
    <w:rsid w:val="00D34565"/>
    <w:rsid w:val="00D34730"/>
    <w:rsid w:val="00D34855"/>
    <w:rsid w:val="00D34913"/>
    <w:rsid w:val="00D3493F"/>
    <w:rsid w:val="00D34A60"/>
    <w:rsid w:val="00D34B32"/>
    <w:rsid w:val="00D34DC7"/>
    <w:rsid w:val="00D34FCD"/>
    <w:rsid w:val="00D3511C"/>
    <w:rsid w:val="00D352A3"/>
    <w:rsid w:val="00D3537D"/>
    <w:rsid w:val="00D35647"/>
    <w:rsid w:val="00D3569B"/>
    <w:rsid w:val="00D3578A"/>
    <w:rsid w:val="00D357AF"/>
    <w:rsid w:val="00D357ED"/>
    <w:rsid w:val="00D35AEC"/>
    <w:rsid w:val="00D35B14"/>
    <w:rsid w:val="00D35B58"/>
    <w:rsid w:val="00D35B5A"/>
    <w:rsid w:val="00D35D5C"/>
    <w:rsid w:val="00D35E34"/>
    <w:rsid w:val="00D35E76"/>
    <w:rsid w:val="00D35FA4"/>
    <w:rsid w:val="00D36009"/>
    <w:rsid w:val="00D364F3"/>
    <w:rsid w:val="00D3652F"/>
    <w:rsid w:val="00D366A8"/>
    <w:rsid w:val="00D366C2"/>
    <w:rsid w:val="00D366C6"/>
    <w:rsid w:val="00D3670B"/>
    <w:rsid w:val="00D36796"/>
    <w:rsid w:val="00D3699E"/>
    <w:rsid w:val="00D36AC6"/>
    <w:rsid w:val="00D36C84"/>
    <w:rsid w:val="00D371DE"/>
    <w:rsid w:val="00D372BA"/>
    <w:rsid w:val="00D37367"/>
    <w:rsid w:val="00D373EC"/>
    <w:rsid w:val="00D374B7"/>
    <w:rsid w:val="00D37686"/>
    <w:rsid w:val="00D376E8"/>
    <w:rsid w:val="00D377B0"/>
    <w:rsid w:val="00D377EF"/>
    <w:rsid w:val="00D3793B"/>
    <w:rsid w:val="00D37B29"/>
    <w:rsid w:val="00D37D36"/>
    <w:rsid w:val="00D37E22"/>
    <w:rsid w:val="00D37F3C"/>
    <w:rsid w:val="00D37F78"/>
    <w:rsid w:val="00D37FC2"/>
    <w:rsid w:val="00D403D8"/>
    <w:rsid w:val="00D40519"/>
    <w:rsid w:val="00D40535"/>
    <w:rsid w:val="00D407FB"/>
    <w:rsid w:val="00D40A82"/>
    <w:rsid w:val="00D40E72"/>
    <w:rsid w:val="00D40E92"/>
    <w:rsid w:val="00D4112B"/>
    <w:rsid w:val="00D4115F"/>
    <w:rsid w:val="00D41532"/>
    <w:rsid w:val="00D41674"/>
    <w:rsid w:val="00D41721"/>
    <w:rsid w:val="00D4182D"/>
    <w:rsid w:val="00D419BF"/>
    <w:rsid w:val="00D41E16"/>
    <w:rsid w:val="00D420A4"/>
    <w:rsid w:val="00D42118"/>
    <w:rsid w:val="00D42E6E"/>
    <w:rsid w:val="00D42F43"/>
    <w:rsid w:val="00D43165"/>
    <w:rsid w:val="00D43186"/>
    <w:rsid w:val="00D4332F"/>
    <w:rsid w:val="00D43384"/>
    <w:rsid w:val="00D43516"/>
    <w:rsid w:val="00D43580"/>
    <w:rsid w:val="00D43629"/>
    <w:rsid w:val="00D43877"/>
    <w:rsid w:val="00D43D19"/>
    <w:rsid w:val="00D43EB9"/>
    <w:rsid w:val="00D43EDB"/>
    <w:rsid w:val="00D44129"/>
    <w:rsid w:val="00D4435A"/>
    <w:rsid w:val="00D448E9"/>
    <w:rsid w:val="00D44C4F"/>
    <w:rsid w:val="00D44FA3"/>
    <w:rsid w:val="00D4537E"/>
    <w:rsid w:val="00D4539F"/>
    <w:rsid w:val="00D4557B"/>
    <w:rsid w:val="00D456D1"/>
    <w:rsid w:val="00D457C7"/>
    <w:rsid w:val="00D45816"/>
    <w:rsid w:val="00D45885"/>
    <w:rsid w:val="00D45968"/>
    <w:rsid w:val="00D45BC2"/>
    <w:rsid w:val="00D45D7A"/>
    <w:rsid w:val="00D45DE8"/>
    <w:rsid w:val="00D46070"/>
    <w:rsid w:val="00D46128"/>
    <w:rsid w:val="00D46198"/>
    <w:rsid w:val="00D4631F"/>
    <w:rsid w:val="00D46334"/>
    <w:rsid w:val="00D463D7"/>
    <w:rsid w:val="00D463E2"/>
    <w:rsid w:val="00D4646F"/>
    <w:rsid w:val="00D46861"/>
    <w:rsid w:val="00D468BE"/>
    <w:rsid w:val="00D46A35"/>
    <w:rsid w:val="00D46C8B"/>
    <w:rsid w:val="00D46CA5"/>
    <w:rsid w:val="00D46CBB"/>
    <w:rsid w:val="00D46D62"/>
    <w:rsid w:val="00D46E98"/>
    <w:rsid w:val="00D46EEE"/>
    <w:rsid w:val="00D46FBC"/>
    <w:rsid w:val="00D47192"/>
    <w:rsid w:val="00D472FB"/>
    <w:rsid w:val="00D47331"/>
    <w:rsid w:val="00D475A1"/>
    <w:rsid w:val="00D4785B"/>
    <w:rsid w:val="00D478BA"/>
    <w:rsid w:val="00D47A5D"/>
    <w:rsid w:val="00D47BBA"/>
    <w:rsid w:val="00D47C3B"/>
    <w:rsid w:val="00D47CF6"/>
    <w:rsid w:val="00D47DC7"/>
    <w:rsid w:val="00D47E1F"/>
    <w:rsid w:val="00D47F4A"/>
    <w:rsid w:val="00D501C3"/>
    <w:rsid w:val="00D5029C"/>
    <w:rsid w:val="00D50683"/>
    <w:rsid w:val="00D506E7"/>
    <w:rsid w:val="00D5070F"/>
    <w:rsid w:val="00D50BA8"/>
    <w:rsid w:val="00D50D91"/>
    <w:rsid w:val="00D51101"/>
    <w:rsid w:val="00D51432"/>
    <w:rsid w:val="00D514A4"/>
    <w:rsid w:val="00D5158D"/>
    <w:rsid w:val="00D515E4"/>
    <w:rsid w:val="00D51673"/>
    <w:rsid w:val="00D51827"/>
    <w:rsid w:val="00D51B39"/>
    <w:rsid w:val="00D51D0B"/>
    <w:rsid w:val="00D51E71"/>
    <w:rsid w:val="00D51FD6"/>
    <w:rsid w:val="00D520D5"/>
    <w:rsid w:val="00D5223B"/>
    <w:rsid w:val="00D52445"/>
    <w:rsid w:val="00D526B2"/>
    <w:rsid w:val="00D526F8"/>
    <w:rsid w:val="00D5270A"/>
    <w:rsid w:val="00D527CE"/>
    <w:rsid w:val="00D5297D"/>
    <w:rsid w:val="00D52B7D"/>
    <w:rsid w:val="00D52CA9"/>
    <w:rsid w:val="00D535D1"/>
    <w:rsid w:val="00D536D7"/>
    <w:rsid w:val="00D537AE"/>
    <w:rsid w:val="00D537BC"/>
    <w:rsid w:val="00D538EC"/>
    <w:rsid w:val="00D53985"/>
    <w:rsid w:val="00D53B0A"/>
    <w:rsid w:val="00D53B41"/>
    <w:rsid w:val="00D53B9E"/>
    <w:rsid w:val="00D53BD3"/>
    <w:rsid w:val="00D53D5D"/>
    <w:rsid w:val="00D53E54"/>
    <w:rsid w:val="00D53E81"/>
    <w:rsid w:val="00D53ECE"/>
    <w:rsid w:val="00D5411C"/>
    <w:rsid w:val="00D541A7"/>
    <w:rsid w:val="00D54281"/>
    <w:rsid w:val="00D54637"/>
    <w:rsid w:val="00D54729"/>
    <w:rsid w:val="00D54748"/>
    <w:rsid w:val="00D54768"/>
    <w:rsid w:val="00D547CF"/>
    <w:rsid w:val="00D547F2"/>
    <w:rsid w:val="00D54893"/>
    <w:rsid w:val="00D549A5"/>
    <w:rsid w:val="00D54C76"/>
    <w:rsid w:val="00D55043"/>
    <w:rsid w:val="00D55120"/>
    <w:rsid w:val="00D55299"/>
    <w:rsid w:val="00D552D1"/>
    <w:rsid w:val="00D554FF"/>
    <w:rsid w:val="00D559EC"/>
    <w:rsid w:val="00D55BE6"/>
    <w:rsid w:val="00D55CB1"/>
    <w:rsid w:val="00D55F90"/>
    <w:rsid w:val="00D56271"/>
    <w:rsid w:val="00D56394"/>
    <w:rsid w:val="00D563B2"/>
    <w:rsid w:val="00D565A6"/>
    <w:rsid w:val="00D56656"/>
    <w:rsid w:val="00D56662"/>
    <w:rsid w:val="00D56678"/>
    <w:rsid w:val="00D56B09"/>
    <w:rsid w:val="00D56B65"/>
    <w:rsid w:val="00D56BB5"/>
    <w:rsid w:val="00D56BF0"/>
    <w:rsid w:val="00D56CA3"/>
    <w:rsid w:val="00D56DA3"/>
    <w:rsid w:val="00D56FDE"/>
    <w:rsid w:val="00D57036"/>
    <w:rsid w:val="00D576D8"/>
    <w:rsid w:val="00D57703"/>
    <w:rsid w:val="00D5775F"/>
    <w:rsid w:val="00D5786E"/>
    <w:rsid w:val="00D57A4A"/>
    <w:rsid w:val="00D57BA4"/>
    <w:rsid w:val="00D57CE6"/>
    <w:rsid w:val="00D57CEA"/>
    <w:rsid w:val="00D57E77"/>
    <w:rsid w:val="00D57EF5"/>
    <w:rsid w:val="00D57F97"/>
    <w:rsid w:val="00D600DB"/>
    <w:rsid w:val="00D60213"/>
    <w:rsid w:val="00D60284"/>
    <w:rsid w:val="00D60404"/>
    <w:rsid w:val="00D60643"/>
    <w:rsid w:val="00D606D4"/>
    <w:rsid w:val="00D60A61"/>
    <w:rsid w:val="00D60C84"/>
    <w:rsid w:val="00D60CCE"/>
    <w:rsid w:val="00D60F24"/>
    <w:rsid w:val="00D60F2E"/>
    <w:rsid w:val="00D60F6F"/>
    <w:rsid w:val="00D60FA1"/>
    <w:rsid w:val="00D61126"/>
    <w:rsid w:val="00D61332"/>
    <w:rsid w:val="00D6144F"/>
    <w:rsid w:val="00D6164D"/>
    <w:rsid w:val="00D61683"/>
    <w:rsid w:val="00D616E4"/>
    <w:rsid w:val="00D61B49"/>
    <w:rsid w:val="00D61B7A"/>
    <w:rsid w:val="00D61C7B"/>
    <w:rsid w:val="00D61CE0"/>
    <w:rsid w:val="00D620AA"/>
    <w:rsid w:val="00D62144"/>
    <w:rsid w:val="00D623F6"/>
    <w:rsid w:val="00D6242D"/>
    <w:rsid w:val="00D6247F"/>
    <w:rsid w:val="00D6272C"/>
    <w:rsid w:val="00D62A35"/>
    <w:rsid w:val="00D62C0F"/>
    <w:rsid w:val="00D62C99"/>
    <w:rsid w:val="00D62D4D"/>
    <w:rsid w:val="00D62D6B"/>
    <w:rsid w:val="00D62D6C"/>
    <w:rsid w:val="00D62F45"/>
    <w:rsid w:val="00D630AC"/>
    <w:rsid w:val="00D63320"/>
    <w:rsid w:val="00D63A1D"/>
    <w:rsid w:val="00D63C48"/>
    <w:rsid w:val="00D63D00"/>
    <w:rsid w:val="00D63F91"/>
    <w:rsid w:val="00D640AE"/>
    <w:rsid w:val="00D640DF"/>
    <w:rsid w:val="00D64164"/>
    <w:rsid w:val="00D643DC"/>
    <w:rsid w:val="00D64797"/>
    <w:rsid w:val="00D64B4C"/>
    <w:rsid w:val="00D64B74"/>
    <w:rsid w:val="00D6510A"/>
    <w:rsid w:val="00D651B8"/>
    <w:rsid w:val="00D6532B"/>
    <w:rsid w:val="00D6546F"/>
    <w:rsid w:val="00D654F3"/>
    <w:rsid w:val="00D6554E"/>
    <w:rsid w:val="00D655F8"/>
    <w:rsid w:val="00D6566F"/>
    <w:rsid w:val="00D65682"/>
    <w:rsid w:val="00D65756"/>
    <w:rsid w:val="00D65763"/>
    <w:rsid w:val="00D6593A"/>
    <w:rsid w:val="00D659FE"/>
    <w:rsid w:val="00D65B20"/>
    <w:rsid w:val="00D65BD3"/>
    <w:rsid w:val="00D65CFE"/>
    <w:rsid w:val="00D65E16"/>
    <w:rsid w:val="00D65E8C"/>
    <w:rsid w:val="00D65F88"/>
    <w:rsid w:val="00D66203"/>
    <w:rsid w:val="00D66230"/>
    <w:rsid w:val="00D6623F"/>
    <w:rsid w:val="00D66496"/>
    <w:rsid w:val="00D66672"/>
    <w:rsid w:val="00D666BF"/>
    <w:rsid w:val="00D66735"/>
    <w:rsid w:val="00D66A1F"/>
    <w:rsid w:val="00D66A39"/>
    <w:rsid w:val="00D66B81"/>
    <w:rsid w:val="00D66C92"/>
    <w:rsid w:val="00D66E51"/>
    <w:rsid w:val="00D66E68"/>
    <w:rsid w:val="00D66FF6"/>
    <w:rsid w:val="00D6705B"/>
    <w:rsid w:val="00D670DC"/>
    <w:rsid w:val="00D6711E"/>
    <w:rsid w:val="00D67550"/>
    <w:rsid w:val="00D6758A"/>
    <w:rsid w:val="00D6776E"/>
    <w:rsid w:val="00D67839"/>
    <w:rsid w:val="00D67A31"/>
    <w:rsid w:val="00D67B43"/>
    <w:rsid w:val="00D67BB0"/>
    <w:rsid w:val="00D67C18"/>
    <w:rsid w:val="00D67C25"/>
    <w:rsid w:val="00D67D8A"/>
    <w:rsid w:val="00D70092"/>
    <w:rsid w:val="00D700C4"/>
    <w:rsid w:val="00D700CE"/>
    <w:rsid w:val="00D70478"/>
    <w:rsid w:val="00D70687"/>
    <w:rsid w:val="00D7076D"/>
    <w:rsid w:val="00D70918"/>
    <w:rsid w:val="00D70D3F"/>
    <w:rsid w:val="00D70FB4"/>
    <w:rsid w:val="00D71081"/>
    <w:rsid w:val="00D71165"/>
    <w:rsid w:val="00D712A4"/>
    <w:rsid w:val="00D717A2"/>
    <w:rsid w:val="00D71BF8"/>
    <w:rsid w:val="00D71C4E"/>
    <w:rsid w:val="00D72147"/>
    <w:rsid w:val="00D7237B"/>
    <w:rsid w:val="00D724EE"/>
    <w:rsid w:val="00D725ED"/>
    <w:rsid w:val="00D72799"/>
    <w:rsid w:val="00D72E61"/>
    <w:rsid w:val="00D72F9B"/>
    <w:rsid w:val="00D73009"/>
    <w:rsid w:val="00D7345C"/>
    <w:rsid w:val="00D734DD"/>
    <w:rsid w:val="00D738C7"/>
    <w:rsid w:val="00D739EC"/>
    <w:rsid w:val="00D73A89"/>
    <w:rsid w:val="00D73B83"/>
    <w:rsid w:val="00D73BAC"/>
    <w:rsid w:val="00D73D60"/>
    <w:rsid w:val="00D73ED7"/>
    <w:rsid w:val="00D73F99"/>
    <w:rsid w:val="00D74055"/>
    <w:rsid w:val="00D74134"/>
    <w:rsid w:val="00D7423F"/>
    <w:rsid w:val="00D742D2"/>
    <w:rsid w:val="00D744BC"/>
    <w:rsid w:val="00D74509"/>
    <w:rsid w:val="00D7460E"/>
    <w:rsid w:val="00D746BA"/>
    <w:rsid w:val="00D7473E"/>
    <w:rsid w:val="00D7475B"/>
    <w:rsid w:val="00D74887"/>
    <w:rsid w:val="00D74A71"/>
    <w:rsid w:val="00D74FAD"/>
    <w:rsid w:val="00D750D6"/>
    <w:rsid w:val="00D7525C"/>
    <w:rsid w:val="00D756DD"/>
    <w:rsid w:val="00D7589B"/>
    <w:rsid w:val="00D759A4"/>
    <w:rsid w:val="00D75CCB"/>
    <w:rsid w:val="00D75D2A"/>
    <w:rsid w:val="00D75EB5"/>
    <w:rsid w:val="00D76081"/>
    <w:rsid w:val="00D76168"/>
    <w:rsid w:val="00D7621A"/>
    <w:rsid w:val="00D7623B"/>
    <w:rsid w:val="00D76324"/>
    <w:rsid w:val="00D765E7"/>
    <w:rsid w:val="00D76676"/>
    <w:rsid w:val="00D7689C"/>
    <w:rsid w:val="00D768A9"/>
    <w:rsid w:val="00D769A2"/>
    <w:rsid w:val="00D769A7"/>
    <w:rsid w:val="00D76B06"/>
    <w:rsid w:val="00D76C51"/>
    <w:rsid w:val="00D76E33"/>
    <w:rsid w:val="00D77062"/>
    <w:rsid w:val="00D770A4"/>
    <w:rsid w:val="00D7727A"/>
    <w:rsid w:val="00D772D6"/>
    <w:rsid w:val="00D77372"/>
    <w:rsid w:val="00D77577"/>
    <w:rsid w:val="00D77794"/>
    <w:rsid w:val="00D778BA"/>
    <w:rsid w:val="00D77A71"/>
    <w:rsid w:val="00D77C23"/>
    <w:rsid w:val="00D77DAF"/>
    <w:rsid w:val="00D77F32"/>
    <w:rsid w:val="00D77FA3"/>
    <w:rsid w:val="00D8058C"/>
    <w:rsid w:val="00D8059C"/>
    <w:rsid w:val="00D805A6"/>
    <w:rsid w:val="00D80674"/>
    <w:rsid w:val="00D806FB"/>
    <w:rsid w:val="00D8075C"/>
    <w:rsid w:val="00D8092C"/>
    <w:rsid w:val="00D80BD9"/>
    <w:rsid w:val="00D80BFA"/>
    <w:rsid w:val="00D80C4E"/>
    <w:rsid w:val="00D80CEA"/>
    <w:rsid w:val="00D80D67"/>
    <w:rsid w:val="00D80E7A"/>
    <w:rsid w:val="00D80FD8"/>
    <w:rsid w:val="00D81023"/>
    <w:rsid w:val="00D810F4"/>
    <w:rsid w:val="00D811E1"/>
    <w:rsid w:val="00D81326"/>
    <w:rsid w:val="00D81555"/>
    <w:rsid w:val="00D816A7"/>
    <w:rsid w:val="00D81939"/>
    <w:rsid w:val="00D81DB6"/>
    <w:rsid w:val="00D81DF2"/>
    <w:rsid w:val="00D81E0E"/>
    <w:rsid w:val="00D8229D"/>
    <w:rsid w:val="00D82342"/>
    <w:rsid w:val="00D8235F"/>
    <w:rsid w:val="00D82553"/>
    <w:rsid w:val="00D827F1"/>
    <w:rsid w:val="00D8283E"/>
    <w:rsid w:val="00D82963"/>
    <w:rsid w:val="00D82995"/>
    <w:rsid w:val="00D82A6A"/>
    <w:rsid w:val="00D82EAD"/>
    <w:rsid w:val="00D82F06"/>
    <w:rsid w:val="00D82F5F"/>
    <w:rsid w:val="00D82FCD"/>
    <w:rsid w:val="00D8308B"/>
    <w:rsid w:val="00D83165"/>
    <w:rsid w:val="00D83327"/>
    <w:rsid w:val="00D83475"/>
    <w:rsid w:val="00D838C0"/>
    <w:rsid w:val="00D8398B"/>
    <w:rsid w:val="00D839D5"/>
    <w:rsid w:val="00D83D59"/>
    <w:rsid w:val="00D83ED6"/>
    <w:rsid w:val="00D83FF9"/>
    <w:rsid w:val="00D8404E"/>
    <w:rsid w:val="00D84097"/>
    <w:rsid w:val="00D841A6"/>
    <w:rsid w:val="00D841C5"/>
    <w:rsid w:val="00D8425C"/>
    <w:rsid w:val="00D842A2"/>
    <w:rsid w:val="00D844F0"/>
    <w:rsid w:val="00D84628"/>
    <w:rsid w:val="00D846AE"/>
    <w:rsid w:val="00D84770"/>
    <w:rsid w:val="00D8491A"/>
    <w:rsid w:val="00D84A0F"/>
    <w:rsid w:val="00D84AE2"/>
    <w:rsid w:val="00D84C4D"/>
    <w:rsid w:val="00D84CA9"/>
    <w:rsid w:val="00D84D54"/>
    <w:rsid w:val="00D85127"/>
    <w:rsid w:val="00D85783"/>
    <w:rsid w:val="00D8587B"/>
    <w:rsid w:val="00D85B50"/>
    <w:rsid w:val="00D85D14"/>
    <w:rsid w:val="00D85D70"/>
    <w:rsid w:val="00D86179"/>
    <w:rsid w:val="00D861FE"/>
    <w:rsid w:val="00D86443"/>
    <w:rsid w:val="00D864B7"/>
    <w:rsid w:val="00D86579"/>
    <w:rsid w:val="00D865B8"/>
    <w:rsid w:val="00D86644"/>
    <w:rsid w:val="00D866F0"/>
    <w:rsid w:val="00D86716"/>
    <w:rsid w:val="00D86778"/>
    <w:rsid w:val="00D868ED"/>
    <w:rsid w:val="00D86BB6"/>
    <w:rsid w:val="00D86CB8"/>
    <w:rsid w:val="00D86EAF"/>
    <w:rsid w:val="00D86ED7"/>
    <w:rsid w:val="00D86EEA"/>
    <w:rsid w:val="00D8706B"/>
    <w:rsid w:val="00D871F3"/>
    <w:rsid w:val="00D8729C"/>
    <w:rsid w:val="00D87580"/>
    <w:rsid w:val="00D8786B"/>
    <w:rsid w:val="00D879E8"/>
    <w:rsid w:val="00D9002F"/>
    <w:rsid w:val="00D90060"/>
    <w:rsid w:val="00D900AB"/>
    <w:rsid w:val="00D903E7"/>
    <w:rsid w:val="00D903F6"/>
    <w:rsid w:val="00D9051D"/>
    <w:rsid w:val="00D905A8"/>
    <w:rsid w:val="00D906E1"/>
    <w:rsid w:val="00D90700"/>
    <w:rsid w:val="00D909F9"/>
    <w:rsid w:val="00D90A74"/>
    <w:rsid w:val="00D90CB6"/>
    <w:rsid w:val="00D90D36"/>
    <w:rsid w:val="00D90DD1"/>
    <w:rsid w:val="00D90F38"/>
    <w:rsid w:val="00D910CC"/>
    <w:rsid w:val="00D91195"/>
    <w:rsid w:val="00D913F8"/>
    <w:rsid w:val="00D91473"/>
    <w:rsid w:val="00D91497"/>
    <w:rsid w:val="00D915CF"/>
    <w:rsid w:val="00D9174E"/>
    <w:rsid w:val="00D91774"/>
    <w:rsid w:val="00D91AA8"/>
    <w:rsid w:val="00D91AD8"/>
    <w:rsid w:val="00D91AEC"/>
    <w:rsid w:val="00D91B24"/>
    <w:rsid w:val="00D91B64"/>
    <w:rsid w:val="00D91C75"/>
    <w:rsid w:val="00D91CE8"/>
    <w:rsid w:val="00D92173"/>
    <w:rsid w:val="00D921D4"/>
    <w:rsid w:val="00D9229B"/>
    <w:rsid w:val="00D922D6"/>
    <w:rsid w:val="00D925C8"/>
    <w:rsid w:val="00D9297D"/>
    <w:rsid w:val="00D92B41"/>
    <w:rsid w:val="00D92C09"/>
    <w:rsid w:val="00D92DDA"/>
    <w:rsid w:val="00D92E85"/>
    <w:rsid w:val="00D92E9B"/>
    <w:rsid w:val="00D92F5F"/>
    <w:rsid w:val="00D92FE6"/>
    <w:rsid w:val="00D930A2"/>
    <w:rsid w:val="00D933C1"/>
    <w:rsid w:val="00D93403"/>
    <w:rsid w:val="00D936A6"/>
    <w:rsid w:val="00D936C0"/>
    <w:rsid w:val="00D93702"/>
    <w:rsid w:val="00D9384F"/>
    <w:rsid w:val="00D93971"/>
    <w:rsid w:val="00D939ED"/>
    <w:rsid w:val="00D93AD2"/>
    <w:rsid w:val="00D93DCE"/>
    <w:rsid w:val="00D93E95"/>
    <w:rsid w:val="00D93EEF"/>
    <w:rsid w:val="00D94351"/>
    <w:rsid w:val="00D94526"/>
    <w:rsid w:val="00D94620"/>
    <w:rsid w:val="00D94625"/>
    <w:rsid w:val="00D94666"/>
    <w:rsid w:val="00D946AD"/>
    <w:rsid w:val="00D948DF"/>
    <w:rsid w:val="00D94951"/>
    <w:rsid w:val="00D94CB7"/>
    <w:rsid w:val="00D94D74"/>
    <w:rsid w:val="00D94F40"/>
    <w:rsid w:val="00D95070"/>
    <w:rsid w:val="00D9511E"/>
    <w:rsid w:val="00D951AF"/>
    <w:rsid w:val="00D951F0"/>
    <w:rsid w:val="00D954E0"/>
    <w:rsid w:val="00D955F9"/>
    <w:rsid w:val="00D95760"/>
    <w:rsid w:val="00D95788"/>
    <w:rsid w:val="00D957D0"/>
    <w:rsid w:val="00D9594B"/>
    <w:rsid w:val="00D95CD1"/>
    <w:rsid w:val="00D95CF4"/>
    <w:rsid w:val="00D95EC7"/>
    <w:rsid w:val="00D96001"/>
    <w:rsid w:val="00D964B4"/>
    <w:rsid w:val="00D9678C"/>
    <w:rsid w:val="00D9694E"/>
    <w:rsid w:val="00D969C0"/>
    <w:rsid w:val="00D96C90"/>
    <w:rsid w:val="00D96CCA"/>
    <w:rsid w:val="00D9721A"/>
    <w:rsid w:val="00D97502"/>
    <w:rsid w:val="00D976BF"/>
    <w:rsid w:val="00D97711"/>
    <w:rsid w:val="00D978C6"/>
    <w:rsid w:val="00D97BCE"/>
    <w:rsid w:val="00D97C0C"/>
    <w:rsid w:val="00D97CAD"/>
    <w:rsid w:val="00D97CE5"/>
    <w:rsid w:val="00D97DF4"/>
    <w:rsid w:val="00DA033A"/>
    <w:rsid w:val="00DA03F8"/>
    <w:rsid w:val="00DA0542"/>
    <w:rsid w:val="00DA0692"/>
    <w:rsid w:val="00DA07CC"/>
    <w:rsid w:val="00DA0A6F"/>
    <w:rsid w:val="00DA0C53"/>
    <w:rsid w:val="00DA0D6A"/>
    <w:rsid w:val="00DA0D99"/>
    <w:rsid w:val="00DA0DF0"/>
    <w:rsid w:val="00DA0EFF"/>
    <w:rsid w:val="00DA0F1F"/>
    <w:rsid w:val="00DA10B1"/>
    <w:rsid w:val="00DA1226"/>
    <w:rsid w:val="00DA1270"/>
    <w:rsid w:val="00DA12AB"/>
    <w:rsid w:val="00DA1687"/>
    <w:rsid w:val="00DA1746"/>
    <w:rsid w:val="00DA1A21"/>
    <w:rsid w:val="00DA1A2E"/>
    <w:rsid w:val="00DA1A7F"/>
    <w:rsid w:val="00DA1BF8"/>
    <w:rsid w:val="00DA2013"/>
    <w:rsid w:val="00DA2069"/>
    <w:rsid w:val="00DA243E"/>
    <w:rsid w:val="00DA24BF"/>
    <w:rsid w:val="00DA2715"/>
    <w:rsid w:val="00DA277A"/>
    <w:rsid w:val="00DA2802"/>
    <w:rsid w:val="00DA2908"/>
    <w:rsid w:val="00DA292A"/>
    <w:rsid w:val="00DA29E0"/>
    <w:rsid w:val="00DA2B13"/>
    <w:rsid w:val="00DA2BF2"/>
    <w:rsid w:val="00DA2C3A"/>
    <w:rsid w:val="00DA2C9A"/>
    <w:rsid w:val="00DA30C6"/>
    <w:rsid w:val="00DA32F8"/>
    <w:rsid w:val="00DA3488"/>
    <w:rsid w:val="00DA348D"/>
    <w:rsid w:val="00DA3584"/>
    <w:rsid w:val="00DA35AA"/>
    <w:rsid w:val="00DA371A"/>
    <w:rsid w:val="00DA3798"/>
    <w:rsid w:val="00DA3EF2"/>
    <w:rsid w:val="00DA4312"/>
    <w:rsid w:val="00DA4693"/>
    <w:rsid w:val="00DA48C1"/>
    <w:rsid w:val="00DA494C"/>
    <w:rsid w:val="00DA49E1"/>
    <w:rsid w:val="00DA4ADA"/>
    <w:rsid w:val="00DA4E76"/>
    <w:rsid w:val="00DA4EE4"/>
    <w:rsid w:val="00DA4FFB"/>
    <w:rsid w:val="00DA50F2"/>
    <w:rsid w:val="00DA51F7"/>
    <w:rsid w:val="00DA5255"/>
    <w:rsid w:val="00DA529B"/>
    <w:rsid w:val="00DA5691"/>
    <w:rsid w:val="00DA5882"/>
    <w:rsid w:val="00DA58F1"/>
    <w:rsid w:val="00DA591E"/>
    <w:rsid w:val="00DA5F4D"/>
    <w:rsid w:val="00DA6238"/>
    <w:rsid w:val="00DA662D"/>
    <w:rsid w:val="00DA6940"/>
    <w:rsid w:val="00DA6973"/>
    <w:rsid w:val="00DA6D83"/>
    <w:rsid w:val="00DA6DB3"/>
    <w:rsid w:val="00DA6DE8"/>
    <w:rsid w:val="00DA6F14"/>
    <w:rsid w:val="00DA714D"/>
    <w:rsid w:val="00DA75FF"/>
    <w:rsid w:val="00DA7771"/>
    <w:rsid w:val="00DA7792"/>
    <w:rsid w:val="00DA78A7"/>
    <w:rsid w:val="00DA79D7"/>
    <w:rsid w:val="00DA7B56"/>
    <w:rsid w:val="00DA7CE7"/>
    <w:rsid w:val="00DB03DC"/>
    <w:rsid w:val="00DB043B"/>
    <w:rsid w:val="00DB05F5"/>
    <w:rsid w:val="00DB066D"/>
    <w:rsid w:val="00DB0708"/>
    <w:rsid w:val="00DB0818"/>
    <w:rsid w:val="00DB0972"/>
    <w:rsid w:val="00DB0CE5"/>
    <w:rsid w:val="00DB0D29"/>
    <w:rsid w:val="00DB0DFD"/>
    <w:rsid w:val="00DB0E2F"/>
    <w:rsid w:val="00DB139A"/>
    <w:rsid w:val="00DB1527"/>
    <w:rsid w:val="00DB161C"/>
    <w:rsid w:val="00DB1806"/>
    <w:rsid w:val="00DB18FC"/>
    <w:rsid w:val="00DB1CEB"/>
    <w:rsid w:val="00DB1D08"/>
    <w:rsid w:val="00DB1F87"/>
    <w:rsid w:val="00DB213A"/>
    <w:rsid w:val="00DB2243"/>
    <w:rsid w:val="00DB224C"/>
    <w:rsid w:val="00DB23B3"/>
    <w:rsid w:val="00DB23EB"/>
    <w:rsid w:val="00DB243A"/>
    <w:rsid w:val="00DB24E3"/>
    <w:rsid w:val="00DB26AB"/>
    <w:rsid w:val="00DB2713"/>
    <w:rsid w:val="00DB27B0"/>
    <w:rsid w:val="00DB27D3"/>
    <w:rsid w:val="00DB2858"/>
    <w:rsid w:val="00DB29F0"/>
    <w:rsid w:val="00DB2AB2"/>
    <w:rsid w:val="00DB2F99"/>
    <w:rsid w:val="00DB33B4"/>
    <w:rsid w:val="00DB35B7"/>
    <w:rsid w:val="00DB366C"/>
    <w:rsid w:val="00DB37DC"/>
    <w:rsid w:val="00DB37EC"/>
    <w:rsid w:val="00DB3AE8"/>
    <w:rsid w:val="00DB4359"/>
    <w:rsid w:val="00DB45B6"/>
    <w:rsid w:val="00DB45CE"/>
    <w:rsid w:val="00DB486B"/>
    <w:rsid w:val="00DB49A9"/>
    <w:rsid w:val="00DB4B12"/>
    <w:rsid w:val="00DB4BAE"/>
    <w:rsid w:val="00DB4BFA"/>
    <w:rsid w:val="00DB4F04"/>
    <w:rsid w:val="00DB4F20"/>
    <w:rsid w:val="00DB5232"/>
    <w:rsid w:val="00DB549E"/>
    <w:rsid w:val="00DB5511"/>
    <w:rsid w:val="00DB5641"/>
    <w:rsid w:val="00DB571B"/>
    <w:rsid w:val="00DB5771"/>
    <w:rsid w:val="00DB5A66"/>
    <w:rsid w:val="00DB5A7E"/>
    <w:rsid w:val="00DB5B19"/>
    <w:rsid w:val="00DB5B40"/>
    <w:rsid w:val="00DB5F78"/>
    <w:rsid w:val="00DB63BD"/>
    <w:rsid w:val="00DB6557"/>
    <w:rsid w:val="00DB66E4"/>
    <w:rsid w:val="00DB6765"/>
    <w:rsid w:val="00DB679A"/>
    <w:rsid w:val="00DB6A1C"/>
    <w:rsid w:val="00DB6A39"/>
    <w:rsid w:val="00DB6B86"/>
    <w:rsid w:val="00DB6E09"/>
    <w:rsid w:val="00DB6F37"/>
    <w:rsid w:val="00DB725E"/>
    <w:rsid w:val="00DB73DC"/>
    <w:rsid w:val="00DB76BA"/>
    <w:rsid w:val="00DB78DA"/>
    <w:rsid w:val="00DB7A5E"/>
    <w:rsid w:val="00DB7BC1"/>
    <w:rsid w:val="00DB7C30"/>
    <w:rsid w:val="00DB7C3B"/>
    <w:rsid w:val="00DB7D2F"/>
    <w:rsid w:val="00DB7DBC"/>
    <w:rsid w:val="00DB7FB5"/>
    <w:rsid w:val="00DB7FED"/>
    <w:rsid w:val="00DC00D3"/>
    <w:rsid w:val="00DC0564"/>
    <w:rsid w:val="00DC0738"/>
    <w:rsid w:val="00DC0A35"/>
    <w:rsid w:val="00DC0B4E"/>
    <w:rsid w:val="00DC0BBF"/>
    <w:rsid w:val="00DC0BE4"/>
    <w:rsid w:val="00DC0BF6"/>
    <w:rsid w:val="00DC10CB"/>
    <w:rsid w:val="00DC113D"/>
    <w:rsid w:val="00DC1197"/>
    <w:rsid w:val="00DC1201"/>
    <w:rsid w:val="00DC1261"/>
    <w:rsid w:val="00DC1445"/>
    <w:rsid w:val="00DC1499"/>
    <w:rsid w:val="00DC14C6"/>
    <w:rsid w:val="00DC14CC"/>
    <w:rsid w:val="00DC1644"/>
    <w:rsid w:val="00DC187E"/>
    <w:rsid w:val="00DC1972"/>
    <w:rsid w:val="00DC19FF"/>
    <w:rsid w:val="00DC1A04"/>
    <w:rsid w:val="00DC1B23"/>
    <w:rsid w:val="00DC1CEE"/>
    <w:rsid w:val="00DC1E40"/>
    <w:rsid w:val="00DC1FE9"/>
    <w:rsid w:val="00DC2223"/>
    <w:rsid w:val="00DC2367"/>
    <w:rsid w:val="00DC26B4"/>
    <w:rsid w:val="00DC2982"/>
    <w:rsid w:val="00DC2BDA"/>
    <w:rsid w:val="00DC2DA2"/>
    <w:rsid w:val="00DC2E7E"/>
    <w:rsid w:val="00DC31C4"/>
    <w:rsid w:val="00DC3360"/>
    <w:rsid w:val="00DC3451"/>
    <w:rsid w:val="00DC34E8"/>
    <w:rsid w:val="00DC38DB"/>
    <w:rsid w:val="00DC38EF"/>
    <w:rsid w:val="00DC3C69"/>
    <w:rsid w:val="00DC3D0C"/>
    <w:rsid w:val="00DC3E8C"/>
    <w:rsid w:val="00DC4064"/>
    <w:rsid w:val="00DC4115"/>
    <w:rsid w:val="00DC4512"/>
    <w:rsid w:val="00DC46B2"/>
    <w:rsid w:val="00DC470C"/>
    <w:rsid w:val="00DC47C3"/>
    <w:rsid w:val="00DC4944"/>
    <w:rsid w:val="00DC4981"/>
    <w:rsid w:val="00DC4A03"/>
    <w:rsid w:val="00DC4A21"/>
    <w:rsid w:val="00DC4B78"/>
    <w:rsid w:val="00DC4D84"/>
    <w:rsid w:val="00DC5028"/>
    <w:rsid w:val="00DC503B"/>
    <w:rsid w:val="00DC538B"/>
    <w:rsid w:val="00DC546F"/>
    <w:rsid w:val="00DC54B7"/>
    <w:rsid w:val="00DC54FF"/>
    <w:rsid w:val="00DC5580"/>
    <w:rsid w:val="00DC5654"/>
    <w:rsid w:val="00DC5994"/>
    <w:rsid w:val="00DC5AFE"/>
    <w:rsid w:val="00DC5C68"/>
    <w:rsid w:val="00DC5D88"/>
    <w:rsid w:val="00DC5F1B"/>
    <w:rsid w:val="00DC6026"/>
    <w:rsid w:val="00DC6098"/>
    <w:rsid w:val="00DC656A"/>
    <w:rsid w:val="00DC6728"/>
    <w:rsid w:val="00DC69D8"/>
    <w:rsid w:val="00DC6BE5"/>
    <w:rsid w:val="00DC6F88"/>
    <w:rsid w:val="00DC7557"/>
    <w:rsid w:val="00DC778B"/>
    <w:rsid w:val="00DC77F7"/>
    <w:rsid w:val="00DC78CC"/>
    <w:rsid w:val="00DC7A14"/>
    <w:rsid w:val="00DC7A67"/>
    <w:rsid w:val="00DC7CBC"/>
    <w:rsid w:val="00DC7CD4"/>
    <w:rsid w:val="00DC7DE1"/>
    <w:rsid w:val="00DC7EED"/>
    <w:rsid w:val="00DC7FF5"/>
    <w:rsid w:val="00DD0060"/>
    <w:rsid w:val="00DD00AF"/>
    <w:rsid w:val="00DD00DA"/>
    <w:rsid w:val="00DD0120"/>
    <w:rsid w:val="00DD01A5"/>
    <w:rsid w:val="00DD0247"/>
    <w:rsid w:val="00DD0488"/>
    <w:rsid w:val="00DD0660"/>
    <w:rsid w:val="00DD06AC"/>
    <w:rsid w:val="00DD0A3C"/>
    <w:rsid w:val="00DD0AC3"/>
    <w:rsid w:val="00DD0B1B"/>
    <w:rsid w:val="00DD0B4E"/>
    <w:rsid w:val="00DD0C53"/>
    <w:rsid w:val="00DD0D0E"/>
    <w:rsid w:val="00DD0D85"/>
    <w:rsid w:val="00DD0FB6"/>
    <w:rsid w:val="00DD1019"/>
    <w:rsid w:val="00DD1129"/>
    <w:rsid w:val="00DD123E"/>
    <w:rsid w:val="00DD1439"/>
    <w:rsid w:val="00DD1756"/>
    <w:rsid w:val="00DD18A5"/>
    <w:rsid w:val="00DD1BEA"/>
    <w:rsid w:val="00DD1D6C"/>
    <w:rsid w:val="00DD1EE6"/>
    <w:rsid w:val="00DD1FE7"/>
    <w:rsid w:val="00DD1FFA"/>
    <w:rsid w:val="00DD202F"/>
    <w:rsid w:val="00DD2067"/>
    <w:rsid w:val="00DD20D1"/>
    <w:rsid w:val="00DD214B"/>
    <w:rsid w:val="00DD2329"/>
    <w:rsid w:val="00DD242A"/>
    <w:rsid w:val="00DD24C8"/>
    <w:rsid w:val="00DD257D"/>
    <w:rsid w:val="00DD259D"/>
    <w:rsid w:val="00DD27D7"/>
    <w:rsid w:val="00DD2D7E"/>
    <w:rsid w:val="00DD2D87"/>
    <w:rsid w:val="00DD2DC8"/>
    <w:rsid w:val="00DD2E7B"/>
    <w:rsid w:val="00DD3051"/>
    <w:rsid w:val="00DD3326"/>
    <w:rsid w:val="00DD33B6"/>
    <w:rsid w:val="00DD348A"/>
    <w:rsid w:val="00DD364A"/>
    <w:rsid w:val="00DD3689"/>
    <w:rsid w:val="00DD36CB"/>
    <w:rsid w:val="00DD36F2"/>
    <w:rsid w:val="00DD3846"/>
    <w:rsid w:val="00DD3872"/>
    <w:rsid w:val="00DD3A28"/>
    <w:rsid w:val="00DD3F23"/>
    <w:rsid w:val="00DD41CB"/>
    <w:rsid w:val="00DD435F"/>
    <w:rsid w:val="00DD44D2"/>
    <w:rsid w:val="00DD44EA"/>
    <w:rsid w:val="00DD4706"/>
    <w:rsid w:val="00DD48D6"/>
    <w:rsid w:val="00DD4B12"/>
    <w:rsid w:val="00DD4B1E"/>
    <w:rsid w:val="00DD4B27"/>
    <w:rsid w:val="00DD4ED7"/>
    <w:rsid w:val="00DD4F80"/>
    <w:rsid w:val="00DD5128"/>
    <w:rsid w:val="00DD53BA"/>
    <w:rsid w:val="00DD54DD"/>
    <w:rsid w:val="00DD561D"/>
    <w:rsid w:val="00DD56F8"/>
    <w:rsid w:val="00DD5875"/>
    <w:rsid w:val="00DD5ACA"/>
    <w:rsid w:val="00DD5B67"/>
    <w:rsid w:val="00DD5BD5"/>
    <w:rsid w:val="00DD5DFC"/>
    <w:rsid w:val="00DD5FA6"/>
    <w:rsid w:val="00DD62D9"/>
    <w:rsid w:val="00DD6390"/>
    <w:rsid w:val="00DD66F7"/>
    <w:rsid w:val="00DD6702"/>
    <w:rsid w:val="00DD6CB5"/>
    <w:rsid w:val="00DD6D14"/>
    <w:rsid w:val="00DD706F"/>
    <w:rsid w:val="00DD76C5"/>
    <w:rsid w:val="00DD7CC3"/>
    <w:rsid w:val="00DD7E10"/>
    <w:rsid w:val="00DD7E4A"/>
    <w:rsid w:val="00DD7F57"/>
    <w:rsid w:val="00DE01DF"/>
    <w:rsid w:val="00DE027F"/>
    <w:rsid w:val="00DE0355"/>
    <w:rsid w:val="00DE04A7"/>
    <w:rsid w:val="00DE0540"/>
    <w:rsid w:val="00DE0588"/>
    <w:rsid w:val="00DE0CB5"/>
    <w:rsid w:val="00DE120E"/>
    <w:rsid w:val="00DE1220"/>
    <w:rsid w:val="00DE12B0"/>
    <w:rsid w:val="00DE134B"/>
    <w:rsid w:val="00DE1477"/>
    <w:rsid w:val="00DE159B"/>
    <w:rsid w:val="00DE17CD"/>
    <w:rsid w:val="00DE18C2"/>
    <w:rsid w:val="00DE1A49"/>
    <w:rsid w:val="00DE1D9B"/>
    <w:rsid w:val="00DE1EA6"/>
    <w:rsid w:val="00DE1FB0"/>
    <w:rsid w:val="00DE21C8"/>
    <w:rsid w:val="00DE232C"/>
    <w:rsid w:val="00DE2730"/>
    <w:rsid w:val="00DE2788"/>
    <w:rsid w:val="00DE278A"/>
    <w:rsid w:val="00DE2947"/>
    <w:rsid w:val="00DE2B52"/>
    <w:rsid w:val="00DE2B8A"/>
    <w:rsid w:val="00DE2EE7"/>
    <w:rsid w:val="00DE3033"/>
    <w:rsid w:val="00DE3120"/>
    <w:rsid w:val="00DE35F3"/>
    <w:rsid w:val="00DE36AF"/>
    <w:rsid w:val="00DE372B"/>
    <w:rsid w:val="00DE3757"/>
    <w:rsid w:val="00DE3AD7"/>
    <w:rsid w:val="00DE3C2F"/>
    <w:rsid w:val="00DE3CFF"/>
    <w:rsid w:val="00DE3F8E"/>
    <w:rsid w:val="00DE3FE6"/>
    <w:rsid w:val="00DE3FFA"/>
    <w:rsid w:val="00DE4041"/>
    <w:rsid w:val="00DE4060"/>
    <w:rsid w:val="00DE434D"/>
    <w:rsid w:val="00DE4566"/>
    <w:rsid w:val="00DE479E"/>
    <w:rsid w:val="00DE4B82"/>
    <w:rsid w:val="00DE4B9C"/>
    <w:rsid w:val="00DE4E3C"/>
    <w:rsid w:val="00DE4EF2"/>
    <w:rsid w:val="00DE4FF3"/>
    <w:rsid w:val="00DE501D"/>
    <w:rsid w:val="00DE50E1"/>
    <w:rsid w:val="00DE5258"/>
    <w:rsid w:val="00DE56C3"/>
    <w:rsid w:val="00DE56CB"/>
    <w:rsid w:val="00DE572C"/>
    <w:rsid w:val="00DE59D4"/>
    <w:rsid w:val="00DE5A5F"/>
    <w:rsid w:val="00DE5C01"/>
    <w:rsid w:val="00DE5EEF"/>
    <w:rsid w:val="00DE627C"/>
    <w:rsid w:val="00DE6280"/>
    <w:rsid w:val="00DE64E5"/>
    <w:rsid w:val="00DE664C"/>
    <w:rsid w:val="00DE6757"/>
    <w:rsid w:val="00DE696D"/>
    <w:rsid w:val="00DE69A3"/>
    <w:rsid w:val="00DE6A82"/>
    <w:rsid w:val="00DE6B18"/>
    <w:rsid w:val="00DE6E4B"/>
    <w:rsid w:val="00DE7019"/>
    <w:rsid w:val="00DE706F"/>
    <w:rsid w:val="00DE72CC"/>
    <w:rsid w:val="00DE7721"/>
    <w:rsid w:val="00DE7807"/>
    <w:rsid w:val="00DE7888"/>
    <w:rsid w:val="00DE7954"/>
    <w:rsid w:val="00DE7A9F"/>
    <w:rsid w:val="00DE7B33"/>
    <w:rsid w:val="00DE7C86"/>
    <w:rsid w:val="00DE7DD0"/>
    <w:rsid w:val="00DF00D6"/>
    <w:rsid w:val="00DF0128"/>
    <w:rsid w:val="00DF0466"/>
    <w:rsid w:val="00DF04B0"/>
    <w:rsid w:val="00DF0531"/>
    <w:rsid w:val="00DF066F"/>
    <w:rsid w:val="00DF06E7"/>
    <w:rsid w:val="00DF0920"/>
    <w:rsid w:val="00DF0988"/>
    <w:rsid w:val="00DF09CA"/>
    <w:rsid w:val="00DF0D40"/>
    <w:rsid w:val="00DF0D69"/>
    <w:rsid w:val="00DF0DF6"/>
    <w:rsid w:val="00DF0F46"/>
    <w:rsid w:val="00DF13FF"/>
    <w:rsid w:val="00DF16A3"/>
    <w:rsid w:val="00DF174B"/>
    <w:rsid w:val="00DF1773"/>
    <w:rsid w:val="00DF195F"/>
    <w:rsid w:val="00DF1A03"/>
    <w:rsid w:val="00DF1B32"/>
    <w:rsid w:val="00DF1C17"/>
    <w:rsid w:val="00DF1DFC"/>
    <w:rsid w:val="00DF1FD1"/>
    <w:rsid w:val="00DF2389"/>
    <w:rsid w:val="00DF23F1"/>
    <w:rsid w:val="00DF25FC"/>
    <w:rsid w:val="00DF2692"/>
    <w:rsid w:val="00DF278D"/>
    <w:rsid w:val="00DF27C8"/>
    <w:rsid w:val="00DF2B40"/>
    <w:rsid w:val="00DF2EAF"/>
    <w:rsid w:val="00DF2F8C"/>
    <w:rsid w:val="00DF30EB"/>
    <w:rsid w:val="00DF31B9"/>
    <w:rsid w:val="00DF31DB"/>
    <w:rsid w:val="00DF3242"/>
    <w:rsid w:val="00DF3287"/>
    <w:rsid w:val="00DF33B0"/>
    <w:rsid w:val="00DF3AC0"/>
    <w:rsid w:val="00DF3AF6"/>
    <w:rsid w:val="00DF3C54"/>
    <w:rsid w:val="00DF3E0F"/>
    <w:rsid w:val="00DF41CB"/>
    <w:rsid w:val="00DF43C0"/>
    <w:rsid w:val="00DF4414"/>
    <w:rsid w:val="00DF4911"/>
    <w:rsid w:val="00DF4966"/>
    <w:rsid w:val="00DF49BD"/>
    <w:rsid w:val="00DF4A97"/>
    <w:rsid w:val="00DF4C89"/>
    <w:rsid w:val="00DF4D8B"/>
    <w:rsid w:val="00DF4E21"/>
    <w:rsid w:val="00DF50A8"/>
    <w:rsid w:val="00DF5380"/>
    <w:rsid w:val="00DF54DD"/>
    <w:rsid w:val="00DF5614"/>
    <w:rsid w:val="00DF585C"/>
    <w:rsid w:val="00DF5992"/>
    <w:rsid w:val="00DF5AE1"/>
    <w:rsid w:val="00DF5B50"/>
    <w:rsid w:val="00DF5BE7"/>
    <w:rsid w:val="00DF5C9B"/>
    <w:rsid w:val="00DF5CCD"/>
    <w:rsid w:val="00DF6060"/>
    <w:rsid w:val="00DF636D"/>
    <w:rsid w:val="00DF673F"/>
    <w:rsid w:val="00DF68CA"/>
    <w:rsid w:val="00DF69F1"/>
    <w:rsid w:val="00DF6BF4"/>
    <w:rsid w:val="00DF7044"/>
    <w:rsid w:val="00DF7093"/>
    <w:rsid w:val="00DF71A4"/>
    <w:rsid w:val="00DF7208"/>
    <w:rsid w:val="00DF731C"/>
    <w:rsid w:val="00DF7423"/>
    <w:rsid w:val="00DF75A8"/>
    <w:rsid w:val="00DF7659"/>
    <w:rsid w:val="00DF78BE"/>
    <w:rsid w:val="00DF78FE"/>
    <w:rsid w:val="00DF7C7E"/>
    <w:rsid w:val="00DF7EDB"/>
    <w:rsid w:val="00E000F7"/>
    <w:rsid w:val="00E0025A"/>
    <w:rsid w:val="00E004FA"/>
    <w:rsid w:val="00E0059B"/>
    <w:rsid w:val="00E00786"/>
    <w:rsid w:val="00E0079D"/>
    <w:rsid w:val="00E008B4"/>
    <w:rsid w:val="00E009F1"/>
    <w:rsid w:val="00E00A05"/>
    <w:rsid w:val="00E00AFA"/>
    <w:rsid w:val="00E00B39"/>
    <w:rsid w:val="00E00ECB"/>
    <w:rsid w:val="00E01173"/>
    <w:rsid w:val="00E016AC"/>
    <w:rsid w:val="00E016F3"/>
    <w:rsid w:val="00E01727"/>
    <w:rsid w:val="00E01767"/>
    <w:rsid w:val="00E01913"/>
    <w:rsid w:val="00E01943"/>
    <w:rsid w:val="00E02232"/>
    <w:rsid w:val="00E02277"/>
    <w:rsid w:val="00E02430"/>
    <w:rsid w:val="00E026AE"/>
    <w:rsid w:val="00E02741"/>
    <w:rsid w:val="00E02EBC"/>
    <w:rsid w:val="00E02FBF"/>
    <w:rsid w:val="00E03037"/>
    <w:rsid w:val="00E03409"/>
    <w:rsid w:val="00E0344E"/>
    <w:rsid w:val="00E03502"/>
    <w:rsid w:val="00E0368F"/>
    <w:rsid w:val="00E0372E"/>
    <w:rsid w:val="00E03731"/>
    <w:rsid w:val="00E03994"/>
    <w:rsid w:val="00E039A1"/>
    <w:rsid w:val="00E03C11"/>
    <w:rsid w:val="00E03E05"/>
    <w:rsid w:val="00E03E48"/>
    <w:rsid w:val="00E03FCF"/>
    <w:rsid w:val="00E04009"/>
    <w:rsid w:val="00E0429F"/>
    <w:rsid w:val="00E04521"/>
    <w:rsid w:val="00E046AB"/>
    <w:rsid w:val="00E0477B"/>
    <w:rsid w:val="00E04B51"/>
    <w:rsid w:val="00E04D46"/>
    <w:rsid w:val="00E04E60"/>
    <w:rsid w:val="00E04F39"/>
    <w:rsid w:val="00E052EC"/>
    <w:rsid w:val="00E053A4"/>
    <w:rsid w:val="00E053C9"/>
    <w:rsid w:val="00E054E5"/>
    <w:rsid w:val="00E055EA"/>
    <w:rsid w:val="00E0588B"/>
    <w:rsid w:val="00E058D4"/>
    <w:rsid w:val="00E05B4F"/>
    <w:rsid w:val="00E05B5F"/>
    <w:rsid w:val="00E05DE9"/>
    <w:rsid w:val="00E06079"/>
    <w:rsid w:val="00E0611F"/>
    <w:rsid w:val="00E062A6"/>
    <w:rsid w:val="00E06586"/>
    <w:rsid w:val="00E06639"/>
    <w:rsid w:val="00E06789"/>
    <w:rsid w:val="00E06A4B"/>
    <w:rsid w:val="00E06CC1"/>
    <w:rsid w:val="00E070CD"/>
    <w:rsid w:val="00E070F6"/>
    <w:rsid w:val="00E07131"/>
    <w:rsid w:val="00E0727A"/>
    <w:rsid w:val="00E0735A"/>
    <w:rsid w:val="00E07406"/>
    <w:rsid w:val="00E0761F"/>
    <w:rsid w:val="00E07C35"/>
    <w:rsid w:val="00E07CAF"/>
    <w:rsid w:val="00E07D25"/>
    <w:rsid w:val="00E07DAC"/>
    <w:rsid w:val="00E07E79"/>
    <w:rsid w:val="00E07FD0"/>
    <w:rsid w:val="00E1004D"/>
    <w:rsid w:val="00E10060"/>
    <w:rsid w:val="00E102AE"/>
    <w:rsid w:val="00E105FC"/>
    <w:rsid w:val="00E1066A"/>
    <w:rsid w:val="00E1079A"/>
    <w:rsid w:val="00E10964"/>
    <w:rsid w:val="00E10B86"/>
    <w:rsid w:val="00E10D9B"/>
    <w:rsid w:val="00E10F57"/>
    <w:rsid w:val="00E10F58"/>
    <w:rsid w:val="00E11087"/>
    <w:rsid w:val="00E11101"/>
    <w:rsid w:val="00E11155"/>
    <w:rsid w:val="00E113D2"/>
    <w:rsid w:val="00E115A1"/>
    <w:rsid w:val="00E11620"/>
    <w:rsid w:val="00E11720"/>
    <w:rsid w:val="00E11895"/>
    <w:rsid w:val="00E11DFE"/>
    <w:rsid w:val="00E120E8"/>
    <w:rsid w:val="00E12118"/>
    <w:rsid w:val="00E1278F"/>
    <w:rsid w:val="00E12B42"/>
    <w:rsid w:val="00E13048"/>
    <w:rsid w:val="00E13432"/>
    <w:rsid w:val="00E1351A"/>
    <w:rsid w:val="00E13622"/>
    <w:rsid w:val="00E136B6"/>
    <w:rsid w:val="00E13B28"/>
    <w:rsid w:val="00E13B90"/>
    <w:rsid w:val="00E13CFD"/>
    <w:rsid w:val="00E1418C"/>
    <w:rsid w:val="00E14425"/>
    <w:rsid w:val="00E14533"/>
    <w:rsid w:val="00E14649"/>
    <w:rsid w:val="00E147A1"/>
    <w:rsid w:val="00E1488A"/>
    <w:rsid w:val="00E14A06"/>
    <w:rsid w:val="00E14D79"/>
    <w:rsid w:val="00E15012"/>
    <w:rsid w:val="00E150CA"/>
    <w:rsid w:val="00E1511B"/>
    <w:rsid w:val="00E1512F"/>
    <w:rsid w:val="00E151FF"/>
    <w:rsid w:val="00E152A3"/>
    <w:rsid w:val="00E153CC"/>
    <w:rsid w:val="00E156AA"/>
    <w:rsid w:val="00E157D5"/>
    <w:rsid w:val="00E15D24"/>
    <w:rsid w:val="00E15E47"/>
    <w:rsid w:val="00E15ECE"/>
    <w:rsid w:val="00E15F32"/>
    <w:rsid w:val="00E162BC"/>
    <w:rsid w:val="00E1659E"/>
    <w:rsid w:val="00E1664D"/>
    <w:rsid w:val="00E166EA"/>
    <w:rsid w:val="00E16733"/>
    <w:rsid w:val="00E16A76"/>
    <w:rsid w:val="00E16A90"/>
    <w:rsid w:val="00E16D68"/>
    <w:rsid w:val="00E16DC4"/>
    <w:rsid w:val="00E16F14"/>
    <w:rsid w:val="00E1701E"/>
    <w:rsid w:val="00E17096"/>
    <w:rsid w:val="00E17448"/>
    <w:rsid w:val="00E17B50"/>
    <w:rsid w:val="00E17D29"/>
    <w:rsid w:val="00E17DBE"/>
    <w:rsid w:val="00E17DE6"/>
    <w:rsid w:val="00E17E37"/>
    <w:rsid w:val="00E17E70"/>
    <w:rsid w:val="00E17FBA"/>
    <w:rsid w:val="00E20345"/>
    <w:rsid w:val="00E206E3"/>
    <w:rsid w:val="00E206F6"/>
    <w:rsid w:val="00E20926"/>
    <w:rsid w:val="00E20962"/>
    <w:rsid w:val="00E20A14"/>
    <w:rsid w:val="00E20AFC"/>
    <w:rsid w:val="00E20BDD"/>
    <w:rsid w:val="00E20BE6"/>
    <w:rsid w:val="00E20C3F"/>
    <w:rsid w:val="00E20DD6"/>
    <w:rsid w:val="00E20F81"/>
    <w:rsid w:val="00E2121C"/>
    <w:rsid w:val="00E212C9"/>
    <w:rsid w:val="00E21578"/>
    <w:rsid w:val="00E21655"/>
    <w:rsid w:val="00E2185A"/>
    <w:rsid w:val="00E2197D"/>
    <w:rsid w:val="00E219C7"/>
    <w:rsid w:val="00E21D8E"/>
    <w:rsid w:val="00E21E46"/>
    <w:rsid w:val="00E22176"/>
    <w:rsid w:val="00E22407"/>
    <w:rsid w:val="00E225A5"/>
    <w:rsid w:val="00E2260E"/>
    <w:rsid w:val="00E2274A"/>
    <w:rsid w:val="00E22762"/>
    <w:rsid w:val="00E228B8"/>
    <w:rsid w:val="00E22970"/>
    <w:rsid w:val="00E22B69"/>
    <w:rsid w:val="00E22C8D"/>
    <w:rsid w:val="00E22D75"/>
    <w:rsid w:val="00E23015"/>
    <w:rsid w:val="00E231DB"/>
    <w:rsid w:val="00E231F5"/>
    <w:rsid w:val="00E23287"/>
    <w:rsid w:val="00E232DA"/>
    <w:rsid w:val="00E233DB"/>
    <w:rsid w:val="00E23609"/>
    <w:rsid w:val="00E2384E"/>
    <w:rsid w:val="00E23914"/>
    <w:rsid w:val="00E23BE4"/>
    <w:rsid w:val="00E23C79"/>
    <w:rsid w:val="00E23E01"/>
    <w:rsid w:val="00E23E0D"/>
    <w:rsid w:val="00E240FE"/>
    <w:rsid w:val="00E2414E"/>
    <w:rsid w:val="00E24306"/>
    <w:rsid w:val="00E24366"/>
    <w:rsid w:val="00E244E2"/>
    <w:rsid w:val="00E24D15"/>
    <w:rsid w:val="00E24DEF"/>
    <w:rsid w:val="00E24FED"/>
    <w:rsid w:val="00E25137"/>
    <w:rsid w:val="00E2526A"/>
    <w:rsid w:val="00E2545D"/>
    <w:rsid w:val="00E255EC"/>
    <w:rsid w:val="00E2560F"/>
    <w:rsid w:val="00E25932"/>
    <w:rsid w:val="00E25AE5"/>
    <w:rsid w:val="00E25E0B"/>
    <w:rsid w:val="00E25ECE"/>
    <w:rsid w:val="00E25FB4"/>
    <w:rsid w:val="00E26237"/>
    <w:rsid w:val="00E2628E"/>
    <w:rsid w:val="00E26417"/>
    <w:rsid w:val="00E264A3"/>
    <w:rsid w:val="00E2651B"/>
    <w:rsid w:val="00E265AF"/>
    <w:rsid w:val="00E265D0"/>
    <w:rsid w:val="00E26733"/>
    <w:rsid w:val="00E26D15"/>
    <w:rsid w:val="00E26E4C"/>
    <w:rsid w:val="00E26ED3"/>
    <w:rsid w:val="00E2700F"/>
    <w:rsid w:val="00E27147"/>
    <w:rsid w:val="00E27269"/>
    <w:rsid w:val="00E27450"/>
    <w:rsid w:val="00E27502"/>
    <w:rsid w:val="00E27671"/>
    <w:rsid w:val="00E2769D"/>
    <w:rsid w:val="00E27750"/>
    <w:rsid w:val="00E279CE"/>
    <w:rsid w:val="00E27AF6"/>
    <w:rsid w:val="00E27B3E"/>
    <w:rsid w:val="00E27E1B"/>
    <w:rsid w:val="00E30207"/>
    <w:rsid w:val="00E3043A"/>
    <w:rsid w:val="00E306EB"/>
    <w:rsid w:val="00E30A22"/>
    <w:rsid w:val="00E30AC0"/>
    <w:rsid w:val="00E30CF5"/>
    <w:rsid w:val="00E30CFE"/>
    <w:rsid w:val="00E30D03"/>
    <w:rsid w:val="00E30D7E"/>
    <w:rsid w:val="00E30D80"/>
    <w:rsid w:val="00E30E00"/>
    <w:rsid w:val="00E30EED"/>
    <w:rsid w:val="00E31244"/>
    <w:rsid w:val="00E314D3"/>
    <w:rsid w:val="00E31623"/>
    <w:rsid w:val="00E31928"/>
    <w:rsid w:val="00E31A3E"/>
    <w:rsid w:val="00E31A73"/>
    <w:rsid w:val="00E31BE8"/>
    <w:rsid w:val="00E31C2B"/>
    <w:rsid w:val="00E31ED7"/>
    <w:rsid w:val="00E320A0"/>
    <w:rsid w:val="00E32178"/>
    <w:rsid w:val="00E325D6"/>
    <w:rsid w:val="00E326F3"/>
    <w:rsid w:val="00E329C6"/>
    <w:rsid w:val="00E32B68"/>
    <w:rsid w:val="00E32BE8"/>
    <w:rsid w:val="00E32C41"/>
    <w:rsid w:val="00E33204"/>
    <w:rsid w:val="00E33378"/>
    <w:rsid w:val="00E3350E"/>
    <w:rsid w:val="00E33556"/>
    <w:rsid w:val="00E33590"/>
    <w:rsid w:val="00E336E7"/>
    <w:rsid w:val="00E338FE"/>
    <w:rsid w:val="00E33980"/>
    <w:rsid w:val="00E33BDC"/>
    <w:rsid w:val="00E33D3A"/>
    <w:rsid w:val="00E33D56"/>
    <w:rsid w:val="00E34007"/>
    <w:rsid w:val="00E3413C"/>
    <w:rsid w:val="00E341D6"/>
    <w:rsid w:val="00E34203"/>
    <w:rsid w:val="00E34714"/>
    <w:rsid w:val="00E34AC0"/>
    <w:rsid w:val="00E34B41"/>
    <w:rsid w:val="00E34B4B"/>
    <w:rsid w:val="00E34B9A"/>
    <w:rsid w:val="00E34C09"/>
    <w:rsid w:val="00E34C50"/>
    <w:rsid w:val="00E34D0B"/>
    <w:rsid w:val="00E350B0"/>
    <w:rsid w:val="00E35305"/>
    <w:rsid w:val="00E354DA"/>
    <w:rsid w:val="00E3561B"/>
    <w:rsid w:val="00E357EE"/>
    <w:rsid w:val="00E35A46"/>
    <w:rsid w:val="00E35A5E"/>
    <w:rsid w:val="00E363AA"/>
    <w:rsid w:val="00E369BC"/>
    <w:rsid w:val="00E36A8D"/>
    <w:rsid w:val="00E36C0B"/>
    <w:rsid w:val="00E36F83"/>
    <w:rsid w:val="00E36FEE"/>
    <w:rsid w:val="00E3704D"/>
    <w:rsid w:val="00E3727C"/>
    <w:rsid w:val="00E3734A"/>
    <w:rsid w:val="00E37450"/>
    <w:rsid w:val="00E37506"/>
    <w:rsid w:val="00E375FA"/>
    <w:rsid w:val="00E375FD"/>
    <w:rsid w:val="00E376B1"/>
    <w:rsid w:val="00E377FA"/>
    <w:rsid w:val="00E37A0F"/>
    <w:rsid w:val="00E37A6B"/>
    <w:rsid w:val="00E37BE3"/>
    <w:rsid w:val="00E37D25"/>
    <w:rsid w:val="00E37E49"/>
    <w:rsid w:val="00E37E4E"/>
    <w:rsid w:val="00E402A2"/>
    <w:rsid w:val="00E40434"/>
    <w:rsid w:val="00E404B8"/>
    <w:rsid w:val="00E4052E"/>
    <w:rsid w:val="00E40609"/>
    <w:rsid w:val="00E40613"/>
    <w:rsid w:val="00E409F1"/>
    <w:rsid w:val="00E40A04"/>
    <w:rsid w:val="00E40AD2"/>
    <w:rsid w:val="00E40DFB"/>
    <w:rsid w:val="00E40E9F"/>
    <w:rsid w:val="00E40F2D"/>
    <w:rsid w:val="00E41083"/>
    <w:rsid w:val="00E415CF"/>
    <w:rsid w:val="00E417C2"/>
    <w:rsid w:val="00E4189A"/>
    <w:rsid w:val="00E41B42"/>
    <w:rsid w:val="00E41CFA"/>
    <w:rsid w:val="00E41D2F"/>
    <w:rsid w:val="00E41D5F"/>
    <w:rsid w:val="00E41DFF"/>
    <w:rsid w:val="00E41EA8"/>
    <w:rsid w:val="00E41ECA"/>
    <w:rsid w:val="00E4212C"/>
    <w:rsid w:val="00E42274"/>
    <w:rsid w:val="00E426DC"/>
    <w:rsid w:val="00E4281E"/>
    <w:rsid w:val="00E42924"/>
    <w:rsid w:val="00E42B42"/>
    <w:rsid w:val="00E42D27"/>
    <w:rsid w:val="00E42D41"/>
    <w:rsid w:val="00E42EA7"/>
    <w:rsid w:val="00E42EAE"/>
    <w:rsid w:val="00E42EB5"/>
    <w:rsid w:val="00E42EC7"/>
    <w:rsid w:val="00E42EE1"/>
    <w:rsid w:val="00E4306F"/>
    <w:rsid w:val="00E4320E"/>
    <w:rsid w:val="00E432F0"/>
    <w:rsid w:val="00E4335E"/>
    <w:rsid w:val="00E43654"/>
    <w:rsid w:val="00E43764"/>
    <w:rsid w:val="00E437DB"/>
    <w:rsid w:val="00E43A4C"/>
    <w:rsid w:val="00E43D94"/>
    <w:rsid w:val="00E43E51"/>
    <w:rsid w:val="00E43E84"/>
    <w:rsid w:val="00E441B0"/>
    <w:rsid w:val="00E44244"/>
    <w:rsid w:val="00E44490"/>
    <w:rsid w:val="00E445AD"/>
    <w:rsid w:val="00E44A83"/>
    <w:rsid w:val="00E44D2B"/>
    <w:rsid w:val="00E451AB"/>
    <w:rsid w:val="00E45275"/>
    <w:rsid w:val="00E453D2"/>
    <w:rsid w:val="00E45480"/>
    <w:rsid w:val="00E45485"/>
    <w:rsid w:val="00E4572A"/>
    <w:rsid w:val="00E458C2"/>
    <w:rsid w:val="00E45943"/>
    <w:rsid w:val="00E45A32"/>
    <w:rsid w:val="00E45B4C"/>
    <w:rsid w:val="00E45BBC"/>
    <w:rsid w:val="00E45C18"/>
    <w:rsid w:val="00E45E3B"/>
    <w:rsid w:val="00E45EE7"/>
    <w:rsid w:val="00E45EFB"/>
    <w:rsid w:val="00E45F47"/>
    <w:rsid w:val="00E4600A"/>
    <w:rsid w:val="00E46101"/>
    <w:rsid w:val="00E461EE"/>
    <w:rsid w:val="00E46340"/>
    <w:rsid w:val="00E463F4"/>
    <w:rsid w:val="00E46518"/>
    <w:rsid w:val="00E4665F"/>
    <w:rsid w:val="00E467B1"/>
    <w:rsid w:val="00E46837"/>
    <w:rsid w:val="00E469A6"/>
    <w:rsid w:val="00E46C4C"/>
    <w:rsid w:val="00E46D81"/>
    <w:rsid w:val="00E46E21"/>
    <w:rsid w:val="00E4712B"/>
    <w:rsid w:val="00E47297"/>
    <w:rsid w:val="00E472CD"/>
    <w:rsid w:val="00E472E3"/>
    <w:rsid w:val="00E474F9"/>
    <w:rsid w:val="00E47635"/>
    <w:rsid w:val="00E47654"/>
    <w:rsid w:val="00E47732"/>
    <w:rsid w:val="00E4773A"/>
    <w:rsid w:val="00E47829"/>
    <w:rsid w:val="00E47AA5"/>
    <w:rsid w:val="00E47AB3"/>
    <w:rsid w:val="00E50145"/>
    <w:rsid w:val="00E5036C"/>
    <w:rsid w:val="00E50543"/>
    <w:rsid w:val="00E507CC"/>
    <w:rsid w:val="00E5093F"/>
    <w:rsid w:val="00E50BEF"/>
    <w:rsid w:val="00E50DC2"/>
    <w:rsid w:val="00E5116C"/>
    <w:rsid w:val="00E511A9"/>
    <w:rsid w:val="00E5147E"/>
    <w:rsid w:val="00E516EA"/>
    <w:rsid w:val="00E518BD"/>
    <w:rsid w:val="00E51975"/>
    <w:rsid w:val="00E519BF"/>
    <w:rsid w:val="00E51B38"/>
    <w:rsid w:val="00E51B6A"/>
    <w:rsid w:val="00E51C84"/>
    <w:rsid w:val="00E51E6A"/>
    <w:rsid w:val="00E520CD"/>
    <w:rsid w:val="00E52273"/>
    <w:rsid w:val="00E52366"/>
    <w:rsid w:val="00E5277C"/>
    <w:rsid w:val="00E527E6"/>
    <w:rsid w:val="00E529F7"/>
    <w:rsid w:val="00E52B56"/>
    <w:rsid w:val="00E52B9E"/>
    <w:rsid w:val="00E52BB8"/>
    <w:rsid w:val="00E52C56"/>
    <w:rsid w:val="00E52D37"/>
    <w:rsid w:val="00E52DF7"/>
    <w:rsid w:val="00E52E4A"/>
    <w:rsid w:val="00E52E9E"/>
    <w:rsid w:val="00E52FAA"/>
    <w:rsid w:val="00E531A2"/>
    <w:rsid w:val="00E535E9"/>
    <w:rsid w:val="00E5360D"/>
    <w:rsid w:val="00E536DB"/>
    <w:rsid w:val="00E53882"/>
    <w:rsid w:val="00E53936"/>
    <w:rsid w:val="00E53A00"/>
    <w:rsid w:val="00E53C3A"/>
    <w:rsid w:val="00E53C85"/>
    <w:rsid w:val="00E53EE9"/>
    <w:rsid w:val="00E542E9"/>
    <w:rsid w:val="00E54369"/>
    <w:rsid w:val="00E54640"/>
    <w:rsid w:val="00E547B2"/>
    <w:rsid w:val="00E54BDF"/>
    <w:rsid w:val="00E54CC7"/>
    <w:rsid w:val="00E54D0A"/>
    <w:rsid w:val="00E54D64"/>
    <w:rsid w:val="00E54E81"/>
    <w:rsid w:val="00E54EC2"/>
    <w:rsid w:val="00E54FBB"/>
    <w:rsid w:val="00E55168"/>
    <w:rsid w:val="00E5516C"/>
    <w:rsid w:val="00E553C2"/>
    <w:rsid w:val="00E55758"/>
    <w:rsid w:val="00E55881"/>
    <w:rsid w:val="00E559E0"/>
    <w:rsid w:val="00E55AAD"/>
    <w:rsid w:val="00E55AE3"/>
    <w:rsid w:val="00E55D0B"/>
    <w:rsid w:val="00E55DDF"/>
    <w:rsid w:val="00E56087"/>
    <w:rsid w:val="00E5617E"/>
    <w:rsid w:val="00E562AB"/>
    <w:rsid w:val="00E56469"/>
    <w:rsid w:val="00E56488"/>
    <w:rsid w:val="00E56542"/>
    <w:rsid w:val="00E5665B"/>
    <w:rsid w:val="00E56718"/>
    <w:rsid w:val="00E5687B"/>
    <w:rsid w:val="00E568AB"/>
    <w:rsid w:val="00E56D12"/>
    <w:rsid w:val="00E56FBC"/>
    <w:rsid w:val="00E56FF2"/>
    <w:rsid w:val="00E57040"/>
    <w:rsid w:val="00E57063"/>
    <w:rsid w:val="00E57295"/>
    <w:rsid w:val="00E572A5"/>
    <w:rsid w:val="00E5737B"/>
    <w:rsid w:val="00E57526"/>
    <w:rsid w:val="00E576B0"/>
    <w:rsid w:val="00E57A91"/>
    <w:rsid w:val="00E57CBD"/>
    <w:rsid w:val="00E57D9A"/>
    <w:rsid w:val="00E57DD7"/>
    <w:rsid w:val="00E57E14"/>
    <w:rsid w:val="00E57ECA"/>
    <w:rsid w:val="00E57F18"/>
    <w:rsid w:val="00E6001C"/>
    <w:rsid w:val="00E6004F"/>
    <w:rsid w:val="00E6008E"/>
    <w:rsid w:val="00E60649"/>
    <w:rsid w:val="00E60BCE"/>
    <w:rsid w:val="00E60D5B"/>
    <w:rsid w:val="00E60DC5"/>
    <w:rsid w:val="00E60F27"/>
    <w:rsid w:val="00E60F46"/>
    <w:rsid w:val="00E6109C"/>
    <w:rsid w:val="00E612C2"/>
    <w:rsid w:val="00E612EF"/>
    <w:rsid w:val="00E615B9"/>
    <w:rsid w:val="00E61749"/>
    <w:rsid w:val="00E61782"/>
    <w:rsid w:val="00E6189B"/>
    <w:rsid w:val="00E618D3"/>
    <w:rsid w:val="00E6198C"/>
    <w:rsid w:val="00E61C3A"/>
    <w:rsid w:val="00E61F48"/>
    <w:rsid w:val="00E6203F"/>
    <w:rsid w:val="00E620A2"/>
    <w:rsid w:val="00E62805"/>
    <w:rsid w:val="00E62901"/>
    <w:rsid w:val="00E62BA6"/>
    <w:rsid w:val="00E62F30"/>
    <w:rsid w:val="00E631A0"/>
    <w:rsid w:val="00E63208"/>
    <w:rsid w:val="00E63651"/>
    <w:rsid w:val="00E63704"/>
    <w:rsid w:val="00E63789"/>
    <w:rsid w:val="00E63AEF"/>
    <w:rsid w:val="00E63F33"/>
    <w:rsid w:val="00E6423B"/>
    <w:rsid w:val="00E644E5"/>
    <w:rsid w:val="00E6458E"/>
    <w:rsid w:val="00E645AF"/>
    <w:rsid w:val="00E64760"/>
    <w:rsid w:val="00E6489E"/>
    <w:rsid w:val="00E648AD"/>
    <w:rsid w:val="00E64A80"/>
    <w:rsid w:val="00E64DDE"/>
    <w:rsid w:val="00E64E5C"/>
    <w:rsid w:val="00E64EE5"/>
    <w:rsid w:val="00E64F45"/>
    <w:rsid w:val="00E6500A"/>
    <w:rsid w:val="00E65202"/>
    <w:rsid w:val="00E65509"/>
    <w:rsid w:val="00E65686"/>
    <w:rsid w:val="00E65A3D"/>
    <w:rsid w:val="00E65A90"/>
    <w:rsid w:val="00E65A97"/>
    <w:rsid w:val="00E65B08"/>
    <w:rsid w:val="00E65BDB"/>
    <w:rsid w:val="00E65CED"/>
    <w:rsid w:val="00E662F2"/>
    <w:rsid w:val="00E66526"/>
    <w:rsid w:val="00E6664C"/>
    <w:rsid w:val="00E6690D"/>
    <w:rsid w:val="00E66972"/>
    <w:rsid w:val="00E66F17"/>
    <w:rsid w:val="00E67066"/>
    <w:rsid w:val="00E67133"/>
    <w:rsid w:val="00E671EC"/>
    <w:rsid w:val="00E67491"/>
    <w:rsid w:val="00E67865"/>
    <w:rsid w:val="00E678BD"/>
    <w:rsid w:val="00E67B21"/>
    <w:rsid w:val="00E67BC1"/>
    <w:rsid w:val="00E67C15"/>
    <w:rsid w:val="00E67C30"/>
    <w:rsid w:val="00E67D1E"/>
    <w:rsid w:val="00E67EED"/>
    <w:rsid w:val="00E67EF8"/>
    <w:rsid w:val="00E70642"/>
    <w:rsid w:val="00E70777"/>
    <w:rsid w:val="00E7094C"/>
    <w:rsid w:val="00E70971"/>
    <w:rsid w:val="00E70981"/>
    <w:rsid w:val="00E70BC6"/>
    <w:rsid w:val="00E70EEA"/>
    <w:rsid w:val="00E71039"/>
    <w:rsid w:val="00E7123D"/>
    <w:rsid w:val="00E71497"/>
    <w:rsid w:val="00E71573"/>
    <w:rsid w:val="00E7164D"/>
    <w:rsid w:val="00E7195F"/>
    <w:rsid w:val="00E71B04"/>
    <w:rsid w:val="00E71C4D"/>
    <w:rsid w:val="00E71E65"/>
    <w:rsid w:val="00E722D3"/>
    <w:rsid w:val="00E724AF"/>
    <w:rsid w:val="00E7288F"/>
    <w:rsid w:val="00E72A18"/>
    <w:rsid w:val="00E72BC8"/>
    <w:rsid w:val="00E72E2E"/>
    <w:rsid w:val="00E7305E"/>
    <w:rsid w:val="00E73129"/>
    <w:rsid w:val="00E732C4"/>
    <w:rsid w:val="00E73598"/>
    <w:rsid w:val="00E73A8E"/>
    <w:rsid w:val="00E73C24"/>
    <w:rsid w:val="00E73C73"/>
    <w:rsid w:val="00E73C85"/>
    <w:rsid w:val="00E73E7E"/>
    <w:rsid w:val="00E73F16"/>
    <w:rsid w:val="00E73F88"/>
    <w:rsid w:val="00E73FC6"/>
    <w:rsid w:val="00E74077"/>
    <w:rsid w:val="00E740C0"/>
    <w:rsid w:val="00E740D0"/>
    <w:rsid w:val="00E74370"/>
    <w:rsid w:val="00E745D3"/>
    <w:rsid w:val="00E745DC"/>
    <w:rsid w:val="00E7464C"/>
    <w:rsid w:val="00E74876"/>
    <w:rsid w:val="00E74928"/>
    <w:rsid w:val="00E74AE1"/>
    <w:rsid w:val="00E74B57"/>
    <w:rsid w:val="00E74FA5"/>
    <w:rsid w:val="00E750F5"/>
    <w:rsid w:val="00E751DC"/>
    <w:rsid w:val="00E754AE"/>
    <w:rsid w:val="00E754C8"/>
    <w:rsid w:val="00E75560"/>
    <w:rsid w:val="00E755AA"/>
    <w:rsid w:val="00E7574D"/>
    <w:rsid w:val="00E757A6"/>
    <w:rsid w:val="00E758AE"/>
    <w:rsid w:val="00E75938"/>
    <w:rsid w:val="00E759AC"/>
    <w:rsid w:val="00E75AE1"/>
    <w:rsid w:val="00E75B32"/>
    <w:rsid w:val="00E75D61"/>
    <w:rsid w:val="00E75E58"/>
    <w:rsid w:val="00E7623C"/>
    <w:rsid w:val="00E763F6"/>
    <w:rsid w:val="00E76577"/>
    <w:rsid w:val="00E766F9"/>
    <w:rsid w:val="00E76926"/>
    <w:rsid w:val="00E76D28"/>
    <w:rsid w:val="00E76D36"/>
    <w:rsid w:val="00E76E31"/>
    <w:rsid w:val="00E76EC6"/>
    <w:rsid w:val="00E76F8B"/>
    <w:rsid w:val="00E770C5"/>
    <w:rsid w:val="00E7711C"/>
    <w:rsid w:val="00E77159"/>
    <w:rsid w:val="00E773EA"/>
    <w:rsid w:val="00E7751B"/>
    <w:rsid w:val="00E77695"/>
    <w:rsid w:val="00E7783F"/>
    <w:rsid w:val="00E77955"/>
    <w:rsid w:val="00E779EF"/>
    <w:rsid w:val="00E77C62"/>
    <w:rsid w:val="00E77E5A"/>
    <w:rsid w:val="00E80066"/>
    <w:rsid w:val="00E8007E"/>
    <w:rsid w:val="00E80304"/>
    <w:rsid w:val="00E80566"/>
    <w:rsid w:val="00E8070E"/>
    <w:rsid w:val="00E80974"/>
    <w:rsid w:val="00E80C3E"/>
    <w:rsid w:val="00E80C3F"/>
    <w:rsid w:val="00E80C6C"/>
    <w:rsid w:val="00E80DE4"/>
    <w:rsid w:val="00E80E22"/>
    <w:rsid w:val="00E810DB"/>
    <w:rsid w:val="00E812C3"/>
    <w:rsid w:val="00E813AA"/>
    <w:rsid w:val="00E81488"/>
    <w:rsid w:val="00E81581"/>
    <w:rsid w:val="00E81936"/>
    <w:rsid w:val="00E81C6A"/>
    <w:rsid w:val="00E81CE6"/>
    <w:rsid w:val="00E81DFA"/>
    <w:rsid w:val="00E82131"/>
    <w:rsid w:val="00E82304"/>
    <w:rsid w:val="00E82338"/>
    <w:rsid w:val="00E82354"/>
    <w:rsid w:val="00E8236F"/>
    <w:rsid w:val="00E823A4"/>
    <w:rsid w:val="00E82580"/>
    <w:rsid w:val="00E825AB"/>
    <w:rsid w:val="00E825E1"/>
    <w:rsid w:val="00E82A2C"/>
    <w:rsid w:val="00E82A2E"/>
    <w:rsid w:val="00E82C68"/>
    <w:rsid w:val="00E82EFB"/>
    <w:rsid w:val="00E8310F"/>
    <w:rsid w:val="00E831A1"/>
    <w:rsid w:val="00E833F2"/>
    <w:rsid w:val="00E8340B"/>
    <w:rsid w:val="00E839B3"/>
    <w:rsid w:val="00E83CB4"/>
    <w:rsid w:val="00E83E41"/>
    <w:rsid w:val="00E83F9B"/>
    <w:rsid w:val="00E840AF"/>
    <w:rsid w:val="00E84114"/>
    <w:rsid w:val="00E8439E"/>
    <w:rsid w:val="00E84472"/>
    <w:rsid w:val="00E84561"/>
    <w:rsid w:val="00E845F8"/>
    <w:rsid w:val="00E847B0"/>
    <w:rsid w:val="00E84883"/>
    <w:rsid w:val="00E84AF5"/>
    <w:rsid w:val="00E84E95"/>
    <w:rsid w:val="00E84F6D"/>
    <w:rsid w:val="00E85107"/>
    <w:rsid w:val="00E852AC"/>
    <w:rsid w:val="00E8531C"/>
    <w:rsid w:val="00E85463"/>
    <w:rsid w:val="00E856FA"/>
    <w:rsid w:val="00E8581E"/>
    <w:rsid w:val="00E8591F"/>
    <w:rsid w:val="00E85965"/>
    <w:rsid w:val="00E85A7B"/>
    <w:rsid w:val="00E85ABA"/>
    <w:rsid w:val="00E85B9E"/>
    <w:rsid w:val="00E85BA0"/>
    <w:rsid w:val="00E85BA8"/>
    <w:rsid w:val="00E85BB5"/>
    <w:rsid w:val="00E85C21"/>
    <w:rsid w:val="00E85C5E"/>
    <w:rsid w:val="00E85DC9"/>
    <w:rsid w:val="00E860DA"/>
    <w:rsid w:val="00E860E7"/>
    <w:rsid w:val="00E860E8"/>
    <w:rsid w:val="00E8610B"/>
    <w:rsid w:val="00E862E5"/>
    <w:rsid w:val="00E863B6"/>
    <w:rsid w:val="00E86546"/>
    <w:rsid w:val="00E86553"/>
    <w:rsid w:val="00E8671E"/>
    <w:rsid w:val="00E867FB"/>
    <w:rsid w:val="00E86959"/>
    <w:rsid w:val="00E86971"/>
    <w:rsid w:val="00E86A01"/>
    <w:rsid w:val="00E86C69"/>
    <w:rsid w:val="00E86D86"/>
    <w:rsid w:val="00E86DD1"/>
    <w:rsid w:val="00E86F43"/>
    <w:rsid w:val="00E8709F"/>
    <w:rsid w:val="00E871D0"/>
    <w:rsid w:val="00E872B2"/>
    <w:rsid w:val="00E8745F"/>
    <w:rsid w:val="00E87629"/>
    <w:rsid w:val="00E878E4"/>
    <w:rsid w:val="00E87B0B"/>
    <w:rsid w:val="00E87D2B"/>
    <w:rsid w:val="00E87DA3"/>
    <w:rsid w:val="00E87E6C"/>
    <w:rsid w:val="00E87FB5"/>
    <w:rsid w:val="00E90099"/>
    <w:rsid w:val="00E9021B"/>
    <w:rsid w:val="00E90297"/>
    <w:rsid w:val="00E9060E"/>
    <w:rsid w:val="00E9062E"/>
    <w:rsid w:val="00E906BA"/>
    <w:rsid w:val="00E90F13"/>
    <w:rsid w:val="00E911DF"/>
    <w:rsid w:val="00E9152B"/>
    <w:rsid w:val="00E915A8"/>
    <w:rsid w:val="00E91702"/>
    <w:rsid w:val="00E91765"/>
    <w:rsid w:val="00E918C9"/>
    <w:rsid w:val="00E9191D"/>
    <w:rsid w:val="00E919E8"/>
    <w:rsid w:val="00E91A72"/>
    <w:rsid w:val="00E91AEA"/>
    <w:rsid w:val="00E91DCE"/>
    <w:rsid w:val="00E91E42"/>
    <w:rsid w:val="00E92117"/>
    <w:rsid w:val="00E9215E"/>
    <w:rsid w:val="00E923CC"/>
    <w:rsid w:val="00E92511"/>
    <w:rsid w:val="00E925E1"/>
    <w:rsid w:val="00E926F3"/>
    <w:rsid w:val="00E92739"/>
    <w:rsid w:val="00E92A16"/>
    <w:rsid w:val="00E92BE6"/>
    <w:rsid w:val="00E92CE7"/>
    <w:rsid w:val="00E92DFF"/>
    <w:rsid w:val="00E9303D"/>
    <w:rsid w:val="00E934D5"/>
    <w:rsid w:val="00E937A1"/>
    <w:rsid w:val="00E93A44"/>
    <w:rsid w:val="00E93A59"/>
    <w:rsid w:val="00E93A69"/>
    <w:rsid w:val="00E93CF5"/>
    <w:rsid w:val="00E93E05"/>
    <w:rsid w:val="00E93E27"/>
    <w:rsid w:val="00E943F1"/>
    <w:rsid w:val="00E94646"/>
    <w:rsid w:val="00E94746"/>
    <w:rsid w:val="00E947E6"/>
    <w:rsid w:val="00E94B2F"/>
    <w:rsid w:val="00E95218"/>
    <w:rsid w:val="00E95484"/>
    <w:rsid w:val="00E95547"/>
    <w:rsid w:val="00E95909"/>
    <w:rsid w:val="00E95B92"/>
    <w:rsid w:val="00E95CB3"/>
    <w:rsid w:val="00E95F55"/>
    <w:rsid w:val="00E95FA9"/>
    <w:rsid w:val="00E9627A"/>
    <w:rsid w:val="00E962AE"/>
    <w:rsid w:val="00E96411"/>
    <w:rsid w:val="00E964EF"/>
    <w:rsid w:val="00E96533"/>
    <w:rsid w:val="00E96637"/>
    <w:rsid w:val="00E966BD"/>
    <w:rsid w:val="00E96B37"/>
    <w:rsid w:val="00E96BFE"/>
    <w:rsid w:val="00E97078"/>
    <w:rsid w:val="00E9710A"/>
    <w:rsid w:val="00E971C8"/>
    <w:rsid w:val="00E9739F"/>
    <w:rsid w:val="00E97497"/>
    <w:rsid w:val="00E97533"/>
    <w:rsid w:val="00E97783"/>
    <w:rsid w:val="00E977B9"/>
    <w:rsid w:val="00E97871"/>
    <w:rsid w:val="00E97AB3"/>
    <w:rsid w:val="00E97B6F"/>
    <w:rsid w:val="00E97D4E"/>
    <w:rsid w:val="00E97E75"/>
    <w:rsid w:val="00E97F01"/>
    <w:rsid w:val="00E97F10"/>
    <w:rsid w:val="00EA02FE"/>
    <w:rsid w:val="00EA03BC"/>
    <w:rsid w:val="00EA04EE"/>
    <w:rsid w:val="00EA06E2"/>
    <w:rsid w:val="00EA0774"/>
    <w:rsid w:val="00EA0A06"/>
    <w:rsid w:val="00EA0B36"/>
    <w:rsid w:val="00EA0CB0"/>
    <w:rsid w:val="00EA0DDF"/>
    <w:rsid w:val="00EA0EAE"/>
    <w:rsid w:val="00EA0F65"/>
    <w:rsid w:val="00EA14F5"/>
    <w:rsid w:val="00EA17B8"/>
    <w:rsid w:val="00EA182B"/>
    <w:rsid w:val="00EA199B"/>
    <w:rsid w:val="00EA19F3"/>
    <w:rsid w:val="00EA1A27"/>
    <w:rsid w:val="00EA229B"/>
    <w:rsid w:val="00EA22AF"/>
    <w:rsid w:val="00EA2312"/>
    <w:rsid w:val="00EA23DB"/>
    <w:rsid w:val="00EA2621"/>
    <w:rsid w:val="00EA267C"/>
    <w:rsid w:val="00EA29BA"/>
    <w:rsid w:val="00EA2A4C"/>
    <w:rsid w:val="00EA2ADA"/>
    <w:rsid w:val="00EA2FB4"/>
    <w:rsid w:val="00EA309B"/>
    <w:rsid w:val="00EA31B5"/>
    <w:rsid w:val="00EA3544"/>
    <w:rsid w:val="00EA3604"/>
    <w:rsid w:val="00EA391B"/>
    <w:rsid w:val="00EA3DA0"/>
    <w:rsid w:val="00EA3DB4"/>
    <w:rsid w:val="00EA3EB3"/>
    <w:rsid w:val="00EA3F76"/>
    <w:rsid w:val="00EA404E"/>
    <w:rsid w:val="00EA445E"/>
    <w:rsid w:val="00EA4889"/>
    <w:rsid w:val="00EA4926"/>
    <w:rsid w:val="00EA4951"/>
    <w:rsid w:val="00EA4A12"/>
    <w:rsid w:val="00EA4C63"/>
    <w:rsid w:val="00EA4E8A"/>
    <w:rsid w:val="00EA52DD"/>
    <w:rsid w:val="00EA5422"/>
    <w:rsid w:val="00EA5423"/>
    <w:rsid w:val="00EA550D"/>
    <w:rsid w:val="00EA5678"/>
    <w:rsid w:val="00EA58B1"/>
    <w:rsid w:val="00EA5AC6"/>
    <w:rsid w:val="00EA5D1D"/>
    <w:rsid w:val="00EA5DBD"/>
    <w:rsid w:val="00EA5E0E"/>
    <w:rsid w:val="00EA5F08"/>
    <w:rsid w:val="00EA5F6B"/>
    <w:rsid w:val="00EA612E"/>
    <w:rsid w:val="00EA617F"/>
    <w:rsid w:val="00EA6259"/>
    <w:rsid w:val="00EA64BA"/>
    <w:rsid w:val="00EA6578"/>
    <w:rsid w:val="00EA696B"/>
    <w:rsid w:val="00EA69A7"/>
    <w:rsid w:val="00EA6AB2"/>
    <w:rsid w:val="00EA6D3E"/>
    <w:rsid w:val="00EA71A0"/>
    <w:rsid w:val="00EA71E6"/>
    <w:rsid w:val="00EA721F"/>
    <w:rsid w:val="00EA7288"/>
    <w:rsid w:val="00EA74DC"/>
    <w:rsid w:val="00EA7520"/>
    <w:rsid w:val="00EA75B2"/>
    <w:rsid w:val="00EA777F"/>
    <w:rsid w:val="00EA7994"/>
    <w:rsid w:val="00EA7999"/>
    <w:rsid w:val="00EA7C7F"/>
    <w:rsid w:val="00EA7EDD"/>
    <w:rsid w:val="00EB0123"/>
    <w:rsid w:val="00EB02F6"/>
    <w:rsid w:val="00EB0377"/>
    <w:rsid w:val="00EB08FD"/>
    <w:rsid w:val="00EB0929"/>
    <w:rsid w:val="00EB0A36"/>
    <w:rsid w:val="00EB0AC9"/>
    <w:rsid w:val="00EB0B71"/>
    <w:rsid w:val="00EB0BA2"/>
    <w:rsid w:val="00EB0BCE"/>
    <w:rsid w:val="00EB0BCF"/>
    <w:rsid w:val="00EB0D9B"/>
    <w:rsid w:val="00EB0E63"/>
    <w:rsid w:val="00EB0EA3"/>
    <w:rsid w:val="00EB0EAC"/>
    <w:rsid w:val="00EB1083"/>
    <w:rsid w:val="00EB1276"/>
    <w:rsid w:val="00EB1334"/>
    <w:rsid w:val="00EB1352"/>
    <w:rsid w:val="00EB1909"/>
    <w:rsid w:val="00EB192E"/>
    <w:rsid w:val="00EB1A24"/>
    <w:rsid w:val="00EB1C46"/>
    <w:rsid w:val="00EB1CF4"/>
    <w:rsid w:val="00EB1E6C"/>
    <w:rsid w:val="00EB1FA3"/>
    <w:rsid w:val="00EB1FBA"/>
    <w:rsid w:val="00EB1FEB"/>
    <w:rsid w:val="00EB2198"/>
    <w:rsid w:val="00EB2222"/>
    <w:rsid w:val="00EB226E"/>
    <w:rsid w:val="00EB2372"/>
    <w:rsid w:val="00EB2695"/>
    <w:rsid w:val="00EB2A28"/>
    <w:rsid w:val="00EB2AE9"/>
    <w:rsid w:val="00EB2B08"/>
    <w:rsid w:val="00EB2BC4"/>
    <w:rsid w:val="00EB2C65"/>
    <w:rsid w:val="00EB2D19"/>
    <w:rsid w:val="00EB2D76"/>
    <w:rsid w:val="00EB2DF6"/>
    <w:rsid w:val="00EB32EF"/>
    <w:rsid w:val="00EB3451"/>
    <w:rsid w:val="00EB35AF"/>
    <w:rsid w:val="00EB36E4"/>
    <w:rsid w:val="00EB383C"/>
    <w:rsid w:val="00EB38BC"/>
    <w:rsid w:val="00EB3DB7"/>
    <w:rsid w:val="00EB3EAC"/>
    <w:rsid w:val="00EB3FB4"/>
    <w:rsid w:val="00EB4109"/>
    <w:rsid w:val="00EB41A1"/>
    <w:rsid w:val="00EB41A5"/>
    <w:rsid w:val="00EB4273"/>
    <w:rsid w:val="00EB44FB"/>
    <w:rsid w:val="00EB48FC"/>
    <w:rsid w:val="00EB49DE"/>
    <w:rsid w:val="00EB4C74"/>
    <w:rsid w:val="00EB507A"/>
    <w:rsid w:val="00EB512E"/>
    <w:rsid w:val="00EB538B"/>
    <w:rsid w:val="00EB55D3"/>
    <w:rsid w:val="00EB5649"/>
    <w:rsid w:val="00EB5733"/>
    <w:rsid w:val="00EB589E"/>
    <w:rsid w:val="00EB5D38"/>
    <w:rsid w:val="00EB61A2"/>
    <w:rsid w:val="00EB63BB"/>
    <w:rsid w:val="00EB6462"/>
    <w:rsid w:val="00EB6542"/>
    <w:rsid w:val="00EB6736"/>
    <w:rsid w:val="00EB6A31"/>
    <w:rsid w:val="00EB6C63"/>
    <w:rsid w:val="00EB6DAD"/>
    <w:rsid w:val="00EB6EA5"/>
    <w:rsid w:val="00EB6EF3"/>
    <w:rsid w:val="00EB6F06"/>
    <w:rsid w:val="00EB705E"/>
    <w:rsid w:val="00EB7129"/>
    <w:rsid w:val="00EB714B"/>
    <w:rsid w:val="00EB7195"/>
    <w:rsid w:val="00EB723B"/>
    <w:rsid w:val="00EB733B"/>
    <w:rsid w:val="00EB7418"/>
    <w:rsid w:val="00EB7473"/>
    <w:rsid w:val="00EB7504"/>
    <w:rsid w:val="00EB7600"/>
    <w:rsid w:val="00EB7719"/>
    <w:rsid w:val="00EB78C0"/>
    <w:rsid w:val="00EB7D10"/>
    <w:rsid w:val="00EB7D76"/>
    <w:rsid w:val="00EC00DD"/>
    <w:rsid w:val="00EC02E8"/>
    <w:rsid w:val="00EC035A"/>
    <w:rsid w:val="00EC03D4"/>
    <w:rsid w:val="00EC03EB"/>
    <w:rsid w:val="00EC057A"/>
    <w:rsid w:val="00EC0604"/>
    <w:rsid w:val="00EC062D"/>
    <w:rsid w:val="00EC09C3"/>
    <w:rsid w:val="00EC0B2B"/>
    <w:rsid w:val="00EC0BC4"/>
    <w:rsid w:val="00EC0C31"/>
    <w:rsid w:val="00EC0DE1"/>
    <w:rsid w:val="00EC0E44"/>
    <w:rsid w:val="00EC108C"/>
    <w:rsid w:val="00EC1723"/>
    <w:rsid w:val="00EC1A29"/>
    <w:rsid w:val="00EC1F5D"/>
    <w:rsid w:val="00EC2093"/>
    <w:rsid w:val="00EC20C4"/>
    <w:rsid w:val="00EC244C"/>
    <w:rsid w:val="00EC2600"/>
    <w:rsid w:val="00EC29CB"/>
    <w:rsid w:val="00EC29D5"/>
    <w:rsid w:val="00EC2F9E"/>
    <w:rsid w:val="00EC3009"/>
    <w:rsid w:val="00EC3542"/>
    <w:rsid w:val="00EC3581"/>
    <w:rsid w:val="00EC35C4"/>
    <w:rsid w:val="00EC3746"/>
    <w:rsid w:val="00EC3819"/>
    <w:rsid w:val="00EC3930"/>
    <w:rsid w:val="00EC39D3"/>
    <w:rsid w:val="00EC3C3E"/>
    <w:rsid w:val="00EC42B4"/>
    <w:rsid w:val="00EC434E"/>
    <w:rsid w:val="00EC43AD"/>
    <w:rsid w:val="00EC4782"/>
    <w:rsid w:val="00EC4C4D"/>
    <w:rsid w:val="00EC4E91"/>
    <w:rsid w:val="00EC5044"/>
    <w:rsid w:val="00EC5095"/>
    <w:rsid w:val="00EC50E4"/>
    <w:rsid w:val="00EC51A9"/>
    <w:rsid w:val="00EC51E7"/>
    <w:rsid w:val="00EC52DC"/>
    <w:rsid w:val="00EC550C"/>
    <w:rsid w:val="00EC5597"/>
    <w:rsid w:val="00EC55A9"/>
    <w:rsid w:val="00EC56B5"/>
    <w:rsid w:val="00EC57E0"/>
    <w:rsid w:val="00EC5837"/>
    <w:rsid w:val="00EC5B03"/>
    <w:rsid w:val="00EC5CC8"/>
    <w:rsid w:val="00EC5F97"/>
    <w:rsid w:val="00EC60FB"/>
    <w:rsid w:val="00EC61D4"/>
    <w:rsid w:val="00EC6352"/>
    <w:rsid w:val="00EC65A3"/>
    <w:rsid w:val="00EC67EE"/>
    <w:rsid w:val="00EC683B"/>
    <w:rsid w:val="00EC6945"/>
    <w:rsid w:val="00EC69D3"/>
    <w:rsid w:val="00EC6B11"/>
    <w:rsid w:val="00EC6B70"/>
    <w:rsid w:val="00EC6C41"/>
    <w:rsid w:val="00EC6C57"/>
    <w:rsid w:val="00EC6CB0"/>
    <w:rsid w:val="00EC6E66"/>
    <w:rsid w:val="00EC6E8A"/>
    <w:rsid w:val="00EC6F84"/>
    <w:rsid w:val="00EC6FCB"/>
    <w:rsid w:val="00EC707B"/>
    <w:rsid w:val="00EC7189"/>
    <w:rsid w:val="00EC7193"/>
    <w:rsid w:val="00EC71BD"/>
    <w:rsid w:val="00EC72BD"/>
    <w:rsid w:val="00EC72EF"/>
    <w:rsid w:val="00EC7545"/>
    <w:rsid w:val="00EC75D3"/>
    <w:rsid w:val="00EC75DF"/>
    <w:rsid w:val="00EC7736"/>
    <w:rsid w:val="00EC79A9"/>
    <w:rsid w:val="00EC7A23"/>
    <w:rsid w:val="00EC7B38"/>
    <w:rsid w:val="00EC7BF9"/>
    <w:rsid w:val="00EC7D75"/>
    <w:rsid w:val="00EC7DC3"/>
    <w:rsid w:val="00EC7F5F"/>
    <w:rsid w:val="00ED00C7"/>
    <w:rsid w:val="00ED01F2"/>
    <w:rsid w:val="00ED03C3"/>
    <w:rsid w:val="00ED044C"/>
    <w:rsid w:val="00ED08EB"/>
    <w:rsid w:val="00ED09E5"/>
    <w:rsid w:val="00ED0B5A"/>
    <w:rsid w:val="00ED0B75"/>
    <w:rsid w:val="00ED0BB8"/>
    <w:rsid w:val="00ED0CD2"/>
    <w:rsid w:val="00ED0D41"/>
    <w:rsid w:val="00ED0DCB"/>
    <w:rsid w:val="00ED1048"/>
    <w:rsid w:val="00ED11E5"/>
    <w:rsid w:val="00ED160D"/>
    <w:rsid w:val="00ED16D0"/>
    <w:rsid w:val="00ED170D"/>
    <w:rsid w:val="00ED1768"/>
    <w:rsid w:val="00ED1DA4"/>
    <w:rsid w:val="00ED1E28"/>
    <w:rsid w:val="00ED1F99"/>
    <w:rsid w:val="00ED1FF6"/>
    <w:rsid w:val="00ED201D"/>
    <w:rsid w:val="00ED21B7"/>
    <w:rsid w:val="00ED2244"/>
    <w:rsid w:val="00ED23A0"/>
    <w:rsid w:val="00ED2667"/>
    <w:rsid w:val="00ED28ED"/>
    <w:rsid w:val="00ED2908"/>
    <w:rsid w:val="00ED2926"/>
    <w:rsid w:val="00ED29B6"/>
    <w:rsid w:val="00ED2C65"/>
    <w:rsid w:val="00ED2D00"/>
    <w:rsid w:val="00ED2F46"/>
    <w:rsid w:val="00ED3149"/>
    <w:rsid w:val="00ED3243"/>
    <w:rsid w:val="00ED3403"/>
    <w:rsid w:val="00ED355A"/>
    <w:rsid w:val="00ED3B2A"/>
    <w:rsid w:val="00ED3C2D"/>
    <w:rsid w:val="00ED3D6B"/>
    <w:rsid w:val="00ED44F4"/>
    <w:rsid w:val="00ED45DC"/>
    <w:rsid w:val="00ED46F9"/>
    <w:rsid w:val="00ED47A5"/>
    <w:rsid w:val="00ED484C"/>
    <w:rsid w:val="00ED4883"/>
    <w:rsid w:val="00ED48EF"/>
    <w:rsid w:val="00ED4975"/>
    <w:rsid w:val="00ED49B5"/>
    <w:rsid w:val="00ED4ABC"/>
    <w:rsid w:val="00ED4AC6"/>
    <w:rsid w:val="00ED4B0C"/>
    <w:rsid w:val="00ED4B11"/>
    <w:rsid w:val="00ED4B81"/>
    <w:rsid w:val="00ED4CEF"/>
    <w:rsid w:val="00ED50F0"/>
    <w:rsid w:val="00ED5529"/>
    <w:rsid w:val="00ED552A"/>
    <w:rsid w:val="00ED554A"/>
    <w:rsid w:val="00ED5663"/>
    <w:rsid w:val="00ED57BA"/>
    <w:rsid w:val="00ED5A74"/>
    <w:rsid w:val="00ED5CFC"/>
    <w:rsid w:val="00ED5DC4"/>
    <w:rsid w:val="00ED5E9F"/>
    <w:rsid w:val="00ED5FD3"/>
    <w:rsid w:val="00ED6036"/>
    <w:rsid w:val="00ED6276"/>
    <w:rsid w:val="00ED66C6"/>
    <w:rsid w:val="00ED687E"/>
    <w:rsid w:val="00ED6884"/>
    <w:rsid w:val="00ED68F8"/>
    <w:rsid w:val="00ED69BC"/>
    <w:rsid w:val="00ED6C70"/>
    <w:rsid w:val="00ED71ED"/>
    <w:rsid w:val="00ED723D"/>
    <w:rsid w:val="00ED74CA"/>
    <w:rsid w:val="00ED7757"/>
    <w:rsid w:val="00ED7B5A"/>
    <w:rsid w:val="00ED7E41"/>
    <w:rsid w:val="00ED7EEF"/>
    <w:rsid w:val="00EE0164"/>
    <w:rsid w:val="00EE018A"/>
    <w:rsid w:val="00EE01D2"/>
    <w:rsid w:val="00EE0274"/>
    <w:rsid w:val="00EE03FC"/>
    <w:rsid w:val="00EE05AC"/>
    <w:rsid w:val="00EE06BC"/>
    <w:rsid w:val="00EE0786"/>
    <w:rsid w:val="00EE0A50"/>
    <w:rsid w:val="00EE0B9F"/>
    <w:rsid w:val="00EE0CB7"/>
    <w:rsid w:val="00EE0D38"/>
    <w:rsid w:val="00EE0F1F"/>
    <w:rsid w:val="00EE0F3E"/>
    <w:rsid w:val="00EE0FE3"/>
    <w:rsid w:val="00EE1099"/>
    <w:rsid w:val="00EE11CE"/>
    <w:rsid w:val="00EE14D0"/>
    <w:rsid w:val="00EE1794"/>
    <w:rsid w:val="00EE1884"/>
    <w:rsid w:val="00EE19F4"/>
    <w:rsid w:val="00EE1AA0"/>
    <w:rsid w:val="00EE1E19"/>
    <w:rsid w:val="00EE2008"/>
    <w:rsid w:val="00EE20D5"/>
    <w:rsid w:val="00EE22CB"/>
    <w:rsid w:val="00EE23AD"/>
    <w:rsid w:val="00EE261A"/>
    <w:rsid w:val="00EE279C"/>
    <w:rsid w:val="00EE2825"/>
    <w:rsid w:val="00EE2D1D"/>
    <w:rsid w:val="00EE2EF3"/>
    <w:rsid w:val="00EE2FE8"/>
    <w:rsid w:val="00EE347D"/>
    <w:rsid w:val="00EE3599"/>
    <w:rsid w:val="00EE35DF"/>
    <w:rsid w:val="00EE3662"/>
    <w:rsid w:val="00EE368D"/>
    <w:rsid w:val="00EE36BC"/>
    <w:rsid w:val="00EE3B5F"/>
    <w:rsid w:val="00EE3BDC"/>
    <w:rsid w:val="00EE3C72"/>
    <w:rsid w:val="00EE3D75"/>
    <w:rsid w:val="00EE3E3B"/>
    <w:rsid w:val="00EE3EB5"/>
    <w:rsid w:val="00EE3F8F"/>
    <w:rsid w:val="00EE4011"/>
    <w:rsid w:val="00EE40E8"/>
    <w:rsid w:val="00EE4122"/>
    <w:rsid w:val="00EE445E"/>
    <w:rsid w:val="00EE4562"/>
    <w:rsid w:val="00EE4678"/>
    <w:rsid w:val="00EE4709"/>
    <w:rsid w:val="00EE4FF2"/>
    <w:rsid w:val="00EE507B"/>
    <w:rsid w:val="00EE50A1"/>
    <w:rsid w:val="00EE53A3"/>
    <w:rsid w:val="00EE54A7"/>
    <w:rsid w:val="00EE55C4"/>
    <w:rsid w:val="00EE55EE"/>
    <w:rsid w:val="00EE56D6"/>
    <w:rsid w:val="00EE597C"/>
    <w:rsid w:val="00EE5A70"/>
    <w:rsid w:val="00EE5C4E"/>
    <w:rsid w:val="00EE5CD0"/>
    <w:rsid w:val="00EE607A"/>
    <w:rsid w:val="00EE6247"/>
    <w:rsid w:val="00EE62D6"/>
    <w:rsid w:val="00EE6357"/>
    <w:rsid w:val="00EE652B"/>
    <w:rsid w:val="00EE6673"/>
    <w:rsid w:val="00EE6774"/>
    <w:rsid w:val="00EE68EB"/>
    <w:rsid w:val="00EE69EE"/>
    <w:rsid w:val="00EE6A42"/>
    <w:rsid w:val="00EE6BA4"/>
    <w:rsid w:val="00EE6DA5"/>
    <w:rsid w:val="00EE6E3C"/>
    <w:rsid w:val="00EE6F34"/>
    <w:rsid w:val="00EE73A4"/>
    <w:rsid w:val="00EE7402"/>
    <w:rsid w:val="00EE757B"/>
    <w:rsid w:val="00EE75C0"/>
    <w:rsid w:val="00EE76B8"/>
    <w:rsid w:val="00EE7D55"/>
    <w:rsid w:val="00EE7D7A"/>
    <w:rsid w:val="00EE7DA9"/>
    <w:rsid w:val="00EE7DEF"/>
    <w:rsid w:val="00EF01C4"/>
    <w:rsid w:val="00EF0289"/>
    <w:rsid w:val="00EF02E2"/>
    <w:rsid w:val="00EF02EC"/>
    <w:rsid w:val="00EF039B"/>
    <w:rsid w:val="00EF0437"/>
    <w:rsid w:val="00EF0481"/>
    <w:rsid w:val="00EF0565"/>
    <w:rsid w:val="00EF0700"/>
    <w:rsid w:val="00EF0728"/>
    <w:rsid w:val="00EF0781"/>
    <w:rsid w:val="00EF0AA7"/>
    <w:rsid w:val="00EF0AD0"/>
    <w:rsid w:val="00EF0B77"/>
    <w:rsid w:val="00EF0F0C"/>
    <w:rsid w:val="00EF0F7D"/>
    <w:rsid w:val="00EF1128"/>
    <w:rsid w:val="00EF115E"/>
    <w:rsid w:val="00EF1219"/>
    <w:rsid w:val="00EF121D"/>
    <w:rsid w:val="00EF13EE"/>
    <w:rsid w:val="00EF172A"/>
    <w:rsid w:val="00EF1821"/>
    <w:rsid w:val="00EF188D"/>
    <w:rsid w:val="00EF18B2"/>
    <w:rsid w:val="00EF198D"/>
    <w:rsid w:val="00EF2013"/>
    <w:rsid w:val="00EF21A8"/>
    <w:rsid w:val="00EF2289"/>
    <w:rsid w:val="00EF236B"/>
    <w:rsid w:val="00EF2589"/>
    <w:rsid w:val="00EF273F"/>
    <w:rsid w:val="00EF275B"/>
    <w:rsid w:val="00EF29CA"/>
    <w:rsid w:val="00EF2ACD"/>
    <w:rsid w:val="00EF2C3E"/>
    <w:rsid w:val="00EF2E16"/>
    <w:rsid w:val="00EF2E73"/>
    <w:rsid w:val="00EF2E81"/>
    <w:rsid w:val="00EF2F82"/>
    <w:rsid w:val="00EF3121"/>
    <w:rsid w:val="00EF362F"/>
    <w:rsid w:val="00EF383C"/>
    <w:rsid w:val="00EF3895"/>
    <w:rsid w:val="00EF3B55"/>
    <w:rsid w:val="00EF3B84"/>
    <w:rsid w:val="00EF3D9A"/>
    <w:rsid w:val="00EF3EF5"/>
    <w:rsid w:val="00EF3F44"/>
    <w:rsid w:val="00EF427E"/>
    <w:rsid w:val="00EF4299"/>
    <w:rsid w:val="00EF430D"/>
    <w:rsid w:val="00EF4398"/>
    <w:rsid w:val="00EF4419"/>
    <w:rsid w:val="00EF472C"/>
    <w:rsid w:val="00EF4831"/>
    <w:rsid w:val="00EF48C3"/>
    <w:rsid w:val="00EF4975"/>
    <w:rsid w:val="00EF4CFF"/>
    <w:rsid w:val="00EF4D9F"/>
    <w:rsid w:val="00EF5038"/>
    <w:rsid w:val="00EF5389"/>
    <w:rsid w:val="00EF546A"/>
    <w:rsid w:val="00EF54B5"/>
    <w:rsid w:val="00EF5617"/>
    <w:rsid w:val="00EF564E"/>
    <w:rsid w:val="00EF583F"/>
    <w:rsid w:val="00EF5947"/>
    <w:rsid w:val="00EF596B"/>
    <w:rsid w:val="00EF5B5D"/>
    <w:rsid w:val="00EF5C72"/>
    <w:rsid w:val="00EF5CD4"/>
    <w:rsid w:val="00EF5D29"/>
    <w:rsid w:val="00EF5DE8"/>
    <w:rsid w:val="00EF5F07"/>
    <w:rsid w:val="00EF5F5A"/>
    <w:rsid w:val="00EF5F7E"/>
    <w:rsid w:val="00EF61E6"/>
    <w:rsid w:val="00EF625D"/>
    <w:rsid w:val="00EF62E7"/>
    <w:rsid w:val="00EF62F3"/>
    <w:rsid w:val="00EF637F"/>
    <w:rsid w:val="00EF64C2"/>
    <w:rsid w:val="00EF6724"/>
    <w:rsid w:val="00EF69BD"/>
    <w:rsid w:val="00EF6A23"/>
    <w:rsid w:val="00EF6AB4"/>
    <w:rsid w:val="00EF6B5E"/>
    <w:rsid w:val="00EF6BCC"/>
    <w:rsid w:val="00EF7001"/>
    <w:rsid w:val="00EF727E"/>
    <w:rsid w:val="00EF7327"/>
    <w:rsid w:val="00EF740F"/>
    <w:rsid w:val="00EF75F6"/>
    <w:rsid w:val="00EF773A"/>
    <w:rsid w:val="00EF7953"/>
    <w:rsid w:val="00EF7AFB"/>
    <w:rsid w:val="00EF7D02"/>
    <w:rsid w:val="00EF7D73"/>
    <w:rsid w:val="00EF7F87"/>
    <w:rsid w:val="00F00445"/>
    <w:rsid w:val="00F004DD"/>
    <w:rsid w:val="00F008A5"/>
    <w:rsid w:val="00F009CC"/>
    <w:rsid w:val="00F00BBE"/>
    <w:rsid w:val="00F00EA3"/>
    <w:rsid w:val="00F01237"/>
    <w:rsid w:val="00F013C5"/>
    <w:rsid w:val="00F0151B"/>
    <w:rsid w:val="00F015F6"/>
    <w:rsid w:val="00F01631"/>
    <w:rsid w:val="00F0186C"/>
    <w:rsid w:val="00F01912"/>
    <w:rsid w:val="00F0197D"/>
    <w:rsid w:val="00F01B27"/>
    <w:rsid w:val="00F01D1B"/>
    <w:rsid w:val="00F02229"/>
    <w:rsid w:val="00F023EA"/>
    <w:rsid w:val="00F0279A"/>
    <w:rsid w:val="00F02819"/>
    <w:rsid w:val="00F028A8"/>
    <w:rsid w:val="00F02B02"/>
    <w:rsid w:val="00F02B91"/>
    <w:rsid w:val="00F02BF1"/>
    <w:rsid w:val="00F031BB"/>
    <w:rsid w:val="00F03279"/>
    <w:rsid w:val="00F0346E"/>
    <w:rsid w:val="00F03597"/>
    <w:rsid w:val="00F03632"/>
    <w:rsid w:val="00F036DC"/>
    <w:rsid w:val="00F037D2"/>
    <w:rsid w:val="00F03821"/>
    <w:rsid w:val="00F039FF"/>
    <w:rsid w:val="00F03BC7"/>
    <w:rsid w:val="00F03C3D"/>
    <w:rsid w:val="00F03DB6"/>
    <w:rsid w:val="00F03E4A"/>
    <w:rsid w:val="00F03E91"/>
    <w:rsid w:val="00F040C8"/>
    <w:rsid w:val="00F040D8"/>
    <w:rsid w:val="00F0412E"/>
    <w:rsid w:val="00F0434E"/>
    <w:rsid w:val="00F04648"/>
    <w:rsid w:val="00F04ABB"/>
    <w:rsid w:val="00F04B3F"/>
    <w:rsid w:val="00F05076"/>
    <w:rsid w:val="00F0516B"/>
    <w:rsid w:val="00F05270"/>
    <w:rsid w:val="00F05356"/>
    <w:rsid w:val="00F0538F"/>
    <w:rsid w:val="00F054C6"/>
    <w:rsid w:val="00F054CA"/>
    <w:rsid w:val="00F0552C"/>
    <w:rsid w:val="00F057DD"/>
    <w:rsid w:val="00F057F6"/>
    <w:rsid w:val="00F05804"/>
    <w:rsid w:val="00F058D0"/>
    <w:rsid w:val="00F058FC"/>
    <w:rsid w:val="00F05CA6"/>
    <w:rsid w:val="00F05CB1"/>
    <w:rsid w:val="00F05D66"/>
    <w:rsid w:val="00F05D70"/>
    <w:rsid w:val="00F05EFE"/>
    <w:rsid w:val="00F060AE"/>
    <w:rsid w:val="00F061CE"/>
    <w:rsid w:val="00F065CC"/>
    <w:rsid w:val="00F065DD"/>
    <w:rsid w:val="00F067AA"/>
    <w:rsid w:val="00F067FA"/>
    <w:rsid w:val="00F06957"/>
    <w:rsid w:val="00F06B10"/>
    <w:rsid w:val="00F06BE8"/>
    <w:rsid w:val="00F06C0E"/>
    <w:rsid w:val="00F06DAC"/>
    <w:rsid w:val="00F06F82"/>
    <w:rsid w:val="00F06FB9"/>
    <w:rsid w:val="00F070F6"/>
    <w:rsid w:val="00F07165"/>
    <w:rsid w:val="00F07377"/>
    <w:rsid w:val="00F07417"/>
    <w:rsid w:val="00F0762D"/>
    <w:rsid w:val="00F077B5"/>
    <w:rsid w:val="00F079FD"/>
    <w:rsid w:val="00F07A6A"/>
    <w:rsid w:val="00F07DA6"/>
    <w:rsid w:val="00F10060"/>
    <w:rsid w:val="00F101A9"/>
    <w:rsid w:val="00F10245"/>
    <w:rsid w:val="00F10450"/>
    <w:rsid w:val="00F1055D"/>
    <w:rsid w:val="00F10615"/>
    <w:rsid w:val="00F10BEB"/>
    <w:rsid w:val="00F10C3A"/>
    <w:rsid w:val="00F10C3B"/>
    <w:rsid w:val="00F10C44"/>
    <w:rsid w:val="00F10D36"/>
    <w:rsid w:val="00F10D80"/>
    <w:rsid w:val="00F10FA1"/>
    <w:rsid w:val="00F1100E"/>
    <w:rsid w:val="00F11030"/>
    <w:rsid w:val="00F11077"/>
    <w:rsid w:val="00F11249"/>
    <w:rsid w:val="00F1173C"/>
    <w:rsid w:val="00F11841"/>
    <w:rsid w:val="00F11869"/>
    <w:rsid w:val="00F11911"/>
    <w:rsid w:val="00F11D65"/>
    <w:rsid w:val="00F12045"/>
    <w:rsid w:val="00F12061"/>
    <w:rsid w:val="00F12098"/>
    <w:rsid w:val="00F1269D"/>
    <w:rsid w:val="00F1270A"/>
    <w:rsid w:val="00F127F8"/>
    <w:rsid w:val="00F12836"/>
    <w:rsid w:val="00F12A96"/>
    <w:rsid w:val="00F12C20"/>
    <w:rsid w:val="00F12E52"/>
    <w:rsid w:val="00F12F0C"/>
    <w:rsid w:val="00F12F51"/>
    <w:rsid w:val="00F12FAF"/>
    <w:rsid w:val="00F12FE0"/>
    <w:rsid w:val="00F1301B"/>
    <w:rsid w:val="00F13129"/>
    <w:rsid w:val="00F13191"/>
    <w:rsid w:val="00F13295"/>
    <w:rsid w:val="00F13338"/>
    <w:rsid w:val="00F13351"/>
    <w:rsid w:val="00F1341F"/>
    <w:rsid w:val="00F1372D"/>
    <w:rsid w:val="00F1378C"/>
    <w:rsid w:val="00F14242"/>
    <w:rsid w:val="00F1427C"/>
    <w:rsid w:val="00F14464"/>
    <w:rsid w:val="00F14645"/>
    <w:rsid w:val="00F14842"/>
    <w:rsid w:val="00F148C5"/>
    <w:rsid w:val="00F14ACD"/>
    <w:rsid w:val="00F14B50"/>
    <w:rsid w:val="00F14D40"/>
    <w:rsid w:val="00F14DF7"/>
    <w:rsid w:val="00F14F01"/>
    <w:rsid w:val="00F14F46"/>
    <w:rsid w:val="00F14F6D"/>
    <w:rsid w:val="00F15063"/>
    <w:rsid w:val="00F150AD"/>
    <w:rsid w:val="00F150EE"/>
    <w:rsid w:val="00F152BD"/>
    <w:rsid w:val="00F15627"/>
    <w:rsid w:val="00F15CBF"/>
    <w:rsid w:val="00F15DF6"/>
    <w:rsid w:val="00F15EAA"/>
    <w:rsid w:val="00F1635C"/>
    <w:rsid w:val="00F16391"/>
    <w:rsid w:val="00F164EB"/>
    <w:rsid w:val="00F1660A"/>
    <w:rsid w:val="00F16629"/>
    <w:rsid w:val="00F166A7"/>
    <w:rsid w:val="00F166DE"/>
    <w:rsid w:val="00F16732"/>
    <w:rsid w:val="00F16B8C"/>
    <w:rsid w:val="00F16C62"/>
    <w:rsid w:val="00F17402"/>
    <w:rsid w:val="00F17490"/>
    <w:rsid w:val="00F174B7"/>
    <w:rsid w:val="00F1786A"/>
    <w:rsid w:val="00F1792C"/>
    <w:rsid w:val="00F17938"/>
    <w:rsid w:val="00F179EC"/>
    <w:rsid w:val="00F17B6A"/>
    <w:rsid w:val="00F17C72"/>
    <w:rsid w:val="00F200A6"/>
    <w:rsid w:val="00F200E2"/>
    <w:rsid w:val="00F20264"/>
    <w:rsid w:val="00F2061E"/>
    <w:rsid w:val="00F2071A"/>
    <w:rsid w:val="00F20852"/>
    <w:rsid w:val="00F208FD"/>
    <w:rsid w:val="00F20C8B"/>
    <w:rsid w:val="00F20CC3"/>
    <w:rsid w:val="00F20D6F"/>
    <w:rsid w:val="00F20DA5"/>
    <w:rsid w:val="00F20DF4"/>
    <w:rsid w:val="00F20E1B"/>
    <w:rsid w:val="00F20EC4"/>
    <w:rsid w:val="00F211C7"/>
    <w:rsid w:val="00F21263"/>
    <w:rsid w:val="00F212F1"/>
    <w:rsid w:val="00F21375"/>
    <w:rsid w:val="00F21376"/>
    <w:rsid w:val="00F21579"/>
    <w:rsid w:val="00F2163A"/>
    <w:rsid w:val="00F216D2"/>
    <w:rsid w:val="00F216EF"/>
    <w:rsid w:val="00F21D1A"/>
    <w:rsid w:val="00F21F4F"/>
    <w:rsid w:val="00F22066"/>
    <w:rsid w:val="00F2215D"/>
    <w:rsid w:val="00F2236B"/>
    <w:rsid w:val="00F22854"/>
    <w:rsid w:val="00F22862"/>
    <w:rsid w:val="00F22BBB"/>
    <w:rsid w:val="00F22C89"/>
    <w:rsid w:val="00F22F58"/>
    <w:rsid w:val="00F22F7E"/>
    <w:rsid w:val="00F23086"/>
    <w:rsid w:val="00F23383"/>
    <w:rsid w:val="00F239E7"/>
    <w:rsid w:val="00F23A69"/>
    <w:rsid w:val="00F23A7B"/>
    <w:rsid w:val="00F23E9D"/>
    <w:rsid w:val="00F23FA0"/>
    <w:rsid w:val="00F24048"/>
    <w:rsid w:val="00F24204"/>
    <w:rsid w:val="00F242CC"/>
    <w:rsid w:val="00F24328"/>
    <w:rsid w:val="00F24351"/>
    <w:rsid w:val="00F2466F"/>
    <w:rsid w:val="00F24C06"/>
    <w:rsid w:val="00F24E2A"/>
    <w:rsid w:val="00F24FC6"/>
    <w:rsid w:val="00F254E3"/>
    <w:rsid w:val="00F25659"/>
    <w:rsid w:val="00F256C0"/>
    <w:rsid w:val="00F25707"/>
    <w:rsid w:val="00F2576F"/>
    <w:rsid w:val="00F2599C"/>
    <w:rsid w:val="00F259CC"/>
    <w:rsid w:val="00F25AFF"/>
    <w:rsid w:val="00F25C14"/>
    <w:rsid w:val="00F25CAA"/>
    <w:rsid w:val="00F25FDE"/>
    <w:rsid w:val="00F2604D"/>
    <w:rsid w:val="00F260EC"/>
    <w:rsid w:val="00F262DE"/>
    <w:rsid w:val="00F2661C"/>
    <w:rsid w:val="00F266D6"/>
    <w:rsid w:val="00F26B75"/>
    <w:rsid w:val="00F26D15"/>
    <w:rsid w:val="00F26E1D"/>
    <w:rsid w:val="00F26E65"/>
    <w:rsid w:val="00F26E7E"/>
    <w:rsid w:val="00F271AA"/>
    <w:rsid w:val="00F272E9"/>
    <w:rsid w:val="00F27356"/>
    <w:rsid w:val="00F273A3"/>
    <w:rsid w:val="00F273A4"/>
    <w:rsid w:val="00F27836"/>
    <w:rsid w:val="00F2790D"/>
    <w:rsid w:val="00F279CA"/>
    <w:rsid w:val="00F27BF8"/>
    <w:rsid w:val="00F27CD0"/>
    <w:rsid w:val="00F27FBB"/>
    <w:rsid w:val="00F30228"/>
    <w:rsid w:val="00F30301"/>
    <w:rsid w:val="00F30444"/>
    <w:rsid w:val="00F305EC"/>
    <w:rsid w:val="00F306E9"/>
    <w:rsid w:val="00F30829"/>
    <w:rsid w:val="00F308ED"/>
    <w:rsid w:val="00F30D0C"/>
    <w:rsid w:val="00F30F2B"/>
    <w:rsid w:val="00F31107"/>
    <w:rsid w:val="00F3112D"/>
    <w:rsid w:val="00F311D1"/>
    <w:rsid w:val="00F31353"/>
    <w:rsid w:val="00F313C9"/>
    <w:rsid w:val="00F3157A"/>
    <w:rsid w:val="00F3157E"/>
    <w:rsid w:val="00F31675"/>
    <w:rsid w:val="00F31734"/>
    <w:rsid w:val="00F3174E"/>
    <w:rsid w:val="00F3178C"/>
    <w:rsid w:val="00F31897"/>
    <w:rsid w:val="00F319D4"/>
    <w:rsid w:val="00F31D5C"/>
    <w:rsid w:val="00F31E9B"/>
    <w:rsid w:val="00F31F51"/>
    <w:rsid w:val="00F31FEF"/>
    <w:rsid w:val="00F323B1"/>
    <w:rsid w:val="00F3260E"/>
    <w:rsid w:val="00F3274C"/>
    <w:rsid w:val="00F32892"/>
    <w:rsid w:val="00F3290A"/>
    <w:rsid w:val="00F3293D"/>
    <w:rsid w:val="00F329C7"/>
    <w:rsid w:val="00F32AA0"/>
    <w:rsid w:val="00F32AD1"/>
    <w:rsid w:val="00F32C4A"/>
    <w:rsid w:val="00F32EFF"/>
    <w:rsid w:val="00F33077"/>
    <w:rsid w:val="00F3313F"/>
    <w:rsid w:val="00F331C3"/>
    <w:rsid w:val="00F33298"/>
    <w:rsid w:val="00F3330A"/>
    <w:rsid w:val="00F333A9"/>
    <w:rsid w:val="00F33942"/>
    <w:rsid w:val="00F33B3A"/>
    <w:rsid w:val="00F33D19"/>
    <w:rsid w:val="00F33E51"/>
    <w:rsid w:val="00F33F28"/>
    <w:rsid w:val="00F34040"/>
    <w:rsid w:val="00F3410A"/>
    <w:rsid w:val="00F341D5"/>
    <w:rsid w:val="00F3430C"/>
    <w:rsid w:val="00F345D8"/>
    <w:rsid w:val="00F34601"/>
    <w:rsid w:val="00F3460C"/>
    <w:rsid w:val="00F34639"/>
    <w:rsid w:val="00F34705"/>
    <w:rsid w:val="00F347A8"/>
    <w:rsid w:val="00F34816"/>
    <w:rsid w:val="00F34A6E"/>
    <w:rsid w:val="00F34D17"/>
    <w:rsid w:val="00F34EE7"/>
    <w:rsid w:val="00F34F4C"/>
    <w:rsid w:val="00F3505E"/>
    <w:rsid w:val="00F35400"/>
    <w:rsid w:val="00F35455"/>
    <w:rsid w:val="00F356E9"/>
    <w:rsid w:val="00F358EC"/>
    <w:rsid w:val="00F358FE"/>
    <w:rsid w:val="00F35A35"/>
    <w:rsid w:val="00F35B9B"/>
    <w:rsid w:val="00F35BD1"/>
    <w:rsid w:val="00F35F16"/>
    <w:rsid w:val="00F36085"/>
    <w:rsid w:val="00F360A8"/>
    <w:rsid w:val="00F36148"/>
    <w:rsid w:val="00F3618F"/>
    <w:rsid w:val="00F361D2"/>
    <w:rsid w:val="00F362B3"/>
    <w:rsid w:val="00F36371"/>
    <w:rsid w:val="00F363FF"/>
    <w:rsid w:val="00F366B7"/>
    <w:rsid w:val="00F36744"/>
    <w:rsid w:val="00F36BD4"/>
    <w:rsid w:val="00F36DF7"/>
    <w:rsid w:val="00F370F0"/>
    <w:rsid w:val="00F371A4"/>
    <w:rsid w:val="00F37228"/>
    <w:rsid w:val="00F373A7"/>
    <w:rsid w:val="00F37594"/>
    <w:rsid w:val="00F379EB"/>
    <w:rsid w:val="00F37AB3"/>
    <w:rsid w:val="00F37B99"/>
    <w:rsid w:val="00F37BAD"/>
    <w:rsid w:val="00F37C13"/>
    <w:rsid w:val="00F37D01"/>
    <w:rsid w:val="00F37F56"/>
    <w:rsid w:val="00F397D4"/>
    <w:rsid w:val="00F400D6"/>
    <w:rsid w:val="00F402EA"/>
    <w:rsid w:val="00F4035A"/>
    <w:rsid w:val="00F404C6"/>
    <w:rsid w:val="00F40B17"/>
    <w:rsid w:val="00F40B88"/>
    <w:rsid w:val="00F40D0B"/>
    <w:rsid w:val="00F40D25"/>
    <w:rsid w:val="00F40D48"/>
    <w:rsid w:val="00F40D74"/>
    <w:rsid w:val="00F41051"/>
    <w:rsid w:val="00F4110D"/>
    <w:rsid w:val="00F4128A"/>
    <w:rsid w:val="00F413C2"/>
    <w:rsid w:val="00F416A8"/>
    <w:rsid w:val="00F41895"/>
    <w:rsid w:val="00F41954"/>
    <w:rsid w:val="00F41B11"/>
    <w:rsid w:val="00F41E6F"/>
    <w:rsid w:val="00F41E77"/>
    <w:rsid w:val="00F41F69"/>
    <w:rsid w:val="00F41FD3"/>
    <w:rsid w:val="00F4219B"/>
    <w:rsid w:val="00F421F1"/>
    <w:rsid w:val="00F42280"/>
    <w:rsid w:val="00F422BC"/>
    <w:rsid w:val="00F42351"/>
    <w:rsid w:val="00F42389"/>
    <w:rsid w:val="00F426AA"/>
    <w:rsid w:val="00F42AC9"/>
    <w:rsid w:val="00F42AFE"/>
    <w:rsid w:val="00F42BEE"/>
    <w:rsid w:val="00F42FF1"/>
    <w:rsid w:val="00F432D4"/>
    <w:rsid w:val="00F433C4"/>
    <w:rsid w:val="00F434AC"/>
    <w:rsid w:val="00F434BF"/>
    <w:rsid w:val="00F43624"/>
    <w:rsid w:val="00F439E4"/>
    <w:rsid w:val="00F43A77"/>
    <w:rsid w:val="00F43AD1"/>
    <w:rsid w:val="00F43C55"/>
    <w:rsid w:val="00F43D92"/>
    <w:rsid w:val="00F43FDF"/>
    <w:rsid w:val="00F44184"/>
    <w:rsid w:val="00F4422A"/>
    <w:rsid w:val="00F44295"/>
    <w:rsid w:val="00F4432E"/>
    <w:rsid w:val="00F44489"/>
    <w:rsid w:val="00F44590"/>
    <w:rsid w:val="00F446DB"/>
    <w:rsid w:val="00F44742"/>
    <w:rsid w:val="00F44965"/>
    <w:rsid w:val="00F44A74"/>
    <w:rsid w:val="00F44A90"/>
    <w:rsid w:val="00F44CA1"/>
    <w:rsid w:val="00F45019"/>
    <w:rsid w:val="00F451F5"/>
    <w:rsid w:val="00F455D2"/>
    <w:rsid w:val="00F458CC"/>
    <w:rsid w:val="00F45B35"/>
    <w:rsid w:val="00F45C7B"/>
    <w:rsid w:val="00F45E79"/>
    <w:rsid w:val="00F4604E"/>
    <w:rsid w:val="00F4605A"/>
    <w:rsid w:val="00F4612E"/>
    <w:rsid w:val="00F46182"/>
    <w:rsid w:val="00F461A8"/>
    <w:rsid w:val="00F4669E"/>
    <w:rsid w:val="00F46725"/>
    <w:rsid w:val="00F4680F"/>
    <w:rsid w:val="00F46A0C"/>
    <w:rsid w:val="00F46D2F"/>
    <w:rsid w:val="00F46F04"/>
    <w:rsid w:val="00F46FF8"/>
    <w:rsid w:val="00F4768F"/>
    <w:rsid w:val="00F477ED"/>
    <w:rsid w:val="00F47907"/>
    <w:rsid w:val="00F47A94"/>
    <w:rsid w:val="00F47D25"/>
    <w:rsid w:val="00F47DC1"/>
    <w:rsid w:val="00F47EFD"/>
    <w:rsid w:val="00F508A5"/>
    <w:rsid w:val="00F50911"/>
    <w:rsid w:val="00F509D2"/>
    <w:rsid w:val="00F50A84"/>
    <w:rsid w:val="00F50AC5"/>
    <w:rsid w:val="00F50B40"/>
    <w:rsid w:val="00F512E1"/>
    <w:rsid w:val="00F51676"/>
    <w:rsid w:val="00F51AC1"/>
    <w:rsid w:val="00F51B36"/>
    <w:rsid w:val="00F51CBD"/>
    <w:rsid w:val="00F51CD3"/>
    <w:rsid w:val="00F51EBE"/>
    <w:rsid w:val="00F51FA5"/>
    <w:rsid w:val="00F52143"/>
    <w:rsid w:val="00F5240E"/>
    <w:rsid w:val="00F526D1"/>
    <w:rsid w:val="00F5288F"/>
    <w:rsid w:val="00F528A3"/>
    <w:rsid w:val="00F529E3"/>
    <w:rsid w:val="00F52A33"/>
    <w:rsid w:val="00F52D73"/>
    <w:rsid w:val="00F52E2C"/>
    <w:rsid w:val="00F53141"/>
    <w:rsid w:val="00F532A6"/>
    <w:rsid w:val="00F53313"/>
    <w:rsid w:val="00F5341A"/>
    <w:rsid w:val="00F5368E"/>
    <w:rsid w:val="00F53718"/>
    <w:rsid w:val="00F53AE7"/>
    <w:rsid w:val="00F53C59"/>
    <w:rsid w:val="00F53CA2"/>
    <w:rsid w:val="00F542AB"/>
    <w:rsid w:val="00F543E3"/>
    <w:rsid w:val="00F547E8"/>
    <w:rsid w:val="00F549D7"/>
    <w:rsid w:val="00F54A78"/>
    <w:rsid w:val="00F54A8A"/>
    <w:rsid w:val="00F54E15"/>
    <w:rsid w:val="00F54EBB"/>
    <w:rsid w:val="00F5508F"/>
    <w:rsid w:val="00F5517F"/>
    <w:rsid w:val="00F55346"/>
    <w:rsid w:val="00F553ED"/>
    <w:rsid w:val="00F5553E"/>
    <w:rsid w:val="00F555E0"/>
    <w:rsid w:val="00F5573B"/>
    <w:rsid w:val="00F55B52"/>
    <w:rsid w:val="00F55B9B"/>
    <w:rsid w:val="00F55C90"/>
    <w:rsid w:val="00F55D86"/>
    <w:rsid w:val="00F55E8C"/>
    <w:rsid w:val="00F5621B"/>
    <w:rsid w:val="00F5640A"/>
    <w:rsid w:val="00F564E6"/>
    <w:rsid w:val="00F5659A"/>
    <w:rsid w:val="00F565B1"/>
    <w:rsid w:val="00F56855"/>
    <w:rsid w:val="00F5696C"/>
    <w:rsid w:val="00F56ACB"/>
    <w:rsid w:val="00F56ED9"/>
    <w:rsid w:val="00F5703C"/>
    <w:rsid w:val="00F570A9"/>
    <w:rsid w:val="00F57197"/>
    <w:rsid w:val="00F57397"/>
    <w:rsid w:val="00F573CC"/>
    <w:rsid w:val="00F573F1"/>
    <w:rsid w:val="00F574C6"/>
    <w:rsid w:val="00F5751D"/>
    <w:rsid w:val="00F575A5"/>
    <w:rsid w:val="00F575AE"/>
    <w:rsid w:val="00F5762C"/>
    <w:rsid w:val="00F57681"/>
    <w:rsid w:val="00F57C7B"/>
    <w:rsid w:val="00F57DEA"/>
    <w:rsid w:val="00F600FA"/>
    <w:rsid w:val="00F6048F"/>
    <w:rsid w:val="00F604B5"/>
    <w:rsid w:val="00F608F4"/>
    <w:rsid w:val="00F60A48"/>
    <w:rsid w:val="00F60A98"/>
    <w:rsid w:val="00F60C82"/>
    <w:rsid w:val="00F60D0F"/>
    <w:rsid w:val="00F60EB5"/>
    <w:rsid w:val="00F60F53"/>
    <w:rsid w:val="00F60FA2"/>
    <w:rsid w:val="00F61194"/>
    <w:rsid w:val="00F612FF"/>
    <w:rsid w:val="00F613F0"/>
    <w:rsid w:val="00F614CD"/>
    <w:rsid w:val="00F616F2"/>
    <w:rsid w:val="00F61801"/>
    <w:rsid w:val="00F61835"/>
    <w:rsid w:val="00F61B60"/>
    <w:rsid w:val="00F61BBE"/>
    <w:rsid w:val="00F61D19"/>
    <w:rsid w:val="00F61D6E"/>
    <w:rsid w:val="00F61E21"/>
    <w:rsid w:val="00F6205F"/>
    <w:rsid w:val="00F62246"/>
    <w:rsid w:val="00F622FC"/>
    <w:rsid w:val="00F625B1"/>
    <w:rsid w:val="00F628B1"/>
    <w:rsid w:val="00F62B79"/>
    <w:rsid w:val="00F62B7C"/>
    <w:rsid w:val="00F62E59"/>
    <w:rsid w:val="00F63015"/>
    <w:rsid w:val="00F630DA"/>
    <w:rsid w:val="00F632F6"/>
    <w:rsid w:val="00F6354C"/>
    <w:rsid w:val="00F636E0"/>
    <w:rsid w:val="00F63A68"/>
    <w:rsid w:val="00F63ED5"/>
    <w:rsid w:val="00F63FCF"/>
    <w:rsid w:val="00F64012"/>
    <w:rsid w:val="00F6409F"/>
    <w:rsid w:val="00F64234"/>
    <w:rsid w:val="00F6439C"/>
    <w:rsid w:val="00F644BB"/>
    <w:rsid w:val="00F647A7"/>
    <w:rsid w:val="00F647FE"/>
    <w:rsid w:val="00F648F0"/>
    <w:rsid w:val="00F64B42"/>
    <w:rsid w:val="00F64BD9"/>
    <w:rsid w:val="00F64CBE"/>
    <w:rsid w:val="00F64D9B"/>
    <w:rsid w:val="00F650C4"/>
    <w:rsid w:val="00F6518D"/>
    <w:rsid w:val="00F652B8"/>
    <w:rsid w:val="00F6544D"/>
    <w:rsid w:val="00F6553D"/>
    <w:rsid w:val="00F65682"/>
    <w:rsid w:val="00F65686"/>
    <w:rsid w:val="00F65886"/>
    <w:rsid w:val="00F65A37"/>
    <w:rsid w:val="00F65B0D"/>
    <w:rsid w:val="00F65BD9"/>
    <w:rsid w:val="00F65E84"/>
    <w:rsid w:val="00F65EF5"/>
    <w:rsid w:val="00F65F40"/>
    <w:rsid w:val="00F66197"/>
    <w:rsid w:val="00F662C0"/>
    <w:rsid w:val="00F6635E"/>
    <w:rsid w:val="00F6649E"/>
    <w:rsid w:val="00F664E4"/>
    <w:rsid w:val="00F6690B"/>
    <w:rsid w:val="00F66940"/>
    <w:rsid w:val="00F66BA4"/>
    <w:rsid w:val="00F66C81"/>
    <w:rsid w:val="00F66D43"/>
    <w:rsid w:val="00F66DA6"/>
    <w:rsid w:val="00F66DE0"/>
    <w:rsid w:val="00F66DE7"/>
    <w:rsid w:val="00F66EBA"/>
    <w:rsid w:val="00F67160"/>
    <w:rsid w:val="00F6720A"/>
    <w:rsid w:val="00F6720C"/>
    <w:rsid w:val="00F6727F"/>
    <w:rsid w:val="00F674CD"/>
    <w:rsid w:val="00F6751A"/>
    <w:rsid w:val="00F67699"/>
    <w:rsid w:val="00F6780C"/>
    <w:rsid w:val="00F678AE"/>
    <w:rsid w:val="00F6790A"/>
    <w:rsid w:val="00F67B2B"/>
    <w:rsid w:val="00F67B9F"/>
    <w:rsid w:val="00F67D9B"/>
    <w:rsid w:val="00F7002E"/>
    <w:rsid w:val="00F7007A"/>
    <w:rsid w:val="00F70163"/>
    <w:rsid w:val="00F701BB"/>
    <w:rsid w:val="00F70282"/>
    <w:rsid w:val="00F702BE"/>
    <w:rsid w:val="00F702FD"/>
    <w:rsid w:val="00F70399"/>
    <w:rsid w:val="00F70535"/>
    <w:rsid w:val="00F70573"/>
    <w:rsid w:val="00F70615"/>
    <w:rsid w:val="00F7061A"/>
    <w:rsid w:val="00F70860"/>
    <w:rsid w:val="00F70CA3"/>
    <w:rsid w:val="00F711F0"/>
    <w:rsid w:val="00F71298"/>
    <w:rsid w:val="00F7138A"/>
    <w:rsid w:val="00F713BE"/>
    <w:rsid w:val="00F7159E"/>
    <w:rsid w:val="00F7170F"/>
    <w:rsid w:val="00F718E8"/>
    <w:rsid w:val="00F71EE8"/>
    <w:rsid w:val="00F720E4"/>
    <w:rsid w:val="00F721A5"/>
    <w:rsid w:val="00F724C5"/>
    <w:rsid w:val="00F72736"/>
    <w:rsid w:val="00F72786"/>
    <w:rsid w:val="00F72845"/>
    <w:rsid w:val="00F728A7"/>
    <w:rsid w:val="00F728D7"/>
    <w:rsid w:val="00F729AB"/>
    <w:rsid w:val="00F72C25"/>
    <w:rsid w:val="00F72CCC"/>
    <w:rsid w:val="00F72CDF"/>
    <w:rsid w:val="00F72CE6"/>
    <w:rsid w:val="00F72FD7"/>
    <w:rsid w:val="00F73356"/>
    <w:rsid w:val="00F734EC"/>
    <w:rsid w:val="00F73617"/>
    <w:rsid w:val="00F736C5"/>
    <w:rsid w:val="00F736F8"/>
    <w:rsid w:val="00F73757"/>
    <w:rsid w:val="00F73934"/>
    <w:rsid w:val="00F73AE6"/>
    <w:rsid w:val="00F73AEA"/>
    <w:rsid w:val="00F73B5A"/>
    <w:rsid w:val="00F73ED5"/>
    <w:rsid w:val="00F74189"/>
    <w:rsid w:val="00F74339"/>
    <w:rsid w:val="00F747C4"/>
    <w:rsid w:val="00F74902"/>
    <w:rsid w:val="00F74A17"/>
    <w:rsid w:val="00F74B5F"/>
    <w:rsid w:val="00F74CB2"/>
    <w:rsid w:val="00F75049"/>
    <w:rsid w:val="00F75625"/>
    <w:rsid w:val="00F7566A"/>
    <w:rsid w:val="00F75B8E"/>
    <w:rsid w:val="00F75DD9"/>
    <w:rsid w:val="00F75EC5"/>
    <w:rsid w:val="00F75F55"/>
    <w:rsid w:val="00F75FC6"/>
    <w:rsid w:val="00F7602C"/>
    <w:rsid w:val="00F761A2"/>
    <w:rsid w:val="00F7646D"/>
    <w:rsid w:val="00F76498"/>
    <w:rsid w:val="00F7660F"/>
    <w:rsid w:val="00F7675B"/>
    <w:rsid w:val="00F76B6F"/>
    <w:rsid w:val="00F76CD6"/>
    <w:rsid w:val="00F76EF2"/>
    <w:rsid w:val="00F76FBB"/>
    <w:rsid w:val="00F77013"/>
    <w:rsid w:val="00F77069"/>
    <w:rsid w:val="00F770F2"/>
    <w:rsid w:val="00F77110"/>
    <w:rsid w:val="00F77446"/>
    <w:rsid w:val="00F774D5"/>
    <w:rsid w:val="00F7757A"/>
    <w:rsid w:val="00F776A1"/>
    <w:rsid w:val="00F776F7"/>
    <w:rsid w:val="00F7778D"/>
    <w:rsid w:val="00F778D1"/>
    <w:rsid w:val="00F77923"/>
    <w:rsid w:val="00F77B40"/>
    <w:rsid w:val="00F77CB6"/>
    <w:rsid w:val="00F77E72"/>
    <w:rsid w:val="00F77E9D"/>
    <w:rsid w:val="00F77EED"/>
    <w:rsid w:val="00F8010D"/>
    <w:rsid w:val="00F80277"/>
    <w:rsid w:val="00F8033C"/>
    <w:rsid w:val="00F803E1"/>
    <w:rsid w:val="00F80683"/>
    <w:rsid w:val="00F80764"/>
    <w:rsid w:val="00F80CED"/>
    <w:rsid w:val="00F80F49"/>
    <w:rsid w:val="00F80FBB"/>
    <w:rsid w:val="00F8124E"/>
    <w:rsid w:val="00F8126E"/>
    <w:rsid w:val="00F816CD"/>
    <w:rsid w:val="00F818CC"/>
    <w:rsid w:val="00F81A6C"/>
    <w:rsid w:val="00F81C4E"/>
    <w:rsid w:val="00F81C7E"/>
    <w:rsid w:val="00F81D2A"/>
    <w:rsid w:val="00F8231F"/>
    <w:rsid w:val="00F823F5"/>
    <w:rsid w:val="00F825CC"/>
    <w:rsid w:val="00F827D8"/>
    <w:rsid w:val="00F828BE"/>
    <w:rsid w:val="00F82979"/>
    <w:rsid w:val="00F8299E"/>
    <w:rsid w:val="00F82B35"/>
    <w:rsid w:val="00F82CB2"/>
    <w:rsid w:val="00F82CD8"/>
    <w:rsid w:val="00F82D8E"/>
    <w:rsid w:val="00F82DD5"/>
    <w:rsid w:val="00F82E28"/>
    <w:rsid w:val="00F82ED4"/>
    <w:rsid w:val="00F83371"/>
    <w:rsid w:val="00F8353C"/>
    <w:rsid w:val="00F83904"/>
    <w:rsid w:val="00F83964"/>
    <w:rsid w:val="00F839DE"/>
    <w:rsid w:val="00F83A49"/>
    <w:rsid w:val="00F83AAB"/>
    <w:rsid w:val="00F83BBE"/>
    <w:rsid w:val="00F83BCB"/>
    <w:rsid w:val="00F83C74"/>
    <w:rsid w:val="00F83FD9"/>
    <w:rsid w:val="00F840BB"/>
    <w:rsid w:val="00F844AC"/>
    <w:rsid w:val="00F845BF"/>
    <w:rsid w:val="00F84756"/>
    <w:rsid w:val="00F8476D"/>
    <w:rsid w:val="00F84CBC"/>
    <w:rsid w:val="00F85065"/>
    <w:rsid w:val="00F8519C"/>
    <w:rsid w:val="00F85287"/>
    <w:rsid w:val="00F85412"/>
    <w:rsid w:val="00F854F7"/>
    <w:rsid w:val="00F85539"/>
    <w:rsid w:val="00F855E9"/>
    <w:rsid w:val="00F856E4"/>
    <w:rsid w:val="00F856FD"/>
    <w:rsid w:val="00F85868"/>
    <w:rsid w:val="00F85889"/>
    <w:rsid w:val="00F85921"/>
    <w:rsid w:val="00F85962"/>
    <w:rsid w:val="00F85B3A"/>
    <w:rsid w:val="00F85C32"/>
    <w:rsid w:val="00F85D26"/>
    <w:rsid w:val="00F85E41"/>
    <w:rsid w:val="00F85F48"/>
    <w:rsid w:val="00F85F52"/>
    <w:rsid w:val="00F85FDD"/>
    <w:rsid w:val="00F85FFF"/>
    <w:rsid w:val="00F86217"/>
    <w:rsid w:val="00F86272"/>
    <w:rsid w:val="00F86406"/>
    <w:rsid w:val="00F864F6"/>
    <w:rsid w:val="00F86553"/>
    <w:rsid w:val="00F86574"/>
    <w:rsid w:val="00F86581"/>
    <w:rsid w:val="00F86589"/>
    <w:rsid w:val="00F867AB"/>
    <w:rsid w:val="00F867CD"/>
    <w:rsid w:val="00F86814"/>
    <w:rsid w:val="00F86962"/>
    <w:rsid w:val="00F869DC"/>
    <w:rsid w:val="00F869FA"/>
    <w:rsid w:val="00F86B54"/>
    <w:rsid w:val="00F86B7B"/>
    <w:rsid w:val="00F86B7D"/>
    <w:rsid w:val="00F86F65"/>
    <w:rsid w:val="00F87245"/>
    <w:rsid w:val="00F87488"/>
    <w:rsid w:val="00F87532"/>
    <w:rsid w:val="00F875A8"/>
    <w:rsid w:val="00F87674"/>
    <w:rsid w:val="00F87842"/>
    <w:rsid w:val="00F87982"/>
    <w:rsid w:val="00F903DF"/>
    <w:rsid w:val="00F9047C"/>
    <w:rsid w:val="00F904BF"/>
    <w:rsid w:val="00F90664"/>
    <w:rsid w:val="00F90787"/>
    <w:rsid w:val="00F908D6"/>
    <w:rsid w:val="00F90AF1"/>
    <w:rsid w:val="00F90AFA"/>
    <w:rsid w:val="00F90B98"/>
    <w:rsid w:val="00F90BCC"/>
    <w:rsid w:val="00F90D48"/>
    <w:rsid w:val="00F90E04"/>
    <w:rsid w:val="00F9106F"/>
    <w:rsid w:val="00F913DD"/>
    <w:rsid w:val="00F91436"/>
    <w:rsid w:val="00F914FC"/>
    <w:rsid w:val="00F91613"/>
    <w:rsid w:val="00F91C2D"/>
    <w:rsid w:val="00F91F8E"/>
    <w:rsid w:val="00F91FD4"/>
    <w:rsid w:val="00F92030"/>
    <w:rsid w:val="00F92134"/>
    <w:rsid w:val="00F9224A"/>
    <w:rsid w:val="00F923E8"/>
    <w:rsid w:val="00F929EB"/>
    <w:rsid w:val="00F92A64"/>
    <w:rsid w:val="00F92BA3"/>
    <w:rsid w:val="00F92EC4"/>
    <w:rsid w:val="00F92EE0"/>
    <w:rsid w:val="00F930A2"/>
    <w:rsid w:val="00F931C3"/>
    <w:rsid w:val="00F93385"/>
    <w:rsid w:val="00F933CE"/>
    <w:rsid w:val="00F9361E"/>
    <w:rsid w:val="00F93753"/>
    <w:rsid w:val="00F937D9"/>
    <w:rsid w:val="00F93966"/>
    <w:rsid w:val="00F94122"/>
    <w:rsid w:val="00F941A3"/>
    <w:rsid w:val="00F9429F"/>
    <w:rsid w:val="00F943B0"/>
    <w:rsid w:val="00F94590"/>
    <w:rsid w:val="00F9472D"/>
    <w:rsid w:val="00F947D7"/>
    <w:rsid w:val="00F94826"/>
    <w:rsid w:val="00F94A93"/>
    <w:rsid w:val="00F94AD5"/>
    <w:rsid w:val="00F94E8A"/>
    <w:rsid w:val="00F94F26"/>
    <w:rsid w:val="00F9514D"/>
    <w:rsid w:val="00F951E9"/>
    <w:rsid w:val="00F955BD"/>
    <w:rsid w:val="00F9570B"/>
    <w:rsid w:val="00F95742"/>
    <w:rsid w:val="00F95745"/>
    <w:rsid w:val="00F95898"/>
    <w:rsid w:val="00F9591D"/>
    <w:rsid w:val="00F95A1D"/>
    <w:rsid w:val="00F95A55"/>
    <w:rsid w:val="00F95B55"/>
    <w:rsid w:val="00F95C14"/>
    <w:rsid w:val="00F95E4F"/>
    <w:rsid w:val="00F95ECF"/>
    <w:rsid w:val="00F961A5"/>
    <w:rsid w:val="00F961A7"/>
    <w:rsid w:val="00F961F7"/>
    <w:rsid w:val="00F963B7"/>
    <w:rsid w:val="00F96594"/>
    <w:rsid w:val="00F9666E"/>
    <w:rsid w:val="00F96711"/>
    <w:rsid w:val="00F96821"/>
    <w:rsid w:val="00F969A6"/>
    <w:rsid w:val="00F969F0"/>
    <w:rsid w:val="00F96A86"/>
    <w:rsid w:val="00F96AB3"/>
    <w:rsid w:val="00F96AF0"/>
    <w:rsid w:val="00F96B98"/>
    <w:rsid w:val="00F96C3D"/>
    <w:rsid w:val="00F96F4C"/>
    <w:rsid w:val="00F97221"/>
    <w:rsid w:val="00F9750D"/>
    <w:rsid w:val="00F97550"/>
    <w:rsid w:val="00F9798F"/>
    <w:rsid w:val="00F97BCC"/>
    <w:rsid w:val="00F97D79"/>
    <w:rsid w:val="00F97ED3"/>
    <w:rsid w:val="00FA001F"/>
    <w:rsid w:val="00FA00BC"/>
    <w:rsid w:val="00FA01AE"/>
    <w:rsid w:val="00FA0233"/>
    <w:rsid w:val="00FA0292"/>
    <w:rsid w:val="00FA044A"/>
    <w:rsid w:val="00FA05C0"/>
    <w:rsid w:val="00FA06A3"/>
    <w:rsid w:val="00FA06FC"/>
    <w:rsid w:val="00FA0766"/>
    <w:rsid w:val="00FA07DD"/>
    <w:rsid w:val="00FA0C43"/>
    <w:rsid w:val="00FA0F9A"/>
    <w:rsid w:val="00FA103A"/>
    <w:rsid w:val="00FA10FB"/>
    <w:rsid w:val="00FA12E4"/>
    <w:rsid w:val="00FA130E"/>
    <w:rsid w:val="00FA1402"/>
    <w:rsid w:val="00FA16A3"/>
    <w:rsid w:val="00FA181A"/>
    <w:rsid w:val="00FA1849"/>
    <w:rsid w:val="00FA1C35"/>
    <w:rsid w:val="00FA1CCF"/>
    <w:rsid w:val="00FA1F66"/>
    <w:rsid w:val="00FA2110"/>
    <w:rsid w:val="00FA218C"/>
    <w:rsid w:val="00FA226D"/>
    <w:rsid w:val="00FA24F3"/>
    <w:rsid w:val="00FA2694"/>
    <w:rsid w:val="00FA2A6C"/>
    <w:rsid w:val="00FA2AD8"/>
    <w:rsid w:val="00FA2B29"/>
    <w:rsid w:val="00FA2DA1"/>
    <w:rsid w:val="00FA2EF8"/>
    <w:rsid w:val="00FA2EFA"/>
    <w:rsid w:val="00FA2FDA"/>
    <w:rsid w:val="00FA31D3"/>
    <w:rsid w:val="00FA350E"/>
    <w:rsid w:val="00FA35D2"/>
    <w:rsid w:val="00FA362A"/>
    <w:rsid w:val="00FA36E5"/>
    <w:rsid w:val="00FA3775"/>
    <w:rsid w:val="00FA3B45"/>
    <w:rsid w:val="00FA3E2B"/>
    <w:rsid w:val="00FA4131"/>
    <w:rsid w:val="00FA4364"/>
    <w:rsid w:val="00FA4369"/>
    <w:rsid w:val="00FA43FB"/>
    <w:rsid w:val="00FA475B"/>
    <w:rsid w:val="00FA4874"/>
    <w:rsid w:val="00FA4CD4"/>
    <w:rsid w:val="00FA4D46"/>
    <w:rsid w:val="00FA4E33"/>
    <w:rsid w:val="00FA4E85"/>
    <w:rsid w:val="00FA4FF4"/>
    <w:rsid w:val="00FA50D2"/>
    <w:rsid w:val="00FA5351"/>
    <w:rsid w:val="00FA5438"/>
    <w:rsid w:val="00FA5ABB"/>
    <w:rsid w:val="00FA5ACA"/>
    <w:rsid w:val="00FA5B6D"/>
    <w:rsid w:val="00FA5E7D"/>
    <w:rsid w:val="00FA615F"/>
    <w:rsid w:val="00FA61C6"/>
    <w:rsid w:val="00FA634F"/>
    <w:rsid w:val="00FA64CC"/>
    <w:rsid w:val="00FA65BA"/>
    <w:rsid w:val="00FA66F4"/>
    <w:rsid w:val="00FA6738"/>
    <w:rsid w:val="00FA675F"/>
    <w:rsid w:val="00FA6862"/>
    <w:rsid w:val="00FA6A32"/>
    <w:rsid w:val="00FA6B07"/>
    <w:rsid w:val="00FA6BE5"/>
    <w:rsid w:val="00FA6BFA"/>
    <w:rsid w:val="00FA6D10"/>
    <w:rsid w:val="00FA6EAB"/>
    <w:rsid w:val="00FA6F73"/>
    <w:rsid w:val="00FA6FD9"/>
    <w:rsid w:val="00FA6FE2"/>
    <w:rsid w:val="00FA70FE"/>
    <w:rsid w:val="00FA71A3"/>
    <w:rsid w:val="00FA71B4"/>
    <w:rsid w:val="00FA73E1"/>
    <w:rsid w:val="00FA748E"/>
    <w:rsid w:val="00FA75A9"/>
    <w:rsid w:val="00FA769D"/>
    <w:rsid w:val="00FA7835"/>
    <w:rsid w:val="00FA78D0"/>
    <w:rsid w:val="00FA79AF"/>
    <w:rsid w:val="00FA7AF1"/>
    <w:rsid w:val="00FA7C9D"/>
    <w:rsid w:val="00FA7E7A"/>
    <w:rsid w:val="00FA7F24"/>
    <w:rsid w:val="00FB0385"/>
    <w:rsid w:val="00FB03D5"/>
    <w:rsid w:val="00FB069F"/>
    <w:rsid w:val="00FB092D"/>
    <w:rsid w:val="00FB0978"/>
    <w:rsid w:val="00FB0B58"/>
    <w:rsid w:val="00FB0C36"/>
    <w:rsid w:val="00FB0C4A"/>
    <w:rsid w:val="00FB0D45"/>
    <w:rsid w:val="00FB154C"/>
    <w:rsid w:val="00FB17E6"/>
    <w:rsid w:val="00FB19FB"/>
    <w:rsid w:val="00FB1B89"/>
    <w:rsid w:val="00FB1C9A"/>
    <w:rsid w:val="00FB1E8A"/>
    <w:rsid w:val="00FB20A0"/>
    <w:rsid w:val="00FB20B0"/>
    <w:rsid w:val="00FB210A"/>
    <w:rsid w:val="00FB2462"/>
    <w:rsid w:val="00FB2627"/>
    <w:rsid w:val="00FB265A"/>
    <w:rsid w:val="00FB26A1"/>
    <w:rsid w:val="00FB28F1"/>
    <w:rsid w:val="00FB2B0C"/>
    <w:rsid w:val="00FB2BAE"/>
    <w:rsid w:val="00FB2C8B"/>
    <w:rsid w:val="00FB2D17"/>
    <w:rsid w:val="00FB2D52"/>
    <w:rsid w:val="00FB2EAF"/>
    <w:rsid w:val="00FB2EF9"/>
    <w:rsid w:val="00FB2F06"/>
    <w:rsid w:val="00FB2FD1"/>
    <w:rsid w:val="00FB301A"/>
    <w:rsid w:val="00FB3293"/>
    <w:rsid w:val="00FB348C"/>
    <w:rsid w:val="00FB350D"/>
    <w:rsid w:val="00FB3905"/>
    <w:rsid w:val="00FB3B67"/>
    <w:rsid w:val="00FB3C41"/>
    <w:rsid w:val="00FB3C89"/>
    <w:rsid w:val="00FB3DF0"/>
    <w:rsid w:val="00FB3E5B"/>
    <w:rsid w:val="00FB3F96"/>
    <w:rsid w:val="00FB4348"/>
    <w:rsid w:val="00FB4397"/>
    <w:rsid w:val="00FB4493"/>
    <w:rsid w:val="00FB45FC"/>
    <w:rsid w:val="00FB4640"/>
    <w:rsid w:val="00FB475E"/>
    <w:rsid w:val="00FB47B4"/>
    <w:rsid w:val="00FB4D33"/>
    <w:rsid w:val="00FB52D0"/>
    <w:rsid w:val="00FB5355"/>
    <w:rsid w:val="00FB53D7"/>
    <w:rsid w:val="00FB5459"/>
    <w:rsid w:val="00FB5845"/>
    <w:rsid w:val="00FB5945"/>
    <w:rsid w:val="00FB5A36"/>
    <w:rsid w:val="00FB5D1A"/>
    <w:rsid w:val="00FB5DDE"/>
    <w:rsid w:val="00FB60E1"/>
    <w:rsid w:val="00FB61C5"/>
    <w:rsid w:val="00FB6265"/>
    <w:rsid w:val="00FB633B"/>
    <w:rsid w:val="00FB63A5"/>
    <w:rsid w:val="00FB63EA"/>
    <w:rsid w:val="00FB6425"/>
    <w:rsid w:val="00FB64A2"/>
    <w:rsid w:val="00FB66EA"/>
    <w:rsid w:val="00FB6B7D"/>
    <w:rsid w:val="00FB6BEC"/>
    <w:rsid w:val="00FB6C9C"/>
    <w:rsid w:val="00FB6D01"/>
    <w:rsid w:val="00FB6E9C"/>
    <w:rsid w:val="00FB6F3E"/>
    <w:rsid w:val="00FB71B8"/>
    <w:rsid w:val="00FB7359"/>
    <w:rsid w:val="00FB754F"/>
    <w:rsid w:val="00FB7590"/>
    <w:rsid w:val="00FB7767"/>
    <w:rsid w:val="00FB7A67"/>
    <w:rsid w:val="00FB7B02"/>
    <w:rsid w:val="00FB7D84"/>
    <w:rsid w:val="00FB7FA2"/>
    <w:rsid w:val="00FC0008"/>
    <w:rsid w:val="00FC0239"/>
    <w:rsid w:val="00FC0595"/>
    <w:rsid w:val="00FC066F"/>
    <w:rsid w:val="00FC07BB"/>
    <w:rsid w:val="00FC07D3"/>
    <w:rsid w:val="00FC0800"/>
    <w:rsid w:val="00FC083A"/>
    <w:rsid w:val="00FC0860"/>
    <w:rsid w:val="00FC0948"/>
    <w:rsid w:val="00FC0962"/>
    <w:rsid w:val="00FC0AA7"/>
    <w:rsid w:val="00FC0AC1"/>
    <w:rsid w:val="00FC0B2E"/>
    <w:rsid w:val="00FC0B8D"/>
    <w:rsid w:val="00FC0BC6"/>
    <w:rsid w:val="00FC1019"/>
    <w:rsid w:val="00FC1133"/>
    <w:rsid w:val="00FC1179"/>
    <w:rsid w:val="00FC144B"/>
    <w:rsid w:val="00FC1A35"/>
    <w:rsid w:val="00FC1B52"/>
    <w:rsid w:val="00FC1E76"/>
    <w:rsid w:val="00FC1FDD"/>
    <w:rsid w:val="00FC24D8"/>
    <w:rsid w:val="00FC25F2"/>
    <w:rsid w:val="00FC26AF"/>
    <w:rsid w:val="00FC2756"/>
    <w:rsid w:val="00FC27FB"/>
    <w:rsid w:val="00FC28A4"/>
    <w:rsid w:val="00FC28F2"/>
    <w:rsid w:val="00FC290D"/>
    <w:rsid w:val="00FC2960"/>
    <w:rsid w:val="00FC2A67"/>
    <w:rsid w:val="00FC2AAD"/>
    <w:rsid w:val="00FC2ADC"/>
    <w:rsid w:val="00FC2C33"/>
    <w:rsid w:val="00FC34A7"/>
    <w:rsid w:val="00FC3749"/>
    <w:rsid w:val="00FC3AA5"/>
    <w:rsid w:val="00FC3BAF"/>
    <w:rsid w:val="00FC3BD2"/>
    <w:rsid w:val="00FC3C4F"/>
    <w:rsid w:val="00FC3C87"/>
    <w:rsid w:val="00FC3EFC"/>
    <w:rsid w:val="00FC40D2"/>
    <w:rsid w:val="00FC425F"/>
    <w:rsid w:val="00FC451F"/>
    <w:rsid w:val="00FC47F4"/>
    <w:rsid w:val="00FC4977"/>
    <w:rsid w:val="00FC4A0A"/>
    <w:rsid w:val="00FC4D9E"/>
    <w:rsid w:val="00FC4F63"/>
    <w:rsid w:val="00FC4FEF"/>
    <w:rsid w:val="00FC5092"/>
    <w:rsid w:val="00FC5227"/>
    <w:rsid w:val="00FC541A"/>
    <w:rsid w:val="00FC550A"/>
    <w:rsid w:val="00FC5606"/>
    <w:rsid w:val="00FC5740"/>
    <w:rsid w:val="00FC5864"/>
    <w:rsid w:val="00FC5A69"/>
    <w:rsid w:val="00FC5A9E"/>
    <w:rsid w:val="00FC5C13"/>
    <w:rsid w:val="00FC5DF9"/>
    <w:rsid w:val="00FC5F4A"/>
    <w:rsid w:val="00FC6043"/>
    <w:rsid w:val="00FC6046"/>
    <w:rsid w:val="00FC64B5"/>
    <w:rsid w:val="00FC6509"/>
    <w:rsid w:val="00FC678C"/>
    <w:rsid w:val="00FC683B"/>
    <w:rsid w:val="00FC69F1"/>
    <w:rsid w:val="00FC6A0F"/>
    <w:rsid w:val="00FC6BE4"/>
    <w:rsid w:val="00FC6D68"/>
    <w:rsid w:val="00FC6E0C"/>
    <w:rsid w:val="00FC6E4B"/>
    <w:rsid w:val="00FC6EC7"/>
    <w:rsid w:val="00FC7146"/>
    <w:rsid w:val="00FC7164"/>
    <w:rsid w:val="00FC7165"/>
    <w:rsid w:val="00FC71E4"/>
    <w:rsid w:val="00FC7255"/>
    <w:rsid w:val="00FC7355"/>
    <w:rsid w:val="00FC73EC"/>
    <w:rsid w:val="00FC7417"/>
    <w:rsid w:val="00FC755E"/>
    <w:rsid w:val="00FC76D0"/>
    <w:rsid w:val="00FC77A4"/>
    <w:rsid w:val="00FC77AF"/>
    <w:rsid w:val="00FC79DA"/>
    <w:rsid w:val="00FC79F3"/>
    <w:rsid w:val="00FC7A10"/>
    <w:rsid w:val="00FC7A4F"/>
    <w:rsid w:val="00FC7AD2"/>
    <w:rsid w:val="00FC7CD2"/>
    <w:rsid w:val="00FC7CE4"/>
    <w:rsid w:val="00FC7ED4"/>
    <w:rsid w:val="00FC7F85"/>
    <w:rsid w:val="00FD007A"/>
    <w:rsid w:val="00FD03F1"/>
    <w:rsid w:val="00FD04DD"/>
    <w:rsid w:val="00FD04FB"/>
    <w:rsid w:val="00FD0522"/>
    <w:rsid w:val="00FD08CA"/>
    <w:rsid w:val="00FD0BF0"/>
    <w:rsid w:val="00FD0C0C"/>
    <w:rsid w:val="00FD0C48"/>
    <w:rsid w:val="00FD0C83"/>
    <w:rsid w:val="00FD0E10"/>
    <w:rsid w:val="00FD0F2A"/>
    <w:rsid w:val="00FD0FDE"/>
    <w:rsid w:val="00FD10E3"/>
    <w:rsid w:val="00FD11E8"/>
    <w:rsid w:val="00FD13F2"/>
    <w:rsid w:val="00FD14F9"/>
    <w:rsid w:val="00FD15CE"/>
    <w:rsid w:val="00FD171E"/>
    <w:rsid w:val="00FD1781"/>
    <w:rsid w:val="00FD190D"/>
    <w:rsid w:val="00FD1961"/>
    <w:rsid w:val="00FD1BDA"/>
    <w:rsid w:val="00FD1CFF"/>
    <w:rsid w:val="00FD1D83"/>
    <w:rsid w:val="00FD1DFE"/>
    <w:rsid w:val="00FD1F17"/>
    <w:rsid w:val="00FD203F"/>
    <w:rsid w:val="00FD20BB"/>
    <w:rsid w:val="00FD20FE"/>
    <w:rsid w:val="00FD2205"/>
    <w:rsid w:val="00FD2345"/>
    <w:rsid w:val="00FD25BF"/>
    <w:rsid w:val="00FD25C4"/>
    <w:rsid w:val="00FD261D"/>
    <w:rsid w:val="00FD263D"/>
    <w:rsid w:val="00FD2836"/>
    <w:rsid w:val="00FD2A7C"/>
    <w:rsid w:val="00FD2BEA"/>
    <w:rsid w:val="00FD2DA7"/>
    <w:rsid w:val="00FD3024"/>
    <w:rsid w:val="00FD3110"/>
    <w:rsid w:val="00FD352C"/>
    <w:rsid w:val="00FD35AB"/>
    <w:rsid w:val="00FD35DF"/>
    <w:rsid w:val="00FD3676"/>
    <w:rsid w:val="00FD36BA"/>
    <w:rsid w:val="00FD373F"/>
    <w:rsid w:val="00FD37E6"/>
    <w:rsid w:val="00FD380D"/>
    <w:rsid w:val="00FD39D4"/>
    <w:rsid w:val="00FD3A0D"/>
    <w:rsid w:val="00FD3A79"/>
    <w:rsid w:val="00FD3BB6"/>
    <w:rsid w:val="00FD3CC7"/>
    <w:rsid w:val="00FD3F02"/>
    <w:rsid w:val="00FD3F5D"/>
    <w:rsid w:val="00FD4092"/>
    <w:rsid w:val="00FD4266"/>
    <w:rsid w:val="00FD4355"/>
    <w:rsid w:val="00FD460E"/>
    <w:rsid w:val="00FD467D"/>
    <w:rsid w:val="00FD46A6"/>
    <w:rsid w:val="00FD4842"/>
    <w:rsid w:val="00FD49A2"/>
    <w:rsid w:val="00FD4B5D"/>
    <w:rsid w:val="00FD4D6E"/>
    <w:rsid w:val="00FD4EA8"/>
    <w:rsid w:val="00FD5047"/>
    <w:rsid w:val="00FD5055"/>
    <w:rsid w:val="00FD52DF"/>
    <w:rsid w:val="00FD55F4"/>
    <w:rsid w:val="00FD596A"/>
    <w:rsid w:val="00FD5992"/>
    <w:rsid w:val="00FD5F92"/>
    <w:rsid w:val="00FD62F8"/>
    <w:rsid w:val="00FD644A"/>
    <w:rsid w:val="00FD6561"/>
    <w:rsid w:val="00FD6658"/>
    <w:rsid w:val="00FD66B2"/>
    <w:rsid w:val="00FD66EE"/>
    <w:rsid w:val="00FD6822"/>
    <w:rsid w:val="00FD6972"/>
    <w:rsid w:val="00FD6A6A"/>
    <w:rsid w:val="00FD6A70"/>
    <w:rsid w:val="00FD6C12"/>
    <w:rsid w:val="00FD6E2B"/>
    <w:rsid w:val="00FD6E8A"/>
    <w:rsid w:val="00FD6F9C"/>
    <w:rsid w:val="00FD70FE"/>
    <w:rsid w:val="00FD7223"/>
    <w:rsid w:val="00FD7399"/>
    <w:rsid w:val="00FD745C"/>
    <w:rsid w:val="00FD75A0"/>
    <w:rsid w:val="00FD762F"/>
    <w:rsid w:val="00FD77F6"/>
    <w:rsid w:val="00FD7980"/>
    <w:rsid w:val="00FD7E30"/>
    <w:rsid w:val="00FD7FF8"/>
    <w:rsid w:val="00FE000B"/>
    <w:rsid w:val="00FE0075"/>
    <w:rsid w:val="00FE01B5"/>
    <w:rsid w:val="00FE0308"/>
    <w:rsid w:val="00FE048B"/>
    <w:rsid w:val="00FE04A6"/>
    <w:rsid w:val="00FE04E9"/>
    <w:rsid w:val="00FE061C"/>
    <w:rsid w:val="00FE091F"/>
    <w:rsid w:val="00FE0945"/>
    <w:rsid w:val="00FE0AFA"/>
    <w:rsid w:val="00FE0BB0"/>
    <w:rsid w:val="00FE0E69"/>
    <w:rsid w:val="00FE0E93"/>
    <w:rsid w:val="00FE0F6C"/>
    <w:rsid w:val="00FE1003"/>
    <w:rsid w:val="00FE1040"/>
    <w:rsid w:val="00FE1105"/>
    <w:rsid w:val="00FE13A6"/>
    <w:rsid w:val="00FE13BC"/>
    <w:rsid w:val="00FE13D6"/>
    <w:rsid w:val="00FE1655"/>
    <w:rsid w:val="00FE1A1D"/>
    <w:rsid w:val="00FE1B61"/>
    <w:rsid w:val="00FE1B92"/>
    <w:rsid w:val="00FE1BA8"/>
    <w:rsid w:val="00FE1D98"/>
    <w:rsid w:val="00FE205A"/>
    <w:rsid w:val="00FE21C9"/>
    <w:rsid w:val="00FE21D6"/>
    <w:rsid w:val="00FE22C4"/>
    <w:rsid w:val="00FE22E9"/>
    <w:rsid w:val="00FE235B"/>
    <w:rsid w:val="00FE2416"/>
    <w:rsid w:val="00FE2534"/>
    <w:rsid w:val="00FE2536"/>
    <w:rsid w:val="00FE2563"/>
    <w:rsid w:val="00FE256B"/>
    <w:rsid w:val="00FE28CC"/>
    <w:rsid w:val="00FE2A81"/>
    <w:rsid w:val="00FE2C8A"/>
    <w:rsid w:val="00FE32FC"/>
    <w:rsid w:val="00FE3339"/>
    <w:rsid w:val="00FE33B0"/>
    <w:rsid w:val="00FE3516"/>
    <w:rsid w:val="00FE351C"/>
    <w:rsid w:val="00FE377C"/>
    <w:rsid w:val="00FE38BB"/>
    <w:rsid w:val="00FE3A6C"/>
    <w:rsid w:val="00FE3B55"/>
    <w:rsid w:val="00FE3CCD"/>
    <w:rsid w:val="00FE3F79"/>
    <w:rsid w:val="00FE3F9E"/>
    <w:rsid w:val="00FE4006"/>
    <w:rsid w:val="00FE4299"/>
    <w:rsid w:val="00FE429C"/>
    <w:rsid w:val="00FE459B"/>
    <w:rsid w:val="00FE45DA"/>
    <w:rsid w:val="00FE46C0"/>
    <w:rsid w:val="00FE472D"/>
    <w:rsid w:val="00FE497B"/>
    <w:rsid w:val="00FE4A29"/>
    <w:rsid w:val="00FE4C41"/>
    <w:rsid w:val="00FE4ED0"/>
    <w:rsid w:val="00FE5007"/>
    <w:rsid w:val="00FE50C5"/>
    <w:rsid w:val="00FE51FE"/>
    <w:rsid w:val="00FE5361"/>
    <w:rsid w:val="00FE5C25"/>
    <w:rsid w:val="00FE5E9B"/>
    <w:rsid w:val="00FE6227"/>
    <w:rsid w:val="00FE6381"/>
    <w:rsid w:val="00FE63A1"/>
    <w:rsid w:val="00FE6990"/>
    <w:rsid w:val="00FE69AD"/>
    <w:rsid w:val="00FE69BE"/>
    <w:rsid w:val="00FE6DEC"/>
    <w:rsid w:val="00FE6F1A"/>
    <w:rsid w:val="00FE723C"/>
    <w:rsid w:val="00FE73FC"/>
    <w:rsid w:val="00FE7415"/>
    <w:rsid w:val="00FE7441"/>
    <w:rsid w:val="00FE7471"/>
    <w:rsid w:val="00FE75A2"/>
    <w:rsid w:val="00FE76D1"/>
    <w:rsid w:val="00FE76EC"/>
    <w:rsid w:val="00FE78A6"/>
    <w:rsid w:val="00FE78C1"/>
    <w:rsid w:val="00FE79B8"/>
    <w:rsid w:val="00FE7AAC"/>
    <w:rsid w:val="00FE7BC2"/>
    <w:rsid w:val="00FE7C6A"/>
    <w:rsid w:val="00FE7C86"/>
    <w:rsid w:val="00FF0101"/>
    <w:rsid w:val="00FF03B4"/>
    <w:rsid w:val="00FF0486"/>
    <w:rsid w:val="00FF0620"/>
    <w:rsid w:val="00FF0679"/>
    <w:rsid w:val="00FF07F7"/>
    <w:rsid w:val="00FF084E"/>
    <w:rsid w:val="00FF09E2"/>
    <w:rsid w:val="00FF0A17"/>
    <w:rsid w:val="00FF0A60"/>
    <w:rsid w:val="00FF0AB7"/>
    <w:rsid w:val="00FF0D20"/>
    <w:rsid w:val="00FF0F27"/>
    <w:rsid w:val="00FF0F88"/>
    <w:rsid w:val="00FF0FE5"/>
    <w:rsid w:val="00FF1168"/>
    <w:rsid w:val="00FF1232"/>
    <w:rsid w:val="00FF13FC"/>
    <w:rsid w:val="00FF1885"/>
    <w:rsid w:val="00FF1B7F"/>
    <w:rsid w:val="00FF212D"/>
    <w:rsid w:val="00FF2176"/>
    <w:rsid w:val="00FF24A7"/>
    <w:rsid w:val="00FF24B9"/>
    <w:rsid w:val="00FF25B4"/>
    <w:rsid w:val="00FF2B2D"/>
    <w:rsid w:val="00FF2DBC"/>
    <w:rsid w:val="00FF32C5"/>
    <w:rsid w:val="00FF3490"/>
    <w:rsid w:val="00FF36D0"/>
    <w:rsid w:val="00FF3709"/>
    <w:rsid w:val="00FF3748"/>
    <w:rsid w:val="00FF382F"/>
    <w:rsid w:val="00FF3A18"/>
    <w:rsid w:val="00FF3B1A"/>
    <w:rsid w:val="00FF3CFD"/>
    <w:rsid w:val="00FF3D04"/>
    <w:rsid w:val="00FF3D0D"/>
    <w:rsid w:val="00FF41CA"/>
    <w:rsid w:val="00FF4209"/>
    <w:rsid w:val="00FF4332"/>
    <w:rsid w:val="00FF4403"/>
    <w:rsid w:val="00FF44D6"/>
    <w:rsid w:val="00FF48EC"/>
    <w:rsid w:val="00FF4E00"/>
    <w:rsid w:val="00FF4E21"/>
    <w:rsid w:val="00FF4E78"/>
    <w:rsid w:val="00FF4F7B"/>
    <w:rsid w:val="00FF502C"/>
    <w:rsid w:val="00FF5243"/>
    <w:rsid w:val="00FF5389"/>
    <w:rsid w:val="00FF540B"/>
    <w:rsid w:val="00FF5598"/>
    <w:rsid w:val="00FF5626"/>
    <w:rsid w:val="00FF580E"/>
    <w:rsid w:val="00FF5831"/>
    <w:rsid w:val="00FF599B"/>
    <w:rsid w:val="00FF5A73"/>
    <w:rsid w:val="00FF5BF7"/>
    <w:rsid w:val="00FF5D37"/>
    <w:rsid w:val="00FF5E7A"/>
    <w:rsid w:val="00FF5F4C"/>
    <w:rsid w:val="00FF5F79"/>
    <w:rsid w:val="00FF601B"/>
    <w:rsid w:val="00FF63F3"/>
    <w:rsid w:val="00FF6530"/>
    <w:rsid w:val="00FF6873"/>
    <w:rsid w:val="00FF68C0"/>
    <w:rsid w:val="00FF68E6"/>
    <w:rsid w:val="00FF6ABC"/>
    <w:rsid w:val="00FF6B06"/>
    <w:rsid w:val="00FF6C80"/>
    <w:rsid w:val="00FF6D53"/>
    <w:rsid w:val="00FF6D7A"/>
    <w:rsid w:val="00FF701F"/>
    <w:rsid w:val="00FF71A6"/>
    <w:rsid w:val="00FF74F7"/>
    <w:rsid w:val="00FF7611"/>
    <w:rsid w:val="00FF7671"/>
    <w:rsid w:val="00FF7786"/>
    <w:rsid w:val="00FF7A2F"/>
    <w:rsid w:val="00FF7B42"/>
    <w:rsid w:val="00FF7BB5"/>
    <w:rsid w:val="00FF7DC2"/>
    <w:rsid w:val="00FF7E2C"/>
    <w:rsid w:val="00FF7EB9"/>
    <w:rsid w:val="010DBAA7"/>
    <w:rsid w:val="013E0D91"/>
    <w:rsid w:val="01454FAC"/>
    <w:rsid w:val="015554A7"/>
    <w:rsid w:val="01EC3DD6"/>
    <w:rsid w:val="01F65682"/>
    <w:rsid w:val="01FDAA7D"/>
    <w:rsid w:val="0253281A"/>
    <w:rsid w:val="02C0F1F1"/>
    <w:rsid w:val="02D70E50"/>
    <w:rsid w:val="02E1B2CA"/>
    <w:rsid w:val="02ED5307"/>
    <w:rsid w:val="02F3E075"/>
    <w:rsid w:val="03169AA1"/>
    <w:rsid w:val="0332FC7C"/>
    <w:rsid w:val="0340E6CD"/>
    <w:rsid w:val="034A416D"/>
    <w:rsid w:val="038BE2AE"/>
    <w:rsid w:val="0391407C"/>
    <w:rsid w:val="039672DB"/>
    <w:rsid w:val="03D6A51A"/>
    <w:rsid w:val="03E58B63"/>
    <w:rsid w:val="03F3F9F4"/>
    <w:rsid w:val="04123222"/>
    <w:rsid w:val="0413AE16"/>
    <w:rsid w:val="0418B98B"/>
    <w:rsid w:val="044EBC06"/>
    <w:rsid w:val="04596508"/>
    <w:rsid w:val="0466B3DA"/>
    <w:rsid w:val="04A54C63"/>
    <w:rsid w:val="04CF6DCE"/>
    <w:rsid w:val="0516FAC1"/>
    <w:rsid w:val="0517AEC6"/>
    <w:rsid w:val="054EAF51"/>
    <w:rsid w:val="059824E9"/>
    <w:rsid w:val="05C5DA07"/>
    <w:rsid w:val="05F9C80A"/>
    <w:rsid w:val="05FCF2AC"/>
    <w:rsid w:val="060F6DC8"/>
    <w:rsid w:val="06331AB9"/>
    <w:rsid w:val="063AC3D0"/>
    <w:rsid w:val="065727AB"/>
    <w:rsid w:val="065845E8"/>
    <w:rsid w:val="065A56BF"/>
    <w:rsid w:val="066B07F6"/>
    <w:rsid w:val="066B6C9D"/>
    <w:rsid w:val="066ED8D4"/>
    <w:rsid w:val="06C5B4D6"/>
    <w:rsid w:val="06C955D8"/>
    <w:rsid w:val="06DCD0B0"/>
    <w:rsid w:val="06F45E5C"/>
    <w:rsid w:val="073C071E"/>
    <w:rsid w:val="0754EE2C"/>
    <w:rsid w:val="078DD25B"/>
    <w:rsid w:val="0819DB50"/>
    <w:rsid w:val="08346D51"/>
    <w:rsid w:val="08473E74"/>
    <w:rsid w:val="084C58FA"/>
    <w:rsid w:val="088E6BBD"/>
    <w:rsid w:val="089E4266"/>
    <w:rsid w:val="08A1CC0A"/>
    <w:rsid w:val="08A63B38"/>
    <w:rsid w:val="08B694E7"/>
    <w:rsid w:val="08CDEE62"/>
    <w:rsid w:val="08E1FE45"/>
    <w:rsid w:val="08EB91D6"/>
    <w:rsid w:val="08F47A2D"/>
    <w:rsid w:val="0932A652"/>
    <w:rsid w:val="0944F7DB"/>
    <w:rsid w:val="09635321"/>
    <w:rsid w:val="097D18E8"/>
    <w:rsid w:val="09BE6E6E"/>
    <w:rsid w:val="0A1A874B"/>
    <w:rsid w:val="0A21C665"/>
    <w:rsid w:val="0A3A7E88"/>
    <w:rsid w:val="0A5F6746"/>
    <w:rsid w:val="0A662785"/>
    <w:rsid w:val="0A78A52F"/>
    <w:rsid w:val="0A95A162"/>
    <w:rsid w:val="0ADAFCF8"/>
    <w:rsid w:val="0ADFFCA7"/>
    <w:rsid w:val="0AF54237"/>
    <w:rsid w:val="0B0C6CE2"/>
    <w:rsid w:val="0B2C85AB"/>
    <w:rsid w:val="0B36D67D"/>
    <w:rsid w:val="0B3C8761"/>
    <w:rsid w:val="0B6E6DAD"/>
    <w:rsid w:val="0B79A6EA"/>
    <w:rsid w:val="0BB4669C"/>
    <w:rsid w:val="0BC33EAD"/>
    <w:rsid w:val="0BC7CE1E"/>
    <w:rsid w:val="0BE5FF80"/>
    <w:rsid w:val="0BF965F9"/>
    <w:rsid w:val="0C253138"/>
    <w:rsid w:val="0C67AD77"/>
    <w:rsid w:val="0C845B3C"/>
    <w:rsid w:val="0C9F956C"/>
    <w:rsid w:val="0CA23ABC"/>
    <w:rsid w:val="0CF20483"/>
    <w:rsid w:val="0D41C7C9"/>
    <w:rsid w:val="0D4ABDAF"/>
    <w:rsid w:val="0D7BF0AE"/>
    <w:rsid w:val="0D989B9F"/>
    <w:rsid w:val="0DBE4D0F"/>
    <w:rsid w:val="0E041B3F"/>
    <w:rsid w:val="0E08B1DF"/>
    <w:rsid w:val="0E0FDB33"/>
    <w:rsid w:val="0E28C9BE"/>
    <w:rsid w:val="0E4968CE"/>
    <w:rsid w:val="0EAC1738"/>
    <w:rsid w:val="0EB98BB2"/>
    <w:rsid w:val="0F33162E"/>
    <w:rsid w:val="0F3D14D9"/>
    <w:rsid w:val="0F483075"/>
    <w:rsid w:val="0F5DF6AB"/>
    <w:rsid w:val="0F6D9834"/>
    <w:rsid w:val="0FE1A46D"/>
    <w:rsid w:val="100D72FF"/>
    <w:rsid w:val="10133081"/>
    <w:rsid w:val="1021EB8B"/>
    <w:rsid w:val="10288580"/>
    <w:rsid w:val="108AF657"/>
    <w:rsid w:val="109BE5A5"/>
    <w:rsid w:val="10C36B03"/>
    <w:rsid w:val="10D40748"/>
    <w:rsid w:val="10D92606"/>
    <w:rsid w:val="10DB0F47"/>
    <w:rsid w:val="10EBFF0C"/>
    <w:rsid w:val="11104763"/>
    <w:rsid w:val="1195C44A"/>
    <w:rsid w:val="119E3A9B"/>
    <w:rsid w:val="119E60FF"/>
    <w:rsid w:val="120066F3"/>
    <w:rsid w:val="124D3875"/>
    <w:rsid w:val="125289A0"/>
    <w:rsid w:val="1265ACCD"/>
    <w:rsid w:val="12684E1C"/>
    <w:rsid w:val="12909C6C"/>
    <w:rsid w:val="1290B912"/>
    <w:rsid w:val="12D57D30"/>
    <w:rsid w:val="12E512BE"/>
    <w:rsid w:val="1360EEAD"/>
    <w:rsid w:val="13635A52"/>
    <w:rsid w:val="13851A63"/>
    <w:rsid w:val="13FEAFF6"/>
    <w:rsid w:val="1403CA38"/>
    <w:rsid w:val="141B821B"/>
    <w:rsid w:val="141E5885"/>
    <w:rsid w:val="14202AA7"/>
    <w:rsid w:val="142625BE"/>
    <w:rsid w:val="143F3151"/>
    <w:rsid w:val="1484B6BD"/>
    <w:rsid w:val="14A27AA1"/>
    <w:rsid w:val="14EB4FAC"/>
    <w:rsid w:val="150FFB01"/>
    <w:rsid w:val="15324C51"/>
    <w:rsid w:val="15474055"/>
    <w:rsid w:val="1547D78D"/>
    <w:rsid w:val="1577982A"/>
    <w:rsid w:val="15AA503D"/>
    <w:rsid w:val="15AF58B5"/>
    <w:rsid w:val="15E5FFDF"/>
    <w:rsid w:val="1619A461"/>
    <w:rsid w:val="16407F5C"/>
    <w:rsid w:val="16677452"/>
    <w:rsid w:val="16828FB5"/>
    <w:rsid w:val="168C56D8"/>
    <w:rsid w:val="16DCFEDE"/>
    <w:rsid w:val="175A9A7F"/>
    <w:rsid w:val="175F14C2"/>
    <w:rsid w:val="17F9CF85"/>
    <w:rsid w:val="187B6B36"/>
    <w:rsid w:val="187C5A04"/>
    <w:rsid w:val="1888DD0D"/>
    <w:rsid w:val="18A074A1"/>
    <w:rsid w:val="18D03C36"/>
    <w:rsid w:val="18E9CAFF"/>
    <w:rsid w:val="193223C5"/>
    <w:rsid w:val="19852B28"/>
    <w:rsid w:val="1987EF3B"/>
    <w:rsid w:val="19C75C95"/>
    <w:rsid w:val="19D3D696"/>
    <w:rsid w:val="19E3733E"/>
    <w:rsid w:val="1A07ACA4"/>
    <w:rsid w:val="1A0A4383"/>
    <w:rsid w:val="1A1077CE"/>
    <w:rsid w:val="1A25BF28"/>
    <w:rsid w:val="1A804663"/>
    <w:rsid w:val="1ABF7BD6"/>
    <w:rsid w:val="1AE614BD"/>
    <w:rsid w:val="1B12866E"/>
    <w:rsid w:val="1B3D8D38"/>
    <w:rsid w:val="1B6F84A0"/>
    <w:rsid w:val="1B759B44"/>
    <w:rsid w:val="1B8A879B"/>
    <w:rsid w:val="1B9B128B"/>
    <w:rsid w:val="1BAFFA0C"/>
    <w:rsid w:val="1BBAB1AC"/>
    <w:rsid w:val="1BC13B80"/>
    <w:rsid w:val="1BC48EEB"/>
    <w:rsid w:val="1C23DCA1"/>
    <w:rsid w:val="1C27F31D"/>
    <w:rsid w:val="1C465DF2"/>
    <w:rsid w:val="1C85C34E"/>
    <w:rsid w:val="1CAF9D0A"/>
    <w:rsid w:val="1CF87A92"/>
    <w:rsid w:val="1D15413F"/>
    <w:rsid w:val="1D768651"/>
    <w:rsid w:val="1D7D13AD"/>
    <w:rsid w:val="1D9FBD7A"/>
    <w:rsid w:val="1DA3FEA5"/>
    <w:rsid w:val="1DD96006"/>
    <w:rsid w:val="1E04B542"/>
    <w:rsid w:val="1E0B240A"/>
    <w:rsid w:val="1E30D534"/>
    <w:rsid w:val="1E420AA4"/>
    <w:rsid w:val="1E87FAE2"/>
    <w:rsid w:val="1EAE3480"/>
    <w:rsid w:val="1EAF8834"/>
    <w:rsid w:val="1EBF9ECC"/>
    <w:rsid w:val="1EC8D84E"/>
    <w:rsid w:val="1EFA825B"/>
    <w:rsid w:val="1F0D9BED"/>
    <w:rsid w:val="1F874E04"/>
    <w:rsid w:val="200008B2"/>
    <w:rsid w:val="2009493A"/>
    <w:rsid w:val="200AD81B"/>
    <w:rsid w:val="20B3FE62"/>
    <w:rsid w:val="20C18E46"/>
    <w:rsid w:val="20C4EC35"/>
    <w:rsid w:val="20E3B498"/>
    <w:rsid w:val="20FCA5AA"/>
    <w:rsid w:val="20FDA5D6"/>
    <w:rsid w:val="210E5AA3"/>
    <w:rsid w:val="211E9040"/>
    <w:rsid w:val="214BA997"/>
    <w:rsid w:val="2156DCEB"/>
    <w:rsid w:val="2175CBFD"/>
    <w:rsid w:val="2197FAF7"/>
    <w:rsid w:val="21A7A237"/>
    <w:rsid w:val="21B15381"/>
    <w:rsid w:val="21D683C3"/>
    <w:rsid w:val="21DFEC99"/>
    <w:rsid w:val="2202A8D2"/>
    <w:rsid w:val="221ECAF2"/>
    <w:rsid w:val="22254B7C"/>
    <w:rsid w:val="22517464"/>
    <w:rsid w:val="2255F33C"/>
    <w:rsid w:val="2277C6AB"/>
    <w:rsid w:val="227EEFC9"/>
    <w:rsid w:val="22DA21A0"/>
    <w:rsid w:val="22F7C278"/>
    <w:rsid w:val="230730D4"/>
    <w:rsid w:val="23259A29"/>
    <w:rsid w:val="234C4DA2"/>
    <w:rsid w:val="2350EEC9"/>
    <w:rsid w:val="23534CA9"/>
    <w:rsid w:val="237A8706"/>
    <w:rsid w:val="238ADA91"/>
    <w:rsid w:val="238F8F21"/>
    <w:rsid w:val="23B43819"/>
    <w:rsid w:val="23EE5670"/>
    <w:rsid w:val="241C99F8"/>
    <w:rsid w:val="24216584"/>
    <w:rsid w:val="24408837"/>
    <w:rsid w:val="246F6D56"/>
    <w:rsid w:val="2472A069"/>
    <w:rsid w:val="250336B2"/>
    <w:rsid w:val="2516EDE4"/>
    <w:rsid w:val="254A9F64"/>
    <w:rsid w:val="255E3205"/>
    <w:rsid w:val="25876608"/>
    <w:rsid w:val="25BC4D0D"/>
    <w:rsid w:val="25C4E507"/>
    <w:rsid w:val="25E7E176"/>
    <w:rsid w:val="26062F3F"/>
    <w:rsid w:val="26346049"/>
    <w:rsid w:val="263A72F6"/>
    <w:rsid w:val="2654FA03"/>
    <w:rsid w:val="2664D414"/>
    <w:rsid w:val="267ACA0D"/>
    <w:rsid w:val="268E7CEC"/>
    <w:rsid w:val="2691C051"/>
    <w:rsid w:val="26BB60E1"/>
    <w:rsid w:val="26D47670"/>
    <w:rsid w:val="26DF456E"/>
    <w:rsid w:val="26F04E6F"/>
    <w:rsid w:val="26F5EFC7"/>
    <w:rsid w:val="271B343D"/>
    <w:rsid w:val="279106CA"/>
    <w:rsid w:val="27C26B21"/>
    <w:rsid w:val="27D19510"/>
    <w:rsid w:val="284C09E4"/>
    <w:rsid w:val="2878B466"/>
    <w:rsid w:val="287B748E"/>
    <w:rsid w:val="28E4536C"/>
    <w:rsid w:val="28F012F2"/>
    <w:rsid w:val="29075762"/>
    <w:rsid w:val="2912B617"/>
    <w:rsid w:val="2948FE7D"/>
    <w:rsid w:val="29A71236"/>
    <w:rsid w:val="29B9912D"/>
    <w:rsid w:val="29CA981D"/>
    <w:rsid w:val="29DDB774"/>
    <w:rsid w:val="2A183A2D"/>
    <w:rsid w:val="2A2B50CB"/>
    <w:rsid w:val="2A47D9A9"/>
    <w:rsid w:val="2A4D7681"/>
    <w:rsid w:val="2A91AF43"/>
    <w:rsid w:val="2AA172A0"/>
    <w:rsid w:val="2AC649AC"/>
    <w:rsid w:val="2AE7147D"/>
    <w:rsid w:val="2AE8D991"/>
    <w:rsid w:val="2B100B00"/>
    <w:rsid w:val="2B101953"/>
    <w:rsid w:val="2B5EA7F7"/>
    <w:rsid w:val="2B7515B0"/>
    <w:rsid w:val="2B77EAC8"/>
    <w:rsid w:val="2BC0ABBF"/>
    <w:rsid w:val="2BFDC352"/>
    <w:rsid w:val="2C263E2B"/>
    <w:rsid w:val="2CAAFDAB"/>
    <w:rsid w:val="2CAF861F"/>
    <w:rsid w:val="2CB53657"/>
    <w:rsid w:val="2CD45301"/>
    <w:rsid w:val="2CEE2BE6"/>
    <w:rsid w:val="2D582F4D"/>
    <w:rsid w:val="2D79BBDB"/>
    <w:rsid w:val="2D81BD44"/>
    <w:rsid w:val="2DA72997"/>
    <w:rsid w:val="2DBEF574"/>
    <w:rsid w:val="2DCE487A"/>
    <w:rsid w:val="2DEC211D"/>
    <w:rsid w:val="2DF94632"/>
    <w:rsid w:val="2E12F59D"/>
    <w:rsid w:val="2E6FCBFD"/>
    <w:rsid w:val="2E9F4BF3"/>
    <w:rsid w:val="2EA58B52"/>
    <w:rsid w:val="2EB61E51"/>
    <w:rsid w:val="2EE268C6"/>
    <w:rsid w:val="2EEF152A"/>
    <w:rsid w:val="2F376D9E"/>
    <w:rsid w:val="2F67292E"/>
    <w:rsid w:val="2F90739D"/>
    <w:rsid w:val="2FA27EC6"/>
    <w:rsid w:val="2FB9B279"/>
    <w:rsid w:val="2FBB0288"/>
    <w:rsid w:val="30149C4D"/>
    <w:rsid w:val="3020F981"/>
    <w:rsid w:val="3025440C"/>
    <w:rsid w:val="308F7E67"/>
    <w:rsid w:val="30900A9F"/>
    <w:rsid w:val="30D9324C"/>
    <w:rsid w:val="31228332"/>
    <w:rsid w:val="3136F5C1"/>
    <w:rsid w:val="318B7601"/>
    <w:rsid w:val="319A59E9"/>
    <w:rsid w:val="31A704CF"/>
    <w:rsid w:val="31B01DC2"/>
    <w:rsid w:val="3219AE8F"/>
    <w:rsid w:val="32478306"/>
    <w:rsid w:val="324F30CF"/>
    <w:rsid w:val="3260A7CF"/>
    <w:rsid w:val="3264EE30"/>
    <w:rsid w:val="326D1713"/>
    <w:rsid w:val="3298F666"/>
    <w:rsid w:val="32A835A7"/>
    <w:rsid w:val="32B625C6"/>
    <w:rsid w:val="32B7D8DB"/>
    <w:rsid w:val="32C768CD"/>
    <w:rsid w:val="32DFA573"/>
    <w:rsid w:val="33499FB2"/>
    <w:rsid w:val="336E1A92"/>
    <w:rsid w:val="33B0D925"/>
    <w:rsid w:val="33EAA77D"/>
    <w:rsid w:val="3415E7C9"/>
    <w:rsid w:val="3443A932"/>
    <w:rsid w:val="347A552E"/>
    <w:rsid w:val="34C7617B"/>
    <w:rsid w:val="34CBEB8A"/>
    <w:rsid w:val="34D68635"/>
    <w:rsid w:val="34F670BA"/>
    <w:rsid w:val="350B7C42"/>
    <w:rsid w:val="351EB751"/>
    <w:rsid w:val="35412A02"/>
    <w:rsid w:val="3551D562"/>
    <w:rsid w:val="357CD03C"/>
    <w:rsid w:val="35A6D7A8"/>
    <w:rsid w:val="35B34BDA"/>
    <w:rsid w:val="361174C8"/>
    <w:rsid w:val="3667DA55"/>
    <w:rsid w:val="36A3C935"/>
    <w:rsid w:val="36A66E0A"/>
    <w:rsid w:val="36BF830C"/>
    <w:rsid w:val="37570076"/>
    <w:rsid w:val="37890A73"/>
    <w:rsid w:val="379960A2"/>
    <w:rsid w:val="379E6E89"/>
    <w:rsid w:val="37D1EBDB"/>
    <w:rsid w:val="3832B9E6"/>
    <w:rsid w:val="3853CB89"/>
    <w:rsid w:val="38568934"/>
    <w:rsid w:val="38814CFE"/>
    <w:rsid w:val="3889ECED"/>
    <w:rsid w:val="38A4DAB7"/>
    <w:rsid w:val="38B5DE6B"/>
    <w:rsid w:val="38BCDFD4"/>
    <w:rsid w:val="38CC7D95"/>
    <w:rsid w:val="38FE1D32"/>
    <w:rsid w:val="39092257"/>
    <w:rsid w:val="390D8649"/>
    <w:rsid w:val="3924DD1F"/>
    <w:rsid w:val="393420BE"/>
    <w:rsid w:val="3954BFE5"/>
    <w:rsid w:val="397B3446"/>
    <w:rsid w:val="397D463A"/>
    <w:rsid w:val="399C9152"/>
    <w:rsid w:val="39D5EF70"/>
    <w:rsid w:val="3A1BCD21"/>
    <w:rsid w:val="3A2176F1"/>
    <w:rsid w:val="3A326DE9"/>
    <w:rsid w:val="3A3CE51A"/>
    <w:rsid w:val="3A5457B2"/>
    <w:rsid w:val="3A8B7761"/>
    <w:rsid w:val="3AB766A8"/>
    <w:rsid w:val="3AE3C384"/>
    <w:rsid w:val="3AE9B090"/>
    <w:rsid w:val="3AFEE8D7"/>
    <w:rsid w:val="3B25D6CD"/>
    <w:rsid w:val="3B33FE3D"/>
    <w:rsid w:val="3B371C98"/>
    <w:rsid w:val="3B556405"/>
    <w:rsid w:val="3B8A2730"/>
    <w:rsid w:val="3BA08A92"/>
    <w:rsid w:val="3BD4FE75"/>
    <w:rsid w:val="3BDCED59"/>
    <w:rsid w:val="3BFB302B"/>
    <w:rsid w:val="3C03CB62"/>
    <w:rsid w:val="3C04A2F8"/>
    <w:rsid w:val="3C0841B2"/>
    <w:rsid w:val="3C3560EA"/>
    <w:rsid w:val="3C4B98F4"/>
    <w:rsid w:val="3C962B91"/>
    <w:rsid w:val="3C9A25DC"/>
    <w:rsid w:val="3CE3691A"/>
    <w:rsid w:val="3CE97AAC"/>
    <w:rsid w:val="3D1885F8"/>
    <w:rsid w:val="3D3EF7B5"/>
    <w:rsid w:val="3D4DD77F"/>
    <w:rsid w:val="3D4E5793"/>
    <w:rsid w:val="3D95C5E7"/>
    <w:rsid w:val="3D9EDA3D"/>
    <w:rsid w:val="3E0F18BF"/>
    <w:rsid w:val="3E2749B4"/>
    <w:rsid w:val="3E4450DB"/>
    <w:rsid w:val="3E514125"/>
    <w:rsid w:val="3E752C79"/>
    <w:rsid w:val="3E7DE34D"/>
    <w:rsid w:val="3EA2BF71"/>
    <w:rsid w:val="3EB61CC1"/>
    <w:rsid w:val="3EC01B1D"/>
    <w:rsid w:val="3EFBAB28"/>
    <w:rsid w:val="3F09F0A7"/>
    <w:rsid w:val="3F376A0B"/>
    <w:rsid w:val="3F4C250F"/>
    <w:rsid w:val="3F86AEAA"/>
    <w:rsid w:val="3FA0C33E"/>
    <w:rsid w:val="3FBFE150"/>
    <w:rsid w:val="400D4F0D"/>
    <w:rsid w:val="403FC0C4"/>
    <w:rsid w:val="40405654"/>
    <w:rsid w:val="407FC859"/>
    <w:rsid w:val="40978630"/>
    <w:rsid w:val="40C82CBD"/>
    <w:rsid w:val="40E97BA7"/>
    <w:rsid w:val="40FAED64"/>
    <w:rsid w:val="416616FE"/>
    <w:rsid w:val="41693964"/>
    <w:rsid w:val="416BA02C"/>
    <w:rsid w:val="4171FFE8"/>
    <w:rsid w:val="41809A02"/>
    <w:rsid w:val="418C6326"/>
    <w:rsid w:val="419C3D37"/>
    <w:rsid w:val="41AC0F51"/>
    <w:rsid w:val="41C42F30"/>
    <w:rsid w:val="41E36880"/>
    <w:rsid w:val="41E85433"/>
    <w:rsid w:val="4246EFA6"/>
    <w:rsid w:val="42518D15"/>
    <w:rsid w:val="42692722"/>
    <w:rsid w:val="427902DC"/>
    <w:rsid w:val="42D10F5A"/>
    <w:rsid w:val="42F06ABA"/>
    <w:rsid w:val="430D5E81"/>
    <w:rsid w:val="431EBB83"/>
    <w:rsid w:val="43257A5A"/>
    <w:rsid w:val="432D1F74"/>
    <w:rsid w:val="435757CC"/>
    <w:rsid w:val="438DBD31"/>
    <w:rsid w:val="43A02442"/>
    <w:rsid w:val="43A376E5"/>
    <w:rsid w:val="43E8560B"/>
    <w:rsid w:val="43EC4907"/>
    <w:rsid w:val="4405201F"/>
    <w:rsid w:val="441B3563"/>
    <w:rsid w:val="44427169"/>
    <w:rsid w:val="4454CB09"/>
    <w:rsid w:val="4471E214"/>
    <w:rsid w:val="44809EE7"/>
    <w:rsid w:val="44A26C66"/>
    <w:rsid w:val="44E38390"/>
    <w:rsid w:val="45149086"/>
    <w:rsid w:val="452997BD"/>
    <w:rsid w:val="45344FA3"/>
    <w:rsid w:val="455579AA"/>
    <w:rsid w:val="455DB525"/>
    <w:rsid w:val="456D7F15"/>
    <w:rsid w:val="45F8BBC7"/>
    <w:rsid w:val="4609B91B"/>
    <w:rsid w:val="4625FF9F"/>
    <w:rsid w:val="462B0FD1"/>
    <w:rsid w:val="46496232"/>
    <w:rsid w:val="467D8A87"/>
    <w:rsid w:val="46E8BC9F"/>
    <w:rsid w:val="46EB4AAD"/>
    <w:rsid w:val="46EE8EE1"/>
    <w:rsid w:val="47065FBE"/>
    <w:rsid w:val="472EB904"/>
    <w:rsid w:val="4789E161"/>
    <w:rsid w:val="47ACD23D"/>
    <w:rsid w:val="48134E5A"/>
    <w:rsid w:val="4820E777"/>
    <w:rsid w:val="484E5FA8"/>
    <w:rsid w:val="48513907"/>
    <w:rsid w:val="4878DDFC"/>
    <w:rsid w:val="4897275A"/>
    <w:rsid w:val="48B445D5"/>
    <w:rsid w:val="48B6FA0B"/>
    <w:rsid w:val="48CDF759"/>
    <w:rsid w:val="4903ABAF"/>
    <w:rsid w:val="490B4479"/>
    <w:rsid w:val="492A967A"/>
    <w:rsid w:val="49440423"/>
    <w:rsid w:val="498B2621"/>
    <w:rsid w:val="49E03E83"/>
    <w:rsid w:val="49F5264E"/>
    <w:rsid w:val="49FB8171"/>
    <w:rsid w:val="4A0368EE"/>
    <w:rsid w:val="4A2C0707"/>
    <w:rsid w:val="4A442FBC"/>
    <w:rsid w:val="4A58CA4C"/>
    <w:rsid w:val="4A60980E"/>
    <w:rsid w:val="4A6E04C8"/>
    <w:rsid w:val="4A8816EF"/>
    <w:rsid w:val="4AA70C5B"/>
    <w:rsid w:val="4AD8A519"/>
    <w:rsid w:val="4B167BAE"/>
    <w:rsid w:val="4B2E2C0B"/>
    <w:rsid w:val="4B905B08"/>
    <w:rsid w:val="4BBAE708"/>
    <w:rsid w:val="4BC02499"/>
    <w:rsid w:val="4BD52110"/>
    <w:rsid w:val="4BE4C886"/>
    <w:rsid w:val="4C6315A9"/>
    <w:rsid w:val="4C649CFF"/>
    <w:rsid w:val="4C700459"/>
    <w:rsid w:val="4CC1F86D"/>
    <w:rsid w:val="4CC7621E"/>
    <w:rsid w:val="4D1121AA"/>
    <w:rsid w:val="4D3A19D2"/>
    <w:rsid w:val="4D3C5963"/>
    <w:rsid w:val="4D78D648"/>
    <w:rsid w:val="4D86ABA6"/>
    <w:rsid w:val="4D96C200"/>
    <w:rsid w:val="4D9AFA4E"/>
    <w:rsid w:val="4DB39627"/>
    <w:rsid w:val="4DCCAE91"/>
    <w:rsid w:val="4DE24A1E"/>
    <w:rsid w:val="4DF66B52"/>
    <w:rsid w:val="4DF7407A"/>
    <w:rsid w:val="4E06C654"/>
    <w:rsid w:val="4E20ACB2"/>
    <w:rsid w:val="4E566636"/>
    <w:rsid w:val="4E5DF681"/>
    <w:rsid w:val="4E6197E2"/>
    <w:rsid w:val="4E81B0AB"/>
    <w:rsid w:val="4E81B1C3"/>
    <w:rsid w:val="4E9C3B15"/>
    <w:rsid w:val="4EAB7ABE"/>
    <w:rsid w:val="4EEF6C43"/>
    <w:rsid w:val="4F06B80D"/>
    <w:rsid w:val="4F3A2DF9"/>
    <w:rsid w:val="4F8D4385"/>
    <w:rsid w:val="4FD4A432"/>
    <w:rsid w:val="5017E672"/>
    <w:rsid w:val="50182882"/>
    <w:rsid w:val="501AFAA1"/>
    <w:rsid w:val="502B1D09"/>
    <w:rsid w:val="502C2C2D"/>
    <w:rsid w:val="506628D9"/>
    <w:rsid w:val="50B28F42"/>
    <w:rsid w:val="50D1BD0B"/>
    <w:rsid w:val="51214E3D"/>
    <w:rsid w:val="512A882C"/>
    <w:rsid w:val="5153135C"/>
    <w:rsid w:val="51C452C6"/>
    <w:rsid w:val="51CC318D"/>
    <w:rsid w:val="52050B52"/>
    <w:rsid w:val="5284DC06"/>
    <w:rsid w:val="528A339B"/>
    <w:rsid w:val="5296DA9B"/>
    <w:rsid w:val="529E0498"/>
    <w:rsid w:val="52A83BA8"/>
    <w:rsid w:val="52B593C9"/>
    <w:rsid w:val="52ED8BAB"/>
    <w:rsid w:val="52F09D0C"/>
    <w:rsid w:val="52F1A8E0"/>
    <w:rsid w:val="52FE189F"/>
    <w:rsid w:val="531363AB"/>
    <w:rsid w:val="5320890D"/>
    <w:rsid w:val="53609980"/>
    <w:rsid w:val="53629C56"/>
    <w:rsid w:val="538C20D3"/>
    <w:rsid w:val="539C6342"/>
    <w:rsid w:val="53CBA223"/>
    <w:rsid w:val="53E0A19A"/>
    <w:rsid w:val="53E8F3C7"/>
    <w:rsid w:val="53F11686"/>
    <w:rsid w:val="541FF203"/>
    <w:rsid w:val="54361918"/>
    <w:rsid w:val="54860DF5"/>
    <w:rsid w:val="549534CE"/>
    <w:rsid w:val="549F0F60"/>
    <w:rsid w:val="54AE3A32"/>
    <w:rsid w:val="54D8F1F3"/>
    <w:rsid w:val="54DF8BA1"/>
    <w:rsid w:val="54F995A8"/>
    <w:rsid w:val="553CFC68"/>
    <w:rsid w:val="55794C76"/>
    <w:rsid w:val="5586F012"/>
    <w:rsid w:val="55F7952E"/>
    <w:rsid w:val="5632EA6A"/>
    <w:rsid w:val="564DEB57"/>
    <w:rsid w:val="5655BB8C"/>
    <w:rsid w:val="56A0EBF9"/>
    <w:rsid w:val="56B535B5"/>
    <w:rsid w:val="56B636A7"/>
    <w:rsid w:val="56B86897"/>
    <w:rsid w:val="57037F2E"/>
    <w:rsid w:val="57130860"/>
    <w:rsid w:val="5714D47A"/>
    <w:rsid w:val="5796CF20"/>
    <w:rsid w:val="57A65387"/>
    <w:rsid w:val="57B66103"/>
    <w:rsid w:val="57C4D724"/>
    <w:rsid w:val="583577AA"/>
    <w:rsid w:val="584422CB"/>
    <w:rsid w:val="5849BE71"/>
    <w:rsid w:val="58A83352"/>
    <w:rsid w:val="58A97BEC"/>
    <w:rsid w:val="58DDB7E9"/>
    <w:rsid w:val="58E41B23"/>
    <w:rsid w:val="58F0D3BF"/>
    <w:rsid w:val="5972B8D2"/>
    <w:rsid w:val="59B635DA"/>
    <w:rsid w:val="59C38BFC"/>
    <w:rsid w:val="59CB16F4"/>
    <w:rsid w:val="59D35FBF"/>
    <w:rsid w:val="59DA31B0"/>
    <w:rsid w:val="59E47A72"/>
    <w:rsid w:val="59F48CAF"/>
    <w:rsid w:val="5A157EF7"/>
    <w:rsid w:val="5A197348"/>
    <w:rsid w:val="5A384E58"/>
    <w:rsid w:val="5A667ACA"/>
    <w:rsid w:val="5A740A56"/>
    <w:rsid w:val="5AB2130A"/>
    <w:rsid w:val="5ACE24D0"/>
    <w:rsid w:val="5AD17ECF"/>
    <w:rsid w:val="5AD68A44"/>
    <w:rsid w:val="5AEC6BCB"/>
    <w:rsid w:val="5B064C92"/>
    <w:rsid w:val="5B1C5859"/>
    <w:rsid w:val="5B3CB1BE"/>
    <w:rsid w:val="5B90D27C"/>
    <w:rsid w:val="5C187E30"/>
    <w:rsid w:val="5C255DD9"/>
    <w:rsid w:val="5C543269"/>
    <w:rsid w:val="5CB53BCC"/>
    <w:rsid w:val="5CF4857B"/>
    <w:rsid w:val="5D0336AD"/>
    <w:rsid w:val="5D286875"/>
    <w:rsid w:val="5D363474"/>
    <w:rsid w:val="5D837E2E"/>
    <w:rsid w:val="5D8830E4"/>
    <w:rsid w:val="5D8D2C5B"/>
    <w:rsid w:val="5D92C11F"/>
    <w:rsid w:val="5DB5253B"/>
    <w:rsid w:val="5DD2E226"/>
    <w:rsid w:val="5DF6EA44"/>
    <w:rsid w:val="5E25F54F"/>
    <w:rsid w:val="5E2BC98C"/>
    <w:rsid w:val="5E530064"/>
    <w:rsid w:val="5E5ACB0C"/>
    <w:rsid w:val="5E5FF510"/>
    <w:rsid w:val="5E6B8DE1"/>
    <w:rsid w:val="5EAA6F64"/>
    <w:rsid w:val="5EAB44F3"/>
    <w:rsid w:val="5EDDD0D1"/>
    <w:rsid w:val="5EF15546"/>
    <w:rsid w:val="5F1ECCFB"/>
    <w:rsid w:val="5F576A68"/>
    <w:rsid w:val="5F682BA6"/>
    <w:rsid w:val="5F7FAD25"/>
    <w:rsid w:val="5F9A4289"/>
    <w:rsid w:val="5FAAB8A9"/>
    <w:rsid w:val="5FB3AE6E"/>
    <w:rsid w:val="5FD46E2D"/>
    <w:rsid w:val="600C34D3"/>
    <w:rsid w:val="6099D1DD"/>
    <w:rsid w:val="609A5C08"/>
    <w:rsid w:val="609ECA30"/>
    <w:rsid w:val="60A7FFD0"/>
    <w:rsid w:val="60D44937"/>
    <w:rsid w:val="60D9228E"/>
    <w:rsid w:val="61177A5D"/>
    <w:rsid w:val="6119E9EF"/>
    <w:rsid w:val="6129A1BB"/>
    <w:rsid w:val="61624F9D"/>
    <w:rsid w:val="6170483F"/>
    <w:rsid w:val="617E6B40"/>
    <w:rsid w:val="618A7207"/>
    <w:rsid w:val="6193793F"/>
    <w:rsid w:val="61A7C12F"/>
    <w:rsid w:val="61C7D9F8"/>
    <w:rsid w:val="6201AF6A"/>
    <w:rsid w:val="6203BB8B"/>
    <w:rsid w:val="62384C84"/>
    <w:rsid w:val="62752D00"/>
    <w:rsid w:val="62C08EB5"/>
    <w:rsid w:val="62E0FB41"/>
    <w:rsid w:val="62E73772"/>
    <w:rsid w:val="63556842"/>
    <w:rsid w:val="6366003E"/>
    <w:rsid w:val="63CE14E4"/>
    <w:rsid w:val="64033ADE"/>
    <w:rsid w:val="641C98A8"/>
    <w:rsid w:val="6448BC1D"/>
    <w:rsid w:val="644BABF0"/>
    <w:rsid w:val="647A9CAC"/>
    <w:rsid w:val="6485F0FD"/>
    <w:rsid w:val="64E1B43E"/>
    <w:rsid w:val="655F51D1"/>
    <w:rsid w:val="65909438"/>
    <w:rsid w:val="65994B9B"/>
    <w:rsid w:val="65B661DE"/>
    <w:rsid w:val="65BBA9E6"/>
    <w:rsid w:val="6617AFC0"/>
    <w:rsid w:val="663A1076"/>
    <w:rsid w:val="664F349B"/>
    <w:rsid w:val="66594984"/>
    <w:rsid w:val="667CBB38"/>
    <w:rsid w:val="668E6662"/>
    <w:rsid w:val="66AF28D0"/>
    <w:rsid w:val="672243A1"/>
    <w:rsid w:val="679BBCEC"/>
    <w:rsid w:val="67B0ACAA"/>
    <w:rsid w:val="67B91017"/>
    <w:rsid w:val="67CE3E15"/>
    <w:rsid w:val="67DB9049"/>
    <w:rsid w:val="67F512C0"/>
    <w:rsid w:val="681E394B"/>
    <w:rsid w:val="684E24C0"/>
    <w:rsid w:val="6864C398"/>
    <w:rsid w:val="686B1B1C"/>
    <w:rsid w:val="689A5AA1"/>
    <w:rsid w:val="68CF1D03"/>
    <w:rsid w:val="68DCEA75"/>
    <w:rsid w:val="68DEC443"/>
    <w:rsid w:val="68F62E43"/>
    <w:rsid w:val="6907534B"/>
    <w:rsid w:val="6947072F"/>
    <w:rsid w:val="69494D76"/>
    <w:rsid w:val="69614A2A"/>
    <w:rsid w:val="69C09571"/>
    <w:rsid w:val="6A150A1A"/>
    <w:rsid w:val="6A373CDF"/>
    <w:rsid w:val="6A847A68"/>
    <w:rsid w:val="6A990E43"/>
    <w:rsid w:val="6ADC52F3"/>
    <w:rsid w:val="6ADD06CE"/>
    <w:rsid w:val="6AEF36D5"/>
    <w:rsid w:val="6B000CEE"/>
    <w:rsid w:val="6B867072"/>
    <w:rsid w:val="6BCA8F1D"/>
    <w:rsid w:val="6BFF905D"/>
    <w:rsid w:val="6C1001F7"/>
    <w:rsid w:val="6C1F4EAA"/>
    <w:rsid w:val="6C4B9EDC"/>
    <w:rsid w:val="6C87D3B0"/>
    <w:rsid w:val="6CB8D99D"/>
    <w:rsid w:val="6CDC182C"/>
    <w:rsid w:val="6CFBBBF7"/>
    <w:rsid w:val="6D397C40"/>
    <w:rsid w:val="6D90EBAB"/>
    <w:rsid w:val="6D9DDA7B"/>
    <w:rsid w:val="6DBA79CF"/>
    <w:rsid w:val="6DDDE57D"/>
    <w:rsid w:val="6DFBB204"/>
    <w:rsid w:val="6E13570F"/>
    <w:rsid w:val="6E2A7AE8"/>
    <w:rsid w:val="6E6D002F"/>
    <w:rsid w:val="6E724DF3"/>
    <w:rsid w:val="6E777FE8"/>
    <w:rsid w:val="6E77EF00"/>
    <w:rsid w:val="6EACE8C5"/>
    <w:rsid w:val="6EB3863C"/>
    <w:rsid w:val="6ECB41AA"/>
    <w:rsid w:val="6ED4EE19"/>
    <w:rsid w:val="6EF74FB3"/>
    <w:rsid w:val="6F0E1A61"/>
    <w:rsid w:val="6F26B1BB"/>
    <w:rsid w:val="6F357BFC"/>
    <w:rsid w:val="6F4C83E2"/>
    <w:rsid w:val="6F8349E3"/>
    <w:rsid w:val="6FB20639"/>
    <w:rsid w:val="6FB8F654"/>
    <w:rsid w:val="6FDDF28A"/>
    <w:rsid w:val="7017EF26"/>
    <w:rsid w:val="703705D6"/>
    <w:rsid w:val="70397EF4"/>
    <w:rsid w:val="706FC975"/>
    <w:rsid w:val="70D1FB94"/>
    <w:rsid w:val="70FC0516"/>
    <w:rsid w:val="71826F27"/>
    <w:rsid w:val="71A359F4"/>
    <w:rsid w:val="71A5FA8F"/>
    <w:rsid w:val="71EC13D8"/>
    <w:rsid w:val="71F0EA23"/>
    <w:rsid w:val="71F2A44A"/>
    <w:rsid w:val="71FF7A06"/>
    <w:rsid w:val="7207A85F"/>
    <w:rsid w:val="72087EE9"/>
    <w:rsid w:val="72476E30"/>
    <w:rsid w:val="724F5FA7"/>
    <w:rsid w:val="7256C424"/>
    <w:rsid w:val="725D4FE9"/>
    <w:rsid w:val="726FB807"/>
    <w:rsid w:val="729A8C23"/>
    <w:rsid w:val="72A2AB7F"/>
    <w:rsid w:val="72A35747"/>
    <w:rsid w:val="72B77CC3"/>
    <w:rsid w:val="72EFAE6F"/>
    <w:rsid w:val="7338B3CD"/>
    <w:rsid w:val="73783621"/>
    <w:rsid w:val="737A986C"/>
    <w:rsid w:val="738D2D83"/>
    <w:rsid w:val="73F4594F"/>
    <w:rsid w:val="74267280"/>
    <w:rsid w:val="744F3322"/>
    <w:rsid w:val="747C58DD"/>
    <w:rsid w:val="74829329"/>
    <w:rsid w:val="74944756"/>
    <w:rsid w:val="74B9D22A"/>
    <w:rsid w:val="74CCB880"/>
    <w:rsid w:val="74D251C0"/>
    <w:rsid w:val="751727F0"/>
    <w:rsid w:val="7530DD12"/>
    <w:rsid w:val="753B58A5"/>
    <w:rsid w:val="755315F6"/>
    <w:rsid w:val="75BACAF0"/>
    <w:rsid w:val="762C8C90"/>
    <w:rsid w:val="768AF2FD"/>
    <w:rsid w:val="768EF059"/>
    <w:rsid w:val="76A6D32E"/>
    <w:rsid w:val="76BBAEB8"/>
    <w:rsid w:val="76F57B67"/>
    <w:rsid w:val="76FDFF6A"/>
    <w:rsid w:val="77219791"/>
    <w:rsid w:val="773188B1"/>
    <w:rsid w:val="77573A6D"/>
    <w:rsid w:val="77B69C54"/>
    <w:rsid w:val="77C3915C"/>
    <w:rsid w:val="77E80F6A"/>
    <w:rsid w:val="78039F91"/>
    <w:rsid w:val="7809ACCA"/>
    <w:rsid w:val="780F6B94"/>
    <w:rsid w:val="78436B34"/>
    <w:rsid w:val="788B34BC"/>
    <w:rsid w:val="78AEA075"/>
    <w:rsid w:val="78B04B2D"/>
    <w:rsid w:val="791A907C"/>
    <w:rsid w:val="792657F7"/>
    <w:rsid w:val="792FD401"/>
    <w:rsid w:val="7938E8FC"/>
    <w:rsid w:val="7947310B"/>
    <w:rsid w:val="79532C5A"/>
    <w:rsid w:val="7956AF78"/>
    <w:rsid w:val="797BAFCC"/>
    <w:rsid w:val="79B1F75F"/>
    <w:rsid w:val="79BA19E7"/>
    <w:rsid w:val="79C5FA7B"/>
    <w:rsid w:val="79DF5CB4"/>
    <w:rsid w:val="7A0EAA8B"/>
    <w:rsid w:val="7A142846"/>
    <w:rsid w:val="7A16FE20"/>
    <w:rsid w:val="7A2670DA"/>
    <w:rsid w:val="7A2E3C44"/>
    <w:rsid w:val="7A7FBC1D"/>
    <w:rsid w:val="7AD9CA6B"/>
    <w:rsid w:val="7AE113DA"/>
    <w:rsid w:val="7AEF093C"/>
    <w:rsid w:val="7B032FFA"/>
    <w:rsid w:val="7B71F224"/>
    <w:rsid w:val="7B7C5C77"/>
    <w:rsid w:val="7BBA922D"/>
    <w:rsid w:val="7BBD7C1C"/>
    <w:rsid w:val="7BDFA555"/>
    <w:rsid w:val="7C0151B5"/>
    <w:rsid w:val="7C392356"/>
    <w:rsid w:val="7C52C8B6"/>
    <w:rsid w:val="7C71507F"/>
    <w:rsid w:val="7CC014C2"/>
    <w:rsid w:val="7CCF0FA4"/>
    <w:rsid w:val="7CEBA53D"/>
    <w:rsid w:val="7D6FDCE5"/>
    <w:rsid w:val="7D718FF2"/>
    <w:rsid w:val="7D8D2B01"/>
    <w:rsid w:val="7DC10C92"/>
    <w:rsid w:val="7DDD9231"/>
    <w:rsid w:val="7DFBE754"/>
    <w:rsid w:val="7E6663C5"/>
    <w:rsid w:val="7E852427"/>
    <w:rsid w:val="7E8AB533"/>
    <w:rsid w:val="7E9456A6"/>
    <w:rsid w:val="7EB06856"/>
    <w:rsid w:val="7EB43300"/>
    <w:rsid w:val="7EFD8642"/>
    <w:rsid w:val="7F137951"/>
    <w:rsid w:val="7F4C08E6"/>
    <w:rsid w:val="7F51BFCA"/>
    <w:rsid w:val="7F674627"/>
    <w:rsid w:val="7F6F79EA"/>
    <w:rsid w:val="7F770095"/>
    <w:rsid w:val="7F90FEEB"/>
    <w:rsid w:val="7FB48354"/>
    <w:rsid w:val="7FB51034"/>
    <w:rsid w:val="7FF6CD1E"/>
    <w:rsid w:val="7FFD2F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1ADEB"/>
  <w15:chartTrackingRefBased/>
  <w15:docId w15:val="{FED2E081-B61F-4812-88E3-CD0AABF9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4666"/>
    <w:pPr>
      <w:spacing w:after="0" w:line="240" w:lineRule="auto"/>
    </w:pPr>
    <w:rPr>
      <w:rFonts w:ascii="Times New Roman" w:hAnsi="Times New Roman"/>
      <w:kern w:val="0"/>
      <w14:ligatures w14:val="none"/>
    </w:rPr>
  </w:style>
  <w:style w:type="paragraph" w:styleId="Heading1">
    <w:name w:val="heading 1"/>
    <w:basedOn w:val="Normal"/>
    <w:next w:val="Normal"/>
    <w:link w:val="Heading1Char"/>
    <w:qFormat/>
    <w:rsid w:val="002D682D"/>
    <w:pPr>
      <w:keepNext/>
      <w:keepLines/>
      <w:numPr>
        <w:numId w:val="23"/>
      </w:numPr>
      <w:spacing w:before="240" w:after="200"/>
      <w:outlineLvl w:val="0"/>
    </w:pPr>
    <w:rPr>
      <w:rFonts w:ascii="Times New Roman Bold" w:eastAsiaTheme="majorEastAsia" w:hAnsi="Times New Roman Bold" w:cstheme="majorBidi"/>
      <w:b/>
      <w:bCs/>
      <w:caps/>
      <w:sz w:val="24"/>
      <w:szCs w:val="28"/>
    </w:rPr>
  </w:style>
  <w:style w:type="paragraph" w:styleId="Heading2">
    <w:name w:val="heading 2"/>
    <w:basedOn w:val="Normal"/>
    <w:next w:val="Normal"/>
    <w:link w:val="Heading2Char"/>
    <w:unhideWhenUsed/>
    <w:qFormat/>
    <w:rsid w:val="004E68A8"/>
    <w:pPr>
      <w:keepNext/>
      <w:keepLines/>
      <w:numPr>
        <w:ilvl w:val="1"/>
        <w:numId w:val="23"/>
      </w:numPr>
      <w:spacing w:before="200" w:after="200"/>
      <w:outlineLvl w:val="1"/>
    </w:pPr>
    <w:rPr>
      <w:rFonts w:ascii="Times New Roman Bold" w:eastAsiaTheme="majorEastAsia" w:hAnsi="Times New Roman Bold" w:cstheme="majorBidi"/>
      <w:b/>
      <w:bCs/>
      <w:caps/>
      <w:sz w:val="24"/>
      <w:szCs w:val="26"/>
    </w:rPr>
  </w:style>
  <w:style w:type="paragraph" w:styleId="Heading3">
    <w:name w:val="heading 3"/>
    <w:basedOn w:val="Normal"/>
    <w:next w:val="Normal"/>
    <w:link w:val="Heading3Char"/>
    <w:qFormat/>
    <w:rsid w:val="002D682D"/>
    <w:pPr>
      <w:keepNext/>
      <w:keepLines/>
      <w:numPr>
        <w:ilvl w:val="2"/>
        <w:numId w:val="23"/>
      </w:numPr>
      <w:spacing w:before="240" w:after="200"/>
      <w:outlineLvl w:val="2"/>
    </w:pPr>
    <w:rPr>
      <w:rFonts w:ascii="Times New Roman Bold" w:eastAsiaTheme="majorEastAsia" w:hAnsi="Times New Roman Bold" w:cstheme="majorBidi"/>
      <w:b/>
      <w:bCs/>
      <w:sz w:val="24"/>
      <w:szCs w:val="24"/>
    </w:rPr>
  </w:style>
  <w:style w:type="paragraph" w:styleId="Heading4">
    <w:name w:val="heading 4"/>
    <w:basedOn w:val="Normal"/>
    <w:next w:val="Normal"/>
    <w:link w:val="Heading4Char"/>
    <w:qFormat/>
    <w:rsid w:val="00F47DC1"/>
    <w:pPr>
      <w:keepNext/>
      <w:keepLines/>
      <w:numPr>
        <w:ilvl w:val="3"/>
        <w:numId w:val="23"/>
      </w:numPr>
      <w:spacing w:after="200"/>
      <w:outlineLvl w:val="3"/>
    </w:pPr>
    <w:rPr>
      <w:rFonts w:eastAsiaTheme="majorEastAsia" w:cstheme="majorBidi"/>
      <w:bCs/>
      <w:i/>
      <w:iCs/>
      <w:sz w:val="24"/>
      <w:szCs w:val="24"/>
    </w:rPr>
  </w:style>
  <w:style w:type="paragraph" w:styleId="Heading5">
    <w:name w:val="heading 5"/>
    <w:basedOn w:val="Normal"/>
    <w:next w:val="Normal"/>
    <w:link w:val="Heading5Char"/>
    <w:unhideWhenUsed/>
    <w:qFormat/>
    <w:rsid w:val="00F47DC1"/>
    <w:pPr>
      <w:keepNext/>
      <w:keepLines/>
      <w:numPr>
        <w:ilvl w:val="4"/>
        <w:numId w:val="23"/>
      </w:numPr>
      <w:spacing w:after="200"/>
      <w:outlineLvl w:val="4"/>
    </w:pPr>
    <w:rPr>
      <w:rFonts w:eastAsiaTheme="majorEastAsia" w:cstheme="majorBidi"/>
      <w:sz w:val="24"/>
      <w:szCs w:val="24"/>
      <w:u w:val="single"/>
    </w:rPr>
  </w:style>
  <w:style w:type="paragraph" w:styleId="Heading6">
    <w:name w:val="heading 6"/>
    <w:basedOn w:val="Normal"/>
    <w:next w:val="Normal"/>
    <w:link w:val="Heading6Char"/>
    <w:unhideWhenUsed/>
    <w:qFormat/>
    <w:rsid w:val="00F47DC1"/>
    <w:pPr>
      <w:keepNext/>
      <w:keepLines/>
      <w:numPr>
        <w:ilvl w:val="5"/>
        <w:numId w:val="23"/>
      </w:numPr>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D682D"/>
    <w:rPr>
      <w:rFonts w:ascii="Times New Roman Bold" w:eastAsiaTheme="majorEastAsia" w:hAnsi="Times New Roman Bold" w:cstheme="majorBidi"/>
      <w:b/>
      <w:bCs/>
      <w:kern w:val="0"/>
      <w:sz w:val="24"/>
      <w:szCs w:val="24"/>
      <w14:ligatures w14:val="none"/>
    </w:rPr>
  </w:style>
  <w:style w:type="character" w:customStyle="1" w:styleId="Heading2Char">
    <w:name w:val="Heading 2 Char"/>
    <w:basedOn w:val="DefaultParagraphFont"/>
    <w:link w:val="Heading2"/>
    <w:rsid w:val="002D682D"/>
    <w:rPr>
      <w:rFonts w:ascii="Times New Roman Bold" w:eastAsiaTheme="majorEastAsia" w:hAnsi="Times New Roman Bold" w:cstheme="majorBidi"/>
      <w:b/>
      <w:bCs/>
      <w:caps/>
      <w:kern w:val="0"/>
      <w:sz w:val="24"/>
      <w:szCs w:val="26"/>
      <w14:ligatures w14:val="none"/>
    </w:rPr>
  </w:style>
  <w:style w:type="paragraph" w:styleId="BodyText">
    <w:name w:val="Body Text"/>
    <w:basedOn w:val="Normal"/>
    <w:link w:val="BodyTextChar"/>
    <w:qFormat/>
    <w:rsid w:val="002C71DF"/>
    <w:pPr>
      <w:spacing w:before="240" w:after="160"/>
    </w:pPr>
  </w:style>
  <w:style w:type="character" w:customStyle="1" w:styleId="BodyTextChar">
    <w:name w:val="Body Text Char"/>
    <w:basedOn w:val="DefaultParagraphFont"/>
    <w:link w:val="BodyText"/>
    <w:rsid w:val="002C71DF"/>
    <w:rPr>
      <w:rFonts w:ascii="Times New Roman" w:hAnsi="Times New Roman"/>
      <w:kern w:val="0"/>
      <w14:ligatures w14:val="none"/>
    </w:rPr>
  </w:style>
  <w:style w:type="character" w:customStyle="1" w:styleId="Heading1Char">
    <w:name w:val="Heading 1 Char"/>
    <w:basedOn w:val="DefaultParagraphFont"/>
    <w:link w:val="Heading1"/>
    <w:rsid w:val="002D682D"/>
    <w:rPr>
      <w:rFonts w:ascii="Times New Roman Bold" w:eastAsiaTheme="majorEastAsia" w:hAnsi="Times New Roman Bold" w:cstheme="majorBidi"/>
      <w:b/>
      <w:bCs/>
      <w:caps/>
      <w:kern w:val="0"/>
      <w:sz w:val="24"/>
      <w:szCs w:val="28"/>
      <w14:ligatures w14:val="none"/>
    </w:rPr>
  </w:style>
  <w:style w:type="character" w:customStyle="1" w:styleId="Heading4Char">
    <w:name w:val="Heading 4 Char"/>
    <w:basedOn w:val="DefaultParagraphFont"/>
    <w:link w:val="Heading4"/>
    <w:rsid w:val="002D682D"/>
    <w:rPr>
      <w:rFonts w:ascii="Times New Roman" w:eastAsiaTheme="majorEastAsia" w:hAnsi="Times New Roman" w:cstheme="majorBidi"/>
      <w:bCs/>
      <w:i/>
      <w:iCs/>
      <w:kern w:val="0"/>
      <w:sz w:val="24"/>
      <w:szCs w:val="24"/>
      <w14:ligatures w14:val="none"/>
    </w:rPr>
  </w:style>
  <w:style w:type="character" w:customStyle="1" w:styleId="Heading5Char">
    <w:name w:val="Heading 5 Char"/>
    <w:basedOn w:val="DefaultParagraphFont"/>
    <w:link w:val="Heading5"/>
    <w:rsid w:val="002D682D"/>
    <w:rPr>
      <w:rFonts w:ascii="Times New Roman" w:eastAsiaTheme="majorEastAsia" w:hAnsi="Times New Roman" w:cstheme="majorBidi"/>
      <w:kern w:val="0"/>
      <w:sz w:val="24"/>
      <w:szCs w:val="24"/>
      <w:u w:val="single"/>
      <w14:ligatures w14:val="none"/>
    </w:rPr>
  </w:style>
  <w:style w:type="paragraph" w:customStyle="1" w:styleId="AIB">
    <w:name w:val="AIB"/>
    <w:basedOn w:val="Normal"/>
    <w:next w:val="Normal"/>
    <w:link w:val="AIBChar"/>
    <w:uiPriority w:val="8"/>
    <w:qFormat/>
    <w:rsid w:val="002C71DF"/>
    <w:pPr>
      <w:spacing w:before="240" w:after="160"/>
      <w:ind w:left="288" w:hanging="288"/>
      <w:outlineLvl w:val="1"/>
    </w:pPr>
    <w:rPr>
      <w:rFonts w:ascii="Times New Roman Bold" w:hAnsi="Times New Roman Bold"/>
      <w:b/>
      <w:sz w:val="24"/>
    </w:rPr>
  </w:style>
  <w:style w:type="character" w:customStyle="1" w:styleId="AIBChar">
    <w:name w:val="AIB Char"/>
    <w:basedOn w:val="DefaultParagraphFont"/>
    <w:link w:val="AIB"/>
    <w:uiPriority w:val="8"/>
    <w:rsid w:val="002C71DF"/>
    <w:rPr>
      <w:rFonts w:ascii="Times New Roman Bold" w:hAnsi="Times New Roman Bold"/>
      <w:b/>
      <w:kern w:val="0"/>
      <w:sz w:val="24"/>
      <w14:ligatures w14:val="none"/>
    </w:rPr>
  </w:style>
  <w:style w:type="character" w:customStyle="1" w:styleId="Heading6Char">
    <w:name w:val="Heading 6 Char"/>
    <w:basedOn w:val="DefaultParagraphFont"/>
    <w:link w:val="Heading6"/>
    <w:rsid w:val="002D682D"/>
    <w:rPr>
      <w:rFonts w:asciiTheme="majorHAnsi" w:eastAsiaTheme="majorEastAsia" w:hAnsiTheme="majorHAnsi" w:cstheme="majorBidi"/>
      <w:color w:val="1F3763" w:themeColor="accent1" w:themeShade="7F"/>
      <w:kern w:val="0"/>
      <w14:ligatures w14:val="none"/>
    </w:rPr>
  </w:style>
  <w:style w:type="paragraph" w:styleId="NoSpacing">
    <w:name w:val="No Spacing"/>
    <w:uiPriority w:val="10"/>
    <w:unhideWhenUsed/>
    <w:qFormat/>
    <w:rsid w:val="00F47DC1"/>
    <w:pPr>
      <w:spacing w:after="0" w:line="240" w:lineRule="auto"/>
    </w:pPr>
    <w:rPr>
      <w:rFonts w:ascii="Times New Roman" w:hAnsi="Times New Roman"/>
    </w:rPr>
  </w:style>
  <w:style w:type="paragraph" w:customStyle="1" w:styleId="TableTitle">
    <w:name w:val="Table Title"/>
    <w:basedOn w:val="Normal"/>
    <w:link w:val="TableTitleChar"/>
    <w:qFormat/>
    <w:rsid w:val="002C71DF"/>
    <w:pPr>
      <w:spacing w:before="240" w:after="120"/>
      <w:ind w:left="1080" w:hanging="360"/>
    </w:pPr>
    <w:rPr>
      <w:rFonts w:ascii="Times New Roman Bold" w:eastAsiaTheme="majorEastAsia" w:hAnsi="Times New Roman Bold" w:cstheme="majorBidi"/>
      <w:b/>
      <w:bCs/>
      <w:sz w:val="24"/>
      <w:szCs w:val="28"/>
    </w:rPr>
  </w:style>
  <w:style w:type="table" w:styleId="TableGrid">
    <w:name w:val="Table Grid"/>
    <w:basedOn w:val="TableNormal"/>
    <w:uiPriority w:val="59"/>
    <w:rsid w:val="00F4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99"/>
    <w:qFormat/>
    <w:rsid w:val="00F47DC1"/>
    <w:rPr>
      <w:rFonts w:ascii="Times New Roman Bold" w:hAnsi="Times New Roman Bold"/>
      <w:b/>
      <w:smallCaps/>
    </w:rPr>
  </w:style>
  <w:style w:type="paragraph" w:customStyle="1" w:styleId="AppFigureCaption">
    <w:name w:val="App Figure Caption"/>
    <w:basedOn w:val="Normal"/>
    <w:next w:val="BodyText"/>
    <w:uiPriority w:val="3"/>
    <w:unhideWhenUsed/>
    <w:qFormat/>
    <w:rsid w:val="00905011"/>
    <w:pPr>
      <w:keepLines/>
      <w:widowControl w:val="0"/>
      <w:spacing w:before="60" w:after="360"/>
    </w:pPr>
    <w:rPr>
      <w:rFonts w:ascii="Arial" w:eastAsia="Times New Roman" w:hAnsi="Arial" w:cs="Times New Roman"/>
      <w:b/>
      <w:bCs/>
      <w:sz w:val="20"/>
      <w:szCs w:val="20"/>
    </w:rPr>
  </w:style>
  <w:style w:type="paragraph" w:styleId="ListBullet4">
    <w:name w:val="List Bullet 4"/>
    <w:basedOn w:val="Normal"/>
    <w:uiPriority w:val="99"/>
    <w:semiHidden/>
    <w:rsid w:val="00905011"/>
    <w:pPr>
      <w:numPr>
        <w:numId w:val="25"/>
      </w:numPr>
      <w:tabs>
        <w:tab w:val="num" w:pos="720"/>
      </w:tabs>
    </w:pPr>
  </w:style>
  <w:style w:type="paragraph" w:customStyle="1" w:styleId="BackCoverStatement">
    <w:name w:val="Back Cover Statement"/>
    <w:basedOn w:val="Normal"/>
    <w:uiPriority w:val="3"/>
    <w:unhideWhenUsed/>
    <w:rsid w:val="00905011"/>
    <w:pPr>
      <w:spacing w:before="840"/>
      <w:ind w:left="720" w:right="720"/>
      <w:jc w:val="both"/>
    </w:pPr>
    <w:rPr>
      <w:szCs w:val="16"/>
    </w:rPr>
  </w:style>
  <w:style w:type="paragraph" w:styleId="Footer">
    <w:name w:val="footer"/>
    <w:basedOn w:val="Normal"/>
    <w:link w:val="FooterChar"/>
    <w:uiPriority w:val="99"/>
    <w:rsid w:val="00905011"/>
    <w:pPr>
      <w:pBdr>
        <w:top w:val="single" w:sz="4" w:space="1" w:color="auto"/>
      </w:pBdr>
      <w:tabs>
        <w:tab w:val="center" w:pos="4680"/>
        <w:tab w:val="right" w:pos="9360"/>
      </w:tabs>
      <w:jc w:val="center"/>
    </w:pPr>
    <w:rPr>
      <w:rFonts w:ascii="Arial" w:hAnsi="Arial"/>
      <w:sz w:val="18"/>
    </w:rPr>
  </w:style>
  <w:style w:type="character" w:customStyle="1" w:styleId="FooterChar">
    <w:name w:val="Footer Char"/>
    <w:basedOn w:val="DefaultParagraphFont"/>
    <w:link w:val="Footer"/>
    <w:uiPriority w:val="99"/>
    <w:rsid w:val="00905011"/>
    <w:rPr>
      <w:rFonts w:ascii="Arial" w:hAnsi="Arial"/>
      <w:kern w:val="0"/>
      <w:sz w:val="18"/>
      <w14:ligatures w14:val="none"/>
    </w:rPr>
  </w:style>
  <w:style w:type="paragraph" w:styleId="Header">
    <w:name w:val="header"/>
    <w:basedOn w:val="Normal"/>
    <w:link w:val="HeaderChar"/>
    <w:uiPriority w:val="99"/>
    <w:rsid w:val="00905011"/>
    <w:pPr>
      <w:pBdr>
        <w:bottom w:val="single" w:sz="4" w:space="1" w:color="auto"/>
      </w:pBdr>
      <w:tabs>
        <w:tab w:val="center" w:pos="4680"/>
        <w:tab w:val="right" w:pos="9360"/>
      </w:tabs>
    </w:pPr>
    <w:rPr>
      <w:rFonts w:ascii="Arial" w:hAnsi="Arial"/>
      <w:i/>
      <w:sz w:val="18"/>
    </w:rPr>
  </w:style>
  <w:style w:type="character" w:customStyle="1" w:styleId="HeaderChar">
    <w:name w:val="Header Char"/>
    <w:basedOn w:val="DefaultParagraphFont"/>
    <w:link w:val="Header"/>
    <w:uiPriority w:val="99"/>
    <w:rsid w:val="00905011"/>
    <w:rPr>
      <w:rFonts w:ascii="Arial" w:hAnsi="Arial"/>
      <w:i/>
      <w:kern w:val="0"/>
      <w:sz w:val="18"/>
      <w14:ligatures w14:val="none"/>
    </w:rPr>
  </w:style>
  <w:style w:type="paragraph" w:styleId="Caption">
    <w:name w:val="caption"/>
    <w:aliases w:val="Figure Caption,Abstract_Caption"/>
    <w:basedOn w:val="Normal"/>
    <w:next w:val="Normal"/>
    <w:link w:val="CaptionChar"/>
    <w:uiPriority w:val="35"/>
    <w:unhideWhenUsed/>
    <w:qFormat/>
    <w:rsid w:val="00905011"/>
    <w:pPr>
      <w:keepNext/>
      <w:spacing w:beforeLines="100" w:before="240"/>
    </w:pPr>
    <w:rPr>
      <w:b/>
      <w:bCs/>
      <w:sz w:val="24"/>
      <w:szCs w:val="20"/>
    </w:rPr>
  </w:style>
  <w:style w:type="character" w:styleId="Hyperlink">
    <w:name w:val="Hyperlink"/>
    <w:basedOn w:val="DefaultParagraphFont"/>
    <w:uiPriority w:val="99"/>
    <w:rsid w:val="004E68A8"/>
    <w:rPr>
      <w:color w:val="0563C1" w:themeColor="hyperlink"/>
      <w:u w:val="single"/>
    </w:rPr>
  </w:style>
  <w:style w:type="character" w:customStyle="1" w:styleId="TableLeasingEA">
    <w:name w:val="Table Leasing EA"/>
    <w:basedOn w:val="DefaultParagraphFont"/>
    <w:uiPriority w:val="3"/>
    <w:qFormat/>
    <w:rsid w:val="004E68A8"/>
    <w:rPr>
      <w:rFonts w:ascii="Times New Roman" w:eastAsia="Times New Roman" w:hAnsi="Times New Roman" w:cs="Times New Roman"/>
      <w:b/>
      <w:sz w:val="20"/>
      <w:szCs w:val="24"/>
    </w:rPr>
  </w:style>
  <w:style w:type="paragraph" w:customStyle="1" w:styleId="Bullet1">
    <w:name w:val="Bullet 1"/>
    <w:unhideWhenUsed/>
    <w:qFormat/>
    <w:rsid w:val="004E68A8"/>
    <w:pPr>
      <w:numPr>
        <w:numId w:val="27"/>
      </w:numPr>
      <w:spacing w:before="120" w:after="0" w:line="240" w:lineRule="auto"/>
    </w:pPr>
    <w:rPr>
      <w:rFonts w:ascii="Times New Roman" w:eastAsia="Times New Roman" w:hAnsi="Times New Roman" w:cs="Times New Roman"/>
      <w:kern w:val="0"/>
      <w:szCs w:val="24"/>
      <w14:ligatures w14:val="none"/>
    </w:rPr>
  </w:style>
  <w:style w:type="paragraph" w:customStyle="1" w:styleId="Bullet2">
    <w:name w:val="Bullet 2"/>
    <w:basedOn w:val="Bullet1"/>
    <w:unhideWhenUsed/>
    <w:qFormat/>
    <w:rsid w:val="004E68A8"/>
    <w:pPr>
      <w:numPr>
        <w:ilvl w:val="1"/>
      </w:numPr>
      <w:spacing w:before="60"/>
    </w:pPr>
  </w:style>
  <w:style w:type="paragraph" w:customStyle="1" w:styleId="Bullet3">
    <w:name w:val="Bullet 3"/>
    <w:basedOn w:val="Bullet2"/>
    <w:unhideWhenUsed/>
    <w:qFormat/>
    <w:rsid w:val="004E68A8"/>
    <w:pPr>
      <w:numPr>
        <w:ilvl w:val="2"/>
      </w:numPr>
    </w:pPr>
  </w:style>
  <w:style w:type="character" w:styleId="CommentReference">
    <w:name w:val="annotation reference"/>
    <w:basedOn w:val="DefaultParagraphFont"/>
    <w:uiPriority w:val="99"/>
    <w:rsid w:val="004E68A8"/>
    <w:rPr>
      <w:sz w:val="16"/>
      <w:szCs w:val="16"/>
    </w:rPr>
  </w:style>
  <w:style w:type="paragraph" w:styleId="CommentText">
    <w:name w:val="annotation text"/>
    <w:aliases w:val="Char Char2, Char Char2"/>
    <w:basedOn w:val="Normal"/>
    <w:link w:val="CommentTextChar"/>
    <w:uiPriority w:val="99"/>
    <w:rsid w:val="004E68A8"/>
    <w:rPr>
      <w:sz w:val="20"/>
      <w:szCs w:val="20"/>
    </w:rPr>
  </w:style>
  <w:style w:type="character" w:customStyle="1" w:styleId="CommentTextChar">
    <w:name w:val="Comment Text Char"/>
    <w:aliases w:val="Char Char2 Char, Char Char2 Char"/>
    <w:basedOn w:val="DefaultParagraphFont"/>
    <w:link w:val="CommentText"/>
    <w:uiPriority w:val="99"/>
    <w:rsid w:val="004E68A8"/>
    <w:rPr>
      <w:rFonts w:ascii="Times New Roman" w:hAnsi="Times New Roman"/>
      <w:kern w:val="0"/>
      <w:sz w:val="20"/>
      <w:szCs w:val="20"/>
      <w14:ligatures w14:val="none"/>
    </w:rPr>
  </w:style>
  <w:style w:type="character" w:styleId="FootnoteReference">
    <w:name w:val="footnote reference"/>
    <w:aliases w:val="Ref,de nota al pie,o,fr,Style 13,Style 12,Style 15,Style 17,Style 9,o1,fr1,o2,fr2,o3,fr3,(NECG) Footnote Reference,Style 20,Style 7,Style 8,Style 19,Style 28,Style 11,Style 16,Styl,Footnote Reference (EIS),fnr,Style 30,."/>
    <w:basedOn w:val="DefaultParagraphFont"/>
    <w:uiPriority w:val="99"/>
    <w:unhideWhenUsed/>
    <w:qFormat/>
    <w:rsid w:val="004E68A8"/>
    <w:rPr>
      <w:rFonts w:ascii="Times New Roman" w:hAnsi="Times New Roman"/>
      <w:sz w:val="22"/>
      <w:vertAlign w:val="superscript"/>
    </w:rPr>
  </w:style>
  <w:style w:type="paragraph" w:styleId="FootnoteText">
    <w:name w:val="footnote text"/>
    <w:basedOn w:val="Normal"/>
    <w:link w:val="FootnoteTextChar"/>
    <w:uiPriority w:val="99"/>
    <w:unhideWhenUsed/>
    <w:qFormat/>
    <w:rsid w:val="004E68A8"/>
    <w:rPr>
      <w:sz w:val="18"/>
      <w:szCs w:val="20"/>
    </w:rPr>
  </w:style>
  <w:style w:type="character" w:customStyle="1" w:styleId="FootnoteTextChar">
    <w:name w:val="Footnote Text Char"/>
    <w:basedOn w:val="DefaultParagraphFont"/>
    <w:link w:val="FootnoteText"/>
    <w:uiPriority w:val="99"/>
    <w:rsid w:val="004E68A8"/>
    <w:rPr>
      <w:rFonts w:ascii="Times New Roman" w:hAnsi="Times New Roman"/>
      <w:kern w:val="0"/>
      <w:sz w:val="18"/>
      <w:szCs w:val="20"/>
      <w14:ligatures w14:val="none"/>
    </w:rPr>
  </w:style>
  <w:style w:type="paragraph" w:customStyle="1" w:styleId="TableNote">
    <w:name w:val="Table Note"/>
    <w:unhideWhenUsed/>
    <w:qFormat/>
    <w:rsid w:val="004E68A8"/>
    <w:pPr>
      <w:spacing w:before="60" w:after="40" w:line="240" w:lineRule="auto"/>
    </w:pPr>
    <w:rPr>
      <w:rFonts w:ascii="Arial" w:eastAsia="Times New Roman" w:hAnsi="Arial" w:cs="Arial"/>
      <w:kern w:val="0"/>
      <w:sz w:val="14"/>
      <w:szCs w:val="24"/>
      <w14:ligatures w14:val="none"/>
    </w:rPr>
  </w:style>
  <w:style w:type="paragraph" w:customStyle="1" w:styleId="TableTextLeft">
    <w:name w:val="Table Text Left"/>
    <w:unhideWhenUsed/>
    <w:qFormat/>
    <w:rsid w:val="004E68A8"/>
    <w:pPr>
      <w:spacing w:before="60" w:after="60" w:line="240" w:lineRule="auto"/>
    </w:pPr>
    <w:rPr>
      <w:rFonts w:ascii="Arial" w:eastAsia="Times New Roman" w:hAnsi="Arial" w:cs="Times New Roman"/>
      <w:kern w:val="0"/>
      <w:sz w:val="16"/>
      <w:szCs w:val="18"/>
      <w14:ligatures w14:val="none"/>
    </w:rPr>
  </w:style>
  <w:style w:type="character" w:customStyle="1" w:styleId="TableHeadingChar">
    <w:name w:val="Table Heading Char"/>
    <w:link w:val="TableHeading"/>
    <w:locked/>
    <w:rsid w:val="002D682D"/>
    <w:rPr>
      <w:rFonts w:ascii="Times New Roman Bold" w:hAnsi="Times New Roman Bold"/>
      <w:b/>
      <w:smallCaps/>
      <w:kern w:val="0"/>
      <w14:ligatures w14:val="none"/>
    </w:rPr>
  </w:style>
  <w:style w:type="character" w:customStyle="1" w:styleId="cf01">
    <w:name w:val="cf01"/>
    <w:basedOn w:val="DefaultParagraphFont"/>
    <w:uiPriority w:val="3"/>
    <w:unhideWhenUsed/>
    <w:rsid w:val="004E68A8"/>
    <w:rPr>
      <w:rFonts w:ascii="Segoe UI" w:hAnsi="Segoe UI" w:cs="Segoe UI" w:hint="default"/>
      <w:sz w:val="18"/>
      <w:szCs w:val="18"/>
    </w:rPr>
  </w:style>
  <w:style w:type="paragraph" w:styleId="ListParagraph">
    <w:name w:val="List Paragraph"/>
    <w:aliases w:val="bullet list"/>
    <w:basedOn w:val="Normal"/>
    <w:link w:val="ListParagraphChar"/>
    <w:uiPriority w:val="34"/>
    <w:qFormat/>
    <w:rsid w:val="004E68A8"/>
    <w:pPr>
      <w:ind w:left="720"/>
    </w:pPr>
  </w:style>
  <w:style w:type="character" w:customStyle="1" w:styleId="ListParagraphChar">
    <w:name w:val="List Paragraph Char"/>
    <w:aliases w:val="bullet list Char"/>
    <w:basedOn w:val="DefaultParagraphFont"/>
    <w:link w:val="ListParagraph"/>
    <w:uiPriority w:val="34"/>
    <w:rsid w:val="004E68A8"/>
    <w:rPr>
      <w:rFonts w:ascii="Times New Roman" w:hAnsi="Times New Roman"/>
      <w:kern w:val="0"/>
      <w14:ligatures w14:val="none"/>
    </w:rPr>
  </w:style>
  <w:style w:type="paragraph" w:customStyle="1" w:styleId="Sub-heading4">
    <w:name w:val="Sub-heading 4"/>
    <w:basedOn w:val="Heading4"/>
    <w:qFormat/>
    <w:rsid w:val="004E68A8"/>
    <w:pPr>
      <w:numPr>
        <w:ilvl w:val="4"/>
        <w:numId w:val="29"/>
      </w:numPr>
      <w:tabs>
        <w:tab w:val="left" w:pos="900"/>
      </w:tabs>
      <w:spacing w:before="40" w:after="120" w:line="259" w:lineRule="auto"/>
    </w:pPr>
    <w:rPr>
      <w:rFonts w:ascii="Times New Roman Bold" w:hAnsi="Times New Roman Bold"/>
      <w:b/>
      <w:bCs w:val="0"/>
      <w:i w:val="0"/>
      <w:color w:val="000000" w:themeColor="text1"/>
      <w:sz w:val="28"/>
    </w:rPr>
  </w:style>
  <w:style w:type="paragraph" w:styleId="Bibliography">
    <w:name w:val="Bibliography"/>
    <w:basedOn w:val="Normal"/>
    <w:next w:val="Normal"/>
    <w:uiPriority w:val="37"/>
    <w:unhideWhenUsed/>
    <w:rsid w:val="002D682D"/>
  </w:style>
  <w:style w:type="paragraph" w:customStyle="1" w:styleId="TableHeadingCentered">
    <w:name w:val="Table Heading Centered"/>
    <w:basedOn w:val="TableHeading"/>
    <w:unhideWhenUsed/>
    <w:qFormat/>
    <w:rsid w:val="002D682D"/>
    <w:pPr>
      <w:keepNext/>
      <w:keepLines/>
      <w:spacing w:before="120" w:after="120"/>
      <w:jc w:val="center"/>
    </w:pPr>
    <w:rPr>
      <w:rFonts w:ascii="Arial" w:eastAsia="Times New Roman" w:hAnsi="Arial" w:cs="Arial"/>
      <w:bCs/>
      <w:smallCaps w:val="0"/>
      <w:sz w:val="16"/>
      <w:szCs w:val="20"/>
    </w:rPr>
  </w:style>
  <w:style w:type="paragraph" w:customStyle="1" w:styleId="TableTextCentered">
    <w:name w:val="Table Text Centered"/>
    <w:uiPriority w:val="99"/>
    <w:unhideWhenUsed/>
    <w:qFormat/>
    <w:rsid w:val="002D682D"/>
    <w:pPr>
      <w:spacing w:before="60" w:after="60" w:line="240" w:lineRule="auto"/>
      <w:jc w:val="center"/>
    </w:pPr>
    <w:rPr>
      <w:rFonts w:ascii="Arial" w:eastAsia="Times New Roman" w:hAnsi="Arial" w:cs="Times New Roman"/>
      <w:kern w:val="0"/>
      <w:sz w:val="16"/>
      <w:szCs w:val="18"/>
      <w14:ligatures w14:val="none"/>
    </w:rPr>
  </w:style>
  <w:style w:type="paragraph" w:customStyle="1" w:styleId="Default">
    <w:name w:val="Default"/>
    <w:link w:val="DefaultChar"/>
    <w:uiPriority w:val="3"/>
    <w:unhideWhenUsed/>
    <w:rsid w:val="002D682D"/>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customStyle="1" w:styleId="Subheading4">
    <w:name w:val="Subheading 4"/>
    <w:uiPriority w:val="99"/>
    <w:rsid w:val="002D682D"/>
    <w:pPr>
      <w:keepNext/>
      <w:spacing w:before="220" w:after="200" w:line="240" w:lineRule="auto"/>
    </w:pPr>
    <w:rPr>
      <w:rFonts w:ascii="Arial" w:eastAsiaTheme="majorEastAsia" w:hAnsi="Arial" w:cs="Arial"/>
      <w:b/>
      <w:i/>
      <w:kern w:val="0"/>
      <w:sz w:val="24"/>
      <w:szCs w:val="24"/>
      <w14:ligatures w14:val="none"/>
    </w:rPr>
  </w:style>
  <w:style w:type="numbering" w:customStyle="1" w:styleId="Style3">
    <w:name w:val="Style3"/>
    <w:uiPriority w:val="99"/>
    <w:rsid w:val="002D682D"/>
    <w:pPr>
      <w:numPr>
        <w:numId w:val="31"/>
      </w:numPr>
    </w:pPr>
  </w:style>
  <w:style w:type="character" w:customStyle="1" w:styleId="DefaultChar">
    <w:name w:val="Default Char"/>
    <w:basedOn w:val="DefaultParagraphFont"/>
    <w:link w:val="Default"/>
    <w:uiPriority w:val="3"/>
    <w:rsid w:val="002D682D"/>
    <w:rPr>
      <w:rFonts w:ascii="Arial" w:eastAsia="Times New Roman" w:hAnsi="Arial" w:cs="Arial"/>
      <w:color w:val="000000"/>
      <w:kern w:val="0"/>
      <w:sz w:val="24"/>
      <w:szCs w:val="24"/>
      <w14:ligatures w14:val="none"/>
    </w:rPr>
  </w:style>
  <w:style w:type="character" w:customStyle="1" w:styleId="ui-provider">
    <w:name w:val="ui-provider"/>
    <w:basedOn w:val="DefaultParagraphFont"/>
    <w:uiPriority w:val="3"/>
    <w:rsid w:val="002D682D"/>
  </w:style>
  <w:style w:type="paragraph" w:customStyle="1" w:styleId="AIBChapter3">
    <w:name w:val="AIB Chapter 3"/>
    <w:basedOn w:val="Heading3"/>
    <w:next w:val="BodyText"/>
    <w:unhideWhenUsed/>
    <w:qFormat/>
    <w:rsid w:val="002D682D"/>
    <w:pPr>
      <w:numPr>
        <w:ilvl w:val="0"/>
        <w:numId w:val="62"/>
      </w:numPr>
      <w:spacing w:before="220" w:after="0"/>
    </w:pPr>
    <w:rPr>
      <w:rFonts w:cs="Arial"/>
      <w:bCs w:val="0"/>
      <w:sz w:val="28"/>
      <w:szCs w:val="28"/>
    </w:rPr>
  </w:style>
  <w:style w:type="paragraph" w:customStyle="1" w:styleId="Chapter3Heading4NoNumbers">
    <w:name w:val="Chapter 3 Heading 4 No Numbers"/>
    <w:basedOn w:val="Heading4"/>
    <w:uiPriority w:val="3"/>
    <w:unhideWhenUsed/>
    <w:rsid w:val="002D682D"/>
    <w:pPr>
      <w:numPr>
        <w:numId w:val="0"/>
      </w:numPr>
      <w:spacing w:before="220" w:after="0"/>
    </w:pPr>
    <w:rPr>
      <w:rFonts w:ascii="Times New Roman Bold" w:hAnsi="Times New Roman Bold" w:cs="Arial"/>
      <w:b/>
      <w:bCs w:val="0"/>
      <w:iCs w:val="0"/>
      <w:sz w:val="28"/>
    </w:rPr>
  </w:style>
  <w:style w:type="paragraph" w:customStyle="1" w:styleId="AppendixHeading1">
    <w:name w:val="Appendix Heading 1"/>
    <w:basedOn w:val="Heading1"/>
    <w:link w:val="AppendixHeading1Char"/>
    <w:qFormat/>
    <w:rsid w:val="00D94666"/>
    <w:pPr>
      <w:numPr>
        <w:numId w:val="0"/>
      </w:numPr>
      <w:spacing w:before="360" w:after="0"/>
      <w:ind w:left="619" w:hanging="619"/>
    </w:pPr>
    <w:rPr>
      <w:rFonts w:cs="Arial"/>
      <w:bCs w:val="0"/>
      <w:sz w:val="32"/>
      <w:szCs w:val="32"/>
    </w:rPr>
  </w:style>
  <w:style w:type="paragraph" w:customStyle="1" w:styleId="AppTableTitle">
    <w:name w:val="App Table Title"/>
    <w:basedOn w:val="TableTitle"/>
    <w:qFormat/>
    <w:rsid w:val="00D94666"/>
    <w:pPr>
      <w:spacing w:before="360"/>
      <w:ind w:left="0" w:firstLine="0"/>
    </w:pPr>
    <w:rPr>
      <w:rFonts w:ascii="Arial" w:eastAsia="Times New Roman" w:hAnsi="Arial" w:cs="Times New Roman"/>
      <w:sz w:val="20"/>
      <w:szCs w:val="20"/>
    </w:rPr>
  </w:style>
  <w:style w:type="paragraph" w:customStyle="1" w:styleId="TableText">
    <w:name w:val="Table Text"/>
    <w:basedOn w:val="Normal"/>
    <w:link w:val="TableTextChar"/>
    <w:rsid w:val="00D94666"/>
    <w:pPr>
      <w:spacing w:before="20" w:after="20"/>
    </w:pPr>
    <w:rPr>
      <w:sz w:val="18"/>
      <w:szCs w:val="18"/>
    </w:rPr>
  </w:style>
  <w:style w:type="character" w:customStyle="1" w:styleId="normaltextrun">
    <w:name w:val="normaltextrun"/>
    <w:basedOn w:val="DefaultParagraphFont"/>
    <w:rsid w:val="00D94666"/>
  </w:style>
  <w:style w:type="character" w:customStyle="1" w:styleId="TableTextChar">
    <w:name w:val="Table Text Char"/>
    <w:basedOn w:val="DefaultParagraphFont"/>
    <w:link w:val="TableText"/>
    <w:locked/>
    <w:rsid w:val="00D94666"/>
    <w:rPr>
      <w:rFonts w:ascii="Times New Roman" w:hAnsi="Times New Roman"/>
      <w:kern w:val="0"/>
      <w:sz w:val="18"/>
      <w:szCs w:val="18"/>
      <w14:ligatures w14:val="none"/>
    </w:rPr>
  </w:style>
  <w:style w:type="paragraph" w:customStyle="1" w:styleId="TABLETEXTMONTEIS">
    <w:name w:val="TABLE TEXT MONT EIS"/>
    <w:basedOn w:val="Normal"/>
    <w:link w:val="TABLETEXTMONTEISChar"/>
    <w:rsid w:val="00D94666"/>
    <w:pPr>
      <w:suppressAutoHyphens/>
      <w:spacing w:after="120" w:line="259" w:lineRule="auto"/>
    </w:pPr>
    <w:rPr>
      <w:rFonts w:ascii="Arial" w:eastAsia="Times New Roman" w:hAnsi="Arial" w:cs="Times New Roman"/>
      <w:sz w:val="20"/>
      <w:szCs w:val="20"/>
    </w:rPr>
  </w:style>
  <w:style w:type="character" w:customStyle="1" w:styleId="TABLETEXTMONTEISChar">
    <w:name w:val="TABLE TEXT MONT EIS Char"/>
    <w:basedOn w:val="DefaultParagraphFont"/>
    <w:link w:val="TABLETEXTMONTEIS"/>
    <w:locked/>
    <w:rsid w:val="00D94666"/>
    <w:rPr>
      <w:rFonts w:ascii="Arial" w:eastAsia="Times New Roman" w:hAnsi="Arial" w:cs="Times New Roman"/>
      <w:kern w:val="0"/>
      <w:sz w:val="20"/>
      <w:szCs w:val="20"/>
      <w14:ligatures w14:val="none"/>
    </w:rPr>
  </w:style>
  <w:style w:type="paragraph" w:customStyle="1" w:styleId="AppHeading2">
    <w:name w:val="App Heading 2"/>
    <w:next w:val="BodyText"/>
    <w:qFormat/>
    <w:rsid w:val="00D94666"/>
    <w:pPr>
      <w:keepNext/>
      <w:keepLines/>
      <w:spacing w:before="300" w:after="0" w:line="240" w:lineRule="auto"/>
    </w:pPr>
    <w:rPr>
      <w:rFonts w:ascii="Arial Bold" w:eastAsia="Times New Roman" w:hAnsi="Arial Bold" w:cs="Arial"/>
      <w:b/>
      <w:bCs/>
      <w:iCs/>
      <w:caps/>
      <w:kern w:val="0"/>
      <w:sz w:val="28"/>
      <w:szCs w:val="28"/>
      <w14:ligatures w14:val="none"/>
    </w:rPr>
  </w:style>
  <w:style w:type="paragraph" w:customStyle="1" w:styleId="AppHeading3">
    <w:name w:val="App Heading 3"/>
    <w:qFormat/>
    <w:rsid w:val="00D94666"/>
    <w:pPr>
      <w:keepNext/>
      <w:keepLines/>
      <w:spacing w:before="240" w:after="0" w:line="240" w:lineRule="auto"/>
    </w:pPr>
    <w:rPr>
      <w:rFonts w:ascii="Arial" w:eastAsia="Times New Roman" w:hAnsi="Arial" w:cs="Arial"/>
      <w:b/>
      <w:bCs/>
      <w:i/>
      <w:kern w:val="0"/>
      <w:sz w:val="28"/>
      <w:szCs w:val="26"/>
      <w14:ligatures w14:val="none"/>
    </w:rPr>
  </w:style>
  <w:style w:type="paragraph" w:styleId="ListNumber">
    <w:name w:val="List Number"/>
    <w:basedOn w:val="Normal"/>
    <w:uiPriority w:val="99"/>
    <w:qFormat/>
    <w:rsid w:val="00D94666"/>
    <w:pPr>
      <w:numPr>
        <w:numId w:val="46"/>
      </w:numPr>
      <w:spacing w:before="120"/>
    </w:pPr>
  </w:style>
  <w:style w:type="table" w:customStyle="1" w:styleId="1">
    <w:name w:val="1"/>
    <w:basedOn w:val="TableNormal"/>
    <w:rsid w:val="00D94666"/>
    <w:pPr>
      <w:spacing w:after="200" w:line="240" w:lineRule="auto"/>
    </w:pPr>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paragraph" w:styleId="CommentSubject">
    <w:name w:val="annotation subject"/>
    <w:basedOn w:val="CommentText"/>
    <w:next w:val="CommentText"/>
    <w:link w:val="CommentSubjectChar"/>
    <w:uiPriority w:val="99"/>
    <w:semiHidden/>
    <w:unhideWhenUsed/>
    <w:rsid w:val="00006122"/>
    <w:rPr>
      <w:b/>
      <w:bCs/>
    </w:rPr>
  </w:style>
  <w:style w:type="character" w:customStyle="1" w:styleId="CommentSubjectChar">
    <w:name w:val="Comment Subject Char"/>
    <w:basedOn w:val="CommentTextChar"/>
    <w:link w:val="CommentSubject"/>
    <w:uiPriority w:val="99"/>
    <w:semiHidden/>
    <w:rsid w:val="00006122"/>
    <w:rPr>
      <w:rFonts w:ascii="Times New Roman" w:hAnsi="Times New Roman"/>
      <w:b/>
      <w:bCs/>
      <w:kern w:val="0"/>
      <w:sz w:val="20"/>
      <w:szCs w:val="20"/>
      <w14:ligatures w14:val="none"/>
    </w:rPr>
  </w:style>
  <w:style w:type="character" w:styleId="FollowedHyperlink">
    <w:name w:val="FollowedHyperlink"/>
    <w:basedOn w:val="DefaultParagraphFont"/>
    <w:uiPriority w:val="99"/>
    <w:semiHidden/>
    <w:unhideWhenUsed/>
    <w:rsid w:val="002F5483"/>
    <w:rPr>
      <w:color w:val="954F72" w:themeColor="followedHyperlink"/>
      <w:u w:val="single"/>
    </w:rPr>
  </w:style>
  <w:style w:type="character" w:styleId="UnresolvedMention">
    <w:name w:val="Unresolved Mention"/>
    <w:basedOn w:val="DefaultParagraphFont"/>
    <w:uiPriority w:val="99"/>
    <w:semiHidden/>
    <w:unhideWhenUsed/>
    <w:rsid w:val="00C93485"/>
    <w:rPr>
      <w:color w:val="605E5C"/>
      <w:shd w:val="clear" w:color="auto" w:fill="E1DFDD"/>
    </w:rPr>
  </w:style>
  <w:style w:type="paragraph" w:styleId="Revision">
    <w:name w:val="Revision"/>
    <w:hidden/>
    <w:uiPriority w:val="99"/>
    <w:semiHidden/>
    <w:rsid w:val="00456A57"/>
    <w:pPr>
      <w:spacing w:after="0" w:line="240" w:lineRule="auto"/>
    </w:pPr>
    <w:rPr>
      <w:rFonts w:ascii="Times New Roman" w:hAnsi="Times New Roman"/>
      <w:kern w:val="0"/>
      <w14:ligatures w14:val="none"/>
    </w:rPr>
  </w:style>
  <w:style w:type="character" w:customStyle="1" w:styleId="eop">
    <w:name w:val="eop"/>
    <w:basedOn w:val="DefaultParagraphFont"/>
    <w:rsid w:val="00456A57"/>
  </w:style>
  <w:style w:type="paragraph" w:customStyle="1" w:styleId="AIBChapter3-Sub">
    <w:name w:val="AIB Chapter 3 - Sub"/>
    <w:basedOn w:val="AIBChapter3"/>
    <w:next w:val="Normal"/>
    <w:link w:val="AIBChapter3-SubChar"/>
    <w:qFormat/>
    <w:rsid w:val="0084146A"/>
    <w:pPr>
      <w:spacing w:before="0" w:afterLines="100" w:after="100"/>
      <w:outlineLvl w:val="3"/>
    </w:pPr>
    <w:rPr>
      <w:b w:val="0"/>
      <w:bCs/>
      <w:i/>
      <w:iCs/>
      <w:sz w:val="24"/>
      <w:szCs w:val="24"/>
    </w:rPr>
  </w:style>
  <w:style w:type="character" w:customStyle="1" w:styleId="AIBChapter3-SubChar">
    <w:name w:val="AIB Chapter 3 - Sub Char"/>
    <w:basedOn w:val="BodyTextChar"/>
    <w:link w:val="AIBChapter3-Sub"/>
    <w:rsid w:val="0084146A"/>
    <w:rPr>
      <w:rFonts w:ascii="Times New Roman Bold" w:eastAsiaTheme="majorEastAsia" w:hAnsi="Times New Roman Bold" w:cs="Arial"/>
      <w:bCs/>
      <w:i/>
      <w:iCs/>
      <w:kern w:val="0"/>
      <w:sz w:val="24"/>
      <w:szCs w:val="24"/>
      <w14:ligatures w14:val="none"/>
    </w:rPr>
  </w:style>
  <w:style w:type="paragraph" w:customStyle="1" w:styleId="paragraph">
    <w:name w:val="paragraph"/>
    <w:basedOn w:val="Normal"/>
    <w:rsid w:val="0084146A"/>
    <w:pPr>
      <w:spacing w:before="100" w:beforeAutospacing="1" w:after="100" w:afterAutospacing="1"/>
    </w:pPr>
    <w:rPr>
      <w:rFonts w:eastAsia="Times New Roman" w:cs="Times New Roman"/>
      <w:sz w:val="24"/>
      <w:szCs w:val="24"/>
    </w:rPr>
  </w:style>
  <w:style w:type="character" w:customStyle="1" w:styleId="contentcontrolboundarysink">
    <w:name w:val="contentcontrolboundarysink"/>
    <w:basedOn w:val="DefaultParagraphFont"/>
    <w:rsid w:val="0084146A"/>
  </w:style>
  <w:style w:type="paragraph" w:customStyle="1" w:styleId="AIB-Sub2">
    <w:name w:val="AIB-Sub2"/>
    <w:basedOn w:val="AIBChapter3-Sub"/>
    <w:next w:val="BodyText"/>
    <w:link w:val="AIB-Sub2Char"/>
    <w:qFormat/>
    <w:rsid w:val="00196421"/>
    <w:pPr>
      <w:outlineLvl w:val="4"/>
    </w:pPr>
    <w:rPr>
      <w:rFonts w:ascii="Times New Roman" w:hAnsi="Times New Roman"/>
      <w:i w:val="0"/>
    </w:rPr>
  </w:style>
  <w:style w:type="character" w:customStyle="1" w:styleId="AIB-Sub2Char">
    <w:name w:val="AIB-Sub2 Char"/>
    <w:basedOn w:val="AIBChapter3-SubChar"/>
    <w:link w:val="AIB-Sub2"/>
    <w:rsid w:val="00196421"/>
    <w:rPr>
      <w:rFonts w:ascii="Times New Roman" w:eastAsiaTheme="majorEastAsia" w:hAnsi="Times New Roman" w:cs="Arial"/>
      <w:bCs/>
      <w:i w:val="0"/>
      <w:iCs/>
      <w:kern w:val="0"/>
      <w:sz w:val="24"/>
      <w:szCs w:val="24"/>
      <w14:ligatures w14:val="none"/>
    </w:rPr>
  </w:style>
  <w:style w:type="paragraph" w:customStyle="1" w:styleId="2ndlevel">
    <w:name w:val="2nd level"/>
    <w:basedOn w:val="Heading2"/>
    <w:link w:val="2ndlevelChar"/>
    <w:qFormat/>
    <w:rsid w:val="001970A0"/>
    <w:pPr>
      <w:numPr>
        <w:ilvl w:val="0"/>
        <w:numId w:val="0"/>
      </w:numPr>
      <w:spacing w:line="257" w:lineRule="auto"/>
      <w:outlineLvl w:val="2"/>
    </w:pPr>
    <w:rPr>
      <w:rFonts w:ascii="Times New Roman" w:eastAsia="Times New Roman" w:hAnsi="Times New Roman" w:cs="Times New Roman"/>
      <w:szCs w:val="24"/>
    </w:rPr>
  </w:style>
  <w:style w:type="character" w:customStyle="1" w:styleId="2ndlevelChar">
    <w:name w:val="2nd level Char"/>
    <w:basedOn w:val="Heading2Char"/>
    <w:link w:val="2ndlevel"/>
    <w:rsid w:val="00D34FCD"/>
    <w:rPr>
      <w:rFonts w:ascii="Times New Roman" w:eastAsia="Times New Roman" w:hAnsi="Times New Roman" w:cs="Times New Roman"/>
      <w:b/>
      <w:bCs/>
      <w:caps/>
      <w:kern w:val="0"/>
      <w:sz w:val="24"/>
      <w:szCs w:val="24"/>
      <w14:ligatures w14:val="none"/>
    </w:rPr>
  </w:style>
  <w:style w:type="character" w:customStyle="1" w:styleId="AppendixHeading1Char">
    <w:name w:val="Appendix Heading 1 Char"/>
    <w:basedOn w:val="Heading1Char"/>
    <w:link w:val="AppendixHeading1"/>
    <w:rsid w:val="00C76BB8"/>
    <w:rPr>
      <w:rFonts w:ascii="Times New Roman Bold" w:eastAsiaTheme="majorEastAsia" w:hAnsi="Times New Roman Bold" w:cs="Arial"/>
      <w:b/>
      <w:bCs w:val="0"/>
      <w:caps/>
      <w:kern w:val="0"/>
      <w:sz w:val="32"/>
      <w:szCs w:val="32"/>
      <w14:ligatures w14:val="none"/>
    </w:rPr>
  </w:style>
  <w:style w:type="character" w:styleId="Mention">
    <w:name w:val="Mention"/>
    <w:basedOn w:val="DefaultParagraphFont"/>
    <w:uiPriority w:val="99"/>
    <w:unhideWhenUsed/>
    <w:rsid w:val="00D331AF"/>
    <w:rPr>
      <w:color w:val="2B579A"/>
      <w:shd w:val="clear" w:color="auto" w:fill="E1DFDD"/>
    </w:rPr>
  </w:style>
  <w:style w:type="paragraph" w:customStyle="1" w:styleId="pf0">
    <w:name w:val="pf0"/>
    <w:basedOn w:val="Normal"/>
    <w:rsid w:val="002F2BBF"/>
    <w:pPr>
      <w:spacing w:before="100" w:beforeAutospacing="1" w:after="100" w:afterAutospacing="1"/>
    </w:pPr>
    <w:rPr>
      <w:rFonts w:eastAsia="Times New Roman" w:cs="Times New Roman"/>
      <w:sz w:val="24"/>
      <w:szCs w:val="24"/>
    </w:rPr>
  </w:style>
  <w:style w:type="paragraph" w:customStyle="1" w:styleId="Body1">
    <w:name w:val="Body 1"/>
    <w:link w:val="Body1Char1"/>
    <w:uiPriority w:val="99"/>
    <w:qFormat/>
    <w:rsid w:val="000D6822"/>
    <w:pPr>
      <w:spacing w:after="200" w:line="240" w:lineRule="auto"/>
      <w:jc w:val="both"/>
    </w:pPr>
    <w:rPr>
      <w:rFonts w:ascii="Arial" w:eastAsiaTheme="majorEastAsia" w:hAnsi="Arial" w:cstheme="majorBidi"/>
      <w:bCs/>
      <w:kern w:val="0"/>
      <w:sz w:val="20"/>
      <w:szCs w:val="26"/>
      <w14:ligatures w14:val="none"/>
    </w:rPr>
  </w:style>
  <w:style w:type="character" w:customStyle="1" w:styleId="Body1Char1">
    <w:name w:val="Body 1 Char1"/>
    <w:basedOn w:val="DefaultParagraphFont"/>
    <w:link w:val="Body1"/>
    <w:uiPriority w:val="99"/>
    <w:rsid w:val="000D6822"/>
    <w:rPr>
      <w:rFonts w:ascii="Arial" w:eastAsiaTheme="majorEastAsia" w:hAnsi="Arial" w:cstheme="majorBidi"/>
      <w:bCs/>
      <w:kern w:val="0"/>
      <w:sz w:val="20"/>
      <w:szCs w:val="26"/>
      <w14:ligatures w14:val="none"/>
    </w:rPr>
  </w:style>
  <w:style w:type="character" w:customStyle="1" w:styleId="TableTitleChar">
    <w:name w:val="Table Title Char"/>
    <w:link w:val="TableTitle"/>
    <w:rsid w:val="004F5B0A"/>
    <w:rPr>
      <w:rFonts w:ascii="Times New Roman Bold" w:eastAsiaTheme="majorEastAsia" w:hAnsi="Times New Roman Bold" w:cstheme="majorBidi"/>
      <w:b/>
      <w:bCs/>
      <w:kern w:val="0"/>
      <w:sz w:val="24"/>
      <w:szCs w:val="28"/>
      <w14:ligatures w14:val="none"/>
    </w:rPr>
  </w:style>
  <w:style w:type="paragraph" w:styleId="NormalWeb">
    <w:name w:val="Normal (Web)"/>
    <w:basedOn w:val="Normal"/>
    <w:uiPriority w:val="99"/>
    <w:unhideWhenUsed/>
    <w:rsid w:val="00064729"/>
    <w:pPr>
      <w:spacing w:before="100" w:beforeAutospacing="1" w:after="100" w:afterAutospacing="1"/>
    </w:pPr>
    <w:rPr>
      <w:rFonts w:eastAsia="Times New Roman" w:cs="Times New Roman"/>
      <w:sz w:val="24"/>
      <w:szCs w:val="24"/>
    </w:rPr>
  </w:style>
  <w:style w:type="character" w:customStyle="1" w:styleId="CaptionChar">
    <w:name w:val="Caption Char"/>
    <w:aliases w:val="Figure Caption Char,Abstract_Caption Char"/>
    <w:link w:val="Caption"/>
    <w:uiPriority w:val="35"/>
    <w:locked/>
    <w:rsid w:val="005E18F5"/>
    <w:rPr>
      <w:rFonts w:ascii="Times New Roman" w:hAnsi="Times New Roman"/>
      <w:b/>
      <w:bCs/>
      <w:kern w:val="0"/>
      <w:sz w:val="24"/>
      <w:szCs w:val="20"/>
      <w14:ligatures w14:val="none"/>
    </w:rPr>
  </w:style>
  <w:style w:type="paragraph" w:customStyle="1" w:styleId="TableParagraph">
    <w:name w:val="Table Paragraph"/>
    <w:basedOn w:val="Normal"/>
    <w:uiPriority w:val="1"/>
    <w:qFormat/>
    <w:rsid w:val="000E148A"/>
    <w:pPr>
      <w:widowControl w:val="0"/>
      <w:autoSpaceDE w:val="0"/>
      <w:autoSpaceDN w:val="0"/>
      <w:spacing w:line="253" w:lineRule="exact"/>
      <w:ind w:left="8"/>
      <w:jc w:val="center"/>
    </w:pPr>
    <w:rPr>
      <w:rFonts w:eastAsia="Times New Roman" w:cs="Times New Roman"/>
    </w:rPr>
  </w:style>
  <w:style w:type="paragraph" w:customStyle="1" w:styleId="AppCoverHeading">
    <w:name w:val="App Cover Heading"/>
    <w:next w:val="Normal"/>
    <w:qFormat/>
    <w:rsid w:val="00B87C15"/>
    <w:pPr>
      <w:spacing w:after="240" w:line="240" w:lineRule="auto"/>
      <w:outlineLvl w:val="0"/>
    </w:pPr>
    <w:rPr>
      <w:rFonts w:ascii="Arial" w:eastAsia="Times New Roman" w:hAnsi="Arial" w:cs="Times New Roman"/>
      <w:b/>
      <w:bCs/>
      <w:caps/>
      <w:kern w:val="0"/>
      <w:sz w:val="32"/>
      <w:szCs w:val="20"/>
      <w14:ligatures w14:val="none"/>
    </w:rPr>
  </w:style>
  <w:style w:type="paragraph" w:customStyle="1" w:styleId="3LEVELHEADINGMONTEIS">
    <w:name w:val="3 LEVEL HEADING MONT EIS"/>
    <w:basedOn w:val="Normal"/>
    <w:uiPriority w:val="1"/>
    <w:rsid w:val="00B937E6"/>
    <w:pPr>
      <w:keepNext/>
      <w:spacing w:before="240" w:after="60"/>
      <w:ind w:left="720" w:hanging="720"/>
      <w:outlineLvl w:val="2"/>
    </w:pPr>
    <w:rPr>
      <w:rFonts w:ascii="Arial" w:eastAsia="Times New Roman" w:hAnsi="Arial"/>
      <w:b/>
      <w:bCs/>
      <w:i/>
      <w:iCs/>
      <w:smallCaps/>
      <w:sz w:val="26"/>
      <w:szCs w:val="26"/>
    </w:rPr>
  </w:style>
  <w:style w:type="paragraph" w:customStyle="1" w:styleId="BODYTEXTMONTEIS">
    <w:name w:val="BODY TEXT MONT EIS"/>
    <w:basedOn w:val="Normal"/>
    <w:link w:val="BODYTEXTMONTEISChar"/>
    <w:uiPriority w:val="1"/>
    <w:rsid w:val="00B937E6"/>
    <w:pPr>
      <w:spacing w:before="140" w:after="140"/>
      <w:jc w:val="both"/>
    </w:pPr>
    <w:rPr>
      <w:sz w:val="24"/>
      <w:szCs w:val="24"/>
    </w:rPr>
  </w:style>
  <w:style w:type="character" w:customStyle="1" w:styleId="BODYTEXTMONTEISChar">
    <w:name w:val="BODY TEXT MONT EIS Char"/>
    <w:basedOn w:val="DefaultParagraphFont"/>
    <w:link w:val="BODYTEXTMONTEIS"/>
    <w:uiPriority w:val="1"/>
    <w:rsid w:val="00B937E6"/>
    <w:rPr>
      <w:rFonts w:ascii="Times New Roman" w:hAnsi="Times New Roman"/>
      <w:kern w:val="0"/>
      <w:sz w:val="24"/>
      <w:szCs w:val="24"/>
      <w14:ligatures w14:val="none"/>
    </w:rPr>
  </w:style>
  <w:style w:type="paragraph" w:customStyle="1" w:styleId="NumberedList1">
    <w:name w:val="Numbered List 1"/>
    <w:basedOn w:val="BodyText"/>
    <w:qFormat/>
    <w:rsid w:val="00B937E6"/>
    <w:pPr>
      <w:numPr>
        <w:numId w:val="142"/>
      </w:numPr>
      <w:spacing w:before="120" w:after="0"/>
    </w:pPr>
    <w:rPr>
      <w:rFonts w:eastAsia="Times New Roman" w:cs="Times New Roman"/>
      <w:szCs w:val="20"/>
    </w:rPr>
  </w:style>
  <w:style w:type="paragraph" w:customStyle="1" w:styleId="NumberedList2">
    <w:name w:val="Numbered List 2"/>
    <w:basedOn w:val="NumberedList1"/>
    <w:qFormat/>
    <w:rsid w:val="00B937E6"/>
    <w:pPr>
      <w:numPr>
        <w:ilvl w:val="1"/>
      </w:numPr>
      <w:spacing w:before="80"/>
    </w:pPr>
  </w:style>
  <w:style w:type="paragraph" w:customStyle="1" w:styleId="NumberedList3">
    <w:name w:val="Numbered List 3"/>
    <w:basedOn w:val="NumberedList2"/>
    <w:qFormat/>
    <w:rsid w:val="00B937E6"/>
    <w:pPr>
      <w:numPr>
        <w:ilvl w:val="2"/>
      </w:numPr>
      <w:spacing w:before="40"/>
    </w:pPr>
  </w:style>
  <w:style w:type="numbering" w:customStyle="1" w:styleId="Style21">
    <w:name w:val="Style21"/>
    <w:uiPriority w:val="99"/>
    <w:rsid w:val="00B937E6"/>
  </w:style>
  <w:style w:type="table" w:customStyle="1" w:styleId="TableGrid3">
    <w:name w:val="Table Grid3"/>
    <w:basedOn w:val="TableNormal"/>
    <w:next w:val="TableGrid"/>
    <w:uiPriority w:val="39"/>
    <w:rsid w:val="00B937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F096E"/>
    <w:pPr>
      <w:numPr>
        <w:numId w:val="0"/>
      </w:numPr>
      <w:spacing w:after="0" w:line="259" w:lineRule="auto"/>
      <w:outlineLvl w:val="9"/>
    </w:pPr>
    <w:rPr>
      <w:rFonts w:asciiTheme="majorHAnsi" w:hAnsiTheme="majorHAnsi"/>
      <w:b w:val="0"/>
      <w:bCs w:val="0"/>
      <w:caps w:val="0"/>
      <w:color w:val="2F5496" w:themeColor="accent1" w:themeShade="BF"/>
      <w:sz w:val="32"/>
      <w:szCs w:val="32"/>
    </w:rPr>
  </w:style>
  <w:style w:type="paragraph" w:styleId="TOC1">
    <w:name w:val="toc 1"/>
    <w:basedOn w:val="Normal"/>
    <w:next w:val="Normal"/>
    <w:autoRedefine/>
    <w:uiPriority w:val="39"/>
    <w:unhideWhenUsed/>
    <w:rsid w:val="0043309C"/>
    <w:pPr>
      <w:tabs>
        <w:tab w:val="right" w:leader="dot" w:pos="9350"/>
      </w:tabs>
      <w:spacing w:after="100"/>
    </w:pPr>
  </w:style>
  <w:style w:type="paragraph" w:styleId="TOC2">
    <w:name w:val="toc 2"/>
    <w:basedOn w:val="Normal"/>
    <w:next w:val="Normal"/>
    <w:autoRedefine/>
    <w:uiPriority w:val="39"/>
    <w:unhideWhenUsed/>
    <w:rsid w:val="006F096E"/>
    <w:pPr>
      <w:spacing w:after="100"/>
      <w:ind w:left="220"/>
    </w:pPr>
  </w:style>
  <w:style w:type="paragraph" w:styleId="TOC3">
    <w:name w:val="toc 3"/>
    <w:basedOn w:val="Normal"/>
    <w:next w:val="Normal"/>
    <w:autoRedefine/>
    <w:uiPriority w:val="39"/>
    <w:unhideWhenUsed/>
    <w:rsid w:val="00F07417"/>
    <w:pPr>
      <w:tabs>
        <w:tab w:val="left" w:pos="1200"/>
        <w:tab w:val="right" w:leader="dot" w:pos="9350"/>
      </w:tabs>
      <w:spacing w:after="100"/>
      <w:ind w:left="440"/>
    </w:pPr>
  </w:style>
  <w:style w:type="paragraph" w:styleId="TableofFigures">
    <w:name w:val="table of figures"/>
    <w:basedOn w:val="Normal"/>
    <w:next w:val="Normal"/>
    <w:uiPriority w:val="99"/>
    <w:unhideWhenUsed/>
    <w:rsid w:val="00C544E0"/>
  </w:style>
  <w:style w:type="table" w:customStyle="1" w:styleId="TableGrid1">
    <w:name w:val="Table Grid1"/>
    <w:basedOn w:val="TableNormal"/>
    <w:next w:val="TableGrid"/>
    <w:uiPriority w:val="59"/>
    <w:rsid w:val="007E402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3">
      <w:bodyDiv w:val="1"/>
      <w:marLeft w:val="0"/>
      <w:marRight w:val="0"/>
      <w:marTop w:val="0"/>
      <w:marBottom w:val="0"/>
      <w:divBdr>
        <w:top w:val="none" w:sz="0" w:space="0" w:color="auto"/>
        <w:left w:val="none" w:sz="0" w:space="0" w:color="auto"/>
        <w:bottom w:val="none" w:sz="0" w:space="0" w:color="auto"/>
        <w:right w:val="none" w:sz="0" w:space="0" w:color="auto"/>
      </w:divBdr>
    </w:div>
    <w:div w:id="134181">
      <w:bodyDiv w:val="1"/>
      <w:marLeft w:val="0"/>
      <w:marRight w:val="0"/>
      <w:marTop w:val="0"/>
      <w:marBottom w:val="0"/>
      <w:divBdr>
        <w:top w:val="none" w:sz="0" w:space="0" w:color="auto"/>
        <w:left w:val="none" w:sz="0" w:space="0" w:color="auto"/>
        <w:bottom w:val="none" w:sz="0" w:space="0" w:color="auto"/>
        <w:right w:val="none" w:sz="0" w:space="0" w:color="auto"/>
      </w:divBdr>
    </w:div>
    <w:div w:id="356587">
      <w:bodyDiv w:val="1"/>
      <w:marLeft w:val="0"/>
      <w:marRight w:val="0"/>
      <w:marTop w:val="0"/>
      <w:marBottom w:val="0"/>
      <w:divBdr>
        <w:top w:val="none" w:sz="0" w:space="0" w:color="auto"/>
        <w:left w:val="none" w:sz="0" w:space="0" w:color="auto"/>
        <w:bottom w:val="none" w:sz="0" w:space="0" w:color="auto"/>
        <w:right w:val="none" w:sz="0" w:space="0" w:color="auto"/>
      </w:divBdr>
    </w:div>
    <w:div w:id="474080">
      <w:bodyDiv w:val="1"/>
      <w:marLeft w:val="0"/>
      <w:marRight w:val="0"/>
      <w:marTop w:val="0"/>
      <w:marBottom w:val="0"/>
      <w:divBdr>
        <w:top w:val="none" w:sz="0" w:space="0" w:color="auto"/>
        <w:left w:val="none" w:sz="0" w:space="0" w:color="auto"/>
        <w:bottom w:val="none" w:sz="0" w:space="0" w:color="auto"/>
        <w:right w:val="none" w:sz="0" w:space="0" w:color="auto"/>
      </w:divBdr>
    </w:div>
    <w:div w:id="936952">
      <w:bodyDiv w:val="1"/>
      <w:marLeft w:val="0"/>
      <w:marRight w:val="0"/>
      <w:marTop w:val="0"/>
      <w:marBottom w:val="0"/>
      <w:divBdr>
        <w:top w:val="none" w:sz="0" w:space="0" w:color="auto"/>
        <w:left w:val="none" w:sz="0" w:space="0" w:color="auto"/>
        <w:bottom w:val="none" w:sz="0" w:space="0" w:color="auto"/>
        <w:right w:val="none" w:sz="0" w:space="0" w:color="auto"/>
      </w:divBdr>
    </w:div>
    <w:div w:id="1125865">
      <w:bodyDiv w:val="1"/>
      <w:marLeft w:val="0"/>
      <w:marRight w:val="0"/>
      <w:marTop w:val="0"/>
      <w:marBottom w:val="0"/>
      <w:divBdr>
        <w:top w:val="none" w:sz="0" w:space="0" w:color="auto"/>
        <w:left w:val="none" w:sz="0" w:space="0" w:color="auto"/>
        <w:bottom w:val="none" w:sz="0" w:space="0" w:color="auto"/>
        <w:right w:val="none" w:sz="0" w:space="0" w:color="auto"/>
      </w:divBdr>
    </w:div>
    <w:div w:id="1128286">
      <w:bodyDiv w:val="1"/>
      <w:marLeft w:val="0"/>
      <w:marRight w:val="0"/>
      <w:marTop w:val="0"/>
      <w:marBottom w:val="0"/>
      <w:divBdr>
        <w:top w:val="none" w:sz="0" w:space="0" w:color="auto"/>
        <w:left w:val="none" w:sz="0" w:space="0" w:color="auto"/>
        <w:bottom w:val="none" w:sz="0" w:space="0" w:color="auto"/>
        <w:right w:val="none" w:sz="0" w:space="0" w:color="auto"/>
      </w:divBdr>
    </w:div>
    <w:div w:id="1323133">
      <w:bodyDiv w:val="1"/>
      <w:marLeft w:val="0"/>
      <w:marRight w:val="0"/>
      <w:marTop w:val="0"/>
      <w:marBottom w:val="0"/>
      <w:divBdr>
        <w:top w:val="none" w:sz="0" w:space="0" w:color="auto"/>
        <w:left w:val="none" w:sz="0" w:space="0" w:color="auto"/>
        <w:bottom w:val="none" w:sz="0" w:space="0" w:color="auto"/>
        <w:right w:val="none" w:sz="0" w:space="0" w:color="auto"/>
      </w:divBdr>
    </w:div>
    <w:div w:id="2056247">
      <w:bodyDiv w:val="1"/>
      <w:marLeft w:val="0"/>
      <w:marRight w:val="0"/>
      <w:marTop w:val="0"/>
      <w:marBottom w:val="0"/>
      <w:divBdr>
        <w:top w:val="none" w:sz="0" w:space="0" w:color="auto"/>
        <w:left w:val="none" w:sz="0" w:space="0" w:color="auto"/>
        <w:bottom w:val="none" w:sz="0" w:space="0" w:color="auto"/>
        <w:right w:val="none" w:sz="0" w:space="0" w:color="auto"/>
      </w:divBdr>
    </w:div>
    <w:div w:id="2247359">
      <w:bodyDiv w:val="1"/>
      <w:marLeft w:val="0"/>
      <w:marRight w:val="0"/>
      <w:marTop w:val="0"/>
      <w:marBottom w:val="0"/>
      <w:divBdr>
        <w:top w:val="none" w:sz="0" w:space="0" w:color="auto"/>
        <w:left w:val="none" w:sz="0" w:space="0" w:color="auto"/>
        <w:bottom w:val="none" w:sz="0" w:space="0" w:color="auto"/>
        <w:right w:val="none" w:sz="0" w:space="0" w:color="auto"/>
      </w:divBdr>
    </w:div>
    <w:div w:id="2784006">
      <w:bodyDiv w:val="1"/>
      <w:marLeft w:val="0"/>
      <w:marRight w:val="0"/>
      <w:marTop w:val="0"/>
      <w:marBottom w:val="0"/>
      <w:divBdr>
        <w:top w:val="none" w:sz="0" w:space="0" w:color="auto"/>
        <w:left w:val="none" w:sz="0" w:space="0" w:color="auto"/>
        <w:bottom w:val="none" w:sz="0" w:space="0" w:color="auto"/>
        <w:right w:val="none" w:sz="0" w:space="0" w:color="auto"/>
      </w:divBdr>
    </w:div>
    <w:div w:id="2902211">
      <w:bodyDiv w:val="1"/>
      <w:marLeft w:val="0"/>
      <w:marRight w:val="0"/>
      <w:marTop w:val="0"/>
      <w:marBottom w:val="0"/>
      <w:divBdr>
        <w:top w:val="none" w:sz="0" w:space="0" w:color="auto"/>
        <w:left w:val="none" w:sz="0" w:space="0" w:color="auto"/>
        <w:bottom w:val="none" w:sz="0" w:space="0" w:color="auto"/>
        <w:right w:val="none" w:sz="0" w:space="0" w:color="auto"/>
      </w:divBdr>
    </w:div>
    <w:div w:id="2973130">
      <w:bodyDiv w:val="1"/>
      <w:marLeft w:val="0"/>
      <w:marRight w:val="0"/>
      <w:marTop w:val="0"/>
      <w:marBottom w:val="0"/>
      <w:divBdr>
        <w:top w:val="none" w:sz="0" w:space="0" w:color="auto"/>
        <w:left w:val="none" w:sz="0" w:space="0" w:color="auto"/>
        <w:bottom w:val="none" w:sz="0" w:space="0" w:color="auto"/>
        <w:right w:val="none" w:sz="0" w:space="0" w:color="auto"/>
      </w:divBdr>
    </w:div>
    <w:div w:id="3364431">
      <w:bodyDiv w:val="1"/>
      <w:marLeft w:val="0"/>
      <w:marRight w:val="0"/>
      <w:marTop w:val="0"/>
      <w:marBottom w:val="0"/>
      <w:divBdr>
        <w:top w:val="none" w:sz="0" w:space="0" w:color="auto"/>
        <w:left w:val="none" w:sz="0" w:space="0" w:color="auto"/>
        <w:bottom w:val="none" w:sz="0" w:space="0" w:color="auto"/>
        <w:right w:val="none" w:sz="0" w:space="0" w:color="auto"/>
      </w:divBdr>
    </w:div>
    <w:div w:id="3559950">
      <w:bodyDiv w:val="1"/>
      <w:marLeft w:val="0"/>
      <w:marRight w:val="0"/>
      <w:marTop w:val="0"/>
      <w:marBottom w:val="0"/>
      <w:divBdr>
        <w:top w:val="none" w:sz="0" w:space="0" w:color="auto"/>
        <w:left w:val="none" w:sz="0" w:space="0" w:color="auto"/>
        <w:bottom w:val="none" w:sz="0" w:space="0" w:color="auto"/>
        <w:right w:val="none" w:sz="0" w:space="0" w:color="auto"/>
      </w:divBdr>
    </w:div>
    <w:div w:id="3628845">
      <w:bodyDiv w:val="1"/>
      <w:marLeft w:val="0"/>
      <w:marRight w:val="0"/>
      <w:marTop w:val="0"/>
      <w:marBottom w:val="0"/>
      <w:divBdr>
        <w:top w:val="none" w:sz="0" w:space="0" w:color="auto"/>
        <w:left w:val="none" w:sz="0" w:space="0" w:color="auto"/>
        <w:bottom w:val="none" w:sz="0" w:space="0" w:color="auto"/>
        <w:right w:val="none" w:sz="0" w:space="0" w:color="auto"/>
      </w:divBdr>
    </w:div>
    <w:div w:id="3753085">
      <w:bodyDiv w:val="1"/>
      <w:marLeft w:val="0"/>
      <w:marRight w:val="0"/>
      <w:marTop w:val="0"/>
      <w:marBottom w:val="0"/>
      <w:divBdr>
        <w:top w:val="none" w:sz="0" w:space="0" w:color="auto"/>
        <w:left w:val="none" w:sz="0" w:space="0" w:color="auto"/>
        <w:bottom w:val="none" w:sz="0" w:space="0" w:color="auto"/>
        <w:right w:val="none" w:sz="0" w:space="0" w:color="auto"/>
      </w:divBdr>
    </w:div>
    <w:div w:id="3754134">
      <w:bodyDiv w:val="1"/>
      <w:marLeft w:val="0"/>
      <w:marRight w:val="0"/>
      <w:marTop w:val="0"/>
      <w:marBottom w:val="0"/>
      <w:divBdr>
        <w:top w:val="none" w:sz="0" w:space="0" w:color="auto"/>
        <w:left w:val="none" w:sz="0" w:space="0" w:color="auto"/>
        <w:bottom w:val="none" w:sz="0" w:space="0" w:color="auto"/>
        <w:right w:val="none" w:sz="0" w:space="0" w:color="auto"/>
      </w:divBdr>
    </w:div>
    <w:div w:id="4017535">
      <w:bodyDiv w:val="1"/>
      <w:marLeft w:val="0"/>
      <w:marRight w:val="0"/>
      <w:marTop w:val="0"/>
      <w:marBottom w:val="0"/>
      <w:divBdr>
        <w:top w:val="none" w:sz="0" w:space="0" w:color="auto"/>
        <w:left w:val="none" w:sz="0" w:space="0" w:color="auto"/>
        <w:bottom w:val="none" w:sz="0" w:space="0" w:color="auto"/>
        <w:right w:val="none" w:sz="0" w:space="0" w:color="auto"/>
      </w:divBdr>
    </w:div>
    <w:div w:id="4093724">
      <w:bodyDiv w:val="1"/>
      <w:marLeft w:val="0"/>
      <w:marRight w:val="0"/>
      <w:marTop w:val="0"/>
      <w:marBottom w:val="0"/>
      <w:divBdr>
        <w:top w:val="none" w:sz="0" w:space="0" w:color="auto"/>
        <w:left w:val="none" w:sz="0" w:space="0" w:color="auto"/>
        <w:bottom w:val="none" w:sz="0" w:space="0" w:color="auto"/>
        <w:right w:val="none" w:sz="0" w:space="0" w:color="auto"/>
      </w:divBdr>
    </w:div>
    <w:div w:id="4939041">
      <w:bodyDiv w:val="1"/>
      <w:marLeft w:val="0"/>
      <w:marRight w:val="0"/>
      <w:marTop w:val="0"/>
      <w:marBottom w:val="0"/>
      <w:divBdr>
        <w:top w:val="none" w:sz="0" w:space="0" w:color="auto"/>
        <w:left w:val="none" w:sz="0" w:space="0" w:color="auto"/>
        <w:bottom w:val="none" w:sz="0" w:space="0" w:color="auto"/>
        <w:right w:val="none" w:sz="0" w:space="0" w:color="auto"/>
      </w:divBdr>
    </w:div>
    <w:div w:id="5256977">
      <w:bodyDiv w:val="1"/>
      <w:marLeft w:val="0"/>
      <w:marRight w:val="0"/>
      <w:marTop w:val="0"/>
      <w:marBottom w:val="0"/>
      <w:divBdr>
        <w:top w:val="none" w:sz="0" w:space="0" w:color="auto"/>
        <w:left w:val="none" w:sz="0" w:space="0" w:color="auto"/>
        <w:bottom w:val="none" w:sz="0" w:space="0" w:color="auto"/>
        <w:right w:val="none" w:sz="0" w:space="0" w:color="auto"/>
      </w:divBdr>
    </w:div>
    <w:div w:id="5597878">
      <w:bodyDiv w:val="1"/>
      <w:marLeft w:val="0"/>
      <w:marRight w:val="0"/>
      <w:marTop w:val="0"/>
      <w:marBottom w:val="0"/>
      <w:divBdr>
        <w:top w:val="none" w:sz="0" w:space="0" w:color="auto"/>
        <w:left w:val="none" w:sz="0" w:space="0" w:color="auto"/>
        <w:bottom w:val="none" w:sz="0" w:space="0" w:color="auto"/>
        <w:right w:val="none" w:sz="0" w:space="0" w:color="auto"/>
      </w:divBdr>
    </w:div>
    <w:div w:id="5601612">
      <w:bodyDiv w:val="1"/>
      <w:marLeft w:val="0"/>
      <w:marRight w:val="0"/>
      <w:marTop w:val="0"/>
      <w:marBottom w:val="0"/>
      <w:divBdr>
        <w:top w:val="none" w:sz="0" w:space="0" w:color="auto"/>
        <w:left w:val="none" w:sz="0" w:space="0" w:color="auto"/>
        <w:bottom w:val="none" w:sz="0" w:space="0" w:color="auto"/>
        <w:right w:val="none" w:sz="0" w:space="0" w:color="auto"/>
      </w:divBdr>
    </w:div>
    <w:div w:id="5601753">
      <w:bodyDiv w:val="1"/>
      <w:marLeft w:val="0"/>
      <w:marRight w:val="0"/>
      <w:marTop w:val="0"/>
      <w:marBottom w:val="0"/>
      <w:divBdr>
        <w:top w:val="none" w:sz="0" w:space="0" w:color="auto"/>
        <w:left w:val="none" w:sz="0" w:space="0" w:color="auto"/>
        <w:bottom w:val="none" w:sz="0" w:space="0" w:color="auto"/>
        <w:right w:val="none" w:sz="0" w:space="0" w:color="auto"/>
      </w:divBdr>
    </w:div>
    <w:div w:id="5863358">
      <w:bodyDiv w:val="1"/>
      <w:marLeft w:val="0"/>
      <w:marRight w:val="0"/>
      <w:marTop w:val="0"/>
      <w:marBottom w:val="0"/>
      <w:divBdr>
        <w:top w:val="none" w:sz="0" w:space="0" w:color="auto"/>
        <w:left w:val="none" w:sz="0" w:space="0" w:color="auto"/>
        <w:bottom w:val="none" w:sz="0" w:space="0" w:color="auto"/>
        <w:right w:val="none" w:sz="0" w:space="0" w:color="auto"/>
      </w:divBdr>
    </w:div>
    <w:div w:id="6030980">
      <w:bodyDiv w:val="1"/>
      <w:marLeft w:val="0"/>
      <w:marRight w:val="0"/>
      <w:marTop w:val="0"/>
      <w:marBottom w:val="0"/>
      <w:divBdr>
        <w:top w:val="none" w:sz="0" w:space="0" w:color="auto"/>
        <w:left w:val="none" w:sz="0" w:space="0" w:color="auto"/>
        <w:bottom w:val="none" w:sz="0" w:space="0" w:color="auto"/>
        <w:right w:val="none" w:sz="0" w:space="0" w:color="auto"/>
      </w:divBdr>
    </w:div>
    <w:div w:id="6059022">
      <w:bodyDiv w:val="1"/>
      <w:marLeft w:val="0"/>
      <w:marRight w:val="0"/>
      <w:marTop w:val="0"/>
      <w:marBottom w:val="0"/>
      <w:divBdr>
        <w:top w:val="none" w:sz="0" w:space="0" w:color="auto"/>
        <w:left w:val="none" w:sz="0" w:space="0" w:color="auto"/>
        <w:bottom w:val="none" w:sz="0" w:space="0" w:color="auto"/>
        <w:right w:val="none" w:sz="0" w:space="0" w:color="auto"/>
      </w:divBdr>
    </w:div>
    <w:div w:id="6178328">
      <w:bodyDiv w:val="1"/>
      <w:marLeft w:val="0"/>
      <w:marRight w:val="0"/>
      <w:marTop w:val="0"/>
      <w:marBottom w:val="0"/>
      <w:divBdr>
        <w:top w:val="none" w:sz="0" w:space="0" w:color="auto"/>
        <w:left w:val="none" w:sz="0" w:space="0" w:color="auto"/>
        <w:bottom w:val="none" w:sz="0" w:space="0" w:color="auto"/>
        <w:right w:val="none" w:sz="0" w:space="0" w:color="auto"/>
      </w:divBdr>
    </w:div>
    <w:div w:id="6292295">
      <w:bodyDiv w:val="1"/>
      <w:marLeft w:val="0"/>
      <w:marRight w:val="0"/>
      <w:marTop w:val="0"/>
      <w:marBottom w:val="0"/>
      <w:divBdr>
        <w:top w:val="none" w:sz="0" w:space="0" w:color="auto"/>
        <w:left w:val="none" w:sz="0" w:space="0" w:color="auto"/>
        <w:bottom w:val="none" w:sz="0" w:space="0" w:color="auto"/>
        <w:right w:val="none" w:sz="0" w:space="0" w:color="auto"/>
      </w:divBdr>
    </w:div>
    <w:div w:id="6294978">
      <w:bodyDiv w:val="1"/>
      <w:marLeft w:val="0"/>
      <w:marRight w:val="0"/>
      <w:marTop w:val="0"/>
      <w:marBottom w:val="0"/>
      <w:divBdr>
        <w:top w:val="none" w:sz="0" w:space="0" w:color="auto"/>
        <w:left w:val="none" w:sz="0" w:space="0" w:color="auto"/>
        <w:bottom w:val="none" w:sz="0" w:space="0" w:color="auto"/>
        <w:right w:val="none" w:sz="0" w:space="0" w:color="auto"/>
      </w:divBdr>
    </w:div>
    <w:div w:id="6563591">
      <w:bodyDiv w:val="1"/>
      <w:marLeft w:val="0"/>
      <w:marRight w:val="0"/>
      <w:marTop w:val="0"/>
      <w:marBottom w:val="0"/>
      <w:divBdr>
        <w:top w:val="none" w:sz="0" w:space="0" w:color="auto"/>
        <w:left w:val="none" w:sz="0" w:space="0" w:color="auto"/>
        <w:bottom w:val="none" w:sz="0" w:space="0" w:color="auto"/>
        <w:right w:val="none" w:sz="0" w:space="0" w:color="auto"/>
      </w:divBdr>
    </w:div>
    <w:div w:id="6685617">
      <w:bodyDiv w:val="1"/>
      <w:marLeft w:val="0"/>
      <w:marRight w:val="0"/>
      <w:marTop w:val="0"/>
      <w:marBottom w:val="0"/>
      <w:divBdr>
        <w:top w:val="none" w:sz="0" w:space="0" w:color="auto"/>
        <w:left w:val="none" w:sz="0" w:space="0" w:color="auto"/>
        <w:bottom w:val="none" w:sz="0" w:space="0" w:color="auto"/>
        <w:right w:val="none" w:sz="0" w:space="0" w:color="auto"/>
      </w:divBdr>
    </w:div>
    <w:div w:id="6951815">
      <w:bodyDiv w:val="1"/>
      <w:marLeft w:val="0"/>
      <w:marRight w:val="0"/>
      <w:marTop w:val="0"/>
      <w:marBottom w:val="0"/>
      <w:divBdr>
        <w:top w:val="none" w:sz="0" w:space="0" w:color="auto"/>
        <w:left w:val="none" w:sz="0" w:space="0" w:color="auto"/>
        <w:bottom w:val="none" w:sz="0" w:space="0" w:color="auto"/>
        <w:right w:val="none" w:sz="0" w:space="0" w:color="auto"/>
      </w:divBdr>
    </w:div>
    <w:div w:id="6979255">
      <w:bodyDiv w:val="1"/>
      <w:marLeft w:val="0"/>
      <w:marRight w:val="0"/>
      <w:marTop w:val="0"/>
      <w:marBottom w:val="0"/>
      <w:divBdr>
        <w:top w:val="none" w:sz="0" w:space="0" w:color="auto"/>
        <w:left w:val="none" w:sz="0" w:space="0" w:color="auto"/>
        <w:bottom w:val="none" w:sz="0" w:space="0" w:color="auto"/>
        <w:right w:val="none" w:sz="0" w:space="0" w:color="auto"/>
      </w:divBdr>
    </w:div>
    <w:div w:id="7099341">
      <w:bodyDiv w:val="1"/>
      <w:marLeft w:val="0"/>
      <w:marRight w:val="0"/>
      <w:marTop w:val="0"/>
      <w:marBottom w:val="0"/>
      <w:divBdr>
        <w:top w:val="none" w:sz="0" w:space="0" w:color="auto"/>
        <w:left w:val="none" w:sz="0" w:space="0" w:color="auto"/>
        <w:bottom w:val="none" w:sz="0" w:space="0" w:color="auto"/>
        <w:right w:val="none" w:sz="0" w:space="0" w:color="auto"/>
      </w:divBdr>
    </w:div>
    <w:div w:id="7680760">
      <w:bodyDiv w:val="1"/>
      <w:marLeft w:val="0"/>
      <w:marRight w:val="0"/>
      <w:marTop w:val="0"/>
      <w:marBottom w:val="0"/>
      <w:divBdr>
        <w:top w:val="none" w:sz="0" w:space="0" w:color="auto"/>
        <w:left w:val="none" w:sz="0" w:space="0" w:color="auto"/>
        <w:bottom w:val="none" w:sz="0" w:space="0" w:color="auto"/>
        <w:right w:val="none" w:sz="0" w:space="0" w:color="auto"/>
      </w:divBdr>
    </w:div>
    <w:div w:id="7753661">
      <w:bodyDiv w:val="1"/>
      <w:marLeft w:val="0"/>
      <w:marRight w:val="0"/>
      <w:marTop w:val="0"/>
      <w:marBottom w:val="0"/>
      <w:divBdr>
        <w:top w:val="none" w:sz="0" w:space="0" w:color="auto"/>
        <w:left w:val="none" w:sz="0" w:space="0" w:color="auto"/>
        <w:bottom w:val="none" w:sz="0" w:space="0" w:color="auto"/>
        <w:right w:val="none" w:sz="0" w:space="0" w:color="auto"/>
      </w:divBdr>
    </w:div>
    <w:div w:id="7800737">
      <w:bodyDiv w:val="1"/>
      <w:marLeft w:val="0"/>
      <w:marRight w:val="0"/>
      <w:marTop w:val="0"/>
      <w:marBottom w:val="0"/>
      <w:divBdr>
        <w:top w:val="none" w:sz="0" w:space="0" w:color="auto"/>
        <w:left w:val="none" w:sz="0" w:space="0" w:color="auto"/>
        <w:bottom w:val="none" w:sz="0" w:space="0" w:color="auto"/>
        <w:right w:val="none" w:sz="0" w:space="0" w:color="auto"/>
      </w:divBdr>
    </w:div>
    <w:div w:id="7801505">
      <w:bodyDiv w:val="1"/>
      <w:marLeft w:val="0"/>
      <w:marRight w:val="0"/>
      <w:marTop w:val="0"/>
      <w:marBottom w:val="0"/>
      <w:divBdr>
        <w:top w:val="none" w:sz="0" w:space="0" w:color="auto"/>
        <w:left w:val="none" w:sz="0" w:space="0" w:color="auto"/>
        <w:bottom w:val="none" w:sz="0" w:space="0" w:color="auto"/>
        <w:right w:val="none" w:sz="0" w:space="0" w:color="auto"/>
      </w:divBdr>
    </w:div>
    <w:div w:id="7997486">
      <w:bodyDiv w:val="1"/>
      <w:marLeft w:val="0"/>
      <w:marRight w:val="0"/>
      <w:marTop w:val="0"/>
      <w:marBottom w:val="0"/>
      <w:divBdr>
        <w:top w:val="none" w:sz="0" w:space="0" w:color="auto"/>
        <w:left w:val="none" w:sz="0" w:space="0" w:color="auto"/>
        <w:bottom w:val="none" w:sz="0" w:space="0" w:color="auto"/>
        <w:right w:val="none" w:sz="0" w:space="0" w:color="auto"/>
      </w:divBdr>
    </w:div>
    <w:div w:id="8021404">
      <w:bodyDiv w:val="1"/>
      <w:marLeft w:val="0"/>
      <w:marRight w:val="0"/>
      <w:marTop w:val="0"/>
      <w:marBottom w:val="0"/>
      <w:divBdr>
        <w:top w:val="none" w:sz="0" w:space="0" w:color="auto"/>
        <w:left w:val="none" w:sz="0" w:space="0" w:color="auto"/>
        <w:bottom w:val="none" w:sz="0" w:space="0" w:color="auto"/>
        <w:right w:val="none" w:sz="0" w:space="0" w:color="auto"/>
      </w:divBdr>
    </w:div>
    <w:div w:id="8454446">
      <w:bodyDiv w:val="1"/>
      <w:marLeft w:val="0"/>
      <w:marRight w:val="0"/>
      <w:marTop w:val="0"/>
      <w:marBottom w:val="0"/>
      <w:divBdr>
        <w:top w:val="none" w:sz="0" w:space="0" w:color="auto"/>
        <w:left w:val="none" w:sz="0" w:space="0" w:color="auto"/>
        <w:bottom w:val="none" w:sz="0" w:space="0" w:color="auto"/>
        <w:right w:val="none" w:sz="0" w:space="0" w:color="auto"/>
      </w:divBdr>
    </w:div>
    <w:div w:id="9071256">
      <w:bodyDiv w:val="1"/>
      <w:marLeft w:val="0"/>
      <w:marRight w:val="0"/>
      <w:marTop w:val="0"/>
      <w:marBottom w:val="0"/>
      <w:divBdr>
        <w:top w:val="none" w:sz="0" w:space="0" w:color="auto"/>
        <w:left w:val="none" w:sz="0" w:space="0" w:color="auto"/>
        <w:bottom w:val="none" w:sz="0" w:space="0" w:color="auto"/>
        <w:right w:val="none" w:sz="0" w:space="0" w:color="auto"/>
      </w:divBdr>
    </w:div>
    <w:div w:id="9451068">
      <w:bodyDiv w:val="1"/>
      <w:marLeft w:val="0"/>
      <w:marRight w:val="0"/>
      <w:marTop w:val="0"/>
      <w:marBottom w:val="0"/>
      <w:divBdr>
        <w:top w:val="none" w:sz="0" w:space="0" w:color="auto"/>
        <w:left w:val="none" w:sz="0" w:space="0" w:color="auto"/>
        <w:bottom w:val="none" w:sz="0" w:space="0" w:color="auto"/>
        <w:right w:val="none" w:sz="0" w:space="0" w:color="auto"/>
      </w:divBdr>
    </w:div>
    <w:div w:id="9572129">
      <w:bodyDiv w:val="1"/>
      <w:marLeft w:val="0"/>
      <w:marRight w:val="0"/>
      <w:marTop w:val="0"/>
      <w:marBottom w:val="0"/>
      <w:divBdr>
        <w:top w:val="none" w:sz="0" w:space="0" w:color="auto"/>
        <w:left w:val="none" w:sz="0" w:space="0" w:color="auto"/>
        <w:bottom w:val="none" w:sz="0" w:space="0" w:color="auto"/>
        <w:right w:val="none" w:sz="0" w:space="0" w:color="auto"/>
      </w:divBdr>
    </w:div>
    <w:div w:id="9642899">
      <w:bodyDiv w:val="1"/>
      <w:marLeft w:val="0"/>
      <w:marRight w:val="0"/>
      <w:marTop w:val="0"/>
      <w:marBottom w:val="0"/>
      <w:divBdr>
        <w:top w:val="none" w:sz="0" w:space="0" w:color="auto"/>
        <w:left w:val="none" w:sz="0" w:space="0" w:color="auto"/>
        <w:bottom w:val="none" w:sz="0" w:space="0" w:color="auto"/>
        <w:right w:val="none" w:sz="0" w:space="0" w:color="auto"/>
      </w:divBdr>
    </w:div>
    <w:div w:id="9987076">
      <w:bodyDiv w:val="1"/>
      <w:marLeft w:val="0"/>
      <w:marRight w:val="0"/>
      <w:marTop w:val="0"/>
      <w:marBottom w:val="0"/>
      <w:divBdr>
        <w:top w:val="none" w:sz="0" w:space="0" w:color="auto"/>
        <w:left w:val="none" w:sz="0" w:space="0" w:color="auto"/>
        <w:bottom w:val="none" w:sz="0" w:space="0" w:color="auto"/>
        <w:right w:val="none" w:sz="0" w:space="0" w:color="auto"/>
      </w:divBdr>
    </w:div>
    <w:div w:id="10030064">
      <w:bodyDiv w:val="1"/>
      <w:marLeft w:val="0"/>
      <w:marRight w:val="0"/>
      <w:marTop w:val="0"/>
      <w:marBottom w:val="0"/>
      <w:divBdr>
        <w:top w:val="none" w:sz="0" w:space="0" w:color="auto"/>
        <w:left w:val="none" w:sz="0" w:space="0" w:color="auto"/>
        <w:bottom w:val="none" w:sz="0" w:space="0" w:color="auto"/>
        <w:right w:val="none" w:sz="0" w:space="0" w:color="auto"/>
      </w:divBdr>
    </w:div>
    <w:div w:id="10231700">
      <w:bodyDiv w:val="1"/>
      <w:marLeft w:val="0"/>
      <w:marRight w:val="0"/>
      <w:marTop w:val="0"/>
      <w:marBottom w:val="0"/>
      <w:divBdr>
        <w:top w:val="none" w:sz="0" w:space="0" w:color="auto"/>
        <w:left w:val="none" w:sz="0" w:space="0" w:color="auto"/>
        <w:bottom w:val="none" w:sz="0" w:space="0" w:color="auto"/>
        <w:right w:val="none" w:sz="0" w:space="0" w:color="auto"/>
      </w:divBdr>
    </w:div>
    <w:div w:id="10617785">
      <w:bodyDiv w:val="1"/>
      <w:marLeft w:val="0"/>
      <w:marRight w:val="0"/>
      <w:marTop w:val="0"/>
      <w:marBottom w:val="0"/>
      <w:divBdr>
        <w:top w:val="none" w:sz="0" w:space="0" w:color="auto"/>
        <w:left w:val="none" w:sz="0" w:space="0" w:color="auto"/>
        <w:bottom w:val="none" w:sz="0" w:space="0" w:color="auto"/>
        <w:right w:val="none" w:sz="0" w:space="0" w:color="auto"/>
      </w:divBdr>
    </w:div>
    <w:div w:id="11079346">
      <w:bodyDiv w:val="1"/>
      <w:marLeft w:val="0"/>
      <w:marRight w:val="0"/>
      <w:marTop w:val="0"/>
      <w:marBottom w:val="0"/>
      <w:divBdr>
        <w:top w:val="none" w:sz="0" w:space="0" w:color="auto"/>
        <w:left w:val="none" w:sz="0" w:space="0" w:color="auto"/>
        <w:bottom w:val="none" w:sz="0" w:space="0" w:color="auto"/>
        <w:right w:val="none" w:sz="0" w:space="0" w:color="auto"/>
      </w:divBdr>
    </w:div>
    <w:div w:id="11153928">
      <w:bodyDiv w:val="1"/>
      <w:marLeft w:val="0"/>
      <w:marRight w:val="0"/>
      <w:marTop w:val="0"/>
      <w:marBottom w:val="0"/>
      <w:divBdr>
        <w:top w:val="none" w:sz="0" w:space="0" w:color="auto"/>
        <w:left w:val="none" w:sz="0" w:space="0" w:color="auto"/>
        <w:bottom w:val="none" w:sz="0" w:space="0" w:color="auto"/>
        <w:right w:val="none" w:sz="0" w:space="0" w:color="auto"/>
      </w:divBdr>
    </w:div>
    <w:div w:id="11419972">
      <w:bodyDiv w:val="1"/>
      <w:marLeft w:val="0"/>
      <w:marRight w:val="0"/>
      <w:marTop w:val="0"/>
      <w:marBottom w:val="0"/>
      <w:divBdr>
        <w:top w:val="none" w:sz="0" w:space="0" w:color="auto"/>
        <w:left w:val="none" w:sz="0" w:space="0" w:color="auto"/>
        <w:bottom w:val="none" w:sz="0" w:space="0" w:color="auto"/>
        <w:right w:val="none" w:sz="0" w:space="0" w:color="auto"/>
      </w:divBdr>
    </w:div>
    <w:div w:id="12073178">
      <w:bodyDiv w:val="1"/>
      <w:marLeft w:val="0"/>
      <w:marRight w:val="0"/>
      <w:marTop w:val="0"/>
      <w:marBottom w:val="0"/>
      <w:divBdr>
        <w:top w:val="none" w:sz="0" w:space="0" w:color="auto"/>
        <w:left w:val="none" w:sz="0" w:space="0" w:color="auto"/>
        <w:bottom w:val="none" w:sz="0" w:space="0" w:color="auto"/>
        <w:right w:val="none" w:sz="0" w:space="0" w:color="auto"/>
      </w:divBdr>
    </w:div>
    <w:div w:id="12153017">
      <w:bodyDiv w:val="1"/>
      <w:marLeft w:val="0"/>
      <w:marRight w:val="0"/>
      <w:marTop w:val="0"/>
      <w:marBottom w:val="0"/>
      <w:divBdr>
        <w:top w:val="none" w:sz="0" w:space="0" w:color="auto"/>
        <w:left w:val="none" w:sz="0" w:space="0" w:color="auto"/>
        <w:bottom w:val="none" w:sz="0" w:space="0" w:color="auto"/>
        <w:right w:val="none" w:sz="0" w:space="0" w:color="auto"/>
      </w:divBdr>
    </w:div>
    <w:div w:id="12271452">
      <w:bodyDiv w:val="1"/>
      <w:marLeft w:val="0"/>
      <w:marRight w:val="0"/>
      <w:marTop w:val="0"/>
      <w:marBottom w:val="0"/>
      <w:divBdr>
        <w:top w:val="none" w:sz="0" w:space="0" w:color="auto"/>
        <w:left w:val="none" w:sz="0" w:space="0" w:color="auto"/>
        <w:bottom w:val="none" w:sz="0" w:space="0" w:color="auto"/>
        <w:right w:val="none" w:sz="0" w:space="0" w:color="auto"/>
      </w:divBdr>
    </w:div>
    <w:div w:id="12344872">
      <w:bodyDiv w:val="1"/>
      <w:marLeft w:val="0"/>
      <w:marRight w:val="0"/>
      <w:marTop w:val="0"/>
      <w:marBottom w:val="0"/>
      <w:divBdr>
        <w:top w:val="none" w:sz="0" w:space="0" w:color="auto"/>
        <w:left w:val="none" w:sz="0" w:space="0" w:color="auto"/>
        <w:bottom w:val="none" w:sz="0" w:space="0" w:color="auto"/>
        <w:right w:val="none" w:sz="0" w:space="0" w:color="auto"/>
      </w:divBdr>
    </w:div>
    <w:div w:id="12345340">
      <w:bodyDiv w:val="1"/>
      <w:marLeft w:val="0"/>
      <w:marRight w:val="0"/>
      <w:marTop w:val="0"/>
      <w:marBottom w:val="0"/>
      <w:divBdr>
        <w:top w:val="none" w:sz="0" w:space="0" w:color="auto"/>
        <w:left w:val="none" w:sz="0" w:space="0" w:color="auto"/>
        <w:bottom w:val="none" w:sz="0" w:space="0" w:color="auto"/>
        <w:right w:val="none" w:sz="0" w:space="0" w:color="auto"/>
      </w:divBdr>
    </w:div>
    <w:div w:id="12608991">
      <w:bodyDiv w:val="1"/>
      <w:marLeft w:val="0"/>
      <w:marRight w:val="0"/>
      <w:marTop w:val="0"/>
      <w:marBottom w:val="0"/>
      <w:divBdr>
        <w:top w:val="none" w:sz="0" w:space="0" w:color="auto"/>
        <w:left w:val="none" w:sz="0" w:space="0" w:color="auto"/>
        <w:bottom w:val="none" w:sz="0" w:space="0" w:color="auto"/>
        <w:right w:val="none" w:sz="0" w:space="0" w:color="auto"/>
      </w:divBdr>
    </w:div>
    <w:div w:id="12733433">
      <w:bodyDiv w:val="1"/>
      <w:marLeft w:val="0"/>
      <w:marRight w:val="0"/>
      <w:marTop w:val="0"/>
      <w:marBottom w:val="0"/>
      <w:divBdr>
        <w:top w:val="none" w:sz="0" w:space="0" w:color="auto"/>
        <w:left w:val="none" w:sz="0" w:space="0" w:color="auto"/>
        <w:bottom w:val="none" w:sz="0" w:space="0" w:color="auto"/>
        <w:right w:val="none" w:sz="0" w:space="0" w:color="auto"/>
      </w:divBdr>
    </w:div>
    <w:div w:id="12923073">
      <w:bodyDiv w:val="1"/>
      <w:marLeft w:val="0"/>
      <w:marRight w:val="0"/>
      <w:marTop w:val="0"/>
      <w:marBottom w:val="0"/>
      <w:divBdr>
        <w:top w:val="none" w:sz="0" w:space="0" w:color="auto"/>
        <w:left w:val="none" w:sz="0" w:space="0" w:color="auto"/>
        <w:bottom w:val="none" w:sz="0" w:space="0" w:color="auto"/>
        <w:right w:val="none" w:sz="0" w:space="0" w:color="auto"/>
      </w:divBdr>
    </w:div>
    <w:div w:id="13072149">
      <w:bodyDiv w:val="1"/>
      <w:marLeft w:val="0"/>
      <w:marRight w:val="0"/>
      <w:marTop w:val="0"/>
      <w:marBottom w:val="0"/>
      <w:divBdr>
        <w:top w:val="none" w:sz="0" w:space="0" w:color="auto"/>
        <w:left w:val="none" w:sz="0" w:space="0" w:color="auto"/>
        <w:bottom w:val="none" w:sz="0" w:space="0" w:color="auto"/>
        <w:right w:val="none" w:sz="0" w:space="0" w:color="auto"/>
      </w:divBdr>
    </w:div>
    <w:div w:id="13120753">
      <w:bodyDiv w:val="1"/>
      <w:marLeft w:val="0"/>
      <w:marRight w:val="0"/>
      <w:marTop w:val="0"/>
      <w:marBottom w:val="0"/>
      <w:divBdr>
        <w:top w:val="none" w:sz="0" w:space="0" w:color="auto"/>
        <w:left w:val="none" w:sz="0" w:space="0" w:color="auto"/>
        <w:bottom w:val="none" w:sz="0" w:space="0" w:color="auto"/>
        <w:right w:val="none" w:sz="0" w:space="0" w:color="auto"/>
      </w:divBdr>
    </w:div>
    <w:div w:id="13193279">
      <w:bodyDiv w:val="1"/>
      <w:marLeft w:val="0"/>
      <w:marRight w:val="0"/>
      <w:marTop w:val="0"/>
      <w:marBottom w:val="0"/>
      <w:divBdr>
        <w:top w:val="none" w:sz="0" w:space="0" w:color="auto"/>
        <w:left w:val="none" w:sz="0" w:space="0" w:color="auto"/>
        <w:bottom w:val="none" w:sz="0" w:space="0" w:color="auto"/>
        <w:right w:val="none" w:sz="0" w:space="0" w:color="auto"/>
      </w:divBdr>
    </w:div>
    <w:div w:id="13466018">
      <w:bodyDiv w:val="1"/>
      <w:marLeft w:val="0"/>
      <w:marRight w:val="0"/>
      <w:marTop w:val="0"/>
      <w:marBottom w:val="0"/>
      <w:divBdr>
        <w:top w:val="none" w:sz="0" w:space="0" w:color="auto"/>
        <w:left w:val="none" w:sz="0" w:space="0" w:color="auto"/>
        <w:bottom w:val="none" w:sz="0" w:space="0" w:color="auto"/>
        <w:right w:val="none" w:sz="0" w:space="0" w:color="auto"/>
      </w:divBdr>
    </w:div>
    <w:div w:id="13575528">
      <w:bodyDiv w:val="1"/>
      <w:marLeft w:val="0"/>
      <w:marRight w:val="0"/>
      <w:marTop w:val="0"/>
      <w:marBottom w:val="0"/>
      <w:divBdr>
        <w:top w:val="none" w:sz="0" w:space="0" w:color="auto"/>
        <w:left w:val="none" w:sz="0" w:space="0" w:color="auto"/>
        <w:bottom w:val="none" w:sz="0" w:space="0" w:color="auto"/>
        <w:right w:val="none" w:sz="0" w:space="0" w:color="auto"/>
      </w:divBdr>
    </w:div>
    <w:div w:id="13583120">
      <w:bodyDiv w:val="1"/>
      <w:marLeft w:val="0"/>
      <w:marRight w:val="0"/>
      <w:marTop w:val="0"/>
      <w:marBottom w:val="0"/>
      <w:divBdr>
        <w:top w:val="none" w:sz="0" w:space="0" w:color="auto"/>
        <w:left w:val="none" w:sz="0" w:space="0" w:color="auto"/>
        <w:bottom w:val="none" w:sz="0" w:space="0" w:color="auto"/>
        <w:right w:val="none" w:sz="0" w:space="0" w:color="auto"/>
      </w:divBdr>
    </w:div>
    <w:div w:id="13774986">
      <w:bodyDiv w:val="1"/>
      <w:marLeft w:val="0"/>
      <w:marRight w:val="0"/>
      <w:marTop w:val="0"/>
      <w:marBottom w:val="0"/>
      <w:divBdr>
        <w:top w:val="none" w:sz="0" w:space="0" w:color="auto"/>
        <w:left w:val="none" w:sz="0" w:space="0" w:color="auto"/>
        <w:bottom w:val="none" w:sz="0" w:space="0" w:color="auto"/>
        <w:right w:val="none" w:sz="0" w:space="0" w:color="auto"/>
      </w:divBdr>
    </w:div>
    <w:div w:id="13918495">
      <w:bodyDiv w:val="1"/>
      <w:marLeft w:val="0"/>
      <w:marRight w:val="0"/>
      <w:marTop w:val="0"/>
      <w:marBottom w:val="0"/>
      <w:divBdr>
        <w:top w:val="none" w:sz="0" w:space="0" w:color="auto"/>
        <w:left w:val="none" w:sz="0" w:space="0" w:color="auto"/>
        <w:bottom w:val="none" w:sz="0" w:space="0" w:color="auto"/>
        <w:right w:val="none" w:sz="0" w:space="0" w:color="auto"/>
      </w:divBdr>
    </w:div>
    <w:div w:id="13925071">
      <w:bodyDiv w:val="1"/>
      <w:marLeft w:val="0"/>
      <w:marRight w:val="0"/>
      <w:marTop w:val="0"/>
      <w:marBottom w:val="0"/>
      <w:divBdr>
        <w:top w:val="none" w:sz="0" w:space="0" w:color="auto"/>
        <w:left w:val="none" w:sz="0" w:space="0" w:color="auto"/>
        <w:bottom w:val="none" w:sz="0" w:space="0" w:color="auto"/>
        <w:right w:val="none" w:sz="0" w:space="0" w:color="auto"/>
      </w:divBdr>
    </w:div>
    <w:div w:id="14116962">
      <w:bodyDiv w:val="1"/>
      <w:marLeft w:val="0"/>
      <w:marRight w:val="0"/>
      <w:marTop w:val="0"/>
      <w:marBottom w:val="0"/>
      <w:divBdr>
        <w:top w:val="none" w:sz="0" w:space="0" w:color="auto"/>
        <w:left w:val="none" w:sz="0" w:space="0" w:color="auto"/>
        <w:bottom w:val="none" w:sz="0" w:space="0" w:color="auto"/>
        <w:right w:val="none" w:sz="0" w:space="0" w:color="auto"/>
      </w:divBdr>
    </w:div>
    <w:div w:id="14187577">
      <w:bodyDiv w:val="1"/>
      <w:marLeft w:val="0"/>
      <w:marRight w:val="0"/>
      <w:marTop w:val="0"/>
      <w:marBottom w:val="0"/>
      <w:divBdr>
        <w:top w:val="none" w:sz="0" w:space="0" w:color="auto"/>
        <w:left w:val="none" w:sz="0" w:space="0" w:color="auto"/>
        <w:bottom w:val="none" w:sz="0" w:space="0" w:color="auto"/>
        <w:right w:val="none" w:sz="0" w:space="0" w:color="auto"/>
      </w:divBdr>
    </w:div>
    <w:div w:id="14312515">
      <w:bodyDiv w:val="1"/>
      <w:marLeft w:val="0"/>
      <w:marRight w:val="0"/>
      <w:marTop w:val="0"/>
      <w:marBottom w:val="0"/>
      <w:divBdr>
        <w:top w:val="none" w:sz="0" w:space="0" w:color="auto"/>
        <w:left w:val="none" w:sz="0" w:space="0" w:color="auto"/>
        <w:bottom w:val="none" w:sz="0" w:space="0" w:color="auto"/>
        <w:right w:val="none" w:sz="0" w:space="0" w:color="auto"/>
      </w:divBdr>
    </w:div>
    <w:div w:id="14966994">
      <w:bodyDiv w:val="1"/>
      <w:marLeft w:val="0"/>
      <w:marRight w:val="0"/>
      <w:marTop w:val="0"/>
      <w:marBottom w:val="0"/>
      <w:divBdr>
        <w:top w:val="none" w:sz="0" w:space="0" w:color="auto"/>
        <w:left w:val="none" w:sz="0" w:space="0" w:color="auto"/>
        <w:bottom w:val="none" w:sz="0" w:space="0" w:color="auto"/>
        <w:right w:val="none" w:sz="0" w:space="0" w:color="auto"/>
      </w:divBdr>
    </w:div>
    <w:div w:id="15040275">
      <w:bodyDiv w:val="1"/>
      <w:marLeft w:val="0"/>
      <w:marRight w:val="0"/>
      <w:marTop w:val="0"/>
      <w:marBottom w:val="0"/>
      <w:divBdr>
        <w:top w:val="none" w:sz="0" w:space="0" w:color="auto"/>
        <w:left w:val="none" w:sz="0" w:space="0" w:color="auto"/>
        <w:bottom w:val="none" w:sz="0" w:space="0" w:color="auto"/>
        <w:right w:val="none" w:sz="0" w:space="0" w:color="auto"/>
      </w:divBdr>
    </w:div>
    <w:div w:id="15230752">
      <w:bodyDiv w:val="1"/>
      <w:marLeft w:val="0"/>
      <w:marRight w:val="0"/>
      <w:marTop w:val="0"/>
      <w:marBottom w:val="0"/>
      <w:divBdr>
        <w:top w:val="none" w:sz="0" w:space="0" w:color="auto"/>
        <w:left w:val="none" w:sz="0" w:space="0" w:color="auto"/>
        <w:bottom w:val="none" w:sz="0" w:space="0" w:color="auto"/>
        <w:right w:val="none" w:sz="0" w:space="0" w:color="auto"/>
      </w:divBdr>
    </w:div>
    <w:div w:id="15619283">
      <w:bodyDiv w:val="1"/>
      <w:marLeft w:val="0"/>
      <w:marRight w:val="0"/>
      <w:marTop w:val="0"/>
      <w:marBottom w:val="0"/>
      <w:divBdr>
        <w:top w:val="none" w:sz="0" w:space="0" w:color="auto"/>
        <w:left w:val="none" w:sz="0" w:space="0" w:color="auto"/>
        <w:bottom w:val="none" w:sz="0" w:space="0" w:color="auto"/>
        <w:right w:val="none" w:sz="0" w:space="0" w:color="auto"/>
      </w:divBdr>
    </w:div>
    <w:div w:id="16347718">
      <w:bodyDiv w:val="1"/>
      <w:marLeft w:val="0"/>
      <w:marRight w:val="0"/>
      <w:marTop w:val="0"/>
      <w:marBottom w:val="0"/>
      <w:divBdr>
        <w:top w:val="none" w:sz="0" w:space="0" w:color="auto"/>
        <w:left w:val="none" w:sz="0" w:space="0" w:color="auto"/>
        <w:bottom w:val="none" w:sz="0" w:space="0" w:color="auto"/>
        <w:right w:val="none" w:sz="0" w:space="0" w:color="auto"/>
      </w:divBdr>
    </w:div>
    <w:div w:id="16546711">
      <w:bodyDiv w:val="1"/>
      <w:marLeft w:val="0"/>
      <w:marRight w:val="0"/>
      <w:marTop w:val="0"/>
      <w:marBottom w:val="0"/>
      <w:divBdr>
        <w:top w:val="none" w:sz="0" w:space="0" w:color="auto"/>
        <w:left w:val="none" w:sz="0" w:space="0" w:color="auto"/>
        <w:bottom w:val="none" w:sz="0" w:space="0" w:color="auto"/>
        <w:right w:val="none" w:sz="0" w:space="0" w:color="auto"/>
      </w:divBdr>
    </w:div>
    <w:div w:id="16586642">
      <w:bodyDiv w:val="1"/>
      <w:marLeft w:val="0"/>
      <w:marRight w:val="0"/>
      <w:marTop w:val="0"/>
      <w:marBottom w:val="0"/>
      <w:divBdr>
        <w:top w:val="none" w:sz="0" w:space="0" w:color="auto"/>
        <w:left w:val="none" w:sz="0" w:space="0" w:color="auto"/>
        <w:bottom w:val="none" w:sz="0" w:space="0" w:color="auto"/>
        <w:right w:val="none" w:sz="0" w:space="0" w:color="auto"/>
      </w:divBdr>
    </w:div>
    <w:div w:id="16928893">
      <w:bodyDiv w:val="1"/>
      <w:marLeft w:val="0"/>
      <w:marRight w:val="0"/>
      <w:marTop w:val="0"/>
      <w:marBottom w:val="0"/>
      <w:divBdr>
        <w:top w:val="none" w:sz="0" w:space="0" w:color="auto"/>
        <w:left w:val="none" w:sz="0" w:space="0" w:color="auto"/>
        <w:bottom w:val="none" w:sz="0" w:space="0" w:color="auto"/>
        <w:right w:val="none" w:sz="0" w:space="0" w:color="auto"/>
      </w:divBdr>
    </w:div>
    <w:div w:id="17436851">
      <w:bodyDiv w:val="1"/>
      <w:marLeft w:val="0"/>
      <w:marRight w:val="0"/>
      <w:marTop w:val="0"/>
      <w:marBottom w:val="0"/>
      <w:divBdr>
        <w:top w:val="none" w:sz="0" w:space="0" w:color="auto"/>
        <w:left w:val="none" w:sz="0" w:space="0" w:color="auto"/>
        <w:bottom w:val="none" w:sz="0" w:space="0" w:color="auto"/>
        <w:right w:val="none" w:sz="0" w:space="0" w:color="auto"/>
      </w:divBdr>
    </w:div>
    <w:div w:id="17586553">
      <w:bodyDiv w:val="1"/>
      <w:marLeft w:val="0"/>
      <w:marRight w:val="0"/>
      <w:marTop w:val="0"/>
      <w:marBottom w:val="0"/>
      <w:divBdr>
        <w:top w:val="none" w:sz="0" w:space="0" w:color="auto"/>
        <w:left w:val="none" w:sz="0" w:space="0" w:color="auto"/>
        <w:bottom w:val="none" w:sz="0" w:space="0" w:color="auto"/>
        <w:right w:val="none" w:sz="0" w:space="0" w:color="auto"/>
      </w:divBdr>
    </w:div>
    <w:div w:id="17632349">
      <w:bodyDiv w:val="1"/>
      <w:marLeft w:val="0"/>
      <w:marRight w:val="0"/>
      <w:marTop w:val="0"/>
      <w:marBottom w:val="0"/>
      <w:divBdr>
        <w:top w:val="none" w:sz="0" w:space="0" w:color="auto"/>
        <w:left w:val="none" w:sz="0" w:space="0" w:color="auto"/>
        <w:bottom w:val="none" w:sz="0" w:space="0" w:color="auto"/>
        <w:right w:val="none" w:sz="0" w:space="0" w:color="auto"/>
      </w:divBdr>
    </w:div>
    <w:div w:id="17703009">
      <w:bodyDiv w:val="1"/>
      <w:marLeft w:val="0"/>
      <w:marRight w:val="0"/>
      <w:marTop w:val="0"/>
      <w:marBottom w:val="0"/>
      <w:divBdr>
        <w:top w:val="none" w:sz="0" w:space="0" w:color="auto"/>
        <w:left w:val="none" w:sz="0" w:space="0" w:color="auto"/>
        <w:bottom w:val="none" w:sz="0" w:space="0" w:color="auto"/>
        <w:right w:val="none" w:sz="0" w:space="0" w:color="auto"/>
      </w:divBdr>
    </w:div>
    <w:div w:id="17971303">
      <w:bodyDiv w:val="1"/>
      <w:marLeft w:val="0"/>
      <w:marRight w:val="0"/>
      <w:marTop w:val="0"/>
      <w:marBottom w:val="0"/>
      <w:divBdr>
        <w:top w:val="none" w:sz="0" w:space="0" w:color="auto"/>
        <w:left w:val="none" w:sz="0" w:space="0" w:color="auto"/>
        <w:bottom w:val="none" w:sz="0" w:space="0" w:color="auto"/>
        <w:right w:val="none" w:sz="0" w:space="0" w:color="auto"/>
      </w:divBdr>
    </w:div>
    <w:div w:id="17971938">
      <w:bodyDiv w:val="1"/>
      <w:marLeft w:val="0"/>
      <w:marRight w:val="0"/>
      <w:marTop w:val="0"/>
      <w:marBottom w:val="0"/>
      <w:divBdr>
        <w:top w:val="none" w:sz="0" w:space="0" w:color="auto"/>
        <w:left w:val="none" w:sz="0" w:space="0" w:color="auto"/>
        <w:bottom w:val="none" w:sz="0" w:space="0" w:color="auto"/>
        <w:right w:val="none" w:sz="0" w:space="0" w:color="auto"/>
      </w:divBdr>
    </w:div>
    <w:div w:id="18044070">
      <w:bodyDiv w:val="1"/>
      <w:marLeft w:val="0"/>
      <w:marRight w:val="0"/>
      <w:marTop w:val="0"/>
      <w:marBottom w:val="0"/>
      <w:divBdr>
        <w:top w:val="none" w:sz="0" w:space="0" w:color="auto"/>
        <w:left w:val="none" w:sz="0" w:space="0" w:color="auto"/>
        <w:bottom w:val="none" w:sz="0" w:space="0" w:color="auto"/>
        <w:right w:val="none" w:sz="0" w:space="0" w:color="auto"/>
      </w:divBdr>
    </w:div>
    <w:div w:id="18046351">
      <w:bodyDiv w:val="1"/>
      <w:marLeft w:val="0"/>
      <w:marRight w:val="0"/>
      <w:marTop w:val="0"/>
      <w:marBottom w:val="0"/>
      <w:divBdr>
        <w:top w:val="none" w:sz="0" w:space="0" w:color="auto"/>
        <w:left w:val="none" w:sz="0" w:space="0" w:color="auto"/>
        <w:bottom w:val="none" w:sz="0" w:space="0" w:color="auto"/>
        <w:right w:val="none" w:sz="0" w:space="0" w:color="auto"/>
      </w:divBdr>
    </w:div>
    <w:div w:id="18363724">
      <w:bodyDiv w:val="1"/>
      <w:marLeft w:val="0"/>
      <w:marRight w:val="0"/>
      <w:marTop w:val="0"/>
      <w:marBottom w:val="0"/>
      <w:divBdr>
        <w:top w:val="none" w:sz="0" w:space="0" w:color="auto"/>
        <w:left w:val="none" w:sz="0" w:space="0" w:color="auto"/>
        <w:bottom w:val="none" w:sz="0" w:space="0" w:color="auto"/>
        <w:right w:val="none" w:sz="0" w:space="0" w:color="auto"/>
      </w:divBdr>
    </w:div>
    <w:div w:id="18555643">
      <w:bodyDiv w:val="1"/>
      <w:marLeft w:val="0"/>
      <w:marRight w:val="0"/>
      <w:marTop w:val="0"/>
      <w:marBottom w:val="0"/>
      <w:divBdr>
        <w:top w:val="none" w:sz="0" w:space="0" w:color="auto"/>
        <w:left w:val="none" w:sz="0" w:space="0" w:color="auto"/>
        <w:bottom w:val="none" w:sz="0" w:space="0" w:color="auto"/>
        <w:right w:val="none" w:sz="0" w:space="0" w:color="auto"/>
      </w:divBdr>
    </w:div>
    <w:div w:id="18629185">
      <w:bodyDiv w:val="1"/>
      <w:marLeft w:val="0"/>
      <w:marRight w:val="0"/>
      <w:marTop w:val="0"/>
      <w:marBottom w:val="0"/>
      <w:divBdr>
        <w:top w:val="none" w:sz="0" w:space="0" w:color="auto"/>
        <w:left w:val="none" w:sz="0" w:space="0" w:color="auto"/>
        <w:bottom w:val="none" w:sz="0" w:space="0" w:color="auto"/>
        <w:right w:val="none" w:sz="0" w:space="0" w:color="auto"/>
      </w:divBdr>
    </w:div>
    <w:div w:id="18969663">
      <w:bodyDiv w:val="1"/>
      <w:marLeft w:val="0"/>
      <w:marRight w:val="0"/>
      <w:marTop w:val="0"/>
      <w:marBottom w:val="0"/>
      <w:divBdr>
        <w:top w:val="none" w:sz="0" w:space="0" w:color="auto"/>
        <w:left w:val="none" w:sz="0" w:space="0" w:color="auto"/>
        <w:bottom w:val="none" w:sz="0" w:space="0" w:color="auto"/>
        <w:right w:val="none" w:sz="0" w:space="0" w:color="auto"/>
      </w:divBdr>
    </w:div>
    <w:div w:id="19088163">
      <w:bodyDiv w:val="1"/>
      <w:marLeft w:val="0"/>
      <w:marRight w:val="0"/>
      <w:marTop w:val="0"/>
      <w:marBottom w:val="0"/>
      <w:divBdr>
        <w:top w:val="none" w:sz="0" w:space="0" w:color="auto"/>
        <w:left w:val="none" w:sz="0" w:space="0" w:color="auto"/>
        <w:bottom w:val="none" w:sz="0" w:space="0" w:color="auto"/>
        <w:right w:val="none" w:sz="0" w:space="0" w:color="auto"/>
      </w:divBdr>
    </w:div>
    <w:div w:id="19672504">
      <w:bodyDiv w:val="1"/>
      <w:marLeft w:val="0"/>
      <w:marRight w:val="0"/>
      <w:marTop w:val="0"/>
      <w:marBottom w:val="0"/>
      <w:divBdr>
        <w:top w:val="none" w:sz="0" w:space="0" w:color="auto"/>
        <w:left w:val="none" w:sz="0" w:space="0" w:color="auto"/>
        <w:bottom w:val="none" w:sz="0" w:space="0" w:color="auto"/>
        <w:right w:val="none" w:sz="0" w:space="0" w:color="auto"/>
      </w:divBdr>
    </w:div>
    <w:div w:id="19818467">
      <w:bodyDiv w:val="1"/>
      <w:marLeft w:val="0"/>
      <w:marRight w:val="0"/>
      <w:marTop w:val="0"/>
      <w:marBottom w:val="0"/>
      <w:divBdr>
        <w:top w:val="none" w:sz="0" w:space="0" w:color="auto"/>
        <w:left w:val="none" w:sz="0" w:space="0" w:color="auto"/>
        <w:bottom w:val="none" w:sz="0" w:space="0" w:color="auto"/>
        <w:right w:val="none" w:sz="0" w:space="0" w:color="auto"/>
      </w:divBdr>
    </w:div>
    <w:div w:id="20202493">
      <w:bodyDiv w:val="1"/>
      <w:marLeft w:val="0"/>
      <w:marRight w:val="0"/>
      <w:marTop w:val="0"/>
      <w:marBottom w:val="0"/>
      <w:divBdr>
        <w:top w:val="none" w:sz="0" w:space="0" w:color="auto"/>
        <w:left w:val="none" w:sz="0" w:space="0" w:color="auto"/>
        <w:bottom w:val="none" w:sz="0" w:space="0" w:color="auto"/>
        <w:right w:val="none" w:sz="0" w:space="0" w:color="auto"/>
      </w:divBdr>
    </w:div>
    <w:div w:id="20670512">
      <w:bodyDiv w:val="1"/>
      <w:marLeft w:val="0"/>
      <w:marRight w:val="0"/>
      <w:marTop w:val="0"/>
      <w:marBottom w:val="0"/>
      <w:divBdr>
        <w:top w:val="none" w:sz="0" w:space="0" w:color="auto"/>
        <w:left w:val="none" w:sz="0" w:space="0" w:color="auto"/>
        <w:bottom w:val="none" w:sz="0" w:space="0" w:color="auto"/>
        <w:right w:val="none" w:sz="0" w:space="0" w:color="auto"/>
      </w:divBdr>
    </w:div>
    <w:div w:id="20936011">
      <w:bodyDiv w:val="1"/>
      <w:marLeft w:val="0"/>
      <w:marRight w:val="0"/>
      <w:marTop w:val="0"/>
      <w:marBottom w:val="0"/>
      <w:divBdr>
        <w:top w:val="none" w:sz="0" w:space="0" w:color="auto"/>
        <w:left w:val="none" w:sz="0" w:space="0" w:color="auto"/>
        <w:bottom w:val="none" w:sz="0" w:space="0" w:color="auto"/>
        <w:right w:val="none" w:sz="0" w:space="0" w:color="auto"/>
      </w:divBdr>
    </w:div>
    <w:div w:id="21172249">
      <w:bodyDiv w:val="1"/>
      <w:marLeft w:val="0"/>
      <w:marRight w:val="0"/>
      <w:marTop w:val="0"/>
      <w:marBottom w:val="0"/>
      <w:divBdr>
        <w:top w:val="none" w:sz="0" w:space="0" w:color="auto"/>
        <w:left w:val="none" w:sz="0" w:space="0" w:color="auto"/>
        <w:bottom w:val="none" w:sz="0" w:space="0" w:color="auto"/>
        <w:right w:val="none" w:sz="0" w:space="0" w:color="auto"/>
      </w:divBdr>
    </w:div>
    <w:div w:id="21246517">
      <w:bodyDiv w:val="1"/>
      <w:marLeft w:val="0"/>
      <w:marRight w:val="0"/>
      <w:marTop w:val="0"/>
      <w:marBottom w:val="0"/>
      <w:divBdr>
        <w:top w:val="none" w:sz="0" w:space="0" w:color="auto"/>
        <w:left w:val="none" w:sz="0" w:space="0" w:color="auto"/>
        <w:bottom w:val="none" w:sz="0" w:space="0" w:color="auto"/>
        <w:right w:val="none" w:sz="0" w:space="0" w:color="auto"/>
      </w:divBdr>
    </w:div>
    <w:div w:id="21369568">
      <w:bodyDiv w:val="1"/>
      <w:marLeft w:val="0"/>
      <w:marRight w:val="0"/>
      <w:marTop w:val="0"/>
      <w:marBottom w:val="0"/>
      <w:divBdr>
        <w:top w:val="none" w:sz="0" w:space="0" w:color="auto"/>
        <w:left w:val="none" w:sz="0" w:space="0" w:color="auto"/>
        <w:bottom w:val="none" w:sz="0" w:space="0" w:color="auto"/>
        <w:right w:val="none" w:sz="0" w:space="0" w:color="auto"/>
      </w:divBdr>
    </w:div>
    <w:div w:id="21706996">
      <w:bodyDiv w:val="1"/>
      <w:marLeft w:val="0"/>
      <w:marRight w:val="0"/>
      <w:marTop w:val="0"/>
      <w:marBottom w:val="0"/>
      <w:divBdr>
        <w:top w:val="none" w:sz="0" w:space="0" w:color="auto"/>
        <w:left w:val="none" w:sz="0" w:space="0" w:color="auto"/>
        <w:bottom w:val="none" w:sz="0" w:space="0" w:color="auto"/>
        <w:right w:val="none" w:sz="0" w:space="0" w:color="auto"/>
      </w:divBdr>
    </w:div>
    <w:div w:id="21710654">
      <w:bodyDiv w:val="1"/>
      <w:marLeft w:val="0"/>
      <w:marRight w:val="0"/>
      <w:marTop w:val="0"/>
      <w:marBottom w:val="0"/>
      <w:divBdr>
        <w:top w:val="none" w:sz="0" w:space="0" w:color="auto"/>
        <w:left w:val="none" w:sz="0" w:space="0" w:color="auto"/>
        <w:bottom w:val="none" w:sz="0" w:space="0" w:color="auto"/>
        <w:right w:val="none" w:sz="0" w:space="0" w:color="auto"/>
      </w:divBdr>
    </w:div>
    <w:div w:id="21984289">
      <w:bodyDiv w:val="1"/>
      <w:marLeft w:val="0"/>
      <w:marRight w:val="0"/>
      <w:marTop w:val="0"/>
      <w:marBottom w:val="0"/>
      <w:divBdr>
        <w:top w:val="none" w:sz="0" w:space="0" w:color="auto"/>
        <w:left w:val="none" w:sz="0" w:space="0" w:color="auto"/>
        <w:bottom w:val="none" w:sz="0" w:space="0" w:color="auto"/>
        <w:right w:val="none" w:sz="0" w:space="0" w:color="auto"/>
      </w:divBdr>
    </w:div>
    <w:div w:id="22025073">
      <w:bodyDiv w:val="1"/>
      <w:marLeft w:val="0"/>
      <w:marRight w:val="0"/>
      <w:marTop w:val="0"/>
      <w:marBottom w:val="0"/>
      <w:divBdr>
        <w:top w:val="none" w:sz="0" w:space="0" w:color="auto"/>
        <w:left w:val="none" w:sz="0" w:space="0" w:color="auto"/>
        <w:bottom w:val="none" w:sz="0" w:space="0" w:color="auto"/>
        <w:right w:val="none" w:sz="0" w:space="0" w:color="auto"/>
      </w:divBdr>
    </w:div>
    <w:div w:id="22175018">
      <w:bodyDiv w:val="1"/>
      <w:marLeft w:val="0"/>
      <w:marRight w:val="0"/>
      <w:marTop w:val="0"/>
      <w:marBottom w:val="0"/>
      <w:divBdr>
        <w:top w:val="none" w:sz="0" w:space="0" w:color="auto"/>
        <w:left w:val="none" w:sz="0" w:space="0" w:color="auto"/>
        <w:bottom w:val="none" w:sz="0" w:space="0" w:color="auto"/>
        <w:right w:val="none" w:sz="0" w:space="0" w:color="auto"/>
      </w:divBdr>
    </w:div>
    <w:div w:id="22286307">
      <w:bodyDiv w:val="1"/>
      <w:marLeft w:val="0"/>
      <w:marRight w:val="0"/>
      <w:marTop w:val="0"/>
      <w:marBottom w:val="0"/>
      <w:divBdr>
        <w:top w:val="none" w:sz="0" w:space="0" w:color="auto"/>
        <w:left w:val="none" w:sz="0" w:space="0" w:color="auto"/>
        <w:bottom w:val="none" w:sz="0" w:space="0" w:color="auto"/>
        <w:right w:val="none" w:sz="0" w:space="0" w:color="auto"/>
      </w:divBdr>
    </w:div>
    <w:div w:id="22290761">
      <w:bodyDiv w:val="1"/>
      <w:marLeft w:val="0"/>
      <w:marRight w:val="0"/>
      <w:marTop w:val="0"/>
      <w:marBottom w:val="0"/>
      <w:divBdr>
        <w:top w:val="none" w:sz="0" w:space="0" w:color="auto"/>
        <w:left w:val="none" w:sz="0" w:space="0" w:color="auto"/>
        <w:bottom w:val="none" w:sz="0" w:space="0" w:color="auto"/>
        <w:right w:val="none" w:sz="0" w:space="0" w:color="auto"/>
      </w:divBdr>
    </w:div>
    <w:div w:id="22750297">
      <w:bodyDiv w:val="1"/>
      <w:marLeft w:val="0"/>
      <w:marRight w:val="0"/>
      <w:marTop w:val="0"/>
      <w:marBottom w:val="0"/>
      <w:divBdr>
        <w:top w:val="none" w:sz="0" w:space="0" w:color="auto"/>
        <w:left w:val="none" w:sz="0" w:space="0" w:color="auto"/>
        <w:bottom w:val="none" w:sz="0" w:space="0" w:color="auto"/>
        <w:right w:val="none" w:sz="0" w:space="0" w:color="auto"/>
      </w:divBdr>
    </w:div>
    <w:div w:id="22828839">
      <w:bodyDiv w:val="1"/>
      <w:marLeft w:val="0"/>
      <w:marRight w:val="0"/>
      <w:marTop w:val="0"/>
      <w:marBottom w:val="0"/>
      <w:divBdr>
        <w:top w:val="none" w:sz="0" w:space="0" w:color="auto"/>
        <w:left w:val="none" w:sz="0" w:space="0" w:color="auto"/>
        <w:bottom w:val="none" w:sz="0" w:space="0" w:color="auto"/>
        <w:right w:val="none" w:sz="0" w:space="0" w:color="auto"/>
      </w:divBdr>
    </w:div>
    <w:div w:id="22902933">
      <w:bodyDiv w:val="1"/>
      <w:marLeft w:val="0"/>
      <w:marRight w:val="0"/>
      <w:marTop w:val="0"/>
      <w:marBottom w:val="0"/>
      <w:divBdr>
        <w:top w:val="none" w:sz="0" w:space="0" w:color="auto"/>
        <w:left w:val="none" w:sz="0" w:space="0" w:color="auto"/>
        <w:bottom w:val="none" w:sz="0" w:space="0" w:color="auto"/>
        <w:right w:val="none" w:sz="0" w:space="0" w:color="auto"/>
      </w:divBdr>
    </w:div>
    <w:div w:id="23138572">
      <w:bodyDiv w:val="1"/>
      <w:marLeft w:val="0"/>
      <w:marRight w:val="0"/>
      <w:marTop w:val="0"/>
      <w:marBottom w:val="0"/>
      <w:divBdr>
        <w:top w:val="none" w:sz="0" w:space="0" w:color="auto"/>
        <w:left w:val="none" w:sz="0" w:space="0" w:color="auto"/>
        <w:bottom w:val="none" w:sz="0" w:space="0" w:color="auto"/>
        <w:right w:val="none" w:sz="0" w:space="0" w:color="auto"/>
      </w:divBdr>
    </w:div>
    <w:div w:id="23407100">
      <w:bodyDiv w:val="1"/>
      <w:marLeft w:val="0"/>
      <w:marRight w:val="0"/>
      <w:marTop w:val="0"/>
      <w:marBottom w:val="0"/>
      <w:divBdr>
        <w:top w:val="none" w:sz="0" w:space="0" w:color="auto"/>
        <w:left w:val="none" w:sz="0" w:space="0" w:color="auto"/>
        <w:bottom w:val="none" w:sz="0" w:space="0" w:color="auto"/>
        <w:right w:val="none" w:sz="0" w:space="0" w:color="auto"/>
      </w:divBdr>
    </w:div>
    <w:div w:id="23605178">
      <w:bodyDiv w:val="1"/>
      <w:marLeft w:val="0"/>
      <w:marRight w:val="0"/>
      <w:marTop w:val="0"/>
      <w:marBottom w:val="0"/>
      <w:divBdr>
        <w:top w:val="none" w:sz="0" w:space="0" w:color="auto"/>
        <w:left w:val="none" w:sz="0" w:space="0" w:color="auto"/>
        <w:bottom w:val="none" w:sz="0" w:space="0" w:color="auto"/>
        <w:right w:val="none" w:sz="0" w:space="0" w:color="auto"/>
      </w:divBdr>
    </w:div>
    <w:div w:id="23676300">
      <w:bodyDiv w:val="1"/>
      <w:marLeft w:val="0"/>
      <w:marRight w:val="0"/>
      <w:marTop w:val="0"/>
      <w:marBottom w:val="0"/>
      <w:divBdr>
        <w:top w:val="none" w:sz="0" w:space="0" w:color="auto"/>
        <w:left w:val="none" w:sz="0" w:space="0" w:color="auto"/>
        <w:bottom w:val="none" w:sz="0" w:space="0" w:color="auto"/>
        <w:right w:val="none" w:sz="0" w:space="0" w:color="auto"/>
      </w:divBdr>
    </w:div>
    <w:div w:id="23680355">
      <w:bodyDiv w:val="1"/>
      <w:marLeft w:val="0"/>
      <w:marRight w:val="0"/>
      <w:marTop w:val="0"/>
      <w:marBottom w:val="0"/>
      <w:divBdr>
        <w:top w:val="none" w:sz="0" w:space="0" w:color="auto"/>
        <w:left w:val="none" w:sz="0" w:space="0" w:color="auto"/>
        <w:bottom w:val="none" w:sz="0" w:space="0" w:color="auto"/>
        <w:right w:val="none" w:sz="0" w:space="0" w:color="auto"/>
      </w:divBdr>
    </w:div>
    <w:div w:id="24059408">
      <w:bodyDiv w:val="1"/>
      <w:marLeft w:val="0"/>
      <w:marRight w:val="0"/>
      <w:marTop w:val="0"/>
      <w:marBottom w:val="0"/>
      <w:divBdr>
        <w:top w:val="none" w:sz="0" w:space="0" w:color="auto"/>
        <w:left w:val="none" w:sz="0" w:space="0" w:color="auto"/>
        <w:bottom w:val="none" w:sz="0" w:space="0" w:color="auto"/>
        <w:right w:val="none" w:sz="0" w:space="0" w:color="auto"/>
      </w:divBdr>
    </w:div>
    <w:div w:id="24330143">
      <w:bodyDiv w:val="1"/>
      <w:marLeft w:val="0"/>
      <w:marRight w:val="0"/>
      <w:marTop w:val="0"/>
      <w:marBottom w:val="0"/>
      <w:divBdr>
        <w:top w:val="none" w:sz="0" w:space="0" w:color="auto"/>
        <w:left w:val="none" w:sz="0" w:space="0" w:color="auto"/>
        <w:bottom w:val="none" w:sz="0" w:space="0" w:color="auto"/>
        <w:right w:val="none" w:sz="0" w:space="0" w:color="auto"/>
      </w:divBdr>
    </w:div>
    <w:div w:id="24454416">
      <w:bodyDiv w:val="1"/>
      <w:marLeft w:val="0"/>
      <w:marRight w:val="0"/>
      <w:marTop w:val="0"/>
      <w:marBottom w:val="0"/>
      <w:divBdr>
        <w:top w:val="none" w:sz="0" w:space="0" w:color="auto"/>
        <w:left w:val="none" w:sz="0" w:space="0" w:color="auto"/>
        <w:bottom w:val="none" w:sz="0" w:space="0" w:color="auto"/>
        <w:right w:val="none" w:sz="0" w:space="0" w:color="auto"/>
      </w:divBdr>
    </w:div>
    <w:div w:id="24793930">
      <w:bodyDiv w:val="1"/>
      <w:marLeft w:val="0"/>
      <w:marRight w:val="0"/>
      <w:marTop w:val="0"/>
      <w:marBottom w:val="0"/>
      <w:divBdr>
        <w:top w:val="none" w:sz="0" w:space="0" w:color="auto"/>
        <w:left w:val="none" w:sz="0" w:space="0" w:color="auto"/>
        <w:bottom w:val="none" w:sz="0" w:space="0" w:color="auto"/>
        <w:right w:val="none" w:sz="0" w:space="0" w:color="auto"/>
      </w:divBdr>
    </w:div>
    <w:div w:id="24985535">
      <w:bodyDiv w:val="1"/>
      <w:marLeft w:val="0"/>
      <w:marRight w:val="0"/>
      <w:marTop w:val="0"/>
      <w:marBottom w:val="0"/>
      <w:divBdr>
        <w:top w:val="none" w:sz="0" w:space="0" w:color="auto"/>
        <w:left w:val="none" w:sz="0" w:space="0" w:color="auto"/>
        <w:bottom w:val="none" w:sz="0" w:space="0" w:color="auto"/>
        <w:right w:val="none" w:sz="0" w:space="0" w:color="auto"/>
      </w:divBdr>
    </w:div>
    <w:div w:id="25376264">
      <w:bodyDiv w:val="1"/>
      <w:marLeft w:val="0"/>
      <w:marRight w:val="0"/>
      <w:marTop w:val="0"/>
      <w:marBottom w:val="0"/>
      <w:divBdr>
        <w:top w:val="none" w:sz="0" w:space="0" w:color="auto"/>
        <w:left w:val="none" w:sz="0" w:space="0" w:color="auto"/>
        <w:bottom w:val="none" w:sz="0" w:space="0" w:color="auto"/>
        <w:right w:val="none" w:sz="0" w:space="0" w:color="auto"/>
      </w:divBdr>
    </w:div>
    <w:div w:id="25444556">
      <w:bodyDiv w:val="1"/>
      <w:marLeft w:val="0"/>
      <w:marRight w:val="0"/>
      <w:marTop w:val="0"/>
      <w:marBottom w:val="0"/>
      <w:divBdr>
        <w:top w:val="none" w:sz="0" w:space="0" w:color="auto"/>
        <w:left w:val="none" w:sz="0" w:space="0" w:color="auto"/>
        <w:bottom w:val="none" w:sz="0" w:space="0" w:color="auto"/>
        <w:right w:val="none" w:sz="0" w:space="0" w:color="auto"/>
      </w:divBdr>
    </w:div>
    <w:div w:id="25495941">
      <w:bodyDiv w:val="1"/>
      <w:marLeft w:val="0"/>
      <w:marRight w:val="0"/>
      <w:marTop w:val="0"/>
      <w:marBottom w:val="0"/>
      <w:divBdr>
        <w:top w:val="none" w:sz="0" w:space="0" w:color="auto"/>
        <w:left w:val="none" w:sz="0" w:space="0" w:color="auto"/>
        <w:bottom w:val="none" w:sz="0" w:space="0" w:color="auto"/>
        <w:right w:val="none" w:sz="0" w:space="0" w:color="auto"/>
      </w:divBdr>
    </w:div>
    <w:div w:id="25757731">
      <w:bodyDiv w:val="1"/>
      <w:marLeft w:val="0"/>
      <w:marRight w:val="0"/>
      <w:marTop w:val="0"/>
      <w:marBottom w:val="0"/>
      <w:divBdr>
        <w:top w:val="none" w:sz="0" w:space="0" w:color="auto"/>
        <w:left w:val="none" w:sz="0" w:space="0" w:color="auto"/>
        <w:bottom w:val="none" w:sz="0" w:space="0" w:color="auto"/>
        <w:right w:val="none" w:sz="0" w:space="0" w:color="auto"/>
      </w:divBdr>
    </w:div>
    <w:div w:id="25831994">
      <w:bodyDiv w:val="1"/>
      <w:marLeft w:val="0"/>
      <w:marRight w:val="0"/>
      <w:marTop w:val="0"/>
      <w:marBottom w:val="0"/>
      <w:divBdr>
        <w:top w:val="none" w:sz="0" w:space="0" w:color="auto"/>
        <w:left w:val="none" w:sz="0" w:space="0" w:color="auto"/>
        <w:bottom w:val="none" w:sz="0" w:space="0" w:color="auto"/>
        <w:right w:val="none" w:sz="0" w:space="0" w:color="auto"/>
      </w:divBdr>
    </w:div>
    <w:div w:id="26106688">
      <w:bodyDiv w:val="1"/>
      <w:marLeft w:val="0"/>
      <w:marRight w:val="0"/>
      <w:marTop w:val="0"/>
      <w:marBottom w:val="0"/>
      <w:divBdr>
        <w:top w:val="none" w:sz="0" w:space="0" w:color="auto"/>
        <w:left w:val="none" w:sz="0" w:space="0" w:color="auto"/>
        <w:bottom w:val="none" w:sz="0" w:space="0" w:color="auto"/>
        <w:right w:val="none" w:sz="0" w:space="0" w:color="auto"/>
      </w:divBdr>
    </w:div>
    <w:div w:id="26179675">
      <w:bodyDiv w:val="1"/>
      <w:marLeft w:val="0"/>
      <w:marRight w:val="0"/>
      <w:marTop w:val="0"/>
      <w:marBottom w:val="0"/>
      <w:divBdr>
        <w:top w:val="none" w:sz="0" w:space="0" w:color="auto"/>
        <w:left w:val="none" w:sz="0" w:space="0" w:color="auto"/>
        <w:bottom w:val="none" w:sz="0" w:space="0" w:color="auto"/>
        <w:right w:val="none" w:sz="0" w:space="0" w:color="auto"/>
      </w:divBdr>
    </w:div>
    <w:div w:id="26493885">
      <w:bodyDiv w:val="1"/>
      <w:marLeft w:val="0"/>
      <w:marRight w:val="0"/>
      <w:marTop w:val="0"/>
      <w:marBottom w:val="0"/>
      <w:divBdr>
        <w:top w:val="none" w:sz="0" w:space="0" w:color="auto"/>
        <w:left w:val="none" w:sz="0" w:space="0" w:color="auto"/>
        <w:bottom w:val="none" w:sz="0" w:space="0" w:color="auto"/>
        <w:right w:val="none" w:sz="0" w:space="0" w:color="auto"/>
      </w:divBdr>
    </w:div>
    <w:div w:id="27075564">
      <w:bodyDiv w:val="1"/>
      <w:marLeft w:val="0"/>
      <w:marRight w:val="0"/>
      <w:marTop w:val="0"/>
      <w:marBottom w:val="0"/>
      <w:divBdr>
        <w:top w:val="none" w:sz="0" w:space="0" w:color="auto"/>
        <w:left w:val="none" w:sz="0" w:space="0" w:color="auto"/>
        <w:bottom w:val="none" w:sz="0" w:space="0" w:color="auto"/>
        <w:right w:val="none" w:sz="0" w:space="0" w:color="auto"/>
      </w:divBdr>
    </w:div>
    <w:div w:id="27150058">
      <w:bodyDiv w:val="1"/>
      <w:marLeft w:val="0"/>
      <w:marRight w:val="0"/>
      <w:marTop w:val="0"/>
      <w:marBottom w:val="0"/>
      <w:divBdr>
        <w:top w:val="none" w:sz="0" w:space="0" w:color="auto"/>
        <w:left w:val="none" w:sz="0" w:space="0" w:color="auto"/>
        <w:bottom w:val="none" w:sz="0" w:space="0" w:color="auto"/>
        <w:right w:val="none" w:sz="0" w:space="0" w:color="auto"/>
      </w:divBdr>
    </w:div>
    <w:div w:id="27217476">
      <w:bodyDiv w:val="1"/>
      <w:marLeft w:val="0"/>
      <w:marRight w:val="0"/>
      <w:marTop w:val="0"/>
      <w:marBottom w:val="0"/>
      <w:divBdr>
        <w:top w:val="none" w:sz="0" w:space="0" w:color="auto"/>
        <w:left w:val="none" w:sz="0" w:space="0" w:color="auto"/>
        <w:bottom w:val="none" w:sz="0" w:space="0" w:color="auto"/>
        <w:right w:val="none" w:sz="0" w:space="0" w:color="auto"/>
      </w:divBdr>
    </w:div>
    <w:div w:id="28267660">
      <w:bodyDiv w:val="1"/>
      <w:marLeft w:val="0"/>
      <w:marRight w:val="0"/>
      <w:marTop w:val="0"/>
      <w:marBottom w:val="0"/>
      <w:divBdr>
        <w:top w:val="none" w:sz="0" w:space="0" w:color="auto"/>
        <w:left w:val="none" w:sz="0" w:space="0" w:color="auto"/>
        <w:bottom w:val="none" w:sz="0" w:space="0" w:color="auto"/>
        <w:right w:val="none" w:sz="0" w:space="0" w:color="auto"/>
      </w:divBdr>
    </w:div>
    <w:div w:id="28650515">
      <w:bodyDiv w:val="1"/>
      <w:marLeft w:val="0"/>
      <w:marRight w:val="0"/>
      <w:marTop w:val="0"/>
      <w:marBottom w:val="0"/>
      <w:divBdr>
        <w:top w:val="none" w:sz="0" w:space="0" w:color="auto"/>
        <w:left w:val="none" w:sz="0" w:space="0" w:color="auto"/>
        <w:bottom w:val="none" w:sz="0" w:space="0" w:color="auto"/>
        <w:right w:val="none" w:sz="0" w:space="0" w:color="auto"/>
      </w:divBdr>
    </w:div>
    <w:div w:id="28651929">
      <w:bodyDiv w:val="1"/>
      <w:marLeft w:val="0"/>
      <w:marRight w:val="0"/>
      <w:marTop w:val="0"/>
      <w:marBottom w:val="0"/>
      <w:divBdr>
        <w:top w:val="none" w:sz="0" w:space="0" w:color="auto"/>
        <w:left w:val="none" w:sz="0" w:space="0" w:color="auto"/>
        <w:bottom w:val="none" w:sz="0" w:space="0" w:color="auto"/>
        <w:right w:val="none" w:sz="0" w:space="0" w:color="auto"/>
      </w:divBdr>
    </w:div>
    <w:div w:id="28917802">
      <w:bodyDiv w:val="1"/>
      <w:marLeft w:val="0"/>
      <w:marRight w:val="0"/>
      <w:marTop w:val="0"/>
      <w:marBottom w:val="0"/>
      <w:divBdr>
        <w:top w:val="none" w:sz="0" w:space="0" w:color="auto"/>
        <w:left w:val="none" w:sz="0" w:space="0" w:color="auto"/>
        <w:bottom w:val="none" w:sz="0" w:space="0" w:color="auto"/>
        <w:right w:val="none" w:sz="0" w:space="0" w:color="auto"/>
      </w:divBdr>
    </w:div>
    <w:div w:id="28992054">
      <w:bodyDiv w:val="1"/>
      <w:marLeft w:val="0"/>
      <w:marRight w:val="0"/>
      <w:marTop w:val="0"/>
      <w:marBottom w:val="0"/>
      <w:divBdr>
        <w:top w:val="none" w:sz="0" w:space="0" w:color="auto"/>
        <w:left w:val="none" w:sz="0" w:space="0" w:color="auto"/>
        <w:bottom w:val="none" w:sz="0" w:space="0" w:color="auto"/>
        <w:right w:val="none" w:sz="0" w:space="0" w:color="auto"/>
      </w:divBdr>
    </w:div>
    <w:div w:id="29114399">
      <w:bodyDiv w:val="1"/>
      <w:marLeft w:val="0"/>
      <w:marRight w:val="0"/>
      <w:marTop w:val="0"/>
      <w:marBottom w:val="0"/>
      <w:divBdr>
        <w:top w:val="none" w:sz="0" w:space="0" w:color="auto"/>
        <w:left w:val="none" w:sz="0" w:space="0" w:color="auto"/>
        <w:bottom w:val="none" w:sz="0" w:space="0" w:color="auto"/>
        <w:right w:val="none" w:sz="0" w:space="0" w:color="auto"/>
      </w:divBdr>
    </w:div>
    <w:div w:id="29258541">
      <w:bodyDiv w:val="1"/>
      <w:marLeft w:val="0"/>
      <w:marRight w:val="0"/>
      <w:marTop w:val="0"/>
      <w:marBottom w:val="0"/>
      <w:divBdr>
        <w:top w:val="none" w:sz="0" w:space="0" w:color="auto"/>
        <w:left w:val="none" w:sz="0" w:space="0" w:color="auto"/>
        <w:bottom w:val="none" w:sz="0" w:space="0" w:color="auto"/>
        <w:right w:val="none" w:sz="0" w:space="0" w:color="auto"/>
      </w:divBdr>
    </w:div>
    <w:div w:id="29303936">
      <w:bodyDiv w:val="1"/>
      <w:marLeft w:val="0"/>
      <w:marRight w:val="0"/>
      <w:marTop w:val="0"/>
      <w:marBottom w:val="0"/>
      <w:divBdr>
        <w:top w:val="none" w:sz="0" w:space="0" w:color="auto"/>
        <w:left w:val="none" w:sz="0" w:space="0" w:color="auto"/>
        <w:bottom w:val="none" w:sz="0" w:space="0" w:color="auto"/>
        <w:right w:val="none" w:sz="0" w:space="0" w:color="auto"/>
      </w:divBdr>
    </w:div>
    <w:div w:id="29889949">
      <w:bodyDiv w:val="1"/>
      <w:marLeft w:val="0"/>
      <w:marRight w:val="0"/>
      <w:marTop w:val="0"/>
      <w:marBottom w:val="0"/>
      <w:divBdr>
        <w:top w:val="none" w:sz="0" w:space="0" w:color="auto"/>
        <w:left w:val="none" w:sz="0" w:space="0" w:color="auto"/>
        <w:bottom w:val="none" w:sz="0" w:space="0" w:color="auto"/>
        <w:right w:val="none" w:sz="0" w:space="0" w:color="auto"/>
      </w:divBdr>
    </w:div>
    <w:div w:id="29915621">
      <w:bodyDiv w:val="1"/>
      <w:marLeft w:val="0"/>
      <w:marRight w:val="0"/>
      <w:marTop w:val="0"/>
      <w:marBottom w:val="0"/>
      <w:divBdr>
        <w:top w:val="none" w:sz="0" w:space="0" w:color="auto"/>
        <w:left w:val="none" w:sz="0" w:space="0" w:color="auto"/>
        <w:bottom w:val="none" w:sz="0" w:space="0" w:color="auto"/>
        <w:right w:val="none" w:sz="0" w:space="0" w:color="auto"/>
      </w:divBdr>
    </w:div>
    <w:div w:id="30107142">
      <w:bodyDiv w:val="1"/>
      <w:marLeft w:val="0"/>
      <w:marRight w:val="0"/>
      <w:marTop w:val="0"/>
      <w:marBottom w:val="0"/>
      <w:divBdr>
        <w:top w:val="none" w:sz="0" w:space="0" w:color="auto"/>
        <w:left w:val="none" w:sz="0" w:space="0" w:color="auto"/>
        <w:bottom w:val="none" w:sz="0" w:space="0" w:color="auto"/>
        <w:right w:val="none" w:sz="0" w:space="0" w:color="auto"/>
      </w:divBdr>
    </w:div>
    <w:div w:id="30541585">
      <w:bodyDiv w:val="1"/>
      <w:marLeft w:val="0"/>
      <w:marRight w:val="0"/>
      <w:marTop w:val="0"/>
      <w:marBottom w:val="0"/>
      <w:divBdr>
        <w:top w:val="none" w:sz="0" w:space="0" w:color="auto"/>
        <w:left w:val="none" w:sz="0" w:space="0" w:color="auto"/>
        <w:bottom w:val="none" w:sz="0" w:space="0" w:color="auto"/>
        <w:right w:val="none" w:sz="0" w:space="0" w:color="auto"/>
      </w:divBdr>
    </w:div>
    <w:div w:id="30611974">
      <w:bodyDiv w:val="1"/>
      <w:marLeft w:val="0"/>
      <w:marRight w:val="0"/>
      <w:marTop w:val="0"/>
      <w:marBottom w:val="0"/>
      <w:divBdr>
        <w:top w:val="none" w:sz="0" w:space="0" w:color="auto"/>
        <w:left w:val="none" w:sz="0" w:space="0" w:color="auto"/>
        <w:bottom w:val="none" w:sz="0" w:space="0" w:color="auto"/>
        <w:right w:val="none" w:sz="0" w:space="0" w:color="auto"/>
      </w:divBdr>
    </w:div>
    <w:div w:id="30690293">
      <w:bodyDiv w:val="1"/>
      <w:marLeft w:val="0"/>
      <w:marRight w:val="0"/>
      <w:marTop w:val="0"/>
      <w:marBottom w:val="0"/>
      <w:divBdr>
        <w:top w:val="none" w:sz="0" w:space="0" w:color="auto"/>
        <w:left w:val="none" w:sz="0" w:space="0" w:color="auto"/>
        <w:bottom w:val="none" w:sz="0" w:space="0" w:color="auto"/>
        <w:right w:val="none" w:sz="0" w:space="0" w:color="auto"/>
      </w:divBdr>
    </w:div>
    <w:div w:id="30810480">
      <w:bodyDiv w:val="1"/>
      <w:marLeft w:val="0"/>
      <w:marRight w:val="0"/>
      <w:marTop w:val="0"/>
      <w:marBottom w:val="0"/>
      <w:divBdr>
        <w:top w:val="none" w:sz="0" w:space="0" w:color="auto"/>
        <w:left w:val="none" w:sz="0" w:space="0" w:color="auto"/>
        <w:bottom w:val="none" w:sz="0" w:space="0" w:color="auto"/>
        <w:right w:val="none" w:sz="0" w:space="0" w:color="auto"/>
      </w:divBdr>
    </w:div>
    <w:div w:id="30812426">
      <w:bodyDiv w:val="1"/>
      <w:marLeft w:val="0"/>
      <w:marRight w:val="0"/>
      <w:marTop w:val="0"/>
      <w:marBottom w:val="0"/>
      <w:divBdr>
        <w:top w:val="none" w:sz="0" w:space="0" w:color="auto"/>
        <w:left w:val="none" w:sz="0" w:space="0" w:color="auto"/>
        <w:bottom w:val="none" w:sz="0" w:space="0" w:color="auto"/>
        <w:right w:val="none" w:sz="0" w:space="0" w:color="auto"/>
      </w:divBdr>
    </w:div>
    <w:div w:id="30812545">
      <w:bodyDiv w:val="1"/>
      <w:marLeft w:val="0"/>
      <w:marRight w:val="0"/>
      <w:marTop w:val="0"/>
      <w:marBottom w:val="0"/>
      <w:divBdr>
        <w:top w:val="none" w:sz="0" w:space="0" w:color="auto"/>
        <w:left w:val="none" w:sz="0" w:space="0" w:color="auto"/>
        <w:bottom w:val="none" w:sz="0" w:space="0" w:color="auto"/>
        <w:right w:val="none" w:sz="0" w:space="0" w:color="auto"/>
      </w:divBdr>
    </w:div>
    <w:div w:id="31081143">
      <w:bodyDiv w:val="1"/>
      <w:marLeft w:val="0"/>
      <w:marRight w:val="0"/>
      <w:marTop w:val="0"/>
      <w:marBottom w:val="0"/>
      <w:divBdr>
        <w:top w:val="none" w:sz="0" w:space="0" w:color="auto"/>
        <w:left w:val="none" w:sz="0" w:space="0" w:color="auto"/>
        <w:bottom w:val="none" w:sz="0" w:space="0" w:color="auto"/>
        <w:right w:val="none" w:sz="0" w:space="0" w:color="auto"/>
      </w:divBdr>
    </w:div>
    <w:div w:id="31424053">
      <w:bodyDiv w:val="1"/>
      <w:marLeft w:val="0"/>
      <w:marRight w:val="0"/>
      <w:marTop w:val="0"/>
      <w:marBottom w:val="0"/>
      <w:divBdr>
        <w:top w:val="none" w:sz="0" w:space="0" w:color="auto"/>
        <w:left w:val="none" w:sz="0" w:space="0" w:color="auto"/>
        <w:bottom w:val="none" w:sz="0" w:space="0" w:color="auto"/>
        <w:right w:val="none" w:sz="0" w:space="0" w:color="auto"/>
      </w:divBdr>
    </w:div>
    <w:div w:id="31538576">
      <w:bodyDiv w:val="1"/>
      <w:marLeft w:val="0"/>
      <w:marRight w:val="0"/>
      <w:marTop w:val="0"/>
      <w:marBottom w:val="0"/>
      <w:divBdr>
        <w:top w:val="none" w:sz="0" w:space="0" w:color="auto"/>
        <w:left w:val="none" w:sz="0" w:space="0" w:color="auto"/>
        <w:bottom w:val="none" w:sz="0" w:space="0" w:color="auto"/>
        <w:right w:val="none" w:sz="0" w:space="0" w:color="auto"/>
      </w:divBdr>
    </w:div>
    <w:div w:id="31733941">
      <w:bodyDiv w:val="1"/>
      <w:marLeft w:val="0"/>
      <w:marRight w:val="0"/>
      <w:marTop w:val="0"/>
      <w:marBottom w:val="0"/>
      <w:divBdr>
        <w:top w:val="none" w:sz="0" w:space="0" w:color="auto"/>
        <w:left w:val="none" w:sz="0" w:space="0" w:color="auto"/>
        <w:bottom w:val="none" w:sz="0" w:space="0" w:color="auto"/>
        <w:right w:val="none" w:sz="0" w:space="0" w:color="auto"/>
      </w:divBdr>
    </w:div>
    <w:div w:id="31734039">
      <w:bodyDiv w:val="1"/>
      <w:marLeft w:val="0"/>
      <w:marRight w:val="0"/>
      <w:marTop w:val="0"/>
      <w:marBottom w:val="0"/>
      <w:divBdr>
        <w:top w:val="none" w:sz="0" w:space="0" w:color="auto"/>
        <w:left w:val="none" w:sz="0" w:space="0" w:color="auto"/>
        <w:bottom w:val="none" w:sz="0" w:space="0" w:color="auto"/>
        <w:right w:val="none" w:sz="0" w:space="0" w:color="auto"/>
      </w:divBdr>
    </w:div>
    <w:div w:id="31927072">
      <w:bodyDiv w:val="1"/>
      <w:marLeft w:val="0"/>
      <w:marRight w:val="0"/>
      <w:marTop w:val="0"/>
      <w:marBottom w:val="0"/>
      <w:divBdr>
        <w:top w:val="none" w:sz="0" w:space="0" w:color="auto"/>
        <w:left w:val="none" w:sz="0" w:space="0" w:color="auto"/>
        <w:bottom w:val="none" w:sz="0" w:space="0" w:color="auto"/>
        <w:right w:val="none" w:sz="0" w:space="0" w:color="auto"/>
      </w:divBdr>
    </w:div>
    <w:div w:id="31931158">
      <w:bodyDiv w:val="1"/>
      <w:marLeft w:val="0"/>
      <w:marRight w:val="0"/>
      <w:marTop w:val="0"/>
      <w:marBottom w:val="0"/>
      <w:divBdr>
        <w:top w:val="none" w:sz="0" w:space="0" w:color="auto"/>
        <w:left w:val="none" w:sz="0" w:space="0" w:color="auto"/>
        <w:bottom w:val="none" w:sz="0" w:space="0" w:color="auto"/>
        <w:right w:val="none" w:sz="0" w:space="0" w:color="auto"/>
      </w:divBdr>
    </w:div>
    <w:div w:id="32117355">
      <w:bodyDiv w:val="1"/>
      <w:marLeft w:val="0"/>
      <w:marRight w:val="0"/>
      <w:marTop w:val="0"/>
      <w:marBottom w:val="0"/>
      <w:divBdr>
        <w:top w:val="none" w:sz="0" w:space="0" w:color="auto"/>
        <w:left w:val="none" w:sz="0" w:space="0" w:color="auto"/>
        <w:bottom w:val="none" w:sz="0" w:space="0" w:color="auto"/>
        <w:right w:val="none" w:sz="0" w:space="0" w:color="auto"/>
      </w:divBdr>
    </w:div>
    <w:div w:id="32310570">
      <w:bodyDiv w:val="1"/>
      <w:marLeft w:val="0"/>
      <w:marRight w:val="0"/>
      <w:marTop w:val="0"/>
      <w:marBottom w:val="0"/>
      <w:divBdr>
        <w:top w:val="none" w:sz="0" w:space="0" w:color="auto"/>
        <w:left w:val="none" w:sz="0" w:space="0" w:color="auto"/>
        <w:bottom w:val="none" w:sz="0" w:space="0" w:color="auto"/>
        <w:right w:val="none" w:sz="0" w:space="0" w:color="auto"/>
      </w:divBdr>
    </w:div>
    <w:div w:id="32313514">
      <w:bodyDiv w:val="1"/>
      <w:marLeft w:val="0"/>
      <w:marRight w:val="0"/>
      <w:marTop w:val="0"/>
      <w:marBottom w:val="0"/>
      <w:divBdr>
        <w:top w:val="none" w:sz="0" w:space="0" w:color="auto"/>
        <w:left w:val="none" w:sz="0" w:space="0" w:color="auto"/>
        <w:bottom w:val="none" w:sz="0" w:space="0" w:color="auto"/>
        <w:right w:val="none" w:sz="0" w:space="0" w:color="auto"/>
      </w:divBdr>
    </w:div>
    <w:div w:id="32464289">
      <w:bodyDiv w:val="1"/>
      <w:marLeft w:val="0"/>
      <w:marRight w:val="0"/>
      <w:marTop w:val="0"/>
      <w:marBottom w:val="0"/>
      <w:divBdr>
        <w:top w:val="none" w:sz="0" w:space="0" w:color="auto"/>
        <w:left w:val="none" w:sz="0" w:space="0" w:color="auto"/>
        <w:bottom w:val="none" w:sz="0" w:space="0" w:color="auto"/>
        <w:right w:val="none" w:sz="0" w:space="0" w:color="auto"/>
      </w:divBdr>
    </w:div>
    <w:div w:id="32661220">
      <w:bodyDiv w:val="1"/>
      <w:marLeft w:val="0"/>
      <w:marRight w:val="0"/>
      <w:marTop w:val="0"/>
      <w:marBottom w:val="0"/>
      <w:divBdr>
        <w:top w:val="none" w:sz="0" w:space="0" w:color="auto"/>
        <w:left w:val="none" w:sz="0" w:space="0" w:color="auto"/>
        <w:bottom w:val="none" w:sz="0" w:space="0" w:color="auto"/>
        <w:right w:val="none" w:sz="0" w:space="0" w:color="auto"/>
      </w:divBdr>
    </w:div>
    <w:div w:id="32728439">
      <w:bodyDiv w:val="1"/>
      <w:marLeft w:val="0"/>
      <w:marRight w:val="0"/>
      <w:marTop w:val="0"/>
      <w:marBottom w:val="0"/>
      <w:divBdr>
        <w:top w:val="none" w:sz="0" w:space="0" w:color="auto"/>
        <w:left w:val="none" w:sz="0" w:space="0" w:color="auto"/>
        <w:bottom w:val="none" w:sz="0" w:space="0" w:color="auto"/>
        <w:right w:val="none" w:sz="0" w:space="0" w:color="auto"/>
      </w:divBdr>
    </w:div>
    <w:div w:id="32778773">
      <w:bodyDiv w:val="1"/>
      <w:marLeft w:val="0"/>
      <w:marRight w:val="0"/>
      <w:marTop w:val="0"/>
      <w:marBottom w:val="0"/>
      <w:divBdr>
        <w:top w:val="none" w:sz="0" w:space="0" w:color="auto"/>
        <w:left w:val="none" w:sz="0" w:space="0" w:color="auto"/>
        <w:bottom w:val="none" w:sz="0" w:space="0" w:color="auto"/>
        <w:right w:val="none" w:sz="0" w:space="0" w:color="auto"/>
      </w:divBdr>
    </w:div>
    <w:div w:id="33117208">
      <w:bodyDiv w:val="1"/>
      <w:marLeft w:val="0"/>
      <w:marRight w:val="0"/>
      <w:marTop w:val="0"/>
      <w:marBottom w:val="0"/>
      <w:divBdr>
        <w:top w:val="none" w:sz="0" w:space="0" w:color="auto"/>
        <w:left w:val="none" w:sz="0" w:space="0" w:color="auto"/>
        <w:bottom w:val="none" w:sz="0" w:space="0" w:color="auto"/>
        <w:right w:val="none" w:sz="0" w:space="0" w:color="auto"/>
      </w:divBdr>
    </w:div>
    <w:div w:id="33235173">
      <w:bodyDiv w:val="1"/>
      <w:marLeft w:val="0"/>
      <w:marRight w:val="0"/>
      <w:marTop w:val="0"/>
      <w:marBottom w:val="0"/>
      <w:divBdr>
        <w:top w:val="none" w:sz="0" w:space="0" w:color="auto"/>
        <w:left w:val="none" w:sz="0" w:space="0" w:color="auto"/>
        <w:bottom w:val="none" w:sz="0" w:space="0" w:color="auto"/>
        <w:right w:val="none" w:sz="0" w:space="0" w:color="auto"/>
      </w:divBdr>
    </w:div>
    <w:div w:id="33241613">
      <w:bodyDiv w:val="1"/>
      <w:marLeft w:val="0"/>
      <w:marRight w:val="0"/>
      <w:marTop w:val="0"/>
      <w:marBottom w:val="0"/>
      <w:divBdr>
        <w:top w:val="none" w:sz="0" w:space="0" w:color="auto"/>
        <w:left w:val="none" w:sz="0" w:space="0" w:color="auto"/>
        <w:bottom w:val="none" w:sz="0" w:space="0" w:color="auto"/>
        <w:right w:val="none" w:sz="0" w:space="0" w:color="auto"/>
      </w:divBdr>
    </w:div>
    <w:div w:id="33501376">
      <w:bodyDiv w:val="1"/>
      <w:marLeft w:val="0"/>
      <w:marRight w:val="0"/>
      <w:marTop w:val="0"/>
      <w:marBottom w:val="0"/>
      <w:divBdr>
        <w:top w:val="none" w:sz="0" w:space="0" w:color="auto"/>
        <w:left w:val="none" w:sz="0" w:space="0" w:color="auto"/>
        <w:bottom w:val="none" w:sz="0" w:space="0" w:color="auto"/>
        <w:right w:val="none" w:sz="0" w:space="0" w:color="auto"/>
      </w:divBdr>
    </w:div>
    <w:div w:id="33506116">
      <w:bodyDiv w:val="1"/>
      <w:marLeft w:val="0"/>
      <w:marRight w:val="0"/>
      <w:marTop w:val="0"/>
      <w:marBottom w:val="0"/>
      <w:divBdr>
        <w:top w:val="none" w:sz="0" w:space="0" w:color="auto"/>
        <w:left w:val="none" w:sz="0" w:space="0" w:color="auto"/>
        <w:bottom w:val="none" w:sz="0" w:space="0" w:color="auto"/>
        <w:right w:val="none" w:sz="0" w:space="0" w:color="auto"/>
      </w:divBdr>
    </w:div>
    <w:div w:id="33507402">
      <w:bodyDiv w:val="1"/>
      <w:marLeft w:val="0"/>
      <w:marRight w:val="0"/>
      <w:marTop w:val="0"/>
      <w:marBottom w:val="0"/>
      <w:divBdr>
        <w:top w:val="none" w:sz="0" w:space="0" w:color="auto"/>
        <w:left w:val="none" w:sz="0" w:space="0" w:color="auto"/>
        <w:bottom w:val="none" w:sz="0" w:space="0" w:color="auto"/>
        <w:right w:val="none" w:sz="0" w:space="0" w:color="auto"/>
      </w:divBdr>
    </w:div>
    <w:div w:id="33847199">
      <w:bodyDiv w:val="1"/>
      <w:marLeft w:val="0"/>
      <w:marRight w:val="0"/>
      <w:marTop w:val="0"/>
      <w:marBottom w:val="0"/>
      <w:divBdr>
        <w:top w:val="none" w:sz="0" w:space="0" w:color="auto"/>
        <w:left w:val="none" w:sz="0" w:space="0" w:color="auto"/>
        <w:bottom w:val="none" w:sz="0" w:space="0" w:color="auto"/>
        <w:right w:val="none" w:sz="0" w:space="0" w:color="auto"/>
      </w:divBdr>
    </w:div>
    <w:div w:id="34089940">
      <w:bodyDiv w:val="1"/>
      <w:marLeft w:val="0"/>
      <w:marRight w:val="0"/>
      <w:marTop w:val="0"/>
      <w:marBottom w:val="0"/>
      <w:divBdr>
        <w:top w:val="none" w:sz="0" w:space="0" w:color="auto"/>
        <w:left w:val="none" w:sz="0" w:space="0" w:color="auto"/>
        <w:bottom w:val="none" w:sz="0" w:space="0" w:color="auto"/>
        <w:right w:val="none" w:sz="0" w:space="0" w:color="auto"/>
      </w:divBdr>
    </w:div>
    <w:div w:id="34234113">
      <w:bodyDiv w:val="1"/>
      <w:marLeft w:val="0"/>
      <w:marRight w:val="0"/>
      <w:marTop w:val="0"/>
      <w:marBottom w:val="0"/>
      <w:divBdr>
        <w:top w:val="none" w:sz="0" w:space="0" w:color="auto"/>
        <w:left w:val="none" w:sz="0" w:space="0" w:color="auto"/>
        <w:bottom w:val="none" w:sz="0" w:space="0" w:color="auto"/>
        <w:right w:val="none" w:sz="0" w:space="0" w:color="auto"/>
      </w:divBdr>
    </w:div>
    <w:div w:id="34354178">
      <w:bodyDiv w:val="1"/>
      <w:marLeft w:val="0"/>
      <w:marRight w:val="0"/>
      <w:marTop w:val="0"/>
      <w:marBottom w:val="0"/>
      <w:divBdr>
        <w:top w:val="none" w:sz="0" w:space="0" w:color="auto"/>
        <w:left w:val="none" w:sz="0" w:space="0" w:color="auto"/>
        <w:bottom w:val="none" w:sz="0" w:space="0" w:color="auto"/>
        <w:right w:val="none" w:sz="0" w:space="0" w:color="auto"/>
      </w:divBdr>
    </w:div>
    <w:div w:id="34818521">
      <w:bodyDiv w:val="1"/>
      <w:marLeft w:val="0"/>
      <w:marRight w:val="0"/>
      <w:marTop w:val="0"/>
      <w:marBottom w:val="0"/>
      <w:divBdr>
        <w:top w:val="none" w:sz="0" w:space="0" w:color="auto"/>
        <w:left w:val="none" w:sz="0" w:space="0" w:color="auto"/>
        <w:bottom w:val="none" w:sz="0" w:space="0" w:color="auto"/>
        <w:right w:val="none" w:sz="0" w:space="0" w:color="auto"/>
      </w:divBdr>
    </w:div>
    <w:div w:id="34819136">
      <w:bodyDiv w:val="1"/>
      <w:marLeft w:val="0"/>
      <w:marRight w:val="0"/>
      <w:marTop w:val="0"/>
      <w:marBottom w:val="0"/>
      <w:divBdr>
        <w:top w:val="none" w:sz="0" w:space="0" w:color="auto"/>
        <w:left w:val="none" w:sz="0" w:space="0" w:color="auto"/>
        <w:bottom w:val="none" w:sz="0" w:space="0" w:color="auto"/>
        <w:right w:val="none" w:sz="0" w:space="0" w:color="auto"/>
      </w:divBdr>
    </w:div>
    <w:div w:id="34934523">
      <w:bodyDiv w:val="1"/>
      <w:marLeft w:val="0"/>
      <w:marRight w:val="0"/>
      <w:marTop w:val="0"/>
      <w:marBottom w:val="0"/>
      <w:divBdr>
        <w:top w:val="none" w:sz="0" w:space="0" w:color="auto"/>
        <w:left w:val="none" w:sz="0" w:space="0" w:color="auto"/>
        <w:bottom w:val="none" w:sz="0" w:space="0" w:color="auto"/>
        <w:right w:val="none" w:sz="0" w:space="0" w:color="auto"/>
      </w:divBdr>
    </w:div>
    <w:div w:id="34938204">
      <w:bodyDiv w:val="1"/>
      <w:marLeft w:val="0"/>
      <w:marRight w:val="0"/>
      <w:marTop w:val="0"/>
      <w:marBottom w:val="0"/>
      <w:divBdr>
        <w:top w:val="none" w:sz="0" w:space="0" w:color="auto"/>
        <w:left w:val="none" w:sz="0" w:space="0" w:color="auto"/>
        <w:bottom w:val="none" w:sz="0" w:space="0" w:color="auto"/>
        <w:right w:val="none" w:sz="0" w:space="0" w:color="auto"/>
      </w:divBdr>
    </w:div>
    <w:div w:id="34962591">
      <w:bodyDiv w:val="1"/>
      <w:marLeft w:val="0"/>
      <w:marRight w:val="0"/>
      <w:marTop w:val="0"/>
      <w:marBottom w:val="0"/>
      <w:divBdr>
        <w:top w:val="none" w:sz="0" w:space="0" w:color="auto"/>
        <w:left w:val="none" w:sz="0" w:space="0" w:color="auto"/>
        <w:bottom w:val="none" w:sz="0" w:space="0" w:color="auto"/>
        <w:right w:val="none" w:sz="0" w:space="0" w:color="auto"/>
      </w:divBdr>
    </w:div>
    <w:div w:id="35352811">
      <w:bodyDiv w:val="1"/>
      <w:marLeft w:val="0"/>
      <w:marRight w:val="0"/>
      <w:marTop w:val="0"/>
      <w:marBottom w:val="0"/>
      <w:divBdr>
        <w:top w:val="none" w:sz="0" w:space="0" w:color="auto"/>
        <w:left w:val="none" w:sz="0" w:space="0" w:color="auto"/>
        <w:bottom w:val="none" w:sz="0" w:space="0" w:color="auto"/>
        <w:right w:val="none" w:sz="0" w:space="0" w:color="auto"/>
      </w:divBdr>
    </w:div>
    <w:div w:id="35586766">
      <w:bodyDiv w:val="1"/>
      <w:marLeft w:val="0"/>
      <w:marRight w:val="0"/>
      <w:marTop w:val="0"/>
      <w:marBottom w:val="0"/>
      <w:divBdr>
        <w:top w:val="none" w:sz="0" w:space="0" w:color="auto"/>
        <w:left w:val="none" w:sz="0" w:space="0" w:color="auto"/>
        <w:bottom w:val="none" w:sz="0" w:space="0" w:color="auto"/>
        <w:right w:val="none" w:sz="0" w:space="0" w:color="auto"/>
      </w:divBdr>
    </w:div>
    <w:div w:id="35862573">
      <w:bodyDiv w:val="1"/>
      <w:marLeft w:val="0"/>
      <w:marRight w:val="0"/>
      <w:marTop w:val="0"/>
      <w:marBottom w:val="0"/>
      <w:divBdr>
        <w:top w:val="none" w:sz="0" w:space="0" w:color="auto"/>
        <w:left w:val="none" w:sz="0" w:space="0" w:color="auto"/>
        <w:bottom w:val="none" w:sz="0" w:space="0" w:color="auto"/>
        <w:right w:val="none" w:sz="0" w:space="0" w:color="auto"/>
      </w:divBdr>
    </w:div>
    <w:div w:id="36200541">
      <w:bodyDiv w:val="1"/>
      <w:marLeft w:val="0"/>
      <w:marRight w:val="0"/>
      <w:marTop w:val="0"/>
      <w:marBottom w:val="0"/>
      <w:divBdr>
        <w:top w:val="none" w:sz="0" w:space="0" w:color="auto"/>
        <w:left w:val="none" w:sz="0" w:space="0" w:color="auto"/>
        <w:bottom w:val="none" w:sz="0" w:space="0" w:color="auto"/>
        <w:right w:val="none" w:sz="0" w:space="0" w:color="auto"/>
      </w:divBdr>
    </w:div>
    <w:div w:id="36324384">
      <w:bodyDiv w:val="1"/>
      <w:marLeft w:val="0"/>
      <w:marRight w:val="0"/>
      <w:marTop w:val="0"/>
      <w:marBottom w:val="0"/>
      <w:divBdr>
        <w:top w:val="none" w:sz="0" w:space="0" w:color="auto"/>
        <w:left w:val="none" w:sz="0" w:space="0" w:color="auto"/>
        <w:bottom w:val="none" w:sz="0" w:space="0" w:color="auto"/>
        <w:right w:val="none" w:sz="0" w:space="0" w:color="auto"/>
      </w:divBdr>
    </w:div>
    <w:div w:id="36467186">
      <w:bodyDiv w:val="1"/>
      <w:marLeft w:val="0"/>
      <w:marRight w:val="0"/>
      <w:marTop w:val="0"/>
      <w:marBottom w:val="0"/>
      <w:divBdr>
        <w:top w:val="none" w:sz="0" w:space="0" w:color="auto"/>
        <w:left w:val="none" w:sz="0" w:space="0" w:color="auto"/>
        <w:bottom w:val="none" w:sz="0" w:space="0" w:color="auto"/>
        <w:right w:val="none" w:sz="0" w:space="0" w:color="auto"/>
      </w:divBdr>
    </w:div>
    <w:div w:id="36588522">
      <w:bodyDiv w:val="1"/>
      <w:marLeft w:val="0"/>
      <w:marRight w:val="0"/>
      <w:marTop w:val="0"/>
      <w:marBottom w:val="0"/>
      <w:divBdr>
        <w:top w:val="none" w:sz="0" w:space="0" w:color="auto"/>
        <w:left w:val="none" w:sz="0" w:space="0" w:color="auto"/>
        <w:bottom w:val="none" w:sz="0" w:space="0" w:color="auto"/>
        <w:right w:val="none" w:sz="0" w:space="0" w:color="auto"/>
      </w:divBdr>
    </w:div>
    <w:div w:id="36659674">
      <w:bodyDiv w:val="1"/>
      <w:marLeft w:val="0"/>
      <w:marRight w:val="0"/>
      <w:marTop w:val="0"/>
      <w:marBottom w:val="0"/>
      <w:divBdr>
        <w:top w:val="none" w:sz="0" w:space="0" w:color="auto"/>
        <w:left w:val="none" w:sz="0" w:space="0" w:color="auto"/>
        <w:bottom w:val="none" w:sz="0" w:space="0" w:color="auto"/>
        <w:right w:val="none" w:sz="0" w:space="0" w:color="auto"/>
      </w:divBdr>
    </w:div>
    <w:div w:id="36858744">
      <w:bodyDiv w:val="1"/>
      <w:marLeft w:val="0"/>
      <w:marRight w:val="0"/>
      <w:marTop w:val="0"/>
      <w:marBottom w:val="0"/>
      <w:divBdr>
        <w:top w:val="none" w:sz="0" w:space="0" w:color="auto"/>
        <w:left w:val="none" w:sz="0" w:space="0" w:color="auto"/>
        <w:bottom w:val="none" w:sz="0" w:space="0" w:color="auto"/>
        <w:right w:val="none" w:sz="0" w:space="0" w:color="auto"/>
      </w:divBdr>
    </w:div>
    <w:div w:id="36904635">
      <w:bodyDiv w:val="1"/>
      <w:marLeft w:val="0"/>
      <w:marRight w:val="0"/>
      <w:marTop w:val="0"/>
      <w:marBottom w:val="0"/>
      <w:divBdr>
        <w:top w:val="none" w:sz="0" w:space="0" w:color="auto"/>
        <w:left w:val="none" w:sz="0" w:space="0" w:color="auto"/>
        <w:bottom w:val="none" w:sz="0" w:space="0" w:color="auto"/>
        <w:right w:val="none" w:sz="0" w:space="0" w:color="auto"/>
      </w:divBdr>
    </w:div>
    <w:div w:id="37098161">
      <w:bodyDiv w:val="1"/>
      <w:marLeft w:val="0"/>
      <w:marRight w:val="0"/>
      <w:marTop w:val="0"/>
      <w:marBottom w:val="0"/>
      <w:divBdr>
        <w:top w:val="none" w:sz="0" w:space="0" w:color="auto"/>
        <w:left w:val="none" w:sz="0" w:space="0" w:color="auto"/>
        <w:bottom w:val="none" w:sz="0" w:space="0" w:color="auto"/>
        <w:right w:val="none" w:sz="0" w:space="0" w:color="auto"/>
      </w:divBdr>
    </w:div>
    <w:div w:id="37165058">
      <w:bodyDiv w:val="1"/>
      <w:marLeft w:val="0"/>
      <w:marRight w:val="0"/>
      <w:marTop w:val="0"/>
      <w:marBottom w:val="0"/>
      <w:divBdr>
        <w:top w:val="none" w:sz="0" w:space="0" w:color="auto"/>
        <w:left w:val="none" w:sz="0" w:space="0" w:color="auto"/>
        <w:bottom w:val="none" w:sz="0" w:space="0" w:color="auto"/>
        <w:right w:val="none" w:sz="0" w:space="0" w:color="auto"/>
      </w:divBdr>
      <w:divsChild>
        <w:div w:id="1773625607">
          <w:marLeft w:val="0"/>
          <w:marRight w:val="0"/>
          <w:marTop w:val="0"/>
          <w:marBottom w:val="0"/>
          <w:divBdr>
            <w:top w:val="none" w:sz="0" w:space="0" w:color="auto"/>
            <w:left w:val="none" w:sz="0" w:space="0" w:color="auto"/>
            <w:bottom w:val="none" w:sz="0" w:space="0" w:color="auto"/>
            <w:right w:val="none" w:sz="0" w:space="0" w:color="auto"/>
          </w:divBdr>
        </w:div>
        <w:div w:id="1885169711">
          <w:marLeft w:val="0"/>
          <w:marRight w:val="0"/>
          <w:marTop w:val="0"/>
          <w:marBottom w:val="0"/>
          <w:divBdr>
            <w:top w:val="none" w:sz="0" w:space="0" w:color="auto"/>
            <w:left w:val="none" w:sz="0" w:space="0" w:color="auto"/>
            <w:bottom w:val="none" w:sz="0" w:space="0" w:color="auto"/>
            <w:right w:val="none" w:sz="0" w:space="0" w:color="auto"/>
          </w:divBdr>
        </w:div>
      </w:divsChild>
    </w:div>
    <w:div w:id="37248021">
      <w:bodyDiv w:val="1"/>
      <w:marLeft w:val="0"/>
      <w:marRight w:val="0"/>
      <w:marTop w:val="0"/>
      <w:marBottom w:val="0"/>
      <w:divBdr>
        <w:top w:val="none" w:sz="0" w:space="0" w:color="auto"/>
        <w:left w:val="none" w:sz="0" w:space="0" w:color="auto"/>
        <w:bottom w:val="none" w:sz="0" w:space="0" w:color="auto"/>
        <w:right w:val="none" w:sz="0" w:space="0" w:color="auto"/>
      </w:divBdr>
    </w:div>
    <w:div w:id="37553323">
      <w:bodyDiv w:val="1"/>
      <w:marLeft w:val="0"/>
      <w:marRight w:val="0"/>
      <w:marTop w:val="0"/>
      <w:marBottom w:val="0"/>
      <w:divBdr>
        <w:top w:val="none" w:sz="0" w:space="0" w:color="auto"/>
        <w:left w:val="none" w:sz="0" w:space="0" w:color="auto"/>
        <w:bottom w:val="none" w:sz="0" w:space="0" w:color="auto"/>
        <w:right w:val="none" w:sz="0" w:space="0" w:color="auto"/>
      </w:divBdr>
    </w:div>
    <w:div w:id="37630150">
      <w:bodyDiv w:val="1"/>
      <w:marLeft w:val="0"/>
      <w:marRight w:val="0"/>
      <w:marTop w:val="0"/>
      <w:marBottom w:val="0"/>
      <w:divBdr>
        <w:top w:val="none" w:sz="0" w:space="0" w:color="auto"/>
        <w:left w:val="none" w:sz="0" w:space="0" w:color="auto"/>
        <w:bottom w:val="none" w:sz="0" w:space="0" w:color="auto"/>
        <w:right w:val="none" w:sz="0" w:space="0" w:color="auto"/>
      </w:divBdr>
    </w:div>
    <w:div w:id="37702830">
      <w:bodyDiv w:val="1"/>
      <w:marLeft w:val="0"/>
      <w:marRight w:val="0"/>
      <w:marTop w:val="0"/>
      <w:marBottom w:val="0"/>
      <w:divBdr>
        <w:top w:val="none" w:sz="0" w:space="0" w:color="auto"/>
        <w:left w:val="none" w:sz="0" w:space="0" w:color="auto"/>
        <w:bottom w:val="none" w:sz="0" w:space="0" w:color="auto"/>
        <w:right w:val="none" w:sz="0" w:space="0" w:color="auto"/>
      </w:divBdr>
    </w:div>
    <w:div w:id="38432213">
      <w:bodyDiv w:val="1"/>
      <w:marLeft w:val="0"/>
      <w:marRight w:val="0"/>
      <w:marTop w:val="0"/>
      <w:marBottom w:val="0"/>
      <w:divBdr>
        <w:top w:val="none" w:sz="0" w:space="0" w:color="auto"/>
        <w:left w:val="none" w:sz="0" w:space="0" w:color="auto"/>
        <w:bottom w:val="none" w:sz="0" w:space="0" w:color="auto"/>
        <w:right w:val="none" w:sz="0" w:space="0" w:color="auto"/>
      </w:divBdr>
    </w:div>
    <w:div w:id="38479642">
      <w:bodyDiv w:val="1"/>
      <w:marLeft w:val="0"/>
      <w:marRight w:val="0"/>
      <w:marTop w:val="0"/>
      <w:marBottom w:val="0"/>
      <w:divBdr>
        <w:top w:val="none" w:sz="0" w:space="0" w:color="auto"/>
        <w:left w:val="none" w:sz="0" w:space="0" w:color="auto"/>
        <w:bottom w:val="none" w:sz="0" w:space="0" w:color="auto"/>
        <w:right w:val="none" w:sz="0" w:space="0" w:color="auto"/>
      </w:divBdr>
    </w:div>
    <w:div w:id="38627918">
      <w:bodyDiv w:val="1"/>
      <w:marLeft w:val="0"/>
      <w:marRight w:val="0"/>
      <w:marTop w:val="0"/>
      <w:marBottom w:val="0"/>
      <w:divBdr>
        <w:top w:val="none" w:sz="0" w:space="0" w:color="auto"/>
        <w:left w:val="none" w:sz="0" w:space="0" w:color="auto"/>
        <w:bottom w:val="none" w:sz="0" w:space="0" w:color="auto"/>
        <w:right w:val="none" w:sz="0" w:space="0" w:color="auto"/>
      </w:divBdr>
    </w:div>
    <w:div w:id="38675659">
      <w:bodyDiv w:val="1"/>
      <w:marLeft w:val="0"/>
      <w:marRight w:val="0"/>
      <w:marTop w:val="0"/>
      <w:marBottom w:val="0"/>
      <w:divBdr>
        <w:top w:val="none" w:sz="0" w:space="0" w:color="auto"/>
        <w:left w:val="none" w:sz="0" w:space="0" w:color="auto"/>
        <w:bottom w:val="none" w:sz="0" w:space="0" w:color="auto"/>
        <w:right w:val="none" w:sz="0" w:space="0" w:color="auto"/>
      </w:divBdr>
    </w:div>
    <w:div w:id="39401755">
      <w:bodyDiv w:val="1"/>
      <w:marLeft w:val="0"/>
      <w:marRight w:val="0"/>
      <w:marTop w:val="0"/>
      <w:marBottom w:val="0"/>
      <w:divBdr>
        <w:top w:val="none" w:sz="0" w:space="0" w:color="auto"/>
        <w:left w:val="none" w:sz="0" w:space="0" w:color="auto"/>
        <w:bottom w:val="none" w:sz="0" w:space="0" w:color="auto"/>
        <w:right w:val="none" w:sz="0" w:space="0" w:color="auto"/>
      </w:divBdr>
    </w:div>
    <w:div w:id="39598748">
      <w:bodyDiv w:val="1"/>
      <w:marLeft w:val="0"/>
      <w:marRight w:val="0"/>
      <w:marTop w:val="0"/>
      <w:marBottom w:val="0"/>
      <w:divBdr>
        <w:top w:val="none" w:sz="0" w:space="0" w:color="auto"/>
        <w:left w:val="none" w:sz="0" w:space="0" w:color="auto"/>
        <w:bottom w:val="none" w:sz="0" w:space="0" w:color="auto"/>
        <w:right w:val="none" w:sz="0" w:space="0" w:color="auto"/>
      </w:divBdr>
    </w:div>
    <w:div w:id="39672505">
      <w:bodyDiv w:val="1"/>
      <w:marLeft w:val="0"/>
      <w:marRight w:val="0"/>
      <w:marTop w:val="0"/>
      <w:marBottom w:val="0"/>
      <w:divBdr>
        <w:top w:val="none" w:sz="0" w:space="0" w:color="auto"/>
        <w:left w:val="none" w:sz="0" w:space="0" w:color="auto"/>
        <w:bottom w:val="none" w:sz="0" w:space="0" w:color="auto"/>
        <w:right w:val="none" w:sz="0" w:space="0" w:color="auto"/>
      </w:divBdr>
    </w:div>
    <w:div w:id="39719298">
      <w:bodyDiv w:val="1"/>
      <w:marLeft w:val="0"/>
      <w:marRight w:val="0"/>
      <w:marTop w:val="0"/>
      <w:marBottom w:val="0"/>
      <w:divBdr>
        <w:top w:val="none" w:sz="0" w:space="0" w:color="auto"/>
        <w:left w:val="none" w:sz="0" w:space="0" w:color="auto"/>
        <w:bottom w:val="none" w:sz="0" w:space="0" w:color="auto"/>
        <w:right w:val="none" w:sz="0" w:space="0" w:color="auto"/>
      </w:divBdr>
    </w:div>
    <w:div w:id="40711933">
      <w:bodyDiv w:val="1"/>
      <w:marLeft w:val="0"/>
      <w:marRight w:val="0"/>
      <w:marTop w:val="0"/>
      <w:marBottom w:val="0"/>
      <w:divBdr>
        <w:top w:val="none" w:sz="0" w:space="0" w:color="auto"/>
        <w:left w:val="none" w:sz="0" w:space="0" w:color="auto"/>
        <w:bottom w:val="none" w:sz="0" w:space="0" w:color="auto"/>
        <w:right w:val="none" w:sz="0" w:space="0" w:color="auto"/>
      </w:divBdr>
    </w:div>
    <w:div w:id="41101621">
      <w:bodyDiv w:val="1"/>
      <w:marLeft w:val="0"/>
      <w:marRight w:val="0"/>
      <w:marTop w:val="0"/>
      <w:marBottom w:val="0"/>
      <w:divBdr>
        <w:top w:val="none" w:sz="0" w:space="0" w:color="auto"/>
        <w:left w:val="none" w:sz="0" w:space="0" w:color="auto"/>
        <w:bottom w:val="none" w:sz="0" w:space="0" w:color="auto"/>
        <w:right w:val="none" w:sz="0" w:space="0" w:color="auto"/>
      </w:divBdr>
    </w:div>
    <w:div w:id="41447990">
      <w:bodyDiv w:val="1"/>
      <w:marLeft w:val="0"/>
      <w:marRight w:val="0"/>
      <w:marTop w:val="0"/>
      <w:marBottom w:val="0"/>
      <w:divBdr>
        <w:top w:val="none" w:sz="0" w:space="0" w:color="auto"/>
        <w:left w:val="none" w:sz="0" w:space="0" w:color="auto"/>
        <w:bottom w:val="none" w:sz="0" w:space="0" w:color="auto"/>
        <w:right w:val="none" w:sz="0" w:space="0" w:color="auto"/>
      </w:divBdr>
    </w:div>
    <w:div w:id="41516757">
      <w:bodyDiv w:val="1"/>
      <w:marLeft w:val="0"/>
      <w:marRight w:val="0"/>
      <w:marTop w:val="0"/>
      <w:marBottom w:val="0"/>
      <w:divBdr>
        <w:top w:val="none" w:sz="0" w:space="0" w:color="auto"/>
        <w:left w:val="none" w:sz="0" w:space="0" w:color="auto"/>
        <w:bottom w:val="none" w:sz="0" w:space="0" w:color="auto"/>
        <w:right w:val="none" w:sz="0" w:space="0" w:color="auto"/>
      </w:divBdr>
    </w:div>
    <w:div w:id="41835924">
      <w:bodyDiv w:val="1"/>
      <w:marLeft w:val="0"/>
      <w:marRight w:val="0"/>
      <w:marTop w:val="0"/>
      <w:marBottom w:val="0"/>
      <w:divBdr>
        <w:top w:val="none" w:sz="0" w:space="0" w:color="auto"/>
        <w:left w:val="none" w:sz="0" w:space="0" w:color="auto"/>
        <w:bottom w:val="none" w:sz="0" w:space="0" w:color="auto"/>
        <w:right w:val="none" w:sz="0" w:space="0" w:color="auto"/>
      </w:divBdr>
    </w:div>
    <w:div w:id="42020400">
      <w:bodyDiv w:val="1"/>
      <w:marLeft w:val="0"/>
      <w:marRight w:val="0"/>
      <w:marTop w:val="0"/>
      <w:marBottom w:val="0"/>
      <w:divBdr>
        <w:top w:val="none" w:sz="0" w:space="0" w:color="auto"/>
        <w:left w:val="none" w:sz="0" w:space="0" w:color="auto"/>
        <w:bottom w:val="none" w:sz="0" w:space="0" w:color="auto"/>
        <w:right w:val="none" w:sz="0" w:space="0" w:color="auto"/>
      </w:divBdr>
    </w:div>
    <w:div w:id="43452468">
      <w:bodyDiv w:val="1"/>
      <w:marLeft w:val="0"/>
      <w:marRight w:val="0"/>
      <w:marTop w:val="0"/>
      <w:marBottom w:val="0"/>
      <w:divBdr>
        <w:top w:val="none" w:sz="0" w:space="0" w:color="auto"/>
        <w:left w:val="none" w:sz="0" w:space="0" w:color="auto"/>
        <w:bottom w:val="none" w:sz="0" w:space="0" w:color="auto"/>
        <w:right w:val="none" w:sz="0" w:space="0" w:color="auto"/>
      </w:divBdr>
    </w:div>
    <w:div w:id="43718523">
      <w:bodyDiv w:val="1"/>
      <w:marLeft w:val="0"/>
      <w:marRight w:val="0"/>
      <w:marTop w:val="0"/>
      <w:marBottom w:val="0"/>
      <w:divBdr>
        <w:top w:val="none" w:sz="0" w:space="0" w:color="auto"/>
        <w:left w:val="none" w:sz="0" w:space="0" w:color="auto"/>
        <w:bottom w:val="none" w:sz="0" w:space="0" w:color="auto"/>
        <w:right w:val="none" w:sz="0" w:space="0" w:color="auto"/>
      </w:divBdr>
    </w:div>
    <w:div w:id="44062790">
      <w:bodyDiv w:val="1"/>
      <w:marLeft w:val="0"/>
      <w:marRight w:val="0"/>
      <w:marTop w:val="0"/>
      <w:marBottom w:val="0"/>
      <w:divBdr>
        <w:top w:val="none" w:sz="0" w:space="0" w:color="auto"/>
        <w:left w:val="none" w:sz="0" w:space="0" w:color="auto"/>
        <w:bottom w:val="none" w:sz="0" w:space="0" w:color="auto"/>
        <w:right w:val="none" w:sz="0" w:space="0" w:color="auto"/>
      </w:divBdr>
    </w:div>
    <w:div w:id="44111882">
      <w:bodyDiv w:val="1"/>
      <w:marLeft w:val="0"/>
      <w:marRight w:val="0"/>
      <w:marTop w:val="0"/>
      <w:marBottom w:val="0"/>
      <w:divBdr>
        <w:top w:val="none" w:sz="0" w:space="0" w:color="auto"/>
        <w:left w:val="none" w:sz="0" w:space="0" w:color="auto"/>
        <w:bottom w:val="none" w:sz="0" w:space="0" w:color="auto"/>
        <w:right w:val="none" w:sz="0" w:space="0" w:color="auto"/>
      </w:divBdr>
    </w:div>
    <w:div w:id="44524443">
      <w:bodyDiv w:val="1"/>
      <w:marLeft w:val="0"/>
      <w:marRight w:val="0"/>
      <w:marTop w:val="0"/>
      <w:marBottom w:val="0"/>
      <w:divBdr>
        <w:top w:val="none" w:sz="0" w:space="0" w:color="auto"/>
        <w:left w:val="none" w:sz="0" w:space="0" w:color="auto"/>
        <w:bottom w:val="none" w:sz="0" w:space="0" w:color="auto"/>
        <w:right w:val="none" w:sz="0" w:space="0" w:color="auto"/>
      </w:divBdr>
    </w:div>
    <w:div w:id="44568098">
      <w:bodyDiv w:val="1"/>
      <w:marLeft w:val="0"/>
      <w:marRight w:val="0"/>
      <w:marTop w:val="0"/>
      <w:marBottom w:val="0"/>
      <w:divBdr>
        <w:top w:val="none" w:sz="0" w:space="0" w:color="auto"/>
        <w:left w:val="none" w:sz="0" w:space="0" w:color="auto"/>
        <w:bottom w:val="none" w:sz="0" w:space="0" w:color="auto"/>
        <w:right w:val="none" w:sz="0" w:space="0" w:color="auto"/>
      </w:divBdr>
    </w:div>
    <w:div w:id="44724847">
      <w:bodyDiv w:val="1"/>
      <w:marLeft w:val="0"/>
      <w:marRight w:val="0"/>
      <w:marTop w:val="0"/>
      <w:marBottom w:val="0"/>
      <w:divBdr>
        <w:top w:val="none" w:sz="0" w:space="0" w:color="auto"/>
        <w:left w:val="none" w:sz="0" w:space="0" w:color="auto"/>
        <w:bottom w:val="none" w:sz="0" w:space="0" w:color="auto"/>
        <w:right w:val="none" w:sz="0" w:space="0" w:color="auto"/>
      </w:divBdr>
    </w:div>
    <w:div w:id="44768130">
      <w:bodyDiv w:val="1"/>
      <w:marLeft w:val="0"/>
      <w:marRight w:val="0"/>
      <w:marTop w:val="0"/>
      <w:marBottom w:val="0"/>
      <w:divBdr>
        <w:top w:val="none" w:sz="0" w:space="0" w:color="auto"/>
        <w:left w:val="none" w:sz="0" w:space="0" w:color="auto"/>
        <w:bottom w:val="none" w:sz="0" w:space="0" w:color="auto"/>
        <w:right w:val="none" w:sz="0" w:space="0" w:color="auto"/>
      </w:divBdr>
    </w:div>
    <w:div w:id="44986737">
      <w:bodyDiv w:val="1"/>
      <w:marLeft w:val="0"/>
      <w:marRight w:val="0"/>
      <w:marTop w:val="0"/>
      <w:marBottom w:val="0"/>
      <w:divBdr>
        <w:top w:val="none" w:sz="0" w:space="0" w:color="auto"/>
        <w:left w:val="none" w:sz="0" w:space="0" w:color="auto"/>
        <w:bottom w:val="none" w:sz="0" w:space="0" w:color="auto"/>
        <w:right w:val="none" w:sz="0" w:space="0" w:color="auto"/>
      </w:divBdr>
    </w:div>
    <w:div w:id="44989743">
      <w:bodyDiv w:val="1"/>
      <w:marLeft w:val="0"/>
      <w:marRight w:val="0"/>
      <w:marTop w:val="0"/>
      <w:marBottom w:val="0"/>
      <w:divBdr>
        <w:top w:val="none" w:sz="0" w:space="0" w:color="auto"/>
        <w:left w:val="none" w:sz="0" w:space="0" w:color="auto"/>
        <w:bottom w:val="none" w:sz="0" w:space="0" w:color="auto"/>
        <w:right w:val="none" w:sz="0" w:space="0" w:color="auto"/>
      </w:divBdr>
    </w:div>
    <w:div w:id="45107792">
      <w:bodyDiv w:val="1"/>
      <w:marLeft w:val="0"/>
      <w:marRight w:val="0"/>
      <w:marTop w:val="0"/>
      <w:marBottom w:val="0"/>
      <w:divBdr>
        <w:top w:val="none" w:sz="0" w:space="0" w:color="auto"/>
        <w:left w:val="none" w:sz="0" w:space="0" w:color="auto"/>
        <w:bottom w:val="none" w:sz="0" w:space="0" w:color="auto"/>
        <w:right w:val="none" w:sz="0" w:space="0" w:color="auto"/>
      </w:divBdr>
    </w:div>
    <w:div w:id="45492596">
      <w:bodyDiv w:val="1"/>
      <w:marLeft w:val="0"/>
      <w:marRight w:val="0"/>
      <w:marTop w:val="0"/>
      <w:marBottom w:val="0"/>
      <w:divBdr>
        <w:top w:val="none" w:sz="0" w:space="0" w:color="auto"/>
        <w:left w:val="none" w:sz="0" w:space="0" w:color="auto"/>
        <w:bottom w:val="none" w:sz="0" w:space="0" w:color="auto"/>
        <w:right w:val="none" w:sz="0" w:space="0" w:color="auto"/>
      </w:divBdr>
    </w:div>
    <w:div w:id="45877590">
      <w:bodyDiv w:val="1"/>
      <w:marLeft w:val="0"/>
      <w:marRight w:val="0"/>
      <w:marTop w:val="0"/>
      <w:marBottom w:val="0"/>
      <w:divBdr>
        <w:top w:val="none" w:sz="0" w:space="0" w:color="auto"/>
        <w:left w:val="none" w:sz="0" w:space="0" w:color="auto"/>
        <w:bottom w:val="none" w:sz="0" w:space="0" w:color="auto"/>
        <w:right w:val="none" w:sz="0" w:space="0" w:color="auto"/>
      </w:divBdr>
    </w:div>
    <w:div w:id="46031799">
      <w:bodyDiv w:val="1"/>
      <w:marLeft w:val="0"/>
      <w:marRight w:val="0"/>
      <w:marTop w:val="0"/>
      <w:marBottom w:val="0"/>
      <w:divBdr>
        <w:top w:val="none" w:sz="0" w:space="0" w:color="auto"/>
        <w:left w:val="none" w:sz="0" w:space="0" w:color="auto"/>
        <w:bottom w:val="none" w:sz="0" w:space="0" w:color="auto"/>
        <w:right w:val="none" w:sz="0" w:space="0" w:color="auto"/>
      </w:divBdr>
    </w:div>
    <w:div w:id="46221548">
      <w:bodyDiv w:val="1"/>
      <w:marLeft w:val="0"/>
      <w:marRight w:val="0"/>
      <w:marTop w:val="0"/>
      <w:marBottom w:val="0"/>
      <w:divBdr>
        <w:top w:val="none" w:sz="0" w:space="0" w:color="auto"/>
        <w:left w:val="none" w:sz="0" w:space="0" w:color="auto"/>
        <w:bottom w:val="none" w:sz="0" w:space="0" w:color="auto"/>
        <w:right w:val="none" w:sz="0" w:space="0" w:color="auto"/>
      </w:divBdr>
    </w:div>
    <w:div w:id="46229398">
      <w:bodyDiv w:val="1"/>
      <w:marLeft w:val="0"/>
      <w:marRight w:val="0"/>
      <w:marTop w:val="0"/>
      <w:marBottom w:val="0"/>
      <w:divBdr>
        <w:top w:val="none" w:sz="0" w:space="0" w:color="auto"/>
        <w:left w:val="none" w:sz="0" w:space="0" w:color="auto"/>
        <w:bottom w:val="none" w:sz="0" w:space="0" w:color="auto"/>
        <w:right w:val="none" w:sz="0" w:space="0" w:color="auto"/>
      </w:divBdr>
    </w:div>
    <w:div w:id="46880143">
      <w:bodyDiv w:val="1"/>
      <w:marLeft w:val="0"/>
      <w:marRight w:val="0"/>
      <w:marTop w:val="0"/>
      <w:marBottom w:val="0"/>
      <w:divBdr>
        <w:top w:val="none" w:sz="0" w:space="0" w:color="auto"/>
        <w:left w:val="none" w:sz="0" w:space="0" w:color="auto"/>
        <w:bottom w:val="none" w:sz="0" w:space="0" w:color="auto"/>
        <w:right w:val="none" w:sz="0" w:space="0" w:color="auto"/>
      </w:divBdr>
    </w:div>
    <w:div w:id="47151139">
      <w:bodyDiv w:val="1"/>
      <w:marLeft w:val="0"/>
      <w:marRight w:val="0"/>
      <w:marTop w:val="0"/>
      <w:marBottom w:val="0"/>
      <w:divBdr>
        <w:top w:val="none" w:sz="0" w:space="0" w:color="auto"/>
        <w:left w:val="none" w:sz="0" w:space="0" w:color="auto"/>
        <w:bottom w:val="none" w:sz="0" w:space="0" w:color="auto"/>
        <w:right w:val="none" w:sz="0" w:space="0" w:color="auto"/>
      </w:divBdr>
    </w:div>
    <w:div w:id="47456610">
      <w:bodyDiv w:val="1"/>
      <w:marLeft w:val="0"/>
      <w:marRight w:val="0"/>
      <w:marTop w:val="0"/>
      <w:marBottom w:val="0"/>
      <w:divBdr>
        <w:top w:val="none" w:sz="0" w:space="0" w:color="auto"/>
        <w:left w:val="none" w:sz="0" w:space="0" w:color="auto"/>
        <w:bottom w:val="none" w:sz="0" w:space="0" w:color="auto"/>
        <w:right w:val="none" w:sz="0" w:space="0" w:color="auto"/>
      </w:divBdr>
    </w:div>
    <w:div w:id="47917784">
      <w:bodyDiv w:val="1"/>
      <w:marLeft w:val="0"/>
      <w:marRight w:val="0"/>
      <w:marTop w:val="0"/>
      <w:marBottom w:val="0"/>
      <w:divBdr>
        <w:top w:val="none" w:sz="0" w:space="0" w:color="auto"/>
        <w:left w:val="none" w:sz="0" w:space="0" w:color="auto"/>
        <w:bottom w:val="none" w:sz="0" w:space="0" w:color="auto"/>
        <w:right w:val="none" w:sz="0" w:space="0" w:color="auto"/>
      </w:divBdr>
    </w:div>
    <w:div w:id="47919351">
      <w:bodyDiv w:val="1"/>
      <w:marLeft w:val="0"/>
      <w:marRight w:val="0"/>
      <w:marTop w:val="0"/>
      <w:marBottom w:val="0"/>
      <w:divBdr>
        <w:top w:val="none" w:sz="0" w:space="0" w:color="auto"/>
        <w:left w:val="none" w:sz="0" w:space="0" w:color="auto"/>
        <w:bottom w:val="none" w:sz="0" w:space="0" w:color="auto"/>
        <w:right w:val="none" w:sz="0" w:space="0" w:color="auto"/>
      </w:divBdr>
    </w:div>
    <w:div w:id="48070291">
      <w:bodyDiv w:val="1"/>
      <w:marLeft w:val="0"/>
      <w:marRight w:val="0"/>
      <w:marTop w:val="0"/>
      <w:marBottom w:val="0"/>
      <w:divBdr>
        <w:top w:val="none" w:sz="0" w:space="0" w:color="auto"/>
        <w:left w:val="none" w:sz="0" w:space="0" w:color="auto"/>
        <w:bottom w:val="none" w:sz="0" w:space="0" w:color="auto"/>
        <w:right w:val="none" w:sz="0" w:space="0" w:color="auto"/>
      </w:divBdr>
    </w:div>
    <w:div w:id="48187285">
      <w:bodyDiv w:val="1"/>
      <w:marLeft w:val="0"/>
      <w:marRight w:val="0"/>
      <w:marTop w:val="0"/>
      <w:marBottom w:val="0"/>
      <w:divBdr>
        <w:top w:val="none" w:sz="0" w:space="0" w:color="auto"/>
        <w:left w:val="none" w:sz="0" w:space="0" w:color="auto"/>
        <w:bottom w:val="none" w:sz="0" w:space="0" w:color="auto"/>
        <w:right w:val="none" w:sz="0" w:space="0" w:color="auto"/>
      </w:divBdr>
    </w:div>
    <w:div w:id="48309842">
      <w:bodyDiv w:val="1"/>
      <w:marLeft w:val="0"/>
      <w:marRight w:val="0"/>
      <w:marTop w:val="0"/>
      <w:marBottom w:val="0"/>
      <w:divBdr>
        <w:top w:val="none" w:sz="0" w:space="0" w:color="auto"/>
        <w:left w:val="none" w:sz="0" w:space="0" w:color="auto"/>
        <w:bottom w:val="none" w:sz="0" w:space="0" w:color="auto"/>
        <w:right w:val="none" w:sz="0" w:space="0" w:color="auto"/>
      </w:divBdr>
    </w:div>
    <w:div w:id="48455633">
      <w:bodyDiv w:val="1"/>
      <w:marLeft w:val="0"/>
      <w:marRight w:val="0"/>
      <w:marTop w:val="0"/>
      <w:marBottom w:val="0"/>
      <w:divBdr>
        <w:top w:val="none" w:sz="0" w:space="0" w:color="auto"/>
        <w:left w:val="none" w:sz="0" w:space="0" w:color="auto"/>
        <w:bottom w:val="none" w:sz="0" w:space="0" w:color="auto"/>
        <w:right w:val="none" w:sz="0" w:space="0" w:color="auto"/>
      </w:divBdr>
    </w:div>
    <w:div w:id="48497129">
      <w:bodyDiv w:val="1"/>
      <w:marLeft w:val="0"/>
      <w:marRight w:val="0"/>
      <w:marTop w:val="0"/>
      <w:marBottom w:val="0"/>
      <w:divBdr>
        <w:top w:val="none" w:sz="0" w:space="0" w:color="auto"/>
        <w:left w:val="none" w:sz="0" w:space="0" w:color="auto"/>
        <w:bottom w:val="none" w:sz="0" w:space="0" w:color="auto"/>
        <w:right w:val="none" w:sz="0" w:space="0" w:color="auto"/>
      </w:divBdr>
    </w:div>
    <w:div w:id="48576489">
      <w:bodyDiv w:val="1"/>
      <w:marLeft w:val="0"/>
      <w:marRight w:val="0"/>
      <w:marTop w:val="0"/>
      <w:marBottom w:val="0"/>
      <w:divBdr>
        <w:top w:val="none" w:sz="0" w:space="0" w:color="auto"/>
        <w:left w:val="none" w:sz="0" w:space="0" w:color="auto"/>
        <w:bottom w:val="none" w:sz="0" w:space="0" w:color="auto"/>
        <w:right w:val="none" w:sz="0" w:space="0" w:color="auto"/>
      </w:divBdr>
    </w:div>
    <w:div w:id="48579327">
      <w:bodyDiv w:val="1"/>
      <w:marLeft w:val="0"/>
      <w:marRight w:val="0"/>
      <w:marTop w:val="0"/>
      <w:marBottom w:val="0"/>
      <w:divBdr>
        <w:top w:val="none" w:sz="0" w:space="0" w:color="auto"/>
        <w:left w:val="none" w:sz="0" w:space="0" w:color="auto"/>
        <w:bottom w:val="none" w:sz="0" w:space="0" w:color="auto"/>
        <w:right w:val="none" w:sz="0" w:space="0" w:color="auto"/>
      </w:divBdr>
    </w:div>
    <w:div w:id="48891005">
      <w:bodyDiv w:val="1"/>
      <w:marLeft w:val="0"/>
      <w:marRight w:val="0"/>
      <w:marTop w:val="0"/>
      <w:marBottom w:val="0"/>
      <w:divBdr>
        <w:top w:val="none" w:sz="0" w:space="0" w:color="auto"/>
        <w:left w:val="none" w:sz="0" w:space="0" w:color="auto"/>
        <w:bottom w:val="none" w:sz="0" w:space="0" w:color="auto"/>
        <w:right w:val="none" w:sz="0" w:space="0" w:color="auto"/>
      </w:divBdr>
    </w:div>
    <w:div w:id="48965248">
      <w:bodyDiv w:val="1"/>
      <w:marLeft w:val="0"/>
      <w:marRight w:val="0"/>
      <w:marTop w:val="0"/>
      <w:marBottom w:val="0"/>
      <w:divBdr>
        <w:top w:val="none" w:sz="0" w:space="0" w:color="auto"/>
        <w:left w:val="none" w:sz="0" w:space="0" w:color="auto"/>
        <w:bottom w:val="none" w:sz="0" w:space="0" w:color="auto"/>
        <w:right w:val="none" w:sz="0" w:space="0" w:color="auto"/>
      </w:divBdr>
    </w:div>
    <w:div w:id="49965718">
      <w:bodyDiv w:val="1"/>
      <w:marLeft w:val="0"/>
      <w:marRight w:val="0"/>
      <w:marTop w:val="0"/>
      <w:marBottom w:val="0"/>
      <w:divBdr>
        <w:top w:val="none" w:sz="0" w:space="0" w:color="auto"/>
        <w:left w:val="none" w:sz="0" w:space="0" w:color="auto"/>
        <w:bottom w:val="none" w:sz="0" w:space="0" w:color="auto"/>
        <w:right w:val="none" w:sz="0" w:space="0" w:color="auto"/>
      </w:divBdr>
    </w:div>
    <w:div w:id="50082658">
      <w:bodyDiv w:val="1"/>
      <w:marLeft w:val="0"/>
      <w:marRight w:val="0"/>
      <w:marTop w:val="0"/>
      <w:marBottom w:val="0"/>
      <w:divBdr>
        <w:top w:val="none" w:sz="0" w:space="0" w:color="auto"/>
        <w:left w:val="none" w:sz="0" w:space="0" w:color="auto"/>
        <w:bottom w:val="none" w:sz="0" w:space="0" w:color="auto"/>
        <w:right w:val="none" w:sz="0" w:space="0" w:color="auto"/>
      </w:divBdr>
    </w:div>
    <w:div w:id="50274187">
      <w:bodyDiv w:val="1"/>
      <w:marLeft w:val="0"/>
      <w:marRight w:val="0"/>
      <w:marTop w:val="0"/>
      <w:marBottom w:val="0"/>
      <w:divBdr>
        <w:top w:val="none" w:sz="0" w:space="0" w:color="auto"/>
        <w:left w:val="none" w:sz="0" w:space="0" w:color="auto"/>
        <w:bottom w:val="none" w:sz="0" w:space="0" w:color="auto"/>
        <w:right w:val="none" w:sz="0" w:space="0" w:color="auto"/>
      </w:divBdr>
      <w:divsChild>
        <w:div w:id="113795032">
          <w:marLeft w:val="0"/>
          <w:marRight w:val="0"/>
          <w:marTop w:val="0"/>
          <w:marBottom w:val="0"/>
          <w:divBdr>
            <w:top w:val="none" w:sz="0" w:space="0" w:color="auto"/>
            <w:left w:val="none" w:sz="0" w:space="0" w:color="auto"/>
            <w:bottom w:val="none" w:sz="0" w:space="0" w:color="auto"/>
            <w:right w:val="none" w:sz="0" w:space="0" w:color="auto"/>
          </w:divBdr>
          <w:divsChild>
            <w:div w:id="393704073">
              <w:marLeft w:val="0"/>
              <w:marRight w:val="0"/>
              <w:marTop w:val="0"/>
              <w:marBottom w:val="0"/>
              <w:divBdr>
                <w:top w:val="none" w:sz="0" w:space="0" w:color="auto"/>
                <w:left w:val="none" w:sz="0" w:space="0" w:color="auto"/>
                <w:bottom w:val="none" w:sz="0" w:space="0" w:color="auto"/>
                <w:right w:val="none" w:sz="0" w:space="0" w:color="auto"/>
              </w:divBdr>
            </w:div>
            <w:div w:id="627129097">
              <w:marLeft w:val="0"/>
              <w:marRight w:val="0"/>
              <w:marTop w:val="0"/>
              <w:marBottom w:val="0"/>
              <w:divBdr>
                <w:top w:val="none" w:sz="0" w:space="0" w:color="auto"/>
                <w:left w:val="none" w:sz="0" w:space="0" w:color="auto"/>
                <w:bottom w:val="none" w:sz="0" w:space="0" w:color="auto"/>
                <w:right w:val="none" w:sz="0" w:space="0" w:color="auto"/>
              </w:divBdr>
            </w:div>
            <w:div w:id="693263372">
              <w:marLeft w:val="0"/>
              <w:marRight w:val="0"/>
              <w:marTop w:val="0"/>
              <w:marBottom w:val="0"/>
              <w:divBdr>
                <w:top w:val="none" w:sz="0" w:space="0" w:color="auto"/>
                <w:left w:val="none" w:sz="0" w:space="0" w:color="auto"/>
                <w:bottom w:val="none" w:sz="0" w:space="0" w:color="auto"/>
                <w:right w:val="none" w:sz="0" w:space="0" w:color="auto"/>
              </w:divBdr>
            </w:div>
            <w:div w:id="1147698471">
              <w:marLeft w:val="0"/>
              <w:marRight w:val="0"/>
              <w:marTop w:val="0"/>
              <w:marBottom w:val="0"/>
              <w:divBdr>
                <w:top w:val="none" w:sz="0" w:space="0" w:color="auto"/>
                <w:left w:val="none" w:sz="0" w:space="0" w:color="auto"/>
                <w:bottom w:val="none" w:sz="0" w:space="0" w:color="auto"/>
                <w:right w:val="none" w:sz="0" w:space="0" w:color="auto"/>
              </w:divBdr>
            </w:div>
            <w:div w:id="1432121528">
              <w:marLeft w:val="0"/>
              <w:marRight w:val="0"/>
              <w:marTop w:val="0"/>
              <w:marBottom w:val="0"/>
              <w:divBdr>
                <w:top w:val="none" w:sz="0" w:space="0" w:color="auto"/>
                <w:left w:val="none" w:sz="0" w:space="0" w:color="auto"/>
                <w:bottom w:val="none" w:sz="0" w:space="0" w:color="auto"/>
                <w:right w:val="none" w:sz="0" w:space="0" w:color="auto"/>
              </w:divBdr>
            </w:div>
            <w:div w:id="1587425372">
              <w:marLeft w:val="0"/>
              <w:marRight w:val="0"/>
              <w:marTop w:val="0"/>
              <w:marBottom w:val="0"/>
              <w:divBdr>
                <w:top w:val="none" w:sz="0" w:space="0" w:color="auto"/>
                <w:left w:val="none" w:sz="0" w:space="0" w:color="auto"/>
                <w:bottom w:val="none" w:sz="0" w:space="0" w:color="auto"/>
                <w:right w:val="none" w:sz="0" w:space="0" w:color="auto"/>
              </w:divBdr>
            </w:div>
            <w:div w:id="1843620888">
              <w:marLeft w:val="0"/>
              <w:marRight w:val="0"/>
              <w:marTop w:val="0"/>
              <w:marBottom w:val="0"/>
              <w:divBdr>
                <w:top w:val="none" w:sz="0" w:space="0" w:color="auto"/>
                <w:left w:val="none" w:sz="0" w:space="0" w:color="auto"/>
                <w:bottom w:val="none" w:sz="0" w:space="0" w:color="auto"/>
                <w:right w:val="none" w:sz="0" w:space="0" w:color="auto"/>
              </w:divBdr>
            </w:div>
          </w:divsChild>
        </w:div>
        <w:div w:id="376197939">
          <w:marLeft w:val="0"/>
          <w:marRight w:val="0"/>
          <w:marTop w:val="0"/>
          <w:marBottom w:val="0"/>
          <w:divBdr>
            <w:top w:val="none" w:sz="0" w:space="0" w:color="auto"/>
            <w:left w:val="none" w:sz="0" w:space="0" w:color="auto"/>
            <w:bottom w:val="none" w:sz="0" w:space="0" w:color="auto"/>
            <w:right w:val="none" w:sz="0" w:space="0" w:color="auto"/>
          </w:divBdr>
        </w:div>
        <w:div w:id="1029572576">
          <w:marLeft w:val="0"/>
          <w:marRight w:val="0"/>
          <w:marTop w:val="0"/>
          <w:marBottom w:val="0"/>
          <w:divBdr>
            <w:top w:val="none" w:sz="0" w:space="0" w:color="auto"/>
            <w:left w:val="none" w:sz="0" w:space="0" w:color="auto"/>
            <w:bottom w:val="none" w:sz="0" w:space="0" w:color="auto"/>
            <w:right w:val="none" w:sz="0" w:space="0" w:color="auto"/>
          </w:divBdr>
        </w:div>
      </w:divsChild>
    </w:div>
    <w:div w:id="50691068">
      <w:bodyDiv w:val="1"/>
      <w:marLeft w:val="0"/>
      <w:marRight w:val="0"/>
      <w:marTop w:val="0"/>
      <w:marBottom w:val="0"/>
      <w:divBdr>
        <w:top w:val="none" w:sz="0" w:space="0" w:color="auto"/>
        <w:left w:val="none" w:sz="0" w:space="0" w:color="auto"/>
        <w:bottom w:val="none" w:sz="0" w:space="0" w:color="auto"/>
        <w:right w:val="none" w:sz="0" w:space="0" w:color="auto"/>
      </w:divBdr>
    </w:div>
    <w:div w:id="50735566">
      <w:bodyDiv w:val="1"/>
      <w:marLeft w:val="0"/>
      <w:marRight w:val="0"/>
      <w:marTop w:val="0"/>
      <w:marBottom w:val="0"/>
      <w:divBdr>
        <w:top w:val="none" w:sz="0" w:space="0" w:color="auto"/>
        <w:left w:val="none" w:sz="0" w:space="0" w:color="auto"/>
        <w:bottom w:val="none" w:sz="0" w:space="0" w:color="auto"/>
        <w:right w:val="none" w:sz="0" w:space="0" w:color="auto"/>
      </w:divBdr>
    </w:div>
    <w:div w:id="50926598">
      <w:bodyDiv w:val="1"/>
      <w:marLeft w:val="0"/>
      <w:marRight w:val="0"/>
      <w:marTop w:val="0"/>
      <w:marBottom w:val="0"/>
      <w:divBdr>
        <w:top w:val="none" w:sz="0" w:space="0" w:color="auto"/>
        <w:left w:val="none" w:sz="0" w:space="0" w:color="auto"/>
        <w:bottom w:val="none" w:sz="0" w:space="0" w:color="auto"/>
        <w:right w:val="none" w:sz="0" w:space="0" w:color="auto"/>
      </w:divBdr>
    </w:div>
    <w:div w:id="51009523">
      <w:bodyDiv w:val="1"/>
      <w:marLeft w:val="0"/>
      <w:marRight w:val="0"/>
      <w:marTop w:val="0"/>
      <w:marBottom w:val="0"/>
      <w:divBdr>
        <w:top w:val="none" w:sz="0" w:space="0" w:color="auto"/>
        <w:left w:val="none" w:sz="0" w:space="0" w:color="auto"/>
        <w:bottom w:val="none" w:sz="0" w:space="0" w:color="auto"/>
        <w:right w:val="none" w:sz="0" w:space="0" w:color="auto"/>
      </w:divBdr>
    </w:div>
    <w:div w:id="51195581">
      <w:bodyDiv w:val="1"/>
      <w:marLeft w:val="0"/>
      <w:marRight w:val="0"/>
      <w:marTop w:val="0"/>
      <w:marBottom w:val="0"/>
      <w:divBdr>
        <w:top w:val="none" w:sz="0" w:space="0" w:color="auto"/>
        <w:left w:val="none" w:sz="0" w:space="0" w:color="auto"/>
        <w:bottom w:val="none" w:sz="0" w:space="0" w:color="auto"/>
        <w:right w:val="none" w:sz="0" w:space="0" w:color="auto"/>
      </w:divBdr>
    </w:div>
    <w:div w:id="51269819">
      <w:bodyDiv w:val="1"/>
      <w:marLeft w:val="0"/>
      <w:marRight w:val="0"/>
      <w:marTop w:val="0"/>
      <w:marBottom w:val="0"/>
      <w:divBdr>
        <w:top w:val="none" w:sz="0" w:space="0" w:color="auto"/>
        <w:left w:val="none" w:sz="0" w:space="0" w:color="auto"/>
        <w:bottom w:val="none" w:sz="0" w:space="0" w:color="auto"/>
        <w:right w:val="none" w:sz="0" w:space="0" w:color="auto"/>
      </w:divBdr>
    </w:div>
    <w:div w:id="51733209">
      <w:bodyDiv w:val="1"/>
      <w:marLeft w:val="0"/>
      <w:marRight w:val="0"/>
      <w:marTop w:val="0"/>
      <w:marBottom w:val="0"/>
      <w:divBdr>
        <w:top w:val="none" w:sz="0" w:space="0" w:color="auto"/>
        <w:left w:val="none" w:sz="0" w:space="0" w:color="auto"/>
        <w:bottom w:val="none" w:sz="0" w:space="0" w:color="auto"/>
        <w:right w:val="none" w:sz="0" w:space="0" w:color="auto"/>
      </w:divBdr>
    </w:div>
    <w:div w:id="51781812">
      <w:bodyDiv w:val="1"/>
      <w:marLeft w:val="0"/>
      <w:marRight w:val="0"/>
      <w:marTop w:val="0"/>
      <w:marBottom w:val="0"/>
      <w:divBdr>
        <w:top w:val="none" w:sz="0" w:space="0" w:color="auto"/>
        <w:left w:val="none" w:sz="0" w:space="0" w:color="auto"/>
        <w:bottom w:val="none" w:sz="0" w:space="0" w:color="auto"/>
        <w:right w:val="none" w:sz="0" w:space="0" w:color="auto"/>
      </w:divBdr>
    </w:div>
    <w:div w:id="51931051">
      <w:bodyDiv w:val="1"/>
      <w:marLeft w:val="0"/>
      <w:marRight w:val="0"/>
      <w:marTop w:val="0"/>
      <w:marBottom w:val="0"/>
      <w:divBdr>
        <w:top w:val="none" w:sz="0" w:space="0" w:color="auto"/>
        <w:left w:val="none" w:sz="0" w:space="0" w:color="auto"/>
        <w:bottom w:val="none" w:sz="0" w:space="0" w:color="auto"/>
        <w:right w:val="none" w:sz="0" w:space="0" w:color="auto"/>
      </w:divBdr>
    </w:div>
    <w:div w:id="52581499">
      <w:bodyDiv w:val="1"/>
      <w:marLeft w:val="0"/>
      <w:marRight w:val="0"/>
      <w:marTop w:val="0"/>
      <w:marBottom w:val="0"/>
      <w:divBdr>
        <w:top w:val="none" w:sz="0" w:space="0" w:color="auto"/>
        <w:left w:val="none" w:sz="0" w:space="0" w:color="auto"/>
        <w:bottom w:val="none" w:sz="0" w:space="0" w:color="auto"/>
        <w:right w:val="none" w:sz="0" w:space="0" w:color="auto"/>
      </w:divBdr>
    </w:div>
    <w:div w:id="52697597">
      <w:bodyDiv w:val="1"/>
      <w:marLeft w:val="0"/>
      <w:marRight w:val="0"/>
      <w:marTop w:val="0"/>
      <w:marBottom w:val="0"/>
      <w:divBdr>
        <w:top w:val="none" w:sz="0" w:space="0" w:color="auto"/>
        <w:left w:val="none" w:sz="0" w:space="0" w:color="auto"/>
        <w:bottom w:val="none" w:sz="0" w:space="0" w:color="auto"/>
        <w:right w:val="none" w:sz="0" w:space="0" w:color="auto"/>
      </w:divBdr>
    </w:div>
    <w:div w:id="52972091">
      <w:bodyDiv w:val="1"/>
      <w:marLeft w:val="0"/>
      <w:marRight w:val="0"/>
      <w:marTop w:val="0"/>
      <w:marBottom w:val="0"/>
      <w:divBdr>
        <w:top w:val="none" w:sz="0" w:space="0" w:color="auto"/>
        <w:left w:val="none" w:sz="0" w:space="0" w:color="auto"/>
        <w:bottom w:val="none" w:sz="0" w:space="0" w:color="auto"/>
        <w:right w:val="none" w:sz="0" w:space="0" w:color="auto"/>
      </w:divBdr>
    </w:div>
    <w:div w:id="53166338">
      <w:bodyDiv w:val="1"/>
      <w:marLeft w:val="0"/>
      <w:marRight w:val="0"/>
      <w:marTop w:val="0"/>
      <w:marBottom w:val="0"/>
      <w:divBdr>
        <w:top w:val="none" w:sz="0" w:space="0" w:color="auto"/>
        <w:left w:val="none" w:sz="0" w:space="0" w:color="auto"/>
        <w:bottom w:val="none" w:sz="0" w:space="0" w:color="auto"/>
        <w:right w:val="none" w:sz="0" w:space="0" w:color="auto"/>
      </w:divBdr>
    </w:div>
    <w:div w:id="53818757">
      <w:bodyDiv w:val="1"/>
      <w:marLeft w:val="0"/>
      <w:marRight w:val="0"/>
      <w:marTop w:val="0"/>
      <w:marBottom w:val="0"/>
      <w:divBdr>
        <w:top w:val="none" w:sz="0" w:space="0" w:color="auto"/>
        <w:left w:val="none" w:sz="0" w:space="0" w:color="auto"/>
        <w:bottom w:val="none" w:sz="0" w:space="0" w:color="auto"/>
        <w:right w:val="none" w:sz="0" w:space="0" w:color="auto"/>
      </w:divBdr>
    </w:div>
    <w:div w:id="53821067">
      <w:bodyDiv w:val="1"/>
      <w:marLeft w:val="0"/>
      <w:marRight w:val="0"/>
      <w:marTop w:val="0"/>
      <w:marBottom w:val="0"/>
      <w:divBdr>
        <w:top w:val="none" w:sz="0" w:space="0" w:color="auto"/>
        <w:left w:val="none" w:sz="0" w:space="0" w:color="auto"/>
        <w:bottom w:val="none" w:sz="0" w:space="0" w:color="auto"/>
        <w:right w:val="none" w:sz="0" w:space="0" w:color="auto"/>
      </w:divBdr>
    </w:div>
    <w:div w:id="53898464">
      <w:bodyDiv w:val="1"/>
      <w:marLeft w:val="0"/>
      <w:marRight w:val="0"/>
      <w:marTop w:val="0"/>
      <w:marBottom w:val="0"/>
      <w:divBdr>
        <w:top w:val="none" w:sz="0" w:space="0" w:color="auto"/>
        <w:left w:val="none" w:sz="0" w:space="0" w:color="auto"/>
        <w:bottom w:val="none" w:sz="0" w:space="0" w:color="auto"/>
        <w:right w:val="none" w:sz="0" w:space="0" w:color="auto"/>
      </w:divBdr>
    </w:div>
    <w:div w:id="54161137">
      <w:bodyDiv w:val="1"/>
      <w:marLeft w:val="0"/>
      <w:marRight w:val="0"/>
      <w:marTop w:val="0"/>
      <w:marBottom w:val="0"/>
      <w:divBdr>
        <w:top w:val="none" w:sz="0" w:space="0" w:color="auto"/>
        <w:left w:val="none" w:sz="0" w:space="0" w:color="auto"/>
        <w:bottom w:val="none" w:sz="0" w:space="0" w:color="auto"/>
        <w:right w:val="none" w:sz="0" w:space="0" w:color="auto"/>
      </w:divBdr>
    </w:div>
    <w:div w:id="54165128">
      <w:bodyDiv w:val="1"/>
      <w:marLeft w:val="0"/>
      <w:marRight w:val="0"/>
      <w:marTop w:val="0"/>
      <w:marBottom w:val="0"/>
      <w:divBdr>
        <w:top w:val="none" w:sz="0" w:space="0" w:color="auto"/>
        <w:left w:val="none" w:sz="0" w:space="0" w:color="auto"/>
        <w:bottom w:val="none" w:sz="0" w:space="0" w:color="auto"/>
        <w:right w:val="none" w:sz="0" w:space="0" w:color="auto"/>
      </w:divBdr>
    </w:div>
    <w:div w:id="54209453">
      <w:bodyDiv w:val="1"/>
      <w:marLeft w:val="0"/>
      <w:marRight w:val="0"/>
      <w:marTop w:val="0"/>
      <w:marBottom w:val="0"/>
      <w:divBdr>
        <w:top w:val="none" w:sz="0" w:space="0" w:color="auto"/>
        <w:left w:val="none" w:sz="0" w:space="0" w:color="auto"/>
        <w:bottom w:val="none" w:sz="0" w:space="0" w:color="auto"/>
        <w:right w:val="none" w:sz="0" w:space="0" w:color="auto"/>
      </w:divBdr>
    </w:div>
    <w:div w:id="54284276">
      <w:bodyDiv w:val="1"/>
      <w:marLeft w:val="0"/>
      <w:marRight w:val="0"/>
      <w:marTop w:val="0"/>
      <w:marBottom w:val="0"/>
      <w:divBdr>
        <w:top w:val="none" w:sz="0" w:space="0" w:color="auto"/>
        <w:left w:val="none" w:sz="0" w:space="0" w:color="auto"/>
        <w:bottom w:val="none" w:sz="0" w:space="0" w:color="auto"/>
        <w:right w:val="none" w:sz="0" w:space="0" w:color="auto"/>
      </w:divBdr>
    </w:div>
    <w:div w:id="54476939">
      <w:bodyDiv w:val="1"/>
      <w:marLeft w:val="0"/>
      <w:marRight w:val="0"/>
      <w:marTop w:val="0"/>
      <w:marBottom w:val="0"/>
      <w:divBdr>
        <w:top w:val="none" w:sz="0" w:space="0" w:color="auto"/>
        <w:left w:val="none" w:sz="0" w:space="0" w:color="auto"/>
        <w:bottom w:val="none" w:sz="0" w:space="0" w:color="auto"/>
        <w:right w:val="none" w:sz="0" w:space="0" w:color="auto"/>
      </w:divBdr>
    </w:div>
    <w:div w:id="54666866">
      <w:bodyDiv w:val="1"/>
      <w:marLeft w:val="0"/>
      <w:marRight w:val="0"/>
      <w:marTop w:val="0"/>
      <w:marBottom w:val="0"/>
      <w:divBdr>
        <w:top w:val="none" w:sz="0" w:space="0" w:color="auto"/>
        <w:left w:val="none" w:sz="0" w:space="0" w:color="auto"/>
        <w:bottom w:val="none" w:sz="0" w:space="0" w:color="auto"/>
        <w:right w:val="none" w:sz="0" w:space="0" w:color="auto"/>
      </w:divBdr>
    </w:div>
    <w:div w:id="54788629">
      <w:bodyDiv w:val="1"/>
      <w:marLeft w:val="0"/>
      <w:marRight w:val="0"/>
      <w:marTop w:val="0"/>
      <w:marBottom w:val="0"/>
      <w:divBdr>
        <w:top w:val="none" w:sz="0" w:space="0" w:color="auto"/>
        <w:left w:val="none" w:sz="0" w:space="0" w:color="auto"/>
        <w:bottom w:val="none" w:sz="0" w:space="0" w:color="auto"/>
        <w:right w:val="none" w:sz="0" w:space="0" w:color="auto"/>
      </w:divBdr>
    </w:div>
    <w:div w:id="54813791">
      <w:bodyDiv w:val="1"/>
      <w:marLeft w:val="0"/>
      <w:marRight w:val="0"/>
      <w:marTop w:val="0"/>
      <w:marBottom w:val="0"/>
      <w:divBdr>
        <w:top w:val="none" w:sz="0" w:space="0" w:color="auto"/>
        <w:left w:val="none" w:sz="0" w:space="0" w:color="auto"/>
        <w:bottom w:val="none" w:sz="0" w:space="0" w:color="auto"/>
        <w:right w:val="none" w:sz="0" w:space="0" w:color="auto"/>
      </w:divBdr>
    </w:div>
    <w:div w:id="54816106">
      <w:bodyDiv w:val="1"/>
      <w:marLeft w:val="0"/>
      <w:marRight w:val="0"/>
      <w:marTop w:val="0"/>
      <w:marBottom w:val="0"/>
      <w:divBdr>
        <w:top w:val="none" w:sz="0" w:space="0" w:color="auto"/>
        <w:left w:val="none" w:sz="0" w:space="0" w:color="auto"/>
        <w:bottom w:val="none" w:sz="0" w:space="0" w:color="auto"/>
        <w:right w:val="none" w:sz="0" w:space="0" w:color="auto"/>
      </w:divBdr>
    </w:div>
    <w:div w:id="54817606">
      <w:bodyDiv w:val="1"/>
      <w:marLeft w:val="0"/>
      <w:marRight w:val="0"/>
      <w:marTop w:val="0"/>
      <w:marBottom w:val="0"/>
      <w:divBdr>
        <w:top w:val="none" w:sz="0" w:space="0" w:color="auto"/>
        <w:left w:val="none" w:sz="0" w:space="0" w:color="auto"/>
        <w:bottom w:val="none" w:sz="0" w:space="0" w:color="auto"/>
        <w:right w:val="none" w:sz="0" w:space="0" w:color="auto"/>
      </w:divBdr>
    </w:div>
    <w:div w:id="55015944">
      <w:bodyDiv w:val="1"/>
      <w:marLeft w:val="0"/>
      <w:marRight w:val="0"/>
      <w:marTop w:val="0"/>
      <w:marBottom w:val="0"/>
      <w:divBdr>
        <w:top w:val="none" w:sz="0" w:space="0" w:color="auto"/>
        <w:left w:val="none" w:sz="0" w:space="0" w:color="auto"/>
        <w:bottom w:val="none" w:sz="0" w:space="0" w:color="auto"/>
        <w:right w:val="none" w:sz="0" w:space="0" w:color="auto"/>
      </w:divBdr>
    </w:div>
    <w:div w:id="55706785">
      <w:bodyDiv w:val="1"/>
      <w:marLeft w:val="0"/>
      <w:marRight w:val="0"/>
      <w:marTop w:val="0"/>
      <w:marBottom w:val="0"/>
      <w:divBdr>
        <w:top w:val="none" w:sz="0" w:space="0" w:color="auto"/>
        <w:left w:val="none" w:sz="0" w:space="0" w:color="auto"/>
        <w:bottom w:val="none" w:sz="0" w:space="0" w:color="auto"/>
        <w:right w:val="none" w:sz="0" w:space="0" w:color="auto"/>
      </w:divBdr>
    </w:div>
    <w:div w:id="55860601">
      <w:bodyDiv w:val="1"/>
      <w:marLeft w:val="0"/>
      <w:marRight w:val="0"/>
      <w:marTop w:val="0"/>
      <w:marBottom w:val="0"/>
      <w:divBdr>
        <w:top w:val="none" w:sz="0" w:space="0" w:color="auto"/>
        <w:left w:val="none" w:sz="0" w:space="0" w:color="auto"/>
        <w:bottom w:val="none" w:sz="0" w:space="0" w:color="auto"/>
        <w:right w:val="none" w:sz="0" w:space="0" w:color="auto"/>
      </w:divBdr>
    </w:div>
    <w:div w:id="55905094">
      <w:bodyDiv w:val="1"/>
      <w:marLeft w:val="0"/>
      <w:marRight w:val="0"/>
      <w:marTop w:val="0"/>
      <w:marBottom w:val="0"/>
      <w:divBdr>
        <w:top w:val="none" w:sz="0" w:space="0" w:color="auto"/>
        <w:left w:val="none" w:sz="0" w:space="0" w:color="auto"/>
        <w:bottom w:val="none" w:sz="0" w:space="0" w:color="auto"/>
        <w:right w:val="none" w:sz="0" w:space="0" w:color="auto"/>
      </w:divBdr>
    </w:div>
    <w:div w:id="56129583">
      <w:bodyDiv w:val="1"/>
      <w:marLeft w:val="0"/>
      <w:marRight w:val="0"/>
      <w:marTop w:val="0"/>
      <w:marBottom w:val="0"/>
      <w:divBdr>
        <w:top w:val="none" w:sz="0" w:space="0" w:color="auto"/>
        <w:left w:val="none" w:sz="0" w:space="0" w:color="auto"/>
        <w:bottom w:val="none" w:sz="0" w:space="0" w:color="auto"/>
        <w:right w:val="none" w:sz="0" w:space="0" w:color="auto"/>
      </w:divBdr>
    </w:div>
    <w:div w:id="56248944">
      <w:bodyDiv w:val="1"/>
      <w:marLeft w:val="0"/>
      <w:marRight w:val="0"/>
      <w:marTop w:val="0"/>
      <w:marBottom w:val="0"/>
      <w:divBdr>
        <w:top w:val="none" w:sz="0" w:space="0" w:color="auto"/>
        <w:left w:val="none" w:sz="0" w:space="0" w:color="auto"/>
        <w:bottom w:val="none" w:sz="0" w:space="0" w:color="auto"/>
        <w:right w:val="none" w:sz="0" w:space="0" w:color="auto"/>
      </w:divBdr>
    </w:div>
    <w:div w:id="56586430">
      <w:bodyDiv w:val="1"/>
      <w:marLeft w:val="0"/>
      <w:marRight w:val="0"/>
      <w:marTop w:val="0"/>
      <w:marBottom w:val="0"/>
      <w:divBdr>
        <w:top w:val="none" w:sz="0" w:space="0" w:color="auto"/>
        <w:left w:val="none" w:sz="0" w:space="0" w:color="auto"/>
        <w:bottom w:val="none" w:sz="0" w:space="0" w:color="auto"/>
        <w:right w:val="none" w:sz="0" w:space="0" w:color="auto"/>
      </w:divBdr>
    </w:div>
    <w:div w:id="56587274">
      <w:bodyDiv w:val="1"/>
      <w:marLeft w:val="0"/>
      <w:marRight w:val="0"/>
      <w:marTop w:val="0"/>
      <w:marBottom w:val="0"/>
      <w:divBdr>
        <w:top w:val="none" w:sz="0" w:space="0" w:color="auto"/>
        <w:left w:val="none" w:sz="0" w:space="0" w:color="auto"/>
        <w:bottom w:val="none" w:sz="0" w:space="0" w:color="auto"/>
        <w:right w:val="none" w:sz="0" w:space="0" w:color="auto"/>
      </w:divBdr>
    </w:div>
    <w:div w:id="56637767">
      <w:bodyDiv w:val="1"/>
      <w:marLeft w:val="0"/>
      <w:marRight w:val="0"/>
      <w:marTop w:val="0"/>
      <w:marBottom w:val="0"/>
      <w:divBdr>
        <w:top w:val="none" w:sz="0" w:space="0" w:color="auto"/>
        <w:left w:val="none" w:sz="0" w:space="0" w:color="auto"/>
        <w:bottom w:val="none" w:sz="0" w:space="0" w:color="auto"/>
        <w:right w:val="none" w:sz="0" w:space="0" w:color="auto"/>
      </w:divBdr>
    </w:div>
    <w:div w:id="56897615">
      <w:bodyDiv w:val="1"/>
      <w:marLeft w:val="0"/>
      <w:marRight w:val="0"/>
      <w:marTop w:val="0"/>
      <w:marBottom w:val="0"/>
      <w:divBdr>
        <w:top w:val="none" w:sz="0" w:space="0" w:color="auto"/>
        <w:left w:val="none" w:sz="0" w:space="0" w:color="auto"/>
        <w:bottom w:val="none" w:sz="0" w:space="0" w:color="auto"/>
        <w:right w:val="none" w:sz="0" w:space="0" w:color="auto"/>
      </w:divBdr>
    </w:div>
    <w:div w:id="57023974">
      <w:bodyDiv w:val="1"/>
      <w:marLeft w:val="0"/>
      <w:marRight w:val="0"/>
      <w:marTop w:val="0"/>
      <w:marBottom w:val="0"/>
      <w:divBdr>
        <w:top w:val="none" w:sz="0" w:space="0" w:color="auto"/>
        <w:left w:val="none" w:sz="0" w:space="0" w:color="auto"/>
        <w:bottom w:val="none" w:sz="0" w:space="0" w:color="auto"/>
        <w:right w:val="none" w:sz="0" w:space="0" w:color="auto"/>
      </w:divBdr>
    </w:div>
    <w:div w:id="57094989">
      <w:bodyDiv w:val="1"/>
      <w:marLeft w:val="0"/>
      <w:marRight w:val="0"/>
      <w:marTop w:val="0"/>
      <w:marBottom w:val="0"/>
      <w:divBdr>
        <w:top w:val="none" w:sz="0" w:space="0" w:color="auto"/>
        <w:left w:val="none" w:sz="0" w:space="0" w:color="auto"/>
        <w:bottom w:val="none" w:sz="0" w:space="0" w:color="auto"/>
        <w:right w:val="none" w:sz="0" w:space="0" w:color="auto"/>
      </w:divBdr>
    </w:div>
    <w:div w:id="57289273">
      <w:bodyDiv w:val="1"/>
      <w:marLeft w:val="0"/>
      <w:marRight w:val="0"/>
      <w:marTop w:val="0"/>
      <w:marBottom w:val="0"/>
      <w:divBdr>
        <w:top w:val="none" w:sz="0" w:space="0" w:color="auto"/>
        <w:left w:val="none" w:sz="0" w:space="0" w:color="auto"/>
        <w:bottom w:val="none" w:sz="0" w:space="0" w:color="auto"/>
        <w:right w:val="none" w:sz="0" w:space="0" w:color="auto"/>
      </w:divBdr>
    </w:div>
    <w:div w:id="57672963">
      <w:bodyDiv w:val="1"/>
      <w:marLeft w:val="0"/>
      <w:marRight w:val="0"/>
      <w:marTop w:val="0"/>
      <w:marBottom w:val="0"/>
      <w:divBdr>
        <w:top w:val="none" w:sz="0" w:space="0" w:color="auto"/>
        <w:left w:val="none" w:sz="0" w:space="0" w:color="auto"/>
        <w:bottom w:val="none" w:sz="0" w:space="0" w:color="auto"/>
        <w:right w:val="none" w:sz="0" w:space="0" w:color="auto"/>
      </w:divBdr>
    </w:div>
    <w:div w:id="57749634">
      <w:bodyDiv w:val="1"/>
      <w:marLeft w:val="0"/>
      <w:marRight w:val="0"/>
      <w:marTop w:val="0"/>
      <w:marBottom w:val="0"/>
      <w:divBdr>
        <w:top w:val="none" w:sz="0" w:space="0" w:color="auto"/>
        <w:left w:val="none" w:sz="0" w:space="0" w:color="auto"/>
        <w:bottom w:val="none" w:sz="0" w:space="0" w:color="auto"/>
        <w:right w:val="none" w:sz="0" w:space="0" w:color="auto"/>
      </w:divBdr>
    </w:div>
    <w:div w:id="57946897">
      <w:bodyDiv w:val="1"/>
      <w:marLeft w:val="0"/>
      <w:marRight w:val="0"/>
      <w:marTop w:val="0"/>
      <w:marBottom w:val="0"/>
      <w:divBdr>
        <w:top w:val="none" w:sz="0" w:space="0" w:color="auto"/>
        <w:left w:val="none" w:sz="0" w:space="0" w:color="auto"/>
        <w:bottom w:val="none" w:sz="0" w:space="0" w:color="auto"/>
        <w:right w:val="none" w:sz="0" w:space="0" w:color="auto"/>
      </w:divBdr>
    </w:div>
    <w:div w:id="58095446">
      <w:bodyDiv w:val="1"/>
      <w:marLeft w:val="0"/>
      <w:marRight w:val="0"/>
      <w:marTop w:val="0"/>
      <w:marBottom w:val="0"/>
      <w:divBdr>
        <w:top w:val="none" w:sz="0" w:space="0" w:color="auto"/>
        <w:left w:val="none" w:sz="0" w:space="0" w:color="auto"/>
        <w:bottom w:val="none" w:sz="0" w:space="0" w:color="auto"/>
        <w:right w:val="none" w:sz="0" w:space="0" w:color="auto"/>
      </w:divBdr>
    </w:div>
    <w:div w:id="58524721">
      <w:bodyDiv w:val="1"/>
      <w:marLeft w:val="0"/>
      <w:marRight w:val="0"/>
      <w:marTop w:val="0"/>
      <w:marBottom w:val="0"/>
      <w:divBdr>
        <w:top w:val="none" w:sz="0" w:space="0" w:color="auto"/>
        <w:left w:val="none" w:sz="0" w:space="0" w:color="auto"/>
        <w:bottom w:val="none" w:sz="0" w:space="0" w:color="auto"/>
        <w:right w:val="none" w:sz="0" w:space="0" w:color="auto"/>
      </w:divBdr>
    </w:div>
    <w:div w:id="58595472">
      <w:bodyDiv w:val="1"/>
      <w:marLeft w:val="0"/>
      <w:marRight w:val="0"/>
      <w:marTop w:val="0"/>
      <w:marBottom w:val="0"/>
      <w:divBdr>
        <w:top w:val="none" w:sz="0" w:space="0" w:color="auto"/>
        <w:left w:val="none" w:sz="0" w:space="0" w:color="auto"/>
        <w:bottom w:val="none" w:sz="0" w:space="0" w:color="auto"/>
        <w:right w:val="none" w:sz="0" w:space="0" w:color="auto"/>
      </w:divBdr>
    </w:div>
    <w:div w:id="58722096">
      <w:bodyDiv w:val="1"/>
      <w:marLeft w:val="0"/>
      <w:marRight w:val="0"/>
      <w:marTop w:val="0"/>
      <w:marBottom w:val="0"/>
      <w:divBdr>
        <w:top w:val="none" w:sz="0" w:space="0" w:color="auto"/>
        <w:left w:val="none" w:sz="0" w:space="0" w:color="auto"/>
        <w:bottom w:val="none" w:sz="0" w:space="0" w:color="auto"/>
        <w:right w:val="none" w:sz="0" w:space="0" w:color="auto"/>
      </w:divBdr>
    </w:div>
    <w:div w:id="58947281">
      <w:bodyDiv w:val="1"/>
      <w:marLeft w:val="0"/>
      <w:marRight w:val="0"/>
      <w:marTop w:val="0"/>
      <w:marBottom w:val="0"/>
      <w:divBdr>
        <w:top w:val="none" w:sz="0" w:space="0" w:color="auto"/>
        <w:left w:val="none" w:sz="0" w:space="0" w:color="auto"/>
        <w:bottom w:val="none" w:sz="0" w:space="0" w:color="auto"/>
        <w:right w:val="none" w:sz="0" w:space="0" w:color="auto"/>
      </w:divBdr>
    </w:div>
    <w:div w:id="58987900">
      <w:bodyDiv w:val="1"/>
      <w:marLeft w:val="0"/>
      <w:marRight w:val="0"/>
      <w:marTop w:val="0"/>
      <w:marBottom w:val="0"/>
      <w:divBdr>
        <w:top w:val="none" w:sz="0" w:space="0" w:color="auto"/>
        <w:left w:val="none" w:sz="0" w:space="0" w:color="auto"/>
        <w:bottom w:val="none" w:sz="0" w:space="0" w:color="auto"/>
        <w:right w:val="none" w:sz="0" w:space="0" w:color="auto"/>
      </w:divBdr>
    </w:div>
    <w:div w:id="59181924">
      <w:bodyDiv w:val="1"/>
      <w:marLeft w:val="0"/>
      <w:marRight w:val="0"/>
      <w:marTop w:val="0"/>
      <w:marBottom w:val="0"/>
      <w:divBdr>
        <w:top w:val="none" w:sz="0" w:space="0" w:color="auto"/>
        <w:left w:val="none" w:sz="0" w:space="0" w:color="auto"/>
        <w:bottom w:val="none" w:sz="0" w:space="0" w:color="auto"/>
        <w:right w:val="none" w:sz="0" w:space="0" w:color="auto"/>
      </w:divBdr>
    </w:div>
    <w:div w:id="59251688">
      <w:bodyDiv w:val="1"/>
      <w:marLeft w:val="0"/>
      <w:marRight w:val="0"/>
      <w:marTop w:val="0"/>
      <w:marBottom w:val="0"/>
      <w:divBdr>
        <w:top w:val="none" w:sz="0" w:space="0" w:color="auto"/>
        <w:left w:val="none" w:sz="0" w:space="0" w:color="auto"/>
        <w:bottom w:val="none" w:sz="0" w:space="0" w:color="auto"/>
        <w:right w:val="none" w:sz="0" w:space="0" w:color="auto"/>
      </w:divBdr>
    </w:div>
    <w:div w:id="59406636">
      <w:bodyDiv w:val="1"/>
      <w:marLeft w:val="0"/>
      <w:marRight w:val="0"/>
      <w:marTop w:val="0"/>
      <w:marBottom w:val="0"/>
      <w:divBdr>
        <w:top w:val="none" w:sz="0" w:space="0" w:color="auto"/>
        <w:left w:val="none" w:sz="0" w:space="0" w:color="auto"/>
        <w:bottom w:val="none" w:sz="0" w:space="0" w:color="auto"/>
        <w:right w:val="none" w:sz="0" w:space="0" w:color="auto"/>
      </w:divBdr>
    </w:div>
    <w:div w:id="59714961">
      <w:bodyDiv w:val="1"/>
      <w:marLeft w:val="0"/>
      <w:marRight w:val="0"/>
      <w:marTop w:val="0"/>
      <w:marBottom w:val="0"/>
      <w:divBdr>
        <w:top w:val="none" w:sz="0" w:space="0" w:color="auto"/>
        <w:left w:val="none" w:sz="0" w:space="0" w:color="auto"/>
        <w:bottom w:val="none" w:sz="0" w:space="0" w:color="auto"/>
        <w:right w:val="none" w:sz="0" w:space="0" w:color="auto"/>
      </w:divBdr>
    </w:div>
    <w:div w:id="59906395">
      <w:bodyDiv w:val="1"/>
      <w:marLeft w:val="0"/>
      <w:marRight w:val="0"/>
      <w:marTop w:val="0"/>
      <w:marBottom w:val="0"/>
      <w:divBdr>
        <w:top w:val="none" w:sz="0" w:space="0" w:color="auto"/>
        <w:left w:val="none" w:sz="0" w:space="0" w:color="auto"/>
        <w:bottom w:val="none" w:sz="0" w:space="0" w:color="auto"/>
        <w:right w:val="none" w:sz="0" w:space="0" w:color="auto"/>
      </w:divBdr>
    </w:div>
    <w:div w:id="59907717">
      <w:bodyDiv w:val="1"/>
      <w:marLeft w:val="0"/>
      <w:marRight w:val="0"/>
      <w:marTop w:val="0"/>
      <w:marBottom w:val="0"/>
      <w:divBdr>
        <w:top w:val="none" w:sz="0" w:space="0" w:color="auto"/>
        <w:left w:val="none" w:sz="0" w:space="0" w:color="auto"/>
        <w:bottom w:val="none" w:sz="0" w:space="0" w:color="auto"/>
        <w:right w:val="none" w:sz="0" w:space="0" w:color="auto"/>
      </w:divBdr>
    </w:div>
    <w:div w:id="59914423">
      <w:bodyDiv w:val="1"/>
      <w:marLeft w:val="0"/>
      <w:marRight w:val="0"/>
      <w:marTop w:val="0"/>
      <w:marBottom w:val="0"/>
      <w:divBdr>
        <w:top w:val="none" w:sz="0" w:space="0" w:color="auto"/>
        <w:left w:val="none" w:sz="0" w:space="0" w:color="auto"/>
        <w:bottom w:val="none" w:sz="0" w:space="0" w:color="auto"/>
        <w:right w:val="none" w:sz="0" w:space="0" w:color="auto"/>
      </w:divBdr>
    </w:div>
    <w:div w:id="59987535">
      <w:bodyDiv w:val="1"/>
      <w:marLeft w:val="0"/>
      <w:marRight w:val="0"/>
      <w:marTop w:val="0"/>
      <w:marBottom w:val="0"/>
      <w:divBdr>
        <w:top w:val="none" w:sz="0" w:space="0" w:color="auto"/>
        <w:left w:val="none" w:sz="0" w:space="0" w:color="auto"/>
        <w:bottom w:val="none" w:sz="0" w:space="0" w:color="auto"/>
        <w:right w:val="none" w:sz="0" w:space="0" w:color="auto"/>
      </w:divBdr>
    </w:div>
    <w:div w:id="60058391">
      <w:bodyDiv w:val="1"/>
      <w:marLeft w:val="0"/>
      <w:marRight w:val="0"/>
      <w:marTop w:val="0"/>
      <w:marBottom w:val="0"/>
      <w:divBdr>
        <w:top w:val="none" w:sz="0" w:space="0" w:color="auto"/>
        <w:left w:val="none" w:sz="0" w:space="0" w:color="auto"/>
        <w:bottom w:val="none" w:sz="0" w:space="0" w:color="auto"/>
        <w:right w:val="none" w:sz="0" w:space="0" w:color="auto"/>
      </w:divBdr>
    </w:div>
    <w:div w:id="60176028">
      <w:bodyDiv w:val="1"/>
      <w:marLeft w:val="0"/>
      <w:marRight w:val="0"/>
      <w:marTop w:val="0"/>
      <w:marBottom w:val="0"/>
      <w:divBdr>
        <w:top w:val="none" w:sz="0" w:space="0" w:color="auto"/>
        <w:left w:val="none" w:sz="0" w:space="0" w:color="auto"/>
        <w:bottom w:val="none" w:sz="0" w:space="0" w:color="auto"/>
        <w:right w:val="none" w:sz="0" w:space="0" w:color="auto"/>
      </w:divBdr>
    </w:div>
    <w:div w:id="60444159">
      <w:bodyDiv w:val="1"/>
      <w:marLeft w:val="0"/>
      <w:marRight w:val="0"/>
      <w:marTop w:val="0"/>
      <w:marBottom w:val="0"/>
      <w:divBdr>
        <w:top w:val="none" w:sz="0" w:space="0" w:color="auto"/>
        <w:left w:val="none" w:sz="0" w:space="0" w:color="auto"/>
        <w:bottom w:val="none" w:sz="0" w:space="0" w:color="auto"/>
        <w:right w:val="none" w:sz="0" w:space="0" w:color="auto"/>
      </w:divBdr>
    </w:div>
    <w:div w:id="61022669">
      <w:bodyDiv w:val="1"/>
      <w:marLeft w:val="0"/>
      <w:marRight w:val="0"/>
      <w:marTop w:val="0"/>
      <w:marBottom w:val="0"/>
      <w:divBdr>
        <w:top w:val="none" w:sz="0" w:space="0" w:color="auto"/>
        <w:left w:val="none" w:sz="0" w:space="0" w:color="auto"/>
        <w:bottom w:val="none" w:sz="0" w:space="0" w:color="auto"/>
        <w:right w:val="none" w:sz="0" w:space="0" w:color="auto"/>
      </w:divBdr>
    </w:div>
    <w:div w:id="61105017">
      <w:bodyDiv w:val="1"/>
      <w:marLeft w:val="0"/>
      <w:marRight w:val="0"/>
      <w:marTop w:val="0"/>
      <w:marBottom w:val="0"/>
      <w:divBdr>
        <w:top w:val="none" w:sz="0" w:space="0" w:color="auto"/>
        <w:left w:val="none" w:sz="0" w:space="0" w:color="auto"/>
        <w:bottom w:val="none" w:sz="0" w:space="0" w:color="auto"/>
        <w:right w:val="none" w:sz="0" w:space="0" w:color="auto"/>
      </w:divBdr>
    </w:div>
    <w:div w:id="61416749">
      <w:bodyDiv w:val="1"/>
      <w:marLeft w:val="0"/>
      <w:marRight w:val="0"/>
      <w:marTop w:val="0"/>
      <w:marBottom w:val="0"/>
      <w:divBdr>
        <w:top w:val="none" w:sz="0" w:space="0" w:color="auto"/>
        <w:left w:val="none" w:sz="0" w:space="0" w:color="auto"/>
        <w:bottom w:val="none" w:sz="0" w:space="0" w:color="auto"/>
        <w:right w:val="none" w:sz="0" w:space="0" w:color="auto"/>
      </w:divBdr>
    </w:div>
    <w:div w:id="61677838">
      <w:bodyDiv w:val="1"/>
      <w:marLeft w:val="0"/>
      <w:marRight w:val="0"/>
      <w:marTop w:val="0"/>
      <w:marBottom w:val="0"/>
      <w:divBdr>
        <w:top w:val="none" w:sz="0" w:space="0" w:color="auto"/>
        <w:left w:val="none" w:sz="0" w:space="0" w:color="auto"/>
        <w:bottom w:val="none" w:sz="0" w:space="0" w:color="auto"/>
        <w:right w:val="none" w:sz="0" w:space="0" w:color="auto"/>
      </w:divBdr>
    </w:div>
    <w:div w:id="61871578">
      <w:bodyDiv w:val="1"/>
      <w:marLeft w:val="0"/>
      <w:marRight w:val="0"/>
      <w:marTop w:val="0"/>
      <w:marBottom w:val="0"/>
      <w:divBdr>
        <w:top w:val="none" w:sz="0" w:space="0" w:color="auto"/>
        <w:left w:val="none" w:sz="0" w:space="0" w:color="auto"/>
        <w:bottom w:val="none" w:sz="0" w:space="0" w:color="auto"/>
        <w:right w:val="none" w:sz="0" w:space="0" w:color="auto"/>
      </w:divBdr>
    </w:div>
    <w:div w:id="62072302">
      <w:bodyDiv w:val="1"/>
      <w:marLeft w:val="0"/>
      <w:marRight w:val="0"/>
      <w:marTop w:val="0"/>
      <w:marBottom w:val="0"/>
      <w:divBdr>
        <w:top w:val="none" w:sz="0" w:space="0" w:color="auto"/>
        <w:left w:val="none" w:sz="0" w:space="0" w:color="auto"/>
        <w:bottom w:val="none" w:sz="0" w:space="0" w:color="auto"/>
        <w:right w:val="none" w:sz="0" w:space="0" w:color="auto"/>
      </w:divBdr>
    </w:div>
    <w:div w:id="62412347">
      <w:bodyDiv w:val="1"/>
      <w:marLeft w:val="0"/>
      <w:marRight w:val="0"/>
      <w:marTop w:val="0"/>
      <w:marBottom w:val="0"/>
      <w:divBdr>
        <w:top w:val="none" w:sz="0" w:space="0" w:color="auto"/>
        <w:left w:val="none" w:sz="0" w:space="0" w:color="auto"/>
        <w:bottom w:val="none" w:sz="0" w:space="0" w:color="auto"/>
        <w:right w:val="none" w:sz="0" w:space="0" w:color="auto"/>
      </w:divBdr>
    </w:div>
    <w:div w:id="62728191">
      <w:bodyDiv w:val="1"/>
      <w:marLeft w:val="0"/>
      <w:marRight w:val="0"/>
      <w:marTop w:val="0"/>
      <w:marBottom w:val="0"/>
      <w:divBdr>
        <w:top w:val="none" w:sz="0" w:space="0" w:color="auto"/>
        <w:left w:val="none" w:sz="0" w:space="0" w:color="auto"/>
        <w:bottom w:val="none" w:sz="0" w:space="0" w:color="auto"/>
        <w:right w:val="none" w:sz="0" w:space="0" w:color="auto"/>
      </w:divBdr>
    </w:div>
    <w:div w:id="62802802">
      <w:bodyDiv w:val="1"/>
      <w:marLeft w:val="0"/>
      <w:marRight w:val="0"/>
      <w:marTop w:val="0"/>
      <w:marBottom w:val="0"/>
      <w:divBdr>
        <w:top w:val="none" w:sz="0" w:space="0" w:color="auto"/>
        <w:left w:val="none" w:sz="0" w:space="0" w:color="auto"/>
        <w:bottom w:val="none" w:sz="0" w:space="0" w:color="auto"/>
        <w:right w:val="none" w:sz="0" w:space="0" w:color="auto"/>
      </w:divBdr>
    </w:div>
    <w:div w:id="62874343">
      <w:bodyDiv w:val="1"/>
      <w:marLeft w:val="0"/>
      <w:marRight w:val="0"/>
      <w:marTop w:val="0"/>
      <w:marBottom w:val="0"/>
      <w:divBdr>
        <w:top w:val="none" w:sz="0" w:space="0" w:color="auto"/>
        <w:left w:val="none" w:sz="0" w:space="0" w:color="auto"/>
        <w:bottom w:val="none" w:sz="0" w:space="0" w:color="auto"/>
        <w:right w:val="none" w:sz="0" w:space="0" w:color="auto"/>
      </w:divBdr>
    </w:div>
    <w:div w:id="63528536">
      <w:bodyDiv w:val="1"/>
      <w:marLeft w:val="0"/>
      <w:marRight w:val="0"/>
      <w:marTop w:val="0"/>
      <w:marBottom w:val="0"/>
      <w:divBdr>
        <w:top w:val="none" w:sz="0" w:space="0" w:color="auto"/>
        <w:left w:val="none" w:sz="0" w:space="0" w:color="auto"/>
        <w:bottom w:val="none" w:sz="0" w:space="0" w:color="auto"/>
        <w:right w:val="none" w:sz="0" w:space="0" w:color="auto"/>
      </w:divBdr>
    </w:div>
    <w:div w:id="63837347">
      <w:bodyDiv w:val="1"/>
      <w:marLeft w:val="0"/>
      <w:marRight w:val="0"/>
      <w:marTop w:val="0"/>
      <w:marBottom w:val="0"/>
      <w:divBdr>
        <w:top w:val="none" w:sz="0" w:space="0" w:color="auto"/>
        <w:left w:val="none" w:sz="0" w:space="0" w:color="auto"/>
        <w:bottom w:val="none" w:sz="0" w:space="0" w:color="auto"/>
        <w:right w:val="none" w:sz="0" w:space="0" w:color="auto"/>
      </w:divBdr>
    </w:div>
    <w:div w:id="64232531">
      <w:bodyDiv w:val="1"/>
      <w:marLeft w:val="0"/>
      <w:marRight w:val="0"/>
      <w:marTop w:val="0"/>
      <w:marBottom w:val="0"/>
      <w:divBdr>
        <w:top w:val="none" w:sz="0" w:space="0" w:color="auto"/>
        <w:left w:val="none" w:sz="0" w:space="0" w:color="auto"/>
        <w:bottom w:val="none" w:sz="0" w:space="0" w:color="auto"/>
        <w:right w:val="none" w:sz="0" w:space="0" w:color="auto"/>
      </w:divBdr>
    </w:div>
    <w:div w:id="64305201">
      <w:bodyDiv w:val="1"/>
      <w:marLeft w:val="0"/>
      <w:marRight w:val="0"/>
      <w:marTop w:val="0"/>
      <w:marBottom w:val="0"/>
      <w:divBdr>
        <w:top w:val="none" w:sz="0" w:space="0" w:color="auto"/>
        <w:left w:val="none" w:sz="0" w:space="0" w:color="auto"/>
        <w:bottom w:val="none" w:sz="0" w:space="0" w:color="auto"/>
        <w:right w:val="none" w:sz="0" w:space="0" w:color="auto"/>
      </w:divBdr>
    </w:div>
    <w:div w:id="64451095">
      <w:bodyDiv w:val="1"/>
      <w:marLeft w:val="0"/>
      <w:marRight w:val="0"/>
      <w:marTop w:val="0"/>
      <w:marBottom w:val="0"/>
      <w:divBdr>
        <w:top w:val="none" w:sz="0" w:space="0" w:color="auto"/>
        <w:left w:val="none" w:sz="0" w:space="0" w:color="auto"/>
        <w:bottom w:val="none" w:sz="0" w:space="0" w:color="auto"/>
        <w:right w:val="none" w:sz="0" w:space="0" w:color="auto"/>
      </w:divBdr>
    </w:div>
    <w:div w:id="64883965">
      <w:bodyDiv w:val="1"/>
      <w:marLeft w:val="0"/>
      <w:marRight w:val="0"/>
      <w:marTop w:val="0"/>
      <w:marBottom w:val="0"/>
      <w:divBdr>
        <w:top w:val="none" w:sz="0" w:space="0" w:color="auto"/>
        <w:left w:val="none" w:sz="0" w:space="0" w:color="auto"/>
        <w:bottom w:val="none" w:sz="0" w:space="0" w:color="auto"/>
        <w:right w:val="none" w:sz="0" w:space="0" w:color="auto"/>
      </w:divBdr>
    </w:div>
    <w:div w:id="65417606">
      <w:bodyDiv w:val="1"/>
      <w:marLeft w:val="0"/>
      <w:marRight w:val="0"/>
      <w:marTop w:val="0"/>
      <w:marBottom w:val="0"/>
      <w:divBdr>
        <w:top w:val="none" w:sz="0" w:space="0" w:color="auto"/>
        <w:left w:val="none" w:sz="0" w:space="0" w:color="auto"/>
        <w:bottom w:val="none" w:sz="0" w:space="0" w:color="auto"/>
        <w:right w:val="none" w:sz="0" w:space="0" w:color="auto"/>
      </w:divBdr>
    </w:div>
    <w:div w:id="65496829">
      <w:bodyDiv w:val="1"/>
      <w:marLeft w:val="0"/>
      <w:marRight w:val="0"/>
      <w:marTop w:val="0"/>
      <w:marBottom w:val="0"/>
      <w:divBdr>
        <w:top w:val="none" w:sz="0" w:space="0" w:color="auto"/>
        <w:left w:val="none" w:sz="0" w:space="0" w:color="auto"/>
        <w:bottom w:val="none" w:sz="0" w:space="0" w:color="auto"/>
        <w:right w:val="none" w:sz="0" w:space="0" w:color="auto"/>
      </w:divBdr>
    </w:div>
    <w:div w:id="65499143">
      <w:bodyDiv w:val="1"/>
      <w:marLeft w:val="0"/>
      <w:marRight w:val="0"/>
      <w:marTop w:val="0"/>
      <w:marBottom w:val="0"/>
      <w:divBdr>
        <w:top w:val="none" w:sz="0" w:space="0" w:color="auto"/>
        <w:left w:val="none" w:sz="0" w:space="0" w:color="auto"/>
        <w:bottom w:val="none" w:sz="0" w:space="0" w:color="auto"/>
        <w:right w:val="none" w:sz="0" w:space="0" w:color="auto"/>
      </w:divBdr>
    </w:div>
    <w:div w:id="65883971">
      <w:bodyDiv w:val="1"/>
      <w:marLeft w:val="0"/>
      <w:marRight w:val="0"/>
      <w:marTop w:val="0"/>
      <w:marBottom w:val="0"/>
      <w:divBdr>
        <w:top w:val="none" w:sz="0" w:space="0" w:color="auto"/>
        <w:left w:val="none" w:sz="0" w:space="0" w:color="auto"/>
        <w:bottom w:val="none" w:sz="0" w:space="0" w:color="auto"/>
        <w:right w:val="none" w:sz="0" w:space="0" w:color="auto"/>
      </w:divBdr>
    </w:div>
    <w:div w:id="66073371">
      <w:bodyDiv w:val="1"/>
      <w:marLeft w:val="0"/>
      <w:marRight w:val="0"/>
      <w:marTop w:val="0"/>
      <w:marBottom w:val="0"/>
      <w:divBdr>
        <w:top w:val="none" w:sz="0" w:space="0" w:color="auto"/>
        <w:left w:val="none" w:sz="0" w:space="0" w:color="auto"/>
        <w:bottom w:val="none" w:sz="0" w:space="0" w:color="auto"/>
        <w:right w:val="none" w:sz="0" w:space="0" w:color="auto"/>
      </w:divBdr>
    </w:div>
    <w:div w:id="66076375">
      <w:bodyDiv w:val="1"/>
      <w:marLeft w:val="0"/>
      <w:marRight w:val="0"/>
      <w:marTop w:val="0"/>
      <w:marBottom w:val="0"/>
      <w:divBdr>
        <w:top w:val="none" w:sz="0" w:space="0" w:color="auto"/>
        <w:left w:val="none" w:sz="0" w:space="0" w:color="auto"/>
        <w:bottom w:val="none" w:sz="0" w:space="0" w:color="auto"/>
        <w:right w:val="none" w:sz="0" w:space="0" w:color="auto"/>
      </w:divBdr>
    </w:div>
    <w:div w:id="66659984">
      <w:bodyDiv w:val="1"/>
      <w:marLeft w:val="0"/>
      <w:marRight w:val="0"/>
      <w:marTop w:val="0"/>
      <w:marBottom w:val="0"/>
      <w:divBdr>
        <w:top w:val="none" w:sz="0" w:space="0" w:color="auto"/>
        <w:left w:val="none" w:sz="0" w:space="0" w:color="auto"/>
        <w:bottom w:val="none" w:sz="0" w:space="0" w:color="auto"/>
        <w:right w:val="none" w:sz="0" w:space="0" w:color="auto"/>
      </w:divBdr>
    </w:div>
    <w:div w:id="66726881">
      <w:bodyDiv w:val="1"/>
      <w:marLeft w:val="0"/>
      <w:marRight w:val="0"/>
      <w:marTop w:val="0"/>
      <w:marBottom w:val="0"/>
      <w:divBdr>
        <w:top w:val="none" w:sz="0" w:space="0" w:color="auto"/>
        <w:left w:val="none" w:sz="0" w:space="0" w:color="auto"/>
        <w:bottom w:val="none" w:sz="0" w:space="0" w:color="auto"/>
        <w:right w:val="none" w:sz="0" w:space="0" w:color="auto"/>
      </w:divBdr>
    </w:div>
    <w:div w:id="66804736">
      <w:bodyDiv w:val="1"/>
      <w:marLeft w:val="0"/>
      <w:marRight w:val="0"/>
      <w:marTop w:val="0"/>
      <w:marBottom w:val="0"/>
      <w:divBdr>
        <w:top w:val="none" w:sz="0" w:space="0" w:color="auto"/>
        <w:left w:val="none" w:sz="0" w:space="0" w:color="auto"/>
        <w:bottom w:val="none" w:sz="0" w:space="0" w:color="auto"/>
        <w:right w:val="none" w:sz="0" w:space="0" w:color="auto"/>
      </w:divBdr>
    </w:div>
    <w:div w:id="67503831">
      <w:bodyDiv w:val="1"/>
      <w:marLeft w:val="0"/>
      <w:marRight w:val="0"/>
      <w:marTop w:val="0"/>
      <w:marBottom w:val="0"/>
      <w:divBdr>
        <w:top w:val="none" w:sz="0" w:space="0" w:color="auto"/>
        <w:left w:val="none" w:sz="0" w:space="0" w:color="auto"/>
        <w:bottom w:val="none" w:sz="0" w:space="0" w:color="auto"/>
        <w:right w:val="none" w:sz="0" w:space="0" w:color="auto"/>
      </w:divBdr>
    </w:div>
    <w:div w:id="67575845">
      <w:bodyDiv w:val="1"/>
      <w:marLeft w:val="0"/>
      <w:marRight w:val="0"/>
      <w:marTop w:val="0"/>
      <w:marBottom w:val="0"/>
      <w:divBdr>
        <w:top w:val="none" w:sz="0" w:space="0" w:color="auto"/>
        <w:left w:val="none" w:sz="0" w:space="0" w:color="auto"/>
        <w:bottom w:val="none" w:sz="0" w:space="0" w:color="auto"/>
        <w:right w:val="none" w:sz="0" w:space="0" w:color="auto"/>
      </w:divBdr>
    </w:div>
    <w:div w:id="67576541">
      <w:bodyDiv w:val="1"/>
      <w:marLeft w:val="0"/>
      <w:marRight w:val="0"/>
      <w:marTop w:val="0"/>
      <w:marBottom w:val="0"/>
      <w:divBdr>
        <w:top w:val="none" w:sz="0" w:space="0" w:color="auto"/>
        <w:left w:val="none" w:sz="0" w:space="0" w:color="auto"/>
        <w:bottom w:val="none" w:sz="0" w:space="0" w:color="auto"/>
        <w:right w:val="none" w:sz="0" w:space="0" w:color="auto"/>
      </w:divBdr>
    </w:div>
    <w:div w:id="67729253">
      <w:bodyDiv w:val="1"/>
      <w:marLeft w:val="0"/>
      <w:marRight w:val="0"/>
      <w:marTop w:val="0"/>
      <w:marBottom w:val="0"/>
      <w:divBdr>
        <w:top w:val="none" w:sz="0" w:space="0" w:color="auto"/>
        <w:left w:val="none" w:sz="0" w:space="0" w:color="auto"/>
        <w:bottom w:val="none" w:sz="0" w:space="0" w:color="auto"/>
        <w:right w:val="none" w:sz="0" w:space="0" w:color="auto"/>
      </w:divBdr>
    </w:div>
    <w:div w:id="67969587">
      <w:bodyDiv w:val="1"/>
      <w:marLeft w:val="0"/>
      <w:marRight w:val="0"/>
      <w:marTop w:val="0"/>
      <w:marBottom w:val="0"/>
      <w:divBdr>
        <w:top w:val="none" w:sz="0" w:space="0" w:color="auto"/>
        <w:left w:val="none" w:sz="0" w:space="0" w:color="auto"/>
        <w:bottom w:val="none" w:sz="0" w:space="0" w:color="auto"/>
        <w:right w:val="none" w:sz="0" w:space="0" w:color="auto"/>
      </w:divBdr>
    </w:div>
    <w:div w:id="68038009">
      <w:bodyDiv w:val="1"/>
      <w:marLeft w:val="0"/>
      <w:marRight w:val="0"/>
      <w:marTop w:val="0"/>
      <w:marBottom w:val="0"/>
      <w:divBdr>
        <w:top w:val="none" w:sz="0" w:space="0" w:color="auto"/>
        <w:left w:val="none" w:sz="0" w:space="0" w:color="auto"/>
        <w:bottom w:val="none" w:sz="0" w:space="0" w:color="auto"/>
        <w:right w:val="none" w:sz="0" w:space="0" w:color="auto"/>
      </w:divBdr>
    </w:div>
    <w:div w:id="68231695">
      <w:bodyDiv w:val="1"/>
      <w:marLeft w:val="0"/>
      <w:marRight w:val="0"/>
      <w:marTop w:val="0"/>
      <w:marBottom w:val="0"/>
      <w:divBdr>
        <w:top w:val="none" w:sz="0" w:space="0" w:color="auto"/>
        <w:left w:val="none" w:sz="0" w:space="0" w:color="auto"/>
        <w:bottom w:val="none" w:sz="0" w:space="0" w:color="auto"/>
        <w:right w:val="none" w:sz="0" w:space="0" w:color="auto"/>
      </w:divBdr>
    </w:div>
    <w:div w:id="68238509">
      <w:bodyDiv w:val="1"/>
      <w:marLeft w:val="0"/>
      <w:marRight w:val="0"/>
      <w:marTop w:val="0"/>
      <w:marBottom w:val="0"/>
      <w:divBdr>
        <w:top w:val="none" w:sz="0" w:space="0" w:color="auto"/>
        <w:left w:val="none" w:sz="0" w:space="0" w:color="auto"/>
        <w:bottom w:val="none" w:sz="0" w:space="0" w:color="auto"/>
        <w:right w:val="none" w:sz="0" w:space="0" w:color="auto"/>
      </w:divBdr>
    </w:div>
    <w:div w:id="68381004">
      <w:bodyDiv w:val="1"/>
      <w:marLeft w:val="0"/>
      <w:marRight w:val="0"/>
      <w:marTop w:val="0"/>
      <w:marBottom w:val="0"/>
      <w:divBdr>
        <w:top w:val="none" w:sz="0" w:space="0" w:color="auto"/>
        <w:left w:val="none" w:sz="0" w:space="0" w:color="auto"/>
        <w:bottom w:val="none" w:sz="0" w:space="0" w:color="auto"/>
        <w:right w:val="none" w:sz="0" w:space="0" w:color="auto"/>
      </w:divBdr>
    </w:div>
    <w:div w:id="68619690">
      <w:bodyDiv w:val="1"/>
      <w:marLeft w:val="0"/>
      <w:marRight w:val="0"/>
      <w:marTop w:val="0"/>
      <w:marBottom w:val="0"/>
      <w:divBdr>
        <w:top w:val="none" w:sz="0" w:space="0" w:color="auto"/>
        <w:left w:val="none" w:sz="0" w:space="0" w:color="auto"/>
        <w:bottom w:val="none" w:sz="0" w:space="0" w:color="auto"/>
        <w:right w:val="none" w:sz="0" w:space="0" w:color="auto"/>
      </w:divBdr>
    </w:div>
    <w:div w:id="69080839">
      <w:bodyDiv w:val="1"/>
      <w:marLeft w:val="0"/>
      <w:marRight w:val="0"/>
      <w:marTop w:val="0"/>
      <w:marBottom w:val="0"/>
      <w:divBdr>
        <w:top w:val="none" w:sz="0" w:space="0" w:color="auto"/>
        <w:left w:val="none" w:sz="0" w:space="0" w:color="auto"/>
        <w:bottom w:val="none" w:sz="0" w:space="0" w:color="auto"/>
        <w:right w:val="none" w:sz="0" w:space="0" w:color="auto"/>
      </w:divBdr>
    </w:div>
    <w:div w:id="69277679">
      <w:bodyDiv w:val="1"/>
      <w:marLeft w:val="0"/>
      <w:marRight w:val="0"/>
      <w:marTop w:val="0"/>
      <w:marBottom w:val="0"/>
      <w:divBdr>
        <w:top w:val="none" w:sz="0" w:space="0" w:color="auto"/>
        <w:left w:val="none" w:sz="0" w:space="0" w:color="auto"/>
        <w:bottom w:val="none" w:sz="0" w:space="0" w:color="auto"/>
        <w:right w:val="none" w:sz="0" w:space="0" w:color="auto"/>
      </w:divBdr>
    </w:div>
    <w:div w:id="69425478">
      <w:bodyDiv w:val="1"/>
      <w:marLeft w:val="0"/>
      <w:marRight w:val="0"/>
      <w:marTop w:val="0"/>
      <w:marBottom w:val="0"/>
      <w:divBdr>
        <w:top w:val="none" w:sz="0" w:space="0" w:color="auto"/>
        <w:left w:val="none" w:sz="0" w:space="0" w:color="auto"/>
        <w:bottom w:val="none" w:sz="0" w:space="0" w:color="auto"/>
        <w:right w:val="none" w:sz="0" w:space="0" w:color="auto"/>
      </w:divBdr>
    </w:div>
    <w:div w:id="69743667">
      <w:bodyDiv w:val="1"/>
      <w:marLeft w:val="0"/>
      <w:marRight w:val="0"/>
      <w:marTop w:val="0"/>
      <w:marBottom w:val="0"/>
      <w:divBdr>
        <w:top w:val="none" w:sz="0" w:space="0" w:color="auto"/>
        <w:left w:val="none" w:sz="0" w:space="0" w:color="auto"/>
        <w:bottom w:val="none" w:sz="0" w:space="0" w:color="auto"/>
        <w:right w:val="none" w:sz="0" w:space="0" w:color="auto"/>
      </w:divBdr>
    </w:div>
    <w:div w:id="69928890">
      <w:bodyDiv w:val="1"/>
      <w:marLeft w:val="0"/>
      <w:marRight w:val="0"/>
      <w:marTop w:val="0"/>
      <w:marBottom w:val="0"/>
      <w:divBdr>
        <w:top w:val="none" w:sz="0" w:space="0" w:color="auto"/>
        <w:left w:val="none" w:sz="0" w:space="0" w:color="auto"/>
        <w:bottom w:val="none" w:sz="0" w:space="0" w:color="auto"/>
        <w:right w:val="none" w:sz="0" w:space="0" w:color="auto"/>
      </w:divBdr>
    </w:div>
    <w:div w:id="69935446">
      <w:bodyDiv w:val="1"/>
      <w:marLeft w:val="0"/>
      <w:marRight w:val="0"/>
      <w:marTop w:val="0"/>
      <w:marBottom w:val="0"/>
      <w:divBdr>
        <w:top w:val="none" w:sz="0" w:space="0" w:color="auto"/>
        <w:left w:val="none" w:sz="0" w:space="0" w:color="auto"/>
        <w:bottom w:val="none" w:sz="0" w:space="0" w:color="auto"/>
        <w:right w:val="none" w:sz="0" w:space="0" w:color="auto"/>
      </w:divBdr>
    </w:div>
    <w:div w:id="70011422">
      <w:bodyDiv w:val="1"/>
      <w:marLeft w:val="0"/>
      <w:marRight w:val="0"/>
      <w:marTop w:val="0"/>
      <w:marBottom w:val="0"/>
      <w:divBdr>
        <w:top w:val="none" w:sz="0" w:space="0" w:color="auto"/>
        <w:left w:val="none" w:sz="0" w:space="0" w:color="auto"/>
        <w:bottom w:val="none" w:sz="0" w:space="0" w:color="auto"/>
        <w:right w:val="none" w:sz="0" w:space="0" w:color="auto"/>
      </w:divBdr>
    </w:div>
    <w:div w:id="70544150">
      <w:bodyDiv w:val="1"/>
      <w:marLeft w:val="0"/>
      <w:marRight w:val="0"/>
      <w:marTop w:val="0"/>
      <w:marBottom w:val="0"/>
      <w:divBdr>
        <w:top w:val="none" w:sz="0" w:space="0" w:color="auto"/>
        <w:left w:val="none" w:sz="0" w:space="0" w:color="auto"/>
        <w:bottom w:val="none" w:sz="0" w:space="0" w:color="auto"/>
        <w:right w:val="none" w:sz="0" w:space="0" w:color="auto"/>
      </w:divBdr>
    </w:div>
    <w:div w:id="71050181">
      <w:bodyDiv w:val="1"/>
      <w:marLeft w:val="0"/>
      <w:marRight w:val="0"/>
      <w:marTop w:val="0"/>
      <w:marBottom w:val="0"/>
      <w:divBdr>
        <w:top w:val="none" w:sz="0" w:space="0" w:color="auto"/>
        <w:left w:val="none" w:sz="0" w:space="0" w:color="auto"/>
        <w:bottom w:val="none" w:sz="0" w:space="0" w:color="auto"/>
        <w:right w:val="none" w:sz="0" w:space="0" w:color="auto"/>
      </w:divBdr>
    </w:div>
    <w:div w:id="71200010">
      <w:bodyDiv w:val="1"/>
      <w:marLeft w:val="0"/>
      <w:marRight w:val="0"/>
      <w:marTop w:val="0"/>
      <w:marBottom w:val="0"/>
      <w:divBdr>
        <w:top w:val="none" w:sz="0" w:space="0" w:color="auto"/>
        <w:left w:val="none" w:sz="0" w:space="0" w:color="auto"/>
        <w:bottom w:val="none" w:sz="0" w:space="0" w:color="auto"/>
        <w:right w:val="none" w:sz="0" w:space="0" w:color="auto"/>
      </w:divBdr>
    </w:div>
    <w:div w:id="71852442">
      <w:bodyDiv w:val="1"/>
      <w:marLeft w:val="0"/>
      <w:marRight w:val="0"/>
      <w:marTop w:val="0"/>
      <w:marBottom w:val="0"/>
      <w:divBdr>
        <w:top w:val="none" w:sz="0" w:space="0" w:color="auto"/>
        <w:left w:val="none" w:sz="0" w:space="0" w:color="auto"/>
        <w:bottom w:val="none" w:sz="0" w:space="0" w:color="auto"/>
        <w:right w:val="none" w:sz="0" w:space="0" w:color="auto"/>
      </w:divBdr>
    </w:div>
    <w:div w:id="71894457">
      <w:bodyDiv w:val="1"/>
      <w:marLeft w:val="0"/>
      <w:marRight w:val="0"/>
      <w:marTop w:val="0"/>
      <w:marBottom w:val="0"/>
      <w:divBdr>
        <w:top w:val="none" w:sz="0" w:space="0" w:color="auto"/>
        <w:left w:val="none" w:sz="0" w:space="0" w:color="auto"/>
        <w:bottom w:val="none" w:sz="0" w:space="0" w:color="auto"/>
        <w:right w:val="none" w:sz="0" w:space="0" w:color="auto"/>
      </w:divBdr>
    </w:div>
    <w:div w:id="72165552">
      <w:bodyDiv w:val="1"/>
      <w:marLeft w:val="0"/>
      <w:marRight w:val="0"/>
      <w:marTop w:val="0"/>
      <w:marBottom w:val="0"/>
      <w:divBdr>
        <w:top w:val="none" w:sz="0" w:space="0" w:color="auto"/>
        <w:left w:val="none" w:sz="0" w:space="0" w:color="auto"/>
        <w:bottom w:val="none" w:sz="0" w:space="0" w:color="auto"/>
        <w:right w:val="none" w:sz="0" w:space="0" w:color="auto"/>
      </w:divBdr>
    </w:div>
    <w:div w:id="72434318">
      <w:bodyDiv w:val="1"/>
      <w:marLeft w:val="0"/>
      <w:marRight w:val="0"/>
      <w:marTop w:val="0"/>
      <w:marBottom w:val="0"/>
      <w:divBdr>
        <w:top w:val="none" w:sz="0" w:space="0" w:color="auto"/>
        <w:left w:val="none" w:sz="0" w:space="0" w:color="auto"/>
        <w:bottom w:val="none" w:sz="0" w:space="0" w:color="auto"/>
        <w:right w:val="none" w:sz="0" w:space="0" w:color="auto"/>
      </w:divBdr>
    </w:div>
    <w:div w:id="72507686">
      <w:bodyDiv w:val="1"/>
      <w:marLeft w:val="0"/>
      <w:marRight w:val="0"/>
      <w:marTop w:val="0"/>
      <w:marBottom w:val="0"/>
      <w:divBdr>
        <w:top w:val="none" w:sz="0" w:space="0" w:color="auto"/>
        <w:left w:val="none" w:sz="0" w:space="0" w:color="auto"/>
        <w:bottom w:val="none" w:sz="0" w:space="0" w:color="auto"/>
        <w:right w:val="none" w:sz="0" w:space="0" w:color="auto"/>
      </w:divBdr>
    </w:div>
    <w:div w:id="72625710">
      <w:bodyDiv w:val="1"/>
      <w:marLeft w:val="0"/>
      <w:marRight w:val="0"/>
      <w:marTop w:val="0"/>
      <w:marBottom w:val="0"/>
      <w:divBdr>
        <w:top w:val="none" w:sz="0" w:space="0" w:color="auto"/>
        <w:left w:val="none" w:sz="0" w:space="0" w:color="auto"/>
        <w:bottom w:val="none" w:sz="0" w:space="0" w:color="auto"/>
        <w:right w:val="none" w:sz="0" w:space="0" w:color="auto"/>
      </w:divBdr>
    </w:div>
    <w:div w:id="73089044">
      <w:bodyDiv w:val="1"/>
      <w:marLeft w:val="0"/>
      <w:marRight w:val="0"/>
      <w:marTop w:val="0"/>
      <w:marBottom w:val="0"/>
      <w:divBdr>
        <w:top w:val="none" w:sz="0" w:space="0" w:color="auto"/>
        <w:left w:val="none" w:sz="0" w:space="0" w:color="auto"/>
        <w:bottom w:val="none" w:sz="0" w:space="0" w:color="auto"/>
        <w:right w:val="none" w:sz="0" w:space="0" w:color="auto"/>
      </w:divBdr>
    </w:div>
    <w:div w:id="73279905">
      <w:bodyDiv w:val="1"/>
      <w:marLeft w:val="0"/>
      <w:marRight w:val="0"/>
      <w:marTop w:val="0"/>
      <w:marBottom w:val="0"/>
      <w:divBdr>
        <w:top w:val="none" w:sz="0" w:space="0" w:color="auto"/>
        <w:left w:val="none" w:sz="0" w:space="0" w:color="auto"/>
        <w:bottom w:val="none" w:sz="0" w:space="0" w:color="auto"/>
        <w:right w:val="none" w:sz="0" w:space="0" w:color="auto"/>
      </w:divBdr>
    </w:div>
    <w:div w:id="73282321">
      <w:bodyDiv w:val="1"/>
      <w:marLeft w:val="0"/>
      <w:marRight w:val="0"/>
      <w:marTop w:val="0"/>
      <w:marBottom w:val="0"/>
      <w:divBdr>
        <w:top w:val="none" w:sz="0" w:space="0" w:color="auto"/>
        <w:left w:val="none" w:sz="0" w:space="0" w:color="auto"/>
        <w:bottom w:val="none" w:sz="0" w:space="0" w:color="auto"/>
        <w:right w:val="none" w:sz="0" w:space="0" w:color="auto"/>
      </w:divBdr>
    </w:div>
    <w:div w:id="73288752">
      <w:bodyDiv w:val="1"/>
      <w:marLeft w:val="0"/>
      <w:marRight w:val="0"/>
      <w:marTop w:val="0"/>
      <w:marBottom w:val="0"/>
      <w:divBdr>
        <w:top w:val="none" w:sz="0" w:space="0" w:color="auto"/>
        <w:left w:val="none" w:sz="0" w:space="0" w:color="auto"/>
        <w:bottom w:val="none" w:sz="0" w:space="0" w:color="auto"/>
        <w:right w:val="none" w:sz="0" w:space="0" w:color="auto"/>
      </w:divBdr>
    </w:div>
    <w:div w:id="73359457">
      <w:bodyDiv w:val="1"/>
      <w:marLeft w:val="0"/>
      <w:marRight w:val="0"/>
      <w:marTop w:val="0"/>
      <w:marBottom w:val="0"/>
      <w:divBdr>
        <w:top w:val="none" w:sz="0" w:space="0" w:color="auto"/>
        <w:left w:val="none" w:sz="0" w:space="0" w:color="auto"/>
        <w:bottom w:val="none" w:sz="0" w:space="0" w:color="auto"/>
        <w:right w:val="none" w:sz="0" w:space="0" w:color="auto"/>
      </w:divBdr>
    </w:div>
    <w:div w:id="73862227">
      <w:bodyDiv w:val="1"/>
      <w:marLeft w:val="0"/>
      <w:marRight w:val="0"/>
      <w:marTop w:val="0"/>
      <w:marBottom w:val="0"/>
      <w:divBdr>
        <w:top w:val="none" w:sz="0" w:space="0" w:color="auto"/>
        <w:left w:val="none" w:sz="0" w:space="0" w:color="auto"/>
        <w:bottom w:val="none" w:sz="0" w:space="0" w:color="auto"/>
        <w:right w:val="none" w:sz="0" w:space="0" w:color="auto"/>
      </w:divBdr>
    </w:div>
    <w:div w:id="75128959">
      <w:bodyDiv w:val="1"/>
      <w:marLeft w:val="0"/>
      <w:marRight w:val="0"/>
      <w:marTop w:val="0"/>
      <w:marBottom w:val="0"/>
      <w:divBdr>
        <w:top w:val="none" w:sz="0" w:space="0" w:color="auto"/>
        <w:left w:val="none" w:sz="0" w:space="0" w:color="auto"/>
        <w:bottom w:val="none" w:sz="0" w:space="0" w:color="auto"/>
        <w:right w:val="none" w:sz="0" w:space="0" w:color="auto"/>
      </w:divBdr>
    </w:div>
    <w:div w:id="75441106">
      <w:bodyDiv w:val="1"/>
      <w:marLeft w:val="0"/>
      <w:marRight w:val="0"/>
      <w:marTop w:val="0"/>
      <w:marBottom w:val="0"/>
      <w:divBdr>
        <w:top w:val="none" w:sz="0" w:space="0" w:color="auto"/>
        <w:left w:val="none" w:sz="0" w:space="0" w:color="auto"/>
        <w:bottom w:val="none" w:sz="0" w:space="0" w:color="auto"/>
        <w:right w:val="none" w:sz="0" w:space="0" w:color="auto"/>
      </w:divBdr>
    </w:div>
    <w:div w:id="75784776">
      <w:bodyDiv w:val="1"/>
      <w:marLeft w:val="0"/>
      <w:marRight w:val="0"/>
      <w:marTop w:val="0"/>
      <w:marBottom w:val="0"/>
      <w:divBdr>
        <w:top w:val="none" w:sz="0" w:space="0" w:color="auto"/>
        <w:left w:val="none" w:sz="0" w:space="0" w:color="auto"/>
        <w:bottom w:val="none" w:sz="0" w:space="0" w:color="auto"/>
        <w:right w:val="none" w:sz="0" w:space="0" w:color="auto"/>
      </w:divBdr>
    </w:div>
    <w:div w:id="75980330">
      <w:bodyDiv w:val="1"/>
      <w:marLeft w:val="0"/>
      <w:marRight w:val="0"/>
      <w:marTop w:val="0"/>
      <w:marBottom w:val="0"/>
      <w:divBdr>
        <w:top w:val="none" w:sz="0" w:space="0" w:color="auto"/>
        <w:left w:val="none" w:sz="0" w:space="0" w:color="auto"/>
        <w:bottom w:val="none" w:sz="0" w:space="0" w:color="auto"/>
        <w:right w:val="none" w:sz="0" w:space="0" w:color="auto"/>
      </w:divBdr>
    </w:div>
    <w:div w:id="76095227">
      <w:bodyDiv w:val="1"/>
      <w:marLeft w:val="0"/>
      <w:marRight w:val="0"/>
      <w:marTop w:val="0"/>
      <w:marBottom w:val="0"/>
      <w:divBdr>
        <w:top w:val="none" w:sz="0" w:space="0" w:color="auto"/>
        <w:left w:val="none" w:sz="0" w:space="0" w:color="auto"/>
        <w:bottom w:val="none" w:sz="0" w:space="0" w:color="auto"/>
        <w:right w:val="none" w:sz="0" w:space="0" w:color="auto"/>
      </w:divBdr>
    </w:div>
    <w:div w:id="76246860">
      <w:bodyDiv w:val="1"/>
      <w:marLeft w:val="0"/>
      <w:marRight w:val="0"/>
      <w:marTop w:val="0"/>
      <w:marBottom w:val="0"/>
      <w:divBdr>
        <w:top w:val="none" w:sz="0" w:space="0" w:color="auto"/>
        <w:left w:val="none" w:sz="0" w:space="0" w:color="auto"/>
        <w:bottom w:val="none" w:sz="0" w:space="0" w:color="auto"/>
        <w:right w:val="none" w:sz="0" w:space="0" w:color="auto"/>
      </w:divBdr>
    </w:div>
    <w:div w:id="76556022">
      <w:bodyDiv w:val="1"/>
      <w:marLeft w:val="0"/>
      <w:marRight w:val="0"/>
      <w:marTop w:val="0"/>
      <w:marBottom w:val="0"/>
      <w:divBdr>
        <w:top w:val="none" w:sz="0" w:space="0" w:color="auto"/>
        <w:left w:val="none" w:sz="0" w:space="0" w:color="auto"/>
        <w:bottom w:val="none" w:sz="0" w:space="0" w:color="auto"/>
        <w:right w:val="none" w:sz="0" w:space="0" w:color="auto"/>
      </w:divBdr>
    </w:div>
    <w:div w:id="76945167">
      <w:bodyDiv w:val="1"/>
      <w:marLeft w:val="0"/>
      <w:marRight w:val="0"/>
      <w:marTop w:val="0"/>
      <w:marBottom w:val="0"/>
      <w:divBdr>
        <w:top w:val="none" w:sz="0" w:space="0" w:color="auto"/>
        <w:left w:val="none" w:sz="0" w:space="0" w:color="auto"/>
        <w:bottom w:val="none" w:sz="0" w:space="0" w:color="auto"/>
        <w:right w:val="none" w:sz="0" w:space="0" w:color="auto"/>
      </w:divBdr>
    </w:div>
    <w:div w:id="77096880">
      <w:bodyDiv w:val="1"/>
      <w:marLeft w:val="0"/>
      <w:marRight w:val="0"/>
      <w:marTop w:val="0"/>
      <w:marBottom w:val="0"/>
      <w:divBdr>
        <w:top w:val="none" w:sz="0" w:space="0" w:color="auto"/>
        <w:left w:val="none" w:sz="0" w:space="0" w:color="auto"/>
        <w:bottom w:val="none" w:sz="0" w:space="0" w:color="auto"/>
        <w:right w:val="none" w:sz="0" w:space="0" w:color="auto"/>
      </w:divBdr>
    </w:div>
    <w:div w:id="77102368">
      <w:bodyDiv w:val="1"/>
      <w:marLeft w:val="0"/>
      <w:marRight w:val="0"/>
      <w:marTop w:val="0"/>
      <w:marBottom w:val="0"/>
      <w:divBdr>
        <w:top w:val="none" w:sz="0" w:space="0" w:color="auto"/>
        <w:left w:val="none" w:sz="0" w:space="0" w:color="auto"/>
        <w:bottom w:val="none" w:sz="0" w:space="0" w:color="auto"/>
        <w:right w:val="none" w:sz="0" w:space="0" w:color="auto"/>
      </w:divBdr>
    </w:div>
    <w:div w:id="77144481">
      <w:bodyDiv w:val="1"/>
      <w:marLeft w:val="0"/>
      <w:marRight w:val="0"/>
      <w:marTop w:val="0"/>
      <w:marBottom w:val="0"/>
      <w:divBdr>
        <w:top w:val="none" w:sz="0" w:space="0" w:color="auto"/>
        <w:left w:val="none" w:sz="0" w:space="0" w:color="auto"/>
        <w:bottom w:val="none" w:sz="0" w:space="0" w:color="auto"/>
        <w:right w:val="none" w:sz="0" w:space="0" w:color="auto"/>
      </w:divBdr>
    </w:div>
    <w:div w:id="77293884">
      <w:bodyDiv w:val="1"/>
      <w:marLeft w:val="0"/>
      <w:marRight w:val="0"/>
      <w:marTop w:val="0"/>
      <w:marBottom w:val="0"/>
      <w:divBdr>
        <w:top w:val="none" w:sz="0" w:space="0" w:color="auto"/>
        <w:left w:val="none" w:sz="0" w:space="0" w:color="auto"/>
        <w:bottom w:val="none" w:sz="0" w:space="0" w:color="auto"/>
        <w:right w:val="none" w:sz="0" w:space="0" w:color="auto"/>
      </w:divBdr>
    </w:div>
    <w:div w:id="77405225">
      <w:bodyDiv w:val="1"/>
      <w:marLeft w:val="0"/>
      <w:marRight w:val="0"/>
      <w:marTop w:val="0"/>
      <w:marBottom w:val="0"/>
      <w:divBdr>
        <w:top w:val="none" w:sz="0" w:space="0" w:color="auto"/>
        <w:left w:val="none" w:sz="0" w:space="0" w:color="auto"/>
        <w:bottom w:val="none" w:sz="0" w:space="0" w:color="auto"/>
        <w:right w:val="none" w:sz="0" w:space="0" w:color="auto"/>
      </w:divBdr>
    </w:div>
    <w:div w:id="77405783">
      <w:bodyDiv w:val="1"/>
      <w:marLeft w:val="0"/>
      <w:marRight w:val="0"/>
      <w:marTop w:val="0"/>
      <w:marBottom w:val="0"/>
      <w:divBdr>
        <w:top w:val="none" w:sz="0" w:space="0" w:color="auto"/>
        <w:left w:val="none" w:sz="0" w:space="0" w:color="auto"/>
        <w:bottom w:val="none" w:sz="0" w:space="0" w:color="auto"/>
        <w:right w:val="none" w:sz="0" w:space="0" w:color="auto"/>
      </w:divBdr>
    </w:div>
    <w:div w:id="77411354">
      <w:bodyDiv w:val="1"/>
      <w:marLeft w:val="0"/>
      <w:marRight w:val="0"/>
      <w:marTop w:val="0"/>
      <w:marBottom w:val="0"/>
      <w:divBdr>
        <w:top w:val="none" w:sz="0" w:space="0" w:color="auto"/>
        <w:left w:val="none" w:sz="0" w:space="0" w:color="auto"/>
        <w:bottom w:val="none" w:sz="0" w:space="0" w:color="auto"/>
        <w:right w:val="none" w:sz="0" w:space="0" w:color="auto"/>
      </w:divBdr>
    </w:div>
    <w:div w:id="77488435">
      <w:bodyDiv w:val="1"/>
      <w:marLeft w:val="0"/>
      <w:marRight w:val="0"/>
      <w:marTop w:val="0"/>
      <w:marBottom w:val="0"/>
      <w:divBdr>
        <w:top w:val="none" w:sz="0" w:space="0" w:color="auto"/>
        <w:left w:val="none" w:sz="0" w:space="0" w:color="auto"/>
        <w:bottom w:val="none" w:sz="0" w:space="0" w:color="auto"/>
        <w:right w:val="none" w:sz="0" w:space="0" w:color="auto"/>
      </w:divBdr>
    </w:div>
    <w:div w:id="77605513">
      <w:bodyDiv w:val="1"/>
      <w:marLeft w:val="0"/>
      <w:marRight w:val="0"/>
      <w:marTop w:val="0"/>
      <w:marBottom w:val="0"/>
      <w:divBdr>
        <w:top w:val="none" w:sz="0" w:space="0" w:color="auto"/>
        <w:left w:val="none" w:sz="0" w:space="0" w:color="auto"/>
        <w:bottom w:val="none" w:sz="0" w:space="0" w:color="auto"/>
        <w:right w:val="none" w:sz="0" w:space="0" w:color="auto"/>
      </w:divBdr>
    </w:div>
    <w:div w:id="77754930">
      <w:bodyDiv w:val="1"/>
      <w:marLeft w:val="0"/>
      <w:marRight w:val="0"/>
      <w:marTop w:val="0"/>
      <w:marBottom w:val="0"/>
      <w:divBdr>
        <w:top w:val="none" w:sz="0" w:space="0" w:color="auto"/>
        <w:left w:val="none" w:sz="0" w:space="0" w:color="auto"/>
        <w:bottom w:val="none" w:sz="0" w:space="0" w:color="auto"/>
        <w:right w:val="none" w:sz="0" w:space="0" w:color="auto"/>
      </w:divBdr>
    </w:div>
    <w:div w:id="77757301">
      <w:bodyDiv w:val="1"/>
      <w:marLeft w:val="0"/>
      <w:marRight w:val="0"/>
      <w:marTop w:val="0"/>
      <w:marBottom w:val="0"/>
      <w:divBdr>
        <w:top w:val="none" w:sz="0" w:space="0" w:color="auto"/>
        <w:left w:val="none" w:sz="0" w:space="0" w:color="auto"/>
        <w:bottom w:val="none" w:sz="0" w:space="0" w:color="auto"/>
        <w:right w:val="none" w:sz="0" w:space="0" w:color="auto"/>
      </w:divBdr>
    </w:div>
    <w:div w:id="77867214">
      <w:bodyDiv w:val="1"/>
      <w:marLeft w:val="0"/>
      <w:marRight w:val="0"/>
      <w:marTop w:val="0"/>
      <w:marBottom w:val="0"/>
      <w:divBdr>
        <w:top w:val="none" w:sz="0" w:space="0" w:color="auto"/>
        <w:left w:val="none" w:sz="0" w:space="0" w:color="auto"/>
        <w:bottom w:val="none" w:sz="0" w:space="0" w:color="auto"/>
        <w:right w:val="none" w:sz="0" w:space="0" w:color="auto"/>
      </w:divBdr>
    </w:div>
    <w:div w:id="77870354">
      <w:bodyDiv w:val="1"/>
      <w:marLeft w:val="0"/>
      <w:marRight w:val="0"/>
      <w:marTop w:val="0"/>
      <w:marBottom w:val="0"/>
      <w:divBdr>
        <w:top w:val="none" w:sz="0" w:space="0" w:color="auto"/>
        <w:left w:val="none" w:sz="0" w:space="0" w:color="auto"/>
        <w:bottom w:val="none" w:sz="0" w:space="0" w:color="auto"/>
        <w:right w:val="none" w:sz="0" w:space="0" w:color="auto"/>
      </w:divBdr>
    </w:div>
    <w:div w:id="77943193">
      <w:bodyDiv w:val="1"/>
      <w:marLeft w:val="0"/>
      <w:marRight w:val="0"/>
      <w:marTop w:val="0"/>
      <w:marBottom w:val="0"/>
      <w:divBdr>
        <w:top w:val="none" w:sz="0" w:space="0" w:color="auto"/>
        <w:left w:val="none" w:sz="0" w:space="0" w:color="auto"/>
        <w:bottom w:val="none" w:sz="0" w:space="0" w:color="auto"/>
        <w:right w:val="none" w:sz="0" w:space="0" w:color="auto"/>
      </w:divBdr>
    </w:div>
    <w:div w:id="78211662">
      <w:bodyDiv w:val="1"/>
      <w:marLeft w:val="0"/>
      <w:marRight w:val="0"/>
      <w:marTop w:val="0"/>
      <w:marBottom w:val="0"/>
      <w:divBdr>
        <w:top w:val="none" w:sz="0" w:space="0" w:color="auto"/>
        <w:left w:val="none" w:sz="0" w:space="0" w:color="auto"/>
        <w:bottom w:val="none" w:sz="0" w:space="0" w:color="auto"/>
        <w:right w:val="none" w:sz="0" w:space="0" w:color="auto"/>
      </w:divBdr>
    </w:div>
    <w:div w:id="78215006">
      <w:bodyDiv w:val="1"/>
      <w:marLeft w:val="0"/>
      <w:marRight w:val="0"/>
      <w:marTop w:val="0"/>
      <w:marBottom w:val="0"/>
      <w:divBdr>
        <w:top w:val="none" w:sz="0" w:space="0" w:color="auto"/>
        <w:left w:val="none" w:sz="0" w:space="0" w:color="auto"/>
        <w:bottom w:val="none" w:sz="0" w:space="0" w:color="auto"/>
        <w:right w:val="none" w:sz="0" w:space="0" w:color="auto"/>
      </w:divBdr>
    </w:div>
    <w:div w:id="78525765">
      <w:bodyDiv w:val="1"/>
      <w:marLeft w:val="0"/>
      <w:marRight w:val="0"/>
      <w:marTop w:val="0"/>
      <w:marBottom w:val="0"/>
      <w:divBdr>
        <w:top w:val="none" w:sz="0" w:space="0" w:color="auto"/>
        <w:left w:val="none" w:sz="0" w:space="0" w:color="auto"/>
        <w:bottom w:val="none" w:sz="0" w:space="0" w:color="auto"/>
        <w:right w:val="none" w:sz="0" w:space="0" w:color="auto"/>
      </w:divBdr>
    </w:div>
    <w:div w:id="78530457">
      <w:bodyDiv w:val="1"/>
      <w:marLeft w:val="0"/>
      <w:marRight w:val="0"/>
      <w:marTop w:val="0"/>
      <w:marBottom w:val="0"/>
      <w:divBdr>
        <w:top w:val="none" w:sz="0" w:space="0" w:color="auto"/>
        <w:left w:val="none" w:sz="0" w:space="0" w:color="auto"/>
        <w:bottom w:val="none" w:sz="0" w:space="0" w:color="auto"/>
        <w:right w:val="none" w:sz="0" w:space="0" w:color="auto"/>
      </w:divBdr>
    </w:div>
    <w:div w:id="78597627">
      <w:bodyDiv w:val="1"/>
      <w:marLeft w:val="0"/>
      <w:marRight w:val="0"/>
      <w:marTop w:val="0"/>
      <w:marBottom w:val="0"/>
      <w:divBdr>
        <w:top w:val="none" w:sz="0" w:space="0" w:color="auto"/>
        <w:left w:val="none" w:sz="0" w:space="0" w:color="auto"/>
        <w:bottom w:val="none" w:sz="0" w:space="0" w:color="auto"/>
        <w:right w:val="none" w:sz="0" w:space="0" w:color="auto"/>
      </w:divBdr>
    </w:div>
    <w:div w:id="78717433">
      <w:bodyDiv w:val="1"/>
      <w:marLeft w:val="0"/>
      <w:marRight w:val="0"/>
      <w:marTop w:val="0"/>
      <w:marBottom w:val="0"/>
      <w:divBdr>
        <w:top w:val="none" w:sz="0" w:space="0" w:color="auto"/>
        <w:left w:val="none" w:sz="0" w:space="0" w:color="auto"/>
        <w:bottom w:val="none" w:sz="0" w:space="0" w:color="auto"/>
        <w:right w:val="none" w:sz="0" w:space="0" w:color="auto"/>
      </w:divBdr>
    </w:div>
    <w:div w:id="78721414">
      <w:bodyDiv w:val="1"/>
      <w:marLeft w:val="0"/>
      <w:marRight w:val="0"/>
      <w:marTop w:val="0"/>
      <w:marBottom w:val="0"/>
      <w:divBdr>
        <w:top w:val="none" w:sz="0" w:space="0" w:color="auto"/>
        <w:left w:val="none" w:sz="0" w:space="0" w:color="auto"/>
        <w:bottom w:val="none" w:sz="0" w:space="0" w:color="auto"/>
        <w:right w:val="none" w:sz="0" w:space="0" w:color="auto"/>
      </w:divBdr>
    </w:div>
    <w:div w:id="78722660">
      <w:bodyDiv w:val="1"/>
      <w:marLeft w:val="0"/>
      <w:marRight w:val="0"/>
      <w:marTop w:val="0"/>
      <w:marBottom w:val="0"/>
      <w:divBdr>
        <w:top w:val="none" w:sz="0" w:space="0" w:color="auto"/>
        <w:left w:val="none" w:sz="0" w:space="0" w:color="auto"/>
        <w:bottom w:val="none" w:sz="0" w:space="0" w:color="auto"/>
        <w:right w:val="none" w:sz="0" w:space="0" w:color="auto"/>
      </w:divBdr>
    </w:div>
    <w:div w:id="78798394">
      <w:bodyDiv w:val="1"/>
      <w:marLeft w:val="0"/>
      <w:marRight w:val="0"/>
      <w:marTop w:val="0"/>
      <w:marBottom w:val="0"/>
      <w:divBdr>
        <w:top w:val="none" w:sz="0" w:space="0" w:color="auto"/>
        <w:left w:val="none" w:sz="0" w:space="0" w:color="auto"/>
        <w:bottom w:val="none" w:sz="0" w:space="0" w:color="auto"/>
        <w:right w:val="none" w:sz="0" w:space="0" w:color="auto"/>
      </w:divBdr>
    </w:div>
    <w:div w:id="78871208">
      <w:bodyDiv w:val="1"/>
      <w:marLeft w:val="0"/>
      <w:marRight w:val="0"/>
      <w:marTop w:val="0"/>
      <w:marBottom w:val="0"/>
      <w:divBdr>
        <w:top w:val="none" w:sz="0" w:space="0" w:color="auto"/>
        <w:left w:val="none" w:sz="0" w:space="0" w:color="auto"/>
        <w:bottom w:val="none" w:sz="0" w:space="0" w:color="auto"/>
        <w:right w:val="none" w:sz="0" w:space="0" w:color="auto"/>
      </w:divBdr>
    </w:div>
    <w:div w:id="78908115">
      <w:bodyDiv w:val="1"/>
      <w:marLeft w:val="0"/>
      <w:marRight w:val="0"/>
      <w:marTop w:val="0"/>
      <w:marBottom w:val="0"/>
      <w:divBdr>
        <w:top w:val="none" w:sz="0" w:space="0" w:color="auto"/>
        <w:left w:val="none" w:sz="0" w:space="0" w:color="auto"/>
        <w:bottom w:val="none" w:sz="0" w:space="0" w:color="auto"/>
        <w:right w:val="none" w:sz="0" w:space="0" w:color="auto"/>
      </w:divBdr>
    </w:div>
    <w:div w:id="78909412">
      <w:bodyDiv w:val="1"/>
      <w:marLeft w:val="0"/>
      <w:marRight w:val="0"/>
      <w:marTop w:val="0"/>
      <w:marBottom w:val="0"/>
      <w:divBdr>
        <w:top w:val="none" w:sz="0" w:space="0" w:color="auto"/>
        <w:left w:val="none" w:sz="0" w:space="0" w:color="auto"/>
        <w:bottom w:val="none" w:sz="0" w:space="0" w:color="auto"/>
        <w:right w:val="none" w:sz="0" w:space="0" w:color="auto"/>
      </w:divBdr>
    </w:div>
    <w:div w:id="79253660">
      <w:bodyDiv w:val="1"/>
      <w:marLeft w:val="0"/>
      <w:marRight w:val="0"/>
      <w:marTop w:val="0"/>
      <w:marBottom w:val="0"/>
      <w:divBdr>
        <w:top w:val="none" w:sz="0" w:space="0" w:color="auto"/>
        <w:left w:val="none" w:sz="0" w:space="0" w:color="auto"/>
        <w:bottom w:val="none" w:sz="0" w:space="0" w:color="auto"/>
        <w:right w:val="none" w:sz="0" w:space="0" w:color="auto"/>
      </w:divBdr>
    </w:div>
    <w:div w:id="79254783">
      <w:bodyDiv w:val="1"/>
      <w:marLeft w:val="0"/>
      <w:marRight w:val="0"/>
      <w:marTop w:val="0"/>
      <w:marBottom w:val="0"/>
      <w:divBdr>
        <w:top w:val="none" w:sz="0" w:space="0" w:color="auto"/>
        <w:left w:val="none" w:sz="0" w:space="0" w:color="auto"/>
        <w:bottom w:val="none" w:sz="0" w:space="0" w:color="auto"/>
        <w:right w:val="none" w:sz="0" w:space="0" w:color="auto"/>
      </w:divBdr>
    </w:div>
    <w:div w:id="79370497">
      <w:bodyDiv w:val="1"/>
      <w:marLeft w:val="0"/>
      <w:marRight w:val="0"/>
      <w:marTop w:val="0"/>
      <w:marBottom w:val="0"/>
      <w:divBdr>
        <w:top w:val="none" w:sz="0" w:space="0" w:color="auto"/>
        <w:left w:val="none" w:sz="0" w:space="0" w:color="auto"/>
        <w:bottom w:val="none" w:sz="0" w:space="0" w:color="auto"/>
        <w:right w:val="none" w:sz="0" w:space="0" w:color="auto"/>
      </w:divBdr>
    </w:div>
    <w:div w:id="80180112">
      <w:bodyDiv w:val="1"/>
      <w:marLeft w:val="0"/>
      <w:marRight w:val="0"/>
      <w:marTop w:val="0"/>
      <w:marBottom w:val="0"/>
      <w:divBdr>
        <w:top w:val="none" w:sz="0" w:space="0" w:color="auto"/>
        <w:left w:val="none" w:sz="0" w:space="0" w:color="auto"/>
        <w:bottom w:val="none" w:sz="0" w:space="0" w:color="auto"/>
        <w:right w:val="none" w:sz="0" w:space="0" w:color="auto"/>
      </w:divBdr>
    </w:div>
    <w:div w:id="80220035">
      <w:bodyDiv w:val="1"/>
      <w:marLeft w:val="0"/>
      <w:marRight w:val="0"/>
      <w:marTop w:val="0"/>
      <w:marBottom w:val="0"/>
      <w:divBdr>
        <w:top w:val="none" w:sz="0" w:space="0" w:color="auto"/>
        <w:left w:val="none" w:sz="0" w:space="0" w:color="auto"/>
        <w:bottom w:val="none" w:sz="0" w:space="0" w:color="auto"/>
        <w:right w:val="none" w:sz="0" w:space="0" w:color="auto"/>
      </w:divBdr>
    </w:div>
    <w:div w:id="80610035">
      <w:bodyDiv w:val="1"/>
      <w:marLeft w:val="0"/>
      <w:marRight w:val="0"/>
      <w:marTop w:val="0"/>
      <w:marBottom w:val="0"/>
      <w:divBdr>
        <w:top w:val="none" w:sz="0" w:space="0" w:color="auto"/>
        <w:left w:val="none" w:sz="0" w:space="0" w:color="auto"/>
        <w:bottom w:val="none" w:sz="0" w:space="0" w:color="auto"/>
        <w:right w:val="none" w:sz="0" w:space="0" w:color="auto"/>
      </w:divBdr>
    </w:div>
    <w:div w:id="80611220">
      <w:bodyDiv w:val="1"/>
      <w:marLeft w:val="0"/>
      <w:marRight w:val="0"/>
      <w:marTop w:val="0"/>
      <w:marBottom w:val="0"/>
      <w:divBdr>
        <w:top w:val="none" w:sz="0" w:space="0" w:color="auto"/>
        <w:left w:val="none" w:sz="0" w:space="0" w:color="auto"/>
        <w:bottom w:val="none" w:sz="0" w:space="0" w:color="auto"/>
        <w:right w:val="none" w:sz="0" w:space="0" w:color="auto"/>
      </w:divBdr>
    </w:div>
    <w:div w:id="80638778">
      <w:bodyDiv w:val="1"/>
      <w:marLeft w:val="0"/>
      <w:marRight w:val="0"/>
      <w:marTop w:val="0"/>
      <w:marBottom w:val="0"/>
      <w:divBdr>
        <w:top w:val="none" w:sz="0" w:space="0" w:color="auto"/>
        <w:left w:val="none" w:sz="0" w:space="0" w:color="auto"/>
        <w:bottom w:val="none" w:sz="0" w:space="0" w:color="auto"/>
        <w:right w:val="none" w:sz="0" w:space="0" w:color="auto"/>
      </w:divBdr>
    </w:div>
    <w:div w:id="80680929">
      <w:bodyDiv w:val="1"/>
      <w:marLeft w:val="0"/>
      <w:marRight w:val="0"/>
      <w:marTop w:val="0"/>
      <w:marBottom w:val="0"/>
      <w:divBdr>
        <w:top w:val="none" w:sz="0" w:space="0" w:color="auto"/>
        <w:left w:val="none" w:sz="0" w:space="0" w:color="auto"/>
        <w:bottom w:val="none" w:sz="0" w:space="0" w:color="auto"/>
        <w:right w:val="none" w:sz="0" w:space="0" w:color="auto"/>
      </w:divBdr>
    </w:div>
    <w:div w:id="80955478">
      <w:bodyDiv w:val="1"/>
      <w:marLeft w:val="0"/>
      <w:marRight w:val="0"/>
      <w:marTop w:val="0"/>
      <w:marBottom w:val="0"/>
      <w:divBdr>
        <w:top w:val="none" w:sz="0" w:space="0" w:color="auto"/>
        <w:left w:val="none" w:sz="0" w:space="0" w:color="auto"/>
        <w:bottom w:val="none" w:sz="0" w:space="0" w:color="auto"/>
        <w:right w:val="none" w:sz="0" w:space="0" w:color="auto"/>
      </w:divBdr>
    </w:div>
    <w:div w:id="81150078">
      <w:bodyDiv w:val="1"/>
      <w:marLeft w:val="0"/>
      <w:marRight w:val="0"/>
      <w:marTop w:val="0"/>
      <w:marBottom w:val="0"/>
      <w:divBdr>
        <w:top w:val="none" w:sz="0" w:space="0" w:color="auto"/>
        <w:left w:val="none" w:sz="0" w:space="0" w:color="auto"/>
        <w:bottom w:val="none" w:sz="0" w:space="0" w:color="auto"/>
        <w:right w:val="none" w:sz="0" w:space="0" w:color="auto"/>
      </w:divBdr>
    </w:div>
    <w:div w:id="81220104">
      <w:bodyDiv w:val="1"/>
      <w:marLeft w:val="0"/>
      <w:marRight w:val="0"/>
      <w:marTop w:val="0"/>
      <w:marBottom w:val="0"/>
      <w:divBdr>
        <w:top w:val="none" w:sz="0" w:space="0" w:color="auto"/>
        <w:left w:val="none" w:sz="0" w:space="0" w:color="auto"/>
        <w:bottom w:val="none" w:sz="0" w:space="0" w:color="auto"/>
        <w:right w:val="none" w:sz="0" w:space="0" w:color="auto"/>
      </w:divBdr>
    </w:div>
    <w:div w:id="81222486">
      <w:bodyDiv w:val="1"/>
      <w:marLeft w:val="0"/>
      <w:marRight w:val="0"/>
      <w:marTop w:val="0"/>
      <w:marBottom w:val="0"/>
      <w:divBdr>
        <w:top w:val="none" w:sz="0" w:space="0" w:color="auto"/>
        <w:left w:val="none" w:sz="0" w:space="0" w:color="auto"/>
        <w:bottom w:val="none" w:sz="0" w:space="0" w:color="auto"/>
        <w:right w:val="none" w:sz="0" w:space="0" w:color="auto"/>
      </w:divBdr>
    </w:div>
    <w:div w:id="81223663">
      <w:bodyDiv w:val="1"/>
      <w:marLeft w:val="0"/>
      <w:marRight w:val="0"/>
      <w:marTop w:val="0"/>
      <w:marBottom w:val="0"/>
      <w:divBdr>
        <w:top w:val="none" w:sz="0" w:space="0" w:color="auto"/>
        <w:left w:val="none" w:sz="0" w:space="0" w:color="auto"/>
        <w:bottom w:val="none" w:sz="0" w:space="0" w:color="auto"/>
        <w:right w:val="none" w:sz="0" w:space="0" w:color="auto"/>
      </w:divBdr>
    </w:div>
    <w:div w:id="81463077">
      <w:bodyDiv w:val="1"/>
      <w:marLeft w:val="0"/>
      <w:marRight w:val="0"/>
      <w:marTop w:val="0"/>
      <w:marBottom w:val="0"/>
      <w:divBdr>
        <w:top w:val="none" w:sz="0" w:space="0" w:color="auto"/>
        <w:left w:val="none" w:sz="0" w:space="0" w:color="auto"/>
        <w:bottom w:val="none" w:sz="0" w:space="0" w:color="auto"/>
        <w:right w:val="none" w:sz="0" w:space="0" w:color="auto"/>
      </w:divBdr>
    </w:div>
    <w:div w:id="81535984">
      <w:bodyDiv w:val="1"/>
      <w:marLeft w:val="0"/>
      <w:marRight w:val="0"/>
      <w:marTop w:val="0"/>
      <w:marBottom w:val="0"/>
      <w:divBdr>
        <w:top w:val="none" w:sz="0" w:space="0" w:color="auto"/>
        <w:left w:val="none" w:sz="0" w:space="0" w:color="auto"/>
        <w:bottom w:val="none" w:sz="0" w:space="0" w:color="auto"/>
        <w:right w:val="none" w:sz="0" w:space="0" w:color="auto"/>
      </w:divBdr>
    </w:div>
    <w:div w:id="82603800">
      <w:bodyDiv w:val="1"/>
      <w:marLeft w:val="0"/>
      <w:marRight w:val="0"/>
      <w:marTop w:val="0"/>
      <w:marBottom w:val="0"/>
      <w:divBdr>
        <w:top w:val="none" w:sz="0" w:space="0" w:color="auto"/>
        <w:left w:val="none" w:sz="0" w:space="0" w:color="auto"/>
        <w:bottom w:val="none" w:sz="0" w:space="0" w:color="auto"/>
        <w:right w:val="none" w:sz="0" w:space="0" w:color="auto"/>
      </w:divBdr>
    </w:div>
    <w:div w:id="82729237">
      <w:bodyDiv w:val="1"/>
      <w:marLeft w:val="0"/>
      <w:marRight w:val="0"/>
      <w:marTop w:val="0"/>
      <w:marBottom w:val="0"/>
      <w:divBdr>
        <w:top w:val="none" w:sz="0" w:space="0" w:color="auto"/>
        <w:left w:val="none" w:sz="0" w:space="0" w:color="auto"/>
        <w:bottom w:val="none" w:sz="0" w:space="0" w:color="auto"/>
        <w:right w:val="none" w:sz="0" w:space="0" w:color="auto"/>
      </w:divBdr>
    </w:div>
    <w:div w:id="82730979">
      <w:bodyDiv w:val="1"/>
      <w:marLeft w:val="0"/>
      <w:marRight w:val="0"/>
      <w:marTop w:val="0"/>
      <w:marBottom w:val="0"/>
      <w:divBdr>
        <w:top w:val="none" w:sz="0" w:space="0" w:color="auto"/>
        <w:left w:val="none" w:sz="0" w:space="0" w:color="auto"/>
        <w:bottom w:val="none" w:sz="0" w:space="0" w:color="auto"/>
        <w:right w:val="none" w:sz="0" w:space="0" w:color="auto"/>
      </w:divBdr>
    </w:div>
    <w:div w:id="83109468">
      <w:bodyDiv w:val="1"/>
      <w:marLeft w:val="0"/>
      <w:marRight w:val="0"/>
      <w:marTop w:val="0"/>
      <w:marBottom w:val="0"/>
      <w:divBdr>
        <w:top w:val="none" w:sz="0" w:space="0" w:color="auto"/>
        <w:left w:val="none" w:sz="0" w:space="0" w:color="auto"/>
        <w:bottom w:val="none" w:sz="0" w:space="0" w:color="auto"/>
        <w:right w:val="none" w:sz="0" w:space="0" w:color="auto"/>
      </w:divBdr>
    </w:div>
    <w:div w:id="83116800">
      <w:bodyDiv w:val="1"/>
      <w:marLeft w:val="0"/>
      <w:marRight w:val="0"/>
      <w:marTop w:val="0"/>
      <w:marBottom w:val="0"/>
      <w:divBdr>
        <w:top w:val="none" w:sz="0" w:space="0" w:color="auto"/>
        <w:left w:val="none" w:sz="0" w:space="0" w:color="auto"/>
        <w:bottom w:val="none" w:sz="0" w:space="0" w:color="auto"/>
        <w:right w:val="none" w:sz="0" w:space="0" w:color="auto"/>
      </w:divBdr>
    </w:div>
    <w:div w:id="83191054">
      <w:bodyDiv w:val="1"/>
      <w:marLeft w:val="0"/>
      <w:marRight w:val="0"/>
      <w:marTop w:val="0"/>
      <w:marBottom w:val="0"/>
      <w:divBdr>
        <w:top w:val="none" w:sz="0" w:space="0" w:color="auto"/>
        <w:left w:val="none" w:sz="0" w:space="0" w:color="auto"/>
        <w:bottom w:val="none" w:sz="0" w:space="0" w:color="auto"/>
        <w:right w:val="none" w:sz="0" w:space="0" w:color="auto"/>
      </w:divBdr>
    </w:div>
    <w:div w:id="83428552">
      <w:bodyDiv w:val="1"/>
      <w:marLeft w:val="0"/>
      <w:marRight w:val="0"/>
      <w:marTop w:val="0"/>
      <w:marBottom w:val="0"/>
      <w:divBdr>
        <w:top w:val="none" w:sz="0" w:space="0" w:color="auto"/>
        <w:left w:val="none" w:sz="0" w:space="0" w:color="auto"/>
        <w:bottom w:val="none" w:sz="0" w:space="0" w:color="auto"/>
        <w:right w:val="none" w:sz="0" w:space="0" w:color="auto"/>
      </w:divBdr>
    </w:div>
    <w:div w:id="83460038">
      <w:bodyDiv w:val="1"/>
      <w:marLeft w:val="0"/>
      <w:marRight w:val="0"/>
      <w:marTop w:val="0"/>
      <w:marBottom w:val="0"/>
      <w:divBdr>
        <w:top w:val="none" w:sz="0" w:space="0" w:color="auto"/>
        <w:left w:val="none" w:sz="0" w:space="0" w:color="auto"/>
        <w:bottom w:val="none" w:sz="0" w:space="0" w:color="auto"/>
        <w:right w:val="none" w:sz="0" w:space="0" w:color="auto"/>
      </w:divBdr>
    </w:div>
    <w:div w:id="83572664">
      <w:bodyDiv w:val="1"/>
      <w:marLeft w:val="0"/>
      <w:marRight w:val="0"/>
      <w:marTop w:val="0"/>
      <w:marBottom w:val="0"/>
      <w:divBdr>
        <w:top w:val="none" w:sz="0" w:space="0" w:color="auto"/>
        <w:left w:val="none" w:sz="0" w:space="0" w:color="auto"/>
        <w:bottom w:val="none" w:sz="0" w:space="0" w:color="auto"/>
        <w:right w:val="none" w:sz="0" w:space="0" w:color="auto"/>
      </w:divBdr>
    </w:div>
    <w:div w:id="83768364">
      <w:bodyDiv w:val="1"/>
      <w:marLeft w:val="0"/>
      <w:marRight w:val="0"/>
      <w:marTop w:val="0"/>
      <w:marBottom w:val="0"/>
      <w:divBdr>
        <w:top w:val="none" w:sz="0" w:space="0" w:color="auto"/>
        <w:left w:val="none" w:sz="0" w:space="0" w:color="auto"/>
        <w:bottom w:val="none" w:sz="0" w:space="0" w:color="auto"/>
        <w:right w:val="none" w:sz="0" w:space="0" w:color="auto"/>
      </w:divBdr>
    </w:div>
    <w:div w:id="83959514">
      <w:bodyDiv w:val="1"/>
      <w:marLeft w:val="0"/>
      <w:marRight w:val="0"/>
      <w:marTop w:val="0"/>
      <w:marBottom w:val="0"/>
      <w:divBdr>
        <w:top w:val="none" w:sz="0" w:space="0" w:color="auto"/>
        <w:left w:val="none" w:sz="0" w:space="0" w:color="auto"/>
        <w:bottom w:val="none" w:sz="0" w:space="0" w:color="auto"/>
        <w:right w:val="none" w:sz="0" w:space="0" w:color="auto"/>
      </w:divBdr>
    </w:div>
    <w:div w:id="84307598">
      <w:bodyDiv w:val="1"/>
      <w:marLeft w:val="0"/>
      <w:marRight w:val="0"/>
      <w:marTop w:val="0"/>
      <w:marBottom w:val="0"/>
      <w:divBdr>
        <w:top w:val="none" w:sz="0" w:space="0" w:color="auto"/>
        <w:left w:val="none" w:sz="0" w:space="0" w:color="auto"/>
        <w:bottom w:val="none" w:sz="0" w:space="0" w:color="auto"/>
        <w:right w:val="none" w:sz="0" w:space="0" w:color="auto"/>
      </w:divBdr>
    </w:div>
    <w:div w:id="84498400">
      <w:bodyDiv w:val="1"/>
      <w:marLeft w:val="0"/>
      <w:marRight w:val="0"/>
      <w:marTop w:val="0"/>
      <w:marBottom w:val="0"/>
      <w:divBdr>
        <w:top w:val="none" w:sz="0" w:space="0" w:color="auto"/>
        <w:left w:val="none" w:sz="0" w:space="0" w:color="auto"/>
        <w:bottom w:val="none" w:sz="0" w:space="0" w:color="auto"/>
        <w:right w:val="none" w:sz="0" w:space="0" w:color="auto"/>
      </w:divBdr>
    </w:div>
    <w:div w:id="84544906">
      <w:bodyDiv w:val="1"/>
      <w:marLeft w:val="0"/>
      <w:marRight w:val="0"/>
      <w:marTop w:val="0"/>
      <w:marBottom w:val="0"/>
      <w:divBdr>
        <w:top w:val="none" w:sz="0" w:space="0" w:color="auto"/>
        <w:left w:val="none" w:sz="0" w:space="0" w:color="auto"/>
        <w:bottom w:val="none" w:sz="0" w:space="0" w:color="auto"/>
        <w:right w:val="none" w:sz="0" w:space="0" w:color="auto"/>
      </w:divBdr>
    </w:div>
    <w:div w:id="84613290">
      <w:bodyDiv w:val="1"/>
      <w:marLeft w:val="0"/>
      <w:marRight w:val="0"/>
      <w:marTop w:val="0"/>
      <w:marBottom w:val="0"/>
      <w:divBdr>
        <w:top w:val="none" w:sz="0" w:space="0" w:color="auto"/>
        <w:left w:val="none" w:sz="0" w:space="0" w:color="auto"/>
        <w:bottom w:val="none" w:sz="0" w:space="0" w:color="auto"/>
        <w:right w:val="none" w:sz="0" w:space="0" w:color="auto"/>
      </w:divBdr>
    </w:div>
    <w:div w:id="84617565">
      <w:bodyDiv w:val="1"/>
      <w:marLeft w:val="0"/>
      <w:marRight w:val="0"/>
      <w:marTop w:val="0"/>
      <w:marBottom w:val="0"/>
      <w:divBdr>
        <w:top w:val="none" w:sz="0" w:space="0" w:color="auto"/>
        <w:left w:val="none" w:sz="0" w:space="0" w:color="auto"/>
        <w:bottom w:val="none" w:sz="0" w:space="0" w:color="auto"/>
        <w:right w:val="none" w:sz="0" w:space="0" w:color="auto"/>
      </w:divBdr>
    </w:div>
    <w:div w:id="86387939">
      <w:bodyDiv w:val="1"/>
      <w:marLeft w:val="0"/>
      <w:marRight w:val="0"/>
      <w:marTop w:val="0"/>
      <w:marBottom w:val="0"/>
      <w:divBdr>
        <w:top w:val="none" w:sz="0" w:space="0" w:color="auto"/>
        <w:left w:val="none" w:sz="0" w:space="0" w:color="auto"/>
        <w:bottom w:val="none" w:sz="0" w:space="0" w:color="auto"/>
        <w:right w:val="none" w:sz="0" w:space="0" w:color="auto"/>
      </w:divBdr>
    </w:div>
    <w:div w:id="86390219">
      <w:bodyDiv w:val="1"/>
      <w:marLeft w:val="0"/>
      <w:marRight w:val="0"/>
      <w:marTop w:val="0"/>
      <w:marBottom w:val="0"/>
      <w:divBdr>
        <w:top w:val="none" w:sz="0" w:space="0" w:color="auto"/>
        <w:left w:val="none" w:sz="0" w:space="0" w:color="auto"/>
        <w:bottom w:val="none" w:sz="0" w:space="0" w:color="auto"/>
        <w:right w:val="none" w:sz="0" w:space="0" w:color="auto"/>
      </w:divBdr>
    </w:div>
    <w:div w:id="86463090">
      <w:bodyDiv w:val="1"/>
      <w:marLeft w:val="0"/>
      <w:marRight w:val="0"/>
      <w:marTop w:val="0"/>
      <w:marBottom w:val="0"/>
      <w:divBdr>
        <w:top w:val="none" w:sz="0" w:space="0" w:color="auto"/>
        <w:left w:val="none" w:sz="0" w:space="0" w:color="auto"/>
        <w:bottom w:val="none" w:sz="0" w:space="0" w:color="auto"/>
        <w:right w:val="none" w:sz="0" w:space="0" w:color="auto"/>
      </w:divBdr>
    </w:div>
    <w:div w:id="86510849">
      <w:bodyDiv w:val="1"/>
      <w:marLeft w:val="0"/>
      <w:marRight w:val="0"/>
      <w:marTop w:val="0"/>
      <w:marBottom w:val="0"/>
      <w:divBdr>
        <w:top w:val="none" w:sz="0" w:space="0" w:color="auto"/>
        <w:left w:val="none" w:sz="0" w:space="0" w:color="auto"/>
        <w:bottom w:val="none" w:sz="0" w:space="0" w:color="auto"/>
        <w:right w:val="none" w:sz="0" w:space="0" w:color="auto"/>
      </w:divBdr>
    </w:div>
    <w:div w:id="86733125">
      <w:bodyDiv w:val="1"/>
      <w:marLeft w:val="0"/>
      <w:marRight w:val="0"/>
      <w:marTop w:val="0"/>
      <w:marBottom w:val="0"/>
      <w:divBdr>
        <w:top w:val="none" w:sz="0" w:space="0" w:color="auto"/>
        <w:left w:val="none" w:sz="0" w:space="0" w:color="auto"/>
        <w:bottom w:val="none" w:sz="0" w:space="0" w:color="auto"/>
        <w:right w:val="none" w:sz="0" w:space="0" w:color="auto"/>
      </w:divBdr>
    </w:div>
    <w:div w:id="86735717">
      <w:bodyDiv w:val="1"/>
      <w:marLeft w:val="0"/>
      <w:marRight w:val="0"/>
      <w:marTop w:val="0"/>
      <w:marBottom w:val="0"/>
      <w:divBdr>
        <w:top w:val="none" w:sz="0" w:space="0" w:color="auto"/>
        <w:left w:val="none" w:sz="0" w:space="0" w:color="auto"/>
        <w:bottom w:val="none" w:sz="0" w:space="0" w:color="auto"/>
        <w:right w:val="none" w:sz="0" w:space="0" w:color="auto"/>
      </w:divBdr>
    </w:div>
    <w:div w:id="87042781">
      <w:bodyDiv w:val="1"/>
      <w:marLeft w:val="0"/>
      <w:marRight w:val="0"/>
      <w:marTop w:val="0"/>
      <w:marBottom w:val="0"/>
      <w:divBdr>
        <w:top w:val="none" w:sz="0" w:space="0" w:color="auto"/>
        <w:left w:val="none" w:sz="0" w:space="0" w:color="auto"/>
        <w:bottom w:val="none" w:sz="0" w:space="0" w:color="auto"/>
        <w:right w:val="none" w:sz="0" w:space="0" w:color="auto"/>
      </w:divBdr>
    </w:div>
    <w:div w:id="87115120">
      <w:bodyDiv w:val="1"/>
      <w:marLeft w:val="0"/>
      <w:marRight w:val="0"/>
      <w:marTop w:val="0"/>
      <w:marBottom w:val="0"/>
      <w:divBdr>
        <w:top w:val="none" w:sz="0" w:space="0" w:color="auto"/>
        <w:left w:val="none" w:sz="0" w:space="0" w:color="auto"/>
        <w:bottom w:val="none" w:sz="0" w:space="0" w:color="auto"/>
        <w:right w:val="none" w:sz="0" w:space="0" w:color="auto"/>
      </w:divBdr>
    </w:div>
    <w:div w:id="87502516">
      <w:bodyDiv w:val="1"/>
      <w:marLeft w:val="0"/>
      <w:marRight w:val="0"/>
      <w:marTop w:val="0"/>
      <w:marBottom w:val="0"/>
      <w:divBdr>
        <w:top w:val="none" w:sz="0" w:space="0" w:color="auto"/>
        <w:left w:val="none" w:sz="0" w:space="0" w:color="auto"/>
        <w:bottom w:val="none" w:sz="0" w:space="0" w:color="auto"/>
        <w:right w:val="none" w:sz="0" w:space="0" w:color="auto"/>
      </w:divBdr>
    </w:div>
    <w:div w:id="87503508">
      <w:bodyDiv w:val="1"/>
      <w:marLeft w:val="0"/>
      <w:marRight w:val="0"/>
      <w:marTop w:val="0"/>
      <w:marBottom w:val="0"/>
      <w:divBdr>
        <w:top w:val="none" w:sz="0" w:space="0" w:color="auto"/>
        <w:left w:val="none" w:sz="0" w:space="0" w:color="auto"/>
        <w:bottom w:val="none" w:sz="0" w:space="0" w:color="auto"/>
        <w:right w:val="none" w:sz="0" w:space="0" w:color="auto"/>
      </w:divBdr>
    </w:div>
    <w:div w:id="87505163">
      <w:bodyDiv w:val="1"/>
      <w:marLeft w:val="0"/>
      <w:marRight w:val="0"/>
      <w:marTop w:val="0"/>
      <w:marBottom w:val="0"/>
      <w:divBdr>
        <w:top w:val="none" w:sz="0" w:space="0" w:color="auto"/>
        <w:left w:val="none" w:sz="0" w:space="0" w:color="auto"/>
        <w:bottom w:val="none" w:sz="0" w:space="0" w:color="auto"/>
        <w:right w:val="none" w:sz="0" w:space="0" w:color="auto"/>
      </w:divBdr>
    </w:div>
    <w:div w:id="87629265">
      <w:bodyDiv w:val="1"/>
      <w:marLeft w:val="0"/>
      <w:marRight w:val="0"/>
      <w:marTop w:val="0"/>
      <w:marBottom w:val="0"/>
      <w:divBdr>
        <w:top w:val="none" w:sz="0" w:space="0" w:color="auto"/>
        <w:left w:val="none" w:sz="0" w:space="0" w:color="auto"/>
        <w:bottom w:val="none" w:sz="0" w:space="0" w:color="auto"/>
        <w:right w:val="none" w:sz="0" w:space="0" w:color="auto"/>
      </w:divBdr>
    </w:div>
    <w:div w:id="87703854">
      <w:bodyDiv w:val="1"/>
      <w:marLeft w:val="0"/>
      <w:marRight w:val="0"/>
      <w:marTop w:val="0"/>
      <w:marBottom w:val="0"/>
      <w:divBdr>
        <w:top w:val="none" w:sz="0" w:space="0" w:color="auto"/>
        <w:left w:val="none" w:sz="0" w:space="0" w:color="auto"/>
        <w:bottom w:val="none" w:sz="0" w:space="0" w:color="auto"/>
        <w:right w:val="none" w:sz="0" w:space="0" w:color="auto"/>
      </w:divBdr>
    </w:div>
    <w:div w:id="88233552">
      <w:bodyDiv w:val="1"/>
      <w:marLeft w:val="0"/>
      <w:marRight w:val="0"/>
      <w:marTop w:val="0"/>
      <w:marBottom w:val="0"/>
      <w:divBdr>
        <w:top w:val="none" w:sz="0" w:space="0" w:color="auto"/>
        <w:left w:val="none" w:sz="0" w:space="0" w:color="auto"/>
        <w:bottom w:val="none" w:sz="0" w:space="0" w:color="auto"/>
        <w:right w:val="none" w:sz="0" w:space="0" w:color="auto"/>
      </w:divBdr>
    </w:div>
    <w:div w:id="88432062">
      <w:bodyDiv w:val="1"/>
      <w:marLeft w:val="0"/>
      <w:marRight w:val="0"/>
      <w:marTop w:val="0"/>
      <w:marBottom w:val="0"/>
      <w:divBdr>
        <w:top w:val="none" w:sz="0" w:space="0" w:color="auto"/>
        <w:left w:val="none" w:sz="0" w:space="0" w:color="auto"/>
        <w:bottom w:val="none" w:sz="0" w:space="0" w:color="auto"/>
        <w:right w:val="none" w:sz="0" w:space="0" w:color="auto"/>
      </w:divBdr>
    </w:div>
    <w:div w:id="88506151">
      <w:bodyDiv w:val="1"/>
      <w:marLeft w:val="0"/>
      <w:marRight w:val="0"/>
      <w:marTop w:val="0"/>
      <w:marBottom w:val="0"/>
      <w:divBdr>
        <w:top w:val="none" w:sz="0" w:space="0" w:color="auto"/>
        <w:left w:val="none" w:sz="0" w:space="0" w:color="auto"/>
        <w:bottom w:val="none" w:sz="0" w:space="0" w:color="auto"/>
        <w:right w:val="none" w:sz="0" w:space="0" w:color="auto"/>
      </w:divBdr>
    </w:div>
    <w:div w:id="88695730">
      <w:bodyDiv w:val="1"/>
      <w:marLeft w:val="0"/>
      <w:marRight w:val="0"/>
      <w:marTop w:val="0"/>
      <w:marBottom w:val="0"/>
      <w:divBdr>
        <w:top w:val="none" w:sz="0" w:space="0" w:color="auto"/>
        <w:left w:val="none" w:sz="0" w:space="0" w:color="auto"/>
        <w:bottom w:val="none" w:sz="0" w:space="0" w:color="auto"/>
        <w:right w:val="none" w:sz="0" w:space="0" w:color="auto"/>
      </w:divBdr>
    </w:div>
    <w:div w:id="88742630">
      <w:bodyDiv w:val="1"/>
      <w:marLeft w:val="0"/>
      <w:marRight w:val="0"/>
      <w:marTop w:val="0"/>
      <w:marBottom w:val="0"/>
      <w:divBdr>
        <w:top w:val="none" w:sz="0" w:space="0" w:color="auto"/>
        <w:left w:val="none" w:sz="0" w:space="0" w:color="auto"/>
        <w:bottom w:val="none" w:sz="0" w:space="0" w:color="auto"/>
        <w:right w:val="none" w:sz="0" w:space="0" w:color="auto"/>
      </w:divBdr>
    </w:div>
    <w:div w:id="88892347">
      <w:bodyDiv w:val="1"/>
      <w:marLeft w:val="0"/>
      <w:marRight w:val="0"/>
      <w:marTop w:val="0"/>
      <w:marBottom w:val="0"/>
      <w:divBdr>
        <w:top w:val="none" w:sz="0" w:space="0" w:color="auto"/>
        <w:left w:val="none" w:sz="0" w:space="0" w:color="auto"/>
        <w:bottom w:val="none" w:sz="0" w:space="0" w:color="auto"/>
        <w:right w:val="none" w:sz="0" w:space="0" w:color="auto"/>
      </w:divBdr>
    </w:div>
    <w:div w:id="89399214">
      <w:bodyDiv w:val="1"/>
      <w:marLeft w:val="0"/>
      <w:marRight w:val="0"/>
      <w:marTop w:val="0"/>
      <w:marBottom w:val="0"/>
      <w:divBdr>
        <w:top w:val="none" w:sz="0" w:space="0" w:color="auto"/>
        <w:left w:val="none" w:sz="0" w:space="0" w:color="auto"/>
        <w:bottom w:val="none" w:sz="0" w:space="0" w:color="auto"/>
        <w:right w:val="none" w:sz="0" w:space="0" w:color="auto"/>
      </w:divBdr>
    </w:div>
    <w:div w:id="89551921">
      <w:bodyDiv w:val="1"/>
      <w:marLeft w:val="0"/>
      <w:marRight w:val="0"/>
      <w:marTop w:val="0"/>
      <w:marBottom w:val="0"/>
      <w:divBdr>
        <w:top w:val="none" w:sz="0" w:space="0" w:color="auto"/>
        <w:left w:val="none" w:sz="0" w:space="0" w:color="auto"/>
        <w:bottom w:val="none" w:sz="0" w:space="0" w:color="auto"/>
        <w:right w:val="none" w:sz="0" w:space="0" w:color="auto"/>
      </w:divBdr>
    </w:div>
    <w:div w:id="89815924">
      <w:bodyDiv w:val="1"/>
      <w:marLeft w:val="0"/>
      <w:marRight w:val="0"/>
      <w:marTop w:val="0"/>
      <w:marBottom w:val="0"/>
      <w:divBdr>
        <w:top w:val="none" w:sz="0" w:space="0" w:color="auto"/>
        <w:left w:val="none" w:sz="0" w:space="0" w:color="auto"/>
        <w:bottom w:val="none" w:sz="0" w:space="0" w:color="auto"/>
        <w:right w:val="none" w:sz="0" w:space="0" w:color="auto"/>
      </w:divBdr>
    </w:div>
    <w:div w:id="90129237">
      <w:bodyDiv w:val="1"/>
      <w:marLeft w:val="0"/>
      <w:marRight w:val="0"/>
      <w:marTop w:val="0"/>
      <w:marBottom w:val="0"/>
      <w:divBdr>
        <w:top w:val="none" w:sz="0" w:space="0" w:color="auto"/>
        <w:left w:val="none" w:sz="0" w:space="0" w:color="auto"/>
        <w:bottom w:val="none" w:sz="0" w:space="0" w:color="auto"/>
        <w:right w:val="none" w:sz="0" w:space="0" w:color="auto"/>
      </w:divBdr>
    </w:div>
    <w:div w:id="90130644">
      <w:bodyDiv w:val="1"/>
      <w:marLeft w:val="0"/>
      <w:marRight w:val="0"/>
      <w:marTop w:val="0"/>
      <w:marBottom w:val="0"/>
      <w:divBdr>
        <w:top w:val="none" w:sz="0" w:space="0" w:color="auto"/>
        <w:left w:val="none" w:sz="0" w:space="0" w:color="auto"/>
        <w:bottom w:val="none" w:sz="0" w:space="0" w:color="auto"/>
        <w:right w:val="none" w:sz="0" w:space="0" w:color="auto"/>
      </w:divBdr>
    </w:div>
    <w:div w:id="90131977">
      <w:bodyDiv w:val="1"/>
      <w:marLeft w:val="0"/>
      <w:marRight w:val="0"/>
      <w:marTop w:val="0"/>
      <w:marBottom w:val="0"/>
      <w:divBdr>
        <w:top w:val="none" w:sz="0" w:space="0" w:color="auto"/>
        <w:left w:val="none" w:sz="0" w:space="0" w:color="auto"/>
        <w:bottom w:val="none" w:sz="0" w:space="0" w:color="auto"/>
        <w:right w:val="none" w:sz="0" w:space="0" w:color="auto"/>
      </w:divBdr>
    </w:div>
    <w:div w:id="90316494">
      <w:bodyDiv w:val="1"/>
      <w:marLeft w:val="0"/>
      <w:marRight w:val="0"/>
      <w:marTop w:val="0"/>
      <w:marBottom w:val="0"/>
      <w:divBdr>
        <w:top w:val="none" w:sz="0" w:space="0" w:color="auto"/>
        <w:left w:val="none" w:sz="0" w:space="0" w:color="auto"/>
        <w:bottom w:val="none" w:sz="0" w:space="0" w:color="auto"/>
        <w:right w:val="none" w:sz="0" w:space="0" w:color="auto"/>
      </w:divBdr>
    </w:div>
    <w:div w:id="90662690">
      <w:bodyDiv w:val="1"/>
      <w:marLeft w:val="0"/>
      <w:marRight w:val="0"/>
      <w:marTop w:val="0"/>
      <w:marBottom w:val="0"/>
      <w:divBdr>
        <w:top w:val="none" w:sz="0" w:space="0" w:color="auto"/>
        <w:left w:val="none" w:sz="0" w:space="0" w:color="auto"/>
        <w:bottom w:val="none" w:sz="0" w:space="0" w:color="auto"/>
        <w:right w:val="none" w:sz="0" w:space="0" w:color="auto"/>
      </w:divBdr>
    </w:div>
    <w:div w:id="90668646">
      <w:bodyDiv w:val="1"/>
      <w:marLeft w:val="0"/>
      <w:marRight w:val="0"/>
      <w:marTop w:val="0"/>
      <w:marBottom w:val="0"/>
      <w:divBdr>
        <w:top w:val="none" w:sz="0" w:space="0" w:color="auto"/>
        <w:left w:val="none" w:sz="0" w:space="0" w:color="auto"/>
        <w:bottom w:val="none" w:sz="0" w:space="0" w:color="auto"/>
        <w:right w:val="none" w:sz="0" w:space="0" w:color="auto"/>
      </w:divBdr>
    </w:div>
    <w:div w:id="90711738">
      <w:bodyDiv w:val="1"/>
      <w:marLeft w:val="0"/>
      <w:marRight w:val="0"/>
      <w:marTop w:val="0"/>
      <w:marBottom w:val="0"/>
      <w:divBdr>
        <w:top w:val="none" w:sz="0" w:space="0" w:color="auto"/>
        <w:left w:val="none" w:sz="0" w:space="0" w:color="auto"/>
        <w:bottom w:val="none" w:sz="0" w:space="0" w:color="auto"/>
        <w:right w:val="none" w:sz="0" w:space="0" w:color="auto"/>
      </w:divBdr>
    </w:div>
    <w:div w:id="90862820">
      <w:bodyDiv w:val="1"/>
      <w:marLeft w:val="0"/>
      <w:marRight w:val="0"/>
      <w:marTop w:val="0"/>
      <w:marBottom w:val="0"/>
      <w:divBdr>
        <w:top w:val="none" w:sz="0" w:space="0" w:color="auto"/>
        <w:left w:val="none" w:sz="0" w:space="0" w:color="auto"/>
        <w:bottom w:val="none" w:sz="0" w:space="0" w:color="auto"/>
        <w:right w:val="none" w:sz="0" w:space="0" w:color="auto"/>
      </w:divBdr>
    </w:div>
    <w:div w:id="91050155">
      <w:bodyDiv w:val="1"/>
      <w:marLeft w:val="0"/>
      <w:marRight w:val="0"/>
      <w:marTop w:val="0"/>
      <w:marBottom w:val="0"/>
      <w:divBdr>
        <w:top w:val="none" w:sz="0" w:space="0" w:color="auto"/>
        <w:left w:val="none" w:sz="0" w:space="0" w:color="auto"/>
        <w:bottom w:val="none" w:sz="0" w:space="0" w:color="auto"/>
        <w:right w:val="none" w:sz="0" w:space="0" w:color="auto"/>
      </w:divBdr>
    </w:div>
    <w:div w:id="91169664">
      <w:bodyDiv w:val="1"/>
      <w:marLeft w:val="0"/>
      <w:marRight w:val="0"/>
      <w:marTop w:val="0"/>
      <w:marBottom w:val="0"/>
      <w:divBdr>
        <w:top w:val="none" w:sz="0" w:space="0" w:color="auto"/>
        <w:left w:val="none" w:sz="0" w:space="0" w:color="auto"/>
        <w:bottom w:val="none" w:sz="0" w:space="0" w:color="auto"/>
        <w:right w:val="none" w:sz="0" w:space="0" w:color="auto"/>
      </w:divBdr>
    </w:div>
    <w:div w:id="91249811">
      <w:bodyDiv w:val="1"/>
      <w:marLeft w:val="0"/>
      <w:marRight w:val="0"/>
      <w:marTop w:val="0"/>
      <w:marBottom w:val="0"/>
      <w:divBdr>
        <w:top w:val="none" w:sz="0" w:space="0" w:color="auto"/>
        <w:left w:val="none" w:sz="0" w:space="0" w:color="auto"/>
        <w:bottom w:val="none" w:sz="0" w:space="0" w:color="auto"/>
        <w:right w:val="none" w:sz="0" w:space="0" w:color="auto"/>
      </w:divBdr>
    </w:div>
    <w:div w:id="91365601">
      <w:bodyDiv w:val="1"/>
      <w:marLeft w:val="0"/>
      <w:marRight w:val="0"/>
      <w:marTop w:val="0"/>
      <w:marBottom w:val="0"/>
      <w:divBdr>
        <w:top w:val="none" w:sz="0" w:space="0" w:color="auto"/>
        <w:left w:val="none" w:sz="0" w:space="0" w:color="auto"/>
        <w:bottom w:val="none" w:sz="0" w:space="0" w:color="auto"/>
        <w:right w:val="none" w:sz="0" w:space="0" w:color="auto"/>
      </w:divBdr>
    </w:div>
    <w:div w:id="91436454">
      <w:bodyDiv w:val="1"/>
      <w:marLeft w:val="0"/>
      <w:marRight w:val="0"/>
      <w:marTop w:val="0"/>
      <w:marBottom w:val="0"/>
      <w:divBdr>
        <w:top w:val="none" w:sz="0" w:space="0" w:color="auto"/>
        <w:left w:val="none" w:sz="0" w:space="0" w:color="auto"/>
        <w:bottom w:val="none" w:sz="0" w:space="0" w:color="auto"/>
        <w:right w:val="none" w:sz="0" w:space="0" w:color="auto"/>
      </w:divBdr>
    </w:div>
    <w:div w:id="91828790">
      <w:bodyDiv w:val="1"/>
      <w:marLeft w:val="0"/>
      <w:marRight w:val="0"/>
      <w:marTop w:val="0"/>
      <w:marBottom w:val="0"/>
      <w:divBdr>
        <w:top w:val="none" w:sz="0" w:space="0" w:color="auto"/>
        <w:left w:val="none" w:sz="0" w:space="0" w:color="auto"/>
        <w:bottom w:val="none" w:sz="0" w:space="0" w:color="auto"/>
        <w:right w:val="none" w:sz="0" w:space="0" w:color="auto"/>
      </w:divBdr>
    </w:div>
    <w:div w:id="91971896">
      <w:bodyDiv w:val="1"/>
      <w:marLeft w:val="0"/>
      <w:marRight w:val="0"/>
      <w:marTop w:val="0"/>
      <w:marBottom w:val="0"/>
      <w:divBdr>
        <w:top w:val="none" w:sz="0" w:space="0" w:color="auto"/>
        <w:left w:val="none" w:sz="0" w:space="0" w:color="auto"/>
        <w:bottom w:val="none" w:sz="0" w:space="0" w:color="auto"/>
        <w:right w:val="none" w:sz="0" w:space="0" w:color="auto"/>
      </w:divBdr>
    </w:div>
    <w:div w:id="91977276">
      <w:bodyDiv w:val="1"/>
      <w:marLeft w:val="0"/>
      <w:marRight w:val="0"/>
      <w:marTop w:val="0"/>
      <w:marBottom w:val="0"/>
      <w:divBdr>
        <w:top w:val="none" w:sz="0" w:space="0" w:color="auto"/>
        <w:left w:val="none" w:sz="0" w:space="0" w:color="auto"/>
        <w:bottom w:val="none" w:sz="0" w:space="0" w:color="auto"/>
        <w:right w:val="none" w:sz="0" w:space="0" w:color="auto"/>
      </w:divBdr>
    </w:div>
    <w:div w:id="92167113">
      <w:bodyDiv w:val="1"/>
      <w:marLeft w:val="0"/>
      <w:marRight w:val="0"/>
      <w:marTop w:val="0"/>
      <w:marBottom w:val="0"/>
      <w:divBdr>
        <w:top w:val="none" w:sz="0" w:space="0" w:color="auto"/>
        <w:left w:val="none" w:sz="0" w:space="0" w:color="auto"/>
        <w:bottom w:val="none" w:sz="0" w:space="0" w:color="auto"/>
        <w:right w:val="none" w:sz="0" w:space="0" w:color="auto"/>
      </w:divBdr>
    </w:div>
    <w:div w:id="92170576">
      <w:bodyDiv w:val="1"/>
      <w:marLeft w:val="0"/>
      <w:marRight w:val="0"/>
      <w:marTop w:val="0"/>
      <w:marBottom w:val="0"/>
      <w:divBdr>
        <w:top w:val="none" w:sz="0" w:space="0" w:color="auto"/>
        <w:left w:val="none" w:sz="0" w:space="0" w:color="auto"/>
        <w:bottom w:val="none" w:sz="0" w:space="0" w:color="auto"/>
        <w:right w:val="none" w:sz="0" w:space="0" w:color="auto"/>
      </w:divBdr>
    </w:div>
    <w:div w:id="92212419">
      <w:bodyDiv w:val="1"/>
      <w:marLeft w:val="0"/>
      <w:marRight w:val="0"/>
      <w:marTop w:val="0"/>
      <w:marBottom w:val="0"/>
      <w:divBdr>
        <w:top w:val="none" w:sz="0" w:space="0" w:color="auto"/>
        <w:left w:val="none" w:sz="0" w:space="0" w:color="auto"/>
        <w:bottom w:val="none" w:sz="0" w:space="0" w:color="auto"/>
        <w:right w:val="none" w:sz="0" w:space="0" w:color="auto"/>
      </w:divBdr>
    </w:div>
    <w:div w:id="92434022">
      <w:bodyDiv w:val="1"/>
      <w:marLeft w:val="0"/>
      <w:marRight w:val="0"/>
      <w:marTop w:val="0"/>
      <w:marBottom w:val="0"/>
      <w:divBdr>
        <w:top w:val="none" w:sz="0" w:space="0" w:color="auto"/>
        <w:left w:val="none" w:sz="0" w:space="0" w:color="auto"/>
        <w:bottom w:val="none" w:sz="0" w:space="0" w:color="auto"/>
        <w:right w:val="none" w:sz="0" w:space="0" w:color="auto"/>
      </w:divBdr>
    </w:div>
    <w:div w:id="92436332">
      <w:bodyDiv w:val="1"/>
      <w:marLeft w:val="0"/>
      <w:marRight w:val="0"/>
      <w:marTop w:val="0"/>
      <w:marBottom w:val="0"/>
      <w:divBdr>
        <w:top w:val="none" w:sz="0" w:space="0" w:color="auto"/>
        <w:left w:val="none" w:sz="0" w:space="0" w:color="auto"/>
        <w:bottom w:val="none" w:sz="0" w:space="0" w:color="auto"/>
        <w:right w:val="none" w:sz="0" w:space="0" w:color="auto"/>
      </w:divBdr>
    </w:div>
    <w:div w:id="92479263">
      <w:bodyDiv w:val="1"/>
      <w:marLeft w:val="0"/>
      <w:marRight w:val="0"/>
      <w:marTop w:val="0"/>
      <w:marBottom w:val="0"/>
      <w:divBdr>
        <w:top w:val="none" w:sz="0" w:space="0" w:color="auto"/>
        <w:left w:val="none" w:sz="0" w:space="0" w:color="auto"/>
        <w:bottom w:val="none" w:sz="0" w:space="0" w:color="auto"/>
        <w:right w:val="none" w:sz="0" w:space="0" w:color="auto"/>
      </w:divBdr>
    </w:div>
    <w:div w:id="93672188">
      <w:bodyDiv w:val="1"/>
      <w:marLeft w:val="0"/>
      <w:marRight w:val="0"/>
      <w:marTop w:val="0"/>
      <w:marBottom w:val="0"/>
      <w:divBdr>
        <w:top w:val="none" w:sz="0" w:space="0" w:color="auto"/>
        <w:left w:val="none" w:sz="0" w:space="0" w:color="auto"/>
        <w:bottom w:val="none" w:sz="0" w:space="0" w:color="auto"/>
        <w:right w:val="none" w:sz="0" w:space="0" w:color="auto"/>
      </w:divBdr>
    </w:div>
    <w:div w:id="93791547">
      <w:bodyDiv w:val="1"/>
      <w:marLeft w:val="0"/>
      <w:marRight w:val="0"/>
      <w:marTop w:val="0"/>
      <w:marBottom w:val="0"/>
      <w:divBdr>
        <w:top w:val="none" w:sz="0" w:space="0" w:color="auto"/>
        <w:left w:val="none" w:sz="0" w:space="0" w:color="auto"/>
        <w:bottom w:val="none" w:sz="0" w:space="0" w:color="auto"/>
        <w:right w:val="none" w:sz="0" w:space="0" w:color="auto"/>
      </w:divBdr>
    </w:div>
    <w:div w:id="93979743">
      <w:bodyDiv w:val="1"/>
      <w:marLeft w:val="0"/>
      <w:marRight w:val="0"/>
      <w:marTop w:val="0"/>
      <w:marBottom w:val="0"/>
      <w:divBdr>
        <w:top w:val="none" w:sz="0" w:space="0" w:color="auto"/>
        <w:left w:val="none" w:sz="0" w:space="0" w:color="auto"/>
        <w:bottom w:val="none" w:sz="0" w:space="0" w:color="auto"/>
        <w:right w:val="none" w:sz="0" w:space="0" w:color="auto"/>
      </w:divBdr>
    </w:div>
    <w:div w:id="94060465">
      <w:bodyDiv w:val="1"/>
      <w:marLeft w:val="0"/>
      <w:marRight w:val="0"/>
      <w:marTop w:val="0"/>
      <w:marBottom w:val="0"/>
      <w:divBdr>
        <w:top w:val="none" w:sz="0" w:space="0" w:color="auto"/>
        <w:left w:val="none" w:sz="0" w:space="0" w:color="auto"/>
        <w:bottom w:val="none" w:sz="0" w:space="0" w:color="auto"/>
        <w:right w:val="none" w:sz="0" w:space="0" w:color="auto"/>
      </w:divBdr>
    </w:div>
    <w:div w:id="94402259">
      <w:bodyDiv w:val="1"/>
      <w:marLeft w:val="0"/>
      <w:marRight w:val="0"/>
      <w:marTop w:val="0"/>
      <w:marBottom w:val="0"/>
      <w:divBdr>
        <w:top w:val="none" w:sz="0" w:space="0" w:color="auto"/>
        <w:left w:val="none" w:sz="0" w:space="0" w:color="auto"/>
        <w:bottom w:val="none" w:sz="0" w:space="0" w:color="auto"/>
        <w:right w:val="none" w:sz="0" w:space="0" w:color="auto"/>
      </w:divBdr>
    </w:div>
    <w:div w:id="94447798">
      <w:bodyDiv w:val="1"/>
      <w:marLeft w:val="0"/>
      <w:marRight w:val="0"/>
      <w:marTop w:val="0"/>
      <w:marBottom w:val="0"/>
      <w:divBdr>
        <w:top w:val="none" w:sz="0" w:space="0" w:color="auto"/>
        <w:left w:val="none" w:sz="0" w:space="0" w:color="auto"/>
        <w:bottom w:val="none" w:sz="0" w:space="0" w:color="auto"/>
        <w:right w:val="none" w:sz="0" w:space="0" w:color="auto"/>
      </w:divBdr>
    </w:div>
    <w:div w:id="94596732">
      <w:bodyDiv w:val="1"/>
      <w:marLeft w:val="0"/>
      <w:marRight w:val="0"/>
      <w:marTop w:val="0"/>
      <w:marBottom w:val="0"/>
      <w:divBdr>
        <w:top w:val="none" w:sz="0" w:space="0" w:color="auto"/>
        <w:left w:val="none" w:sz="0" w:space="0" w:color="auto"/>
        <w:bottom w:val="none" w:sz="0" w:space="0" w:color="auto"/>
        <w:right w:val="none" w:sz="0" w:space="0" w:color="auto"/>
      </w:divBdr>
    </w:div>
    <w:div w:id="94636337">
      <w:bodyDiv w:val="1"/>
      <w:marLeft w:val="0"/>
      <w:marRight w:val="0"/>
      <w:marTop w:val="0"/>
      <w:marBottom w:val="0"/>
      <w:divBdr>
        <w:top w:val="none" w:sz="0" w:space="0" w:color="auto"/>
        <w:left w:val="none" w:sz="0" w:space="0" w:color="auto"/>
        <w:bottom w:val="none" w:sz="0" w:space="0" w:color="auto"/>
        <w:right w:val="none" w:sz="0" w:space="0" w:color="auto"/>
      </w:divBdr>
    </w:div>
    <w:div w:id="94904028">
      <w:bodyDiv w:val="1"/>
      <w:marLeft w:val="0"/>
      <w:marRight w:val="0"/>
      <w:marTop w:val="0"/>
      <w:marBottom w:val="0"/>
      <w:divBdr>
        <w:top w:val="none" w:sz="0" w:space="0" w:color="auto"/>
        <w:left w:val="none" w:sz="0" w:space="0" w:color="auto"/>
        <w:bottom w:val="none" w:sz="0" w:space="0" w:color="auto"/>
        <w:right w:val="none" w:sz="0" w:space="0" w:color="auto"/>
      </w:divBdr>
    </w:div>
    <w:div w:id="94904361">
      <w:bodyDiv w:val="1"/>
      <w:marLeft w:val="0"/>
      <w:marRight w:val="0"/>
      <w:marTop w:val="0"/>
      <w:marBottom w:val="0"/>
      <w:divBdr>
        <w:top w:val="none" w:sz="0" w:space="0" w:color="auto"/>
        <w:left w:val="none" w:sz="0" w:space="0" w:color="auto"/>
        <w:bottom w:val="none" w:sz="0" w:space="0" w:color="auto"/>
        <w:right w:val="none" w:sz="0" w:space="0" w:color="auto"/>
      </w:divBdr>
    </w:div>
    <w:div w:id="95181349">
      <w:bodyDiv w:val="1"/>
      <w:marLeft w:val="0"/>
      <w:marRight w:val="0"/>
      <w:marTop w:val="0"/>
      <w:marBottom w:val="0"/>
      <w:divBdr>
        <w:top w:val="none" w:sz="0" w:space="0" w:color="auto"/>
        <w:left w:val="none" w:sz="0" w:space="0" w:color="auto"/>
        <w:bottom w:val="none" w:sz="0" w:space="0" w:color="auto"/>
        <w:right w:val="none" w:sz="0" w:space="0" w:color="auto"/>
      </w:divBdr>
    </w:div>
    <w:div w:id="95373204">
      <w:bodyDiv w:val="1"/>
      <w:marLeft w:val="0"/>
      <w:marRight w:val="0"/>
      <w:marTop w:val="0"/>
      <w:marBottom w:val="0"/>
      <w:divBdr>
        <w:top w:val="none" w:sz="0" w:space="0" w:color="auto"/>
        <w:left w:val="none" w:sz="0" w:space="0" w:color="auto"/>
        <w:bottom w:val="none" w:sz="0" w:space="0" w:color="auto"/>
        <w:right w:val="none" w:sz="0" w:space="0" w:color="auto"/>
      </w:divBdr>
    </w:div>
    <w:div w:id="95562126">
      <w:bodyDiv w:val="1"/>
      <w:marLeft w:val="0"/>
      <w:marRight w:val="0"/>
      <w:marTop w:val="0"/>
      <w:marBottom w:val="0"/>
      <w:divBdr>
        <w:top w:val="none" w:sz="0" w:space="0" w:color="auto"/>
        <w:left w:val="none" w:sz="0" w:space="0" w:color="auto"/>
        <w:bottom w:val="none" w:sz="0" w:space="0" w:color="auto"/>
        <w:right w:val="none" w:sz="0" w:space="0" w:color="auto"/>
      </w:divBdr>
    </w:div>
    <w:div w:id="95710189">
      <w:bodyDiv w:val="1"/>
      <w:marLeft w:val="0"/>
      <w:marRight w:val="0"/>
      <w:marTop w:val="0"/>
      <w:marBottom w:val="0"/>
      <w:divBdr>
        <w:top w:val="none" w:sz="0" w:space="0" w:color="auto"/>
        <w:left w:val="none" w:sz="0" w:space="0" w:color="auto"/>
        <w:bottom w:val="none" w:sz="0" w:space="0" w:color="auto"/>
        <w:right w:val="none" w:sz="0" w:space="0" w:color="auto"/>
      </w:divBdr>
    </w:div>
    <w:div w:id="95710999">
      <w:bodyDiv w:val="1"/>
      <w:marLeft w:val="0"/>
      <w:marRight w:val="0"/>
      <w:marTop w:val="0"/>
      <w:marBottom w:val="0"/>
      <w:divBdr>
        <w:top w:val="none" w:sz="0" w:space="0" w:color="auto"/>
        <w:left w:val="none" w:sz="0" w:space="0" w:color="auto"/>
        <w:bottom w:val="none" w:sz="0" w:space="0" w:color="auto"/>
        <w:right w:val="none" w:sz="0" w:space="0" w:color="auto"/>
      </w:divBdr>
    </w:div>
    <w:div w:id="95949330">
      <w:bodyDiv w:val="1"/>
      <w:marLeft w:val="0"/>
      <w:marRight w:val="0"/>
      <w:marTop w:val="0"/>
      <w:marBottom w:val="0"/>
      <w:divBdr>
        <w:top w:val="none" w:sz="0" w:space="0" w:color="auto"/>
        <w:left w:val="none" w:sz="0" w:space="0" w:color="auto"/>
        <w:bottom w:val="none" w:sz="0" w:space="0" w:color="auto"/>
        <w:right w:val="none" w:sz="0" w:space="0" w:color="auto"/>
      </w:divBdr>
    </w:div>
    <w:div w:id="96171568">
      <w:bodyDiv w:val="1"/>
      <w:marLeft w:val="0"/>
      <w:marRight w:val="0"/>
      <w:marTop w:val="0"/>
      <w:marBottom w:val="0"/>
      <w:divBdr>
        <w:top w:val="none" w:sz="0" w:space="0" w:color="auto"/>
        <w:left w:val="none" w:sz="0" w:space="0" w:color="auto"/>
        <w:bottom w:val="none" w:sz="0" w:space="0" w:color="auto"/>
        <w:right w:val="none" w:sz="0" w:space="0" w:color="auto"/>
      </w:divBdr>
    </w:div>
    <w:div w:id="96214373">
      <w:bodyDiv w:val="1"/>
      <w:marLeft w:val="0"/>
      <w:marRight w:val="0"/>
      <w:marTop w:val="0"/>
      <w:marBottom w:val="0"/>
      <w:divBdr>
        <w:top w:val="none" w:sz="0" w:space="0" w:color="auto"/>
        <w:left w:val="none" w:sz="0" w:space="0" w:color="auto"/>
        <w:bottom w:val="none" w:sz="0" w:space="0" w:color="auto"/>
        <w:right w:val="none" w:sz="0" w:space="0" w:color="auto"/>
      </w:divBdr>
    </w:div>
    <w:div w:id="96760144">
      <w:bodyDiv w:val="1"/>
      <w:marLeft w:val="0"/>
      <w:marRight w:val="0"/>
      <w:marTop w:val="0"/>
      <w:marBottom w:val="0"/>
      <w:divBdr>
        <w:top w:val="none" w:sz="0" w:space="0" w:color="auto"/>
        <w:left w:val="none" w:sz="0" w:space="0" w:color="auto"/>
        <w:bottom w:val="none" w:sz="0" w:space="0" w:color="auto"/>
        <w:right w:val="none" w:sz="0" w:space="0" w:color="auto"/>
      </w:divBdr>
    </w:div>
    <w:div w:id="96871047">
      <w:bodyDiv w:val="1"/>
      <w:marLeft w:val="0"/>
      <w:marRight w:val="0"/>
      <w:marTop w:val="0"/>
      <w:marBottom w:val="0"/>
      <w:divBdr>
        <w:top w:val="none" w:sz="0" w:space="0" w:color="auto"/>
        <w:left w:val="none" w:sz="0" w:space="0" w:color="auto"/>
        <w:bottom w:val="none" w:sz="0" w:space="0" w:color="auto"/>
        <w:right w:val="none" w:sz="0" w:space="0" w:color="auto"/>
      </w:divBdr>
    </w:div>
    <w:div w:id="97065652">
      <w:bodyDiv w:val="1"/>
      <w:marLeft w:val="0"/>
      <w:marRight w:val="0"/>
      <w:marTop w:val="0"/>
      <w:marBottom w:val="0"/>
      <w:divBdr>
        <w:top w:val="none" w:sz="0" w:space="0" w:color="auto"/>
        <w:left w:val="none" w:sz="0" w:space="0" w:color="auto"/>
        <w:bottom w:val="none" w:sz="0" w:space="0" w:color="auto"/>
        <w:right w:val="none" w:sz="0" w:space="0" w:color="auto"/>
      </w:divBdr>
    </w:div>
    <w:div w:id="97141523">
      <w:bodyDiv w:val="1"/>
      <w:marLeft w:val="0"/>
      <w:marRight w:val="0"/>
      <w:marTop w:val="0"/>
      <w:marBottom w:val="0"/>
      <w:divBdr>
        <w:top w:val="none" w:sz="0" w:space="0" w:color="auto"/>
        <w:left w:val="none" w:sz="0" w:space="0" w:color="auto"/>
        <w:bottom w:val="none" w:sz="0" w:space="0" w:color="auto"/>
        <w:right w:val="none" w:sz="0" w:space="0" w:color="auto"/>
      </w:divBdr>
    </w:div>
    <w:div w:id="97214690">
      <w:bodyDiv w:val="1"/>
      <w:marLeft w:val="0"/>
      <w:marRight w:val="0"/>
      <w:marTop w:val="0"/>
      <w:marBottom w:val="0"/>
      <w:divBdr>
        <w:top w:val="none" w:sz="0" w:space="0" w:color="auto"/>
        <w:left w:val="none" w:sz="0" w:space="0" w:color="auto"/>
        <w:bottom w:val="none" w:sz="0" w:space="0" w:color="auto"/>
        <w:right w:val="none" w:sz="0" w:space="0" w:color="auto"/>
      </w:divBdr>
    </w:div>
    <w:div w:id="97335216">
      <w:bodyDiv w:val="1"/>
      <w:marLeft w:val="0"/>
      <w:marRight w:val="0"/>
      <w:marTop w:val="0"/>
      <w:marBottom w:val="0"/>
      <w:divBdr>
        <w:top w:val="none" w:sz="0" w:space="0" w:color="auto"/>
        <w:left w:val="none" w:sz="0" w:space="0" w:color="auto"/>
        <w:bottom w:val="none" w:sz="0" w:space="0" w:color="auto"/>
        <w:right w:val="none" w:sz="0" w:space="0" w:color="auto"/>
      </w:divBdr>
    </w:div>
    <w:div w:id="97411048">
      <w:bodyDiv w:val="1"/>
      <w:marLeft w:val="0"/>
      <w:marRight w:val="0"/>
      <w:marTop w:val="0"/>
      <w:marBottom w:val="0"/>
      <w:divBdr>
        <w:top w:val="none" w:sz="0" w:space="0" w:color="auto"/>
        <w:left w:val="none" w:sz="0" w:space="0" w:color="auto"/>
        <w:bottom w:val="none" w:sz="0" w:space="0" w:color="auto"/>
        <w:right w:val="none" w:sz="0" w:space="0" w:color="auto"/>
      </w:divBdr>
    </w:div>
    <w:div w:id="97600555">
      <w:bodyDiv w:val="1"/>
      <w:marLeft w:val="0"/>
      <w:marRight w:val="0"/>
      <w:marTop w:val="0"/>
      <w:marBottom w:val="0"/>
      <w:divBdr>
        <w:top w:val="none" w:sz="0" w:space="0" w:color="auto"/>
        <w:left w:val="none" w:sz="0" w:space="0" w:color="auto"/>
        <w:bottom w:val="none" w:sz="0" w:space="0" w:color="auto"/>
        <w:right w:val="none" w:sz="0" w:space="0" w:color="auto"/>
      </w:divBdr>
    </w:div>
    <w:div w:id="97873054">
      <w:bodyDiv w:val="1"/>
      <w:marLeft w:val="0"/>
      <w:marRight w:val="0"/>
      <w:marTop w:val="0"/>
      <w:marBottom w:val="0"/>
      <w:divBdr>
        <w:top w:val="none" w:sz="0" w:space="0" w:color="auto"/>
        <w:left w:val="none" w:sz="0" w:space="0" w:color="auto"/>
        <w:bottom w:val="none" w:sz="0" w:space="0" w:color="auto"/>
        <w:right w:val="none" w:sz="0" w:space="0" w:color="auto"/>
      </w:divBdr>
    </w:div>
    <w:div w:id="98182785">
      <w:bodyDiv w:val="1"/>
      <w:marLeft w:val="0"/>
      <w:marRight w:val="0"/>
      <w:marTop w:val="0"/>
      <w:marBottom w:val="0"/>
      <w:divBdr>
        <w:top w:val="none" w:sz="0" w:space="0" w:color="auto"/>
        <w:left w:val="none" w:sz="0" w:space="0" w:color="auto"/>
        <w:bottom w:val="none" w:sz="0" w:space="0" w:color="auto"/>
        <w:right w:val="none" w:sz="0" w:space="0" w:color="auto"/>
      </w:divBdr>
    </w:div>
    <w:div w:id="98259018">
      <w:bodyDiv w:val="1"/>
      <w:marLeft w:val="0"/>
      <w:marRight w:val="0"/>
      <w:marTop w:val="0"/>
      <w:marBottom w:val="0"/>
      <w:divBdr>
        <w:top w:val="none" w:sz="0" w:space="0" w:color="auto"/>
        <w:left w:val="none" w:sz="0" w:space="0" w:color="auto"/>
        <w:bottom w:val="none" w:sz="0" w:space="0" w:color="auto"/>
        <w:right w:val="none" w:sz="0" w:space="0" w:color="auto"/>
      </w:divBdr>
    </w:div>
    <w:div w:id="98377154">
      <w:bodyDiv w:val="1"/>
      <w:marLeft w:val="0"/>
      <w:marRight w:val="0"/>
      <w:marTop w:val="0"/>
      <w:marBottom w:val="0"/>
      <w:divBdr>
        <w:top w:val="none" w:sz="0" w:space="0" w:color="auto"/>
        <w:left w:val="none" w:sz="0" w:space="0" w:color="auto"/>
        <w:bottom w:val="none" w:sz="0" w:space="0" w:color="auto"/>
        <w:right w:val="none" w:sz="0" w:space="0" w:color="auto"/>
      </w:divBdr>
    </w:div>
    <w:div w:id="98726171">
      <w:bodyDiv w:val="1"/>
      <w:marLeft w:val="0"/>
      <w:marRight w:val="0"/>
      <w:marTop w:val="0"/>
      <w:marBottom w:val="0"/>
      <w:divBdr>
        <w:top w:val="none" w:sz="0" w:space="0" w:color="auto"/>
        <w:left w:val="none" w:sz="0" w:space="0" w:color="auto"/>
        <w:bottom w:val="none" w:sz="0" w:space="0" w:color="auto"/>
        <w:right w:val="none" w:sz="0" w:space="0" w:color="auto"/>
      </w:divBdr>
    </w:div>
    <w:div w:id="98988514">
      <w:bodyDiv w:val="1"/>
      <w:marLeft w:val="0"/>
      <w:marRight w:val="0"/>
      <w:marTop w:val="0"/>
      <w:marBottom w:val="0"/>
      <w:divBdr>
        <w:top w:val="none" w:sz="0" w:space="0" w:color="auto"/>
        <w:left w:val="none" w:sz="0" w:space="0" w:color="auto"/>
        <w:bottom w:val="none" w:sz="0" w:space="0" w:color="auto"/>
        <w:right w:val="none" w:sz="0" w:space="0" w:color="auto"/>
      </w:divBdr>
    </w:div>
    <w:div w:id="98991055">
      <w:bodyDiv w:val="1"/>
      <w:marLeft w:val="0"/>
      <w:marRight w:val="0"/>
      <w:marTop w:val="0"/>
      <w:marBottom w:val="0"/>
      <w:divBdr>
        <w:top w:val="none" w:sz="0" w:space="0" w:color="auto"/>
        <w:left w:val="none" w:sz="0" w:space="0" w:color="auto"/>
        <w:bottom w:val="none" w:sz="0" w:space="0" w:color="auto"/>
        <w:right w:val="none" w:sz="0" w:space="0" w:color="auto"/>
      </w:divBdr>
    </w:div>
    <w:div w:id="99762274">
      <w:bodyDiv w:val="1"/>
      <w:marLeft w:val="0"/>
      <w:marRight w:val="0"/>
      <w:marTop w:val="0"/>
      <w:marBottom w:val="0"/>
      <w:divBdr>
        <w:top w:val="none" w:sz="0" w:space="0" w:color="auto"/>
        <w:left w:val="none" w:sz="0" w:space="0" w:color="auto"/>
        <w:bottom w:val="none" w:sz="0" w:space="0" w:color="auto"/>
        <w:right w:val="none" w:sz="0" w:space="0" w:color="auto"/>
      </w:divBdr>
    </w:div>
    <w:div w:id="99841932">
      <w:bodyDiv w:val="1"/>
      <w:marLeft w:val="0"/>
      <w:marRight w:val="0"/>
      <w:marTop w:val="0"/>
      <w:marBottom w:val="0"/>
      <w:divBdr>
        <w:top w:val="none" w:sz="0" w:space="0" w:color="auto"/>
        <w:left w:val="none" w:sz="0" w:space="0" w:color="auto"/>
        <w:bottom w:val="none" w:sz="0" w:space="0" w:color="auto"/>
        <w:right w:val="none" w:sz="0" w:space="0" w:color="auto"/>
      </w:divBdr>
    </w:div>
    <w:div w:id="99878356">
      <w:bodyDiv w:val="1"/>
      <w:marLeft w:val="0"/>
      <w:marRight w:val="0"/>
      <w:marTop w:val="0"/>
      <w:marBottom w:val="0"/>
      <w:divBdr>
        <w:top w:val="none" w:sz="0" w:space="0" w:color="auto"/>
        <w:left w:val="none" w:sz="0" w:space="0" w:color="auto"/>
        <w:bottom w:val="none" w:sz="0" w:space="0" w:color="auto"/>
        <w:right w:val="none" w:sz="0" w:space="0" w:color="auto"/>
      </w:divBdr>
    </w:div>
    <w:div w:id="100220993">
      <w:bodyDiv w:val="1"/>
      <w:marLeft w:val="0"/>
      <w:marRight w:val="0"/>
      <w:marTop w:val="0"/>
      <w:marBottom w:val="0"/>
      <w:divBdr>
        <w:top w:val="none" w:sz="0" w:space="0" w:color="auto"/>
        <w:left w:val="none" w:sz="0" w:space="0" w:color="auto"/>
        <w:bottom w:val="none" w:sz="0" w:space="0" w:color="auto"/>
        <w:right w:val="none" w:sz="0" w:space="0" w:color="auto"/>
      </w:divBdr>
    </w:div>
    <w:div w:id="100730926">
      <w:bodyDiv w:val="1"/>
      <w:marLeft w:val="0"/>
      <w:marRight w:val="0"/>
      <w:marTop w:val="0"/>
      <w:marBottom w:val="0"/>
      <w:divBdr>
        <w:top w:val="none" w:sz="0" w:space="0" w:color="auto"/>
        <w:left w:val="none" w:sz="0" w:space="0" w:color="auto"/>
        <w:bottom w:val="none" w:sz="0" w:space="0" w:color="auto"/>
        <w:right w:val="none" w:sz="0" w:space="0" w:color="auto"/>
      </w:divBdr>
    </w:div>
    <w:div w:id="100881549">
      <w:bodyDiv w:val="1"/>
      <w:marLeft w:val="0"/>
      <w:marRight w:val="0"/>
      <w:marTop w:val="0"/>
      <w:marBottom w:val="0"/>
      <w:divBdr>
        <w:top w:val="none" w:sz="0" w:space="0" w:color="auto"/>
        <w:left w:val="none" w:sz="0" w:space="0" w:color="auto"/>
        <w:bottom w:val="none" w:sz="0" w:space="0" w:color="auto"/>
        <w:right w:val="none" w:sz="0" w:space="0" w:color="auto"/>
      </w:divBdr>
    </w:div>
    <w:div w:id="100927411">
      <w:bodyDiv w:val="1"/>
      <w:marLeft w:val="0"/>
      <w:marRight w:val="0"/>
      <w:marTop w:val="0"/>
      <w:marBottom w:val="0"/>
      <w:divBdr>
        <w:top w:val="none" w:sz="0" w:space="0" w:color="auto"/>
        <w:left w:val="none" w:sz="0" w:space="0" w:color="auto"/>
        <w:bottom w:val="none" w:sz="0" w:space="0" w:color="auto"/>
        <w:right w:val="none" w:sz="0" w:space="0" w:color="auto"/>
      </w:divBdr>
    </w:div>
    <w:div w:id="101342240">
      <w:bodyDiv w:val="1"/>
      <w:marLeft w:val="0"/>
      <w:marRight w:val="0"/>
      <w:marTop w:val="0"/>
      <w:marBottom w:val="0"/>
      <w:divBdr>
        <w:top w:val="none" w:sz="0" w:space="0" w:color="auto"/>
        <w:left w:val="none" w:sz="0" w:space="0" w:color="auto"/>
        <w:bottom w:val="none" w:sz="0" w:space="0" w:color="auto"/>
        <w:right w:val="none" w:sz="0" w:space="0" w:color="auto"/>
      </w:divBdr>
    </w:div>
    <w:div w:id="101539827">
      <w:bodyDiv w:val="1"/>
      <w:marLeft w:val="0"/>
      <w:marRight w:val="0"/>
      <w:marTop w:val="0"/>
      <w:marBottom w:val="0"/>
      <w:divBdr>
        <w:top w:val="none" w:sz="0" w:space="0" w:color="auto"/>
        <w:left w:val="none" w:sz="0" w:space="0" w:color="auto"/>
        <w:bottom w:val="none" w:sz="0" w:space="0" w:color="auto"/>
        <w:right w:val="none" w:sz="0" w:space="0" w:color="auto"/>
      </w:divBdr>
    </w:div>
    <w:div w:id="101612409">
      <w:bodyDiv w:val="1"/>
      <w:marLeft w:val="0"/>
      <w:marRight w:val="0"/>
      <w:marTop w:val="0"/>
      <w:marBottom w:val="0"/>
      <w:divBdr>
        <w:top w:val="none" w:sz="0" w:space="0" w:color="auto"/>
        <w:left w:val="none" w:sz="0" w:space="0" w:color="auto"/>
        <w:bottom w:val="none" w:sz="0" w:space="0" w:color="auto"/>
        <w:right w:val="none" w:sz="0" w:space="0" w:color="auto"/>
      </w:divBdr>
    </w:div>
    <w:div w:id="101919180">
      <w:bodyDiv w:val="1"/>
      <w:marLeft w:val="0"/>
      <w:marRight w:val="0"/>
      <w:marTop w:val="0"/>
      <w:marBottom w:val="0"/>
      <w:divBdr>
        <w:top w:val="none" w:sz="0" w:space="0" w:color="auto"/>
        <w:left w:val="none" w:sz="0" w:space="0" w:color="auto"/>
        <w:bottom w:val="none" w:sz="0" w:space="0" w:color="auto"/>
        <w:right w:val="none" w:sz="0" w:space="0" w:color="auto"/>
      </w:divBdr>
    </w:div>
    <w:div w:id="102186908">
      <w:bodyDiv w:val="1"/>
      <w:marLeft w:val="0"/>
      <w:marRight w:val="0"/>
      <w:marTop w:val="0"/>
      <w:marBottom w:val="0"/>
      <w:divBdr>
        <w:top w:val="none" w:sz="0" w:space="0" w:color="auto"/>
        <w:left w:val="none" w:sz="0" w:space="0" w:color="auto"/>
        <w:bottom w:val="none" w:sz="0" w:space="0" w:color="auto"/>
        <w:right w:val="none" w:sz="0" w:space="0" w:color="auto"/>
      </w:divBdr>
    </w:div>
    <w:div w:id="102891956">
      <w:bodyDiv w:val="1"/>
      <w:marLeft w:val="0"/>
      <w:marRight w:val="0"/>
      <w:marTop w:val="0"/>
      <w:marBottom w:val="0"/>
      <w:divBdr>
        <w:top w:val="none" w:sz="0" w:space="0" w:color="auto"/>
        <w:left w:val="none" w:sz="0" w:space="0" w:color="auto"/>
        <w:bottom w:val="none" w:sz="0" w:space="0" w:color="auto"/>
        <w:right w:val="none" w:sz="0" w:space="0" w:color="auto"/>
      </w:divBdr>
    </w:div>
    <w:div w:id="103038726">
      <w:bodyDiv w:val="1"/>
      <w:marLeft w:val="0"/>
      <w:marRight w:val="0"/>
      <w:marTop w:val="0"/>
      <w:marBottom w:val="0"/>
      <w:divBdr>
        <w:top w:val="none" w:sz="0" w:space="0" w:color="auto"/>
        <w:left w:val="none" w:sz="0" w:space="0" w:color="auto"/>
        <w:bottom w:val="none" w:sz="0" w:space="0" w:color="auto"/>
        <w:right w:val="none" w:sz="0" w:space="0" w:color="auto"/>
      </w:divBdr>
    </w:div>
    <w:div w:id="103154023">
      <w:bodyDiv w:val="1"/>
      <w:marLeft w:val="0"/>
      <w:marRight w:val="0"/>
      <w:marTop w:val="0"/>
      <w:marBottom w:val="0"/>
      <w:divBdr>
        <w:top w:val="none" w:sz="0" w:space="0" w:color="auto"/>
        <w:left w:val="none" w:sz="0" w:space="0" w:color="auto"/>
        <w:bottom w:val="none" w:sz="0" w:space="0" w:color="auto"/>
        <w:right w:val="none" w:sz="0" w:space="0" w:color="auto"/>
      </w:divBdr>
    </w:div>
    <w:div w:id="103308812">
      <w:bodyDiv w:val="1"/>
      <w:marLeft w:val="0"/>
      <w:marRight w:val="0"/>
      <w:marTop w:val="0"/>
      <w:marBottom w:val="0"/>
      <w:divBdr>
        <w:top w:val="none" w:sz="0" w:space="0" w:color="auto"/>
        <w:left w:val="none" w:sz="0" w:space="0" w:color="auto"/>
        <w:bottom w:val="none" w:sz="0" w:space="0" w:color="auto"/>
        <w:right w:val="none" w:sz="0" w:space="0" w:color="auto"/>
      </w:divBdr>
    </w:div>
    <w:div w:id="103421632">
      <w:bodyDiv w:val="1"/>
      <w:marLeft w:val="0"/>
      <w:marRight w:val="0"/>
      <w:marTop w:val="0"/>
      <w:marBottom w:val="0"/>
      <w:divBdr>
        <w:top w:val="none" w:sz="0" w:space="0" w:color="auto"/>
        <w:left w:val="none" w:sz="0" w:space="0" w:color="auto"/>
        <w:bottom w:val="none" w:sz="0" w:space="0" w:color="auto"/>
        <w:right w:val="none" w:sz="0" w:space="0" w:color="auto"/>
      </w:divBdr>
    </w:div>
    <w:div w:id="103429405">
      <w:bodyDiv w:val="1"/>
      <w:marLeft w:val="0"/>
      <w:marRight w:val="0"/>
      <w:marTop w:val="0"/>
      <w:marBottom w:val="0"/>
      <w:divBdr>
        <w:top w:val="none" w:sz="0" w:space="0" w:color="auto"/>
        <w:left w:val="none" w:sz="0" w:space="0" w:color="auto"/>
        <w:bottom w:val="none" w:sz="0" w:space="0" w:color="auto"/>
        <w:right w:val="none" w:sz="0" w:space="0" w:color="auto"/>
      </w:divBdr>
    </w:div>
    <w:div w:id="103505253">
      <w:bodyDiv w:val="1"/>
      <w:marLeft w:val="0"/>
      <w:marRight w:val="0"/>
      <w:marTop w:val="0"/>
      <w:marBottom w:val="0"/>
      <w:divBdr>
        <w:top w:val="none" w:sz="0" w:space="0" w:color="auto"/>
        <w:left w:val="none" w:sz="0" w:space="0" w:color="auto"/>
        <w:bottom w:val="none" w:sz="0" w:space="0" w:color="auto"/>
        <w:right w:val="none" w:sz="0" w:space="0" w:color="auto"/>
      </w:divBdr>
    </w:div>
    <w:div w:id="103618957">
      <w:bodyDiv w:val="1"/>
      <w:marLeft w:val="0"/>
      <w:marRight w:val="0"/>
      <w:marTop w:val="0"/>
      <w:marBottom w:val="0"/>
      <w:divBdr>
        <w:top w:val="none" w:sz="0" w:space="0" w:color="auto"/>
        <w:left w:val="none" w:sz="0" w:space="0" w:color="auto"/>
        <w:bottom w:val="none" w:sz="0" w:space="0" w:color="auto"/>
        <w:right w:val="none" w:sz="0" w:space="0" w:color="auto"/>
      </w:divBdr>
    </w:div>
    <w:div w:id="104227505">
      <w:bodyDiv w:val="1"/>
      <w:marLeft w:val="0"/>
      <w:marRight w:val="0"/>
      <w:marTop w:val="0"/>
      <w:marBottom w:val="0"/>
      <w:divBdr>
        <w:top w:val="none" w:sz="0" w:space="0" w:color="auto"/>
        <w:left w:val="none" w:sz="0" w:space="0" w:color="auto"/>
        <w:bottom w:val="none" w:sz="0" w:space="0" w:color="auto"/>
        <w:right w:val="none" w:sz="0" w:space="0" w:color="auto"/>
      </w:divBdr>
    </w:div>
    <w:div w:id="104273906">
      <w:bodyDiv w:val="1"/>
      <w:marLeft w:val="0"/>
      <w:marRight w:val="0"/>
      <w:marTop w:val="0"/>
      <w:marBottom w:val="0"/>
      <w:divBdr>
        <w:top w:val="none" w:sz="0" w:space="0" w:color="auto"/>
        <w:left w:val="none" w:sz="0" w:space="0" w:color="auto"/>
        <w:bottom w:val="none" w:sz="0" w:space="0" w:color="auto"/>
        <w:right w:val="none" w:sz="0" w:space="0" w:color="auto"/>
      </w:divBdr>
    </w:div>
    <w:div w:id="104421830">
      <w:bodyDiv w:val="1"/>
      <w:marLeft w:val="0"/>
      <w:marRight w:val="0"/>
      <w:marTop w:val="0"/>
      <w:marBottom w:val="0"/>
      <w:divBdr>
        <w:top w:val="none" w:sz="0" w:space="0" w:color="auto"/>
        <w:left w:val="none" w:sz="0" w:space="0" w:color="auto"/>
        <w:bottom w:val="none" w:sz="0" w:space="0" w:color="auto"/>
        <w:right w:val="none" w:sz="0" w:space="0" w:color="auto"/>
      </w:divBdr>
    </w:div>
    <w:div w:id="105387707">
      <w:bodyDiv w:val="1"/>
      <w:marLeft w:val="0"/>
      <w:marRight w:val="0"/>
      <w:marTop w:val="0"/>
      <w:marBottom w:val="0"/>
      <w:divBdr>
        <w:top w:val="none" w:sz="0" w:space="0" w:color="auto"/>
        <w:left w:val="none" w:sz="0" w:space="0" w:color="auto"/>
        <w:bottom w:val="none" w:sz="0" w:space="0" w:color="auto"/>
        <w:right w:val="none" w:sz="0" w:space="0" w:color="auto"/>
      </w:divBdr>
    </w:div>
    <w:div w:id="105778294">
      <w:bodyDiv w:val="1"/>
      <w:marLeft w:val="0"/>
      <w:marRight w:val="0"/>
      <w:marTop w:val="0"/>
      <w:marBottom w:val="0"/>
      <w:divBdr>
        <w:top w:val="none" w:sz="0" w:space="0" w:color="auto"/>
        <w:left w:val="none" w:sz="0" w:space="0" w:color="auto"/>
        <w:bottom w:val="none" w:sz="0" w:space="0" w:color="auto"/>
        <w:right w:val="none" w:sz="0" w:space="0" w:color="auto"/>
      </w:divBdr>
    </w:div>
    <w:div w:id="105852031">
      <w:bodyDiv w:val="1"/>
      <w:marLeft w:val="0"/>
      <w:marRight w:val="0"/>
      <w:marTop w:val="0"/>
      <w:marBottom w:val="0"/>
      <w:divBdr>
        <w:top w:val="none" w:sz="0" w:space="0" w:color="auto"/>
        <w:left w:val="none" w:sz="0" w:space="0" w:color="auto"/>
        <w:bottom w:val="none" w:sz="0" w:space="0" w:color="auto"/>
        <w:right w:val="none" w:sz="0" w:space="0" w:color="auto"/>
      </w:divBdr>
    </w:div>
    <w:div w:id="106388333">
      <w:bodyDiv w:val="1"/>
      <w:marLeft w:val="0"/>
      <w:marRight w:val="0"/>
      <w:marTop w:val="0"/>
      <w:marBottom w:val="0"/>
      <w:divBdr>
        <w:top w:val="none" w:sz="0" w:space="0" w:color="auto"/>
        <w:left w:val="none" w:sz="0" w:space="0" w:color="auto"/>
        <w:bottom w:val="none" w:sz="0" w:space="0" w:color="auto"/>
        <w:right w:val="none" w:sz="0" w:space="0" w:color="auto"/>
      </w:divBdr>
    </w:div>
    <w:div w:id="106391878">
      <w:bodyDiv w:val="1"/>
      <w:marLeft w:val="0"/>
      <w:marRight w:val="0"/>
      <w:marTop w:val="0"/>
      <w:marBottom w:val="0"/>
      <w:divBdr>
        <w:top w:val="none" w:sz="0" w:space="0" w:color="auto"/>
        <w:left w:val="none" w:sz="0" w:space="0" w:color="auto"/>
        <w:bottom w:val="none" w:sz="0" w:space="0" w:color="auto"/>
        <w:right w:val="none" w:sz="0" w:space="0" w:color="auto"/>
      </w:divBdr>
    </w:div>
    <w:div w:id="106697856">
      <w:bodyDiv w:val="1"/>
      <w:marLeft w:val="0"/>
      <w:marRight w:val="0"/>
      <w:marTop w:val="0"/>
      <w:marBottom w:val="0"/>
      <w:divBdr>
        <w:top w:val="none" w:sz="0" w:space="0" w:color="auto"/>
        <w:left w:val="none" w:sz="0" w:space="0" w:color="auto"/>
        <w:bottom w:val="none" w:sz="0" w:space="0" w:color="auto"/>
        <w:right w:val="none" w:sz="0" w:space="0" w:color="auto"/>
      </w:divBdr>
    </w:div>
    <w:div w:id="106782250">
      <w:bodyDiv w:val="1"/>
      <w:marLeft w:val="0"/>
      <w:marRight w:val="0"/>
      <w:marTop w:val="0"/>
      <w:marBottom w:val="0"/>
      <w:divBdr>
        <w:top w:val="none" w:sz="0" w:space="0" w:color="auto"/>
        <w:left w:val="none" w:sz="0" w:space="0" w:color="auto"/>
        <w:bottom w:val="none" w:sz="0" w:space="0" w:color="auto"/>
        <w:right w:val="none" w:sz="0" w:space="0" w:color="auto"/>
      </w:divBdr>
    </w:div>
    <w:div w:id="107050785">
      <w:bodyDiv w:val="1"/>
      <w:marLeft w:val="0"/>
      <w:marRight w:val="0"/>
      <w:marTop w:val="0"/>
      <w:marBottom w:val="0"/>
      <w:divBdr>
        <w:top w:val="none" w:sz="0" w:space="0" w:color="auto"/>
        <w:left w:val="none" w:sz="0" w:space="0" w:color="auto"/>
        <w:bottom w:val="none" w:sz="0" w:space="0" w:color="auto"/>
        <w:right w:val="none" w:sz="0" w:space="0" w:color="auto"/>
      </w:divBdr>
    </w:div>
    <w:div w:id="107092438">
      <w:bodyDiv w:val="1"/>
      <w:marLeft w:val="0"/>
      <w:marRight w:val="0"/>
      <w:marTop w:val="0"/>
      <w:marBottom w:val="0"/>
      <w:divBdr>
        <w:top w:val="none" w:sz="0" w:space="0" w:color="auto"/>
        <w:left w:val="none" w:sz="0" w:space="0" w:color="auto"/>
        <w:bottom w:val="none" w:sz="0" w:space="0" w:color="auto"/>
        <w:right w:val="none" w:sz="0" w:space="0" w:color="auto"/>
      </w:divBdr>
    </w:div>
    <w:div w:id="107312331">
      <w:bodyDiv w:val="1"/>
      <w:marLeft w:val="0"/>
      <w:marRight w:val="0"/>
      <w:marTop w:val="0"/>
      <w:marBottom w:val="0"/>
      <w:divBdr>
        <w:top w:val="none" w:sz="0" w:space="0" w:color="auto"/>
        <w:left w:val="none" w:sz="0" w:space="0" w:color="auto"/>
        <w:bottom w:val="none" w:sz="0" w:space="0" w:color="auto"/>
        <w:right w:val="none" w:sz="0" w:space="0" w:color="auto"/>
      </w:divBdr>
    </w:div>
    <w:div w:id="107360829">
      <w:bodyDiv w:val="1"/>
      <w:marLeft w:val="0"/>
      <w:marRight w:val="0"/>
      <w:marTop w:val="0"/>
      <w:marBottom w:val="0"/>
      <w:divBdr>
        <w:top w:val="none" w:sz="0" w:space="0" w:color="auto"/>
        <w:left w:val="none" w:sz="0" w:space="0" w:color="auto"/>
        <w:bottom w:val="none" w:sz="0" w:space="0" w:color="auto"/>
        <w:right w:val="none" w:sz="0" w:space="0" w:color="auto"/>
      </w:divBdr>
    </w:div>
    <w:div w:id="107622026">
      <w:bodyDiv w:val="1"/>
      <w:marLeft w:val="0"/>
      <w:marRight w:val="0"/>
      <w:marTop w:val="0"/>
      <w:marBottom w:val="0"/>
      <w:divBdr>
        <w:top w:val="none" w:sz="0" w:space="0" w:color="auto"/>
        <w:left w:val="none" w:sz="0" w:space="0" w:color="auto"/>
        <w:bottom w:val="none" w:sz="0" w:space="0" w:color="auto"/>
        <w:right w:val="none" w:sz="0" w:space="0" w:color="auto"/>
      </w:divBdr>
    </w:div>
    <w:div w:id="107747101">
      <w:bodyDiv w:val="1"/>
      <w:marLeft w:val="0"/>
      <w:marRight w:val="0"/>
      <w:marTop w:val="0"/>
      <w:marBottom w:val="0"/>
      <w:divBdr>
        <w:top w:val="none" w:sz="0" w:space="0" w:color="auto"/>
        <w:left w:val="none" w:sz="0" w:space="0" w:color="auto"/>
        <w:bottom w:val="none" w:sz="0" w:space="0" w:color="auto"/>
        <w:right w:val="none" w:sz="0" w:space="0" w:color="auto"/>
      </w:divBdr>
    </w:div>
    <w:div w:id="107815131">
      <w:bodyDiv w:val="1"/>
      <w:marLeft w:val="0"/>
      <w:marRight w:val="0"/>
      <w:marTop w:val="0"/>
      <w:marBottom w:val="0"/>
      <w:divBdr>
        <w:top w:val="none" w:sz="0" w:space="0" w:color="auto"/>
        <w:left w:val="none" w:sz="0" w:space="0" w:color="auto"/>
        <w:bottom w:val="none" w:sz="0" w:space="0" w:color="auto"/>
        <w:right w:val="none" w:sz="0" w:space="0" w:color="auto"/>
      </w:divBdr>
    </w:div>
    <w:div w:id="107895873">
      <w:bodyDiv w:val="1"/>
      <w:marLeft w:val="0"/>
      <w:marRight w:val="0"/>
      <w:marTop w:val="0"/>
      <w:marBottom w:val="0"/>
      <w:divBdr>
        <w:top w:val="none" w:sz="0" w:space="0" w:color="auto"/>
        <w:left w:val="none" w:sz="0" w:space="0" w:color="auto"/>
        <w:bottom w:val="none" w:sz="0" w:space="0" w:color="auto"/>
        <w:right w:val="none" w:sz="0" w:space="0" w:color="auto"/>
      </w:divBdr>
    </w:div>
    <w:div w:id="10874441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08816824">
      <w:bodyDiv w:val="1"/>
      <w:marLeft w:val="0"/>
      <w:marRight w:val="0"/>
      <w:marTop w:val="0"/>
      <w:marBottom w:val="0"/>
      <w:divBdr>
        <w:top w:val="none" w:sz="0" w:space="0" w:color="auto"/>
        <w:left w:val="none" w:sz="0" w:space="0" w:color="auto"/>
        <w:bottom w:val="none" w:sz="0" w:space="0" w:color="auto"/>
        <w:right w:val="none" w:sz="0" w:space="0" w:color="auto"/>
      </w:divBdr>
    </w:div>
    <w:div w:id="109084646">
      <w:bodyDiv w:val="1"/>
      <w:marLeft w:val="0"/>
      <w:marRight w:val="0"/>
      <w:marTop w:val="0"/>
      <w:marBottom w:val="0"/>
      <w:divBdr>
        <w:top w:val="none" w:sz="0" w:space="0" w:color="auto"/>
        <w:left w:val="none" w:sz="0" w:space="0" w:color="auto"/>
        <w:bottom w:val="none" w:sz="0" w:space="0" w:color="auto"/>
        <w:right w:val="none" w:sz="0" w:space="0" w:color="auto"/>
      </w:divBdr>
    </w:div>
    <w:div w:id="109130191">
      <w:bodyDiv w:val="1"/>
      <w:marLeft w:val="0"/>
      <w:marRight w:val="0"/>
      <w:marTop w:val="0"/>
      <w:marBottom w:val="0"/>
      <w:divBdr>
        <w:top w:val="none" w:sz="0" w:space="0" w:color="auto"/>
        <w:left w:val="none" w:sz="0" w:space="0" w:color="auto"/>
        <w:bottom w:val="none" w:sz="0" w:space="0" w:color="auto"/>
        <w:right w:val="none" w:sz="0" w:space="0" w:color="auto"/>
      </w:divBdr>
    </w:div>
    <w:div w:id="109206630">
      <w:bodyDiv w:val="1"/>
      <w:marLeft w:val="0"/>
      <w:marRight w:val="0"/>
      <w:marTop w:val="0"/>
      <w:marBottom w:val="0"/>
      <w:divBdr>
        <w:top w:val="none" w:sz="0" w:space="0" w:color="auto"/>
        <w:left w:val="none" w:sz="0" w:space="0" w:color="auto"/>
        <w:bottom w:val="none" w:sz="0" w:space="0" w:color="auto"/>
        <w:right w:val="none" w:sz="0" w:space="0" w:color="auto"/>
      </w:divBdr>
    </w:div>
    <w:div w:id="109327392">
      <w:bodyDiv w:val="1"/>
      <w:marLeft w:val="0"/>
      <w:marRight w:val="0"/>
      <w:marTop w:val="0"/>
      <w:marBottom w:val="0"/>
      <w:divBdr>
        <w:top w:val="none" w:sz="0" w:space="0" w:color="auto"/>
        <w:left w:val="none" w:sz="0" w:space="0" w:color="auto"/>
        <w:bottom w:val="none" w:sz="0" w:space="0" w:color="auto"/>
        <w:right w:val="none" w:sz="0" w:space="0" w:color="auto"/>
      </w:divBdr>
    </w:div>
    <w:div w:id="109403186">
      <w:bodyDiv w:val="1"/>
      <w:marLeft w:val="0"/>
      <w:marRight w:val="0"/>
      <w:marTop w:val="0"/>
      <w:marBottom w:val="0"/>
      <w:divBdr>
        <w:top w:val="none" w:sz="0" w:space="0" w:color="auto"/>
        <w:left w:val="none" w:sz="0" w:space="0" w:color="auto"/>
        <w:bottom w:val="none" w:sz="0" w:space="0" w:color="auto"/>
        <w:right w:val="none" w:sz="0" w:space="0" w:color="auto"/>
      </w:divBdr>
    </w:div>
    <w:div w:id="109715172">
      <w:bodyDiv w:val="1"/>
      <w:marLeft w:val="0"/>
      <w:marRight w:val="0"/>
      <w:marTop w:val="0"/>
      <w:marBottom w:val="0"/>
      <w:divBdr>
        <w:top w:val="none" w:sz="0" w:space="0" w:color="auto"/>
        <w:left w:val="none" w:sz="0" w:space="0" w:color="auto"/>
        <w:bottom w:val="none" w:sz="0" w:space="0" w:color="auto"/>
        <w:right w:val="none" w:sz="0" w:space="0" w:color="auto"/>
      </w:divBdr>
    </w:div>
    <w:div w:id="109977727">
      <w:bodyDiv w:val="1"/>
      <w:marLeft w:val="0"/>
      <w:marRight w:val="0"/>
      <w:marTop w:val="0"/>
      <w:marBottom w:val="0"/>
      <w:divBdr>
        <w:top w:val="none" w:sz="0" w:space="0" w:color="auto"/>
        <w:left w:val="none" w:sz="0" w:space="0" w:color="auto"/>
        <w:bottom w:val="none" w:sz="0" w:space="0" w:color="auto"/>
        <w:right w:val="none" w:sz="0" w:space="0" w:color="auto"/>
      </w:divBdr>
    </w:div>
    <w:div w:id="110058834">
      <w:bodyDiv w:val="1"/>
      <w:marLeft w:val="0"/>
      <w:marRight w:val="0"/>
      <w:marTop w:val="0"/>
      <w:marBottom w:val="0"/>
      <w:divBdr>
        <w:top w:val="none" w:sz="0" w:space="0" w:color="auto"/>
        <w:left w:val="none" w:sz="0" w:space="0" w:color="auto"/>
        <w:bottom w:val="none" w:sz="0" w:space="0" w:color="auto"/>
        <w:right w:val="none" w:sz="0" w:space="0" w:color="auto"/>
      </w:divBdr>
    </w:div>
    <w:div w:id="110125725">
      <w:bodyDiv w:val="1"/>
      <w:marLeft w:val="0"/>
      <w:marRight w:val="0"/>
      <w:marTop w:val="0"/>
      <w:marBottom w:val="0"/>
      <w:divBdr>
        <w:top w:val="none" w:sz="0" w:space="0" w:color="auto"/>
        <w:left w:val="none" w:sz="0" w:space="0" w:color="auto"/>
        <w:bottom w:val="none" w:sz="0" w:space="0" w:color="auto"/>
        <w:right w:val="none" w:sz="0" w:space="0" w:color="auto"/>
      </w:divBdr>
    </w:div>
    <w:div w:id="110130532">
      <w:bodyDiv w:val="1"/>
      <w:marLeft w:val="0"/>
      <w:marRight w:val="0"/>
      <w:marTop w:val="0"/>
      <w:marBottom w:val="0"/>
      <w:divBdr>
        <w:top w:val="none" w:sz="0" w:space="0" w:color="auto"/>
        <w:left w:val="none" w:sz="0" w:space="0" w:color="auto"/>
        <w:bottom w:val="none" w:sz="0" w:space="0" w:color="auto"/>
        <w:right w:val="none" w:sz="0" w:space="0" w:color="auto"/>
      </w:divBdr>
    </w:div>
    <w:div w:id="110243190">
      <w:bodyDiv w:val="1"/>
      <w:marLeft w:val="0"/>
      <w:marRight w:val="0"/>
      <w:marTop w:val="0"/>
      <w:marBottom w:val="0"/>
      <w:divBdr>
        <w:top w:val="none" w:sz="0" w:space="0" w:color="auto"/>
        <w:left w:val="none" w:sz="0" w:space="0" w:color="auto"/>
        <w:bottom w:val="none" w:sz="0" w:space="0" w:color="auto"/>
        <w:right w:val="none" w:sz="0" w:space="0" w:color="auto"/>
      </w:divBdr>
    </w:div>
    <w:div w:id="110252190">
      <w:bodyDiv w:val="1"/>
      <w:marLeft w:val="0"/>
      <w:marRight w:val="0"/>
      <w:marTop w:val="0"/>
      <w:marBottom w:val="0"/>
      <w:divBdr>
        <w:top w:val="none" w:sz="0" w:space="0" w:color="auto"/>
        <w:left w:val="none" w:sz="0" w:space="0" w:color="auto"/>
        <w:bottom w:val="none" w:sz="0" w:space="0" w:color="auto"/>
        <w:right w:val="none" w:sz="0" w:space="0" w:color="auto"/>
      </w:divBdr>
    </w:div>
    <w:div w:id="110636990">
      <w:bodyDiv w:val="1"/>
      <w:marLeft w:val="0"/>
      <w:marRight w:val="0"/>
      <w:marTop w:val="0"/>
      <w:marBottom w:val="0"/>
      <w:divBdr>
        <w:top w:val="none" w:sz="0" w:space="0" w:color="auto"/>
        <w:left w:val="none" w:sz="0" w:space="0" w:color="auto"/>
        <w:bottom w:val="none" w:sz="0" w:space="0" w:color="auto"/>
        <w:right w:val="none" w:sz="0" w:space="0" w:color="auto"/>
      </w:divBdr>
    </w:div>
    <w:div w:id="110831339">
      <w:bodyDiv w:val="1"/>
      <w:marLeft w:val="0"/>
      <w:marRight w:val="0"/>
      <w:marTop w:val="0"/>
      <w:marBottom w:val="0"/>
      <w:divBdr>
        <w:top w:val="none" w:sz="0" w:space="0" w:color="auto"/>
        <w:left w:val="none" w:sz="0" w:space="0" w:color="auto"/>
        <w:bottom w:val="none" w:sz="0" w:space="0" w:color="auto"/>
        <w:right w:val="none" w:sz="0" w:space="0" w:color="auto"/>
      </w:divBdr>
    </w:div>
    <w:div w:id="111050139">
      <w:bodyDiv w:val="1"/>
      <w:marLeft w:val="0"/>
      <w:marRight w:val="0"/>
      <w:marTop w:val="0"/>
      <w:marBottom w:val="0"/>
      <w:divBdr>
        <w:top w:val="none" w:sz="0" w:space="0" w:color="auto"/>
        <w:left w:val="none" w:sz="0" w:space="0" w:color="auto"/>
        <w:bottom w:val="none" w:sz="0" w:space="0" w:color="auto"/>
        <w:right w:val="none" w:sz="0" w:space="0" w:color="auto"/>
      </w:divBdr>
    </w:div>
    <w:div w:id="111362736">
      <w:bodyDiv w:val="1"/>
      <w:marLeft w:val="0"/>
      <w:marRight w:val="0"/>
      <w:marTop w:val="0"/>
      <w:marBottom w:val="0"/>
      <w:divBdr>
        <w:top w:val="none" w:sz="0" w:space="0" w:color="auto"/>
        <w:left w:val="none" w:sz="0" w:space="0" w:color="auto"/>
        <w:bottom w:val="none" w:sz="0" w:space="0" w:color="auto"/>
        <w:right w:val="none" w:sz="0" w:space="0" w:color="auto"/>
      </w:divBdr>
    </w:div>
    <w:div w:id="111873823">
      <w:bodyDiv w:val="1"/>
      <w:marLeft w:val="0"/>
      <w:marRight w:val="0"/>
      <w:marTop w:val="0"/>
      <w:marBottom w:val="0"/>
      <w:divBdr>
        <w:top w:val="none" w:sz="0" w:space="0" w:color="auto"/>
        <w:left w:val="none" w:sz="0" w:space="0" w:color="auto"/>
        <w:bottom w:val="none" w:sz="0" w:space="0" w:color="auto"/>
        <w:right w:val="none" w:sz="0" w:space="0" w:color="auto"/>
      </w:divBdr>
    </w:div>
    <w:div w:id="112019145">
      <w:bodyDiv w:val="1"/>
      <w:marLeft w:val="0"/>
      <w:marRight w:val="0"/>
      <w:marTop w:val="0"/>
      <w:marBottom w:val="0"/>
      <w:divBdr>
        <w:top w:val="none" w:sz="0" w:space="0" w:color="auto"/>
        <w:left w:val="none" w:sz="0" w:space="0" w:color="auto"/>
        <w:bottom w:val="none" w:sz="0" w:space="0" w:color="auto"/>
        <w:right w:val="none" w:sz="0" w:space="0" w:color="auto"/>
      </w:divBdr>
    </w:div>
    <w:div w:id="112136033">
      <w:bodyDiv w:val="1"/>
      <w:marLeft w:val="0"/>
      <w:marRight w:val="0"/>
      <w:marTop w:val="0"/>
      <w:marBottom w:val="0"/>
      <w:divBdr>
        <w:top w:val="none" w:sz="0" w:space="0" w:color="auto"/>
        <w:left w:val="none" w:sz="0" w:space="0" w:color="auto"/>
        <w:bottom w:val="none" w:sz="0" w:space="0" w:color="auto"/>
        <w:right w:val="none" w:sz="0" w:space="0" w:color="auto"/>
      </w:divBdr>
    </w:div>
    <w:div w:id="112293685">
      <w:bodyDiv w:val="1"/>
      <w:marLeft w:val="0"/>
      <w:marRight w:val="0"/>
      <w:marTop w:val="0"/>
      <w:marBottom w:val="0"/>
      <w:divBdr>
        <w:top w:val="none" w:sz="0" w:space="0" w:color="auto"/>
        <w:left w:val="none" w:sz="0" w:space="0" w:color="auto"/>
        <w:bottom w:val="none" w:sz="0" w:space="0" w:color="auto"/>
        <w:right w:val="none" w:sz="0" w:space="0" w:color="auto"/>
      </w:divBdr>
    </w:div>
    <w:div w:id="112555865">
      <w:bodyDiv w:val="1"/>
      <w:marLeft w:val="0"/>
      <w:marRight w:val="0"/>
      <w:marTop w:val="0"/>
      <w:marBottom w:val="0"/>
      <w:divBdr>
        <w:top w:val="none" w:sz="0" w:space="0" w:color="auto"/>
        <w:left w:val="none" w:sz="0" w:space="0" w:color="auto"/>
        <w:bottom w:val="none" w:sz="0" w:space="0" w:color="auto"/>
        <w:right w:val="none" w:sz="0" w:space="0" w:color="auto"/>
      </w:divBdr>
    </w:div>
    <w:div w:id="112604470">
      <w:bodyDiv w:val="1"/>
      <w:marLeft w:val="0"/>
      <w:marRight w:val="0"/>
      <w:marTop w:val="0"/>
      <w:marBottom w:val="0"/>
      <w:divBdr>
        <w:top w:val="none" w:sz="0" w:space="0" w:color="auto"/>
        <w:left w:val="none" w:sz="0" w:space="0" w:color="auto"/>
        <w:bottom w:val="none" w:sz="0" w:space="0" w:color="auto"/>
        <w:right w:val="none" w:sz="0" w:space="0" w:color="auto"/>
      </w:divBdr>
    </w:div>
    <w:div w:id="112750546">
      <w:bodyDiv w:val="1"/>
      <w:marLeft w:val="0"/>
      <w:marRight w:val="0"/>
      <w:marTop w:val="0"/>
      <w:marBottom w:val="0"/>
      <w:divBdr>
        <w:top w:val="none" w:sz="0" w:space="0" w:color="auto"/>
        <w:left w:val="none" w:sz="0" w:space="0" w:color="auto"/>
        <w:bottom w:val="none" w:sz="0" w:space="0" w:color="auto"/>
        <w:right w:val="none" w:sz="0" w:space="0" w:color="auto"/>
      </w:divBdr>
    </w:div>
    <w:div w:id="112753643">
      <w:bodyDiv w:val="1"/>
      <w:marLeft w:val="0"/>
      <w:marRight w:val="0"/>
      <w:marTop w:val="0"/>
      <w:marBottom w:val="0"/>
      <w:divBdr>
        <w:top w:val="none" w:sz="0" w:space="0" w:color="auto"/>
        <w:left w:val="none" w:sz="0" w:space="0" w:color="auto"/>
        <w:bottom w:val="none" w:sz="0" w:space="0" w:color="auto"/>
        <w:right w:val="none" w:sz="0" w:space="0" w:color="auto"/>
      </w:divBdr>
    </w:div>
    <w:div w:id="112792328">
      <w:bodyDiv w:val="1"/>
      <w:marLeft w:val="0"/>
      <w:marRight w:val="0"/>
      <w:marTop w:val="0"/>
      <w:marBottom w:val="0"/>
      <w:divBdr>
        <w:top w:val="none" w:sz="0" w:space="0" w:color="auto"/>
        <w:left w:val="none" w:sz="0" w:space="0" w:color="auto"/>
        <w:bottom w:val="none" w:sz="0" w:space="0" w:color="auto"/>
        <w:right w:val="none" w:sz="0" w:space="0" w:color="auto"/>
      </w:divBdr>
    </w:div>
    <w:div w:id="112942954">
      <w:bodyDiv w:val="1"/>
      <w:marLeft w:val="0"/>
      <w:marRight w:val="0"/>
      <w:marTop w:val="0"/>
      <w:marBottom w:val="0"/>
      <w:divBdr>
        <w:top w:val="none" w:sz="0" w:space="0" w:color="auto"/>
        <w:left w:val="none" w:sz="0" w:space="0" w:color="auto"/>
        <w:bottom w:val="none" w:sz="0" w:space="0" w:color="auto"/>
        <w:right w:val="none" w:sz="0" w:space="0" w:color="auto"/>
      </w:divBdr>
    </w:div>
    <w:div w:id="112943411">
      <w:bodyDiv w:val="1"/>
      <w:marLeft w:val="0"/>
      <w:marRight w:val="0"/>
      <w:marTop w:val="0"/>
      <w:marBottom w:val="0"/>
      <w:divBdr>
        <w:top w:val="none" w:sz="0" w:space="0" w:color="auto"/>
        <w:left w:val="none" w:sz="0" w:space="0" w:color="auto"/>
        <w:bottom w:val="none" w:sz="0" w:space="0" w:color="auto"/>
        <w:right w:val="none" w:sz="0" w:space="0" w:color="auto"/>
      </w:divBdr>
    </w:div>
    <w:div w:id="113061218">
      <w:bodyDiv w:val="1"/>
      <w:marLeft w:val="0"/>
      <w:marRight w:val="0"/>
      <w:marTop w:val="0"/>
      <w:marBottom w:val="0"/>
      <w:divBdr>
        <w:top w:val="none" w:sz="0" w:space="0" w:color="auto"/>
        <w:left w:val="none" w:sz="0" w:space="0" w:color="auto"/>
        <w:bottom w:val="none" w:sz="0" w:space="0" w:color="auto"/>
        <w:right w:val="none" w:sz="0" w:space="0" w:color="auto"/>
      </w:divBdr>
    </w:div>
    <w:div w:id="113642178">
      <w:bodyDiv w:val="1"/>
      <w:marLeft w:val="0"/>
      <w:marRight w:val="0"/>
      <w:marTop w:val="0"/>
      <w:marBottom w:val="0"/>
      <w:divBdr>
        <w:top w:val="none" w:sz="0" w:space="0" w:color="auto"/>
        <w:left w:val="none" w:sz="0" w:space="0" w:color="auto"/>
        <w:bottom w:val="none" w:sz="0" w:space="0" w:color="auto"/>
        <w:right w:val="none" w:sz="0" w:space="0" w:color="auto"/>
      </w:divBdr>
    </w:div>
    <w:div w:id="114065019">
      <w:bodyDiv w:val="1"/>
      <w:marLeft w:val="0"/>
      <w:marRight w:val="0"/>
      <w:marTop w:val="0"/>
      <w:marBottom w:val="0"/>
      <w:divBdr>
        <w:top w:val="none" w:sz="0" w:space="0" w:color="auto"/>
        <w:left w:val="none" w:sz="0" w:space="0" w:color="auto"/>
        <w:bottom w:val="none" w:sz="0" w:space="0" w:color="auto"/>
        <w:right w:val="none" w:sz="0" w:space="0" w:color="auto"/>
      </w:divBdr>
    </w:div>
    <w:div w:id="114177203">
      <w:bodyDiv w:val="1"/>
      <w:marLeft w:val="0"/>
      <w:marRight w:val="0"/>
      <w:marTop w:val="0"/>
      <w:marBottom w:val="0"/>
      <w:divBdr>
        <w:top w:val="none" w:sz="0" w:space="0" w:color="auto"/>
        <w:left w:val="none" w:sz="0" w:space="0" w:color="auto"/>
        <w:bottom w:val="none" w:sz="0" w:space="0" w:color="auto"/>
        <w:right w:val="none" w:sz="0" w:space="0" w:color="auto"/>
      </w:divBdr>
    </w:div>
    <w:div w:id="114181472">
      <w:bodyDiv w:val="1"/>
      <w:marLeft w:val="0"/>
      <w:marRight w:val="0"/>
      <w:marTop w:val="0"/>
      <w:marBottom w:val="0"/>
      <w:divBdr>
        <w:top w:val="none" w:sz="0" w:space="0" w:color="auto"/>
        <w:left w:val="none" w:sz="0" w:space="0" w:color="auto"/>
        <w:bottom w:val="none" w:sz="0" w:space="0" w:color="auto"/>
        <w:right w:val="none" w:sz="0" w:space="0" w:color="auto"/>
      </w:divBdr>
    </w:div>
    <w:div w:id="114449792">
      <w:bodyDiv w:val="1"/>
      <w:marLeft w:val="0"/>
      <w:marRight w:val="0"/>
      <w:marTop w:val="0"/>
      <w:marBottom w:val="0"/>
      <w:divBdr>
        <w:top w:val="none" w:sz="0" w:space="0" w:color="auto"/>
        <w:left w:val="none" w:sz="0" w:space="0" w:color="auto"/>
        <w:bottom w:val="none" w:sz="0" w:space="0" w:color="auto"/>
        <w:right w:val="none" w:sz="0" w:space="0" w:color="auto"/>
      </w:divBdr>
    </w:div>
    <w:div w:id="114451622">
      <w:bodyDiv w:val="1"/>
      <w:marLeft w:val="0"/>
      <w:marRight w:val="0"/>
      <w:marTop w:val="0"/>
      <w:marBottom w:val="0"/>
      <w:divBdr>
        <w:top w:val="none" w:sz="0" w:space="0" w:color="auto"/>
        <w:left w:val="none" w:sz="0" w:space="0" w:color="auto"/>
        <w:bottom w:val="none" w:sz="0" w:space="0" w:color="auto"/>
        <w:right w:val="none" w:sz="0" w:space="0" w:color="auto"/>
      </w:divBdr>
    </w:div>
    <w:div w:id="114568479">
      <w:bodyDiv w:val="1"/>
      <w:marLeft w:val="0"/>
      <w:marRight w:val="0"/>
      <w:marTop w:val="0"/>
      <w:marBottom w:val="0"/>
      <w:divBdr>
        <w:top w:val="none" w:sz="0" w:space="0" w:color="auto"/>
        <w:left w:val="none" w:sz="0" w:space="0" w:color="auto"/>
        <w:bottom w:val="none" w:sz="0" w:space="0" w:color="auto"/>
        <w:right w:val="none" w:sz="0" w:space="0" w:color="auto"/>
      </w:divBdr>
    </w:div>
    <w:div w:id="114645444">
      <w:bodyDiv w:val="1"/>
      <w:marLeft w:val="0"/>
      <w:marRight w:val="0"/>
      <w:marTop w:val="0"/>
      <w:marBottom w:val="0"/>
      <w:divBdr>
        <w:top w:val="none" w:sz="0" w:space="0" w:color="auto"/>
        <w:left w:val="none" w:sz="0" w:space="0" w:color="auto"/>
        <w:bottom w:val="none" w:sz="0" w:space="0" w:color="auto"/>
        <w:right w:val="none" w:sz="0" w:space="0" w:color="auto"/>
      </w:divBdr>
    </w:div>
    <w:div w:id="115023476">
      <w:bodyDiv w:val="1"/>
      <w:marLeft w:val="0"/>
      <w:marRight w:val="0"/>
      <w:marTop w:val="0"/>
      <w:marBottom w:val="0"/>
      <w:divBdr>
        <w:top w:val="none" w:sz="0" w:space="0" w:color="auto"/>
        <w:left w:val="none" w:sz="0" w:space="0" w:color="auto"/>
        <w:bottom w:val="none" w:sz="0" w:space="0" w:color="auto"/>
        <w:right w:val="none" w:sz="0" w:space="0" w:color="auto"/>
      </w:divBdr>
    </w:div>
    <w:div w:id="115148595">
      <w:bodyDiv w:val="1"/>
      <w:marLeft w:val="0"/>
      <w:marRight w:val="0"/>
      <w:marTop w:val="0"/>
      <w:marBottom w:val="0"/>
      <w:divBdr>
        <w:top w:val="none" w:sz="0" w:space="0" w:color="auto"/>
        <w:left w:val="none" w:sz="0" w:space="0" w:color="auto"/>
        <w:bottom w:val="none" w:sz="0" w:space="0" w:color="auto"/>
        <w:right w:val="none" w:sz="0" w:space="0" w:color="auto"/>
      </w:divBdr>
    </w:div>
    <w:div w:id="115416828">
      <w:bodyDiv w:val="1"/>
      <w:marLeft w:val="0"/>
      <w:marRight w:val="0"/>
      <w:marTop w:val="0"/>
      <w:marBottom w:val="0"/>
      <w:divBdr>
        <w:top w:val="none" w:sz="0" w:space="0" w:color="auto"/>
        <w:left w:val="none" w:sz="0" w:space="0" w:color="auto"/>
        <w:bottom w:val="none" w:sz="0" w:space="0" w:color="auto"/>
        <w:right w:val="none" w:sz="0" w:space="0" w:color="auto"/>
      </w:divBdr>
    </w:div>
    <w:div w:id="115563236">
      <w:bodyDiv w:val="1"/>
      <w:marLeft w:val="0"/>
      <w:marRight w:val="0"/>
      <w:marTop w:val="0"/>
      <w:marBottom w:val="0"/>
      <w:divBdr>
        <w:top w:val="none" w:sz="0" w:space="0" w:color="auto"/>
        <w:left w:val="none" w:sz="0" w:space="0" w:color="auto"/>
        <w:bottom w:val="none" w:sz="0" w:space="0" w:color="auto"/>
        <w:right w:val="none" w:sz="0" w:space="0" w:color="auto"/>
      </w:divBdr>
    </w:div>
    <w:div w:id="115610377">
      <w:bodyDiv w:val="1"/>
      <w:marLeft w:val="0"/>
      <w:marRight w:val="0"/>
      <w:marTop w:val="0"/>
      <w:marBottom w:val="0"/>
      <w:divBdr>
        <w:top w:val="none" w:sz="0" w:space="0" w:color="auto"/>
        <w:left w:val="none" w:sz="0" w:space="0" w:color="auto"/>
        <w:bottom w:val="none" w:sz="0" w:space="0" w:color="auto"/>
        <w:right w:val="none" w:sz="0" w:space="0" w:color="auto"/>
      </w:divBdr>
    </w:div>
    <w:div w:id="116023117">
      <w:bodyDiv w:val="1"/>
      <w:marLeft w:val="0"/>
      <w:marRight w:val="0"/>
      <w:marTop w:val="0"/>
      <w:marBottom w:val="0"/>
      <w:divBdr>
        <w:top w:val="none" w:sz="0" w:space="0" w:color="auto"/>
        <w:left w:val="none" w:sz="0" w:space="0" w:color="auto"/>
        <w:bottom w:val="none" w:sz="0" w:space="0" w:color="auto"/>
        <w:right w:val="none" w:sz="0" w:space="0" w:color="auto"/>
      </w:divBdr>
    </w:div>
    <w:div w:id="116143142">
      <w:bodyDiv w:val="1"/>
      <w:marLeft w:val="0"/>
      <w:marRight w:val="0"/>
      <w:marTop w:val="0"/>
      <w:marBottom w:val="0"/>
      <w:divBdr>
        <w:top w:val="none" w:sz="0" w:space="0" w:color="auto"/>
        <w:left w:val="none" w:sz="0" w:space="0" w:color="auto"/>
        <w:bottom w:val="none" w:sz="0" w:space="0" w:color="auto"/>
        <w:right w:val="none" w:sz="0" w:space="0" w:color="auto"/>
      </w:divBdr>
    </w:div>
    <w:div w:id="116147794">
      <w:bodyDiv w:val="1"/>
      <w:marLeft w:val="0"/>
      <w:marRight w:val="0"/>
      <w:marTop w:val="0"/>
      <w:marBottom w:val="0"/>
      <w:divBdr>
        <w:top w:val="none" w:sz="0" w:space="0" w:color="auto"/>
        <w:left w:val="none" w:sz="0" w:space="0" w:color="auto"/>
        <w:bottom w:val="none" w:sz="0" w:space="0" w:color="auto"/>
        <w:right w:val="none" w:sz="0" w:space="0" w:color="auto"/>
      </w:divBdr>
    </w:div>
    <w:div w:id="116220628">
      <w:bodyDiv w:val="1"/>
      <w:marLeft w:val="0"/>
      <w:marRight w:val="0"/>
      <w:marTop w:val="0"/>
      <w:marBottom w:val="0"/>
      <w:divBdr>
        <w:top w:val="none" w:sz="0" w:space="0" w:color="auto"/>
        <w:left w:val="none" w:sz="0" w:space="0" w:color="auto"/>
        <w:bottom w:val="none" w:sz="0" w:space="0" w:color="auto"/>
        <w:right w:val="none" w:sz="0" w:space="0" w:color="auto"/>
      </w:divBdr>
    </w:div>
    <w:div w:id="116267996">
      <w:bodyDiv w:val="1"/>
      <w:marLeft w:val="0"/>
      <w:marRight w:val="0"/>
      <w:marTop w:val="0"/>
      <w:marBottom w:val="0"/>
      <w:divBdr>
        <w:top w:val="none" w:sz="0" w:space="0" w:color="auto"/>
        <w:left w:val="none" w:sz="0" w:space="0" w:color="auto"/>
        <w:bottom w:val="none" w:sz="0" w:space="0" w:color="auto"/>
        <w:right w:val="none" w:sz="0" w:space="0" w:color="auto"/>
      </w:divBdr>
    </w:div>
    <w:div w:id="116918334">
      <w:bodyDiv w:val="1"/>
      <w:marLeft w:val="0"/>
      <w:marRight w:val="0"/>
      <w:marTop w:val="0"/>
      <w:marBottom w:val="0"/>
      <w:divBdr>
        <w:top w:val="none" w:sz="0" w:space="0" w:color="auto"/>
        <w:left w:val="none" w:sz="0" w:space="0" w:color="auto"/>
        <w:bottom w:val="none" w:sz="0" w:space="0" w:color="auto"/>
        <w:right w:val="none" w:sz="0" w:space="0" w:color="auto"/>
      </w:divBdr>
    </w:div>
    <w:div w:id="117142763">
      <w:bodyDiv w:val="1"/>
      <w:marLeft w:val="0"/>
      <w:marRight w:val="0"/>
      <w:marTop w:val="0"/>
      <w:marBottom w:val="0"/>
      <w:divBdr>
        <w:top w:val="none" w:sz="0" w:space="0" w:color="auto"/>
        <w:left w:val="none" w:sz="0" w:space="0" w:color="auto"/>
        <w:bottom w:val="none" w:sz="0" w:space="0" w:color="auto"/>
        <w:right w:val="none" w:sz="0" w:space="0" w:color="auto"/>
      </w:divBdr>
    </w:div>
    <w:div w:id="117188719">
      <w:bodyDiv w:val="1"/>
      <w:marLeft w:val="0"/>
      <w:marRight w:val="0"/>
      <w:marTop w:val="0"/>
      <w:marBottom w:val="0"/>
      <w:divBdr>
        <w:top w:val="none" w:sz="0" w:space="0" w:color="auto"/>
        <w:left w:val="none" w:sz="0" w:space="0" w:color="auto"/>
        <w:bottom w:val="none" w:sz="0" w:space="0" w:color="auto"/>
        <w:right w:val="none" w:sz="0" w:space="0" w:color="auto"/>
      </w:divBdr>
    </w:div>
    <w:div w:id="117377660">
      <w:bodyDiv w:val="1"/>
      <w:marLeft w:val="0"/>
      <w:marRight w:val="0"/>
      <w:marTop w:val="0"/>
      <w:marBottom w:val="0"/>
      <w:divBdr>
        <w:top w:val="none" w:sz="0" w:space="0" w:color="auto"/>
        <w:left w:val="none" w:sz="0" w:space="0" w:color="auto"/>
        <w:bottom w:val="none" w:sz="0" w:space="0" w:color="auto"/>
        <w:right w:val="none" w:sz="0" w:space="0" w:color="auto"/>
      </w:divBdr>
    </w:div>
    <w:div w:id="117455471">
      <w:bodyDiv w:val="1"/>
      <w:marLeft w:val="0"/>
      <w:marRight w:val="0"/>
      <w:marTop w:val="0"/>
      <w:marBottom w:val="0"/>
      <w:divBdr>
        <w:top w:val="none" w:sz="0" w:space="0" w:color="auto"/>
        <w:left w:val="none" w:sz="0" w:space="0" w:color="auto"/>
        <w:bottom w:val="none" w:sz="0" w:space="0" w:color="auto"/>
        <w:right w:val="none" w:sz="0" w:space="0" w:color="auto"/>
      </w:divBdr>
    </w:div>
    <w:div w:id="117526972">
      <w:bodyDiv w:val="1"/>
      <w:marLeft w:val="0"/>
      <w:marRight w:val="0"/>
      <w:marTop w:val="0"/>
      <w:marBottom w:val="0"/>
      <w:divBdr>
        <w:top w:val="none" w:sz="0" w:space="0" w:color="auto"/>
        <w:left w:val="none" w:sz="0" w:space="0" w:color="auto"/>
        <w:bottom w:val="none" w:sz="0" w:space="0" w:color="auto"/>
        <w:right w:val="none" w:sz="0" w:space="0" w:color="auto"/>
      </w:divBdr>
    </w:div>
    <w:div w:id="117534584">
      <w:bodyDiv w:val="1"/>
      <w:marLeft w:val="0"/>
      <w:marRight w:val="0"/>
      <w:marTop w:val="0"/>
      <w:marBottom w:val="0"/>
      <w:divBdr>
        <w:top w:val="none" w:sz="0" w:space="0" w:color="auto"/>
        <w:left w:val="none" w:sz="0" w:space="0" w:color="auto"/>
        <w:bottom w:val="none" w:sz="0" w:space="0" w:color="auto"/>
        <w:right w:val="none" w:sz="0" w:space="0" w:color="auto"/>
      </w:divBdr>
    </w:div>
    <w:div w:id="118188033">
      <w:bodyDiv w:val="1"/>
      <w:marLeft w:val="0"/>
      <w:marRight w:val="0"/>
      <w:marTop w:val="0"/>
      <w:marBottom w:val="0"/>
      <w:divBdr>
        <w:top w:val="none" w:sz="0" w:space="0" w:color="auto"/>
        <w:left w:val="none" w:sz="0" w:space="0" w:color="auto"/>
        <w:bottom w:val="none" w:sz="0" w:space="0" w:color="auto"/>
        <w:right w:val="none" w:sz="0" w:space="0" w:color="auto"/>
      </w:divBdr>
    </w:div>
    <w:div w:id="118384391">
      <w:bodyDiv w:val="1"/>
      <w:marLeft w:val="0"/>
      <w:marRight w:val="0"/>
      <w:marTop w:val="0"/>
      <w:marBottom w:val="0"/>
      <w:divBdr>
        <w:top w:val="none" w:sz="0" w:space="0" w:color="auto"/>
        <w:left w:val="none" w:sz="0" w:space="0" w:color="auto"/>
        <w:bottom w:val="none" w:sz="0" w:space="0" w:color="auto"/>
        <w:right w:val="none" w:sz="0" w:space="0" w:color="auto"/>
      </w:divBdr>
    </w:div>
    <w:div w:id="118575087">
      <w:bodyDiv w:val="1"/>
      <w:marLeft w:val="0"/>
      <w:marRight w:val="0"/>
      <w:marTop w:val="0"/>
      <w:marBottom w:val="0"/>
      <w:divBdr>
        <w:top w:val="none" w:sz="0" w:space="0" w:color="auto"/>
        <w:left w:val="none" w:sz="0" w:space="0" w:color="auto"/>
        <w:bottom w:val="none" w:sz="0" w:space="0" w:color="auto"/>
        <w:right w:val="none" w:sz="0" w:space="0" w:color="auto"/>
      </w:divBdr>
    </w:div>
    <w:div w:id="118651200">
      <w:bodyDiv w:val="1"/>
      <w:marLeft w:val="0"/>
      <w:marRight w:val="0"/>
      <w:marTop w:val="0"/>
      <w:marBottom w:val="0"/>
      <w:divBdr>
        <w:top w:val="none" w:sz="0" w:space="0" w:color="auto"/>
        <w:left w:val="none" w:sz="0" w:space="0" w:color="auto"/>
        <w:bottom w:val="none" w:sz="0" w:space="0" w:color="auto"/>
        <w:right w:val="none" w:sz="0" w:space="0" w:color="auto"/>
      </w:divBdr>
    </w:div>
    <w:div w:id="118686507">
      <w:bodyDiv w:val="1"/>
      <w:marLeft w:val="0"/>
      <w:marRight w:val="0"/>
      <w:marTop w:val="0"/>
      <w:marBottom w:val="0"/>
      <w:divBdr>
        <w:top w:val="none" w:sz="0" w:space="0" w:color="auto"/>
        <w:left w:val="none" w:sz="0" w:space="0" w:color="auto"/>
        <w:bottom w:val="none" w:sz="0" w:space="0" w:color="auto"/>
        <w:right w:val="none" w:sz="0" w:space="0" w:color="auto"/>
      </w:divBdr>
    </w:div>
    <w:div w:id="118688353">
      <w:bodyDiv w:val="1"/>
      <w:marLeft w:val="0"/>
      <w:marRight w:val="0"/>
      <w:marTop w:val="0"/>
      <w:marBottom w:val="0"/>
      <w:divBdr>
        <w:top w:val="none" w:sz="0" w:space="0" w:color="auto"/>
        <w:left w:val="none" w:sz="0" w:space="0" w:color="auto"/>
        <w:bottom w:val="none" w:sz="0" w:space="0" w:color="auto"/>
        <w:right w:val="none" w:sz="0" w:space="0" w:color="auto"/>
      </w:divBdr>
    </w:div>
    <w:div w:id="118691880">
      <w:bodyDiv w:val="1"/>
      <w:marLeft w:val="0"/>
      <w:marRight w:val="0"/>
      <w:marTop w:val="0"/>
      <w:marBottom w:val="0"/>
      <w:divBdr>
        <w:top w:val="none" w:sz="0" w:space="0" w:color="auto"/>
        <w:left w:val="none" w:sz="0" w:space="0" w:color="auto"/>
        <w:bottom w:val="none" w:sz="0" w:space="0" w:color="auto"/>
        <w:right w:val="none" w:sz="0" w:space="0" w:color="auto"/>
      </w:divBdr>
    </w:div>
    <w:div w:id="118764993">
      <w:bodyDiv w:val="1"/>
      <w:marLeft w:val="0"/>
      <w:marRight w:val="0"/>
      <w:marTop w:val="0"/>
      <w:marBottom w:val="0"/>
      <w:divBdr>
        <w:top w:val="none" w:sz="0" w:space="0" w:color="auto"/>
        <w:left w:val="none" w:sz="0" w:space="0" w:color="auto"/>
        <w:bottom w:val="none" w:sz="0" w:space="0" w:color="auto"/>
        <w:right w:val="none" w:sz="0" w:space="0" w:color="auto"/>
      </w:divBdr>
    </w:div>
    <w:div w:id="118836904">
      <w:bodyDiv w:val="1"/>
      <w:marLeft w:val="0"/>
      <w:marRight w:val="0"/>
      <w:marTop w:val="0"/>
      <w:marBottom w:val="0"/>
      <w:divBdr>
        <w:top w:val="none" w:sz="0" w:space="0" w:color="auto"/>
        <w:left w:val="none" w:sz="0" w:space="0" w:color="auto"/>
        <w:bottom w:val="none" w:sz="0" w:space="0" w:color="auto"/>
        <w:right w:val="none" w:sz="0" w:space="0" w:color="auto"/>
      </w:divBdr>
    </w:div>
    <w:div w:id="118963322">
      <w:bodyDiv w:val="1"/>
      <w:marLeft w:val="0"/>
      <w:marRight w:val="0"/>
      <w:marTop w:val="0"/>
      <w:marBottom w:val="0"/>
      <w:divBdr>
        <w:top w:val="none" w:sz="0" w:space="0" w:color="auto"/>
        <w:left w:val="none" w:sz="0" w:space="0" w:color="auto"/>
        <w:bottom w:val="none" w:sz="0" w:space="0" w:color="auto"/>
        <w:right w:val="none" w:sz="0" w:space="0" w:color="auto"/>
      </w:divBdr>
    </w:div>
    <w:div w:id="118963590">
      <w:bodyDiv w:val="1"/>
      <w:marLeft w:val="0"/>
      <w:marRight w:val="0"/>
      <w:marTop w:val="0"/>
      <w:marBottom w:val="0"/>
      <w:divBdr>
        <w:top w:val="none" w:sz="0" w:space="0" w:color="auto"/>
        <w:left w:val="none" w:sz="0" w:space="0" w:color="auto"/>
        <w:bottom w:val="none" w:sz="0" w:space="0" w:color="auto"/>
        <w:right w:val="none" w:sz="0" w:space="0" w:color="auto"/>
      </w:divBdr>
    </w:div>
    <w:div w:id="119038592">
      <w:bodyDiv w:val="1"/>
      <w:marLeft w:val="0"/>
      <w:marRight w:val="0"/>
      <w:marTop w:val="0"/>
      <w:marBottom w:val="0"/>
      <w:divBdr>
        <w:top w:val="none" w:sz="0" w:space="0" w:color="auto"/>
        <w:left w:val="none" w:sz="0" w:space="0" w:color="auto"/>
        <w:bottom w:val="none" w:sz="0" w:space="0" w:color="auto"/>
        <w:right w:val="none" w:sz="0" w:space="0" w:color="auto"/>
      </w:divBdr>
    </w:div>
    <w:div w:id="119149711">
      <w:bodyDiv w:val="1"/>
      <w:marLeft w:val="0"/>
      <w:marRight w:val="0"/>
      <w:marTop w:val="0"/>
      <w:marBottom w:val="0"/>
      <w:divBdr>
        <w:top w:val="none" w:sz="0" w:space="0" w:color="auto"/>
        <w:left w:val="none" w:sz="0" w:space="0" w:color="auto"/>
        <w:bottom w:val="none" w:sz="0" w:space="0" w:color="auto"/>
        <w:right w:val="none" w:sz="0" w:space="0" w:color="auto"/>
      </w:divBdr>
    </w:div>
    <w:div w:id="119232102">
      <w:bodyDiv w:val="1"/>
      <w:marLeft w:val="0"/>
      <w:marRight w:val="0"/>
      <w:marTop w:val="0"/>
      <w:marBottom w:val="0"/>
      <w:divBdr>
        <w:top w:val="none" w:sz="0" w:space="0" w:color="auto"/>
        <w:left w:val="none" w:sz="0" w:space="0" w:color="auto"/>
        <w:bottom w:val="none" w:sz="0" w:space="0" w:color="auto"/>
        <w:right w:val="none" w:sz="0" w:space="0" w:color="auto"/>
      </w:divBdr>
    </w:div>
    <w:div w:id="119304478">
      <w:bodyDiv w:val="1"/>
      <w:marLeft w:val="0"/>
      <w:marRight w:val="0"/>
      <w:marTop w:val="0"/>
      <w:marBottom w:val="0"/>
      <w:divBdr>
        <w:top w:val="none" w:sz="0" w:space="0" w:color="auto"/>
        <w:left w:val="none" w:sz="0" w:space="0" w:color="auto"/>
        <w:bottom w:val="none" w:sz="0" w:space="0" w:color="auto"/>
        <w:right w:val="none" w:sz="0" w:space="0" w:color="auto"/>
      </w:divBdr>
    </w:div>
    <w:div w:id="119538832">
      <w:bodyDiv w:val="1"/>
      <w:marLeft w:val="0"/>
      <w:marRight w:val="0"/>
      <w:marTop w:val="0"/>
      <w:marBottom w:val="0"/>
      <w:divBdr>
        <w:top w:val="none" w:sz="0" w:space="0" w:color="auto"/>
        <w:left w:val="none" w:sz="0" w:space="0" w:color="auto"/>
        <w:bottom w:val="none" w:sz="0" w:space="0" w:color="auto"/>
        <w:right w:val="none" w:sz="0" w:space="0" w:color="auto"/>
      </w:divBdr>
    </w:div>
    <w:div w:id="119694026">
      <w:bodyDiv w:val="1"/>
      <w:marLeft w:val="0"/>
      <w:marRight w:val="0"/>
      <w:marTop w:val="0"/>
      <w:marBottom w:val="0"/>
      <w:divBdr>
        <w:top w:val="none" w:sz="0" w:space="0" w:color="auto"/>
        <w:left w:val="none" w:sz="0" w:space="0" w:color="auto"/>
        <w:bottom w:val="none" w:sz="0" w:space="0" w:color="auto"/>
        <w:right w:val="none" w:sz="0" w:space="0" w:color="auto"/>
      </w:divBdr>
    </w:div>
    <w:div w:id="119694802">
      <w:bodyDiv w:val="1"/>
      <w:marLeft w:val="0"/>
      <w:marRight w:val="0"/>
      <w:marTop w:val="0"/>
      <w:marBottom w:val="0"/>
      <w:divBdr>
        <w:top w:val="none" w:sz="0" w:space="0" w:color="auto"/>
        <w:left w:val="none" w:sz="0" w:space="0" w:color="auto"/>
        <w:bottom w:val="none" w:sz="0" w:space="0" w:color="auto"/>
        <w:right w:val="none" w:sz="0" w:space="0" w:color="auto"/>
      </w:divBdr>
    </w:div>
    <w:div w:id="120266238">
      <w:bodyDiv w:val="1"/>
      <w:marLeft w:val="0"/>
      <w:marRight w:val="0"/>
      <w:marTop w:val="0"/>
      <w:marBottom w:val="0"/>
      <w:divBdr>
        <w:top w:val="none" w:sz="0" w:space="0" w:color="auto"/>
        <w:left w:val="none" w:sz="0" w:space="0" w:color="auto"/>
        <w:bottom w:val="none" w:sz="0" w:space="0" w:color="auto"/>
        <w:right w:val="none" w:sz="0" w:space="0" w:color="auto"/>
      </w:divBdr>
    </w:div>
    <w:div w:id="120268818">
      <w:bodyDiv w:val="1"/>
      <w:marLeft w:val="0"/>
      <w:marRight w:val="0"/>
      <w:marTop w:val="0"/>
      <w:marBottom w:val="0"/>
      <w:divBdr>
        <w:top w:val="none" w:sz="0" w:space="0" w:color="auto"/>
        <w:left w:val="none" w:sz="0" w:space="0" w:color="auto"/>
        <w:bottom w:val="none" w:sz="0" w:space="0" w:color="auto"/>
        <w:right w:val="none" w:sz="0" w:space="0" w:color="auto"/>
      </w:divBdr>
    </w:div>
    <w:div w:id="120463631">
      <w:bodyDiv w:val="1"/>
      <w:marLeft w:val="0"/>
      <w:marRight w:val="0"/>
      <w:marTop w:val="0"/>
      <w:marBottom w:val="0"/>
      <w:divBdr>
        <w:top w:val="none" w:sz="0" w:space="0" w:color="auto"/>
        <w:left w:val="none" w:sz="0" w:space="0" w:color="auto"/>
        <w:bottom w:val="none" w:sz="0" w:space="0" w:color="auto"/>
        <w:right w:val="none" w:sz="0" w:space="0" w:color="auto"/>
      </w:divBdr>
    </w:div>
    <w:div w:id="120803948">
      <w:bodyDiv w:val="1"/>
      <w:marLeft w:val="0"/>
      <w:marRight w:val="0"/>
      <w:marTop w:val="0"/>
      <w:marBottom w:val="0"/>
      <w:divBdr>
        <w:top w:val="none" w:sz="0" w:space="0" w:color="auto"/>
        <w:left w:val="none" w:sz="0" w:space="0" w:color="auto"/>
        <w:bottom w:val="none" w:sz="0" w:space="0" w:color="auto"/>
        <w:right w:val="none" w:sz="0" w:space="0" w:color="auto"/>
      </w:divBdr>
    </w:div>
    <w:div w:id="121271711">
      <w:bodyDiv w:val="1"/>
      <w:marLeft w:val="0"/>
      <w:marRight w:val="0"/>
      <w:marTop w:val="0"/>
      <w:marBottom w:val="0"/>
      <w:divBdr>
        <w:top w:val="none" w:sz="0" w:space="0" w:color="auto"/>
        <w:left w:val="none" w:sz="0" w:space="0" w:color="auto"/>
        <w:bottom w:val="none" w:sz="0" w:space="0" w:color="auto"/>
        <w:right w:val="none" w:sz="0" w:space="0" w:color="auto"/>
      </w:divBdr>
    </w:div>
    <w:div w:id="121459932">
      <w:bodyDiv w:val="1"/>
      <w:marLeft w:val="0"/>
      <w:marRight w:val="0"/>
      <w:marTop w:val="0"/>
      <w:marBottom w:val="0"/>
      <w:divBdr>
        <w:top w:val="none" w:sz="0" w:space="0" w:color="auto"/>
        <w:left w:val="none" w:sz="0" w:space="0" w:color="auto"/>
        <w:bottom w:val="none" w:sz="0" w:space="0" w:color="auto"/>
        <w:right w:val="none" w:sz="0" w:space="0" w:color="auto"/>
      </w:divBdr>
    </w:div>
    <w:div w:id="121655642">
      <w:bodyDiv w:val="1"/>
      <w:marLeft w:val="0"/>
      <w:marRight w:val="0"/>
      <w:marTop w:val="0"/>
      <w:marBottom w:val="0"/>
      <w:divBdr>
        <w:top w:val="none" w:sz="0" w:space="0" w:color="auto"/>
        <w:left w:val="none" w:sz="0" w:space="0" w:color="auto"/>
        <w:bottom w:val="none" w:sz="0" w:space="0" w:color="auto"/>
        <w:right w:val="none" w:sz="0" w:space="0" w:color="auto"/>
      </w:divBdr>
    </w:div>
    <w:div w:id="121656624">
      <w:bodyDiv w:val="1"/>
      <w:marLeft w:val="0"/>
      <w:marRight w:val="0"/>
      <w:marTop w:val="0"/>
      <w:marBottom w:val="0"/>
      <w:divBdr>
        <w:top w:val="none" w:sz="0" w:space="0" w:color="auto"/>
        <w:left w:val="none" w:sz="0" w:space="0" w:color="auto"/>
        <w:bottom w:val="none" w:sz="0" w:space="0" w:color="auto"/>
        <w:right w:val="none" w:sz="0" w:space="0" w:color="auto"/>
      </w:divBdr>
    </w:div>
    <w:div w:id="121660241">
      <w:bodyDiv w:val="1"/>
      <w:marLeft w:val="0"/>
      <w:marRight w:val="0"/>
      <w:marTop w:val="0"/>
      <w:marBottom w:val="0"/>
      <w:divBdr>
        <w:top w:val="none" w:sz="0" w:space="0" w:color="auto"/>
        <w:left w:val="none" w:sz="0" w:space="0" w:color="auto"/>
        <w:bottom w:val="none" w:sz="0" w:space="0" w:color="auto"/>
        <w:right w:val="none" w:sz="0" w:space="0" w:color="auto"/>
      </w:divBdr>
    </w:div>
    <w:div w:id="121700757">
      <w:bodyDiv w:val="1"/>
      <w:marLeft w:val="0"/>
      <w:marRight w:val="0"/>
      <w:marTop w:val="0"/>
      <w:marBottom w:val="0"/>
      <w:divBdr>
        <w:top w:val="none" w:sz="0" w:space="0" w:color="auto"/>
        <w:left w:val="none" w:sz="0" w:space="0" w:color="auto"/>
        <w:bottom w:val="none" w:sz="0" w:space="0" w:color="auto"/>
        <w:right w:val="none" w:sz="0" w:space="0" w:color="auto"/>
      </w:divBdr>
    </w:div>
    <w:div w:id="121849586">
      <w:bodyDiv w:val="1"/>
      <w:marLeft w:val="0"/>
      <w:marRight w:val="0"/>
      <w:marTop w:val="0"/>
      <w:marBottom w:val="0"/>
      <w:divBdr>
        <w:top w:val="none" w:sz="0" w:space="0" w:color="auto"/>
        <w:left w:val="none" w:sz="0" w:space="0" w:color="auto"/>
        <w:bottom w:val="none" w:sz="0" w:space="0" w:color="auto"/>
        <w:right w:val="none" w:sz="0" w:space="0" w:color="auto"/>
      </w:divBdr>
    </w:div>
    <w:div w:id="121928320">
      <w:bodyDiv w:val="1"/>
      <w:marLeft w:val="0"/>
      <w:marRight w:val="0"/>
      <w:marTop w:val="0"/>
      <w:marBottom w:val="0"/>
      <w:divBdr>
        <w:top w:val="none" w:sz="0" w:space="0" w:color="auto"/>
        <w:left w:val="none" w:sz="0" w:space="0" w:color="auto"/>
        <w:bottom w:val="none" w:sz="0" w:space="0" w:color="auto"/>
        <w:right w:val="none" w:sz="0" w:space="0" w:color="auto"/>
      </w:divBdr>
    </w:div>
    <w:div w:id="122774850">
      <w:bodyDiv w:val="1"/>
      <w:marLeft w:val="0"/>
      <w:marRight w:val="0"/>
      <w:marTop w:val="0"/>
      <w:marBottom w:val="0"/>
      <w:divBdr>
        <w:top w:val="none" w:sz="0" w:space="0" w:color="auto"/>
        <w:left w:val="none" w:sz="0" w:space="0" w:color="auto"/>
        <w:bottom w:val="none" w:sz="0" w:space="0" w:color="auto"/>
        <w:right w:val="none" w:sz="0" w:space="0" w:color="auto"/>
      </w:divBdr>
    </w:div>
    <w:div w:id="122886958">
      <w:bodyDiv w:val="1"/>
      <w:marLeft w:val="0"/>
      <w:marRight w:val="0"/>
      <w:marTop w:val="0"/>
      <w:marBottom w:val="0"/>
      <w:divBdr>
        <w:top w:val="none" w:sz="0" w:space="0" w:color="auto"/>
        <w:left w:val="none" w:sz="0" w:space="0" w:color="auto"/>
        <w:bottom w:val="none" w:sz="0" w:space="0" w:color="auto"/>
        <w:right w:val="none" w:sz="0" w:space="0" w:color="auto"/>
      </w:divBdr>
    </w:div>
    <w:div w:id="122887660">
      <w:bodyDiv w:val="1"/>
      <w:marLeft w:val="0"/>
      <w:marRight w:val="0"/>
      <w:marTop w:val="0"/>
      <w:marBottom w:val="0"/>
      <w:divBdr>
        <w:top w:val="none" w:sz="0" w:space="0" w:color="auto"/>
        <w:left w:val="none" w:sz="0" w:space="0" w:color="auto"/>
        <w:bottom w:val="none" w:sz="0" w:space="0" w:color="auto"/>
        <w:right w:val="none" w:sz="0" w:space="0" w:color="auto"/>
      </w:divBdr>
    </w:div>
    <w:div w:id="123275931">
      <w:bodyDiv w:val="1"/>
      <w:marLeft w:val="0"/>
      <w:marRight w:val="0"/>
      <w:marTop w:val="0"/>
      <w:marBottom w:val="0"/>
      <w:divBdr>
        <w:top w:val="none" w:sz="0" w:space="0" w:color="auto"/>
        <w:left w:val="none" w:sz="0" w:space="0" w:color="auto"/>
        <w:bottom w:val="none" w:sz="0" w:space="0" w:color="auto"/>
        <w:right w:val="none" w:sz="0" w:space="0" w:color="auto"/>
      </w:divBdr>
    </w:div>
    <w:div w:id="123693176">
      <w:bodyDiv w:val="1"/>
      <w:marLeft w:val="0"/>
      <w:marRight w:val="0"/>
      <w:marTop w:val="0"/>
      <w:marBottom w:val="0"/>
      <w:divBdr>
        <w:top w:val="none" w:sz="0" w:space="0" w:color="auto"/>
        <w:left w:val="none" w:sz="0" w:space="0" w:color="auto"/>
        <w:bottom w:val="none" w:sz="0" w:space="0" w:color="auto"/>
        <w:right w:val="none" w:sz="0" w:space="0" w:color="auto"/>
      </w:divBdr>
    </w:div>
    <w:div w:id="123817402">
      <w:bodyDiv w:val="1"/>
      <w:marLeft w:val="0"/>
      <w:marRight w:val="0"/>
      <w:marTop w:val="0"/>
      <w:marBottom w:val="0"/>
      <w:divBdr>
        <w:top w:val="none" w:sz="0" w:space="0" w:color="auto"/>
        <w:left w:val="none" w:sz="0" w:space="0" w:color="auto"/>
        <w:bottom w:val="none" w:sz="0" w:space="0" w:color="auto"/>
        <w:right w:val="none" w:sz="0" w:space="0" w:color="auto"/>
      </w:divBdr>
    </w:div>
    <w:div w:id="123888057">
      <w:bodyDiv w:val="1"/>
      <w:marLeft w:val="0"/>
      <w:marRight w:val="0"/>
      <w:marTop w:val="0"/>
      <w:marBottom w:val="0"/>
      <w:divBdr>
        <w:top w:val="none" w:sz="0" w:space="0" w:color="auto"/>
        <w:left w:val="none" w:sz="0" w:space="0" w:color="auto"/>
        <w:bottom w:val="none" w:sz="0" w:space="0" w:color="auto"/>
        <w:right w:val="none" w:sz="0" w:space="0" w:color="auto"/>
      </w:divBdr>
    </w:div>
    <w:div w:id="124661198">
      <w:bodyDiv w:val="1"/>
      <w:marLeft w:val="0"/>
      <w:marRight w:val="0"/>
      <w:marTop w:val="0"/>
      <w:marBottom w:val="0"/>
      <w:divBdr>
        <w:top w:val="none" w:sz="0" w:space="0" w:color="auto"/>
        <w:left w:val="none" w:sz="0" w:space="0" w:color="auto"/>
        <w:bottom w:val="none" w:sz="0" w:space="0" w:color="auto"/>
        <w:right w:val="none" w:sz="0" w:space="0" w:color="auto"/>
      </w:divBdr>
    </w:div>
    <w:div w:id="124853622">
      <w:bodyDiv w:val="1"/>
      <w:marLeft w:val="0"/>
      <w:marRight w:val="0"/>
      <w:marTop w:val="0"/>
      <w:marBottom w:val="0"/>
      <w:divBdr>
        <w:top w:val="none" w:sz="0" w:space="0" w:color="auto"/>
        <w:left w:val="none" w:sz="0" w:space="0" w:color="auto"/>
        <w:bottom w:val="none" w:sz="0" w:space="0" w:color="auto"/>
        <w:right w:val="none" w:sz="0" w:space="0" w:color="auto"/>
      </w:divBdr>
    </w:div>
    <w:div w:id="124932230">
      <w:bodyDiv w:val="1"/>
      <w:marLeft w:val="0"/>
      <w:marRight w:val="0"/>
      <w:marTop w:val="0"/>
      <w:marBottom w:val="0"/>
      <w:divBdr>
        <w:top w:val="none" w:sz="0" w:space="0" w:color="auto"/>
        <w:left w:val="none" w:sz="0" w:space="0" w:color="auto"/>
        <w:bottom w:val="none" w:sz="0" w:space="0" w:color="auto"/>
        <w:right w:val="none" w:sz="0" w:space="0" w:color="auto"/>
      </w:divBdr>
    </w:div>
    <w:div w:id="125004800">
      <w:bodyDiv w:val="1"/>
      <w:marLeft w:val="0"/>
      <w:marRight w:val="0"/>
      <w:marTop w:val="0"/>
      <w:marBottom w:val="0"/>
      <w:divBdr>
        <w:top w:val="none" w:sz="0" w:space="0" w:color="auto"/>
        <w:left w:val="none" w:sz="0" w:space="0" w:color="auto"/>
        <w:bottom w:val="none" w:sz="0" w:space="0" w:color="auto"/>
        <w:right w:val="none" w:sz="0" w:space="0" w:color="auto"/>
      </w:divBdr>
    </w:div>
    <w:div w:id="125047222">
      <w:bodyDiv w:val="1"/>
      <w:marLeft w:val="0"/>
      <w:marRight w:val="0"/>
      <w:marTop w:val="0"/>
      <w:marBottom w:val="0"/>
      <w:divBdr>
        <w:top w:val="none" w:sz="0" w:space="0" w:color="auto"/>
        <w:left w:val="none" w:sz="0" w:space="0" w:color="auto"/>
        <w:bottom w:val="none" w:sz="0" w:space="0" w:color="auto"/>
        <w:right w:val="none" w:sz="0" w:space="0" w:color="auto"/>
      </w:divBdr>
    </w:div>
    <w:div w:id="125121746">
      <w:bodyDiv w:val="1"/>
      <w:marLeft w:val="0"/>
      <w:marRight w:val="0"/>
      <w:marTop w:val="0"/>
      <w:marBottom w:val="0"/>
      <w:divBdr>
        <w:top w:val="none" w:sz="0" w:space="0" w:color="auto"/>
        <w:left w:val="none" w:sz="0" w:space="0" w:color="auto"/>
        <w:bottom w:val="none" w:sz="0" w:space="0" w:color="auto"/>
        <w:right w:val="none" w:sz="0" w:space="0" w:color="auto"/>
      </w:divBdr>
    </w:div>
    <w:div w:id="125125932">
      <w:bodyDiv w:val="1"/>
      <w:marLeft w:val="0"/>
      <w:marRight w:val="0"/>
      <w:marTop w:val="0"/>
      <w:marBottom w:val="0"/>
      <w:divBdr>
        <w:top w:val="none" w:sz="0" w:space="0" w:color="auto"/>
        <w:left w:val="none" w:sz="0" w:space="0" w:color="auto"/>
        <w:bottom w:val="none" w:sz="0" w:space="0" w:color="auto"/>
        <w:right w:val="none" w:sz="0" w:space="0" w:color="auto"/>
      </w:divBdr>
    </w:div>
    <w:div w:id="125392282">
      <w:bodyDiv w:val="1"/>
      <w:marLeft w:val="0"/>
      <w:marRight w:val="0"/>
      <w:marTop w:val="0"/>
      <w:marBottom w:val="0"/>
      <w:divBdr>
        <w:top w:val="none" w:sz="0" w:space="0" w:color="auto"/>
        <w:left w:val="none" w:sz="0" w:space="0" w:color="auto"/>
        <w:bottom w:val="none" w:sz="0" w:space="0" w:color="auto"/>
        <w:right w:val="none" w:sz="0" w:space="0" w:color="auto"/>
      </w:divBdr>
    </w:div>
    <w:div w:id="125507911">
      <w:bodyDiv w:val="1"/>
      <w:marLeft w:val="0"/>
      <w:marRight w:val="0"/>
      <w:marTop w:val="0"/>
      <w:marBottom w:val="0"/>
      <w:divBdr>
        <w:top w:val="none" w:sz="0" w:space="0" w:color="auto"/>
        <w:left w:val="none" w:sz="0" w:space="0" w:color="auto"/>
        <w:bottom w:val="none" w:sz="0" w:space="0" w:color="auto"/>
        <w:right w:val="none" w:sz="0" w:space="0" w:color="auto"/>
      </w:divBdr>
    </w:div>
    <w:div w:id="126052450">
      <w:bodyDiv w:val="1"/>
      <w:marLeft w:val="0"/>
      <w:marRight w:val="0"/>
      <w:marTop w:val="0"/>
      <w:marBottom w:val="0"/>
      <w:divBdr>
        <w:top w:val="none" w:sz="0" w:space="0" w:color="auto"/>
        <w:left w:val="none" w:sz="0" w:space="0" w:color="auto"/>
        <w:bottom w:val="none" w:sz="0" w:space="0" w:color="auto"/>
        <w:right w:val="none" w:sz="0" w:space="0" w:color="auto"/>
      </w:divBdr>
    </w:div>
    <w:div w:id="126555676">
      <w:bodyDiv w:val="1"/>
      <w:marLeft w:val="0"/>
      <w:marRight w:val="0"/>
      <w:marTop w:val="0"/>
      <w:marBottom w:val="0"/>
      <w:divBdr>
        <w:top w:val="none" w:sz="0" w:space="0" w:color="auto"/>
        <w:left w:val="none" w:sz="0" w:space="0" w:color="auto"/>
        <w:bottom w:val="none" w:sz="0" w:space="0" w:color="auto"/>
        <w:right w:val="none" w:sz="0" w:space="0" w:color="auto"/>
      </w:divBdr>
    </w:div>
    <w:div w:id="126823322">
      <w:bodyDiv w:val="1"/>
      <w:marLeft w:val="0"/>
      <w:marRight w:val="0"/>
      <w:marTop w:val="0"/>
      <w:marBottom w:val="0"/>
      <w:divBdr>
        <w:top w:val="none" w:sz="0" w:space="0" w:color="auto"/>
        <w:left w:val="none" w:sz="0" w:space="0" w:color="auto"/>
        <w:bottom w:val="none" w:sz="0" w:space="0" w:color="auto"/>
        <w:right w:val="none" w:sz="0" w:space="0" w:color="auto"/>
      </w:divBdr>
    </w:div>
    <w:div w:id="127170555">
      <w:bodyDiv w:val="1"/>
      <w:marLeft w:val="0"/>
      <w:marRight w:val="0"/>
      <w:marTop w:val="0"/>
      <w:marBottom w:val="0"/>
      <w:divBdr>
        <w:top w:val="none" w:sz="0" w:space="0" w:color="auto"/>
        <w:left w:val="none" w:sz="0" w:space="0" w:color="auto"/>
        <w:bottom w:val="none" w:sz="0" w:space="0" w:color="auto"/>
        <w:right w:val="none" w:sz="0" w:space="0" w:color="auto"/>
      </w:divBdr>
    </w:div>
    <w:div w:id="127599819">
      <w:bodyDiv w:val="1"/>
      <w:marLeft w:val="0"/>
      <w:marRight w:val="0"/>
      <w:marTop w:val="0"/>
      <w:marBottom w:val="0"/>
      <w:divBdr>
        <w:top w:val="none" w:sz="0" w:space="0" w:color="auto"/>
        <w:left w:val="none" w:sz="0" w:space="0" w:color="auto"/>
        <w:bottom w:val="none" w:sz="0" w:space="0" w:color="auto"/>
        <w:right w:val="none" w:sz="0" w:space="0" w:color="auto"/>
      </w:divBdr>
    </w:div>
    <w:div w:id="127674358">
      <w:bodyDiv w:val="1"/>
      <w:marLeft w:val="0"/>
      <w:marRight w:val="0"/>
      <w:marTop w:val="0"/>
      <w:marBottom w:val="0"/>
      <w:divBdr>
        <w:top w:val="none" w:sz="0" w:space="0" w:color="auto"/>
        <w:left w:val="none" w:sz="0" w:space="0" w:color="auto"/>
        <w:bottom w:val="none" w:sz="0" w:space="0" w:color="auto"/>
        <w:right w:val="none" w:sz="0" w:space="0" w:color="auto"/>
      </w:divBdr>
    </w:div>
    <w:div w:id="127743070">
      <w:bodyDiv w:val="1"/>
      <w:marLeft w:val="0"/>
      <w:marRight w:val="0"/>
      <w:marTop w:val="0"/>
      <w:marBottom w:val="0"/>
      <w:divBdr>
        <w:top w:val="none" w:sz="0" w:space="0" w:color="auto"/>
        <w:left w:val="none" w:sz="0" w:space="0" w:color="auto"/>
        <w:bottom w:val="none" w:sz="0" w:space="0" w:color="auto"/>
        <w:right w:val="none" w:sz="0" w:space="0" w:color="auto"/>
      </w:divBdr>
    </w:div>
    <w:div w:id="127937302">
      <w:bodyDiv w:val="1"/>
      <w:marLeft w:val="0"/>
      <w:marRight w:val="0"/>
      <w:marTop w:val="0"/>
      <w:marBottom w:val="0"/>
      <w:divBdr>
        <w:top w:val="none" w:sz="0" w:space="0" w:color="auto"/>
        <w:left w:val="none" w:sz="0" w:space="0" w:color="auto"/>
        <w:bottom w:val="none" w:sz="0" w:space="0" w:color="auto"/>
        <w:right w:val="none" w:sz="0" w:space="0" w:color="auto"/>
      </w:divBdr>
    </w:div>
    <w:div w:id="127938721">
      <w:bodyDiv w:val="1"/>
      <w:marLeft w:val="0"/>
      <w:marRight w:val="0"/>
      <w:marTop w:val="0"/>
      <w:marBottom w:val="0"/>
      <w:divBdr>
        <w:top w:val="none" w:sz="0" w:space="0" w:color="auto"/>
        <w:left w:val="none" w:sz="0" w:space="0" w:color="auto"/>
        <w:bottom w:val="none" w:sz="0" w:space="0" w:color="auto"/>
        <w:right w:val="none" w:sz="0" w:space="0" w:color="auto"/>
      </w:divBdr>
    </w:div>
    <w:div w:id="127942455">
      <w:bodyDiv w:val="1"/>
      <w:marLeft w:val="0"/>
      <w:marRight w:val="0"/>
      <w:marTop w:val="0"/>
      <w:marBottom w:val="0"/>
      <w:divBdr>
        <w:top w:val="none" w:sz="0" w:space="0" w:color="auto"/>
        <w:left w:val="none" w:sz="0" w:space="0" w:color="auto"/>
        <w:bottom w:val="none" w:sz="0" w:space="0" w:color="auto"/>
        <w:right w:val="none" w:sz="0" w:space="0" w:color="auto"/>
      </w:divBdr>
    </w:div>
    <w:div w:id="128205779">
      <w:bodyDiv w:val="1"/>
      <w:marLeft w:val="0"/>
      <w:marRight w:val="0"/>
      <w:marTop w:val="0"/>
      <w:marBottom w:val="0"/>
      <w:divBdr>
        <w:top w:val="none" w:sz="0" w:space="0" w:color="auto"/>
        <w:left w:val="none" w:sz="0" w:space="0" w:color="auto"/>
        <w:bottom w:val="none" w:sz="0" w:space="0" w:color="auto"/>
        <w:right w:val="none" w:sz="0" w:space="0" w:color="auto"/>
      </w:divBdr>
    </w:div>
    <w:div w:id="128327833">
      <w:bodyDiv w:val="1"/>
      <w:marLeft w:val="0"/>
      <w:marRight w:val="0"/>
      <w:marTop w:val="0"/>
      <w:marBottom w:val="0"/>
      <w:divBdr>
        <w:top w:val="none" w:sz="0" w:space="0" w:color="auto"/>
        <w:left w:val="none" w:sz="0" w:space="0" w:color="auto"/>
        <w:bottom w:val="none" w:sz="0" w:space="0" w:color="auto"/>
        <w:right w:val="none" w:sz="0" w:space="0" w:color="auto"/>
      </w:divBdr>
    </w:div>
    <w:div w:id="128402972">
      <w:bodyDiv w:val="1"/>
      <w:marLeft w:val="0"/>
      <w:marRight w:val="0"/>
      <w:marTop w:val="0"/>
      <w:marBottom w:val="0"/>
      <w:divBdr>
        <w:top w:val="none" w:sz="0" w:space="0" w:color="auto"/>
        <w:left w:val="none" w:sz="0" w:space="0" w:color="auto"/>
        <w:bottom w:val="none" w:sz="0" w:space="0" w:color="auto"/>
        <w:right w:val="none" w:sz="0" w:space="0" w:color="auto"/>
      </w:divBdr>
    </w:div>
    <w:div w:id="128405444">
      <w:bodyDiv w:val="1"/>
      <w:marLeft w:val="0"/>
      <w:marRight w:val="0"/>
      <w:marTop w:val="0"/>
      <w:marBottom w:val="0"/>
      <w:divBdr>
        <w:top w:val="none" w:sz="0" w:space="0" w:color="auto"/>
        <w:left w:val="none" w:sz="0" w:space="0" w:color="auto"/>
        <w:bottom w:val="none" w:sz="0" w:space="0" w:color="auto"/>
        <w:right w:val="none" w:sz="0" w:space="0" w:color="auto"/>
      </w:divBdr>
    </w:div>
    <w:div w:id="128521308">
      <w:bodyDiv w:val="1"/>
      <w:marLeft w:val="0"/>
      <w:marRight w:val="0"/>
      <w:marTop w:val="0"/>
      <w:marBottom w:val="0"/>
      <w:divBdr>
        <w:top w:val="none" w:sz="0" w:space="0" w:color="auto"/>
        <w:left w:val="none" w:sz="0" w:space="0" w:color="auto"/>
        <w:bottom w:val="none" w:sz="0" w:space="0" w:color="auto"/>
        <w:right w:val="none" w:sz="0" w:space="0" w:color="auto"/>
      </w:divBdr>
    </w:div>
    <w:div w:id="128599904">
      <w:bodyDiv w:val="1"/>
      <w:marLeft w:val="0"/>
      <w:marRight w:val="0"/>
      <w:marTop w:val="0"/>
      <w:marBottom w:val="0"/>
      <w:divBdr>
        <w:top w:val="none" w:sz="0" w:space="0" w:color="auto"/>
        <w:left w:val="none" w:sz="0" w:space="0" w:color="auto"/>
        <w:bottom w:val="none" w:sz="0" w:space="0" w:color="auto"/>
        <w:right w:val="none" w:sz="0" w:space="0" w:color="auto"/>
      </w:divBdr>
    </w:div>
    <w:div w:id="128940974">
      <w:bodyDiv w:val="1"/>
      <w:marLeft w:val="0"/>
      <w:marRight w:val="0"/>
      <w:marTop w:val="0"/>
      <w:marBottom w:val="0"/>
      <w:divBdr>
        <w:top w:val="none" w:sz="0" w:space="0" w:color="auto"/>
        <w:left w:val="none" w:sz="0" w:space="0" w:color="auto"/>
        <w:bottom w:val="none" w:sz="0" w:space="0" w:color="auto"/>
        <w:right w:val="none" w:sz="0" w:space="0" w:color="auto"/>
      </w:divBdr>
    </w:div>
    <w:div w:id="128941317">
      <w:bodyDiv w:val="1"/>
      <w:marLeft w:val="0"/>
      <w:marRight w:val="0"/>
      <w:marTop w:val="0"/>
      <w:marBottom w:val="0"/>
      <w:divBdr>
        <w:top w:val="none" w:sz="0" w:space="0" w:color="auto"/>
        <w:left w:val="none" w:sz="0" w:space="0" w:color="auto"/>
        <w:bottom w:val="none" w:sz="0" w:space="0" w:color="auto"/>
        <w:right w:val="none" w:sz="0" w:space="0" w:color="auto"/>
      </w:divBdr>
    </w:div>
    <w:div w:id="128985582">
      <w:bodyDiv w:val="1"/>
      <w:marLeft w:val="0"/>
      <w:marRight w:val="0"/>
      <w:marTop w:val="0"/>
      <w:marBottom w:val="0"/>
      <w:divBdr>
        <w:top w:val="none" w:sz="0" w:space="0" w:color="auto"/>
        <w:left w:val="none" w:sz="0" w:space="0" w:color="auto"/>
        <w:bottom w:val="none" w:sz="0" w:space="0" w:color="auto"/>
        <w:right w:val="none" w:sz="0" w:space="0" w:color="auto"/>
      </w:divBdr>
    </w:div>
    <w:div w:id="129128310">
      <w:bodyDiv w:val="1"/>
      <w:marLeft w:val="0"/>
      <w:marRight w:val="0"/>
      <w:marTop w:val="0"/>
      <w:marBottom w:val="0"/>
      <w:divBdr>
        <w:top w:val="none" w:sz="0" w:space="0" w:color="auto"/>
        <w:left w:val="none" w:sz="0" w:space="0" w:color="auto"/>
        <w:bottom w:val="none" w:sz="0" w:space="0" w:color="auto"/>
        <w:right w:val="none" w:sz="0" w:space="0" w:color="auto"/>
      </w:divBdr>
    </w:div>
    <w:div w:id="129134409">
      <w:bodyDiv w:val="1"/>
      <w:marLeft w:val="0"/>
      <w:marRight w:val="0"/>
      <w:marTop w:val="0"/>
      <w:marBottom w:val="0"/>
      <w:divBdr>
        <w:top w:val="none" w:sz="0" w:space="0" w:color="auto"/>
        <w:left w:val="none" w:sz="0" w:space="0" w:color="auto"/>
        <w:bottom w:val="none" w:sz="0" w:space="0" w:color="auto"/>
        <w:right w:val="none" w:sz="0" w:space="0" w:color="auto"/>
      </w:divBdr>
    </w:div>
    <w:div w:id="129135963">
      <w:bodyDiv w:val="1"/>
      <w:marLeft w:val="0"/>
      <w:marRight w:val="0"/>
      <w:marTop w:val="0"/>
      <w:marBottom w:val="0"/>
      <w:divBdr>
        <w:top w:val="none" w:sz="0" w:space="0" w:color="auto"/>
        <w:left w:val="none" w:sz="0" w:space="0" w:color="auto"/>
        <w:bottom w:val="none" w:sz="0" w:space="0" w:color="auto"/>
        <w:right w:val="none" w:sz="0" w:space="0" w:color="auto"/>
      </w:divBdr>
    </w:div>
    <w:div w:id="129176381">
      <w:bodyDiv w:val="1"/>
      <w:marLeft w:val="0"/>
      <w:marRight w:val="0"/>
      <w:marTop w:val="0"/>
      <w:marBottom w:val="0"/>
      <w:divBdr>
        <w:top w:val="none" w:sz="0" w:space="0" w:color="auto"/>
        <w:left w:val="none" w:sz="0" w:space="0" w:color="auto"/>
        <w:bottom w:val="none" w:sz="0" w:space="0" w:color="auto"/>
        <w:right w:val="none" w:sz="0" w:space="0" w:color="auto"/>
      </w:divBdr>
    </w:div>
    <w:div w:id="129515003">
      <w:bodyDiv w:val="1"/>
      <w:marLeft w:val="0"/>
      <w:marRight w:val="0"/>
      <w:marTop w:val="0"/>
      <w:marBottom w:val="0"/>
      <w:divBdr>
        <w:top w:val="none" w:sz="0" w:space="0" w:color="auto"/>
        <w:left w:val="none" w:sz="0" w:space="0" w:color="auto"/>
        <w:bottom w:val="none" w:sz="0" w:space="0" w:color="auto"/>
        <w:right w:val="none" w:sz="0" w:space="0" w:color="auto"/>
      </w:divBdr>
    </w:div>
    <w:div w:id="130291184">
      <w:bodyDiv w:val="1"/>
      <w:marLeft w:val="0"/>
      <w:marRight w:val="0"/>
      <w:marTop w:val="0"/>
      <w:marBottom w:val="0"/>
      <w:divBdr>
        <w:top w:val="none" w:sz="0" w:space="0" w:color="auto"/>
        <w:left w:val="none" w:sz="0" w:space="0" w:color="auto"/>
        <w:bottom w:val="none" w:sz="0" w:space="0" w:color="auto"/>
        <w:right w:val="none" w:sz="0" w:space="0" w:color="auto"/>
      </w:divBdr>
    </w:div>
    <w:div w:id="130905992">
      <w:bodyDiv w:val="1"/>
      <w:marLeft w:val="0"/>
      <w:marRight w:val="0"/>
      <w:marTop w:val="0"/>
      <w:marBottom w:val="0"/>
      <w:divBdr>
        <w:top w:val="none" w:sz="0" w:space="0" w:color="auto"/>
        <w:left w:val="none" w:sz="0" w:space="0" w:color="auto"/>
        <w:bottom w:val="none" w:sz="0" w:space="0" w:color="auto"/>
        <w:right w:val="none" w:sz="0" w:space="0" w:color="auto"/>
      </w:divBdr>
    </w:div>
    <w:div w:id="131220027">
      <w:bodyDiv w:val="1"/>
      <w:marLeft w:val="0"/>
      <w:marRight w:val="0"/>
      <w:marTop w:val="0"/>
      <w:marBottom w:val="0"/>
      <w:divBdr>
        <w:top w:val="none" w:sz="0" w:space="0" w:color="auto"/>
        <w:left w:val="none" w:sz="0" w:space="0" w:color="auto"/>
        <w:bottom w:val="none" w:sz="0" w:space="0" w:color="auto"/>
        <w:right w:val="none" w:sz="0" w:space="0" w:color="auto"/>
      </w:divBdr>
    </w:div>
    <w:div w:id="131293913">
      <w:bodyDiv w:val="1"/>
      <w:marLeft w:val="0"/>
      <w:marRight w:val="0"/>
      <w:marTop w:val="0"/>
      <w:marBottom w:val="0"/>
      <w:divBdr>
        <w:top w:val="none" w:sz="0" w:space="0" w:color="auto"/>
        <w:left w:val="none" w:sz="0" w:space="0" w:color="auto"/>
        <w:bottom w:val="none" w:sz="0" w:space="0" w:color="auto"/>
        <w:right w:val="none" w:sz="0" w:space="0" w:color="auto"/>
      </w:divBdr>
    </w:div>
    <w:div w:id="132064563">
      <w:bodyDiv w:val="1"/>
      <w:marLeft w:val="0"/>
      <w:marRight w:val="0"/>
      <w:marTop w:val="0"/>
      <w:marBottom w:val="0"/>
      <w:divBdr>
        <w:top w:val="none" w:sz="0" w:space="0" w:color="auto"/>
        <w:left w:val="none" w:sz="0" w:space="0" w:color="auto"/>
        <w:bottom w:val="none" w:sz="0" w:space="0" w:color="auto"/>
        <w:right w:val="none" w:sz="0" w:space="0" w:color="auto"/>
      </w:divBdr>
    </w:div>
    <w:div w:id="132141971">
      <w:bodyDiv w:val="1"/>
      <w:marLeft w:val="0"/>
      <w:marRight w:val="0"/>
      <w:marTop w:val="0"/>
      <w:marBottom w:val="0"/>
      <w:divBdr>
        <w:top w:val="none" w:sz="0" w:space="0" w:color="auto"/>
        <w:left w:val="none" w:sz="0" w:space="0" w:color="auto"/>
        <w:bottom w:val="none" w:sz="0" w:space="0" w:color="auto"/>
        <w:right w:val="none" w:sz="0" w:space="0" w:color="auto"/>
      </w:divBdr>
    </w:div>
    <w:div w:id="132332614">
      <w:bodyDiv w:val="1"/>
      <w:marLeft w:val="0"/>
      <w:marRight w:val="0"/>
      <w:marTop w:val="0"/>
      <w:marBottom w:val="0"/>
      <w:divBdr>
        <w:top w:val="none" w:sz="0" w:space="0" w:color="auto"/>
        <w:left w:val="none" w:sz="0" w:space="0" w:color="auto"/>
        <w:bottom w:val="none" w:sz="0" w:space="0" w:color="auto"/>
        <w:right w:val="none" w:sz="0" w:space="0" w:color="auto"/>
      </w:divBdr>
    </w:div>
    <w:div w:id="132872639">
      <w:bodyDiv w:val="1"/>
      <w:marLeft w:val="0"/>
      <w:marRight w:val="0"/>
      <w:marTop w:val="0"/>
      <w:marBottom w:val="0"/>
      <w:divBdr>
        <w:top w:val="none" w:sz="0" w:space="0" w:color="auto"/>
        <w:left w:val="none" w:sz="0" w:space="0" w:color="auto"/>
        <w:bottom w:val="none" w:sz="0" w:space="0" w:color="auto"/>
        <w:right w:val="none" w:sz="0" w:space="0" w:color="auto"/>
      </w:divBdr>
    </w:div>
    <w:div w:id="133064625">
      <w:bodyDiv w:val="1"/>
      <w:marLeft w:val="0"/>
      <w:marRight w:val="0"/>
      <w:marTop w:val="0"/>
      <w:marBottom w:val="0"/>
      <w:divBdr>
        <w:top w:val="none" w:sz="0" w:space="0" w:color="auto"/>
        <w:left w:val="none" w:sz="0" w:space="0" w:color="auto"/>
        <w:bottom w:val="none" w:sz="0" w:space="0" w:color="auto"/>
        <w:right w:val="none" w:sz="0" w:space="0" w:color="auto"/>
      </w:divBdr>
    </w:div>
    <w:div w:id="133064666">
      <w:bodyDiv w:val="1"/>
      <w:marLeft w:val="0"/>
      <w:marRight w:val="0"/>
      <w:marTop w:val="0"/>
      <w:marBottom w:val="0"/>
      <w:divBdr>
        <w:top w:val="none" w:sz="0" w:space="0" w:color="auto"/>
        <w:left w:val="none" w:sz="0" w:space="0" w:color="auto"/>
        <w:bottom w:val="none" w:sz="0" w:space="0" w:color="auto"/>
        <w:right w:val="none" w:sz="0" w:space="0" w:color="auto"/>
      </w:divBdr>
    </w:div>
    <w:div w:id="133065436">
      <w:bodyDiv w:val="1"/>
      <w:marLeft w:val="0"/>
      <w:marRight w:val="0"/>
      <w:marTop w:val="0"/>
      <w:marBottom w:val="0"/>
      <w:divBdr>
        <w:top w:val="none" w:sz="0" w:space="0" w:color="auto"/>
        <w:left w:val="none" w:sz="0" w:space="0" w:color="auto"/>
        <w:bottom w:val="none" w:sz="0" w:space="0" w:color="auto"/>
        <w:right w:val="none" w:sz="0" w:space="0" w:color="auto"/>
      </w:divBdr>
    </w:div>
    <w:div w:id="133109953">
      <w:bodyDiv w:val="1"/>
      <w:marLeft w:val="0"/>
      <w:marRight w:val="0"/>
      <w:marTop w:val="0"/>
      <w:marBottom w:val="0"/>
      <w:divBdr>
        <w:top w:val="none" w:sz="0" w:space="0" w:color="auto"/>
        <w:left w:val="none" w:sz="0" w:space="0" w:color="auto"/>
        <w:bottom w:val="none" w:sz="0" w:space="0" w:color="auto"/>
        <w:right w:val="none" w:sz="0" w:space="0" w:color="auto"/>
      </w:divBdr>
    </w:div>
    <w:div w:id="133330576">
      <w:bodyDiv w:val="1"/>
      <w:marLeft w:val="0"/>
      <w:marRight w:val="0"/>
      <w:marTop w:val="0"/>
      <w:marBottom w:val="0"/>
      <w:divBdr>
        <w:top w:val="none" w:sz="0" w:space="0" w:color="auto"/>
        <w:left w:val="none" w:sz="0" w:space="0" w:color="auto"/>
        <w:bottom w:val="none" w:sz="0" w:space="0" w:color="auto"/>
        <w:right w:val="none" w:sz="0" w:space="0" w:color="auto"/>
      </w:divBdr>
    </w:div>
    <w:div w:id="133375812">
      <w:bodyDiv w:val="1"/>
      <w:marLeft w:val="0"/>
      <w:marRight w:val="0"/>
      <w:marTop w:val="0"/>
      <w:marBottom w:val="0"/>
      <w:divBdr>
        <w:top w:val="none" w:sz="0" w:space="0" w:color="auto"/>
        <w:left w:val="none" w:sz="0" w:space="0" w:color="auto"/>
        <w:bottom w:val="none" w:sz="0" w:space="0" w:color="auto"/>
        <w:right w:val="none" w:sz="0" w:space="0" w:color="auto"/>
      </w:divBdr>
    </w:div>
    <w:div w:id="133719570">
      <w:bodyDiv w:val="1"/>
      <w:marLeft w:val="0"/>
      <w:marRight w:val="0"/>
      <w:marTop w:val="0"/>
      <w:marBottom w:val="0"/>
      <w:divBdr>
        <w:top w:val="none" w:sz="0" w:space="0" w:color="auto"/>
        <w:left w:val="none" w:sz="0" w:space="0" w:color="auto"/>
        <w:bottom w:val="none" w:sz="0" w:space="0" w:color="auto"/>
        <w:right w:val="none" w:sz="0" w:space="0" w:color="auto"/>
      </w:divBdr>
    </w:div>
    <w:div w:id="133909062">
      <w:bodyDiv w:val="1"/>
      <w:marLeft w:val="0"/>
      <w:marRight w:val="0"/>
      <w:marTop w:val="0"/>
      <w:marBottom w:val="0"/>
      <w:divBdr>
        <w:top w:val="none" w:sz="0" w:space="0" w:color="auto"/>
        <w:left w:val="none" w:sz="0" w:space="0" w:color="auto"/>
        <w:bottom w:val="none" w:sz="0" w:space="0" w:color="auto"/>
        <w:right w:val="none" w:sz="0" w:space="0" w:color="auto"/>
      </w:divBdr>
    </w:div>
    <w:div w:id="133959030">
      <w:bodyDiv w:val="1"/>
      <w:marLeft w:val="0"/>
      <w:marRight w:val="0"/>
      <w:marTop w:val="0"/>
      <w:marBottom w:val="0"/>
      <w:divBdr>
        <w:top w:val="none" w:sz="0" w:space="0" w:color="auto"/>
        <w:left w:val="none" w:sz="0" w:space="0" w:color="auto"/>
        <w:bottom w:val="none" w:sz="0" w:space="0" w:color="auto"/>
        <w:right w:val="none" w:sz="0" w:space="0" w:color="auto"/>
      </w:divBdr>
    </w:div>
    <w:div w:id="133983979">
      <w:bodyDiv w:val="1"/>
      <w:marLeft w:val="0"/>
      <w:marRight w:val="0"/>
      <w:marTop w:val="0"/>
      <w:marBottom w:val="0"/>
      <w:divBdr>
        <w:top w:val="none" w:sz="0" w:space="0" w:color="auto"/>
        <w:left w:val="none" w:sz="0" w:space="0" w:color="auto"/>
        <w:bottom w:val="none" w:sz="0" w:space="0" w:color="auto"/>
        <w:right w:val="none" w:sz="0" w:space="0" w:color="auto"/>
      </w:divBdr>
    </w:div>
    <w:div w:id="134180481">
      <w:bodyDiv w:val="1"/>
      <w:marLeft w:val="0"/>
      <w:marRight w:val="0"/>
      <w:marTop w:val="0"/>
      <w:marBottom w:val="0"/>
      <w:divBdr>
        <w:top w:val="none" w:sz="0" w:space="0" w:color="auto"/>
        <w:left w:val="none" w:sz="0" w:space="0" w:color="auto"/>
        <w:bottom w:val="none" w:sz="0" w:space="0" w:color="auto"/>
        <w:right w:val="none" w:sz="0" w:space="0" w:color="auto"/>
      </w:divBdr>
    </w:div>
    <w:div w:id="134301152">
      <w:bodyDiv w:val="1"/>
      <w:marLeft w:val="0"/>
      <w:marRight w:val="0"/>
      <w:marTop w:val="0"/>
      <w:marBottom w:val="0"/>
      <w:divBdr>
        <w:top w:val="none" w:sz="0" w:space="0" w:color="auto"/>
        <w:left w:val="none" w:sz="0" w:space="0" w:color="auto"/>
        <w:bottom w:val="none" w:sz="0" w:space="0" w:color="auto"/>
        <w:right w:val="none" w:sz="0" w:space="0" w:color="auto"/>
      </w:divBdr>
    </w:div>
    <w:div w:id="134641001">
      <w:bodyDiv w:val="1"/>
      <w:marLeft w:val="0"/>
      <w:marRight w:val="0"/>
      <w:marTop w:val="0"/>
      <w:marBottom w:val="0"/>
      <w:divBdr>
        <w:top w:val="none" w:sz="0" w:space="0" w:color="auto"/>
        <w:left w:val="none" w:sz="0" w:space="0" w:color="auto"/>
        <w:bottom w:val="none" w:sz="0" w:space="0" w:color="auto"/>
        <w:right w:val="none" w:sz="0" w:space="0" w:color="auto"/>
      </w:divBdr>
    </w:div>
    <w:div w:id="135681775">
      <w:bodyDiv w:val="1"/>
      <w:marLeft w:val="0"/>
      <w:marRight w:val="0"/>
      <w:marTop w:val="0"/>
      <w:marBottom w:val="0"/>
      <w:divBdr>
        <w:top w:val="none" w:sz="0" w:space="0" w:color="auto"/>
        <w:left w:val="none" w:sz="0" w:space="0" w:color="auto"/>
        <w:bottom w:val="none" w:sz="0" w:space="0" w:color="auto"/>
        <w:right w:val="none" w:sz="0" w:space="0" w:color="auto"/>
      </w:divBdr>
    </w:div>
    <w:div w:id="135727510">
      <w:bodyDiv w:val="1"/>
      <w:marLeft w:val="0"/>
      <w:marRight w:val="0"/>
      <w:marTop w:val="0"/>
      <w:marBottom w:val="0"/>
      <w:divBdr>
        <w:top w:val="none" w:sz="0" w:space="0" w:color="auto"/>
        <w:left w:val="none" w:sz="0" w:space="0" w:color="auto"/>
        <w:bottom w:val="none" w:sz="0" w:space="0" w:color="auto"/>
        <w:right w:val="none" w:sz="0" w:space="0" w:color="auto"/>
      </w:divBdr>
    </w:div>
    <w:div w:id="135876502">
      <w:bodyDiv w:val="1"/>
      <w:marLeft w:val="0"/>
      <w:marRight w:val="0"/>
      <w:marTop w:val="0"/>
      <w:marBottom w:val="0"/>
      <w:divBdr>
        <w:top w:val="none" w:sz="0" w:space="0" w:color="auto"/>
        <w:left w:val="none" w:sz="0" w:space="0" w:color="auto"/>
        <w:bottom w:val="none" w:sz="0" w:space="0" w:color="auto"/>
        <w:right w:val="none" w:sz="0" w:space="0" w:color="auto"/>
      </w:divBdr>
    </w:div>
    <w:div w:id="136068214">
      <w:bodyDiv w:val="1"/>
      <w:marLeft w:val="0"/>
      <w:marRight w:val="0"/>
      <w:marTop w:val="0"/>
      <w:marBottom w:val="0"/>
      <w:divBdr>
        <w:top w:val="none" w:sz="0" w:space="0" w:color="auto"/>
        <w:left w:val="none" w:sz="0" w:space="0" w:color="auto"/>
        <w:bottom w:val="none" w:sz="0" w:space="0" w:color="auto"/>
        <w:right w:val="none" w:sz="0" w:space="0" w:color="auto"/>
      </w:divBdr>
    </w:div>
    <w:div w:id="136532798">
      <w:bodyDiv w:val="1"/>
      <w:marLeft w:val="0"/>
      <w:marRight w:val="0"/>
      <w:marTop w:val="0"/>
      <w:marBottom w:val="0"/>
      <w:divBdr>
        <w:top w:val="none" w:sz="0" w:space="0" w:color="auto"/>
        <w:left w:val="none" w:sz="0" w:space="0" w:color="auto"/>
        <w:bottom w:val="none" w:sz="0" w:space="0" w:color="auto"/>
        <w:right w:val="none" w:sz="0" w:space="0" w:color="auto"/>
      </w:divBdr>
    </w:div>
    <w:div w:id="136608114">
      <w:bodyDiv w:val="1"/>
      <w:marLeft w:val="0"/>
      <w:marRight w:val="0"/>
      <w:marTop w:val="0"/>
      <w:marBottom w:val="0"/>
      <w:divBdr>
        <w:top w:val="none" w:sz="0" w:space="0" w:color="auto"/>
        <w:left w:val="none" w:sz="0" w:space="0" w:color="auto"/>
        <w:bottom w:val="none" w:sz="0" w:space="0" w:color="auto"/>
        <w:right w:val="none" w:sz="0" w:space="0" w:color="auto"/>
      </w:divBdr>
    </w:div>
    <w:div w:id="136797912">
      <w:bodyDiv w:val="1"/>
      <w:marLeft w:val="0"/>
      <w:marRight w:val="0"/>
      <w:marTop w:val="0"/>
      <w:marBottom w:val="0"/>
      <w:divBdr>
        <w:top w:val="none" w:sz="0" w:space="0" w:color="auto"/>
        <w:left w:val="none" w:sz="0" w:space="0" w:color="auto"/>
        <w:bottom w:val="none" w:sz="0" w:space="0" w:color="auto"/>
        <w:right w:val="none" w:sz="0" w:space="0" w:color="auto"/>
      </w:divBdr>
    </w:div>
    <w:div w:id="136805520">
      <w:bodyDiv w:val="1"/>
      <w:marLeft w:val="0"/>
      <w:marRight w:val="0"/>
      <w:marTop w:val="0"/>
      <w:marBottom w:val="0"/>
      <w:divBdr>
        <w:top w:val="none" w:sz="0" w:space="0" w:color="auto"/>
        <w:left w:val="none" w:sz="0" w:space="0" w:color="auto"/>
        <w:bottom w:val="none" w:sz="0" w:space="0" w:color="auto"/>
        <w:right w:val="none" w:sz="0" w:space="0" w:color="auto"/>
      </w:divBdr>
    </w:div>
    <w:div w:id="137189847">
      <w:bodyDiv w:val="1"/>
      <w:marLeft w:val="0"/>
      <w:marRight w:val="0"/>
      <w:marTop w:val="0"/>
      <w:marBottom w:val="0"/>
      <w:divBdr>
        <w:top w:val="none" w:sz="0" w:space="0" w:color="auto"/>
        <w:left w:val="none" w:sz="0" w:space="0" w:color="auto"/>
        <w:bottom w:val="none" w:sz="0" w:space="0" w:color="auto"/>
        <w:right w:val="none" w:sz="0" w:space="0" w:color="auto"/>
      </w:divBdr>
    </w:div>
    <w:div w:id="137191264">
      <w:bodyDiv w:val="1"/>
      <w:marLeft w:val="0"/>
      <w:marRight w:val="0"/>
      <w:marTop w:val="0"/>
      <w:marBottom w:val="0"/>
      <w:divBdr>
        <w:top w:val="none" w:sz="0" w:space="0" w:color="auto"/>
        <w:left w:val="none" w:sz="0" w:space="0" w:color="auto"/>
        <w:bottom w:val="none" w:sz="0" w:space="0" w:color="auto"/>
        <w:right w:val="none" w:sz="0" w:space="0" w:color="auto"/>
      </w:divBdr>
    </w:div>
    <w:div w:id="137459548">
      <w:bodyDiv w:val="1"/>
      <w:marLeft w:val="0"/>
      <w:marRight w:val="0"/>
      <w:marTop w:val="0"/>
      <w:marBottom w:val="0"/>
      <w:divBdr>
        <w:top w:val="none" w:sz="0" w:space="0" w:color="auto"/>
        <w:left w:val="none" w:sz="0" w:space="0" w:color="auto"/>
        <w:bottom w:val="none" w:sz="0" w:space="0" w:color="auto"/>
        <w:right w:val="none" w:sz="0" w:space="0" w:color="auto"/>
      </w:divBdr>
    </w:div>
    <w:div w:id="137497073">
      <w:bodyDiv w:val="1"/>
      <w:marLeft w:val="0"/>
      <w:marRight w:val="0"/>
      <w:marTop w:val="0"/>
      <w:marBottom w:val="0"/>
      <w:divBdr>
        <w:top w:val="none" w:sz="0" w:space="0" w:color="auto"/>
        <w:left w:val="none" w:sz="0" w:space="0" w:color="auto"/>
        <w:bottom w:val="none" w:sz="0" w:space="0" w:color="auto"/>
        <w:right w:val="none" w:sz="0" w:space="0" w:color="auto"/>
      </w:divBdr>
    </w:div>
    <w:div w:id="137772543">
      <w:bodyDiv w:val="1"/>
      <w:marLeft w:val="0"/>
      <w:marRight w:val="0"/>
      <w:marTop w:val="0"/>
      <w:marBottom w:val="0"/>
      <w:divBdr>
        <w:top w:val="none" w:sz="0" w:space="0" w:color="auto"/>
        <w:left w:val="none" w:sz="0" w:space="0" w:color="auto"/>
        <w:bottom w:val="none" w:sz="0" w:space="0" w:color="auto"/>
        <w:right w:val="none" w:sz="0" w:space="0" w:color="auto"/>
      </w:divBdr>
    </w:div>
    <w:div w:id="137966252">
      <w:bodyDiv w:val="1"/>
      <w:marLeft w:val="0"/>
      <w:marRight w:val="0"/>
      <w:marTop w:val="0"/>
      <w:marBottom w:val="0"/>
      <w:divBdr>
        <w:top w:val="none" w:sz="0" w:space="0" w:color="auto"/>
        <w:left w:val="none" w:sz="0" w:space="0" w:color="auto"/>
        <w:bottom w:val="none" w:sz="0" w:space="0" w:color="auto"/>
        <w:right w:val="none" w:sz="0" w:space="0" w:color="auto"/>
      </w:divBdr>
    </w:div>
    <w:div w:id="138228349">
      <w:bodyDiv w:val="1"/>
      <w:marLeft w:val="0"/>
      <w:marRight w:val="0"/>
      <w:marTop w:val="0"/>
      <w:marBottom w:val="0"/>
      <w:divBdr>
        <w:top w:val="none" w:sz="0" w:space="0" w:color="auto"/>
        <w:left w:val="none" w:sz="0" w:space="0" w:color="auto"/>
        <w:bottom w:val="none" w:sz="0" w:space="0" w:color="auto"/>
        <w:right w:val="none" w:sz="0" w:space="0" w:color="auto"/>
      </w:divBdr>
    </w:div>
    <w:div w:id="138885242">
      <w:bodyDiv w:val="1"/>
      <w:marLeft w:val="0"/>
      <w:marRight w:val="0"/>
      <w:marTop w:val="0"/>
      <w:marBottom w:val="0"/>
      <w:divBdr>
        <w:top w:val="none" w:sz="0" w:space="0" w:color="auto"/>
        <w:left w:val="none" w:sz="0" w:space="0" w:color="auto"/>
        <w:bottom w:val="none" w:sz="0" w:space="0" w:color="auto"/>
        <w:right w:val="none" w:sz="0" w:space="0" w:color="auto"/>
      </w:divBdr>
    </w:div>
    <w:div w:id="139737293">
      <w:bodyDiv w:val="1"/>
      <w:marLeft w:val="0"/>
      <w:marRight w:val="0"/>
      <w:marTop w:val="0"/>
      <w:marBottom w:val="0"/>
      <w:divBdr>
        <w:top w:val="none" w:sz="0" w:space="0" w:color="auto"/>
        <w:left w:val="none" w:sz="0" w:space="0" w:color="auto"/>
        <w:bottom w:val="none" w:sz="0" w:space="0" w:color="auto"/>
        <w:right w:val="none" w:sz="0" w:space="0" w:color="auto"/>
      </w:divBdr>
    </w:div>
    <w:div w:id="139739338">
      <w:bodyDiv w:val="1"/>
      <w:marLeft w:val="0"/>
      <w:marRight w:val="0"/>
      <w:marTop w:val="0"/>
      <w:marBottom w:val="0"/>
      <w:divBdr>
        <w:top w:val="none" w:sz="0" w:space="0" w:color="auto"/>
        <w:left w:val="none" w:sz="0" w:space="0" w:color="auto"/>
        <w:bottom w:val="none" w:sz="0" w:space="0" w:color="auto"/>
        <w:right w:val="none" w:sz="0" w:space="0" w:color="auto"/>
      </w:divBdr>
    </w:div>
    <w:div w:id="140124887">
      <w:bodyDiv w:val="1"/>
      <w:marLeft w:val="0"/>
      <w:marRight w:val="0"/>
      <w:marTop w:val="0"/>
      <w:marBottom w:val="0"/>
      <w:divBdr>
        <w:top w:val="none" w:sz="0" w:space="0" w:color="auto"/>
        <w:left w:val="none" w:sz="0" w:space="0" w:color="auto"/>
        <w:bottom w:val="none" w:sz="0" w:space="0" w:color="auto"/>
        <w:right w:val="none" w:sz="0" w:space="0" w:color="auto"/>
      </w:divBdr>
    </w:div>
    <w:div w:id="140928965">
      <w:bodyDiv w:val="1"/>
      <w:marLeft w:val="0"/>
      <w:marRight w:val="0"/>
      <w:marTop w:val="0"/>
      <w:marBottom w:val="0"/>
      <w:divBdr>
        <w:top w:val="none" w:sz="0" w:space="0" w:color="auto"/>
        <w:left w:val="none" w:sz="0" w:space="0" w:color="auto"/>
        <w:bottom w:val="none" w:sz="0" w:space="0" w:color="auto"/>
        <w:right w:val="none" w:sz="0" w:space="0" w:color="auto"/>
      </w:divBdr>
    </w:div>
    <w:div w:id="141047640">
      <w:bodyDiv w:val="1"/>
      <w:marLeft w:val="0"/>
      <w:marRight w:val="0"/>
      <w:marTop w:val="0"/>
      <w:marBottom w:val="0"/>
      <w:divBdr>
        <w:top w:val="none" w:sz="0" w:space="0" w:color="auto"/>
        <w:left w:val="none" w:sz="0" w:space="0" w:color="auto"/>
        <w:bottom w:val="none" w:sz="0" w:space="0" w:color="auto"/>
        <w:right w:val="none" w:sz="0" w:space="0" w:color="auto"/>
      </w:divBdr>
    </w:div>
    <w:div w:id="141316196">
      <w:bodyDiv w:val="1"/>
      <w:marLeft w:val="0"/>
      <w:marRight w:val="0"/>
      <w:marTop w:val="0"/>
      <w:marBottom w:val="0"/>
      <w:divBdr>
        <w:top w:val="none" w:sz="0" w:space="0" w:color="auto"/>
        <w:left w:val="none" w:sz="0" w:space="0" w:color="auto"/>
        <w:bottom w:val="none" w:sz="0" w:space="0" w:color="auto"/>
        <w:right w:val="none" w:sz="0" w:space="0" w:color="auto"/>
      </w:divBdr>
    </w:div>
    <w:div w:id="141503147">
      <w:bodyDiv w:val="1"/>
      <w:marLeft w:val="0"/>
      <w:marRight w:val="0"/>
      <w:marTop w:val="0"/>
      <w:marBottom w:val="0"/>
      <w:divBdr>
        <w:top w:val="none" w:sz="0" w:space="0" w:color="auto"/>
        <w:left w:val="none" w:sz="0" w:space="0" w:color="auto"/>
        <w:bottom w:val="none" w:sz="0" w:space="0" w:color="auto"/>
        <w:right w:val="none" w:sz="0" w:space="0" w:color="auto"/>
      </w:divBdr>
    </w:div>
    <w:div w:id="142238488">
      <w:bodyDiv w:val="1"/>
      <w:marLeft w:val="0"/>
      <w:marRight w:val="0"/>
      <w:marTop w:val="0"/>
      <w:marBottom w:val="0"/>
      <w:divBdr>
        <w:top w:val="none" w:sz="0" w:space="0" w:color="auto"/>
        <w:left w:val="none" w:sz="0" w:space="0" w:color="auto"/>
        <w:bottom w:val="none" w:sz="0" w:space="0" w:color="auto"/>
        <w:right w:val="none" w:sz="0" w:space="0" w:color="auto"/>
      </w:divBdr>
    </w:div>
    <w:div w:id="142241761">
      <w:bodyDiv w:val="1"/>
      <w:marLeft w:val="0"/>
      <w:marRight w:val="0"/>
      <w:marTop w:val="0"/>
      <w:marBottom w:val="0"/>
      <w:divBdr>
        <w:top w:val="none" w:sz="0" w:space="0" w:color="auto"/>
        <w:left w:val="none" w:sz="0" w:space="0" w:color="auto"/>
        <w:bottom w:val="none" w:sz="0" w:space="0" w:color="auto"/>
        <w:right w:val="none" w:sz="0" w:space="0" w:color="auto"/>
      </w:divBdr>
    </w:div>
    <w:div w:id="142502872">
      <w:bodyDiv w:val="1"/>
      <w:marLeft w:val="0"/>
      <w:marRight w:val="0"/>
      <w:marTop w:val="0"/>
      <w:marBottom w:val="0"/>
      <w:divBdr>
        <w:top w:val="none" w:sz="0" w:space="0" w:color="auto"/>
        <w:left w:val="none" w:sz="0" w:space="0" w:color="auto"/>
        <w:bottom w:val="none" w:sz="0" w:space="0" w:color="auto"/>
        <w:right w:val="none" w:sz="0" w:space="0" w:color="auto"/>
      </w:divBdr>
    </w:div>
    <w:div w:id="142505293">
      <w:bodyDiv w:val="1"/>
      <w:marLeft w:val="0"/>
      <w:marRight w:val="0"/>
      <w:marTop w:val="0"/>
      <w:marBottom w:val="0"/>
      <w:divBdr>
        <w:top w:val="none" w:sz="0" w:space="0" w:color="auto"/>
        <w:left w:val="none" w:sz="0" w:space="0" w:color="auto"/>
        <w:bottom w:val="none" w:sz="0" w:space="0" w:color="auto"/>
        <w:right w:val="none" w:sz="0" w:space="0" w:color="auto"/>
      </w:divBdr>
    </w:div>
    <w:div w:id="142554128">
      <w:bodyDiv w:val="1"/>
      <w:marLeft w:val="0"/>
      <w:marRight w:val="0"/>
      <w:marTop w:val="0"/>
      <w:marBottom w:val="0"/>
      <w:divBdr>
        <w:top w:val="none" w:sz="0" w:space="0" w:color="auto"/>
        <w:left w:val="none" w:sz="0" w:space="0" w:color="auto"/>
        <w:bottom w:val="none" w:sz="0" w:space="0" w:color="auto"/>
        <w:right w:val="none" w:sz="0" w:space="0" w:color="auto"/>
      </w:divBdr>
    </w:div>
    <w:div w:id="142627766">
      <w:bodyDiv w:val="1"/>
      <w:marLeft w:val="0"/>
      <w:marRight w:val="0"/>
      <w:marTop w:val="0"/>
      <w:marBottom w:val="0"/>
      <w:divBdr>
        <w:top w:val="none" w:sz="0" w:space="0" w:color="auto"/>
        <w:left w:val="none" w:sz="0" w:space="0" w:color="auto"/>
        <w:bottom w:val="none" w:sz="0" w:space="0" w:color="auto"/>
        <w:right w:val="none" w:sz="0" w:space="0" w:color="auto"/>
      </w:divBdr>
    </w:div>
    <w:div w:id="142820758">
      <w:bodyDiv w:val="1"/>
      <w:marLeft w:val="0"/>
      <w:marRight w:val="0"/>
      <w:marTop w:val="0"/>
      <w:marBottom w:val="0"/>
      <w:divBdr>
        <w:top w:val="none" w:sz="0" w:space="0" w:color="auto"/>
        <w:left w:val="none" w:sz="0" w:space="0" w:color="auto"/>
        <w:bottom w:val="none" w:sz="0" w:space="0" w:color="auto"/>
        <w:right w:val="none" w:sz="0" w:space="0" w:color="auto"/>
      </w:divBdr>
    </w:div>
    <w:div w:id="143085141">
      <w:bodyDiv w:val="1"/>
      <w:marLeft w:val="0"/>
      <w:marRight w:val="0"/>
      <w:marTop w:val="0"/>
      <w:marBottom w:val="0"/>
      <w:divBdr>
        <w:top w:val="none" w:sz="0" w:space="0" w:color="auto"/>
        <w:left w:val="none" w:sz="0" w:space="0" w:color="auto"/>
        <w:bottom w:val="none" w:sz="0" w:space="0" w:color="auto"/>
        <w:right w:val="none" w:sz="0" w:space="0" w:color="auto"/>
      </w:divBdr>
    </w:div>
    <w:div w:id="143278973">
      <w:bodyDiv w:val="1"/>
      <w:marLeft w:val="0"/>
      <w:marRight w:val="0"/>
      <w:marTop w:val="0"/>
      <w:marBottom w:val="0"/>
      <w:divBdr>
        <w:top w:val="none" w:sz="0" w:space="0" w:color="auto"/>
        <w:left w:val="none" w:sz="0" w:space="0" w:color="auto"/>
        <w:bottom w:val="none" w:sz="0" w:space="0" w:color="auto"/>
        <w:right w:val="none" w:sz="0" w:space="0" w:color="auto"/>
      </w:divBdr>
    </w:div>
    <w:div w:id="143353749">
      <w:bodyDiv w:val="1"/>
      <w:marLeft w:val="0"/>
      <w:marRight w:val="0"/>
      <w:marTop w:val="0"/>
      <w:marBottom w:val="0"/>
      <w:divBdr>
        <w:top w:val="none" w:sz="0" w:space="0" w:color="auto"/>
        <w:left w:val="none" w:sz="0" w:space="0" w:color="auto"/>
        <w:bottom w:val="none" w:sz="0" w:space="0" w:color="auto"/>
        <w:right w:val="none" w:sz="0" w:space="0" w:color="auto"/>
      </w:divBdr>
    </w:div>
    <w:div w:id="143788485">
      <w:bodyDiv w:val="1"/>
      <w:marLeft w:val="0"/>
      <w:marRight w:val="0"/>
      <w:marTop w:val="0"/>
      <w:marBottom w:val="0"/>
      <w:divBdr>
        <w:top w:val="none" w:sz="0" w:space="0" w:color="auto"/>
        <w:left w:val="none" w:sz="0" w:space="0" w:color="auto"/>
        <w:bottom w:val="none" w:sz="0" w:space="0" w:color="auto"/>
        <w:right w:val="none" w:sz="0" w:space="0" w:color="auto"/>
      </w:divBdr>
    </w:div>
    <w:div w:id="144050996">
      <w:bodyDiv w:val="1"/>
      <w:marLeft w:val="0"/>
      <w:marRight w:val="0"/>
      <w:marTop w:val="0"/>
      <w:marBottom w:val="0"/>
      <w:divBdr>
        <w:top w:val="none" w:sz="0" w:space="0" w:color="auto"/>
        <w:left w:val="none" w:sz="0" w:space="0" w:color="auto"/>
        <w:bottom w:val="none" w:sz="0" w:space="0" w:color="auto"/>
        <w:right w:val="none" w:sz="0" w:space="0" w:color="auto"/>
      </w:divBdr>
    </w:div>
    <w:div w:id="144053137">
      <w:bodyDiv w:val="1"/>
      <w:marLeft w:val="0"/>
      <w:marRight w:val="0"/>
      <w:marTop w:val="0"/>
      <w:marBottom w:val="0"/>
      <w:divBdr>
        <w:top w:val="none" w:sz="0" w:space="0" w:color="auto"/>
        <w:left w:val="none" w:sz="0" w:space="0" w:color="auto"/>
        <w:bottom w:val="none" w:sz="0" w:space="0" w:color="auto"/>
        <w:right w:val="none" w:sz="0" w:space="0" w:color="auto"/>
      </w:divBdr>
    </w:div>
    <w:div w:id="144246689">
      <w:bodyDiv w:val="1"/>
      <w:marLeft w:val="0"/>
      <w:marRight w:val="0"/>
      <w:marTop w:val="0"/>
      <w:marBottom w:val="0"/>
      <w:divBdr>
        <w:top w:val="none" w:sz="0" w:space="0" w:color="auto"/>
        <w:left w:val="none" w:sz="0" w:space="0" w:color="auto"/>
        <w:bottom w:val="none" w:sz="0" w:space="0" w:color="auto"/>
        <w:right w:val="none" w:sz="0" w:space="0" w:color="auto"/>
      </w:divBdr>
    </w:div>
    <w:div w:id="144401720">
      <w:bodyDiv w:val="1"/>
      <w:marLeft w:val="0"/>
      <w:marRight w:val="0"/>
      <w:marTop w:val="0"/>
      <w:marBottom w:val="0"/>
      <w:divBdr>
        <w:top w:val="none" w:sz="0" w:space="0" w:color="auto"/>
        <w:left w:val="none" w:sz="0" w:space="0" w:color="auto"/>
        <w:bottom w:val="none" w:sz="0" w:space="0" w:color="auto"/>
        <w:right w:val="none" w:sz="0" w:space="0" w:color="auto"/>
      </w:divBdr>
    </w:div>
    <w:div w:id="144903555">
      <w:bodyDiv w:val="1"/>
      <w:marLeft w:val="0"/>
      <w:marRight w:val="0"/>
      <w:marTop w:val="0"/>
      <w:marBottom w:val="0"/>
      <w:divBdr>
        <w:top w:val="none" w:sz="0" w:space="0" w:color="auto"/>
        <w:left w:val="none" w:sz="0" w:space="0" w:color="auto"/>
        <w:bottom w:val="none" w:sz="0" w:space="0" w:color="auto"/>
        <w:right w:val="none" w:sz="0" w:space="0" w:color="auto"/>
      </w:divBdr>
    </w:div>
    <w:div w:id="145048156">
      <w:bodyDiv w:val="1"/>
      <w:marLeft w:val="0"/>
      <w:marRight w:val="0"/>
      <w:marTop w:val="0"/>
      <w:marBottom w:val="0"/>
      <w:divBdr>
        <w:top w:val="none" w:sz="0" w:space="0" w:color="auto"/>
        <w:left w:val="none" w:sz="0" w:space="0" w:color="auto"/>
        <w:bottom w:val="none" w:sz="0" w:space="0" w:color="auto"/>
        <w:right w:val="none" w:sz="0" w:space="0" w:color="auto"/>
      </w:divBdr>
    </w:div>
    <w:div w:id="145172682">
      <w:bodyDiv w:val="1"/>
      <w:marLeft w:val="0"/>
      <w:marRight w:val="0"/>
      <w:marTop w:val="0"/>
      <w:marBottom w:val="0"/>
      <w:divBdr>
        <w:top w:val="none" w:sz="0" w:space="0" w:color="auto"/>
        <w:left w:val="none" w:sz="0" w:space="0" w:color="auto"/>
        <w:bottom w:val="none" w:sz="0" w:space="0" w:color="auto"/>
        <w:right w:val="none" w:sz="0" w:space="0" w:color="auto"/>
      </w:divBdr>
    </w:div>
    <w:div w:id="145316270">
      <w:bodyDiv w:val="1"/>
      <w:marLeft w:val="0"/>
      <w:marRight w:val="0"/>
      <w:marTop w:val="0"/>
      <w:marBottom w:val="0"/>
      <w:divBdr>
        <w:top w:val="none" w:sz="0" w:space="0" w:color="auto"/>
        <w:left w:val="none" w:sz="0" w:space="0" w:color="auto"/>
        <w:bottom w:val="none" w:sz="0" w:space="0" w:color="auto"/>
        <w:right w:val="none" w:sz="0" w:space="0" w:color="auto"/>
      </w:divBdr>
    </w:div>
    <w:div w:id="145437691">
      <w:bodyDiv w:val="1"/>
      <w:marLeft w:val="0"/>
      <w:marRight w:val="0"/>
      <w:marTop w:val="0"/>
      <w:marBottom w:val="0"/>
      <w:divBdr>
        <w:top w:val="none" w:sz="0" w:space="0" w:color="auto"/>
        <w:left w:val="none" w:sz="0" w:space="0" w:color="auto"/>
        <w:bottom w:val="none" w:sz="0" w:space="0" w:color="auto"/>
        <w:right w:val="none" w:sz="0" w:space="0" w:color="auto"/>
      </w:divBdr>
    </w:div>
    <w:div w:id="145559065">
      <w:bodyDiv w:val="1"/>
      <w:marLeft w:val="0"/>
      <w:marRight w:val="0"/>
      <w:marTop w:val="0"/>
      <w:marBottom w:val="0"/>
      <w:divBdr>
        <w:top w:val="none" w:sz="0" w:space="0" w:color="auto"/>
        <w:left w:val="none" w:sz="0" w:space="0" w:color="auto"/>
        <w:bottom w:val="none" w:sz="0" w:space="0" w:color="auto"/>
        <w:right w:val="none" w:sz="0" w:space="0" w:color="auto"/>
      </w:divBdr>
    </w:div>
    <w:div w:id="146173244">
      <w:bodyDiv w:val="1"/>
      <w:marLeft w:val="0"/>
      <w:marRight w:val="0"/>
      <w:marTop w:val="0"/>
      <w:marBottom w:val="0"/>
      <w:divBdr>
        <w:top w:val="none" w:sz="0" w:space="0" w:color="auto"/>
        <w:left w:val="none" w:sz="0" w:space="0" w:color="auto"/>
        <w:bottom w:val="none" w:sz="0" w:space="0" w:color="auto"/>
        <w:right w:val="none" w:sz="0" w:space="0" w:color="auto"/>
      </w:divBdr>
    </w:div>
    <w:div w:id="146360856">
      <w:bodyDiv w:val="1"/>
      <w:marLeft w:val="0"/>
      <w:marRight w:val="0"/>
      <w:marTop w:val="0"/>
      <w:marBottom w:val="0"/>
      <w:divBdr>
        <w:top w:val="none" w:sz="0" w:space="0" w:color="auto"/>
        <w:left w:val="none" w:sz="0" w:space="0" w:color="auto"/>
        <w:bottom w:val="none" w:sz="0" w:space="0" w:color="auto"/>
        <w:right w:val="none" w:sz="0" w:space="0" w:color="auto"/>
      </w:divBdr>
    </w:div>
    <w:div w:id="146480712">
      <w:bodyDiv w:val="1"/>
      <w:marLeft w:val="0"/>
      <w:marRight w:val="0"/>
      <w:marTop w:val="0"/>
      <w:marBottom w:val="0"/>
      <w:divBdr>
        <w:top w:val="none" w:sz="0" w:space="0" w:color="auto"/>
        <w:left w:val="none" w:sz="0" w:space="0" w:color="auto"/>
        <w:bottom w:val="none" w:sz="0" w:space="0" w:color="auto"/>
        <w:right w:val="none" w:sz="0" w:space="0" w:color="auto"/>
      </w:divBdr>
    </w:div>
    <w:div w:id="146748604">
      <w:bodyDiv w:val="1"/>
      <w:marLeft w:val="0"/>
      <w:marRight w:val="0"/>
      <w:marTop w:val="0"/>
      <w:marBottom w:val="0"/>
      <w:divBdr>
        <w:top w:val="none" w:sz="0" w:space="0" w:color="auto"/>
        <w:left w:val="none" w:sz="0" w:space="0" w:color="auto"/>
        <w:bottom w:val="none" w:sz="0" w:space="0" w:color="auto"/>
        <w:right w:val="none" w:sz="0" w:space="0" w:color="auto"/>
      </w:divBdr>
    </w:div>
    <w:div w:id="146752067">
      <w:bodyDiv w:val="1"/>
      <w:marLeft w:val="0"/>
      <w:marRight w:val="0"/>
      <w:marTop w:val="0"/>
      <w:marBottom w:val="0"/>
      <w:divBdr>
        <w:top w:val="none" w:sz="0" w:space="0" w:color="auto"/>
        <w:left w:val="none" w:sz="0" w:space="0" w:color="auto"/>
        <w:bottom w:val="none" w:sz="0" w:space="0" w:color="auto"/>
        <w:right w:val="none" w:sz="0" w:space="0" w:color="auto"/>
      </w:divBdr>
    </w:div>
    <w:div w:id="147017223">
      <w:bodyDiv w:val="1"/>
      <w:marLeft w:val="0"/>
      <w:marRight w:val="0"/>
      <w:marTop w:val="0"/>
      <w:marBottom w:val="0"/>
      <w:divBdr>
        <w:top w:val="none" w:sz="0" w:space="0" w:color="auto"/>
        <w:left w:val="none" w:sz="0" w:space="0" w:color="auto"/>
        <w:bottom w:val="none" w:sz="0" w:space="0" w:color="auto"/>
        <w:right w:val="none" w:sz="0" w:space="0" w:color="auto"/>
      </w:divBdr>
    </w:div>
    <w:div w:id="147018319">
      <w:bodyDiv w:val="1"/>
      <w:marLeft w:val="0"/>
      <w:marRight w:val="0"/>
      <w:marTop w:val="0"/>
      <w:marBottom w:val="0"/>
      <w:divBdr>
        <w:top w:val="none" w:sz="0" w:space="0" w:color="auto"/>
        <w:left w:val="none" w:sz="0" w:space="0" w:color="auto"/>
        <w:bottom w:val="none" w:sz="0" w:space="0" w:color="auto"/>
        <w:right w:val="none" w:sz="0" w:space="0" w:color="auto"/>
      </w:divBdr>
    </w:div>
    <w:div w:id="147404775">
      <w:bodyDiv w:val="1"/>
      <w:marLeft w:val="0"/>
      <w:marRight w:val="0"/>
      <w:marTop w:val="0"/>
      <w:marBottom w:val="0"/>
      <w:divBdr>
        <w:top w:val="none" w:sz="0" w:space="0" w:color="auto"/>
        <w:left w:val="none" w:sz="0" w:space="0" w:color="auto"/>
        <w:bottom w:val="none" w:sz="0" w:space="0" w:color="auto"/>
        <w:right w:val="none" w:sz="0" w:space="0" w:color="auto"/>
      </w:divBdr>
    </w:div>
    <w:div w:id="147673834">
      <w:bodyDiv w:val="1"/>
      <w:marLeft w:val="0"/>
      <w:marRight w:val="0"/>
      <w:marTop w:val="0"/>
      <w:marBottom w:val="0"/>
      <w:divBdr>
        <w:top w:val="none" w:sz="0" w:space="0" w:color="auto"/>
        <w:left w:val="none" w:sz="0" w:space="0" w:color="auto"/>
        <w:bottom w:val="none" w:sz="0" w:space="0" w:color="auto"/>
        <w:right w:val="none" w:sz="0" w:space="0" w:color="auto"/>
      </w:divBdr>
    </w:div>
    <w:div w:id="147674283">
      <w:bodyDiv w:val="1"/>
      <w:marLeft w:val="0"/>
      <w:marRight w:val="0"/>
      <w:marTop w:val="0"/>
      <w:marBottom w:val="0"/>
      <w:divBdr>
        <w:top w:val="none" w:sz="0" w:space="0" w:color="auto"/>
        <w:left w:val="none" w:sz="0" w:space="0" w:color="auto"/>
        <w:bottom w:val="none" w:sz="0" w:space="0" w:color="auto"/>
        <w:right w:val="none" w:sz="0" w:space="0" w:color="auto"/>
      </w:divBdr>
    </w:div>
    <w:div w:id="147675022">
      <w:bodyDiv w:val="1"/>
      <w:marLeft w:val="0"/>
      <w:marRight w:val="0"/>
      <w:marTop w:val="0"/>
      <w:marBottom w:val="0"/>
      <w:divBdr>
        <w:top w:val="none" w:sz="0" w:space="0" w:color="auto"/>
        <w:left w:val="none" w:sz="0" w:space="0" w:color="auto"/>
        <w:bottom w:val="none" w:sz="0" w:space="0" w:color="auto"/>
        <w:right w:val="none" w:sz="0" w:space="0" w:color="auto"/>
      </w:divBdr>
    </w:div>
    <w:div w:id="147866692">
      <w:bodyDiv w:val="1"/>
      <w:marLeft w:val="0"/>
      <w:marRight w:val="0"/>
      <w:marTop w:val="0"/>
      <w:marBottom w:val="0"/>
      <w:divBdr>
        <w:top w:val="none" w:sz="0" w:space="0" w:color="auto"/>
        <w:left w:val="none" w:sz="0" w:space="0" w:color="auto"/>
        <w:bottom w:val="none" w:sz="0" w:space="0" w:color="auto"/>
        <w:right w:val="none" w:sz="0" w:space="0" w:color="auto"/>
      </w:divBdr>
    </w:div>
    <w:div w:id="148252667">
      <w:bodyDiv w:val="1"/>
      <w:marLeft w:val="0"/>
      <w:marRight w:val="0"/>
      <w:marTop w:val="0"/>
      <w:marBottom w:val="0"/>
      <w:divBdr>
        <w:top w:val="none" w:sz="0" w:space="0" w:color="auto"/>
        <w:left w:val="none" w:sz="0" w:space="0" w:color="auto"/>
        <w:bottom w:val="none" w:sz="0" w:space="0" w:color="auto"/>
        <w:right w:val="none" w:sz="0" w:space="0" w:color="auto"/>
      </w:divBdr>
    </w:div>
    <w:div w:id="148406113">
      <w:bodyDiv w:val="1"/>
      <w:marLeft w:val="0"/>
      <w:marRight w:val="0"/>
      <w:marTop w:val="0"/>
      <w:marBottom w:val="0"/>
      <w:divBdr>
        <w:top w:val="none" w:sz="0" w:space="0" w:color="auto"/>
        <w:left w:val="none" w:sz="0" w:space="0" w:color="auto"/>
        <w:bottom w:val="none" w:sz="0" w:space="0" w:color="auto"/>
        <w:right w:val="none" w:sz="0" w:space="0" w:color="auto"/>
      </w:divBdr>
    </w:div>
    <w:div w:id="148443815">
      <w:bodyDiv w:val="1"/>
      <w:marLeft w:val="0"/>
      <w:marRight w:val="0"/>
      <w:marTop w:val="0"/>
      <w:marBottom w:val="0"/>
      <w:divBdr>
        <w:top w:val="none" w:sz="0" w:space="0" w:color="auto"/>
        <w:left w:val="none" w:sz="0" w:space="0" w:color="auto"/>
        <w:bottom w:val="none" w:sz="0" w:space="0" w:color="auto"/>
        <w:right w:val="none" w:sz="0" w:space="0" w:color="auto"/>
      </w:divBdr>
    </w:div>
    <w:div w:id="148524073">
      <w:bodyDiv w:val="1"/>
      <w:marLeft w:val="0"/>
      <w:marRight w:val="0"/>
      <w:marTop w:val="0"/>
      <w:marBottom w:val="0"/>
      <w:divBdr>
        <w:top w:val="none" w:sz="0" w:space="0" w:color="auto"/>
        <w:left w:val="none" w:sz="0" w:space="0" w:color="auto"/>
        <w:bottom w:val="none" w:sz="0" w:space="0" w:color="auto"/>
        <w:right w:val="none" w:sz="0" w:space="0" w:color="auto"/>
      </w:divBdr>
    </w:div>
    <w:div w:id="148639474">
      <w:bodyDiv w:val="1"/>
      <w:marLeft w:val="0"/>
      <w:marRight w:val="0"/>
      <w:marTop w:val="0"/>
      <w:marBottom w:val="0"/>
      <w:divBdr>
        <w:top w:val="none" w:sz="0" w:space="0" w:color="auto"/>
        <w:left w:val="none" w:sz="0" w:space="0" w:color="auto"/>
        <w:bottom w:val="none" w:sz="0" w:space="0" w:color="auto"/>
        <w:right w:val="none" w:sz="0" w:space="0" w:color="auto"/>
      </w:divBdr>
    </w:div>
    <w:div w:id="148668351">
      <w:bodyDiv w:val="1"/>
      <w:marLeft w:val="0"/>
      <w:marRight w:val="0"/>
      <w:marTop w:val="0"/>
      <w:marBottom w:val="0"/>
      <w:divBdr>
        <w:top w:val="none" w:sz="0" w:space="0" w:color="auto"/>
        <w:left w:val="none" w:sz="0" w:space="0" w:color="auto"/>
        <w:bottom w:val="none" w:sz="0" w:space="0" w:color="auto"/>
        <w:right w:val="none" w:sz="0" w:space="0" w:color="auto"/>
      </w:divBdr>
    </w:div>
    <w:div w:id="148787481">
      <w:bodyDiv w:val="1"/>
      <w:marLeft w:val="0"/>
      <w:marRight w:val="0"/>
      <w:marTop w:val="0"/>
      <w:marBottom w:val="0"/>
      <w:divBdr>
        <w:top w:val="none" w:sz="0" w:space="0" w:color="auto"/>
        <w:left w:val="none" w:sz="0" w:space="0" w:color="auto"/>
        <w:bottom w:val="none" w:sz="0" w:space="0" w:color="auto"/>
        <w:right w:val="none" w:sz="0" w:space="0" w:color="auto"/>
      </w:divBdr>
    </w:div>
    <w:div w:id="148794438">
      <w:bodyDiv w:val="1"/>
      <w:marLeft w:val="0"/>
      <w:marRight w:val="0"/>
      <w:marTop w:val="0"/>
      <w:marBottom w:val="0"/>
      <w:divBdr>
        <w:top w:val="none" w:sz="0" w:space="0" w:color="auto"/>
        <w:left w:val="none" w:sz="0" w:space="0" w:color="auto"/>
        <w:bottom w:val="none" w:sz="0" w:space="0" w:color="auto"/>
        <w:right w:val="none" w:sz="0" w:space="0" w:color="auto"/>
      </w:divBdr>
    </w:div>
    <w:div w:id="148905089">
      <w:bodyDiv w:val="1"/>
      <w:marLeft w:val="0"/>
      <w:marRight w:val="0"/>
      <w:marTop w:val="0"/>
      <w:marBottom w:val="0"/>
      <w:divBdr>
        <w:top w:val="none" w:sz="0" w:space="0" w:color="auto"/>
        <w:left w:val="none" w:sz="0" w:space="0" w:color="auto"/>
        <w:bottom w:val="none" w:sz="0" w:space="0" w:color="auto"/>
        <w:right w:val="none" w:sz="0" w:space="0" w:color="auto"/>
      </w:divBdr>
    </w:div>
    <w:div w:id="149030102">
      <w:bodyDiv w:val="1"/>
      <w:marLeft w:val="0"/>
      <w:marRight w:val="0"/>
      <w:marTop w:val="0"/>
      <w:marBottom w:val="0"/>
      <w:divBdr>
        <w:top w:val="none" w:sz="0" w:space="0" w:color="auto"/>
        <w:left w:val="none" w:sz="0" w:space="0" w:color="auto"/>
        <w:bottom w:val="none" w:sz="0" w:space="0" w:color="auto"/>
        <w:right w:val="none" w:sz="0" w:space="0" w:color="auto"/>
      </w:divBdr>
    </w:div>
    <w:div w:id="149564840">
      <w:bodyDiv w:val="1"/>
      <w:marLeft w:val="0"/>
      <w:marRight w:val="0"/>
      <w:marTop w:val="0"/>
      <w:marBottom w:val="0"/>
      <w:divBdr>
        <w:top w:val="none" w:sz="0" w:space="0" w:color="auto"/>
        <w:left w:val="none" w:sz="0" w:space="0" w:color="auto"/>
        <w:bottom w:val="none" w:sz="0" w:space="0" w:color="auto"/>
        <w:right w:val="none" w:sz="0" w:space="0" w:color="auto"/>
      </w:divBdr>
    </w:div>
    <w:div w:id="149827877">
      <w:bodyDiv w:val="1"/>
      <w:marLeft w:val="0"/>
      <w:marRight w:val="0"/>
      <w:marTop w:val="0"/>
      <w:marBottom w:val="0"/>
      <w:divBdr>
        <w:top w:val="none" w:sz="0" w:space="0" w:color="auto"/>
        <w:left w:val="none" w:sz="0" w:space="0" w:color="auto"/>
        <w:bottom w:val="none" w:sz="0" w:space="0" w:color="auto"/>
        <w:right w:val="none" w:sz="0" w:space="0" w:color="auto"/>
      </w:divBdr>
    </w:div>
    <w:div w:id="150143986">
      <w:bodyDiv w:val="1"/>
      <w:marLeft w:val="0"/>
      <w:marRight w:val="0"/>
      <w:marTop w:val="0"/>
      <w:marBottom w:val="0"/>
      <w:divBdr>
        <w:top w:val="none" w:sz="0" w:space="0" w:color="auto"/>
        <w:left w:val="none" w:sz="0" w:space="0" w:color="auto"/>
        <w:bottom w:val="none" w:sz="0" w:space="0" w:color="auto"/>
        <w:right w:val="none" w:sz="0" w:space="0" w:color="auto"/>
      </w:divBdr>
    </w:div>
    <w:div w:id="150564373">
      <w:bodyDiv w:val="1"/>
      <w:marLeft w:val="0"/>
      <w:marRight w:val="0"/>
      <w:marTop w:val="0"/>
      <w:marBottom w:val="0"/>
      <w:divBdr>
        <w:top w:val="none" w:sz="0" w:space="0" w:color="auto"/>
        <w:left w:val="none" w:sz="0" w:space="0" w:color="auto"/>
        <w:bottom w:val="none" w:sz="0" w:space="0" w:color="auto"/>
        <w:right w:val="none" w:sz="0" w:space="0" w:color="auto"/>
      </w:divBdr>
    </w:div>
    <w:div w:id="150682846">
      <w:bodyDiv w:val="1"/>
      <w:marLeft w:val="0"/>
      <w:marRight w:val="0"/>
      <w:marTop w:val="0"/>
      <w:marBottom w:val="0"/>
      <w:divBdr>
        <w:top w:val="none" w:sz="0" w:space="0" w:color="auto"/>
        <w:left w:val="none" w:sz="0" w:space="0" w:color="auto"/>
        <w:bottom w:val="none" w:sz="0" w:space="0" w:color="auto"/>
        <w:right w:val="none" w:sz="0" w:space="0" w:color="auto"/>
      </w:divBdr>
    </w:div>
    <w:div w:id="150877385">
      <w:bodyDiv w:val="1"/>
      <w:marLeft w:val="0"/>
      <w:marRight w:val="0"/>
      <w:marTop w:val="0"/>
      <w:marBottom w:val="0"/>
      <w:divBdr>
        <w:top w:val="none" w:sz="0" w:space="0" w:color="auto"/>
        <w:left w:val="none" w:sz="0" w:space="0" w:color="auto"/>
        <w:bottom w:val="none" w:sz="0" w:space="0" w:color="auto"/>
        <w:right w:val="none" w:sz="0" w:space="0" w:color="auto"/>
      </w:divBdr>
    </w:div>
    <w:div w:id="150945676">
      <w:bodyDiv w:val="1"/>
      <w:marLeft w:val="0"/>
      <w:marRight w:val="0"/>
      <w:marTop w:val="0"/>
      <w:marBottom w:val="0"/>
      <w:divBdr>
        <w:top w:val="none" w:sz="0" w:space="0" w:color="auto"/>
        <w:left w:val="none" w:sz="0" w:space="0" w:color="auto"/>
        <w:bottom w:val="none" w:sz="0" w:space="0" w:color="auto"/>
        <w:right w:val="none" w:sz="0" w:space="0" w:color="auto"/>
      </w:divBdr>
    </w:div>
    <w:div w:id="151145203">
      <w:bodyDiv w:val="1"/>
      <w:marLeft w:val="0"/>
      <w:marRight w:val="0"/>
      <w:marTop w:val="0"/>
      <w:marBottom w:val="0"/>
      <w:divBdr>
        <w:top w:val="none" w:sz="0" w:space="0" w:color="auto"/>
        <w:left w:val="none" w:sz="0" w:space="0" w:color="auto"/>
        <w:bottom w:val="none" w:sz="0" w:space="0" w:color="auto"/>
        <w:right w:val="none" w:sz="0" w:space="0" w:color="auto"/>
      </w:divBdr>
    </w:div>
    <w:div w:id="151222589">
      <w:bodyDiv w:val="1"/>
      <w:marLeft w:val="0"/>
      <w:marRight w:val="0"/>
      <w:marTop w:val="0"/>
      <w:marBottom w:val="0"/>
      <w:divBdr>
        <w:top w:val="none" w:sz="0" w:space="0" w:color="auto"/>
        <w:left w:val="none" w:sz="0" w:space="0" w:color="auto"/>
        <w:bottom w:val="none" w:sz="0" w:space="0" w:color="auto"/>
        <w:right w:val="none" w:sz="0" w:space="0" w:color="auto"/>
      </w:divBdr>
    </w:div>
    <w:div w:id="151261042">
      <w:bodyDiv w:val="1"/>
      <w:marLeft w:val="0"/>
      <w:marRight w:val="0"/>
      <w:marTop w:val="0"/>
      <w:marBottom w:val="0"/>
      <w:divBdr>
        <w:top w:val="none" w:sz="0" w:space="0" w:color="auto"/>
        <w:left w:val="none" w:sz="0" w:space="0" w:color="auto"/>
        <w:bottom w:val="none" w:sz="0" w:space="0" w:color="auto"/>
        <w:right w:val="none" w:sz="0" w:space="0" w:color="auto"/>
      </w:divBdr>
    </w:div>
    <w:div w:id="151289051">
      <w:bodyDiv w:val="1"/>
      <w:marLeft w:val="0"/>
      <w:marRight w:val="0"/>
      <w:marTop w:val="0"/>
      <w:marBottom w:val="0"/>
      <w:divBdr>
        <w:top w:val="none" w:sz="0" w:space="0" w:color="auto"/>
        <w:left w:val="none" w:sz="0" w:space="0" w:color="auto"/>
        <w:bottom w:val="none" w:sz="0" w:space="0" w:color="auto"/>
        <w:right w:val="none" w:sz="0" w:space="0" w:color="auto"/>
      </w:divBdr>
    </w:div>
    <w:div w:id="151410474">
      <w:bodyDiv w:val="1"/>
      <w:marLeft w:val="0"/>
      <w:marRight w:val="0"/>
      <w:marTop w:val="0"/>
      <w:marBottom w:val="0"/>
      <w:divBdr>
        <w:top w:val="none" w:sz="0" w:space="0" w:color="auto"/>
        <w:left w:val="none" w:sz="0" w:space="0" w:color="auto"/>
        <w:bottom w:val="none" w:sz="0" w:space="0" w:color="auto"/>
        <w:right w:val="none" w:sz="0" w:space="0" w:color="auto"/>
      </w:divBdr>
    </w:div>
    <w:div w:id="151414509">
      <w:bodyDiv w:val="1"/>
      <w:marLeft w:val="0"/>
      <w:marRight w:val="0"/>
      <w:marTop w:val="0"/>
      <w:marBottom w:val="0"/>
      <w:divBdr>
        <w:top w:val="none" w:sz="0" w:space="0" w:color="auto"/>
        <w:left w:val="none" w:sz="0" w:space="0" w:color="auto"/>
        <w:bottom w:val="none" w:sz="0" w:space="0" w:color="auto"/>
        <w:right w:val="none" w:sz="0" w:space="0" w:color="auto"/>
      </w:divBdr>
    </w:div>
    <w:div w:id="151483131">
      <w:bodyDiv w:val="1"/>
      <w:marLeft w:val="0"/>
      <w:marRight w:val="0"/>
      <w:marTop w:val="0"/>
      <w:marBottom w:val="0"/>
      <w:divBdr>
        <w:top w:val="none" w:sz="0" w:space="0" w:color="auto"/>
        <w:left w:val="none" w:sz="0" w:space="0" w:color="auto"/>
        <w:bottom w:val="none" w:sz="0" w:space="0" w:color="auto"/>
        <w:right w:val="none" w:sz="0" w:space="0" w:color="auto"/>
      </w:divBdr>
    </w:div>
    <w:div w:id="151484825">
      <w:bodyDiv w:val="1"/>
      <w:marLeft w:val="0"/>
      <w:marRight w:val="0"/>
      <w:marTop w:val="0"/>
      <w:marBottom w:val="0"/>
      <w:divBdr>
        <w:top w:val="none" w:sz="0" w:space="0" w:color="auto"/>
        <w:left w:val="none" w:sz="0" w:space="0" w:color="auto"/>
        <w:bottom w:val="none" w:sz="0" w:space="0" w:color="auto"/>
        <w:right w:val="none" w:sz="0" w:space="0" w:color="auto"/>
      </w:divBdr>
    </w:div>
    <w:div w:id="151914461">
      <w:bodyDiv w:val="1"/>
      <w:marLeft w:val="0"/>
      <w:marRight w:val="0"/>
      <w:marTop w:val="0"/>
      <w:marBottom w:val="0"/>
      <w:divBdr>
        <w:top w:val="none" w:sz="0" w:space="0" w:color="auto"/>
        <w:left w:val="none" w:sz="0" w:space="0" w:color="auto"/>
        <w:bottom w:val="none" w:sz="0" w:space="0" w:color="auto"/>
        <w:right w:val="none" w:sz="0" w:space="0" w:color="auto"/>
      </w:divBdr>
    </w:div>
    <w:div w:id="152767124">
      <w:bodyDiv w:val="1"/>
      <w:marLeft w:val="0"/>
      <w:marRight w:val="0"/>
      <w:marTop w:val="0"/>
      <w:marBottom w:val="0"/>
      <w:divBdr>
        <w:top w:val="none" w:sz="0" w:space="0" w:color="auto"/>
        <w:left w:val="none" w:sz="0" w:space="0" w:color="auto"/>
        <w:bottom w:val="none" w:sz="0" w:space="0" w:color="auto"/>
        <w:right w:val="none" w:sz="0" w:space="0" w:color="auto"/>
      </w:divBdr>
    </w:div>
    <w:div w:id="152796601">
      <w:bodyDiv w:val="1"/>
      <w:marLeft w:val="0"/>
      <w:marRight w:val="0"/>
      <w:marTop w:val="0"/>
      <w:marBottom w:val="0"/>
      <w:divBdr>
        <w:top w:val="none" w:sz="0" w:space="0" w:color="auto"/>
        <w:left w:val="none" w:sz="0" w:space="0" w:color="auto"/>
        <w:bottom w:val="none" w:sz="0" w:space="0" w:color="auto"/>
        <w:right w:val="none" w:sz="0" w:space="0" w:color="auto"/>
      </w:divBdr>
    </w:div>
    <w:div w:id="152916344">
      <w:bodyDiv w:val="1"/>
      <w:marLeft w:val="0"/>
      <w:marRight w:val="0"/>
      <w:marTop w:val="0"/>
      <w:marBottom w:val="0"/>
      <w:divBdr>
        <w:top w:val="none" w:sz="0" w:space="0" w:color="auto"/>
        <w:left w:val="none" w:sz="0" w:space="0" w:color="auto"/>
        <w:bottom w:val="none" w:sz="0" w:space="0" w:color="auto"/>
        <w:right w:val="none" w:sz="0" w:space="0" w:color="auto"/>
      </w:divBdr>
    </w:div>
    <w:div w:id="153033020">
      <w:bodyDiv w:val="1"/>
      <w:marLeft w:val="0"/>
      <w:marRight w:val="0"/>
      <w:marTop w:val="0"/>
      <w:marBottom w:val="0"/>
      <w:divBdr>
        <w:top w:val="none" w:sz="0" w:space="0" w:color="auto"/>
        <w:left w:val="none" w:sz="0" w:space="0" w:color="auto"/>
        <w:bottom w:val="none" w:sz="0" w:space="0" w:color="auto"/>
        <w:right w:val="none" w:sz="0" w:space="0" w:color="auto"/>
      </w:divBdr>
    </w:div>
    <w:div w:id="153111120">
      <w:bodyDiv w:val="1"/>
      <w:marLeft w:val="0"/>
      <w:marRight w:val="0"/>
      <w:marTop w:val="0"/>
      <w:marBottom w:val="0"/>
      <w:divBdr>
        <w:top w:val="none" w:sz="0" w:space="0" w:color="auto"/>
        <w:left w:val="none" w:sz="0" w:space="0" w:color="auto"/>
        <w:bottom w:val="none" w:sz="0" w:space="0" w:color="auto"/>
        <w:right w:val="none" w:sz="0" w:space="0" w:color="auto"/>
      </w:divBdr>
    </w:div>
    <w:div w:id="153113575">
      <w:bodyDiv w:val="1"/>
      <w:marLeft w:val="0"/>
      <w:marRight w:val="0"/>
      <w:marTop w:val="0"/>
      <w:marBottom w:val="0"/>
      <w:divBdr>
        <w:top w:val="none" w:sz="0" w:space="0" w:color="auto"/>
        <w:left w:val="none" w:sz="0" w:space="0" w:color="auto"/>
        <w:bottom w:val="none" w:sz="0" w:space="0" w:color="auto"/>
        <w:right w:val="none" w:sz="0" w:space="0" w:color="auto"/>
      </w:divBdr>
    </w:div>
    <w:div w:id="153227025">
      <w:bodyDiv w:val="1"/>
      <w:marLeft w:val="0"/>
      <w:marRight w:val="0"/>
      <w:marTop w:val="0"/>
      <w:marBottom w:val="0"/>
      <w:divBdr>
        <w:top w:val="none" w:sz="0" w:space="0" w:color="auto"/>
        <w:left w:val="none" w:sz="0" w:space="0" w:color="auto"/>
        <w:bottom w:val="none" w:sz="0" w:space="0" w:color="auto"/>
        <w:right w:val="none" w:sz="0" w:space="0" w:color="auto"/>
      </w:divBdr>
    </w:div>
    <w:div w:id="153297678">
      <w:bodyDiv w:val="1"/>
      <w:marLeft w:val="0"/>
      <w:marRight w:val="0"/>
      <w:marTop w:val="0"/>
      <w:marBottom w:val="0"/>
      <w:divBdr>
        <w:top w:val="none" w:sz="0" w:space="0" w:color="auto"/>
        <w:left w:val="none" w:sz="0" w:space="0" w:color="auto"/>
        <w:bottom w:val="none" w:sz="0" w:space="0" w:color="auto"/>
        <w:right w:val="none" w:sz="0" w:space="0" w:color="auto"/>
      </w:divBdr>
    </w:div>
    <w:div w:id="153762570">
      <w:bodyDiv w:val="1"/>
      <w:marLeft w:val="0"/>
      <w:marRight w:val="0"/>
      <w:marTop w:val="0"/>
      <w:marBottom w:val="0"/>
      <w:divBdr>
        <w:top w:val="none" w:sz="0" w:space="0" w:color="auto"/>
        <w:left w:val="none" w:sz="0" w:space="0" w:color="auto"/>
        <w:bottom w:val="none" w:sz="0" w:space="0" w:color="auto"/>
        <w:right w:val="none" w:sz="0" w:space="0" w:color="auto"/>
      </w:divBdr>
    </w:div>
    <w:div w:id="153835985">
      <w:bodyDiv w:val="1"/>
      <w:marLeft w:val="0"/>
      <w:marRight w:val="0"/>
      <w:marTop w:val="0"/>
      <w:marBottom w:val="0"/>
      <w:divBdr>
        <w:top w:val="none" w:sz="0" w:space="0" w:color="auto"/>
        <w:left w:val="none" w:sz="0" w:space="0" w:color="auto"/>
        <w:bottom w:val="none" w:sz="0" w:space="0" w:color="auto"/>
        <w:right w:val="none" w:sz="0" w:space="0" w:color="auto"/>
      </w:divBdr>
    </w:div>
    <w:div w:id="153839823">
      <w:bodyDiv w:val="1"/>
      <w:marLeft w:val="0"/>
      <w:marRight w:val="0"/>
      <w:marTop w:val="0"/>
      <w:marBottom w:val="0"/>
      <w:divBdr>
        <w:top w:val="none" w:sz="0" w:space="0" w:color="auto"/>
        <w:left w:val="none" w:sz="0" w:space="0" w:color="auto"/>
        <w:bottom w:val="none" w:sz="0" w:space="0" w:color="auto"/>
        <w:right w:val="none" w:sz="0" w:space="0" w:color="auto"/>
      </w:divBdr>
    </w:div>
    <w:div w:id="153883523">
      <w:bodyDiv w:val="1"/>
      <w:marLeft w:val="0"/>
      <w:marRight w:val="0"/>
      <w:marTop w:val="0"/>
      <w:marBottom w:val="0"/>
      <w:divBdr>
        <w:top w:val="none" w:sz="0" w:space="0" w:color="auto"/>
        <w:left w:val="none" w:sz="0" w:space="0" w:color="auto"/>
        <w:bottom w:val="none" w:sz="0" w:space="0" w:color="auto"/>
        <w:right w:val="none" w:sz="0" w:space="0" w:color="auto"/>
      </w:divBdr>
    </w:div>
    <w:div w:id="153959009">
      <w:bodyDiv w:val="1"/>
      <w:marLeft w:val="0"/>
      <w:marRight w:val="0"/>
      <w:marTop w:val="0"/>
      <w:marBottom w:val="0"/>
      <w:divBdr>
        <w:top w:val="none" w:sz="0" w:space="0" w:color="auto"/>
        <w:left w:val="none" w:sz="0" w:space="0" w:color="auto"/>
        <w:bottom w:val="none" w:sz="0" w:space="0" w:color="auto"/>
        <w:right w:val="none" w:sz="0" w:space="0" w:color="auto"/>
      </w:divBdr>
    </w:div>
    <w:div w:id="154107355">
      <w:bodyDiv w:val="1"/>
      <w:marLeft w:val="0"/>
      <w:marRight w:val="0"/>
      <w:marTop w:val="0"/>
      <w:marBottom w:val="0"/>
      <w:divBdr>
        <w:top w:val="none" w:sz="0" w:space="0" w:color="auto"/>
        <w:left w:val="none" w:sz="0" w:space="0" w:color="auto"/>
        <w:bottom w:val="none" w:sz="0" w:space="0" w:color="auto"/>
        <w:right w:val="none" w:sz="0" w:space="0" w:color="auto"/>
      </w:divBdr>
    </w:div>
    <w:div w:id="154496597">
      <w:bodyDiv w:val="1"/>
      <w:marLeft w:val="0"/>
      <w:marRight w:val="0"/>
      <w:marTop w:val="0"/>
      <w:marBottom w:val="0"/>
      <w:divBdr>
        <w:top w:val="none" w:sz="0" w:space="0" w:color="auto"/>
        <w:left w:val="none" w:sz="0" w:space="0" w:color="auto"/>
        <w:bottom w:val="none" w:sz="0" w:space="0" w:color="auto"/>
        <w:right w:val="none" w:sz="0" w:space="0" w:color="auto"/>
      </w:divBdr>
    </w:div>
    <w:div w:id="154614816">
      <w:bodyDiv w:val="1"/>
      <w:marLeft w:val="0"/>
      <w:marRight w:val="0"/>
      <w:marTop w:val="0"/>
      <w:marBottom w:val="0"/>
      <w:divBdr>
        <w:top w:val="none" w:sz="0" w:space="0" w:color="auto"/>
        <w:left w:val="none" w:sz="0" w:space="0" w:color="auto"/>
        <w:bottom w:val="none" w:sz="0" w:space="0" w:color="auto"/>
        <w:right w:val="none" w:sz="0" w:space="0" w:color="auto"/>
      </w:divBdr>
    </w:div>
    <w:div w:id="154688057">
      <w:bodyDiv w:val="1"/>
      <w:marLeft w:val="0"/>
      <w:marRight w:val="0"/>
      <w:marTop w:val="0"/>
      <w:marBottom w:val="0"/>
      <w:divBdr>
        <w:top w:val="none" w:sz="0" w:space="0" w:color="auto"/>
        <w:left w:val="none" w:sz="0" w:space="0" w:color="auto"/>
        <w:bottom w:val="none" w:sz="0" w:space="0" w:color="auto"/>
        <w:right w:val="none" w:sz="0" w:space="0" w:color="auto"/>
      </w:divBdr>
    </w:div>
    <w:div w:id="155147501">
      <w:bodyDiv w:val="1"/>
      <w:marLeft w:val="0"/>
      <w:marRight w:val="0"/>
      <w:marTop w:val="0"/>
      <w:marBottom w:val="0"/>
      <w:divBdr>
        <w:top w:val="none" w:sz="0" w:space="0" w:color="auto"/>
        <w:left w:val="none" w:sz="0" w:space="0" w:color="auto"/>
        <w:bottom w:val="none" w:sz="0" w:space="0" w:color="auto"/>
        <w:right w:val="none" w:sz="0" w:space="0" w:color="auto"/>
      </w:divBdr>
    </w:div>
    <w:div w:id="155196880">
      <w:bodyDiv w:val="1"/>
      <w:marLeft w:val="0"/>
      <w:marRight w:val="0"/>
      <w:marTop w:val="0"/>
      <w:marBottom w:val="0"/>
      <w:divBdr>
        <w:top w:val="none" w:sz="0" w:space="0" w:color="auto"/>
        <w:left w:val="none" w:sz="0" w:space="0" w:color="auto"/>
        <w:bottom w:val="none" w:sz="0" w:space="0" w:color="auto"/>
        <w:right w:val="none" w:sz="0" w:space="0" w:color="auto"/>
      </w:divBdr>
    </w:div>
    <w:div w:id="155465729">
      <w:bodyDiv w:val="1"/>
      <w:marLeft w:val="0"/>
      <w:marRight w:val="0"/>
      <w:marTop w:val="0"/>
      <w:marBottom w:val="0"/>
      <w:divBdr>
        <w:top w:val="none" w:sz="0" w:space="0" w:color="auto"/>
        <w:left w:val="none" w:sz="0" w:space="0" w:color="auto"/>
        <w:bottom w:val="none" w:sz="0" w:space="0" w:color="auto"/>
        <w:right w:val="none" w:sz="0" w:space="0" w:color="auto"/>
      </w:divBdr>
    </w:div>
    <w:div w:id="155611170">
      <w:bodyDiv w:val="1"/>
      <w:marLeft w:val="0"/>
      <w:marRight w:val="0"/>
      <w:marTop w:val="0"/>
      <w:marBottom w:val="0"/>
      <w:divBdr>
        <w:top w:val="none" w:sz="0" w:space="0" w:color="auto"/>
        <w:left w:val="none" w:sz="0" w:space="0" w:color="auto"/>
        <w:bottom w:val="none" w:sz="0" w:space="0" w:color="auto"/>
        <w:right w:val="none" w:sz="0" w:space="0" w:color="auto"/>
      </w:divBdr>
    </w:div>
    <w:div w:id="155802500">
      <w:bodyDiv w:val="1"/>
      <w:marLeft w:val="0"/>
      <w:marRight w:val="0"/>
      <w:marTop w:val="0"/>
      <w:marBottom w:val="0"/>
      <w:divBdr>
        <w:top w:val="none" w:sz="0" w:space="0" w:color="auto"/>
        <w:left w:val="none" w:sz="0" w:space="0" w:color="auto"/>
        <w:bottom w:val="none" w:sz="0" w:space="0" w:color="auto"/>
        <w:right w:val="none" w:sz="0" w:space="0" w:color="auto"/>
      </w:divBdr>
    </w:div>
    <w:div w:id="156309807">
      <w:bodyDiv w:val="1"/>
      <w:marLeft w:val="0"/>
      <w:marRight w:val="0"/>
      <w:marTop w:val="0"/>
      <w:marBottom w:val="0"/>
      <w:divBdr>
        <w:top w:val="none" w:sz="0" w:space="0" w:color="auto"/>
        <w:left w:val="none" w:sz="0" w:space="0" w:color="auto"/>
        <w:bottom w:val="none" w:sz="0" w:space="0" w:color="auto"/>
        <w:right w:val="none" w:sz="0" w:space="0" w:color="auto"/>
      </w:divBdr>
    </w:div>
    <w:div w:id="156531235">
      <w:bodyDiv w:val="1"/>
      <w:marLeft w:val="0"/>
      <w:marRight w:val="0"/>
      <w:marTop w:val="0"/>
      <w:marBottom w:val="0"/>
      <w:divBdr>
        <w:top w:val="none" w:sz="0" w:space="0" w:color="auto"/>
        <w:left w:val="none" w:sz="0" w:space="0" w:color="auto"/>
        <w:bottom w:val="none" w:sz="0" w:space="0" w:color="auto"/>
        <w:right w:val="none" w:sz="0" w:space="0" w:color="auto"/>
      </w:divBdr>
    </w:div>
    <w:div w:id="156657892">
      <w:bodyDiv w:val="1"/>
      <w:marLeft w:val="0"/>
      <w:marRight w:val="0"/>
      <w:marTop w:val="0"/>
      <w:marBottom w:val="0"/>
      <w:divBdr>
        <w:top w:val="none" w:sz="0" w:space="0" w:color="auto"/>
        <w:left w:val="none" w:sz="0" w:space="0" w:color="auto"/>
        <w:bottom w:val="none" w:sz="0" w:space="0" w:color="auto"/>
        <w:right w:val="none" w:sz="0" w:space="0" w:color="auto"/>
      </w:divBdr>
    </w:div>
    <w:div w:id="156970047">
      <w:bodyDiv w:val="1"/>
      <w:marLeft w:val="0"/>
      <w:marRight w:val="0"/>
      <w:marTop w:val="0"/>
      <w:marBottom w:val="0"/>
      <w:divBdr>
        <w:top w:val="none" w:sz="0" w:space="0" w:color="auto"/>
        <w:left w:val="none" w:sz="0" w:space="0" w:color="auto"/>
        <w:bottom w:val="none" w:sz="0" w:space="0" w:color="auto"/>
        <w:right w:val="none" w:sz="0" w:space="0" w:color="auto"/>
      </w:divBdr>
    </w:div>
    <w:div w:id="15716064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
    <w:div w:id="157767717">
      <w:bodyDiv w:val="1"/>
      <w:marLeft w:val="0"/>
      <w:marRight w:val="0"/>
      <w:marTop w:val="0"/>
      <w:marBottom w:val="0"/>
      <w:divBdr>
        <w:top w:val="none" w:sz="0" w:space="0" w:color="auto"/>
        <w:left w:val="none" w:sz="0" w:space="0" w:color="auto"/>
        <w:bottom w:val="none" w:sz="0" w:space="0" w:color="auto"/>
        <w:right w:val="none" w:sz="0" w:space="0" w:color="auto"/>
      </w:divBdr>
    </w:div>
    <w:div w:id="157812157">
      <w:bodyDiv w:val="1"/>
      <w:marLeft w:val="0"/>
      <w:marRight w:val="0"/>
      <w:marTop w:val="0"/>
      <w:marBottom w:val="0"/>
      <w:divBdr>
        <w:top w:val="none" w:sz="0" w:space="0" w:color="auto"/>
        <w:left w:val="none" w:sz="0" w:space="0" w:color="auto"/>
        <w:bottom w:val="none" w:sz="0" w:space="0" w:color="auto"/>
        <w:right w:val="none" w:sz="0" w:space="0" w:color="auto"/>
      </w:divBdr>
    </w:div>
    <w:div w:id="157893314">
      <w:bodyDiv w:val="1"/>
      <w:marLeft w:val="0"/>
      <w:marRight w:val="0"/>
      <w:marTop w:val="0"/>
      <w:marBottom w:val="0"/>
      <w:divBdr>
        <w:top w:val="none" w:sz="0" w:space="0" w:color="auto"/>
        <w:left w:val="none" w:sz="0" w:space="0" w:color="auto"/>
        <w:bottom w:val="none" w:sz="0" w:space="0" w:color="auto"/>
        <w:right w:val="none" w:sz="0" w:space="0" w:color="auto"/>
      </w:divBdr>
    </w:div>
    <w:div w:id="158081669">
      <w:bodyDiv w:val="1"/>
      <w:marLeft w:val="0"/>
      <w:marRight w:val="0"/>
      <w:marTop w:val="0"/>
      <w:marBottom w:val="0"/>
      <w:divBdr>
        <w:top w:val="none" w:sz="0" w:space="0" w:color="auto"/>
        <w:left w:val="none" w:sz="0" w:space="0" w:color="auto"/>
        <w:bottom w:val="none" w:sz="0" w:space="0" w:color="auto"/>
        <w:right w:val="none" w:sz="0" w:space="0" w:color="auto"/>
      </w:divBdr>
    </w:div>
    <w:div w:id="158159211">
      <w:bodyDiv w:val="1"/>
      <w:marLeft w:val="0"/>
      <w:marRight w:val="0"/>
      <w:marTop w:val="0"/>
      <w:marBottom w:val="0"/>
      <w:divBdr>
        <w:top w:val="none" w:sz="0" w:space="0" w:color="auto"/>
        <w:left w:val="none" w:sz="0" w:space="0" w:color="auto"/>
        <w:bottom w:val="none" w:sz="0" w:space="0" w:color="auto"/>
        <w:right w:val="none" w:sz="0" w:space="0" w:color="auto"/>
      </w:divBdr>
    </w:div>
    <w:div w:id="158422620">
      <w:bodyDiv w:val="1"/>
      <w:marLeft w:val="0"/>
      <w:marRight w:val="0"/>
      <w:marTop w:val="0"/>
      <w:marBottom w:val="0"/>
      <w:divBdr>
        <w:top w:val="none" w:sz="0" w:space="0" w:color="auto"/>
        <w:left w:val="none" w:sz="0" w:space="0" w:color="auto"/>
        <w:bottom w:val="none" w:sz="0" w:space="0" w:color="auto"/>
        <w:right w:val="none" w:sz="0" w:space="0" w:color="auto"/>
      </w:divBdr>
    </w:div>
    <w:div w:id="158619350">
      <w:bodyDiv w:val="1"/>
      <w:marLeft w:val="0"/>
      <w:marRight w:val="0"/>
      <w:marTop w:val="0"/>
      <w:marBottom w:val="0"/>
      <w:divBdr>
        <w:top w:val="none" w:sz="0" w:space="0" w:color="auto"/>
        <w:left w:val="none" w:sz="0" w:space="0" w:color="auto"/>
        <w:bottom w:val="none" w:sz="0" w:space="0" w:color="auto"/>
        <w:right w:val="none" w:sz="0" w:space="0" w:color="auto"/>
      </w:divBdr>
    </w:div>
    <w:div w:id="158810199">
      <w:bodyDiv w:val="1"/>
      <w:marLeft w:val="0"/>
      <w:marRight w:val="0"/>
      <w:marTop w:val="0"/>
      <w:marBottom w:val="0"/>
      <w:divBdr>
        <w:top w:val="none" w:sz="0" w:space="0" w:color="auto"/>
        <w:left w:val="none" w:sz="0" w:space="0" w:color="auto"/>
        <w:bottom w:val="none" w:sz="0" w:space="0" w:color="auto"/>
        <w:right w:val="none" w:sz="0" w:space="0" w:color="auto"/>
      </w:divBdr>
    </w:div>
    <w:div w:id="159005876">
      <w:bodyDiv w:val="1"/>
      <w:marLeft w:val="0"/>
      <w:marRight w:val="0"/>
      <w:marTop w:val="0"/>
      <w:marBottom w:val="0"/>
      <w:divBdr>
        <w:top w:val="none" w:sz="0" w:space="0" w:color="auto"/>
        <w:left w:val="none" w:sz="0" w:space="0" w:color="auto"/>
        <w:bottom w:val="none" w:sz="0" w:space="0" w:color="auto"/>
        <w:right w:val="none" w:sz="0" w:space="0" w:color="auto"/>
      </w:divBdr>
    </w:div>
    <w:div w:id="159007941">
      <w:bodyDiv w:val="1"/>
      <w:marLeft w:val="0"/>
      <w:marRight w:val="0"/>
      <w:marTop w:val="0"/>
      <w:marBottom w:val="0"/>
      <w:divBdr>
        <w:top w:val="none" w:sz="0" w:space="0" w:color="auto"/>
        <w:left w:val="none" w:sz="0" w:space="0" w:color="auto"/>
        <w:bottom w:val="none" w:sz="0" w:space="0" w:color="auto"/>
        <w:right w:val="none" w:sz="0" w:space="0" w:color="auto"/>
      </w:divBdr>
    </w:div>
    <w:div w:id="159009518">
      <w:bodyDiv w:val="1"/>
      <w:marLeft w:val="0"/>
      <w:marRight w:val="0"/>
      <w:marTop w:val="0"/>
      <w:marBottom w:val="0"/>
      <w:divBdr>
        <w:top w:val="none" w:sz="0" w:space="0" w:color="auto"/>
        <w:left w:val="none" w:sz="0" w:space="0" w:color="auto"/>
        <w:bottom w:val="none" w:sz="0" w:space="0" w:color="auto"/>
        <w:right w:val="none" w:sz="0" w:space="0" w:color="auto"/>
      </w:divBdr>
    </w:div>
    <w:div w:id="159083145">
      <w:bodyDiv w:val="1"/>
      <w:marLeft w:val="0"/>
      <w:marRight w:val="0"/>
      <w:marTop w:val="0"/>
      <w:marBottom w:val="0"/>
      <w:divBdr>
        <w:top w:val="none" w:sz="0" w:space="0" w:color="auto"/>
        <w:left w:val="none" w:sz="0" w:space="0" w:color="auto"/>
        <w:bottom w:val="none" w:sz="0" w:space="0" w:color="auto"/>
        <w:right w:val="none" w:sz="0" w:space="0" w:color="auto"/>
      </w:divBdr>
    </w:div>
    <w:div w:id="159345907">
      <w:bodyDiv w:val="1"/>
      <w:marLeft w:val="0"/>
      <w:marRight w:val="0"/>
      <w:marTop w:val="0"/>
      <w:marBottom w:val="0"/>
      <w:divBdr>
        <w:top w:val="none" w:sz="0" w:space="0" w:color="auto"/>
        <w:left w:val="none" w:sz="0" w:space="0" w:color="auto"/>
        <w:bottom w:val="none" w:sz="0" w:space="0" w:color="auto"/>
        <w:right w:val="none" w:sz="0" w:space="0" w:color="auto"/>
      </w:divBdr>
    </w:div>
    <w:div w:id="159539131">
      <w:bodyDiv w:val="1"/>
      <w:marLeft w:val="0"/>
      <w:marRight w:val="0"/>
      <w:marTop w:val="0"/>
      <w:marBottom w:val="0"/>
      <w:divBdr>
        <w:top w:val="none" w:sz="0" w:space="0" w:color="auto"/>
        <w:left w:val="none" w:sz="0" w:space="0" w:color="auto"/>
        <w:bottom w:val="none" w:sz="0" w:space="0" w:color="auto"/>
        <w:right w:val="none" w:sz="0" w:space="0" w:color="auto"/>
      </w:divBdr>
    </w:div>
    <w:div w:id="159540903">
      <w:bodyDiv w:val="1"/>
      <w:marLeft w:val="0"/>
      <w:marRight w:val="0"/>
      <w:marTop w:val="0"/>
      <w:marBottom w:val="0"/>
      <w:divBdr>
        <w:top w:val="none" w:sz="0" w:space="0" w:color="auto"/>
        <w:left w:val="none" w:sz="0" w:space="0" w:color="auto"/>
        <w:bottom w:val="none" w:sz="0" w:space="0" w:color="auto"/>
        <w:right w:val="none" w:sz="0" w:space="0" w:color="auto"/>
      </w:divBdr>
    </w:div>
    <w:div w:id="159582562">
      <w:bodyDiv w:val="1"/>
      <w:marLeft w:val="0"/>
      <w:marRight w:val="0"/>
      <w:marTop w:val="0"/>
      <w:marBottom w:val="0"/>
      <w:divBdr>
        <w:top w:val="none" w:sz="0" w:space="0" w:color="auto"/>
        <w:left w:val="none" w:sz="0" w:space="0" w:color="auto"/>
        <w:bottom w:val="none" w:sz="0" w:space="0" w:color="auto"/>
        <w:right w:val="none" w:sz="0" w:space="0" w:color="auto"/>
      </w:divBdr>
    </w:div>
    <w:div w:id="159733029">
      <w:bodyDiv w:val="1"/>
      <w:marLeft w:val="0"/>
      <w:marRight w:val="0"/>
      <w:marTop w:val="0"/>
      <w:marBottom w:val="0"/>
      <w:divBdr>
        <w:top w:val="none" w:sz="0" w:space="0" w:color="auto"/>
        <w:left w:val="none" w:sz="0" w:space="0" w:color="auto"/>
        <w:bottom w:val="none" w:sz="0" w:space="0" w:color="auto"/>
        <w:right w:val="none" w:sz="0" w:space="0" w:color="auto"/>
      </w:divBdr>
    </w:div>
    <w:div w:id="159738495">
      <w:bodyDiv w:val="1"/>
      <w:marLeft w:val="0"/>
      <w:marRight w:val="0"/>
      <w:marTop w:val="0"/>
      <w:marBottom w:val="0"/>
      <w:divBdr>
        <w:top w:val="none" w:sz="0" w:space="0" w:color="auto"/>
        <w:left w:val="none" w:sz="0" w:space="0" w:color="auto"/>
        <w:bottom w:val="none" w:sz="0" w:space="0" w:color="auto"/>
        <w:right w:val="none" w:sz="0" w:space="0" w:color="auto"/>
      </w:divBdr>
    </w:div>
    <w:div w:id="159932855">
      <w:bodyDiv w:val="1"/>
      <w:marLeft w:val="0"/>
      <w:marRight w:val="0"/>
      <w:marTop w:val="0"/>
      <w:marBottom w:val="0"/>
      <w:divBdr>
        <w:top w:val="none" w:sz="0" w:space="0" w:color="auto"/>
        <w:left w:val="none" w:sz="0" w:space="0" w:color="auto"/>
        <w:bottom w:val="none" w:sz="0" w:space="0" w:color="auto"/>
        <w:right w:val="none" w:sz="0" w:space="0" w:color="auto"/>
      </w:divBdr>
    </w:div>
    <w:div w:id="160003224">
      <w:bodyDiv w:val="1"/>
      <w:marLeft w:val="0"/>
      <w:marRight w:val="0"/>
      <w:marTop w:val="0"/>
      <w:marBottom w:val="0"/>
      <w:divBdr>
        <w:top w:val="none" w:sz="0" w:space="0" w:color="auto"/>
        <w:left w:val="none" w:sz="0" w:space="0" w:color="auto"/>
        <w:bottom w:val="none" w:sz="0" w:space="0" w:color="auto"/>
        <w:right w:val="none" w:sz="0" w:space="0" w:color="auto"/>
      </w:divBdr>
    </w:div>
    <w:div w:id="161433010">
      <w:bodyDiv w:val="1"/>
      <w:marLeft w:val="0"/>
      <w:marRight w:val="0"/>
      <w:marTop w:val="0"/>
      <w:marBottom w:val="0"/>
      <w:divBdr>
        <w:top w:val="none" w:sz="0" w:space="0" w:color="auto"/>
        <w:left w:val="none" w:sz="0" w:space="0" w:color="auto"/>
        <w:bottom w:val="none" w:sz="0" w:space="0" w:color="auto"/>
        <w:right w:val="none" w:sz="0" w:space="0" w:color="auto"/>
      </w:divBdr>
    </w:div>
    <w:div w:id="161437349">
      <w:bodyDiv w:val="1"/>
      <w:marLeft w:val="0"/>
      <w:marRight w:val="0"/>
      <w:marTop w:val="0"/>
      <w:marBottom w:val="0"/>
      <w:divBdr>
        <w:top w:val="none" w:sz="0" w:space="0" w:color="auto"/>
        <w:left w:val="none" w:sz="0" w:space="0" w:color="auto"/>
        <w:bottom w:val="none" w:sz="0" w:space="0" w:color="auto"/>
        <w:right w:val="none" w:sz="0" w:space="0" w:color="auto"/>
      </w:divBdr>
    </w:div>
    <w:div w:id="161552964">
      <w:bodyDiv w:val="1"/>
      <w:marLeft w:val="0"/>
      <w:marRight w:val="0"/>
      <w:marTop w:val="0"/>
      <w:marBottom w:val="0"/>
      <w:divBdr>
        <w:top w:val="none" w:sz="0" w:space="0" w:color="auto"/>
        <w:left w:val="none" w:sz="0" w:space="0" w:color="auto"/>
        <w:bottom w:val="none" w:sz="0" w:space="0" w:color="auto"/>
        <w:right w:val="none" w:sz="0" w:space="0" w:color="auto"/>
      </w:divBdr>
    </w:div>
    <w:div w:id="161626316">
      <w:bodyDiv w:val="1"/>
      <w:marLeft w:val="0"/>
      <w:marRight w:val="0"/>
      <w:marTop w:val="0"/>
      <w:marBottom w:val="0"/>
      <w:divBdr>
        <w:top w:val="none" w:sz="0" w:space="0" w:color="auto"/>
        <w:left w:val="none" w:sz="0" w:space="0" w:color="auto"/>
        <w:bottom w:val="none" w:sz="0" w:space="0" w:color="auto"/>
        <w:right w:val="none" w:sz="0" w:space="0" w:color="auto"/>
      </w:divBdr>
    </w:div>
    <w:div w:id="161816802">
      <w:bodyDiv w:val="1"/>
      <w:marLeft w:val="0"/>
      <w:marRight w:val="0"/>
      <w:marTop w:val="0"/>
      <w:marBottom w:val="0"/>
      <w:divBdr>
        <w:top w:val="none" w:sz="0" w:space="0" w:color="auto"/>
        <w:left w:val="none" w:sz="0" w:space="0" w:color="auto"/>
        <w:bottom w:val="none" w:sz="0" w:space="0" w:color="auto"/>
        <w:right w:val="none" w:sz="0" w:space="0" w:color="auto"/>
      </w:divBdr>
    </w:div>
    <w:div w:id="162206535">
      <w:bodyDiv w:val="1"/>
      <w:marLeft w:val="0"/>
      <w:marRight w:val="0"/>
      <w:marTop w:val="0"/>
      <w:marBottom w:val="0"/>
      <w:divBdr>
        <w:top w:val="none" w:sz="0" w:space="0" w:color="auto"/>
        <w:left w:val="none" w:sz="0" w:space="0" w:color="auto"/>
        <w:bottom w:val="none" w:sz="0" w:space="0" w:color="auto"/>
        <w:right w:val="none" w:sz="0" w:space="0" w:color="auto"/>
      </w:divBdr>
    </w:div>
    <w:div w:id="162400135">
      <w:bodyDiv w:val="1"/>
      <w:marLeft w:val="0"/>
      <w:marRight w:val="0"/>
      <w:marTop w:val="0"/>
      <w:marBottom w:val="0"/>
      <w:divBdr>
        <w:top w:val="none" w:sz="0" w:space="0" w:color="auto"/>
        <w:left w:val="none" w:sz="0" w:space="0" w:color="auto"/>
        <w:bottom w:val="none" w:sz="0" w:space="0" w:color="auto"/>
        <w:right w:val="none" w:sz="0" w:space="0" w:color="auto"/>
      </w:divBdr>
    </w:div>
    <w:div w:id="162475456">
      <w:bodyDiv w:val="1"/>
      <w:marLeft w:val="0"/>
      <w:marRight w:val="0"/>
      <w:marTop w:val="0"/>
      <w:marBottom w:val="0"/>
      <w:divBdr>
        <w:top w:val="none" w:sz="0" w:space="0" w:color="auto"/>
        <w:left w:val="none" w:sz="0" w:space="0" w:color="auto"/>
        <w:bottom w:val="none" w:sz="0" w:space="0" w:color="auto"/>
        <w:right w:val="none" w:sz="0" w:space="0" w:color="auto"/>
      </w:divBdr>
    </w:div>
    <w:div w:id="162552346">
      <w:bodyDiv w:val="1"/>
      <w:marLeft w:val="0"/>
      <w:marRight w:val="0"/>
      <w:marTop w:val="0"/>
      <w:marBottom w:val="0"/>
      <w:divBdr>
        <w:top w:val="none" w:sz="0" w:space="0" w:color="auto"/>
        <w:left w:val="none" w:sz="0" w:space="0" w:color="auto"/>
        <w:bottom w:val="none" w:sz="0" w:space="0" w:color="auto"/>
        <w:right w:val="none" w:sz="0" w:space="0" w:color="auto"/>
      </w:divBdr>
    </w:div>
    <w:div w:id="162745489">
      <w:bodyDiv w:val="1"/>
      <w:marLeft w:val="0"/>
      <w:marRight w:val="0"/>
      <w:marTop w:val="0"/>
      <w:marBottom w:val="0"/>
      <w:divBdr>
        <w:top w:val="none" w:sz="0" w:space="0" w:color="auto"/>
        <w:left w:val="none" w:sz="0" w:space="0" w:color="auto"/>
        <w:bottom w:val="none" w:sz="0" w:space="0" w:color="auto"/>
        <w:right w:val="none" w:sz="0" w:space="0" w:color="auto"/>
      </w:divBdr>
    </w:div>
    <w:div w:id="162749010">
      <w:bodyDiv w:val="1"/>
      <w:marLeft w:val="0"/>
      <w:marRight w:val="0"/>
      <w:marTop w:val="0"/>
      <w:marBottom w:val="0"/>
      <w:divBdr>
        <w:top w:val="none" w:sz="0" w:space="0" w:color="auto"/>
        <w:left w:val="none" w:sz="0" w:space="0" w:color="auto"/>
        <w:bottom w:val="none" w:sz="0" w:space="0" w:color="auto"/>
        <w:right w:val="none" w:sz="0" w:space="0" w:color="auto"/>
      </w:divBdr>
    </w:div>
    <w:div w:id="162820021">
      <w:bodyDiv w:val="1"/>
      <w:marLeft w:val="0"/>
      <w:marRight w:val="0"/>
      <w:marTop w:val="0"/>
      <w:marBottom w:val="0"/>
      <w:divBdr>
        <w:top w:val="none" w:sz="0" w:space="0" w:color="auto"/>
        <w:left w:val="none" w:sz="0" w:space="0" w:color="auto"/>
        <w:bottom w:val="none" w:sz="0" w:space="0" w:color="auto"/>
        <w:right w:val="none" w:sz="0" w:space="0" w:color="auto"/>
      </w:divBdr>
    </w:div>
    <w:div w:id="162860306">
      <w:bodyDiv w:val="1"/>
      <w:marLeft w:val="0"/>
      <w:marRight w:val="0"/>
      <w:marTop w:val="0"/>
      <w:marBottom w:val="0"/>
      <w:divBdr>
        <w:top w:val="none" w:sz="0" w:space="0" w:color="auto"/>
        <w:left w:val="none" w:sz="0" w:space="0" w:color="auto"/>
        <w:bottom w:val="none" w:sz="0" w:space="0" w:color="auto"/>
        <w:right w:val="none" w:sz="0" w:space="0" w:color="auto"/>
      </w:divBdr>
    </w:div>
    <w:div w:id="162936480">
      <w:bodyDiv w:val="1"/>
      <w:marLeft w:val="0"/>
      <w:marRight w:val="0"/>
      <w:marTop w:val="0"/>
      <w:marBottom w:val="0"/>
      <w:divBdr>
        <w:top w:val="none" w:sz="0" w:space="0" w:color="auto"/>
        <w:left w:val="none" w:sz="0" w:space="0" w:color="auto"/>
        <w:bottom w:val="none" w:sz="0" w:space="0" w:color="auto"/>
        <w:right w:val="none" w:sz="0" w:space="0" w:color="auto"/>
      </w:divBdr>
    </w:div>
    <w:div w:id="163013490">
      <w:bodyDiv w:val="1"/>
      <w:marLeft w:val="0"/>
      <w:marRight w:val="0"/>
      <w:marTop w:val="0"/>
      <w:marBottom w:val="0"/>
      <w:divBdr>
        <w:top w:val="none" w:sz="0" w:space="0" w:color="auto"/>
        <w:left w:val="none" w:sz="0" w:space="0" w:color="auto"/>
        <w:bottom w:val="none" w:sz="0" w:space="0" w:color="auto"/>
        <w:right w:val="none" w:sz="0" w:space="0" w:color="auto"/>
      </w:divBdr>
    </w:div>
    <w:div w:id="163400953">
      <w:bodyDiv w:val="1"/>
      <w:marLeft w:val="0"/>
      <w:marRight w:val="0"/>
      <w:marTop w:val="0"/>
      <w:marBottom w:val="0"/>
      <w:divBdr>
        <w:top w:val="none" w:sz="0" w:space="0" w:color="auto"/>
        <w:left w:val="none" w:sz="0" w:space="0" w:color="auto"/>
        <w:bottom w:val="none" w:sz="0" w:space="0" w:color="auto"/>
        <w:right w:val="none" w:sz="0" w:space="0" w:color="auto"/>
      </w:divBdr>
    </w:div>
    <w:div w:id="163712640">
      <w:bodyDiv w:val="1"/>
      <w:marLeft w:val="0"/>
      <w:marRight w:val="0"/>
      <w:marTop w:val="0"/>
      <w:marBottom w:val="0"/>
      <w:divBdr>
        <w:top w:val="none" w:sz="0" w:space="0" w:color="auto"/>
        <w:left w:val="none" w:sz="0" w:space="0" w:color="auto"/>
        <w:bottom w:val="none" w:sz="0" w:space="0" w:color="auto"/>
        <w:right w:val="none" w:sz="0" w:space="0" w:color="auto"/>
      </w:divBdr>
    </w:div>
    <w:div w:id="163741123">
      <w:bodyDiv w:val="1"/>
      <w:marLeft w:val="0"/>
      <w:marRight w:val="0"/>
      <w:marTop w:val="0"/>
      <w:marBottom w:val="0"/>
      <w:divBdr>
        <w:top w:val="none" w:sz="0" w:space="0" w:color="auto"/>
        <w:left w:val="none" w:sz="0" w:space="0" w:color="auto"/>
        <w:bottom w:val="none" w:sz="0" w:space="0" w:color="auto"/>
        <w:right w:val="none" w:sz="0" w:space="0" w:color="auto"/>
      </w:divBdr>
    </w:div>
    <w:div w:id="163859407">
      <w:bodyDiv w:val="1"/>
      <w:marLeft w:val="0"/>
      <w:marRight w:val="0"/>
      <w:marTop w:val="0"/>
      <w:marBottom w:val="0"/>
      <w:divBdr>
        <w:top w:val="none" w:sz="0" w:space="0" w:color="auto"/>
        <w:left w:val="none" w:sz="0" w:space="0" w:color="auto"/>
        <w:bottom w:val="none" w:sz="0" w:space="0" w:color="auto"/>
        <w:right w:val="none" w:sz="0" w:space="0" w:color="auto"/>
      </w:divBdr>
    </w:div>
    <w:div w:id="164319277">
      <w:bodyDiv w:val="1"/>
      <w:marLeft w:val="0"/>
      <w:marRight w:val="0"/>
      <w:marTop w:val="0"/>
      <w:marBottom w:val="0"/>
      <w:divBdr>
        <w:top w:val="none" w:sz="0" w:space="0" w:color="auto"/>
        <w:left w:val="none" w:sz="0" w:space="0" w:color="auto"/>
        <w:bottom w:val="none" w:sz="0" w:space="0" w:color="auto"/>
        <w:right w:val="none" w:sz="0" w:space="0" w:color="auto"/>
      </w:divBdr>
    </w:div>
    <w:div w:id="164325913">
      <w:bodyDiv w:val="1"/>
      <w:marLeft w:val="0"/>
      <w:marRight w:val="0"/>
      <w:marTop w:val="0"/>
      <w:marBottom w:val="0"/>
      <w:divBdr>
        <w:top w:val="none" w:sz="0" w:space="0" w:color="auto"/>
        <w:left w:val="none" w:sz="0" w:space="0" w:color="auto"/>
        <w:bottom w:val="none" w:sz="0" w:space="0" w:color="auto"/>
        <w:right w:val="none" w:sz="0" w:space="0" w:color="auto"/>
      </w:divBdr>
    </w:div>
    <w:div w:id="164592585">
      <w:bodyDiv w:val="1"/>
      <w:marLeft w:val="0"/>
      <w:marRight w:val="0"/>
      <w:marTop w:val="0"/>
      <w:marBottom w:val="0"/>
      <w:divBdr>
        <w:top w:val="none" w:sz="0" w:space="0" w:color="auto"/>
        <w:left w:val="none" w:sz="0" w:space="0" w:color="auto"/>
        <w:bottom w:val="none" w:sz="0" w:space="0" w:color="auto"/>
        <w:right w:val="none" w:sz="0" w:space="0" w:color="auto"/>
      </w:divBdr>
    </w:div>
    <w:div w:id="164785758">
      <w:bodyDiv w:val="1"/>
      <w:marLeft w:val="0"/>
      <w:marRight w:val="0"/>
      <w:marTop w:val="0"/>
      <w:marBottom w:val="0"/>
      <w:divBdr>
        <w:top w:val="none" w:sz="0" w:space="0" w:color="auto"/>
        <w:left w:val="none" w:sz="0" w:space="0" w:color="auto"/>
        <w:bottom w:val="none" w:sz="0" w:space="0" w:color="auto"/>
        <w:right w:val="none" w:sz="0" w:space="0" w:color="auto"/>
      </w:divBdr>
    </w:div>
    <w:div w:id="164788573">
      <w:bodyDiv w:val="1"/>
      <w:marLeft w:val="0"/>
      <w:marRight w:val="0"/>
      <w:marTop w:val="0"/>
      <w:marBottom w:val="0"/>
      <w:divBdr>
        <w:top w:val="none" w:sz="0" w:space="0" w:color="auto"/>
        <w:left w:val="none" w:sz="0" w:space="0" w:color="auto"/>
        <w:bottom w:val="none" w:sz="0" w:space="0" w:color="auto"/>
        <w:right w:val="none" w:sz="0" w:space="0" w:color="auto"/>
      </w:divBdr>
    </w:div>
    <w:div w:id="165095368">
      <w:bodyDiv w:val="1"/>
      <w:marLeft w:val="0"/>
      <w:marRight w:val="0"/>
      <w:marTop w:val="0"/>
      <w:marBottom w:val="0"/>
      <w:divBdr>
        <w:top w:val="none" w:sz="0" w:space="0" w:color="auto"/>
        <w:left w:val="none" w:sz="0" w:space="0" w:color="auto"/>
        <w:bottom w:val="none" w:sz="0" w:space="0" w:color="auto"/>
        <w:right w:val="none" w:sz="0" w:space="0" w:color="auto"/>
      </w:divBdr>
    </w:div>
    <w:div w:id="165172746">
      <w:bodyDiv w:val="1"/>
      <w:marLeft w:val="0"/>
      <w:marRight w:val="0"/>
      <w:marTop w:val="0"/>
      <w:marBottom w:val="0"/>
      <w:divBdr>
        <w:top w:val="none" w:sz="0" w:space="0" w:color="auto"/>
        <w:left w:val="none" w:sz="0" w:space="0" w:color="auto"/>
        <w:bottom w:val="none" w:sz="0" w:space="0" w:color="auto"/>
        <w:right w:val="none" w:sz="0" w:space="0" w:color="auto"/>
      </w:divBdr>
    </w:div>
    <w:div w:id="165368563">
      <w:bodyDiv w:val="1"/>
      <w:marLeft w:val="0"/>
      <w:marRight w:val="0"/>
      <w:marTop w:val="0"/>
      <w:marBottom w:val="0"/>
      <w:divBdr>
        <w:top w:val="none" w:sz="0" w:space="0" w:color="auto"/>
        <w:left w:val="none" w:sz="0" w:space="0" w:color="auto"/>
        <w:bottom w:val="none" w:sz="0" w:space="0" w:color="auto"/>
        <w:right w:val="none" w:sz="0" w:space="0" w:color="auto"/>
      </w:divBdr>
    </w:div>
    <w:div w:id="165557986">
      <w:bodyDiv w:val="1"/>
      <w:marLeft w:val="0"/>
      <w:marRight w:val="0"/>
      <w:marTop w:val="0"/>
      <w:marBottom w:val="0"/>
      <w:divBdr>
        <w:top w:val="none" w:sz="0" w:space="0" w:color="auto"/>
        <w:left w:val="none" w:sz="0" w:space="0" w:color="auto"/>
        <w:bottom w:val="none" w:sz="0" w:space="0" w:color="auto"/>
        <w:right w:val="none" w:sz="0" w:space="0" w:color="auto"/>
      </w:divBdr>
    </w:div>
    <w:div w:id="165561166">
      <w:bodyDiv w:val="1"/>
      <w:marLeft w:val="0"/>
      <w:marRight w:val="0"/>
      <w:marTop w:val="0"/>
      <w:marBottom w:val="0"/>
      <w:divBdr>
        <w:top w:val="none" w:sz="0" w:space="0" w:color="auto"/>
        <w:left w:val="none" w:sz="0" w:space="0" w:color="auto"/>
        <w:bottom w:val="none" w:sz="0" w:space="0" w:color="auto"/>
        <w:right w:val="none" w:sz="0" w:space="0" w:color="auto"/>
      </w:divBdr>
    </w:div>
    <w:div w:id="165681779">
      <w:bodyDiv w:val="1"/>
      <w:marLeft w:val="0"/>
      <w:marRight w:val="0"/>
      <w:marTop w:val="0"/>
      <w:marBottom w:val="0"/>
      <w:divBdr>
        <w:top w:val="none" w:sz="0" w:space="0" w:color="auto"/>
        <w:left w:val="none" w:sz="0" w:space="0" w:color="auto"/>
        <w:bottom w:val="none" w:sz="0" w:space="0" w:color="auto"/>
        <w:right w:val="none" w:sz="0" w:space="0" w:color="auto"/>
      </w:divBdr>
    </w:div>
    <w:div w:id="165747736">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65950226">
      <w:bodyDiv w:val="1"/>
      <w:marLeft w:val="0"/>
      <w:marRight w:val="0"/>
      <w:marTop w:val="0"/>
      <w:marBottom w:val="0"/>
      <w:divBdr>
        <w:top w:val="none" w:sz="0" w:space="0" w:color="auto"/>
        <w:left w:val="none" w:sz="0" w:space="0" w:color="auto"/>
        <w:bottom w:val="none" w:sz="0" w:space="0" w:color="auto"/>
        <w:right w:val="none" w:sz="0" w:space="0" w:color="auto"/>
      </w:divBdr>
    </w:div>
    <w:div w:id="166334732">
      <w:bodyDiv w:val="1"/>
      <w:marLeft w:val="0"/>
      <w:marRight w:val="0"/>
      <w:marTop w:val="0"/>
      <w:marBottom w:val="0"/>
      <w:divBdr>
        <w:top w:val="none" w:sz="0" w:space="0" w:color="auto"/>
        <w:left w:val="none" w:sz="0" w:space="0" w:color="auto"/>
        <w:bottom w:val="none" w:sz="0" w:space="0" w:color="auto"/>
        <w:right w:val="none" w:sz="0" w:space="0" w:color="auto"/>
      </w:divBdr>
    </w:div>
    <w:div w:id="166598325">
      <w:bodyDiv w:val="1"/>
      <w:marLeft w:val="0"/>
      <w:marRight w:val="0"/>
      <w:marTop w:val="0"/>
      <w:marBottom w:val="0"/>
      <w:divBdr>
        <w:top w:val="none" w:sz="0" w:space="0" w:color="auto"/>
        <w:left w:val="none" w:sz="0" w:space="0" w:color="auto"/>
        <w:bottom w:val="none" w:sz="0" w:space="0" w:color="auto"/>
        <w:right w:val="none" w:sz="0" w:space="0" w:color="auto"/>
      </w:divBdr>
    </w:div>
    <w:div w:id="166794542">
      <w:bodyDiv w:val="1"/>
      <w:marLeft w:val="0"/>
      <w:marRight w:val="0"/>
      <w:marTop w:val="0"/>
      <w:marBottom w:val="0"/>
      <w:divBdr>
        <w:top w:val="none" w:sz="0" w:space="0" w:color="auto"/>
        <w:left w:val="none" w:sz="0" w:space="0" w:color="auto"/>
        <w:bottom w:val="none" w:sz="0" w:space="0" w:color="auto"/>
        <w:right w:val="none" w:sz="0" w:space="0" w:color="auto"/>
      </w:divBdr>
    </w:div>
    <w:div w:id="167406296">
      <w:bodyDiv w:val="1"/>
      <w:marLeft w:val="0"/>
      <w:marRight w:val="0"/>
      <w:marTop w:val="0"/>
      <w:marBottom w:val="0"/>
      <w:divBdr>
        <w:top w:val="none" w:sz="0" w:space="0" w:color="auto"/>
        <w:left w:val="none" w:sz="0" w:space="0" w:color="auto"/>
        <w:bottom w:val="none" w:sz="0" w:space="0" w:color="auto"/>
        <w:right w:val="none" w:sz="0" w:space="0" w:color="auto"/>
      </w:divBdr>
    </w:div>
    <w:div w:id="167451028">
      <w:bodyDiv w:val="1"/>
      <w:marLeft w:val="0"/>
      <w:marRight w:val="0"/>
      <w:marTop w:val="0"/>
      <w:marBottom w:val="0"/>
      <w:divBdr>
        <w:top w:val="none" w:sz="0" w:space="0" w:color="auto"/>
        <w:left w:val="none" w:sz="0" w:space="0" w:color="auto"/>
        <w:bottom w:val="none" w:sz="0" w:space="0" w:color="auto"/>
        <w:right w:val="none" w:sz="0" w:space="0" w:color="auto"/>
      </w:divBdr>
    </w:div>
    <w:div w:id="167789468">
      <w:bodyDiv w:val="1"/>
      <w:marLeft w:val="0"/>
      <w:marRight w:val="0"/>
      <w:marTop w:val="0"/>
      <w:marBottom w:val="0"/>
      <w:divBdr>
        <w:top w:val="none" w:sz="0" w:space="0" w:color="auto"/>
        <w:left w:val="none" w:sz="0" w:space="0" w:color="auto"/>
        <w:bottom w:val="none" w:sz="0" w:space="0" w:color="auto"/>
        <w:right w:val="none" w:sz="0" w:space="0" w:color="auto"/>
      </w:divBdr>
    </w:div>
    <w:div w:id="167866717">
      <w:bodyDiv w:val="1"/>
      <w:marLeft w:val="0"/>
      <w:marRight w:val="0"/>
      <w:marTop w:val="0"/>
      <w:marBottom w:val="0"/>
      <w:divBdr>
        <w:top w:val="none" w:sz="0" w:space="0" w:color="auto"/>
        <w:left w:val="none" w:sz="0" w:space="0" w:color="auto"/>
        <w:bottom w:val="none" w:sz="0" w:space="0" w:color="auto"/>
        <w:right w:val="none" w:sz="0" w:space="0" w:color="auto"/>
      </w:divBdr>
    </w:div>
    <w:div w:id="168059397">
      <w:bodyDiv w:val="1"/>
      <w:marLeft w:val="0"/>
      <w:marRight w:val="0"/>
      <w:marTop w:val="0"/>
      <w:marBottom w:val="0"/>
      <w:divBdr>
        <w:top w:val="none" w:sz="0" w:space="0" w:color="auto"/>
        <w:left w:val="none" w:sz="0" w:space="0" w:color="auto"/>
        <w:bottom w:val="none" w:sz="0" w:space="0" w:color="auto"/>
        <w:right w:val="none" w:sz="0" w:space="0" w:color="auto"/>
      </w:divBdr>
    </w:div>
    <w:div w:id="168106119">
      <w:bodyDiv w:val="1"/>
      <w:marLeft w:val="0"/>
      <w:marRight w:val="0"/>
      <w:marTop w:val="0"/>
      <w:marBottom w:val="0"/>
      <w:divBdr>
        <w:top w:val="none" w:sz="0" w:space="0" w:color="auto"/>
        <w:left w:val="none" w:sz="0" w:space="0" w:color="auto"/>
        <w:bottom w:val="none" w:sz="0" w:space="0" w:color="auto"/>
        <w:right w:val="none" w:sz="0" w:space="0" w:color="auto"/>
      </w:divBdr>
    </w:div>
    <w:div w:id="168301628">
      <w:bodyDiv w:val="1"/>
      <w:marLeft w:val="0"/>
      <w:marRight w:val="0"/>
      <w:marTop w:val="0"/>
      <w:marBottom w:val="0"/>
      <w:divBdr>
        <w:top w:val="none" w:sz="0" w:space="0" w:color="auto"/>
        <w:left w:val="none" w:sz="0" w:space="0" w:color="auto"/>
        <w:bottom w:val="none" w:sz="0" w:space="0" w:color="auto"/>
        <w:right w:val="none" w:sz="0" w:space="0" w:color="auto"/>
      </w:divBdr>
    </w:div>
    <w:div w:id="168567683">
      <w:bodyDiv w:val="1"/>
      <w:marLeft w:val="0"/>
      <w:marRight w:val="0"/>
      <w:marTop w:val="0"/>
      <w:marBottom w:val="0"/>
      <w:divBdr>
        <w:top w:val="none" w:sz="0" w:space="0" w:color="auto"/>
        <w:left w:val="none" w:sz="0" w:space="0" w:color="auto"/>
        <w:bottom w:val="none" w:sz="0" w:space="0" w:color="auto"/>
        <w:right w:val="none" w:sz="0" w:space="0" w:color="auto"/>
      </w:divBdr>
    </w:div>
    <w:div w:id="168716259">
      <w:bodyDiv w:val="1"/>
      <w:marLeft w:val="0"/>
      <w:marRight w:val="0"/>
      <w:marTop w:val="0"/>
      <w:marBottom w:val="0"/>
      <w:divBdr>
        <w:top w:val="none" w:sz="0" w:space="0" w:color="auto"/>
        <w:left w:val="none" w:sz="0" w:space="0" w:color="auto"/>
        <w:bottom w:val="none" w:sz="0" w:space="0" w:color="auto"/>
        <w:right w:val="none" w:sz="0" w:space="0" w:color="auto"/>
      </w:divBdr>
    </w:div>
    <w:div w:id="168837751">
      <w:bodyDiv w:val="1"/>
      <w:marLeft w:val="0"/>
      <w:marRight w:val="0"/>
      <w:marTop w:val="0"/>
      <w:marBottom w:val="0"/>
      <w:divBdr>
        <w:top w:val="none" w:sz="0" w:space="0" w:color="auto"/>
        <w:left w:val="none" w:sz="0" w:space="0" w:color="auto"/>
        <w:bottom w:val="none" w:sz="0" w:space="0" w:color="auto"/>
        <w:right w:val="none" w:sz="0" w:space="0" w:color="auto"/>
      </w:divBdr>
    </w:div>
    <w:div w:id="168953058">
      <w:bodyDiv w:val="1"/>
      <w:marLeft w:val="0"/>
      <w:marRight w:val="0"/>
      <w:marTop w:val="0"/>
      <w:marBottom w:val="0"/>
      <w:divBdr>
        <w:top w:val="none" w:sz="0" w:space="0" w:color="auto"/>
        <w:left w:val="none" w:sz="0" w:space="0" w:color="auto"/>
        <w:bottom w:val="none" w:sz="0" w:space="0" w:color="auto"/>
        <w:right w:val="none" w:sz="0" w:space="0" w:color="auto"/>
      </w:divBdr>
    </w:div>
    <w:div w:id="169177866">
      <w:bodyDiv w:val="1"/>
      <w:marLeft w:val="0"/>
      <w:marRight w:val="0"/>
      <w:marTop w:val="0"/>
      <w:marBottom w:val="0"/>
      <w:divBdr>
        <w:top w:val="none" w:sz="0" w:space="0" w:color="auto"/>
        <w:left w:val="none" w:sz="0" w:space="0" w:color="auto"/>
        <w:bottom w:val="none" w:sz="0" w:space="0" w:color="auto"/>
        <w:right w:val="none" w:sz="0" w:space="0" w:color="auto"/>
      </w:divBdr>
    </w:div>
    <w:div w:id="169412857">
      <w:bodyDiv w:val="1"/>
      <w:marLeft w:val="0"/>
      <w:marRight w:val="0"/>
      <w:marTop w:val="0"/>
      <w:marBottom w:val="0"/>
      <w:divBdr>
        <w:top w:val="none" w:sz="0" w:space="0" w:color="auto"/>
        <w:left w:val="none" w:sz="0" w:space="0" w:color="auto"/>
        <w:bottom w:val="none" w:sz="0" w:space="0" w:color="auto"/>
        <w:right w:val="none" w:sz="0" w:space="0" w:color="auto"/>
      </w:divBdr>
    </w:div>
    <w:div w:id="169760267">
      <w:bodyDiv w:val="1"/>
      <w:marLeft w:val="0"/>
      <w:marRight w:val="0"/>
      <w:marTop w:val="0"/>
      <w:marBottom w:val="0"/>
      <w:divBdr>
        <w:top w:val="none" w:sz="0" w:space="0" w:color="auto"/>
        <w:left w:val="none" w:sz="0" w:space="0" w:color="auto"/>
        <w:bottom w:val="none" w:sz="0" w:space="0" w:color="auto"/>
        <w:right w:val="none" w:sz="0" w:space="0" w:color="auto"/>
      </w:divBdr>
    </w:div>
    <w:div w:id="169761636">
      <w:bodyDiv w:val="1"/>
      <w:marLeft w:val="0"/>
      <w:marRight w:val="0"/>
      <w:marTop w:val="0"/>
      <w:marBottom w:val="0"/>
      <w:divBdr>
        <w:top w:val="none" w:sz="0" w:space="0" w:color="auto"/>
        <w:left w:val="none" w:sz="0" w:space="0" w:color="auto"/>
        <w:bottom w:val="none" w:sz="0" w:space="0" w:color="auto"/>
        <w:right w:val="none" w:sz="0" w:space="0" w:color="auto"/>
      </w:divBdr>
    </w:div>
    <w:div w:id="169763956">
      <w:bodyDiv w:val="1"/>
      <w:marLeft w:val="0"/>
      <w:marRight w:val="0"/>
      <w:marTop w:val="0"/>
      <w:marBottom w:val="0"/>
      <w:divBdr>
        <w:top w:val="none" w:sz="0" w:space="0" w:color="auto"/>
        <w:left w:val="none" w:sz="0" w:space="0" w:color="auto"/>
        <w:bottom w:val="none" w:sz="0" w:space="0" w:color="auto"/>
        <w:right w:val="none" w:sz="0" w:space="0" w:color="auto"/>
      </w:divBdr>
    </w:div>
    <w:div w:id="169806068">
      <w:bodyDiv w:val="1"/>
      <w:marLeft w:val="0"/>
      <w:marRight w:val="0"/>
      <w:marTop w:val="0"/>
      <w:marBottom w:val="0"/>
      <w:divBdr>
        <w:top w:val="none" w:sz="0" w:space="0" w:color="auto"/>
        <w:left w:val="none" w:sz="0" w:space="0" w:color="auto"/>
        <w:bottom w:val="none" w:sz="0" w:space="0" w:color="auto"/>
        <w:right w:val="none" w:sz="0" w:space="0" w:color="auto"/>
      </w:divBdr>
    </w:div>
    <w:div w:id="169834101">
      <w:bodyDiv w:val="1"/>
      <w:marLeft w:val="0"/>
      <w:marRight w:val="0"/>
      <w:marTop w:val="0"/>
      <w:marBottom w:val="0"/>
      <w:divBdr>
        <w:top w:val="none" w:sz="0" w:space="0" w:color="auto"/>
        <w:left w:val="none" w:sz="0" w:space="0" w:color="auto"/>
        <w:bottom w:val="none" w:sz="0" w:space="0" w:color="auto"/>
        <w:right w:val="none" w:sz="0" w:space="0" w:color="auto"/>
      </w:divBdr>
    </w:div>
    <w:div w:id="169873783">
      <w:bodyDiv w:val="1"/>
      <w:marLeft w:val="0"/>
      <w:marRight w:val="0"/>
      <w:marTop w:val="0"/>
      <w:marBottom w:val="0"/>
      <w:divBdr>
        <w:top w:val="none" w:sz="0" w:space="0" w:color="auto"/>
        <w:left w:val="none" w:sz="0" w:space="0" w:color="auto"/>
        <w:bottom w:val="none" w:sz="0" w:space="0" w:color="auto"/>
        <w:right w:val="none" w:sz="0" w:space="0" w:color="auto"/>
      </w:divBdr>
    </w:div>
    <w:div w:id="169950829">
      <w:bodyDiv w:val="1"/>
      <w:marLeft w:val="0"/>
      <w:marRight w:val="0"/>
      <w:marTop w:val="0"/>
      <w:marBottom w:val="0"/>
      <w:divBdr>
        <w:top w:val="none" w:sz="0" w:space="0" w:color="auto"/>
        <w:left w:val="none" w:sz="0" w:space="0" w:color="auto"/>
        <w:bottom w:val="none" w:sz="0" w:space="0" w:color="auto"/>
        <w:right w:val="none" w:sz="0" w:space="0" w:color="auto"/>
      </w:divBdr>
    </w:div>
    <w:div w:id="169952198">
      <w:bodyDiv w:val="1"/>
      <w:marLeft w:val="0"/>
      <w:marRight w:val="0"/>
      <w:marTop w:val="0"/>
      <w:marBottom w:val="0"/>
      <w:divBdr>
        <w:top w:val="none" w:sz="0" w:space="0" w:color="auto"/>
        <w:left w:val="none" w:sz="0" w:space="0" w:color="auto"/>
        <w:bottom w:val="none" w:sz="0" w:space="0" w:color="auto"/>
        <w:right w:val="none" w:sz="0" w:space="0" w:color="auto"/>
      </w:divBdr>
    </w:div>
    <w:div w:id="169953159">
      <w:bodyDiv w:val="1"/>
      <w:marLeft w:val="0"/>
      <w:marRight w:val="0"/>
      <w:marTop w:val="0"/>
      <w:marBottom w:val="0"/>
      <w:divBdr>
        <w:top w:val="none" w:sz="0" w:space="0" w:color="auto"/>
        <w:left w:val="none" w:sz="0" w:space="0" w:color="auto"/>
        <w:bottom w:val="none" w:sz="0" w:space="0" w:color="auto"/>
        <w:right w:val="none" w:sz="0" w:space="0" w:color="auto"/>
      </w:divBdr>
    </w:div>
    <w:div w:id="170878703">
      <w:bodyDiv w:val="1"/>
      <w:marLeft w:val="0"/>
      <w:marRight w:val="0"/>
      <w:marTop w:val="0"/>
      <w:marBottom w:val="0"/>
      <w:divBdr>
        <w:top w:val="none" w:sz="0" w:space="0" w:color="auto"/>
        <w:left w:val="none" w:sz="0" w:space="0" w:color="auto"/>
        <w:bottom w:val="none" w:sz="0" w:space="0" w:color="auto"/>
        <w:right w:val="none" w:sz="0" w:space="0" w:color="auto"/>
      </w:divBdr>
    </w:div>
    <w:div w:id="170923992">
      <w:bodyDiv w:val="1"/>
      <w:marLeft w:val="0"/>
      <w:marRight w:val="0"/>
      <w:marTop w:val="0"/>
      <w:marBottom w:val="0"/>
      <w:divBdr>
        <w:top w:val="none" w:sz="0" w:space="0" w:color="auto"/>
        <w:left w:val="none" w:sz="0" w:space="0" w:color="auto"/>
        <w:bottom w:val="none" w:sz="0" w:space="0" w:color="auto"/>
        <w:right w:val="none" w:sz="0" w:space="0" w:color="auto"/>
      </w:divBdr>
    </w:div>
    <w:div w:id="171070800">
      <w:bodyDiv w:val="1"/>
      <w:marLeft w:val="0"/>
      <w:marRight w:val="0"/>
      <w:marTop w:val="0"/>
      <w:marBottom w:val="0"/>
      <w:divBdr>
        <w:top w:val="none" w:sz="0" w:space="0" w:color="auto"/>
        <w:left w:val="none" w:sz="0" w:space="0" w:color="auto"/>
        <w:bottom w:val="none" w:sz="0" w:space="0" w:color="auto"/>
        <w:right w:val="none" w:sz="0" w:space="0" w:color="auto"/>
      </w:divBdr>
    </w:div>
    <w:div w:id="171071422">
      <w:bodyDiv w:val="1"/>
      <w:marLeft w:val="0"/>
      <w:marRight w:val="0"/>
      <w:marTop w:val="0"/>
      <w:marBottom w:val="0"/>
      <w:divBdr>
        <w:top w:val="none" w:sz="0" w:space="0" w:color="auto"/>
        <w:left w:val="none" w:sz="0" w:space="0" w:color="auto"/>
        <w:bottom w:val="none" w:sz="0" w:space="0" w:color="auto"/>
        <w:right w:val="none" w:sz="0" w:space="0" w:color="auto"/>
      </w:divBdr>
    </w:div>
    <w:div w:id="171190205">
      <w:bodyDiv w:val="1"/>
      <w:marLeft w:val="0"/>
      <w:marRight w:val="0"/>
      <w:marTop w:val="0"/>
      <w:marBottom w:val="0"/>
      <w:divBdr>
        <w:top w:val="none" w:sz="0" w:space="0" w:color="auto"/>
        <w:left w:val="none" w:sz="0" w:space="0" w:color="auto"/>
        <w:bottom w:val="none" w:sz="0" w:space="0" w:color="auto"/>
        <w:right w:val="none" w:sz="0" w:space="0" w:color="auto"/>
      </w:divBdr>
    </w:div>
    <w:div w:id="171456008">
      <w:bodyDiv w:val="1"/>
      <w:marLeft w:val="0"/>
      <w:marRight w:val="0"/>
      <w:marTop w:val="0"/>
      <w:marBottom w:val="0"/>
      <w:divBdr>
        <w:top w:val="none" w:sz="0" w:space="0" w:color="auto"/>
        <w:left w:val="none" w:sz="0" w:space="0" w:color="auto"/>
        <w:bottom w:val="none" w:sz="0" w:space="0" w:color="auto"/>
        <w:right w:val="none" w:sz="0" w:space="0" w:color="auto"/>
      </w:divBdr>
    </w:div>
    <w:div w:id="171532715">
      <w:bodyDiv w:val="1"/>
      <w:marLeft w:val="0"/>
      <w:marRight w:val="0"/>
      <w:marTop w:val="0"/>
      <w:marBottom w:val="0"/>
      <w:divBdr>
        <w:top w:val="none" w:sz="0" w:space="0" w:color="auto"/>
        <w:left w:val="none" w:sz="0" w:space="0" w:color="auto"/>
        <w:bottom w:val="none" w:sz="0" w:space="0" w:color="auto"/>
        <w:right w:val="none" w:sz="0" w:space="0" w:color="auto"/>
      </w:divBdr>
    </w:div>
    <w:div w:id="171647338">
      <w:bodyDiv w:val="1"/>
      <w:marLeft w:val="0"/>
      <w:marRight w:val="0"/>
      <w:marTop w:val="0"/>
      <w:marBottom w:val="0"/>
      <w:divBdr>
        <w:top w:val="none" w:sz="0" w:space="0" w:color="auto"/>
        <w:left w:val="none" w:sz="0" w:space="0" w:color="auto"/>
        <w:bottom w:val="none" w:sz="0" w:space="0" w:color="auto"/>
        <w:right w:val="none" w:sz="0" w:space="0" w:color="auto"/>
      </w:divBdr>
    </w:div>
    <w:div w:id="171797048">
      <w:bodyDiv w:val="1"/>
      <w:marLeft w:val="0"/>
      <w:marRight w:val="0"/>
      <w:marTop w:val="0"/>
      <w:marBottom w:val="0"/>
      <w:divBdr>
        <w:top w:val="none" w:sz="0" w:space="0" w:color="auto"/>
        <w:left w:val="none" w:sz="0" w:space="0" w:color="auto"/>
        <w:bottom w:val="none" w:sz="0" w:space="0" w:color="auto"/>
        <w:right w:val="none" w:sz="0" w:space="0" w:color="auto"/>
      </w:divBdr>
    </w:div>
    <w:div w:id="171920026">
      <w:bodyDiv w:val="1"/>
      <w:marLeft w:val="0"/>
      <w:marRight w:val="0"/>
      <w:marTop w:val="0"/>
      <w:marBottom w:val="0"/>
      <w:divBdr>
        <w:top w:val="none" w:sz="0" w:space="0" w:color="auto"/>
        <w:left w:val="none" w:sz="0" w:space="0" w:color="auto"/>
        <w:bottom w:val="none" w:sz="0" w:space="0" w:color="auto"/>
        <w:right w:val="none" w:sz="0" w:space="0" w:color="auto"/>
      </w:divBdr>
    </w:div>
    <w:div w:id="172036059">
      <w:bodyDiv w:val="1"/>
      <w:marLeft w:val="0"/>
      <w:marRight w:val="0"/>
      <w:marTop w:val="0"/>
      <w:marBottom w:val="0"/>
      <w:divBdr>
        <w:top w:val="none" w:sz="0" w:space="0" w:color="auto"/>
        <w:left w:val="none" w:sz="0" w:space="0" w:color="auto"/>
        <w:bottom w:val="none" w:sz="0" w:space="0" w:color="auto"/>
        <w:right w:val="none" w:sz="0" w:space="0" w:color="auto"/>
      </w:divBdr>
    </w:div>
    <w:div w:id="172234080">
      <w:bodyDiv w:val="1"/>
      <w:marLeft w:val="0"/>
      <w:marRight w:val="0"/>
      <w:marTop w:val="0"/>
      <w:marBottom w:val="0"/>
      <w:divBdr>
        <w:top w:val="none" w:sz="0" w:space="0" w:color="auto"/>
        <w:left w:val="none" w:sz="0" w:space="0" w:color="auto"/>
        <w:bottom w:val="none" w:sz="0" w:space="0" w:color="auto"/>
        <w:right w:val="none" w:sz="0" w:space="0" w:color="auto"/>
      </w:divBdr>
    </w:div>
    <w:div w:id="172305298">
      <w:bodyDiv w:val="1"/>
      <w:marLeft w:val="0"/>
      <w:marRight w:val="0"/>
      <w:marTop w:val="0"/>
      <w:marBottom w:val="0"/>
      <w:divBdr>
        <w:top w:val="none" w:sz="0" w:space="0" w:color="auto"/>
        <w:left w:val="none" w:sz="0" w:space="0" w:color="auto"/>
        <w:bottom w:val="none" w:sz="0" w:space="0" w:color="auto"/>
        <w:right w:val="none" w:sz="0" w:space="0" w:color="auto"/>
      </w:divBdr>
    </w:div>
    <w:div w:id="172381513">
      <w:bodyDiv w:val="1"/>
      <w:marLeft w:val="0"/>
      <w:marRight w:val="0"/>
      <w:marTop w:val="0"/>
      <w:marBottom w:val="0"/>
      <w:divBdr>
        <w:top w:val="none" w:sz="0" w:space="0" w:color="auto"/>
        <w:left w:val="none" w:sz="0" w:space="0" w:color="auto"/>
        <w:bottom w:val="none" w:sz="0" w:space="0" w:color="auto"/>
        <w:right w:val="none" w:sz="0" w:space="0" w:color="auto"/>
      </w:divBdr>
    </w:div>
    <w:div w:id="172576982">
      <w:bodyDiv w:val="1"/>
      <w:marLeft w:val="0"/>
      <w:marRight w:val="0"/>
      <w:marTop w:val="0"/>
      <w:marBottom w:val="0"/>
      <w:divBdr>
        <w:top w:val="none" w:sz="0" w:space="0" w:color="auto"/>
        <w:left w:val="none" w:sz="0" w:space="0" w:color="auto"/>
        <w:bottom w:val="none" w:sz="0" w:space="0" w:color="auto"/>
        <w:right w:val="none" w:sz="0" w:space="0" w:color="auto"/>
      </w:divBdr>
    </w:div>
    <w:div w:id="173110069">
      <w:bodyDiv w:val="1"/>
      <w:marLeft w:val="0"/>
      <w:marRight w:val="0"/>
      <w:marTop w:val="0"/>
      <w:marBottom w:val="0"/>
      <w:divBdr>
        <w:top w:val="none" w:sz="0" w:space="0" w:color="auto"/>
        <w:left w:val="none" w:sz="0" w:space="0" w:color="auto"/>
        <w:bottom w:val="none" w:sz="0" w:space="0" w:color="auto"/>
        <w:right w:val="none" w:sz="0" w:space="0" w:color="auto"/>
      </w:divBdr>
    </w:div>
    <w:div w:id="173158188">
      <w:bodyDiv w:val="1"/>
      <w:marLeft w:val="0"/>
      <w:marRight w:val="0"/>
      <w:marTop w:val="0"/>
      <w:marBottom w:val="0"/>
      <w:divBdr>
        <w:top w:val="none" w:sz="0" w:space="0" w:color="auto"/>
        <w:left w:val="none" w:sz="0" w:space="0" w:color="auto"/>
        <w:bottom w:val="none" w:sz="0" w:space="0" w:color="auto"/>
        <w:right w:val="none" w:sz="0" w:space="0" w:color="auto"/>
      </w:divBdr>
    </w:div>
    <w:div w:id="173230497">
      <w:bodyDiv w:val="1"/>
      <w:marLeft w:val="0"/>
      <w:marRight w:val="0"/>
      <w:marTop w:val="0"/>
      <w:marBottom w:val="0"/>
      <w:divBdr>
        <w:top w:val="none" w:sz="0" w:space="0" w:color="auto"/>
        <w:left w:val="none" w:sz="0" w:space="0" w:color="auto"/>
        <w:bottom w:val="none" w:sz="0" w:space="0" w:color="auto"/>
        <w:right w:val="none" w:sz="0" w:space="0" w:color="auto"/>
      </w:divBdr>
    </w:div>
    <w:div w:id="173304261">
      <w:bodyDiv w:val="1"/>
      <w:marLeft w:val="0"/>
      <w:marRight w:val="0"/>
      <w:marTop w:val="0"/>
      <w:marBottom w:val="0"/>
      <w:divBdr>
        <w:top w:val="none" w:sz="0" w:space="0" w:color="auto"/>
        <w:left w:val="none" w:sz="0" w:space="0" w:color="auto"/>
        <w:bottom w:val="none" w:sz="0" w:space="0" w:color="auto"/>
        <w:right w:val="none" w:sz="0" w:space="0" w:color="auto"/>
      </w:divBdr>
    </w:div>
    <w:div w:id="173306194">
      <w:bodyDiv w:val="1"/>
      <w:marLeft w:val="0"/>
      <w:marRight w:val="0"/>
      <w:marTop w:val="0"/>
      <w:marBottom w:val="0"/>
      <w:divBdr>
        <w:top w:val="none" w:sz="0" w:space="0" w:color="auto"/>
        <w:left w:val="none" w:sz="0" w:space="0" w:color="auto"/>
        <w:bottom w:val="none" w:sz="0" w:space="0" w:color="auto"/>
        <w:right w:val="none" w:sz="0" w:space="0" w:color="auto"/>
      </w:divBdr>
    </w:div>
    <w:div w:id="173610656">
      <w:bodyDiv w:val="1"/>
      <w:marLeft w:val="0"/>
      <w:marRight w:val="0"/>
      <w:marTop w:val="0"/>
      <w:marBottom w:val="0"/>
      <w:divBdr>
        <w:top w:val="none" w:sz="0" w:space="0" w:color="auto"/>
        <w:left w:val="none" w:sz="0" w:space="0" w:color="auto"/>
        <w:bottom w:val="none" w:sz="0" w:space="0" w:color="auto"/>
        <w:right w:val="none" w:sz="0" w:space="0" w:color="auto"/>
      </w:divBdr>
    </w:div>
    <w:div w:id="173611998">
      <w:bodyDiv w:val="1"/>
      <w:marLeft w:val="0"/>
      <w:marRight w:val="0"/>
      <w:marTop w:val="0"/>
      <w:marBottom w:val="0"/>
      <w:divBdr>
        <w:top w:val="none" w:sz="0" w:space="0" w:color="auto"/>
        <w:left w:val="none" w:sz="0" w:space="0" w:color="auto"/>
        <w:bottom w:val="none" w:sz="0" w:space="0" w:color="auto"/>
        <w:right w:val="none" w:sz="0" w:space="0" w:color="auto"/>
      </w:divBdr>
    </w:div>
    <w:div w:id="173808927">
      <w:bodyDiv w:val="1"/>
      <w:marLeft w:val="0"/>
      <w:marRight w:val="0"/>
      <w:marTop w:val="0"/>
      <w:marBottom w:val="0"/>
      <w:divBdr>
        <w:top w:val="none" w:sz="0" w:space="0" w:color="auto"/>
        <w:left w:val="none" w:sz="0" w:space="0" w:color="auto"/>
        <w:bottom w:val="none" w:sz="0" w:space="0" w:color="auto"/>
        <w:right w:val="none" w:sz="0" w:space="0" w:color="auto"/>
      </w:divBdr>
    </w:div>
    <w:div w:id="173955294">
      <w:bodyDiv w:val="1"/>
      <w:marLeft w:val="0"/>
      <w:marRight w:val="0"/>
      <w:marTop w:val="0"/>
      <w:marBottom w:val="0"/>
      <w:divBdr>
        <w:top w:val="none" w:sz="0" w:space="0" w:color="auto"/>
        <w:left w:val="none" w:sz="0" w:space="0" w:color="auto"/>
        <w:bottom w:val="none" w:sz="0" w:space="0" w:color="auto"/>
        <w:right w:val="none" w:sz="0" w:space="0" w:color="auto"/>
      </w:divBdr>
    </w:div>
    <w:div w:id="174197363">
      <w:bodyDiv w:val="1"/>
      <w:marLeft w:val="0"/>
      <w:marRight w:val="0"/>
      <w:marTop w:val="0"/>
      <w:marBottom w:val="0"/>
      <w:divBdr>
        <w:top w:val="none" w:sz="0" w:space="0" w:color="auto"/>
        <w:left w:val="none" w:sz="0" w:space="0" w:color="auto"/>
        <w:bottom w:val="none" w:sz="0" w:space="0" w:color="auto"/>
        <w:right w:val="none" w:sz="0" w:space="0" w:color="auto"/>
      </w:divBdr>
    </w:div>
    <w:div w:id="174225218">
      <w:bodyDiv w:val="1"/>
      <w:marLeft w:val="0"/>
      <w:marRight w:val="0"/>
      <w:marTop w:val="0"/>
      <w:marBottom w:val="0"/>
      <w:divBdr>
        <w:top w:val="none" w:sz="0" w:space="0" w:color="auto"/>
        <w:left w:val="none" w:sz="0" w:space="0" w:color="auto"/>
        <w:bottom w:val="none" w:sz="0" w:space="0" w:color="auto"/>
        <w:right w:val="none" w:sz="0" w:space="0" w:color="auto"/>
      </w:divBdr>
    </w:div>
    <w:div w:id="174342188">
      <w:bodyDiv w:val="1"/>
      <w:marLeft w:val="0"/>
      <w:marRight w:val="0"/>
      <w:marTop w:val="0"/>
      <w:marBottom w:val="0"/>
      <w:divBdr>
        <w:top w:val="none" w:sz="0" w:space="0" w:color="auto"/>
        <w:left w:val="none" w:sz="0" w:space="0" w:color="auto"/>
        <w:bottom w:val="none" w:sz="0" w:space="0" w:color="auto"/>
        <w:right w:val="none" w:sz="0" w:space="0" w:color="auto"/>
      </w:divBdr>
    </w:div>
    <w:div w:id="174653765">
      <w:bodyDiv w:val="1"/>
      <w:marLeft w:val="0"/>
      <w:marRight w:val="0"/>
      <w:marTop w:val="0"/>
      <w:marBottom w:val="0"/>
      <w:divBdr>
        <w:top w:val="none" w:sz="0" w:space="0" w:color="auto"/>
        <w:left w:val="none" w:sz="0" w:space="0" w:color="auto"/>
        <w:bottom w:val="none" w:sz="0" w:space="0" w:color="auto"/>
        <w:right w:val="none" w:sz="0" w:space="0" w:color="auto"/>
      </w:divBdr>
    </w:div>
    <w:div w:id="174685408">
      <w:bodyDiv w:val="1"/>
      <w:marLeft w:val="0"/>
      <w:marRight w:val="0"/>
      <w:marTop w:val="0"/>
      <w:marBottom w:val="0"/>
      <w:divBdr>
        <w:top w:val="none" w:sz="0" w:space="0" w:color="auto"/>
        <w:left w:val="none" w:sz="0" w:space="0" w:color="auto"/>
        <w:bottom w:val="none" w:sz="0" w:space="0" w:color="auto"/>
        <w:right w:val="none" w:sz="0" w:space="0" w:color="auto"/>
      </w:divBdr>
    </w:div>
    <w:div w:id="174923643">
      <w:bodyDiv w:val="1"/>
      <w:marLeft w:val="0"/>
      <w:marRight w:val="0"/>
      <w:marTop w:val="0"/>
      <w:marBottom w:val="0"/>
      <w:divBdr>
        <w:top w:val="none" w:sz="0" w:space="0" w:color="auto"/>
        <w:left w:val="none" w:sz="0" w:space="0" w:color="auto"/>
        <w:bottom w:val="none" w:sz="0" w:space="0" w:color="auto"/>
        <w:right w:val="none" w:sz="0" w:space="0" w:color="auto"/>
      </w:divBdr>
    </w:div>
    <w:div w:id="174927767">
      <w:bodyDiv w:val="1"/>
      <w:marLeft w:val="0"/>
      <w:marRight w:val="0"/>
      <w:marTop w:val="0"/>
      <w:marBottom w:val="0"/>
      <w:divBdr>
        <w:top w:val="none" w:sz="0" w:space="0" w:color="auto"/>
        <w:left w:val="none" w:sz="0" w:space="0" w:color="auto"/>
        <w:bottom w:val="none" w:sz="0" w:space="0" w:color="auto"/>
        <w:right w:val="none" w:sz="0" w:space="0" w:color="auto"/>
      </w:divBdr>
    </w:div>
    <w:div w:id="175123698">
      <w:bodyDiv w:val="1"/>
      <w:marLeft w:val="0"/>
      <w:marRight w:val="0"/>
      <w:marTop w:val="0"/>
      <w:marBottom w:val="0"/>
      <w:divBdr>
        <w:top w:val="none" w:sz="0" w:space="0" w:color="auto"/>
        <w:left w:val="none" w:sz="0" w:space="0" w:color="auto"/>
        <w:bottom w:val="none" w:sz="0" w:space="0" w:color="auto"/>
        <w:right w:val="none" w:sz="0" w:space="0" w:color="auto"/>
      </w:divBdr>
    </w:div>
    <w:div w:id="175383318">
      <w:bodyDiv w:val="1"/>
      <w:marLeft w:val="0"/>
      <w:marRight w:val="0"/>
      <w:marTop w:val="0"/>
      <w:marBottom w:val="0"/>
      <w:divBdr>
        <w:top w:val="none" w:sz="0" w:space="0" w:color="auto"/>
        <w:left w:val="none" w:sz="0" w:space="0" w:color="auto"/>
        <w:bottom w:val="none" w:sz="0" w:space="0" w:color="auto"/>
        <w:right w:val="none" w:sz="0" w:space="0" w:color="auto"/>
      </w:divBdr>
    </w:div>
    <w:div w:id="175506830">
      <w:bodyDiv w:val="1"/>
      <w:marLeft w:val="0"/>
      <w:marRight w:val="0"/>
      <w:marTop w:val="0"/>
      <w:marBottom w:val="0"/>
      <w:divBdr>
        <w:top w:val="none" w:sz="0" w:space="0" w:color="auto"/>
        <w:left w:val="none" w:sz="0" w:space="0" w:color="auto"/>
        <w:bottom w:val="none" w:sz="0" w:space="0" w:color="auto"/>
        <w:right w:val="none" w:sz="0" w:space="0" w:color="auto"/>
      </w:divBdr>
    </w:div>
    <w:div w:id="175509009">
      <w:bodyDiv w:val="1"/>
      <w:marLeft w:val="0"/>
      <w:marRight w:val="0"/>
      <w:marTop w:val="0"/>
      <w:marBottom w:val="0"/>
      <w:divBdr>
        <w:top w:val="none" w:sz="0" w:space="0" w:color="auto"/>
        <w:left w:val="none" w:sz="0" w:space="0" w:color="auto"/>
        <w:bottom w:val="none" w:sz="0" w:space="0" w:color="auto"/>
        <w:right w:val="none" w:sz="0" w:space="0" w:color="auto"/>
      </w:divBdr>
    </w:div>
    <w:div w:id="175926272">
      <w:bodyDiv w:val="1"/>
      <w:marLeft w:val="0"/>
      <w:marRight w:val="0"/>
      <w:marTop w:val="0"/>
      <w:marBottom w:val="0"/>
      <w:divBdr>
        <w:top w:val="none" w:sz="0" w:space="0" w:color="auto"/>
        <w:left w:val="none" w:sz="0" w:space="0" w:color="auto"/>
        <w:bottom w:val="none" w:sz="0" w:space="0" w:color="auto"/>
        <w:right w:val="none" w:sz="0" w:space="0" w:color="auto"/>
      </w:divBdr>
    </w:div>
    <w:div w:id="176165289">
      <w:bodyDiv w:val="1"/>
      <w:marLeft w:val="0"/>
      <w:marRight w:val="0"/>
      <w:marTop w:val="0"/>
      <w:marBottom w:val="0"/>
      <w:divBdr>
        <w:top w:val="none" w:sz="0" w:space="0" w:color="auto"/>
        <w:left w:val="none" w:sz="0" w:space="0" w:color="auto"/>
        <w:bottom w:val="none" w:sz="0" w:space="0" w:color="auto"/>
        <w:right w:val="none" w:sz="0" w:space="0" w:color="auto"/>
      </w:divBdr>
    </w:div>
    <w:div w:id="176239321">
      <w:bodyDiv w:val="1"/>
      <w:marLeft w:val="0"/>
      <w:marRight w:val="0"/>
      <w:marTop w:val="0"/>
      <w:marBottom w:val="0"/>
      <w:divBdr>
        <w:top w:val="none" w:sz="0" w:space="0" w:color="auto"/>
        <w:left w:val="none" w:sz="0" w:space="0" w:color="auto"/>
        <w:bottom w:val="none" w:sz="0" w:space="0" w:color="auto"/>
        <w:right w:val="none" w:sz="0" w:space="0" w:color="auto"/>
      </w:divBdr>
    </w:div>
    <w:div w:id="176389253">
      <w:bodyDiv w:val="1"/>
      <w:marLeft w:val="0"/>
      <w:marRight w:val="0"/>
      <w:marTop w:val="0"/>
      <w:marBottom w:val="0"/>
      <w:divBdr>
        <w:top w:val="none" w:sz="0" w:space="0" w:color="auto"/>
        <w:left w:val="none" w:sz="0" w:space="0" w:color="auto"/>
        <w:bottom w:val="none" w:sz="0" w:space="0" w:color="auto"/>
        <w:right w:val="none" w:sz="0" w:space="0" w:color="auto"/>
      </w:divBdr>
    </w:div>
    <w:div w:id="176501424">
      <w:bodyDiv w:val="1"/>
      <w:marLeft w:val="0"/>
      <w:marRight w:val="0"/>
      <w:marTop w:val="0"/>
      <w:marBottom w:val="0"/>
      <w:divBdr>
        <w:top w:val="none" w:sz="0" w:space="0" w:color="auto"/>
        <w:left w:val="none" w:sz="0" w:space="0" w:color="auto"/>
        <w:bottom w:val="none" w:sz="0" w:space="0" w:color="auto"/>
        <w:right w:val="none" w:sz="0" w:space="0" w:color="auto"/>
      </w:divBdr>
    </w:div>
    <w:div w:id="176696540">
      <w:bodyDiv w:val="1"/>
      <w:marLeft w:val="0"/>
      <w:marRight w:val="0"/>
      <w:marTop w:val="0"/>
      <w:marBottom w:val="0"/>
      <w:divBdr>
        <w:top w:val="none" w:sz="0" w:space="0" w:color="auto"/>
        <w:left w:val="none" w:sz="0" w:space="0" w:color="auto"/>
        <w:bottom w:val="none" w:sz="0" w:space="0" w:color="auto"/>
        <w:right w:val="none" w:sz="0" w:space="0" w:color="auto"/>
      </w:divBdr>
    </w:div>
    <w:div w:id="176776655">
      <w:bodyDiv w:val="1"/>
      <w:marLeft w:val="0"/>
      <w:marRight w:val="0"/>
      <w:marTop w:val="0"/>
      <w:marBottom w:val="0"/>
      <w:divBdr>
        <w:top w:val="none" w:sz="0" w:space="0" w:color="auto"/>
        <w:left w:val="none" w:sz="0" w:space="0" w:color="auto"/>
        <w:bottom w:val="none" w:sz="0" w:space="0" w:color="auto"/>
        <w:right w:val="none" w:sz="0" w:space="0" w:color="auto"/>
      </w:divBdr>
    </w:div>
    <w:div w:id="176817886">
      <w:bodyDiv w:val="1"/>
      <w:marLeft w:val="0"/>
      <w:marRight w:val="0"/>
      <w:marTop w:val="0"/>
      <w:marBottom w:val="0"/>
      <w:divBdr>
        <w:top w:val="none" w:sz="0" w:space="0" w:color="auto"/>
        <w:left w:val="none" w:sz="0" w:space="0" w:color="auto"/>
        <w:bottom w:val="none" w:sz="0" w:space="0" w:color="auto"/>
        <w:right w:val="none" w:sz="0" w:space="0" w:color="auto"/>
      </w:divBdr>
    </w:div>
    <w:div w:id="176887507">
      <w:bodyDiv w:val="1"/>
      <w:marLeft w:val="0"/>
      <w:marRight w:val="0"/>
      <w:marTop w:val="0"/>
      <w:marBottom w:val="0"/>
      <w:divBdr>
        <w:top w:val="none" w:sz="0" w:space="0" w:color="auto"/>
        <w:left w:val="none" w:sz="0" w:space="0" w:color="auto"/>
        <w:bottom w:val="none" w:sz="0" w:space="0" w:color="auto"/>
        <w:right w:val="none" w:sz="0" w:space="0" w:color="auto"/>
      </w:divBdr>
    </w:div>
    <w:div w:id="176963072">
      <w:bodyDiv w:val="1"/>
      <w:marLeft w:val="0"/>
      <w:marRight w:val="0"/>
      <w:marTop w:val="0"/>
      <w:marBottom w:val="0"/>
      <w:divBdr>
        <w:top w:val="none" w:sz="0" w:space="0" w:color="auto"/>
        <w:left w:val="none" w:sz="0" w:space="0" w:color="auto"/>
        <w:bottom w:val="none" w:sz="0" w:space="0" w:color="auto"/>
        <w:right w:val="none" w:sz="0" w:space="0" w:color="auto"/>
      </w:divBdr>
    </w:div>
    <w:div w:id="177157715">
      <w:bodyDiv w:val="1"/>
      <w:marLeft w:val="0"/>
      <w:marRight w:val="0"/>
      <w:marTop w:val="0"/>
      <w:marBottom w:val="0"/>
      <w:divBdr>
        <w:top w:val="none" w:sz="0" w:space="0" w:color="auto"/>
        <w:left w:val="none" w:sz="0" w:space="0" w:color="auto"/>
        <w:bottom w:val="none" w:sz="0" w:space="0" w:color="auto"/>
        <w:right w:val="none" w:sz="0" w:space="0" w:color="auto"/>
      </w:divBdr>
    </w:div>
    <w:div w:id="177160674">
      <w:bodyDiv w:val="1"/>
      <w:marLeft w:val="0"/>
      <w:marRight w:val="0"/>
      <w:marTop w:val="0"/>
      <w:marBottom w:val="0"/>
      <w:divBdr>
        <w:top w:val="none" w:sz="0" w:space="0" w:color="auto"/>
        <w:left w:val="none" w:sz="0" w:space="0" w:color="auto"/>
        <w:bottom w:val="none" w:sz="0" w:space="0" w:color="auto"/>
        <w:right w:val="none" w:sz="0" w:space="0" w:color="auto"/>
      </w:divBdr>
    </w:div>
    <w:div w:id="177164890">
      <w:bodyDiv w:val="1"/>
      <w:marLeft w:val="0"/>
      <w:marRight w:val="0"/>
      <w:marTop w:val="0"/>
      <w:marBottom w:val="0"/>
      <w:divBdr>
        <w:top w:val="none" w:sz="0" w:space="0" w:color="auto"/>
        <w:left w:val="none" w:sz="0" w:space="0" w:color="auto"/>
        <w:bottom w:val="none" w:sz="0" w:space="0" w:color="auto"/>
        <w:right w:val="none" w:sz="0" w:space="0" w:color="auto"/>
      </w:divBdr>
    </w:div>
    <w:div w:id="177699663">
      <w:bodyDiv w:val="1"/>
      <w:marLeft w:val="0"/>
      <w:marRight w:val="0"/>
      <w:marTop w:val="0"/>
      <w:marBottom w:val="0"/>
      <w:divBdr>
        <w:top w:val="none" w:sz="0" w:space="0" w:color="auto"/>
        <w:left w:val="none" w:sz="0" w:space="0" w:color="auto"/>
        <w:bottom w:val="none" w:sz="0" w:space="0" w:color="auto"/>
        <w:right w:val="none" w:sz="0" w:space="0" w:color="auto"/>
      </w:divBdr>
    </w:div>
    <w:div w:id="177700000">
      <w:bodyDiv w:val="1"/>
      <w:marLeft w:val="0"/>
      <w:marRight w:val="0"/>
      <w:marTop w:val="0"/>
      <w:marBottom w:val="0"/>
      <w:divBdr>
        <w:top w:val="none" w:sz="0" w:space="0" w:color="auto"/>
        <w:left w:val="none" w:sz="0" w:space="0" w:color="auto"/>
        <w:bottom w:val="none" w:sz="0" w:space="0" w:color="auto"/>
        <w:right w:val="none" w:sz="0" w:space="0" w:color="auto"/>
      </w:divBdr>
    </w:div>
    <w:div w:id="177738344">
      <w:bodyDiv w:val="1"/>
      <w:marLeft w:val="0"/>
      <w:marRight w:val="0"/>
      <w:marTop w:val="0"/>
      <w:marBottom w:val="0"/>
      <w:divBdr>
        <w:top w:val="none" w:sz="0" w:space="0" w:color="auto"/>
        <w:left w:val="none" w:sz="0" w:space="0" w:color="auto"/>
        <w:bottom w:val="none" w:sz="0" w:space="0" w:color="auto"/>
        <w:right w:val="none" w:sz="0" w:space="0" w:color="auto"/>
      </w:divBdr>
    </w:div>
    <w:div w:id="177738528">
      <w:bodyDiv w:val="1"/>
      <w:marLeft w:val="0"/>
      <w:marRight w:val="0"/>
      <w:marTop w:val="0"/>
      <w:marBottom w:val="0"/>
      <w:divBdr>
        <w:top w:val="none" w:sz="0" w:space="0" w:color="auto"/>
        <w:left w:val="none" w:sz="0" w:space="0" w:color="auto"/>
        <w:bottom w:val="none" w:sz="0" w:space="0" w:color="auto"/>
        <w:right w:val="none" w:sz="0" w:space="0" w:color="auto"/>
      </w:divBdr>
    </w:div>
    <w:div w:id="177935071">
      <w:bodyDiv w:val="1"/>
      <w:marLeft w:val="0"/>
      <w:marRight w:val="0"/>
      <w:marTop w:val="0"/>
      <w:marBottom w:val="0"/>
      <w:divBdr>
        <w:top w:val="none" w:sz="0" w:space="0" w:color="auto"/>
        <w:left w:val="none" w:sz="0" w:space="0" w:color="auto"/>
        <w:bottom w:val="none" w:sz="0" w:space="0" w:color="auto"/>
        <w:right w:val="none" w:sz="0" w:space="0" w:color="auto"/>
      </w:divBdr>
    </w:div>
    <w:div w:id="178355818">
      <w:bodyDiv w:val="1"/>
      <w:marLeft w:val="0"/>
      <w:marRight w:val="0"/>
      <w:marTop w:val="0"/>
      <w:marBottom w:val="0"/>
      <w:divBdr>
        <w:top w:val="none" w:sz="0" w:space="0" w:color="auto"/>
        <w:left w:val="none" w:sz="0" w:space="0" w:color="auto"/>
        <w:bottom w:val="none" w:sz="0" w:space="0" w:color="auto"/>
        <w:right w:val="none" w:sz="0" w:space="0" w:color="auto"/>
      </w:divBdr>
    </w:div>
    <w:div w:id="178547127">
      <w:bodyDiv w:val="1"/>
      <w:marLeft w:val="0"/>
      <w:marRight w:val="0"/>
      <w:marTop w:val="0"/>
      <w:marBottom w:val="0"/>
      <w:divBdr>
        <w:top w:val="none" w:sz="0" w:space="0" w:color="auto"/>
        <w:left w:val="none" w:sz="0" w:space="0" w:color="auto"/>
        <w:bottom w:val="none" w:sz="0" w:space="0" w:color="auto"/>
        <w:right w:val="none" w:sz="0" w:space="0" w:color="auto"/>
      </w:divBdr>
    </w:div>
    <w:div w:id="178667535">
      <w:bodyDiv w:val="1"/>
      <w:marLeft w:val="0"/>
      <w:marRight w:val="0"/>
      <w:marTop w:val="0"/>
      <w:marBottom w:val="0"/>
      <w:divBdr>
        <w:top w:val="none" w:sz="0" w:space="0" w:color="auto"/>
        <w:left w:val="none" w:sz="0" w:space="0" w:color="auto"/>
        <w:bottom w:val="none" w:sz="0" w:space="0" w:color="auto"/>
        <w:right w:val="none" w:sz="0" w:space="0" w:color="auto"/>
      </w:divBdr>
    </w:div>
    <w:div w:id="178858086">
      <w:bodyDiv w:val="1"/>
      <w:marLeft w:val="0"/>
      <w:marRight w:val="0"/>
      <w:marTop w:val="0"/>
      <w:marBottom w:val="0"/>
      <w:divBdr>
        <w:top w:val="none" w:sz="0" w:space="0" w:color="auto"/>
        <w:left w:val="none" w:sz="0" w:space="0" w:color="auto"/>
        <w:bottom w:val="none" w:sz="0" w:space="0" w:color="auto"/>
        <w:right w:val="none" w:sz="0" w:space="0" w:color="auto"/>
      </w:divBdr>
    </w:div>
    <w:div w:id="178861152">
      <w:bodyDiv w:val="1"/>
      <w:marLeft w:val="0"/>
      <w:marRight w:val="0"/>
      <w:marTop w:val="0"/>
      <w:marBottom w:val="0"/>
      <w:divBdr>
        <w:top w:val="none" w:sz="0" w:space="0" w:color="auto"/>
        <w:left w:val="none" w:sz="0" w:space="0" w:color="auto"/>
        <w:bottom w:val="none" w:sz="0" w:space="0" w:color="auto"/>
        <w:right w:val="none" w:sz="0" w:space="0" w:color="auto"/>
      </w:divBdr>
    </w:div>
    <w:div w:id="179054759">
      <w:bodyDiv w:val="1"/>
      <w:marLeft w:val="0"/>
      <w:marRight w:val="0"/>
      <w:marTop w:val="0"/>
      <w:marBottom w:val="0"/>
      <w:divBdr>
        <w:top w:val="none" w:sz="0" w:space="0" w:color="auto"/>
        <w:left w:val="none" w:sz="0" w:space="0" w:color="auto"/>
        <w:bottom w:val="none" w:sz="0" w:space="0" w:color="auto"/>
        <w:right w:val="none" w:sz="0" w:space="0" w:color="auto"/>
      </w:divBdr>
    </w:div>
    <w:div w:id="179129238">
      <w:bodyDiv w:val="1"/>
      <w:marLeft w:val="0"/>
      <w:marRight w:val="0"/>
      <w:marTop w:val="0"/>
      <w:marBottom w:val="0"/>
      <w:divBdr>
        <w:top w:val="none" w:sz="0" w:space="0" w:color="auto"/>
        <w:left w:val="none" w:sz="0" w:space="0" w:color="auto"/>
        <w:bottom w:val="none" w:sz="0" w:space="0" w:color="auto"/>
        <w:right w:val="none" w:sz="0" w:space="0" w:color="auto"/>
      </w:divBdr>
    </w:div>
    <w:div w:id="179440677">
      <w:bodyDiv w:val="1"/>
      <w:marLeft w:val="0"/>
      <w:marRight w:val="0"/>
      <w:marTop w:val="0"/>
      <w:marBottom w:val="0"/>
      <w:divBdr>
        <w:top w:val="none" w:sz="0" w:space="0" w:color="auto"/>
        <w:left w:val="none" w:sz="0" w:space="0" w:color="auto"/>
        <w:bottom w:val="none" w:sz="0" w:space="0" w:color="auto"/>
        <w:right w:val="none" w:sz="0" w:space="0" w:color="auto"/>
      </w:divBdr>
    </w:div>
    <w:div w:id="179511757">
      <w:bodyDiv w:val="1"/>
      <w:marLeft w:val="0"/>
      <w:marRight w:val="0"/>
      <w:marTop w:val="0"/>
      <w:marBottom w:val="0"/>
      <w:divBdr>
        <w:top w:val="none" w:sz="0" w:space="0" w:color="auto"/>
        <w:left w:val="none" w:sz="0" w:space="0" w:color="auto"/>
        <w:bottom w:val="none" w:sz="0" w:space="0" w:color="auto"/>
        <w:right w:val="none" w:sz="0" w:space="0" w:color="auto"/>
      </w:divBdr>
    </w:div>
    <w:div w:id="179516562">
      <w:bodyDiv w:val="1"/>
      <w:marLeft w:val="0"/>
      <w:marRight w:val="0"/>
      <w:marTop w:val="0"/>
      <w:marBottom w:val="0"/>
      <w:divBdr>
        <w:top w:val="none" w:sz="0" w:space="0" w:color="auto"/>
        <w:left w:val="none" w:sz="0" w:space="0" w:color="auto"/>
        <w:bottom w:val="none" w:sz="0" w:space="0" w:color="auto"/>
        <w:right w:val="none" w:sz="0" w:space="0" w:color="auto"/>
      </w:divBdr>
    </w:div>
    <w:div w:id="179661357">
      <w:bodyDiv w:val="1"/>
      <w:marLeft w:val="0"/>
      <w:marRight w:val="0"/>
      <w:marTop w:val="0"/>
      <w:marBottom w:val="0"/>
      <w:divBdr>
        <w:top w:val="none" w:sz="0" w:space="0" w:color="auto"/>
        <w:left w:val="none" w:sz="0" w:space="0" w:color="auto"/>
        <w:bottom w:val="none" w:sz="0" w:space="0" w:color="auto"/>
        <w:right w:val="none" w:sz="0" w:space="0" w:color="auto"/>
      </w:divBdr>
    </w:div>
    <w:div w:id="179661652">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79855131">
      <w:bodyDiv w:val="1"/>
      <w:marLeft w:val="0"/>
      <w:marRight w:val="0"/>
      <w:marTop w:val="0"/>
      <w:marBottom w:val="0"/>
      <w:divBdr>
        <w:top w:val="none" w:sz="0" w:space="0" w:color="auto"/>
        <w:left w:val="none" w:sz="0" w:space="0" w:color="auto"/>
        <w:bottom w:val="none" w:sz="0" w:space="0" w:color="auto"/>
        <w:right w:val="none" w:sz="0" w:space="0" w:color="auto"/>
      </w:divBdr>
    </w:div>
    <w:div w:id="180244955">
      <w:bodyDiv w:val="1"/>
      <w:marLeft w:val="0"/>
      <w:marRight w:val="0"/>
      <w:marTop w:val="0"/>
      <w:marBottom w:val="0"/>
      <w:divBdr>
        <w:top w:val="none" w:sz="0" w:space="0" w:color="auto"/>
        <w:left w:val="none" w:sz="0" w:space="0" w:color="auto"/>
        <w:bottom w:val="none" w:sz="0" w:space="0" w:color="auto"/>
        <w:right w:val="none" w:sz="0" w:space="0" w:color="auto"/>
      </w:divBdr>
    </w:div>
    <w:div w:id="180972005">
      <w:bodyDiv w:val="1"/>
      <w:marLeft w:val="0"/>
      <w:marRight w:val="0"/>
      <w:marTop w:val="0"/>
      <w:marBottom w:val="0"/>
      <w:divBdr>
        <w:top w:val="none" w:sz="0" w:space="0" w:color="auto"/>
        <w:left w:val="none" w:sz="0" w:space="0" w:color="auto"/>
        <w:bottom w:val="none" w:sz="0" w:space="0" w:color="auto"/>
        <w:right w:val="none" w:sz="0" w:space="0" w:color="auto"/>
      </w:divBdr>
    </w:div>
    <w:div w:id="181088238">
      <w:bodyDiv w:val="1"/>
      <w:marLeft w:val="0"/>
      <w:marRight w:val="0"/>
      <w:marTop w:val="0"/>
      <w:marBottom w:val="0"/>
      <w:divBdr>
        <w:top w:val="none" w:sz="0" w:space="0" w:color="auto"/>
        <w:left w:val="none" w:sz="0" w:space="0" w:color="auto"/>
        <w:bottom w:val="none" w:sz="0" w:space="0" w:color="auto"/>
        <w:right w:val="none" w:sz="0" w:space="0" w:color="auto"/>
      </w:divBdr>
    </w:div>
    <w:div w:id="181169369">
      <w:bodyDiv w:val="1"/>
      <w:marLeft w:val="0"/>
      <w:marRight w:val="0"/>
      <w:marTop w:val="0"/>
      <w:marBottom w:val="0"/>
      <w:divBdr>
        <w:top w:val="none" w:sz="0" w:space="0" w:color="auto"/>
        <w:left w:val="none" w:sz="0" w:space="0" w:color="auto"/>
        <w:bottom w:val="none" w:sz="0" w:space="0" w:color="auto"/>
        <w:right w:val="none" w:sz="0" w:space="0" w:color="auto"/>
      </w:divBdr>
    </w:div>
    <w:div w:id="181239675">
      <w:bodyDiv w:val="1"/>
      <w:marLeft w:val="0"/>
      <w:marRight w:val="0"/>
      <w:marTop w:val="0"/>
      <w:marBottom w:val="0"/>
      <w:divBdr>
        <w:top w:val="none" w:sz="0" w:space="0" w:color="auto"/>
        <w:left w:val="none" w:sz="0" w:space="0" w:color="auto"/>
        <w:bottom w:val="none" w:sz="0" w:space="0" w:color="auto"/>
        <w:right w:val="none" w:sz="0" w:space="0" w:color="auto"/>
      </w:divBdr>
    </w:div>
    <w:div w:id="181476137">
      <w:bodyDiv w:val="1"/>
      <w:marLeft w:val="0"/>
      <w:marRight w:val="0"/>
      <w:marTop w:val="0"/>
      <w:marBottom w:val="0"/>
      <w:divBdr>
        <w:top w:val="none" w:sz="0" w:space="0" w:color="auto"/>
        <w:left w:val="none" w:sz="0" w:space="0" w:color="auto"/>
        <w:bottom w:val="none" w:sz="0" w:space="0" w:color="auto"/>
        <w:right w:val="none" w:sz="0" w:space="0" w:color="auto"/>
      </w:divBdr>
    </w:div>
    <w:div w:id="181557036">
      <w:bodyDiv w:val="1"/>
      <w:marLeft w:val="0"/>
      <w:marRight w:val="0"/>
      <w:marTop w:val="0"/>
      <w:marBottom w:val="0"/>
      <w:divBdr>
        <w:top w:val="none" w:sz="0" w:space="0" w:color="auto"/>
        <w:left w:val="none" w:sz="0" w:space="0" w:color="auto"/>
        <w:bottom w:val="none" w:sz="0" w:space="0" w:color="auto"/>
        <w:right w:val="none" w:sz="0" w:space="0" w:color="auto"/>
      </w:divBdr>
    </w:div>
    <w:div w:id="181676018">
      <w:bodyDiv w:val="1"/>
      <w:marLeft w:val="0"/>
      <w:marRight w:val="0"/>
      <w:marTop w:val="0"/>
      <w:marBottom w:val="0"/>
      <w:divBdr>
        <w:top w:val="none" w:sz="0" w:space="0" w:color="auto"/>
        <w:left w:val="none" w:sz="0" w:space="0" w:color="auto"/>
        <w:bottom w:val="none" w:sz="0" w:space="0" w:color="auto"/>
        <w:right w:val="none" w:sz="0" w:space="0" w:color="auto"/>
      </w:divBdr>
    </w:div>
    <w:div w:id="181742744">
      <w:bodyDiv w:val="1"/>
      <w:marLeft w:val="0"/>
      <w:marRight w:val="0"/>
      <w:marTop w:val="0"/>
      <w:marBottom w:val="0"/>
      <w:divBdr>
        <w:top w:val="none" w:sz="0" w:space="0" w:color="auto"/>
        <w:left w:val="none" w:sz="0" w:space="0" w:color="auto"/>
        <w:bottom w:val="none" w:sz="0" w:space="0" w:color="auto"/>
        <w:right w:val="none" w:sz="0" w:space="0" w:color="auto"/>
      </w:divBdr>
    </w:div>
    <w:div w:id="181866625">
      <w:bodyDiv w:val="1"/>
      <w:marLeft w:val="0"/>
      <w:marRight w:val="0"/>
      <w:marTop w:val="0"/>
      <w:marBottom w:val="0"/>
      <w:divBdr>
        <w:top w:val="none" w:sz="0" w:space="0" w:color="auto"/>
        <w:left w:val="none" w:sz="0" w:space="0" w:color="auto"/>
        <w:bottom w:val="none" w:sz="0" w:space="0" w:color="auto"/>
        <w:right w:val="none" w:sz="0" w:space="0" w:color="auto"/>
      </w:divBdr>
    </w:div>
    <w:div w:id="182402164">
      <w:bodyDiv w:val="1"/>
      <w:marLeft w:val="0"/>
      <w:marRight w:val="0"/>
      <w:marTop w:val="0"/>
      <w:marBottom w:val="0"/>
      <w:divBdr>
        <w:top w:val="none" w:sz="0" w:space="0" w:color="auto"/>
        <w:left w:val="none" w:sz="0" w:space="0" w:color="auto"/>
        <w:bottom w:val="none" w:sz="0" w:space="0" w:color="auto"/>
        <w:right w:val="none" w:sz="0" w:space="0" w:color="auto"/>
      </w:divBdr>
    </w:div>
    <w:div w:id="182474936">
      <w:bodyDiv w:val="1"/>
      <w:marLeft w:val="0"/>
      <w:marRight w:val="0"/>
      <w:marTop w:val="0"/>
      <w:marBottom w:val="0"/>
      <w:divBdr>
        <w:top w:val="none" w:sz="0" w:space="0" w:color="auto"/>
        <w:left w:val="none" w:sz="0" w:space="0" w:color="auto"/>
        <w:bottom w:val="none" w:sz="0" w:space="0" w:color="auto"/>
        <w:right w:val="none" w:sz="0" w:space="0" w:color="auto"/>
      </w:divBdr>
    </w:div>
    <w:div w:id="182593402">
      <w:bodyDiv w:val="1"/>
      <w:marLeft w:val="0"/>
      <w:marRight w:val="0"/>
      <w:marTop w:val="0"/>
      <w:marBottom w:val="0"/>
      <w:divBdr>
        <w:top w:val="none" w:sz="0" w:space="0" w:color="auto"/>
        <w:left w:val="none" w:sz="0" w:space="0" w:color="auto"/>
        <w:bottom w:val="none" w:sz="0" w:space="0" w:color="auto"/>
        <w:right w:val="none" w:sz="0" w:space="0" w:color="auto"/>
      </w:divBdr>
    </w:div>
    <w:div w:id="182787675">
      <w:bodyDiv w:val="1"/>
      <w:marLeft w:val="0"/>
      <w:marRight w:val="0"/>
      <w:marTop w:val="0"/>
      <w:marBottom w:val="0"/>
      <w:divBdr>
        <w:top w:val="none" w:sz="0" w:space="0" w:color="auto"/>
        <w:left w:val="none" w:sz="0" w:space="0" w:color="auto"/>
        <w:bottom w:val="none" w:sz="0" w:space="0" w:color="auto"/>
        <w:right w:val="none" w:sz="0" w:space="0" w:color="auto"/>
      </w:divBdr>
    </w:div>
    <w:div w:id="182860654">
      <w:bodyDiv w:val="1"/>
      <w:marLeft w:val="0"/>
      <w:marRight w:val="0"/>
      <w:marTop w:val="0"/>
      <w:marBottom w:val="0"/>
      <w:divBdr>
        <w:top w:val="none" w:sz="0" w:space="0" w:color="auto"/>
        <w:left w:val="none" w:sz="0" w:space="0" w:color="auto"/>
        <w:bottom w:val="none" w:sz="0" w:space="0" w:color="auto"/>
        <w:right w:val="none" w:sz="0" w:space="0" w:color="auto"/>
      </w:divBdr>
    </w:div>
    <w:div w:id="183056445">
      <w:bodyDiv w:val="1"/>
      <w:marLeft w:val="0"/>
      <w:marRight w:val="0"/>
      <w:marTop w:val="0"/>
      <w:marBottom w:val="0"/>
      <w:divBdr>
        <w:top w:val="none" w:sz="0" w:space="0" w:color="auto"/>
        <w:left w:val="none" w:sz="0" w:space="0" w:color="auto"/>
        <w:bottom w:val="none" w:sz="0" w:space="0" w:color="auto"/>
        <w:right w:val="none" w:sz="0" w:space="0" w:color="auto"/>
      </w:divBdr>
    </w:div>
    <w:div w:id="183177670">
      <w:bodyDiv w:val="1"/>
      <w:marLeft w:val="0"/>
      <w:marRight w:val="0"/>
      <w:marTop w:val="0"/>
      <w:marBottom w:val="0"/>
      <w:divBdr>
        <w:top w:val="none" w:sz="0" w:space="0" w:color="auto"/>
        <w:left w:val="none" w:sz="0" w:space="0" w:color="auto"/>
        <w:bottom w:val="none" w:sz="0" w:space="0" w:color="auto"/>
        <w:right w:val="none" w:sz="0" w:space="0" w:color="auto"/>
      </w:divBdr>
    </w:div>
    <w:div w:id="183249104">
      <w:bodyDiv w:val="1"/>
      <w:marLeft w:val="0"/>
      <w:marRight w:val="0"/>
      <w:marTop w:val="0"/>
      <w:marBottom w:val="0"/>
      <w:divBdr>
        <w:top w:val="none" w:sz="0" w:space="0" w:color="auto"/>
        <w:left w:val="none" w:sz="0" w:space="0" w:color="auto"/>
        <w:bottom w:val="none" w:sz="0" w:space="0" w:color="auto"/>
        <w:right w:val="none" w:sz="0" w:space="0" w:color="auto"/>
      </w:divBdr>
    </w:div>
    <w:div w:id="183372293">
      <w:bodyDiv w:val="1"/>
      <w:marLeft w:val="0"/>
      <w:marRight w:val="0"/>
      <w:marTop w:val="0"/>
      <w:marBottom w:val="0"/>
      <w:divBdr>
        <w:top w:val="none" w:sz="0" w:space="0" w:color="auto"/>
        <w:left w:val="none" w:sz="0" w:space="0" w:color="auto"/>
        <w:bottom w:val="none" w:sz="0" w:space="0" w:color="auto"/>
        <w:right w:val="none" w:sz="0" w:space="0" w:color="auto"/>
      </w:divBdr>
    </w:div>
    <w:div w:id="183521388">
      <w:bodyDiv w:val="1"/>
      <w:marLeft w:val="0"/>
      <w:marRight w:val="0"/>
      <w:marTop w:val="0"/>
      <w:marBottom w:val="0"/>
      <w:divBdr>
        <w:top w:val="none" w:sz="0" w:space="0" w:color="auto"/>
        <w:left w:val="none" w:sz="0" w:space="0" w:color="auto"/>
        <w:bottom w:val="none" w:sz="0" w:space="0" w:color="auto"/>
        <w:right w:val="none" w:sz="0" w:space="0" w:color="auto"/>
      </w:divBdr>
    </w:div>
    <w:div w:id="184057122">
      <w:bodyDiv w:val="1"/>
      <w:marLeft w:val="0"/>
      <w:marRight w:val="0"/>
      <w:marTop w:val="0"/>
      <w:marBottom w:val="0"/>
      <w:divBdr>
        <w:top w:val="none" w:sz="0" w:space="0" w:color="auto"/>
        <w:left w:val="none" w:sz="0" w:space="0" w:color="auto"/>
        <w:bottom w:val="none" w:sz="0" w:space="0" w:color="auto"/>
        <w:right w:val="none" w:sz="0" w:space="0" w:color="auto"/>
      </w:divBdr>
    </w:div>
    <w:div w:id="184098139">
      <w:bodyDiv w:val="1"/>
      <w:marLeft w:val="0"/>
      <w:marRight w:val="0"/>
      <w:marTop w:val="0"/>
      <w:marBottom w:val="0"/>
      <w:divBdr>
        <w:top w:val="none" w:sz="0" w:space="0" w:color="auto"/>
        <w:left w:val="none" w:sz="0" w:space="0" w:color="auto"/>
        <w:bottom w:val="none" w:sz="0" w:space="0" w:color="auto"/>
        <w:right w:val="none" w:sz="0" w:space="0" w:color="auto"/>
      </w:divBdr>
    </w:div>
    <w:div w:id="184179350">
      <w:bodyDiv w:val="1"/>
      <w:marLeft w:val="0"/>
      <w:marRight w:val="0"/>
      <w:marTop w:val="0"/>
      <w:marBottom w:val="0"/>
      <w:divBdr>
        <w:top w:val="none" w:sz="0" w:space="0" w:color="auto"/>
        <w:left w:val="none" w:sz="0" w:space="0" w:color="auto"/>
        <w:bottom w:val="none" w:sz="0" w:space="0" w:color="auto"/>
        <w:right w:val="none" w:sz="0" w:space="0" w:color="auto"/>
      </w:divBdr>
    </w:div>
    <w:div w:id="184246596">
      <w:bodyDiv w:val="1"/>
      <w:marLeft w:val="0"/>
      <w:marRight w:val="0"/>
      <w:marTop w:val="0"/>
      <w:marBottom w:val="0"/>
      <w:divBdr>
        <w:top w:val="none" w:sz="0" w:space="0" w:color="auto"/>
        <w:left w:val="none" w:sz="0" w:space="0" w:color="auto"/>
        <w:bottom w:val="none" w:sz="0" w:space="0" w:color="auto"/>
        <w:right w:val="none" w:sz="0" w:space="0" w:color="auto"/>
      </w:divBdr>
    </w:div>
    <w:div w:id="184250216">
      <w:bodyDiv w:val="1"/>
      <w:marLeft w:val="0"/>
      <w:marRight w:val="0"/>
      <w:marTop w:val="0"/>
      <w:marBottom w:val="0"/>
      <w:divBdr>
        <w:top w:val="none" w:sz="0" w:space="0" w:color="auto"/>
        <w:left w:val="none" w:sz="0" w:space="0" w:color="auto"/>
        <w:bottom w:val="none" w:sz="0" w:space="0" w:color="auto"/>
        <w:right w:val="none" w:sz="0" w:space="0" w:color="auto"/>
      </w:divBdr>
    </w:div>
    <w:div w:id="184710880">
      <w:bodyDiv w:val="1"/>
      <w:marLeft w:val="0"/>
      <w:marRight w:val="0"/>
      <w:marTop w:val="0"/>
      <w:marBottom w:val="0"/>
      <w:divBdr>
        <w:top w:val="none" w:sz="0" w:space="0" w:color="auto"/>
        <w:left w:val="none" w:sz="0" w:space="0" w:color="auto"/>
        <w:bottom w:val="none" w:sz="0" w:space="0" w:color="auto"/>
        <w:right w:val="none" w:sz="0" w:space="0" w:color="auto"/>
      </w:divBdr>
    </w:div>
    <w:div w:id="184834793">
      <w:bodyDiv w:val="1"/>
      <w:marLeft w:val="0"/>
      <w:marRight w:val="0"/>
      <w:marTop w:val="0"/>
      <w:marBottom w:val="0"/>
      <w:divBdr>
        <w:top w:val="none" w:sz="0" w:space="0" w:color="auto"/>
        <w:left w:val="none" w:sz="0" w:space="0" w:color="auto"/>
        <w:bottom w:val="none" w:sz="0" w:space="0" w:color="auto"/>
        <w:right w:val="none" w:sz="0" w:space="0" w:color="auto"/>
      </w:divBdr>
    </w:div>
    <w:div w:id="185142156">
      <w:bodyDiv w:val="1"/>
      <w:marLeft w:val="0"/>
      <w:marRight w:val="0"/>
      <w:marTop w:val="0"/>
      <w:marBottom w:val="0"/>
      <w:divBdr>
        <w:top w:val="none" w:sz="0" w:space="0" w:color="auto"/>
        <w:left w:val="none" w:sz="0" w:space="0" w:color="auto"/>
        <w:bottom w:val="none" w:sz="0" w:space="0" w:color="auto"/>
        <w:right w:val="none" w:sz="0" w:space="0" w:color="auto"/>
      </w:divBdr>
    </w:div>
    <w:div w:id="185289827">
      <w:bodyDiv w:val="1"/>
      <w:marLeft w:val="0"/>
      <w:marRight w:val="0"/>
      <w:marTop w:val="0"/>
      <w:marBottom w:val="0"/>
      <w:divBdr>
        <w:top w:val="none" w:sz="0" w:space="0" w:color="auto"/>
        <w:left w:val="none" w:sz="0" w:space="0" w:color="auto"/>
        <w:bottom w:val="none" w:sz="0" w:space="0" w:color="auto"/>
        <w:right w:val="none" w:sz="0" w:space="0" w:color="auto"/>
      </w:divBdr>
    </w:div>
    <w:div w:id="185826924">
      <w:bodyDiv w:val="1"/>
      <w:marLeft w:val="0"/>
      <w:marRight w:val="0"/>
      <w:marTop w:val="0"/>
      <w:marBottom w:val="0"/>
      <w:divBdr>
        <w:top w:val="none" w:sz="0" w:space="0" w:color="auto"/>
        <w:left w:val="none" w:sz="0" w:space="0" w:color="auto"/>
        <w:bottom w:val="none" w:sz="0" w:space="0" w:color="auto"/>
        <w:right w:val="none" w:sz="0" w:space="0" w:color="auto"/>
      </w:divBdr>
    </w:div>
    <w:div w:id="185870543">
      <w:bodyDiv w:val="1"/>
      <w:marLeft w:val="0"/>
      <w:marRight w:val="0"/>
      <w:marTop w:val="0"/>
      <w:marBottom w:val="0"/>
      <w:divBdr>
        <w:top w:val="none" w:sz="0" w:space="0" w:color="auto"/>
        <w:left w:val="none" w:sz="0" w:space="0" w:color="auto"/>
        <w:bottom w:val="none" w:sz="0" w:space="0" w:color="auto"/>
        <w:right w:val="none" w:sz="0" w:space="0" w:color="auto"/>
      </w:divBdr>
    </w:div>
    <w:div w:id="186066135">
      <w:bodyDiv w:val="1"/>
      <w:marLeft w:val="0"/>
      <w:marRight w:val="0"/>
      <w:marTop w:val="0"/>
      <w:marBottom w:val="0"/>
      <w:divBdr>
        <w:top w:val="none" w:sz="0" w:space="0" w:color="auto"/>
        <w:left w:val="none" w:sz="0" w:space="0" w:color="auto"/>
        <w:bottom w:val="none" w:sz="0" w:space="0" w:color="auto"/>
        <w:right w:val="none" w:sz="0" w:space="0" w:color="auto"/>
      </w:divBdr>
    </w:div>
    <w:div w:id="186067272">
      <w:bodyDiv w:val="1"/>
      <w:marLeft w:val="0"/>
      <w:marRight w:val="0"/>
      <w:marTop w:val="0"/>
      <w:marBottom w:val="0"/>
      <w:divBdr>
        <w:top w:val="none" w:sz="0" w:space="0" w:color="auto"/>
        <w:left w:val="none" w:sz="0" w:space="0" w:color="auto"/>
        <w:bottom w:val="none" w:sz="0" w:space="0" w:color="auto"/>
        <w:right w:val="none" w:sz="0" w:space="0" w:color="auto"/>
      </w:divBdr>
    </w:div>
    <w:div w:id="186069238">
      <w:bodyDiv w:val="1"/>
      <w:marLeft w:val="0"/>
      <w:marRight w:val="0"/>
      <w:marTop w:val="0"/>
      <w:marBottom w:val="0"/>
      <w:divBdr>
        <w:top w:val="none" w:sz="0" w:space="0" w:color="auto"/>
        <w:left w:val="none" w:sz="0" w:space="0" w:color="auto"/>
        <w:bottom w:val="none" w:sz="0" w:space="0" w:color="auto"/>
        <w:right w:val="none" w:sz="0" w:space="0" w:color="auto"/>
      </w:divBdr>
    </w:div>
    <w:div w:id="186604603">
      <w:bodyDiv w:val="1"/>
      <w:marLeft w:val="0"/>
      <w:marRight w:val="0"/>
      <w:marTop w:val="0"/>
      <w:marBottom w:val="0"/>
      <w:divBdr>
        <w:top w:val="none" w:sz="0" w:space="0" w:color="auto"/>
        <w:left w:val="none" w:sz="0" w:space="0" w:color="auto"/>
        <w:bottom w:val="none" w:sz="0" w:space="0" w:color="auto"/>
        <w:right w:val="none" w:sz="0" w:space="0" w:color="auto"/>
      </w:divBdr>
    </w:div>
    <w:div w:id="186607316">
      <w:bodyDiv w:val="1"/>
      <w:marLeft w:val="0"/>
      <w:marRight w:val="0"/>
      <w:marTop w:val="0"/>
      <w:marBottom w:val="0"/>
      <w:divBdr>
        <w:top w:val="none" w:sz="0" w:space="0" w:color="auto"/>
        <w:left w:val="none" w:sz="0" w:space="0" w:color="auto"/>
        <w:bottom w:val="none" w:sz="0" w:space="0" w:color="auto"/>
        <w:right w:val="none" w:sz="0" w:space="0" w:color="auto"/>
      </w:divBdr>
    </w:div>
    <w:div w:id="186676312">
      <w:bodyDiv w:val="1"/>
      <w:marLeft w:val="0"/>
      <w:marRight w:val="0"/>
      <w:marTop w:val="0"/>
      <w:marBottom w:val="0"/>
      <w:divBdr>
        <w:top w:val="none" w:sz="0" w:space="0" w:color="auto"/>
        <w:left w:val="none" w:sz="0" w:space="0" w:color="auto"/>
        <w:bottom w:val="none" w:sz="0" w:space="0" w:color="auto"/>
        <w:right w:val="none" w:sz="0" w:space="0" w:color="auto"/>
      </w:divBdr>
    </w:div>
    <w:div w:id="186914248">
      <w:bodyDiv w:val="1"/>
      <w:marLeft w:val="0"/>
      <w:marRight w:val="0"/>
      <w:marTop w:val="0"/>
      <w:marBottom w:val="0"/>
      <w:divBdr>
        <w:top w:val="none" w:sz="0" w:space="0" w:color="auto"/>
        <w:left w:val="none" w:sz="0" w:space="0" w:color="auto"/>
        <w:bottom w:val="none" w:sz="0" w:space="0" w:color="auto"/>
        <w:right w:val="none" w:sz="0" w:space="0" w:color="auto"/>
      </w:divBdr>
    </w:div>
    <w:div w:id="186914435">
      <w:bodyDiv w:val="1"/>
      <w:marLeft w:val="0"/>
      <w:marRight w:val="0"/>
      <w:marTop w:val="0"/>
      <w:marBottom w:val="0"/>
      <w:divBdr>
        <w:top w:val="none" w:sz="0" w:space="0" w:color="auto"/>
        <w:left w:val="none" w:sz="0" w:space="0" w:color="auto"/>
        <w:bottom w:val="none" w:sz="0" w:space="0" w:color="auto"/>
        <w:right w:val="none" w:sz="0" w:space="0" w:color="auto"/>
      </w:divBdr>
    </w:div>
    <w:div w:id="187107506">
      <w:bodyDiv w:val="1"/>
      <w:marLeft w:val="0"/>
      <w:marRight w:val="0"/>
      <w:marTop w:val="0"/>
      <w:marBottom w:val="0"/>
      <w:divBdr>
        <w:top w:val="none" w:sz="0" w:space="0" w:color="auto"/>
        <w:left w:val="none" w:sz="0" w:space="0" w:color="auto"/>
        <w:bottom w:val="none" w:sz="0" w:space="0" w:color="auto"/>
        <w:right w:val="none" w:sz="0" w:space="0" w:color="auto"/>
      </w:divBdr>
    </w:div>
    <w:div w:id="187186308">
      <w:bodyDiv w:val="1"/>
      <w:marLeft w:val="0"/>
      <w:marRight w:val="0"/>
      <w:marTop w:val="0"/>
      <w:marBottom w:val="0"/>
      <w:divBdr>
        <w:top w:val="none" w:sz="0" w:space="0" w:color="auto"/>
        <w:left w:val="none" w:sz="0" w:space="0" w:color="auto"/>
        <w:bottom w:val="none" w:sz="0" w:space="0" w:color="auto"/>
        <w:right w:val="none" w:sz="0" w:space="0" w:color="auto"/>
      </w:divBdr>
    </w:div>
    <w:div w:id="187523123">
      <w:bodyDiv w:val="1"/>
      <w:marLeft w:val="0"/>
      <w:marRight w:val="0"/>
      <w:marTop w:val="0"/>
      <w:marBottom w:val="0"/>
      <w:divBdr>
        <w:top w:val="none" w:sz="0" w:space="0" w:color="auto"/>
        <w:left w:val="none" w:sz="0" w:space="0" w:color="auto"/>
        <w:bottom w:val="none" w:sz="0" w:space="0" w:color="auto"/>
        <w:right w:val="none" w:sz="0" w:space="0" w:color="auto"/>
      </w:divBdr>
    </w:div>
    <w:div w:id="187524046">
      <w:bodyDiv w:val="1"/>
      <w:marLeft w:val="0"/>
      <w:marRight w:val="0"/>
      <w:marTop w:val="0"/>
      <w:marBottom w:val="0"/>
      <w:divBdr>
        <w:top w:val="none" w:sz="0" w:space="0" w:color="auto"/>
        <w:left w:val="none" w:sz="0" w:space="0" w:color="auto"/>
        <w:bottom w:val="none" w:sz="0" w:space="0" w:color="auto"/>
        <w:right w:val="none" w:sz="0" w:space="0" w:color="auto"/>
      </w:divBdr>
    </w:div>
    <w:div w:id="187564842">
      <w:bodyDiv w:val="1"/>
      <w:marLeft w:val="0"/>
      <w:marRight w:val="0"/>
      <w:marTop w:val="0"/>
      <w:marBottom w:val="0"/>
      <w:divBdr>
        <w:top w:val="none" w:sz="0" w:space="0" w:color="auto"/>
        <w:left w:val="none" w:sz="0" w:space="0" w:color="auto"/>
        <w:bottom w:val="none" w:sz="0" w:space="0" w:color="auto"/>
        <w:right w:val="none" w:sz="0" w:space="0" w:color="auto"/>
      </w:divBdr>
    </w:div>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187646802">
      <w:bodyDiv w:val="1"/>
      <w:marLeft w:val="0"/>
      <w:marRight w:val="0"/>
      <w:marTop w:val="0"/>
      <w:marBottom w:val="0"/>
      <w:divBdr>
        <w:top w:val="none" w:sz="0" w:space="0" w:color="auto"/>
        <w:left w:val="none" w:sz="0" w:space="0" w:color="auto"/>
        <w:bottom w:val="none" w:sz="0" w:space="0" w:color="auto"/>
        <w:right w:val="none" w:sz="0" w:space="0" w:color="auto"/>
      </w:divBdr>
    </w:div>
    <w:div w:id="187833988">
      <w:bodyDiv w:val="1"/>
      <w:marLeft w:val="0"/>
      <w:marRight w:val="0"/>
      <w:marTop w:val="0"/>
      <w:marBottom w:val="0"/>
      <w:divBdr>
        <w:top w:val="none" w:sz="0" w:space="0" w:color="auto"/>
        <w:left w:val="none" w:sz="0" w:space="0" w:color="auto"/>
        <w:bottom w:val="none" w:sz="0" w:space="0" w:color="auto"/>
        <w:right w:val="none" w:sz="0" w:space="0" w:color="auto"/>
      </w:divBdr>
    </w:div>
    <w:div w:id="188837035">
      <w:bodyDiv w:val="1"/>
      <w:marLeft w:val="0"/>
      <w:marRight w:val="0"/>
      <w:marTop w:val="0"/>
      <w:marBottom w:val="0"/>
      <w:divBdr>
        <w:top w:val="none" w:sz="0" w:space="0" w:color="auto"/>
        <w:left w:val="none" w:sz="0" w:space="0" w:color="auto"/>
        <w:bottom w:val="none" w:sz="0" w:space="0" w:color="auto"/>
        <w:right w:val="none" w:sz="0" w:space="0" w:color="auto"/>
      </w:divBdr>
    </w:div>
    <w:div w:id="189072196">
      <w:bodyDiv w:val="1"/>
      <w:marLeft w:val="0"/>
      <w:marRight w:val="0"/>
      <w:marTop w:val="0"/>
      <w:marBottom w:val="0"/>
      <w:divBdr>
        <w:top w:val="none" w:sz="0" w:space="0" w:color="auto"/>
        <w:left w:val="none" w:sz="0" w:space="0" w:color="auto"/>
        <w:bottom w:val="none" w:sz="0" w:space="0" w:color="auto"/>
        <w:right w:val="none" w:sz="0" w:space="0" w:color="auto"/>
      </w:divBdr>
    </w:div>
    <w:div w:id="189339753">
      <w:bodyDiv w:val="1"/>
      <w:marLeft w:val="0"/>
      <w:marRight w:val="0"/>
      <w:marTop w:val="0"/>
      <w:marBottom w:val="0"/>
      <w:divBdr>
        <w:top w:val="none" w:sz="0" w:space="0" w:color="auto"/>
        <w:left w:val="none" w:sz="0" w:space="0" w:color="auto"/>
        <w:bottom w:val="none" w:sz="0" w:space="0" w:color="auto"/>
        <w:right w:val="none" w:sz="0" w:space="0" w:color="auto"/>
      </w:divBdr>
    </w:div>
    <w:div w:id="189414496">
      <w:bodyDiv w:val="1"/>
      <w:marLeft w:val="0"/>
      <w:marRight w:val="0"/>
      <w:marTop w:val="0"/>
      <w:marBottom w:val="0"/>
      <w:divBdr>
        <w:top w:val="none" w:sz="0" w:space="0" w:color="auto"/>
        <w:left w:val="none" w:sz="0" w:space="0" w:color="auto"/>
        <w:bottom w:val="none" w:sz="0" w:space="0" w:color="auto"/>
        <w:right w:val="none" w:sz="0" w:space="0" w:color="auto"/>
      </w:divBdr>
    </w:div>
    <w:div w:id="189951103">
      <w:bodyDiv w:val="1"/>
      <w:marLeft w:val="0"/>
      <w:marRight w:val="0"/>
      <w:marTop w:val="0"/>
      <w:marBottom w:val="0"/>
      <w:divBdr>
        <w:top w:val="none" w:sz="0" w:space="0" w:color="auto"/>
        <w:left w:val="none" w:sz="0" w:space="0" w:color="auto"/>
        <w:bottom w:val="none" w:sz="0" w:space="0" w:color="auto"/>
        <w:right w:val="none" w:sz="0" w:space="0" w:color="auto"/>
      </w:divBdr>
    </w:div>
    <w:div w:id="189952923">
      <w:bodyDiv w:val="1"/>
      <w:marLeft w:val="0"/>
      <w:marRight w:val="0"/>
      <w:marTop w:val="0"/>
      <w:marBottom w:val="0"/>
      <w:divBdr>
        <w:top w:val="none" w:sz="0" w:space="0" w:color="auto"/>
        <w:left w:val="none" w:sz="0" w:space="0" w:color="auto"/>
        <w:bottom w:val="none" w:sz="0" w:space="0" w:color="auto"/>
        <w:right w:val="none" w:sz="0" w:space="0" w:color="auto"/>
      </w:divBdr>
    </w:div>
    <w:div w:id="190077116">
      <w:bodyDiv w:val="1"/>
      <w:marLeft w:val="0"/>
      <w:marRight w:val="0"/>
      <w:marTop w:val="0"/>
      <w:marBottom w:val="0"/>
      <w:divBdr>
        <w:top w:val="none" w:sz="0" w:space="0" w:color="auto"/>
        <w:left w:val="none" w:sz="0" w:space="0" w:color="auto"/>
        <w:bottom w:val="none" w:sz="0" w:space="0" w:color="auto"/>
        <w:right w:val="none" w:sz="0" w:space="0" w:color="auto"/>
      </w:divBdr>
    </w:div>
    <w:div w:id="190151635">
      <w:bodyDiv w:val="1"/>
      <w:marLeft w:val="0"/>
      <w:marRight w:val="0"/>
      <w:marTop w:val="0"/>
      <w:marBottom w:val="0"/>
      <w:divBdr>
        <w:top w:val="none" w:sz="0" w:space="0" w:color="auto"/>
        <w:left w:val="none" w:sz="0" w:space="0" w:color="auto"/>
        <w:bottom w:val="none" w:sz="0" w:space="0" w:color="auto"/>
        <w:right w:val="none" w:sz="0" w:space="0" w:color="auto"/>
      </w:divBdr>
    </w:div>
    <w:div w:id="190530275">
      <w:bodyDiv w:val="1"/>
      <w:marLeft w:val="0"/>
      <w:marRight w:val="0"/>
      <w:marTop w:val="0"/>
      <w:marBottom w:val="0"/>
      <w:divBdr>
        <w:top w:val="none" w:sz="0" w:space="0" w:color="auto"/>
        <w:left w:val="none" w:sz="0" w:space="0" w:color="auto"/>
        <w:bottom w:val="none" w:sz="0" w:space="0" w:color="auto"/>
        <w:right w:val="none" w:sz="0" w:space="0" w:color="auto"/>
      </w:divBdr>
    </w:div>
    <w:div w:id="190534817">
      <w:bodyDiv w:val="1"/>
      <w:marLeft w:val="0"/>
      <w:marRight w:val="0"/>
      <w:marTop w:val="0"/>
      <w:marBottom w:val="0"/>
      <w:divBdr>
        <w:top w:val="none" w:sz="0" w:space="0" w:color="auto"/>
        <w:left w:val="none" w:sz="0" w:space="0" w:color="auto"/>
        <w:bottom w:val="none" w:sz="0" w:space="0" w:color="auto"/>
        <w:right w:val="none" w:sz="0" w:space="0" w:color="auto"/>
      </w:divBdr>
    </w:div>
    <w:div w:id="190578698">
      <w:bodyDiv w:val="1"/>
      <w:marLeft w:val="0"/>
      <w:marRight w:val="0"/>
      <w:marTop w:val="0"/>
      <w:marBottom w:val="0"/>
      <w:divBdr>
        <w:top w:val="none" w:sz="0" w:space="0" w:color="auto"/>
        <w:left w:val="none" w:sz="0" w:space="0" w:color="auto"/>
        <w:bottom w:val="none" w:sz="0" w:space="0" w:color="auto"/>
        <w:right w:val="none" w:sz="0" w:space="0" w:color="auto"/>
      </w:divBdr>
    </w:div>
    <w:div w:id="190729205">
      <w:bodyDiv w:val="1"/>
      <w:marLeft w:val="0"/>
      <w:marRight w:val="0"/>
      <w:marTop w:val="0"/>
      <w:marBottom w:val="0"/>
      <w:divBdr>
        <w:top w:val="none" w:sz="0" w:space="0" w:color="auto"/>
        <w:left w:val="none" w:sz="0" w:space="0" w:color="auto"/>
        <w:bottom w:val="none" w:sz="0" w:space="0" w:color="auto"/>
        <w:right w:val="none" w:sz="0" w:space="0" w:color="auto"/>
      </w:divBdr>
    </w:div>
    <w:div w:id="190805832">
      <w:bodyDiv w:val="1"/>
      <w:marLeft w:val="0"/>
      <w:marRight w:val="0"/>
      <w:marTop w:val="0"/>
      <w:marBottom w:val="0"/>
      <w:divBdr>
        <w:top w:val="none" w:sz="0" w:space="0" w:color="auto"/>
        <w:left w:val="none" w:sz="0" w:space="0" w:color="auto"/>
        <w:bottom w:val="none" w:sz="0" w:space="0" w:color="auto"/>
        <w:right w:val="none" w:sz="0" w:space="0" w:color="auto"/>
      </w:divBdr>
    </w:div>
    <w:div w:id="190924070">
      <w:bodyDiv w:val="1"/>
      <w:marLeft w:val="0"/>
      <w:marRight w:val="0"/>
      <w:marTop w:val="0"/>
      <w:marBottom w:val="0"/>
      <w:divBdr>
        <w:top w:val="none" w:sz="0" w:space="0" w:color="auto"/>
        <w:left w:val="none" w:sz="0" w:space="0" w:color="auto"/>
        <w:bottom w:val="none" w:sz="0" w:space="0" w:color="auto"/>
        <w:right w:val="none" w:sz="0" w:space="0" w:color="auto"/>
      </w:divBdr>
    </w:div>
    <w:div w:id="191236328">
      <w:bodyDiv w:val="1"/>
      <w:marLeft w:val="0"/>
      <w:marRight w:val="0"/>
      <w:marTop w:val="0"/>
      <w:marBottom w:val="0"/>
      <w:divBdr>
        <w:top w:val="none" w:sz="0" w:space="0" w:color="auto"/>
        <w:left w:val="none" w:sz="0" w:space="0" w:color="auto"/>
        <w:bottom w:val="none" w:sz="0" w:space="0" w:color="auto"/>
        <w:right w:val="none" w:sz="0" w:space="0" w:color="auto"/>
      </w:divBdr>
    </w:div>
    <w:div w:id="191381417">
      <w:bodyDiv w:val="1"/>
      <w:marLeft w:val="0"/>
      <w:marRight w:val="0"/>
      <w:marTop w:val="0"/>
      <w:marBottom w:val="0"/>
      <w:divBdr>
        <w:top w:val="none" w:sz="0" w:space="0" w:color="auto"/>
        <w:left w:val="none" w:sz="0" w:space="0" w:color="auto"/>
        <w:bottom w:val="none" w:sz="0" w:space="0" w:color="auto"/>
        <w:right w:val="none" w:sz="0" w:space="0" w:color="auto"/>
      </w:divBdr>
    </w:div>
    <w:div w:id="191773817">
      <w:bodyDiv w:val="1"/>
      <w:marLeft w:val="0"/>
      <w:marRight w:val="0"/>
      <w:marTop w:val="0"/>
      <w:marBottom w:val="0"/>
      <w:divBdr>
        <w:top w:val="none" w:sz="0" w:space="0" w:color="auto"/>
        <w:left w:val="none" w:sz="0" w:space="0" w:color="auto"/>
        <w:bottom w:val="none" w:sz="0" w:space="0" w:color="auto"/>
        <w:right w:val="none" w:sz="0" w:space="0" w:color="auto"/>
      </w:divBdr>
    </w:div>
    <w:div w:id="191959110">
      <w:bodyDiv w:val="1"/>
      <w:marLeft w:val="0"/>
      <w:marRight w:val="0"/>
      <w:marTop w:val="0"/>
      <w:marBottom w:val="0"/>
      <w:divBdr>
        <w:top w:val="none" w:sz="0" w:space="0" w:color="auto"/>
        <w:left w:val="none" w:sz="0" w:space="0" w:color="auto"/>
        <w:bottom w:val="none" w:sz="0" w:space="0" w:color="auto"/>
        <w:right w:val="none" w:sz="0" w:space="0" w:color="auto"/>
      </w:divBdr>
    </w:div>
    <w:div w:id="192354544">
      <w:bodyDiv w:val="1"/>
      <w:marLeft w:val="0"/>
      <w:marRight w:val="0"/>
      <w:marTop w:val="0"/>
      <w:marBottom w:val="0"/>
      <w:divBdr>
        <w:top w:val="none" w:sz="0" w:space="0" w:color="auto"/>
        <w:left w:val="none" w:sz="0" w:space="0" w:color="auto"/>
        <w:bottom w:val="none" w:sz="0" w:space="0" w:color="auto"/>
        <w:right w:val="none" w:sz="0" w:space="0" w:color="auto"/>
      </w:divBdr>
    </w:div>
    <w:div w:id="192505020">
      <w:bodyDiv w:val="1"/>
      <w:marLeft w:val="0"/>
      <w:marRight w:val="0"/>
      <w:marTop w:val="0"/>
      <w:marBottom w:val="0"/>
      <w:divBdr>
        <w:top w:val="none" w:sz="0" w:space="0" w:color="auto"/>
        <w:left w:val="none" w:sz="0" w:space="0" w:color="auto"/>
        <w:bottom w:val="none" w:sz="0" w:space="0" w:color="auto"/>
        <w:right w:val="none" w:sz="0" w:space="0" w:color="auto"/>
      </w:divBdr>
    </w:div>
    <w:div w:id="192770443">
      <w:bodyDiv w:val="1"/>
      <w:marLeft w:val="0"/>
      <w:marRight w:val="0"/>
      <w:marTop w:val="0"/>
      <w:marBottom w:val="0"/>
      <w:divBdr>
        <w:top w:val="none" w:sz="0" w:space="0" w:color="auto"/>
        <w:left w:val="none" w:sz="0" w:space="0" w:color="auto"/>
        <w:bottom w:val="none" w:sz="0" w:space="0" w:color="auto"/>
        <w:right w:val="none" w:sz="0" w:space="0" w:color="auto"/>
      </w:divBdr>
    </w:div>
    <w:div w:id="192890970">
      <w:bodyDiv w:val="1"/>
      <w:marLeft w:val="0"/>
      <w:marRight w:val="0"/>
      <w:marTop w:val="0"/>
      <w:marBottom w:val="0"/>
      <w:divBdr>
        <w:top w:val="none" w:sz="0" w:space="0" w:color="auto"/>
        <w:left w:val="none" w:sz="0" w:space="0" w:color="auto"/>
        <w:bottom w:val="none" w:sz="0" w:space="0" w:color="auto"/>
        <w:right w:val="none" w:sz="0" w:space="0" w:color="auto"/>
      </w:divBdr>
    </w:div>
    <w:div w:id="193008508">
      <w:bodyDiv w:val="1"/>
      <w:marLeft w:val="0"/>
      <w:marRight w:val="0"/>
      <w:marTop w:val="0"/>
      <w:marBottom w:val="0"/>
      <w:divBdr>
        <w:top w:val="none" w:sz="0" w:space="0" w:color="auto"/>
        <w:left w:val="none" w:sz="0" w:space="0" w:color="auto"/>
        <w:bottom w:val="none" w:sz="0" w:space="0" w:color="auto"/>
        <w:right w:val="none" w:sz="0" w:space="0" w:color="auto"/>
      </w:divBdr>
    </w:div>
    <w:div w:id="193080861">
      <w:bodyDiv w:val="1"/>
      <w:marLeft w:val="0"/>
      <w:marRight w:val="0"/>
      <w:marTop w:val="0"/>
      <w:marBottom w:val="0"/>
      <w:divBdr>
        <w:top w:val="none" w:sz="0" w:space="0" w:color="auto"/>
        <w:left w:val="none" w:sz="0" w:space="0" w:color="auto"/>
        <w:bottom w:val="none" w:sz="0" w:space="0" w:color="auto"/>
        <w:right w:val="none" w:sz="0" w:space="0" w:color="auto"/>
      </w:divBdr>
    </w:div>
    <w:div w:id="193273604">
      <w:bodyDiv w:val="1"/>
      <w:marLeft w:val="0"/>
      <w:marRight w:val="0"/>
      <w:marTop w:val="0"/>
      <w:marBottom w:val="0"/>
      <w:divBdr>
        <w:top w:val="none" w:sz="0" w:space="0" w:color="auto"/>
        <w:left w:val="none" w:sz="0" w:space="0" w:color="auto"/>
        <w:bottom w:val="none" w:sz="0" w:space="0" w:color="auto"/>
        <w:right w:val="none" w:sz="0" w:space="0" w:color="auto"/>
      </w:divBdr>
    </w:div>
    <w:div w:id="193425462">
      <w:bodyDiv w:val="1"/>
      <w:marLeft w:val="0"/>
      <w:marRight w:val="0"/>
      <w:marTop w:val="0"/>
      <w:marBottom w:val="0"/>
      <w:divBdr>
        <w:top w:val="none" w:sz="0" w:space="0" w:color="auto"/>
        <w:left w:val="none" w:sz="0" w:space="0" w:color="auto"/>
        <w:bottom w:val="none" w:sz="0" w:space="0" w:color="auto"/>
        <w:right w:val="none" w:sz="0" w:space="0" w:color="auto"/>
      </w:divBdr>
    </w:div>
    <w:div w:id="193664039">
      <w:bodyDiv w:val="1"/>
      <w:marLeft w:val="0"/>
      <w:marRight w:val="0"/>
      <w:marTop w:val="0"/>
      <w:marBottom w:val="0"/>
      <w:divBdr>
        <w:top w:val="none" w:sz="0" w:space="0" w:color="auto"/>
        <w:left w:val="none" w:sz="0" w:space="0" w:color="auto"/>
        <w:bottom w:val="none" w:sz="0" w:space="0" w:color="auto"/>
        <w:right w:val="none" w:sz="0" w:space="0" w:color="auto"/>
      </w:divBdr>
    </w:div>
    <w:div w:id="193739845">
      <w:bodyDiv w:val="1"/>
      <w:marLeft w:val="0"/>
      <w:marRight w:val="0"/>
      <w:marTop w:val="0"/>
      <w:marBottom w:val="0"/>
      <w:divBdr>
        <w:top w:val="none" w:sz="0" w:space="0" w:color="auto"/>
        <w:left w:val="none" w:sz="0" w:space="0" w:color="auto"/>
        <w:bottom w:val="none" w:sz="0" w:space="0" w:color="auto"/>
        <w:right w:val="none" w:sz="0" w:space="0" w:color="auto"/>
      </w:divBdr>
    </w:div>
    <w:div w:id="193931857">
      <w:bodyDiv w:val="1"/>
      <w:marLeft w:val="0"/>
      <w:marRight w:val="0"/>
      <w:marTop w:val="0"/>
      <w:marBottom w:val="0"/>
      <w:divBdr>
        <w:top w:val="none" w:sz="0" w:space="0" w:color="auto"/>
        <w:left w:val="none" w:sz="0" w:space="0" w:color="auto"/>
        <w:bottom w:val="none" w:sz="0" w:space="0" w:color="auto"/>
        <w:right w:val="none" w:sz="0" w:space="0" w:color="auto"/>
      </w:divBdr>
    </w:div>
    <w:div w:id="194119382">
      <w:bodyDiv w:val="1"/>
      <w:marLeft w:val="0"/>
      <w:marRight w:val="0"/>
      <w:marTop w:val="0"/>
      <w:marBottom w:val="0"/>
      <w:divBdr>
        <w:top w:val="none" w:sz="0" w:space="0" w:color="auto"/>
        <w:left w:val="none" w:sz="0" w:space="0" w:color="auto"/>
        <w:bottom w:val="none" w:sz="0" w:space="0" w:color="auto"/>
        <w:right w:val="none" w:sz="0" w:space="0" w:color="auto"/>
      </w:divBdr>
    </w:div>
    <w:div w:id="194579898">
      <w:bodyDiv w:val="1"/>
      <w:marLeft w:val="0"/>
      <w:marRight w:val="0"/>
      <w:marTop w:val="0"/>
      <w:marBottom w:val="0"/>
      <w:divBdr>
        <w:top w:val="none" w:sz="0" w:space="0" w:color="auto"/>
        <w:left w:val="none" w:sz="0" w:space="0" w:color="auto"/>
        <w:bottom w:val="none" w:sz="0" w:space="0" w:color="auto"/>
        <w:right w:val="none" w:sz="0" w:space="0" w:color="auto"/>
      </w:divBdr>
    </w:div>
    <w:div w:id="194773980">
      <w:bodyDiv w:val="1"/>
      <w:marLeft w:val="0"/>
      <w:marRight w:val="0"/>
      <w:marTop w:val="0"/>
      <w:marBottom w:val="0"/>
      <w:divBdr>
        <w:top w:val="none" w:sz="0" w:space="0" w:color="auto"/>
        <w:left w:val="none" w:sz="0" w:space="0" w:color="auto"/>
        <w:bottom w:val="none" w:sz="0" w:space="0" w:color="auto"/>
        <w:right w:val="none" w:sz="0" w:space="0" w:color="auto"/>
      </w:divBdr>
    </w:div>
    <w:div w:id="194774499">
      <w:bodyDiv w:val="1"/>
      <w:marLeft w:val="0"/>
      <w:marRight w:val="0"/>
      <w:marTop w:val="0"/>
      <w:marBottom w:val="0"/>
      <w:divBdr>
        <w:top w:val="none" w:sz="0" w:space="0" w:color="auto"/>
        <w:left w:val="none" w:sz="0" w:space="0" w:color="auto"/>
        <w:bottom w:val="none" w:sz="0" w:space="0" w:color="auto"/>
        <w:right w:val="none" w:sz="0" w:space="0" w:color="auto"/>
      </w:divBdr>
    </w:div>
    <w:div w:id="194855563">
      <w:bodyDiv w:val="1"/>
      <w:marLeft w:val="0"/>
      <w:marRight w:val="0"/>
      <w:marTop w:val="0"/>
      <w:marBottom w:val="0"/>
      <w:divBdr>
        <w:top w:val="none" w:sz="0" w:space="0" w:color="auto"/>
        <w:left w:val="none" w:sz="0" w:space="0" w:color="auto"/>
        <w:bottom w:val="none" w:sz="0" w:space="0" w:color="auto"/>
        <w:right w:val="none" w:sz="0" w:space="0" w:color="auto"/>
      </w:divBdr>
    </w:div>
    <w:div w:id="195119823">
      <w:bodyDiv w:val="1"/>
      <w:marLeft w:val="0"/>
      <w:marRight w:val="0"/>
      <w:marTop w:val="0"/>
      <w:marBottom w:val="0"/>
      <w:divBdr>
        <w:top w:val="none" w:sz="0" w:space="0" w:color="auto"/>
        <w:left w:val="none" w:sz="0" w:space="0" w:color="auto"/>
        <w:bottom w:val="none" w:sz="0" w:space="0" w:color="auto"/>
        <w:right w:val="none" w:sz="0" w:space="0" w:color="auto"/>
      </w:divBdr>
    </w:div>
    <w:div w:id="195123271">
      <w:bodyDiv w:val="1"/>
      <w:marLeft w:val="0"/>
      <w:marRight w:val="0"/>
      <w:marTop w:val="0"/>
      <w:marBottom w:val="0"/>
      <w:divBdr>
        <w:top w:val="none" w:sz="0" w:space="0" w:color="auto"/>
        <w:left w:val="none" w:sz="0" w:space="0" w:color="auto"/>
        <w:bottom w:val="none" w:sz="0" w:space="0" w:color="auto"/>
        <w:right w:val="none" w:sz="0" w:space="0" w:color="auto"/>
      </w:divBdr>
    </w:div>
    <w:div w:id="195196968">
      <w:bodyDiv w:val="1"/>
      <w:marLeft w:val="0"/>
      <w:marRight w:val="0"/>
      <w:marTop w:val="0"/>
      <w:marBottom w:val="0"/>
      <w:divBdr>
        <w:top w:val="none" w:sz="0" w:space="0" w:color="auto"/>
        <w:left w:val="none" w:sz="0" w:space="0" w:color="auto"/>
        <w:bottom w:val="none" w:sz="0" w:space="0" w:color="auto"/>
        <w:right w:val="none" w:sz="0" w:space="0" w:color="auto"/>
      </w:divBdr>
    </w:div>
    <w:div w:id="195316930">
      <w:bodyDiv w:val="1"/>
      <w:marLeft w:val="0"/>
      <w:marRight w:val="0"/>
      <w:marTop w:val="0"/>
      <w:marBottom w:val="0"/>
      <w:divBdr>
        <w:top w:val="none" w:sz="0" w:space="0" w:color="auto"/>
        <w:left w:val="none" w:sz="0" w:space="0" w:color="auto"/>
        <w:bottom w:val="none" w:sz="0" w:space="0" w:color="auto"/>
        <w:right w:val="none" w:sz="0" w:space="0" w:color="auto"/>
      </w:divBdr>
    </w:div>
    <w:div w:id="195389094">
      <w:bodyDiv w:val="1"/>
      <w:marLeft w:val="0"/>
      <w:marRight w:val="0"/>
      <w:marTop w:val="0"/>
      <w:marBottom w:val="0"/>
      <w:divBdr>
        <w:top w:val="none" w:sz="0" w:space="0" w:color="auto"/>
        <w:left w:val="none" w:sz="0" w:space="0" w:color="auto"/>
        <w:bottom w:val="none" w:sz="0" w:space="0" w:color="auto"/>
        <w:right w:val="none" w:sz="0" w:space="0" w:color="auto"/>
      </w:divBdr>
    </w:div>
    <w:div w:id="195625608">
      <w:bodyDiv w:val="1"/>
      <w:marLeft w:val="0"/>
      <w:marRight w:val="0"/>
      <w:marTop w:val="0"/>
      <w:marBottom w:val="0"/>
      <w:divBdr>
        <w:top w:val="none" w:sz="0" w:space="0" w:color="auto"/>
        <w:left w:val="none" w:sz="0" w:space="0" w:color="auto"/>
        <w:bottom w:val="none" w:sz="0" w:space="0" w:color="auto"/>
        <w:right w:val="none" w:sz="0" w:space="0" w:color="auto"/>
      </w:divBdr>
    </w:div>
    <w:div w:id="195656676">
      <w:bodyDiv w:val="1"/>
      <w:marLeft w:val="0"/>
      <w:marRight w:val="0"/>
      <w:marTop w:val="0"/>
      <w:marBottom w:val="0"/>
      <w:divBdr>
        <w:top w:val="none" w:sz="0" w:space="0" w:color="auto"/>
        <w:left w:val="none" w:sz="0" w:space="0" w:color="auto"/>
        <w:bottom w:val="none" w:sz="0" w:space="0" w:color="auto"/>
        <w:right w:val="none" w:sz="0" w:space="0" w:color="auto"/>
      </w:divBdr>
    </w:div>
    <w:div w:id="195780775">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240824">
      <w:bodyDiv w:val="1"/>
      <w:marLeft w:val="0"/>
      <w:marRight w:val="0"/>
      <w:marTop w:val="0"/>
      <w:marBottom w:val="0"/>
      <w:divBdr>
        <w:top w:val="none" w:sz="0" w:space="0" w:color="auto"/>
        <w:left w:val="none" w:sz="0" w:space="0" w:color="auto"/>
        <w:bottom w:val="none" w:sz="0" w:space="0" w:color="auto"/>
        <w:right w:val="none" w:sz="0" w:space="0" w:color="auto"/>
      </w:divBdr>
    </w:div>
    <w:div w:id="196241531">
      <w:bodyDiv w:val="1"/>
      <w:marLeft w:val="0"/>
      <w:marRight w:val="0"/>
      <w:marTop w:val="0"/>
      <w:marBottom w:val="0"/>
      <w:divBdr>
        <w:top w:val="none" w:sz="0" w:space="0" w:color="auto"/>
        <w:left w:val="none" w:sz="0" w:space="0" w:color="auto"/>
        <w:bottom w:val="none" w:sz="0" w:space="0" w:color="auto"/>
        <w:right w:val="none" w:sz="0" w:space="0" w:color="auto"/>
      </w:divBdr>
    </w:div>
    <w:div w:id="196432361">
      <w:bodyDiv w:val="1"/>
      <w:marLeft w:val="0"/>
      <w:marRight w:val="0"/>
      <w:marTop w:val="0"/>
      <w:marBottom w:val="0"/>
      <w:divBdr>
        <w:top w:val="none" w:sz="0" w:space="0" w:color="auto"/>
        <w:left w:val="none" w:sz="0" w:space="0" w:color="auto"/>
        <w:bottom w:val="none" w:sz="0" w:space="0" w:color="auto"/>
        <w:right w:val="none" w:sz="0" w:space="0" w:color="auto"/>
      </w:divBdr>
    </w:div>
    <w:div w:id="196698978">
      <w:bodyDiv w:val="1"/>
      <w:marLeft w:val="0"/>
      <w:marRight w:val="0"/>
      <w:marTop w:val="0"/>
      <w:marBottom w:val="0"/>
      <w:divBdr>
        <w:top w:val="none" w:sz="0" w:space="0" w:color="auto"/>
        <w:left w:val="none" w:sz="0" w:space="0" w:color="auto"/>
        <w:bottom w:val="none" w:sz="0" w:space="0" w:color="auto"/>
        <w:right w:val="none" w:sz="0" w:space="0" w:color="auto"/>
      </w:divBdr>
    </w:div>
    <w:div w:id="196819769">
      <w:bodyDiv w:val="1"/>
      <w:marLeft w:val="0"/>
      <w:marRight w:val="0"/>
      <w:marTop w:val="0"/>
      <w:marBottom w:val="0"/>
      <w:divBdr>
        <w:top w:val="none" w:sz="0" w:space="0" w:color="auto"/>
        <w:left w:val="none" w:sz="0" w:space="0" w:color="auto"/>
        <w:bottom w:val="none" w:sz="0" w:space="0" w:color="auto"/>
        <w:right w:val="none" w:sz="0" w:space="0" w:color="auto"/>
      </w:divBdr>
    </w:div>
    <w:div w:id="196967090">
      <w:bodyDiv w:val="1"/>
      <w:marLeft w:val="0"/>
      <w:marRight w:val="0"/>
      <w:marTop w:val="0"/>
      <w:marBottom w:val="0"/>
      <w:divBdr>
        <w:top w:val="none" w:sz="0" w:space="0" w:color="auto"/>
        <w:left w:val="none" w:sz="0" w:space="0" w:color="auto"/>
        <w:bottom w:val="none" w:sz="0" w:space="0" w:color="auto"/>
        <w:right w:val="none" w:sz="0" w:space="0" w:color="auto"/>
      </w:divBdr>
    </w:div>
    <w:div w:id="197596287">
      <w:bodyDiv w:val="1"/>
      <w:marLeft w:val="0"/>
      <w:marRight w:val="0"/>
      <w:marTop w:val="0"/>
      <w:marBottom w:val="0"/>
      <w:divBdr>
        <w:top w:val="none" w:sz="0" w:space="0" w:color="auto"/>
        <w:left w:val="none" w:sz="0" w:space="0" w:color="auto"/>
        <w:bottom w:val="none" w:sz="0" w:space="0" w:color="auto"/>
        <w:right w:val="none" w:sz="0" w:space="0" w:color="auto"/>
      </w:divBdr>
    </w:div>
    <w:div w:id="197621183">
      <w:bodyDiv w:val="1"/>
      <w:marLeft w:val="0"/>
      <w:marRight w:val="0"/>
      <w:marTop w:val="0"/>
      <w:marBottom w:val="0"/>
      <w:divBdr>
        <w:top w:val="none" w:sz="0" w:space="0" w:color="auto"/>
        <w:left w:val="none" w:sz="0" w:space="0" w:color="auto"/>
        <w:bottom w:val="none" w:sz="0" w:space="0" w:color="auto"/>
        <w:right w:val="none" w:sz="0" w:space="0" w:color="auto"/>
      </w:divBdr>
    </w:div>
    <w:div w:id="198082145">
      <w:bodyDiv w:val="1"/>
      <w:marLeft w:val="0"/>
      <w:marRight w:val="0"/>
      <w:marTop w:val="0"/>
      <w:marBottom w:val="0"/>
      <w:divBdr>
        <w:top w:val="none" w:sz="0" w:space="0" w:color="auto"/>
        <w:left w:val="none" w:sz="0" w:space="0" w:color="auto"/>
        <w:bottom w:val="none" w:sz="0" w:space="0" w:color="auto"/>
        <w:right w:val="none" w:sz="0" w:space="0" w:color="auto"/>
      </w:divBdr>
    </w:div>
    <w:div w:id="198317795">
      <w:bodyDiv w:val="1"/>
      <w:marLeft w:val="0"/>
      <w:marRight w:val="0"/>
      <w:marTop w:val="0"/>
      <w:marBottom w:val="0"/>
      <w:divBdr>
        <w:top w:val="none" w:sz="0" w:space="0" w:color="auto"/>
        <w:left w:val="none" w:sz="0" w:space="0" w:color="auto"/>
        <w:bottom w:val="none" w:sz="0" w:space="0" w:color="auto"/>
        <w:right w:val="none" w:sz="0" w:space="0" w:color="auto"/>
      </w:divBdr>
    </w:div>
    <w:div w:id="198705694">
      <w:bodyDiv w:val="1"/>
      <w:marLeft w:val="0"/>
      <w:marRight w:val="0"/>
      <w:marTop w:val="0"/>
      <w:marBottom w:val="0"/>
      <w:divBdr>
        <w:top w:val="none" w:sz="0" w:space="0" w:color="auto"/>
        <w:left w:val="none" w:sz="0" w:space="0" w:color="auto"/>
        <w:bottom w:val="none" w:sz="0" w:space="0" w:color="auto"/>
        <w:right w:val="none" w:sz="0" w:space="0" w:color="auto"/>
      </w:divBdr>
    </w:div>
    <w:div w:id="198713024">
      <w:bodyDiv w:val="1"/>
      <w:marLeft w:val="0"/>
      <w:marRight w:val="0"/>
      <w:marTop w:val="0"/>
      <w:marBottom w:val="0"/>
      <w:divBdr>
        <w:top w:val="none" w:sz="0" w:space="0" w:color="auto"/>
        <w:left w:val="none" w:sz="0" w:space="0" w:color="auto"/>
        <w:bottom w:val="none" w:sz="0" w:space="0" w:color="auto"/>
        <w:right w:val="none" w:sz="0" w:space="0" w:color="auto"/>
      </w:divBdr>
    </w:div>
    <w:div w:id="199050406">
      <w:bodyDiv w:val="1"/>
      <w:marLeft w:val="0"/>
      <w:marRight w:val="0"/>
      <w:marTop w:val="0"/>
      <w:marBottom w:val="0"/>
      <w:divBdr>
        <w:top w:val="none" w:sz="0" w:space="0" w:color="auto"/>
        <w:left w:val="none" w:sz="0" w:space="0" w:color="auto"/>
        <w:bottom w:val="none" w:sz="0" w:space="0" w:color="auto"/>
        <w:right w:val="none" w:sz="0" w:space="0" w:color="auto"/>
      </w:divBdr>
    </w:div>
    <w:div w:id="199172880">
      <w:bodyDiv w:val="1"/>
      <w:marLeft w:val="0"/>
      <w:marRight w:val="0"/>
      <w:marTop w:val="0"/>
      <w:marBottom w:val="0"/>
      <w:divBdr>
        <w:top w:val="none" w:sz="0" w:space="0" w:color="auto"/>
        <w:left w:val="none" w:sz="0" w:space="0" w:color="auto"/>
        <w:bottom w:val="none" w:sz="0" w:space="0" w:color="auto"/>
        <w:right w:val="none" w:sz="0" w:space="0" w:color="auto"/>
      </w:divBdr>
    </w:div>
    <w:div w:id="199323670">
      <w:bodyDiv w:val="1"/>
      <w:marLeft w:val="0"/>
      <w:marRight w:val="0"/>
      <w:marTop w:val="0"/>
      <w:marBottom w:val="0"/>
      <w:divBdr>
        <w:top w:val="none" w:sz="0" w:space="0" w:color="auto"/>
        <w:left w:val="none" w:sz="0" w:space="0" w:color="auto"/>
        <w:bottom w:val="none" w:sz="0" w:space="0" w:color="auto"/>
        <w:right w:val="none" w:sz="0" w:space="0" w:color="auto"/>
      </w:divBdr>
    </w:div>
    <w:div w:id="199323782">
      <w:bodyDiv w:val="1"/>
      <w:marLeft w:val="0"/>
      <w:marRight w:val="0"/>
      <w:marTop w:val="0"/>
      <w:marBottom w:val="0"/>
      <w:divBdr>
        <w:top w:val="none" w:sz="0" w:space="0" w:color="auto"/>
        <w:left w:val="none" w:sz="0" w:space="0" w:color="auto"/>
        <w:bottom w:val="none" w:sz="0" w:space="0" w:color="auto"/>
        <w:right w:val="none" w:sz="0" w:space="0" w:color="auto"/>
      </w:divBdr>
    </w:div>
    <w:div w:id="199830743">
      <w:bodyDiv w:val="1"/>
      <w:marLeft w:val="0"/>
      <w:marRight w:val="0"/>
      <w:marTop w:val="0"/>
      <w:marBottom w:val="0"/>
      <w:divBdr>
        <w:top w:val="none" w:sz="0" w:space="0" w:color="auto"/>
        <w:left w:val="none" w:sz="0" w:space="0" w:color="auto"/>
        <w:bottom w:val="none" w:sz="0" w:space="0" w:color="auto"/>
        <w:right w:val="none" w:sz="0" w:space="0" w:color="auto"/>
      </w:divBdr>
    </w:div>
    <w:div w:id="200171557">
      <w:bodyDiv w:val="1"/>
      <w:marLeft w:val="0"/>
      <w:marRight w:val="0"/>
      <w:marTop w:val="0"/>
      <w:marBottom w:val="0"/>
      <w:divBdr>
        <w:top w:val="none" w:sz="0" w:space="0" w:color="auto"/>
        <w:left w:val="none" w:sz="0" w:space="0" w:color="auto"/>
        <w:bottom w:val="none" w:sz="0" w:space="0" w:color="auto"/>
        <w:right w:val="none" w:sz="0" w:space="0" w:color="auto"/>
      </w:divBdr>
    </w:div>
    <w:div w:id="200671635">
      <w:bodyDiv w:val="1"/>
      <w:marLeft w:val="0"/>
      <w:marRight w:val="0"/>
      <w:marTop w:val="0"/>
      <w:marBottom w:val="0"/>
      <w:divBdr>
        <w:top w:val="none" w:sz="0" w:space="0" w:color="auto"/>
        <w:left w:val="none" w:sz="0" w:space="0" w:color="auto"/>
        <w:bottom w:val="none" w:sz="0" w:space="0" w:color="auto"/>
        <w:right w:val="none" w:sz="0" w:space="0" w:color="auto"/>
      </w:divBdr>
    </w:div>
    <w:div w:id="200751345">
      <w:bodyDiv w:val="1"/>
      <w:marLeft w:val="0"/>
      <w:marRight w:val="0"/>
      <w:marTop w:val="0"/>
      <w:marBottom w:val="0"/>
      <w:divBdr>
        <w:top w:val="none" w:sz="0" w:space="0" w:color="auto"/>
        <w:left w:val="none" w:sz="0" w:space="0" w:color="auto"/>
        <w:bottom w:val="none" w:sz="0" w:space="0" w:color="auto"/>
        <w:right w:val="none" w:sz="0" w:space="0" w:color="auto"/>
      </w:divBdr>
    </w:div>
    <w:div w:id="200870124">
      <w:bodyDiv w:val="1"/>
      <w:marLeft w:val="0"/>
      <w:marRight w:val="0"/>
      <w:marTop w:val="0"/>
      <w:marBottom w:val="0"/>
      <w:divBdr>
        <w:top w:val="none" w:sz="0" w:space="0" w:color="auto"/>
        <w:left w:val="none" w:sz="0" w:space="0" w:color="auto"/>
        <w:bottom w:val="none" w:sz="0" w:space="0" w:color="auto"/>
        <w:right w:val="none" w:sz="0" w:space="0" w:color="auto"/>
      </w:divBdr>
    </w:div>
    <w:div w:id="200948140">
      <w:bodyDiv w:val="1"/>
      <w:marLeft w:val="0"/>
      <w:marRight w:val="0"/>
      <w:marTop w:val="0"/>
      <w:marBottom w:val="0"/>
      <w:divBdr>
        <w:top w:val="none" w:sz="0" w:space="0" w:color="auto"/>
        <w:left w:val="none" w:sz="0" w:space="0" w:color="auto"/>
        <w:bottom w:val="none" w:sz="0" w:space="0" w:color="auto"/>
        <w:right w:val="none" w:sz="0" w:space="0" w:color="auto"/>
      </w:divBdr>
    </w:div>
    <w:div w:id="201091619">
      <w:bodyDiv w:val="1"/>
      <w:marLeft w:val="0"/>
      <w:marRight w:val="0"/>
      <w:marTop w:val="0"/>
      <w:marBottom w:val="0"/>
      <w:divBdr>
        <w:top w:val="none" w:sz="0" w:space="0" w:color="auto"/>
        <w:left w:val="none" w:sz="0" w:space="0" w:color="auto"/>
        <w:bottom w:val="none" w:sz="0" w:space="0" w:color="auto"/>
        <w:right w:val="none" w:sz="0" w:space="0" w:color="auto"/>
      </w:divBdr>
    </w:div>
    <w:div w:id="201285064">
      <w:bodyDiv w:val="1"/>
      <w:marLeft w:val="0"/>
      <w:marRight w:val="0"/>
      <w:marTop w:val="0"/>
      <w:marBottom w:val="0"/>
      <w:divBdr>
        <w:top w:val="none" w:sz="0" w:space="0" w:color="auto"/>
        <w:left w:val="none" w:sz="0" w:space="0" w:color="auto"/>
        <w:bottom w:val="none" w:sz="0" w:space="0" w:color="auto"/>
        <w:right w:val="none" w:sz="0" w:space="0" w:color="auto"/>
      </w:divBdr>
    </w:div>
    <w:div w:id="201286941">
      <w:bodyDiv w:val="1"/>
      <w:marLeft w:val="0"/>
      <w:marRight w:val="0"/>
      <w:marTop w:val="0"/>
      <w:marBottom w:val="0"/>
      <w:divBdr>
        <w:top w:val="none" w:sz="0" w:space="0" w:color="auto"/>
        <w:left w:val="none" w:sz="0" w:space="0" w:color="auto"/>
        <w:bottom w:val="none" w:sz="0" w:space="0" w:color="auto"/>
        <w:right w:val="none" w:sz="0" w:space="0" w:color="auto"/>
      </w:divBdr>
    </w:div>
    <w:div w:id="201401541">
      <w:bodyDiv w:val="1"/>
      <w:marLeft w:val="0"/>
      <w:marRight w:val="0"/>
      <w:marTop w:val="0"/>
      <w:marBottom w:val="0"/>
      <w:divBdr>
        <w:top w:val="none" w:sz="0" w:space="0" w:color="auto"/>
        <w:left w:val="none" w:sz="0" w:space="0" w:color="auto"/>
        <w:bottom w:val="none" w:sz="0" w:space="0" w:color="auto"/>
        <w:right w:val="none" w:sz="0" w:space="0" w:color="auto"/>
      </w:divBdr>
    </w:div>
    <w:div w:id="201528167">
      <w:bodyDiv w:val="1"/>
      <w:marLeft w:val="0"/>
      <w:marRight w:val="0"/>
      <w:marTop w:val="0"/>
      <w:marBottom w:val="0"/>
      <w:divBdr>
        <w:top w:val="none" w:sz="0" w:space="0" w:color="auto"/>
        <w:left w:val="none" w:sz="0" w:space="0" w:color="auto"/>
        <w:bottom w:val="none" w:sz="0" w:space="0" w:color="auto"/>
        <w:right w:val="none" w:sz="0" w:space="0" w:color="auto"/>
      </w:divBdr>
    </w:div>
    <w:div w:id="201676331">
      <w:bodyDiv w:val="1"/>
      <w:marLeft w:val="0"/>
      <w:marRight w:val="0"/>
      <w:marTop w:val="0"/>
      <w:marBottom w:val="0"/>
      <w:divBdr>
        <w:top w:val="none" w:sz="0" w:space="0" w:color="auto"/>
        <w:left w:val="none" w:sz="0" w:space="0" w:color="auto"/>
        <w:bottom w:val="none" w:sz="0" w:space="0" w:color="auto"/>
        <w:right w:val="none" w:sz="0" w:space="0" w:color="auto"/>
      </w:divBdr>
    </w:div>
    <w:div w:id="201748597">
      <w:bodyDiv w:val="1"/>
      <w:marLeft w:val="0"/>
      <w:marRight w:val="0"/>
      <w:marTop w:val="0"/>
      <w:marBottom w:val="0"/>
      <w:divBdr>
        <w:top w:val="none" w:sz="0" w:space="0" w:color="auto"/>
        <w:left w:val="none" w:sz="0" w:space="0" w:color="auto"/>
        <w:bottom w:val="none" w:sz="0" w:space="0" w:color="auto"/>
        <w:right w:val="none" w:sz="0" w:space="0" w:color="auto"/>
      </w:divBdr>
    </w:div>
    <w:div w:id="202207453">
      <w:bodyDiv w:val="1"/>
      <w:marLeft w:val="0"/>
      <w:marRight w:val="0"/>
      <w:marTop w:val="0"/>
      <w:marBottom w:val="0"/>
      <w:divBdr>
        <w:top w:val="none" w:sz="0" w:space="0" w:color="auto"/>
        <w:left w:val="none" w:sz="0" w:space="0" w:color="auto"/>
        <w:bottom w:val="none" w:sz="0" w:space="0" w:color="auto"/>
        <w:right w:val="none" w:sz="0" w:space="0" w:color="auto"/>
      </w:divBdr>
    </w:div>
    <w:div w:id="202518239">
      <w:bodyDiv w:val="1"/>
      <w:marLeft w:val="0"/>
      <w:marRight w:val="0"/>
      <w:marTop w:val="0"/>
      <w:marBottom w:val="0"/>
      <w:divBdr>
        <w:top w:val="none" w:sz="0" w:space="0" w:color="auto"/>
        <w:left w:val="none" w:sz="0" w:space="0" w:color="auto"/>
        <w:bottom w:val="none" w:sz="0" w:space="0" w:color="auto"/>
        <w:right w:val="none" w:sz="0" w:space="0" w:color="auto"/>
      </w:divBdr>
    </w:div>
    <w:div w:id="202596201">
      <w:bodyDiv w:val="1"/>
      <w:marLeft w:val="0"/>
      <w:marRight w:val="0"/>
      <w:marTop w:val="0"/>
      <w:marBottom w:val="0"/>
      <w:divBdr>
        <w:top w:val="none" w:sz="0" w:space="0" w:color="auto"/>
        <w:left w:val="none" w:sz="0" w:space="0" w:color="auto"/>
        <w:bottom w:val="none" w:sz="0" w:space="0" w:color="auto"/>
        <w:right w:val="none" w:sz="0" w:space="0" w:color="auto"/>
      </w:divBdr>
    </w:div>
    <w:div w:id="202642477">
      <w:bodyDiv w:val="1"/>
      <w:marLeft w:val="0"/>
      <w:marRight w:val="0"/>
      <w:marTop w:val="0"/>
      <w:marBottom w:val="0"/>
      <w:divBdr>
        <w:top w:val="none" w:sz="0" w:space="0" w:color="auto"/>
        <w:left w:val="none" w:sz="0" w:space="0" w:color="auto"/>
        <w:bottom w:val="none" w:sz="0" w:space="0" w:color="auto"/>
        <w:right w:val="none" w:sz="0" w:space="0" w:color="auto"/>
      </w:divBdr>
    </w:div>
    <w:div w:id="202984576">
      <w:bodyDiv w:val="1"/>
      <w:marLeft w:val="0"/>
      <w:marRight w:val="0"/>
      <w:marTop w:val="0"/>
      <w:marBottom w:val="0"/>
      <w:divBdr>
        <w:top w:val="none" w:sz="0" w:space="0" w:color="auto"/>
        <w:left w:val="none" w:sz="0" w:space="0" w:color="auto"/>
        <w:bottom w:val="none" w:sz="0" w:space="0" w:color="auto"/>
        <w:right w:val="none" w:sz="0" w:space="0" w:color="auto"/>
      </w:divBdr>
    </w:div>
    <w:div w:id="203325211">
      <w:bodyDiv w:val="1"/>
      <w:marLeft w:val="0"/>
      <w:marRight w:val="0"/>
      <w:marTop w:val="0"/>
      <w:marBottom w:val="0"/>
      <w:divBdr>
        <w:top w:val="none" w:sz="0" w:space="0" w:color="auto"/>
        <w:left w:val="none" w:sz="0" w:space="0" w:color="auto"/>
        <w:bottom w:val="none" w:sz="0" w:space="0" w:color="auto"/>
        <w:right w:val="none" w:sz="0" w:space="0" w:color="auto"/>
      </w:divBdr>
    </w:div>
    <w:div w:id="203829846">
      <w:bodyDiv w:val="1"/>
      <w:marLeft w:val="0"/>
      <w:marRight w:val="0"/>
      <w:marTop w:val="0"/>
      <w:marBottom w:val="0"/>
      <w:divBdr>
        <w:top w:val="none" w:sz="0" w:space="0" w:color="auto"/>
        <w:left w:val="none" w:sz="0" w:space="0" w:color="auto"/>
        <w:bottom w:val="none" w:sz="0" w:space="0" w:color="auto"/>
        <w:right w:val="none" w:sz="0" w:space="0" w:color="auto"/>
      </w:divBdr>
    </w:div>
    <w:div w:id="203906042">
      <w:bodyDiv w:val="1"/>
      <w:marLeft w:val="0"/>
      <w:marRight w:val="0"/>
      <w:marTop w:val="0"/>
      <w:marBottom w:val="0"/>
      <w:divBdr>
        <w:top w:val="none" w:sz="0" w:space="0" w:color="auto"/>
        <w:left w:val="none" w:sz="0" w:space="0" w:color="auto"/>
        <w:bottom w:val="none" w:sz="0" w:space="0" w:color="auto"/>
        <w:right w:val="none" w:sz="0" w:space="0" w:color="auto"/>
      </w:divBdr>
    </w:div>
    <w:div w:id="204295652">
      <w:bodyDiv w:val="1"/>
      <w:marLeft w:val="0"/>
      <w:marRight w:val="0"/>
      <w:marTop w:val="0"/>
      <w:marBottom w:val="0"/>
      <w:divBdr>
        <w:top w:val="none" w:sz="0" w:space="0" w:color="auto"/>
        <w:left w:val="none" w:sz="0" w:space="0" w:color="auto"/>
        <w:bottom w:val="none" w:sz="0" w:space="0" w:color="auto"/>
        <w:right w:val="none" w:sz="0" w:space="0" w:color="auto"/>
      </w:divBdr>
    </w:div>
    <w:div w:id="204413134">
      <w:bodyDiv w:val="1"/>
      <w:marLeft w:val="0"/>
      <w:marRight w:val="0"/>
      <w:marTop w:val="0"/>
      <w:marBottom w:val="0"/>
      <w:divBdr>
        <w:top w:val="none" w:sz="0" w:space="0" w:color="auto"/>
        <w:left w:val="none" w:sz="0" w:space="0" w:color="auto"/>
        <w:bottom w:val="none" w:sz="0" w:space="0" w:color="auto"/>
        <w:right w:val="none" w:sz="0" w:space="0" w:color="auto"/>
      </w:divBdr>
    </w:div>
    <w:div w:id="204414592">
      <w:bodyDiv w:val="1"/>
      <w:marLeft w:val="0"/>
      <w:marRight w:val="0"/>
      <w:marTop w:val="0"/>
      <w:marBottom w:val="0"/>
      <w:divBdr>
        <w:top w:val="none" w:sz="0" w:space="0" w:color="auto"/>
        <w:left w:val="none" w:sz="0" w:space="0" w:color="auto"/>
        <w:bottom w:val="none" w:sz="0" w:space="0" w:color="auto"/>
        <w:right w:val="none" w:sz="0" w:space="0" w:color="auto"/>
      </w:divBdr>
    </w:div>
    <w:div w:id="204561015">
      <w:bodyDiv w:val="1"/>
      <w:marLeft w:val="0"/>
      <w:marRight w:val="0"/>
      <w:marTop w:val="0"/>
      <w:marBottom w:val="0"/>
      <w:divBdr>
        <w:top w:val="none" w:sz="0" w:space="0" w:color="auto"/>
        <w:left w:val="none" w:sz="0" w:space="0" w:color="auto"/>
        <w:bottom w:val="none" w:sz="0" w:space="0" w:color="auto"/>
        <w:right w:val="none" w:sz="0" w:space="0" w:color="auto"/>
      </w:divBdr>
    </w:div>
    <w:div w:id="204680586">
      <w:bodyDiv w:val="1"/>
      <w:marLeft w:val="0"/>
      <w:marRight w:val="0"/>
      <w:marTop w:val="0"/>
      <w:marBottom w:val="0"/>
      <w:divBdr>
        <w:top w:val="none" w:sz="0" w:space="0" w:color="auto"/>
        <w:left w:val="none" w:sz="0" w:space="0" w:color="auto"/>
        <w:bottom w:val="none" w:sz="0" w:space="0" w:color="auto"/>
        <w:right w:val="none" w:sz="0" w:space="0" w:color="auto"/>
      </w:divBdr>
    </w:div>
    <w:div w:id="204830995">
      <w:bodyDiv w:val="1"/>
      <w:marLeft w:val="0"/>
      <w:marRight w:val="0"/>
      <w:marTop w:val="0"/>
      <w:marBottom w:val="0"/>
      <w:divBdr>
        <w:top w:val="none" w:sz="0" w:space="0" w:color="auto"/>
        <w:left w:val="none" w:sz="0" w:space="0" w:color="auto"/>
        <w:bottom w:val="none" w:sz="0" w:space="0" w:color="auto"/>
        <w:right w:val="none" w:sz="0" w:space="0" w:color="auto"/>
      </w:divBdr>
    </w:div>
    <w:div w:id="204877734">
      <w:bodyDiv w:val="1"/>
      <w:marLeft w:val="0"/>
      <w:marRight w:val="0"/>
      <w:marTop w:val="0"/>
      <w:marBottom w:val="0"/>
      <w:divBdr>
        <w:top w:val="none" w:sz="0" w:space="0" w:color="auto"/>
        <w:left w:val="none" w:sz="0" w:space="0" w:color="auto"/>
        <w:bottom w:val="none" w:sz="0" w:space="0" w:color="auto"/>
        <w:right w:val="none" w:sz="0" w:space="0" w:color="auto"/>
      </w:divBdr>
    </w:div>
    <w:div w:id="205145119">
      <w:bodyDiv w:val="1"/>
      <w:marLeft w:val="0"/>
      <w:marRight w:val="0"/>
      <w:marTop w:val="0"/>
      <w:marBottom w:val="0"/>
      <w:divBdr>
        <w:top w:val="none" w:sz="0" w:space="0" w:color="auto"/>
        <w:left w:val="none" w:sz="0" w:space="0" w:color="auto"/>
        <w:bottom w:val="none" w:sz="0" w:space="0" w:color="auto"/>
        <w:right w:val="none" w:sz="0" w:space="0" w:color="auto"/>
      </w:divBdr>
    </w:div>
    <w:div w:id="205601697">
      <w:bodyDiv w:val="1"/>
      <w:marLeft w:val="0"/>
      <w:marRight w:val="0"/>
      <w:marTop w:val="0"/>
      <w:marBottom w:val="0"/>
      <w:divBdr>
        <w:top w:val="none" w:sz="0" w:space="0" w:color="auto"/>
        <w:left w:val="none" w:sz="0" w:space="0" w:color="auto"/>
        <w:bottom w:val="none" w:sz="0" w:space="0" w:color="auto"/>
        <w:right w:val="none" w:sz="0" w:space="0" w:color="auto"/>
      </w:divBdr>
    </w:div>
    <w:div w:id="205681487">
      <w:bodyDiv w:val="1"/>
      <w:marLeft w:val="0"/>
      <w:marRight w:val="0"/>
      <w:marTop w:val="0"/>
      <w:marBottom w:val="0"/>
      <w:divBdr>
        <w:top w:val="none" w:sz="0" w:space="0" w:color="auto"/>
        <w:left w:val="none" w:sz="0" w:space="0" w:color="auto"/>
        <w:bottom w:val="none" w:sz="0" w:space="0" w:color="auto"/>
        <w:right w:val="none" w:sz="0" w:space="0" w:color="auto"/>
      </w:divBdr>
    </w:div>
    <w:div w:id="205725451">
      <w:bodyDiv w:val="1"/>
      <w:marLeft w:val="0"/>
      <w:marRight w:val="0"/>
      <w:marTop w:val="0"/>
      <w:marBottom w:val="0"/>
      <w:divBdr>
        <w:top w:val="none" w:sz="0" w:space="0" w:color="auto"/>
        <w:left w:val="none" w:sz="0" w:space="0" w:color="auto"/>
        <w:bottom w:val="none" w:sz="0" w:space="0" w:color="auto"/>
        <w:right w:val="none" w:sz="0" w:space="0" w:color="auto"/>
      </w:divBdr>
    </w:div>
    <w:div w:id="205870723">
      <w:bodyDiv w:val="1"/>
      <w:marLeft w:val="0"/>
      <w:marRight w:val="0"/>
      <w:marTop w:val="0"/>
      <w:marBottom w:val="0"/>
      <w:divBdr>
        <w:top w:val="none" w:sz="0" w:space="0" w:color="auto"/>
        <w:left w:val="none" w:sz="0" w:space="0" w:color="auto"/>
        <w:bottom w:val="none" w:sz="0" w:space="0" w:color="auto"/>
        <w:right w:val="none" w:sz="0" w:space="0" w:color="auto"/>
      </w:divBdr>
    </w:div>
    <w:div w:id="205877334">
      <w:bodyDiv w:val="1"/>
      <w:marLeft w:val="0"/>
      <w:marRight w:val="0"/>
      <w:marTop w:val="0"/>
      <w:marBottom w:val="0"/>
      <w:divBdr>
        <w:top w:val="none" w:sz="0" w:space="0" w:color="auto"/>
        <w:left w:val="none" w:sz="0" w:space="0" w:color="auto"/>
        <w:bottom w:val="none" w:sz="0" w:space="0" w:color="auto"/>
        <w:right w:val="none" w:sz="0" w:space="0" w:color="auto"/>
      </w:divBdr>
    </w:div>
    <w:div w:id="205920244">
      <w:bodyDiv w:val="1"/>
      <w:marLeft w:val="0"/>
      <w:marRight w:val="0"/>
      <w:marTop w:val="0"/>
      <w:marBottom w:val="0"/>
      <w:divBdr>
        <w:top w:val="none" w:sz="0" w:space="0" w:color="auto"/>
        <w:left w:val="none" w:sz="0" w:space="0" w:color="auto"/>
        <w:bottom w:val="none" w:sz="0" w:space="0" w:color="auto"/>
        <w:right w:val="none" w:sz="0" w:space="0" w:color="auto"/>
      </w:divBdr>
    </w:div>
    <w:div w:id="205990683">
      <w:bodyDiv w:val="1"/>
      <w:marLeft w:val="0"/>
      <w:marRight w:val="0"/>
      <w:marTop w:val="0"/>
      <w:marBottom w:val="0"/>
      <w:divBdr>
        <w:top w:val="none" w:sz="0" w:space="0" w:color="auto"/>
        <w:left w:val="none" w:sz="0" w:space="0" w:color="auto"/>
        <w:bottom w:val="none" w:sz="0" w:space="0" w:color="auto"/>
        <w:right w:val="none" w:sz="0" w:space="0" w:color="auto"/>
      </w:divBdr>
    </w:div>
    <w:div w:id="206334137">
      <w:bodyDiv w:val="1"/>
      <w:marLeft w:val="0"/>
      <w:marRight w:val="0"/>
      <w:marTop w:val="0"/>
      <w:marBottom w:val="0"/>
      <w:divBdr>
        <w:top w:val="none" w:sz="0" w:space="0" w:color="auto"/>
        <w:left w:val="none" w:sz="0" w:space="0" w:color="auto"/>
        <w:bottom w:val="none" w:sz="0" w:space="0" w:color="auto"/>
        <w:right w:val="none" w:sz="0" w:space="0" w:color="auto"/>
      </w:divBdr>
    </w:div>
    <w:div w:id="206652114">
      <w:bodyDiv w:val="1"/>
      <w:marLeft w:val="0"/>
      <w:marRight w:val="0"/>
      <w:marTop w:val="0"/>
      <w:marBottom w:val="0"/>
      <w:divBdr>
        <w:top w:val="none" w:sz="0" w:space="0" w:color="auto"/>
        <w:left w:val="none" w:sz="0" w:space="0" w:color="auto"/>
        <w:bottom w:val="none" w:sz="0" w:space="0" w:color="auto"/>
        <w:right w:val="none" w:sz="0" w:space="0" w:color="auto"/>
      </w:divBdr>
    </w:div>
    <w:div w:id="206719102">
      <w:bodyDiv w:val="1"/>
      <w:marLeft w:val="0"/>
      <w:marRight w:val="0"/>
      <w:marTop w:val="0"/>
      <w:marBottom w:val="0"/>
      <w:divBdr>
        <w:top w:val="none" w:sz="0" w:space="0" w:color="auto"/>
        <w:left w:val="none" w:sz="0" w:space="0" w:color="auto"/>
        <w:bottom w:val="none" w:sz="0" w:space="0" w:color="auto"/>
        <w:right w:val="none" w:sz="0" w:space="0" w:color="auto"/>
      </w:divBdr>
    </w:div>
    <w:div w:id="206769637">
      <w:bodyDiv w:val="1"/>
      <w:marLeft w:val="0"/>
      <w:marRight w:val="0"/>
      <w:marTop w:val="0"/>
      <w:marBottom w:val="0"/>
      <w:divBdr>
        <w:top w:val="none" w:sz="0" w:space="0" w:color="auto"/>
        <w:left w:val="none" w:sz="0" w:space="0" w:color="auto"/>
        <w:bottom w:val="none" w:sz="0" w:space="0" w:color="auto"/>
        <w:right w:val="none" w:sz="0" w:space="0" w:color="auto"/>
      </w:divBdr>
    </w:div>
    <w:div w:id="207301563">
      <w:bodyDiv w:val="1"/>
      <w:marLeft w:val="0"/>
      <w:marRight w:val="0"/>
      <w:marTop w:val="0"/>
      <w:marBottom w:val="0"/>
      <w:divBdr>
        <w:top w:val="none" w:sz="0" w:space="0" w:color="auto"/>
        <w:left w:val="none" w:sz="0" w:space="0" w:color="auto"/>
        <w:bottom w:val="none" w:sz="0" w:space="0" w:color="auto"/>
        <w:right w:val="none" w:sz="0" w:space="0" w:color="auto"/>
      </w:divBdr>
    </w:div>
    <w:div w:id="207306293">
      <w:bodyDiv w:val="1"/>
      <w:marLeft w:val="0"/>
      <w:marRight w:val="0"/>
      <w:marTop w:val="0"/>
      <w:marBottom w:val="0"/>
      <w:divBdr>
        <w:top w:val="none" w:sz="0" w:space="0" w:color="auto"/>
        <w:left w:val="none" w:sz="0" w:space="0" w:color="auto"/>
        <w:bottom w:val="none" w:sz="0" w:space="0" w:color="auto"/>
        <w:right w:val="none" w:sz="0" w:space="0" w:color="auto"/>
      </w:divBdr>
    </w:div>
    <w:div w:id="207492999">
      <w:bodyDiv w:val="1"/>
      <w:marLeft w:val="0"/>
      <w:marRight w:val="0"/>
      <w:marTop w:val="0"/>
      <w:marBottom w:val="0"/>
      <w:divBdr>
        <w:top w:val="none" w:sz="0" w:space="0" w:color="auto"/>
        <w:left w:val="none" w:sz="0" w:space="0" w:color="auto"/>
        <w:bottom w:val="none" w:sz="0" w:space="0" w:color="auto"/>
        <w:right w:val="none" w:sz="0" w:space="0" w:color="auto"/>
      </w:divBdr>
    </w:div>
    <w:div w:id="207761638">
      <w:bodyDiv w:val="1"/>
      <w:marLeft w:val="0"/>
      <w:marRight w:val="0"/>
      <w:marTop w:val="0"/>
      <w:marBottom w:val="0"/>
      <w:divBdr>
        <w:top w:val="none" w:sz="0" w:space="0" w:color="auto"/>
        <w:left w:val="none" w:sz="0" w:space="0" w:color="auto"/>
        <w:bottom w:val="none" w:sz="0" w:space="0" w:color="auto"/>
        <w:right w:val="none" w:sz="0" w:space="0" w:color="auto"/>
      </w:divBdr>
    </w:div>
    <w:div w:id="208227330">
      <w:bodyDiv w:val="1"/>
      <w:marLeft w:val="0"/>
      <w:marRight w:val="0"/>
      <w:marTop w:val="0"/>
      <w:marBottom w:val="0"/>
      <w:divBdr>
        <w:top w:val="none" w:sz="0" w:space="0" w:color="auto"/>
        <w:left w:val="none" w:sz="0" w:space="0" w:color="auto"/>
        <w:bottom w:val="none" w:sz="0" w:space="0" w:color="auto"/>
        <w:right w:val="none" w:sz="0" w:space="0" w:color="auto"/>
      </w:divBdr>
    </w:div>
    <w:div w:id="208343851">
      <w:bodyDiv w:val="1"/>
      <w:marLeft w:val="0"/>
      <w:marRight w:val="0"/>
      <w:marTop w:val="0"/>
      <w:marBottom w:val="0"/>
      <w:divBdr>
        <w:top w:val="none" w:sz="0" w:space="0" w:color="auto"/>
        <w:left w:val="none" w:sz="0" w:space="0" w:color="auto"/>
        <w:bottom w:val="none" w:sz="0" w:space="0" w:color="auto"/>
        <w:right w:val="none" w:sz="0" w:space="0" w:color="auto"/>
      </w:divBdr>
    </w:div>
    <w:div w:id="208612890">
      <w:bodyDiv w:val="1"/>
      <w:marLeft w:val="0"/>
      <w:marRight w:val="0"/>
      <w:marTop w:val="0"/>
      <w:marBottom w:val="0"/>
      <w:divBdr>
        <w:top w:val="none" w:sz="0" w:space="0" w:color="auto"/>
        <w:left w:val="none" w:sz="0" w:space="0" w:color="auto"/>
        <w:bottom w:val="none" w:sz="0" w:space="0" w:color="auto"/>
        <w:right w:val="none" w:sz="0" w:space="0" w:color="auto"/>
      </w:divBdr>
    </w:div>
    <w:div w:id="208685969">
      <w:bodyDiv w:val="1"/>
      <w:marLeft w:val="0"/>
      <w:marRight w:val="0"/>
      <w:marTop w:val="0"/>
      <w:marBottom w:val="0"/>
      <w:divBdr>
        <w:top w:val="none" w:sz="0" w:space="0" w:color="auto"/>
        <w:left w:val="none" w:sz="0" w:space="0" w:color="auto"/>
        <w:bottom w:val="none" w:sz="0" w:space="0" w:color="auto"/>
        <w:right w:val="none" w:sz="0" w:space="0" w:color="auto"/>
      </w:divBdr>
    </w:div>
    <w:div w:id="209264107">
      <w:bodyDiv w:val="1"/>
      <w:marLeft w:val="0"/>
      <w:marRight w:val="0"/>
      <w:marTop w:val="0"/>
      <w:marBottom w:val="0"/>
      <w:divBdr>
        <w:top w:val="none" w:sz="0" w:space="0" w:color="auto"/>
        <w:left w:val="none" w:sz="0" w:space="0" w:color="auto"/>
        <w:bottom w:val="none" w:sz="0" w:space="0" w:color="auto"/>
        <w:right w:val="none" w:sz="0" w:space="0" w:color="auto"/>
      </w:divBdr>
    </w:div>
    <w:div w:id="209340239">
      <w:bodyDiv w:val="1"/>
      <w:marLeft w:val="0"/>
      <w:marRight w:val="0"/>
      <w:marTop w:val="0"/>
      <w:marBottom w:val="0"/>
      <w:divBdr>
        <w:top w:val="none" w:sz="0" w:space="0" w:color="auto"/>
        <w:left w:val="none" w:sz="0" w:space="0" w:color="auto"/>
        <w:bottom w:val="none" w:sz="0" w:space="0" w:color="auto"/>
        <w:right w:val="none" w:sz="0" w:space="0" w:color="auto"/>
      </w:divBdr>
    </w:div>
    <w:div w:id="209463534">
      <w:bodyDiv w:val="1"/>
      <w:marLeft w:val="0"/>
      <w:marRight w:val="0"/>
      <w:marTop w:val="0"/>
      <w:marBottom w:val="0"/>
      <w:divBdr>
        <w:top w:val="none" w:sz="0" w:space="0" w:color="auto"/>
        <w:left w:val="none" w:sz="0" w:space="0" w:color="auto"/>
        <w:bottom w:val="none" w:sz="0" w:space="0" w:color="auto"/>
        <w:right w:val="none" w:sz="0" w:space="0" w:color="auto"/>
      </w:divBdr>
    </w:div>
    <w:div w:id="209538343">
      <w:bodyDiv w:val="1"/>
      <w:marLeft w:val="0"/>
      <w:marRight w:val="0"/>
      <w:marTop w:val="0"/>
      <w:marBottom w:val="0"/>
      <w:divBdr>
        <w:top w:val="none" w:sz="0" w:space="0" w:color="auto"/>
        <w:left w:val="none" w:sz="0" w:space="0" w:color="auto"/>
        <w:bottom w:val="none" w:sz="0" w:space="0" w:color="auto"/>
        <w:right w:val="none" w:sz="0" w:space="0" w:color="auto"/>
      </w:divBdr>
    </w:div>
    <w:div w:id="209613559">
      <w:bodyDiv w:val="1"/>
      <w:marLeft w:val="0"/>
      <w:marRight w:val="0"/>
      <w:marTop w:val="0"/>
      <w:marBottom w:val="0"/>
      <w:divBdr>
        <w:top w:val="none" w:sz="0" w:space="0" w:color="auto"/>
        <w:left w:val="none" w:sz="0" w:space="0" w:color="auto"/>
        <w:bottom w:val="none" w:sz="0" w:space="0" w:color="auto"/>
        <w:right w:val="none" w:sz="0" w:space="0" w:color="auto"/>
      </w:divBdr>
    </w:div>
    <w:div w:id="209804089">
      <w:bodyDiv w:val="1"/>
      <w:marLeft w:val="0"/>
      <w:marRight w:val="0"/>
      <w:marTop w:val="0"/>
      <w:marBottom w:val="0"/>
      <w:divBdr>
        <w:top w:val="none" w:sz="0" w:space="0" w:color="auto"/>
        <w:left w:val="none" w:sz="0" w:space="0" w:color="auto"/>
        <w:bottom w:val="none" w:sz="0" w:space="0" w:color="auto"/>
        <w:right w:val="none" w:sz="0" w:space="0" w:color="auto"/>
      </w:divBdr>
    </w:div>
    <w:div w:id="209997833">
      <w:bodyDiv w:val="1"/>
      <w:marLeft w:val="0"/>
      <w:marRight w:val="0"/>
      <w:marTop w:val="0"/>
      <w:marBottom w:val="0"/>
      <w:divBdr>
        <w:top w:val="none" w:sz="0" w:space="0" w:color="auto"/>
        <w:left w:val="none" w:sz="0" w:space="0" w:color="auto"/>
        <w:bottom w:val="none" w:sz="0" w:space="0" w:color="auto"/>
        <w:right w:val="none" w:sz="0" w:space="0" w:color="auto"/>
      </w:divBdr>
    </w:div>
    <w:div w:id="210263328">
      <w:bodyDiv w:val="1"/>
      <w:marLeft w:val="0"/>
      <w:marRight w:val="0"/>
      <w:marTop w:val="0"/>
      <w:marBottom w:val="0"/>
      <w:divBdr>
        <w:top w:val="none" w:sz="0" w:space="0" w:color="auto"/>
        <w:left w:val="none" w:sz="0" w:space="0" w:color="auto"/>
        <w:bottom w:val="none" w:sz="0" w:space="0" w:color="auto"/>
        <w:right w:val="none" w:sz="0" w:space="0" w:color="auto"/>
      </w:divBdr>
    </w:div>
    <w:div w:id="210653709">
      <w:bodyDiv w:val="1"/>
      <w:marLeft w:val="0"/>
      <w:marRight w:val="0"/>
      <w:marTop w:val="0"/>
      <w:marBottom w:val="0"/>
      <w:divBdr>
        <w:top w:val="none" w:sz="0" w:space="0" w:color="auto"/>
        <w:left w:val="none" w:sz="0" w:space="0" w:color="auto"/>
        <w:bottom w:val="none" w:sz="0" w:space="0" w:color="auto"/>
        <w:right w:val="none" w:sz="0" w:space="0" w:color="auto"/>
      </w:divBdr>
    </w:div>
    <w:div w:id="210726152">
      <w:bodyDiv w:val="1"/>
      <w:marLeft w:val="0"/>
      <w:marRight w:val="0"/>
      <w:marTop w:val="0"/>
      <w:marBottom w:val="0"/>
      <w:divBdr>
        <w:top w:val="none" w:sz="0" w:space="0" w:color="auto"/>
        <w:left w:val="none" w:sz="0" w:space="0" w:color="auto"/>
        <w:bottom w:val="none" w:sz="0" w:space="0" w:color="auto"/>
        <w:right w:val="none" w:sz="0" w:space="0" w:color="auto"/>
      </w:divBdr>
    </w:div>
    <w:div w:id="210852250">
      <w:bodyDiv w:val="1"/>
      <w:marLeft w:val="0"/>
      <w:marRight w:val="0"/>
      <w:marTop w:val="0"/>
      <w:marBottom w:val="0"/>
      <w:divBdr>
        <w:top w:val="none" w:sz="0" w:space="0" w:color="auto"/>
        <w:left w:val="none" w:sz="0" w:space="0" w:color="auto"/>
        <w:bottom w:val="none" w:sz="0" w:space="0" w:color="auto"/>
        <w:right w:val="none" w:sz="0" w:space="0" w:color="auto"/>
      </w:divBdr>
    </w:div>
    <w:div w:id="210963088">
      <w:bodyDiv w:val="1"/>
      <w:marLeft w:val="0"/>
      <w:marRight w:val="0"/>
      <w:marTop w:val="0"/>
      <w:marBottom w:val="0"/>
      <w:divBdr>
        <w:top w:val="none" w:sz="0" w:space="0" w:color="auto"/>
        <w:left w:val="none" w:sz="0" w:space="0" w:color="auto"/>
        <w:bottom w:val="none" w:sz="0" w:space="0" w:color="auto"/>
        <w:right w:val="none" w:sz="0" w:space="0" w:color="auto"/>
      </w:divBdr>
    </w:div>
    <w:div w:id="210967043">
      <w:bodyDiv w:val="1"/>
      <w:marLeft w:val="0"/>
      <w:marRight w:val="0"/>
      <w:marTop w:val="0"/>
      <w:marBottom w:val="0"/>
      <w:divBdr>
        <w:top w:val="none" w:sz="0" w:space="0" w:color="auto"/>
        <w:left w:val="none" w:sz="0" w:space="0" w:color="auto"/>
        <w:bottom w:val="none" w:sz="0" w:space="0" w:color="auto"/>
        <w:right w:val="none" w:sz="0" w:space="0" w:color="auto"/>
      </w:divBdr>
    </w:div>
    <w:div w:id="211307696">
      <w:bodyDiv w:val="1"/>
      <w:marLeft w:val="0"/>
      <w:marRight w:val="0"/>
      <w:marTop w:val="0"/>
      <w:marBottom w:val="0"/>
      <w:divBdr>
        <w:top w:val="none" w:sz="0" w:space="0" w:color="auto"/>
        <w:left w:val="none" w:sz="0" w:space="0" w:color="auto"/>
        <w:bottom w:val="none" w:sz="0" w:space="0" w:color="auto"/>
        <w:right w:val="none" w:sz="0" w:space="0" w:color="auto"/>
      </w:divBdr>
    </w:div>
    <w:div w:id="211579759">
      <w:bodyDiv w:val="1"/>
      <w:marLeft w:val="0"/>
      <w:marRight w:val="0"/>
      <w:marTop w:val="0"/>
      <w:marBottom w:val="0"/>
      <w:divBdr>
        <w:top w:val="none" w:sz="0" w:space="0" w:color="auto"/>
        <w:left w:val="none" w:sz="0" w:space="0" w:color="auto"/>
        <w:bottom w:val="none" w:sz="0" w:space="0" w:color="auto"/>
        <w:right w:val="none" w:sz="0" w:space="0" w:color="auto"/>
      </w:divBdr>
    </w:div>
    <w:div w:id="211616405">
      <w:bodyDiv w:val="1"/>
      <w:marLeft w:val="0"/>
      <w:marRight w:val="0"/>
      <w:marTop w:val="0"/>
      <w:marBottom w:val="0"/>
      <w:divBdr>
        <w:top w:val="none" w:sz="0" w:space="0" w:color="auto"/>
        <w:left w:val="none" w:sz="0" w:space="0" w:color="auto"/>
        <w:bottom w:val="none" w:sz="0" w:space="0" w:color="auto"/>
        <w:right w:val="none" w:sz="0" w:space="0" w:color="auto"/>
      </w:divBdr>
    </w:div>
    <w:div w:id="211769631">
      <w:bodyDiv w:val="1"/>
      <w:marLeft w:val="0"/>
      <w:marRight w:val="0"/>
      <w:marTop w:val="0"/>
      <w:marBottom w:val="0"/>
      <w:divBdr>
        <w:top w:val="none" w:sz="0" w:space="0" w:color="auto"/>
        <w:left w:val="none" w:sz="0" w:space="0" w:color="auto"/>
        <w:bottom w:val="none" w:sz="0" w:space="0" w:color="auto"/>
        <w:right w:val="none" w:sz="0" w:space="0" w:color="auto"/>
      </w:divBdr>
    </w:div>
    <w:div w:id="212037631">
      <w:bodyDiv w:val="1"/>
      <w:marLeft w:val="0"/>
      <w:marRight w:val="0"/>
      <w:marTop w:val="0"/>
      <w:marBottom w:val="0"/>
      <w:divBdr>
        <w:top w:val="none" w:sz="0" w:space="0" w:color="auto"/>
        <w:left w:val="none" w:sz="0" w:space="0" w:color="auto"/>
        <w:bottom w:val="none" w:sz="0" w:space="0" w:color="auto"/>
        <w:right w:val="none" w:sz="0" w:space="0" w:color="auto"/>
      </w:divBdr>
    </w:div>
    <w:div w:id="212080028">
      <w:bodyDiv w:val="1"/>
      <w:marLeft w:val="0"/>
      <w:marRight w:val="0"/>
      <w:marTop w:val="0"/>
      <w:marBottom w:val="0"/>
      <w:divBdr>
        <w:top w:val="none" w:sz="0" w:space="0" w:color="auto"/>
        <w:left w:val="none" w:sz="0" w:space="0" w:color="auto"/>
        <w:bottom w:val="none" w:sz="0" w:space="0" w:color="auto"/>
        <w:right w:val="none" w:sz="0" w:space="0" w:color="auto"/>
      </w:divBdr>
    </w:div>
    <w:div w:id="212080119">
      <w:bodyDiv w:val="1"/>
      <w:marLeft w:val="0"/>
      <w:marRight w:val="0"/>
      <w:marTop w:val="0"/>
      <w:marBottom w:val="0"/>
      <w:divBdr>
        <w:top w:val="none" w:sz="0" w:space="0" w:color="auto"/>
        <w:left w:val="none" w:sz="0" w:space="0" w:color="auto"/>
        <w:bottom w:val="none" w:sz="0" w:space="0" w:color="auto"/>
        <w:right w:val="none" w:sz="0" w:space="0" w:color="auto"/>
      </w:divBdr>
    </w:div>
    <w:div w:id="212082768">
      <w:bodyDiv w:val="1"/>
      <w:marLeft w:val="0"/>
      <w:marRight w:val="0"/>
      <w:marTop w:val="0"/>
      <w:marBottom w:val="0"/>
      <w:divBdr>
        <w:top w:val="none" w:sz="0" w:space="0" w:color="auto"/>
        <w:left w:val="none" w:sz="0" w:space="0" w:color="auto"/>
        <w:bottom w:val="none" w:sz="0" w:space="0" w:color="auto"/>
        <w:right w:val="none" w:sz="0" w:space="0" w:color="auto"/>
      </w:divBdr>
    </w:div>
    <w:div w:id="212083205">
      <w:bodyDiv w:val="1"/>
      <w:marLeft w:val="0"/>
      <w:marRight w:val="0"/>
      <w:marTop w:val="0"/>
      <w:marBottom w:val="0"/>
      <w:divBdr>
        <w:top w:val="none" w:sz="0" w:space="0" w:color="auto"/>
        <w:left w:val="none" w:sz="0" w:space="0" w:color="auto"/>
        <w:bottom w:val="none" w:sz="0" w:space="0" w:color="auto"/>
        <w:right w:val="none" w:sz="0" w:space="0" w:color="auto"/>
      </w:divBdr>
    </w:div>
    <w:div w:id="212156761">
      <w:bodyDiv w:val="1"/>
      <w:marLeft w:val="0"/>
      <w:marRight w:val="0"/>
      <w:marTop w:val="0"/>
      <w:marBottom w:val="0"/>
      <w:divBdr>
        <w:top w:val="none" w:sz="0" w:space="0" w:color="auto"/>
        <w:left w:val="none" w:sz="0" w:space="0" w:color="auto"/>
        <w:bottom w:val="none" w:sz="0" w:space="0" w:color="auto"/>
        <w:right w:val="none" w:sz="0" w:space="0" w:color="auto"/>
      </w:divBdr>
    </w:div>
    <w:div w:id="212425278">
      <w:bodyDiv w:val="1"/>
      <w:marLeft w:val="0"/>
      <w:marRight w:val="0"/>
      <w:marTop w:val="0"/>
      <w:marBottom w:val="0"/>
      <w:divBdr>
        <w:top w:val="none" w:sz="0" w:space="0" w:color="auto"/>
        <w:left w:val="none" w:sz="0" w:space="0" w:color="auto"/>
        <w:bottom w:val="none" w:sz="0" w:space="0" w:color="auto"/>
        <w:right w:val="none" w:sz="0" w:space="0" w:color="auto"/>
      </w:divBdr>
    </w:div>
    <w:div w:id="212929759">
      <w:bodyDiv w:val="1"/>
      <w:marLeft w:val="0"/>
      <w:marRight w:val="0"/>
      <w:marTop w:val="0"/>
      <w:marBottom w:val="0"/>
      <w:divBdr>
        <w:top w:val="none" w:sz="0" w:space="0" w:color="auto"/>
        <w:left w:val="none" w:sz="0" w:space="0" w:color="auto"/>
        <w:bottom w:val="none" w:sz="0" w:space="0" w:color="auto"/>
        <w:right w:val="none" w:sz="0" w:space="0" w:color="auto"/>
      </w:divBdr>
    </w:div>
    <w:div w:id="213081364">
      <w:bodyDiv w:val="1"/>
      <w:marLeft w:val="0"/>
      <w:marRight w:val="0"/>
      <w:marTop w:val="0"/>
      <w:marBottom w:val="0"/>
      <w:divBdr>
        <w:top w:val="none" w:sz="0" w:space="0" w:color="auto"/>
        <w:left w:val="none" w:sz="0" w:space="0" w:color="auto"/>
        <w:bottom w:val="none" w:sz="0" w:space="0" w:color="auto"/>
        <w:right w:val="none" w:sz="0" w:space="0" w:color="auto"/>
      </w:divBdr>
    </w:div>
    <w:div w:id="213083146">
      <w:bodyDiv w:val="1"/>
      <w:marLeft w:val="0"/>
      <w:marRight w:val="0"/>
      <w:marTop w:val="0"/>
      <w:marBottom w:val="0"/>
      <w:divBdr>
        <w:top w:val="none" w:sz="0" w:space="0" w:color="auto"/>
        <w:left w:val="none" w:sz="0" w:space="0" w:color="auto"/>
        <w:bottom w:val="none" w:sz="0" w:space="0" w:color="auto"/>
        <w:right w:val="none" w:sz="0" w:space="0" w:color="auto"/>
      </w:divBdr>
    </w:div>
    <w:div w:id="213470790">
      <w:bodyDiv w:val="1"/>
      <w:marLeft w:val="0"/>
      <w:marRight w:val="0"/>
      <w:marTop w:val="0"/>
      <w:marBottom w:val="0"/>
      <w:divBdr>
        <w:top w:val="none" w:sz="0" w:space="0" w:color="auto"/>
        <w:left w:val="none" w:sz="0" w:space="0" w:color="auto"/>
        <w:bottom w:val="none" w:sz="0" w:space="0" w:color="auto"/>
        <w:right w:val="none" w:sz="0" w:space="0" w:color="auto"/>
      </w:divBdr>
    </w:div>
    <w:div w:id="214588699">
      <w:bodyDiv w:val="1"/>
      <w:marLeft w:val="0"/>
      <w:marRight w:val="0"/>
      <w:marTop w:val="0"/>
      <w:marBottom w:val="0"/>
      <w:divBdr>
        <w:top w:val="none" w:sz="0" w:space="0" w:color="auto"/>
        <w:left w:val="none" w:sz="0" w:space="0" w:color="auto"/>
        <w:bottom w:val="none" w:sz="0" w:space="0" w:color="auto"/>
        <w:right w:val="none" w:sz="0" w:space="0" w:color="auto"/>
      </w:divBdr>
    </w:div>
    <w:div w:id="214900852">
      <w:bodyDiv w:val="1"/>
      <w:marLeft w:val="0"/>
      <w:marRight w:val="0"/>
      <w:marTop w:val="0"/>
      <w:marBottom w:val="0"/>
      <w:divBdr>
        <w:top w:val="none" w:sz="0" w:space="0" w:color="auto"/>
        <w:left w:val="none" w:sz="0" w:space="0" w:color="auto"/>
        <w:bottom w:val="none" w:sz="0" w:space="0" w:color="auto"/>
        <w:right w:val="none" w:sz="0" w:space="0" w:color="auto"/>
      </w:divBdr>
    </w:div>
    <w:div w:id="214968751">
      <w:bodyDiv w:val="1"/>
      <w:marLeft w:val="0"/>
      <w:marRight w:val="0"/>
      <w:marTop w:val="0"/>
      <w:marBottom w:val="0"/>
      <w:divBdr>
        <w:top w:val="none" w:sz="0" w:space="0" w:color="auto"/>
        <w:left w:val="none" w:sz="0" w:space="0" w:color="auto"/>
        <w:bottom w:val="none" w:sz="0" w:space="0" w:color="auto"/>
        <w:right w:val="none" w:sz="0" w:space="0" w:color="auto"/>
      </w:divBdr>
    </w:div>
    <w:div w:id="215166052">
      <w:bodyDiv w:val="1"/>
      <w:marLeft w:val="0"/>
      <w:marRight w:val="0"/>
      <w:marTop w:val="0"/>
      <w:marBottom w:val="0"/>
      <w:divBdr>
        <w:top w:val="none" w:sz="0" w:space="0" w:color="auto"/>
        <w:left w:val="none" w:sz="0" w:space="0" w:color="auto"/>
        <w:bottom w:val="none" w:sz="0" w:space="0" w:color="auto"/>
        <w:right w:val="none" w:sz="0" w:space="0" w:color="auto"/>
      </w:divBdr>
    </w:div>
    <w:div w:id="215505439">
      <w:bodyDiv w:val="1"/>
      <w:marLeft w:val="0"/>
      <w:marRight w:val="0"/>
      <w:marTop w:val="0"/>
      <w:marBottom w:val="0"/>
      <w:divBdr>
        <w:top w:val="none" w:sz="0" w:space="0" w:color="auto"/>
        <w:left w:val="none" w:sz="0" w:space="0" w:color="auto"/>
        <w:bottom w:val="none" w:sz="0" w:space="0" w:color="auto"/>
        <w:right w:val="none" w:sz="0" w:space="0" w:color="auto"/>
      </w:divBdr>
    </w:div>
    <w:div w:id="215508400">
      <w:bodyDiv w:val="1"/>
      <w:marLeft w:val="0"/>
      <w:marRight w:val="0"/>
      <w:marTop w:val="0"/>
      <w:marBottom w:val="0"/>
      <w:divBdr>
        <w:top w:val="none" w:sz="0" w:space="0" w:color="auto"/>
        <w:left w:val="none" w:sz="0" w:space="0" w:color="auto"/>
        <w:bottom w:val="none" w:sz="0" w:space="0" w:color="auto"/>
        <w:right w:val="none" w:sz="0" w:space="0" w:color="auto"/>
      </w:divBdr>
    </w:div>
    <w:div w:id="215624050">
      <w:bodyDiv w:val="1"/>
      <w:marLeft w:val="0"/>
      <w:marRight w:val="0"/>
      <w:marTop w:val="0"/>
      <w:marBottom w:val="0"/>
      <w:divBdr>
        <w:top w:val="none" w:sz="0" w:space="0" w:color="auto"/>
        <w:left w:val="none" w:sz="0" w:space="0" w:color="auto"/>
        <w:bottom w:val="none" w:sz="0" w:space="0" w:color="auto"/>
        <w:right w:val="none" w:sz="0" w:space="0" w:color="auto"/>
      </w:divBdr>
    </w:div>
    <w:div w:id="215626200">
      <w:bodyDiv w:val="1"/>
      <w:marLeft w:val="0"/>
      <w:marRight w:val="0"/>
      <w:marTop w:val="0"/>
      <w:marBottom w:val="0"/>
      <w:divBdr>
        <w:top w:val="none" w:sz="0" w:space="0" w:color="auto"/>
        <w:left w:val="none" w:sz="0" w:space="0" w:color="auto"/>
        <w:bottom w:val="none" w:sz="0" w:space="0" w:color="auto"/>
        <w:right w:val="none" w:sz="0" w:space="0" w:color="auto"/>
      </w:divBdr>
    </w:div>
    <w:div w:id="215821882">
      <w:bodyDiv w:val="1"/>
      <w:marLeft w:val="0"/>
      <w:marRight w:val="0"/>
      <w:marTop w:val="0"/>
      <w:marBottom w:val="0"/>
      <w:divBdr>
        <w:top w:val="none" w:sz="0" w:space="0" w:color="auto"/>
        <w:left w:val="none" w:sz="0" w:space="0" w:color="auto"/>
        <w:bottom w:val="none" w:sz="0" w:space="0" w:color="auto"/>
        <w:right w:val="none" w:sz="0" w:space="0" w:color="auto"/>
      </w:divBdr>
    </w:div>
    <w:div w:id="216287195">
      <w:bodyDiv w:val="1"/>
      <w:marLeft w:val="0"/>
      <w:marRight w:val="0"/>
      <w:marTop w:val="0"/>
      <w:marBottom w:val="0"/>
      <w:divBdr>
        <w:top w:val="none" w:sz="0" w:space="0" w:color="auto"/>
        <w:left w:val="none" w:sz="0" w:space="0" w:color="auto"/>
        <w:bottom w:val="none" w:sz="0" w:space="0" w:color="auto"/>
        <w:right w:val="none" w:sz="0" w:space="0" w:color="auto"/>
      </w:divBdr>
    </w:div>
    <w:div w:id="216477964">
      <w:bodyDiv w:val="1"/>
      <w:marLeft w:val="0"/>
      <w:marRight w:val="0"/>
      <w:marTop w:val="0"/>
      <w:marBottom w:val="0"/>
      <w:divBdr>
        <w:top w:val="none" w:sz="0" w:space="0" w:color="auto"/>
        <w:left w:val="none" w:sz="0" w:space="0" w:color="auto"/>
        <w:bottom w:val="none" w:sz="0" w:space="0" w:color="auto"/>
        <w:right w:val="none" w:sz="0" w:space="0" w:color="auto"/>
      </w:divBdr>
    </w:div>
    <w:div w:id="216599492">
      <w:bodyDiv w:val="1"/>
      <w:marLeft w:val="0"/>
      <w:marRight w:val="0"/>
      <w:marTop w:val="0"/>
      <w:marBottom w:val="0"/>
      <w:divBdr>
        <w:top w:val="none" w:sz="0" w:space="0" w:color="auto"/>
        <w:left w:val="none" w:sz="0" w:space="0" w:color="auto"/>
        <w:bottom w:val="none" w:sz="0" w:space="0" w:color="auto"/>
        <w:right w:val="none" w:sz="0" w:space="0" w:color="auto"/>
      </w:divBdr>
    </w:div>
    <w:div w:id="216741858">
      <w:bodyDiv w:val="1"/>
      <w:marLeft w:val="0"/>
      <w:marRight w:val="0"/>
      <w:marTop w:val="0"/>
      <w:marBottom w:val="0"/>
      <w:divBdr>
        <w:top w:val="none" w:sz="0" w:space="0" w:color="auto"/>
        <w:left w:val="none" w:sz="0" w:space="0" w:color="auto"/>
        <w:bottom w:val="none" w:sz="0" w:space="0" w:color="auto"/>
        <w:right w:val="none" w:sz="0" w:space="0" w:color="auto"/>
      </w:divBdr>
    </w:div>
    <w:div w:id="216817670">
      <w:bodyDiv w:val="1"/>
      <w:marLeft w:val="0"/>
      <w:marRight w:val="0"/>
      <w:marTop w:val="0"/>
      <w:marBottom w:val="0"/>
      <w:divBdr>
        <w:top w:val="none" w:sz="0" w:space="0" w:color="auto"/>
        <w:left w:val="none" w:sz="0" w:space="0" w:color="auto"/>
        <w:bottom w:val="none" w:sz="0" w:space="0" w:color="auto"/>
        <w:right w:val="none" w:sz="0" w:space="0" w:color="auto"/>
      </w:divBdr>
    </w:div>
    <w:div w:id="217016439">
      <w:bodyDiv w:val="1"/>
      <w:marLeft w:val="0"/>
      <w:marRight w:val="0"/>
      <w:marTop w:val="0"/>
      <w:marBottom w:val="0"/>
      <w:divBdr>
        <w:top w:val="none" w:sz="0" w:space="0" w:color="auto"/>
        <w:left w:val="none" w:sz="0" w:space="0" w:color="auto"/>
        <w:bottom w:val="none" w:sz="0" w:space="0" w:color="auto"/>
        <w:right w:val="none" w:sz="0" w:space="0" w:color="auto"/>
      </w:divBdr>
    </w:div>
    <w:div w:id="217059401">
      <w:bodyDiv w:val="1"/>
      <w:marLeft w:val="0"/>
      <w:marRight w:val="0"/>
      <w:marTop w:val="0"/>
      <w:marBottom w:val="0"/>
      <w:divBdr>
        <w:top w:val="none" w:sz="0" w:space="0" w:color="auto"/>
        <w:left w:val="none" w:sz="0" w:space="0" w:color="auto"/>
        <w:bottom w:val="none" w:sz="0" w:space="0" w:color="auto"/>
        <w:right w:val="none" w:sz="0" w:space="0" w:color="auto"/>
      </w:divBdr>
    </w:div>
    <w:div w:id="217132107">
      <w:bodyDiv w:val="1"/>
      <w:marLeft w:val="0"/>
      <w:marRight w:val="0"/>
      <w:marTop w:val="0"/>
      <w:marBottom w:val="0"/>
      <w:divBdr>
        <w:top w:val="none" w:sz="0" w:space="0" w:color="auto"/>
        <w:left w:val="none" w:sz="0" w:space="0" w:color="auto"/>
        <w:bottom w:val="none" w:sz="0" w:space="0" w:color="auto"/>
        <w:right w:val="none" w:sz="0" w:space="0" w:color="auto"/>
      </w:divBdr>
    </w:div>
    <w:div w:id="217320996">
      <w:bodyDiv w:val="1"/>
      <w:marLeft w:val="0"/>
      <w:marRight w:val="0"/>
      <w:marTop w:val="0"/>
      <w:marBottom w:val="0"/>
      <w:divBdr>
        <w:top w:val="none" w:sz="0" w:space="0" w:color="auto"/>
        <w:left w:val="none" w:sz="0" w:space="0" w:color="auto"/>
        <w:bottom w:val="none" w:sz="0" w:space="0" w:color="auto"/>
        <w:right w:val="none" w:sz="0" w:space="0" w:color="auto"/>
      </w:divBdr>
    </w:div>
    <w:div w:id="217399227">
      <w:bodyDiv w:val="1"/>
      <w:marLeft w:val="0"/>
      <w:marRight w:val="0"/>
      <w:marTop w:val="0"/>
      <w:marBottom w:val="0"/>
      <w:divBdr>
        <w:top w:val="none" w:sz="0" w:space="0" w:color="auto"/>
        <w:left w:val="none" w:sz="0" w:space="0" w:color="auto"/>
        <w:bottom w:val="none" w:sz="0" w:space="0" w:color="auto"/>
        <w:right w:val="none" w:sz="0" w:space="0" w:color="auto"/>
      </w:divBdr>
    </w:div>
    <w:div w:id="217521224">
      <w:bodyDiv w:val="1"/>
      <w:marLeft w:val="0"/>
      <w:marRight w:val="0"/>
      <w:marTop w:val="0"/>
      <w:marBottom w:val="0"/>
      <w:divBdr>
        <w:top w:val="none" w:sz="0" w:space="0" w:color="auto"/>
        <w:left w:val="none" w:sz="0" w:space="0" w:color="auto"/>
        <w:bottom w:val="none" w:sz="0" w:space="0" w:color="auto"/>
        <w:right w:val="none" w:sz="0" w:space="0" w:color="auto"/>
      </w:divBdr>
    </w:div>
    <w:div w:id="217784370">
      <w:bodyDiv w:val="1"/>
      <w:marLeft w:val="0"/>
      <w:marRight w:val="0"/>
      <w:marTop w:val="0"/>
      <w:marBottom w:val="0"/>
      <w:divBdr>
        <w:top w:val="none" w:sz="0" w:space="0" w:color="auto"/>
        <w:left w:val="none" w:sz="0" w:space="0" w:color="auto"/>
        <w:bottom w:val="none" w:sz="0" w:space="0" w:color="auto"/>
        <w:right w:val="none" w:sz="0" w:space="0" w:color="auto"/>
      </w:divBdr>
    </w:div>
    <w:div w:id="217865598">
      <w:bodyDiv w:val="1"/>
      <w:marLeft w:val="0"/>
      <w:marRight w:val="0"/>
      <w:marTop w:val="0"/>
      <w:marBottom w:val="0"/>
      <w:divBdr>
        <w:top w:val="none" w:sz="0" w:space="0" w:color="auto"/>
        <w:left w:val="none" w:sz="0" w:space="0" w:color="auto"/>
        <w:bottom w:val="none" w:sz="0" w:space="0" w:color="auto"/>
        <w:right w:val="none" w:sz="0" w:space="0" w:color="auto"/>
      </w:divBdr>
    </w:div>
    <w:div w:id="218444180">
      <w:bodyDiv w:val="1"/>
      <w:marLeft w:val="0"/>
      <w:marRight w:val="0"/>
      <w:marTop w:val="0"/>
      <w:marBottom w:val="0"/>
      <w:divBdr>
        <w:top w:val="none" w:sz="0" w:space="0" w:color="auto"/>
        <w:left w:val="none" w:sz="0" w:space="0" w:color="auto"/>
        <w:bottom w:val="none" w:sz="0" w:space="0" w:color="auto"/>
        <w:right w:val="none" w:sz="0" w:space="0" w:color="auto"/>
      </w:divBdr>
    </w:div>
    <w:div w:id="218592025">
      <w:bodyDiv w:val="1"/>
      <w:marLeft w:val="0"/>
      <w:marRight w:val="0"/>
      <w:marTop w:val="0"/>
      <w:marBottom w:val="0"/>
      <w:divBdr>
        <w:top w:val="none" w:sz="0" w:space="0" w:color="auto"/>
        <w:left w:val="none" w:sz="0" w:space="0" w:color="auto"/>
        <w:bottom w:val="none" w:sz="0" w:space="0" w:color="auto"/>
        <w:right w:val="none" w:sz="0" w:space="0" w:color="auto"/>
      </w:divBdr>
    </w:div>
    <w:div w:id="219175236">
      <w:bodyDiv w:val="1"/>
      <w:marLeft w:val="0"/>
      <w:marRight w:val="0"/>
      <w:marTop w:val="0"/>
      <w:marBottom w:val="0"/>
      <w:divBdr>
        <w:top w:val="none" w:sz="0" w:space="0" w:color="auto"/>
        <w:left w:val="none" w:sz="0" w:space="0" w:color="auto"/>
        <w:bottom w:val="none" w:sz="0" w:space="0" w:color="auto"/>
        <w:right w:val="none" w:sz="0" w:space="0" w:color="auto"/>
      </w:divBdr>
    </w:div>
    <w:div w:id="219364403">
      <w:bodyDiv w:val="1"/>
      <w:marLeft w:val="0"/>
      <w:marRight w:val="0"/>
      <w:marTop w:val="0"/>
      <w:marBottom w:val="0"/>
      <w:divBdr>
        <w:top w:val="none" w:sz="0" w:space="0" w:color="auto"/>
        <w:left w:val="none" w:sz="0" w:space="0" w:color="auto"/>
        <w:bottom w:val="none" w:sz="0" w:space="0" w:color="auto"/>
        <w:right w:val="none" w:sz="0" w:space="0" w:color="auto"/>
      </w:divBdr>
    </w:div>
    <w:div w:id="219482981">
      <w:bodyDiv w:val="1"/>
      <w:marLeft w:val="0"/>
      <w:marRight w:val="0"/>
      <w:marTop w:val="0"/>
      <w:marBottom w:val="0"/>
      <w:divBdr>
        <w:top w:val="none" w:sz="0" w:space="0" w:color="auto"/>
        <w:left w:val="none" w:sz="0" w:space="0" w:color="auto"/>
        <w:bottom w:val="none" w:sz="0" w:space="0" w:color="auto"/>
        <w:right w:val="none" w:sz="0" w:space="0" w:color="auto"/>
      </w:divBdr>
    </w:div>
    <w:div w:id="219678737">
      <w:bodyDiv w:val="1"/>
      <w:marLeft w:val="0"/>
      <w:marRight w:val="0"/>
      <w:marTop w:val="0"/>
      <w:marBottom w:val="0"/>
      <w:divBdr>
        <w:top w:val="none" w:sz="0" w:space="0" w:color="auto"/>
        <w:left w:val="none" w:sz="0" w:space="0" w:color="auto"/>
        <w:bottom w:val="none" w:sz="0" w:space="0" w:color="auto"/>
        <w:right w:val="none" w:sz="0" w:space="0" w:color="auto"/>
      </w:divBdr>
    </w:div>
    <w:div w:id="219824019">
      <w:bodyDiv w:val="1"/>
      <w:marLeft w:val="0"/>
      <w:marRight w:val="0"/>
      <w:marTop w:val="0"/>
      <w:marBottom w:val="0"/>
      <w:divBdr>
        <w:top w:val="none" w:sz="0" w:space="0" w:color="auto"/>
        <w:left w:val="none" w:sz="0" w:space="0" w:color="auto"/>
        <w:bottom w:val="none" w:sz="0" w:space="0" w:color="auto"/>
        <w:right w:val="none" w:sz="0" w:space="0" w:color="auto"/>
      </w:divBdr>
    </w:div>
    <w:div w:id="219829597">
      <w:bodyDiv w:val="1"/>
      <w:marLeft w:val="0"/>
      <w:marRight w:val="0"/>
      <w:marTop w:val="0"/>
      <w:marBottom w:val="0"/>
      <w:divBdr>
        <w:top w:val="none" w:sz="0" w:space="0" w:color="auto"/>
        <w:left w:val="none" w:sz="0" w:space="0" w:color="auto"/>
        <w:bottom w:val="none" w:sz="0" w:space="0" w:color="auto"/>
        <w:right w:val="none" w:sz="0" w:space="0" w:color="auto"/>
      </w:divBdr>
    </w:div>
    <w:div w:id="219830973">
      <w:bodyDiv w:val="1"/>
      <w:marLeft w:val="0"/>
      <w:marRight w:val="0"/>
      <w:marTop w:val="0"/>
      <w:marBottom w:val="0"/>
      <w:divBdr>
        <w:top w:val="none" w:sz="0" w:space="0" w:color="auto"/>
        <w:left w:val="none" w:sz="0" w:space="0" w:color="auto"/>
        <w:bottom w:val="none" w:sz="0" w:space="0" w:color="auto"/>
        <w:right w:val="none" w:sz="0" w:space="0" w:color="auto"/>
      </w:divBdr>
    </w:div>
    <w:div w:id="220217106">
      <w:bodyDiv w:val="1"/>
      <w:marLeft w:val="0"/>
      <w:marRight w:val="0"/>
      <w:marTop w:val="0"/>
      <w:marBottom w:val="0"/>
      <w:divBdr>
        <w:top w:val="none" w:sz="0" w:space="0" w:color="auto"/>
        <w:left w:val="none" w:sz="0" w:space="0" w:color="auto"/>
        <w:bottom w:val="none" w:sz="0" w:space="0" w:color="auto"/>
        <w:right w:val="none" w:sz="0" w:space="0" w:color="auto"/>
      </w:divBdr>
    </w:div>
    <w:div w:id="220337142">
      <w:bodyDiv w:val="1"/>
      <w:marLeft w:val="0"/>
      <w:marRight w:val="0"/>
      <w:marTop w:val="0"/>
      <w:marBottom w:val="0"/>
      <w:divBdr>
        <w:top w:val="none" w:sz="0" w:space="0" w:color="auto"/>
        <w:left w:val="none" w:sz="0" w:space="0" w:color="auto"/>
        <w:bottom w:val="none" w:sz="0" w:space="0" w:color="auto"/>
        <w:right w:val="none" w:sz="0" w:space="0" w:color="auto"/>
      </w:divBdr>
    </w:div>
    <w:div w:id="220403648">
      <w:bodyDiv w:val="1"/>
      <w:marLeft w:val="0"/>
      <w:marRight w:val="0"/>
      <w:marTop w:val="0"/>
      <w:marBottom w:val="0"/>
      <w:divBdr>
        <w:top w:val="none" w:sz="0" w:space="0" w:color="auto"/>
        <w:left w:val="none" w:sz="0" w:space="0" w:color="auto"/>
        <w:bottom w:val="none" w:sz="0" w:space="0" w:color="auto"/>
        <w:right w:val="none" w:sz="0" w:space="0" w:color="auto"/>
      </w:divBdr>
    </w:div>
    <w:div w:id="220405978">
      <w:bodyDiv w:val="1"/>
      <w:marLeft w:val="0"/>
      <w:marRight w:val="0"/>
      <w:marTop w:val="0"/>
      <w:marBottom w:val="0"/>
      <w:divBdr>
        <w:top w:val="none" w:sz="0" w:space="0" w:color="auto"/>
        <w:left w:val="none" w:sz="0" w:space="0" w:color="auto"/>
        <w:bottom w:val="none" w:sz="0" w:space="0" w:color="auto"/>
        <w:right w:val="none" w:sz="0" w:space="0" w:color="auto"/>
      </w:divBdr>
    </w:div>
    <w:div w:id="220407989">
      <w:bodyDiv w:val="1"/>
      <w:marLeft w:val="0"/>
      <w:marRight w:val="0"/>
      <w:marTop w:val="0"/>
      <w:marBottom w:val="0"/>
      <w:divBdr>
        <w:top w:val="none" w:sz="0" w:space="0" w:color="auto"/>
        <w:left w:val="none" w:sz="0" w:space="0" w:color="auto"/>
        <w:bottom w:val="none" w:sz="0" w:space="0" w:color="auto"/>
        <w:right w:val="none" w:sz="0" w:space="0" w:color="auto"/>
      </w:divBdr>
    </w:div>
    <w:div w:id="220485200">
      <w:bodyDiv w:val="1"/>
      <w:marLeft w:val="0"/>
      <w:marRight w:val="0"/>
      <w:marTop w:val="0"/>
      <w:marBottom w:val="0"/>
      <w:divBdr>
        <w:top w:val="none" w:sz="0" w:space="0" w:color="auto"/>
        <w:left w:val="none" w:sz="0" w:space="0" w:color="auto"/>
        <w:bottom w:val="none" w:sz="0" w:space="0" w:color="auto"/>
        <w:right w:val="none" w:sz="0" w:space="0" w:color="auto"/>
      </w:divBdr>
    </w:div>
    <w:div w:id="220601852">
      <w:bodyDiv w:val="1"/>
      <w:marLeft w:val="0"/>
      <w:marRight w:val="0"/>
      <w:marTop w:val="0"/>
      <w:marBottom w:val="0"/>
      <w:divBdr>
        <w:top w:val="none" w:sz="0" w:space="0" w:color="auto"/>
        <w:left w:val="none" w:sz="0" w:space="0" w:color="auto"/>
        <w:bottom w:val="none" w:sz="0" w:space="0" w:color="auto"/>
        <w:right w:val="none" w:sz="0" w:space="0" w:color="auto"/>
      </w:divBdr>
    </w:div>
    <w:div w:id="221135572">
      <w:bodyDiv w:val="1"/>
      <w:marLeft w:val="0"/>
      <w:marRight w:val="0"/>
      <w:marTop w:val="0"/>
      <w:marBottom w:val="0"/>
      <w:divBdr>
        <w:top w:val="none" w:sz="0" w:space="0" w:color="auto"/>
        <w:left w:val="none" w:sz="0" w:space="0" w:color="auto"/>
        <w:bottom w:val="none" w:sz="0" w:space="0" w:color="auto"/>
        <w:right w:val="none" w:sz="0" w:space="0" w:color="auto"/>
      </w:divBdr>
    </w:div>
    <w:div w:id="221215618">
      <w:bodyDiv w:val="1"/>
      <w:marLeft w:val="0"/>
      <w:marRight w:val="0"/>
      <w:marTop w:val="0"/>
      <w:marBottom w:val="0"/>
      <w:divBdr>
        <w:top w:val="none" w:sz="0" w:space="0" w:color="auto"/>
        <w:left w:val="none" w:sz="0" w:space="0" w:color="auto"/>
        <w:bottom w:val="none" w:sz="0" w:space="0" w:color="auto"/>
        <w:right w:val="none" w:sz="0" w:space="0" w:color="auto"/>
      </w:divBdr>
    </w:div>
    <w:div w:id="221329474">
      <w:bodyDiv w:val="1"/>
      <w:marLeft w:val="0"/>
      <w:marRight w:val="0"/>
      <w:marTop w:val="0"/>
      <w:marBottom w:val="0"/>
      <w:divBdr>
        <w:top w:val="none" w:sz="0" w:space="0" w:color="auto"/>
        <w:left w:val="none" w:sz="0" w:space="0" w:color="auto"/>
        <w:bottom w:val="none" w:sz="0" w:space="0" w:color="auto"/>
        <w:right w:val="none" w:sz="0" w:space="0" w:color="auto"/>
      </w:divBdr>
    </w:div>
    <w:div w:id="221335915">
      <w:bodyDiv w:val="1"/>
      <w:marLeft w:val="0"/>
      <w:marRight w:val="0"/>
      <w:marTop w:val="0"/>
      <w:marBottom w:val="0"/>
      <w:divBdr>
        <w:top w:val="none" w:sz="0" w:space="0" w:color="auto"/>
        <w:left w:val="none" w:sz="0" w:space="0" w:color="auto"/>
        <w:bottom w:val="none" w:sz="0" w:space="0" w:color="auto"/>
        <w:right w:val="none" w:sz="0" w:space="0" w:color="auto"/>
      </w:divBdr>
    </w:div>
    <w:div w:id="221403596">
      <w:bodyDiv w:val="1"/>
      <w:marLeft w:val="0"/>
      <w:marRight w:val="0"/>
      <w:marTop w:val="0"/>
      <w:marBottom w:val="0"/>
      <w:divBdr>
        <w:top w:val="none" w:sz="0" w:space="0" w:color="auto"/>
        <w:left w:val="none" w:sz="0" w:space="0" w:color="auto"/>
        <w:bottom w:val="none" w:sz="0" w:space="0" w:color="auto"/>
        <w:right w:val="none" w:sz="0" w:space="0" w:color="auto"/>
      </w:divBdr>
    </w:div>
    <w:div w:id="221448303">
      <w:bodyDiv w:val="1"/>
      <w:marLeft w:val="0"/>
      <w:marRight w:val="0"/>
      <w:marTop w:val="0"/>
      <w:marBottom w:val="0"/>
      <w:divBdr>
        <w:top w:val="none" w:sz="0" w:space="0" w:color="auto"/>
        <w:left w:val="none" w:sz="0" w:space="0" w:color="auto"/>
        <w:bottom w:val="none" w:sz="0" w:space="0" w:color="auto"/>
        <w:right w:val="none" w:sz="0" w:space="0" w:color="auto"/>
      </w:divBdr>
    </w:div>
    <w:div w:id="221454977">
      <w:bodyDiv w:val="1"/>
      <w:marLeft w:val="0"/>
      <w:marRight w:val="0"/>
      <w:marTop w:val="0"/>
      <w:marBottom w:val="0"/>
      <w:divBdr>
        <w:top w:val="none" w:sz="0" w:space="0" w:color="auto"/>
        <w:left w:val="none" w:sz="0" w:space="0" w:color="auto"/>
        <w:bottom w:val="none" w:sz="0" w:space="0" w:color="auto"/>
        <w:right w:val="none" w:sz="0" w:space="0" w:color="auto"/>
      </w:divBdr>
    </w:div>
    <w:div w:id="221526929">
      <w:bodyDiv w:val="1"/>
      <w:marLeft w:val="0"/>
      <w:marRight w:val="0"/>
      <w:marTop w:val="0"/>
      <w:marBottom w:val="0"/>
      <w:divBdr>
        <w:top w:val="none" w:sz="0" w:space="0" w:color="auto"/>
        <w:left w:val="none" w:sz="0" w:space="0" w:color="auto"/>
        <w:bottom w:val="none" w:sz="0" w:space="0" w:color="auto"/>
        <w:right w:val="none" w:sz="0" w:space="0" w:color="auto"/>
      </w:divBdr>
    </w:div>
    <w:div w:id="221604080">
      <w:bodyDiv w:val="1"/>
      <w:marLeft w:val="0"/>
      <w:marRight w:val="0"/>
      <w:marTop w:val="0"/>
      <w:marBottom w:val="0"/>
      <w:divBdr>
        <w:top w:val="none" w:sz="0" w:space="0" w:color="auto"/>
        <w:left w:val="none" w:sz="0" w:space="0" w:color="auto"/>
        <w:bottom w:val="none" w:sz="0" w:space="0" w:color="auto"/>
        <w:right w:val="none" w:sz="0" w:space="0" w:color="auto"/>
      </w:divBdr>
    </w:div>
    <w:div w:id="221791356">
      <w:bodyDiv w:val="1"/>
      <w:marLeft w:val="0"/>
      <w:marRight w:val="0"/>
      <w:marTop w:val="0"/>
      <w:marBottom w:val="0"/>
      <w:divBdr>
        <w:top w:val="none" w:sz="0" w:space="0" w:color="auto"/>
        <w:left w:val="none" w:sz="0" w:space="0" w:color="auto"/>
        <w:bottom w:val="none" w:sz="0" w:space="0" w:color="auto"/>
        <w:right w:val="none" w:sz="0" w:space="0" w:color="auto"/>
      </w:divBdr>
    </w:div>
    <w:div w:id="221791862">
      <w:bodyDiv w:val="1"/>
      <w:marLeft w:val="0"/>
      <w:marRight w:val="0"/>
      <w:marTop w:val="0"/>
      <w:marBottom w:val="0"/>
      <w:divBdr>
        <w:top w:val="none" w:sz="0" w:space="0" w:color="auto"/>
        <w:left w:val="none" w:sz="0" w:space="0" w:color="auto"/>
        <w:bottom w:val="none" w:sz="0" w:space="0" w:color="auto"/>
        <w:right w:val="none" w:sz="0" w:space="0" w:color="auto"/>
      </w:divBdr>
    </w:div>
    <w:div w:id="222061689">
      <w:bodyDiv w:val="1"/>
      <w:marLeft w:val="0"/>
      <w:marRight w:val="0"/>
      <w:marTop w:val="0"/>
      <w:marBottom w:val="0"/>
      <w:divBdr>
        <w:top w:val="none" w:sz="0" w:space="0" w:color="auto"/>
        <w:left w:val="none" w:sz="0" w:space="0" w:color="auto"/>
        <w:bottom w:val="none" w:sz="0" w:space="0" w:color="auto"/>
        <w:right w:val="none" w:sz="0" w:space="0" w:color="auto"/>
      </w:divBdr>
    </w:div>
    <w:div w:id="222066673">
      <w:bodyDiv w:val="1"/>
      <w:marLeft w:val="0"/>
      <w:marRight w:val="0"/>
      <w:marTop w:val="0"/>
      <w:marBottom w:val="0"/>
      <w:divBdr>
        <w:top w:val="none" w:sz="0" w:space="0" w:color="auto"/>
        <w:left w:val="none" w:sz="0" w:space="0" w:color="auto"/>
        <w:bottom w:val="none" w:sz="0" w:space="0" w:color="auto"/>
        <w:right w:val="none" w:sz="0" w:space="0" w:color="auto"/>
      </w:divBdr>
    </w:div>
    <w:div w:id="222067164">
      <w:bodyDiv w:val="1"/>
      <w:marLeft w:val="0"/>
      <w:marRight w:val="0"/>
      <w:marTop w:val="0"/>
      <w:marBottom w:val="0"/>
      <w:divBdr>
        <w:top w:val="none" w:sz="0" w:space="0" w:color="auto"/>
        <w:left w:val="none" w:sz="0" w:space="0" w:color="auto"/>
        <w:bottom w:val="none" w:sz="0" w:space="0" w:color="auto"/>
        <w:right w:val="none" w:sz="0" w:space="0" w:color="auto"/>
      </w:divBdr>
    </w:div>
    <w:div w:id="222300307">
      <w:bodyDiv w:val="1"/>
      <w:marLeft w:val="0"/>
      <w:marRight w:val="0"/>
      <w:marTop w:val="0"/>
      <w:marBottom w:val="0"/>
      <w:divBdr>
        <w:top w:val="none" w:sz="0" w:space="0" w:color="auto"/>
        <w:left w:val="none" w:sz="0" w:space="0" w:color="auto"/>
        <w:bottom w:val="none" w:sz="0" w:space="0" w:color="auto"/>
        <w:right w:val="none" w:sz="0" w:space="0" w:color="auto"/>
      </w:divBdr>
    </w:div>
    <w:div w:id="222330052">
      <w:bodyDiv w:val="1"/>
      <w:marLeft w:val="0"/>
      <w:marRight w:val="0"/>
      <w:marTop w:val="0"/>
      <w:marBottom w:val="0"/>
      <w:divBdr>
        <w:top w:val="none" w:sz="0" w:space="0" w:color="auto"/>
        <w:left w:val="none" w:sz="0" w:space="0" w:color="auto"/>
        <w:bottom w:val="none" w:sz="0" w:space="0" w:color="auto"/>
        <w:right w:val="none" w:sz="0" w:space="0" w:color="auto"/>
      </w:divBdr>
    </w:div>
    <w:div w:id="222371015">
      <w:bodyDiv w:val="1"/>
      <w:marLeft w:val="0"/>
      <w:marRight w:val="0"/>
      <w:marTop w:val="0"/>
      <w:marBottom w:val="0"/>
      <w:divBdr>
        <w:top w:val="none" w:sz="0" w:space="0" w:color="auto"/>
        <w:left w:val="none" w:sz="0" w:space="0" w:color="auto"/>
        <w:bottom w:val="none" w:sz="0" w:space="0" w:color="auto"/>
        <w:right w:val="none" w:sz="0" w:space="0" w:color="auto"/>
      </w:divBdr>
    </w:div>
    <w:div w:id="222454051">
      <w:bodyDiv w:val="1"/>
      <w:marLeft w:val="0"/>
      <w:marRight w:val="0"/>
      <w:marTop w:val="0"/>
      <w:marBottom w:val="0"/>
      <w:divBdr>
        <w:top w:val="none" w:sz="0" w:space="0" w:color="auto"/>
        <w:left w:val="none" w:sz="0" w:space="0" w:color="auto"/>
        <w:bottom w:val="none" w:sz="0" w:space="0" w:color="auto"/>
        <w:right w:val="none" w:sz="0" w:space="0" w:color="auto"/>
      </w:divBdr>
    </w:div>
    <w:div w:id="222721758">
      <w:bodyDiv w:val="1"/>
      <w:marLeft w:val="0"/>
      <w:marRight w:val="0"/>
      <w:marTop w:val="0"/>
      <w:marBottom w:val="0"/>
      <w:divBdr>
        <w:top w:val="none" w:sz="0" w:space="0" w:color="auto"/>
        <w:left w:val="none" w:sz="0" w:space="0" w:color="auto"/>
        <w:bottom w:val="none" w:sz="0" w:space="0" w:color="auto"/>
        <w:right w:val="none" w:sz="0" w:space="0" w:color="auto"/>
      </w:divBdr>
    </w:div>
    <w:div w:id="222789214">
      <w:bodyDiv w:val="1"/>
      <w:marLeft w:val="0"/>
      <w:marRight w:val="0"/>
      <w:marTop w:val="0"/>
      <w:marBottom w:val="0"/>
      <w:divBdr>
        <w:top w:val="none" w:sz="0" w:space="0" w:color="auto"/>
        <w:left w:val="none" w:sz="0" w:space="0" w:color="auto"/>
        <w:bottom w:val="none" w:sz="0" w:space="0" w:color="auto"/>
        <w:right w:val="none" w:sz="0" w:space="0" w:color="auto"/>
      </w:divBdr>
    </w:div>
    <w:div w:id="222839880">
      <w:bodyDiv w:val="1"/>
      <w:marLeft w:val="0"/>
      <w:marRight w:val="0"/>
      <w:marTop w:val="0"/>
      <w:marBottom w:val="0"/>
      <w:divBdr>
        <w:top w:val="none" w:sz="0" w:space="0" w:color="auto"/>
        <w:left w:val="none" w:sz="0" w:space="0" w:color="auto"/>
        <w:bottom w:val="none" w:sz="0" w:space="0" w:color="auto"/>
        <w:right w:val="none" w:sz="0" w:space="0" w:color="auto"/>
      </w:divBdr>
    </w:div>
    <w:div w:id="223180132">
      <w:bodyDiv w:val="1"/>
      <w:marLeft w:val="0"/>
      <w:marRight w:val="0"/>
      <w:marTop w:val="0"/>
      <w:marBottom w:val="0"/>
      <w:divBdr>
        <w:top w:val="none" w:sz="0" w:space="0" w:color="auto"/>
        <w:left w:val="none" w:sz="0" w:space="0" w:color="auto"/>
        <w:bottom w:val="none" w:sz="0" w:space="0" w:color="auto"/>
        <w:right w:val="none" w:sz="0" w:space="0" w:color="auto"/>
      </w:divBdr>
    </w:div>
    <w:div w:id="223218095">
      <w:bodyDiv w:val="1"/>
      <w:marLeft w:val="0"/>
      <w:marRight w:val="0"/>
      <w:marTop w:val="0"/>
      <w:marBottom w:val="0"/>
      <w:divBdr>
        <w:top w:val="none" w:sz="0" w:space="0" w:color="auto"/>
        <w:left w:val="none" w:sz="0" w:space="0" w:color="auto"/>
        <w:bottom w:val="none" w:sz="0" w:space="0" w:color="auto"/>
        <w:right w:val="none" w:sz="0" w:space="0" w:color="auto"/>
      </w:divBdr>
    </w:div>
    <w:div w:id="223763960">
      <w:bodyDiv w:val="1"/>
      <w:marLeft w:val="0"/>
      <w:marRight w:val="0"/>
      <w:marTop w:val="0"/>
      <w:marBottom w:val="0"/>
      <w:divBdr>
        <w:top w:val="none" w:sz="0" w:space="0" w:color="auto"/>
        <w:left w:val="none" w:sz="0" w:space="0" w:color="auto"/>
        <w:bottom w:val="none" w:sz="0" w:space="0" w:color="auto"/>
        <w:right w:val="none" w:sz="0" w:space="0" w:color="auto"/>
      </w:divBdr>
    </w:div>
    <w:div w:id="223806884">
      <w:bodyDiv w:val="1"/>
      <w:marLeft w:val="0"/>
      <w:marRight w:val="0"/>
      <w:marTop w:val="0"/>
      <w:marBottom w:val="0"/>
      <w:divBdr>
        <w:top w:val="none" w:sz="0" w:space="0" w:color="auto"/>
        <w:left w:val="none" w:sz="0" w:space="0" w:color="auto"/>
        <w:bottom w:val="none" w:sz="0" w:space="0" w:color="auto"/>
        <w:right w:val="none" w:sz="0" w:space="0" w:color="auto"/>
      </w:divBdr>
    </w:div>
    <w:div w:id="224150004">
      <w:bodyDiv w:val="1"/>
      <w:marLeft w:val="0"/>
      <w:marRight w:val="0"/>
      <w:marTop w:val="0"/>
      <w:marBottom w:val="0"/>
      <w:divBdr>
        <w:top w:val="none" w:sz="0" w:space="0" w:color="auto"/>
        <w:left w:val="none" w:sz="0" w:space="0" w:color="auto"/>
        <w:bottom w:val="none" w:sz="0" w:space="0" w:color="auto"/>
        <w:right w:val="none" w:sz="0" w:space="0" w:color="auto"/>
      </w:divBdr>
    </w:div>
    <w:div w:id="224223310">
      <w:bodyDiv w:val="1"/>
      <w:marLeft w:val="0"/>
      <w:marRight w:val="0"/>
      <w:marTop w:val="0"/>
      <w:marBottom w:val="0"/>
      <w:divBdr>
        <w:top w:val="none" w:sz="0" w:space="0" w:color="auto"/>
        <w:left w:val="none" w:sz="0" w:space="0" w:color="auto"/>
        <w:bottom w:val="none" w:sz="0" w:space="0" w:color="auto"/>
        <w:right w:val="none" w:sz="0" w:space="0" w:color="auto"/>
      </w:divBdr>
    </w:div>
    <w:div w:id="224487346">
      <w:bodyDiv w:val="1"/>
      <w:marLeft w:val="0"/>
      <w:marRight w:val="0"/>
      <w:marTop w:val="0"/>
      <w:marBottom w:val="0"/>
      <w:divBdr>
        <w:top w:val="none" w:sz="0" w:space="0" w:color="auto"/>
        <w:left w:val="none" w:sz="0" w:space="0" w:color="auto"/>
        <w:bottom w:val="none" w:sz="0" w:space="0" w:color="auto"/>
        <w:right w:val="none" w:sz="0" w:space="0" w:color="auto"/>
      </w:divBdr>
    </w:div>
    <w:div w:id="224607366">
      <w:bodyDiv w:val="1"/>
      <w:marLeft w:val="0"/>
      <w:marRight w:val="0"/>
      <w:marTop w:val="0"/>
      <w:marBottom w:val="0"/>
      <w:divBdr>
        <w:top w:val="none" w:sz="0" w:space="0" w:color="auto"/>
        <w:left w:val="none" w:sz="0" w:space="0" w:color="auto"/>
        <w:bottom w:val="none" w:sz="0" w:space="0" w:color="auto"/>
        <w:right w:val="none" w:sz="0" w:space="0" w:color="auto"/>
      </w:divBdr>
    </w:div>
    <w:div w:id="224799428">
      <w:bodyDiv w:val="1"/>
      <w:marLeft w:val="0"/>
      <w:marRight w:val="0"/>
      <w:marTop w:val="0"/>
      <w:marBottom w:val="0"/>
      <w:divBdr>
        <w:top w:val="none" w:sz="0" w:space="0" w:color="auto"/>
        <w:left w:val="none" w:sz="0" w:space="0" w:color="auto"/>
        <w:bottom w:val="none" w:sz="0" w:space="0" w:color="auto"/>
        <w:right w:val="none" w:sz="0" w:space="0" w:color="auto"/>
      </w:divBdr>
    </w:div>
    <w:div w:id="224991451">
      <w:bodyDiv w:val="1"/>
      <w:marLeft w:val="0"/>
      <w:marRight w:val="0"/>
      <w:marTop w:val="0"/>
      <w:marBottom w:val="0"/>
      <w:divBdr>
        <w:top w:val="none" w:sz="0" w:space="0" w:color="auto"/>
        <w:left w:val="none" w:sz="0" w:space="0" w:color="auto"/>
        <w:bottom w:val="none" w:sz="0" w:space="0" w:color="auto"/>
        <w:right w:val="none" w:sz="0" w:space="0" w:color="auto"/>
      </w:divBdr>
    </w:div>
    <w:div w:id="225065817">
      <w:bodyDiv w:val="1"/>
      <w:marLeft w:val="0"/>
      <w:marRight w:val="0"/>
      <w:marTop w:val="0"/>
      <w:marBottom w:val="0"/>
      <w:divBdr>
        <w:top w:val="none" w:sz="0" w:space="0" w:color="auto"/>
        <w:left w:val="none" w:sz="0" w:space="0" w:color="auto"/>
        <w:bottom w:val="none" w:sz="0" w:space="0" w:color="auto"/>
        <w:right w:val="none" w:sz="0" w:space="0" w:color="auto"/>
      </w:divBdr>
    </w:div>
    <w:div w:id="225336646">
      <w:bodyDiv w:val="1"/>
      <w:marLeft w:val="0"/>
      <w:marRight w:val="0"/>
      <w:marTop w:val="0"/>
      <w:marBottom w:val="0"/>
      <w:divBdr>
        <w:top w:val="none" w:sz="0" w:space="0" w:color="auto"/>
        <w:left w:val="none" w:sz="0" w:space="0" w:color="auto"/>
        <w:bottom w:val="none" w:sz="0" w:space="0" w:color="auto"/>
        <w:right w:val="none" w:sz="0" w:space="0" w:color="auto"/>
      </w:divBdr>
    </w:div>
    <w:div w:id="225607526">
      <w:bodyDiv w:val="1"/>
      <w:marLeft w:val="0"/>
      <w:marRight w:val="0"/>
      <w:marTop w:val="0"/>
      <w:marBottom w:val="0"/>
      <w:divBdr>
        <w:top w:val="none" w:sz="0" w:space="0" w:color="auto"/>
        <w:left w:val="none" w:sz="0" w:space="0" w:color="auto"/>
        <w:bottom w:val="none" w:sz="0" w:space="0" w:color="auto"/>
        <w:right w:val="none" w:sz="0" w:space="0" w:color="auto"/>
      </w:divBdr>
    </w:div>
    <w:div w:id="225839827">
      <w:bodyDiv w:val="1"/>
      <w:marLeft w:val="0"/>
      <w:marRight w:val="0"/>
      <w:marTop w:val="0"/>
      <w:marBottom w:val="0"/>
      <w:divBdr>
        <w:top w:val="none" w:sz="0" w:space="0" w:color="auto"/>
        <w:left w:val="none" w:sz="0" w:space="0" w:color="auto"/>
        <w:bottom w:val="none" w:sz="0" w:space="0" w:color="auto"/>
        <w:right w:val="none" w:sz="0" w:space="0" w:color="auto"/>
      </w:divBdr>
    </w:div>
    <w:div w:id="225921716">
      <w:bodyDiv w:val="1"/>
      <w:marLeft w:val="0"/>
      <w:marRight w:val="0"/>
      <w:marTop w:val="0"/>
      <w:marBottom w:val="0"/>
      <w:divBdr>
        <w:top w:val="none" w:sz="0" w:space="0" w:color="auto"/>
        <w:left w:val="none" w:sz="0" w:space="0" w:color="auto"/>
        <w:bottom w:val="none" w:sz="0" w:space="0" w:color="auto"/>
        <w:right w:val="none" w:sz="0" w:space="0" w:color="auto"/>
      </w:divBdr>
    </w:div>
    <w:div w:id="226116739">
      <w:bodyDiv w:val="1"/>
      <w:marLeft w:val="0"/>
      <w:marRight w:val="0"/>
      <w:marTop w:val="0"/>
      <w:marBottom w:val="0"/>
      <w:divBdr>
        <w:top w:val="none" w:sz="0" w:space="0" w:color="auto"/>
        <w:left w:val="none" w:sz="0" w:space="0" w:color="auto"/>
        <w:bottom w:val="none" w:sz="0" w:space="0" w:color="auto"/>
        <w:right w:val="none" w:sz="0" w:space="0" w:color="auto"/>
      </w:divBdr>
    </w:div>
    <w:div w:id="226384885">
      <w:bodyDiv w:val="1"/>
      <w:marLeft w:val="0"/>
      <w:marRight w:val="0"/>
      <w:marTop w:val="0"/>
      <w:marBottom w:val="0"/>
      <w:divBdr>
        <w:top w:val="none" w:sz="0" w:space="0" w:color="auto"/>
        <w:left w:val="none" w:sz="0" w:space="0" w:color="auto"/>
        <w:bottom w:val="none" w:sz="0" w:space="0" w:color="auto"/>
        <w:right w:val="none" w:sz="0" w:space="0" w:color="auto"/>
      </w:divBdr>
    </w:div>
    <w:div w:id="226496037">
      <w:bodyDiv w:val="1"/>
      <w:marLeft w:val="0"/>
      <w:marRight w:val="0"/>
      <w:marTop w:val="0"/>
      <w:marBottom w:val="0"/>
      <w:divBdr>
        <w:top w:val="none" w:sz="0" w:space="0" w:color="auto"/>
        <w:left w:val="none" w:sz="0" w:space="0" w:color="auto"/>
        <w:bottom w:val="none" w:sz="0" w:space="0" w:color="auto"/>
        <w:right w:val="none" w:sz="0" w:space="0" w:color="auto"/>
      </w:divBdr>
    </w:div>
    <w:div w:id="226965072">
      <w:bodyDiv w:val="1"/>
      <w:marLeft w:val="0"/>
      <w:marRight w:val="0"/>
      <w:marTop w:val="0"/>
      <w:marBottom w:val="0"/>
      <w:divBdr>
        <w:top w:val="none" w:sz="0" w:space="0" w:color="auto"/>
        <w:left w:val="none" w:sz="0" w:space="0" w:color="auto"/>
        <w:bottom w:val="none" w:sz="0" w:space="0" w:color="auto"/>
        <w:right w:val="none" w:sz="0" w:space="0" w:color="auto"/>
      </w:divBdr>
    </w:div>
    <w:div w:id="227422824">
      <w:bodyDiv w:val="1"/>
      <w:marLeft w:val="0"/>
      <w:marRight w:val="0"/>
      <w:marTop w:val="0"/>
      <w:marBottom w:val="0"/>
      <w:divBdr>
        <w:top w:val="none" w:sz="0" w:space="0" w:color="auto"/>
        <w:left w:val="none" w:sz="0" w:space="0" w:color="auto"/>
        <w:bottom w:val="none" w:sz="0" w:space="0" w:color="auto"/>
        <w:right w:val="none" w:sz="0" w:space="0" w:color="auto"/>
      </w:divBdr>
    </w:div>
    <w:div w:id="227495939">
      <w:bodyDiv w:val="1"/>
      <w:marLeft w:val="0"/>
      <w:marRight w:val="0"/>
      <w:marTop w:val="0"/>
      <w:marBottom w:val="0"/>
      <w:divBdr>
        <w:top w:val="none" w:sz="0" w:space="0" w:color="auto"/>
        <w:left w:val="none" w:sz="0" w:space="0" w:color="auto"/>
        <w:bottom w:val="none" w:sz="0" w:space="0" w:color="auto"/>
        <w:right w:val="none" w:sz="0" w:space="0" w:color="auto"/>
      </w:divBdr>
    </w:div>
    <w:div w:id="227611876">
      <w:bodyDiv w:val="1"/>
      <w:marLeft w:val="0"/>
      <w:marRight w:val="0"/>
      <w:marTop w:val="0"/>
      <w:marBottom w:val="0"/>
      <w:divBdr>
        <w:top w:val="none" w:sz="0" w:space="0" w:color="auto"/>
        <w:left w:val="none" w:sz="0" w:space="0" w:color="auto"/>
        <w:bottom w:val="none" w:sz="0" w:space="0" w:color="auto"/>
        <w:right w:val="none" w:sz="0" w:space="0" w:color="auto"/>
      </w:divBdr>
    </w:div>
    <w:div w:id="227738136">
      <w:bodyDiv w:val="1"/>
      <w:marLeft w:val="0"/>
      <w:marRight w:val="0"/>
      <w:marTop w:val="0"/>
      <w:marBottom w:val="0"/>
      <w:divBdr>
        <w:top w:val="none" w:sz="0" w:space="0" w:color="auto"/>
        <w:left w:val="none" w:sz="0" w:space="0" w:color="auto"/>
        <w:bottom w:val="none" w:sz="0" w:space="0" w:color="auto"/>
        <w:right w:val="none" w:sz="0" w:space="0" w:color="auto"/>
      </w:divBdr>
    </w:div>
    <w:div w:id="227804990">
      <w:bodyDiv w:val="1"/>
      <w:marLeft w:val="0"/>
      <w:marRight w:val="0"/>
      <w:marTop w:val="0"/>
      <w:marBottom w:val="0"/>
      <w:divBdr>
        <w:top w:val="none" w:sz="0" w:space="0" w:color="auto"/>
        <w:left w:val="none" w:sz="0" w:space="0" w:color="auto"/>
        <w:bottom w:val="none" w:sz="0" w:space="0" w:color="auto"/>
        <w:right w:val="none" w:sz="0" w:space="0" w:color="auto"/>
      </w:divBdr>
    </w:div>
    <w:div w:id="228031866">
      <w:bodyDiv w:val="1"/>
      <w:marLeft w:val="0"/>
      <w:marRight w:val="0"/>
      <w:marTop w:val="0"/>
      <w:marBottom w:val="0"/>
      <w:divBdr>
        <w:top w:val="none" w:sz="0" w:space="0" w:color="auto"/>
        <w:left w:val="none" w:sz="0" w:space="0" w:color="auto"/>
        <w:bottom w:val="none" w:sz="0" w:space="0" w:color="auto"/>
        <w:right w:val="none" w:sz="0" w:space="0" w:color="auto"/>
      </w:divBdr>
    </w:div>
    <w:div w:id="228730390">
      <w:bodyDiv w:val="1"/>
      <w:marLeft w:val="0"/>
      <w:marRight w:val="0"/>
      <w:marTop w:val="0"/>
      <w:marBottom w:val="0"/>
      <w:divBdr>
        <w:top w:val="none" w:sz="0" w:space="0" w:color="auto"/>
        <w:left w:val="none" w:sz="0" w:space="0" w:color="auto"/>
        <w:bottom w:val="none" w:sz="0" w:space="0" w:color="auto"/>
        <w:right w:val="none" w:sz="0" w:space="0" w:color="auto"/>
      </w:divBdr>
    </w:div>
    <w:div w:id="229274825">
      <w:bodyDiv w:val="1"/>
      <w:marLeft w:val="0"/>
      <w:marRight w:val="0"/>
      <w:marTop w:val="0"/>
      <w:marBottom w:val="0"/>
      <w:divBdr>
        <w:top w:val="none" w:sz="0" w:space="0" w:color="auto"/>
        <w:left w:val="none" w:sz="0" w:space="0" w:color="auto"/>
        <w:bottom w:val="none" w:sz="0" w:space="0" w:color="auto"/>
        <w:right w:val="none" w:sz="0" w:space="0" w:color="auto"/>
      </w:divBdr>
    </w:div>
    <w:div w:id="229317055">
      <w:bodyDiv w:val="1"/>
      <w:marLeft w:val="0"/>
      <w:marRight w:val="0"/>
      <w:marTop w:val="0"/>
      <w:marBottom w:val="0"/>
      <w:divBdr>
        <w:top w:val="none" w:sz="0" w:space="0" w:color="auto"/>
        <w:left w:val="none" w:sz="0" w:space="0" w:color="auto"/>
        <w:bottom w:val="none" w:sz="0" w:space="0" w:color="auto"/>
        <w:right w:val="none" w:sz="0" w:space="0" w:color="auto"/>
      </w:divBdr>
    </w:div>
    <w:div w:id="229465916">
      <w:bodyDiv w:val="1"/>
      <w:marLeft w:val="0"/>
      <w:marRight w:val="0"/>
      <w:marTop w:val="0"/>
      <w:marBottom w:val="0"/>
      <w:divBdr>
        <w:top w:val="none" w:sz="0" w:space="0" w:color="auto"/>
        <w:left w:val="none" w:sz="0" w:space="0" w:color="auto"/>
        <w:bottom w:val="none" w:sz="0" w:space="0" w:color="auto"/>
        <w:right w:val="none" w:sz="0" w:space="0" w:color="auto"/>
      </w:divBdr>
    </w:div>
    <w:div w:id="229466792">
      <w:bodyDiv w:val="1"/>
      <w:marLeft w:val="0"/>
      <w:marRight w:val="0"/>
      <w:marTop w:val="0"/>
      <w:marBottom w:val="0"/>
      <w:divBdr>
        <w:top w:val="none" w:sz="0" w:space="0" w:color="auto"/>
        <w:left w:val="none" w:sz="0" w:space="0" w:color="auto"/>
        <w:bottom w:val="none" w:sz="0" w:space="0" w:color="auto"/>
        <w:right w:val="none" w:sz="0" w:space="0" w:color="auto"/>
      </w:divBdr>
    </w:div>
    <w:div w:id="229582119">
      <w:bodyDiv w:val="1"/>
      <w:marLeft w:val="0"/>
      <w:marRight w:val="0"/>
      <w:marTop w:val="0"/>
      <w:marBottom w:val="0"/>
      <w:divBdr>
        <w:top w:val="none" w:sz="0" w:space="0" w:color="auto"/>
        <w:left w:val="none" w:sz="0" w:space="0" w:color="auto"/>
        <w:bottom w:val="none" w:sz="0" w:space="0" w:color="auto"/>
        <w:right w:val="none" w:sz="0" w:space="0" w:color="auto"/>
      </w:divBdr>
    </w:div>
    <w:div w:id="229583024">
      <w:bodyDiv w:val="1"/>
      <w:marLeft w:val="0"/>
      <w:marRight w:val="0"/>
      <w:marTop w:val="0"/>
      <w:marBottom w:val="0"/>
      <w:divBdr>
        <w:top w:val="none" w:sz="0" w:space="0" w:color="auto"/>
        <w:left w:val="none" w:sz="0" w:space="0" w:color="auto"/>
        <w:bottom w:val="none" w:sz="0" w:space="0" w:color="auto"/>
        <w:right w:val="none" w:sz="0" w:space="0" w:color="auto"/>
      </w:divBdr>
    </w:div>
    <w:div w:id="230510489">
      <w:bodyDiv w:val="1"/>
      <w:marLeft w:val="0"/>
      <w:marRight w:val="0"/>
      <w:marTop w:val="0"/>
      <w:marBottom w:val="0"/>
      <w:divBdr>
        <w:top w:val="none" w:sz="0" w:space="0" w:color="auto"/>
        <w:left w:val="none" w:sz="0" w:space="0" w:color="auto"/>
        <w:bottom w:val="none" w:sz="0" w:space="0" w:color="auto"/>
        <w:right w:val="none" w:sz="0" w:space="0" w:color="auto"/>
      </w:divBdr>
    </w:div>
    <w:div w:id="231350443">
      <w:bodyDiv w:val="1"/>
      <w:marLeft w:val="0"/>
      <w:marRight w:val="0"/>
      <w:marTop w:val="0"/>
      <w:marBottom w:val="0"/>
      <w:divBdr>
        <w:top w:val="none" w:sz="0" w:space="0" w:color="auto"/>
        <w:left w:val="none" w:sz="0" w:space="0" w:color="auto"/>
        <w:bottom w:val="none" w:sz="0" w:space="0" w:color="auto"/>
        <w:right w:val="none" w:sz="0" w:space="0" w:color="auto"/>
      </w:divBdr>
    </w:div>
    <w:div w:id="231430633">
      <w:bodyDiv w:val="1"/>
      <w:marLeft w:val="0"/>
      <w:marRight w:val="0"/>
      <w:marTop w:val="0"/>
      <w:marBottom w:val="0"/>
      <w:divBdr>
        <w:top w:val="none" w:sz="0" w:space="0" w:color="auto"/>
        <w:left w:val="none" w:sz="0" w:space="0" w:color="auto"/>
        <w:bottom w:val="none" w:sz="0" w:space="0" w:color="auto"/>
        <w:right w:val="none" w:sz="0" w:space="0" w:color="auto"/>
      </w:divBdr>
    </w:div>
    <w:div w:id="231547738">
      <w:bodyDiv w:val="1"/>
      <w:marLeft w:val="0"/>
      <w:marRight w:val="0"/>
      <w:marTop w:val="0"/>
      <w:marBottom w:val="0"/>
      <w:divBdr>
        <w:top w:val="none" w:sz="0" w:space="0" w:color="auto"/>
        <w:left w:val="none" w:sz="0" w:space="0" w:color="auto"/>
        <w:bottom w:val="none" w:sz="0" w:space="0" w:color="auto"/>
        <w:right w:val="none" w:sz="0" w:space="0" w:color="auto"/>
      </w:divBdr>
    </w:div>
    <w:div w:id="231746056">
      <w:bodyDiv w:val="1"/>
      <w:marLeft w:val="0"/>
      <w:marRight w:val="0"/>
      <w:marTop w:val="0"/>
      <w:marBottom w:val="0"/>
      <w:divBdr>
        <w:top w:val="none" w:sz="0" w:space="0" w:color="auto"/>
        <w:left w:val="none" w:sz="0" w:space="0" w:color="auto"/>
        <w:bottom w:val="none" w:sz="0" w:space="0" w:color="auto"/>
        <w:right w:val="none" w:sz="0" w:space="0" w:color="auto"/>
      </w:divBdr>
    </w:div>
    <w:div w:id="231821408">
      <w:bodyDiv w:val="1"/>
      <w:marLeft w:val="0"/>
      <w:marRight w:val="0"/>
      <w:marTop w:val="0"/>
      <w:marBottom w:val="0"/>
      <w:divBdr>
        <w:top w:val="none" w:sz="0" w:space="0" w:color="auto"/>
        <w:left w:val="none" w:sz="0" w:space="0" w:color="auto"/>
        <w:bottom w:val="none" w:sz="0" w:space="0" w:color="auto"/>
        <w:right w:val="none" w:sz="0" w:space="0" w:color="auto"/>
      </w:divBdr>
    </w:div>
    <w:div w:id="231932652">
      <w:bodyDiv w:val="1"/>
      <w:marLeft w:val="0"/>
      <w:marRight w:val="0"/>
      <w:marTop w:val="0"/>
      <w:marBottom w:val="0"/>
      <w:divBdr>
        <w:top w:val="none" w:sz="0" w:space="0" w:color="auto"/>
        <w:left w:val="none" w:sz="0" w:space="0" w:color="auto"/>
        <w:bottom w:val="none" w:sz="0" w:space="0" w:color="auto"/>
        <w:right w:val="none" w:sz="0" w:space="0" w:color="auto"/>
      </w:divBdr>
    </w:div>
    <w:div w:id="232084574">
      <w:bodyDiv w:val="1"/>
      <w:marLeft w:val="0"/>
      <w:marRight w:val="0"/>
      <w:marTop w:val="0"/>
      <w:marBottom w:val="0"/>
      <w:divBdr>
        <w:top w:val="none" w:sz="0" w:space="0" w:color="auto"/>
        <w:left w:val="none" w:sz="0" w:space="0" w:color="auto"/>
        <w:bottom w:val="none" w:sz="0" w:space="0" w:color="auto"/>
        <w:right w:val="none" w:sz="0" w:space="0" w:color="auto"/>
      </w:divBdr>
    </w:div>
    <w:div w:id="232357712">
      <w:bodyDiv w:val="1"/>
      <w:marLeft w:val="0"/>
      <w:marRight w:val="0"/>
      <w:marTop w:val="0"/>
      <w:marBottom w:val="0"/>
      <w:divBdr>
        <w:top w:val="none" w:sz="0" w:space="0" w:color="auto"/>
        <w:left w:val="none" w:sz="0" w:space="0" w:color="auto"/>
        <w:bottom w:val="none" w:sz="0" w:space="0" w:color="auto"/>
        <w:right w:val="none" w:sz="0" w:space="0" w:color="auto"/>
      </w:divBdr>
    </w:div>
    <w:div w:id="232393548">
      <w:bodyDiv w:val="1"/>
      <w:marLeft w:val="0"/>
      <w:marRight w:val="0"/>
      <w:marTop w:val="0"/>
      <w:marBottom w:val="0"/>
      <w:divBdr>
        <w:top w:val="none" w:sz="0" w:space="0" w:color="auto"/>
        <w:left w:val="none" w:sz="0" w:space="0" w:color="auto"/>
        <w:bottom w:val="none" w:sz="0" w:space="0" w:color="auto"/>
        <w:right w:val="none" w:sz="0" w:space="0" w:color="auto"/>
      </w:divBdr>
    </w:div>
    <w:div w:id="232399005">
      <w:bodyDiv w:val="1"/>
      <w:marLeft w:val="0"/>
      <w:marRight w:val="0"/>
      <w:marTop w:val="0"/>
      <w:marBottom w:val="0"/>
      <w:divBdr>
        <w:top w:val="none" w:sz="0" w:space="0" w:color="auto"/>
        <w:left w:val="none" w:sz="0" w:space="0" w:color="auto"/>
        <w:bottom w:val="none" w:sz="0" w:space="0" w:color="auto"/>
        <w:right w:val="none" w:sz="0" w:space="0" w:color="auto"/>
      </w:divBdr>
    </w:div>
    <w:div w:id="232668194">
      <w:bodyDiv w:val="1"/>
      <w:marLeft w:val="0"/>
      <w:marRight w:val="0"/>
      <w:marTop w:val="0"/>
      <w:marBottom w:val="0"/>
      <w:divBdr>
        <w:top w:val="none" w:sz="0" w:space="0" w:color="auto"/>
        <w:left w:val="none" w:sz="0" w:space="0" w:color="auto"/>
        <w:bottom w:val="none" w:sz="0" w:space="0" w:color="auto"/>
        <w:right w:val="none" w:sz="0" w:space="0" w:color="auto"/>
      </w:divBdr>
    </w:div>
    <w:div w:id="232786756">
      <w:bodyDiv w:val="1"/>
      <w:marLeft w:val="0"/>
      <w:marRight w:val="0"/>
      <w:marTop w:val="0"/>
      <w:marBottom w:val="0"/>
      <w:divBdr>
        <w:top w:val="none" w:sz="0" w:space="0" w:color="auto"/>
        <w:left w:val="none" w:sz="0" w:space="0" w:color="auto"/>
        <w:bottom w:val="none" w:sz="0" w:space="0" w:color="auto"/>
        <w:right w:val="none" w:sz="0" w:space="0" w:color="auto"/>
      </w:divBdr>
    </w:div>
    <w:div w:id="233468450">
      <w:bodyDiv w:val="1"/>
      <w:marLeft w:val="0"/>
      <w:marRight w:val="0"/>
      <w:marTop w:val="0"/>
      <w:marBottom w:val="0"/>
      <w:divBdr>
        <w:top w:val="none" w:sz="0" w:space="0" w:color="auto"/>
        <w:left w:val="none" w:sz="0" w:space="0" w:color="auto"/>
        <w:bottom w:val="none" w:sz="0" w:space="0" w:color="auto"/>
        <w:right w:val="none" w:sz="0" w:space="0" w:color="auto"/>
      </w:divBdr>
    </w:div>
    <w:div w:id="233706952">
      <w:bodyDiv w:val="1"/>
      <w:marLeft w:val="0"/>
      <w:marRight w:val="0"/>
      <w:marTop w:val="0"/>
      <w:marBottom w:val="0"/>
      <w:divBdr>
        <w:top w:val="none" w:sz="0" w:space="0" w:color="auto"/>
        <w:left w:val="none" w:sz="0" w:space="0" w:color="auto"/>
        <w:bottom w:val="none" w:sz="0" w:space="0" w:color="auto"/>
        <w:right w:val="none" w:sz="0" w:space="0" w:color="auto"/>
      </w:divBdr>
    </w:div>
    <w:div w:id="233785437">
      <w:bodyDiv w:val="1"/>
      <w:marLeft w:val="0"/>
      <w:marRight w:val="0"/>
      <w:marTop w:val="0"/>
      <w:marBottom w:val="0"/>
      <w:divBdr>
        <w:top w:val="none" w:sz="0" w:space="0" w:color="auto"/>
        <w:left w:val="none" w:sz="0" w:space="0" w:color="auto"/>
        <w:bottom w:val="none" w:sz="0" w:space="0" w:color="auto"/>
        <w:right w:val="none" w:sz="0" w:space="0" w:color="auto"/>
      </w:divBdr>
    </w:div>
    <w:div w:id="234365796">
      <w:bodyDiv w:val="1"/>
      <w:marLeft w:val="0"/>
      <w:marRight w:val="0"/>
      <w:marTop w:val="0"/>
      <w:marBottom w:val="0"/>
      <w:divBdr>
        <w:top w:val="none" w:sz="0" w:space="0" w:color="auto"/>
        <w:left w:val="none" w:sz="0" w:space="0" w:color="auto"/>
        <w:bottom w:val="none" w:sz="0" w:space="0" w:color="auto"/>
        <w:right w:val="none" w:sz="0" w:space="0" w:color="auto"/>
      </w:divBdr>
    </w:div>
    <w:div w:id="234437103">
      <w:bodyDiv w:val="1"/>
      <w:marLeft w:val="0"/>
      <w:marRight w:val="0"/>
      <w:marTop w:val="0"/>
      <w:marBottom w:val="0"/>
      <w:divBdr>
        <w:top w:val="none" w:sz="0" w:space="0" w:color="auto"/>
        <w:left w:val="none" w:sz="0" w:space="0" w:color="auto"/>
        <w:bottom w:val="none" w:sz="0" w:space="0" w:color="auto"/>
        <w:right w:val="none" w:sz="0" w:space="0" w:color="auto"/>
      </w:divBdr>
    </w:div>
    <w:div w:id="234627342">
      <w:bodyDiv w:val="1"/>
      <w:marLeft w:val="0"/>
      <w:marRight w:val="0"/>
      <w:marTop w:val="0"/>
      <w:marBottom w:val="0"/>
      <w:divBdr>
        <w:top w:val="none" w:sz="0" w:space="0" w:color="auto"/>
        <w:left w:val="none" w:sz="0" w:space="0" w:color="auto"/>
        <w:bottom w:val="none" w:sz="0" w:space="0" w:color="auto"/>
        <w:right w:val="none" w:sz="0" w:space="0" w:color="auto"/>
      </w:divBdr>
    </w:div>
    <w:div w:id="234633664">
      <w:bodyDiv w:val="1"/>
      <w:marLeft w:val="0"/>
      <w:marRight w:val="0"/>
      <w:marTop w:val="0"/>
      <w:marBottom w:val="0"/>
      <w:divBdr>
        <w:top w:val="none" w:sz="0" w:space="0" w:color="auto"/>
        <w:left w:val="none" w:sz="0" w:space="0" w:color="auto"/>
        <w:bottom w:val="none" w:sz="0" w:space="0" w:color="auto"/>
        <w:right w:val="none" w:sz="0" w:space="0" w:color="auto"/>
      </w:divBdr>
    </w:div>
    <w:div w:id="234709924">
      <w:bodyDiv w:val="1"/>
      <w:marLeft w:val="0"/>
      <w:marRight w:val="0"/>
      <w:marTop w:val="0"/>
      <w:marBottom w:val="0"/>
      <w:divBdr>
        <w:top w:val="none" w:sz="0" w:space="0" w:color="auto"/>
        <w:left w:val="none" w:sz="0" w:space="0" w:color="auto"/>
        <w:bottom w:val="none" w:sz="0" w:space="0" w:color="auto"/>
        <w:right w:val="none" w:sz="0" w:space="0" w:color="auto"/>
      </w:divBdr>
    </w:div>
    <w:div w:id="235015034">
      <w:bodyDiv w:val="1"/>
      <w:marLeft w:val="0"/>
      <w:marRight w:val="0"/>
      <w:marTop w:val="0"/>
      <w:marBottom w:val="0"/>
      <w:divBdr>
        <w:top w:val="none" w:sz="0" w:space="0" w:color="auto"/>
        <w:left w:val="none" w:sz="0" w:space="0" w:color="auto"/>
        <w:bottom w:val="none" w:sz="0" w:space="0" w:color="auto"/>
        <w:right w:val="none" w:sz="0" w:space="0" w:color="auto"/>
      </w:divBdr>
    </w:div>
    <w:div w:id="235551643">
      <w:bodyDiv w:val="1"/>
      <w:marLeft w:val="0"/>
      <w:marRight w:val="0"/>
      <w:marTop w:val="0"/>
      <w:marBottom w:val="0"/>
      <w:divBdr>
        <w:top w:val="none" w:sz="0" w:space="0" w:color="auto"/>
        <w:left w:val="none" w:sz="0" w:space="0" w:color="auto"/>
        <w:bottom w:val="none" w:sz="0" w:space="0" w:color="auto"/>
        <w:right w:val="none" w:sz="0" w:space="0" w:color="auto"/>
      </w:divBdr>
    </w:div>
    <w:div w:id="235625943">
      <w:bodyDiv w:val="1"/>
      <w:marLeft w:val="0"/>
      <w:marRight w:val="0"/>
      <w:marTop w:val="0"/>
      <w:marBottom w:val="0"/>
      <w:divBdr>
        <w:top w:val="none" w:sz="0" w:space="0" w:color="auto"/>
        <w:left w:val="none" w:sz="0" w:space="0" w:color="auto"/>
        <w:bottom w:val="none" w:sz="0" w:space="0" w:color="auto"/>
        <w:right w:val="none" w:sz="0" w:space="0" w:color="auto"/>
      </w:divBdr>
    </w:div>
    <w:div w:id="235866208">
      <w:bodyDiv w:val="1"/>
      <w:marLeft w:val="0"/>
      <w:marRight w:val="0"/>
      <w:marTop w:val="0"/>
      <w:marBottom w:val="0"/>
      <w:divBdr>
        <w:top w:val="none" w:sz="0" w:space="0" w:color="auto"/>
        <w:left w:val="none" w:sz="0" w:space="0" w:color="auto"/>
        <w:bottom w:val="none" w:sz="0" w:space="0" w:color="auto"/>
        <w:right w:val="none" w:sz="0" w:space="0" w:color="auto"/>
      </w:divBdr>
    </w:div>
    <w:div w:id="235937001">
      <w:bodyDiv w:val="1"/>
      <w:marLeft w:val="0"/>
      <w:marRight w:val="0"/>
      <w:marTop w:val="0"/>
      <w:marBottom w:val="0"/>
      <w:divBdr>
        <w:top w:val="none" w:sz="0" w:space="0" w:color="auto"/>
        <w:left w:val="none" w:sz="0" w:space="0" w:color="auto"/>
        <w:bottom w:val="none" w:sz="0" w:space="0" w:color="auto"/>
        <w:right w:val="none" w:sz="0" w:space="0" w:color="auto"/>
      </w:divBdr>
    </w:div>
    <w:div w:id="236013175">
      <w:bodyDiv w:val="1"/>
      <w:marLeft w:val="0"/>
      <w:marRight w:val="0"/>
      <w:marTop w:val="0"/>
      <w:marBottom w:val="0"/>
      <w:divBdr>
        <w:top w:val="none" w:sz="0" w:space="0" w:color="auto"/>
        <w:left w:val="none" w:sz="0" w:space="0" w:color="auto"/>
        <w:bottom w:val="none" w:sz="0" w:space="0" w:color="auto"/>
        <w:right w:val="none" w:sz="0" w:space="0" w:color="auto"/>
      </w:divBdr>
    </w:div>
    <w:div w:id="236093430">
      <w:bodyDiv w:val="1"/>
      <w:marLeft w:val="0"/>
      <w:marRight w:val="0"/>
      <w:marTop w:val="0"/>
      <w:marBottom w:val="0"/>
      <w:divBdr>
        <w:top w:val="none" w:sz="0" w:space="0" w:color="auto"/>
        <w:left w:val="none" w:sz="0" w:space="0" w:color="auto"/>
        <w:bottom w:val="none" w:sz="0" w:space="0" w:color="auto"/>
        <w:right w:val="none" w:sz="0" w:space="0" w:color="auto"/>
      </w:divBdr>
    </w:div>
    <w:div w:id="236550444">
      <w:bodyDiv w:val="1"/>
      <w:marLeft w:val="0"/>
      <w:marRight w:val="0"/>
      <w:marTop w:val="0"/>
      <w:marBottom w:val="0"/>
      <w:divBdr>
        <w:top w:val="none" w:sz="0" w:space="0" w:color="auto"/>
        <w:left w:val="none" w:sz="0" w:space="0" w:color="auto"/>
        <w:bottom w:val="none" w:sz="0" w:space="0" w:color="auto"/>
        <w:right w:val="none" w:sz="0" w:space="0" w:color="auto"/>
      </w:divBdr>
    </w:div>
    <w:div w:id="236597361">
      <w:bodyDiv w:val="1"/>
      <w:marLeft w:val="0"/>
      <w:marRight w:val="0"/>
      <w:marTop w:val="0"/>
      <w:marBottom w:val="0"/>
      <w:divBdr>
        <w:top w:val="none" w:sz="0" w:space="0" w:color="auto"/>
        <w:left w:val="none" w:sz="0" w:space="0" w:color="auto"/>
        <w:bottom w:val="none" w:sz="0" w:space="0" w:color="auto"/>
        <w:right w:val="none" w:sz="0" w:space="0" w:color="auto"/>
      </w:divBdr>
    </w:div>
    <w:div w:id="236743267">
      <w:bodyDiv w:val="1"/>
      <w:marLeft w:val="0"/>
      <w:marRight w:val="0"/>
      <w:marTop w:val="0"/>
      <w:marBottom w:val="0"/>
      <w:divBdr>
        <w:top w:val="none" w:sz="0" w:space="0" w:color="auto"/>
        <w:left w:val="none" w:sz="0" w:space="0" w:color="auto"/>
        <w:bottom w:val="none" w:sz="0" w:space="0" w:color="auto"/>
        <w:right w:val="none" w:sz="0" w:space="0" w:color="auto"/>
      </w:divBdr>
    </w:div>
    <w:div w:id="236863346">
      <w:bodyDiv w:val="1"/>
      <w:marLeft w:val="0"/>
      <w:marRight w:val="0"/>
      <w:marTop w:val="0"/>
      <w:marBottom w:val="0"/>
      <w:divBdr>
        <w:top w:val="none" w:sz="0" w:space="0" w:color="auto"/>
        <w:left w:val="none" w:sz="0" w:space="0" w:color="auto"/>
        <w:bottom w:val="none" w:sz="0" w:space="0" w:color="auto"/>
        <w:right w:val="none" w:sz="0" w:space="0" w:color="auto"/>
      </w:divBdr>
    </w:div>
    <w:div w:id="236869877">
      <w:bodyDiv w:val="1"/>
      <w:marLeft w:val="0"/>
      <w:marRight w:val="0"/>
      <w:marTop w:val="0"/>
      <w:marBottom w:val="0"/>
      <w:divBdr>
        <w:top w:val="none" w:sz="0" w:space="0" w:color="auto"/>
        <w:left w:val="none" w:sz="0" w:space="0" w:color="auto"/>
        <w:bottom w:val="none" w:sz="0" w:space="0" w:color="auto"/>
        <w:right w:val="none" w:sz="0" w:space="0" w:color="auto"/>
      </w:divBdr>
    </w:div>
    <w:div w:id="237592990">
      <w:bodyDiv w:val="1"/>
      <w:marLeft w:val="0"/>
      <w:marRight w:val="0"/>
      <w:marTop w:val="0"/>
      <w:marBottom w:val="0"/>
      <w:divBdr>
        <w:top w:val="none" w:sz="0" w:space="0" w:color="auto"/>
        <w:left w:val="none" w:sz="0" w:space="0" w:color="auto"/>
        <w:bottom w:val="none" w:sz="0" w:space="0" w:color="auto"/>
        <w:right w:val="none" w:sz="0" w:space="0" w:color="auto"/>
      </w:divBdr>
    </w:div>
    <w:div w:id="237860833">
      <w:bodyDiv w:val="1"/>
      <w:marLeft w:val="0"/>
      <w:marRight w:val="0"/>
      <w:marTop w:val="0"/>
      <w:marBottom w:val="0"/>
      <w:divBdr>
        <w:top w:val="none" w:sz="0" w:space="0" w:color="auto"/>
        <w:left w:val="none" w:sz="0" w:space="0" w:color="auto"/>
        <w:bottom w:val="none" w:sz="0" w:space="0" w:color="auto"/>
        <w:right w:val="none" w:sz="0" w:space="0" w:color="auto"/>
      </w:divBdr>
    </w:div>
    <w:div w:id="237910524">
      <w:bodyDiv w:val="1"/>
      <w:marLeft w:val="0"/>
      <w:marRight w:val="0"/>
      <w:marTop w:val="0"/>
      <w:marBottom w:val="0"/>
      <w:divBdr>
        <w:top w:val="none" w:sz="0" w:space="0" w:color="auto"/>
        <w:left w:val="none" w:sz="0" w:space="0" w:color="auto"/>
        <w:bottom w:val="none" w:sz="0" w:space="0" w:color="auto"/>
        <w:right w:val="none" w:sz="0" w:space="0" w:color="auto"/>
      </w:divBdr>
    </w:div>
    <w:div w:id="237985383">
      <w:bodyDiv w:val="1"/>
      <w:marLeft w:val="0"/>
      <w:marRight w:val="0"/>
      <w:marTop w:val="0"/>
      <w:marBottom w:val="0"/>
      <w:divBdr>
        <w:top w:val="none" w:sz="0" w:space="0" w:color="auto"/>
        <w:left w:val="none" w:sz="0" w:space="0" w:color="auto"/>
        <w:bottom w:val="none" w:sz="0" w:space="0" w:color="auto"/>
        <w:right w:val="none" w:sz="0" w:space="0" w:color="auto"/>
      </w:divBdr>
    </w:div>
    <w:div w:id="238056519">
      <w:bodyDiv w:val="1"/>
      <w:marLeft w:val="0"/>
      <w:marRight w:val="0"/>
      <w:marTop w:val="0"/>
      <w:marBottom w:val="0"/>
      <w:divBdr>
        <w:top w:val="none" w:sz="0" w:space="0" w:color="auto"/>
        <w:left w:val="none" w:sz="0" w:space="0" w:color="auto"/>
        <w:bottom w:val="none" w:sz="0" w:space="0" w:color="auto"/>
        <w:right w:val="none" w:sz="0" w:space="0" w:color="auto"/>
      </w:divBdr>
    </w:div>
    <w:div w:id="238057166">
      <w:bodyDiv w:val="1"/>
      <w:marLeft w:val="0"/>
      <w:marRight w:val="0"/>
      <w:marTop w:val="0"/>
      <w:marBottom w:val="0"/>
      <w:divBdr>
        <w:top w:val="none" w:sz="0" w:space="0" w:color="auto"/>
        <w:left w:val="none" w:sz="0" w:space="0" w:color="auto"/>
        <w:bottom w:val="none" w:sz="0" w:space="0" w:color="auto"/>
        <w:right w:val="none" w:sz="0" w:space="0" w:color="auto"/>
      </w:divBdr>
    </w:div>
    <w:div w:id="238057368">
      <w:bodyDiv w:val="1"/>
      <w:marLeft w:val="0"/>
      <w:marRight w:val="0"/>
      <w:marTop w:val="0"/>
      <w:marBottom w:val="0"/>
      <w:divBdr>
        <w:top w:val="none" w:sz="0" w:space="0" w:color="auto"/>
        <w:left w:val="none" w:sz="0" w:space="0" w:color="auto"/>
        <w:bottom w:val="none" w:sz="0" w:space="0" w:color="auto"/>
        <w:right w:val="none" w:sz="0" w:space="0" w:color="auto"/>
      </w:divBdr>
    </w:div>
    <w:div w:id="238174723">
      <w:bodyDiv w:val="1"/>
      <w:marLeft w:val="0"/>
      <w:marRight w:val="0"/>
      <w:marTop w:val="0"/>
      <w:marBottom w:val="0"/>
      <w:divBdr>
        <w:top w:val="none" w:sz="0" w:space="0" w:color="auto"/>
        <w:left w:val="none" w:sz="0" w:space="0" w:color="auto"/>
        <w:bottom w:val="none" w:sz="0" w:space="0" w:color="auto"/>
        <w:right w:val="none" w:sz="0" w:space="0" w:color="auto"/>
      </w:divBdr>
    </w:div>
    <w:div w:id="238180637">
      <w:bodyDiv w:val="1"/>
      <w:marLeft w:val="0"/>
      <w:marRight w:val="0"/>
      <w:marTop w:val="0"/>
      <w:marBottom w:val="0"/>
      <w:divBdr>
        <w:top w:val="none" w:sz="0" w:space="0" w:color="auto"/>
        <w:left w:val="none" w:sz="0" w:space="0" w:color="auto"/>
        <w:bottom w:val="none" w:sz="0" w:space="0" w:color="auto"/>
        <w:right w:val="none" w:sz="0" w:space="0" w:color="auto"/>
      </w:divBdr>
    </w:div>
    <w:div w:id="238490427">
      <w:bodyDiv w:val="1"/>
      <w:marLeft w:val="0"/>
      <w:marRight w:val="0"/>
      <w:marTop w:val="0"/>
      <w:marBottom w:val="0"/>
      <w:divBdr>
        <w:top w:val="none" w:sz="0" w:space="0" w:color="auto"/>
        <w:left w:val="none" w:sz="0" w:space="0" w:color="auto"/>
        <w:bottom w:val="none" w:sz="0" w:space="0" w:color="auto"/>
        <w:right w:val="none" w:sz="0" w:space="0" w:color="auto"/>
      </w:divBdr>
    </w:div>
    <w:div w:id="238516802">
      <w:bodyDiv w:val="1"/>
      <w:marLeft w:val="0"/>
      <w:marRight w:val="0"/>
      <w:marTop w:val="0"/>
      <w:marBottom w:val="0"/>
      <w:divBdr>
        <w:top w:val="none" w:sz="0" w:space="0" w:color="auto"/>
        <w:left w:val="none" w:sz="0" w:space="0" w:color="auto"/>
        <w:bottom w:val="none" w:sz="0" w:space="0" w:color="auto"/>
        <w:right w:val="none" w:sz="0" w:space="0" w:color="auto"/>
      </w:divBdr>
    </w:div>
    <w:div w:id="238637071">
      <w:bodyDiv w:val="1"/>
      <w:marLeft w:val="0"/>
      <w:marRight w:val="0"/>
      <w:marTop w:val="0"/>
      <w:marBottom w:val="0"/>
      <w:divBdr>
        <w:top w:val="none" w:sz="0" w:space="0" w:color="auto"/>
        <w:left w:val="none" w:sz="0" w:space="0" w:color="auto"/>
        <w:bottom w:val="none" w:sz="0" w:space="0" w:color="auto"/>
        <w:right w:val="none" w:sz="0" w:space="0" w:color="auto"/>
      </w:divBdr>
    </w:div>
    <w:div w:id="238910565">
      <w:bodyDiv w:val="1"/>
      <w:marLeft w:val="0"/>
      <w:marRight w:val="0"/>
      <w:marTop w:val="0"/>
      <w:marBottom w:val="0"/>
      <w:divBdr>
        <w:top w:val="none" w:sz="0" w:space="0" w:color="auto"/>
        <w:left w:val="none" w:sz="0" w:space="0" w:color="auto"/>
        <w:bottom w:val="none" w:sz="0" w:space="0" w:color="auto"/>
        <w:right w:val="none" w:sz="0" w:space="0" w:color="auto"/>
      </w:divBdr>
    </w:div>
    <w:div w:id="239019849">
      <w:bodyDiv w:val="1"/>
      <w:marLeft w:val="0"/>
      <w:marRight w:val="0"/>
      <w:marTop w:val="0"/>
      <w:marBottom w:val="0"/>
      <w:divBdr>
        <w:top w:val="none" w:sz="0" w:space="0" w:color="auto"/>
        <w:left w:val="none" w:sz="0" w:space="0" w:color="auto"/>
        <w:bottom w:val="none" w:sz="0" w:space="0" w:color="auto"/>
        <w:right w:val="none" w:sz="0" w:space="0" w:color="auto"/>
      </w:divBdr>
    </w:div>
    <w:div w:id="239023415">
      <w:bodyDiv w:val="1"/>
      <w:marLeft w:val="0"/>
      <w:marRight w:val="0"/>
      <w:marTop w:val="0"/>
      <w:marBottom w:val="0"/>
      <w:divBdr>
        <w:top w:val="none" w:sz="0" w:space="0" w:color="auto"/>
        <w:left w:val="none" w:sz="0" w:space="0" w:color="auto"/>
        <w:bottom w:val="none" w:sz="0" w:space="0" w:color="auto"/>
        <w:right w:val="none" w:sz="0" w:space="0" w:color="auto"/>
      </w:divBdr>
    </w:div>
    <w:div w:id="239144394">
      <w:bodyDiv w:val="1"/>
      <w:marLeft w:val="0"/>
      <w:marRight w:val="0"/>
      <w:marTop w:val="0"/>
      <w:marBottom w:val="0"/>
      <w:divBdr>
        <w:top w:val="none" w:sz="0" w:space="0" w:color="auto"/>
        <w:left w:val="none" w:sz="0" w:space="0" w:color="auto"/>
        <w:bottom w:val="none" w:sz="0" w:space="0" w:color="auto"/>
        <w:right w:val="none" w:sz="0" w:space="0" w:color="auto"/>
      </w:divBdr>
    </w:div>
    <w:div w:id="239213042">
      <w:bodyDiv w:val="1"/>
      <w:marLeft w:val="0"/>
      <w:marRight w:val="0"/>
      <w:marTop w:val="0"/>
      <w:marBottom w:val="0"/>
      <w:divBdr>
        <w:top w:val="none" w:sz="0" w:space="0" w:color="auto"/>
        <w:left w:val="none" w:sz="0" w:space="0" w:color="auto"/>
        <w:bottom w:val="none" w:sz="0" w:space="0" w:color="auto"/>
        <w:right w:val="none" w:sz="0" w:space="0" w:color="auto"/>
      </w:divBdr>
    </w:div>
    <w:div w:id="239415901">
      <w:bodyDiv w:val="1"/>
      <w:marLeft w:val="0"/>
      <w:marRight w:val="0"/>
      <w:marTop w:val="0"/>
      <w:marBottom w:val="0"/>
      <w:divBdr>
        <w:top w:val="none" w:sz="0" w:space="0" w:color="auto"/>
        <w:left w:val="none" w:sz="0" w:space="0" w:color="auto"/>
        <w:bottom w:val="none" w:sz="0" w:space="0" w:color="auto"/>
        <w:right w:val="none" w:sz="0" w:space="0" w:color="auto"/>
      </w:divBdr>
    </w:div>
    <w:div w:id="239563206">
      <w:bodyDiv w:val="1"/>
      <w:marLeft w:val="0"/>
      <w:marRight w:val="0"/>
      <w:marTop w:val="0"/>
      <w:marBottom w:val="0"/>
      <w:divBdr>
        <w:top w:val="none" w:sz="0" w:space="0" w:color="auto"/>
        <w:left w:val="none" w:sz="0" w:space="0" w:color="auto"/>
        <w:bottom w:val="none" w:sz="0" w:space="0" w:color="auto"/>
        <w:right w:val="none" w:sz="0" w:space="0" w:color="auto"/>
      </w:divBdr>
    </w:div>
    <w:div w:id="239951297">
      <w:bodyDiv w:val="1"/>
      <w:marLeft w:val="0"/>
      <w:marRight w:val="0"/>
      <w:marTop w:val="0"/>
      <w:marBottom w:val="0"/>
      <w:divBdr>
        <w:top w:val="none" w:sz="0" w:space="0" w:color="auto"/>
        <w:left w:val="none" w:sz="0" w:space="0" w:color="auto"/>
        <w:bottom w:val="none" w:sz="0" w:space="0" w:color="auto"/>
        <w:right w:val="none" w:sz="0" w:space="0" w:color="auto"/>
      </w:divBdr>
    </w:div>
    <w:div w:id="240145813">
      <w:bodyDiv w:val="1"/>
      <w:marLeft w:val="0"/>
      <w:marRight w:val="0"/>
      <w:marTop w:val="0"/>
      <w:marBottom w:val="0"/>
      <w:divBdr>
        <w:top w:val="none" w:sz="0" w:space="0" w:color="auto"/>
        <w:left w:val="none" w:sz="0" w:space="0" w:color="auto"/>
        <w:bottom w:val="none" w:sz="0" w:space="0" w:color="auto"/>
        <w:right w:val="none" w:sz="0" w:space="0" w:color="auto"/>
      </w:divBdr>
    </w:div>
    <w:div w:id="240257434">
      <w:bodyDiv w:val="1"/>
      <w:marLeft w:val="0"/>
      <w:marRight w:val="0"/>
      <w:marTop w:val="0"/>
      <w:marBottom w:val="0"/>
      <w:divBdr>
        <w:top w:val="none" w:sz="0" w:space="0" w:color="auto"/>
        <w:left w:val="none" w:sz="0" w:space="0" w:color="auto"/>
        <w:bottom w:val="none" w:sz="0" w:space="0" w:color="auto"/>
        <w:right w:val="none" w:sz="0" w:space="0" w:color="auto"/>
      </w:divBdr>
    </w:div>
    <w:div w:id="240993400">
      <w:bodyDiv w:val="1"/>
      <w:marLeft w:val="0"/>
      <w:marRight w:val="0"/>
      <w:marTop w:val="0"/>
      <w:marBottom w:val="0"/>
      <w:divBdr>
        <w:top w:val="none" w:sz="0" w:space="0" w:color="auto"/>
        <w:left w:val="none" w:sz="0" w:space="0" w:color="auto"/>
        <w:bottom w:val="none" w:sz="0" w:space="0" w:color="auto"/>
        <w:right w:val="none" w:sz="0" w:space="0" w:color="auto"/>
      </w:divBdr>
    </w:div>
    <w:div w:id="241112461">
      <w:bodyDiv w:val="1"/>
      <w:marLeft w:val="0"/>
      <w:marRight w:val="0"/>
      <w:marTop w:val="0"/>
      <w:marBottom w:val="0"/>
      <w:divBdr>
        <w:top w:val="none" w:sz="0" w:space="0" w:color="auto"/>
        <w:left w:val="none" w:sz="0" w:space="0" w:color="auto"/>
        <w:bottom w:val="none" w:sz="0" w:space="0" w:color="auto"/>
        <w:right w:val="none" w:sz="0" w:space="0" w:color="auto"/>
      </w:divBdr>
    </w:div>
    <w:div w:id="241260822">
      <w:bodyDiv w:val="1"/>
      <w:marLeft w:val="0"/>
      <w:marRight w:val="0"/>
      <w:marTop w:val="0"/>
      <w:marBottom w:val="0"/>
      <w:divBdr>
        <w:top w:val="none" w:sz="0" w:space="0" w:color="auto"/>
        <w:left w:val="none" w:sz="0" w:space="0" w:color="auto"/>
        <w:bottom w:val="none" w:sz="0" w:space="0" w:color="auto"/>
        <w:right w:val="none" w:sz="0" w:space="0" w:color="auto"/>
      </w:divBdr>
    </w:div>
    <w:div w:id="241379758">
      <w:bodyDiv w:val="1"/>
      <w:marLeft w:val="0"/>
      <w:marRight w:val="0"/>
      <w:marTop w:val="0"/>
      <w:marBottom w:val="0"/>
      <w:divBdr>
        <w:top w:val="none" w:sz="0" w:space="0" w:color="auto"/>
        <w:left w:val="none" w:sz="0" w:space="0" w:color="auto"/>
        <w:bottom w:val="none" w:sz="0" w:space="0" w:color="auto"/>
        <w:right w:val="none" w:sz="0" w:space="0" w:color="auto"/>
      </w:divBdr>
    </w:div>
    <w:div w:id="241455722">
      <w:bodyDiv w:val="1"/>
      <w:marLeft w:val="0"/>
      <w:marRight w:val="0"/>
      <w:marTop w:val="0"/>
      <w:marBottom w:val="0"/>
      <w:divBdr>
        <w:top w:val="none" w:sz="0" w:space="0" w:color="auto"/>
        <w:left w:val="none" w:sz="0" w:space="0" w:color="auto"/>
        <w:bottom w:val="none" w:sz="0" w:space="0" w:color="auto"/>
        <w:right w:val="none" w:sz="0" w:space="0" w:color="auto"/>
      </w:divBdr>
    </w:div>
    <w:div w:id="241838597">
      <w:bodyDiv w:val="1"/>
      <w:marLeft w:val="0"/>
      <w:marRight w:val="0"/>
      <w:marTop w:val="0"/>
      <w:marBottom w:val="0"/>
      <w:divBdr>
        <w:top w:val="none" w:sz="0" w:space="0" w:color="auto"/>
        <w:left w:val="none" w:sz="0" w:space="0" w:color="auto"/>
        <w:bottom w:val="none" w:sz="0" w:space="0" w:color="auto"/>
        <w:right w:val="none" w:sz="0" w:space="0" w:color="auto"/>
      </w:divBdr>
    </w:div>
    <w:div w:id="242181755">
      <w:bodyDiv w:val="1"/>
      <w:marLeft w:val="0"/>
      <w:marRight w:val="0"/>
      <w:marTop w:val="0"/>
      <w:marBottom w:val="0"/>
      <w:divBdr>
        <w:top w:val="none" w:sz="0" w:space="0" w:color="auto"/>
        <w:left w:val="none" w:sz="0" w:space="0" w:color="auto"/>
        <w:bottom w:val="none" w:sz="0" w:space="0" w:color="auto"/>
        <w:right w:val="none" w:sz="0" w:space="0" w:color="auto"/>
      </w:divBdr>
    </w:div>
    <w:div w:id="242185323">
      <w:bodyDiv w:val="1"/>
      <w:marLeft w:val="0"/>
      <w:marRight w:val="0"/>
      <w:marTop w:val="0"/>
      <w:marBottom w:val="0"/>
      <w:divBdr>
        <w:top w:val="none" w:sz="0" w:space="0" w:color="auto"/>
        <w:left w:val="none" w:sz="0" w:space="0" w:color="auto"/>
        <w:bottom w:val="none" w:sz="0" w:space="0" w:color="auto"/>
        <w:right w:val="none" w:sz="0" w:space="0" w:color="auto"/>
      </w:divBdr>
    </w:div>
    <w:div w:id="242640471">
      <w:bodyDiv w:val="1"/>
      <w:marLeft w:val="0"/>
      <w:marRight w:val="0"/>
      <w:marTop w:val="0"/>
      <w:marBottom w:val="0"/>
      <w:divBdr>
        <w:top w:val="none" w:sz="0" w:space="0" w:color="auto"/>
        <w:left w:val="none" w:sz="0" w:space="0" w:color="auto"/>
        <w:bottom w:val="none" w:sz="0" w:space="0" w:color="auto"/>
        <w:right w:val="none" w:sz="0" w:space="0" w:color="auto"/>
      </w:divBdr>
    </w:div>
    <w:div w:id="242646846">
      <w:bodyDiv w:val="1"/>
      <w:marLeft w:val="0"/>
      <w:marRight w:val="0"/>
      <w:marTop w:val="0"/>
      <w:marBottom w:val="0"/>
      <w:divBdr>
        <w:top w:val="none" w:sz="0" w:space="0" w:color="auto"/>
        <w:left w:val="none" w:sz="0" w:space="0" w:color="auto"/>
        <w:bottom w:val="none" w:sz="0" w:space="0" w:color="auto"/>
        <w:right w:val="none" w:sz="0" w:space="0" w:color="auto"/>
      </w:divBdr>
    </w:div>
    <w:div w:id="242767434">
      <w:bodyDiv w:val="1"/>
      <w:marLeft w:val="0"/>
      <w:marRight w:val="0"/>
      <w:marTop w:val="0"/>
      <w:marBottom w:val="0"/>
      <w:divBdr>
        <w:top w:val="none" w:sz="0" w:space="0" w:color="auto"/>
        <w:left w:val="none" w:sz="0" w:space="0" w:color="auto"/>
        <w:bottom w:val="none" w:sz="0" w:space="0" w:color="auto"/>
        <w:right w:val="none" w:sz="0" w:space="0" w:color="auto"/>
      </w:divBdr>
    </w:div>
    <w:div w:id="243152392">
      <w:bodyDiv w:val="1"/>
      <w:marLeft w:val="0"/>
      <w:marRight w:val="0"/>
      <w:marTop w:val="0"/>
      <w:marBottom w:val="0"/>
      <w:divBdr>
        <w:top w:val="none" w:sz="0" w:space="0" w:color="auto"/>
        <w:left w:val="none" w:sz="0" w:space="0" w:color="auto"/>
        <w:bottom w:val="none" w:sz="0" w:space="0" w:color="auto"/>
        <w:right w:val="none" w:sz="0" w:space="0" w:color="auto"/>
      </w:divBdr>
    </w:div>
    <w:div w:id="243346400">
      <w:bodyDiv w:val="1"/>
      <w:marLeft w:val="0"/>
      <w:marRight w:val="0"/>
      <w:marTop w:val="0"/>
      <w:marBottom w:val="0"/>
      <w:divBdr>
        <w:top w:val="none" w:sz="0" w:space="0" w:color="auto"/>
        <w:left w:val="none" w:sz="0" w:space="0" w:color="auto"/>
        <w:bottom w:val="none" w:sz="0" w:space="0" w:color="auto"/>
        <w:right w:val="none" w:sz="0" w:space="0" w:color="auto"/>
      </w:divBdr>
    </w:div>
    <w:div w:id="243532516">
      <w:bodyDiv w:val="1"/>
      <w:marLeft w:val="0"/>
      <w:marRight w:val="0"/>
      <w:marTop w:val="0"/>
      <w:marBottom w:val="0"/>
      <w:divBdr>
        <w:top w:val="none" w:sz="0" w:space="0" w:color="auto"/>
        <w:left w:val="none" w:sz="0" w:space="0" w:color="auto"/>
        <w:bottom w:val="none" w:sz="0" w:space="0" w:color="auto"/>
        <w:right w:val="none" w:sz="0" w:space="0" w:color="auto"/>
      </w:divBdr>
    </w:div>
    <w:div w:id="243608592">
      <w:bodyDiv w:val="1"/>
      <w:marLeft w:val="0"/>
      <w:marRight w:val="0"/>
      <w:marTop w:val="0"/>
      <w:marBottom w:val="0"/>
      <w:divBdr>
        <w:top w:val="none" w:sz="0" w:space="0" w:color="auto"/>
        <w:left w:val="none" w:sz="0" w:space="0" w:color="auto"/>
        <w:bottom w:val="none" w:sz="0" w:space="0" w:color="auto"/>
        <w:right w:val="none" w:sz="0" w:space="0" w:color="auto"/>
      </w:divBdr>
    </w:div>
    <w:div w:id="243686042">
      <w:bodyDiv w:val="1"/>
      <w:marLeft w:val="0"/>
      <w:marRight w:val="0"/>
      <w:marTop w:val="0"/>
      <w:marBottom w:val="0"/>
      <w:divBdr>
        <w:top w:val="none" w:sz="0" w:space="0" w:color="auto"/>
        <w:left w:val="none" w:sz="0" w:space="0" w:color="auto"/>
        <w:bottom w:val="none" w:sz="0" w:space="0" w:color="auto"/>
        <w:right w:val="none" w:sz="0" w:space="0" w:color="auto"/>
      </w:divBdr>
    </w:div>
    <w:div w:id="244384717">
      <w:bodyDiv w:val="1"/>
      <w:marLeft w:val="0"/>
      <w:marRight w:val="0"/>
      <w:marTop w:val="0"/>
      <w:marBottom w:val="0"/>
      <w:divBdr>
        <w:top w:val="none" w:sz="0" w:space="0" w:color="auto"/>
        <w:left w:val="none" w:sz="0" w:space="0" w:color="auto"/>
        <w:bottom w:val="none" w:sz="0" w:space="0" w:color="auto"/>
        <w:right w:val="none" w:sz="0" w:space="0" w:color="auto"/>
      </w:divBdr>
    </w:div>
    <w:div w:id="244459726">
      <w:bodyDiv w:val="1"/>
      <w:marLeft w:val="0"/>
      <w:marRight w:val="0"/>
      <w:marTop w:val="0"/>
      <w:marBottom w:val="0"/>
      <w:divBdr>
        <w:top w:val="none" w:sz="0" w:space="0" w:color="auto"/>
        <w:left w:val="none" w:sz="0" w:space="0" w:color="auto"/>
        <w:bottom w:val="none" w:sz="0" w:space="0" w:color="auto"/>
        <w:right w:val="none" w:sz="0" w:space="0" w:color="auto"/>
      </w:divBdr>
    </w:div>
    <w:div w:id="244800578">
      <w:bodyDiv w:val="1"/>
      <w:marLeft w:val="0"/>
      <w:marRight w:val="0"/>
      <w:marTop w:val="0"/>
      <w:marBottom w:val="0"/>
      <w:divBdr>
        <w:top w:val="none" w:sz="0" w:space="0" w:color="auto"/>
        <w:left w:val="none" w:sz="0" w:space="0" w:color="auto"/>
        <w:bottom w:val="none" w:sz="0" w:space="0" w:color="auto"/>
        <w:right w:val="none" w:sz="0" w:space="0" w:color="auto"/>
      </w:divBdr>
    </w:div>
    <w:div w:id="244803981">
      <w:bodyDiv w:val="1"/>
      <w:marLeft w:val="0"/>
      <w:marRight w:val="0"/>
      <w:marTop w:val="0"/>
      <w:marBottom w:val="0"/>
      <w:divBdr>
        <w:top w:val="none" w:sz="0" w:space="0" w:color="auto"/>
        <w:left w:val="none" w:sz="0" w:space="0" w:color="auto"/>
        <w:bottom w:val="none" w:sz="0" w:space="0" w:color="auto"/>
        <w:right w:val="none" w:sz="0" w:space="0" w:color="auto"/>
      </w:divBdr>
    </w:div>
    <w:div w:id="244807841">
      <w:bodyDiv w:val="1"/>
      <w:marLeft w:val="0"/>
      <w:marRight w:val="0"/>
      <w:marTop w:val="0"/>
      <w:marBottom w:val="0"/>
      <w:divBdr>
        <w:top w:val="none" w:sz="0" w:space="0" w:color="auto"/>
        <w:left w:val="none" w:sz="0" w:space="0" w:color="auto"/>
        <w:bottom w:val="none" w:sz="0" w:space="0" w:color="auto"/>
        <w:right w:val="none" w:sz="0" w:space="0" w:color="auto"/>
      </w:divBdr>
    </w:div>
    <w:div w:id="245655243">
      <w:bodyDiv w:val="1"/>
      <w:marLeft w:val="0"/>
      <w:marRight w:val="0"/>
      <w:marTop w:val="0"/>
      <w:marBottom w:val="0"/>
      <w:divBdr>
        <w:top w:val="none" w:sz="0" w:space="0" w:color="auto"/>
        <w:left w:val="none" w:sz="0" w:space="0" w:color="auto"/>
        <w:bottom w:val="none" w:sz="0" w:space="0" w:color="auto"/>
        <w:right w:val="none" w:sz="0" w:space="0" w:color="auto"/>
      </w:divBdr>
    </w:div>
    <w:div w:id="245696998">
      <w:bodyDiv w:val="1"/>
      <w:marLeft w:val="0"/>
      <w:marRight w:val="0"/>
      <w:marTop w:val="0"/>
      <w:marBottom w:val="0"/>
      <w:divBdr>
        <w:top w:val="none" w:sz="0" w:space="0" w:color="auto"/>
        <w:left w:val="none" w:sz="0" w:space="0" w:color="auto"/>
        <w:bottom w:val="none" w:sz="0" w:space="0" w:color="auto"/>
        <w:right w:val="none" w:sz="0" w:space="0" w:color="auto"/>
      </w:divBdr>
    </w:div>
    <w:div w:id="245771812">
      <w:bodyDiv w:val="1"/>
      <w:marLeft w:val="0"/>
      <w:marRight w:val="0"/>
      <w:marTop w:val="0"/>
      <w:marBottom w:val="0"/>
      <w:divBdr>
        <w:top w:val="none" w:sz="0" w:space="0" w:color="auto"/>
        <w:left w:val="none" w:sz="0" w:space="0" w:color="auto"/>
        <w:bottom w:val="none" w:sz="0" w:space="0" w:color="auto"/>
        <w:right w:val="none" w:sz="0" w:space="0" w:color="auto"/>
      </w:divBdr>
    </w:div>
    <w:div w:id="246353866">
      <w:bodyDiv w:val="1"/>
      <w:marLeft w:val="0"/>
      <w:marRight w:val="0"/>
      <w:marTop w:val="0"/>
      <w:marBottom w:val="0"/>
      <w:divBdr>
        <w:top w:val="none" w:sz="0" w:space="0" w:color="auto"/>
        <w:left w:val="none" w:sz="0" w:space="0" w:color="auto"/>
        <w:bottom w:val="none" w:sz="0" w:space="0" w:color="auto"/>
        <w:right w:val="none" w:sz="0" w:space="0" w:color="auto"/>
      </w:divBdr>
    </w:div>
    <w:div w:id="246502800">
      <w:bodyDiv w:val="1"/>
      <w:marLeft w:val="0"/>
      <w:marRight w:val="0"/>
      <w:marTop w:val="0"/>
      <w:marBottom w:val="0"/>
      <w:divBdr>
        <w:top w:val="none" w:sz="0" w:space="0" w:color="auto"/>
        <w:left w:val="none" w:sz="0" w:space="0" w:color="auto"/>
        <w:bottom w:val="none" w:sz="0" w:space="0" w:color="auto"/>
        <w:right w:val="none" w:sz="0" w:space="0" w:color="auto"/>
      </w:divBdr>
    </w:div>
    <w:div w:id="246503471">
      <w:bodyDiv w:val="1"/>
      <w:marLeft w:val="0"/>
      <w:marRight w:val="0"/>
      <w:marTop w:val="0"/>
      <w:marBottom w:val="0"/>
      <w:divBdr>
        <w:top w:val="none" w:sz="0" w:space="0" w:color="auto"/>
        <w:left w:val="none" w:sz="0" w:space="0" w:color="auto"/>
        <w:bottom w:val="none" w:sz="0" w:space="0" w:color="auto"/>
        <w:right w:val="none" w:sz="0" w:space="0" w:color="auto"/>
      </w:divBdr>
    </w:div>
    <w:div w:id="246696293">
      <w:bodyDiv w:val="1"/>
      <w:marLeft w:val="0"/>
      <w:marRight w:val="0"/>
      <w:marTop w:val="0"/>
      <w:marBottom w:val="0"/>
      <w:divBdr>
        <w:top w:val="none" w:sz="0" w:space="0" w:color="auto"/>
        <w:left w:val="none" w:sz="0" w:space="0" w:color="auto"/>
        <w:bottom w:val="none" w:sz="0" w:space="0" w:color="auto"/>
        <w:right w:val="none" w:sz="0" w:space="0" w:color="auto"/>
      </w:divBdr>
    </w:div>
    <w:div w:id="246698251">
      <w:bodyDiv w:val="1"/>
      <w:marLeft w:val="0"/>
      <w:marRight w:val="0"/>
      <w:marTop w:val="0"/>
      <w:marBottom w:val="0"/>
      <w:divBdr>
        <w:top w:val="none" w:sz="0" w:space="0" w:color="auto"/>
        <w:left w:val="none" w:sz="0" w:space="0" w:color="auto"/>
        <w:bottom w:val="none" w:sz="0" w:space="0" w:color="auto"/>
        <w:right w:val="none" w:sz="0" w:space="0" w:color="auto"/>
      </w:divBdr>
    </w:div>
    <w:div w:id="246958198">
      <w:bodyDiv w:val="1"/>
      <w:marLeft w:val="0"/>
      <w:marRight w:val="0"/>
      <w:marTop w:val="0"/>
      <w:marBottom w:val="0"/>
      <w:divBdr>
        <w:top w:val="none" w:sz="0" w:space="0" w:color="auto"/>
        <w:left w:val="none" w:sz="0" w:space="0" w:color="auto"/>
        <w:bottom w:val="none" w:sz="0" w:space="0" w:color="auto"/>
        <w:right w:val="none" w:sz="0" w:space="0" w:color="auto"/>
      </w:divBdr>
    </w:div>
    <w:div w:id="246959130">
      <w:bodyDiv w:val="1"/>
      <w:marLeft w:val="0"/>
      <w:marRight w:val="0"/>
      <w:marTop w:val="0"/>
      <w:marBottom w:val="0"/>
      <w:divBdr>
        <w:top w:val="none" w:sz="0" w:space="0" w:color="auto"/>
        <w:left w:val="none" w:sz="0" w:space="0" w:color="auto"/>
        <w:bottom w:val="none" w:sz="0" w:space="0" w:color="auto"/>
        <w:right w:val="none" w:sz="0" w:space="0" w:color="auto"/>
      </w:divBdr>
    </w:div>
    <w:div w:id="247008729">
      <w:bodyDiv w:val="1"/>
      <w:marLeft w:val="0"/>
      <w:marRight w:val="0"/>
      <w:marTop w:val="0"/>
      <w:marBottom w:val="0"/>
      <w:divBdr>
        <w:top w:val="none" w:sz="0" w:space="0" w:color="auto"/>
        <w:left w:val="none" w:sz="0" w:space="0" w:color="auto"/>
        <w:bottom w:val="none" w:sz="0" w:space="0" w:color="auto"/>
        <w:right w:val="none" w:sz="0" w:space="0" w:color="auto"/>
      </w:divBdr>
    </w:div>
    <w:div w:id="247157962">
      <w:bodyDiv w:val="1"/>
      <w:marLeft w:val="0"/>
      <w:marRight w:val="0"/>
      <w:marTop w:val="0"/>
      <w:marBottom w:val="0"/>
      <w:divBdr>
        <w:top w:val="none" w:sz="0" w:space="0" w:color="auto"/>
        <w:left w:val="none" w:sz="0" w:space="0" w:color="auto"/>
        <w:bottom w:val="none" w:sz="0" w:space="0" w:color="auto"/>
        <w:right w:val="none" w:sz="0" w:space="0" w:color="auto"/>
      </w:divBdr>
    </w:div>
    <w:div w:id="247159859">
      <w:bodyDiv w:val="1"/>
      <w:marLeft w:val="0"/>
      <w:marRight w:val="0"/>
      <w:marTop w:val="0"/>
      <w:marBottom w:val="0"/>
      <w:divBdr>
        <w:top w:val="none" w:sz="0" w:space="0" w:color="auto"/>
        <w:left w:val="none" w:sz="0" w:space="0" w:color="auto"/>
        <w:bottom w:val="none" w:sz="0" w:space="0" w:color="auto"/>
        <w:right w:val="none" w:sz="0" w:space="0" w:color="auto"/>
      </w:divBdr>
    </w:div>
    <w:div w:id="247346954">
      <w:bodyDiv w:val="1"/>
      <w:marLeft w:val="0"/>
      <w:marRight w:val="0"/>
      <w:marTop w:val="0"/>
      <w:marBottom w:val="0"/>
      <w:divBdr>
        <w:top w:val="none" w:sz="0" w:space="0" w:color="auto"/>
        <w:left w:val="none" w:sz="0" w:space="0" w:color="auto"/>
        <w:bottom w:val="none" w:sz="0" w:space="0" w:color="auto"/>
        <w:right w:val="none" w:sz="0" w:space="0" w:color="auto"/>
      </w:divBdr>
    </w:div>
    <w:div w:id="247736058">
      <w:bodyDiv w:val="1"/>
      <w:marLeft w:val="0"/>
      <w:marRight w:val="0"/>
      <w:marTop w:val="0"/>
      <w:marBottom w:val="0"/>
      <w:divBdr>
        <w:top w:val="none" w:sz="0" w:space="0" w:color="auto"/>
        <w:left w:val="none" w:sz="0" w:space="0" w:color="auto"/>
        <w:bottom w:val="none" w:sz="0" w:space="0" w:color="auto"/>
        <w:right w:val="none" w:sz="0" w:space="0" w:color="auto"/>
      </w:divBdr>
    </w:div>
    <w:div w:id="247883079">
      <w:bodyDiv w:val="1"/>
      <w:marLeft w:val="0"/>
      <w:marRight w:val="0"/>
      <w:marTop w:val="0"/>
      <w:marBottom w:val="0"/>
      <w:divBdr>
        <w:top w:val="none" w:sz="0" w:space="0" w:color="auto"/>
        <w:left w:val="none" w:sz="0" w:space="0" w:color="auto"/>
        <w:bottom w:val="none" w:sz="0" w:space="0" w:color="auto"/>
        <w:right w:val="none" w:sz="0" w:space="0" w:color="auto"/>
      </w:divBdr>
    </w:div>
    <w:div w:id="247889128">
      <w:bodyDiv w:val="1"/>
      <w:marLeft w:val="0"/>
      <w:marRight w:val="0"/>
      <w:marTop w:val="0"/>
      <w:marBottom w:val="0"/>
      <w:divBdr>
        <w:top w:val="none" w:sz="0" w:space="0" w:color="auto"/>
        <w:left w:val="none" w:sz="0" w:space="0" w:color="auto"/>
        <w:bottom w:val="none" w:sz="0" w:space="0" w:color="auto"/>
        <w:right w:val="none" w:sz="0" w:space="0" w:color="auto"/>
      </w:divBdr>
    </w:div>
    <w:div w:id="247925367">
      <w:bodyDiv w:val="1"/>
      <w:marLeft w:val="0"/>
      <w:marRight w:val="0"/>
      <w:marTop w:val="0"/>
      <w:marBottom w:val="0"/>
      <w:divBdr>
        <w:top w:val="none" w:sz="0" w:space="0" w:color="auto"/>
        <w:left w:val="none" w:sz="0" w:space="0" w:color="auto"/>
        <w:bottom w:val="none" w:sz="0" w:space="0" w:color="auto"/>
        <w:right w:val="none" w:sz="0" w:space="0" w:color="auto"/>
      </w:divBdr>
    </w:div>
    <w:div w:id="248121368">
      <w:bodyDiv w:val="1"/>
      <w:marLeft w:val="0"/>
      <w:marRight w:val="0"/>
      <w:marTop w:val="0"/>
      <w:marBottom w:val="0"/>
      <w:divBdr>
        <w:top w:val="none" w:sz="0" w:space="0" w:color="auto"/>
        <w:left w:val="none" w:sz="0" w:space="0" w:color="auto"/>
        <w:bottom w:val="none" w:sz="0" w:space="0" w:color="auto"/>
        <w:right w:val="none" w:sz="0" w:space="0" w:color="auto"/>
      </w:divBdr>
    </w:div>
    <w:div w:id="248199688">
      <w:bodyDiv w:val="1"/>
      <w:marLeft w:val="0"/>
      <w:marRight w:val="0"/>
      <w:marTop w:val="0"/>
      <w:marBottom w:val="0"/>
      <w:divBdr>
        <w:top w:val="none" w:sz="0" w:space="0" w:color="auto"/>
        <w:left w:val="none" w:sz="0" w:space="0" w:color="auto"/>
        <w:bottom w:val="none" w:sz="0" w:space="0" w:color="auto"/>
        <w:right w:val="none" w:sz="0" w:space="0" w:color="auto"/>
      </w:divBdr>
    </w:div>
    <w:div w:id="248395209">
      <w:bodyDiv w:val="1"/>
      <w:marLeft w:val="0"/>
      <w:marRight w:val="0"/>
      <w:marTop w:val="0"/>
      <w:marBottom w:val="0"/>
      <w:divBdr>
        <w:top w:val="none" w:sz="0" w:space="0" w:color="auto"/>
        <w:left w:val="none" w:sz="0" w:space="0" w:color="auto"/>
        <w:bottom w:val="none" w:sz="0" w:space="0" w:color="auto"/>
        <w:right w:val="none" w:sz="0" w:space="0" w:color="auto"/>
      </w:divBdr>
    </w:div>
    <w:div w:id="248850354">
      <w:bodyDiv w:val="1"/>
      <w:marLeft w:val="0"/>
      <w:marRight w:val="0"/>
      <w:marTop w:val="0"/>
      <w:marBottom w:val="0"/>
      <w:divBdr>
        <w:top w:val="none" w:sz="0" w:space="0" w:color="auto"/>
        <w:left w:val="none" w:sz="0" w:space="0" w:color="auto"/>
        <w:bottom w:val="none" w:sz="0" w:space="0" w:color="auto"/>
        <w:right w:val="none" w:sz="0" w:space="0" w:color="auto"/>
      </w:divBdr>
    </w:div>
    <w:div w:id="248973438">
      <w:bodyDiv w:val="1"/>
      <w:marLeft w:val="0"/>
      <w:marRight w:val="0"/>
      <w:marTop w:val="0"/>
      <w:marBottom w:val="0"/>
      <w:divBdr>
        <w:top w:val="none" w:sz="0" w:space="0" w:color="auto"/>
        <w:left w:val="none" w:sz="0" w:space="0" w:color="auto"/>
        <w:bottom w:val="none" w:sz="0" w:space="0" w:color="auto"/>
        <w:right w:val="none" w:sz="0" w:space="0" w:color="auto"/>
      </w:divBdr>
    </w:div>
    <w:div w:id="248976089">
      <w:bodyDiv w:val="1"/>
      <w:marLeft w:val="0"/>
      <w:marRight w:val="0"/>
      <w:marTop w:val="0"/>
      <w:marBottom w:val="0"/>
      <w:divBdr>
        <w:top w:val="none" w:sz="0" w:space="0" w:color="auto"/>
        <w:left w:val="none" w:sz="0" w:space="0" w:color="auto"/>
        <w:bottom w:val="none" w:sz="0" w:space="0" w:color="auto"/>
        <w:right w:val="none" w:sz="0" w:space="0" w:color="auto"/>
      </w:divBdr>
    </w:div>
    <w:div w:id="249235230">
      <w:bodyDiv w:val="1"/>
      <w:marLeft w:val="0"/>
      <w:marRight w:val="0"/>
      <w:marTop w:val="0"/>
      <w:marBottom w:val="0"/>
      <w:divBdr>
        <w:top w:val="none" w:sz="0" w:space="0" w:color="auto"/>
        <w:left w:val="none" w:sz="0" w:space="0" w:color="auto"/>
        <w:bottom w:val="none" w:sz="0" w:space="0" w:color="auto"/>
        <w:right w:val="none" w:sz="0" w:space="0" w:color="auto"/>
      </w:divBdr>
    </w:div>
    <w:div w:id="249776481">
      <w:bodyDiv w:val="1"/>
      <w:marLeft w:val="0"/>
      <w:marRight w:val="0"/>
      <w:marTop w:val="0"/>
      <w:marBottom w:val="0"/>
      <w:divBdr>
        <w:top w:val="none" w:sz="0" w:space="0" w:color="auto"/>
        <w:left w:val="none" w:sz="0" w:space="0" w:color="auto"/>
        <w:bottom w:val="none" w:sz="0" w:space="0" w:color="auto"/>
        <w:right w:val="none" w:sz="0" w:space="0" w:color="auto"/>
      </w:divBdr>
    </w:div>
    <w:div w:id="249893459">
      <w:bodyDiv w:val="1"/>
      <w:marLeft w:val="0"/>
      <w:marRight w:val="0"/>
      <w:marTop w:val="0"/>
      <w:marBottom w:val="0"/>
      <w:divBdr>
        <w:top w:val="none" w:sz="0" w:space="0" w:color="auto"/>
        <w:left w:val="none" w:sz="0" w:space="0" w:color="auto"/>
        <w:bottom w:val="none" w:sz="0" w:space="0" w:color="auto"/>
        <w:right w:val="none" w:sz="0" w:space="0" w:color="auto"/>
      </w:divBdr>
    </w:div>
    <w:div w:id="249899443">
      <w:bodyDiv w:val="1"/>
      <w:marLeft w:val="0"/>
      <w:marRight w:val="0"/>
      <w:marTop w:val="0"/>
      <w:marBottom w:val="0"/>
      <w:divBdr>
        <w:top w:val="none" w:sz="0" w:space="0" w:color="auto"/>
        <w:left w:val="none" w:sz="0" w:space="0" w:color="auto"/>
        <w:bottom w:val="none" w:sz="0" w:space="0" w:color="auto"/>
        <w:right w:val="none" w:sz="0" w:space="0" w:color="auto"/>
      </w:divBdr>
    </w:div>
    <w:div w:id="250168239">
      <w:bodyDiv w:val="1"/>
      <w:marLeft w:val="0"/>
      <w:marRight w:val="0"/>
      <w:marTop w:val="0"/>
      <w:marBottom w:val="0"/>
      <w:divBdr>
        <w:top w:val="none" w:sz="0" w:space="0" w:color="auto"/>
        <w:left w:val="none" w:sz="0" w:space="0" w:color="auto"/>
        <w:bottom w:val="none" w:sz="0" w:space="0" w:color="auto"/>
        <w:right w:val="none" w:sz="0" w:space="0" w:color="auto"/>
      </w:divBdr>
    </w:div>
    <w:div w:id="250432851">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0546596">
      <w:bodyDiv w:val="1"/>
      <w:marLeft w:val="0"/>
      <w:marRight w:val="0"/>
      <w:marTop w:val="0"/>
      <w:marBottom w:val="0"/>
      <w:divBdr>
        <w:top w:val="none" w:sz="0" w:space="0" w:color="auto"/>
        <w:left w:val="none" w:sz="0" w:space="0" w:color="auto"/>
        <w:bottom w:val="none" w:sz="0" w:space="0" w:color="auto"/>
        <w:right w:val="none" w:sz="0" w:space="0" w:color="auto"/>
      </w:divBdr>
    </w:div>
    <w:div w:id="251361513">
      <w:bodyDiv w:val="1"/>
      <w:marLeft w:val="0"/>
      <w:marRight w:val="0"/>
      <w:marTop w:val="0"/>
      <w:marBottom w:val="0"/>
      <w:divBdr>
        <w:top w:val="none" w:sz="0" w:space="0" w:color="auto"/>
        <w:left w:val="none" w:sz="0" w:space="0" w:color="auto"/>
        <w:bottom w:val="none" w:sz="0" w:space="0" w:color="auto"/>
        <w:right w:val="none" w:sz="0" w:space="0" w:color="auto"/>
      </w:divBdr>
    </w:div>
    <w:div w:id="251398350">
      <w:bodyDiv w:val="1"/>
      <w:marLeft w:val="0"/>
      <w:marRight w:val="0"/>
      <w:marTop w:val="0"/>
      <w:marBottom w:val="0"/>
      <w:divBdr>
        <w:top w:val="none" w:sz="0" w:space="0" w:color="auto"/>
        <w:left w:val="none" w:sz="0" w:space="0" w:color="auto"/>
        <w:bottom w:val="none" w:sz="0" w:space="0" w:color="auto"/>
        <w:right w:val="none" w:sz="0" w:space="0" w:color="auto"/>
      </w:divBdr>
    </w:div>
    <w:div w:id="251428115">
      <w:bodyDiv w:val="1"/>
      <w:marLeft w:val="0"/>
      <w:marRight w:val="0"/>
      <w:marTop w:val="0"/>
      <w:marBottom w:val="0"/>
      <w:divBdr>
        <w:top w:val="none" w:sz="0" w:space="0" w:color="auto"/>
        <w:left w:val="none" w:sz="0" w:space="0" w:color="auto"/>
        <w:bottom w:val="none" w:sz="0" w:space="0" w:color="auto"/>
        <w:right w:val="none" w:sz="0" w:space="0" w:color="auto"/>
      </w:divBdr>
    </w:div>
    <w:div w:id="251864271">
      <w:bodyDiv w:val="1"/>
      <w:marLeft w:val="0"/>
      <w:marRight w:val="0"/>
      <w:marTop w:val="0"/>
      <w:marBottom w:val="0"/>
      <w:divBdr>
        <w:top w:val="none" w:sz="0" w:space="0" w:color="auto"/>
        <w:left w:val="none" w:sz="0" w:space="0" w:color="auto"/>
        <w:bottom w:val="none" w:sz="0" w:space="0" w:color="auto"/>
        <w:right w:val="none" w:sz="0" w:space="0" w:color="auto"/>
      </w:divBdr>
    </w:div>
    <w:div w:id="251938956">
      <w:bodyDiv w:val="1"/>
      <w:marLeft w:val="0"/>
      <w:marRight w:val="0"/>
      <w:marTop w:val="0"/>
      <w:marBottom w:val="0"/>
      <w:divBdr>
        <w:top w:val="none" w:sz="0" w:space="0" w:color="auto"/>
        <w:left w:val="none" w:sz="0" w:space="0" w:color="auto"/>
        <w:bottom w:val="none" w:sz="0" w:space="0" w:color="auto"/>
        <w:right w:val="none" w:sz="0" w:space="0" w:color="auto"/>
      </w:divBdr>
    </w:div>
    <w:div w:id="252007045">
      <w:bodyDiv w:val="1"/>
      <w:marLeft w:val="0"/>
      <w:marRight w:val="0"/>
      <w:marTop w:val="0"/>
      <w:marBottom w:val="0"/>
      <w:divBdr>
        <w:top w:val="none" w:sz="0" w:space="0" w:color="auto"/>
        <w:left w:val="none" w:sz="0" w:space="0" w:color="auto"/>
        <w:bottom w:val="none" w:sz="0" w:space="0" w:color="auto"/>
        <w:right w:val="none" w:sz="0" w:space="0" w:color="auto"/>
      </w:divBdr>
    </w:div>
    <w:div w:id="252397683">
      <w:bodyDiv w:val="1"/>
      <w:marLeft w:val="0"/>
      <w:marRight w:val="0"/>
      <w:marTop w:val="0"/>
      <w:marBottom w:val="0"/>
      <w:divBdr>
        <w:top w:val="none" w:sz="0" w:space="0" w:color="auto"/>
        <w:left w:val="none" w:sz="0" w:space="0" w:color="auto"/>
        <w:bottom w:val="none" w:sz="0" w:space="0" w:color="auto"/>
        <w:right w:val="none" w:sz="0" w:space="0" w:color="auto"/>
      </w:divBdr>
    </w:div>
    <w:div w:id="252445570">
      <w:bodyDiv w:val="1"/>
      <w:marLeft w:val="0"/>
      <w:marRight w:val="0"/>
      <w:marTop w:val="0"/>
      <w:marBottom w:val="0"/>
      <w:divBdr>
        <w:top w:val="none" w:sz="0" w:space="0" w:color="auto"/>
        <w:left w:val="none" w:sz="0" w:space="0" w:color="auto"/>
        <w:bottom w:val="none" w:sz="0" w:space="0" w:color="auto"/>
        <w:right w:val="none" w:sz="0" w:space="0" w:color="auto"/>
      </w:divBdr>
    </w:div>
    <w:div w:id="252475600">
      <w:bodyDiv w:val="1"/>
      <w:marLeft w:val="0"/>
      <w:marRight w:val="0"/>
      <w:marTop w:val="0"/>
      <w:marBottom w:val="0"/>
      <w:divBdr>
        <w:top w:val="none" w:sz="0" w:space="0" w:color="auto"/>
        <w:left w:val="none" w:sz="0" w:space="0" w:color="auto"/>
        <w:bottom w:val="none" w:sz="0" w:space="0" w:color="auto"/>
        <w:right w:val="none" w:sz="0" w:space="0" w:color="auto"/>
      </w:divBdr>
    </w:div>
    <w:div w:id="252520303">
      <w:bodyDiv w:val="1"/>
      <w:marLeft w:val="0"/>
      <w:marRight w:val="0"/>
      <w:marTop w:val="0"/>
      <w:marBottom w:val="0"/>
      <w:divBdr>
        <w:top w:val="none" w:sz="0" w:space="0" w:color="auto"/>
        <w:left w:val="none" w:sz="0" w:space="0" w:color="auto"/>
        <w:bottom w:val="none" w:sz="0" w:space="0" w:color="auto"/>
        <w:right w:val="none" w:sz="0" w:space="0" w:color="auto"/>
      </w:divBdr>
    </w:div>
    <w:div w:id="252932901">
      <w:bodyDiv w:val="1"/>
      <w:marLeft w:val="0"/>
      <w:marRight w:val="0"/>
      <w:marTop w:val="0"/>
      <w:marBottom w:val="0"/>
      <w:divBdr>
        <w:top w:val="none" w:sz="0" w:space="0" w:color="auto"/>
        <w:left w:val="none" w:sz="0" w:space="0" w:color="auto"/>
        <w:bottom w:val="none" w:sz="0" w:space="0" w:color="auto"/>
        <w:right w:val="none" w:sz="0" w:space="0" w:color="auto"/>
      </w:divBdr>
    </w:div>
    <w:div w:id="253172837">
      <w:bodyDiv w:val="1"/>
      <w:marLeft w:val="0"/>
      <w:marRight w:val="0"/>
      <w:marTop w:val="0"/>
      <w:marBottom w:val="0"/>
      <w:divBdr>
        <w:top w:val="none" w:sz="0" w:space="0" w:color="auto"/>
        <w:left w:val="none" w:sz="0" w:space="0" w:color="auto"/>
        <w:bottom w:val="none" w:sz="0" w:space="0" w:color="auto"/>
        <w:right w:val="none" w:sz="0" w:space="0" w:color="auto"/>
      </w:divBdr>
    </w:div>
    <w:div w:id="253242630">
      <w:bodyDiv w:val="1"/>
      <w:marLeft w:val="0"/>
      <w:marRight w:val="0"/>
      <w:marTop w:val="0"/>
      <w:marBottom w:val="0"/>
      <w:divBdr>
        <w:top w:val="none" w:sz="0" w:space="0" w:color="auto"/>
        <w:left w:val="none" w:sz="0" w:space="0" w:color="auto"/>
        <w:bottom w:val="none" w:sz="0" w:space="0" w:color="auto"/>
        <w:right w:val="none" w:sz="0" w:space="0" w:color="auto"/>
      </w:divBdr>
    </w:div>
    <w:div w:id="253368368">
      <w:bodyDiv w:val="1"/>
      <w:marLeft w:val="0"/>
      <w:marRight w:val="0"/>
      <w:marTop w:val="0"/>
      <w:marBottom w:val="0"/>
      <w:divBdr>
        <w:top w:val="none" w:sz="0" w:space="0" w:color="auto"/>
        <w:left w:val="none" w:sz="0" w:space="0" w:color="auto"/>
        <w:bottom w:val="none" w:sz="0" w:space="0" w:color="auto"/>
        <w:right w:val="none" w:sz="0" w:space="0" w:color="auto"/>
      </w:divBdr>
    </w:div>
    <w:div w:id="253392940">
      <w:bodyDiv w:val="1"/>
      <w:marLeft w:val="0"/>
      <w:marRight w:val="0"/>
      <w:marTop w:val="0"/>
      <w:marBottom w:val="0"/>
      <w:divBdr>
        <w:top w:val="none" w:sz="0" w:space="0" w:color="auto"/>
        <w:left w:val="none" w:sz="0" w:space="0" w:color="auto"/>
        <w:bottom w:val="none" w:sz="0" w:space="0" w:color="auto"/>
        <w:right w:val="none" w:sz="0" w:space="0" w:color="auto"/>
      </w:divBdr>
    </w:div>
    <w:div w:id="253440285">
      <w:bodyDiv w:val="1"/>
      <w:marLeft w:val="0"/>
      <w:marRight w:val="0"/>
      <w:marTop w:val="0"/>
      <w:marBottom w:val="0"/>
      <w:divBdr>
        <w:top w:val="none" w:sz="0" w:space="0" w:color="auto"/>
        <w:left w:val="none" w:sz="0" w:space="0" w:color="auto"/>
        <w:bottom w:val="none" w:sz="0" w:space="0" w:color="auto"/>
        <w:right w:val="none" w:sz="0" w:space="0" w:color="auto"/>
      </w:divBdr>
    </w:div>
    <w:div w:id="253632342">
      <w:bodyDiv w:val="1"/>
      <w:marLeft w:val="0"/>
      <w:marRight w:val="0"/>
      <w:marTop w:val="0"/>
      <w:marBottom w:val="0"/>
      <w:divBdr>
        <w:top w:val="none" w:sz="0" w:space="0" w:color="auto"/>
        <w:left w:val="none" w:sz="0" w:space="0" w:color="auto"/>
        <w:bottom w:val="none" w:sz="0" w:space="0" w:color="auto"/>
        <w:right w:val="none" w:sz="0" w:space="0" w:color="auto"/>
      </w:divBdr>
    </w:div>
    <w:div w:id="253823450">
      <w:bodyDiv w:val="1"/>
      <w:marLeft w:val="0"/>
      <w:marRight w:val="0"/>
      <w:marTop w:val="0"/>
      <w:marBottom w:val="0"/>
      <w:divBdr>
        <w:top w:val="none" w:sz="0" w:space="0" w:color="auto"/>
        <w:left w:val="none" w:sz="0" w:space="0" w:color="auto"/>
        <w:bottom w:val="none" w:sz="0" w:space="0" w:color="auto"/>
        <w:right w:val="none" w:sz="0" w:space="0" w:color="auto"/>
      </w:divBdr>
    </w:div>
    <w:div w:id="253824167">
      <w:bodyDiv w:val="1"/>
      <w:marLeft w:val="0"/>
      <w:marRight w:val="0"/>
      <w:marTop w:val="0"/>
      <w:marBottom w:val="0"/>
      <w:divBdr>
        <w:top w:val="none" w:sz="0" w:space="0" w:color="auto"/>
        <w:left w:val="none" w:sz="0" w:space="0" w:color="auto"/>
        <w:bottom w:val="none" w:sz="0" w:space="0" w:color="auto"/>
        <w:right w:val="none" w:sz="0" w:space="0" w:color="auto"/>
      </w:divBdr>
    </w:div>
    <w:div w:id="254167567">
      <w:bodyDiv w:val="1"/>
      <w:marLeft w:val="0"/>
      <w:marRight w:val="0"/>
      <w:marTop w:val="0"/>
      <w:marBottom w:val="0"/>
      <w:divBdr>
        <w:top w:val="none" w:sz="0" w:space="0" w:color="auto"/>
        <w:left w:val="none" w:sz="0" w:space="0" w:color="auto"/>
        <w:bottom w:val="none" w:sz="0" w:space="0" w:color="auto"/>
        <w:right w:val="none" w:sz="0" w:space="0" w:color="auto"/>
      </w:divBdr>
    </w:div>
    <w:div w:id="254480928">
      <w:bodyDiv w:val="1"/>
      <w:marLeft w:val="0"/>
      <w:marRight w:val="0"/>
      <w:marTop w:val="0"/>
      <w:marBottom w:val="0"/>
      <w:divBdr>
        <w:top w:val="none" w:sz="0" w:space="0" w:color="auto"/>
        <w:left w:val="none" w:sz="0" w:space="0" w:color="auto"/>
        <w:bottom w:val="none" w:sz="0" w:space="0" w:color="auto"/>
        <w:right w:val="none" w:sz="0" w:space="0" w:color="auto"/>
      </w:divBdr>
    </w:div>
    <w:div w:id="254486758">
      <w:bodyDiv w:val="1"/>
      <w:marLeft w:val="0"/>
      <w:marRight w:val="0"/>
      <w:marTop w:val="0"/>
      <w:marBottom w:val="0"/>
      <w:divBdr>
        <w:top w:val="none" w:sz="0" w:space="0" w:color="auto"/>
        <w:left w:val="none" w:sz="0" w:space="0" w:color="auto"/>
        <w:bottom w:val="none" w:sz="0" w:space="0" w:color="auto"/>
        <w:right w:val="none" w:sz="0" w:space="0" w:color="auto"/>
      </w:divBdr>
    </w:div>
    <w:div w:id="254555233">
      <w:bodyDiv w:val="1"/>
      <w:marLeft w:val="0"/>
      <w:marRight w:val="0"/>
      <w:marTop w:val="0"/>
      <w:marBottom w:val="0"/>
      <w:divBdr>
        <w:top w:val="none" w:sz="0" w:space="0" w:color="auto"/>
        <w:left w:val="none" w:sz="0" w:space="0" w:color="auto"/>
        <w:bottom w:val="none" w:sz="0" w:space="0" w:color="auto"/>
        <w:right w:val="none" w:sz="0" w:space="0" w:color="auto"/>
      </w:divBdr>
    </w:div>
    <w:div w:id="254674565">
      <w:bodyDiv w:val="1"/>
      <w:marLeft w:val="0"/>
      <w:marRight w:val="0"/>
      <w:marTop w:val="0"/>
      <w:marBottom w:val="0"/>
      <w:divBdr>
        <w:top w:val="none" w:sz="0" w:space="0" w:color="auto"/>
        <w:left w:val="none" w:sz="0" w:space="0" w:color="auto"/>
        <w:bottom w:val="none" w:sz="0" w:space="0" w:color="auto"/>
        <w:right w:val="none" w:sz="0" w:space="0" w:color="auto"/>
      </w:divBdr>
    </w:div>
    <w:div w:id="254747358">
      <w:bodyDiv w:val="1"/>
      <w:marLeft w:val="0"/>
      <w:marRight w:val="0"/>
      <w:marTop w:val="0"/>
      <w:marBottom w:val="0"/>
      <w:divBdr>
        <w:top w:val="none" w:sz="0" w:space="0" w:color="auto"/>
        <w:left w:val="none" w:sz="0" w:space="0" w:color="auto"/>
        <w:bottom w:val="none" w:sz="0" w:space="0" w:color="auto"/>
        <w:right w:val="none" w:sz="0" w:space="0" w:color="auto"/>
      </w:divBdr>
    </w:div>
    <w:div w:id="255022386">
      <w:bodyDiv w:val="1"/>
      <w:marLeft w:val="0"/>
      <w:marRight w:val="0"/>
      <w:marTop w:val="0"/>
      <w:marBottom w:val="0"/>
      <w:divBdr>
        <w:top w:val="none" w:sz="0" w:space="0" w:color="auto"/>
        <w:left w:val="none" w:sz="0" w:space="0" w:color="auto"/>
        <w:bottom w:val="none" w:sz="0" w:space="0" w:color="auto"/>
        <w:right w:val="none" w:sz="0" w:space="0" w:color="auto"/>
      </w:divBdr>
    </w:div>
    <w:div w:id="255066757">
      <w:bodyDiv w:val="1"/>
      <w:marLeft w:val="0"/>
      <w:marRight w:val="0"/>
      <w:marTop w:val="0"/>
      <w:marBottom w:val="0"/>
      <w:divBdr>
        <w:top w:val="none" w:sz="0" w:space="0" w:color="auto"/>
        <w:left w:val="none" w:sz="0" w:space="0" w:color="auto"/>
        <w:bottom w:val="none" w:sz="0" w:space="0" w:color="auto"/>
        <w:right w:val="none" w:sz="0" w:space="0" w:color="auto"/>
      </w:divBdr>
    </w:div>
    <w:div w:id="255287486">
      <w:bodyDiv w:val="1"/>
      <w:marLeft w:val="0"/>
      <w:marRight w:val="0"/>
      <w:marTop w:val="0"/>
      <w:marBottom w:val="0"/>
      <w:divBdr>
        <w:top w:val="none" w:sz="0" w:space="0" w:color="auto"/>
        <w:left w:val="none" w:sz="0" w:space="0" w:color="auto"/>
        <w:bottom w:val="none" w:sz="0" w:space="0" w:color="auto"/>
        <w:right w:val="none" w:sz="0" w:space="0" w:color="auto"/>
      </w:divBdr>
    </w:div>
    <w:div w:id="255289158">
      <w:bodyDiv w:val="1"/>
      <w:marLeft w:val="0"/>
      <w:marRight w:val="0"/>
      <w:marTop w:val="0"/>
      <w:marBottom w:val="0"/>
      <w:divBdr>
        <w:top w:val="none" w:sz="0" w:space="0" w:color="auto"/>
        <w:left w:val="none" w:sz="0" w:space="0" w:color="auto"/>
        <w:bottom w:val="none" w:sz="0" w:space="0" w:color="auto"/>
        <w:right w:val="none" w:sz="0" w:space="0" w:color="auto"/>
      </w:divBdr>
    </w:div>
    <w:div w:id="255360630">
      <w:bodyDiv w:val="1"/>
      <w:marLeft w:val="0"/>
      <w:marRight w:val="0"/>
      <w:marTop w:val="0"/>
      <w:marBottom w:val="0"/>
      <w:divBdr>
        <w:top w:val="none" w:sz="0" w:space="0" w:color="auto"/>
        <w:left w:val="none" w:sz="0" w:space="0" w:color="auto"/>
        <w:bottom w:val="none" w:sz="0" w:space="0" w:color="auto"/>
        <w:right w:val="none" w:sz="0" w:space="0" w:color="auto"/>
      </w:divBdr>
    </w:div>
    <w:div w:id="255484920">
      <w:bodyDiv w:val="1"/>
      <w:marLeft w:val="0"/>
      <w:marRight w:val="0"/>
      <w:marTop w:val="0"/>
      <w:marBottom w:val="0"/>
      <w:divBdr>
        <w:top w:val="none" w:sz="0" w:space="0" w:color="auto"/>
        <w:left w:val="none" w:sz="0" w:space="0" w:color="auto"/>
        <w:bottom w:val="none" w:sz="0" w:space="0" w:color="auto"/>
        <w:right w:val="none" w:sz="0" w:space="0" w:color="auto"/>
      </w:divBdr>
    </w:div>
    <w:div w:id="255601980">
      <w:bodyDiv w:val="1"/>
      <w:marLeft w:val="0"/>
      <w:marRight w:val="0"/>
      <w:marTop w:val="0"/>
      <w:marBottom w:val="0"/>
      <w:divBdr>
        <w:top w:val="none" w:sz="0" w:space="0" w:color="auto"/>
        <w:left w:val="none" w:sz="0" w:space="0" w:color="auto"/>
        <w:bottom w:val="none" w:sz="0" w:space="0" w:color="auto"/>
        <w:right w:val="none" w:sz="0" w:space="0" w:color="auto"/>
      </w:divBdr>
    </w:div>
    <w:div w:id="255672014">
      <w:bodyDiv w:val="1"/>
      <w:marLeft w:val="0"/>
      <w:marRight w:val="0"/>
      <w:marTop w:val="0"/>
      <w:marBottom w:val="0"/>
      <w:divBdr>
        <w:top w:val="none" w:sz="0" w:space="0" w:color="auto"/>
        <w:left w:val="none" w:sz="0" w:space="0" w:color="auto"/>
        <w:bottom w:val="none" w:sz="0" w:space="0" w:color="auto"/>
        <w:right w:val="none" w:sz="0" w:space="0" w:color="auto"/>
      </w:divBdr>
    </w:div>
    <w:div w:id="255871962">
      <w:bodyDiv w:val="1"/>
      <w:marLeft w:val="0"/>
      <w:marRight w:val="0"/>
      <w:marTop w:val="0"/>
      <w:marBottom w:val="0"/>
      <w:divBdr>
        <w:top w:val="none" w:sz="0" w:space="0" w:color="auto"/>
        <w:left w:val="none" w:sz="0" w:space="0" w:color="auto"/>
        <w:bottom w:val="none" w:sz="0" w:space="0" w:color="auto"/>
        <w:right w:val="none" w:sz="0" w:space="0" w:color="auto"/>
      </w:divBdr>
    </w:div>
    <w:div w:id="255947019">
      <w:bodyDiv w:val="1"/>
      <w:marLeft w:val="0"/>
      <w:marRight w:val="0"/>
      <w:marTop w:val="0"/>
      <w:marBottom w:val="0"/>
      <w:divBdr>
        <w:top w:val="none" w:sz="0" w:space="0" w:color="auto"/>
        <w:left w:val="none" w:sz="0" w:space="0" w:color="auto"/>
        <w:bottom w:val="none" w:sz="0" w:space="0" w:color="auto"/>
        <w:right w:val="none" w:sz="0" w:space="0" w:color="auto"/>
      </w:divBdr>
    </w:div>
    <w:div w:id="255987003">
      <w:bodyDiv w:val="1"/>
      <w:marLeft w:val="0"/>
      <w:marRight w:val="0"/>
      <w:marTop w:val="0"/>
      <w:marBottom w:val="0"/>
      <w:divBdr>
        <w:top w:val="none" w:sz="0" w:space="0" w:color="auto"/>
        <w:left w:val="none" w:sz="0" w:space="0" w:color="auto"/>
        <w:bottom w:val="none" w:sz="0" w:space="0" w:color="auto"/>
        <w:right w:val="none" w:sz="0" w:space="0" w:color="auto"/>
      </w:divBdr>
    </w:div>
    <w:div w:id="255988064">
      <w:bodyDiv w:val="1"/>
      <w:marLeft w:val="0"/>
      <w:marRight w:val="0"/>
      <w:marTop w:val="0"/>
      <w:marBottom w:val="0"/>
      <w:divBdr>
        <w:top w:val="none" w:sz="0" w:space="0" w:color="auto"/>
        <w:left w:val="none" w:sz="0" w:space="0" w:color="auto"/>
        <w:bottom w:val="none" w:sz="0" w:space="0" w:color="auto"/>
        <w:right w:val="none" w:sz="0" w:space="0" w:color="auto"/>
      </w:divBdr>
    </w:div>
    <w:div w:id="256140931">
      <w:bodyDiv w:val="1"/>
      <w:marLeft w:val="0"/>
      <w:marRight w:val="0"/>
      <w:marTop w:val="0"/>
      <w:marBottom w:val="0"/>
      <w:divBdr>
        <w:top w:val="none" w:sz="0" w:space="0" w:color="auto"/>
        <w:left w:val="none" w:sz="0" w:space="0" w:color="auto"/>
        <w:bottom w:val="none" w:sz="0" w:space="0" w:color="auto"/>
        <w:right w:val="none" w:sz="0" w:space="0" w:color="auto"/>
      </w:divBdr>
    </w:div>
    <w:div w:id="256183366">
      <w:bodyDiv w:val="1"/>
      <w:marLeft w:val="0"/>
      <w:marRight w:val="0"/>
      <w:marTop w:val="0"/>
      <w:marBottom w:val="0"/>
      <w:divBdr>
        <w:top w:val="none" w:sz="0" w:space="0" w:color="auto"/>
        <w:left w:val="none" w:sz="0" w:space="0" w:color="auto"/>
        <w:bottom w:val="none" w:sz="0" w:space="0" w:color="auto"/>
        <w:right w:val="none" w:sz="0" w:space="0" w:color="auto"/>
      </w:divBdr>
    </w:div>
    <w:div w:id="256329357">
      <w:bodyDiv w:val="1"/>
      <w:marLeft w:val="0"/>
      <w:marRight w:val="0"/>
      <w:marTop w:val="0"/>
      <w:marBottom w:val="0"/>
      <w:divBdr>
        <w:top w:val="none" w:sz="0" w:space="0" w:color="auto"/>
        <w:left w:val="none" w:sz="0" w:space="0" w:color="auto"/>
        <w:bottom w:val="none" w:sz="0" w:space="0" w:color="auto"/>
        <w:right w:val="none" w:sz="0" w:space="0" w:color="auto"/>
      </w:divBdr>
    </w:div>
    <w:div w:id="256639883">
      <w:bodyDiv w:val="1"/>
      <w:marLeft w:val="0"/>
      <w:marRight w:val="0"/>
      <w:marTop w:val="0"/>
      <w:marBottom w:val="0"/>
      <w:divBdr>
        <w:top w:val="none" w:sz="0" w:space="0" w:color="auto"/>
        <w:left w:val="none" w:sz="0" w:space="0" w:color="auto"/>
        <w:bottom w:val="none" w:sz="0" w:space="0" w:color="auto"/>
        <w:right w:val="none" w:sz="0" w:space="0" w:color="auto"/>
      </w:divBdr>
    </w:div>
    <w:div w:id="256713510">
      <w:bodyDiv w:val="1"/>
      <w:marLeft w:val="0"/>
      <w:marRight w:val="0"/>
      <w:marTop w:val="0"/>
      <w:marBottom w:val="0"/>
      <w:divBdr>
        <w:top w:val="none" w:sz="0" w:space="0" w:color="auto"/>
        <w:left w:val="none" w:sz="0" w:space="0" w:color="auto"/>
        <w:bottom w:val="none" w:sz="0" w:space="0" w:color="auto"/>
        <w:right w:val="none" w:sz="0" w:space="0" w:color="auto"/>
      </w:divBdr>
    </w:div>
    <w:div w:id="257063009">
      <w:bodyDiv w:val="1"/>
      <w:marLeft w:val="0"/>
      <w:marRight w:val="0"/>
      <w:marTop w:val="0"/>
      <w:marBottom w:val="0"/>
      <w:divBdr>
        <w:top w:val="none" w:sz="0" w:space="0" w:color="auto"/>
        <w:left w:val="none" w:sz="0" w:space="0" w:color="auto"/>
        <w:bottom w:val="none" w:sz="0" w:space="0" w:color="auto"/>
        <w:right w:val="none" w:sz="0" w:space="0" w:color="auto"/>
      </w:divBdr>
    </w:div>
    <w:div w:id="257761784">
      <w:bodyDiv w:val="1"/>
      <w:marLeft w:val="0"/>
      <w:marRight w:val="0"/>
      <w:marTop w:val="0"/>
      <w:marBottom w:val="0"/>
      <w:divBdr>
        <w:top w:val="none" w:sz="0" w:space="0" w:color="auto"/>
        <w:left w:val="none" w:sz="0" w:space="0" w:color="auto"/>
        <w:bottom w:val="none" w:sz="0" w:space="0" w:color="auto"/>
        <w:right w:val="none" w:sz="0" w:space="0" w:color="auto"/>
      </w:divBdr>
    </w:div>
    <w:div w:id="257829207">
      <w:bodyDiv w:val="1"/>
      <w:marLeft w:val="0"/>
      <w:marRight w:val="0"/>
      <w:marTop w:val="0"/>
      <w:marBottom w:val="0"/>
      <w:divBdr>
        <w:top w:val="none" w:sz="0" w:space="0" w:color="auto"/>
        <w:left w:val="none" w:sz="0" w:space="0" w:color="auto"/>
        <w:bottom w:val="none" w:sz="0" w:space="0" w:color="auto"/>
        <w:right w:val="none" w:sz="0" w:space="0" w:color="auto"/>
      </w:divBdr>
    </w:div>
    <w:div w:id="257906056">
      <w:bodyDiv w:val="1"/>
      <w:marLeft w:val="0"/>
      <w:marRight w:val="0"/>
      <w:marTop w:val="0"/>
      <w:marBottom w:val="0"/>
      <w:divBdr>
        <w:top w:val="none" w:sz="0" w:space="0" w:color="auto"/>
        <w:left w:val="none" w:sz="0" w:space="0" w:color="auto"/>
        <w:bottom w:val="none" w:sz="0" w:space="0" w:color="auto"/>
        <w:right w:val="none" w:sz="0" w:space="0" w:color="auto"/>
      </w:divBdr>
    </w:div>
    <w:div w:id="257954520">
      <w:bodyDiv w:val="1"/>
      <w:marLeft w:val="0"/>
      <w:marRight w:val="0"/>
      <w:marTop w:val="0"/>
      <w:marBottom w:val="0"/>
      <w:divBdr>
        <w:top w:val="none" w:sz="0" w:space="0" w:color="auto"/>
        <w:left w:val="none" w:sz="0" w:space="0" w:color="auto"/>
        <w:bottom w:val="none" w:sz="0" w:space="0" w:color="auto"/>
        <w:right w:val="none" w:sz="0" w:space="0" w:color="auto"/>
      </w:divBdr>
    </w:div>
    <w:div w:id="258416907">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161">
      <w:bodyDiv w:val="1"/>
      <w:marLeft w:val="0"/>
      <w:marRight w:val="0"/>
      <w:marTop w:val="0"/>
      <w:marBottom w:val="0"/>
      <w:divBdr>
        <w:top w:val="none" w:sz="0" w:space="0" w:color="auto"/>
        <w:left w:val="none" w:sz="0" w:space="0" w:color="auto"/>
        <w:bottom w:val="none" w:sz="0" w:space="0" w:color="auto"/>
        <w:right w:val="none" w:sz="0" w:space="0" w:color="auto"/>
      </w:divBdr>
    </w:div>
    <w:div w:id="259609360">
      <w:bodyDiv w:val="1"/>
      <w:marLeft w:val="0"/>
      <w:marRight w:val="0"/>
      <w:marTop w:val="0"/>
      <w:marBottom w:val="0"/>
      <w:divBdr>
        <w:top w:val="none" w:sz="0" w:space="0" w:color="auto"/>
        <w:left w:val="none" w:sz="0" w:space="0" w:color="auto"/>
        <w:bottom w:val="none" w:sz="0" w:space="0" w:color="auto"/>
        <w:right w:val="none" w:sz="0" w:space="0" w:color="auto"/>
      </w:divBdr>
    </w:div>
    <w:div w:id="259996479">
      <w:bodyDiv w:val="1"/>
      <w:marLeft w:val="0"/>
      <w:marRight w:val="0"/>
      <w:marTop w:val="0"/>
      <w:marBottom w:val="0"/>
      <w:divBdr>
        <w:top w:val="none" w:sz="0" w:space="0" w:color="auto"/>
        <w:left w:val="none" w:sz="0" w:space="0" w:color="auto"/>
        <w:bottom w:val="none" w:sz="0" w:space="0" w:color="auto"/>
        <w:right w:val="none" w:sz="0" w:space="0" w:color="auto"/>
      </w:divBdr>
    </w:div>
    <w:div w:id="260066958">
      <w:bodyDiv w:val="1"/>
      <w:marLeft w:val="0"/>
      <w:marRight w:val="0"/>
      <w:marTop w:val="0"/>
      <w:marBottom w:val="0"/>
      <w:divBdr>
        <w:top w:val="none" w:sz="0" w:space="0" w:color="auto"/>
        <w:left w:val="none" w:sz="0" w:space="0" w:color="auto"/>
        <w:bottom w:val="none" w:sz="0" w:space="0" w:color="auto"/>
        <w:right w:val="none" w:sz="0" w:space="0" w:color="auto"/>
      </w:divBdr>
    </w:div>
    <w:div w:id="260332936">
      <w:bodyDiv w:val="1"/>
      <w:marLeft w:val="0"/>
      <w:marRight w:val="0"/>
      <w:marTop w:val="0"/>
      <w:marBottom w:val="0"/>
      <w:divBdr>
        <w:top w:val="none" w:sz="0" w:space="0" w:color="auto"/>
        <w:left w:val="none" w:sz="0" w:space="0" w:color="auto"/>
        <w:bottom w:val="none" w:sz="0" w:space="0" w:color="auto"/>
        <w:right w:val="none" w:sz="0" w:space="0" w:color="auto"/>
      </w:divBdr>
    </w:div>
    <w:div w:id="260382335">
      <w:bodyDiv w:val="1"/>
      <w:marLeft w:val="0"/>
      <w:marRight w:val="0"/>
      <w:marTop w:val="0"/>
      <w:marBottom w:val="0"/>
      <w:divBdr>
        <w:top w:val="none" w:sz="0" w:space="0" w:color="auto"/>
        <w:left w:val="none" w:sz="0" w:space="0" w:color="auto"/>
        <w:bottom w:val="none" w:sz="0" w:space="0" w:color="auto"/>
        <w:right w:val="none" w:sz="0" w:space="0" w:color="auto"/>
      </w:divBdr>
    </w:div>
    <w:div w:id="260456093">
      <w:bodyDiv w:val="1"/>
      <w:marLeft w:val="0"/>
      <w:marRight w:val="0"/>
      <w:marTop w:val="0"/>
      <w:marBottom w:val="0"/>
      <w:divBdr>
        <w:top w:val="none" w:sz="0" w:space="0" w:color="auto"/>
        <w:left w:val="none" w:sz="0" w:space="0" w:color="auto"/>
        <w:bottom w:val="none" w:sz="0" w:space="0" w:color="auto"/>
        <w:right w:val="none" w:sz="0" w:space="0" w:color="auto"/>
      </w:divBdr>
    </w:div>
    <w:div w:id="260651090">
      <w:bodyDiv w:val="1"/>
      <w:marLeft w:val="0"/>
      <w:marRight w:val="0"/>
      <w:marTop w:val="0"/>
      <w:marBottom w:val="0"/>
      <w:divBdr>
        <w:top w:val="none" w:sz="0" w:space="0" w:color="auto"/>
        <w:left w:val="none" w:sz="0" w:space="0" w:color="auto"/>
        <w:bottom w:val="none" w:sz="0" w:space="0" w:color="auto"/>
        <w:right w:val="none" w:sz="0" w:space="0" w:color="auto"/>
      </w:divBdr>
    </w:div>
    <w:div w:id="260915874">
      <w:bodyDiv w:val="1"/>
      <w:marLeft w:val="0"/>
      <w:marRight w:val="0"/>
      <w:marTop w:val="0"/>
      <w:marBottom w:val="0"/>
      <w:divBdr>
        <w:top w:val="none" w:sz="0" w:space="0" w:color="auto"/>
        <w:left w:val="none" w:sz="0" w:space="0" w:color="auto"/>
        <w:bottom w:val="none" w:sz="0" w:space="0" w:color="auto"/>
        <w:right w:val="none" w:sz="0" w:space="0" w:color="auto"/>
      </w:divBdr>
    </w:div>
    <w:div w:id="260916377">
      <w:bodyDiv w:val="1"/>
      <w:marLeft w:val="0"/>
      <w:marRight w:val="0"/>
      <w:marTop w:val="0"/>
      <w:marBottom w:val="0"/>
      <w:divBdr>
        <w:top w:val="none" w:sz="0" w:space="0" w:color="auto"/>
        <w:left w:val="none" w:sz="0" w:space="0" w:color="auto"/>
        <w:bottom w:val="none" w:sz="0" w:space="0" w:color="auto"/>
        <w:right w:val="none" w:sz="0" w:space="0" w:color="auto"/>
      </w:divBdr>
    </w:div>
    <w:div w:id="261111152">
      <w:bodyDiv w:val="1"/>
      <w:marLeft w:val="0"/>
      <w:marRight w:val="0"/>
      <w:marTop w:val="0"/>
      <w:marBottom w:val="0"/>
      <w:divBdr>
        <w:top w:val="none" w:sz="0" w:space="0" w:color="auto"/>
        <w:left w:val="none" w:sz="0" w:space="0" w:color="auto"/>
        <w:bottom w:val="none" w:sz="0" w:space="0" w:color="auto"/>
        <w:right w:val="none" w:sz="0" w:space="0" w:color="auto"/>
      </w:divBdr>
    </w:div>
    <w:div w:id="261298810">
      <w:bodyDiv w:val="1"/>
      <w:marLeft w:val="0"/>
      <w:marRight w:val="0"/>
      <w:marTop w:val="0"/>
      <w:marBottom w:val="0"/>
      <w:divBdr>
        <w:top w:val="none" w:sz="0" w:space="0" w:color="auto"/>
        <w:left w:val="none" w:sz="0" w:space="0" w:color="auto"/>
        <w:bottom w:val="none" w:sz="0" w:space="0" w:color="auto"/>
        <w:right w:val="none" w:sz="0" w:space="0" w:color="auto"/>
      </w:divBdr>
    </w:div>
    <w:div w:id="261382786">
      <w:bodyDiv w:val="1"/>
      <w:marLeft w:val="0"/>
      <w:marRight w:val="0"/>
      <w:marTop w:val="0"/>
      <w:marBottom w:val="0"/>
      <w:divBdr>
        <w:top w:val="none" w:sz="0" w:space="0" w:color="auto"/>
        <w:left w:val="none" w:sz="0" w:space="0" w:color="auto"/>
        <w:bottom w:val="none" w:sz="0" w:space="0" w:color="auto"/>
        <w:right w:val="none" w:sz="0" w:space="0" w:color="auto"/>
      </w:divBdr>
    </w:div>
    <w:div w:id="261764125">
      <w:bodyDiv w:val="1"/>
      <w:marLeft w:val="0"/>
      <w:marRight w:val="0"/>
      <w:marTop w:val="0"/>
      <w:marBottom w:val="0"/>
      <w:divBdr>
        <w:top w:val="none" w:sz="0" w:space="0" w:color="auto"/>
        <w:left w:val="none" w:sz="0" w:space="0" w:color="auto"/>
        <w:bottom w:val="none" w:sz="0" w:space="0" w:color="auto"/>
        <w:right w:val="none" w:sz="0" w:space="0" w:color="auto"/>
      </w:divBdr>
    </w:div>
    <w:div w:id="261840437">
      <w:bodyDiv w:val="1"/>
      <w:marLeft w:val="0"/>
      <w:marRight w:val="0"/>
      <w:marTop w:val="0"/>
      <w:marBottom w:val="0"/>
      <w:divBdr>
        <w:top w:val="none" w:sz="0" w:space="0" w:color="auto"/>
        <w:left w:val="none" w:sz="0" w:space="0" w:color="auto"/>
        <w:bottom w:val="none" w:sz="0" w:space="0" w:color="auto"/>
        <w:right w:val="none" w:sz="0" w:space="0" w:color="auto"/>
      </w:divBdr>
    </w:div>
    <w:div w:id="262033255">
      <w:bodyDiv w:val="1"/>
      <w:marLeft w:val="0"/>
      <w:marRight w:val="0"/>
      <w:marTop w:val="0"/>
      <w:marBottom w:val="0"/>
      <w:divBdr>
        <w:top w:val="none" w:sz="0" w:space="0" w:color="auto"/>
        <w:left w:val="none" w:sz="0" w:space="0" w:color="auto"/>
        <w:bottom w:val="none" w:sz="0" w:space="0" w:color="auto"/>
        <w:right w:val="none" w:sz="0" w:space="0" w:color="auto"/>
      </w:divBdr>
    </w:div>
    <w:div w:id="262154270">
      <w:bodyDiv w:val="1"/>
      <w:marLeft w:val="0"/>
      <w:marRight w:val="0"/>
      <w:marTop w:val="0"/>
      <w:marBottom w:val="0"/>
      <w:divBdr>
        <w:top w:val="none" w:sz="0" w:space="0" w:color="auto"/>
        <w:left w:val="none" w:sz="0" w:space="0" w:color="auto"/>
        <w:bottom w:val="none" w:sz="0" w:space="0" w:color="auto"/>
        <w:right w:val="none" w:sz="0" w:space="0" w:color="auto"/>
      </w:divBdr>
    </w:div>
    <w:div w:id="262232082">
      <w:bodyDiv w:val="1"/>
      <w:marLeft w:val="0"/>
      <w:marRight w:val="0"/>
      <w:marTop w:val="0"/>
      <w:marBottom w:val="0"/>
      <w:divBdr>
        <w:top w:val="none" w:sz="0" w:space="0" w:color="auto"/>
        <w:left w:val="none" w:sz="0" w:space="0" w:color="auto"/>
        <w:bottom w:val="none" w:sz="0" w:space="0" w:color="auto"/>
        <w:right w:val="none" w:sz="0" w:space="0" w:color="auto"/>
      </w:divBdr>
    </w:div>
    <w:div w:id="262421199">
      <w:bodyDiv w:val="1"/>
      <w:marLeft w:val="0"/>
      <w:marRight w:val="0"/>
      <w:marTop w:val="0"/>
      <w:marBottom w:val="0"/>
      <w:divBdr>
        <w:top w:val="none" w:sz="0" w:space="0" w:color="auto"/>
        <w:left w:val="none" w:sz="0" w:space="0" w:color="auto"/>
        <w:bottom w:val="none" w:sz="0" w:space="0" w:color="auto"/>
        <w:right w:val="none" w:sz="0" w:space="0" w:color="auto"/>
      </w:divBdr>
    </w:div>
    <w:div w:id="262541173">
      <w:bodyDiv w:val="1"/>
      <w:marLeft w:val="0"/>
      <w:marRight w:val="0"/>
      <w:marTop w:val="0"/>
      <w:marBottom w:val="0"/>
      <w:divBdr>
        <w:top w:val="none" w:sz="0" w:space="0" w:color="auto"/>
        <w:left w:val="none" w:sz="0" w:space="0" w:color="auto"/>
        <w:bottom w:val="none" w:sz="0" w:space="0" w:color="auto"/>
        <w:right w:val="none" w:sz="0" w:space="0" w:color="auto"/>
      </w:divBdr>
    </w:div>
    <w:div w:id="262615834">
      <w:bodyDiv w:val="1"/>
      <w:marLeft w:val="0"/>
      <w:marRight w:val="0"/>
      <w:marTop w:val="0"/>
      <w:marBottom w:val="0"/>
      <w:divBdr>
        <w:top w:val="none" w:sz="0" w:space="0" w:color="auto"/>
        <w:left w:val="none" w:sz="0" w:space="0" w:color="auto"/>
        <w:bottom w:val="none" w:sz="0" w:space="0" w:color="auto"/>
        <w:right w:val="none" w:sz="0" w:space="0" w:color="auto"/>
      </w:divBdr>
    </w:div>
    <w:div w:id="262810010">
      <w:bodyDiv w:val="1"/>
      <w:marLeft w:val="0"/>
      <w:marRight w:val="0"/>
      <w:marTop w:val="0"/>
      <w:marBottom w:val="0"/>
      <w:divBdr>
        <w:top w:val="none" w:sz="0" w:space="0" w:color="auto"/>
        <w:left w:val="none" w:sz="0" w:space="0" w:color="auto"/>
        <w:bottom w:val="none" w:sz="0" w:space="0" w:color="auto"/>
        <w:right w:val="none" w:sz="0" w:space="0" w:color="auto"/>
      </w:divBdr>
    </w:div>
    <w:div w:id="262883833">
      <w:bodyDiv w:val="1"/>
      <w:marLeft w:val="0"/>
      <w:marRight w:val="0"/>
      <w:marTop w:val="0"/>
      <w:marBottom w:val="0"/>
      <w:divBdr>
        <w:top w:val="none" w:sz="0" w:space="0" w:color="auto"/>
        <w:left w:val="none" w:sz="0" w:space="0" w:color="auto"/>
        <w:bottom w:val="none" w:sz="0" w:space="0" w:color="auto"/>
        <w:right w:val="none" w:sz="0" w:space="0" w:color="auto"/>
      </w:divBdr>
    </w:div>
    <w:div w:id="263463704">
      <w:bodyDiv w:val="1"/>
      <w:marLeft w:val="0"/>
      <w:marRight w:val="0"/>
      <w:marTop w:val="0"/>
      <w:marBottom w:val="0"/>
      <w:divBdr>
        <w:top w:val="none" w:sz="0" w:space="0" w:color="auto"/>
        <w:left w:val="none" w:sz="0" w:space="0" w:color="auto"/>
        <w:bottom w:val="none" w:sz="0" w:space="0" w:color="auto"/>
        <w:right w:val="none" w:sz="0" w:space="0" w:color="auto"/>
      </w:divBdr>
    </w:div>
    <w:div w:id="263611199">
      <w:bodyDiv w:val="1"/>
      <w:marLeft w:val="0"/>
      <w:marRight w:val="0"/>
      <w:marTop w:val="0"/>
      <w:marBottom w:val="0"/>
      <w:divBdr>
        <w:top w:val="none" w:sz="0" w:space="0" w:color="auto"/>
        <w:left w:val="none" w:sz="0" w:space="0" w:color="auto"/>
        <w:bottom w:val="none" w:sz="0" w:space="0" w:color="auto"/>
        <w:right w:val="none" w:sz="0" w:space="0" w:color="auto"/>
      </w:divBdr>
    </w:div>
    <w:div w:id="263656835">
      <w:bodyDiv w:val="1"/>
      <w:marLeft w:val="0"/>
      <w:marRight w:val="0"/>
      <w:marTop w:val="0"/>
      <w:marBottom w:val="0"/>
      <w:divBdr>
        <w:top w:val="none" w:sz="0" w:space="0" w:color="auto"/>
        <w:left w:val="none" w:sz="0" w:space="0" w:color="auto"/>
        <w:bottom w:val="none" w:sz="0" w:space="0" w:color="auto"/>
        <w:right w:val="none" w:sz="0" w:space="0" w:color="auto"/>
      </w:divBdr>
    </w:div>
    <w:div w:id="263730197">
      <w:bodyDiv w:val="1"/>
      <w:marLeft w:val="0"/>
      <w:marRight w:val="0"/>
      <w:marTop w:val="0"/>
      <w:marBottom w:val="0"/>
      <w:divBdr>
        <w:top w:val="none" w:sz="0" w:space="0" w:color="auto"/>
        <w:left w:val="none" w:sz="0" w:space="0" w:color="auto"/>
        <w:bottom w:val="none" w:sz="0" w:space="0" w:color="auto"/>
        <w:right w:val="none" w:sz="0" w:space="0" w:color="auto"/>
      </w:divBdr>
    </w:div>
    <w:div w:id="264582938">
      <w:bodyDiv w:val="1"/>
      <w:marLeft w:val="0"/>
      <w:marRight w:val="0"/>
      <w:marTop w:val="0"/>
      <w:marBottom w:val="0"/>
      <w:divBdr>
        <w:top w:val="none" w:sz="0" w:space="0" w:color="auto"/>
        <w:left w:val="none" w:sz="0" w:space="0" w:color="auto"/>
        <w:bottom w:val="none" w:sz="0" w:space="0" w:color="auto"/>
        <w:right w:val="none" w:sz="0" w:space="0" w:color="auto"/>
      </w:divBdr>
    </w:div>
    <w:div w:id="264654272">
      <w:bodyDiv w:val="1"/>
      <w:marLeft w:val="0"/>
      <w:marRight w:val="0"/>
      <w:marTop w:val="0"/>
      <w:marBottom w:val="0"/>
      <w:divBdr>
        <w:top w:val="none" w:sz="0" w:space="0" w:color="auto"/>
        <w:left w:val="none" w:sz="0" w:space="0" w:color="auto"/>
        <w:bottom w:val="none" w:sz="0" w:space="0" w:color="auto"/>
        <w:right w:val="none" w:sz="0" w:space="0" w:color="auto"/>
      </w:divBdr>
    </w:div>
    <w:div w:id="265191188">
      <w:bodyDiv w:val="1"/>
      <w:marLeft w:val="0"/>
      <w:marRight w:val="0"/>
      <w:marTop w:val="0"/>
      <w:marBottom w:val="0"/>
      <w:divBdr>
        <w:top w:val="none" w:sz="0" w:space="0" w:color="auto"/>
        <w:left w:val="none" w:sz="0" w:space="0" w:color="auto"/>
        <w:bottom w:val="none" w:sz="0" w:space="0" w:color="auto"/>
        <w:right w:val="none" w:sz="0" w:space="0" w:color="auto"/>
      </w:divBdr>
    </w:div>
    <w:div w:id="265426303">
      <w:bodyDiv w:val="1"/>
      <w:marLeft w:val="0"/>
      <w:marRight w:val="0"/>
      <w:marTop w:val="0"/>
      <w:marBottom w:val="0"/>
      <w:divBdr>
        <w:top w:val="none" w:sz="0" w:space="0" w:color="auto"/>
        <w:left w:val="none" w:sz="0" w:space="0" w:color="auto"/>
        <w:bottom w:val="none" w:sz="0" w:space="0" w:color="auto"/>
        <w:right w:val="none" w:sz="0" w:space="0" w:color="auto"/>
      </w:divBdr>
    </w:div>
    <w:div w:id="265621490">
      <w:bodyDiv w:val="1"/>
      <w:marLeft w:val="0"/>
      <w:marRight w:val="0"/>
      <w:marTop w:val="0"/>
      <w:marBottom w:val="0"/>
      <w:divBdr>
        <w:top w:val="none" w:sz="0" w:space="0" w:color="auto"/>
        <w:left w:val="none" w:sz="0" w:space="0" w:color="auto"/>
        <w:bottom w:val="none" w:sz="0" w:space="0" w:color="auto"/>
        <w:right w:val="none" w:sz="0" w:space="0" w:color="auto"/>
      </w:divBdr>
    </w:div>
    <w:div w:id="265815283">
      <w:bodyDiv w:val="1"/>
      <w:marLeft w:val="0"/>
      <w:marRight w:val="0"/>
      <w:marTop w:val="0"/>
      <w:marBottom w:val="0"/>
      <w:divBdr>
        <w:top w:val="none" w:sz="0" w:space="0" w:color="auto"/>
        <w:left w:val="none" w:sz="0" w:space="0" w:color="auto"/>
        <w:bottom w:val="none" w:sz="0" w:space="0" w:color="auto"/>
        <w:right w:val="none" w:sz="0" w:space="0" w:color="auto"/>
      </w:divBdr>
    </w:div>
    <w:div w:id="265961527">
      <w:bodyDiv w:val="1"/>
      <w:marLeft w:val="0"/>
      <w:marRight w:val="0"/>
      <w:marTop w:val="0"/>
      <w:marBottom w:val="0"/>
      <w:divBdr>
        <w:top w:val="none" w:sz="0" w:space="0" w:color="auto"/>
        <w:left w:val="none" w:sz="0" w:space="0" w:color="auto"/>
        <w:bottom w:val="none" w:sz="0" w:space="0" w:color="auto"/>
        <w:right w:val="none" w:sz="0" w:space="0" w:color="auto"/>
      </w:divBdr>
    </w:div>
    <w:div w:id="266236670">
      <w:bodyDiv w:val="1"/>
      <w:marLeft w:val="0"/>
      <w:marRight w:val="0"/>
      <w:marTop w:val="0"/>
      <w:marBottom w:val="0"/>
      <w:divBdr>
        <w:top w:val="none" w:sz="0" w:space="0" w:color="auto"/>
        <w:left w:val="none" w:sz="0" w:space="0" w:color="auto"/>
        <w:bottom w:val="none" w:sz="0" w:space="0" w:color="auto"/>
        <w:right w:val="none" w:sz="0" w:space="0" w:color="auto"/>
      </w:divBdr>
    </w:div>
    <w:div w:id="266238160">
      <w:bodyDiv w:val="1"/>
      <w:marLeft w:val="0"/>
      <w:marRight w:val="0"/>
      <w:marTop w:val="0"/>
      <w:marBottom w:val="0"/>
      <w:divBdr>
        <w:top w:val="none" w:sz="0" w:space="0" w:color="auto"/>
        <w:left w:val="none" w:sz="0" w:space="0" w:color="auto"/>
        <w:bottom w:val="none" w:sz="0" w:space="0" w:color="auto"/>
        <w:right w:val="none" w:sz="0" w:space="0" w:color="auto"/>
      </w:divBdr>
    </w:div>
    <w:div w:id="266352865">
      <w:bodyDiv w:val="1"/>
      <w:marLeft w:val="0"/>
      <w:marRight w:val="0"/>
      <w:marTop w:val="0"/>
      <w:marBottom w:val="0"/>
      <w:divBdr>
        <w:top w:val="none" w:sz="0" w:space="0" w:color="auto"/>
        <w:left w:val="none" w:sz="0" w:space="0" w:color="auto"/>
        <w:bottom w:val="none" w:sz="0" w:space="0" w:color="auto"/>
        <w:right w:val="none" w:sz="0" w:space="0" w:color="auto"/>
      </w:divBdr>
    </w:div>
    <w:div w:id="266357349">
      <w:bodyDiv w:val="1"/>
      <w:marLeft w:val="0"/>
      <w:marRight w:val="0"/>
      <w:marTop w:val="0"/>
      <w:marBottom w:val="0"/>
      <w:divBdr>
        <w:top w:val="none" w:sz="0" w:space="0" w:color="auto"/>
        <w:left w:val="none" w:sz="0" w:space="0" w:color="auto"/>
        <w:bottom w:val="none" w:sz="0" w:space="0" w:color="auto"/>
        <w:right w:val="none" w:sz="0" w:space="0" w:color="auto"/>
      </w:divBdr>
    </w:div>
    <w:div w:id="266960847">
      <w:bodyDiv w:val="1"/>
      <w:marLeft w:val="0"/>
      <w:marRight w:val="0"/>
      <w:marTop w:val="0"/>
      <w:marBottom w:val="0"/>
      <w:divBdr>
        <w:top w:val="none" w:sz="0" w:space="0" w:color="auto"/>
        <w:left w:val="none" w:sz="0" w:space="0" w:color="auto"/>
        <w:bottom w:val="none" w:sz="0" w:space="0" w:color="auto"/>
        <w:right w:val="none" w:sz="0" w:space="0" w:color="auto"/>
      </w:divBdr>
    </w:div>
    <w:div w:id="267125055">
      <w:bodyDiv w:val="1"/>
      <w:marLeft w:val="0"/>
      <w:marRight w:val="0"/>
      <w:marTop w:val="0"/>
      <w:marBottom w:val="0"/>
      <w:divBdr>
        <w:top w:val="none" w:sz="0" w:space="0" w:color="auto"/>
        <w:left w:val="none" w:sz="0" w:space="0" w:color="auto"/>
        <w:bottom w:val="none" w:sz="0" w:space="0" w:color="auto"/>
        <w:right w:val="none" w:sz="0" w:space="0" w:color="auto"/>
      </w:divBdr>
    </w:div>
    <w:div w:id="267347901">
      <w:bodyDiv w:val="1"/>
      <w:marLeft w:val="0"/>
      <w:marRight w:val="0"/>
      <w:marTop w:val="0"/>
      <w:marBottom w:val="0"/>
      <w:divBdr>
        <w:top w:val="none" w:sz="0" w:space="0" w:color="auto"/>
        <w:left w:val="none" w:sz="0" w:space="0" w:color="auto"/>
        <w:bottom w:val="none" w:sz="0" w:space="0" w:color="auto"/>
        <w:right w:val="none" w:sz="0" w:space="0" w:color="auto"/>
      </w:divBdr>
    </w:div>
    <w:div w:id="267392588">
      <w:bodyDiv w:val="1"/>
      <w:marLeft w:val="0"/>
      <w:marRight w:val="0"/>
      <w:marTop w:val="0"/>
      <w:marBottom w:val="0"/>
      <w:divBdr>
        <w:top w:val="none" w:sz="0" w:space="0" w:color="auto"/>
        <w:left w:val="none" w:sz="0" w:space="0" w:color="auto"/>
        <w:bottom w:val="none" w:sz="0" w:space="0" w:color="auto"/>
        <w:right w:val="none" w:sz="0" w:space="0" w:color="auto"/>
      </w:divBdr>
    </w:div>
    <w:div w:id="267396794">
      <w:bodyDiv w:val="1"/>
      <w:marLeft w:val="0"/>
      <w:marRight w:val="0"/>
      <w:marTop w:val="0"/>
      <w:marBottom w:val="0"/>
      <w:divBdr>
        <w:top w:val="none" w:sz="0" w:space="0" w:color="auto"/>
        <w:left w:val="none" w:sz="0" w:space="0" w:color="auto"/>
        <w:bottom w:val="none" w:sz="0" w:space="0" w:color="auto"/>
        <w:right w:val="none" w:sz="0" w:space="0" w:color="auto"/>
      </w:divBdr>
    </w:div>
    <w:div w:id="267857091">
      <w:bodyDiv w:val="1"/>
      <w:marLeft w:val="0"/>
      <w:marRight w:val="0"/>
      <w:marTop w:val="0"/>
      <w:marBottom w:val="0"/>
      <w:divBdr>
        <w:top w:val="none" w:sz="0" w:space="0" w:color="auto"/>
        <w:left w:val="none" w:sz="0" w:space="0" w:color="auto"/>
        <w:bottom w:val="none" w:sz="0" w:space="0" w:color="auto"/>
        <w:right w:val="none" w:sz="0" w:space="0" w:color="auto"/>
      </w:divBdr>
    </w:div>
    <w:div w:id="268201510">
      <w:bodyDiv w:val="1"/>
      <w:marLeft w:val="0"/>
      <w:marRight w:val="0"/>
      <w:marTop w:val="0"/>
      <w:marBottom w:val="0"/>
      <w:divBdr>
        <w:top w:val="none" w:sz="0" w:space="0" w:color="auto"/>
        <w:left w:val="none" w:sz="0" w:space="0" w:color="auto"/>
        <w:bottom w:val="none" w:sz="0" w:space="0" w:color="auto"/>
        <w:right w:val="none" w:sz="0" w:space="0" w:color="auto"/>
      </w:divBdr>
    </w:div>
    <w:div w:id="268393190">
      <w:bodyDiv w:val="1"/>
      <w:marLeft w:val="0"/>
      <w:marRight w:val="0"/>
      <w:marTop w:val="0"/>
      <w:marBottom w:val="0"/>
      <w:divBdr>
        <w:top w:val="none" w:sz="0" w:space="0" w:color="auto"/>
        <w:left w:val="none" w:sz="0" w:space="0" w:color="auto"/>
        <w:bottom w:val="none" w:sz="0" w:space="0" w:color="auto"/>
        <w:right w:val="none" w:sz="0" w:space="0" w:color="auto"/>
      </w:divBdr>
    </w:div>
    <w:div w:id="268436534">
      <w:bodyDiv w:val="1"/>
      <w:marLeft w:val="0"/>
      <w:marRight w:val="0"/>
      <w:marTop w:val="0"/>
      <w:marBottom w:val="0"/>
      <w:divBdr>
        <w:top w:val="none" w:sz="0" w:space="0" w:color="auto"/>
        <w:left w:val="none" w:sz="0" w:space="0" w:color="auto"/>
        <w:bottom w:val="none" w:sz="0" w:space="0" w:color="auto"/>
        <w:right w:val="none" w:sz="0" w:space="0" w:color="auto"/>
      </w:divBdr>
    </w:div>
    <w:div w:id="268466389">
      <w:bodyDiv w:val="1"/>
      <w:marLeft w:val="0"/>
      <w:marRight w:val="0"/>
      <w:marTop w:val="0"/>
      <w:marBottom w:val="0"/>
      <w:divBdr>
        <w:top w:val="none" w:sz="0" w:space="0" w:color="auto"/>
        <w:left w:val="none" w:sz="0" w:space="0" w:color="auto"/>
        <w:bottom w:val="none" w:sz="0" w:space="0" w:color="auto"/>
        <w:right w:val="none" w:sz="0" w:space="0" w:color="auto"/>
      </w:divBdr>
    </w:div>
    <w:div w:id="268509784">
      <w:bodyDiv w:val="1"/>
      <w:marLeft w:val="0"/>
      <w:marRight w:val="0"/>
      <w:marTop w:val="0"/>
      <w:marBottom w:val="0"/>
      <w:divBdr>
        <w:top w:val="none" w:sz="0" w:space="0" w:color="auto"/>
        <w:left w:val="none" w:sz="0" w:space="0" w:color="auto"/>
        <w:bottom w:val="none" w:sz="0" w:space="0" w:color="auto"/>
        <w:right w:val="none" w:sz="0" w:space="0" w:color="auto"/>
      </w:divBdr>
    </w:div>
    <w:div w:id="268660998">
      <w:bodyDiv w:val="1"/>
      <w:marLeft w:val="0"/>
      <w:marRight w:val="0"/>
      <w:marTop w:val="0"/>
      <w:marBottom w:val="0"/>
      <w:divBdr>
        <w:top w:val="none" w:sz="0" w:space="0" w:color="auto"/>
        <w:left w:val="none" w:sz="0" w:space="0" w:color="auto"/>
        <w:bottom w:val="none" w:sz="0" w:space="0" w:color="auto"/>
        <w:right w:val="none" w:sz="0" w:space="0" w:color="auto"/>
      </w:divBdr>
    </w:div>
    <w:div w:id="269049548">
      <w:bodyDiv w:val="1"/>
      <w:marLeft w:val="0"/>
      <w:marRight w:val="0"/>
      <w:marTop w:val="0"/>
      <w:marBottom w:val="0"/>
      <w:divBdr>
        <w:top w:val="none" w:sz="0" w:space="0" w:color="auto"/>
        <w:left w:val="none" w:sz="0" w:space="0" w:color="auto"/>
        <w:bottom w:val="none" w:sz="0" w:space="0" w:color="auto"/>
        <w:right w:val="none" w:sz="0" w:space="0" w:color="auto"/>
      </w:divBdr>
    </w:div>
    <w:div w:id="269170584">
      <w:bodyDiv w:val="1"/>
      <w:marLeft w:val="0"/>
      <w:marRight w:val="0"/>
      <w:marTop w:val="0"/>
      <w:marBottom w:val="0"/>
      <w:divBdr>
        <w:top w:val="none" w:sz="0" w:space="0" w:color="auto"/>
        <w:left w:val="none" w:sz="0" w:space="0" w:color="auto"/>
        <w:bottom w:val="none" w:sz="0" w:space="0" w:color="auto"/>
        <w:right w:val="none" w:sz="0" w:space="0" w:color="auto"/>
      </w:divBdr>
    </w:div>
    <w:div w:id="269550235">
      <w:bodyDiv w:val="1"/>
      <w:marLeft w:val="0"/>
      <w:marRight w:val="0"/>
      <w:marTop w:val="0"/>
      <w:marBottom w:val="0"/>
      <w:divBdr>
        <w:top w:val="none" w:sz="0" w:space="0" w:color="auto"/>
        <w:left w:val="none" w:sz="0" w:space="0" w:color="auto"/>
        <w:bottom w:val="none" w:sz="0" w:space="0" w:color="auto"/>
        <w:right w:val="none" w:sz="0" w:space="0" w:color="auto"/>
      </w:divBdr>
    </w:div>
    <w:div w:id="269899052">
      <w:bodyDiv w:val="1"/>
      <w:marLeft w:val="0"/>
      <w:marRight w:val="0"/>
      <w:marTop w:val="0"/>
      <w:marBottom w:val="0"/>
      <w:divBdr>
        <w:top w:val="none" w:sz="0" w:space="0" w:color="auto"/>
        <w:left w:val="none" w:sz="0" w:space="0" w:color="auto"/>
        <w:bottom w:val="none" w:sz="0" w:space="0" w:color="auto"/>
        <w:right w:val="none" w:sz="0" w:space="0" w:color="auto"/>
      </w:divBdr>
    </w:div>
    <w:div w:id="270011465">
      <w:bodyDiv w:val="1"/>
      <w:marLeft w:val="0"/>
      <w:marRight w:val="0"/>
      <w:marTop w:val="0"/>
      <w:marBottom w:val="0"/>
      <w:divBdr>
        <w:top w:val="none" w:sz="0" w:space="0" w:color="auto"/>
        <w:left w:val="none" w:sz="0" w:space="0" w:color="auto"/>
        <w:bottom w:val="none" w:sz="0" w:space="0" w:color="auto"/>
        <w:right w:val="none" w:sz="0" w:space="0" w:color="auto"/>
      </w:divBdr>
    </w:div>
    <w:div w:id="270020076">
      <w:bodyDiv w:val="1"/>
      <w:marLeft w:val="0"/>
      <w:marRight w:val="0"/>
      <w:marTop w:val="0"/>
      <w:marBottom w:val="0"/>
      <w:divBdr>
        <w:top w:val="none" w:sz="0" w:space="0" w:color="auto"/>
        <w:left w:val="none" w:sz="0" w:space="0" w:color="auto"/>
        <w:bottom w:val="none" w:sz="0" w:space="0" w:color="auto"/>
        <w:right w:val="none" w:sz="0" w:space="0" w:color="auto"/>
      </w:divBdr>
    </w:div>
    <w:div w:id="270211919">
      <w:bodyDiv w:val="1"/>
      <w:marLeft w:val="0"/>
      <w:marRight w:val="0"/>
      <w:marTop w:val="0"/>
      <w:marBottom w:val="0"/>
      <w:divBdr>
        <w:top w:val="none" w:sz="0" w:space="0" w:color="auto"/>
        <w:left w:val="none" w:sz="0" w:space="0" w:color="auto"/>
        <w:bottom w:val="none" w:sz="0" w:space="0" w:color="auto"/>
        <w:right w:val="none" w:sz="0" w:space="0" w:color="auto"/>
      </w:divBdr>
    </w:div>
    <w:div w:id="270404240">
      <w:bodyDiv w:val="1"/>
      <w:marLeft w:val="0"/>
      <w:marRight w:val="0"/>
      <w:marTop w:val="0"/>
      <w:marBottom w:val="0"/>
      <w:divBdr>
        <w:top w:val="none" w:sz="0" w:space="0" w:color="auto"/>
        <w:left w:val="none" w:sz="0" w:space="0" w:color="auto"/>
        <w:bottom w:val="none" w:sz="0" w:space="0" w:color="auto"/>
        <w:right w:val="none" w:sz="0" w:space="0" w:color="auto"/>
      </w:divBdr>
    </w:div>
    <w:div w:id="270477758">
      <w:bodyDiv w:val="1"/>
      <w:marLeft w:val="0"/>
      <w:marRight w:val="0"/>
      <w:marTop w:val="0"/>
      <w:marBottom w:val="0"/>
      <w:divBdr>
        <w:top w:val="none" w:sz="0" w:space="0" w:color="auto"/>
        <w:left w:val="none" w:sz="0" w:space="0" w:color="auto"/>
        <w:bottom w:val="none" w:sz="0" w:space="0" w:color="auto"/>
        <w:right w:val="none" w:sz="0" w:space="0" w:color="auto"/>
      </w:divBdr>
    </w:div>
    <w:div w:id="271019341">
      <w:bodyDiv w:val="1"/>
      <w:marLeft w:val="0"/>
      <w:marRight w:val="0"/>
      <w:marTop w:val="0"/>
      <w:marBottom w:val="0"/>
      <w:divBdr>
        <w:top w:val="none" w:sz="0" w:space="0" w:color="auto"/>
        <w:left w:val="none" w:sz="0" w:space="0" w:color="auto"/>
        <w:bottom w:val="none" w:sz="0" w:space="0" w:color="auto"/>
        <w:right w:val="none" w:sz="0" w:space="0" w:color="auto"/>
      </w:divBdr>
    </w:div>
    <w:div w:id="271206780">
      <w:bodyDiv w:val="1"/>
      <w:marLeft w:val="0"/>
      <w:marRight w:val="0"/>
      <w:marTop w:val="0"/>
      <w:marBottom w:val="0"/>
      <w:divBdr>
        <w:top w:val="none" w:sz="0" w:space="0" w:color="auto"/>
        <w:left w:val="none" w:sz="0" w:space="0" w:color="auto"/>
        <w:bottom w:val="none" w:sz="0" w:space="0" w:color="auto"/>
        <w:right w:val="none" w:sz="0" w:space="0" w:color="auto"/>
      </w:divBdr>
    </w:div>
    <w:div w:id="271211014">
      <w:bodyDiv w:val="1"/>
      <w:marLeft w:val="0"/>
      <w:marRight w:val="0"/>
      <w:marTop w:val="0"/>
      <w:marBottom w:val="0"/>
      <w:divBdr>
        <w:top w:val="none" w:sz="0" w:space="0" w:color="auto"/>
        <w:left w:val="none" w:sz="0" w:space="0" w:color="auto"/>
        <w:bottom w:val="none" w:sz="0" w:space="0" w:color="auto"/>
        <w:right w:val="none" w:sz="0" w:space="0" w:color="auto"/>
      </w:divBdr>
    </w:div>
    <w:div w:id="271323773">
      <w:bodyDiv w:val="1"/>
      <w:marLeft w:val="0"/>
      <w:marRight w:val="0"/>
      <w:marTop w:val="0"/>
      <w:marBottom w:val="0"/>
      <w:divBdr>
        <w:top w:val="none" w:sz="0" w:space="0" w:color="auto"/>
        <w:left w:val="none" w:sz="0" w:space="0" w:color="auto"/>
        <w:bottom w:val="none" w:sz="0" w:space="0" w:color="auto"/>
        <w:right w:val="none" w:sz="0" w:space="0" w:color="auto"/>
      </w:divBdr>
    </w:div>
    <w:div w:id="271520597">
      <w:bodyDiv w:val="1"/>
      <w:marLeft w:val="0"/>
      <w:marRight w:val="0"/>
      <w:marTop w:val="0"/>
      <w:marBottom w:val="0"/>
      <w:divBdr>
        <w:top w:val="none" w:sz="0" w:space="0" w:color="auto"/>
        <w:left w:val="none" w:sz="0" w:space="0" w:color="auto"/>
        <w:bottom w:val="none" w:sz="0" w:space="0" w:color="auto"/>
        <w:right w:val="none" w:sz="0" w:space="0" w:color="auto"/>
      </w:divBdr>
    </w:div>
    <w:div w:id="271523068">
      <w:bodyDiv w:val="1"/>
      <w:marLeft w:val="0"/>
      <w:marRight w:val="0"/>
      <w:marTop w:val="0"/>
      <w:marBottom w:val="0"/>
      <w:divBdr>
        <w:top w:val="none" w:sz="0" w:space="0" w:color="auto"/>
        <w:left w:val="none" w:sz="0" w:space="0" w:color="auto"/>
        <w:bottom w:val="none" w:sz="0" w:space="0" w:color="auto"/>
        <w:right w:val="none" w:sz="0" w:space="0" w:color="auto"/>
      </w:divBdr>
    </w:div>
    <w:div w:id="271673417">
      <w:bodyDiv w:val="1"/>
      <w:marLeft w:val="0"/>
      <w:marRight w:val="0"/>
      <w:marTop w:val="0"/>
      <w:marBottom w:val="0"/>
      <w:divBdr>
        <w:top w:val="none" w:sz="0" w:space="0" w:color="auto"/>
        <w:left w:val="none" w:sz="0" w:space="0" w:color="auto"/>
        <w:bottom w:val="none" w:sz="0" w:space="0" w:color="auto"/>
        <w:right w:val="none" w:sz="0" w:space="0" w:color="auto"/>
      </w:divBdr>
    </w:div>
    <w:div w:id="271864520">
      <w:bodyDiv w:val="1"/>
      <w:marLeft w:val="0"/>
      <w:marRight w:val="0"/>
      <w:marTop w:val="0"/>
      <w:marBottom w:val="0"/>
      <w:divBdr>
        <w:top w:val="none" w:sz="0" w:space="0" w:color="auto"/>
        <w:left w:val="none" w:sz="0" w:space="0" w:color="auto"/>
        <w:bottom w:val="none" w:sz="0" w:space="0" w:color="auto"/>
        <w:right w:val="none" w:sz="0" w:space="0" w:color="auto"/>
      </w:divBdr>
    </w:div>
    <w:div w:id="271866272">
      <w:bodyDiv w:val="1"/>
      <w:marLeft w:val="0"/>
      <w:marRight w:val="0"/>
      <w:marTop w:val="0"/>
      <w:marBottom w:val="0"/>
      <w:divBdr>
        <w:top w:val="none" w:sz="0" w:space="0" w:color="auto"/>
        <w:left w:val="none" w:sz="0" w:space="0" w:color="auto"/>
        <w:bottom w:val="none" w:sz="0" w:space="0" w:color="auto"/>
        <w:right w:val="none" w:sz="0" w:space="0" w:color="auto"/>
      </w:divBdr>
    </w:div>
    <w:div w:id="271910608">
      <w:bodyDiv w:val="1"/>
      <w:marLeft w:val="0"/>
      <w:marRight w:val="0"/>
      <w:marTop w:val="0"/>
      <w:marBottom w:val="0"/>
      <w:divBdr>
        <w:top w:val="none" w:sz="0" w:space="0" w:color="auto"/>
        <w:left w:val="none" w:sz="0" w:space="0" w:color="auto"/>
        <w:bottom w:val="none" w:sz="0" w:space="0" w:color="auto"/>
        <w:right w:val="none" w:sz="0" w:space="0" w:color="auto"/>
      </w:divBdr>
    </w:div>
    <w:div w:id="271933777">
      <w:bodyDiv w:val="1"/>
      <w:marLeft w:val="0"/>
      <w:marRight w:val="0"/>
      <w:marTop w:val="0"/>
      <w:marBottom w:val="0"/>
      <w:divBdr>
        <w:top w:val="none" w:sz="0" w:space="0" w:color="auto"/>
        <w:left w:val="none" w:sz="0" w:space="0" w:color="auto"/>
        <w:bottom w:val="none" w:sz="0" w:space="0" w:color="auto"/>
        <w:right w:val="none" w:sz="0" w:space="0" w:color="auto"/>
      </w:divBdr>
    </w:div>
    <w:div w:id="271981018">
      <w:bodyDiv w:val="1"/>
      <w:marLeft w:val="0"/>
      <w:marRight w:val="0"/>
      <w:marTop w:val="0"/>
      <w:marBottom w:val="0"/>
      <w:divBdr>
        <w:top w:val="none" w:sz="0" w:space="0" w:color="auto"/>
        <w:left w:val="none" w:sz="0" w:space="0" w:color="auto"/>
        <w:bottom w:val="none" w:sz="0" w:space="0" w:color="auto"/>
        <w:right w:val="none" w:sz="0" w:space="0" w:color="auto"/>
      </w:divBdr>
    </w:div>
    <w:div w:id="272173150">
      <w:bodyDiv w:val="1"/>
      <w:marLeft w:val="0"/>
      <w:marRight w:val="0"/>
      <w:marTop w:val="0"/>
      <w:marBottom w:val="0"/>
      <w:divBdr>
        <w:top w:val="none" w:sz="0" w:space="0" w:color="auto"/>
        <w:left w:val="none" w:sz="0" w:space="0" w:color="auto"/>
        <w:bottom w:val="none" w:sz="0" w:space="0" w:color="auto"/>
        <w:right w:val="none" w:sz="0" w:space="0" w:color="auto"/>
      </w:divBdr>
    </w:div>
    <w:div w:id="272326453">
      <w:bodyDiv w:val="1"/>
      <w:marLeft w:val="0"/>
      <w:marRight w:val="0"/>
      <w:marTop w:val="0"/>
      <w:marBottom w:val="0"/>
      <w:divBdr>
        <w:top w:val="none" w:sz="0" w:space="0" w:color="auto"/>
        <w:left w:val="none" w:sz="0" w:space="0" w:color="auto"/>
        <w:bottom w:val="none" w:sz="0" w:space="0" w:color="auto"/>
        <w:right w:val="none" w:sz="0" w:space="0" w:color="auto"/>
      </w:divBdr>
    </w:div>
    <w:div w:id="272979617">
      <w:bodyDiv w:val="1"/>
      <w:marLeft w:val="0"/>
      <w:marRight w:val="0"/>
      <w:marTop w:val="0"/>
      <w:marBottom w:val="0"/>
      <w:divBdr>
        <w:top w:val="none" w:sz="0" w:space="0" w:color="auto"/>
        <w:left w:val="none" w:sz="0" w:space="0" w:color="auto"/>
        <w:bottom w:val="none" w:sz="0" w:space="0" w:color="auto"/>
        <w:right w:val="none" w:sz="0" w:space="0" w:color="auto"/>
      </w:divBdr>
    </w:div>
    <w:div w:id="272984375">
      <w:bodyDiv w:val="1"/>
      <w:marLeft w:val="0"/>
      <w:marRight w:val="0"/>
      <w:marTop w:val="0"/>
      <w:marBottom w:val="0"/>
      <w:divBdr>
        <w:top w:val="none" w:sz="0" w:space="0" w:color="auto"/>
        <w:left w:val="none" w:sz="0" w:space="0" w:color="auto"/>
        <w:bottom w:val="none" w:sz="0" w:space="0" w:color="auto"/>
        <w:right w:val="none" w:sz="0" w:space="0" w:color="auto"/>
      </w:divBdr>
    </w:div>
    <w:div w:id="273100861">
      <w:bodyDiv w:val="1"/>
      <w:marLeft w:val="0"/>
      <w:marRight w:val="0"/>
      <w:marTop w:val="0"/>
      <w:marBottom w:val="0"/>
      <w:divBdr>
        <w:top w:val="none" w:sz="0" w:space="0" w:color="auto"/>
        <w:left w:val="none" w:sz="0" w:space="0" w:color="auto"/>
        <w:bottom w:val="none" w:sz="0" w:space="0" w:color="auto"/>
        <w:right w:val="none" w:sz="0" w:space="0" w:color="auto"/>
      </w:divBdr>
    </w:div>
    <w:div w:id="273103218">
      <w:bodyDiv w:val="1"/>
      <w:marLeft w:val="0"/>
      <w:marRight w:val="0"/>
      <w:marTop w:val="0"/>
      <w:marBottom w:val="0"/>
      <w:divBdr>
        <w:top w:val="none" w:sz="0" w:space="0" w:color="auto"/>
        <w:left w:val="none" w:sz="0" w:space="0" w:color="auto"/>
        <w:bottom w:val="none" w:sz="0" w:space="0" w:color="auto"/>
        <w:right w:val="none" w:sz="0" w:space="0" w:color="auto"/>
      </w:divBdr>
    </w:div>
    <w:div w:id="273441739">
      <w:bodyDiv w:val="1"/>
      <w:marLeft w:val="0"/>
      <w:marRight w:val="0"/>
      <w:marTop w:val="0"/>
      <w:marBottom w:val="0"/>
      <w:divBdr>
        <w:top w:val="none" w:sz="0" w:space="0" w:color="auto"/>
        <w:left w:val="none" w:sz="0" w:space="0" w:color="auto"/>
        <w:bottom w:val="none" w:sz="0" w:space="0" w:color="auto"/>
        <w:right w:val="none" w:sz="0" w:space="0" w:color="auto"/>
      </w:divBdr>
    </w:div>
    <w:div w:id="273445339">
      <w:bodyDiv w:val="1"/>
      <w:marLeft w:val="0"/>
      <w:marRight w:val="0"/>
      <w:marTop w:val="0"/>
      <w:marBottom w:val="0"/>
      <w:divBdr>
        <w:top w:val="none" w:sz="0" w:space="0" w:color="auto"/>
        <w:left w:val="none" w:sz="0" w:space="0" w:color="auto"/>
        <w:bottom w:val="none" w:sz="0" w:space="0" w:color="auto"/>
        <w:right w:val="none" w:sz="0" w:space="0" w:color="auto"/>
      </w:divBdr>
    </w:div>
    <w:div w:id="273708966">
      <w:bodyDiv w:val="1"/>
      <w:marLeft w:val="0"/>
      <w:marRight w:val="0"/>
      <w:marTop w:val="0"/>
      <w:marBottom w:val="0"/>
      <w:divBdr>
        <w:top w:val="none" w:sz="0" w:space="0" w:color="auto"/>
        <w:left w:val="none" w:sz="0" w:space="0" w:color="auto"/>
        <w:bottom w:val="none" w:sz="0" w:space="0" w:color="auto"/>
        <w:right w:val="none" w:sz="0" w:space="0" w:color="auto"/>
      </w:divBdr>
    </w:div>
    <w:div w:id="273825956">
      <w:bodyDiv w:val="1"/>
      <w:marLeft w:val="0"/>
      <w:marRight w:val="0"/>
      <w:marTop w:val="0"/>
      <w:marBottom w:val="0"/>
      <w:divBdr>
        <w:top w:val="none" w:sz="0" w:space="0" w:color="auto"/>
        <w:left w:val="none" w:sz="0" w:space="0" w:color="auto"/>
        <w:bottom w:val="none" w:sz="0" w:space="0" w:color="auto"/>
        <w:right w:val="none" w:sz="0" w:space="0" w:color="auto"/>
      </w:divBdr>
    </w:div>
    <w:div w:id="274018285">
      <w:bodyDiv w:val="1"/>
      <w:marLeft w:val="0"/>
      <w:marRight w:val="0"/>
      <w:marTop w:val="0"/>
      <w:marBottom w:val="0"/>
      <w:divBdr>
        <w:top w:val="none" w:sz="0" w:space="0" w:color="auto"/>
        <w:left w:val="none" w:sz="0" w:space="0" w:color="auto"/>
        <w:bottom w:val="none" w:sz="0" w:space="0" w:color="auto"/>
        <w:right w:val="none" w:sz="0" w:space="0" w:color="auto"/>
      </w:divBdr>
    </w:div>
    <w:div w:id="274018680">
      <w:bodyDiv w:val="1"/>
      <w:marLeft w:val="0"/>
      <w:marRight w:val="0"/>
      <w:marTop w:val="0"/>
      <w:marBottom w:val="0"/>
      <w:divBdr>
        <w:top w:val="none" w:sz="0" w:space="0" w:color="auto"/>
        <w:left w:val="none" w:sz="0" w:space="0" w:color="auto"/>
        <w:bottom w:val="none" w:sz="0" w:space="0" w:color="auto"/>
        <w:right w:val="none" w:sz="0" w:space="0" w:color="auto"/>
      </w:divBdr>
    </w:div>
    <w:div w:id="274026408">
      <w:bodyDiv w:val="1"/>
      <w:marLeft w:val="0"/>
      <w:marRight w:val="0"/>
      <w:marTop w:val="0"/>
      <w:marBottom w:val="0"/>
      <w:divBdr>
        <w:top w:val="none" w:sz="0" w:space="0" w:color="auto"/>
        <w:left w:val="none" w:sz="0" w:space="0" w:color="auto"/>
        <w:bottom w:val="none" w:sz="0" w:space="0" w:color="auto"/>
        <w:right w:val="none" w:sz="0" w:space="0" w:color="auto"/>
      </w:divBdr>
    </w:div>
    <w:div w:id="274140960">
      <w:bodyDiv w:val="1"/>
      <w:marLeft w:val="0"/>
      <w:marRight w:val="0"/>
      <w:marTop w:val="0"/>
      <w:marBottom w:val="0"/>
      <w:divBdr>
        <w:top w:val="none" w:sz="0" w:space="0" w:color="auto"/>
        <w:left w:val="none" w:sz="0" w:space="0" w:color="auto"/>
        <w:bottom w:val="none" w:sz="0" w:space="0" w:color="auto"/>
        <w:right w:val="none" w:sz="0" w:space="0" w:color="auto"/>
      </w:divBdr>
    </w:div>
    <w:div w:id="274168936">
      <w:bodyDiv w:val="1"/>
      <w:marLeft w:val="0"/>
      <w:marRight w:val="0"/>
      <w:marTop w:val="0"/>
      <w:marBottom w:val="0"/>
      <w:divBdr>
        <w:top w:val="none" w:sz="0" w:space="0" w:color="auto"/>
        <w:left w:val="none" w:sz="0" w:space="0" w:color="auto"/>
        <w:bottom w:val="none" w:sz="0" w:space="0" w:color="auto"/>
        <w:right w:val="none" w:sz="0" w:space="0" w:color="auto"/>
      </w:divBdr>
    </w:div>
    <w:div w:id="274293371">
      <w:bodyDiv w:val="1"/>
      <w:marLeft w:val="0"/>
      <w:marRight w:val="0"/>
      <w:marTop w:val="0"/>
      <w:marBottom w:val="0"/>
      <w:divBdr>
        <w:top w:val="none" w:sz="0" w:space="0" w:color="auto"/>
        <w:left w:val="none" w:sz="0" w:space="0" w:color="auto"/>
        <w:bottom w:val="none" w:sz="0" w:space="0" w:color="auto"/>
        <w:right w:val="none" w:sz="0" w:space="0" w:color="auto"/>
      </w:divBdr>
    </w:div>
    <w:div w:id="274336321">
      <w:bodyDiv w:val="1"/>
      <w:marLeft w:val="0"/>
      <w:marRight w:val="0"/>
      <w:marTop w:val="0"/>
      <w:marBottom w:val="0"/>
      <w:divBdr>
        <w:top w:val="none" w:sz="0" w:space="0" w:color="auto"/>
        <w:left w:val="none" w:sz="0" w:space="0" w:color="auto"/>
        <w:bottom w:val="none" w:sz="0" w:space="0" w:color="auto"/>
        <w:right w:val="none" w:sz="0" w:space="0" w:color="auto"/>
      </w:divBdr>
    </w:div>
    <w:div w:id="274792838">
      <w:bodyDiv w:val="1"/>
      <w:marLeft w:val="0"/>
      <w:marRight w:val="0"/>
      <w:marTop w:val="0"/>
      <w:marBottom w:val="0"/>
      <w:divBdr>
        <w:top w:val="none" w:sz="0" w:space="0" w:color="auto"/>
        <w:left w:val="none" w:sz="0" w:space="0" w:color="auto"/>
        <w:bottom w:val="none" w:sz="0" w:space="0" w:color="auto"/>
        <w:right w:val="none" w:sz="0" w:space="0" w:color="auto"/>
      </w:divBdr>
    </w:div>
    <w:div w:id="275018970">
      <w:bodyDiv w:val="1"/>
      <w:marLeft w:val="0"/>
      <w:marRight w:val="0"/>
      <w:marTop w:val="0"/>
      <w:marBottom w:val="0"/>
      <w:divBdr>
        <w:top w:val="none" w:sz="0" w:space="0" w:color="auto"/>
        <w:left w:val="none" w:sz="0" w:space="0" w:color="auto"/>
        <w:bottom w:val="none" w:sz="0" w:space="0" w:color="auto"/>
        <w:right w:val="none" w:sz="0" w:space="0" w:color="auto"/>
      </w:divBdr>
    </w:div>
    <w:div w:id="275597604">
      <w:bodyDiv w:val="1"/>
      <w:marLeft w:val="0"/>
      <w:marRight w:val="0"/>
      <w:marTop w:val="0"/>
      <w:marBottom w:val="0"/>
      <w:divBdr>
        <w:top w:val="none" w:sz="0" w:space="0" w:color="auto"/>
        <w:left w:val="none" w:sz="0" w:space="0" w:color="auto"/>
        <w:bottom w:val="none" w:sz="0" w:space="0" w:color="auto"/>
        <w:right w:val="none" w:sz="0" w:space="0" w:color="auto"/>
      </w:divBdr>
    </w:div>
    <w:div w:id="275992873">
      <w:bodyDiv w:val="1"/>
      <w:marLeft w:val="0"/>
      <w:marRight w:val="0"/>
      <w:marTop w:val="0"/>
      <w:marBottom w:val="0"/>
      <w:divBdr>
        <w:top w:val="none" w:sz="0" w:space="0" w:color="auto"/>
        <w:left w:val="none" w:sz="0" w:space="0" w:color="auto"/>
        <w:bottom w:val="none" w:sz="0" w:space="0" w:color="auto"/>
        <w:right w:val="none" w:sz="0" w:space="0" w:color="auto"/>
      </w:divBdr>
    </w:div>
    <w:div w:id="276059909">
      <w:bodyDiv w:val="1"/>
      <w:marLeft w:val="0"/>
      <w:marRight w:val="0"/>
      <w:marTop w:val="0"/>
      <w:marBottom w:val="0"/>
      <w:divBdr>
        <w:top w:val="none" w:sz="0" w:space="0" w:color="auto"/>
        <w:left w:val="none" w:sz="0" w:space="0" w:color="auto"/>
        <w:bottom w:val="none" w:sz="0" w:space="0" w:color="auto"/>
        <w:right w:val="none" w:sz="0" w:space="0" w:color="auto"/>
      </w:divBdr>
    </w:div>
    <w:div w:id="276375968">
      <w:bodyDiv w:val="1"/>
      <w:marLeft w:val="0"/>
      <w:marRight w:val="0"/>
      <w:marTop w:val="0"/>
      <w:marBottom w:val="0"/>
      <w:divBdr>
        <w:top w:val="none" w:sz="0" w:space="0" w:color="auto"/>
        <w:left w:val="none" w:sz="0" w:space="0" w:color="auto"/>
        <w:bottom w:val="none" w:sz="0" w:space="0" w:color="auto"/>
        <w:right w:val="none" w:sz="0" w:space="0" w:color="auto"/>
      </w:divBdr>
    </w:div>
    <w:div w:id="277177651">
      <w:bodyDiv w:val="1"/>
      <w:marLeft w:val="0"/>
      <w:marRight w:val="0"/>
      <w:marTop w:val="0"/>
      <w:marBottom w:val="0"/>
      <w:divBdr>
        <w:top w:val="none" w:sz="0" w:space="0" w:color="auto"/>
        <w:left w:val="none" w:sz="0" w:space="0" w:color="auto"/>
        <w:bottom w:val="none" w:sz="0" w:space="0" w:color="auto"/>
        <w:right w:val="none" w:sz="0" w:space="0" w:color="auto"/>
      </w:divBdr>
    </w:div>
    <w:div w:id="277376685">
      <w:bodyDiv w:val="1"/>
      <w:marLeft w:val="0"/>
      <w:marRight w:val="0"/>
      <w:marTop w:val="0"/>
      <w:marBottom w:val="0"/>
      <w:divBdr>
        <w:top w:val="none" w:sz="0" w:space="0" w:color="auto"/>
        <w:left w:val="none" w:sz="0" w:space="0" w:color="auto"/>
        <w:bottom w:val="none" w:sz="0" w:space="0" w:color="auto"/>
        <w:right w:val="none" w:sz="0" w:space="0" w:color="auto"/>
      </w:divBdr>
    </w:div>
    <w:div w:id="277376818">
      <w:bodyDiv w:val="1"/>
      <w:marLeft w:val="0"/>
      <w:marRight w:val="0"/>
      <w:marTop w:val="0"/>
      <w:marBottom w:val="0"/>
      <w:divBdr>
        <w:top w:val="none" w:sz="0" w:space="0" w:color="auto"/>
        <w:left w:val="none" w:sz="0" w:space="0" w:color="auto"/>
        <w:bottom w:val="none" w:sz="0" w:space="0" w:color="auto"/>
        <w:right w:val="none" w:sz="0" w:space="0" w:color="auto"/>
      </w:divBdr>
    </w:div>
    <w:div w:id="277416750">
      <w:bodyDiv w:val="1"/>
      <w:marLeft w:val="0"/>
      <w:marRight w:val="0"/>
      <w:marTop w:val="0"/>
      <w:marBottom w:val="0"/>
      <w:divBdr>
        <w:top w:val="none" w:sz="0" w:space="0" w:color="auto"/>
        <w:left w:val="none" w:sz="0" w:space="0" w:color="auto"/>
        <w:bottom w:val="none" w:sz="0" w:space="0" w:color="auto"/>
        <w:right w:val="none" w:sz="0" w:space="0" w:color="auto"/>
      </w:divBdr>
    </w:div>
    <w:div w:id="277570945">
      <w:bodyDiv w:val="1"/>
      <w:marLeft w:val="0"/>
      <w:marRight w:val="0"/>
      <w:marTop w:val="0"/>
      <w:marBottom w:val="0"/>
      <w:divBdr>
        <w:top w:val="none" w:sz="0" w:space="0" w:color="auto"/>
        <w:left w:val="none" w:sz="0" w:space="0" w:color="auto"/>
        <w:bottom w:val="none" w:sz="0" w:space="0" w:color="auto"/>
        <w:right w:val="none" w:sz="0" w:space="0" w:color="auto"/>
      </w:divBdr>
    </w:div>
    <w:div w:id="277641527">
      <w:bodyDiv w:val="1"/>
      <w:marLeft w:val="0"/>
      <w:marRight w:val="0"/>
      <w:marTop w:val="0"/>
      <w:marBottom w:val="0"/>
      <w:divBdr>
        <w:top w:val="none" w:sz="0" w:space="0" w:color="auto"/>
        <w:left w:val="none" w:sz="0" w:space="0" w:color="auto"/>
        <w:bottom w:val="none" w:sz="0" w:space="0" w:color="auto"/>
        <w:right w:val="none" w:sz="0" w:space="0" w:color="auto"/>
      </w:divBdr>
    </w:div>
    <w:div w:id="277759101">
      <w:bodyDiv w:val="1"/>
      <w:marLeft w:val="0"/>
      <w:marRight w:val="0"/>
      <w:marTop w:val="0"/>
      <w:marBottom w:val="0"/>
      <w:divBdr>
        <w:top w:val="none" w:sz="0" w:space="0" w:color="auto"/>
        <w:left w:val="none" w:sz="0" w:space="0" w:color="auto"/>
        <w:bottom w:val="none" w:sz="0" w:space="0" w:color="auto"/>
        <w:right w:val="none" w:sz="0" w:space="0" w:color="auto"/>
      </w:divBdr>
    </w:div>
    <w:div w:id="278147340">
      <w:bodyDiv w:val="1"/>
      <w:marLeft w:val="0"/>
      <w:marRight w:val="0"/>
      <w:marTop w:val="0"/>
      <w:marBottom w:val="0"/>
      <w:divBdr>
        <w:top w:val="none" w:sz="0" w:space="0" w:color="auto"/>
        <w:left w:val="none" w:sz="0" w:space="0" w:color="auto"/>
        <w:bottom w:val="none" w:sz="0" w:space="0" w:color="auto"/>
        <w:right w:val="none" w:sz="0" w:space="0" w:color="auto"/>
      </w:divBdr>
    </w:div>
    <w:div w:id="278293690">
      <w:bodyDiv w:val="1"/>
      <w:marLeft w:val="0"/>
      <w:marRight w:val="0"/>
      <w:marTop w:val="0"/>
      <w:marBottom w:val="0"/>
      <w:divBdr>
        <w:top w:val="none" w:sz="0" w:space="0" w:color="auto"/>
        <w:left w:val="none" w:sz="0" w:space="0" w:color="auto"/>
        <w:bottom w:val="none" w:sz="0" w:space="0" w:color="auto"/>
        <w:right w:val="none" w:sz="0" w:space="0" w:color="auto"/>
      </w:divBdr>
    </w:div>
    <w:div w:id="278413040">
      <w:bodyDiv w:val="1"/>
      <w:marLeft w:val="0"/>
      <w:marRight w:val="0"/>
      <w:marTop w:val="0"/>
      <w:marBottom w:val="0"/>
      <w:divBdr>
        <w:top w:val="none" w:sz="0" w:space="0" w:color="auto"/>
        <w:left w:val="none" w:sz="0" w:space="0" w:color="auto"/>
        <w:bottom w:val="none" w:sz="0" w:space="0" w:color="auto"/>
        <w:right w:val="none" w:sz="0" w:space="0" w:color="auto"/>
      </w:divBdr>
    </w:div>
    <w:div w:id="278728409">
      <w:bodyDiv w:val="1"/>
      <w:marLeft w:val="0"/>
      <w:marRight w:val="0"/>
      <w:marTop w:val="0"/>
      <w:marBottom w:val="0"/>
      <w:divBdr>
        <w:top w:val="none" w:sz="0" w:space="0" w:color="auto"/>
        <w:left w:val="none" w:sz="0" w:space="0" w:color="auto"/>
        <w:bottom w:val="none" w:sz="0" w:space="0" w:color="auto"/>
        <w:right w:val="none" w:sz="0" w:space="0" w:color="auto"/>
      </w:divBdr>
    </w:div>
    <w:div w:id="278799008">
      <w:bodyDiv w:val="1"/>
      <w:marLeft w:val="0"/>
      <w:marRight w:val="0"/>
      <w:marTop w:val="0"/>
      <w:marBottom w:val="0"/>
      <w:divBdr>
        <w:top w:val="none" w:sz="0" w:space="0" w:color="auto"/>
        <w:left w:val="none" w:sz="0" w:space="0" w:color="auto"/>
        <w:bottom w:val="none" w:sz="0" w:space="0" w:color="auto"/>
        <w:right w:val="none" w:sz="0" w:space="0" w:color="auto"/>
      </w:divBdr>
    </w:div>
    <w:div w:id="278801261">
      <w:bodyDiv w:val="1"/>
      <w:marLeft w:val="0"/>
      <w:marRight w:val="0"/>
      <w:marTop w:val="0"/>
      <w:marBottom w:val="0"/>
      <w:divBdr>
        <w:top w:val="none" w:sz="0" w:space="0" w:color="auto"/>
        <w:left w:val="none" w:sz="0" w:space="0" w:color="auto"/>
        <w:bottom w:val="none" w:sz="0" w:space="0" w:color="auto"/>
        <w:right w:val="none" w:sz="0" w:space="0" w:color="auto"/>
      </w:divBdr>
    </w:div>
    <w:div w:id="278873864">
      <w:bodyDiv w:val="1"/>
      <w:marLeft w:val="0"/>
      <w:marRight w:val="0"/>
      <w:marTop w:val="0"/>
      <w:marBottom w:val="0"/>
      <w:divBdr>
        <w:top w:val="none" w:sz="0" w:space="0" w:color="auto"/>
        <w:left w:val="none" w:sz="0" w:space="0" w:color="auto"/>
        <w:bottom w:val="none" w:sz="0" w:space="0" w:color="auto"/>
        <w:right w:val="none" w:sz="0" w:space="0" w:color="auto"/>
      </w:divBdr>
    </w:div>
    <w:div w:id="278997499">
      <w:bodyDiv w:val="1"/>
      <w:marLeft w:val="0"/>
      <w:marRight w:val="0"/>
      <w:marTop w:val="0"/>
      <w:marBottom w:val="0"/>
      <w:divBdr>
        <w:top w:val="none" w:sz="0" w:space="0" w:color="auto"/>
        <w:left w:val="none" w:sz="0" w:space="0" w:color="auto"/>
        <w:bottom w:val="none" w:sz="0" w:space="0" w:color="auto"/>
        <w:right w:val="none" w:sz="0" w:space="0" w:color="auto"/>
      </w:divBdr>
    </w:div>
    <w:div w:id="279187333">
      <w:bodyDiv w:val="1"/>
      <w:marLeft w:val="0"/>
      <w:marRight w:val="0"/>
      <w:marTop w:val="0"/>
      <w:marBottom w:val="0"/>
      <w:divBdr>
        <w:top w:val="none" w:sz="0" w:space="0" w:color="auto"/>
        <w:left w:val="none" w:sz="0" w:space="0" w:color="auto"/>
        <w:bottom w:val="none" w:sz="0" w:space="0" w:color="auto"/>
        <w:right w:val="none" w:sz="0" w:space="0" w:color="auto"/>
      </w:divBdr>
    </w:div>
    <w:div w:id="279193408">
      <w:bodyDiv w:val="1"/>
      <w:marLeft w:val="0"/>
      <w:marRight w:val="0"/>
      <w:marTop w:val="0"/>
      <w:marBottom w:val="0"/>
      <w:divBdr>
        <w:top w:val="none" w:sz="0" w:space="0" w:color="auto"/>
        <w:left w:val="none" w:sz="0" w:space="0" w:color="auto"/>
        <w:bottom w:val="none" w:sz="0" w:space="0" w:color="auto"/>
        <w:right w:val="none" w:sz="0" w:space="0" w:color="auto"/>
      </w:divBdr>
    </w:div>
    <w:div w:id="279609152">
      <w:bodyDiv w:val="1"/>
      <w:marLeft w:val="0"/>
      <w:marRight w:val="0"/>
      <w:marTop w:val="0"/>
      <w:marBottom w:val="0"/>
      <w:divBdr>
        <w:top w:val="none" w:sz="0" w:space="0" w:color="auto"/>
        <w:left w:val="none" w:sz="0" w:space="0" w:color="auto"/>
        <w:bottom w:val="none" w:sz="0" w:space="0" w:color="auto"/>
        <w:right w:val="none" w:sz="0" w:space="0" w:color="auto"/>
      </w:divBdr>
    </w:div>
    <w:div w:id="279649635">
      <w:bodyDiv w:val="1"/>
      <w:marLeft w:val="0"/>
      <w:marRight w:val="0"/>
      <w:marTop w:val="0"/>
      <w:marBottom w:val="0"/>
      <w:divBdr>
        <w:top w:val="none" w:sz="0" w:space="0" w:color="auto"/>
        <w:left w:val="none" w:sz="0" w:space="0" w:color="auto"/>
        <w:bottom w:val="none" w:sz="0" w:space="0" w:color="auto"/>
        <w:right w:val="none" w:sz="0" w:space="0" w:color="auto"/>
      </w:divBdr>
    </w:div>
    <w:div w:id="279921531">
      <w:bodyDiv w:val="1"/>
      <w:marLeft w:val="0"/>
      <w:marRight w:val="0"/>
      <w:marTop w:val="0"/>
      <w:marBottom w:val="0"/>
      <w:divBdr>
        <w:top w:val="none" w:sz="0" w:space="0" w:color="auto"/>
        <w:left w:val="none" w:sz="0" w:space="0" w:color="auto"/>
        <w:bottom w:val="none" w:sz="0" w:space="0" w:color="auto"/>
        <w:right w:val="none" w:sz="0" w:space="0" w:color="auto"/>
      </w:divBdr>
    </w:div>
    <w:div w:id="280235124">
      <w:bodyDiv w:val="1"/>
      <w:marLeft w:val="0"/>
      <w:marRight w:val="0"/>
      <w:marTop w:val="0"/>
      <w:marBottom w:val="0"/>
      <w:divBdr>
        <w:top w:val="none" w:sz="0" w:space="0" w:color="auto"/>
        <w:left w:val="none" w:sz="0" w:space="0" w:color="auto"/>
        <w:bottom w:val="none" w:sz="0" w:space="0" w:color="auto"/>
        <w:right w:val="none" w:sz="0" w:space="0" w:color="auto"/>
      </w:divBdr>
    </w:div>
    <w:div w:id="280260766">
      <w:bodyDiv w:val="1"/>
      <w:marLeft w:val="0"/>
      <w:marRight w:val="0"/>
      <w:marTop w:val="0"/>
      <w:marBottom w:val="0"/>
      <w:divBdr>
        <w:top w:val="none" w:sz="0" w:space="0" w:color="auto"/>
        <w:left w:val="none" w:sz="0" w:space="0" w:color="auto"/>
        <w:bottom w:val="none" w:sz="0" w:space="0" w:color="auto"/>
        <w:right w:val="none" w:sz="0" w:space="0" w:color="auto"/>
      </w:divBdr>
    </w:div>
    <w:div w:id="280843349">
      <w:bodyDiv w:val="1"/>
      <w:marLeft w:val="0"/>
      <w:marRight w:val="0"/>
      <w:marTop w:val="0"/>
      <w:marBottom w:val="0"/>
      <w:divBdr>
        <w:top w:val="none" w:sz="0" w:space="0" w:color="auto"/>
        <w:left w:val="none" w:sz="0" w:space="0" w:color="auto"/>
        <w:bottom w:val="none" w:sz="0" w:space="0" w:color="auto"/>
        <w:right w:val="none" w:sz="0" w:space="0" w:color="auto"/>
      </w:divBdr>
    </w:div>
    <w:div w:id="280846540">
      <w:bodyDiv w:val="1"/>
      <w:marLeft w:val="0"/>
      <w:marRight w:val="0"/>
      <w:marTop w:val="0"/>
      <w:marBottom w:val="0"/>
      <w:divBdr>
        <w:top w:val="none" w:sz="0" w:space="0" w:color="auto"/>
        <w:left w:val="none" w:sz="0" w:space="0" w:color="auto"/>
        <w:bottom w:val="none" w:sz="0" w:space="0" w:color="auto"/>
        <w:right w:val="none" w:sz="0" w:space="0" w:color="auto"/>
      </w:divBdr>
    </w:div>
    <w:div w:id="280846957">
      <w:bodyDiv w:val="1"/>
      <w:marLeft w:val="0"/>
      <w:marRight w:val="0"/>
      <w:marTop w:val="0"/>
      <w:marBottom w:val="0"/>
      <w:divBdr>
        <w:top w:val="none" w:sz="0" w:space="0" w:color="auto"/>
        <w:left w:val="none" w:sz="0" w:space="0" w:color="auto"/>
        <w:bottom w:val="none" w:sz="0" w:space="0" w:color="auto"/>
        <w:right w:val="none" w:sz="0" w:space="0" w:color="auto"/>
      </w:divBdr>
    </w:div>
    <w:div w:id="280888806">
      <w:bodyDiv w:val="1"/>
      <w:marLeft w:val="0"/>
      <w:marRight w:val="0"/>
      <w:marTop w:val="0"/>
      <w:marBottom w:val="0"/>
      <w:divBdr>
        <w:top w:val="none" w:sz="0" w:space="0" w:color="auto"/>
        <w:left w:val="none" w:sz="0" w:space="0" w:color="auto"/>
        <w:bottom w:val="none" w:sz="0" w:space="0" w:color="auto"/>
        <w:right w:val="none" w:sz="0" w:space="0" w:color="auto"/>
      </w:divBdr>
    </w:div>
    <w:div w:id="280956930">
      <w:bodyDiv w:val="1"/>
      <w:marLeft w:val="0"/>
      <w:marRight w:val="0"/>
      <w:marTop w:val="0"/>
      <w:marBottom w:val="0"/>
      <w:divBdr>
        <w:top w:val="none" w:sz="0" w:space="0" w:color="auto"/>
        <w:left w:val="none" w:sz="0" w:space="0" w:color="auto"/>
        <w:bottom w:val="none" w:sz="0" w:space="0" w:color="auto"/>
        <w:right w:val="none" w:sz="0" w:space="0" w:color="auto"/>
      </w:divBdr>
    </w:div>
    <w:div w:id="281037233">
      <w:bodyDiv w:val="1"/>
      <w:marLeft w:val="0"/>
      <w:marRight w:val="0"/>
      <w:marTop w:val="0"/>
      <w:marBottom w:val="0"/>
      <w:divBdr>
        <w:top w:val="none" w:sz="0" w:space="0" w:color="auto"/>
        <w:left w:val="none" w:sz="0" w:space="0" w:color="auto"/>
        <w:bottom w:val="none" w:sz="0" w:space="0" w:color="auto"/>
        <w:right w:val="none" w:sz="0" w:space="0" w:color="auto"/>
      </w:divBdr>
    </w:div>
    <w:div w:id="281957866">
      <w:bodyDiv w:val="1"/>
      <w:marLeft w:val="0"/>
      <w:marRight w:val="0"/>
      <w:marTop w:val="0"/>
      <w:marBottom w:val="0"/>
      <w:divBdr>
        <w:top w:val="none" w:sz="0" w:space="0" w:color="auto"/>
        <w:left w:val="none" w:sz="0" w:space="0" w:color="auto"/>
        <w:bottom w:val="none" w:sz="0" w:space="0" w:color="auto"/>
        <w:right w:val="none" w:sz="0" w:space="0" w:color="auto"/>
      </w:divBdr>
    </w:div>
    <w:div w:id="282076578">
      <w:bodyDiv w:val="1"/>
      <w:marLeft w:val="0"/>
      <w:marRight w:val="0"/>
      <w:marTop w:val="0"/>
      <w:marBottom w:val="0"/>
      <w:divBdr>
        <w:top w:val="none" w:sz="0" w:space="0" w:color="auto"/>
        <w:left w:val="none" w:sz="0" w:space="0" w:color="auto"/>
        <w:bottom w:val="none" w:sz="0" w:space="0" w:color="auto"/>
        <w:right w:val="none" w:sz="0" w:space="0" w:color="auto"/>
      </w:divBdr>
    </w:div>
    <w:div w:id="282228654">
      <w:bodyDiv w:val="1"/>
      <w:marLeft w:val="0"/>
      <w:marRight w:val="0"/>
      <w:marTop w:val="0"/>
      <w:marBottom w:val="0"/>
      <w:divBdr>
        <w:top w:val="none" w:sz="0" w:space="0" w:color="auto"/>
        <w:left w:val="none" w:sz="0" w:space="0" w:color="auto"/>
        <w:bottom w:val="none" w:sz="0" w:space="0" w:color="auto"/>
        <w:right w:val="none" w:sz="0" w:space="0" w:color="auto"/>
      </w:divBdr>
    </w:div>
    <w:div w:id="282349398">
      <w:bodyDiv w:val="1"/>
      <w:marLeft w:val="0"/>
      <w:marRight w:val="0"/>
      <w:marTop w:val="0"/>
      <w:marBottom w:val="0"/>
      <w:divBdr>
        <w:top w:val="none" w:sz="0" w:space="0" w:color="auto"/>
        <w:left w:val="none" w:sz="0" w:space="0" w:color="auto"/>
        <w:bottom w:val="none" w:sz="0" w:space="0" w:color="auto"/>
        <w:right w:val="none" w:sz="0" w:space="0" w:color="auto"/>
      </w:divBdr>
    </w:div>
    <w:div w:id="282350460">
      <w:bodyDiv w:val="1"/>
      <w:marLeft w:val="0"/>
      <w:marRight w:val="0"/>
      <w:marTop w:val="0"/>
      <w:marBottom w:val="0"/>
      <w:divBdr>
        <w:top w:val="none" w:sz="0" w:space="0" w:color="auto"/>
        <w:left w:val="none" w:sz="0" w:space="0" w:color="auto"/>
        <w:bottom w:val="none" w:sz="0" w:space="0" w:color="auto"/>
        <w:right w:val="none" w:sz="0" w:space="0" w:color="auto"/>
      </w:divBdr>
    </w:div>
    <w:div w:id="282929586">
      <w:bodyDiv w:val="1"/>
      <w:marLeft w:val="0"/>
      <w:marRight w:val="0"/>
      <w:marTop w:val="0"/>
      <w:marBottom w:val="0"/>
      <w:divBdr>
        <w:top w:val="none" w:sz="0" w:space="0" w:color="auto"/>
        <w:left w:val="none" w:sz="0" w:space="0" w:color="auto"/>
        <w:bottom w:val="none" w:sz="0" w:space="0" w:color="auto"/>
        <w:right w:val="none" w:sz="0" w:space="0" w:color="auto"/>
      </w:divBdr>
    </w:div>
    <w:div w:id="283198971">
      <w:bodyDiv w:val="1"/>
      <w:marLeft w:val="0"/>
      <w:marRight w:val="0"/>
      <w:marTop w:val="0"/>
      <w:marBottom w:val="0"/>
      <w:divBdr>
        <w:top w:val="none" w:sz="0" w:space="0" w:color="auto"/>
        <w:left w:val="none" w:sz="0" w:space="0" w:color="auto"/>
        <w:bottom w:val="none" w:sz="0" w:space="0" w:color="auto"/>
        <w:right w:val="none" w:sz="0" w:space="0" w:color="auto"/>
      </w:divBdr>
    </w:div>
    <w:div w:id="283462982">
      <w:bodyDiv w:val="1"/>
      <w:marLeft w:val="0"/>
      <w:marRight w:val="0"/>
      <w:marTop w:val="0"/>
      <w:marBottom w:val="0"/>
      <w:divBdr>
        <w:top w:val="none" w:sz="0" w:space="0" w:color="auto"/>
        <w:left w:val="none" w:sz="0" w:space="0" w:color="auto"/>
        <w:bottom w:val="none" w:sz="0" w:space="0" w:color="auto"/>
        <w:right w:val="none" w:sz="0" w:space="0" w:color="auto"/>
      </w:divBdr>
    </w:div>
    <w:div w:id="284194592">
      <w:bodyDiv w:val="1"/>
      <w:marLeft w:val="0"/>
      <w:marRight w:val="0"/>
      <w:marTop w:val="0"/>
      <w:marBottom w:val="0"/>
      <w:divBdr>
        <w:top w:val="none" w:sz="0" w:space="0" w:color="auto"/>
        <w:left w:val="none" w:sz="0" w:space="0" w:color="auto"/>
        <w:bottom w:val="none" w:sz="0" w:space="0" w:color="auto"/>
        <w:right w:val="none" w:sz="0" w:space="0" w:color="auto"/>
      </w:divBdr>
    </w:div>
    <w:div w:id="284239549">
      <w:bodyDiv w:val="1"/>
      <w:marLeft w:val="0"/>
      <w:marRight w:val="0"/>
      <w:marTop w:val="0"/>
      <w:marBottom w:val="0"/>
      <w:divBdr>
        <w:top w:val="none" w:sz="0" w:space="0" w:color="auto"/>
        <w:left w:val="none" w:sz="0" w:space="0" w:color="auto"/>
        <w:bottom w:val="none" w:sz="0" w:space="0" w:color="auto"/>
        <w:right w:val="none" w:sz="0" w:space="0" w:color="auto"/>
      </w:divBdr>
    </w:div>
    <w:div w:id="284386302">
      <w:bodyDiv w:val="1"/>
      <w:marLeft w:val="0"/>
      <w:marRight w:val="0"/>
      <w:marTop w:val="0"/>
      <w:marBottom w:val="0"/>
      <w:divBdr>
        <w:top w:val="none" w:sz="0" w:space="0" w:color="auto"/>
        <w:left w:val="none" w:sz="0" w:space="0" w:color="auto"/>
        <w:bottom w:val="none" w:sz="0" w:space="0" w:color="auto"/>
        <w:right w:val="none" w:sz="0" w:space="0" w:color="auto"/>
      </w:divBdr>
    </w:div>
    <w:div w:id="284426960">
      <w:bodyDiv w:val="1"/>
      <w:marLeft w:val="0"/>
      <w:marRight w:val="0"/>
      <w:marTop w:val="0"/>
      <w:marBottom w:val="0"/>
      <w:divBdr>
        <w:top w:val="none" w:sz="0" w:space="0" w:color="auto"/>
        <w:left w:val="none" w:sz="0" w:space="0" w:color="auto"/>
        <w:bottom w:val="none" w:sz="0" w:space="0" w:color="auto"/>
        <w:right w:val="none" w:sz="0" w:space="0" w:color="auto"/>
      </w:divBdr>
    </w:div>
    <w:div w:id="284428284">
      <w:bodyDiv w:val="1"/>
      <w:marLeft w:val="0"/>
      <w:marRight w:val="0"/>
      <w:marTop w:val="0"/>
      <w:marBottom w:val="0"/>
      <w:divBdr>
        <w:top w:val="none" w:sz="0" w:space="0" w:color="auto"/>
        <w:left w:val="none" w:sz="0" w:space="0" w:color="auto"/>
        <w:bottom w:val="none" w:sz="0" w:space="0" w:color="auto"/>
        <w:right w:val="none" w:sz="0" w:space="0" w:color="auto"/>
      </w:divBdr>
    </w:div>
    <w:div w:id="284430782">
      <w:bodyDiv w:val="1"/>
      <w:marLeft w:val="0"/>
      <w:marRight w:val="0"/>
      <w:marTop w:val="0"/>
      <w:marBottom w:val="0"/>
      <w:divBdr>
        <w:top w:val="none" w:sz="0" w:space="0" w:color="auto"/>
        <w:left w:val="none" w:sz="0" w:space="0" w:color="auto"/>
        <w:bottom w:val="none" w:sz="0" w:space="0" w:color="auto"/>
        <w:right w:val="none" w:sz="0" w:space="0" w:color="auto"/>
      </w:divBdr>
    </w:div>
    <w:div w:id="284626313">
      <w:bodyDiv w:val="1"/>
      <w:marLeft w:val="0"/>
      <w:marRight w:val="0"/>
      <w:marTop w:val="0"/>
      <w:marBottom w:val="0"/>
      <w:divBdr>
        <w:top w:val="none" w:sz="0" w:space="0" w:color="auto"/>
        <w:left w:val="none" w:sz="0" w:space="0" w:color="auto"/>
        <w:bottom w:val="none" w:sz="0" w:space="0" w:color="auto"/>
        <w:right w:val="none" w:sz="0" w:space="0" w:color="auto"/>
      </w:divBdr>
    </w:div>
    <w:div w:id="284890126">
      <w:bodyDiv w:val="1"/>
      <w:marLeft w:val="0"/>
      <w:marRight w:val="0"/>
      <w:marTop w:val="0"/>
      <w:marBottom w:val="0"/>
      <w:divBdr>
        <w:top w:val="none" w:sz="0" w:space="0" w:color="auto"/>
        <w:left w:val="none" w:sz="0" w:space="0" w:color="auto"/>
        <w:bottom w:val="none" w:sz="0" w:space="0" w:color="auto"/>
        <w:right w:val="none" w:sz="0" w:space="0" w:color="auto"/>
      </w:divBdr>
    </w:div>
    <w:div w:id="284967294">
      <w:bodyDiv w:val="1"/>
      <w:marLeft w:val="0"/>
      <w:marRight w:val="0"/>
      <w:marTop w:val="0"/>
      <w:marBottom w:val="0"/>
      <w:divBdr>
        <w:top w:val="none" w:sz="0" w:space="0" w:color="auto"/>
        <w:left w:val="none" w:sz="0" w:space="0" w:color="auto"/>
        <w:bottom w:val="none" w:sz="0" w:space="0" w:color="auto"/>
        <w:right w:val="none" w:sz="0" w:space="0" w:color="auto"/>
      </w:divBdr>
    </w:div>
    <w:div w:id="285284405">
      <w:bodyDiv w:val="1"/>
      <w:marLeft w:val="0"/>
      <w:marRight w:val="0"/>
      <w:marTop w:val="0"/>
      <w:marBottom w:val="0"/>
      <w:divBdr>
        <w:top w:val="none" w:sz="0" w:space="0" w:color="auto"/>
        <w:left w:val="none" w:sz="0" w:space="0" w:color="auto"/>
        <w:bottom w:val="none" w:sz="0" w:space="0" w:color="auto"/>
        <w:right w:val="none" w:sz="0" w:space="0" w:color="auto"/>
      </w:divBdr>
    </w:div>
    <w:div w:id="285746319">
      <w:bodyDiv w:val="1"/>
      <w:marLeft w:val="0"/>
      <w:marRight w:val="0"/>
      <w:marTop w:val="0"/>
      <w:marBottom w:val="0"/>
      <w:divBdr>
        <w:top w:val="none" w:sz="0" w:space="0" w:color="auto"/>
        <w:left w:val="none" w:sz="0" w:space="0" w:color="auto"/>
        <w:bottom w:val="none" w:sz="0" w:space="0" w:color="auto"/>
        <w:right w:val="none" w:sz="0" w:space="0" w:color="auto"/>
      </w:divBdr>
    </w:div>
    <w:div w:id="286006035">
      <w:bodyDiv w:val="1"/>
      <w:marLeft w:val="0"/>
      <w:marRight w:val="0"/>
      <w:marTop w:val="0"/>
      <w:marBottom w:val="0"/>
      <w:divBdr>
        <w:top w:val="none" w:sz="0" w:space="0" w:color="auto"/>
        <w:left w:val="none" w:sz="0" w:space="0" w:color="auto"/>
        <w:bottom w:val="none" w:sz="0" w:space="0" w:color="auto"/>
        <w:right w:val="none" w:sz="0" w:space="0" w:color="auto"/>
      </w:divBdr>
    </w:div>
    <w:div w:id="286010092">
      <w:bodyDiv w:val="1"/>
      <w:marLeft w:val="0"/>
      <w:marRight w:val="0"/>
      <w:marTop w:val="0"/>
      <w:marBottom w:val="0"/>
      <w:divBdr>
        <w:top w:val="none" w:sz="0" w:space="0" w:color="auto"/>
        <w:left w:val="none" w:sz="0" w:space="0" w:color="auto"/>
        <w:bottom w:val="none" w:sz="0" w:space="0" w:color="auto"/>
        <w:right w:val="none" w:sz="0" w:space="0" w:color="auto"/>
      </w:divBdr>
    </w:div>
    <w:div w:id="286280986">
      <w:bodyDiv w:val="1"/>
      <w:marLeft w:val="0"/>
      <w:marRight w:val="0"/>
      <w:marTop w:val="0"/>
      <w:marBottom w:val="0"/>
      <w:divBdr>
        <w:top w:val="none" w:sz="0" w:space="0" w:color="auto"/>
        <w:left w:val="none" w:sz="0" w:space="0" w:color="auto"/>
        <w:bottom w:val="none" w:sz="0" w:space="0" w:color="auto"/>
        <w:right w:val="none" w:sz="0" w:space="0" w:color="auto"/>
      </w:divBdr>
    </w:div>
    <w:div w:id="286351626">
      <w:bodyDiv w:val="1"/>
      <w:marLeft w:val="0"/>
      <w:marRight w:val="0"/>
      <w:marTop w:val="0"/>
      <w:marBottom w:val="0"/>
      <w:divBdr>
        <w:top w:val="none" w:sz="0" w:space="0" w:color="auto"/>
        <w:left w:val="none" w:sz="0" w:space="0" w:color="auto"/>
        <w:bottom w:val="none" w:sz="0" w:space="0" w:color="auto"/>
        <w:right w:val="none" w:sz="0" w:space="0" w:color="auto"/>
      </w:divBdr>
    </w:div>
    <w:div w:id="286468874">
      <w:bodyDiv w:val="1"/>
      <w:marLeft w:val="0"/>
      <w:marRight w:val="0"/>
      <w:marTop w:val="0"/>
      <w:marBottom w:val="0"/>
      <w:divBdr>
        <w:top w:val="none" w:sz="0" w:space="0" w:color="auto"/>
        <w:left w:val="none" w:sz="0" w:space="0" w:color="auto"/>
        <w:bottom w:val="none" w:sz="0" w:space="0" w:color="auto"/>
        <w:right w:val="none" w:sz="0" w:space="0" w:color="auto"/>
      </w:divBdr>
    </w:div>
    <w:div w:id="286787346">
      <w:bodyDiv w:val="1"/>
      <w:marLeft w:val="0"/>
      <w:marRight w:val="0"/>
      <w:marTop w:val="0"/>
      <w:marBottom w:val="0"/>
      <w:divBdr>
        <w:top w:val="none" w:sz="0" w:space="0" w:color="auto"/>
        <w:left w:val="none" w:sz="0" w:space="0" w:color="auto"/>
        <w:bottom w:val="none" w:sz="0" w:space="0" w:color="auto"/>
        <w:right w:val="none" w:sz="0" w:space="0" w:color="auto"/>
      </w:divBdr>
    </w:div>
    <w:div w:id="287052259">
      <w:bodyDiv w:val="1"/>
      <w:marLeft w:val="0"/>
      <w:marRight w:val="0"/>
      <w:marTop w:val="0"/>
      <w:marBottom w:val="0"/>
      <w:divBdr>
        <w:top w:val="none" w:sz="0" w:space="0" w:color="auto"/>
        <w:left w:val="none" w:sz="0" w:space="0" w:color="auto"/>
        <w:bottom w:val="none" w:sz="0" w:space="0" w:color="auto"/>
        <w:right w:val="none" w:sz="0" w:space="0" w:color="auto"/>
      </w:divBdr>
    </w:div>
    <w:div w:id="287207866">
      <w:bodyDiv w:val="1"/>
      <w:marLeft w:val="0"/>
      <w:marRight w:val="0"/>
      <w:marTop w:val="0"/>
      <w:marBottom w:val="0"/>
      <w:divBdr>
        <w:top w:val="none" w:sz="0" w:space="0" w:color="auto"/>
        <w:left w:val="none" w:sz="0" w:space="0" w:color="auto"/>
        <w:bottom w:val="none" w:sz="0" w:space="0" w:color="auto"/>
        <w:right w:val="none" w:sz="0" w:space="0" w:color="auto"/>
      </w:divBdr>
    </w:div>
    <w:div w:id="287394065">
      <w:bodyDiv w:val="1"/>
      <w:marLeft w:val="0"/>
      <w:marRight w:val="0"/>
      <w:marTop w:val="0"/>
      <w:marBottom w:val="0"/>
      <w:divBdr>
        <w:top w:val="none" w:sz="0" w:space="0" w:color="auto"/>
        <w:left w:val="none" w:sz="0" w:space="0" w:color="auto"/>
        <w:bottom w:val="none" w:sz="0" w:space="0" w:color="auto"/>
        <w:right w:val="none" w:sz="0" w:space="0" w:color="auto"/>
      </w:divBdr>
    </w:div>
    <w:div w:id="287442521">
      <w:bodyDiv w:val="1"/>
      <w:marLeft w:val="0"/>
      <w:marRight w:val="0"/>
      <w:marTop w:val="0"/>
      <w:marBottom w:val="0"/>
      <w:divBdr>
        <w:top w:val="none" w:sz="0" w:space="0" w:color="auto"/>
        <w:left w:val="none" w:sz="0" w:space="0" w:color="auto"/>
        <w:bottom w:val="none" w:sz="0" w:space="0" w:color="auto"/>
        <w:right w:val="none" w:sz="0" w:space="0" w:color="auto"/>
      </w:divBdr>
    </w:div>
    <w:div w:id="287593326">
      <w:bodyDiv w:val="1"/>
      <w:marLeft w:val="0"/>
      <w:marRight w:val="0"/>
      <w:marTop w:val="0"/>
      <w:marBottom w:val="0"/>
      <w:divBdr>
        <w:top w:val="none" w:sz="0" w:space="0" w:color="auto"/>
        <w:left w:val="none" w:sz="0" w:space="0" w:color="auto"/>
        <w:bottom w:val="none" w:sz="0" w:space="0" w:color="auto"/>
        <w:right w:val="none" w:sz="0" w:space="0" w:color="auto"/>
      </w:divBdr>
    </w:div>
    <w:div w:id="287667950">
      <w:bodyDiv w:val="1"/>
      <w:marLeft w:val="0"/>
      <w:marRight w:val="0"/>
      <w:marTop w:val="0"/>
      <w:marBottom w:val="0"/>
      <w:divBdr>
        <w:top w:val="none" w:sz="0" w:space="0" w:color="auto"/>
        <w:left w:val="none" w:sz="0" w:space="0" w:color="auto"/>
        <w:bottom w:val="none" w:sz="0" w:space="0" w:color="auto"/>
        <w:right w:val="none" w:sz="0" w:space="0" w:color="auto"/>
      </w:divBdr>
    </w:div>
    <w:div w:id="287779261">
      <w:bodyDiv w:val="1"/>
      <w:marLeft w:val="0"/>
      <w:marRight w:val="0"/>
      <w:marTop w:val="0"/>
      <w:marBottom w:val="0"/>
      <w:divBdr>
        <w:top w:val="none" w:sz="0" w:space="0" w:color="auto"/>
        <w:left w:val="none" w:sz="0" w:space="0" w:color="auto"/>
        <w:bottom w:val="none" w:sz="0" w:space="0" w:color="auto"/>
        <w:right w:val="none" w:sz="0" w:space="0" w:color="auto"/>
      </w:divBdr>
    </w:div>
    <w:div w:id="287931927">
      <w:bodyDiv w:val="1"/>
      <w:marLeft w:val="0"/>
      <w:marRight w:val="0"/>
      <w:marTop w:val="0"/>
      <w:marBottom w:val="0"/>
      <w:divBdr>
        <w:top w:val="none" w:sz="0" w:space="0" w:color="auto"/>
        <w:left w:val="none" w:sz="0" w:space="0" w:color="auto"/>
        <w:bottom w:val="none" w:sz="0" w:space="0" w:color="auto"/>
        <w:right w:val="none" w:sz="0" w:space="0" w:color="auto"/>
      </w:divBdr>
    </w:div>
    <w:div w:id="287980332">
      <w:bodyDiv w:val="1"/>
      <w:marLeft w:val="0"/>
      <w:marRight w:val="0"/>
      <w:marTop w:val="0"/>
      <w:marBottom w:val="0"/>
      <w:divBdr>
        <w:top w:val="none" w:sz="0" w:space="0" w:color="auto"/>
        <w:left w:val="none" w:sz="0" w:space="0" w:color="auto"/>
        <w:bottom w:val="none" w:sz="0" w:space="0" w:color="auto"/>
        <w:right w:val="none" w:sz="0" w:space="0" w:color="auto"/>
      </w:divBdr>
    </w:div>
    <w:div w:id="288172463">
      <w:bodyDiv w:val="1"/>
      <w:marLeft w:val="0"/>
      <w:marRight w:val="0"/>
      <w:marTop w:val="0"/>
      <w:marBottom w:val="0"/>
      <w:divBdr>
        <w:top w:val="none" w:sz="0" w:space="0" w:color="auto"/>
        <w:left w:val="none" w:sz="0" w:space="0" w:color="auto"/>
        <w:bottom w:val="none" w:sz="0" w:space="0" w:color="auto"/>
        <w:right w:val="none" w:sz="0" w:space="0" w:color="auto"/>
      </w:divBdr>
    </w:div>
    <w:div w:id="288516960">
      <w:bodyDiv w:val="1"/>
      <w:marLeft w:val="0"/>
      <w:marRight w:val="0"/>
      <w:marTop w:val="0"/>
      <w:marBottom w:val="0"/>
      <w:divBdr>
        <w:top w:val="none" w:sz="0" w:space="0" w:color="auto"/>
        <w:left w:val="none" w:sz="0" w:space="0" w:color="auto"/>
        <w:bottom w:val="none" w:sz="0" w:space="0" w:color="auto"/>
        <w:right w:val="none" w:sz="0" w:space="0" w:color="auto"/>
      </w:divBdr>
    </w:div>
    <w:div w:id="288633029">
      <w:bodyDiv w:val="1"/>
      <w:marLeft w:val="0"/>
      <w:marRight w:val="0"/>
      <w:marTop w:val="0"/>
      <w:marBottom w:val="0"/>
      <w:divBdr>
        <w:top w:val="none" w:sz="0" w:space="0" w:color="auto"/>
        <w:left w:val="none" w:sz="0" w:space="0" w:color="auto"/>
        <w:bottom w:val="none" w:sz="0" w:space="0" w:color="auto"/>
        <w:right w:val="none" w:sz="0" w:space="0" w:color="auto"/>
      </w:divBdr>
    </w:div>
    <w:div w:id="289744357">
      <w:bodyDiv w:val="1"/>
      <w:marLeft w:val="0"/>
      <w:marRight w:val="0"/>
      <w:marTop w:val="0"/>
      <w:marBottom w:val="0"/>
      <w:divBdr>
        <w:top w:val="none" w:sz="0" w:space="0" w:color="auto"/>
        <w:left w:val="none" w:sz="0" w:space="0" w:color="auto"/>
        <w:bottom w:val="none" w:sz="0" w:space="0" w:color="auto"/>
        <w:right w:val="none" w:sz="0" w:space="0" w:color="auto"/>
      </w:divBdr>
    </w:div>
    <w:div w:id="289752905">
      <w:bodyDiv w:val="1"/>
      <w:marLeft w:val="0"/>
      <w:marRight w:val="0"/>
      <w:marTop w:val="0"/>
      <w:marBottom w:val="0"/>
      <w:divBdr>
        <w:top w:val="none" w:sz="0" w:space="0" w:color="auto"/>
        <w:left w:val="none" w:sz="0" w:space="0" w:color="auto"/>
        <w:bottom w:val="none" w:sz="0" w:space="0" w:color="auto"/>
        <w:right w:val="none" w:sz="0" w:space="0" w:color="auto"/>
      </w:divBdr>
    </w:div>
    <w:div w:id="289822977">
      <w:bodyDiv w:val="1"/>
      <w:marLeft w:val="0"/>
      <w:marRight w:val="0"/>
      <w:marTop w:val="0"/>
      <w:marBottom w:val="0"/>
      <w:divBdr>
        <w:top w:val="none" w:sz="0" w:space="0" w:color="auto"/>
        <w:left w:val="none" w:sz="0" w:space="0" w:color="auto"/>
        <w:bottom w:val="none" w:sz="0" w:space="0" w:color="auto"/>
        <w:right w:val="none" w:sz="0" w:space="0" w:color="auto"/>
      </w:divBdr>
    </w:div>
    <w:div w:id="290208692">
      <w:bodyDiv w:val="1"/>
      <w:marLeft w:val="0"/>
      <w:marRight w:val="0"/>
      <w:marTop w:val="0"/>
      <w:marBottom w:val="0"/>
      <w:divBdr>
        <w:top w:val="none" w:sz="0" w:space="0" w:color="auto"/>
        <w:left w:val="none" w:sz="0" w:space="0" w:color="auto"/>
        <w:bottom w:val="none" w:sz="0" w:space="0" w:color="auto"/>
        <w:right w:val="none" w:sz="0" w:space="0" w:color="auto"/>
      </w:divBdr>
    </w:div>
    <w:div w:id="290288784">
      <w:bodyDiv w:val="1"/>
      <w:marLeft w:val="0"/>
      <w:marRight w:val="0"/>
      <w:marTop w:val="0"/>
      <w:marBottom w:val="0"/>
      <w:divBdr>
        <w:top w:val="none" w:sz="0" w:space="0" w:color="auto"/>
        <w:left w:val="none" w:sz="0" w:space="0" w:color="auto"/>
        <w:bottom w:val="none" w:sz="0" w:space="0" w:color="auto"/>
        <w:right w:val="none" w:sz="0" w:space="0" w:color="auto"/>
      </w:divBdr>
    </w:div>
    <w:div w:id="290401330">
      <w:bodyDiv w:val="1"/>
      <w:marLeft w:val="0"/>
      <w:marRight w:val="0"/>
      <w:marTop w:val="0"/>
      <w:marBottom w:val="0"/>
      <w:divBdr>
        <w:top w:val="none" w:sz="0" w:space="0" w:color="auto"/>
        <w:left w:val="none" w:sz="0" w:space="0" w:color="auto"/>
        <w:bottom w:val="none" w:sz="0" w:space="0" w:color="auto"/>
        <w:right w:val="none" w:sz="0" w:space="0" w:color="auto"/>
      </w:divBdr>
    </w:div>
    <w:div w:id="290522137">
      <w:bodyDiv w:val="1"/>
      <w:marLeft w:val="0"/>
      <w:marRight w:val="0"/>
      <w:marTop w:val="0"/>
      <w:marBottom w:val="0"/>
      <w:divBdr>
        <w:top w:val="none" w:sz="0" w:space="0" w:color="auto"/>
        <w:left w:val="none" w:sz="0" w:space="0" w:color="auto"/>
        <w:bottom w:val="none" w:sz="0" w:space="0" w:color="auto"/>
        <w:right w:val="none" w:sz="0" w:space="0" w:color="auto"/>
      </w:divBdr>
    </w:div>
    <w:div w:id="290675917">
      <w:bodyDiv w:val="1"/>
      <w:marLeft w:val="0"/>
      <w:marRight w:val="0"/>
      <w:marTop w:val="0"/>
      <w:marBottom w:val="0"/>
      <w:divBdr>
        <w:top w:val="none" w:sz="0" w:space="0" w:color="auto"/>
        <w:left w:val="none" w:sz="0" w:space="0" w:color="auto"/>
        <w:bottom w:val="none" w:sz="0" w:space="0" w:color="auto"/>
        <w:right w:val="none" w:sz="0" w:space="0" w:color="auto"/>
      </w:divBdr>
    </w:div>
    <w:div w:id="291132993">
      <w:bodyDiv w:val="1"/>
      <w:marLeft w:val="0"/>
      <w:marRight w:val="0"/>
      <w:marTop w:val="0"/>
      <w:marBottom w:val="0"/>
      <w:divBdr>
        <w:top w:val="none" w:sz="0" w:space="0" w:color="auto"/>
        <w:left w:val="none" w:sz="0" w:space="0" w:color="auto"/>
        <w:bottom w:val="none" w:sz="0" w:space="0" w:color="auto"/>
        <w:right w:val="none" w:sz="0" w:space="0" w:color="auto"/>
      </w:divBdr>
    </w:div>
    <w:div w:id="291327588">
      <w:bodyDiv w:val="1"/>
      <w:marLeft w:val="0"/>
      <w:marRight w:val="0"/>
      <w:marTop w:val="0"/>
      <w:marBottom w:val="0"/>
      <w:divBdr>
        <w:top w:val="none" w:sz="0" w:space="0" w:color="auto"/>
        <w:left w:val="none" w:sz="0" w:space="0" w:color="auto"/>
        <w:bottom w:val="none" w:sz="0" w:space="0" w:color="auto"/>
        <w:right w:val="none" w:sz="0" w:space="0" w:color="auto"/>
      </w:divBdr>
    </w:div>
    <w:div w:id="291446194">
      <w:bodyDiv w:val="1"/>
      <w:marLeft w:val="0"/>
      <w:marRight w:val="0"/>
      <w:marTop w:val="0"/>
      <w:marBottom w:val="0"/>
      <w:divBdr>
        <w:top w:val="none" w:sz="0" w:space="0" w:color="auto"/>
        <w:left w:val="none" w:sz="0" w:space="0" w:color="auto"/>
        <w:bottom w:val="none" w:sz="0" w:space="0" w:color="auto"/>
        <w:right w:val="none" w:sz="0" w:space="0" w:color="auto"/>
      </w:divBdr>
    </w:div>
    <w:div w:id="291641525">
      <w:bodyDiv w:val="1"/>
      <w:marLeft w:val="0"/>
      <w:marRight w:val="0"/>
      <w:marTop w:val="0"/>
      <w:marBottom w:val="0"/>
      <w:divBdr>
        <w:top w:val="none" w:sz="0" w:space="0" w:color="auto"/>
        <w:left w:val="none" w:sz="0" w:space="0" w:color="auto"/>
        <w:bottom w:val="none" w:sz="0" w:space="0" w:color="auto"/>
        <w:right w:val="none" w:sz="0" w:space="0" w:color="auto"/>
      </w:divBdr>
    </w:div>
    <w:div w:id="292365778">
      <w:bodyDiv w:val="1"/>
      <w:marLeft w:val="0"/>
      <w:marRight w:val="0"/>
      <w:marTop w:val="0"/>
      <w:marBottom w:val="0"/>
      <w:divBdr>
        <w:top w:val="none" w:sz="0" w:space="0" w:color="auto"/>
        <w:left w:val="none" w:sz="0" w:space="0" w:color="auto"/>
        <w:bottom w:val="none" w:sz="0" w:space="0" w:color="auto"/>
        <w:right w:val="none" w:sz="0" w:space="0" w:color="auto"/>
      </w:divBdr>
    </w:div>
    <w:div w:id="292487917">
      <w:bodyDiv w:val="1"/>
      <w:marLeft w:val="0"/>
      <w:marRight w:val="0"/>
      <w:marTop w:val="0"/>
      <w:marBottom w:val="0"/>
      <w:divBdr>
        <w:top w:val="none" w:sz="0" w:space="0" w:color="auto"/>
        <w:left w:val="none" w:sz="0" w:space="0" w:color="auto"/>
        <w:bottom w:val="none" w:sz="0" w:space="0" w:color="auto"/>
        <w:right w:val="none" w:sz="0" w:space="0" w:color="auto"/>
      </w:divBdr>
    </w:div>
    <w:div w:id="292560621">
      <w:bodyDiv w:val="1"/>
      <w:marLeft w:val="0"/>
      <w:marRight w:val="0"/>
      <w:marTop w:val="0"/>
      <w:marBottom w:val="0"/>
      <w:divBdr>
        <w:top w:val="none" w:sz="0" w:space="0" w:color="auto"/>
        <w:left w:val="none" w:sz="0" w:space="0" w:color="auto"/>
        <w:bottom w:val="none" w:sz="0" w:space="0" w:color="auto"/>
        <w:right w:val="none" w:sz="0" w:space="0" w:color="auto"/>
      </w:divBdr>
    </w:div>
    <w:div w:id="293103429">
      <w:bodyDiv w:val="1"/>
      <w:marLeft w:val="0"/>
      <w:marRight w:val="0"/>
      <w:marTop w:val="0"/>
      <w:marBottom w:val="0"/>
      <w:divBdr>
        <w:top w:val="none" w:sz="0" w:space="0" w:color="auto"/>
        <w:left w:val="none" w:sz="0" w:space="0" w:color="auto"/>
        <w:bottom w:val="none" w:sz="0" w:space="0" w:color="auto"/>
        <w:right w:val="none" w:sz="0" w:space="0" w:color="auto"/>
      </w:divBdr>
    </w:div>
    <w:div w:id="293223048">
      <w:bodyDiv w:val="1"/>
      <w:marLeft w:val="0"/>
      <w:marRight w:val="0"/>
      <w:marTop w:val="0"/>
      <w:marBottom w:val="0"/>
      <w:divBdr>
        <w:top w:val="none" w:sz="0" w:space="0" w:color="auto"/>
        <w:left w:val="none" w:sz="0" w:space="0" w:color="auto"/>
        <w:bottom w:val="none" w:sz="0" w:space="0" w:color="auto"/>
        <w:right w:val="none" w:sz="0" w:space="0" w:color="auto"/>
      </w:divBdr>
    </w:div>
    <w:div w:id="293366788">
      <w:bodyDiv w:val="1"/>
      <w:marLeft w:val="0"/>
      <w:marRight w:val="0"/>
      <w:marTop w:val="0"/>
      <w:marBottom w:val="0"/>
      <w:divBdr>
        <w:top w:val="none" w:sz="0" w:space="0" w:color="auto"/>
        <w:left w:val="none" w:sz="0" w:space="0" w:color="auto"/>
        <w:bottom w:val="none" w:sz="0" w:space="0" w:color="auto"/>
        <w:right w:val="none" w:sz="0" w:space="0" w:color="auto"/>
      </w:divBdr>
    </w:div>
    <w:div w:id="293409551">
      <w:bodyDiv w:val="1"/>
      <w:marLeft w:val="0"/>
      <w:marRight w:val="0"/>
      <w:marTop w:val="0"/>
      <w:marBottom w:val="0"/>
      <w:divBdr>
        <w:top w:val="none" w:sz="0" w:space="0" w:color="auto"/>
        <w:left w:val="none" w:sz="0" w:space="0" w:color="auto"/>
        <w:bottom w:val="none" w:sz="0" w:space="0" w:color="auto"/>
        <w:right w:val="none" w:sz="0" w:space="0" w:color="auto"/>
      </w:divBdr>
    </w:div>
    <w:div w:id="293801032">
      <w:bodyDiv w:val="1"/>
      <w:marLeft w:val="0"/>
      <w:marRight w:val="0"/>
      <w:marTop w:val="0"/>
      <w:marBottom w:val="0"/>
      <w:divBdr>
        <w:top w:val="none" w:sz="0" w:space="0" w:color="auto"/>
        <w:left w:val="none" w:sz="0" w:space="0" w:color="auto"/>
        <w:bottom w:val="none" w:sz="0" w:space="0" w:color="auto"/>
        <w:right w:val="none" w:sz="0" w:space="0" w:color="auto"/>
      </w:divBdr>
    </w:div>
    <w:div w:id="294023305">
      <w:bodyDiv w:val="1"/>
      <w:marLeft w:val="0"/>
      <w:marRight w:val="0"/>
      <w:marTop w:val="0"/>
      <w:marBottom w:val="0"/>
      <w:divBdr>
        <w:top w:val="none" w:sz="0" w:space="0" w:color="auto"/>
        <w:left w:val="none" w:sz="0" w:space="0" w:color="auto"/>
        <w:bottom w:val="none" w:sz="0" w:space="0" w:color="auto"/>
        <w:right w:val="none" w:sz="0" w:space="0" w:color="auto"/>
      </w:divBdr>
    </w:div>
    <w:div w:id="294222579">
      <w:bodyDiv w:val="1"/>
      <w:marLeft w:val="0"/>
      <w:marRight w:val="0"/>
      <w:marTop w:val="0"/>
      <w:marBottom w:val="0"/>
      <w:divBdr>
        <w:top w:val="none" w:sz="0" w:space="0" w:color="auto"/>
        <w:left w:val="none" w:sz="0" w:space="0" w:color="auto"/>
        <w:bottom w:val="none" w:sz="0" w:space="0" w:color="auto"/>
        <w:right w:val="none" w:sz="0" w:space="0" w:color="auto"/>
      </w:divBdr>
    </w:div>
    <w:div w:id="294260955">
      <w:bodyDiv w:val="1"/>
      <w:marLeft w:val="0"/>
      <w:marRight w:val="0"/>
      <w:marTop w:val="0"/>
      <w:marBottom w:val="0"/>
      <w:divBdr>
        <w:top w:val="none" w:sz="0" w:space="0" w:color="auto"/>
        <w:left w:val="none" w:sz="0" w:space="0" w:color="auto"/>
        <w:bottom w:val="none" w:sz="0" w:space="0" w:color="auto"/>
        <w:right w:val="none" w:sz="0" w:space="0" w:color="auto"/>
      </w:divBdr>
    </w:div>
    <w:div w:id="294485219">
      <w:bodyDiv w:val="1"/>
      <w:marLeft w:val="0"/>
      <w:marRight w:val="0"/>
      <w:marTop w:val="0"/>
      <w:marBottom w:val="0"/>
      <w:divBdr>
        <w:top w:val="none" w:sz="0" w:space="0" w:color="auto"/>
        <w:left w:val="none" w:sz="0" w:space="0" w:color="auto"/>
        <w:bottom w:val="none" w:sz="0" w:space="0" w:color="auto"/>
        <w:right w:val="none" w:sz="0" w:space="0" w:color="auto"/>
      </w:divBdr>
    </w:div>
    <w:div w:id="294870888">
      <w:bodyDiv w:val="1"/>
      <w:marLeft w:val="0"/>
      <w:marRight w:val="0"/>
      <w:marTop w:val="0"/>
      <w:marBottom w:val="0"/>
      <w:divBdr>
        <w:top w:val="none" w:sz="0" w:space="0" w:color="auto"/>
        <w:left w:val="none" w:sz="0" w:space="0" w:color="auto"/>
        <w:bottom w:val="none" w:sz="0" w:space="0" w:color="auto"/>
        <w:right w:val="none" w:sz="0" w:space="0" w:color="auto"/>
      </w:divBdr>
    </w:div>
    <w:div w:id="294988485">
      <w:bodyDiv w:val="1"/>
      <w:marLeft w:val="0"/>
      <w:marRight w:val="0"/>
      <w:marTop w:val="0"/>
      <w:marBottom w:val="0"/>
      <w:divBdr>
        <w:top w:val="none" w:sz="0" w:space="0" w:color="auto"/>
        <w:left w:val="none" w:sz="0" w:space="0" w:color="auto"/>
        <w:bottom w:val="none" w:sz="0" w:space="0" w:color="auto"/>
        <w:right w:val="none" w:sz="0" w:space="0" w:color="auto"/>
      </w:divBdr>
    </w:div>
    <w:div w:id="295334602">
      <w:bodyDiv w:val="1"/>
      <w:marLeft w:val="0"/>
      <w:marRight w:val="0"/>
      <w:marTop w:val="0"/>
      <w:marBottom w:val="0"/>
      <w:divBdr>
        <w:top w:val="none" w:sz="0" w:space="0" w:color="auto"/>
        <w:left w:val="none" w:sz="0" w:space="0" w:color="auto"/>
        <w:bottom w:val="none" w:sz="0" w:space="0" w:color="auto"/>
        <w:right w:val="none" w:sz="0" w:space="0" w:color="auto"/>
      </w:divBdr>
    </w:div>
    <w:div w:id="295454118">
      <w:bodyDiv w:val="1"/>
      <w:marLeft w:val="0"/>
      <w:marRight w:val="0"/>
      <w:marTop w:val="0"/>
      <w:marBottom w:val="0"/>
      <w:divBdr>
        <w:top w:val="none" w:sz="0" w:space="0" w:color="auto"/>
        <w:left w:val="none" w:sz="0" w:space="0" w:color="auto"/>
        <w:bottom w:val="none" w:sz="0" w:space="0" w:color="auto"/>
        <w:right w:val="none" w:sz="0" w:space="0" w:color="auto"/>
      </w:divBdr>
    </w:div>
    <w:div w:id="295918726">
      <w:bodyDiv w:val="1"/>
      <w:marLeft w:val="0"/>
      <w:marRight w:val="0"/>
      <w:marTop w:val="0"/>
      <w:marBottom w:val="0"/>
      <w:divBdr>
        <w:top w:val="none" w:sz="0" w:space="0" w:color="auto"/>
        <w:left w:val="none" w:sz="0" w:space="0" w:color="auto"/>
        <w:bottom w:val="none" w:sz="0" w:space="0" w:color="auto"/>
        <w:right w:val="none" w:sz="0" w:space="0" w:color="auto"/>
      </w:divBdr>
    </w:div>
    <w:div w:id="296035451">
      <w:bodyDiv w:val="1"/>
      <w:marLeft w:val="0"/>
      <w:marRight w:val="0"/>
      <w:marTop w:val="0"/>
      <w:marBottom w:val="0"/>
      <w:divBdr>
        <w:top w:val="none" w:sz="0" w:space="0" w:color="auto"/>
        <w:left w:val="none" w:sz="0" w:space="0" w:color="auto"/>
        <w:bottom w:val="none" w:sz="0" w:space="0" w:color="auto"/>
        <w:right w:val="none" w:sz="0" w:space="0" w:color="auto"/>
      </w:divBdr>
    </w:div>
    <w:div w:id="296110212">
      <w:bodyDiv w:val="1"/>
      <w:marLeft w:val="0"/>
      <w:marRight w:val="0"/>
      <w:marTop w:val="0"/>
      <w:marBottom w:val="0"/>
      <w:divBdr>
        <w:top w:val="none" w:sz="0" w:space="0" w:color="auto"/>
        <w:left w:val="none" w:sz="0" w:space="0" w:color="auto"/>
        <w:bottom w:val="none" w:sz="0" w:space="0" w:color="auto"/>
        <w:right w:val="none" w:sz="0" w:space="0" w:color="auto"/>
      </w:divBdr>
    </w:div>
    <w:div w:id="296568156">
      <w:bodyDiv w:val="1"/>
      <w:marLeft w:val="0"/>
      <w:marRight w:val="0"/>
      <w:marTop w:val="0"/>
      <w:marBottom w:val="0"/>
      <w:divBdr>
        <w:top w:val="none" w:sz="0" w:space="0" w:color="auto"/>
        <w:left w:val="none" w:sz="0" w:space="0" w:color="auto"/>
        <w:bottom w:val="none" w:sz="0" w:space="0" w:color="auto"/>
        <w:right w:val="none" w:sz="0" w:space="0" w:color="auto"/>
      </w:divBdr>
    </w:div>
    <w:div w:id="296759609">
      <w:bodyDiv w:val="1"/>
      <w:marLeft w:val="0"/>
      <w:marRight w:val="0"/>
      <w:marTop w:val="0"/>
      <w:marBottom w:val="0"/>
      <w:divBdr>
        <w:top w:val="none" w:sz="0" w:space="0" w:color="auto"/>
        <w:left w:val="none" w:sz="0" w:space="0" w:color="auto"/>
        <w:bottom w:val="none" w:sz="0" w:space="0" w:color="auto"/>
        <w:right w:val="none" w:sz="0" w:space="0" w:color="auto"/>
      </w:divBdr>
    </w:div>
    <w:div w:id="296836690">
      <w:bodyDiv w:val="1"/>
      <w:marLeft w:val="0"/>
      <w:marRight w:val="0"/>
      <w:marTop w:val="0"/>
      <w:marBottom w:val="0"/>
      <w:divBdr>
        <w:top w:val="none" w:sz="0" w:space="0" w:color="auto"/>
        <w:left w:val="none" w:sz="0" w:space="0" w:color="auto"/>
        <w:bottom w:val="none" w:sz="0" w:space="0" w:color="auto"/>
        <w:right w:val="none" w:sz="0" w:space="0" w:color="auto"/>
      </w:divBdr>
    </w:div>
    <w:div w:id="296839126">
      <w:bodyDiv w:val="1"/>
      <w:marLeft w:val="0"/>
      <w:marRight w:val="0"/>
      <w:marTop w:val="0"/>
      <w:marBottom w:val="0"/>
      <w:divBdr>
        <w:top w:val="none" w:sz="0" w:space="0" w:color="auto"/>
        <w:left w:val="none" w:sz="0" w:space="0" w:color="auto"/>
        <w:bottom w:val="none" w:sz="0" w:space="0" w:color="auto"/>
        <w:right w:val="none" w:sz="0" w:space="0" w:color="auto"/>
      </w:divBdr>
    </w:div>
    <w:div w:id="296881675">
      <w:bodyDiv w:val="1"/>
      <w:marLeft w:val="0"/>
      <w:marRight w:val="0"/>
      <w:marTop w:val="0"/>
      <w:marBottom w:val="0"/>
      <w:divBdr>
        <w:top w:val="none" w:sz="0" w:space="0" w:color="auto"/>
        <w:left w:val="none" w:sz="0" w:space="0" w:color="auto"/>
        <w:bottom w:val="none" w:sz="0" w:space="0" w:color="auto"/>
        <w:right w:val="none" w:sz="0" w:space="0" w:color="auto"/>
      </w:divBdr>
    </w:div>
    <w:div w:id="297225646">
      <w:bodyDiv w:val="1"/>
      <w:marLeft w:val="0"/>
      <w:marRight w:val="0"/>
      <w:marTop w:val="0"/>
      <w:marBottom w:val="0"/>
      <w:divBdr>
        <w:top w:val="none" w:sz="0" w:space="0" w:color="auto"/>
        <w:left w:val="none" w:sz="0" w:space="0" w:color="auto"/>
        <w:bottom w:val="none" w:sz="0" w:space="0" w:color="auto"/>
        <w:right w:val="none" w:sz="0" w:space="0" w:color="auto"/>
      </w:divBdr>
    </w:div>
    <w:div w:id="297300856">
      <w:bodyDiv w:val="1"/>
      <w:marLeft w:val="0"/>
      <w:marRight w:val="0"/>
      <w:marTop w:val="0"/>
      <w:marBottom w:val="0"/>
      <w:divBdr>
        <w:top w:val="none" w:sz="0" w:space="0" w:color="auto"/>
        <w:left w:val="none" w:sz="0" w:space="0" w:color="auto"/>
        <w:bottom w:val="none" w:sz="0" w:space="0" w:color="auto"/>
        <w:right w:val="none" w:sz="0" w:space="0" w:color="auto"/>
      </w:divBdr>
    </w:div>
    <w:div w:id="297303108">
      <w:bodyDiv w:val="1"/>
      <w:marLeft w:val="0"/>
      <w:marRight w:val="0"/>
      <w:marTop w:val="0"/>
      <w:marBottom w:val="0"/>
      <w:divBdr>
        <w:top w:val="none" w:sz="0" w:space="0" w:color="auto"/>
        <w:left w:val="none" w:sz="0" w:space="0" w:color="auto"/>
        <w:bottom w:val="none" w:sz="0" w:space="0" w:color="auto"/>
        <w:right w:val="none" w:sz="0" w:space="0" w:color="auto"/>
      </w:divBdr>
    </w:div>
    <w:div w:id="297421672">
      <w:bodyDiv w:val="1"/>
      <w:marLeft w:val="0"/>
      <w:marRight w:val="0"/>
      <w:marTop w:val="0"/>
      <w:marBottom w:val="0"/>
      <w:divBdr>
        <w:top w:val="none" w:sz="0" w:space="0" w:color="auto"/>
        <w:left w:val="none" w:sz="0" w:space="0" w:color="auto"/>
        <w:bottom w:val="none" w:sz="0" w:space="0" w:color="auto"/>
        <w:right w:val="none" w:sz="0" w:space="0" w:color="auto"/>
      </w:divBdr>
    </w:div>
    <w:div w:id="297762461">
      <w:bodyDiv w:val="1"/>
      <w:marLeft w:val="0"/>
      <w:marRight w:val="0"/>
      <w:marTop w:val="0"/>
      <w:marBottom w:val="0"/>
      <w:divBdr>
        <w:top w:val="none" w:sz="0" w:space="0" w:color="auto"/>
        <w:left w:val="none" w:sz="0" w:space="0" w:color="auto"/>
        <w:bottom w:val="none" w:sz="0" w:space="0" w:color="auto"/>
        <w:right w:val="none" w:sz="0" w:space="0" w:color="auto"/>
      </w:divBdr>
      <w:divsChild>
        <w:div w:id="20790417">
          <w:marLeft w:val="0"/>
          <w:marRight w:val="0"/>
          <w:marTop w:val="0"/>
          <w:marBottom w:val="0"/>
          <w:divBdr>
            <w:top w:val="none" w:sz="0" w:space="0" w:color="auto"/>
            <w:left w:val="none" w:sz="0" w:space="0" w:color="auto"/>
            <w:bottom w:val="none" w:sz="0" w:space="0" w:color="auto"/>
            <w:right w:val="none" w:sz="0" w:space="0" w:color="auto"/>
          </w:divBdr>
        </w:div>
        <w:div w:id="637347324">
          <w:marLeft w:val="0"/>
          <w:marRight w:val="0"/>
          <w:marTop w:val="0"/>
          <w:marBottom w:val="0"/>
          <w:divBdr>
            <w:top w:val="none" w:sz="0" w:space="0" w:color="auto"/>
            <w:left w:val="none" w:sz="0" w:space="0" w:color="auto"/>
            <w:bottom w:val="none" w:sz="0" w:space="0" w:color="auto"/>
            <w:right w:val="none" w:sz="0" w:space="0" w:color="auto"/>
          </w:divBdr>
        </w:div>
        <w:div w:id="892085640">
          <w:marLeft w:val="0"/>
          <w:marRight w:val="0"/>
          <w:marTop w:val="0"/>
          <w:marBottom w:val="0"/>
          <w:divBdr>
            <w:top w:val="none" w:sz="0" w:space="0" w:color="auto"/>
            <w:left w:val="none" w:sz="0" w:space="0" w:color="auto"/>
            <w:bottom w:val="none" w:sz="0" w:space="0" w:color="auto"/>
            <w:right w:val="none" w:sz="0" w:space="0" w:color="auto"/>
          </w:divBdr>
        </w:div>
        <w:div w:id="1671760150">
          <w:marLeft w:val="0"/>
          <w:marRight w:val="0"/>
          <w:marTop w:val="0"/>
          <w:marBottom w:val="0"/>
          <w:divBdr>
            <w:top w:val="none" w:sz="0" w:space="0" w:color="auto"/>
            <w:left w:val="none" w:sz="0" w:space="0" w:color="auto"/>
            <w:bottom w:val="none" w:sz="0" w:space="0" w:color="auto"/>
            <w:right w:val="none" w:sz="0" w:space="0" w:color="auto"/>
          </w:divBdr>
        </w:div>
      </w:divsChild>
    </w:div>
    <w:div w:id="297951868">
      <w:bodyDiv w:val="1"/>
      <w:marLeft w:val="0"/>
      <w:marRight w:val="0"/>
      <w:marTop w:val="0"/>
      <w:marBottom w:val="0"/>
      <w:divBdr>
        <w:top w:val="none" w:sz="0" w:space="0" w:color="auto"/>
        <w:left w:val="none" w:sz="0" w:space="0" w:color="auto"/>
        <w:bottom w:val="none" w:sz="0" w:space="0" w:color="auto"/>
        <w:right w:val="none" w:sz="0" w:space="0" w:color="auto"/>
      </w:divBdr>
    </w:div>
    <w:div w:id="298073401">
      <w:bodyDiv w:val="1"/>
      <w:marLeft w:val="0"/>
      <w:marRight w:val="0"/>
      <w:marTop w:val="0"/>
      <w:marBottom w:val="0"/>
      <w:divBdr>
        <w:top w:val="none" w:sz="0" w:space="0" w:color="auto"/>
        <w:left w:val="none" w:sz="0" w:space="0" w:color="auto"/>
        <w:bottom w:val="none" w:sz="0" w:space="0" w:color="auto"/>
        <w:right w:val="none" w:sz="0" w:space="0" w:color="auto"/>
      </w:divBdr>
    </w:div>
    <w:div w:id="298152795">
      <w:bodyDiv w:val="1"/>
      <w:marLeft w:val="0"/>
      <w:marRight w:val="0"/>
      <w:marTop w:val="0"/>
      <w:marBottom w:val="0"/>
      <w:divBdr>
        <w:top w:val="none" w:sz="0" w:space="0" w:color="auto"/>
        <w:left w:val="none" w:sz="0" w:space="0" w:color="auto"/>
        <w:bottom w:val="none" w:sz="0" w:space="0" w:color="auto"/>
        <w:right w:val="none" w:sz="0" w:space="0" w:color="auto"/>
      </w:divBdr>
    </w:div>
    <w:div w:id="298220172">
      <w:bodyDiv w:val="1"/>
      <w:marLeft w:val="0"/>
      <w:marRight w:val="0"/>
      <w:marTop w:val="0"/>
      <w:marBottom w:val="0"/>
      <w:divBdr>
        <w:top w:val="none" w:sz="0" w:space="0" w:color="auto"/>
        <w:left w:val="none" w:sz="0" w:space="0" w:color="auto"/>
        <w:bottom w:val="none" w:sz="0" w:space="0" w:color="auto"/>
        <w:right w:val="none" w:sz="0" w:space="0" w:color="auto"/>
      </w:divBdr>
    </w:div>
    <w:div w:id="298271267">
      <w:bodyDiv w:val="1"/>
      <w:marLeft w:val="0"/>
      <w:marRight w:val="0"/>
      <w:marTop w:val="0"/>
      <w:marBottom w:val="0"/>
      <w:divBdr>
        <w:top w:val="none" w:sz="0" w:space="0" w:color="auto"/>
        <w:left w:val="none" w:sz="0" w:space="0" w:color="auto"/>
        <w:bottom w:val="none" w:sz="0" w:space="0" w:color="auto"/>
        <w:right w:val="none" w:sz="0" w:space="0" w:color="auto"/>
      </w:divBdr>
    </w:div>
    <w:div w:id="298389070">
      <w:bodyDiv w:val="1"/>
      <w:marLeft w:val="0"/>
      <w:marRight w:val="0"/>
      <w:marTop w:val="0"/>
      <w:marBottom w:val="0"/>
      <w:divBdr>
        <w:top w:val="none" w:sz="0" w:space="0" w:color="auto"/>
        <w:left w:val="none" w:sz="0" w:space="0" w:color="auto"/>
        <w:bottom w:val="none" w:sz="0" w:space="0" w:color="auto"/>
        <w:right w:val="none" w:sz="0" w:space="0" w:color="auto"/>
      </w:divBdr>
    </w:div>
    <w:div w:id="298535505">
      <w:bodyDiv w:val="1"/>
      <w:marLeft w:val="0"/>
      <w:marRight w:val="0"/>
      <w:marTop w:val="0"/>
      <w:marBottom w:val="0"/>
      <w:divBdr>
        <w:top w:val="none" w:sz="0" w:space="0" w:color="auto"/>
        <w:left w:val="none" w:sz="0" w:space="0" w:color="auto"/>
        <w:bottom w:val="none" w:sz="0" w:space="0" w:color="auto"/>
        <w:right w:val="none" w:sz="0" w:space="0" w:color="auto"/>
      </w:divBdr>
    </w:div>
    <w:div w:id="298583457">
      <w:bodyDiv w:val="1"/>
      <w:marLeft w:val="0"/>
      <w:marRight w:val="0"/>
      <w:marTop w:val="0"/>
      <w:marBottom w:val="0"/>
      <w:divBdr>
        <w:top w:val="none" w:sz="0" w:space="0" w:color="auto"/>
        <w:left w:val="none" w:sz="0" w:space="0" w:color="auto"/>
        <w:bottom w:val="none" w:sz="0" w:space="0" w:color="auto"/>
        <w:right w:val="none" w:sz="0" w:space="0" w:color="auto"/>
      </w:divBdr>
    </w:div>
    <w:div w:id="298650628">
      <w:bodyDiv w:val="1"/>
      <w:marLeft w:val="0"/>
      <w:marRight w:val="0"/>
      <w:marTop w:val="0"/>
      <w:marBottom w:val="0"/>
      <w:divBdr>
        <w:top w:val="none" w:sz="0" w:space="0" w:color="auto"/>
        <w:left w:val="none" w:sz="0" w:space="0" w:color="auto"/>
        <w:bottom w:val="none" w:sz="0" w:space="0" w:color="auto"/>
        <w:right w:val="none" w:sz="0" w:space="0" w:color="auto"/>
      </w:divBdr>
    </w:div>
    <w:div w:id="298803875">
      <w:bodyDiv w:val="1"/>
      <w:marLeft w:val="0"/>
      <w:marRight w:val="0"/>
      <w:marTop w:val="0"/>
      <w:marBottom w:val="0"/>
      <w:divBdr>
        <w:top w:val="none" w:sz="0" w:space="0" w:color="auto"/>
        <w:left w:val="none" w:sz="0" w:space="0" w:color="auto"/>
        <w:bottom w:val="none" w:sz="0" w:space="0" w:color="auto"/>
        <w:right w:val="none" w:sz="0" w:space="0" w:color="auto"/>
      </w:divBdr>
    </w:div>
    <w:div w:id="298993364">
      <w:bodyDiv w:val="1"/>
      <w:marLeft w:val="0"/>
      <w:marRight w:val="0"/>
      <w:marTop w:val="0"/>
      <w:marBottom w:val="0"/>
      <w:divBdr>
        <w:top w:val="none" w:sz="0" w:space="0" w:color="auto"/>
        <w:left w:val="none" w:sz="0" w:space="0" w:color="auto"/>
        <w:bottom w:val="none" w:sz="0" w:space="0" w:color="auto"/>
        <w:right w:val="none" w:sz="0" w:space="0" w:color="auto"/>
      </w:divBdr>
    </w:div>
    <w:div w:id="298993924">
      <w:bodyDiv w:val="1"/>
      <w:marLeft w:val="0"/>
      <w:marRight w:val="0"/>
      <w:marTop w:val="0"/>
      <w:marBottom w:val="0"/>
      <w:divBdr>
        <w:top w:val="none" w:sz="0" w:space="0" w:color="auto"/>
        <w:left w:val="none" w:sz="0" w:space="0" w:color="auto"/>
        <w:bottom w:val="none" w:sz="0" w:space="0" w:color="auto"/>
        <w:right w:val="none" w:sz="0" w:space="0" w:color="auto"/>
      </w:divBdr>
    </w:div>
    <w:div w:id="298998719">
      <w:bodyDiv w:val="1"/>
      <w:marLeft w:val="0"/>
      <w:marRight w:val="0"/>
      <w:marTop w:val="0"/>
      <w:marBottom w:val="0"/>
      <w:divBdr>
        <w:top w:val="none" w:sz="0" w:space="0" w:color="auto"/>
        <w:left w:val="none" w:sz="0" w:space="0" w:color="auto"/>
        <w:bottom w:val="none" w:sz="0" w:space="0" w:color="auto"/>
        <w:right w:val="none" w:sz="0" w:space="0" w:color="auto"/>
      </w:divBdr>
    </w:div>
    <w:div w:id="299263489">
      <w:bodyDiv w:val="1"/>
      <w:marLeft w:val="0"/>
      <w:marRight w:val="0"/>
      <w:marTop w:val="0"/>
      <w:marBottom w:val="0"/>
      <w:divBdr>
        <w:top w:val="none" w:sz="0" w:space="0" w:color="auto"/>
        <w:left w:val="none" w:sz="0" w:space="0" w:color="auto"/>
        <w:bottom w:val="none" w:sz="0" w:space="0" w:color="auto"/>
        <w:right w:val="none" w:sz="0" w:space="0" w:color="auto"/>
      </w:divBdr>
    </w:div>
    <w:div w:id="299380988">
      <w:bodyDiv w:val="1"/>
      <w:marLeft w:val="0"/>
      <w:marRight w:val="0"/>
      <w:marTop w:val="0"/>
      <w:marBottom w:val="0"/>
      <w:divBdr>
        <w:top w:val="none" w:sz="0" w:space="0" w:color="auto"/>
        <w:left w:val="none" w:sz="0" w:space="0" w:color="auto"/>
        <w:bottom w:val="none" w:sz="0" w:space="0" w:color="auto"/>
        <w:right w:val="none" w:sz="0" w:space="0" w:color="auto"/>
      </w:divBdr>
    </w:div>
    <w:div w:id="299389360">
      <w:bodyDiv w:val="1"/>
      <w:marLeft w:val="0"/>
      <w:marRight w:val="0"/>
      <w:marTop w:val="0"/>
      <w:marBottom w:val="0"/>
      <w:divBdr>
        <w:top w:val="none" w:sz="0" w:space="0" w:color="auto"/>
        <w:left w:val="none" w:sz="0" w:space="0" w:color="auto"/>
        <w:bottom w:val="none" w:sz="0" w:space="0" w:color="auto"/>
        <w:right w:val="none" w:sz="0" w:space="0" w:color="auto"/>
      </w:divBdr>
    </w:div>
    <w:div w:id="299774191">
      <w:bodyDiv w:val="1"/>
      <w:marLeft w:val="0"/>
      <w:marRight w:val="0"/>
      <w:marTop w:val="0"/>
      <w:marBottom w:val="0"/>
      <w:divBdr>
        <w:top w:val="none" w:sz="0" w:space="0" w:color="auto"/>
        <w:left w:val="none" w:sz="0" w:space="0" w:color="auto"/>
        <w:bottom w:val="none" w:sz="0" w:space="0" w:color="auto"/>
        <w:right w:val="none" w:sz="0" w:space="0" w:color="auto"/>
      </w:divBdr>
    </w:div>
    <w:div w:id="300351505">
      <w:bodyDiv w:val="1"/>
      <w:marLeft w:val="0"/>
      <w:marRight w:val="0"/>
      <w:marTop w:val="0"/>
      <w:marBottom w:val="0"/>
      <w:divBdr>
        <w:top w:val="none" w:sz="0" w:space="0" w:color="auto"/>
        <w:left w:val="none" w:sz="0" w:space="0" w:color="auto"/>
        <w:bottom w:val="none" w:sz="0" w:space="0" w:color="auto"/>
        <w:right w:val="none" w:sz="0" w:space="0" w:color="auto"/>
      </w:divBdr>
    </w:div>
    <w:div w:id="300615027">
      <w:bodyDiv w:val="1"/>
      <w:marLeft w:val="0"/>
      <w:marRight w:val="0"/>
      <w:marTop w:val="0"/>
      <w:marBottom w:val="0"/>
      <w:divBdr>
        <w:top w:val="none" w:sz="0" w:space="0" w:color="auto"/>
        <w:left w:val="none" w:sz="0" w:space="0" w:color="auto"/>
        <w:bottom w:val="none" w:sz="0" w:space="0" w:color="auto"/>
        <w:right w:val="none" w:sz="0" w:space="0" w:color="auto"/>
      </w:divBdr>
    </w:div>
    <w:div w:id="300769838">
      <w:bodyDiv w:val="1"/>
      <w:marLeft w:val="0"/>
      <w:marRight w:val="0"/>
      <w:marTop w:val="0"/>
      <w:marBottom w:val="0"/>
      <w:divBdr>
        <w:top w:val="none" w:sz="0" w:space="0" w:color="auto"/>
        <w:left w:val="none" w:sz="0" w:space="0" w:color="auto"/>
        <w:bottom w:val="none" w:sz="0" w:space="0" w:color="auto"/>
        <w:right w:val="none" w:sz="0" w:space="0" w:color="auto"/>
      </w:divBdr>
    </w:div>
    <w:div w:id="301007217">
      <w:bodyDiv w:val="1"/>
      <w:marLeft w:val="0"/>
      <w:marRight w:val="0"/>
      <w:marTop w:val="0"/>
      <w:marBottom w:val="0"/>
      <w:divBdr>
        <w:top w:val="none" w:sz="0" w:space="0" w:color="auto"/>
        <w:left w:val="none" w:sz="0" w:space="0" w:color="auto"/>
        <w:bottom w:val="none" w:sz="0" w:space="0" w:color="auto"/>
        <w:right w:val="none" w:sz="0" w:space="0" w:color="auto"/>
      </w:divBdr>
    </w:div>
    <w:div w:id="301008470">
      <w:bodyDiv w:val="1"/>
      <w:marLeft w:val="0"/>
      <w:marRight w:val="0"/>
      <w:marTop w:val="0"/>
      <w:marBottom w:val="0"/>
      <w:divBdr>
        <w:top w:val="none" w:sz="0" w:space="0" w:color="auto"/>
        <w:left w:val="none" w:sz="0" w:space="0" w:color="auto"/>
        <w:bottom w:val="none" w:sz="0" w:space="0" w:color="auto"/>
        <w:right w:val="none" w:sz="0" w:space="0" w:color="auto"/>
      </w:divBdr>
    </w:div>
    <w:div w:id="301157631">
      <w:bodyDiv w:val="1"/>
      <w:marLeft w:val="0"/>
      <w:marRight w:val="0"/>
      <w:marTop w:val="0"/>
      <w:marBottom w:val="0"/>
      <w:divBdr>
        <w:top w:val="none" w:sz="0" w:space="0" w:color="auto"/>
        <w:left w:val="none" w:sz="0" w:space="0" w:color="auto"/>
        <w:bottom w:val="none" w:sz="0" w:space="0" w:color="auto"/>
        <w:right w:val="none" w:sz="0" w:space="0" w:color="auto"/>
      </w:divBdr>
    </w:div>
    <w:div w:id="301353809">
      <w:bodyDiv w:val="1"/>
      <w:marLeft w:val="0"/>
      <w:marRight w:val="0"/>
      <w:marTop w:val="0"/>
      <w:marBottom w:val="0"/>
      <w:divBdr>
        <w:top w:val="none" w:sz="0" w:space="0" w:color="auto"/>
        <w:left w:val="none" w:sz="0" w:space="0" w:color="auto"/>
        <w:bottom w:val="none" w:sz="0" w:space="0" w:color="auto"/>
        <w:right w:val="none" w:sz="0" w:space="0" w:color="auto"/>
      </w:divBdr>
    </w:div>
    <w:div w:id="301354592">
      <w:bodyDiv w:val="1"/>
      <w:marLeft w:val="0"/>
      <w:marRight w:val="0"/>
      <w:marTop w:val="0"/>
      <w:marBottom w:val="0"/>
      <w:divBdr>
        <w:top w:val="none" w:sz="0" w:space="0" w:color="auto"/>
        <w:left w:val="none" w:sz="0" w:space="0" w:color="auto"/>
        <w:bottom w:val="none" w:sz="0" w:space="0" w:color="auto"/>
        <w:right w:val="none" w:sz="0" w:space="0" w:color="auto"/>
      </w:divBdr>
    </w:div>
    <w:div w:id="301737388">
      <w:bodyDiv w:val="1"/>
      <w:marLeft w:val="0"/>
      <w:marRight w:val="0"/>
      <w:marTop w:val="0"/>
      <w:marBottom w:val="0"/>
      <w:divBdr>
        <w:top w:val="none" w:sz="0" w:space="0" w:color="auto"/>
        <w:left w:val="none" w:sz="0" w:space="0" w:color="auto"/>
        <w:bottom w:val="none" w:sz="0" w:space="0" w:color="auto"/>
        <w:right w:val="none" w:sz="0" w:space="0" w:color="auto"/>
      </w:divBdr>
    </w:div>
    <w:div w:id="302152869">
      <w:bodyDiv w:val="1"/>
      <w:marLeft w:val="0"/>
      <w:marRight w:val="0"/>
      <w:marTop w:val="0"/>
      <w:marBottom w:val="0"/>
      <w:divBdr>
        <w:top w:val="none" w:sz="0" w:space="0" w:color="auto"/>
        <w:left w:val="none" w:sz="0" w:space="0" w:color="auto"/>
        <w:bottom w:val="none" w:sz="0" w:space="0" w:color="auto"/>
        <w:right w:val="none" w:sz="0" w:space="0" w:color="auto"/>
      </w:divBdr>
    </w:div>
    <w:div w:id="302583760">
      <w:bodyDiv w:val="1"/>
      <w:marLeft w:val="0"/>
      <w:marRight w:val="0"/>
      <w:marTop w:val="0"/>
      <w:marBottom w:val="0"/>
      <w:divBdr>
        <w:top w:val="none" w:sz="0" w:space="0" w:color="auto"/>
        <w:left w:val="none" w:sz="0" w:space="0" w:color="auto"/>
        <w:bottom w:val="none" w:sz="0" w:space="0" w:color="auto"/>
        <w:right w:val="none" w:sz="0" w:space="0" w:color="auto"/>
      </w:divBdr>
    </w:div>
    <w:div w:id="302659347">
      <w:bodyDiv w:val="1"/>
      <w:marLeft w:val="0"/>
      <w:marRight w:val="0"/>
      <w:marTop w:val="0"/>
      <w:marBottom w:val="0"/>
      <w:divBdr>
        <w:top w:val="none" w:sz="0" w:space="0" w:color="auto"/>
        <w:left w:val="none" w:sz="0" w:space="0" w:color="auto"/>
        <w:bottom w:val="none" w:sz="0" w:space="0" w:color="auto"/>
        <w:right w:val="none" w:sz="0" w:space="0" w:color="auto"/>
      </w:divBdr>
    </w:div>
    <w:div w:id="302854278">
      <w:bodyDiv w:val="1"/>
      <w:marLeft w:val="0"/>
      <w:marRight w:val="0"/>
      <w:marTop w:val="0"/>
      <w:marBottom w:val="0"/>
      <w:divBdr>
        <w:top w:val="none" w:sz="0" w:space="0" w:color="auto"/>
        <w:left w:val="none" w:sz="0" w:space="0" w:color="auto"/>
        <w:bottom w:val="none" w:sz="0" w:space="0" w:color="auto"/>
        <w:right w:val="none" w:sz="0" w:space="0" w:color="auto"/>
      </w:divBdr>
    </w:div>
    <w:div w:id="302924962">
      <w:bodyDiv w:val="1"/>
      <w:marLeft w:val="0"/>
      <w:marRight w:val="0"/>
      <w:marTop w:val="0"/>
      <w:marBottom w:val="0"/>
      <w:divBdr>
        <w:top w:val="none" w:sz="0" w:space="0" w:color="auto"/>
        <w:left w:val="none" w:sz="0" w:space="0" w:color="auto"/>
        <w:bottom w:val="none" w:sz="0" w:space="0" w:color="auto"/>
        <w:right w:val="none" w:sz="0" w:space="0" w:color="auto"/>
      </w:divBdr>
    </w:div>
    <w:div w:id="303002307">
      <w:bodyDiv w:val="1"/>
      <w:marLeft w:val="0"/>
      <w:marRight w:val="0"/>
      <w:marTop w:val="0"/>
      <w:marBottom w:val="0"/>
      <w:divBdr>
        <w:top w:val="none" w:sz="0" w:space="0" w:color="auto"/>
        <w:left w:val="none" w:sz="0" w:space="0" w:color="auto"/>
        <w:bottom w:val="none" w:sz="0" w:space="0" w:color="auto"/>
        <w:right w:val="none" w:sz="0" w:space="0" w:color="auto"/>
      </w:divBdr>
    </w:div>
    <w:div w:id="303004920">
      <w:bodyDiv w:val="1"/>
      <w:marLeft w:val="0"/>
      <w:marRight w:val="0"/>
      <w:marTop w:val="0"/>
      <w:marBottom w:val="0"/>
      <w:divBdr>
        <w:top w:val="none" w:sz="0" w:space="0" w:color="auto"/>
        <w:left w:val="none" w:sz="0" w:space="0" w:color="auto"/>
        <w:bottom w:val="none" w:sz="0" w:space="0" w:color="auto"/>
        <w:right w:val="none" w:sz="0" w:space="0" w:color="auto"/>
      </w:divBdr>
    </w:div>
    <w:div w:id="303386836">
      <w:bodyDiv w:val="1"/>
      <w:marLeft w:val="0"/>
      <w:marRight w:val="0"/>
      <w:marTop w:val="0"/>
      <w:marBottom w:val="0"/>
      <w:divBdr>
        <w:top w:val="none" w:sz="0" w:space="0" w:color="auto"/>
        <w:left w:val="none" w:sz="0" w:space="0" w:color="auto"/>
        <w:bottom w:val="none" w:sz="0" w:space="0" w:color="auto"/>
        <w:right w:val="none" w:sz="0" w:space="0" w:color="auto"/>
      </w:divBdr>
    </w:div>
    <w:div w:id="303586300">
      <w:bodyDiv w:val="1"/>
      <w:marLeft w:val="0"/>
      <w:marRight w:val="0"/>
      <w:marTop w:val="0"/>
      <w:marBottom w:val="0"/>
      <w:divBdr>
        <w:top w:val="none" w:sz="0" w:space="0" w:color="auto"/>
        <w:left w:val="none" w:sz="0" w:space="0" w:color="auto"/>
        <w:bottom w:val="none" w:sz="0" w:space="0" w:color="auto"/>
        <w:right w:val="none" w:sz="0" w:space="0" w:color="auto"/>
      </w:divBdr>
    </w:div>
    <w:div w:id="303628905">
      <w:bodyDiv w:val="1"/>
      <w:marLeft w:val="0"/>
      <w:marRight w:val="0"/>
      <w:marTop w:val="0"/>
      <w:marBottom w:val="0"/>
      <w:divBdr>
        <w:top w:val="none" w:sz="0" w:space="0" w:color="auto"/>
        <w:left w:val="none" w:sz="0" w:space="0" w:color="auto"/>
        <w:bottom w:val="none" w:sz="0" w:space="0" w:color="auto"/>
        <w:right w:val="none" w:sz="0" w:space="0" w:color="auto"/>
      </w:divBdr>
    </w:div>
    <w:div w:id="303781480">
      <w:bodyDiv w:val="1"/>
      <w:marLeft w:val="0"/>
      <w:marRight w:val="0"/>
      <w:marTop w:val="0"/>
      <w:marBottom w:val="0"/>
      <w:divBdr>
        <w:top w:val="none" w:sz="0" w:space="0" w:color="auto"/>
        <w:left w:val="none" w:sz="0" w:space="0" w:color="auto"/>
        <w:bottom w:val="none" w:sz="0" w:space="0" w:color="auto"/>
        <w:right w:val="none" w:sz="0" w:space="0" w:color="auto"/>
      </w:divBdr>
    </w:div>
    <w:div w:id="303969665">
      <w:bodyDiv w:val="1"/>
      <w:marLeft w:val="0"/>
      <w:marRight w:val="0"/>
      <w:marTop w:val="0"/>
      <w:marBottom w:val="0"/>
      <w:divBdr>
        <w:top w:val="none" w:sz="0" w:space="0" w:color="auto"/>
        <w:left w:val="none" w:sz="0" w:space="0" w:color="auto"/>
        <w:bottom w:val="none" w:sz="0" w:space="0" w:color="auto"/>
        <w:right w:val="none" w:sz="0" w:space="0" w:color="auto"/>
      </w:divBdr>
    </w:div>
    <w:div w:id="304050321">
      <w:bodyDiv w:val="1"/>
      <w:marLeft w:val="0"/>
      <w:marRight w:val="0"/>
      <w:marTop w:val="0"/>
      <w:marBottom w:val="0"/>
      <w:divBdr>
        <w:top w:val="none" w:sz="0" w:space="0" w:color="auto"/>
        <w:left w:val="none" w:sz="0" w:space="0" w:color="auto"/>
        <w:bottom w:val="none" w:sz="0" w:space="0" w:color="auto"/>
        <w:right w:val="none" w:sz="0" w:space="0" w:color="auto"/>
      </w:divBdr>
    </w:div>
    <w:div w:id="304089410">
      <w:bodyDiv w:val="1"/>
      <w:marLeft w:val="0"/>
      <w:marRight w:val="0"/>
      <w:marTop w:val="0"/>
      <w:marBottom w:val="0"/>
      <w:divBdr>
        <w:top w:val="none" w:sz="0" w:space="0" w:color="auto"/>
        <w:left w:val="none" w:sz="0" w:space="0" w:color="auto"/>
        <w:bottom w:val="none" w:sz="0" w:space="0" w:color="auto"/>
        <w:right w:val="none" w:sz="0" w:space="0" w:color="auto"/>
      </w:divBdr>
    </w:div>
    <w:div w:id="304240189">
      <w:bodyDiv w:val="1"/>
      <w:marLeft w:val="0"/>
      <w:marRight w:val="0"/>
      <w:marTop w:val="0"/>
      <w:marBottom w:val="0"/>
      <w:divBdr>
        <w:top w:val="none" w:sz="0" w:space="0" w:color="auto"/>
        <w:left w:val="none" w:sz="0" w:space="0" w:color="auto"/>
        <w:bottom w:val="none" w:sz="0" w:space="0" w:color="auto"/>
        <w:right w:val="none" w:sz="0" w:space="0" w:color="auto"/>
      </w:divBdr>
    </w:div>
    <w:div w:id="304356745">
      <w:bodyDiv w:val="1"/>
      <w:marLeft w:val="0"/>
      <w:marRight w:val="0"/>
      <w:marTop w:val="0"/>
      <w:marBottom w:val="0"/>
      <w:divBdr>
        <w:top w:val="none" w:sz="0" w:space="0" w:color="auto"/>
        <w:left w:val="none" w:sz="0" w:space="0" w:color="auto"/>
        <w:bottom w:val="none" w:sz="0" w:space="0" w:color="auto"/>
        <w:right w:val="none" w:sz="0" w:space="0" w:color="auto"/>
      </w:divBdr>
    </w:div>
    <w:div w:id="304357602">
      <w:bodyDiv w:val="1"/>
      <w:marLeft w:val="0"/>
      <w:marRight w:val="0"/>
      <w:marTop w:val="0"/>
      <w:marBottom w:val="0"/>
      <w:divBdr>
        <w:top w:val="none" w:sz="0" w:space="0" w:color="auto"/>
        <w:left w:val="none" w:sz="0" w:space="0" w:color="auto"/>
        <w:bottom w:val="none" w:sz="0" w:space="0" w:color="auto"/>
        <w:right w:val="none" w:sz="0" w:space="0" w:color="auto"/>
      </w:divBdr>
    </w:div>
    <w:div w:id="304748530">
      <w:bodyDiv w:val="1"/>
      <w:marLeft w:val="0"/>
      <w:marRight w:val="0"/>
      <w:marTop w:val="0"/>
      <w:marBottom w:val="0"/>
      <w:divBdr>
        <w:top w:val="none" w:sz="0" w:space="0" w:color="auto"/>
        <w:left w:val="none" w:sz="0" w:space="0" w:color="auto"/>
        <w:bottom w:val="none" w:sz="0" w:space="0" w:color="auto"/>
        <w:right w:val="none" w:sz="0" w:space="0" w:color="auto"/>
      </w:divBdr>
    </w:div>
    <w:div w:id="304940153">
      <w:bodyDiv w:val="1"/>
      <w:marLeft w:val="0"/>
      <w:marRight w:val="0"/>
      <w:marTop w:val="0"/>
      <w:marBottom w:val="0"/>
      <w:divBdr>
        <w:top w:val="none" w:sz="0" w:space="0" w:color="auto"/>
        <w:left w:val="none" w:sz="0" w:space="0" w:color="auto"/>
        <w:bottom w:val="none" w:sz="0" w:space="0" w:color="auto"/>
        <w:right w:val="none" w:sz="0" w:space="0" w:color="auto"/>
      </w:divBdr>
    </w:div>
    <w:div w:id="305009932">
      <w:bodyDiv w:val="1"/>
      <w:marLeft w:val="0"/>
      <w:marRight w:val="0"/>
      <w:marTop w:val="0"/>
      <w:marBottom w:val="0"/>
      <w:divBdr>
        <w:top w:val="none" w:sz="0" w:space="0" w:color="auto"/>
        <w:left w:val="none" w:sz="0" w:space="0" w:color="auto"/>
        <w:bottom w:val="none" w:sz="0" w:space="0" w:color="auto"/>
        <w:right w:val="none" w:sz="0" w:space="0" w:color="auto"/>
      </w:divBdr>
    </w:div>
    <w:div w:id="305010427">
      <w:bodyDiv w:val="1"/>
      <w:marLeft w:val="0"/>
      <w:marRight w:val="0"/>
      <w:marTop w:val="0"/>
      <w:marBottom w:val="0"/>
      <w:divBdr>
        <w:top w:val="none" w:sz="0" w:space="0" w:color="auto"/>
        <w:left w:val="none" w:sz="0" w:space="0" w:color="auto"/>
        <w:bottom w:val="none" w:sz="0" w:space="0" w:color="auto"/>
        <w:right w:val="none" w:sz="0" w:space="0" w:color="auto"/>
      </w:divBdr>
    </w:div>
    <w:div w:id="305011062">
      <w:bodyDiv w:val="1"/>
      <w:marLeft w:val="0"/>
      <w:marRight w:val="0"/>
      <w:marTop w:val="0"/>
      <w:marBottom w:val="0"/>
      <w:divBdr>
        <w:top w:val="none" w:sz="0" w:space="0" w:color="auto"/>
        <w:left w:val="none" w:sz="0" w:space="0" w:color="auto"/>
        <w:bottom w:val="none" w:sz="0" w:space="0" w:color="auto"/>
        <w:right w:val="none" w:sz="0" w:space="0" w:color="auto"/>
      </w:divBdr>
    </w:div>
    <w:div w:id="305401343">
      <w:bodyDiv w:val="1"/>
      <w:marLeft w:val="0"/>
      <w:marRight w:val="0"/>
      <w:marTop w:val="0"/>
      <w:marBottom w:val="0"/>
      <w:divBdr>
        <w:top w:val="none" w:sz="0" w:space="0" w:color="auto"/>
        <w:left w:val="none" w:sz="0" w:space="0" w:color="auto"/>
        <w:bottom w:val="none" w:sz="0" w:space="0" w:color="auto"/>
        <w:right w:val="none" w:sz="0" w:space="0" w:color="auto"/>
      </w:divBdr>
    </w:div>
    <w:div w:id="305862222">
      <w:bodyDiv w:val="1"/>
      <w:marLeft w:val="0"/>
      <w:marRight w:val="0"/>
      <w:marTop w:val="0"/>
      <w:marBottom w:val="0"/>
      <w:divBdr>
        <w:top w:val="none" w:sz="0" w:space="0" w:color="auto"/>
        <w:left w:val="none" w:sz="0" w:space="0" w:color="auto"/>
        <w:bottom w:val="none" w:sz="0" w:space="0" w:color="auto"/>
        <w:right w:val="none" w:sz="0" w:space="0" w:color="auto"/>
      </w:divBdr>
    </w:div>
    <w:div w:id="305937645">
      <w:bodyDiv w:val="1"/>
      <w:marLeft w:val="0"/>
      <w:marRight w:val="0"/>
      <w:marTop w:val="0"/>
      <w:marBottom w:val="0"/>
      <w:divBdr>
        <w:top w:val="none" w:sz="0" w:space="0" w:color="auto"/>
        <w:left w:val="none" w:sz="0" w:space="0" w:color="auto"/>
        <w:bottom w:val="none" w:sz="0" w:space="0" w:color="auto"/>
        <w:right w:val="none" w:sz="0" w:space="0" w:color="auto"/>
      </w:divBdr>
    </w:div>
    <w:div w:id="306054351">
      <w:bodyDiv w:val="1"/>
      <w:marLeft w:val="0"/>
      <w:marRight w:val="0"/>
      <w:marTop w:val="0"/>
      <w:marBottom w:val="0"/>
      <w:divBdr>
        <w:top w:val="none" w:sz="0" w:space="0" w:color="auto"/>
        <w:left w:val="none" w:sz="0" w:space="0" w:color="auto"/>
        <w:bottom w:val="none" w:sz="0" w:space="0" w:color="auto"/>
        <w:right w:val="none" w:sz="0" w:space="0" w:color="auto"/>
      </w:divBdr>
    </w:div>
    <w:div w:id="306135339">
      <w:bodyDiv w:val="1"/>
      <w:marLeft w:val="0"/>
      <w:marRight w:val="0"/>
      <w:marTop w:val="0"/>
      <w:marBottom w:val="0"/>
      <w:divBdr>
        <w:top w:val="none" w:sz="0" w:space="0" w:color="auto"/>
        <w:left w:val="none" w:sz="0" w:space="0" w:color="auto"/>
        <w:bottom w:val="none" w:sz="0" w:space="0" w:color="auto"/>
        <w:right w:val="none" w:sz="0" w:space="0" w:color="auto"/>
      </w:divBdr>
    </w:div>
    <w:div w:id="306325195">
      <w:bodyDiv w:val="1"/>
      <w:marLeft w:val="0"/>
      <w:marRight w:val="0"/>
      <w:marTop w:val="0"/>
      <w:marBottom w:val="0"/>
      <w:divBdr>
        <w:top w:val="none" w:sz="0" w:space="0" w:color="auto"/>
        <w:left w:val="none" w:sz="0" w:space="0" w:color="auto"/>
        <w:bottom w:val="none" w:sz="0" w:space="0" w:color="auto"/>
        <w:right w:val="none" w:sz="0" w:space="0" w:color="auto"/>
      </w:divBdr>
    </w:div>
    <w:div w:id="306477345">
      <w:bodyDiv w:val="1"/>
      <w:marLeft w:val="0"/>
      <w:marRight w:val="0"/>
      <w:marTop w:val="0"/>
      <w:marBottom w:val="0"/>
      <w:divBdr>
        <w:top w:val="none" w:sz="0" w:space="0" w:color="auto"/>
        <w:left w:val="none" w:sz="0" w:space="0" w:color="auto"/>
        <w:bottom w:val="none" w:sz="0" w:space="0" w:color="auto"/>
        <w:right w:val="none" w:sz="0" w:space="0" w:color="auto"/>
      </w:divBdr>
    </w:div>
    <w:div w:id="306712359">
      <w:bodyDiv w:val="1"/>
      <w:marLeft w:val="0"/>
      <w:marRight w:val="0"/>
      <w:marTop w:val="0"/>
      <w:marBottom w:val="0"/>
      <w:divBdr>
        <w:top w:val="none" w:sz="0" w:space="0" w:color="auto"/>
        <w:left w:val="none" w:sz="0" w:space="0" w:color="auto"/>
        <w:bottom w:val="none" w:sz="0" w:space="0" w:color="auto"/>
        <w:right w:val="none" w:sz="0" w:space="0" w:color="auto"/>
      </w:divBdr>
    </w:div>
    <w:div w:id="307173041">
      <w:bodyDiv w:val="1"/>
      <w:marLeft w:val="0"/>
      <w:marRight w:val="0"/>
      <w:marTop w:val="0"/>
      <w:marBottom w:val="0"/>
      <w:divBdr>
        <w:top w:val="none" w:sz="0" w:space="0" w:color="auto"/>
        <w:left w:val="none" w:sz="0" w:space="0" w:color="auto"/>
        <w:bottom w:val="none" w:sz="0" w:space="0" w:color="auto"/>
        <w:right w:val="none" w:sz="0" w:space="0" w:color="auto"/>
      </w:divBdr>
    </w:div>
    <w:div w:id="307514491">
      <w:bodyDiv w:val="1"/>
      <w:marLeft w:val="0"/>
      <w:marRight w:val="0"/>
      <w:marTop w:val="0"/>
      <w:marBottom w:val="0"/>
      <w:divBdr>
        <w:top w:val="none" w:sz="0" w:space="0" w:color="auto"/>
        <w:left w:val="none" w:sz="0" w:space="0" w:color="auto"/>
        <w:bottom w:val="none" w:sz="0" w:space="0" w:color="auto"/>
        <w:right w:val="none" w:sz="0" w:space="0" w:color="auto"/>
      </w:divBdr>
    </w:div>
    <w:div w:id="307825684">
      <w:bodyDiv w:val="1"/>
      <w:marLeft w:val="0"/>
      <w:marRight w:val="0"/>
      <w:marTop w:val="0"/>
      <w:marBottom w:val="0"/>
      <w:divBdr>
        <w:top w:val="none" w:sz="0" w:space="0" w:color="auto"/>
        <w:left w:val="none" w:sz="0" w:space="0" w:color="auto"/>
        <w:bottom w:val="none" w:sz="0" w:space="0" w:color="auto"/>
        <w:right w:val="none" w:sz="0" w:space="0" w:color="auto"/>
      </w:divBdr>
    </w:div>
    <w:div w:id="307827440">
      <w:bodyDiv w:val="1"/>
      <w:marLeft w:val="0"/>
      <w:marRight w:val="0"/>
      <w:marTop w:val="0"/>
      <w:marBottom w:val="0"/>
      <w:divBdr>
        <w:top w:val="none" w:sz="0" w:space="0" w:color="auto"/>
        <w:left w:val="none" w:sz="0" w:space="0" w:color="auto"/>
        <w:bottom w:val="none" w:sz="0" w:space="0" w:color="auto"/>
        <w:right w:val="none" w:sz="0" w:space="0" w:color="auto"/>
      </w:divBdr>
    </w:div>
    <w:div w:id="307979156">
      <w:bodyDiv w:val="1"/>
      <w:marLeft w:val="0"/>
      <w:marRight w:val="0"/>
      <w:marTop w:val="0"/>
      <w:marBottom w:val="0"/>
      <w:divBdr>
        <w:top w:val="none" w:sz="0" w:space="0" w:color="auto"/>
        <w:left w:val="none" w:sz="0" w:space="0" w:color="auto"/>
        <w:bottom w:val="none" w:sz="0" w:space="0" w:color="auto"/>
        <w:right w:val="none" w:sz="0" w:space="0" w:color="auto"/>
      </w:divBdr>
    </w:div>
    <w:div w:id="308172331">
      <w:bodyDiv w:val="1"/>
      <w:marLeft w:val="0"/>
      <w:marRight w:val="0"/>
      <w:marTop w:val="0"/>
      <w:marBottom w:val="0"/>
      <w:divBdr>
        <w:top w:val="none" w:sz="0" w:space="0" w:color="auto"/>
        <w:left w:val="none" w:sz="0" w:space="0" w:color="auto"/>
        <w:bottom w:val="none" w:sz="0" w:space="0" w:color="auto"/>
        <w:right w:val="none" w:sz="0" w:space="0" w:color="auto"/>
      </w:divBdr>
    </w:div>
    <w:div w:id="308286388">
      <w:bodyDiv w:val="1"/>
      <w:marLeft w:val="0"/>
      <w:marRight w:val="0"/>
      <w:marTop w:val="0"/>
      <w:marBottom w:val="0"/>
      <w:divBdr>
        <w:top w:val="none" w:sz="0" w:space="0" w:color="auto"/>
        <w:left w:val="none" w:sz="0" w:space="0" w:color="auto"/>
        <w:bottom w:val="none" w:sz="0" w:space="0" w:color="auto"/>
        <w:right w:val="none" w:sz="0" w:space="0" w:color="auto"/>
      </w:divBdr>
    </w:div>
    <w:div w:id="308367522">
      <w:bodyDiv w:val="1"/>
      <w:marLeft w:val="0"/>
      <w:marRight w:val="0"/>
      <w:marTop w:val="0"/>
      <w:marBottom w:val="0"/>
      <w:divBdr>
        <w:top w:val="none" w:sz="0" w:space="0" w:color="auto"/>
        <w:left w:val="none" w:sz="0" w:space="0" w:color="auto"/>
        <w:bottom w:val="none" w:sz="0" w:space="0" w:color="auto"/>
        <w:right w:val="none" w:sz="0" w:space="0" w:color="auto"/>
      </w:divBdr>
    </w:div>
    <w:div w:id="308442742">
      <w:bodyDiv w:val="1"/>
      <w:marLeft w:val="0"/>
      <w:marRight w:val="0"/>
      <w:marTop w:val="0"/>
      <w:marBottom w:val="0"/>
      <w:divBdr>
        <w:top w:val="none" w:sz="0" w:space="0" w:color="auto"/>
        <w:left w:val="none" w:sz="0" w:space="0" w:color="auto"/>
        <w:bottom w:val="none" w:sz="0" w:space="0" w:color="auto"/>
        <w:right w:val="none" w:sz="0" w:space="0" w:color="auto"/>
      </w:divBdr>
    </w:div>
    <w:div w:id="308630356">
      <w:bodyDiv w:val="1"/>
      <w:marLeft w:val="0"/>
      <w:marRight w:val="0"/>
      <w:marTop w:val="0"/>
      <w:marBottom w:val="0"/>
      <w:divBdr>
        <w:top w:val="none" w:sz="0" w:space="0" w:color="auto"/>
        <w:left w:val="none" w:sz="0" w:space="0" w:color="auto"/>
        <w:bottom w:val="none" w:sz="0" w:space="0" w:color="auto"/>
        <w:right w:val="none" w:sz="0" w:space="0" w:color="auto"/>
      </w:divBdr>
    </w:div>
    <w:div w:id="308828406">
      <w:bodyDiv w:val="1"/>
      <w:marLeft w:val="0"/>
      <w:marRight w:val="0"/>
      <w:marTop w:val="0"/>
      <w:marBottom w:val="0"/>
      <w:divBdr>
        <w:top w:val="none" w:sz="0" w:space="0" w:color="auto"/>
        <w:left w:val="none" w:sz="0" w:space="0" w:color="auto"/>
        <w:bottom w:val="none" w:sz="0" w:space="0" w:color="auto"/>
        <w:right w:val="none" w:sz="0" w:space="0" w:color="auto"/>
      </w:divBdr>
    </w:div>
    <w:div w:id="309021022">
      <w:bodyDiv w:val="1"/>
      <w:marLeft w:val="0"/>
      <w:marRight w:val="0"/>
      <w:marTop w:val="0"/>
      <w:marBottom w:val="0"/>
      <w:divBdr>
        <w:top w:val="none" w:sz="0" w:space="0" w:color="auto"/>
        <w:left w:val="none" w:sz="0" w:space="0" w:color="auto"/>
        <w:bottom w:val="none" w:sz="0" w:space="0" w:color="auto"/>
        <w:right w:val="none" w:sz="0" w:space="0" w:color="auto"/>
      </w:divBdr>
    </w:div>
    <w:div w:id="309332508">
      <w:bodyDiv w:val="1"/>
      <w:marLeft w:val="0"/>
      <w:marRight w:val="0"/>
      <w:marTop w:val="0"/>
      <w:marBottom w:val="0"/>
      <w:divBdr>
        <w:top w:val="none" w:sz="0" w:space="0" w:color="auto"/>
        <w:left w:val="none" w:sz="0" w:space="0" w:color="auto"/>
        <w:bottom w:val="none" w:sz="0" w:space="0" w:color="auto"/>
        <w:right w:val="none" w:sz="0" w:space="0" w:color="auto"/>
      </w:divBdr>
    </w:div>
    <w:div w:id="309940059">
      <w:bodyDiv w:val="1"/>
      <w:marLeft w:val="0"/>
      <w:marRight w:val="0"/>
      <w:marTop w:val="0"/>
      <w:marBottom w:val="0"/>
      <w:divBdr>
        <w:top w:val="none" w:sz="0" w:space="0" w:color="auto"/>
        <w:left w:val="none" w:sz="0" w:space="0" w:color="auto"/>
        <w:bottom w:val="none" w:sz="0" w:space="0" w:color="auto"/>
        <w:right w:val="none" w:sz="0" w:space="0" w:color="auto"/>
      </w:divBdr>
    </w:div>
    <w:div w:id="310141551">
      <w:bodyDiv w:val="1"/>
      <w:marLeft w:val="0"/>
      <w:marRight w:val="0"/>
      <w:marTop w:val="0"/>
      <w:marBottom w:val="0"/>
      <w:divBdr>
        <w:top w:val="none" w:sz="0" w:space="0" w:color="auto"/>
        <w:left w:val="none" w:sz="0" w:space="0" w:color="auto"/>
        <w:bottom w:val="none" w:sz="0" w:space="0" w:color="auto"/>
        <w:right w:val="none" w:sz="0" w:space="0" w:color="auto"/>
      </w:divBdr>
    </w:div>
    <w:div w:id="310184139">
      <w:bodyDiv w:val="1"/>
      <w:marLeft w:val="0"/>
      <w:marRight w:val="0"/>
      <w:marTop w:val="0"/>
      <w:marBottom w:val="0"/>
      <w:divBdr>
        <w:top w:val="none" w:sz="0" w:space="0" w:color="auto"/>
        <w:left w:val="none" w:sz="0" w:space="0" w:color="auto"/>
        <w:bottom w:val="none" w:sz="0" w:space="0" w:color="auto"/>
        <w:right w:val="none" w:sz="0" w:space="0" w:color="auto"/>
      </w:divBdr>
    </w:div>
    <w:div w:id="310254463">
      <w:bodyDiv w:val="1"/>
      <w:marLeft w:val="0"/>
      <w:marRight w:val="0"/>
      <w:marTop w:val="0"/>
      <w:marBottom w:val="0"/>
      <w:divBdr>
        <w:top w:val="none" w:sz="0" w:space="0" w:color="auto"/>
        <w:left w:val="none" w:sz="0" w:space="0" w:color="auto"/>
        <w:bottom w:val="none" w:sz="0" w:space="0" w:color="auto"/>
        <w:right w:val="none" w:sz="0" w:space="0" w:color="auto"/>
      </w:divBdr>
    </w:div>
    <w:div w:id="310326530">
      <w:bodyDiv w:val="1"/>
      <w:marLeft w:val="0"/>
      <w:marRight w:val="0"/>
      <w:marTop w:val="0"/>
      <w:marBottom w:val="0"/>
      <w:divBdr>
        <w:top w:val="none" w:sz="0" w:space="0" w:color="auto"/>
        <w:left w:val="none" w:sz="0" w:space="0" w:color="auto"/>
        <w:bottom w:val="none" w:sz="0" w:space="0" w:color="auto"/>
        <w:right w:val="none" w:sz="0" w:space="0" w:color="auto"/>
      </w:divBdr>
    </w:div>
    <w:div w:id="310406725">
      <w:bodyDiv w:val="1"/>
      <w:marLeft w:val="0"/>
      <w:marRight w:val="0"/>
      <w:marTop w:val="0"/>
      <w:marBottom w:val="0"/>
      <w:divBdr>
        <w:top w:val="none" w:sz="0" w:space="0" w:color="auto"/>
        <w:left w:val="none" w:sz="0" w:space="0" w:color="auto"/>
        <w:bottom w:val="none" w:sz="0" w:space="0" w:color="auto"/>
        <w:right w:val="none" w:sz="0" w:space="0" w:color="auto"/>
      </w:divBdr>
    </w:div>
    <w:div w:id="310444064">
      <w:bodyDiv w:val="1"/>
      <w:marLeft w:val="0"/>
      <w:marRight w:val="0"/>
      <w:marTop w:val="0"/>
      <w:marBottom w:val="0"/>
      <w:divBdr>
        <w:top w:val="none" w:sz="0" w:space="0" w:color="auto"/>
        <w:left w:val="none" w:sz="0" w:space="0" w:color="auto"/>
        <w:bottom w:val="none" w:sz="0" w:space="0" w:color="auto"/>
        <w:right w:val="none" w:sz="0" w:space="0" w:color="auto"/>
      </w:divBdr>
    </w:div>
    <w:div w:id="310448576">
      <w:bodyDiv w:val="1"/>
      <w:marLeft w:val="0"/>
      <w:marRight w:val="0"/>
      <w:marTop w:val="0"/>
      <w:marBottom w:val="0"/>
      <w:divBdr>
        <w:top w:val="none" w:sz="0" w:space="0" w:color="auto"/>
        <w:left w:val="none" w:sz="0" w:space="0" w:color="auto"/>
        <w:bottom w:val="none" w:sz="0" w:space="0" w:color="auto"/>
        <w:right w:val="none" w:sz="0" w:space="0" w:color="auto"/>
      </w:divBdr>
    </w:div>
    <w:div w:id="310718250">
      <w:bodyDiv w:val="1"/>
      <w:marLeft w:val="0"/>
      <w:marRight w:val="0"/>
      <w:marTop w:val="0"/>
      <w:marBottom w:val="0"/>
      <w:divBdr>
        <w:top w:val="none" w:sz="0" w:space="0" w:color="auto"/>
        <w:left w:val="none" w:sz="0" w:space="0" w:color="auto"/>
        <w:bottom w:val="none" w:sz="0" w:space="0" w:color="auto"/>
        <w:right w:val="none" w:sz="0" w:space="0" w:color="auto"/>
      </w:divBdr>
    </w:div>
    <w:div w:id="310985140">
      <w:bodyDiv w:val="1"/>
      <w:marLeft w:val="0"/>
      <w:marRight w:val="0"/>
      <w:marTop w:val="0"/>
      <w:marBottom w:val="0"/>
      <w:divBdr>
        <w:top w:val="none" w:sz="0" w:space="0" w:color="auto"/>
        <w:left w:val="none" w:sz="0" w:space="0" w:color="auto"/>
        <w:bottom w:val="none" w:sz="0" w:space="0" w:color="auto"/>
        <w:right w:val="none" w:sz="0" w:space="0" w:color="auto"/>
      </w:divBdr>
    </w:div>
    <w:div w:id="310989102">
      <w:bodyDiv w:val="1"/>
      <w:marLeft w:val="0"/>
      <w:marRight w:val="0"/>
      <w:marTop w:val="0"/>
      <w:marBottom w:val="0"/>
      <w:divBdr>
        <w:top w:val="none" w:sz="0" w:space="0" w:color="auto"/>
        <w:left w:val="none" w:sz="0" w:space="0" w:color="auto"/>
        <w:bottom w:val="none" w:sz="0" w:space="0" w:color="auto"/>
        <w:right w:val="none" w:sz="0" w:space="0" w:color="auto"/>
      </w:divBdr>
    </w:div>
    <w:div w:id="310990359">
      <w:bodyDiv w:val="1"/>
      <w:marLeft w:val="0"/>
      <w:marRight w:val="0"/>
      <w:marTop w:val="0"/>
      <w:marBottom w:val="0"/>
      <w:divBdr>
        <w:top w:val="none" w:sz="0" w:space="0" w:color="auto"/>
        <w:left w:val="none" w:sz="0" w:space="0" w:color="auto"/>
        <w:bottom w:val="none" w:sz="0" w:space="0" w:color="auto"/>
        <w:right w:val="none" w:sz="0" w:space="0" w:color="auto"/>
      </w:divBdr>
    </w:div>
    <w:div w:id="311059111">
      <w:bodyDiv w:val="1"/>
      <w:marLeft w:val="0"/>
      <w:marRight w:val="0"/>
      <w:marTop w:val="0"/>
      <w:marBottom w:val="0"/>
      <w:divBdr>
        <w:top w:val="none" w:sz="0" w:space="0" w:color="auto"/>
        <w:left w:val="none" w:sz="0" w:space="0" w:color="auto"/>
        <w:bottom w:val="none" w:sz="0" w:space="0" w:color="auto"/>
        <w:right w:val="none" w:sz="0" w:space="0" w:color="auto"/>
      </w:divBdr>
    </w:div>
    <w:div w:id="311298127">
      <w:bodyDiv w:val="1"/>
      <w:marLeft w:val="0"/>
      <w:marRight w:val="0"/>
      <w:marTop w:val="0"/>
      <w:marBottom w:val="0"/>
      <w:divBdr>
        <w:top w:val="none" w:sz="0" w:space="0" w:color="auto"/>
        <w:left w:val="none" w:sz="0" w:space="0" w:color="auto"/>
        <w:bottom w:val="none" w:sz="0" w:space="0" w:color="auto"/>
        <w:right w:val="none" w:sz="0" w:space="0" w:color="auto"/>
      </w:divBdr>
    </w:div>
    <w:div w:id="311374259">
      <w:bodyDiv w:val="1"/>
      <w:marLeft w:val="0"/>
      <w:marRight w:val="0"/>
      <w:marTop w:val="0"/>
      <w:marBottom w:val="0"/>
      <w:divBdr>
        <w:top w:val="none" w:sz="0" w:space="0" w:color="auto"/>
        <w:left w:val="none" w:sz="0" w:space="0" w:color="auto"/>
        <w:bottom w:val="none" w:sz="0" w:space="0" w:color="auto"/>
        <w:right w:val="none" w:sz="0" w:space="0" w:color="auto"/>
      </w:divBdr>
    </w:div>
    <w:div w:id="311377516">
      <w:bodyDiv w:val="1"/>
      <w:marLeft w:val="0"/>
      <w:marRight w:val="0"/>
      <w:marTop w:val="0"/>
      <w:marBottom w:val="0"/>
      <w:divBdr>
        <w:top w:val="none" w:sz="0" w:space="0" w:color="auto"/>
        <w:left w:val="none" w:sz="0" w:space="0" w:color="auto"/>
        <w:bottom w:val="none" w:sz="0" w:space="0" w:color="auto"/>
        <w:right w:val="none" w:sz="0" w:space="0" w:color="auto"/>
      </w:divBdr>
    </w:div>
    <w:div w:id="311521480">
      <w:bodyDiv w:val="1"/>
      <w:marLeft w:val="0"/>
      <w:marRight w:val="0"/>
      <w:marTop w:val="0"/>
      <w:marBottom w:val="0"/>
      <w:divBdr>
        <w:top w:val="none" w:sz="0" w:space="0" w:color="auto"/>
        <w:left w:val="none" w:sz="0" w:space="0" w:color="auto"/>
        <w:bottom w:val="none" w:sz="0" w:space="0" w:color="auto"/>
        <w:right w:val="none" w:sz="0" w:space="0" w:color="auto"/>
      </w:divBdr>
    </w:div>
    <w:div w:id="311954942">
      <w:bodyDiv w:val="1"/>
      <w:marLeft w:val="0"/>
      <w:marRight w:val="0"/>
      <w:marTop w:val="0"/>
      <w:marBottom w:val="0"/>
      <w:divBdr>
        <w:top w:val="none" w:sz="0" w:space="0" w:color="auto"/>
        <w:left w:val="none" w:sz="0" w:space="0" w:color="auto"/>
        <w:bottom w:val="none" w:sz="0" w:space="0" w:color="auto"/>
        <w:right w:val="none" w:sz="0" w:space="0" w:color="auto"/>
      </w:divBdr>
    </w:div>
    <w:div w:id="312225084">
      <w:bodyDiv w:val="1"/>
      <w:marLeft w:val="0"/>
      <w:marRight w:val="0"/>
      <w:marTop w:val="0"/>
      <w:marBottom w:val="0"/>
      <w:divBdr>
        <w:top w:val="none" w:sz="0" w:space="0" w:color="auto"/>
        <w:left w:val="none" w:sz="0" w:space="0" w:color="auto"/>
        <w:bottom w:val="none" w:sz="0" w:space="0" w:color="auto"/>
        <w:right w:val="none" w:sz="0" w:space="0" w:color="auto"/>
      </w:divBdr>
    </w:div>
    <w:div w:id="312418999">
      <w:bodyDiv w:val="1"/>
      <w:marLeft w:val="0"/>
      <w:marRight w:val="0"/>
      <w:marTop w:val="0"/>
      <w:marBottom w:val="0"/>
      <w:divBdr>
        <w:top w:val="none" w:sz="0" w:space="0" w:color="auto"/>
        <w:left w:val="none" w:sz="0" w:space="0" w:color="auto"/>
        <w:bottom w:val="none" w:sz="0" w:space="0" w:color="auto"/>
        <w:right w:val="none" w:sz="0" w:space="0" w:color="auto"/>
      </w:divBdr>
    </w:div>
    <w:div w:id="312566558">
      <w:bodyDiv w:val="1"/>
      <w:marLeft w:val="0"/>
      <w:marRight w:val="0"/>
      <w:marTop w:val="0"/>
      <w:marBottom w:val="0"/>
      <w:divBdr>
        <w:top w:val="none" w:sz="0" w:space="0" w:color="auto"/>
        <w:left w:val="none" w:sz="0" w:space="0" w:color="auto"/>
        <w:bottom w:val="none" w:sz="0" w:space="0" w:color="auto"/>
        <w:right w:val="none" w:sz="0" w:space="0" w:color="auto"/>
      </w:divBdr>
    </w:div>
    <w:div w:id="312608460">
      <w:bodyDiv w:val="1"/>
      <w:marLeft w:val="0"/>
      <w:marRight w:val="0"/>
      <w:marTop w:val="0"/>
      <w:marBottom w:val="0"/>
      <w:divBdr>
        <w:top w:val="none" w:sz="0" w:space="0" w:color="auto"/>
        <w:left w:val="none" w:sz="0" w:space="0" w:color="auto"/>
        <w:bottom w:val="none" w:sz="0" w:space="0" w:color="auto"/>
        <w:right w:val="none" w:sz="0" w:space="0" w:color="auto"/>
      </w:divBdr>
    </w:div>
    <w:div w:id="312760893">
      <w:bodyDiv w:val="1"/>
      <w:marLeft w:val="0"/>
      <w:marRight w:val="0"/>
      <w:marTop w:val="0"/>
      <w:marBottom w:val="0"/>
      <w:divBdr>
        <w:top w:val="none" w:sz="0" w:space="0" w:color="auto"/>
        <w:left w:val="none" w:sz="0" w:space="0" w:color="auto"/>
        <w:bottom w:val="none" w:sz="0" w:space="0" w:color="auto"/>
        <w:right w:val="none" w:sz="0" w:space="0" w:color="auto"/>
      </w:divBdr>
    </w:div>
    <w:div w:id="312804841">
      <w:bodyDiv w:val="1"/>
      <w:marLeft w:val="0"/>
      <w:marRight w:val="0"/>
      <w:marTop w:val="0"/>
      <w:marBottom w:val="0"/>
      <w:divBdr>
        <w:top w:val="none" w:sz="0" w:space="0" w:color="auto"/>
        <w:left w:val="none" w:sz="0" w:space="0" w:color="auto"/>
        <w:bottom w:val="none" w:sz="0" w:space="0" w:color="auto"/>
        <w:right w:val="none" w:sz="0" w:space="0" w:color="auto"/>
      </w:divBdr>
    </w:div>
    <w:div w:id="313224770">
      <w:bodyDiv w:val="1"/>
      <w:marLeft w:val="0"/>
      <w:marRight w:val="0"/>
      <w:marTop w:val="0"/>
      <w:marBottom w:val="0"/>
      <w:divBdr>
        <w:top w:val="none" w:sz="0" w:space="0" w:color="auto"/>
        <w:left w:val="none" w:sz="0" w:space="0" w:color="auto"/>
        <w:bottom w:val="none" w:sz="0" w:space="0" w:color="auto"/>
        <w:right w:val="none" w:sz="0" w:space="0" w:color="auto"/>
      </w:divBdr>
    </w:div>
    <w:div w:id="313339766">
      <w:bodyDiv w:val="1"/>
      <w:marLeft w:val="0"/>
      <w:marRight w:val="0"/>
      <w:marTop w:val="0"/>
      <w:marBottom w:val="0"/>
      <w:divBdr>
        <w:top w:val="none" w:sz="0" w:space="0" w:color="auto"/>
        <w:left w:val="none" w:sz="0" w:space="0" w:color="auto"/>
        <w:bottom w:val="none" w:sz="0" w:space="0" w:color="auto"/>
        <w:right w:val="none" w:sz="0" w:space="0" w:color="auto"/>
      </w:divBdr>
    </w:div>
    <w:div w:id="313409462">
      <w:bodyDiv w:val="1"/>
      <w:marLeft w:val="0"/>
      <w:marRight w:val="0"/>
      <w:marTop w:val="0"/>
      <w:marBottom w:val="0"/>
      <w:divBdr>
        <w:top w:val="none" w:sz="0" w:space="0" w:color="auto"/>
        <w:left w:val="none" w:sz="0" w:space="0" w:color="auto"/>
        <w:bottom w:val="none" w:sz="0" w:space="0" w:color="auto"/>
        <w:right w:val="none" w:sz="0" w:space="0" w:color="auto"/>
      </w:divBdr>
    </w:div>
    <w:div w:id="313604971">
      <w:bodyDiv w:val="1"/>
      <w:marLeft w:val="0"/>
      <w:marRight w:val="0"/>
      <w:marTop w:val="0"/>
      <w:marBottom w:val="0"/>
      <w:divBdr>
        <w:top w:val="none" w:sz="0" w:space="0" w:color="auto"/>
        <w:left w:val="none" w:sz="0" w:space="0" w:color="auto"/>
        <w:bottom w:val="none" w:sz="0" w:space="0" w:color="auto"/>
        <w:right w:val="none" w:sz="0" w:space="0" w:color="auto"/>
      </w:divBdr>
    </w:div>
    <w:div w:id="313680047">
      <w:bodyDiv w:val="1"/>
      <w:marLeft w:val="0"/>
      <w:marRight w:val="0"/>
      <w:marTop w:val="0"/>
      <w:marBottom w:val="0"/>
      <w:divBdr>
        <w:top w:val="none" w:sz="0" w:space="0" w:color="auto"/>
        <w:left w:val="none" w:sz="0" w:space="0" w:color="auto"/>
        <w:bottom w:val="none" w:sz="0" w:space="0" w:color="auto"/>
        <w:right w:val="none" w:sz="0" w:space="0" w:color="auto"/>
      </w:divBdr>
    </w:div>
    <w:div w:id="313753125">
      <w:bodyDiv w:val="1"/>
      <w:marLeft w:val="0"/>
      <w:marRight w:val="0"/>
      <w:marTop w:val="0"/>
      <w:marBottom w:val="0"/>
      <w:divBdr>
        <w:top w:val="none" w:sz="0" w:space="0" w:color="auto"/>
        <w:left w:val="none" w:sz="0" w:space="0" w:color="auto"/>
        <w:bottom w:val="none" w:sz="0" w:space="0" w:color="auto"/>
        <w:right w:val="none" w:sz="0" w:space="0" w:color="auto"/>
      </w:divBdr>
    </w:div>
    <w:div w:id="314184339">
      <w:bodyDiv w:val="1"/>
      <w:marLeft w:val="0"/>
      <w:marRight w:val="0"/>
      <w:marTop w:val="0"/>
      <w:marBottom w:val="0"/>
      <w:divBdr>
        <w:top w:val="none" w:sz="0" w:space="0" w:color="auto"/>
        <w:left w:val="none" w:sz="0" w:space="0" w:color="auto"/>
        <w:bottom w:val="none" w:sz="0" w:space="0" w:color="auto"/>
        <w:right w:val="none" w:sz="0" w:space="0" w:color="auto"/>
      </w:divBdr>
    </w:div>
    <w:div w:id="314264777">
      <w:bodyDiv w:val="1"/>
      <w:marLeft w:val="0"/>
      <w:marRight w:val="0"/>
      <w:marTop w:val="0"/>
      <w:marBottom w:val="0"/>
      <w:divBdr>
        <w:top w:val="none" w:sz="0" w:space="0" w:color="auto"/>
        <w:left w:val="none" w:sz="0" w:space="0" w:color="auto"/>
        <w:bottom w:val="none" w:sz="0" w:space="0" w:color="auto"/>
        <w:right w:val="none" w:sz="0" w:space="0" w:color="auto"/>
      </w:divBdr>
    </w:div>
    <w:div w:id="314265923">
      <w:bodyDiv w:val="1"/>
      <w:marLeft w:val="0"/>
      <w:marRight w:val="0"/>
      <w:marTop w:val="0"/>
      <w:marBottom w:val="0"/>
      <w:divBdr>
        <w:top w:val="none" w:sz="0" w:space="0" w:color="auto"/>
        <w:left w:val="none" w:sz="0" w:space="0" w:color="auto"/>
        <w:bottom w:val="none" w:sz="0" w:space="0" w:color="auto"/>
        <w:right w:val="none" w:sz="0" w:space="0" w:color="auto"/>
      </w:divBdr>
    </w:div>
    <w:div w:id="314341139">
      <w:bodyDiv w:val="1"/>
      <w:marLeft w:val="0"/>
      <w:marRight w:val="0"/>
      <w:marTop w:val="0"/>
      <w:marBottom w:val="0"/>
      <w:divBdr>
        <w:top w:val="none" w:sz="0" w:space="0" w:color="auto"/>
        <w:left w:val="none" w:sz="0" w:space="0" w:color="auto"/>
        <w:bottom w:val="none" w:sz="0" w:space="0" w:color="auto"/>
        <w:right w:val="none" w:sz="0" w:space="0" w:color="auto"/>
      </w:divBdr>
    </w:div>
    <w:div w:id="314456661">
      <w:bodyDiv w:val="1"/>
      <w:marLeft w:val="0"/>
      <w:marRight w:val="0"/>
      <w:marTop w:val="0"/>
      <w:marBottom w:val="0"/>
      <w:divBdr>
        <w:top w:val="none" w:sz="0" w:space="0" w:color="auto"/>
        <w:left w:val="none" w:sz="0" w:space="0" w:color="auto"/>
        <w:bottom w:val="none" w:sz="0" w:space="0" w:color="auto"/>
        <w:right w:val="none" w:sz="0" w:space="0" w:color="auto"/>
      </w:divBdr>
    </w:div>
    <w:div w:id="314459320">
      <w:bodyDiv w:val="1"/>
      <w:marLeft w:val="0"/>
      <w:marRight w:val="0"/>
      <w:marTop w:val="0"/>
      <w:marBottom w:val="0"/>
      <w:divBdr>
        <w:top w:val="none" w:sz="0" w:space="0" w:color="auto"/>
        <w:left w:val="none" w:sz="0" w:space="0" w:color="auto"/>
        <w:bottom w:val="none" w:sz="0" w:space="0" w:color="auto"/>
        <w:right w:val="none" w:sz="0" w:space="0" w:color="auto"/>
      </w:divBdr>
    </w:div>
    <w:div w:id="314527944">
      <w:bodyDiv w:val="1"/>
      <w:marLeft w:val="0"/>
      <w:marRight w:val="0"/>
      <w:marTop w:val="0"/>
      <w:marBottom w:val="0"/>
      <w:divBdr>
        <w:top w:val="none" w:sz="0" w:space="0" w:color="auto"/>
        <w:left w:val="none" w:sz="0" w:space="0" w:color="auto"/>
        <w:bottom w:val="none" w:sz="0" w:space="0" w:color="auto"/>
        <w:right w:val="none" w:sz="0" w:space="0" w:color="auto"/>
      </w:divBdr>
    </w:div>
    <w:div w:id="314601805">
      <w:bodyDiv w:val="1"/>
      <w:marLeft w:val="0"/>
      <w:marRight w:val="0"/>
      <w:marTop w:val="0"/>
      <w:marBottom w:val="0"/>
      <w:divBdr>
        <w:top w:val="none" w:sz="0" w:space="0" w:color="auto"/>
        <w:left w:val="none" w:sz="0" w:space="0" w:color="auto"/>
        <w:bottom w:val="none" w:sz="0" w:space="0" w:color="auto"/>
        <w:right w:val="none" w:sz="0" w:space="0" w:color="auto"/>
      </w:divBdr>
    </w:div>
    <w:div w:id="314604974">
      <w:bodyDiv w:val="1"/>
      <w:marLeft w:val="0"/>
      <w:marRight w:val="0"/>
      <w:marTop w:val="0"/>
      <w:marBottom w:val="0"/>
      <w:divBdr>
        <w:top w:val="none" w:sz="0" w:space="0" w:color="auto"/>
        <w:left w:val="none" w:sz="0" w:space="0" w:color="auto"/>
        <w:bottom w:val="none" w:sz="0" w:space="0" w:color="auto"/>
        <w:right w:val="none" w:sz="0" w:space="0" w:color="auto"/>
      </w:divBdr>
    </w:div>
    <w:div w:id="314798112">
      <w:bodyDiv w:val="1"/>
      <w:marLeft w:val="0"/>
      <w:marRight w:val="0"/>
      <w:marTop w:val="0"/>
      <w:marBottom w:val="0"/>
      <w:divBdr>
        <w:top w:val="none" w:sz="0" w:space="0" w:color="auto"/>
        <w:left w:val="none" w:sz="0" w:space="0" w:color="auto"/>
        <w:bottom w:val="none" w:sz="0" w:space="0" w:color="auto"/>
        <w:right w:val="none" w:sz="0" w:space="0" w:color="auto"/>
      </w:divBdr>
    </w:div>
    <w:div w:id="314838834">
      <w:bodyDiv w:val="1"/>
      <w:marLeft w:val="0"/>
      <w:marRight w:val="0"/>
      <w:marTop w:val="0"/>
      <w:marBottom w:val="0"/>
      <w:divBdr>
        <w:top w:val="none" w:sz="0" w:space="0" w:color="auto"/>
        <w:left w:val="none" w:sz="0" w:space="0" w:color="auto"/>
        <w:bottom w:val="none" w:sz="0" w:space="0" w:color="auto"/>
        <w:right w:val="none" w:sz="0" w:space="0" w:color="auto"/>
      </w:divBdr>
    </w:div>
    <w:div w:id="314917692">
      <w:bodyDiv w:val="1"/>
      <w:marLeft w:val="0"/>
      <w:marRight w:val="0"/>
      <w:marTop w:val="0"/>
      <w:marBottom w:val="0"/>
      <w:divBdr>
        <w:top w:val="none" w:sz="0" w:space="0" w:color="auto"/>
        <w:left w:val="none" w:sz="0" w:space="0" w:color="auto"/>
        <w:bottom w:val="none" w:sz="0" w:space="0" w:color="auto"/>
        <w:right w:val="none" w:sz="0" w:space="0" w:color="auto"/>
      </w:divBdr>
    </w:div>
    <w:div w:id="315031597">
      <w:bodyDiv w:val="1"/>
      <w:marLeft w:val="0"/>
      <w:marRight w:val="0"/>
      <w:marTop w:val="0"/>
      <w:marBottom w:val="0"/>
      <w:divBdr>
        <w:top w:val="none" w:sz="0" w:space="0" w:color="auto"/>
        <w:left w:val="none" w:sz="0" w:space="0" w:color="auto"/>
        <w:bottom w:val="none" w:sz="0" w:space="0" w:color="auto"/>
        <w:right w:val="none" w:sz="0" w:space="0" w:color="auto"/>
      </w:divBdr>
    </w:div>
    <w:div w:id="315114156">
      <w:bodyDiv w:val="1"/>
      <w:marLeft w:val="0"/>
      <w:marRight w:val="0"/>
      <w:marTop w:val="0"/>
      <w:marBottom w:val="0"/>
      <w:divBdr>
        <w:top w:val="none" w:sz="0" w:space="0" w:color="auto"/>
        <w:left w:val="none" w:sz="0" w:space="0" w:color="auto"/>
        <w:bottom w:val="none" w:sz="0" w:space="0" w:color="auto"/>
        <w:right w:val="none" w:sz="0" w:space="0" w:color="auto"/>
      </w:divBdr>
    </w:div>
    <w:div w:id="315228770">
      <w:bodyDiv w:val="1"/>
      <w:marLeft w:val="0"/>
      <w:marRight w:val="0"/>
      <w:marTop w:val="0"/>
      <w:marBottom w:val="0"/>
      <w:divBdr>
        <w:top w:val="none" w:sz="0" w:space="0" w:color="auto"/>
        <w:left w:val="none" w:sz="0" w:space="0" w:color="auto"/>
        <w:bottom w:val="none" w:sz="0" w:space="0" w:color="auto"/>
        <w:right w:val="none" w:sz="0" w:space="0" w:color="auto"/>
      </w:divBdr>
    </w:div>
    <w:div w:id="315260783">
      <w:bodyDiv w:val="1"/>
      <w:marLeft w:val="0"/>
      <w:marRight w:val="0"/>
      <w:marTop w:val="0"/>
      <w:marBottom w:val="0"/>
      <w:divBdr>
        <w:top w:val="none" w:sz="0" w:space="0" w:color="auto"/>
        <w:left w:val="none" w:sz="0" w:space="0" w:color="auto"/>
        <w:bottom w:val="none" w:sz="0" w:space="0" w:color="auto"/>
        <w:right w:val="none" w:sz="0" w:space="0" w:color="auto"/>
      </w:divBdr>
    </w:div>
    <w:div w:id="315302960">
      <w:bodyDiv w:val="1"/>
      <w:marLeft w:val="0"/>
      <w:marRight w:val="0"/>
      <w:marTop w:val="0"/>
      <w:marBottom w:val="0"/>
      <w:divBdr>
        <w:top w:val="none" w:sz="0" w:space="0" w:color="auto"/>
        <w:left w:val="none" w:sz="0" w:space="0" w:color="auto"/>
        <w:bottom w:val="none" w:sz="0" w:space="0" w:color="auto"/>
        <w:right w:val="none" w:sz="0" w:space="0" w:color="auto"/>
      </w:divBdr>
    </w:div>
    <w:div w:id="315308581">
      <w:bodyDiv w:val="1"/>
      <w:marLeft w:val="0"/>
      <w:marRight w:val="0"/>
      <w:marTop w:val="0"/>
      <w:marBottom w:val="0"/>
      <w:divBdr>
        <w:top w:val="none" w:sz="0" w:space="0" w:color="auto"/>
        <w:left w:val="none" w:sz="0" w:space="0" w:color="auto"/>
        <w:bottom w:val="none" w:sz="0" w:space="0" w:color="auto"/>
        <w:right w:val="none" w:sz="0" w:space="0" w:color="auto"/>
      </w:divBdr>
    </w:div>
    <w:div w:id="315576346">
      <w:bodyDiv w:val="1"/>
      <w:marLeft w:val="0"/>
      <w:marRight w:val="0"/>
      <w:marTop w:val="0"/>
      <w:marBottom w:val="0"/>
      <w:divBdr>
        <w:top w:val="none" w:sz="0" w:space="0" w:color="auto"/>
        <w:left w:val="none" w:sz="0" w:space="0" w:color="auto"/>
        <w:bottom w:val="none" w:sz="0" w:space="0" w:color="auto"/>
        <w:right w:val="none" w:sz="0" w:space="0" w:color="auto"/>
      </w:divBdr>
    </w:div>
    <w:div w:id="315687167">
      <w:bodyDiv w:val="1"/>
      <w:marLeft w:val="0"/>
      <w:marRight w:val="0"/>
      <w:marTop w:val="0"/>
      <w:marBottom w:val="0"/>
      <w:divBdr>
        <w:top w:val="none" w:sz="0" w:space="0" w:color="auto"/>
        <w:left w:val="none" w:sz="0" w:space="0" w:color="auto"/>
        <w:bottom w:val="none" w:sz="0" w:space="0" w:color="auto"/>
        <w:right w:val="none" w:sz="0" w:space="0" w:color="auto"/>
      </w:divBdr>
    </w:div>
    <w:div w:id="315695652">
      <w:bodyDiv w:val="1"/>
      <w:marLeft w:val="0"/>
      <w:marRight w:val="0"/>
      <w:marTop w:val="0"/>
      <w:marBottom w:val="0"/>
      <w:divBdr>
        <w:top w:val="none" w:sz="0" w:space="0" w:color="auto"/>
        <w:left w:val="none" w:sz="0" w:space="0" w:color="auto"/>
        <w:bottom w:val="none" w:sz="0" w:space="0" w:color="auto"/>
        <w:right w:val="none" w:sz="0" w:space="0" w:color="auto"/>
      </w:divBdr>
    </w:div>
    <w:div w:id="315837239">
      <w:bodyDiv w:val="1"/>
      <w:marLeft w:val="0"/>
      <w:marRight w:val="0"/>
      <w:marTop w:val="0"/>
      <w:marBottom w:val="0"/>
      <w:divBdr>
        <w:top w:val="none" w:sz="0" w:space="0" w:color="auto"/>
        <w:left w:val="none" w:sz="0" w:space="0" w:color="auto"/>
        <w:bottom w:val="none" w:sz="0" w:space="0" w:color="auto"/>
        <w:right w:val="none" w:sz="0" w:space="0" w:color="auto"/>
      </w:divBdr>
    </w:div>
    <w:div w:id="316610782">
      <w:bodyDiv w:val="1"/>
      <w:marLeft w:val="0"/>
      <w:marRight w:val="0"/>
      <w:marTop w:val="0"/>
      <w:marBottom w:val="0"/>
      <w:divBdr>
        <w:top w:val="none" w:sz="0" w:space="0" w:color="auto"/>
        <w:left w:val="none" w:sz="0" w:space="0" w:color="auto"/>
        <w:bottom w:val="none" w:sz="0" w:space="0" w:color="auto"/>
        <w:right w:val="none" w:sz="0" w:space="0" w:color="auto"/>
      </w:divBdr>
    </w:div>
    <w:div w:id="317000618">
      <w:bodyDiv w:val="1"/>
      <w:marLeft w:val="0"/>
      <w:marRight w:val="0"/>
      <w:marTop w:val="0"/>
      <w:marBottom w:val="0"/>
      <w:divBdr>
        <w:top w:val="none" w:sz="0" w:space="0" w:color="auto"/>
        <w:left w:val="none" w:sz="0" w:space="0" w:color="auto"/>
        <w:bottom w:val="none" w:sz="0" w:space="0" w:color="auto"/>
        <w:right w:val="none" w:sz="0" w:space="0" w:color="auto"/>
      </w:divBdr>
    </w:div>
    <w:div w:id="317080408">
      <w:bodyDiv w:val="1"/>
      <w:marLeft w:val="0"/>
      <w:marRight w:val="0"/>
      <w:marTop w:val="0"/>
      <w:marBottom w:val="0"/>
      <w:divBdr>
        <w:top w:val="none" w:sz="0" w:space="0" w:color="auto"/>
        <w:left w:val="none" w:sz="0" w:space="0" w:color="auto"/>
        <w:bottom w:val="none" w:sz="0" w:space="0" w:color="auto"/>
        <w:right w:val="none" w:sz="0" w:space="0" w:color="auto"/>
      </w:divBdr>
    </w:div>
    <w:div w:id="317273961">
      <w:bodyDiv w:val="1"/>
      <w:marLeft w:val="0"/>
      <w:marRight w:val="0"/>
      <w:marTop w:val="0"/>
      <w:marBottom w:val="0"/>
      <w:divBdr>
        <w:top w:val="none" w:sz="0" w:space="0" w:color="auto"/>
        <w:left w:val="none" w:sz="0" w:space="0" w:color="auto"/>
        <w:bottom w:val="none" w:sz="0" w:space="0" w:color="auto"/>
        <w:right w:val="none" w:sz="0" w:space="0" w:color="auto"/>
      </w:divBdr>
    </w:div>
    <w:div w:id="317341433">
      <w:bodyDiv w:val="1"/>
      <w:marLeft w:val="0"/>
      <w:marRight w:val="0"/>
      <w:marTop w:val="0"/>
      <w:marBottom w:val="0"/>
      <w:divBdr>
        <w:top w:val="none" w:sz="0" w:space="0" w:color="auto"/>
        <w:left w:val="none" w:sz="0" w:space="0" w:color="auto"/>
        <w:bottom w:val="none" w:sz="0" w:space="0" w:color="auto"/>
        <w:right w:val="none" w:sz="0" w:space="0" w:color="auto"/>
      </w:divBdr>
    </w:div>
    <w:div w:id="317422150">
      <w:bodyDiv w:val="1"/>
      <w:marLeft w:val="0"/>
      <w:marRight w:val="0"/>
      <w:marTop w:val="0"/>
      <w:marBottom w:val="0"/>
      <w:divBdr>
        <w:top w:val="none" w:sz="0" w:space="0" w:color="auto"/>
        <w:left w:val="none" w:sz="0" w:space="0" w:color="auto"/>
        <w:bottom w:val="none" w:sz="0" w:space="0" w:color="auto"/>
        <w:right w:val="none" w:sz="0" w:space="0" w:color="auto"/>
      </w:divBdr>
    </w:div>
    <w:div w:id="317660561">
      <w:bodyDiv w:val="1"/>
      <w:marLeft w:val="0"/>
      <w:marRight w:val="0"/>
      <w:marTop w:val="0"/>
      <w:marBottom w:val="0"/>
      <w:divBdr>
        <w:top w:val="none" w:sz="0" w:space="0" w:color="auto"/>
        <w:left w:val="none" w:sz="0" w:space="0" w:color="auto"/>
        <w:bottom w:val="none" w:sz="0" w:space="0" w:color="auto"/>
        <w:right w:val="none" w:sz="0" w:space="0" w:color="auto"/>
      </w:divBdr>
    </w:div>
    <w:div w:id="317811709">
      <w:bodyDiv w:val="1"/>
      <w:marLeft w:val="0"/>
      <w:marRight w:val="0"/>
      <w:marTop w:val="0"/>
      <w:marBottom w:val="0"/>
      <w:divBdr>
        <w:top w:val="none" w:sz="0" w:space="0" w:color="auto"/>
        <w:left w:val="none" w:sz="0" w:space="0" w:color="auto"/>
        <w:bottom w:val="none" w:sz="0" w:space="0" w:color="auto"/>
        <w:right w:val="none" w:sz="0" w:space="0" w:color="auto"/>
      </w:divBdr>
    </w:div>
    <w:div w:id="318048018">
      <w:bodyDiv w:val="1"/>
      <w:marLeft w:val="0"/>
      <w:marRight w:val="0"/>
      <w:marTop w:val="0"/>
      <w:marBottom w:val="0"/>
      <w:divBdr>
        <w:top w:val="none" w:sz="0" w:space="0" w:color="auto"/>
        <w:left w:val="none" w:sz="0" w:space="0" w:color="auto"/>
        <w:bottom w:val="none" w:sz="0" w:space="0" w:color="auto"/>
        <w:right w:val="none" w:sz="0" w:space="0" w:color="auto"/>
      </w:divBdr>
    </w:div>
    <w:div w:id="318076870">
      <w:bodyDiv w:val="1"/>
      <w:marLeft w:val="0"/>
      <w:marRight w:val="0"/>
      <w:marTop w:val="0"/>
      <w:marBottom w:val="0"/>
      <w:divBdr>
        <w:top w:val="none" w:sz="0" w:space="0" w:color="auto"/>
        <w:left w:val="none" w:sz="0" w:space="0" w:color="auto"/>
        <w:bottom w:val="none" w:sz="0" w:space="0" w:color="auto"/>
        <w:right w:val="none" w:sz="0" w:space="0" w:color="auto"/>
      </w:divBdr>
    </w:div>
    <w:div w:id="318340999">
      <w:bodyDiv w:val="1"/>
      <w:marLeft w:val="0"/>
      <w:marRight w:val="0"/>
      <w:marTop w:val="0"/>
      <w:marBottom w:val="0"/>
      <w:divBdr>
        <w:top w:val="none" w:sz="0" w:space="0" w:color="auto"/>
        <w:left w:val="none" w:sz="0" w:space="0" w:color="auto"/>
        <w:bottom w:val="none" w:sz="0" w:space="0" w:color="auto"/>
        <w:right w:val="none" w:sz="0" w:space="0" w:color="auto"/>
      </w:divBdr>
    </w:div>
    <w:div w:id="318385355">
      <w:bodyDiv w:val="1"/>
      <w:marLeft w:val="0"/>
      <w:marRight w:val="0"/>
      <w:marTop w:val="0"/>
      <w:marBottom w:val="0"/>
      <w:divBdr>
        <w:top w:val="none" w:sz="0" w:space="0" w:color="auto"/>
        <w:left w:val="none" w:sz="0" w:space="0" w:color="auto"/>
        <w:bottom w:val="none" w:sz="0" w:space="0" w:color="auto"/>
        <w:right w:val="none" w:sz="0" w:space="0" w:color="auto"/>
      </w:divBdr>
    </w:div>
    <w:div w:id="318770191">
      <w:bodyDiv w:val="1"/>
      <w:marLeft w:val="0"/>
      <w:marRight w:val="0"/>
      <w:marTop w:val="0"/>
      <w:marBottom w:val="0"/>
      <w:divBdr>
        <w:top w:val="none" w:sz="0" w:space="0" w:color="auto"/>
        <w:left w:val="none" w:sz="0" w:space="0" w:color="auto"/>
        <w:bottom w:val="none" w:sz="0" w:space="0" w:color="auto"/>
        <w:right w:val="none" w:sz="0" w:space="0" w:color="auto"/>
      </w:divBdr>
    </w:div>
    <w:div w:id="319045396">
      <w:bodyDiv w:val="1"/>
      <w:marLeft w:val="0"/>
      <w:marRight w:val="0"/>
      <w:marTop w:val="0"/>
      <w:marBottom w:val="0"/>
      <w:divBdr>
        <w:top w:val="none" w:sz="0" w:space="0" w:color="auto"/>
        <w:left w:val="none" w:sz="0" w:space="0" w:color="auto"/>
        <w:bottom w:val="none" w:sz="0" w:space="0" w:color="auto"/>
        <w:right w:val="none" w:sz="0" w:space="0" w:color="auto"/>
      </w:divBdr>
    </w:div>
    <w:div w:id="319115340">
      <w:bodyDiv w:val="1"/>
      <w:marLeft w:val="0"/>
      <w:marRight w:val="0"/>
      <w:marTop w:val="0"/>
      <w:marBottom w:val="0"/>
      <w:divBdr>
        <w:top w:val="none" w:sz="0" w:space="0" w:color="auto"/>
        <w:left w:val="none" w:sz="0" w:space="0" w:color="auto"/>
        <w:bottom w:val="none" w:sz="0" w:space="0" w:color="auto"/>
        <w:right w:val="none" w:sz="0" w:space="0" w:color="auto"/>
      </w:divBdr>
    </w:div>
    <w:div w:id="319575152">
      <w:bodyDiv w:val="1"/>
      <w:marLeft w:val="0"/>
      <w:marRight w:val="0"/>
      <w:marTop w:val="0"/>
      <w:marBottom w:val="0"/>
      <w:divBdr>
        <w:top w:val="none" w:sz="0" w:space="0" w:color="auto"/>
        <w:left w:val="none" w:sz="0" w:space="0" w:color="auto"/>
        <w:bottom w:val="none" w:sz="0" w:space="0" w:color="auto"/>
        <w:right w:val="none" w:sz="0" w:space="0" w:color="auto"/>
      </w:divBdr>
    </w:div>
    <w:div w:id="319576761">
      <w:bodyDiv w:val="1"/>
      <w:marLeft w:val="0"/>
      <w:marRight w:val="0"/>
      <w:marTop w:val="0"/>
      <w:marBottom w:val="0"/>
      <w:divBdr>
        <w:top w:val="none" w:sz="0" w:space="0" w:color="auto"/>
        <w:left w:val="none" w:sz="0" w:space="0" w:color="auto"/>
        <w:bottom w:val="none" w:sz="0" w:space="0" w:color="auto"/>
        <w:right w:val="none" w:sz="0" w:space="0" w:color="auto"/>
      </w:divBdr>
    </w:div>
    <w:div w:id="319577570">
      <w:bodyDiv w:val="1"/>
      <w:marLeft w:val="0"/>
      <w:marRight w:val="0"/>
      <w:marTop w:val="0"/>
      <w:marBottom w:val="0"/>
      <w:divBdr>
        <w:top w:val="none" w:sz="0" w:space="0" w:color="auto"/>
        <w:left w:val="none" w:sz="0" w:space="0" w:color="auto"/>
        <w:bottom w:val="none" w:sz="0" w:space="0" w:color="auto"/>
        <w:right w:val="none" w:sz="0" w:space="0" w:color="auto"/>
      </w:divBdr>
    </w:div>
    <w:div w:id="319773321">
      <w:bodyDiv w:val="1"/>
      <w:marLeft w:val="0"/>
      <w:marRight w:val="0"/>
      <w:marTop w:val="0"/>
      <w:marBottom w:val="0"/>
      <w:divBdr>
        <w:top w:val="none" w:sz="0" w:space="0" w:color="auto"/>
        <w:left w:val="none" w:sz="0" w:space="0" w:color="auto"/>
        <w:bottom w:val="none" w:sz="0" w:space="0" w:color="auto"/>
        <w:right w:val="none" w:sz="0" w:space="0" w:color="auto"/>
      </w:divBdr>
    </w:div>
    <w:div w:id="320040575">
      <w:bodyDiv w:val="1"/>
      <w:marLeft w:val="0"/>
      <w:marRight w:val="0"/>
      <w:marTop w:val="0"/>
      <w:marBottom w:val="0"/>
      <w:divBdr>
        <w:top w:val="none" w:sz="0" w:space="0" w:color="auto"/>
        <w:left w:val="none" w:sz="0" w:space="0" w:color="auto"/>
        <w:bottom w:val="none" w:sz="0" w:space="0" w:color="auto"/>
        <w:right w:val="none" w:sz="0" w:space="0" w:color="auto"/>
      </w:divBdr>
    </w:div>
    <w:div w:id="320623155">
      <w:bodyDiv w:val="1"/>
      <w:marLeft w:val="0"/>
      <w:marRight w:val="0"/>
      <w:marTop w:val="0"/>
      <w:marBottom w:val="0"/>
      <w:divBdr>
        <w:top w:val="none" w:sz="0" w:space="0" w:color="auto"/>
        <w:left w:val="none" w:sz="0" w:space="0" w:color="auto"/>
        <w:bottom w:val="none" w:sz="0" w:space="0" w:color="auto"/>
        <w:right w:val="none" w:sz="0" w:space="0" w:color="auto"/>
      </w:divBdr>
    </w:div>
    <w:div w:id="320626720">
      <w:bodyDiv w:val="1"/>
      <w:marLeft w:val="0"/>
      <w:marRight w:val="0"/>
      <w:marTop w:val="0"/>
      <w:marBottom w:val="0"/>
      <w:divBdr>
        <w:top w:val="none" w:sz="0" w:space="0" w:color="auto"/>
        <w:left w:val="none" w:sz="0" w:space="0" w:color="auto"/>
        <w:bottom w:val="none" w:sz="0" w:space="0" w:color="auto"/>
        <w:right w:val="none" w:sz="0" w:space="0" w:color="auto"/>
      </w:divBdr>
    </w:div>
    <w:div w:id="321198723">
      <w:bodyDiv w:val="1"/>
      <w:marLeft w:val="0"/>
      <w:marRight w:val="0"/>
      <w:marTop w:val="0"/>
      <w:marBottom w:val="0"/>
      <w:divBdr>
        <w:top w:val="none" w:sz="0" w:space="0" w:color="auto"/>
        <w:left w:val="none" w:sz="0" w:space="0" w:color="auto"/>
        <w:bottom w:val="none" w:sz="0" w:space="0" w:color="auto"/>
        <w:right w:val="none" w:sz="0" w:space="0" w:color="auto"/>
      </w:divBdr>
    </w:div>
    <w:div w:id="321203895">
      <w:bodyDiv w:val="1"/>
      <w:marLeft w:val="0"/>
      <w:marRight w:val="0"/>
      <w:marTop w:val="0"/>
      <w:marBottom w:val="0"/>
      <w:divBdr>
        <w:top w:val="none" w:sz="0" w:space="0" w:color="auto"/>
        <w:left w:val="none" w:sz="0" w:space="0" w:color="auto"/>
        <w:bottom w:val="none" w:sz="0" w:space="0" w:color="auto"/>
        <w:right w:val="none" w:sz="0" w:space="0" w:color="auto"/>
      </w:divBdr>
    </w:div>
    <w:div w:id="321205690">
      <w:bodyDiv w:val="1"/>
      <w:marLeft w:val="0"/>
      <w:marRight w:val="0"/>
      <w:marTop w:val="0"/>
      <w:marBottom w:val="0"/>
      <w:divBdr>
        <w:top w:val="none" w:sz="0" w:space="0" w:color="auto"/>
        <w:left w:val="none" w:sz="0" w:space="0" w:color="auto"/>
        <w:bottom w:val="none" w:sz="0" w:space="0" w:color="auto"/>
        <w:right w:val="none" w:sz="0" w:space="0" w:color="auto"/>
      </w:divBdr>
    </w:div>
    <w:div w:id="321348185">
      <w:bodyDiv w:val="1"/>
      <w:marLeft w:val="0"/>
      <w:marRight w:val="0"/>
      <w:marTop w:val="0"/>
      <w:marBottom w:val="0"/>
      <w:divBdr>
        <w:top w:val="none" w:sz="0" w:space="0" w:color="auto"/>
        <w:left w:val="none" w:sz="0" w:space="0" w:color="auto"/>
        <w:bottom w:val="none" w:sz="0" w:space="0" w:color="auto"/>
        <w:right w:val="none" w:sz="0" w:space="0" w:color="auto"/>
      </w:divBdr>
    </w:div>
    <w:div w:id="321590509">
      <w:bodyDiv w:val="1"/>
      <w:marLeft w:val="0"/>
      <w:marRight w:val="0"/>
      <w:marTop w:val="0"/>
      <w:marBottom w:val="0"/>
      <w:divBdr>
        <w:top w:val="none" w:sz="0" w:space="0" w:color="auto"/>
        <w:left w:val="none" w:sz="0" w:space="0" w:color="auto"/>
        <w:bottom w:val="none" w:sz="0" w:space="0" w:color="auto"/>
        <w:right w:val="none" w:sz="0" w:space="0" w:color="auto"/>
      </w:divBdr>
    </w:div>
    <w:div w:id="321852657">
      <w:bodyDiv w:val="1"/>
      <w:marLeft w:val="0"/>
      <w:marRight w:val="0"/>
      <w:marTop w:val="0"/>
      <w:marBottom w:val="0"/>
      <w:divBdr>
        <w:top w:val="none" w:sz="0" w:space="0" w:color="auto"/>
        <w:left w:val="none" w:sz="0" w:space="0" w:color="auto"/>
        <w:bottom w:val="none" w:sz="0" w:space="0" w:color="auto"/>
        <w:right w:val="none" w:sz="0" w:space="0" w:color="auto"/>
      </w:divBdr>
    </w:div>
    <w:div w:id="322320202">
      <w:bodyDiv w:val="1"/>
      <w:marLeft w:val="0"/>
      <w:marRight w:val="0"/>
      <w:marTop w:val="0"/>
      <w:marBottom w:val="0"/>
      <w:divBdr>
        <w:top w:val="none" w:sz="0" w:space="0" w:color="auto"/>
        <w:left w:val="none" w:sz="0" w:space="0" w:color="auto"/>
        <w:bottom w:val="none" w:sz="0" w:space="0" w:color="auto"/>
        <w:right w:val="none" w:sz="0" w:space="0" w:color="auto"/>
      </w:divBdr>
    </w:div>
    <w:div w:id="322703033">
      <w:bodyDiv w:val="1"/>
      <w:marLeft w:val="0"/>
      <w:marRight w:val="0"/>
      <w:marTop w:val="0"/>
      <w:marBottom w:val="0"/>
      <w:divBdr>
        <w:top w:val="none" w:sz="0" w:space="0" w:color="auto"/>
        <w:left w:val="none" w:sz="0" w:space="0" w:color="auto"/>
        <w:bottom w:val="none" w:sz="0" w:space="0" w:color="auto"/>
        <w:right w:val="none" w:sz="0" w:space="0" w:color="auto"/>
      </w:divBdr>
    </w:div>
    <w:div w:id="322975310">
      <w:bodyDiv w:val="1"/>
      <w:marLeft w:val="0"/>
      <w:marRight w:val="0"/>
      <w:marTop w:val="0"/>
      <w:marBottom w:val="0"/>
      <w:divBdr>
        <w:top w:val="none" w:sz="0" w:space="0" w:color="auto"/>
        <w:left w:val="none" w:sz="0" w:space="0" w:color="auto"/>
        <w:bottom w:val="none" w:sz="0" w:space="0" w:color="auto"/>
        <w:right w:val="none" w:sz="0" w:space="0" w:color="auto"/>
      </w:divBdr>
    </w:div>
    <w:div w:id="323049211">
      <w:bodyDiv w:val="1"/>
      <w:marLeft w:val="0"/>
      <w:marRight w:val="0"/>
      <w:marTop w:val="0"/>
      <w:marBottom w:val="0"/>
      <w:divBdr>
        <w:top w:val="none" w:sz="0" w:space="0" w:color="auto"/>
        <w:left w:val="none" w:sz="0" w:space="0" w:color="auto"/>
        <w:bottom w:val="none" w:sz="0" w:space="0" w:color="auto"/>
        <w:right w:val="none" w:sz="0" w:space="0" w:color="auto"/>
      </w:divBdr>
    </w:div>
    <w:div w:id="323049284">
      <w:bodyDiv w:val="1"/>
      <w:marLeft w:val="0"/>
      <w:marRight w:val="0"/>
      <w:marTop w:val="0"/>
      <w:marBottom w:val="0"/>
      <w:divBdr>
        <w:top w:val="none" w:sz="0" w:space="0" w:color="auto"/>
        <w:left w:val="none" w:sz="0" w:space="0" w:color="auto"/>
        <w:bottom w:val="none" w:sz="0" w:space="0" w:color="auto"/>
        <w:right w:val="none" w:sz="0" w:space="0" w:color="auto"/>
      </w:divBdr>
    </w:div>
    <w:div w:id="323092810">
      <w:bodyDiv w:val="1"/>
      <w:marLeft w:val="0"/>
      <w:marRight w:val="0"/>
      <w:marTop w:val="0"/>
      <w:marBottom w:val="0"/>
      <w:divBdr>
        <w:top w:val="none" w:sz="0" w:space="0" w:color="auto"/>
        <w:left w:val="none" w:sz="0" w:space="0" w:color="auto"/>
        <w:bottom w:val="none" w:sz="0" w:space="0" w:color="auto"/>
        <w:right w:val="none" w:sz="0" w:space="0" w:color="auto"/>
      </w:divBdr>
    </w:div>
    <w:div w:id="324479894">
      <w:bodyDiv w:val="1"/>
      <w:marLeft w:val="0"/>
      <w:marRight w:val="0"/>
      <w:marTop w:val="0"/>
      <w:marBottom w:val="0"/>
      <w:divBdr>
        <w:top w:val="none" w:sz="0" w:space="0" w:color="auto"/>
        <w:left w:val="none" w:sz="0" w:space="0" w:color="auto"/>
        <w:bottom w:val="none" w:sz="0" w:space="0" w:color="auto"/>
        <w:right w:val="none" w:sz="0" w:space="0" w:color="auto"/>
      </w:divBdr>
    </w:div>
    <w:div w:id="325134488">
      <w:bodyDiv w:val="1"/>
      <w:marLeft w:val="0"/>
      <w:marRight w:val="0"/>
      <w:marTop w:val="0"/>
      <w:marBottom w:val="0"/>
      <w:divBdr>
        <w:top w:val="none" w:sz="0" w:space="0" w:color="auto"/>
        <w:left w:val="none" w:sz="0" w:space="0" w:color="auto"/>
        <w:bottom w:val="none" w:sz="0" w:space="0" w:color="auto"/>
        <w:right w:val="none" w:sz="0" w:space="0" w:color="auto"/>
      </w:divBdr>
    </w:div>
    <w:div w:id="325473843">
      <w:bodyDiv w:val="1"/>
      <w:marLeft w:val="0"/>
      <w:marRight w:val="0"/>
      <w:marTop w:val="0"/>
      <w:marBottom w:val="0"/>
      <w:divBdr>
        <w:top w:val="none" w:sz="0" w:space="0" w:color="auto"/>
        <w:left w:val="none" w:sz="0" w:space="0" w:color="auto"/>
        <w:bottom w:val="none" w:sz="0" w:space="0" w:color="auto"/>
        <w:right w:val="none" w:sz="0" w:space="0" w:color="auto"/>
      </w:divBdr>
    </w:div>
    <w:div w:id="325474519">
      <w:bodyDiv w:val="1"/>
      <w:marLeft w:val="0"/>
      <w:marRight w:val="0"/>
      <w:marTop w:val="0"/>
      <w:marBottom w:val="0"/>
      <w:divBdr>
        <w:top w:val="none" w:sz="0" w:space="0" w:color="auto"/>
        <w:left w:val="none" w:sz="0" w:space="0" w:color="auto"/>
        <w:bottom w:val="none" w:sz="0" w:space="0" w:color="auto"/>
        <w:right w:val="none" w:sz="0" w:space="0" w:color="auto"/>
      </w:divBdr>
    </w:div>
    <w:div w:id="325716725">
      <w:bodyDiv w:val="1"/>
      <w:marLeft w:val="0"/>
      <w:marRight w:val="0"/>
      <w:marTop w:val="0"/>
      <w:marBottom w:val="0"/>
      <w:divBdr>
        <w:top w:val="none" w:sz="0" w:space="0" w:color="auto"/>
        <w:left w:val="none" w:sz="0" w:space="0" w:color="auto"/>
        <w:bottom w:val="none" w:sz="0" w:space="0" w:color="auto"/>
        <w:right w:val="none" w:sz="0" w:space="0" w:color="auto"/>
      </w:divBdr>
    </w:div>
    <w:div w:id="325911322">
      <w:bodyDiv w:val="1"/>
      <w:marLeft w:val="0"/>
      <w:marRight w:val="0"/>
      <w:marTop w:val="0"/>
      <w:marBottom w:val="0"/>
      <w:divBdr>
        <w:top w:val="none" w:sz="0" w:space="0" w:color="auto"/>
        <w:left w:val="none" w:sz="0" w:space="0" w:color="auto"/>
        <w:bottom w:val="none" w:sz="0" w:space="0" w:color="auto"/>
        <w:right w:val="none" w:sz="0" w:space="0" w:color="auto"/>
      </w:divBdr>
    </w:div>
    <w:div w:id="325937210">
      <w:bodyDiv w:val="1"/>
      <w:marLeft w:val="0"/>
      <w:marRight w:val="0"/>
      <w:marTop w:val="0"/>
      <w:marBottom w:val="0"/>
      <w:divBdr>
        <w:top w:val="none" w:sz="0" w:space="0" w:color="auto"/>
        <w:left w:val="none" w:sz="0" w:space="0" w:color="auto"/>
        <w:bottom w:val="none" w:sz="0" w:space="0" w:color="auto"/>
        <w:right w:val="none" w:sz="0" w:space="0" w:color="auto"/>
      </w:divBdr>
    </w:div>
    <w:div w:id="325941136">
      <w:bodyDiv w:val="1"/>
      <w:marLeft w:val="0"/>
      <w:marRight w:val="0"/>
      <w:marTop w:val="0"/>
      <w:marBottom w:val="0"/>
      <w:divBdr>
        <w:top w:val="none" w:sz="0" w:space="0" w:color="auto"/>
        <w:left w:val="none" w:sz="0" w:space="0" w:color="auto"/>
        <w:bottom w:val="none" w:sz="0" w:space="0" w:color="auto"/>
        <w:right w:val="none" w:sz="0" w:space="0" w:color="auto"/>
      </w:divBdr>
    </w:div>
    <w:div w:id="326052796">
      <w:bodyDiv w:val="1"/>
      <w:marLeft w:val="0"/>
      <w:marRight w:val="0"/>
      <w:marTop w:val="0"/>
      <w:marBottom w:val="0"/>
      <w:divBdr>
        <w:top w:val="none" w:sz="0" w:space="0" w:color="auto"/>
        <w:left w:val="none" w:sz="0" w:space="0" w:color="auto"/>
        <w:bottom w:val="none" w:sz="0" w:space="0" w:color="auto"/>
        <w:right w:val="none" w:sz="0" w:space="0" w:color="auto"/>
      </w:divBdr>
    </w:div>
    <w:div w:id="326056726">
      <w:bodyDiv w:val="1"/>
      <w:marLeft w:val="0"/>
      <w:marRight w:val="0"/>
      <w:marTop w:val="0"/>
      <w:marBottom w:val="0"/>
      <w:divBdr>
        <w:top w:val="none" w:sz="0" w:space="0" w:color="auto"/>
        <w:left w:val="none" w:sz="0" w:space="0" w:color="auto"/>
        <w:bottom w:val="none" w:sz="0" w:space="0" w:color="auto"/>
        <w:right w:val="none" w:sz="0" w:space="0" w:color="auto"/>
      </w:divBdr>
    </w:div>
    <w:div w:id="326175899">
      <w:bodyDiv w:val="1"/>
      <w:marLeft w:val="0"/>
      <w:marRight w:val="0"/>
      <w:marTop w:val="0"/>
      <w:marBottom w:val="0"/>
      <w:divBdr>
        <w:top w:val="none" w:sz="0" w:space="0" w:color="auto"/>
        <w:left w:val="none" w:sz="0" w:space="0" w:color="auto"/>
        <w:bottom w:val="none" w:sz="0" w:space="0" w:color="auto"/>
        <w:right w:val="none" w:sz="0" w:space="0" w:color="auto"/>
      </w:divBdr>
    </w:div>
    <w:div w:id="326253878">
      <w:bodyDiv w:val="1"/>
      <w:marLeft w:val="0"/>
      <w:marRight w:val="0"/>
      <w:marTop w:val="0"/>
      <w:marBottom w:val="0"/>
      <w:divBdr>
        <w:top w:val="none" w:sz="0" w:space="0" w:color="auto"/>
        <w:left w:val="none" w:sz="0" w:space="0" w:color="auto"/>
        <w:bottom w:val="none" w:sz="0" w:space="0" w:color="auto"/>
        <w:right w:val="none" w:sz="0" w:space="0" w:color="auto"/>
      </w:divBdr>
    </w:div>
    <w:div w:id="326255488">
      <w:bodyDiv w:val="1"/>
      <w:marLeft w:val="0"/>
      <w:marRight w:val="0"/>
      <w:marTop w:val="0"/>
      <w:marBottom w:val="0"/>
      <w:divBdr>
        <w:top w:val="none" w:sz="0" w:space="0" w:color="auto"/>
        <w:left w:val="none" w:sz="0" w:space="0" w:color="auto"/>
        <w:bottom w:val="none" w:sz="0" w:space="0" w:color="auto"/>
        <w:right w:val="none" w:sz="0" w:space="0" w:color="auto"/>
      </w:divBdr>
    </w:div>
    <w:div w:id="326401206">
      <w:bodyDiv w:val="1"/>
      <w:marLeft w:val="0"/>
      <w:marRight w:val="0"/>
      <w:marTop w:val="0"/>
      <w:marBottom w:val="0"/>
      <w:divBdr>
        <w:top w:val="none" w:sz="0" w:space="0" w:color="auto"/>
        <w:left w:val="none" w:sz="0" w:space="0" w:color="auto"/>
        <w:bottom w:val="none" w:sz="0" w:space="0" w:color="auto"/>
        <w:right w:val="none" w:sz="0" w:space="0" w:color="auto"/>
      </w:divBdr>
    </w:div>
    <w:div w:id="326716319">
      <w:bodyDiv w:val="1"/>
      <w:marLeft w:val="0"/>
      <w:marRight w:val="0"/>
      <w:marTop w:val="0"/>
      <w:marBottom w:val="0"/>
      <w:divBdr>
        <w:top w:val="none" w:sz="0" w:space="0" w:color="auto"/>
        <w:left w:val="none" w:sz="0" w:space="0" w:color="auto"/>
        <w:bottom w:val="none" w:sz="0" w:space="0" w:color="auto"/>
        <w:right w:val="none" w:sz="0" w:space="0" w:color="auto"/>
      </w:divBdr>
    </w:div>
    <w:div w:id="327028075">
      <w:bodyDiv w:val="1"/>
      <w:marLeft w:val="0"/>
      <w:marRight w:val="0"/>
      <w:marTop w:val="0"/>
      <w:marBottom w:val="0"/>
      <w:divBdr>
        <w:top w:val="none" w:sz="0" w:space="0" w:color="auto"/>
        <w:left w:val="none" w:sz="0" w:space="0" w:color="auto"/>
        <w:bottom w:val="none" w:sz="0" w:space="0" w:color="auto"/>
        <w:right w:val="none" w:sz="0" w:space="0" w:color="auto"/>
      </w:divBdr>
    </w:div>
    <w:div w:id="327055545">
      <w:bodyDiv w:val="1"/>
      <w:marLeft w:val="0"/>
      <w:marRight w:val="0"/>
      <w:marTop w:val="0"/>
      <w:marBottom w:val="0"/>
      <w:divBdr>
        <w:top w:val="none" w:sz="0" w:space="0" w:color="auto"/>
        <w:left w:val="none" w:sz="0" w:space="0" w:color="auto"/>
        <w:bottom w:val="none" w:sz="0" w:space="0" w:color="auto"/>
        <w:right w:val="none" w:sz="0" w:space="0" w:color="auto"/>
      </w:divBdr>
    </w:div>
    <w:div w:id="327365293">
      <w:bodyDiv w:val="1"/>
      <w:marLeft w:val="0"/>
      <w:marRight w:val="0"/>
      <w:marTop w:val="0"/>
      <w:marBottom w:val="0"/>
      <w:divBdr>
        <w:top w:val="none" w:sz="0" w:space="0" w:color="auto"/>
        <w:left w:val="none" w:sz="0" w:space="0" w:color="auto"/>
        <w:bottom w:val="none" w:sz="0" w:space="0" w:color="auto"/>
        <w:right w:val="none" w:sz="0" w:space="0" w:color="auto"/>
      </w:divBdr>
    </w:div>
    <w:div w:id="327368839">
      <w:bodyDiv w:val="1"/>
      <w:marLeft w:val="0"/>
      <w:marRight w:val="0"/>
      <w:marTop w:val="0"/>
      <w:marBottom w:val="0"/>
      <w:divBdr>
        <w:top w:val="none" w:sz="0" w:space="0" w:color="auto"/>
        <w:left w:val="none" w:sz="0" w:space="0" w:color="auto"/>
        <w:bottom w:val="none" w:sz="0" w:space="0" w:color="auto"/>
        <w:right w:val="none" w:sz="0" w:space="0" w:color="auto"/>
      </w:divBdr>
    </w:div>
    <w:div w:id="327488829">
      <w:bodyDiv w:val="1"/>
      <w:marLeft w:val="0"/>
      <w:marRight w:val="0"/>
      <w:marTop w:val="0"/>
      <w:marBottom w:val="0"/>
      <w:divBdr>
        <w:top w:val="none" w:sz="0" w:space="0" w:color="auto"/>
        <w:left w:val="none" w:sz="0" w:space="0" w:color="auto"/>
        <w:bottom w:val="none" w:sz="0" w:space="0" w:color="auto"/>
        <w:right w:val="none" w:sz="0" w:space="0" w:color="auto"/>
      </w:divBdr>
    </w:div>
    <w:div w:id="327708918">
      <w:bodyDiv w:val="1"/>
      <w:marLeft w:val="0"/>
      <w:marRight w:val="0"/>
      <w:marTop w:val="0"/>
      <w:marBottom w:val="0"/>
      <w:divBdr>
        <w:top w:val="none" w:sz="0" w:space="0" w:color="auto"/>
        <w:left w:val="none" w:sz="0" w:space="0" w:color="auto"/>
        <w:bottom w:val="none" w:sz="0" w:space="0" w:color="auto"/>
        <w:right w:val="none" w:sz="0" w:space="0" w:color="auto"/>
      </w:divBdr>
    </w:div>
    <w:div w:id="327758148">
      <w:bodyDiv w:val="1"/>
      <w:marLeft w:val="0"/>
      <w:marRight w:val="0"/>
      <w:marTop w:val="0"/>
      <w:marBottom w:val="0"/>
      <w:divBdr>
        <w:top w:val="none" w:sz="0" w:space="0" w:color="auto"/>
        <w:left w:val="none" w:sz="0" w:space="0" w:color="auto"/>
        <w:bottom w:val="none" w:sz="0" w:space="0" w:color="auto"/>
        <w:right w:val="none" w:sz="0" w:space="0" w:color="auto"/>
      </w:divBdr>
    </w:div>
    <w:div w:id="328212236">
      <w:bodyDiv w:val="1"/>
      <w:marLeft w:val="0"/>
      <w:marRight w:val="0"/>
      <w:marTop w:val="0"/>
      <w:marBottom w:val="0"/>
      <w:divBdr>
        <w:top w:val="none" w:sz="0" w:space="0" w:color="auto"/>
        <w:left w:val="none" w:sz="0" w:space="0" w:color="auto"/>
        <w:bottom w:val="none" w:sz="0" w:space="0" w:color="auto"/>
        <w:right w:val="none" w:sz="0" w:space="0" w:color="auto"/>
      </w:divBdr>
    </w:div>
    <w:div w:id="328681061">
      <w:bodyDiv w:val="1"/>
      <w:marLeft w:val="0"/>
      <w:marRight w:val="0"/>
      <w:marTop w:val="0"/>
      <w:marBottom w:val="0"/>
      <w:divBdr>
        <w:top w:val="none" w:sz="0" w:space="0" w:color="auto"/>
        <w:left w:val="none" w:sz="0" w:space="0" w:color="auto"/>
        <w:bottom w:val="none" w:sz="0" w:space="0" w:color="auto"/>
        <w:right w:val="none" w:sz="0" w:space="0" w:color="auto"/>
      </w:divBdr>
    </w:div>
    <w:div w:id="328758178">
      <w:bodyDiv w:val="1"/>
      <w:marLeft w:val="0"/>
      <w:marRight w:val="0"/>
      <w:marTop w:val="0"/>
      <w:marBottom w:val="0"/>
      <w:divBdr>
        <w:top w:val="none" w:sz="0" w:space="0" w:color="auto"/>
        <w:left w:val="none" w:sz="0" w:space="0" w:color="auto"/>
        <w:bottom w:val="none" w:sz="0" w:space="0" w:color="auto"/>
        <w:right w:val="none" w:sz="0" w:space="0" w:color="auto"/>
      </w:divBdr>
    </w:div>
    <w:div w:id="328942513">
      <w:bodyDiv w:val="1"/>
      <w:marLeft w:val="0"/>
      <w:marRight w:val="0"/>
      <w:marTop w:val="0"/>
      <w:marBottom w:val="0"/>
      <w:divBdr>
        <w:top w:val="none" w:sz="0" w:space="0" w:color="auto"/>
        <w:left w:val="none" w:sz="0" w:space="0" w:color="auto"/>
        <w:bottom w:val="none" w:sz="0" w:space="0" w:color="auto"/>
        <w:right w:val="none" w:sz="0" w:space="0" w:color="auto"/>
      </w:divBdr>
    </w:div>
    <w:div w:id="329144864">
      <w:bodyDiv w:val="1"/>
      <w:marLeft w:val="0"/>
      <w:marRight w:val="0"/>
      <w:marTop w:val="0"/>
      <w:marBottom w:val="0"/>
      <w:divBdr>
        <w:top w:val="none" w:sz="0" w:space="0" w:color="auto"/>
        <w:left w:val="none" w:sz="0" w:space="0" w:color="auto"/>
        <w:bottom w:val="none" w:sz="0" w:space="0" w:color="auto"/>
        <w:right w:val="none" w:sz="0" w:space="0" w:color="auto"/>
      </w:divBdr>
    </w:div>
    <w:div w:id="329256742">
      <w:bodyDiv w:val="1"/>
      <w:marLeft w:val="0"/>
      <w:marRight w:val="0"/>
      <w:marTop w:val="0"/>
      <w:marBottom w:val="0"/>
      <w:divBdr>
        <w:top w:val="none" w:sz="0" w:space="0" w:color="auto"/>
        <w:left w:val="none" w:sz="0" w:space="0" w:color="auto"/>
        <w:bottom w:val="none" w:sz="0" w:space="0" w:color="auto"/>
        <w:right w:val="none" w:sz="0" w:space="0" w:color="auto"/>
      </w:divBdr>
    </w:div>
    <w:div w:id="329336915">
      <w:bodyDiv w:val="1"/>
      <w:marLeft w:val="0"/>
      <w:marRight w:val="0"/>
      <w:marTop w:val="0"/>
      <w:marBottom w:val="0"/>
      <w:divBdr>
        <w:top w:val="none" w:sz="0" w:space="0" w:color="auto"/>
        <w:left w:val="none" w:sz="0" w:space="0" w:color="auto"/>
        <w:bottom w:val="none" w:sz="0" w:space="0" w:color="auto"/>
        <w:right w:val="none" w:sz="0" w:space="0" w:color="auto"/>
      </w:divBdr>
    </w:div>
    <w:div w:id="329410171">
      <w:bodyDiv w:val="1"/>
      <w:marLeft w:val="0"/>
      <w:marRight w:val="0"/>
      <w:marTop w:val="0"/>
      <w:marBottom w:val="0"/>
      <w:divBdr>
        <w:top w:val="none" w:sz="0" w:space="0" w:color="auto"/>
        <w:left w:val="none" w:sz="0" w:space="0" w:color="auto"/>
        <w:bottom w:val="none" w:sz="0" w:space="0" w:color="auto"/>
        <w:right w:val="none" w:sz="0" w:space="0" w:color="auto"/>
      </w:divBdr>
    </w:div>
    <w:div w:id="329524243">
      <w:bodyDiv w:val="1"/>
      <w:marLeft w:val="0"/>
      <w:marRight w:val="0"/>
      <w:marTop w:val="0"/>
      <w:marBottom w:val="0"/>
      <w:divBdr>
        <w:top w:val="none" w:sz="0" w:space="0" w:color="auto"/>
        <w:left w:val="none" w:sz="0" w:space="0" w:color="auto"/>
        <w:bottom w:val="none" w:sz="0" w:space="0" w:color="auto"/>
        <w:right w:val="none" w:sz="0" w:space="0" w:color="auto"/>
      </w:divBdr>
    </w:div>
    <w:div w:id="329597537">
      <w:bodyDiv w:val="1"/>
      <w:marLeft w:val="0"/>
      <w:marRight w:val="0"/>
      <w:marTop w:val="0"/>
      <w:marBottom w:val="0"/>
      <w:divBdr>
        <w:top w:val="none" w:sz="0" w:space="0" w:color="auto"/>
        <w:left w:val="none" w:sz="0" w:space="0" w:color="auto"/>
        <w:bottom w:val="none" w:sz="0" w:space="0" w:color="auto"/>
        <w:right w:val="none" w:sz="0" w:space="0" w:color="auto"/>
      </w:divBdr>
    </w:div>
    <w:div w:id="329599707">
      <w:bodyDiv w:val="1"/>
      <w:marLeft w:val="0"/>
      <w:marRight w:val="0"/>
      <w:marTop w:val="0"/>
      <w:marBottom w:val="0"/>
      <w:divBdr>
        <w:top w:val="none" w:sz="0" w:space="0" w:color="auto"/>
        <w:left w:val="none" w:sz="0" w:space="0" w:color="auto"/>
        <w:bottom w:val="none" w:sz="0" w:space="0" w:color="auto"/>
        <w:right w:val="none" w:sz="0" w:space="0" w:color="auto"/>
      </w:divBdr>
    </w:div>
    <w:div w:id="329990277">
      <w:bodyDiv w:val="1"/>
      <w:marLeft w:val="0"/>
      <w:marRight w:val="0"/>
      <w:marTop w:val="0"/>
      <w:marBottom w:val="0"/>
      <w:divBdr>
        <w:top w:val="none" w:sz="0" w:space="0" w:color="auto"/>
        <w:left w:val="none" w:sz="0" w:space="0" w:color="auto"/>
        <w:bottom w:val="none" w:sz="0" w:space="0" w:color="auto"/>
        <w:right w:val="none" w:sz="0" w:space="0" w:color="auto"/>
      </w:divBdr>
    </w:div>
    <w:div w:id="330454195">
      <w:bodyDiv w:val="1"/>
      <w:marLeft w:val="0"/>
      <w:marRight w:val="0"/>
      <w:marTop w:val="0"/>
      <w:marBottom w:val="0"/>
      <w:divBdr>
        <w:top w:val="none" w:sz="0" w:space="0" w:color="auto"/>
        <w:left w:val="none" w:sz="0" w:space="0" w:color="auto"/>
        <w:bottom w:val="none" w:sz="0" w:space="0" w:color="auto"/>
        <w:right w:val="none" w:sz="0" w:space="0" w:color="auto"/>
      </w:divBdr>
    </w:div>
    <w:div w:id="330524726">
      <w:bodyDiv w:val="1"/>
      <w:marLeft w:val="0"/>
      <w:marRight w:val="0"/>
      <w:marTop w:val="0"/>
      <w:marBottom w:val="0"/>
      <w:divBdr>
        <w:top w:val="none" w:sz="0" w:space="0" w:color="auto"/>
        <w:left w:val="none" w:sz="0" w:space="0" w:color="auto"/>
        <w:bottom w:val="none" w:sz="0" w:space="0" w:color="auto"/>
        <w:right w:val="none" w:sz="0" w:space="0" w:color="auto"/>
      </w:divBdr>
    </w:div>
    <w:div w:id="330528566">
      <w:bodyDiv w:val="1"/>
      <w:marLeft w:val="0"/>
      <w:marRight w:val="0"/>
      <w:marTop w:val="0"/>
      <w:marBottom w:val="0"/>
      <w:divBdr>
        <w:top w:val="none" w:sz="0" w:space="0" w:color="auto"/>
        <w:left w:val="none" w:sz="0" w:space="0" w:color="auto"/>
        <w:bottom w:val="none" w:sz="0" w:space="0" w:color="auto"/>
        <w:right w:val="none" w:sz="0" w:space="0" w:color="auto"/>
      </w:divBdr>
    </w:div>
    <w:div w:id="331497452">
      <w:bodyDiv w:val="1"/>
      <w:marLeft w:val="0"/>
      <w:marRight w:val="0"/>
      <w:marTop w:val="0"/>
      <w:marBottom w:val="0"/>
      <w:divBdr>
        <w:top w:val="none" w:sz="0" w:space="0" w:color="auto"/>
        <w:left w:val="none" w:sz="0" w:space="0" w:color="auto"/>
        <w:bottom w:val="none" w:sz="0" w:space="0" w:color="auto"/>
        <w:right w:val="none" w:sz="0" w:space="0" w:color="auto"/>
      </w:divBdr>
    </w:div>
    <w:div w:id="331564670">
      <w:bodyDiv w:val="1"/>
      <w:marLeft w:val="0"/>
      <w:marRight w:val="0"/>
      <w:marTop w:val="0"/>
      <w:marBottom w:val="0"/>
      <w:divBdr>
        <w:top w:val="none" w:sz="0" w:space="0" w:color="auto"/>
        <w:left w:val="none" w:sz="0" w:space="0" w:color="auto"/>
        <w:bottom w:val="none" w:sz="0" w:space="0" w:color="auto"/>
        <w:right w:val="none" w:sz="0" w:space="0" w:color="auto"/>
      </w:divBdr>
    </w:div>
    <w:div w:id="331955761">
      <w:bodyDiv w:val="1"/>
      <w:marLeft w:val="0"/>
      <w:marRight w:val="0"/>
      <w:marTop w:val="0"/>
      <w:marBottom w:val="0"/>
      <w:divBdr>
        <w:top w:val="none" w:sz="0" w:space="0" w:color="auto"/>
        <w:left w:val="none" w:sz="0" w:space="0" w:color="auto"/>
        <w:bottom w:val="none" w:sz="0" w:space="0" w:color="auto"/>
        <w:right w:val="none" w:sz="0" w:space="0" w:color="auto"/>
      </w:divBdr>
    </w:div>
    <w:div w:id="332152036">
      <w:bodyDiv w:val="1"/>
      <w:marLeft w:val="0"/>
      <w:marRight w:val="0"/>
      <w:marTop w:val="0"/>
      <w:marBottom w:val="0"/>
      <w:divBdr>
        <w:top w:val="none" w:sz="0" w:space="0" w:color="auto"/>
        <w:left w:val="none" w:sz="0" w:space="0" w:color="auto"/>
        <w:bottom w:val="none" w:sz="0" w:space="0" w:color="auto"/>
        <w:right w:val="none" w:sz="0" w:space="0" w:color="auto"/>
      </w:divBdr>
    </w:div>
    <w:div w:id="332802053">
      <w:bodyDiv w:val="1"/>
      <w:marLeft w:val="0"/>
      <w:marRight w:val="0"/>
      <w:marTop w:val="0"/>
      <w:marBottom w:val="0"/>
      <w:divBdr>
        <w:top w:val="none" w:sz="0" w:space="0" w:color="auto"/>
        <w:left w:val="none" w:sz="0" w:space="0" w:color="auto"/>
        <w:bottom w:val="none" w:sz="0" w:space="0" w:color="auto"/>
        <w:right w:val="none" w:sz="0" w:space="0" w:color="auto"/>
      </w:divBdr>
    </w:div>
    <w:div w:id="332925910">
      <w:bodyDiv w:val="1"/>
      <w:marLeft w:val="0"/>
      <w:marRight w:val="0"/>
      <w:marTop w:val="0"/>
      <w:marBottom w:val="0"/>
      <w:divBdr>
        <w:top w:val="none" w:sz="0" w:space="0" w:color="auto"/>
        <w:left w:val="none" w:sz="0" w:space="0" w:color="auto"/>
        <w:bottom w:val="none" w:sz="0" w:space="0" w:color="auto"/>
        <w:right w:val="none" w:sz="0" w:space="0" w:color="auto"/>
      </w:divBdr>
    </w:div>
    <w:div w:id="333000627">
      <w:bodyDiv w:val="1"/>
      <w:marLeft w:val="0"/>
      <w:marRight w:val="0"/>
      <w:marTop w:val="0"/>
      <w:marBottom w:val="0"/>
      <w:divBdr>
        <w:top w:val="none" w:sz="0" w:space="0" w:color="auto"/>
        <w:left w:val="none" w:sz="0" w:space="0" w:color="auto"/>
        <w:bottom w:val="none" w:sz="0" w:space="0" w:color="auto"/>
        <w:right w:val="none" w:sz="0" w:space="0" w:color="auto"/>
      </w:divBdr>
    </w:div>
    <w:div w:id="333075735">
      <w:bodyDiv w:val="1"/>
      <w:marLeft w:val="0"/>
      <w:marRight w:val="0"/>
      <w:marTop w:val="0"/>
      <w:marBottom w:val="0"/>
      <w:divBdr>
        <w:top w:val="none" w:sz="0" w:space="0" w:color="auto"/>
        <w:left w:val="none" w:sz="0" w:space="0" w:color="auto"/>
        <w:bottom w:val="none" w:sz="0" w:space="0" w:color="auto"/>
        <w:right w:val="none" w:sz="0" w:space="0" w:color="auto"/>
      </w:divBdr>
    </w:div>
    <w:div w:id="333608214">
      <w:bodyDiv w:val="1"/>
      <w:marLeft w:val="0"/>
      <w:marRight w:val="0"/>
      <w:marTop w:val="0"/>
      <w:marBottom w:val="0"/>
      <w:divBdr>
        <w:top w:val="none" w:sz="0" w:space="0" w:color="auto"/>
        <w:left w:val="none" w:sz="0" w:space="0" w:color="auto"/>
        <w:bottom w:val="none" w:sz="0" w:space="0" w:color="auto"/>
        <w:right w:val="none" w:sz="0" w:space="0" w:color="auto"/>
      </w:divBdr>
    </w:div>
    <w:div w:id="333805227">
      <w:bodyDiv w:val="1"/>
      <w:marLeft w:val="0"/>
      <w:marRight w:val="0"/>
      <w:marTop w:val="0"/>
      <w:marBottom w:val="0"/>
      <w:divBdr>
        <w:top w:val="none" w:sz="0" w:space="0" w:color="auto"/>
        <w:left w:val="none" w:sz="0" w:space="0" w:color="auto"/>
        <w:bottom w:val="none" w:sz="0" w:space="0" w:color="auto"/>
        <w:right w:val="none" w:sz="0" w:space="0" w:color="auto"/>
      </w:divBdr>
    </w:div>
    <w:div w:id="335040067">
      <w:bodyDiv w:val="1"/>
      <w:marLeft w:val="0"/>
      <w:marRight w:val="0"/>
      <w:marTop w:val="0"/>
      <w:marBottom w:val="0"/>
      <w:divBdr>
        <w:top w:val="none" w:sz="0" w:space="0" w:color="auto"/>
        <w:left w:val="none" w:sz="0" w:space="0" w:color="auto"/>
        <w:bottom w:val="none" w:sz="0" w:space="0" w:color="auto"/>
        <w:right w:val="none" w:sz="0" w:space="0" w:color="auto"/>
      </w:divBdr>
    </w:div>
    <w:div w:id="335500370">
      <w:bodyDiv w:val="1"/>
      <w:marLeft w:val="0"/>
      <w:marRight w:val="0"/>
      <w:marTop w:val="0"/>
      <w:marBottom w:val="0"/>
      <w:divBdr>
        <w:top w:val="none" w:sz="0" w:space="0" w:color="auto"/>
        <w:left w:val="none" w:sz="0" w:space="0" w:color="auto"/>
        <w:bottom w:val="none" w:sz="0" w:space="0" w:color="auto"/>
        <w:right w:val="none" w:sz="0" w:space="0" w:color="auto"/>
      </w:divBdr>
    </w:div>
    <w:div w:id="335547133">
      <w:bodyDiv w:val="1"/>
      <w:marLeft w:val="0"/>
      <w:marRight w:val="0"/>
      <w:marTop w:val="0"/>
      <w:marBottom w:val="0"/>
      <w:divBdr>
        <w:top w:val="none" w:sz="0" w:space="0" w:color="auto"/>
        <w:left w:val="none" w:sz="0" w:space="0" w:color="auto"/>
        <w:bottom w:val="none" w:sz="0" w:space="0" w:color="auto"/>
        <w:right w:val="none" w:sz="0" w:space="0" w:color="auto"/>
      </w:divBdr>
    </w:div>
    <w:div w:id="336003981">
      <w:bodyDiv w:val="1"/>
      <w:marLeft w:val="0"/>
      <w:marRight w:val="0"/>
      <w:marTop w:val="0"/>
      <w:marBottom w:val="0"/>
      <w:divBdr>
        <w:top w:val="none" w:sz="0" w:space="0" w:color="auto"/>
        <w:left w:val="none" w:sz="0" w:space="0" w:color="auto"/>
        <w:bottom w:val="none" w:sz="0" w:space="0" w:color="auto"/>
        <w:right w:val="none" w:sz="0" w:space="0" w:color="auto"/>
      </w:divBdr>
    </w:div>
    <w:div w:id="336033462">
      <w:bodyDiv w:val="1"/>
      <w:marLeft w:val="0"/>
      <w:marRight w:val="0"/>
      <w:marTop w:val="0"/>
      <w:marBottom w:val="0"/>
      <w:divBdr>
        <w:top w:val="none" w:sz="0" w:space="0" w:color="auto"/>
        <w:left w:val="none" w:sz="0" w:space="0" w:color="auto"/>
        <w:bottom w:val="none" w:sz="0" w:space="0" w:color="auto"/>
        <w:right w:val="none" w:sz="0" w:space="0" w:color="auto"/>
      </w:divBdr>
    </w:div>
    <w:div w:id="336273951">
      <w:bodyDiv w:val="1"/>
      <w:marLeft w:val="0"/>
      <w:marRight w:val="0"/>
      <w:marTop w:val="0"/>
      <w:marBottom w:val="0"/>
      <w:divBdr>
        <w:top w:val="none" w:sz="0" w:space="0" w:color="auto"/>
        <w:left w:val="none" w:sz="0" w:space="0" w:color="auto"/>
        <w:bottom w:val="none" w:sz="0" w:space="0" w:color="auto"/>
        <w:right w:val="none" w:sz="0" w:space="0" w:color="auto"/>
      </w:divBdr>
    </w:div>
    <w:div w:id="336810005">
      <w:bodyDiv w:val="1"/>
      <w:marLeft w:val="0"/>
      <w:marRight w:val="0"/>
      <w:marTop w:val="0"/>
      <w:marBottom w:val="0"/>
      <w:divBdr>
        <w:top w:val="none" w:sz="0" w:space="0" w:color="auto"/>
        <w:left w:val="none" w:sz="0" w:space="0" w:color="auto"/>
        <w:bottom w:val="none" w:sz="0" w:space="0" w:color="auto"/>
        <w:right w:val="none" w:sz="0" w:space="0" w:color="auto"/>
      </w:divBdr>
    </w:div>
    <w:div w:id="336887037">
      <w:bodyDiv w:val="1"/>
      <w:marLeft w:val="0"/>
      <w:marRight w:val="0"/>
      <w:marTop w:val="0"/>
      <w:marBottom w:val="0"/>
      <w:divBdr>
        <w:top w:val="none" w:sz="0" w:space="0" w:color="auto"/>
        <w:left w:val="none" w:sz="0" w:space="0" w:color="auto"/>
        <w:bottom w:val="none" w:sz="0" w:space="0" w:color="auto"/>
        <w:right w:val="none" w:sz="0" w:space="0" w:color="auto"/>
      </w:divBdr>
    </w:div>
    <w:div w:id="337074829">
      <w:bodyDiv w:val="1"/>
      <w:marLeft w:val="0"/>
      <w:marRight w:val="0"/>
      <w:marTop w:val="0"/>
      <w:marBottom w:val="0"/>
      <w:divBdr>
        <w:top w:val="none" w:sz="0" w:space="0" w:color="auto"/>
        <w:left w:val="none" w:sz="0" w:space="0" w:color="auto"/>
        <w:bottom w:val="none" w:sz="0" w:space="0" w:color="auto"/>
        <w:right w:val="none" w:sz="0" w:space="0" w:color="auto"/>
      </w:divBdr>
    </w:div>
    <w:div w:id="337271664">
      <w:bodyDiv w:val="1"/>
      <w:marLeft w:val="0"/>
      <w:marRight w:val="0"/>
      <w:marTop w:val="0"/>
      <w:marBottom w:val="0"/>
      <w:divBdr>
        <w:top w:val="none" w:sz="0" w:space="0" w:color="auto"/>
        <w:left w:val="none" w:sz="0" w:space="0" w:color="auto"/>
        <w:bottom w:val="none" w:sz="0" w:space="0" w:color="auto"/>
        <w:right w:val="none" w:sz="0" w:space="0" w:color="auto"/>
      </w:divBdr>
    </w:div>
    <w:div w:id="337388644">
      <w:bodyDiv w:val="1"/>
      <w:marLeft w:val="0"/>
      <w:marRight w:val="0"/>
      <w:marTop w:val="0"/>
      <w:marBottom w:val="0"/>
      <w:divBdr>
        <w:top w:val="none" w:sz="0" w:space="0" w:color="auto"/>
        <w:left w:val="none" w:sz="0" w:space="0" w:color="auto"/>
        <w:bottom w:val="none" w:sz="0" w:space="0" w:color="auto"/>
        <w:right w:val="none" w:sz="0" w:space="0" w:color="auto"/>
      </w:divBdr>
    </w:div>
    <w:div w:id="337468293">
      <w:bodyDiv w:val="1"/>
      <w:marLeft w:val="0"/>
      <w:marRight w:val="0"/>
      <w:marTop w:val="0"/>
      <w:marBottom w:val="0"/>
      <w:divBdr>
        <w:top w:val="none" w:sz="0" w:space="0" w:color="auto"/>
        <w:left w:val="none" w:sz="0" w:space="0" w:color="auto"/>
        <w:bottom w:val="none" w:sz="0" w:space="0" w:color="auto"/>
        <w:right w:val="none" w:sz="0" w:space="0" w:color="auto"/>
      </w:divBdr>
    </w:div>
    <w:div w:id="337536632">
      <w:bodyDiv w:val="1"/>
      <w:marLeft w:val="0"/>
      <w:marRight w:val="0"/>
      <w:marTop w:val="0"/>
      <w:marBottom w:val="0"/>
      <w:divBdr>
        <w:top w:val="none" w:sz="0" w:space="0" w:color="auto"/>
        <w:left w:val="none" w:sz="0" w:space="0" w:color="auto"/>
        <w:bottom w:val="none" w:sz="0" w:space="0" w:color="auto"/>
        <w:right w:val="none" w:sz="0" w:space="0" w:color="auto"/>
      </w:divBdr>
    </w:div>
    <w:div w:id="337588357">
      <w:bodyDiv w:val="1"/>
      <w:marLeft w:val="0"/>
      <w:marRight w:val="0"/>
      <w:marTop w:val="0"/>
      <w:marBottom w:val="0"/>
      <w:divBdr>
        <w:top w:val="none" w:sz="0" w:space="0" w:color="auto"/>
        <w:left w:val="none" w:sz="0" w:space="0" w:color="auto"/>
        <w:bottom w:val="none" w:sz="0" w:space="0" w:color="auto"/>
        <w:right w:val="none" w:sz="0" w:space="0" w:color="auto"/>
      </w:divBdr>
    </w:div>
    <w:div w:id="337657774">
      <w:bodyDiv w:val="1"/>
      <w:marLeft w:val="0"/>
      <w:marRight w:val="0"/>
      <w:marTop w:val="0"/>
      <w:marBottom w:val="0"/>
      <w:divBdr>
        <w:top w:val="none" w:sz="0" w:space="0" w:color="auto"/>
        <w:left w:val="none" w:sz="0" w:space="0" w:color="auto"/>
        <w:bottom w:val="none" w:sz="0" w:space="0" w:color="auto"/>
        <w:right w:val="none" w:sz="0" w:space="0" w:color="auto"/>
      </w:divBdr>
    </w:div>
    <w:div w:id="337731961">
      <w:bodyDiv w:val="1"/>
      <w:marLeft w:val="0"/>
      <w:marRight w:val="0"/>
      <w:marTop w:val="0"/>
      <w:marBottom w:val="0"/>
      <w:divBdr>
        <w:top w:val="none" w:sz="0" w:space="0" w:color="auto"/>
        <w:left w:val="none" w:sz="0" w:space="0" w:color="auto"/>
        <w:bottom w:val="none" w:sz="0" w:space="0" w:color="auto"/>
        <w:right w:val="none" w:sz="0" w:space="0" w:color="auto"/>
      </w:divBdr>
    </w:div>
    <w:div w:id="337773363">
      <w:bodyDiv w:val="1"/>
      <w:marLeft w:val="0"/>
      <w:marRight w:val="0"/>
      <w:marTop w:val="0"/>
      <w:marBottom w:val="0"/>
      <w:divBdr>
        <w:top w:val="none" w:sz="0" w:space="0" w:color="auto"/>
        <w:left w:val="none" w:sz="0" w:space="0" w:color="auto"/>
        <w:bottom w:val="none" w:sz="0" w:space="0" w:color="auto"/>
        <w:right w:val="none" w:sz="0" w:space="0" w:color="auto"/>
      </w:divBdr>
    </w:div>
    <w:div w:id="337780032">
      <w:bodyDiv w:val="1"/>
      <w:marLeft w:val="0"/>
      <w:marRight w:val="0"/>
      <w:marTop w:val="0"/>
      <w:marBottom w:val="0"/>
      <w:divBdr>
        <w:top w:val="none" w:sz="0" w:space="0" w:color="auto"/>
        <w:left w:val="none" w:sz="0" w:space="0" w:color="auto"/>
        <w:bottom w:val="none" w:sz="0" w:space="0" w:color="auto"/>
        <w:right w:val="none" w:sz="0" w:space="0" w:color="auto"/>
      </w:divBdr>
    </w:div>
    <w:div w:id="337849483">
      <w:bodyDiv w:val="1"/>
      <w:marLeft w:val="0"/>
      <w:marRight w:val="0"/>
      <w:marTop w:val="0"/>
      <w:marBottom w:val="0"/>
      <w:divBdr>
        <w:top w:val="none" w:sz="0" w:space="0" w:color="auto"/>
        <w:left w:val="none" w:sz="0" w:space="0" w:color="auto"/>
        <w:bottom w:val="none" w:sz="0" w:space="0" w:color="auto"/>
        <w:right w:val="none" w:sz="0" w:space="0" w:color="auto"/>
      </w:divBdr>
    </w:div>
    <w:div w:id="338122567">
      <w:bodyDiv w:val="1"/>
      <w:marLeft w:val="0"/>
      <w:marRight w:val="0"/>
      <w:marTop w:val="0"/>
      <w:marBottom w:val="0"/>
      <w:divBdr>
        <w:top w:val="none" w:sz="0" w:space="0" w:color="auto"/>
        <w:left w:val="none" w:sz="0" w:space="0" w:color="auto"/>
        <w:bottom w:val="none" w:sz="0" w:space="0" w:color="auto"/>
        <w:right w:val="none" w:sz="0" w:space="0" w:color="auto"/>
      </w:divBdr>
    </w:div>
    <w:div w:id="338234294">
      <w:bodyDiv w:val="1"/>
      <w:marLeft w:val="0"/>
      <w:marRight w:val="0"/>
      <w:marTop w:val="0"/>
      <w:marBottom w:val="0"/>
      <w:divBdr>
        <w:top w:val="none" w:sz="0" w:space="0" w:color="auto"/>
        <w:left w:val="none" w:sz="0" w:space="0" w:color="auto"/>
        <w:bottom w:val="none" w:sz="0" w:space="0" w:color="auto"/>
        <w:right w:val="none" w:sz="0" w:space="0" w:color="auto"/>
      </w:divBdr>
    </w:div>
    <w:div w:id="338312543">
      <w:bodyDiv w:val="1"/>
      <w:marLeft w:val="0"/>
      <w:marRight w:val="0"/>
      <w:marTop w:val="0"/>
      <w:marBottom w:val="0"/>
      <w:divBdr>
        <w:top w:val="none" w:sz="0" w:space="0" w:color="auto"/>
        <w:left w:val="none" w:sz="0" w:space="0" w:color="auto"/>
        <w:bottom w:val="none" w:sz="0" w:space="0" w:color="auto"/>
        <w:right w:val="none" w:sz="0" w:space="0" w:color="auto"/>
      </w:divBdr>
    </w:div>
    <w:div w:id="338625460">
      <w:bodyDiv w:val="1"/>
      <w:marLeft w:val="0"/>
      <w:marRight w:val="0"/>
      <w:marTop w:val="0"/>
      <w:marBottom w:val="0"/>
      <w:divBdr>
        <w:top w:val="none" w:sz="0" w:space="0" w:color="auto"/>
        <w:left w:val="none" w:sz="0" w:space="0" w:color="auto"/>
        <w:bottom w:val="none" w:sz="0" w:space="0" w:color="auto"/>
        <w:right w:val="none" w:sz="0" w:space="0" w:color="auto"/>
      </w:divBdr>
    </w:div>
    <w:div w:id="338771506">
      <w:bodyDiv w:val="1"/>
      <w:marLeft w:val="0"/>
      <w:marRight w:val="0"/>
      <w:marTop w:val="0"/>
      <w:marBottom w:val="0"/>
      <w:divBdr>
        <w:top w:val="none" w:sz="0" w:space="0" w:color="auto"/>
        <w:left w:val="none" w:sz="0" w:space="0" w:color="auto"/>
        <w:bottom w:val="none" w:sz="0" w:space="0" w:color="auto"/>
        <w:right w:val="none" w:sz="0" w:space="0" w:color="auto"/>
      </w:divBdr>
    </w:div>
    <w:div w:id="339240098">
      <w:bodyDiv w:val="1"/>
      <w:marLeft w:val="0"/>
      <w:marRight w:val="0"/>
      <w:marTop w:val="0"/>
      <w:marBottom w:val="0"/>
      <w:divBdr>
        <w:top w:val="none" w:sz="0" w:space="0" w:color="auto"/>
        <w:left w:val="none" w:sz="0" w:space="0" w:color="auto"/>
        <w:bottom w:val="none" w:sz="0" w:space="0" w:color="auto"/>
        <w:right w:val="none" w:sz="0" w:space="0" w:color="auto"/>
      </w:divBdr>
    </w:div>
    <w:div w:id="339285476">
      <w:bodyDiv w:val="1"/>
      <w:marLeft w:val="0"/>
      <w:marRight w:val="0"/>
      <w:marTop w:val="0"/>
      <w:marBottom w:val="0"/>
      <w:divBdr>
        <w:top w:val="none" w:sz="0" w:space="0" w:color="auto"/>
        <w:left w:val="none" w:sz="0" w:space="0" w:color="auto"/>
        <w:bottom w:val="none" w:sz="0" w:space="0" w:color="auto"/>
        <w:right w:val="none" w:sz="0" w:space="0" w:color="auto"/>
      </w:divBdr>
    </w:div>
    <w:div w:id="339426462">
      <w:bodyDiv w:val="1"/>
      <w:marLeft w:val="0"/>
      <w:marRight w:val="0"/>
      <w:marTop w:val="0"/>
      <w:marBottom w:val="0"/>
      <w:divBdr>
        <w:top w:val="none" w:sz="0" w:space="0" w:color="auto"/>
        <w:left w:val="none" w:sz="0" w:space="0" w:color="auto"/>
        <w:bottom w:val="none" w:sz="0" w:space="0" w:color="auto"/>
        <w:right w:val="none" w:sz="0" w:space="0" w:color="auto"/>
      </w:divBdr>
    </w:div>
    <w:div w:id="339626164">
      <w:bodyDiv w:val="1"/>
      <w:marLeft w:val="0"/>
      <w:marRight w:val="0"/>
      <w:marTop w:val="0"/>
      <w:marBottom w:val="0"/>
      <w:divBdr>
        <w:top w:val="none" w:sz="0" w:space="0" w:color="auto"/>
        <w:left w:val="none" w:sz="0" w:space="0" w:color="auto"/>
        <w:bottom w:val="none" w:sz="0" w:space="0" w:color="auto"/>
        <w:right w:val="none" w:sz="0" w:space="0" w:color="auto"/>
      </w:divBdr>
    </w:div>
    <w:div w:id="339700558">
      <w:bodyDiv w:val="1"/>
      <w:marLeft w:val="0"/>
      <w:marRight w:val="0"/>
      <w:marTop w:val="0"/>
      <w:marBottom w:val="0"/>
      <w:divBdr>
        <w:top w:val="none" w:sz="0" w:space="0" w:color="auto"/>
        <w:left w:val="none" w:sz="0" w:space="0" w:color="auto"/>
        <w:bottom w:val="none" w:sz="0" w:space="0" w:color="auto"/>
        <w:right w:val="none" w:sz="0" w:space="0" w:color="auto"/>
      </w:divBdr>
    </w:div>
    <w:div w:id="339744965">
      <w:bodyDiv w:val="1"/>
      <w:marLeft w:val="0"/>
      <w:marRight w:val="0"/>
      <w:marTop w:val="0"/>
      <w:marBottom w:val="0"/>
      <w:divBdr>
        <w:top w:val="none" w:sz="0" w:space="0" w:color="auto"/>
        <w:left w:val="none" w:sz="0" w:space="0" w:color="auto"/>
        <w:bottom w:val="none" w:sz="0" w:space="0" w:color="auto"/>
        <w:right w:val="none" w:sz="0" w:space="0" w:color="auto"/>
      </w:divBdr>
    </w:div>
    <w:div w:id="339936960">
      <w:bodyDiv w:val="1"/>
      <w:marLeft w:val="0"/>
      <w:marRight w:val="0"/>
      <w:marTop w:val="0"/>
      <w:marBottom w:val="0"/>
      <w:divBdr>
        <w:top w:val="none" w:sz="0" w:space="0" w:color="auto"/>
        <w:left w:val="none" w:sz="0" w:space="0" w:color="auto"/>
        <w:bottom w:val="none" w:sz="0" w:space="0" w:color="auto"/>
        <w:right w:val="none" w:sz="0" w:space="0" w:color="auto"/>
      </w:divBdr>
    </w:div>
    <w:div w:id="340396718">
      <w:bodyDiv w:val="1"/>
      <w:marLeft w:val="0"/>
      <w:marRight w:val="0"/>
      <w:marTop w:val="0"/>
      <w:marBottom w:val="0"/>
      <w:divBdr>
        <w:top w:val="none" w:sz="0" w:space="0" w:color="auto"/>
        <w:left w:val="none" w:sz="0" w:space="0" w:color="auto"/>
        <w:bottom w:val="none" w:sz="0" w:space="0" w:color="auto"/>
        <w:right w:val="none" w:sz="0" w:space="0" w:color="auto"/>
      </w:divBdr>
    </w:div>
    <w:div w:id="340398704">
      <w:bodyDiv w:val="1"/>
      <w:marLeft w:val="0"/>
      <w:marRight w:val="0"/>
      <w:marTop w:val="0"/>
      <w:marBottom w:val="0"/>
      <w:divBdr>
        <w:top w:val="none" w:sz="0" w:space="0" w:color="auto"/>
        <w:left w:val="none" w:sz="0" w:space="0" w:color="auto"/>
        <w:bottom w:val="none" w:sz="0" w:space="0" w:color="auto"/>
        <w:right w:val="none" w:sz="0" w:space="0" w:color="auto"/>
      </w:divBdr>
    </w:div>
    <w:div w:id="340469109">
      <w:bodyDiv w:val="1"/>
      <w:marLeft w:val="0"/>
      <w:marRight w:val="0"/>
      <w:marTop w:val="0"/>
      <w:marBottom w:val="0"/>
      <w:divBdr>
        <w:top w:val="none" w:sz="0" w:space="0" w:color="auto"/>
        <w:left w:val="none" w:sz="0" w:space="0" w:color="auto"/>
        <w:bottom w:val="none" w:sz="0" w:space="0" w:color="auto"/>
        <w:right w:val="none" w:sz="0" w:space="0" w:color="auto"/>
      </w:divBdr>
    </w:div>
    <w:div w:id="340546400">
      <w:bodyDiv w:val="1"/>
      <w:marLeft w:val="0"/>
      <w:marRight w:val="0"/>
      <w:marTop w:val="0"/>
      <w:marBottom w:val="0"/>
      <w:divBdr>
        <w:top w:val="none" w:sz="0" w:space="0" w:color="auto"/>
        <w:left w:val="none" w:sz="0" w:space="0" w:color="auto"/>
        <w:bottom w:val="none" w:sz="0" w:space="0" w:color="auto"/>
        <w:right w:val="none" w:sz="0" w:space="0" w:color="auto"/>
      </w:divBdr>
    </w:div>
    <w:div w:id="340551344">
      <w:bodyDiv w:val="1"/>
      <w:marLeft w:val="0"/>
      <w:marRight w:val="0"/>
      <w:marTop w:val="0"/>
      <w:marBottom w:val="0"/>
      <w:divBdr>
        <w:top w:val="none" w:sz="0" w:space="0" w:color="auto"/>
        <w:left w:val="none" w:sz="0" w:space="0" w:color="auto"/>
        <w:bottom w:val="none" w:sz="0" w:space="0" w:color="auto"/>
        <w:right w:val="none" w:sz="0" w:space="0" w:color="auto"/>
      </w:divBdr>
    </w:div>
    <w:div w:id="340936389">
      <w:bodyDiv w:val="1"/>
      <w:marLeft w:val="0"/>
      <w:marRight w:val="0"/>
      <w:marTop w:val="0"/>
      <w:marBottom w:val="0"/>
      <w:divBdr>
        <w:top w:val="none" w:sz="0" w:space="0" w:color="auto"/>
        <w:left w:val="none" w:sz="0" w:space="0" w:color="auto"/>
        <w:bottom w:val="none" w:sz="0" w:space="0" w:color="auto"/>
        <w:right w:val="none" w:sz="0" w:space="0" w:color="auto"/>
      </w:divBdr>
    </w:div>
    <w:div w:id="341200774">
      <w:bodyDiv w:val="1"/>
      <w:marLeft w:val="0"/>
      <w:marRight w:val="0"/>
      <w:marTop w:val="0"/>
      <w:marBottom w:val="0"/>
      <w:divBdr>
        <w:top w:val="none" w:sz="0" w:space="0" w:color="auto"/>
        <w:left w:val="none" w:sz="0" w:space="0" w:color="auto"/>
        <w:bottom w:val="none" w:sz="0" w:space="0" w:color="auto"/>
        <w:right w:val="none" w:sz="0" w:space="0" w:color="auto"/>
      </w:divBdr>
    </w:div>
    <w:div w:id="341201447">
      <w:bodyDiv w:val="1"/>
      <w:marLeft w:val="0"/>
      <w:marRight w:val="0"/>
      <w:marTop w:val="0"/>
      <w:marBottom w:val="0"/>
      <w:divBdr>
        <w:top w:val="none" w:sz="0" w:space="0" w:color="auto"/>
        <w:left w:val="none" w:sz="0" w:space="0" w:color="auto"/>
        <w:bottom w:val="none" w:sz="0" w:space="0" w:color="auto"/>
        <w:right w:val="none" w:sz="0" w:space="0" w:color="auto"/>
      </w:divBdr>
    </w:div>
    <w:div w:id="341247815">
      <w:bodyDiv w:val="1"/>
      <w:marLeft w:val="0"/>
      <w:marRight w:val="0"/>
      <w:marTop w:val="0"/>
      <w:marBottom w:val="0"/>
      <w:divBdr>
        <w:top w:val="none" w:sz="0" w:space="0" w:color="auto"/>
        <w:left w:val="none" w:sz="0" w:space="0" w:color="auto"/>
        <w:bottom w:val="none" w:sz="0" w:space="0" w:color="auto"/>
        <w:right w:val="none" w:sz="0" w:space="0" w:color="auto"/>
      </w:divBdr>
    </w:div>
    <w:div w:id="341324538">
      <w:bodyDiv w:val="1"/>
      <w:marLeft w:val="0"/>
      <w:marRight w:val="0"/>
      <w:marTop w:val="0"/>
      <w:marBottom w:val="0"/>
      <w:divBdr>
        <w:top w:val="none" w:sz="0" w:space="0" w:color="auto"/>
        <w:left w:val="none" w:sz="0" w:space="0" w:color="auto"/>
        <w:bottom w:val="none" w:sz="0" w:space="0" w:color="auto"/>
        <w:right w:val="none" w:sz="0" w:space="0" w:color="auto"/>
      </w:divBdr>
    </w:div>
    <w:div w:id="341587971">
      <w:bodyDiv w:val="1"/>
      <w:marLeft w:val="0"/>
      <w:marRight w:val="0"/>
      <w:marTop w:val="0"/>
      <w:marBottom w:val="0"/>
      <w:divBdr>
        <w:top w:val="none" w:sz="0" w:space="0" w:color="auto"/>
        <w:left w:val="none" w:sz="0" w:space="0" w:color="auto"/>
        <w:bottom w:val="none" w:sz="0" w:space="0" w:color="auto"/>
        <w:right w:val="none" w:sz="0" w:space="0" w:color="auto"/>
      </w:divBdr>
    </w:div>
    <w:div w:id="341593994">
      <w:bodyDiv w:val="1"/>
      <w:marLeft w:val="0"/>
      <w:marRight w:val="0"/>
      <w:marTop w:val="0"/>
      <w:marBottom w:val="0"/>
      <w:divBdr>
        <w:top w:val="none" w:sz="0" w:space="0" w:color="auto"/>
        <w:left w:val="none" w:sz="0" w:space="0" w:color="auto"/>
        <w:bottom w:val="none" w:sz="0" w:space="0" w:color="auto"/>
        <w:right w:val="none" w:sz="0" w:space="0" w:color="auto"/>
      </w:divBdr>
    </w:div>
    <w:div w:id="341665127">
      <w:bodyDiv w:val="1"/>
      <w:marLeft w:val="0"/>
      <w:marRight w:val="0"/>
      <w:marTop w:val="0"/>
      <w:marBottom w:val="0"/>
      <w:divBdr>
        <w:top w:val="none" w:sz="0" w:space="0" w:color="auto"/>
        <w:left w:val="none" w:sz="0" w:space="0" w:color="auto"/>
        <w:bottom w:val="none" w:sz="0" w:space="0" w:color="auto"/>
        <w:right w:val="none" w:sz="0" w:space="0" w:color="auto"/>
      </w:divBdr>
    </w:div>
    <w:div w:id="341863664">
      <w:bodyDiv w:val="1"/>
      <w:marLeft w:val="0"/>
      <w:marRight w:val="0"/>
      <w:marTop w:val="0"/>
      <w:marBottom w:val="0"/>
      <w:divBdr>
        <w:top w:val="none" w:sz="0" w:space="0" w:color="auto"/>
        <w:left w:val="none" w:sz="0" w:space="0" w:color="auto"/>
        <w:bottom w:val="none" w:sz="0" w:space="0" w:color="auto"/>
        <w:right w:val="none" w:sz="0" w:space="0" w:color="auto"/>
      </w:divBdr>
    </w:div>
    <w:div w:id="342589038">
      <w:bodyDiv w:val="1"/>
      <w:marLeft w:val="0"/>
      <w:marRight w:val="0"/>
      <w:marTop w:val="0"/>
      <w:marBottom w:val="0"/>
      <w:divBdr>
        <w:top w:val="none" w:sz="0" w:space="0" w:color="auto"/>
        <w:left w:val="none" w:sz="0" w:space="0" w:color="auto"/>
        <w:bottom w:val="none" w:sz="0" w:space="0" w:color="auto"/>
        <w:right w:val="none" w:sz="0" w:space="0" w:color="auto"/>
      </w:divBdr>
    </w:div>
    <w:div w:id="342754887">
      <w:bodyDiv w:val="1"/>
      <w:marLeft w:val="0"/>
      <w:marRight w:val="0"/>
      <w:marTop w:val="0"/>
      <w:marBottom w:val="0"/>
      <w:divBdr>
        <w:top w:val="none" w:sz="0" w:space="0" w:color="auto"/>
        <w:left w:val="none" w:sz="0" w:space="0" w:color="auto"/>
        <w:bottom w:val="none" w:sz="0" w:space="0" w:color="auto"/>
        <w:right w:val="none" w:sz="0" w:space="0" w:color="auto"/>
      </w:divBdr>
    </w:div>
    <w:div w:id="343046903">
      <w:bodyDiv w:val="1"/>
      <w:marLeft w:val="0"/>
      <w:marRight w:val="0"/>
      <w:marTop w:val="0"/>
      <w:marBottom w:val="0"/>
      <w:divBdr>
        <w:top w:val="none" w:sz="0" w:space="0" w:color="auto"/>
        <w:left w:val="none" w:sz="0" w:space="0" w:color="auto"/>
        <w:bottom w:val="none" w:sz="0" w:space="0" w:color="auto"/>
        <w:right w:val="none" w:sz="0" w:space="0" w:color="auto"/>
      </w:divBdr>
    </w:div>
    <w:div w:id="343090070">
      <w:bodyDiv w:val="1"/>
      <w:marLeft w:val="0"/>
      <w:marRight w:val="0"/>
      <w:marTop w:val="0"/>
      <w:marBottom w:val="0"/>
      <w:divBdr>
        <w:top w:val="none" w:sz="0" w:space="0" w:color="auto"/>
        <w:left w:val="none" w:sz="0" w:space="0" w:color="auto"/>
        <w:bottom w:val="none" w:sz="0" w:space="0" w:color="auto"/>
        <w:right w:val="none" w:sz="0" w:space="0" w:color="auto"/>
      </w:divBdr>
    </w:div>
    <w:div w:id="343439037">
      <w:bodyDiv w:val="1"/>
      <w:marLeft w:val="0"/>
      <w:marRight w:val="0"/>
      <w:marTop w:val="0"/>
      <w:marBottom w:val="0"/>
      <w:divBdr>
        <w:top w:val="none" w:sz="0" w:space="0" w:color="auto"/>
        <w:left w:val="none" w:sz="0" w:space="0" w:color="auto"/>
        <w:bottom w:val="none" w:sz="0" w:space="0" w:color="auto"/>
        <w:right w:val="none" w:sz="0" w:space="0" w:color="auto"/>
      </w:divBdr>
    </w:div>
    <w:div w:id="343676938">
      <w:bodyDiv w:val="1"/>
      <w:marLeft w:val="0"/>
      <w:marRight w:val="0"/>
      <w:marTop w:val="0"/>
      <w:marBottom w:val="0"/>
      <w:divBdr>
        <w:top w:val="none" w:sz="0" w:space="0" w:color="auto"/>
        <w:left w:val="none" w:sz="0" w:space="0" w:color="auto"/>
        <w:bottom w:val="none" w:sz="0" w:space="0" w:color="auto"/>
        <w:right w:val="none" w:sz="0" w:space="0" w:color="auto"/>
      </w:divBdr>
    </w:div>
    <w:div w:id="343745628">
      <w:bodyDiv w:val="1"/>
      <w:marLeft w:val="0"/>
      <w:marRight w:val="0"/>
      <w:marTop w:val="0"/>
      <w:marBottom w:val="0"/>
      <w:divBdr>
        <w:top w:val="none" w:sz="0" w:space="0" w:color="auto"/>
        <w:left w:val="none" w:sz="0" w:space="0" w:color="auto"/>
        <w:bottom w:val="none" w:sz="0" w:space="0" w:color="auto"/>
        <w:right w:val="none" w:sz="0" w:space="0" w:color="auto"/>
      </w:divBdr>
    </w:div>
    <w:div w:id="343749305">
      <w:bodyDiv w:val="1"/>
      <w:marLeft w:val="0"/>
      <w:marRight w:val="0"/>
      <w:marTop w:val="0"/>
      <w:marBottom w:val="0"/>
      <w:divBdr>
        <w:top w:val="none" w:sz="0" w:space="0" w:color="auto"/>
        <w:left w:val="none" w:sz="0" w:space="0" w:color="auto"/>
        <w:bottom w:val="none" w:sz="0" w:space="0" w:color="auto"/>
        <w:right w:val="none" w:sz="0" w:space="0" w:color="auto"/>
      </w:divBdr>
    </w:div>
    <w:div w:id="344212040">
      <w:bodyDiv w:val="1"/>
      <w:marLeft w:val="0"/>
      <w:marRight w:val="0"/>
      <w:marTop w:val="0"/>
      <w:marBottom w:val="0"/>
      <w:divBdr>
        <w:top w:val="none" w:sz="0" w:space="0" w:color="auto"/>
        <w:left w:val="none" w:sz="0" w:space="0" w:color="auto"/>
        <w:bottom w:val="none" w:sz="0" w:space="0" w:color="auto"/>
        <w:right w:val="none" w:sz="0" w:space="0" w:color="auto"/>
      </w:divBdr>
    </w:div>
    <w:div w:id="344671714">
      <w:bodyDiv w:val="1"/>
      <w:marLeft w:val="0"/>
      <w:marRight w:val="0"/>
      <w:marTop w:val="0"/>
      <w:marBottom w:val="0"/>
      <w:divBdr>
        <w:top w:val="none" w:sz="0" w:space="0" w:color="auto"/>
        <w:left w:val="none" w:sz="0" w:space="0" w:color="auto"/>
        <w:bottom w:val="none" w:sz="0" w:space="0" w:color="auto"/>
        <w:right w:val="none" w:sz="0" w:space="0" w:color="auto"/>
      </w:divBdr>
    </w:div>
    <w:div w:id="344791153">
      <w:bodyDiv w:val="1"/>
      <w:marLeft w:val="0"/>
      <w:marRight w:val="0"/>
      <w:marTop w:val="0"/>
      <w:marBottom w:val="0"/>
      <w:divBdr>
        <w:top w:val="none" w:sz="0" w:space="0" w:color="auto"/>
        <w:left w:val="none" w:sz="0" w:space="0" w:color="auto"/>
        <w:bottom w:val="none" w:sz="0" w:space="0" w:color="auto"/>
        <w:right w:val="none" w:sz="0" w:space="0" w:color="auto"/>
      </w:divBdr>
    </w:div>
    <w:div w:id="344868493">
      <w:bodyDiv w:val="1"/>
      <w:marLeft w:val="0"/>
      <w:marRight w:val="0"/>
      <w:marTop w:val="0"/>
      <w:marBottom w:val="0"/>
      <w:divBdr>
        <w:top w:val="none" w:sz="0" w:space="0" w:color="auto"/>
        <w:left w:val="none" w:sz="0" w:space="0" w:color="auto"/>
        <w:bottom w:val="none" w:sz="0" w:space="0" w:color="auto"/>
        <w:right w:val="none" w:sz="0" w:space="0" w:color="auto"/>
      </w:divBdr>
    </w:div>
    <w:div w:id="344871389">
      <w:bodyDiv w:val="1"/>
      <w:marLeft w:val="0"/>
      <w:marRight w:val="0"/>
      <w:marTop w:val="0"/>
      <w:marBottom w:val="0"/>
      <w:divBdr>
        <w:top w:val="none" w:sz="0" w:space="0" w:color="auto"/>
        <w:left w:val="none" w:sz="0" w:space="0" w:color="auto"/>
        <w:bottom w:val="none" w:sz="0" w:space="0" w:color="auto"/>
        <w:right w:val="none" w:sz="0" w:space="0" w:color="auto"/>
      </w:divBdr>
    </w:div>
    <w:div w:id="345181278">
      <w:bodyDiv w:val="1"/>
      <w:marLeft w:val="0"/>
      <w:marRight w:val="0"/>
      <w:marTop w:val="0"/>
      <w:marBottom w:val="0"/>
      <w:divBdr>
        <w:top w:val="none" w:sz="0" w:space="0" w:color="auto"/>
        <w:left w:val="none" w:sz="0" w:space="0" w:color="auto"/>
        <w:bottom w:val="none" w:sz="0" w:space="0" w:color="auto"/>
        <w:right w:val="none" w:sz="0" w:space="0" w:color="auto"/>
      </w:divBdr>
    </w:div>
    <w:div w:id="345330234">
      <w:bodyDiv w:val="1"/>
      <w:marLeft w:val="0"/>
      <w:marRight w:val="0"/>
      <w:marTop w:val="0"/>
      <w:marBottom w:val="0"/>
      <w:divBdr>
        <w:top w:val="none" w:sz="0" w:space="0" w:color="auto"/>
        <w:left w:val="none" w:sz="0" w:space="0" w:color="auto"/>
        <w:bottom w:val="none" w:sz="0" w:space="0" w:color="auto"/>
        <w:right w:val="none" w:sz="0" w:space="0" w:color="auto"/>
      </w:divBdr>
    </w:div>
    <w:div w:id="345643584">
      <w:bodyDiv w:val="1"/>
      <w:marLeft w:val="0"/>
      <w:marRight w:val="0"/>
      <w:marTop w:val="0"/>
      <w:marBottom w:val="0"/>
      <w:divBdr>
        <w:top w:val="none" w:sz="0" w:space="0" w:color="auto"/>
        <w:left w:val="none" w:sz="0" w:space="0" w:color="auto"/>
        <w:bottom w:val="none" w:sz="0" w:space="0" w:color="auto"/>
        <w:right w:val="none" w:sz="0" w:space="0" w:color="auto"/>
      </w:divBdr>
    </w:div>
    <w:div w:id="345712445">
      <w:bodyDiv w:val="1"/>
      <w:marLeft w:val="0"/>
      <w:marRight w:val="0"/>
      <w:marTop w:val="0"/>
      <w:marBottom w:val="0"/>
      <w:divBdr>
        <w:top w:val="none" w:sz="0" w:space="0" w:color="auto"/>
        <w:left w:val="none" w:sz="0" w:space="0" w:color="auto"/>
        <w:bottom w:val="none" w:sz="0" w:space="0" w:color="auto"/>
        <w:right w:val="none" w:sz="0" w:space="0" w:color="auto"/>
      </w:divBdr>
    </w:div>
    <w:div w:id="345719720">
      <w:bodyDiv w:val="1"/>
      <w:marLeft w:val="0"/>
      <w:marRight w:val="0"/>
      <w:marTop w:val="0"/>
      <w:marBottom w:val="0"/>
      <w:divBdr>
        <w:top w:val="none" w:sz="0" w:space="0" w:color="auto"/>
        <w:left w:val="none" w:sz="0" w:space="0" w:color="auto"/>
        <w:bottom w:val="none" w:sz="0" w:space="0" w:color="auto"/>
        <w:right w:val="none" w:sz="0" w:space="0" w:color="auto"/>
      </w:divBdr>
    </w:div>
    <w:div w:id="346253819">
      <w:bodyDiv w:val="1"/>
      <w:marLeft w:val="0"/>
      <w:marRight w:val="0"/>
      <w:marTop w:val="0"/>
      <w:marBottom w:val="0"/>
      <w:divBdr>
        <w:top w:val="none" w:sz="0" w:space="0" w:color="auto"/>
        <w:left w:val="none" w:sz="0" w:space="0" w:color="auto"/>
        <w:bottom w:val="none" w:sz="0" w:space="0" w:color="auto"/>
        <w:right w:val="none" w:sz="0" w:space="0" w:color="auto"/>
      </w:divBdr>
    </w:div>
    <w:div w:id="346489242">
      <w:bodyDiv w:val="1"/>
      <w:marLeft w:val="0"/>
      <w:marRight w:val="0"/>
      <w:marTop w:val="0"/>
      <w:marBottom w:val="0"/>
      <w:divBdr>
        <w:top w:val="none" w:sz="0" w:space="0" w:color="auto"/>
        <w:left w:val="none" w:sz="0" w:space="0" w:color="auto"/>
        <w:bottom w:val="none" w:sz="0" w:space="0" w:color="auto"/>
        <w:right w:val="none" w:sz="0" w:space="0" w:color="auto"/>
      </w:divBdr>
    </w:div>
    <w:div w:id="346908523">
      <w:bodyDiv w:val="1"/>
      <w:marLeft w:val="0"/>
      <w:marRight w:val="0"/>
      <w:marTop w:val="0"/>
      <w:marBottom w:val="0"/>
      <w:divBdr>
        <w:top w:val="none" w:sz="0" w:space="0" w:color="auto"/>
        <w:left w:val="none" w:sz="0" w:space="0" w:color="auto"/>
        <w:bottom w:val="none" w:sz="0" w:space="0" w:color="auto"/>
        <w:right w:val="none" w:sz="0" w:space="0" w:color="auto"/>
      </w:divBdr>
    </w:div>
    <w:div w:id="346911403">
      <w:bodyDiv w:val="1"/>
      <w:marLeft w:val="0"/>
      <w:marRight w:val="0"/>
      <w:marTop w:val="0"/>
      <w:marBottom w:val="0"/>
      <w:divBdr>
        <w:top w:val="none" w:sz="0" w:space="0" w:color="auto"/>
        <w:left w:val="none" w:sz="0" w:space="0" w:color="auto"/>
        <w:bottom w:val="none" w:sz="0" w:space="0" w:color="auto"/>
        <w:right w:val="none" w:sz="0" w:space="0" w:color="auto"/>
      </w:divBdr>
    </w:div>
    <w:div w:id="346978778">
      <w:bodyDiv w:val="1"/>
      <w:marLeft w:val="0"/>
      <w:marRight w:val="0"/>
      <w:marTop w:val="0"/>
      <w:marBottom w:val="0"/>
      <w:divBdr>
        <w:top w:val="none" w:sz="0" w:space="0" w:color="auto"/>
        <w:left w:val="none" w:sz="0" w:space="0" w:color="auto"/>
        <w:bottom w:val="none" w:sz="0" w:space="0" w:color="auto"/>
        <w:right w:val="none" w:sz="0" w:space="0" w:color="auto"/>
      </w:divBdr>
    </w:div>
    <w:div w:id="347220716">
      <w:bodyDiv w:val="1"/>
      <w:marLeft w:val="0"/>
      <w:marRight w:val="0"/>
      <w:marTop w:val="0"/>
      <w:marBottom w:val="0"/>
      <w:divBdr>
        <w:top w:val="none" w:sz="0" w:space="0" w:color="auto"/>
        <w:left w:val="none" w:sz="0" w:space="0" w:color="auto"/>
        <w:bottom w:val="none" w:sz="0" w:space="0" w:color="auto"/>
        <w:right w:val="none" w:sz="0" w:space="0" w:color="auto"/>
      </w:divBdr>
    </w:div>
    <w:div w:id="347559963">
      <w:bodyDiv w:val="1"/>
      <w:marLeft w:val="0"/>
      <w:marRight w:val="0"/>
      <w:marTop w:val="0"/>
      <w:marBottom w:val="0"/>
      <w:divBdr>
        <w:top w:val="none" w:sz="0" w:space="0" w:color="auto"/>
        <w:left w:val="none" w:sz="0" w:space="0" w:color="auto"/>
        <w:bottom w:val="none" w:sz="0" w:space="0" w:color="auto"/>
        <w:right w:val="none" w:sz="0" w:space="0" w:color="auto"/>
      </w:divBdr>
    </w:div>
    <w:div w:id="347831086">
      <w:bodyDiv w:val="1"/>
      <w:marLeft w:val="0"/>
      <w:marRight w:val="0"/>
      <w:marTop w:val="0"/>
      <w:marBottom w:val="0"/>
      <w:divBdr>
        <w:top w:val="none" w:sz="0" w:space="0" w:color="auto"/>
        <w:left w:val="none" w:sz="0" w:space="0" w:color="auto"/>
        <w:bottom w:val="none" w:sz="0" w:space="0" w:color="auto"/>
        <w:right w:val="none" w:sz="0" w:space="0" w:color="auto"/>
      </w:divBdr>
    </w:div>
    <w:div w:id="348334642">
      <w:bodyDiv w:val="1"/>
      <w:marLeft w:val="0"/>
      <w:marRight w:val="0"/>
      <w:marTop w:val="0"/>
      <w:marBottom w:val="0"/>
      <w:divBdr>
        <w:top w:val="none" w:sz="0" w:space="0" w:color="auto"/>
        <w:left w:val="none" w:sz="0" w:space="0" w:color="auto"/>
        <w:bottom w:val="none" w:sz="0" w:space="0" w:color="auto"/>
        <w:right w:val="none" w:sz="0" w:space="0" w:color="auto"/>
      </w:divBdr>
    </w:div>
    <w:div w:id="348483946">
      <w:bodyDiv w:val="1"/>
      <w:marLeft w:val="0"/>
      <w:marRight w:val="0"/>
      <w:marTop w:val="0"/>
      <w:marBottom w:val="0"/>
      <w:divBdr>
        <w:top w:val="none" w:sz="0" w:space="0" w:color="auto"/>
        <w:left w:val="none" w:sz="0" w:space="0" w:color="auto"/>
        <w:bottom w:val="none" w:sz="0" w:space="0" w:color="auto"/>
        <w:right w:val="none" w:sz="0" w:space="0" w:color="auto"/>
      </w:divBdr>
    </w:div>
    <w:div w:id="348487202">
      <w:bodyDiv w:val="1"/>
      <w:marLeft w:val="0"/>
      <w:marRight w:val="0"/>
      <w:marTop w:val="0"/>
      <w:marBottom w:val="0"/>
      <w:divBdr>
        <w:top w:val="none" w:sz="0" w:space="0" w:color="auto"/>
        <w:left w:val="none" w:sz="0" w:space="0" w:color="auto"/>
        <w:bottom w:val="none" w:sz="0" w:space="0" w:color="auto"/>
        <w:right w:val="none" w:sz="0" w:space="0" w:color="auto"/>
      </w:divBdr>
    </w:div>
    <w:div w:id="348608130">
      <w:bodyDiv w:val="1"/>
      <w:marLeft w:val="0"/>
      <w:marRight w:val="0"/>
      <w:marTop w:val="0"/>
      <w:marBottom w:val="0"/>
      <w:divBdr>
        <w:top w:val="none" w:sz="0" w:space="0" w:color="auto"/>
        <w:left w:val="none" w:sz="0" w:space="0" w:color="auto"/>
        <w:bottom w:val="none" w:sz="0" w:space="0" w:color="auto"/>
        <w:right w:val="none" w:sz="0" w:space="0" w:color="auto"/>
      </w:divBdr>
    </w:div>
    <w:div w:id="348718468">
      <w:bodyDiv w:val="1"/>
      <w:marLeft w:val="0"/>
      <w:marRight w:val="0"/>
      <w:marTop w:val="0"/>
      <w:marBottom w:val="0"/>
      <w:divBdr>
        <w:top w:val="none" w:sz="0" w:space="0" w:color="auto"/>
        <w:left w:val="none" w:sz="0" w:space="0" w:color="auto"/>
        <w:bottom w:val="none" w:sz="0" w:space="0" w:color="auto"/>
        <w:right w:val="none" w:sz="0" w:space="0" w:color="auto"/>
      </w:divBdr>
    </w:div>
    <w:div w:id="348876460">
      <w:bodyDiv w:val="1"/>
      <w:marLeft w:val="0"/>
      <w:marRight w:val="0"/>
      <w:marTop w:val="0"/>
      <w:marBottom w:val="0"/>
      <w:divBdr>
        <w:top w:val="none" w:sz="0" w:space="0" w:color="auto"/>
        <w:left w:val="none" w:sz="0" w:space="0" w:color="auto"/>
        <w:bottom w:val="none" w:sz="0" w:space="0" w:color="auto"/>
        <w:right w:val="none" w:sz="0" w:space="0" w:color="auto"/>
      </w:divBdr>
    </w:div>
    <w:div w:id="349525471">
      <w:bodyDiv w:val="1"/>
      <w:marLeft w:val="0"/>
      <w:marRight w:val="0"/>
      <w:marTop w:val="0"/>
      <w:marBottom w:val="0"/>
      <w:divBdr>
        <w:top w:val="none" w:sz="0" w:space="0" w:color="auto"/>
        <w:left w:val="none" w:sz="0" w:space="0" w:color="auto"/>
        <w:bottom w:val="none" w:sz="0" w:space="0" w:color="auto"/>
        <w:right w:val="none" w:sz="0" w:space="0" w:color="auto"/>
      </w:divBdr>
    </w:div>
    <w:div w:id="350105307">
      <w:bodyDiv w:val="1"/>
      <w:marLeft w:val="0"/>
      <w:marRight w:val="0"/>
      <w:marTop w:val="0"/>
      <w:marBottom w:val="0"/>
      <w:divBdr>
        <w:top w:val="none" w:sz="0" w:space="0" w:color="auto"/>
        <w:left w:val="none" w:sz="0" w:space="0" w:color="auto"/>
        <w:bottom w:val="none" w:sz="0" w:space="0" w:color="auto"/>
        <w:right w:val="none" w:sz="0" w:space="0" w:color="auto"/>
      </w:divBdr>
    </w:div>
    <w:div w:id="350110801">
      <w:bodyDiv w:val="1"/>
      <w:marLeft w:val="0"/>
      <w:marRight w:val="0"/>
      <w:marTop w:val="0"/>
      <w:marBottom w:val="0"/>
      <w:divBdr>
        <w:top w:val="none" w:sz="0" w:space="0" w:color="auto"/>
        <w:left w:val="none" w:sz="0" w:space="0" w:color="auto"/>
        <w:bottom w:val="none" w:sz="0" w:space="0" w:color="auto"/>
        <w:right w:val="none" w:sz="0" w:space="0" w:color="auto"/>
      </w:divBdr>
    </w:div>
    <w:div w:id="350304497">
      <w:bodyDiv w:val="1"/>
      <w:marLeft w:val="0"/>
      <w:marRight w:val="0"/>
      <w:marTop w:val="0"/>
      <w:marBottom w:val="0"/>
      <w:divBdr>
        <w:top w:val="none" w:sz="0" w:space="0" w:color="auto"/>
        <w:left w:val="none" w:sz="0" w:space="0" w:color="auto"/>
        <w:bottom w:val="none" w:sz="0" w:space="0" w:color="auto"/>
        <w:right w:val="none" w:sz="0" w:space="0" w:color="auto"/>
      </w:divBdr>
    </w:div>
    <w:div w:id="350424194">
      <w:bodyDiv w:val="1"/>
      <w:marLeft w:val="0"/>
      <w:marRight w:val="0"/>
      <w:marTop w:val="0"/>
      <w:marBottom w:val="0"/>
      <w:divBdr>
        <w:top w:val="none" w:sz="0" w:space="0" w:color="auto"/>
        <w:left w:val="none" w:sz="0" w:space="0" w:color="auto"/>
        <w:bottom w:val="none" w:sz="0" w:space="0" w:color="auto"/>
        <w:right w:val="none" w:sz="0" w:space="0" w:color="auto"/>
      </w:divBdr>
    </w:div>
    <w:div w:id="350450087">
      <w:bodyDiv w:val="1"/>
      <w:marLeft w:val="0"/>
      <w:marRight w:val="0"/>
      <w:marTop w:val="0"/>
      <w:marBottom w:val="0"/>
      <w:divBdr>
        <w:top w:val="none" w:sz="0" w:space="0" w:color="auto"/>
        <w:left w:val="none" w:sz="0" w:space="0" w:color="auto"/>
        <w:bottom w:val="none" w:sz="0" w:space="0" w:color="auto"/>
        <w:right w:val="none" w:sz="0" w:space="0" w:color="auto"/>
      </w:divBdr>
    </w:div>
    <w:div w:id="350571122">
      <w:bodyDiv w:val="1"/>
      <w:marLeft w:val="0"/>
      <w:marRight w:val="0"/>
      <w:marTop w:val="0"/>
      <w:marBottom w:val="0"/>
      <w:divBdr>
        <w:top w:val="none" w:sz="0" w:space="0" w:color="auto"/>
        <w:left w:val="none" w:sz="0" w:space="0" w:color="auto"/>
        <w:bottom w:val="none" w:sz="0" w:space="0" w:color="auto"/>
        <w:right w:val="none" w:sz="0" w:space="0" w:color="auto"/>
      </w:divBdr>
    </w:div>
    <w:div w:id="350649255">
      <w:bodyDiv w:val="1"/>
      <w:marLeft w:val="0"/>
      <w:marRight w:val="0"/>
      <w:marTop w:val="0"/>
      <w:marBottom w:val="0"/>
      <w:divBdr>
        <w:top w:val="none" w:sz="0" w:space="0" w:color="auto"/>
        <w:left w:val="none" w:sz="0" w:space="0" w:color="auto"/>
        <w:bottom w:val="none" w:sz="0" w:space="0" w:color="auto"/>
        <w:right w:val="none" w:sz="0" w:space="0" w:color="auto"/>
      </w:divBdr>
    </w:div>
    <w:div w:id="350767196">
      <w:bodyDiv w:val="1"/>
      <w:marLeft w:val="0"/>
      <w:marRight w:val="0"/>
      <w:marTop w:val="0"/>
      <w:marBottom w:val="0"/>
      <w:divBdr>
        <w:top w:val="none" w:sz="0" w:space="0" w:color="auto"/>
        <w:left w:val="none" w:sz="0" w:space="0" w:color="auto"/>
        <w:bottom w:val="none" w:sz="0" w:space="0" w:color="auto"/>
        <w:right w:val="none" w:sz="0" w:space="0" w:color="auto"/>
      </w:divBdr>
    </w:div>
    <w:div w:id="350960406">
      <w:bodyDiv w:val="1"/>
      <w:marLeft w:val="0"/>
      <w:marRight w:val="0"/>
      <w:marTop w:val="0"/>
      <w:marBottom w:val="0"/>
      <w:divBdr>
        <w:top w:val="none" w:sz="0" w:space="0" w:color="auto"/>
        <w:left w:val="none" w:sz="0" w:space="0" w:color="auto"/>
        <w:bottom w:val="none" w:sz="0" w:space="0" w:color="auto"/>
        <w:right w:val="none" w:sz="0" w:space="0" w:color="auto"/>
      </w:divBdr>
    </w:div>
    <w:div w:id="351030113">
      <w:bodyDiv w:val="1"/>
      <w:marLeft w:val="0"/>
      <w:marRight w:val="0"/>
      <w:marTop w:val="0"/>
      <w:marBottom w:val="0"/>
      <w:divBdr>
        <w:top w:val="none" w:sz="0" w:space="0" w:color="auto"/>
        <w:left w:val="none" w:sz="0" w:space="0" w:color="auto"/>
        <w:bottom w:val="none" w:sz="0" w:space="0" w:color="auto"/>
        <w:right w:val="none" w:sz="0" w:space="0" w:color="auto"/>
      </w:divBdr>
    </w:div>
    <w:div w:id="351152880">
      <w:bodyDiv w:val="1"/>
      <w:marLeft w:val="0"/>
      <w:marRight w:val="0"/>
      <w:marTop w:val="0"/>
      <w:marBottom w:val="0"/>
      <w:divBdr>
        <w:top w:val="none" w:sz="0" w:space="0" w:color="auto"/>
        <w:left w:val="none" w:sz="0" w:space="0" w:color="auto"/>
        <w:bottom w:val="none" w:sz="0" w:space="0" w:color="auto"/>
        <w:right w:val="none" w:sz="0" w:space="0" w:color="auto"/>
      </w:divBdr>
    </w:div>
    <w:div w:id="351340017">
      <w:bodyDiv w:val="1"/>
      <w:marLeft w:val="0"/>
      <w:marRight w:val="0"/>
      <w:marTop w:val="0"/>
      <w:marBottom w:val="0"/>
      <w:divBdr>
        <w:top w:val="none" w:sz="0" w:space="0" w:color="auto"/>
        <w:left w:val="none" w:sz="0" w:space="0" w:color="auto"/>
        <w:bottom w:val="none" w:sz="0" w:space="0" w:color="auto"/>
        <w:right w:val="none" w:sz="0" w:space="0" w:color="auto"/>
      </w:divBdr>
    </w:div>
    <w:div w:id="351422546">
      <w:bodyDiv w:val="1"/>
      <w:marLeft w:val="0"/>
      <w:marRight w:val="0"/>
      <w:marTop w:val="0"/>
      <w:marBottom w:val="0"/>
      <w:divBdr>
        <w:top w:val="none" w:sz="0" w:space="0" w:color="auto"/>
        <w:left w:val="none" w:sz="0" w:space="0" w:color="auto"/>
        <w:bottom w:val="none" w:sz="0" w:space="0" w:color="auto"/>
        <w:right w:val="none" w:sz="0" w:space="0" w:color="auto"/>
      </w:divBdr>
    </w:div>
    <w:div w:id="351540951">
      <w:bodyDiv w:val="1"/>
      <w:marLeft w:val="0"/>
      <w:marRight w:val="0"/>
      <w:marTop w:val="0"/>
      <w:marBottom w:val="0"/>
      <w:divBdr>
        <w:top w:val="none" w:sz="0" w:space="0" w:color="auto"/>
        <w:left w:val="none" w:sz="0" w:space="0" w:color="auto"/>
        <w:bottom w:val="none" w:sz="0" w:space="0" w:color="auto"/>
        <w:right w:val="none" w:sz="0" w:space="0" w:color="auto"/>
      </w:divBdr>
    </w:div>
    <w:div w:id="351609974">
      <w:bodyDiv w:val="1"/>
      <w:marLeft w:val="0"/>
      <w:marRight w:val="0"/>
      <w:marTop w:val="0"/>
      <w:marBottom w:val="0"/>
      <w:divBdr>
        <w:top w:val="none" w:sz="0" w:space="0" w:color="auto"/>
        <w:left w:val="none" w:sz="0" w:space="0" w:color="auto"/>
        <w:bottom w:val="none" w:sz="0" w:space="0" w:color="auto"/>
        <w:right w:val="none" w:sz="0" w:space="0" w:color="auto"/>
      </w:divBdr>
    </w:div>
    <w:div w:id="351877441">
      <w:bodyDiv w:val="1"/>
      <w:marLeft w:val="0"/>
      <w:marRight w:val="0"/>
      <w:marTop w:val="0"/>
      <w:marBottom w:val="0"/>
      <w:divBdr>
        <w:top w:val="none" w:sz="0" w:space="0" w:color="auto"/>
        <w:left w:val="none" w:sz="0" w:space="0" w:color="auto"/>
        <w:bottom w:val="none" w:sz="0" w:space="0" w:color="auto"/>
        <w:right w:val="none" w:sz="0" w:space="0" w:color="auto"/>
      </w:divBdr>
    </w:div>
    <w:div w:id="351953221">
      <w:bodyDiv w:val="1"/>
      <w:marLeft w:val="0"/>
      <w:marRight w:val="0"/>
      <w:marTop w:val="0"/>
      <w:marBottom w:val="0"/>
      <w:divBdr>
        <w:top w:val="none" w:sz="0" w:space="0" w:color="auto"/>
        <w:left w:val="none" w:sz="0" w:space="0" w:color="auto"/>
        <w:bottom w:val="none" w:sz="0" w:space="0" w:color="auto"/>
        <w:right w:val="none" w:sz="0" w:space="0" w:color="auto"/>
      </w:divBdr>
    </w:div>
    <w:div w:id="351996146">
      <w:bodyDiv w:val="1"/>
      <w:marLeft w:val="0"/>
      <w:marRight w:val="0"/>
      <w:marTop w:val="0"/>
      <w:marBottom w:val="0"/>
      <w:divBdr>
        <w:top w:val="none" w:sz="0" w:space="0" w:color="auto"/>
        <w:left w:val="none" w:sz="0" w:space="0" w:color="auto"/>
        <w:bottom w:val="none" w:sz="0" w:space="0" w:color="auto"/>
        <w:right w:val="none" w:sz="0" w:space="0" w:color="auto"/>
      </w:divBdr>
    </w:div>
    <w:div w:id="352002587">
      <w:bodyDiv w:val="1"/>
      <w:marLeft w:val="0"/>
      <w:marRight w:val="0"/>
      <w:marTop w:val="0"/>
      <w:marBottom w:val="0"/>
      <w:divBdr>
        <w:top w:val="none" w:sz="0" w:space="0" w:color="auto"/>
        <w:left w:val="none" w:sz="0" w:space="0" w:color="auto"/>
        <w:bottom w:val="none" w:sz="0" w:space="0" w:color="auto"/>
        <w:right w:val="none" w:sz="0" w:space="0" w:color="auto"/>
      </w:divBdr>
    </w:div>
    <w:div w:id="352077542">
      <w:bodyDiv w:val="1"/>
      <w:marLeft w:val="0"/>
      <w:marRight w:val="0"/>
      <w:marTop w:val="0"/>
      <w:marBottom w:val="0"/>
      <w:divBdr>
        <w:top w:val="none" w:sz="0" w:space="0" w:color="auto"/>
        <w:left w:val="none" w:sz="0" w:space="0" w:color="auto"/>
        <w:bottom w:val="none" w:sz="0" w:space="0" w:color="auto"/>
        <w:right w:val="none" w:sz="0" w:space="0" w:color="auto"/>
      </w:divBdr>
    </w:div>
    <w:div w:id="352414740">
      <w:bodyDiv w:val="1"/>
      <w:marLeft w:val="0"/>
      <w:marRight w:val="0"/>
      <w:marTop w:val="0"/>
      <w:marBottom w:val="0"/>
      <w:divBdr>
        <w:top w:val="none" w:sz="0" w:space="0" w:color="auto"/>
        <w:left w:val="none" w:sz="0" w:space="0" w:color="auto"/>
        <w:bottom w:val="none" w:sz="0" w:space="0" w:color="auto"/>
        <w:right w:val="none" w:sz="0" w:space="0" w:color="auto"/>
      </w:divBdr>
    </w:div>
    <w:div w:id="352463742">
      <w:bodyDiv w:val="1"/>
      <w:marLeft w:val="0"/>
      <w:marRight w:val="0"/>
      <w:marTop w:val="0"/>
      <w:marBottom w:val="0"/>
      <w:divBdr>
        <w:top w:val="none" w:sz="0" w:space="0" w:color="auto"/>
        <w:left w:val="none" w:sz="0" w:space="0" w:color="auto"/>
        <w:bottom w:val="none" w:sz="0" w:space="0" w:color="auto"/>
        <w:right w:val="none" w:sz="0" w:space="0" w:color="auto"/>
      </w:divBdr>
    </w:div>
    <w:div w:id="352539584">
      <w:bodyDiv w:val="1"/>
      <w:marLeft w:val="0"/>
      <w:marRight w:val="0"/>
      <w:marTop w:val="0"/>
      <w:marBottom w:val="0"/>
      <w:divBdr>
        <w:top w:val="none" w:sz="0" w:space="0" w:color="auto"/>
        <w:left w:val="none" w:sz="0" w:space="0" w:color="auto"/>
        <w:bottom w:val="none" w:sz="0" w:space="0" w:color="auto"/>
        <w:right w:val="none" w:sz="0" w:space="0" w:color="auto"/>
      </w:divBdr>
    </w:div>
    <w:div w:id="352649820">
      <w:bodyDiv w:val="1"/>
      <w:marLeft w:val="0"/>
      <w:marRight w:val="0"/>
      <w:marTop w:val="0"/>
      <w:marBottom w:val="0"/>
      <w:divBdr>
        <w:top w:val="none" w:sz="0" w:space="0" w:color="auto"/>
        <w:left w:val="none" w:sz="0" w:space="0" w:color="auto"/>
        <w:bottom w:val="none" w:sz="0" w:space="0" w:color="auto"/>
        <w:right w:val="none" w:sz="0" w:space="0" w:color="auto"/>
      </w:divBdr>
    </w:div>
    <w:div w:id="352650714">
      <w:bodyDiv w:val="1"/>
      <w:marLeft w:val="0"/>
      <w:marRight w:val="0"/>
      <w:marTop w:val="0"/>
      <w:marBottom w:val="0"/>
      <w:divBdr>
        <w:top w:val="none" w:sz="0" w:space="0" w:color="auto"/>
        <w:left w:val="none" w:sz="0" w:space="0" w:color="auto"/>
        <w:bottom w:val="none" w:sz="0" w:space="0" w:color="auto"/>
        <w:right w:val="none" w:sz="0" w:space="0" w:color="auto"/>
      </w:divBdr>
    </w:div>
    <w:div w:id="352928152">
      <w:bodyDiv w:val="1"/>
      <w:marLeft w:val="0"/>
      <w:marRight w:val="0"/>
      <w:marTop w:val="0"/>
      <w:marBottom w:val="0"/>
      <w:divBdr>
        <w:top w:val="none" w:sz="0" w:space="0" w:color="auto"/>
        <w:left w:val="none" w:sz="0" w:space="0" w:color="auto"/>
        <w:bottom w:val="none" w:sz="0" w:space="0" w:color="auto"/>
        <w:right w:val="none" w:sz="0" w:space="0" w:color="auto"/>
      </w:divBdr>
    </w:div>
    <w:div w:id="352999140">
      <w:bodyDiv w:val="1"/>
      <w:marLeft w:val="0"/>
      <w:marRight w:val="0"/>
      <w:marTop w:val="0"/>
      <w:marBottom w:val="0"/>
      <w:divBdr>
        <w:top w:val="none" w:sz="0" w:space="0" w:color="auto"/>
        <w:left w:val="none" w:sz="0" w:space="0" w:color="auto"/>
        <w:bottom w:val="none" w:sz="0" w:space="0" w:color="auto"/>
        <w:right w:val="none" w:sz="0" w:space="0" w:color="auto"/>
      </w:divBdr>
    </w:div>
    <w:div w:id="353501898">
      <w:bodyDiv w:val="1"/>
      <w:marLeft w:val="0"/>
      <w:marRight w:val="0"/>
      <w:marTop w:val="0"/>
      <w:marBottom w:val="0"/>
      <w:divBdr>
        <w:top w:val="none" w:sz="0" w:space="0" w:color="auto"/>
        <w:left w:val="none" w:sz="0" w:space="0" w:color="auto"/>
        <w:bottom w:val="none" w:sz="0" w:space="0" w:color="auto"/>
        <w:right w:val="none" w:sz="0" w:space="0" w:color="auto"/>
      </w:divBdr>
    </w:div>
    <w:div w:id="353579093">
      <w:bodyDiv w:val="1"/>
      <w:marLeft w:val="0"/>
      <w:marRight w:val="0"/>
      <w:marTop w:val="0"/>
      <w:marBottom w:val="0"/>
      <w:divBdr>
        <w:top w:val="none" w:sz="0" w:space="0" w:color="auto"/>
        <w:left w:val="none" w:sz="0" w:space="0" w:color="auto"/>
        <w:bottom w:val="none" w:sz="0" w:space="0" w:color="auto"/>
        <w:right w:val="none" w:sz="0" w:space="0" w:color="auto"/>
      </w:divBdr>
    </w:div>
    <w:div w:id="353962275">
      <w:bodyDiv w:val="1"/>
      <w:marLeft w:val="0"/>
      <w:marRight w:val="0"/>
      <w:marTop w:val="0"/>
      <w:marBottom w:val="0"/>
      <w:divBdr>
        <w:top w:val="none" w:sz="0" w:space="0" w:color="auto"/>
        <w:left w:val="none" w:sz="0" w:space="0" w:color="auto"/>
        <w:bottom w:val="none" w:sz="0" w:space="0" w:color="auto"/>
        <w:right w:val="none" w:sz="0" w:space="0" w:color="auto"/>
      </w:divBdr>
    </w:div>
    <w:div w:id="354504702">
      <w:bodyDiv w:val="1"/>
      <w:marLeft w:val="0"/>
      <w:marRight w:val="0"/>
      <w:marTop w:val="0"/>
      <w:marBottom w:val="0"/>
      <w:divBdr>
        <w:top w:val="none" w:sz="0" w:space="0" w:color="auto"/>
        <w:left w:val="none" w:sz="0" w:space="0" w:color="auto"/>
        <w:bottom w:val="none" w:sz="0" w:space="0" w:color="auto"/>
        <w:right w:val="none" w:sz="0" w:space="0" w:color="auto"/>
      </w:divBdr>
    </w:div>
    <w:div w:id="354507404">
      <w:bodyDiv w:val="1"/>
      <w:marLeft w:val="0"/>
      <w:marRight w:val="0"/>
      <w:marTop w:val="0"/>
      <w:marBottom w:val="0"/>
      <w:divBdr>
        <w:top w:val="none" w:sz="0" w:space="0" w:color="auto"/>
        <w:left w:val="none" w:sz="0" w:space="0" w:color="auto"/>
        <w:bottom w:val="none" w:sz="0" w:space="0" w:color="auto"/>
        <w:right w:val="none" w:sz="0" w:space="0" w:color="auto"/>
      </w:divBdr>
    </w:div>
    <w:div w:id="354620880">
      <w:bodyDiv w:val="1"/>
      <w:marLeft w:val="0"/>
      <w:marRight w:val="0"/>
      <w:marTop w:val="0"/>
      <w:marBottom w:val="0"/>
      <w:divBdr>
        <w:top w:val="none" w:sz="0" w:space="0" w:color="auto"/>
        <w:left w:val="none" w:sz="0" w:space="0" w:color="auto"/>
        <w:bottom w:val="none" w:sz="0" w:space="0" w:color="auto"/>
        <w:right w:val="none" w:sz="0" w:space="0" w:color="auto"/>
      </w:divBdr>
    </w:div>
    <w:div w:id="354700548">
      <w:bodyDiv w:val="1"/>
      <w:marLeft w:val="0"/>
      <w:marRight w:val="0"/>
      <w:marTop w:val="0"/>
      <w:marBottom w:val="0"/>
      <w:divBdr>
        <w:top w:val="none" w:sz="0" w:space="0" w:color="auto"/>
        <w:left w:val="none" w:sz="0" w:space="0" w:color="auto"/>
        <w:bottom w:val="none" w:sz="0" w:space="0" w:color="auto"/>
        <w:right w:val="none" w:sz="0" w:space="0" w:color="auto"/>
      </w:divBdr>
    </w:div>
    <w:div w:id="354816636">
      <w:bodyDiv w:val="1"/>
      <w:marLeft w:val="0"/>
      <w:marRight w:val="0"/>
      <w:marTop w:val="0"/>
      <w:marBottom w:val="0"/>
      <w:divBdr>
        <w:top w:val="none" w:sz="0" w:space="0" w:color="auto"/>
        <w:left w:val="none" w:sz="0" w:space="0" w:color="auto"/>
        <w:bottom w:val="none" w:sz="0" w:space="0" w:color="auto"/>
        <w:right w:val="none" w:sz="0" w:space="0" w:color="auto"/>
      </w:divBdr>
    </w:div>
    <w:div w:id="354842147">
      <w:bodyDiv w:val="1"/>
      <w:marLeft w:val="0"/>
      <w:marRight w:val="0"/>
      <w:marTop w:val="0"/>
      <w:marBottom w:val="0"/>
      <w:divBdr>
        <w:top w:val="none" w:sz="0" w:space="0" w:color="auto"/>
        <w:left w:val="none" w:sz="0" w:space="0" w:color="auto"/>
        <w:bottom w:val="none" w:sz="0" w:space="0" w:color="auto"/>
        <w:right w:val="none" w:sz="0" w:space="0" w:color="auto"/>
      </w:divBdr>
    </w:div>
    <w:div w:id="354891612">
      <w:bodyDiv w:val="1"/>
      <w:marLeft w:val="0"/>
      <w:marRight w:val="0"/>
      <w:marTop w:val="0"/>
      <w:marBottom w:val="0"/>
      <w:divBdr>
        <w:top w:val="none" w:sz="0" w:space="0" w:color="auto"/>
        <w:left w:val="none" w:sz="0" w:space="0" w:color="auto"/>
        <w:bottom w:val="none" w:sz="0" w:space="0" w:color="auto"/>
        <w:right w:val="none" w:sz="0" w:space="0" w:color="auto"/>
      </w:divBdr>
    </w:div>
    <w:div w:id="355155719">
      <w:bodyDiv w:val="1"/>
      <w:marLeft w:val="0"/>
      <w:marRight w:val="0"/>
      <w:marTop w:val="0"/>
      <w:marBottom w:val="0"/>
      <w:divBdr>
        <w:top w:val="none" w:sz="0" w:space="0" w:color="auto"/>
        <w:left w:val="none" w:sz="0" w:space="0" w:color="auto"/>
        <w:bottom w:val="none" w:sz="0" w:space="0" w:color="auto"/>
        <w:right w:val="none" w:sz="0" w:space="0" w:color="auto"/>
      </w:divBdr>
    </w:div>
    <w:div w:id="355424821">
      <w:bodyDiv w:val="1"/>
      <w:marLeft w:val="0"/>
      <w:marRight w:val="0"/>
      <w:marTop w:val="0"/>
      <w:marBottom w:val="0"/>
      <w:divBdr>
        <w:top w:val="none" w:sz="0" w:space="0" w:color="auto"/>
        <w:left w:val="none" w:sz="0" w:space="0" w:color="auto"/>
        <w:bottom w:val="none" w:sz="0" w:space="0" w:color="auto"/>
        <w:right w:val="none" w:sz="0" w:space="0" w:color="auto"/>
      </w:divBdr>
    </w:div>
    <w:div w:id="355430893">
      <w:bodyDiv w:val="1"/>
      <w:marLeft w:val="0"/>
      <w:marRight w:val="0"/>
      <w:marTop w:val="0"/>
      <w:marBottom w:val="0"/>
      <w:divBdr>
        <w:top w:val="none" w:sz="0" w:space="0" w:color="auto"/>
        <w:left w:val="none" w:sz="0" w:space="0" w:color="auto"/>
        <w:bottom w:val="none" w:sz="0" w:space="0" w:color="auto"/>
        <w:right w:val="none" w:sz="0" w:space="0" w:color="auto"/>
      </w:divBdr>
    </w:div>
    <w:div w:id="355545674">
      <w:bodyDiv w:val="1"/>
      <w:marLeft w:val="0"/>
      <w:marRight w:val="0"/>
      <w:marTop w:val="0"/>
      <w:marBottom w:val="0"/>
      <w:divBdr>
        <w:top w:val="none" w:sz="0" w:space="0" w:color="auto"/>
        <w:left w:val="none" w:sz="0" w:space="0" w:color="auto"/>
        <w:bottom w:val="none" w:sz="0" w:space="0" w:color="auto"/>
        <w:right w:val="none" w:sz="0" w:space="0" w:color="auto"/>
      </w:divBdr>
    </w:div>
    <w:div w:id="355694233">
      <w:bodyDiv w:val="1"/>
      <w:marLeft w:val="0"/>
      <w:marRight w:val="0"/>
      <w:marTop w:val="0"/>
      <w:marBottom w:val="0"/>
      <w:divBdr>
        <w:top w:val="none" w:sz="0" w:space="0" w:color="auto"/>
        <w:left w:val="none" w:sz="0" w:space="0" w:color="auto"/>
        <w:bottom w:val="none" w:sz="0" w:space="0" w:color="auto"/>
        <w:right w:val="none" w:sz="0" w:space="0" w:color="auto"/>
      </w:divBdr>
    </w:div>
    <w:div w:id="355694382">
      <w:bodyDiv w:val="1"/>
      <w:marLeft w:val="0"/>
      <w:marRight w:val="0"/>
      <w:marTop w:val="0"/>
      <w:marBottom w:val="0"/>
      <w:divBdr>
        <w:top w:val="none" w:sz="0" w:space="0" w:color="auto"/>
        <w:left w:val="none" w:sz="0" w:space="0" w:color="auto"/>
        <w:bottom w:val="none" w:sz="0" w:space="0" w:color="auto"/>
        <w:right w:val="none" w:sz="0" w:space="0" w:color="auto"/>
      </w:divBdr>
    </w:div>
    <w:div w:id="355885156">
      <w:bodyDiv w:val="1"/>
      <w:marLeft w:val="0"/>
      <w:marRight w:val="0"/>
      <w:marTop w:val="0"/>
      <w:marBottom w:val="0"/>
      <w:divBdr>
        <w:top w:val="none" w:sz="0" w:space="0" w:color="auto"/>
        <w:left w:val="none" w:sz="0" w:space="0" w:color="auto"/>
        <w:bottom w:val="none" w:sz="0" w:space="0" w:color="auto"/>
        <w:right w:val="none" w:sz="0" w:space="0" w:color="auto"/>
      </w:divBdr>
    </w:div>
    <w:div w:id="355891468">
      <w:bodyDiv w:val="1"/>
      <w:marLeft w:val="0"/>
      <w:marRight w:val="0"/>
      <w:marTop w:val="0"/>
      <w:marBottom w:val="0"/>
      <w:divBdr>
        <w:top w:val="none" w:sz="0" w:space="0" w:color="auto"/>
        <w:left w:val="none" w:sz="0" w:space="0" w:color="auto"/>
        <w:bottom w:val="none" w:sz="0" w:space="0" w:color="auto"/>
        <w:right w:val="none" w:sz="0" w:space="0" w:color="auto"/>
      </w:divBdr>
    </w:div>
    <w:div w:id="356470904">
      <w:bodyDiv w:val="1"/>
      <w:marLeft w:val="0"/>
      <w:marRight w:val="0"/>
      <w:marTop w:val="0"/>
      <w:marBottom w:val="0"/>
      <w:divBdr>
        <w:top w:val="none" w:sz="0" w:space="0" w:color="auto"/>
        <w:left w:val="none" w:sz="0" w:space="0" w:color="auto"/>
        <w:bottom w:val="none" w:sz="0" w:space="0" w:color="auto"/>
        <w:right w:val="none" w:sz="0" w:space="0" w:color="auto"/>
      </w:divBdr>
    </w:div>
    <w:div w:id="357197670">
      <w:bodyDiv w:val="1"/>
      <w:marLeft w:val="0"/>
      <w:marRight w:val="0"/>
      <w:marTop w:val="0"/>
      <w:marBottom w:val="0"/>
      <w:divBdr>
        <w:top w:val="none" w:sz="0" w:space="0" w:color="auto"/>
        <w:left w:val="none" w:sz="0" w:space="0" w:color="auto"/>
        <w:bottom w:val="none" w:sz="0" w:space="0" w:color="auto"/>
        <w:right w:val="none" w:sz="0" w:space="0" w:color="auto"/>
      </w:divBdr>
    </w:div>
    <w:div w:id="357198548">
      <w:bodyDiv w:val="1"/>
      <w:marLeft w:val="0"/>
      <w:marRight w:val="0"/>
      <w:marTop w:val="0"/>
      <w:marBottom w:val="0"/>
      <w:divBdr>
        <w:top w:val="none" w:sz="0" w:space="0" w:color="auto"/>
        <w:left w:val="none" w:sz="0" w:space="0" w:color="auto"/>
        <w:bottom w:val="none" w:sz="0" w:space="0" w:color="auto"/>
        <w:right w:val="none" w:sz="0" w:space="0" w:color="auto"/>
      </w:divBdr>
    </w:div>
    <w:div w:id="357858464">
      <w:bodyDiv w:val="1"/>
      <w:marLeft w:val="0"/>
      <w:marRight w:val="0"/>
      <w:marTop w:val="0"/>
      <w:marBottom w:val="0"/>
      <w:divBdr>
        <w:top w:val="none" w:sz="0" w:space="0" w:color="auto"/>
        <w:left w:val="none" w:sz="0" w:space="0" w:color="auto"/>
        <w:bottom w:val="none" w:sz="0" w:space="0" w:color="auto"/>
        <w:right w:val="none" w:sz="0" w:space="0" w:color="auto"/>
      </w:divBdr>
    </w:div>
    <w:div w:id="357897254">
      <w:bodyDiv w:val="1"/>
      <w:marLeft w:val="0"/>
      <w:marRight w:val="0"/>
      <w:marTop w:val="0"/>
      <w:marBottom w:val="0"/>
      <w:divBdr>
        <w:top w:val="none" w:sz="0" w:space="0" w:color="auto"/>
        <w:left w:val="none" w:sz="0" w:space="0" w:color="auto"/>
        <w:bottom w:val="none" w:sz="0" w:space="0" w:color="auto"/>
        <w:right w:val="none" w:sz="0" w:space="0" w:color="auto"/>
      </w:divBdr>
    </w:div>
    <w:div w:id="357975745">
      <w:bodyDiv w:val="1"/>
      <w:marLeft w:val="0"/>
      <w:marRight w:val="0"/>
      <w:marTop w:val="0"/>
      <w:marBottom w:val="0"/>
      <w:divBdr>
        <w:top w:val="none" w:sz="0" w:space="0" w:color="auto"/>
        <w:left w:val="none" w:sz="0" w:space="0" w:color="auto"/>
        <w:bottom w:val="none" w:sz="0" w:space="0" w:color="auto"/>
        <w:right w:val="none" w:sz="0" w:space="0" w:color="auto"/>
      </w:divBdr>
    </w:div>
    <w:div w:id="358825144">
      <w:bodyDiv w:val="1"/>
      <w:marLeft w:val="0"/>
      <w:marRight w:val="0"/>
      <w:marTop w:val="0"/>
      <w:marBottom w:val="0"/>
      <w:divBdr>
        <w:top w:val="none" w:sz="0" w:space="0" w:color="auto"/>
        <w:left w:val="none" w:sz="0" w:space="0" w:color="auto"/>
        <w:bottom w:val="none" w:sz="0" w:space="0" w:color="auto"/>
        <w:right w:val="none" w:sz="0" w:space="0" w:color="auto"/>
      </w:divBdr>
    </w:div>
    <w:div w:id="359204924">
      <w:bodyDiv w:val="1"/>
      <w:marLeft w:val="0"/>
      <w:marRight w:val="0"/>
      <w:marTop w:val="0"/>
      <w:marBottom w:val="0"/>
      <w:divBdr>
        <w:top w:val="none" w:sz="0" w:space="0" w:color="auto"/>
        <w:left w:val="none" w:sz="0" w:space="0" w:color="auto"/>
        <w:bottom w:val="none" w:sz="0" w:space="0" w:color="auto"/>
        <w:right w:val="none" w:sz="0" w:space="0" w:color="auto"/>
      </w:divBdr>
    </w:div>
    <w:div w:id="359472672">
      <w:bodyDiv w:val="1"/>
      <w:marLeft w:val="0"/>
      <w:marRight w:val="0"/>
      <w:marTop w:val="0"/>
      <w:marBottom w:val="0"/>
      <w:divBdr>
        <w:top w:val="none" w:sz="0" w:space="0" w:color="auto"/>
        <w:left w:val="none" w:sz="0" w:space="0" w:color="auto"/>
        <w:bottom w:val="none" w:sz="0" w:space="0" w:color="auto"/>
        <w:right w:val="none" w:sz="0" w:space="0" w:color="auto"/>
      </w:divBdr>
    </w:div>
    <w:div w:id="359473313">
      <w:bodyDiv w:val="1"/>
      <w:marLeft w:val="0"/>
      <w:marRight w:val="0"/>
      <w:marTop w:val="0"/>
      <w:marBottom w:val="0"/>
      <w:divBdr>
        <w:top w:val="none" w:sz="0" w:space="0" w:color="auto"/>
        <w:left w:val="none" w:sz="0" w:space="0" w:color="auto"/>
        <w:bottom w:val="none" w:sz="0" w:space="0" w:color="auto"/>
        <w:right w:val="none" w:sz="0" w:space="0" w:color="auto"/>
      </w:divBdr>
    </w:div>
    <w:div w:id="359747776">
      <w:bodyDiv w:val="1"/>
      <w:marLeft w:val="0"/>
      <w:marRight w:val="0"/>
      <w:marTop w:val="0"/>
      <w:marBottom w:val="0"/>
      <w:divBdr>
        <w:top w:val="none" w:sz="0" w:space="0" w:color="auto"/>
        <w:left w:val="none" w:sz="0" w:space="0" w:color="auto"/>
        <w:bottom w:val="none" w:sz="0" w:space="0" w:color="auto"/>
        <w:right w:val="none" w:sz="0" w:space="0" w:color="auto"/>
      </w:divBdr>
    </w:div>
    <w:div w:id="360016111">
      <w:bodyDiv w:val="1"/>
      <w:marLeft w:val="0"/>
      <w:marRight w:val="0"/>
      <w:marTop w:val="0"/>
      <w:marBottom w:val="0"/>
      <w:divBdr>
        <w:top w:val="none" w:sz="0" w:space="0" w:color="auto"/>
        <w:left w:val="none" w:sz="0" w:space="0" w:color="auto"/>
        <w:bottom w:val="none" w:sz="0" w:space="0" w:color="auto"/>
        <w:right w:val="none" w:sz="0" w:space="0" w:color="auto"/>
      </w:divBdr>
    </w:div>
    <w:div w:id="360057184">
      <w:bodyDiv w:val="1"/>
      <w:marLeft w:val="0"/>
      <w:marRight w:val="0"/>
      <w:marTop w:val="0"/>
      <w:marBottom w:val="0"/>
      <w:divBdr>
        <w:top w:val="none" w:sz="0" w:space="0" w:color="auto"/>
        <w:left w:val="none" w:sz="0" w:space="0" w:color="auto"/>
        <w:bottom w:val="none" w:sz="0" w:space="0" w:color="auto"/>
        <w:right w:val="none" w:sz="0" w:space="0" w:color="auto"/>
      </w:divBdr>
    </w:div>
    <w:div w:id="360057738">
      <w:bodyDiv w:val="1"/>
      <w:marLeft w:val="0"/>
      <w:marRight w:val="0"/>
      <w:marTop w:val="0"/>
      <w:marBottom w:val="0"/>
      <w:divBdr>
        <w:top w:val="none" w:sz="0" w:space="0" w:color="auto"/>
        <w:left w:val="none" w:sz="0" w:space="0" w:color="auto"/>
        <w:bottom w:val="none" w:sz="0" w:space="0" w:color="auto"/>
        <w:right w:val="none" w:sz="0" w:space="0" w:color="auto"/>
      </w:divBdr>
    </w:div>
    <w:div w:id="360135186">
      <w:bodyDiv w:val="1"/>
      <w:marLeft w:val="0"/>
      <w:marRight w:val="0"/>
      <w:marTop w:val="0"/>
      <w:marBottom w:val="0"/>
      <w:divBdr>
        <w:top w:val="none" w:sz="0" w:space="0" w:color="auto"/>
        <w:left w:val="none" w:sz="0" w:space="0" w:color="auto"/>
        <w:bottom w:val="none" w:sz="0" w:space="0" w:color="auto"/>
        <w:right w:val="none" w:sz="0" w:space="0" w:color="auto"/>
      </w:divBdr>
    </w:div>
    <w:div w:id="360516922">
      <w:bodyDiv w:val="1"/>
      <w:marLeft w:val="0"/>
      <w:marRight w:val="0"/>
      <w:marTop w:val="0"/>
      <w:marBottom w:val="0"/>
      <w:divBdr>
        <w:top w:val="none" w:sz="0" w:space="0" w:color="auto"/>
        <w:left w:val="none" w:sz="0" w:space="0" w:color="auto"/>
        <w:bottom w:val="none" w:sz="0" w:space="0" w:color="auto"/>
        <w:right w:val="none" w:sz="0" w:space="0" w:color="auto"/>
      </w:divBdr>
    </w:div>
    <w:div w:id="360590775">
      <w:bodyDiv w:val="1"/>
      <w:marLeft w:val="0"/>
      <w:marRight w:val="0"/>
      <w:marTop w:val="0"/>
      <w:marBottom w:val="0"/>
      <w:divBdr>
        <w:top w:val="none" w:sz="0" w:space="0" w:color="auto"/>
        <w:left w:val="none" w:sz="0" w:space="0" w:color="auto"/>
        <w:bottom w:val="none" w:sz="0" w:space="0" w:color="auto"/>
        <w:right w:val="none" w:sz="0" w:space="0" w:color="auto"/>
      </w:divBdr>
    </w:div>
    <w:div w:id="360596045">
      <w:bodyDiv w:val="1"/>
      <w:marLeft w:val="0"/>
      <w:marRight w:val="0"/>
      <w:marTop w:val="0"/>
      <w:marBottom w:val="0"/>
      <w:divBdr>
        <w:top w:val="none" w:sz="0" w:space="0" w:color="auto"/>
        <w:left w:val="none" w:sz="0" w:space="0" w:color="auto"/>
        <w:bottom w:val="none" w:sz="0" w:space="0" w:color="auto"/>
        <w:right w:val="none" w:sz="0" w:space="0" w:color="auto"/>
      </w:divBdr>
    </w:div>
    <w:div w:id="360791363">
      <w:bodyDiv w:val="1"/>
      <w:marLeft w:val="0"/>
      <w:marRight w:val="0"/>
      <w:marTop w:val="0"/>
      <w:marBottom w:val="0"/>
      <w:divBdr>
        <w:top w:val="none" w:sz="0" w:space="0" w:color="auto"/>
        <w:left w:val="none" w:sz="0" w:space="0" w:color="auto"/>
        <w:bottom w:val="none" w:sz="0" w:space="0" w:color="auto"/>
        <w:right w:val="none" w:sz="0" w:space="0" w:color="auto"/>
      </w:divBdr>
    </w:div>
    <w:div w:id="361321489">
      <w:bodyDiv w:val="1"/>
      <w:marLeft w:val="0"/>
      <w:marRight w:val="0"/>
      <w:marTop w:val="0"/>
      <w:marBottom w:val="0"/>
      <w:divBdr>
        <w:top w:val="none" w:sz="0" w:space="0" w:color="auto"/>
        <w:left w:val="none" w:sz="0" w:space="0" w:color="auto"/>
        <w:bottom w:val="none" w:sz="0" w:space="0" w:color="auto"/>
        <w:right w:val="none" w:sz="0" w:space="0" w:color="auto"/>
      </w:divBdr>
    </w:div>
    <w:div w:id="361322467">
      <w:bodyDiv w:val="1"/>
      <w:marLeft w:val="0"/>
      <w:marRight w:val="0"/>
      <w:marTop w:val="0"/>
      <w:marBottom w:val="0"/>
      <w:divBdr>
        <w:top w:val="none" w:sz="0" w:space="0" w:color="auto"/>
        <w:left w:val="none" w:sz="0" w:space="0" w:color="auto"/>
        <w:bottom w:val="none" w:sz="0" w:space="0" w:color="auto"/>
        <w:right w:val="none" w:sz="0" w:space="0" w:color="auto"/>
      </w:divBdr>
    </w:div>
    <w:div w:id="361366492">
      <w:bodyDiv w:val="1"/>
      <w:marLeft w:val="0"/>
      <w:marRight w:val="0"/>
      <w:marTop w:val="0"/>
      <w:marBottom w:val="0"/>
      <w:divBdr>
        <w:top w:val="none" w:sz="0" w:space="0" w:color="auto"/>
        <w:left w:val="none" w:sz="0" w:space="0" w:color="auto"/>
        <w:bottom w:val="none" w:sz="0" w:space="0" w:color="auto"/>
        <w:right w:val="none" w:sz="0" w:space="0" w:color="auto"/>
      </w:divBdr>
    </w:div>
    <w:div w:id="361395511">
      <w:bodyDiv w:val="1"/>
      <w:marLeft w:val="0"/>
      <w:marRight w:val="0"/>
      <w:marTop w:val="0"/>
      <w:marBottom w:val="0"/>
      <w:divBdr>
        <w:top w:val="none" w:sz="0" w:space="0" w:color="auto"/>
        <w:left w:val="none" w:sz="0" w:space="0" w:color="auto"/>
        <w:bottom w:val="none" w:sz="0" w:space="0" w:color="auto"/>
        <w:right w:val="none" w:sz="0" w:space="0" w:color="auto"/>
      </w:divBdr>
    </w:div>
    <w:div w:id="361513488">
      <w:bodyDiv w:val="1"/>
      <w:marLeft w:val="0"/>
      <w:marRight w:val="0"/>
      <w:marTop w:val="0"/>
      <w:marBottom w:val="0"/>
      <w:divBdr>
        <w:top w:val="none" w:sz="0" w:space="0" w:color="auto"/>
        <w:left w:val="none" w:sz="0" w:space="0" w:color="auto"/>
        <w:bottom w:val="none" w:sz="0" w:space="0" w:color="auto"/>
        <w:right w:val="none" w:sz="0" w:space="0" w:color="auto"/>
      </w:divBdr>
    </w:div>
    <w:div w:id="361856338">
      <w:bodyDiv w:val="1"/>
      <w:marLeft w:val="0"/>
      <w:marRight w:val="0"/>
      <w:marTop w:val="0"/>
      <w:marBottom w:val="0"/>
      <w:divBdr>
        <w:top w:val="none" w:sz="0" w:space="0" w:color="auto"/>
        <w:left w:val="none" w:sz="0" w:space="0" w:color="auto"/>
        <w:bottom w:val="none" w:sz="0" w:space="0" w:color="auto"/>
        <w:right w:val="none" w:sz="0" w:space="0" w:color="auto"/>
      </w:divBdr>
    </w:div>
    <w:div w:id="362287333">
      <w:bodyDiv w:val="1"/>
      <w:marLeft w:val="0"/>
      <w:marRight w:val="0"/>
      <w:marTop w:val="0"/>
      <w:marBottom w:val="0"/>
      <w:divBdr>
        <w:top w:val="none" w:sz="0" w:space="0" w:color="auto"/>
        <w:left w:val="none" w:sz="0" w:space="0" w:color="auto"/>
        <w:bottom w:val="none" w:sz="0" w:space="0" w:color="auto"/>
        <w:right w:val="none" w:sz="0" w:space="0" w:color="auto"/>
      </w:divBdr>
    </w:div>
    <w:div w:id="362363838">
      <w:bodyDiv w:val="1"/>
      <w:marLeft w:val="0"/>
      <w:marRight w:val="0"/>
      <w:marTop w:val="0"/>
      <w:marBottom w:val="0"/>
      <w:divBdr>
        <w:top w:val="none" w:sz="0" w:space="0" w:color="auto"/>
        <w:left w:val="none" w:sz="0" w:space="0" w:color="auto"/>
        <w:bottom w:val="none" w:sz="0" w:space="0" w:color="auto"/>
        <w:right w:val="none" w:sz="0" w:space="0" w:color="auto"/>
      </w:divBdr>
    </w:div>
    <w:div w:id="362369863">
      <w:bodyDiv w:val="1"/>
      <w:marLeft w:val="0"/>
      <w:marRight w:val="0"/>
      <w:marTop w:val="0"/>
      <w:marBottom w:val="0"/>
      <w:divBdr>
        <w:top w:val="none" w:sz="0" w:space="0" w:color="auto"/>
        <w:left w:val="none" w:sz="0" w:space="0" w:color="auto"/>
        <w:bottom w:val="none" w:sz="0" w:space="0" w:color="auto"/>
        <w:right w:val="none" w:sz="0" w:space="0" w:color="auto"/>
      </w:divBdr>
    </w:div>
    <w:div w:id="362445028">
      <w:bodyDiv w:val="1"/>
      <w:marLeft w:val="0"/>
      <w:marRight w:val="0"/>
      <w:marTop w:val="0"/>
      <w:marBottom w:val="0"/>
      <w:divBdr>
        <w:top w:val="none" w:sz="0" w:space="0" w:color="auto"/>
        <w:left w:val="none" w:sz="0" w:space="0" w:color="auto"/>
        <w:bottom w:val="none" w:sz="0" w:space="0" w:color="auto"/>
        <w:right w:val="none" w:sz="0" w:space="0" w:color="auto"/>
      </w:divBdr>
    </w:div>
    <w:div w:id="363020930">
      <w:bodyDiv w:val="1"/>
      <w:marLeft w:val="0"/>
      <w:marRight w:val="0"/>
      <w:marTop w:val="0"/>
      <w:marBottom w:val="0"/>
      <w:divBdr>
        <w:top w:val="none" w:sz="0" w:space="0" w:color="auto"/>
        <w:left w:val="none" w:sz="0" w:space="0" w:color="auto"/>
        <w:bottom w:val="none" w:sz="0" w:space="0" w:color="auto"/>
        <w:right w:val="none" w:sz="0" w:space="0" w:color="auto"/>
      </w:divBdr>
    </w:div>
    <w:div w:id="363095450">
      <w:bodyDiv w:val="1"/>
      <w:marLeft w:val="0"/>
      <w:marRight w:val="0"/>
      <w:marTop w:val="0"/>
      <w:marBottom w:val="0"/>
      <w:divBdr>
        <w:top w:val="none" w:sz="0" w:space="0" w:color="auto"/>
        <w:left w:val="none" w:sz="0" w:space="0" w:color="auto"/>
        <w:bottom w:val="none" w:sz="0" w:space="0" w:color="auto"/>
        <w:right w:val="none" w:sz="0" w:space="0" w:color="auto"/>
      </w:divBdr>
    </w:div>
    <w:div w:id="363098529">
      <w:bodyDiv w:val="1"/>
      <w:marLeft w:val="0"/>
      <w:marRight w:val="0"/>
      <w:marTop w:val="0"/>
      <w:marBottom w:val="0"/>
      <w:divBdr>
        <w:top w:val="none" w:sz="0" w:space="0" w:color="auto"/>
        <w:left w:val="none" w:sz="0" w:space="0" w:color="auto"/>
        <w:bottom w:val="none" w:sz="0" w:space="0" w:color="auto"/>
        <w:right w:val="none" w:sz="0" w:space="0" w:color="auto"/>
      </w:divBdr>
    </w:div>
    <w:div w:id="363141841">
      <w:bodyDiv w:val="1"/>
      <w:marLeft w:val="0"/>
      <w:marRight w:val="0"/>
      <w:marTop w:val="0"/>
      <w:marBottom w:val="0"/>
      <w:divBdr>
        <w:top w:val="none" w:sz="0" w:space="0" w:color="auto"/>
        <w:left w:val="none" w:sz="0" w:space="0" w:color="auto"/>
        <w:bottom w:val="none" w:sz="0" w:space="0" w:color="auto"/>
        <w:right w:val="none" w:sz="0" w:space="0" w:color="auto"/>
      </w:divBdr>
    </w:div>
    <w:div w:id="363210491">
      <w:bodyDiv w:val="1"/>
      <w:marLeft w:val="0"/>
      <w:marRight w:val="0"/>
      <w:marTop w:val="0"/>
      <w:marBottom w:val="0"/>
      <w:divBdr>
        <w:top w:val="none" w:sz="0" w:space="0" w:color="auto"/>
        <w:left w:val="none" w:sz="0" w:space="0" w:color="auto"/>
        <w:bottom w:val="none" w:sz="0" w:space="0" w:color="auto"/>
        <w:right w:val="none" w:sz="0" w:space="0" w:color="auto"/>
      </w:divBdr>
    </w:div>
    <w:div w:id="363333313">
      <w:bodyDiv w:val="1"/>
      <w:marLeft w:val="0"/>
      <w:marRight w:val="0"/>
      <w:marTop w:val="0"/>
      <w:marBottom w:val="0"/>
      <w:divBdr>
        <w:top w:val="none" w:sz="0" w:space="0" w:color="auto"/>
        <w:left w:val="none" w:sz="0" w:space="0" w:color="auto"/>
        <w:bottom w:val="none" w:sz="0" w:space="0" w:color="auto"/>
        <w:right w:val="none" w:sz="0" w:space="0" w:color="auto"/>
      </w:divBdr>
    </w:div>
    <w:div w:id="363478384">
      <w:bodyDiv w:val="1"/>
      <w:marLeft w:val="0"/>
      <w:marRight w:val="0"/>
      <w:marTop w:val="0"/>
      <w:marBottom w:val="0"/>
      <w:divBdr>
        <w:top w:val="none" w:sz="0" w:space="0" w:color="auto"/>
        <w:left w:val="none" w:sz="0" w:space="0" w:color="auto"/>
        <w:bottom w:val="none" w:sz="0" w:space="0" w:color="auto"/>
        <w:right w:val="none" w:sz="0" w:space="0" w:color="auto"/>
      </w:divBdr>
    </w:div>
    <w:div w:id="363600688">
      <w:bodyDiv w:val="1"/>
      <w:marLeft w:val="0"/>
      <w:marRight w:val="0"/>
      <w:marTop w:val="0"/>
      <w:marBottom w:val="0"/>
      <w:divBdr>
        <w:top w:val="none" w:sz="0" w:space="0" w:color="auto"/>
        <w:left w:val="none" w:sz="0" w:space="0" w:color="auto"/>
        <w:bottom w:val="none" w:sz="0" w:space="0" w:color="auto"/>
        <w:right w:val="none" w:sz="0" w:space="0" w:color="auto"/>
      </w:divBdr>
    </w:div>
    <w:div w:id="363795150">
      <w:bodyDiv w:val="1"/>
      <w:marLeft w:val="0"/>
      <w:marRight w:val="0"/>
      <w:marTop w:val="0"/>
      <w:marBottom w:val="0"/>
      <w:divBdr>
        <w:top w:val="none" w:sz="0" w:space="0" w:color="auto"/>
        <w:left w:val="none" w:sz="0" w:space="0" w:color="auto"/>
        <w:bottom w:val="none" w:sz="0" w:space="0" w:color="auto"/>
        <w:right w:val="none" w:sz="0" w:space="0" w:color="auto"/>
      </w:divBdr>
    </w:div>
    <w:div w:id="363987501">
      <w:bodyDiv w:val="1"/>
      <w:marLeft w:val="0"/>
      <w:marRight w:val="0"/>
      <w:marTop w:val="0"/>
      <w:marBottom w:val="0"/>
      <w:divBdr>
        <w:top w:val="none" w:sz="0" w:space="0" w:color="auto"/>
        <w:left w:val="none" w:sz="0" w:space="0" w:color="auto"/>
        <w:bottom w:val="none" w:sz="0" w:space="0" w:color="auto"/>
        <w:right w:val="none" w:sz="0" w:space="0" w:color="auto"/>
      </w:divBdr>
    </w:div>
    <w:div w:id="364256043">
      <w:bodyDiv w:val="1"/>
      <w:marLeft w:val="0"/>
      <w:marRight w:val="0"/>
      <w:marTop w:val="0"/>
      <w:marBottom w:val="0"/>
      <w:divBdr>
        <w:top w:val="none" w:sz="0" w:space="0" w:color="auto"/>
        <w:left w:val="none" w:sz="0" w:space="0" w:color="auto"/>
        <w:bottom w:val="none" w:sz="0" w:space="0" w:color="auto"/>
        <w:right w:val="none" w:sz="0" w:space="0" w:color="auto"/>
      </w:divBdr>
    </w:div>
    <w:div w:id="364715507">
      <w:bodyDiv w:val="1"/>
      <w:marLeft w:val="0"/>
      <w:marRight w:val="0"/>
      <w:marTop w:val="0"/>
      <w:marBottom w:val="0"/>
      <w:divBdr>
        <w:top w:val="none" w:sz="0" w:space="0" w:color="auto"/>
        <w:left w:val="none" w:sz="0" w:space="0" w:color="auto"/>
        <w:bottom w:val="none" w:sz="0" w:space="0" w:color="auto"/>
        <w:right w:val="none" w:sz="0" w:space="0" w:color="auto"/>
      </w:divBdr>
    </w:div>
    <w:div w:id="365300606">
      <w:bodyDiv w:val="1"/>
      <w:marLeft w:val="0"/>
      <w:marRight w:val="0"/>
      <w:marTop w:val="0"/>
      <w:marBottom w:val="0"/>
      <w:divBdr>
        <w:top w:val="none" w:sz="0" w:space="0" w:color="auto"/>
        <w:left w:val="none" w:sz="0" w:space="0" w:color="auto"/>
        <w:bottom w:val="none" w:sz="0" w:space="0" w:color="auto"/>
        <w:right w:val="none" w:sz="0" w:space="0" w:color="auto"/>
      </w:divBdr>
    </w:div>
    <w:div w:id="365370312">
      <w:bodyDiv w:val="1"/>
      <w:marLeft w:val="0"/>
      <w:marRight w:val="0"/>
      <w:marTop w:val="0"/>
      <w:marBottom w:val="0"/>
      <w:divBdr>
        <w:top w:val="none" w:sz="0" w:space="0" w:color="auto"/>
        <w:left w:val="none" w:sz="0" w:space="0" w:color="auto"/>
        <w:bottom w:val="none" w:sz="0" w:space="0" w:color="auto"/>
        <w:right w:val="none" w:sz="0" w:space="0" w:color="auto"/>
      </w:divBdr>
    </w:div>
    <w:div w:id="365447845">
      <w:bodyDiv w:val="1"/>
      <w:marLeft w:val="0"/>
      <w:marRight w:val="0"/>
      <w:marTop w:val="0"/>
      <w:marBottom w:val="0"/>
      <w:divBdr>
        <w:top w:val="none" w:sz="0" w:space="0" w:color="auto"/>
        <w:left w:val="none" w:sz="0" w:space="0" w:color="auto"/>
        <w:bottom w:val="none" w:sz="0" w:space="0" w:color="auto"/>
        <w:right w:val="none" w:sz="0" w:space="0" w:color="auto"/>
      </w:divBdr>
    </w:div>
    <w:div w:id="365714494">
      <w:bodyDiv w:val="1"/>
      <w:marLeft w:val="0"/>
      <w:marRight w:val="0"/>
      <w:marTop w:val="0"/>
      <w:marBottom w:val="0"/>
      <w:divBdr>
        <w:top w:val="none" w:sz="0" w:space="0" w:color="auto"/>
        <w:left w:val="none" w:sz="0" w:space="0" w:color="auto"/>
        <w:bottom w:val="none" w:sz="0" w:space="0" w:color="auto"/>
        <w:right w:val="none" w:sz="0" w:space="0" w:color="auto"/>
      </w:divBdr>
    </w:div>
    <w:div w:id="365913915">
      <w:bodyDiv w:val="1"/>
      <w:marLeft w:val="0"/>
      <w:marRight w:val="0"/>
      <w:marTop w:val="0"/>
      <w:marBottom w:val="0"/>
      <w:divBdr>
        <w:top w:val="none" w:sz="0" w:space="0" w:color="auto"/>
        <w:left w:val="none" w:sz="0" w:space="0" w:color="auto"/>
        <w:bottom w:val="none" w:sz="0" w:space="0" w:color="auto"/>
        <w:right w:val="none" w:sz="0" w:space="0" w:color="auto"/>
      </w:divBdr>
    </w:div>
    <w:div w:id="365914859">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66180097">
      <w:bodyDiv w:val="1"/>
      <w:marLeft w:val="0"/>
      <w:marRight w:val="0"/>
      <w:marTop w:val="0"/>
      <w:marBottom w:val="0"/>
      <w:divBdr>
        <w:top w:val="none" w:sz="0" w:space="0" w:color="auto"/>
        <w:left w:val="none" w:sz="0" w:space="0" w:color="auto"/>
        <w:bottom w:val="none" w:sz="0" w:space="0" w:color="auto"/>
        <w:right w:val="none" w:sz="0" w:space="0" w:color="auto"/>
      </w:divBdr>
    </w:div>
    <w:div w:id="366218202">
      <w:bodyDiv w:val="1"/>
      <w:marLeft w:val="0"/>
      <w:marRight w:val="0"/>
      <w:marTop w:val="0"/>
      <w:marBottom w:val="0"/>
      <w:divBdr>
        <w:top w:val="none" w:sz="0" w:space="0" w:color="auto"/>
        <w:left w:val="none" w:sz="0" w:space="0" w:color="auto"/>
        <w:bottom w:val="none" w:sz="0" w:space="0" w:color="auto"/>
        <w:right w:val="none" w:sz="0" w:space="0" w:color="auto"/>
      </w:divBdr>
    </w:div>
    <w:div w:id="366298601">
      <w:bodyDiv w:val="1"/>
      <w:marLeft w:val="0"/>
      <w:marRight w:val="0"/>
      <w:marTop w:val="0"/>
      <w:marBottom w:val="0"/>
      <w:divBdr>
        <w:top w:val="none" w:sz="0" w:space="0" w:color="auto"/>
        <w:left w:val="none" w:sz="0" w:space="0" w:color="auto"/>
        <w:bottom w:val="none" w:sz="0" w:space="0" w:color="auto"/>
        <w:right w:val="none" w:sz="0" w:space="0" w:color="auto"/>
      </w:divBdr>
    </w:div>
    <w:div w:id="366374813">
      <w:bodyDiv w:val="1"/>
      <w:marLeft w:val="0"/>
      <w:marRight w:val="0"/>
      <w:marTop w:val="0"/>
      <w:marBottom w:val="0"/>
      <w:divBdr>
        <w:top w:val="none" w:sz="0" w:space="0" w:color="auto"/>
        <w:left w:val="none" w:sz="0" w:space="0" w:color="auto"/>
        <w:bottom w:val="none" w:sz="0" w:space="0" w:color="auto"/>
        <w:right w:val="none" w:sz="0" w:space="0" w:color="auto"/>
      </w:divBdr>
    </w:div>
    <w:div w:id="366757671">
      <w:bodyDiv w:val="1"/>
      <w:marLeft w:val="0"/>
      <w:marRight w:val="0"/>
      <w:marTop w:val="0"/>
      <w:marBottom w:val="0"/>
      <w:divBdr>
        <w:top w:val="none" w:sz="0" w:space="0" w:color="auto"/>
        <w:left w:val="none" w:sz="0" w:space="0" w:color="auto"/>
        <w:bottom w:val="none" w:sz="0" w:space="0" w:color="auto"/>
        <w:right w:val="none" w:sz="0" w:space="0" w:color="auto"/>
      </w:divBdr>
    </w:div>
    <w:div w:id="367075025">
      <w:bodyDiv w:val="1"/>
      <w:marLeft w:val="0"/>
      <w:marRight w:val="0"/>
      <w:marTop w:val="0"/>
      <w:marBottom w:val="0"/>
      <w:divBdr>
        <w:top w:val="none" w:sz="0" w:space="0" w:color="auto"/>
        <w:left w:val="none" w:sz="0" w:space="0" w:color="auto"/>
        <w:bottom w:val="none" w:sz="0" w:space="0" w:color="auto"/>
        <w:right w:val="none" w:sz="0" w:space="0" w:color="auto"/>
      </w:divBdr>
    </w:div>
    <w:div w:id="367220038">
      <w:bodyDiv w:val="1"/>
      <w:marLeft w:val="0"/>
      <w:marRight w:val="0"/>
      <w:marTop w:val="0"/>
      <w:marBottom w:val="0"/>
      <w:divBdr>
        <w:top w:val="none" w:sz="0" w:space="0" w:color="auto"/>
        <w:left w:val="none" w:sz="0" w:space="0" w:color="auto"/>
        <w:bottom w:val="none" w:sz="0" w:space="0" w:color="auto"/>
        <w:right w:val="none" w:sz="0" w:space="0" w:color="auto"/>
      </w:divBdr>
    </w:div>
    <w:div w:id="367220709">
      <w:bodyDiv w:val="1"/>
      <w:marLeft w:val="0"/>
      <w:marRight w:val="0"/>
      <w:marTop w:val="0"/>
      <w:marBottom w:val="0"/>
      <w:divBdr>
        <w:top w:val="none" w:sz="0" w:space="0" w:color="auto"/>
        <w:left w:val="none" w:sz="0" w:space="0" w:color="auto"/>
        <w:bottom w:val="none" w:sz="0" w:space="0" w:color="auto"/>
        <w:right w:val="none" w:sz="0" w:space="0" w:color="auto"/>
      </w:divBdr>
    </w:div>
    <w:div w:id="367873873">
      <w:bodyDiv w:val="1"/>
      <w:marLeft w:val="0"/>
      <w:marRight w:val="0"/>
      <w:marTop w:val="0"/>
      <w:marBottom w:val="0"/>
      <w:divBdr>
        <w:top w:val="none" w:sz="0" w:space="0" w:color="auto"/>
        <w:left w:val="none" w:sz="0" w:space="0" w:color="auto"/>
        <w:bottom w:val="none" w:sz="0" w:space="0" w:color="auto"/>
        <w:right w:val="none" w:sz="0" w:space="0" w:color="auto"/>
      </w:divBdr>
    </w:div>
    <w:div w:id="367879893">
      <w:bodyDiv w:val="1"/>
      <w:marLeft w:val="0"/>
      <w:marRight w:val="0"/>
      <w:marTop w:val="0"/>
      <w:marBottom w:val="0"/>
      <w:divBdr>
        <w:top w:val="none" w:sz="0" w:space="0" w:color="auto"/>
        <w:left w:val="none" w:sz="0" w:space="0" w:color="auto"/>
        <w:bottom w:val="none" w:sz="0" w:space="0" w:color="auto"/>
        <w:right w:val="none" w:sz="0" w:space="0" w:color="auto"/>
      </w:divBdr>
    </w:div>
    <w:div w:id="368265777">
      <w:bodyDiv w:val="1"/>
      <w:marLeft w:val="0"/>
      <w:marRight w:val="0"/>
      <w:marTop w:val="0"/>
      <w:marBottom w:val="0"/>
      <w:divBdr>
        <w:top w:val="none" w:sz="0" w:space="0" w:color="auto"/>
        <w:left w:val="none" w:sz="0" w:space="0" w:color="auto"/>
        <w:bottom w:val="none" w:sz="0" w:space="0" w:color="auto"/>
        <w:right w:val="none" w:sz="0" w:space="0" w:color="auto"/>
      </w:divBdr>
    </w:div>
    <w:div w:id="368337833">
      <w:bodyDiv w:val="1"/>
      <w:marLeft w:val="0"/>
      <w:marRight w:val="0"/>
      <w:marTop w:val="0"/>
      <w:marBottom w:val="0"/>
      <w:divBdr>
        <w:top w:val="none" w:sz="0" w:space="0" w:color="auto"/>
        <w:left w:val="none" w:sz="0" w:space="0" w:color="auto"/>
        <w:bottom w:val="none" w:sz="0" w:space="0" w:color="auto"/>
        <w:right w:val="none" w:sz="0" w:space="0" w:color="auto"/>
      </w:divBdr>
    </w:div>
    <w:div w:id="368576266">
      <w:bodyDiv w:val="1"/>
      <w:marLeft w:val="0"/>
      <w:marRight w:val="0"/>
      <w:marTop w:val="0"/>
      <w:marBottom w:val="0"/>
      <w:divBdr>
        <w:top w:val="none" w:sz="0" w:space="0" w:color="auto"/>
        <w:left w:val="none" w:sz="0" w:space="0" w:color="auto"/>
        <w:bottom w:val="none" w:sz="0" w:space="0" w:color="auto"/>
        <w:right w:val="none" w:sz="0" w:space="0" w:color="auto"/>
      </w:divBdr>
    </w:div>
    <w:div w:id="368604649">
      <w:bodyDiv w:val="1"/>
      <w:marLeft w:val="0"/>
      <w:marRight w:val="0"/>
      <w:marTop w:val="0"/>
      <w:marBottom w:val="0"/>
      <w:divBdr>
        <w:top w:val="none" w:sz="0" w:space="0" w:color="auto"/>
        <w:left w:val="none" w:sz="0" w:space="0" w:color="auto"/>
        <w:bottom w:val="none" w:sz="0" w:space="0" w:color="auto"/>
        <w:right w:val="none" w:sz="0" w:space="0" w:color="auto"/>
      </w:divBdr>
    </w:div>
    <w:div w:id="368725894">
      <w:bodyDiv w:val="1"/>
      <w:marLeft w:val="0"/>
      <w:marRight w:val="0"/>
      <w:marTop w:val="0"/>
      <w:marBottom w:val="0"/>
      <w:divBdr>
        <w:top w:val="none" w:sz="0" w:space="0" w:color="auto"/>
        <w:left w:val="none" w:sz="0" w:space="0" w:color="auto"/>
        <w:bottom w:val="none" w:sz="0" w:space="0" w:color="auto"/>
        <w:right w:val="none" w:sz="0" w:space="0" w:color="auto"/>
      </w:divBdr>
    </w:div>
    <w:div w:id="369034497">
      <w:bodyDiv w:val="1"/>
      <w:marLeft w:val="0"/>
      <w:marRight w:val="0"/>
      <w:marTop w:val="0"/>
      <w:marBottom w:val="0"/>
      <w:divBdr>
        <w:top w:val="none" w:sz="0" w:space="0" w:color="auto"/>
        <w:left w:val="none" w:sz="0" w:space="0" w:color="auto"/>
        <w:bottom w:val="none" w:sz="0" w:space="0" w:color="auto"/>
        <w:right w:val="none" w:sz="0" w:space="0" w:color="auto"/>
      </w:divBdr>
    </w:div>
    <w:div w:id="369693719">
      <w:bodyDiv w:val="1"/>
      <w:marLeft w:val="0"/>
      <w:marRight w:val="0"/>
      <w:marTop w:val="0"/>
      <w:marBottom w:val="0"/>
      <w:divBdr>
        <w:top w:val="none" w:sz="0" w:space="0" w:color="auto"/>
        <w:left w:val="none" w:sz="0" w:space="0" w:color="auto"/>
        <w:bottom w:val="none" w:sz="0" w:space="0" w:color="auto"/>
        <w:right w:val="none" w:sz="0" w:space="0" w:color="auto"/>
      </w:divBdr>
    </w:div>
    <w:div w:id="370347530">
      <w:bodyDiv w:val="1"/>
      <w:marLeft w:val="0"/>
      <w:marRight w:val="0"/>
      <w:marTop w:val="0"/>
      <w:marBottom w:val="0"/>
      <w:divBdr>
        <w:top w:val="none" w:sz="0" w:space="0" w:color="auto"/>
        <w:left w:val="none" w:sz="0" w:space="0" w:color="auto"/>
        <w:bottom w:val="none" w:sz="0" w:space="0" w:color="auto"/>
        <w:right w:val="none" w:sz="0" w:space="0" w:color="auto"/>
      </w:divBdr>
    </w:div>
    <w:div w:id="370495108">
      <w:bodyDiv w:val="1"/>
      <w:marLeft w:val="0"/>
      <w:marRight w:val="0"/>
      <w:marTop w:val="0"/>
      <w:marBottom w:val="0"/>
      <w:divBdr>
        <w:top w:val="none" w:sz="0" w:space="0" w:color="auto"/>
        <w:left w:val="none" w:sz="0" w:space="0" w:color="auto"/>
        <w:bottom w:val="none" w:sz="0" w:space="0" w:color="auto"/>
        <w:right w:val="none" w:sz="0" w:space="0" w:color="auto"/>
      </w:divBdr>
    </w:div>
    <w:div w:id="370572162">
      <w:bodyDiv w:val="1"/>
      <w:marLeft w:val="0"/>
      <w:marRight w:val="0"/>
      <w:marTop w:val="0"/>
      <w:marBottom w:val="0"/>
      <w:divBdr>
        <w:top w:val="none" w:sz="0" w:space="0" w:color="auto"/>
        <w:left w:val="none" w:sz="0" w:space="0" w:color="auto"/>
        <w:bottom w:val="none" w:sz="0" w:space="0" w:color="auto"/>
        <w:right w:val="none" w:sz="0" w:space="0" w:color="auto"/>
      </w:divBdr>
    </w:div>
    <w:div w:id="370614864">
      <w:bodyDiv w:val="1"/>
      <w:marLeft w:val="0"/>
      <w:marRight w:val="0"/>
      <w:marTop w:val="0"/>
      <w:marBottom w:val="0"/>
      <w:divBdr>
        <w:top w:val="none" w:sz="0" w:space="0" w:color="auto"/>
        <w:left w:val="none" w:sz="0" w:space="0" w:color="auto"/>
        <w:bottom w:val="none" w:sz="0" w:space="0" w:color="auto"/>
        <w:right w:val="none" w:sz="0" w:space="0" w:color="auto"/>
      </w:divBdr>
    </w:div>
    <w:div w:id="370765131">
      <w:bodyDiv w:val="1"/>
      <w:marLeft w:val="0"/>
      <w:marRight w:val="0"/>
      <w:marTop w:val="0"/>
      <w:marBottom w:val="0"/>
      <w:divBdr>
        <w:top w:val="none" w:sz="0" w:space="0" w:color="auto"/>
        <w:left w:val="none" w:sz="0" w:space="0" w:color="auto"/>
        <w:bottom w:val="none" w:sz="0" w:space="0" w:color="auto"/>
        <w:right w:val="none" w:sz="0" w:space="0" w:color="auto"/>
      </w:divBdr>
    </w:div>
    <w:div w:id="370883335">
      <w:bodyDiv w:val="1"/>
      <w:marLeft w:val="0"/>
      <w:marRight w:val="0"/>
      <w:marTop w:val="0"/>
      <w:marBottom w:val="0"/>
      <w:divBdr>
        <w:top w:val="none" w:sz="0" w:space="0" w:color="auto"/>
        <w:left w:val="none" w:sz="0" w:space="0" w:color="auto"/>
        <w:bottom w:val="none" w:sz="0" w:space="0" w:color="auto"/>
        <w:right w:val="none" w:sz="0" w:space="0" w:color="auto"/>
      </w:divBdr>
    </w:div>
    <w:div w:id="370888882">
      <w:bodyDiv w:val="1"/>
      <w:marLeft w:val="0"/>
      <w:marRight w:val="0"/>
      <w:marTop w:val="0"/>
      <w:marBottom w:val="0"/>
      <w:divBdr>
        <w:top w:val="none" w:sz="0" w:space="0" w:color="auto"/>
        <w:left w:val="none" w:sz="0" w:space="0" w:color="auto"/>
        <w:bottom w:val="none" w:sz="0" w:space="0" w:color="auto"/>
        <w:right w:val="none" w:sz="0" w:space="0" w:color="auto"/>
      </w:divBdr>
    </w:div>
    <w:div w:id="371074918">
      <w:bodyDiv w:val="1"/>
      <w:marLeft w:val="0"/>
      <w:marRight w:val="0"/>
      <w:marTop w:val="0"/>
      <w:marBottom w:val="0"/>
      <w:divBdr>
        <w:top w:val="none" w:sz="0" w:space="0" w:color="auto"/>
        <w:left w:val="none" w:sz="0" w:space="0" w:color="auto"/>
        <w:bottom w:val="none" w:sz="0" w:space="0" w:color="auto"/>
        <w:right w:val="none" w:sz="0" w:space="0" w:color="auto"/>
      </w:divBdr>
    </w:div>
    <w:div w:id="372118188">
      <w:bodyDiv w:val="1"/>
      <w:marLeft w:val="0"/>
      <w:marRight w:val="0"/>
      <w:marTop w:val="0"/>
      <w:marBottom w:val="0"/>
      <w:divBdr>
        <w:top w:val="none" w:sz="0" w:space="0" w:color="auto"/>
        <w:left w:val="none" w:sz="0" w:space="0" w:color="auto"/>
        <w:bottom w:val="none" w:sz="0" w:space="0" w:color="auto"/>
        <w:right w:val="none" w:sz="0" w:space="0" w:color="auto"/>
      </w:divBdr>
    </w:div>
    <w:div w:id="372658023">
      <w:bodyDiv w:val="1"/>
      <w:marLeft w:val="0"/>
      <w:marRight w:val="0"/>
      <w:marTop w:val="0"/>
      <w:marBottom w:val="0"/>
      <w:divBdr>
        <w:top w:val="none" w:sz="0" w:space="0" w:color="auto"/>
        <w:left w:val="none" w:sz="0" w:space="0" w:color="auto"/>
        <w:bottom w:val="none" w:sz="0" w:space="0" w:color="auto"/>
        <w:right w:val="none" w:sz="0" w:space="0" w:color="auto"/>
      </w:divBdr>
    </w:div>
    <w:div w:id="372727419">
      <w:bodyDiv w:val="1"/>
      <w:marLeft w:val="0"/>
      <w:marRight w:val="0"/>
      <w:marTop w:val="0"/>
      <w:marBottom w:val="0"/>
      <w:divBdr>
        <w:top w:val="none" w:sz="0" w:space="0" w:color="auto"/>
        <w:left w:val="none" w:sz="0" w:space="0" w:color="auto"/>
        <w:bottom w:val="none" w:sz="0" w:space="0" w:color="auto"/>
        <w:right w:val="none" w:sz="0" w:space="0" w:color="auto"/>
      </w:divBdr>
    </w:div>
    <w:div w:id="373194095">
      <w:bodyDiv w:val="1"/>
      <w:marLeft w:val="0"/>
      <w:marRight w:val="0"/>
      <w:marTop w:val="0"/>
      <w:marBottom w:val="0"/>
      <w:divBdr>
        <w:top w:val="none" w:sz="0" w:space="0" w:color="auto"/>
        <w:left w:val="none" w:sz="0" w:space="0" w:color="auto"/>
        <w:bottom w:val="none" w:sz="0" w:space="0" w:color="auto"/>
        <w:right w:val="none" w:sz="0" w:space="0" w:color="auto"/>
      </w:divBdr>
    </w:div>
    <w:div w:id="373694440">
      <w:bodyDiv w:val="1"/>
      <w:marLeft w:val="0"/>
      <w:marRight w:val="0"/>
      <w:marTop w:val="0"/>
      <w:marBottom w:val="0"/>
      <w:divBdr>
        <w:top w:val="none" w:sz="0" w:space="0" w:color="auto"/>
        <w:left w:val="none" w:sz="0" w:space="0" w:color="auto"/>
        <w:bottom w:val="none" w:sz="0" w:space="0" w:color="auto"/>
        <w:right w:val="none" w:sz="0" w:space="0" w:color="auto"/>
      </w:divBdr>
    </w:div>
    <w:div w:id="374549441">
      <w:bodyDiv w:val="1"/>
      <w:marLeft w:val="0"/>
      <w:marRight w:val="0"/>
      <w:marTop w:val="0"/>
      <w:marBottom w:val="0"/>
      <w:divBdr>
        <w:top w:val="none" w:sz="0" w:space="0" w:color="auto"/>
        <w:left w:val="none" w:sz="0" w:space="0" w:color="auto"/>
        <w:bottom w:val="none" w:sz="0" w:space="0" w:color="auto"/>
        <w:right w:val="none" w:sz="0" w:space="0" w:color="auto"/>
      </w:divBdr>
    </w:div>
    <w:div w:id="374624738">
      <w:bodyDiv w:val="1"/>
      <w:marLeft w:val="0"/>
      <w:marRight w:val="0"/>
      <w:marTop w:val="0"/>
      <w:marBottom w:val="0"/>
      <w:divBdr>
        <w:top w:val="none" w:sz="0" w:space="0" w:color="auto"/>
        <w:left w:val="none" w:sz="0" w:space="0" w:color="auto"/>
        <w:bottom w:val="none" w:sz="0" w:space="0" w:color="auto"/>
        <w:right w:val="none" w:sz="0" w:space="0" w:color="auto"/>
      </w:divBdr>
    </w:div>
    <w:div w:id="374740322">
      <w:bodyDiv w:val="1"/>
      <w:marLeft w:val="0"/>
      <w:marRight w:val="0"/>
      <w:marTop w:val="0"/>
      <w:marBottom w:val="0"/>
      <w:divBdr>
        <w:top w:val="none" w:sz="0" w:space="0" w:color="auto"/>
        <w:left w:val="none" w:sz="0" w:space="0" w:color="auto"/>
        <w:bottom w:val="none" w:sz="0" w:space="0" w:color="auto"/>
        <w:right w:val="none" w:sz="0" w:space="0" w:color="auto"/>
      </w:divBdr>
    </w:div>
    <w:div w:id="375007773">
      <w:bodyDiv w:val="1"/>
      <w:marLeft w:val="0"/>
      <w:marRight w:val="0"/>
      <w:marTop w:val="0"/>
      <w:marBottom w:val="0"/>
      <w:divBdr>
        <w:top w:val="none" w:sz="0" w:space="0" w:color="auto"/>
        <w:left w:val="none" w:sz="0" w:space="0" w:color="auto"/>
        <w:bottom w:val="none" w:sz="0" w:space="0" w:color="auto"/>
        <w:right w:val="none" w:sz="0" w:space="0" w:color="auto"/>
      </w:divBdr>
    </w:div>
    <w:div w:id="375083430">
      <w:bodyDiv w:val="1"/>
      <w:marLeft w:val="0"/>
      <w:marRight w:val="0"/>
      <w:marTop w:val="0"/>
      <w:marBottom w:val="0"/>
      <w:divBdr>
        <w:top w:val="none" w:sz="0" w:space="0" w:color="auto"/>
        <w:left w:val="none" w:sz="0" w:space="0" w:color="auto"/>
        <w:bottom w:val="none" w:sz="0" w:space="0" w:color="auto"/>
        <w:right w:val="none" w:sz="0" w:space="0" w:color="auto"/>
      </w:divBdr>
    </w:div>
    <w:div w:id="375392035">
      <w:bodyDiv w:val="1"/>
      <w:marLeft w:val="0"/>
      <w:marRight w:val="0"/>
      <w:marTop w:val="0"/>
      <w:marBottom w:val="0"/>
      <w:divBdr>
        <w:top w:val="none" w:sz="0" w:space="0" w:color="auto"/>
        <w:left w:val="none" w:sz="0" w:space="0" w:color="auto"/>
        <w:bottom w:val="none" w:sz="0" w:space="0" w:color="auto"/>
        <w:right w:val="none" w:sz="0" w:space="0" w:color="auto"/>
      </w:divBdr>
    </w:div>
    <w:div w:id="375395010">
      <w:bodyDiv w:val="1"/>
      <w:marLeft w:val="0"/>
      <w:marRight w:val="0"/>
      <w:marTop w:val="0"/>
      <w:marBottom w:val="0"/>
      <w:divBdr>
        <w:top w:val="none" w:sz="0" w:space="0" w:color="auto"/>
        <w:left w:val="none" w:sz="0" w:space="0" w:color="auto"/>
        <w:bottom w:val="none" w:sz="0" w:space="0" w:color="auto"/>
        <w:right w:val="none" w:sz="0" w:space="0" w:color="auto"/>
      </w:divBdr>
    </w:div>
    <w:div w:id="375546539">
      <w:bodyDiv w:val="1"/>
      <w:marLeft w:val="0"/>
      <w:marRight w:val="0"/>
      <w:marTop w:val="0"/>
      <w:marBottom w:val="0"/>
      <w:divBdr>
        <w:top w:val="none" w:sz="0" w:space="0" w:color="auto"/>
        <w:left w:val="none" w:sz="0" w:space="0" w:color="auto"/>
        <w:bottom w:val="none" w:sz="0" w:space="0" w:color="auto"/>
        <w:right w:val="none" w:sz="0" w:space="0" w:color="auto"/>
      </w:divBdr>
    </w:div>
    <w:div w:id="375742390">
      <w:bodyDiv w:val="1"/>
      <w:marLeft w:val="0"/>
      <w:marRight w:val="0"/>
      <w:marTop w:val="0"/>
      <w:marBottom w:val="0"/>
      <w:divBdr>
        <w:top w:val="none" w:sz="0" w:space="0" w:color="auto"/>
        <w:left w:val="none" w:sz="0" w:space="0" w:color="auto"/>
        <w:bottom w:val="none" w:sz="0" w:space="0" w:color="auto"/>
        <w:right w:val="none" w:sz="0" w:space="0" w:color="auto"/>
      </w:divBdr>
    </w:div>
    <w:div w:id="376047379">
      <w:bodyDiv w:val="1"/>
      <w:marLeft w:val="0"/>
      <w:marRight w:val="0"/>
      <w:marTop w:val="0"/>
      <w:marBottom w:val="0"/>
      <w:divBdr>
        <w:top w:val="none" w:sz="0" w:space="0" w:color="auto"/>
        <w:left w:val="none" w:sz="0" w:space="0" w:color="auto"/>
        <w:bottom w:val="none" w:sz="0" w:space="0" w:color="auto"/>
        <w:right w:val="none" w:sz="0" w:space="0" w:color="auto"/>
      </w:divBdr>
    </w:div>
    <w:div w:id="376048252">
      <w:bodyDiv w:val="1"/>
      <w:marLeft w:val="0"/>
      <w:marRight w:val="0"/>
      <w:marTop w:val="0"/>
      <w:marBottom w:val="0"/>
      <w:divBdr>
        <w:top w:val="none" w:sz="0" w:space="0" w:color="auto"/>
        <w:left w:val="none" w:sz="0" w:space="0" w:color="auto"/>
        <w:bottom w:val="none" w:sz="0" w:space="0" w:color="auto"/>
        <w:right w:val="none" w:sz="0" w:space="0" w:color="auto"/>
      </w:divBdr>
    </w:div>
    <w:div w:id="376051939">
      <w:bodyDiv w:val="1"/>
      <w:marLeft w:val="0"/>
      <w:marRight w:val="0"/>
      <w:marTop w:val="0"/>
      <w:marBottom w:val="0"/>
      <w:divBdr>
        <w:top w:val="none" w:sz="0" w:space="0" w:color="auto"/>
        <w:left w:val="none" w:sz="0" w:space="0" w:color="auto"/>
        <w:bottom w:val="none" w:sz="0" w:space="0" w:color="auto"/>
        <w:right w:val="none" w:sz="0" w:space="0" w:color="auto"/>
      </w:divBdr>
    </w:div>
    <w:div w:id="376123922">
      <w:bodyDiv w:val="1"/>
      <w:marLeft w:val="0"/>
      <w:marRight w:val="0"/>
      <w:marTop w:val="0"/>
      <w:marBottom w:val="0"/>
      <w:divBdr>
        <w:top w:val="none" w:sz="0" w:space="0" w:color="auto"/>
        <w:left w:val="none" w:sz="0" w:space="0" w:color="auto"/>
        <w:bottom w:val="none" w:sz="0" w:space="0" w:color="auto"/>
        <w:right w:val="none" w:sz="0" w:space="0" w:color="auto"/>
      </w:divBdr>
    </w:div>
    <w:div w:id="376201305">
      <w:bodyDiv w:val="1"/>
      <w:marLeft w:val="0"/>
      <w:marRight w:val="0"/>
      <w:marTop w:val="0"/>
      <w:marBottom w:val="0"/>
      <w:divBdr>
        <w:top w:val="none" w:sz="0" w:space="0" w:color="auto"/>
        <w:left w:val="none" w:sz="0" w:space="0" w:color="auto"/>
        <w:bottom w:val="none" w:sz="0" w:space="0" w:color="auto"/>
        <w:right w:val="none" w:sz="0" w:space="0" w:color="auto"/>
      </w:divBdr>
    </w:div>
    <w:div w:id="376242889">
      <w:bodyDiv w:val="1"/>
      <w:marLeft w:val="0"/>
      <w:marRight w:val="0"/>
      <w:marTop w:val="0"/>
      <w:marBottom w:val="0"/>
      <w:divBdr>
        <w:top w:val="none" w:sz="0" w:space="0" w:color="auto"/>
        <w:left w:val="none" w:sz="0" w:space="0" w:color="auto"/>
        <w:bottom w:val="none" w:sz="0" w:space="0" w:color="auto"/>
        <w:right w:val="none" w:sz="0" w:space="0" w:color="auto"/>
      </w:divBdr>
    </w:div>
    <w:div w:id="376511597">
      <w:bodyDiv w:val="1"/>
      <w:marLeft w:val="0"/>
      <w:marRight w:val="0"/>
      <w:marTop w:val="0"/>
      <w:marBottom w:val="0"/>
      <w:divBdr>
        <w:top w:val="none" w:sz="0" w:space="0" w:color="auto"/>
        <w:left w:val="none" w:sz="0" w:space="0" w:color="auto"/>
        <w:bottom w:val="none" w:sz="0" w:space="0" w:color="auto"/>
        <w:right w:val="none" w:sz="0" w:space="0" w:color="auto"/>
      </w:divBdr>
    </w:div>
    <w:div w:id="376514095">
      <w:bodyDiv w:val="1"/>
      <w:marLeft w:val="0"/>
      <w:marRight w:val="0"/>
      <w:marTop w:val="0"/>
      <w:marBottom w:val="0"/>
      <w:divBdr>
        <w:top w:val="none" w:sz="0" w:space="0" w:color="auto"/>
        <w:left w:val="none" w:sz="0" w:space="0" w:color="auto"/>
        <w:bottom w:val="none" w:sz="0" w:space="0" w:color="auto"/>
        <w:right w:val="none" w:sz="0" w:space="0" w:color="auto"/>
      </w:divBdr>
    </w:div>
    <w:div w:id="376586791">
      <w:bodyDiv w:val="1"/>
      <w:marLeft w:val="0"/>
      <w:marRight w:val="0"/>
      <w:marTop w:val="0"/>
      <w:marBottom w:val="0"/>
      <w:divBdr>
        <w:top w:val="none" w:sz="0" w:space="0" w:color="auto"/>
        <w:left w:val="none" w:sz="0" w:space="0" w:color="auto"/>
        <w:bottom w:val="none" w:sz="0" w:space="0" w:color="auto"/>
        <w:right w:val="none" w:sz="0" w:space="0" w:color="auto"/>
      </w:divBdr>
    </w:div>
    <w:div w:id="376663506">
      <w:bodyDiv w:val="1"/>
      <w:marLeft w:val="0"/>
      <w:marRight w:val="0"/>
      <w:marTop w:val="0"/>
      <w:marBottom w:val="0"/>
      <w:divBdr>
        <w:top w:val="none" w:sz="0" w:space="0" w:color="auto"/>
        <w:left w:val="none" w:sz="0" w:space="0" w:color="auto"/>
        <w:bottom w:val="none" w:sz="0" w:space="0" w:color="auto"/>
        <w:right w:val="none" w:sz="0" w:space="0" w:color="auto"/>
      </w:divBdr>
    </w:div>
    <w:div w:id="376705524">
      <w:bodyDiv w:val="1"/>
      <w:marLeft w:val="0"/>
      <w:marRight w:val="0"/>
      <w:marTop w:val="0"/>
      <w:marBottom w:val="0"/>
      <w:divBdr>
        <w:top w:val="none" w:sz="0" w:space="0" w:color="auto"/>
        <w:left w:val="none" w:sz="0" w:space="0" w:color="auto"/>
        <w:bottom w:val="none" w:sz="0" w:space="0" w:color="auto"/>
        <w:right w:val="none" w:sz="0" w:space="0" w:color="auto"/>
      </w:divBdr>
    </w:div>
    <w:div w:id="377097132">
      <w:bodyDiv w:val="1"/>
      <w:marLeft w:val="0"/>
      <w:marRight w:val="0"/>
      <w:marTop w:val="0"/>
      <w:marBottom w:val="0"/>
      <w:divBdr>
        <w:top w:val="none" w:sz="0" w:space="0" w:color="auto"/>
        <w:left w:val="none" w:sz="0" w:space="0" w:color="auto"/>
        <w:bottom w:val="none" w:sz="0" w:space="0" w:color="auto"/>
        <w:right w:val="none" w:sz="0" w:space="0" w:color="auto"/>
      </w:divBdr>
    </w:div>
    <w:div w:id="377124986">
      <w:bodyDiv w:val="1"/>
      <w:marLeft w:val="0"/>
      <w:marRight w:val="0"/>
      <w:marTop w:val="0"/>
      <w:marBottom w:val="0"/>
      <w:divBdr>
        <w:top w:val="none" w:sz="0" w:space="0" w:color="auto"/>
        <w:left w:val="none" w:sz="0" w:space="0" w:color="auto"/>
        <w:bottom w:val="none" w:sz="0" w:space="0" w:color="auto"/>
        <w:right w:val="none" w:sz="0" w:space="0" w:color="auto"/>
      </w:divBdr>
    </w:div>
    <w:div w:id="377164919">
      <w:bodyDiv w:val="1"/>
      <w:marLeft w:val="0"/>
      <w:marRight w:val="0"/>
      <w:marTop w:val="0"/>
      <w:marBottom w:val="0"/>
      <w:divBdr>
        <w:top w:val="none" w:sz="0" w:space="0" w:color="auto"/>
        <w:left w:val="none" w:sz="0" w:space="0" w:color="auto"/>
        <w:bottom w:val="none" w:sz="0" w:space="0" w:color="auto"/>
        <w:right w:val="none" w:sz="0" w:space="0" w:color="auto"/>
      </w:divBdr>
    </w:div>
    <w:div w:id="377238840">
      <w:bodyDiv w:val="1"/>
      <w:marLeft w:val="0"/>
      <w:marRight w:val="0"/>
      <w:marTop w:val="0"/>
      <w:marBottom w:val="0"/>
      <w:divBdr>
        <w:top w:val="none" w:sz="0" w:space="0" w:color="auto"/>
        <w:left w:val="none" w:sz="0" w:space="0" w:color="auto"/>
        <w:bottom w:val="none" w:sz="0" w:space="0" w:color="auto"/>
        <w:right w:val="none" w:sz="0" w:space="0" w:color="auto"/>
      </w:divBdr>
    </w:div>
    <w:div w:id="377432096">
      <w:bodyDiv w:val="1"/>
      <w:marLeft w:val="0"/>
      <w:marRight w:val="0"/>
      <w:marTop w:val="0"/>
      <w:marBottom w:val="0"/>
      <w:divBdr>
        <w:top w:val="none" w:sz="0" w:space="0" w:color="auto"/>
        <w:left w:val="none" w:sz="0" w:space="0" w:color="auto"/>
        <w:bottom w:val="none" w:sz="0" w:space="0" w:color="auto"/>
        <w:right w:val="none" w:sz="0" w:space="0" w:color="auto"/>
      </w:divBdr>
    </w:div>
    <w:div w:id="377435578">
      <w:bodyDiv w:val="1"/>
      <w:marLeft w:val="0"/>
      <w:marRight w:val="0"/>
      <w:marTop w:val="0"/>
      <w:marBottom w:val="0"/>
      <w:divBdr>
        <w:top w:val="none" w:sz="0" w:space="0" w:color="auto"/>
        <w:left w:val="none" w:sz="0" w:space="0" w:color="auto"/>
        <w:bottom w:val="none" w:sz="0" w:space="0" w:color="auto"/>
        <w:right w:val="none" w:sz="0" w:space="0" w:color="auto"/>
      </w:divBdr>
    </w:div>
    <w:div w:id="377513348">
      <w:bodyDiv w:val="1"/>
      <w:marLeft w:val="0"/>
      <w:marRight w:val="0"/>
      <w:marTop w:val="0"/>
      <w:marBottom w:val="0"/>
      <w:divBdr>
        <w:top w:val="none" w:sz="0" w:space="0" w:color="auto"/>
        <w:left w:val="none" w:sz="0" w:space="0" w:color="auto"/>
        <w:bottom w:val="none" w:sz="0" w:space="0" w:color="auto"/>
        <w:right w:val="none" w:sz="0" w:space="0" w:color="auto"/>
      </w:divBdr>
    </w:div>
    <w:div w:id="377634218">
      <w:bodyDiv w:val="1"/>
      <w:marLeft w:val="0"/>
      <w:marRight w:val="0"/>
      <w:marTop w:val="0"/>
      <w:marBottom w:val="0"/>
      <w:divBdr>
        <w:top w:val="none" w:sz="0" w:space="0" w:color="auto"/>
        <w:left w:val="none" w:sz="0" w:space="0" w:color="auto"/>
        <w:bottom w:val="none" w:sz="0" w:space="0" w:color="auto"/>
        <w:right w:val="none" w:sz="0" w:space="0" w:color="auto"/>
      </w:divBdr>
    </w:div>
    <w:div w:id="378940413">
      <w:bodyDiv w:val="1"/>
      <w:marLeft w:val="0"/>
      <w:marRight w:val="0"/>
      <w:marTop w:val="0"/>
      <w:marBottom w:val="0"/>
      <w:divBdr>
        <w:top w:val="none" w:sz="0" w:space="0" w:color="auto"/>
        <w:left w:val="none" w:sz="0" w:space="0" w:color="auto"/>
        <w:bottom w:val="none" w:sz="0" w:space="0" w:color="auto"/>
        <w:right w:val="none" w:sz="0" w:space="0" w:color="auto"/>
      </w:divBdr>
    </w:div>
    <w:div w:id="379935420">
      <w:bodyDiv w:val="1"/>
      <w:marLeft w:val="0"/>
      <w:marRight w:val="0"/>
      <w:marTop w:val="0"/>
      <w:marBottom w:val="0"/>
      <w:divBdr>
        <w:top w:val="none" w:sz="0" w:space="0" w:color="auto"/>
        <w:left w:val="none" w:sz="0" w:space="0" w:color="auto"/>
        <w:bottom w:val="none" w:sz="0" w:space="0" w:color="auto"/>
        <w:right w:val="none" w:sz="0" w:space="0" w:color="auto"/>
      </w:divBdr>
    </w:div>
    <w:div w:id="380176808">
      <w:bodyDiv w:val="1"/>
      <w:marLeft w:val="0"/>
      <w:marRight w:val="0"/>
      <w:marTop w:val="0"/>
      <w:marBottom w:val="0"/>
      <w:divBdr>
        <w:top w:val="none" w:sz="0" w:space="0" w:color="auto"/>
        <w:left w:val="none" w:sz="0" w:space="0" w:color="auto"/>
        <w:bottom w:val="none" w:sz="0" w:space="0" w:color="auto"/>
        <w:right w:val="none" w:sz="0" w:space="0" w:color="auto"/>
      </w:divBdr>
    </w:div>
    <w:div w:id="380206736">
      <w:bodyDiv w:val="1"/>
      <w:marLeft w:val="0"/>
      <w:marRight w:val="0"/>
      <w:marTop w:val="0"/>
      <w:marBottom w:val="0"/>
      <w:divBdr>
        <w:top w:val="none" w:sz="0" w:space="0" w:color="auto"/>
        <w:left w:val="none" w:sz="0" w:space="0" w:color="auto"/>
        <w:bottom w:val="none" w:sz="0" w:space="0" w:color="auto"/>
        <w:right w:val="none" w:sz="0" w:space="0" w:color="auto"/>
      </w:divBdr>
    </w:div>
    <w:div w:id="380448306">
      <w:bodyDiv w:val="1"/>
      <w:marLeft w:val="0"/>
      <w:marRight w:val="0"/>
      <w:marTop w:val="0"/>
      <w:marBottom w:val="0"/>
      <w:divBdr>
        <w:top w:val="none" w:sz="0" w:space="0" w:color="auto"/>
        <w:left w:val="none" w:sz="0" w:space="0" w:color="auto"/>
        <w:bottom w:val="none" w:sz="0" w:space="0" w:color="auto"/>
        <w:right w:val="none" w:sz="0" w:space="0" w:color="auto"/>
      </w:divBdr>
    </w:div>
    <w:div w:id="380517498">
      <w:bodyDiv w:val="1"/>
      <w:marLeft w:val="0"/>
      <w:marRight w:val="0"/>
      <w:marTop w:val="0"/>
      <w:marBottom w:val="0"/>
      <w:divBdr>
        <w:top w:val="none" w:sz="0" w:space="0" w:color="auto"/>
        <w:left w:val="none" w:sz="0" w:space="0" w:color="auto"/>
        <w:bottom w:val="none" w:sz="0" w:space="0" w:color="auto"/>
        <w:right w:val="none" w:sz="0" w:space="0" w:color="auto"/>
      </w:divBdr>
    </w:div>
    <w:div w:id="380524659">
      <w:bodyDiv w:val="1"/>
      <w:marLeft w:val="0"/>
      <w:marRight w:val="0"/>
      <w:marTop w:val="0"/>
      <w:marBottom w:val="0"/>
      <w:divBdr>
        <w:top w:val="none" w:sz="0" w:space="0" w:color="auto"/>
        <w:left w:val="none" w:sz="0" w:space="0" w:color="auto"/>
        <w:bottom w:val="none" w:sz="0" w:space="0" w:color="auto"/>
        <w:right w:val="none" w:sz="0" w:space="0" w:color="auto"/>
      </w:divBdr>
    </w:div>
    <w:div w:id="380635724">
      <w:bodyDiv w:val="1"/>
      <w:marLeft w:val="0"/>
      <w:marRight w:val="0"/>
      <w:marTop w:val="0"/>
      <w:marBottom w:val="0"/>
      <w:divBdr>
        <w:top w:val="none" w:sz="0" w:space="0" w:color="auto"/>
        <w:left w:val="none" w:sz="0" w:space="0" w:color="auto"/>
        <w:bottom w:val="none" w:sz="0" w:space="0" w:color="auto"/>
        <w:right w:val="none" w:sz="0" w:space="0" w:color="auto"/>
      </w:divBdr>
    </w:div>
    <w:div w:id="380714967">
      <w:bodyDiv w:val="1"/>
      <w:marLeft w:val="0"/>
      <w:marRight w:val="0"/>
      <w:marTop w:val="0"/>
      <w:marBottom w:val="0"/>
      <w:divBdr>
        <w:top w:val="none" w:sz="0" w:space="0" w:color="auto"/>
        <w:left w:val="none" w:sz="0" w:space="0" w:color="auto"/>
        <w:bottom w:val="none" w:sz="0" w:space="0" w:color="auto"/>
        <w:right w:val="none" w:sz="0" w:space="0" w:color="auto"/>
      </w:divBdr>
    </w:div>
    <w:div w:id="381176692">
      <w:bodyDiv w:val="1"/>
      <w:marLeft w:val="0"/>
      <w:marRight w:val="0"/>
      <w:marTop w:val="0"/>
      <w:marBottom w:val="0"/>
      <w:divBdr>
        <w:top w:val="none" w:sz="0" w:space="0" w:color="auto"/>
        <w:left w:val="none" w:sz="0" w:space="0" w:color="auto"/>
        <w:bottom w:val="none" w:sz="0" w:space="0" w:color="auto"/>
        <w:right w:val="none" w:sz="0" w:space="0" w:color="auto"/>
      </w:divBdr>
    </w:div>
    <w:div w:id="381442218">
      <w:bodyDiv w:val="1"/>
      <w:marLeft w:val="0"/>
      <w:marRight w:val="0"/>
      <w:marTop w:val="0"/>
      <w:marBottom w:val="0"/>
      <w:divBdr>
        <w:top w:val="none" w:sz="0" w:space="0" w:color="auto"/>
        <w:left w:val="none" w:sz="0" w:space="0" w:color="auto"/>
        <w:bottom w:val="none" w:sz="0" w:space="0" w:color="auto"/>
        <w:right w:val="none" w:sz="0" w:space="0" w:color="auto"/>
      </w:divBdr>
    </w:div>
    <w:div w:id="381557525">
      <w:bodyDiv w:val="1"/>
      <w:marLeft w:val="0"/>
      <w:marRight w:val="0"/>
      <w:marTop w:val="0"/>
      <w:marBottom w:val="0"/>
      <w:divBdr>
        <w:top w:val="none" w:sz="0" w:space="0" w:color="auto"/>
        <w:left w:val="none" w:sz="0" w:space="0" w:color="auto"/>
        <w:bottom w:val="none" w:sz="0" w:space="0" w:color="auto"/>
        <w:right w:val="none" w:sz="0" w:space="0" w:color="auto"/>
      </w:divBdr>
    </w:div>
    <w:div w:id="381557598">
      <w:bodyDiv w:val="1"/>
      <w:marLeft w:val="0"/>
      <w:marRight w:val="0"/>
      <w:marTop w:val="0"/>
      <w:marBottom w:val="0"/>
      <w:divBdr>
        <w:top w:val="none" w:sz="0" w:space="0" w:color="auto"/>
        <w:left w:val="none" w:sz="0" w:space="0" w:color="auto"/>
        <w:bottom w:val="none" w:sz="0" w:space="0" w:color="auto"/>
        <w:right w:val="none" w:sz="0" w:space="0" w:color="auto"/>
      </w:divBdr>
    </w:div>
    <w:div w:id="381562001">
      <w:bodyDiv w:val="1"/>
      <w:marLeft w:val="0"/>
      <w:marRight w:val="0"/>
      <w:marTop w:val="0"/>
      <w:marBottom w:val="0"/>
      <w:divBdr>
        <w:top w:val="none" w:sz="0" w:space="0" w:color="auto"/>
        <w:left w:val="none" w:sz="0" w:space="0" w:color="auto"/>
        <w:bottom w:val="none" w:sz="0" w:space="0" w:color="auto"/>
        <w:right w:val="none" w:sz="0" w:space="0" w:color="auto"/>
      </w:divBdr>
    </w:div>
    <w:div w:id="382096209">
      <w:bodyDiv w:val="1"/>
      <w:marLeft w:val="0"/>
      <w:marRight w:val="0"/>
      <w:marTop w:val="0"/>
      <w:marBottom w:val="0"/>
      <w:divBdr>
        <w:top w:val="none" w:sz="0" w:space="0" w:color="auto"/>
        <w:left w:val="none" w:sz="0" w:space="0" w:color="auto"/>
        <w:bottom w:val="none" w:sz="0" w:space="0" w:color="auto"/>
        <w:right w:val="none" w:sz="0" w:space="0" w:color="auto"/>
      </w:divBdr>
    </w:div>
    <w:div w:id="382141867">
      <w:bodyDiv w:val="1"/>
      <w:marLeft w:val="0"/>
      <w:marRight w:val="0"/>
      <w:marTop w:val="0"/>
      <w:marBottom w:val="0"/>
      <w:divBdr>
        <w:top w:val="none" w:sz="0" w:space="0" w:color="auto"/>
        <w:left w:val="none" w:sz="0" w:space="0" w:color="auto"/>
        <w:bottom w:val="none" w:sz="0" w:space="0" w:color="auto"/>
        <w:right w:val="none" w:sz="0" w:space="0" w:color="auto"/>
      </w:divBdr>
    </w:div>
    <w:div w:id="382481266">
      <w:bodyDiv w:val="1"/>
      <w:marLeft w:val="0"/>
      <w:marRight w:val="0"/>
      <w:marTop w:val="0"/>
      <w:marBottom w:val="0"/>
      <w:divBdr>
        <w:top w:val="none" w:sz="0" w:space="0" w:color="auto"/>
        <w:left w:val="none" w:sz="0" w:space="0" w:color="auto"/>
        <w:bottom w:val="none" w:sz="0" w:space="0" w:color="auto"/>
        <w:right w:val="none" w:sz="0" w:space="0" w:color="auto"/>
      </w:divBdr>
    </w:div>
    <w:div w:id="382561385">
      <w:bodyDiv w:val="1"/>
      <w:marLeft w:val="0"/>
      <w:marRight w:val="0"/>
      <w:marTop w:val="0"/>
      <w:marBottom w:val="0"/>
      <w:divBdr>
        <w:top w:val="none" w:sz="0" w:space="0" w:color="auto"/>
        <w:left w:val="none" w:sz="0" w:space="0" w:color="auto"/>
        <w:bottom w:val="none" w:sz="0" w:space="0" w:color="auto"/>
        <w:right w:val="none" w:sz="0" w:space="0" w:color="auto"/>
      </w:divBdr>
    </w:div>
    <w:div w:id="382562767">
      <w:bodyDiv w:val="1"/>
      <w:marLeft w:val="0"/>
      <w:marRight w:val="0"/>
      <w:marTop w:val="0"/>
      <w:marBottom w:val="0"/>
      <w:divBdr>
        <w:top w:val="none" w:sz="0" w:space="0" w:color="auto"/>
        <w:left w:val="none" w:sz="0" w:space="0" w:color="auto"/>
        <w:bottom w:val="none" w:sz="0" w:space="0" w:color="auto"/>
        <w:right w:val="none" w:sz="0" w:space="0" w:color="auto"/>
      </w:divBdr>
    </w:div>
    <w:div w:id="382608424">
      <w:bodyDiv w:val="1"/>
      <w:marLeft w:val="0"/>
      <w:marRight w:val="0"/>
      <w:marTop w:val="0"/>
      <w:marBottom w:val="0"/>
      <w:divBdr>
        <w:top w:val="none" w:sz="0" w:space="0" w:color="auto"/>
        <w:left w:val="none" w:sz="0" w:space="0" w:color="auto"/>
        <w:bottom w:val="none" w:sz="0" w:space="0" w:color="auto"/>
        <w:right w:val="none" w:sz="0" w:space="0" w:color="auto"/>
      </w:divBdr>
    </w:div>
    <w:div w:id="382872261">
      <w:bodyDiv w:val="1"/>
      <w:marLeft w:val="0"/>
      <w:marRight w:val="0"/>
      <w:marTop w:val="0"/>
      <w:marBottom w:val="0"/>
      <w:divBdr>
        <w:top w:val="none" w:sz="0" w:space="0" w:color="auto"/>
        <w:left w:val="none" w:sz="0" w:space="0" w:color="auto"/>
        <w:bottom w:val="none" w:sz="0" w:space="0" w:color="auto"/>
        <w:right w:val="none" w:sz="0" w:space="0" w:color="auto"/>
      </w:divBdr>
    </w:div>
    <w:div w:id="383254680">
      <w:bodyDiv w:val="1"/>
      <w:marLeft w:val="0"/>
      <w:marRight w:val="0"/>
      <w:marTop w:val="0"/>
      <w:marBottom w:val="0"/>
      <w:divBdr>
        <w:top w:val="none" w:sz="0" w:space="0" w:color="auto"/>
        <w:left w:val="none" w:sz="0" w:space="0" w:color="auto"/>
        <w:bottom w:val="none" w:sz="0" w:space="0" w:color="auto"/>
        <w:right w:val="none" w:sz="0" w:space="0" w:color="auto"/>
      </w:divBdr>
    </w:div>
    <w:div w:id="383259997">
      <w:bodyDiv w:val="1"/>
      <w:marLeft w:val="0"/>
      <w:marRight w:val="0"/>
      <w:marTop w:val="0"/>
      <w:marBottom w:val="0"/>
      <w:divBdr>
        <w:top w:val="none" w:sz="0" w:space="0" w:color="auto"/>
        <w:left w:val="none" w:sz="0" w:space="0" w:color="auto"/>
        <w:bottom w:val="none" w:sz="0" w:space="0" w:color="auto"/>
        <w:right w:val="none" w:sz="0" w:space="0" w:color="auto"/>
      </w:divBdr>
    </w:div>
    <w:div w:id="383260461">
      <w:bodyDiv w:val="1"/>
      <w:marLeft w:val="0"/>
      <w:marRight w:val="0"/>
      <w:marTop w:val="0"/>
      <w:marBottom w:val="0"/>
      <w:divBdr>
        <w:top w:val="none" w:sz="0" w:space="0" w:color="auto"/>
        <w:left w:val="none" w:sz="0" w:space="0" w:color="auto"/>
        <w:bottom w:val="none" w:sz="0" w:space="0" w:color="auto"/>
        <w:right w:val="none" w:sz="0" w:space="0" w:color="auto"/>
      </w:divBdr>
    </w:div>
    <w:div w:id="383454315">
      <w:bodyDiv w:val="1"/>
      <w:marLeft w:val="0"/>
      <w:marRight w:val="0"/>
      <w:marTop w:val="0"/>
      <w:marBottom w:val="0"/>
      <w:divBdr>
        <w:top w:val="none" w:sz="0" w:space="0" w:color="auto"/>
        <w:left w:val="none" w:sz="0" w:space="0" w:color="auto"/>
        <w:bottom w:val="none" w:sz="0" w:space="0" w:color="auto"/>
        <w:right w:val="none" w:sz="0" w:space="0" w:color="auto"/>
      </w:divBdr>
    </w:div>
    <w:div w:id="383602256">
      <w:bodyDiv w:val="1"/>
      <w:marLeft w:val="0"/>
      <w:marRight w:val="0"/>
      <w:marTop w:val="0"/>
      <w:marBottom w:val="0"/>
      <w:divBdr>
        <w:top w:val="none" w:sz="0" w:space="0" w:color="auto"/>
        <w:left w:val="none" w:sz="0" w:space="0" w:color="auto"/>
        <w:bottom w:val="none" w:sz="0" w:space="0" w:color="auto"/>
        <w:right w:val="none" w:sz="0" w:space="0" w:color="auto"/>
      </w:divBdr>
    </w:div>
    <w:div w:id="383677505">
      <w:bodyDiv w:val="1"/>
      <w:marLeft w:val="0"/>
      <w:marRight w:val="0"/>
      <w:marTop w:val="0"/>
      <w:marBottom w:val="0"/>
      <w:divBdr>
        <w:top w:val="none" w:sz="0" w:space="0" w:color="auto"/>
        <w:left w:val="none" w:sz="0" w:space="0" w:color="auto"/>
        <w:bottom w:val="none" w:sz="0" w:space="0" w:color="auto"/>
        <w:right w:val="none" w:sz="0" w:space="0" w:color="auto"/>
      </w:divBdr>
    </w:div>
    <w:div w:id="383678107">
      <w:bodyDiv w:val="1"/>
      <w:marLeft w:val="0"/>
      <w:marRight w:val="0"/>
      <w:marTop w:val="0"/>
      <w:marBottom w:val="0"/>
      <w:divBdr>
        <w:top w:val="none" w:sz="0" w:space="0" w:color="auto"/>
        <w:left w:val="none" w:sz="0" w:space="0" w:color="auto"/>
        <w:bottom w:val="none" w:sz="0" w:space="0" w:color="auto"/>
        <w:right w:val="none" w:sz="0" w:space="0" w:color="auto"/>
      </w:divBdr>
    </w:div>
    <w:div w:id="383678634">
      <w:bodyDiv w:val="1"/>
      <w:marLeft w:val="0"/>
      <w:marRight w:val="0"/>
      <w:marTop w:val="0"/>
      <w:marBottom w:val="0"/>
      <w:divBdr>
        <w:top w:val="none" w:sz="0" w:space="0" w:color="auto"/>
        <w:left w:val="none" w:sz="0" w:space="0" w:color="auto"/>
        <w:bottom w:val="none" w:sz="0" w:space="0" w:color="auto"/>
        <w:right w:val="none" w:sz="0" w:space="0" w:color="auto"/>
      </w:divBdr>
    </w:div>
    <w:div w:id="384186293">
      <w:bodyDiv w:val="1"/>
      <w:marLeft w:val="0"/>
      <w:marRight w:val="0"/>
      <w:marTop w:val="0"/>
      <w:marBottom w:val="0"/>
      <w:divBdr>
        <w:top w:val="none" w:sz="0" w:space="0" w:color="auto"/>
        <w:left w:val="none" w:sz="0" w:space="0" w:color="auto"/>
        <w:bottom w:val="none" w:sz="0" w:space="0" w:color="auto"/>
        <w:right w:val="none" w:sz="0" w:space="0" w:color="auto"/>
      </w:divBdr>
    </w:div>
    <w:div w:id="384260127">
      <w:bodyDiv w:val="1"/>
      <w:marLeft w:val="0"/>
      <w:marRight w:val="0"/>
      <w:marTop w:val="0"/>
      <w:marBottom w:val="0"/>
      <w:divBdr>
        <w:top w:val="none" w:sz="0" w:space="0" w:color="auto"/>
        <w:left w:val="none" w:sz="0" w:space="0" w:color="auto"/>
        <w:bottom w:val="none" w:sz="0" w:space="0" w:color="auto"/>
        <w:right w:val="none" w:sz="0" w:space="0" w:color="auto"/>
      </w:divBdr>
    </w:div>
    <w:div w:id="384303951">
      <w:bodyDiv w:val="1"/>
      <w:marLeft w:val="0"/>
      <w:marRight w:val="0"/>
      <w:marTop w:val="0"/>
      <w:marBottom w:val="0"/>
      <w:divBdr>
        <w:top w:val="none" w:sz="0" w:space="0" w:color="auto"/>
        <w:left w:val="none" w:sz="0" w:space="0" w:color="auto"/>
        <w:bottom w:val="none" w:sz="0" w:space="0" w:color="auto"/>
        <w:right w:val="none" w:sz="0" w:space="0" w:color="auto"/>
      </w:divBdr>
    </w:div>
    <w:div w:id="384717930">
      <w:bodyDiv w:val="1"/>
      <w:marLeft w:val="0"/>
      <w:marRight w:val="0"/>
      <w:marTop w:val="0"/>
      <w:marBottom w:val="0"/>
      <w:divBdr>
        <w:top w:val="none" w:sz="0" w:space="0" w:color="auto"/>
        <w:left w:val="none" w:sz="0" w:space="0" w:color="auto"/>
        <w:bottom w:val="none" w:sz="0" w:space="0" w:color="auto"/>
        <w:right w:val="none" w:sz="0" w:space="0" w:color="auto"/>
      </w:divBdr>
    </w:div>
    <w:div w:id="385370996">
      <w:bodyDiv w:val="1"/>
      <w:marLeft w:val="0"/>
      <w:marRight w:val="0"/>
      <w:marTop w:val="0"/>
      <w:marBottom w:val="0"/>
      <w:divBdr>
        <w:top w:val="none" w:sz="0" w:space="0" w:color="auto"/>
        <w:left w:val="none" w:sz="0" w:space="0" w:color="auto"/>
        <w:bottom w:val="none" w:sz="0" w:space="0" w:color="auto"/>
        <w:right w:val="none" w:sz="0" w:space="0" w:color="auto"/>
      </w:divBdr>
    </w:div>
    <w:div w:id="385572291">
      <w:bodyDiv w:val="1"/>
      <w:marLeft w:val="0"/>
      <w:marRight w:val="0"/>
      <w:marTop w:val="0"/>
      <w:marBottom w:val="0"/>
      <w:divBdr>
        <w:top w:val="none" w:sz="0" w:space="0" w:color="auto"/>
        <w:left w:val="none" w:sz="0" w:space="0" w:color="auto"/>
        <w:bottom w:val="none" w:sz="0" w:space="0" w:color="auto"/>
        <w:right w:val="none" w:sz="0" w:space="0" w:color="auto"/>
      </w:divBdr>
    </w:div>
    <w:div w:id="385691311">
      <w:bodyDiv w:val="1"/>
      <w:marLeft w:val="0"/>
      <w:marRight w:val="0"/>
      <w:marTop w:val="0"/>
      <w:marBottom w:val="0"/>
      <w:divBdr>
        <w:top w:val="none" w:sz="0" w:space="0" w:color="auto"/>
        <w:left w:val="none" w:sz="0" w:space="0" w:color="auto"/>
        <w:bottom w:val="none" w:sz="0" w:space="0" w:color="auto"/>
        <w:right w:val="none" w:sz="0" w:space="0" w:color="auto"/>
      </w:divBdr>
    </w:div>
    <w:div w:id="386223670">
      <w:bodyDiv w:val="1"/>
      <w:marLeft w:val="0"/>
      <w:marRight w:val="0"/>
      <w:marTop w:val="0"/>
      <w:marBottom w:val="0"/>
      <w:divBdr>
        <w:top w:val="none" w:sz="0" w:space="0" w:color="auto"/>
        <w:left w:val="none" w:sz="0" w:space="0" w:color="auto"/>
        <w:bottom w:val="none" w:sz="0" w:space="0" w:color="auto"/>
        <w:right w:val="none" w:sz="0" w:space="0" w:color="auto"/>
      </w:divBdr>
    </w:div>
    <w:div w:id="386413840">
      <w:bodyDiv w:val="1"/>
      <w:marLeft w:val="0"/>
      <w:marRight w:val="0"/>
      <w:marTop w:val="0"/>
      <w:marBottom w:val="0"/>
      <w:divBdr>
        <w:top w:val="none" w:sz="0" w:space="0" w:color="auto"/>
        <w:left w:val="none" w:sz="0" w:space="0" w:color="auto"/>
        <w:bottom w:val="none" w:sz="0" w:space="0" w:color="auto"/>
        <w:right w:val="none" w:sz="0" w:space="0" w:color="auto"/>
      </w:divBdr>
    </w:div>
    <w:div w:id="386993319">
      <w:bodyDiv w:val="1"/>
      <w:marLeft w:val="0"/>
      <w:marRight w:val="0"/>
      <w:marTop w:val="0"/>
      <w:marBottom w:val="0"/>
      <w:divBdr>
        <w:top w:val="none" w:sz="0" w:space="0" w:color="auto"/>
        <w:left w:val="none" w:sz="0" w:space="0" w:color="auto"/>
        <w:bottom w:val="none" w:sz="0" w:space="0" w:color="auto"/>
        <w:right w:val="none" w:sz="0" w:space="0" w:color="auto"/>
      </w:divBdr>
    </w:div>
    <w:div w:id="387874524">
      <w:bodyDiv w:val="1"/>
      <w:marLeft w:val="0"/>
      <w:marRight w:val="0"/>
      <w:marTop w:val="0"/>
      <w:marBottom w:val="0"/>
      <w:divBdr>
        <w:top w:val="none" w:sz="0" w:space="0" w:color="auto"/>
        <w:left w:val="none" w:sz="0" w:space="0" w:color="auto"/>
        <w:bottom w:val="none" w:sz="0" w:space="0" w:color="auto"/>
        <w:right w:val="none" w:sz="0" w:space="0" w:color="auto"/>
      </w:divBdr>
    </w:div>
    <w:div w:id="388109809">
      <w:bodyDiv w:val="1"/>
      <w:marLeft w:val="0"/>
      <w:marRight w:val="0"/>
      <w:marTop w:val="0"/>
      <w:marBottom w:val="0"/>
      <w:divBdr>
        <w:top w:val="none" w:sz="0" w:space="0" w:color="auto"/>
        <w:left w:val="none" w:sz="0" w:space="0" w:color="auto"/>
        <w:bottom w:val="none" w:sz="0" w:space="0" w:color="auto"/>
        <w:right w:val="none" w:sz="0" w:space="0" w:color="auto"/>
      </w:divBdr>
    </w:div>
    <w:div w:id="388111220">
      <w:bodyDiv w:val="1"/>
      <w:marLeft w:val="0"/>
      <w:marRight w:val="0"/>
      <w:marTop w:val="0"/>
      <w:marBottom w:val="0"/>
      <w:divBdr>
        <w:top w:val="none" w:sz="0" w:space="0" w:color="auto"/>
        <w:left w:val="none" w:sz="0" w:space="0" w:color="auto"/>
        <w:bottom w:val="none" w:sz="0" w:space="0" w:color="auto"/>
        <w:right w:val="none" w:sz="0" w:space="0" w:color="auto"/>
      </w:divBdr>
    </w:div>
    <w:div w:id="388312617">
      <w:bodyDiv w:val="1"/>
      <w:marLeft w:val="0"/>
      <w:marRight w:val="0"/>
      <w:marTop w:val="0"/>
      <w:marBottom w:val="0"/>
      <w:divBdr>
        <w:top w:val="none" w:sz="0" w:space="0" w:color="auto"/>
        <w:left w:val="none" w:sz="0" w:space="0" w:color="auto"/>
        <w:bottom w:val="none" w:sz="0" w:space="0" w:color="auto"/>
        <w:right w:val="none" w:sz="0" w:space="0" w:color="auto"/>
      </w:divBdr>
    </w:div>
    <w:div w:id="388454608">
      <w:bodyDiv w:val="1"/>
      <w:marLeft w:val="0"/>
      <w:marRight w:val="0"/>
      <w:marTop w:val="0"/>
      <w:marBottom w:val="0"/>
      <w:divBdr>
        <w:top w:val="none" w:sz="0" w:space="0" w:color="auto"/>
        <w:left w:val="none" w:sz="0" w:space="0" w:color="auto"/>
        <w:bottom w:val="none" w:sz="0" w:space="0" w:color="auto"/>
        <w:right w:val="none" w:sz="0" w:space="0" w:color="auto"/>
      </w:divBdr>
    </w:div>
    <w:div w:id="388501008">
      <w:bodyDiv w:val="1"/>
      <w:marLeft w:val="0"/>
      <w:marRight w:val="0"/>
      <w:marTop w:val="0"/>
      <w:marBottom w:val="0"/>
      <w:divBdr>
        <w:top w:val="none" w:sz="0" w:space="0" w:color="auto"/>
        <w:left w:val="none" w:sz="0" w:space="0" w:color="auto"/>
        <w:bottom w:val="none" w:sz="0" w:space="0" w:color="auto"/>
        <w:right w:val="none" w:sz="0" w:space="0" w:color="auto"/>
      </w:divBdr>
    </w:div>
    <w:div w:id="388842510">
      <w:bodyDiv w:val="1"/>
      <w:marLeft w:val="0"/>
      <w:marRight w:val="0"/>
      <w:marTop w:val="0"/>
      <w:marBottom w:val="0"/>
      <w:divBdr>
        <w:top w:val="none" w:sz="0" w:space="0" w:color="auto"/>
        <w:left w:val="none" w:sz="0" w:space="0" w:color="auto"/>
        <w:bottom w:val="none" w:sz="0" w:space="0" w:color="auto"/>
        <w:right w:val="none" w:sz="0" w:space="0" w:color="auto"/>
      </w:divBdr>
    </w:div>
    <w:div w:id="388919678">
      <w:bodyDiv w:val="1"/>
      <w:marLeft w:val="0"/>
      <w:marRight w:val="0"/>
      <w:marTop w:val="0"/>
      <w:marBottom w:val="0"/>
      <w:divBdr>
        <w:top w:val="none" w:sz="0" w:space="0" w:color="auto"/>
        <w:left w:val="none" w:sz="0" w:space="0" w:color="auto"/>
        <w:bottom w:val="none" w:sz="0" w:space="0" w:color="auto"/>
        <w:right w:val="none" w:sz="0" w:space="0" w:color="auto"/>
      </w:divBdr>
    </w:div>
    <w:div w:id="388960113">
      <w:bodyDiv w:val="1"/>
      <w:marLeft w:val="0"/>
      <w:marRight w:val="0"/>
      <w:marTop w:val="0"/>
      <w:marBottom w:val="0"/>
      <w:divBdr>
        <w:top w:val="none" w:sz="0" w:space="0" w:color="auto"/>
        <w:left w:val="none" w:sz="0" w:space="0" w:color="auto"/>
        <w:bottom w:val="none" w:sz="0" w:space="0" w:color="auto"/>
        <w:right w:val="none" w:sz="0" w:space="0" w:color="auto"/>
      </w:divBdr>
    </w:div>
    <w:div w:id="389304233">
      <w:bodyDiv w:val="1"/>
      <w:marLeft w:val="0"/>
      <w:marRight w:val="0"/>
      <w:marTop w:val="0"/>
      <w:marBottom w:val="0"/>
      <w:divBdr>
        <w:top w:val="none" w:sz="0" w:space="0" w:color="auto"/>
        <w:left w:val="none" w:sz="0" w:space="0" w:color="auto"/>
        <w:bottom w:val="none" w:sz="0" w:space="0" w:color="auto"/>
        <w:right w:val="none" w:sz="0" w:space="0" w:color="auto"/>
      </w:divBdr>
    </w:div>
    <w:div w:id="389501110">
      <w:bodyDiv w:val="1"/>
      <w:marLeft w:val="0"/>
      <w:marRight w:val="0"/>
      <w:marTop w:val="0"/>
      <w:marBottom w:val="0"/>
      <w:divBdr>
        <w:top w:val="none" w:sz="0" w:space="0" w:color="auto"/>
        <w:left w:val="none" w:sz="0" w:space="0" w:color="auto"/>
        <w:bottom w:val="none" w:sz="0" w:space="0" w:color="auto"/>
        <w:right w:val="none" w:sz="0" w:space="0" w:color="auto"/>
      </w:divBdr>
    </w:div>
    <w:div w:id="389504222">
      <w:bodyDiv w:val="1"/>
      <w:marLeft w:val="0"/>
      <w:marRight w:val="0"/>
      <w:marTop w:val="0"/>
      <w:marBottom w:val="0"/>
      <w:divBdr>
        <w:top w:val="none" w:sz="0" w:space="0" w:color="auto"/>
        <w:left w:val="none" w:sz="0" w:space="0" w:color="auto"/>
        <w:bottom w:val="none" w:sz="0" w:space="0" w:color="auto"/>
        <w:right w:val="none" w:sz="0" w:space="0" w:color="auto"/>
      </w:divBdr>
    </w:div>
    <w:div w:id="389766652">
      <w:bodyDiv w:val="1"/>
      <w:marLeft w:val="0"/>
      <w:marRight w:val="0"/>
      <w:marTop w:val="0"/>
      <w:marBottom w:val="0"/>
      <w:divBdr>
        <w:top w:val="none" w:sz="0" w:space="0" w:color="auto"/>
        <w:left w:val="none" w:sz="0" w:space="0" w:color="auto"/>
        <w:bottom w:val="none" w:sz="0" w:space="0" w:color="auto"/>
        <w:right w:val="none" w:sz="0" w:space="0" w:color="auto"/>
      </w:divBdr>
    </w:div>
    <w:div w:id="389767984">
      <w:bodyDiv w:val="1"/>
      <w:marLeft w:val="0"/>
      <w:marRight w:val="0"/>
      <w:marTop w:val="0"/>
      <w:marBottom w:val="0"/>
      <w:divBdr>
        <w:top w:val="none" w:sz="0" w:space="0" w:color="auto"/>
        <w:left w:val="none" w:sz="0" w:space="0" w:color="auto"/>
        <w:bottom w:val="none" w:sz="0" w:space="0" w:color="auto"/>
        <w:right w:val="none" w:sz="0" w:space="0" w:color="auto"/>
      </w:divBdr>
    </w:div>
    <w:div w:id="389770516">
      <w:bodyDiv w:val="1"/>
      <w:marLeft w:val="0"/>
      <w:marRight w:val="0"/>
      <w:marTop w:val="0"/>
      <w:marBottom w:val="0"/>
      <w:divBdr>
        <w:top w:val="none" w:sz="0" w:space="0" w:color="auto"/>
        <w:left w:val="none" w:sz="0" w:space="0" w:color="auto"/>
        <w:bottom w:val="none" w:sz="0" w:space="0" w:color="auto"/>
        <w:right w:val="none" w:sz="0" w:space="0" w:color="auto"/>
      </w:divBdr>
    </w:div>
    <w:div w:id="389888491">
      <w:bodyDiv w:val="1"/>
      <w:marLeft w:val="0"/>
      <w:marRight w:val="0"/>
      <w:marTop w:val="0"/>
      <w:marBottom w:val="0"/>
      <w:divBdr>
        <w:top w:val="none" w:sz="0" w:space="0" w:color="auto"/>
        <w:left w:val="none" w:sz="0" w:space="0" w:color="auto"/>
        <w:bottom w:val="none" w:sz="0" w:space="0" w:color="auto"/>
        <w:right w:val="none" w:sz="0" w:space="0" w:color="auto"/>
      </w:divBdr>
    </w:div>
    <w:div w:id="389964270">
      <w:bodyDiv w:val="1"/>
      <w:marLeft w:val="0"/>
      <w:marRight w:val="0"/>
      <w:marTop w:val="0"/>
      <w:marBottom w:val="0"/>
      <w:divBdr>
        <w:top w:val="none" w:sz="0" w:space="0" w:color="auto"/>
        <w:left w:val="none" w:sz="0" w:space="0" w:color="auto"/>
        <w:bottom w:val="none" w:sz="0" w:space="0" w:color="auto"/>
        <w:right w:val="none" w:sz="0" w:space="0" w:color="auto"/>
      </w:divBdr>
    </w:div>
    <w:div w:id="390155222">
      <w:bodyDiv w:val="1"/>
      <w:marLeft w:val="0"/>
      <w:marRight w:val="0"/>
      <w:marTop w:val="0"/>
      <w:marBottom w:val="0"/>
      <w:divBdr>
        <w:top w:val="none" w:sz="0" w:space="0" w:color="auto"/>
        <w:left w:val="none" w:sz="0" w:space="0" w:color="auto"/>
        <w:bottom w:val="none" w:sz="0" w:space="0" w:color="auto"/>
        <w:right w:val="none" w:sz="0" w:space="0" w:color="auto"/>
      </w:divBdr>
    </w:div>
    <w:div w:id="390231282">
      <w:bodyDiv w:val="1"/>
      <w:marLeft w:val="0"/>
      <w:marRight w:val="0"/>
      <w:marTop w:val="0"/>
      <w:marBottom w:val="0"/>
      <w:divBdr>
        <w:top w:val="none" w:sz="0" w:space="0" w:color="auto"/>
        <w:left w:val="none" w:sz="0" w:space="0" w:color="auto"/>
        <w:bottom w:val="none" w:sz="0" w:space="0" w:color="auto"/>
        <w:right w:val="none" w:sz="0" w:space="0" w:color="auto"/>
      </w:divBdr>
    </w:div>
    <w:div w:id="390350560">
      <w:bodyDiv w:val="1"/>
      <w:marLeft w:val="0"/>
      <w:marRight w:val="0"/>
      <w:marTop w:val="0"/>
      <w:marBottom w:val="0"/>
      <w:divBdr>
        <w:top w:val="none" w:sz="0" w:space="0" w:color="auto"/>
        <w:left w:val="none" w:sz="0" w:space="0" w:color="auto"/>
        <w:bottom w:val="none" w:sz="0" w:space="0" w:color="auto"/>
        <w:right w:val="none" w:sz="0" w:space="0" w:color="auto"/>
      </w:divBdr>
    </w:div>
    <w:div w:id="390470784">
      <w:bodyDiv w:val="1"/>
      <w:marLeft w:val="0"/>
      <w:marRight w:val="0"/>
      <w:marTop w:val="0"/>
      <w:marBottom w:val="0"/>
      <w:divBdr>
        <w:top w:val="none" w:sz="0" w:space="0" w:color="auto"/>
        <w:left w:val="none" w:sz="0" w:space="0" w:color="auto"/>
        <w:bottom w:val="none" w:sz="0" w:space="0" w:color="auto"/>
        <w:right w:val="none" w:sz="0" w:space="0" w:color="auto"/>
      </w:divBdr>
    </w:div>
    <w:div w:id="390495338">
      <w:bodyDiv w:val="1"/>
      <w:marLeft w:val="0"/>
      <w:marRight w:val="0"/>
      <w:marTop w:val="0"/>
      <w:marBottom w:val="0"/>
      <w:divBdr>
        <w:top w:val="none" w:sz="0" w:space="0" w:color="auto"/>
        <w:left w:val="none" w:sz="0" w:space="0" w:color="auto"/>
        <w:bottom w:val="none" w:sz="0" w:space="0" w:color="auto"/>
        <w:right w:val="none" w:sz="0" w:space="0" w:color="auto"/>
      </w:divBdr>
    </w:div>
    <w:div w:id="390618562">
      <w:bodyDiv w:val="1"/>
      <w:marLeft w:val="0"/>
      <w:marRight w:val="0"/>
      <w:marTop w:val="0"/>
      <w:marBottom w:val="0"/>
      <w:divBdr>
        <w:top w:val="none" w:sz="0" w:space="0" w:color="auto"/>
        <w:left w:val="none" w:sz="0" w:space="0" w:color="auto"/>
        <w:bottom w:val="none" w:sz="0" w:space="0" w:color="auto"/>
        <w:right w:val="none" w:sz="0" w:space="0" w:color="auto"/>
      </w:divBdr>
    </w:div>
    <w:div w:id="390689230">
      <w:bodyDiv w:val="1"/>
      <w:marLeft w:val="0"/>
      <w:marRight w:val="0"/>
      <w:marTop w:val="0"/>
      <w:marBottom w:val="0"/>
      <w:divBdr>
        <w:top w:val="none" w:sz="0" w:space="0" w:color="auto"/>
        <w:left w:val="none" w:sz="0" w:space="0" w:color="auto"/>
        <w:bottom w:val="none" w:sz="0" w:space="0" w:color="auto"/>
        <w:right w:val="none" w:sz="0" w:space="0" w:color="auto"/>
      </w:divBdr>
    </w:div>
    <w:div w:id="390885706">
      <w:bodyDiv w:val="1"/>
      <w:marLeft w:val="0"/>
      <w:marRight w:val="0"/>
      <w:marTop w:val="0"/>
      <w:marBottom w:val="0"/>
      <w:divBdr>
        <w:top w:val="none" w:sz="0" w:space="0" w:color="auto"/>
        <w:left w:val="none" w:sz="0" w:space="0" w:color="auto"/>
        <w:bottom w:val="none" w:sz="0" w:space="0" w:color="auto"/>
        <w:right w:val="none" w:sz="0" w:space="0" w:color="auto"/>
      </w:divBdr>
    </w:div>
    <w:div w:id="390924141">
      <w:bodyDiv w:val="1"/>
      <w:marLeft w:val="0"/>
      <w:marRight w:val="0"/>
      <w:marTop w:val="0"/>
      <w:marBottom w:val="0"/>
      <w:divBdr>
        <w:top w:val="none" w:sz="0" w:space="0" w:color="auto"/>
        <w:left w:val="none" w:sz="0" w:space="0" w:color="auto"/>
        <w:bottom w:val="none" w:sz="0" w:space="0" w:color="auto"/>
        <w:right w:val="none" w:sz="0" w:space="0" w:color="auto"/>
      </w:divBdr>
    </w:div>
    <w:div w:id="391268521">
      <w:bodyDiv w:val="1"/>
      <w:marLeft w:val="0"/>
      <w:marRight w:val="0"/>
      <w:marTop w:val="0"/>
      <w:marBottom w:val="0"/>
      <w:divBdr>
        <w:top w:val="none" w:sz="0" w:space="0" w:color="auto"/>
        <w:left w:val="none" w:sz="0" w:space="0" w:color="auto"/>
        <w:bottom w:val="none" w:sz="0" w:space="0" w:color="auto"/>
        <w:right w:val="none" w:sz="0" w:space="0" w:color="auto"/>
      </w:divBdr>
    </w:div>
    <w:div w:id="391661538">
      <w:bodyDiv w:val="1"/>
      <w:marLeft w:val="0"/>
      <w:marRight w:val="0"/>
      <w:marTop w:val="0"/>
      <w:marBottom w:val="0"/>
      <w:divBdr>
        <w:top w:val="none" w:sz="0" w:space="0" w:color="auto"/>
        <w:left w:val="none" w:sz="0" w:space="0" w:color="auto"/>
        <w:bottom w:val="none" w:sz="0" w:space="0" w:color="auto"/>
        <w:right w:val="none" w:sz="0" w:space="0" w:color="auto"/>
      </w:divBdr>
    </w:div>
    <w:div w:id="391662728">
      <w:bodyDiv w:val="1"/>
      <w:marLeft w:val="0"/>
      <w:marRight w:val="0"/>
      <w:marTop w:val="0"/>
      <w:marBottom w:val="0"/>
      <w:divBdr>
        <w:top w:val="none" w:sz="0" w:space="0" w:color="auto"/>
        <w:left w:val="none" w:sz="0" w:space="0" w:color="auto"/>
        <w:bottom w:val="none" w:sz="0" w:space="0" w:color="auto"/>
        <w:right w:val="none" w:sz="0" w:space="0" w:color="auto"/>
      </w:divBdr>
    </w:div>
    <w:div w:id="391779260">
      <w:bodyDiv w:val="1"/>
      <w:marLeft w:val="0"/>
      <w:marRight w:val="0"/>
      <w:marTop w:val="0"/>
      <w:marBottom w:val="0"/>
      <w:divBdr>
        <w:top w:val="none" w:sz="0" w:space="0" w:color="auto"/>
        <w:left w:val="none" w:sz="0" w:space="0" w:color="auto"/>
        <w:bottom w:val="none" w:sz="0" w:space="0" w:color="auto"/>
        <w:right w:val="none" w:sz="0" w:space="0" w:color="auto"/>
      </w:divBdr>
    </w:div>
    <w:div w:id="391848135">
      <w:bodyDiv w:val="1"/>
      <w:marLeft w:val="0"/>
      <w:marRight w:val="0"/>
      <w:marTop w:val="0"/>
      <w:marBottom w:val="0"/>
      <w:divBdr>
        <w:top w:val="none" w:sz="0" w:space="0" w:color="auto"/>
        <w:left w:val="none" w:sz="0" w:space="0" w:color="auto"/>
        <w:bottom w:val="none" w:sz="0" w:space="0" w:color="auto"/>
        <w:right w:val="none" w:sz="0" w:space="0" w:color="auto"/>
      </w:divBdr>
    </w:div>
    <w:div w:id="391975199">
      <w:bodyDiv w:val="1"/>
      <w:marLeft w:val="0"/>
      <w:marRight w:val="0"/>
      <w:marTop w:val="0"/>
      <w:marBottom w:val="0"/>
      <w:divBdr>
        <w:top w:val="none" w:sz="0" w:space="0" w:color="auto"/>
        <w:left w:val="none" w:sz="0" w:space="0" w:color="auto"/>
        <w:bottom w:val="none" w:sz="0" w:space="0" w:color="auto"/>
        <w:right w:val="none" w:sz="0" w:space="0" w:color="auto"/>
      </w:divBdr>
    </w:div>
    <w:div w:id="392241425">
      <w:bodyDiv w:val="1"/>
      <w:marLeft w:val="0"/>
      <w:marRight w:val="0"/>
      <w:marTop w:val="0"/>
      <w:marBottom w:val="0"/>
      <w:divBdr>
        <w:top w:val="none" w:sz="0" w:space="0" w:color="auto"/>
        <w:left w:val="none" w:sz="0" w:space="0" w:color="auto"/>
        <w:bottom w:val="none" w:sz="0" w:space="0" w:color="auto"/>
        <w:right w:val="none" w:sz="0" w:space="0" w:color="auto"/>
      </w:divBdr>
    </w:div>
    <w:div w:id="392505826">
      <w:bodyDiv w:val="1"/>
      <w:marLeft w:val="0"/>
      <w:marRight w:val="0"/>
      <w:marTop w:val="0"/>
      <w:marBottom w:val="0"/>
      <w:divBdr>
        <w:top w:val="none" w:sz="0" w:space="0" w:color="auto"/>
        <w:left w:val="none" w:sz="0" w:space="0" w:color="auto"/>
        <w:bottom w:val="none" w:sz="0" w:space="0" w:color="auto"/>
        <w:right w:val="none" w:sz="0" w:space="0" w:color="auto"/>
      </w:divBdr>
    </w:div>
    <w:div w:id="392579092">
      <w:bodyDiv w:val="1"/>
      <w:marLeft w:val="0"/>
      <w:marRight w:val="0"/>
      <w:marTop w:val="0"/>
      <w:marBottom w:val="0"/>
      <w:divBdr>
        <w:top w:val="none" w:sz="0" w:space="0" w:color="auto"/>
        <w:left w:val="none" w:sz="0" w:space="0" w:color="auto"/>
        <w:bottom w:val="none" w:sz="0" w:space="0" w:color="auto"/>
        <w:right w:val="none" w:sz="0" w:space="0" w:color="auto"/>
      </w:divBdr>
    </w:div>
    <w:div w:id="392626934">
      <w:bodyDiv w:val="1"/>
      <w:marLeft w:val="0"/>
      <w:marRight w:val="0"/>
      <w:marTop w:val="0"/>
      <w:marBottom w:val="0"/>
      <w:divBdr>
        <w:top w:val="none" w:sz="0" w:space="0" w:color="auto"/>
        <w:left w:val="none" w:sz="0" w:space="0" w:color="auto"/>
        <w:bottom w:val="none" w:sz="0" w:space="0" w:color="auto"/>
        <w:right w:val="none" w:sz="0" w:space="0" w:color="auto"/>
      </w:divBdr>
    </w:div>
    <w:div w:id="393044606">
      <w:bodyDiv w:val="1"/>
      <w:marLeft w:val="0"/>
      <w:marRight w:val="0"/>
      <w:marTop w:val="0"/>
      <w:marBottom w:val="0"/>
      <w:divBdr>
        <w:top w:val="none" w:sz="0" w:space="0" w:color="auto"/>
        <w:left w:val="none" w:sz="0" w:space="0" w:color="auto"/>
        <w:bottom w:val="none" w:sz="0" w:space="0" w:color="auto"/>
        <w:right w:val="none" w:sz="0" w:space="0" w:color="auto"/>
      </w:divBdr>
    </w:div>
    <w:div w:id="393090923">
      <w:bodyDiv w:val="1"/>
      <w:marLeft w:val="0"/>
      <w:marRight w:val="0"/>
      <w:marTop w:val="0"/>
      <w:marBottom w:val="0"/>
      <w:divBdr>
        <w:top w:val="none" w:sz="0" w:space="0" w:color="auto"/>
        <w:left w:val="none" w:sz="0" w:space="0" w:color="auto"/>
        <w:bottom w:val="none" w:sz="0" w:space="0" w:color="auto"/>
        <w:right w:val="none" w:sz="0" w:space="0" w:color="auto"/>
      </w:divBdr>
    </w:div>
    <w:div w:id="393433150">
      <w:bodyDiv w:val="1"/>
      <w:marLeft w:val="0"/>
      <w:marRight w:val="0"/>
      <w:marTop w:val="0"/>
      <w:marBottom w:val="0"/>
      <w:divBdr>
        <w:top w:val="none" w:sz="0" w:space="0" w:color="auto"/>
        <w:left w:val="none" w:sz="0" w:space="0" w:color="auto"/>
        <w:bottom w:val="none" w:sz="0" w:space="0" w:color="auto"/>
        <w:right w:val="none" w:sz="0" w:space="0" w:color="auto"/>
      </w:divBdr>
    </w:div>
    <w:div w:id="393626513">
      <w:bodyDiv w:val="1"/>
      <w:marLeft w:val="0"/>
      <w:marRight w:val="0"/>
      <w:marTop w:val="0"/>
      <w:marBottom w:val="0"/>
      <w:divBdr>
        <w:top w:val="none" w:sz="0" w:space="0" w:color="auto"/>
        <w:left w:val="none" w:sz="0" w:space="0" w:color="auto"/>
        <w:bottom w:val="none" w:sz="0" w:space="0" w:color="auto"/>
        <w:right w:val="none" w:sz="0" w:space="0" w:color="auto"/>
      </w:divBdr>
    </w:div>
    <w:div w:id="393699681">
      <w:bodyDiv w:val="1"/>
      <w:marLeft w:val="0"/>
      <w:marRight w:val="0"/>
      <w:marTop w:val="0"/>
      <w:marBottom w:val="0"/>
      <w:divBdr>
        <w:top w:val="none" w:sz="0" w:space="0" w:color="auto"/>
        <w:left w:val="none" w:sz="0" w:space="0" w:color="auto"/>
        <w:bottom w:val="none" w:sz="0" w:space="0" w:color="auto"/>
        <w:right w:val="none" w:sz="0" w:space="0" w:color="auto"/>
      </w:divBdr>
    </w:div>
    <w:div w:id="393699923">
      <w:bodyDiv w:val="1"/>
      <w:marLeft w:val="0"/>
      <w:marRight w:val="0"/>
      <w:marTop w:val="0"/>
      <w:marBottom w:val="0"/>
      <w:divBdr>
        <w:top w:val="none" w:sz="0" w:space="0" w:color="auto"/>
        <w:left w:val="none" w:sz="0" w:space="0" w:color="auto"/>
        <w:bottom w:val="none" w:sz="0" w:space="0" w:color="auto"/>
        <w:right w:val="none" w:sz="0" w:space="0" w:color="auto"/>
      </w:divBdr>
    </w:div>
    <w:div w:id="394595691">
      <w:bodyDiv w:val="1"/>
      <w:marLeft w:val="0"/>
      <w:marRight w:val="0"/>
      <w:marTop w:val="0"/>
      <w:marBottom w:val="0"/>
      <w:divBdr>
        <w:top w:val="none" w:sz="0" w:space="0" w:color="auto"/>
        <w:left w:val="none" w:sz="0" w:space="0" w:color="auto"/>
        <w:bottom w:val="none" w:sz="0" w:space="0" w:color="auto"/>
        <w:right w:val="none" w:sz="0" w:space="0" w:color="auto"/>
      </w:divBdr>
    </w:div>
    <w:div w:id="394596123">
      <w:bodyDiv w:val="1"/>
      <w:marLeft w:val="0"/>
      <w:marRight w:val="0"/>
      <w:marTop w:val="0"/>
      <w:marBottom w:val="0"/>
      <w:divBdr>
        <w:top w:val="none" w:sz="0" w:space="0" w:color="auto"/>
        <w:left w:val="none" w:sz="0" w:space="0" w:color="auto"/>
        <w:bottom w:val="none" w:sz="0" w:space="0" w:color="auto"/>
        <w:right w:val="none" w:sz="0" w:space="0" w:color="auto"/>
      </w:divBdr>
    </w:div>
    <w:div w:id="394619950">
      <w:bodyDiv w:val="1"/>
      <w:marLeft w:val="0"/>
      <w:marRight w:val="0"/>
      <w:marTop w:val="0"/>
      <w:marBottom w:val="0"/>
      <w:divBdr>
        <w:top w:val="none" w:sz="0" w:space="0" w:color="auto"/>
        <w:left w:val="none" w:sz="0" w:space="0" w:color="auto"/>
        <w:bottom w:val="none" w:sz="0" w:space="0" w:color="auto"/>
        <w:right w:val="none" w:sz="0" w:space="0" w:color="auto"/>
      </w:divBdr>
    </w:div>
    <w:div w:id="394745336">
      <w:bodyDiv w:val="1"/>
      <w:marLeft w:val="0"/>
      <w:marRight w:val="0"/>
      <w:marTop w:val="0"/>
      <w:marBottom w:val="0"/>
      <w:divBdr>
        <w:top w:val="none" w:sz="0" w:space="0" w:color="auto"/>
        <w:left w:val="none" w:sz="0" w:space="0" w:color="auto"/>
        <w:bottom w:val="none" w:sz="0" w:space="0" w:color="auto"/>
        <w:right w:val="none" w:sz="0" w:space="0" w:color="auto"/>
      </w:divBdr>
    </w:div>
    <w:div w:id="395007614">
      <w:bodyDiv w:val="1"/>
      <w:marLeft w:val="0"/>
      <w:marRight w:val="0"/>
      <w:marTop w:val="0"/>
      <w:marBottom w:val="0"/>
      <w:divBdr>
        <w:top w:val="none" w:sz="0" w:space="0" w:color="auto"/>
        <w:left w:val="none" w:sz="0" w:space="0" w:color="auto"/>
        <w:bottom w:val="none" w:sz="0" w:space="0" w:color="auto"/>
        <w:right w:val="none" w:sz="0" w:space="0" w:color="auto"/>
      </w:divBdr>
    </w:div>
    <w:div w:id="395056896">
      <w:bodyDiv w:val="1"/>
      <w:marLeft w:val="0"/>
      <w:marRight w:val="0"/>
      <w:marTop w:val="0"/>
      <w:marBottom w:val="0"/>
      <w:divBdr>
        <w:top w:val="none" w:sz="0" w:space="0" w:color="auto"/>
        <w:left w:val="none" w:sz="0" w:space="0" w:color="auto"/>
        <w:bottom w:val="none" w:sz="0" w:space="0" w:color="auto"/>
        <w:right w:val="none" w:sz="0" w:space="0" w:color="auto"/>
      </w:divBdr>
    </w:div>
    <w:div w:id="395199994">
      <w:bodyDiv w:val="1"/>
      <w:marLeft w:val="0"/>
      <w:marRight w:val="0"/>
      <w:marTop w:val="0"/>
      <w:marBottom w:val="0"/>
      <w:divBdr>
        <w:top w:val="none" w:sz="0" w:space="0" w:color="auto"/>
        <w:left w:val="none" w:sz="0" w:space="0" w:color="auto"/>
        <w:bottom w:val="none" w:sz="0" w:space="0" w:color="auto"/>
        <w:right w:val="none" w:sz="0" w:space="0" w:color="auto"/>
      </w:divBdr>
    </w:div>
    <w:div w:id="395318031">
      <w:bodyDiv w:val="1"/>
      <w:marLeft w:val="0"/>
      <w:marRight w:val="0"/>
      <w:marTop w:val="0"/>
      <w:marBottom w:val="0"/>
      <w:divBdr>
        <w:top w:val="none" w:sz="0" w:space="0" w:color="auto"/>
        <w:left w:val="none" w:sz="0" w:space="0" w:color="auto"/>
        <w:bottom w:val="none" w:sz="0" w:space="0" w:color="auto"/>
        <w:right w:val="none" w:sz="0" w:space="0" w:color="auto"/>
      </w:divBdr>
    </w:div>
    <w:div w:id="395318195">
      <w:bodyDiv w:val="1"/>
      <w:marLeft w:val="0"/>
      <w:marRight w:val="0"/>
      <w:marTop w:val="0"/>
      <w:marBottom w:val="0"/>
      <w:divBdr>
        <w:top w:val="none" w:sz="0" w:space="0" w:color="auto"/>
        <w:left w:val="none" w:sz="0" w:space="0" w:color="auto"/>
        <w:bottom w:val="none" w:sz="0" w:space="0" w:color="auto"/>
        <w:right w:val="none" w:sz="0" w:space="0" w:color="auto"/>
      </w:divBdr>
    </w:div>
    <w:div w:id="395323032">
      <w:bodyDiv w:val="1"/>
      <w:marLeft w:val="0"/>
      <w:marRight w:val="0"/>
      <w:marTop w:val="0"/>
      <w:marBottom w:val="0"/>
      <w:divBdr>
        <w:top w:val="none" w:sz="0" w:space="0" w:color="auto"/>
        <w:left w:val="none" w:sz="0" w:space="0" w:color="auto"/>
        <w:bottom w:val="none" w:sz="0" w:space="0" w:color="auto"/>
        <w:right w:val="none" w:sz="0" w:space="0" w:color="auto"/>
      </w:divBdr>
    </w:div>
    <w:div w:id="395469841">
      <w:bodyDiv w:val="1"/>
      <w:marLeft w:val="0"/>
      <w:marRight w:val="0"/>
      <w:marTop w:val="0"/>
      <w:marBottom w:val="0"/>
      <w:divBdr>
        <w:top w:val="none" w:sz="0" w:space="0" w:color="auto"/>
        <w:left w:val="none" w:sz="0" w:space="0" w:color="auto"/>
        <w:bottom w:val="none" w:sz="0" w:space="0" w:color="auto"/>
        <w:right w:val="none" w:sz="0" w:space="0" w:color="auto"/>
      </w:divBdr>
    </w:div>
    <w:div w:id="395514929">
      <w:bodyDiv w:val="1"/>
      <w:marLeft w:val="0"/>
      <w:marRight w:val="0"/>
      <w:marTop w:val="0"/>
      <w:marBottom w:val="0"/>
      <w:divBdr>
        <w:top w:val="none" w:sz="0" w:space="0" w:color="auto"/>
        <w:left w:val="none" w:sz="0" w:space="0" w:color="auto"/>
        <w:bottom w:val="none" w:sz="0" w:space="0" w:color="auto"/>
        <w:right w:val="none" w:sz="0" w:space="0" w:color="auto"/>
      </w:divBdr>
    </w:div>
    <w:div w:id="395517071">
      <w:bodyDiv w:val="1"/>
      <w:marLeft w:val="0"/>
      <w:marRight w:val="0"/>
      <w:marTop w:val="0"/>
      <w:marBottom w:val="0"/>
      <w:divBdr>
        <w:top w:val="none" w:sz="0" w:space="0" w:color="auto"/>
        <w:left w:val="none" w:sz="0" w:space="0" w:color="auto"/>
        <w:bottom w:val="none" w:sz="0" w:space="0" w:color="auto"/>
        <w:right w:val="none" w:sz="0" w:space="0" w:color="auto"/>
      </w:divBdr>
    </w:div>
    <w:div w:id="395670855">
      <w:bodyDiv w:val="1"/>
      <w:marLeft w:val="0"/>
      <w:marRight w:val="0"/>
      <w:marTop w:val="0"/>
      <w:marBottom w:val="0"/>
      <w:divBdr>
        <w:top w:val="none" w:sz="0" w:space="0" w:color="auto"/>
        <w:left w:val="none" w:sz="0" w:space="0" w:color="auto"/>
        <w:bottom w:val="none" w:sz="0" w:space="0" w:color="auto"/>
        <w:right w:val="none" w:sz="0" w:space="0" w:color="auto"/>
      </w:divBdr>
    </w:div>
    <w:div w:id="395858249">
      <w:bodyDiv w:val="1"/>
      <w:marLeft w:val="0"/>
      <w:marRight w:val="0"/>
      <w:marTop w:val="0"/>
      <w:marBottom w:val="0"/>
      <w:divBdr>
        <w:top w:val="none" w:sz="0" w:space="0" w:color="auto"/>
        <w:left w:val="none" w:sz="0" w:space="0" w:color="auto"/>
        <w:bottom w:val="none" w:sz="0" w:space="0" w:color="auto"/>
        <w:right w:val="none" w:sz="0" w:space="0" w:color="auto"/>
      </w:divBdr>
    </w:div>
    <w:div w:id="395864429">
      <w:bodyDiv w:val="1"/>
      <w:marLeft w:val="0"/>
      <w:marRight w:val="0"/>
      <w:marTop w:val="0"/>
      <w:marBottom w:val="0"/>
      <w:divBdr>
        <w:top w:val="none" w:sz="0" w:space="0" w:color="auto"/>
        <w:left w:val="none" w:sz="0" w:space="0" w:color="auto"/>
        <w:bottom w:val="none" w:sz="0" w:space="0" w:color="auto"/>
        <w:right w:val="none" w:sz="0" w:space="0" w:color="auto"/>
      </w:divBdr>
    </w:div>
    <w:div w:id="396244980">
      <w:bodyDiv w:val="1"/>
      <w:marLeft w:val="0"/>
      <w:marRight w:val="0"/>
      <w:marTop w:val="0"/>
      <w:marBottom w:val="0"/>
      <w:divBdr>
        <w:top w:val="none" w:sz="0" w:space="0" w:color="auto"/>
        <w:left w:val="none" w:sz="0" w:space="0" w:color="auto"/>
        <w:bottom w:val="none" w:sz="0" w:space="0" w:color="auto"/>
        <w:right w:val="none" w:sz="0" w:space="0" w:color="auto"/>
      </w:divBdr>
    </w:div>
    <w:div w:id="396636701">
      <w:bodyDiv w:val="1"/>
      <w:marLeft w:val="0"/>
      <w:marRight w:val="0"/>
      <w:marTop w:val="0"/>
      <w:marBottom w:val="0"/>
      <w:divBdr>
        <w:top w:val="none" w:sz="0" w:space="0" w:color="auto"/>
        <w:left w:val="none" w:sz="0" w:space="0" w:color="auto"/>
        <w:bottom w:val="none" w:sz="0" w:space="0" w:color="auto"/>
        <w:right w:val="none" w:sz="0" w:space="0" w:color="auto"/>
      </w:divBdr>
    </w:div>
    <w:div w:id="396786801">
      <w:bodyDiv w:val="1"/>
      <w:marLeft w:val="0"/>
      <w:marRight w:val="0"/>
      <w:marTop w:val="0"/>
      <w:marBottom w:val="0"/>
      <w:divBdr>
        <w:top w:val="none" w:sz="0" w:space="0" w:color="auto"/>
        <w:left w:val="none" w:sz="0" w:space="0" w:color="auto"/>
        <w:bottom w:val="none" w:sz="0" w:space="0" w:color="auto"/>
        <w:right w:val="none" w:sz="0" w:space="0" w:color="auto"/>
      </w:divBdr>
    </w:div>
    <w:div w:id="397284067">
      <w:bodyDiv w:val="1"/>
      <w:marLeft w:val="0"/>
      <w:marRight w:val="0"/>
      <w:marTop w:val="0"/>
      <w:marBottom w:val="0"/>
      <w:divBdr>
        <w:top w:val="none" w:sz="0" w:space="0" w:color="auto"/>
        <w:left w:val="none" w:sz="0" w:space="0" w:color="auto"/>
        <w:bottom w:val="none" w:sz="0" w:space="0" w:color="auto"/>
        <w:right w:val="none" w:sz="0" w:space="0" w:color="auto"/>
      </w:divBdr>
    </w:div>
    <w:div w:id="397284693">
      <w:bodyDiv w:val="1"/>
      <w:marLeft w:val="0"/>
      <w:marRight w:val="0"/>
      <w:marTop w:val="0"/>
      <w:marBottom w:val="0"/>
      <w:divBdr>
        <w:top w:val="none" w:sz="0" w:space="0" w:color="auto"/>
        <w:left w:val="none" w:sz="0" w:space="0" w:color="auto"/>
        <w:bottom w:val="none" w:sz="0" w:space="0" w:color="auto"/>
        <w:right w:val="none" w:sz="0" w:space="0" w:color="auto"/>
      </w:divBdr>
    </w:div>
    <w:div w:id="397364879">
      <w:bodyDiv w:val="1"/>
      <w:marLeft w:val="0"/>
      <w:marRight w:val="0"/>
      <w:marTop w:val="0"/>
      <w:marBottom w:val="0"/>
      <w:divBdr>
        <w:top w:val="none" w:sz="0" w:space="0" w:color="auto"/>
        <w:left w:val="none" w:sz="0" w:space="0" w:color="auto"/>
        <w:bottom w:val="none" w:sz="0" w:space="0" w:color="auto"/>
        <w:right w:val="none" w:sz="0" w:space="0" w:color="auto"/>
      </w:divBdr>
    </w:div>
    <w:div w:id="397628375">
      <w:bodyDiv w:val="1"/>
      <w:marLeft w:val="0"/>
      <w:marRight w:val="0"/>
      <w:marTop w:val="0"/>
      <w:marBottom w:val="0"/>
      <w:divBdr>
        <w:top w:val="none" w:sz="0" w:space="0" w:color="auto"/>
        <w:left w:val="none" w:sz="0" w:space="0" w:color="auto"/>
        <w:bottom w:val="none" w:sz="0" w:space="0" w:color="auto"/>
        <w:right w:val="none" w:sz="0" w:space="0" w:color="auto"/>
      </w:divBdr>
    </w:div>
    <w:div w:id="397676302">
      <w:bodyDiv w:val="1"/>
      <w:marLeft w:val="0"/>
      <w:marRight w:val="0"/>
      <w:marTop w:val="0"/>
      <w:marBottom w:val="0"/>
      <w:divBdr>
        <w:top w:val="none" w:sz="0" w:space="0" w:color="auto"/>
        <w:left w:val="none" w:sz="0" w:space="0" w:color="auto"/>
        <w:bottom w:val="none" w:sz="0" w:space="0" w:color="auto"/>
        <w:right w:val="none" w:sz="0" w:space="0" w:color="auto"/>
      </w:divBdr>
    </w:div>
    <w:div w:id="397754110">
      <w:bodyDiv w:val="1"/>
      <w:marLeft w:val="0"/>
      <w:marRight w:val="0"/>
      <w:marTop w:val="0"/>
      <w:marBottom w:val="0"/>
      <w:divBdr>
        <w:top w:val="none" w:sz="0" w:space="0" w:color="auto"/>
        <w:left w:val="none" w:sz="0" w:space="0" w:color="auto"/>
        <w:bottom w:val="none" w:sz="0" w:space="0" w:color="auto"/>
        <w:right w:val="none" w:sz="0" w:space="0" w:color="auto"/>
      </w:divBdr>
    </w:div>
    <w:div w:id="397901215">
      <w:bodyDiv w:val="1"/>
      <w:marLeft w:val="0"/>
      <w:marRight w:val="0"/>
      <w:marTop w:val="0"/>
      <w:marBottom w:val="0"/>
      <w:divBdr>
        <w:top w:val="none" w:sz="0" w:space="0" w:color="auto"/>
        <w:left w:val="none" w:sz="0" w:space="0" w:color="auto"/>
        <w:bottom w:val="none" w:sz="0" w:space="0" w:color="auto"/>
        <w:right w:val="none" w:sz="0" w:space="0" w:color="auto"/>
      </w:divBdr>
    </w:div>
    <w:div w:id="397942487">
      <w:bodyDiv w:val="1"/>
      <w:marLeft w:val="0"/>
      <w:marRight w:val="0"/>
      <w:marTop w:val="0"/>
      <w:marBottom w:val="0"/>
      <w:divBdr>
        <w:top w:val="none" w:sz="0" w:space="0" w:color="auto"/>
        <w:left w:val="none" w:sz="0" w:space="0" w:color="auto"/>
        <w:bottom w:val="none" w:sz="0" w:space="0" w:color="auto"/>
        <w:right w:val="none" w:sz="0" w:space="0" w:color="auto"/>
      </w:divBdr>
    </w:div>
    <w:div w:id="398479252">
      <w:bodyDiv w:val="1"/>
      <w:marLeft w:val="0"/>
      <w:marRight w:val="0"/>
      <w:marTop w:val="0"/>
      <w:marBottom w:val="0"/>
      <w:divBdr>
        <w:top w:val="none" w:sz="0" w:space="0" w:color="auto"/>
        <w:left w:val="none" w:sz="0" w:space="0" w:color="auto"/>
        <w:bottom w:val="none" w:sz="0" w:space="0" w:color="auto"/>
        <w:right w:val="none" w:sz="0" w:space="0" w:color="auto"/>
      </w:divBdr>
    </w:div>
    <w:div w:id="398555126">
      <w:bodyDiv w:val="1"/>
      <w:marLeft w:val="0"/>
      <w:marRight w:val="0"/>
      <w:marTop w:val="0"/>
      <w:marBottom w:val="0"/>
      <w:divBdr>
        <w:top w:val="none" w:sz="0" w:space="0" w:color="auto"/>
        <w:left w:val="none" w:sz="0" w:space="0" w:color="auto"/>
        <w:bottom w:val="none" w:sz="0" w:space="0" w:color="auto"/>
        <w:right w:val="none" w:sz="0" w:space="0" w:color="auto"/>
      </w:divBdr>
    </w:div>
    <w:div w:id="398675521">
      <w:bodyDiv w:val="1"/>
      <w:marLeft w:val="0"/>
      <w:marRight w:val="0"/>
      <w:marTop w:val="0"/>
      <w:marBottom w:val="0"/>
      <w:divBdr>
        <w:top w:val="none" w:sz="0" w:space="0" w:color="auto"/>
        <w:left w:val="none" w:sz="0" w:space="0" w:color="auto"/>
        <w:bottom w:val="none" w:sz="0" w:space="0" w:color="auto"/>
        <w:right w:val="none" w:sz="0" w:space="0" w:color="auto"/>
      </w:divBdr>
    </w:div>
    <w:div w:id="398748882">
      <w:bodyDiv w:val="1"/>
      <w:marLeft w:val="0"/>
      <w:marRight w:val="0"/>
      <w:marTop w:val="0"/>
      <w:marBottom w:val="0"/>
      <w:divBdr>
        <w:top w:val="none" w:sz="0" w:space="0" w:color="auto"/>
        <w:left w:val="none" w:sz="0" w:space="0" w:color="auto"/>
        <w:bottom w:val="none" w:sz="0" w:space="0" w:color="auto"/>
        <w:right w:val="none" w:sz="0" w:space="0" w:color="auto"/>
      </w:divBdr>
    </w:div>
    <w:div w:id="398945030">
      <w:bodyDiv w:val="1"/>
      <w:marLeft w:val="0"/>
      <w:marRight w:val="0"/>
      <w:marTop w:val="0"/>
      <w:marBottom w:val="0"/>
      <w:divBdr>
        <w:top w:val="none" w:sz="0" w:space="0" w:color="auto"/>
        <w:left w:val="none" w:sz="0" w:space="0" w:color="auto"/>
        <w:bottom w:val="none" w:sz="0" w:space="0" w:color="auto"/>
        <w:right w:val="none" w:sz="0" w:space="0" w:color="auto"/>
      </w:divBdr>
    </w:div>
    <w:div w:id="399249285">
      <w:bodyDiv w:val="1"/>
      <w:marLeft w:val="0"/>
      <w:marRight w:val="0"/>
      <w:marTop w:val="0"/>
      <w:marBottom w:val="0"/>
      <w:divBdr>
        <w:top w:val="none" w:sz="0" w:space="0" w:color="auto"/>
        <w:left w:val="none" w:sz="0" w:space="0" w:color="auto"/>
        <w:bottom w:val="none" w:sz="0" w:space="0" w:color="auto"/>
        <w:right w:val="none" w:sz="0" w:space="0" w:color="auto"/>
      </w:divBdr>
    </w:div>
    <w:div w:id="399640618">
      <w:bodyDiv w:val="1"/>
      <w:marLeft w:val="0"/>
      <w:marRight w:val="0"/>
      <w:marTop w:val="0"/>
      <w:marBottom w:val="0"/>
      <w:divBdr>
        <w:top w:val="none" w:sz="0" w:space="0" w:color="auto"/>
        <w:left w:val="none" w:sz="0" w:space="0" w:color="auto"/>
        <w:bottom w:val="none" w:sz="0" w:space="0" w:color="auto"/>
        <w:right w:val="none" w:sz="0" w:space="0" w:color="auto"/>
      </w:divBdr>
    </w:div>
    <w:div w:id="399787394">
      <w:bodyDiv w:val="1"/>
      <w:marLeft w:val="0"/>
      <w:marRight w:val="0"/>
      <w:marTop w:val="0"/>
      <w:marBottom w:val="0"/>
      <w:divBdr>
        <w:top w:val="none" w:sz="0" w:space="0" w:color="auto"/>
        <w:left w:val="none" w:sz="0" w:space="0" w:color="auto"/>
        <w:bottom w:val="none" w:sz="0" w:space="0" w:color="auto"/>
        <w:right w:val="none" w:sz="0" w:space="0" w:color="auto"/>
      </w:divBdr>
    </w:div>
    <w:div w:id="399791230">
      <w:bodyDiv w:val="1"/>
      <w:marLeft w:val="0"/>
      <w:marRight w:val="0"/>
      <w:marTop w:val="0"/>
      <w:marBottom w:val="0"/>
      <w:divBdr>
        <w:top w:val="none" w:sz="0" w:space="0" w:color="auto"/>
        <w:left w:val="none" w:sz="0" w:space="0" w:color="auto"/>
        <w:bottom w:val="none" w:sz="0" w:space="0" w:color="auto"/>
        <w:right w:val="none" w:sz="0" w:space="0" w:color="auto"/>
      </w:divBdr>
    </w:div>
    <w:div w:id="399862730">
      <w:bodyDiv w:val="1"/>
      <w:marLeft w:val="0"/>
      <w:marRight w:val="0"/>
      <w:marTop w:val="0"/>
      <w:marBottom w:val="0"/>
      <w:divBdr>
        <w:top w:val="none" w:sz="0" w:space="0" w:color="auto"/>
        <w:left w:val="none" w:sz="0" w:space="0" w:color="auto"/>
        <w:bottom w:val="none" w:sz="0" w:space="0" w:color="auto"/>
        <w:right w:val="none" w:sz="0" w:space="0" w:color="auto"/>
      </w:divBdr>
    </w:div>
    <w:div w:id="400252894">
      <w:bodyDiv w:val="1"/>
      <w:marLeft w:val="0"/>
      <w:marRight w:val="0"/>
      <w:marTop w:val="0"/>
      <w:marBottom w:val="0"/>
      <w:divBdr>
        <w:top w:val="none" w:sz="0" w:space="0" w:color="auto"/>
        <w:left w:val="none" w:sz="0" w:space="0" w:color="auto"/>
        <w:bottom w:val="none" w:sz="0" w:space="0" w:color="auto"/>
        <w:right w:val="none" w:sz="0" w:space="0" w:color="auto"/>
      </w:divBdr>
    </w:div>
    <w:div w:id="400299871">
      <w:bodyDiv w:val="1"/>
      <w:marLeft w:val="0"/>
      <w:marRight w:val="0"/>
      <w:marTop w:val="0"/>
      <w:marBottom w:val="0"/>
      <w:divBdr>
        <w:top w:val="none" w:sz="0" w:space="0" w:color="auto"/>
        <w:left w:val="none" w:sz="0" w:space="0" w:color="auto"/>
        <w:bottom w:val="none" w:sz="0" w:space="0" w:color="auto"/>
        <w:right w:val="none" w:sz="0" w:space="0" w:color="auto"/>
      </w:divBdr>
    </w:div>
    <w:div w:id="400372623">
      <w:bodyDiv w:val="1"/>
      <w:marLeft w:val="0"/>
      <w:marRight w:val="0"/>
      <w:marTop w:val="0"/>
      <w:marBottom w:val="0"/>
      <w:divBdr>
        <w:top w:val="none" w:sz="0" w:space="0" w:color="auto"/>
        <w:left w:val="none" w:sz="0" w:space="0" w:color="auto"/>
        <w:bottom w:val="none" w:sz="0" w:space="0" w:color="auto"/>
        <w:right w:val="none" w:sz="0" w:space="0" w:color="auto"/>
      </w:divBdr>
    </w:div>
    <w:div w:id="400563493">
      <w:bodyDiv w:val="1"/>
      <w:marLeft w:val="0"/>
      <w:marRight w:val="0"/>
      <w:marTop w:val="0"/>
      <w:marBottom w:val="0"/>
      <w:divBdr>
        <w:top w:val="none" w:sz="0" w:space="0" w:color="auto"/>
        <w:left w:val="none" w:sz="0" w:space="0" w:color="auto"/>
        <w:bottom w:val="none" w:sz="0" w:space="0" w:color="auto"/>
        <w:right w:val="none" w:sz="0" w:space="0" w:color="auto"/>
      </w:divBdr>
    </w:div>
    <w:div w:id="401023067">
      <w:bodyDiv w:val="1"/>
      <w:marLeft w:val="0"/>
      <w:marRight w:val="0"/>
      <w:marTop w:val="0"/>
      <w:marBottom w:val="0"/>
      <w:divBdr>
        <w:top w:val="none" w:sz="0" w:space="0" w:color="auto"/>
        <w:left w:val="none" w:sz="0" w:space="0" w:color="auto"/>
        <w:bottom w:val="none" w:sz="0" w:space="0" w:color="auto"/>
        <w:right w:val="none" w:sz="0" w:space="0" w:color="auto"/>
      </w:divBdr>
    </w:div>
    <w:div w:id="401410349">
      <w:bodyDiv w:val="1"/>
      <w:marLeft w:val="0"/>
      <w:marRight w:val="0"/>
      <w:marTop w:val="0"/>
      <w:marBottom w:val="0"/>
      <w:divBdr>
        <w:top w:val="none" w:sz="0" w:space="0" w:color="auto"/>
        <w:left w:val="none" w:sz="0" w:space="0" w:color="auto"/>
        <w:bottom w:val="none" w:sz="0" w:space="0" w:color="auto"/>
        <w:right w:val="none" w:sz="0" w:space="0" w:color="auto"/>
      </w:divBdr>
    </w:div>
    <w:div w:id="401417199">
      <w:bodyDiv w:val="1"/>
      <w:marLeft w:val="0"/>
      <w:marRight w:val="0"/>
      <w:marTop w:val="0"/>
      <w:marBottom w:val="0"/>
      <w:divBdr>
        <w:top w:val="none" w:sz="0" w:space="0" w:color="auto"/>
        <w:left w:val="none" w:sz="0" w:space="0" w:color="auto"/>
        <w:bottom w:val="none" w:sz="0" w:space="0" w:color="auto"/>
        <w:right w:val="none" w:sz="0" w:space="0" w:color="auto"/>
      </w:divBdr>
    </w:div>
    <w:div w:id="401486449">
      <w:bodyDiv w:val="1"/>
      <w:marLeft w:val="0"/>
      <w:marRight w:val="0"/>
      <w:marTop w:val="0"/>
      <w:marBottom w:val="0"/>
      <w:divBdr>
        <w:top w:val="none" w:sz="0" w:space="0" w:color="auto"/>
        <w:left w:val="none" w:sz="0" w:space="0" w:color="auto"/>
        <w:bottom w:val="none" w:sz="0" w:space="0" w:color="auto"/>
        <w:right w:val="none" w:sz="0" w:space="0" w:color="auto"/>
      </w:divBdr>
    </w:div>
    <w:div w:id="401677934">
      <w:bodyDiv w:val="1"/>
      <w:marLeft w:val="0"/>
      <w:marRight w:val="0"/>
      <w:marTop w:val="0"/>
      <w:marBottom w:val="0"/>
      <w:divBdr>
        <w:top w:val="none" w:sz="0" w:space="0" w:color="auto"/>
        <w:left w:val="none" w:sz="0" w:space="0" w:color="auto"/>
        <w:bottom w:val="none" w:sz="0" w:space="0" w:color="auto"/>
        <w:right w:val="none" w:sz="0" w:space="0" w:color="auto"/>
      </w:divBdr>
    </w:div>
    <w:div w:id="401753859">
      <w:bodyDiv w:val="1"/>
      <w:marLeft w:val="0"/>
      <w:marRight w:val="0"/>
      <w:marTop w:val="0"/>
      <w:marBottom w:val="0"/>
      <w:divBdr>
        <w:top w:val="none" w:sz="0" w:space="0" w:color="auto"/>
        <w:left w:val="none" w:sz="0" w:space="0" w:color="auto"/>
        <w:bottom w:val="none" w:sz="0" w:space="0" w:color="auto"/>
        <w:right w:val="none" w:sz="0" w:space="0" w:color="auto"/>
      </w:divBdr>
    </w:div>
    <w:div w:id="401954024">
      <w:bodyDiv w:val="1"/>
      <w:marLeft w:val="0"/>
      <w:marRight w:val="0"/>
      <w:marTop w:val="0"/>
      <w:marBottom w:val="0"/>
      <w:divBdr>
        <w:top w:val="none" w:sz="0" w:space="0" w:color="auto"/>
        <w:left w:val="none" w:sz="0" w:space="0" w:color="auto"/>
        <w:bottom w:val="none" w:sz="0" w:space="0" w:color="auto"/>
        <w:right w:val="none" w:sz="0" w:space="0" w:color="auto"/>
      </w:divBdr>
    </w:div>
    <w:div w:id="402069040">
      <w:bodyDiv w:val="1"/>
      <w:marLeft w:val="0"/>
      <w:marRight w:val="0"/>
      <w:marTop w:val="0"/>
      <w:marBottom w:val="0"/>
      <w:divBdr>
        <w:top w:val="none" w:sz="0" w:space="0" w:color="auto"/>
        <w:left w:val="none" w:sz="0" w:space="0" w:color="auto"/>
        <w:bottom w:val="none" w:sz="0" w:space="0" w:color="auto"/>
        <w:right w:val="none" w:sz="0" w:space="0" w:color="auto"/>
      </w:divBdr>
    </w:div>
    <w:div w:id="402262029">
      <w:bodyDiv w:val="1"/>
      <w:marLeft w:val="0"/>
      <w:marRight w:val="0"/>
      <w:marTop w:val="0"/>
      <w:marBottom w:val="0"/>
      <w:divBdr>
        <w:top w:val="none" w:sz="0" w:space="0" w:color="auto"/>
        <w:left w:val="none" w:sz="0" w:space="0" w:color="auto"/>
        <w:bottom w:val="none" w:sz="0" w:space="0" w:color="auto"/>
        <w:right w:val="none" w:sz="0" w:space="0" w:color="auto"/>
      </w:divBdr>
    </w:div>
    <w:div w:id="402341131">
      <w:bodyDiv w:val="1"/>
      <w:marLeft w:val="0"/>
      <w:marRight w:val="0"/>
      <w:marTop w:val="0"/>
      <w:marBottom w:val="0"/>
      <w:divBdr>
        <w:top w:val="none" w:sz="0" w:space="0" w:color="auto"/>
        <w:left w:val="none" w:sz="0" w:space="0" w:color="auto"/>
        <w:bottom w:val="none" w:sz="0" w:space="0" w:color="auto"/>
        <w:right w:val="none" w:sz="0" w:space="0" w:color="auto"/>
      </w:divBdr>
    </w:div>
    <w:div w:id="402415799">
      <w:bodyDiv w:val="1"/>
      <w:marLeft w:val="0"/>
      <w:marRight w:val="0"/>
      <w:marTop w:val="0"/>
      <w:marBottom w:val="0"/>
      <w:divBdr>
        <w:top w:val="none" w:sz="0" w:space="0" w:color="auto"/>
        <w:left w:val="none" w:sz="0" w:space="0" w:color="auto"/>
        <w:bottom w:val="none" w:sz="0" w:space="0" w:color="auto"/>
        <w:right w:val="none" w:sz="0" w:space="0" w:color="auto"/>
      </w:divBdr>
    </w:div>
    <w:div w:id="402458537">
      <w:bodyDiv w:val="1"/>
      <w:marLeft w:val="0"/>
      <w:marRight w:val="0"/>
      <w:marTop w:val="0"/>
      <w:marBottom w:val="0"/>
      <w:divBdr>
        <w:top w:val="none" w:sz="0" w:space="0" w:color="auto"/>
        <w:left w:val="none" w:sz="0" w:space="0" w:color="auto"/>
        <w:bottom w:val="none" w:sz="0" w:space="0" w:color="auto"/>
        <w:right w:val="none" w:sz="0" w:space="0" w:color="auto"/>
      </w:divBdr>
    </w:div>
    <w:div w:id="402485067">
      <w:bodyDiv w:val="1"/>
      <w:marLeft w:val="0"/>
      <w:marRight w:val="0"/>
      <w:marTop w:val="0"/>
      <w:marBottom w:val="0"/>
      <w:divBdr>
        <w:top w:val="none" w:sz="0" w:space="0" w:color="auto"/>
        <w:left w:val="none" w:sz="0" w:space="0" w:color="auto"/>
        <w:bottom w:val="none" w:sz="0" w:space="0" w:color="auto"/>
        <w:right w:val="none" w:sz="0" w:space="0" w:color="auto"/>
      </w:divBdr>
    </w:div>
    <w:div w:id="402485986">
      <w:bodyDiv w:val="1"/>
      <w:marLeft w:val="0"/>
      <w:marRight w:val="0"/>
      <w:marTop w:val="0"/>
      <w:marBottom w:val="0"/>
      <w:divBdr>
        <w:top w:val="none" w:sz="0" w:space="0" w:color="auto"/>
        <w:left w:val="none" w:sz="0" w:space="0" w:color="auto"/>
        <w:bottom w:val="none" w:sz="0" w:space="0" w:color="auto"/>
        <w:right w:val="none" w:sz="0" w:space="0" w:color="auto"/>
      </w:divBdr>
    </w:div>
    <w:div w:id="402602661">
      <w:bodyDiv w:val="1"/>
      <w:marLeft w:val="0"/>
      <w:marRight w:val="0"/>
      <w:marTop w:val="0"/>
      <w:marBottom w:val="0"/>
      <w:divBdr>
        <w:top w:val="none" w:sz="0" w:space="0" w:color="auto"/>
        <w:left w:val="none" w:sz="0" w:space="0" w:color="auto"/>
        <w:bottom w:val="none" w:sz="0" w:space="0" w:color="auto"/>
        <w:right w:val="none" w:sz="0" w:space="0" w:color="auto"/>
      </w:divBdr>
    </w:div>
    <w:div w:id="402722516">
      <w:bodyDiv w:val="1"/>
      <w:marLeft w:val="0"/>
      <w:marRight w:val="0"/>
      <w:marTop w:val="0"/>
      <w:marBottom w:val="0"/>
      <w:divBdr>
        <w:top w:val="none" w:sz="0" w:space="0" w:color="auto"/>
        <w:left w:val="none" w:sz="0" w:space="0" w:color="auto"/>
        <w:bottom w:val="none" w:sz="0" w:space="0" w:color="auto"/>
        <w:right w:val="none" w:sz="0" w:space="0" w:color="auto"/>
      </w:divBdr>
    </w:div>
    <w:div w:id="402917713">
      <w:bodyDiv w:val="1"/>
      <w:marLeft w:val="0"/>
      <w:marRight w:val="0"/>
      <w:marTop w:val="0"/>
      <w:marBottom w:val="0"/>
      <w:divBdr>
        <w:top w:val="none" w:sz="0" w:space="0" w:color="auto"/>
        <w:left w:val="none" w:sz="0" w:space="0" w:color="auto"/>
        <w:bottom w:val="none" w:sz="0" w:space="0" w:color="auto"/>
        <w:right w:val="none" w:sz="0" w:space="0" w:color="auto"/>
      </w:divBdr>
    </w:div>
    <w:div w:id="403141830">
      <w:bodyDiv w:val="1"/>
      <w:marLeft w:val="0"/>
      <w:marRight w:val="0"/>
      <w:marTop w:val="0"/>
      <w:marBottom w:val="0"/>
      <w:divBdr>
        <w:top w:val="none" w:sz="0" w:space="0" w:color="auto"/>
        <w:left w:val="none" w:sz="0" w:space="0" w:color="auto"/>
        <w:bottom w:val="none" w:sz="0" w:space="0" w:color="auto"/>
        <w:right w:val="none" w:sz="0" w:space="0" w:color="auto"/>
      </w:divBdr>
    </w:div>
    <w:div w:id="403378601">
      <w:bodyDiv w:val="1"/>
      <w:marLeft w:val="0"/>
      <w:marRight w:val="0"/>
      <w:marTop w:val="0"/>
      <w:marBottom w:val="0"/>
      <w:divBdr>
        <w:top w:val="none" w:sz="0" w:space="0" w:color="auto"/>
        <w:left w:val="none" w:sz="0" w:space="0" w:color="auto"/>
        <w:bottom w:val="none" w:sz="0" w:space="0" w:color="auto"/>
        <w:right w:val="none" w:sz="0" w:space="0" w:color="auto"/>
      </w:divBdr>
    </w:div>
    <w:div w:id="403457431">
      <w:bodyDiv w:val="1"/>
      <w:marLeft w:val="0"/>
      <w:marRight w:val="0"/>
      <w:marTop w:val="0"/>
      <w:marBottom w:val="0"/>
      <w:divBdr>
        <w:top w:val="none" w:sz="0" w:space="0" w:color="auto"/>
        <w:left w:val="none" w:sz="0" w:space="0" w:color="auto"/>
        <w:bottom w:val="none" w:sz="0" w:space="0" w:color="auto"/>
        <w:right w:val="none" w:sz="0" w:space="0" w:color="auto"/>
      </w:divBdr>
    </w:div>
    <w:div w:id="403725221">
      <w:bodyDiv w:val="1"/>
      <w:marLeft w:val="0"/>
      <w:marRight w:val="0"/>
      <w:marTop w:val="0"/>
      <w:marBottom w:val="0"/>
      <w:divBdr>
        <w:top w:val="none" w:sz="0" w:space="0" w:color="auto"/>
        <w:left w:val="none" w:sz="0" w:space="0" w:color="auto"/>
        <w:bottom w:val="none" w:sz="0" w:space="0" w:color="auto"/>
        <w:right w:val="none" w:sz="0" w:space="0" w:color="auto"/>
      </w:divBdr>
    </w:div>
    <w:div w:id="403726813">
      <w:bodyDiv w:val="1"/>
      <w:marLeft w:val="0"/>
      <w:marRight w:val="0"/>
      <w:marTop w:val="0"/>
      <w:marBottom w:val="0"/>
      <w:divBdr>
        <w:top w:val="none" w:sz="0" w:space="0" w:color="auto"/>
        <w:left w:val="none" w:sz="0" w:space="0" w:color="auto"/>
        <w:bottom w:val="none" w:sz="0" w:space="0" w:color="auto"/>
        <w:right w:val="none" w:sz="0" w:space="0" w:color="auto"/>
      </w:divBdr>
    </w:div>
    <w:div w:id="403838061">
      <w:bodyDiv w:val="1"/>
      <w:marLeft w:val="0"/>
      <w:marRight w:val="0"/>
      <w:marTop w:val="0"/>
      <w:marBottom w:val="0"/>
      <w:divBdr>
        <w:top w:val="none" w:sz="0" w:space="0" w:color="auto"/>
        <w:left w:val="none" w:sz="0" w:space="0" w:color="auto"/>
        <w:bottom w:val="none" w:sz="0" w:space="0" w:color="auto"/>
        <w:right w:val="none" w:sz="0" w:space="0" w:color="auto"/>
      </w:divBdr>
    </w:div>
    <w:div w:id="403918853">
      <w:bodyDiv w:val="1"/>
      <w:marLeft w:val="0"/>
      <w:marRight w:val="0"/>
      <w:marTop w:val="0"/>
      <w:marBottom w:val="0"/>
      <w:divBdr>
        <w:top w:val="none" w:sz="0" w:space="0" w:color="auto"/>
        <w:left w:val="none" w:sz="0" w:space="0" w:color="auto"/>
        <w:bottom w:val="none" w:sz="0" w:space="0" w:color="auto"/>
        <w:right w:val="none" w:sz="0" w:space="0" w:color="auto"/>
      </w:divBdr>
    </w:div>
    <w:div w:id="403991059">
      <w:bodyDiv w:val="1"/>
      <w:marLeft w:val="0"/>
      <w:marRight w:val="0"/>
      <w:marTop w:val="0"/>
      <w:marBottom w:val="0"/>
      <w:divBdr>
        <w:top w:val="none" w:sz="0" w:space="0" w:color="auto"/>
        <w:left w:val="none" w:sz="0" w:space="0" w:color="auto"/>
        <w:bottom w:val="none" w:sz="0" w:space="0" w:color="auto"/>
        <w:right w:val="none" w:sz="0" w:space="0" w:color="auto"/>
      </w:divBdr>
    </w:div>
    <w:div w:id="404188264">
      <w:bodyDiv w:val="1"/>
      <w:marLeft w:val="0"/>
      <w:marRight w:val="0"/>
      <w:marTop w:val="0"/>
      <w:marBottom w:val="0"/>
      <w:divBdr>
        <w:top w:val="none" w:sz="0" w:space="0" w:color="auto"/>
        <w:left w:val="none" w:sz="0" w:space="0" w:color="auto"/>
        <w:bottom w:val="none" w:sz="0" w:space="0" w:color="auto"/>
        <w:right w:val="none" w:sz="0" w:space="0" w:color="auto"/>
      </w:divBdr>
    </w:div>
    <w:div w:id="404256478">
      <w:bodyDiv w:val="1"/>
      <w:marLeft w:val="0"/>
      <w:marRight w:val="0"/>
      <w:marTop w:val="0"/>
      <w:marBottom w:val="0"/>
      <w:divBdr>
        <w:top w:val="none" w:sz="0" w:space="0" w:color="auto"/>
        <w:left w:val="none" w:sz="0" w:space="0" w:color="auto"/>
        <w:bottom w:val="none" w:sz="0" w:space="0" w:color="auto"/>
        <w:right w:val="none" w:sz="0" w:space="0" w:color="auto"/>
      </w:divBdr>
    </w:div>
    <w:div w:id="404301512">
      <w:bodyDiv w:val="1"/>
      <w:marLeft w:val="0"/>
      <w:marRight w:val="0"/>
      <w:marTop w:val="0"/>
      <w:marBottom w:val="0"/>
      <w:divBdr>
        <w:top w:val="none" w:sz="0" w:space="0" w:color="auto"/>
        <w:left w:val="none" w:sz="0" w:space="0" w:color="auto"/>
        <w:bottom w:val="none" w:sz="0" w:space="0" w:color="auto"/>
        <w:right w:val="none" w:sz="0" w:space="0" w:color="auto"/>
      </w:divBdr>
    </w:div>
    <w:div w:id="404452344">
      <w:bodyDiv w:val="1"/>
      <w:marLeft w:val="0"/>
      <w:marRight w:val="0"/>
      <w:marTop w:val="0"/>
      <w:marBottom w:val="0"/>
      <w:divBdr>
        <w:top w:val="none" w:sz="0" w:space="0" w:color="auto"/>
        <w:left w:val="none" w:sz="0" w:space="0" w:color="auto"/>
        <w:bottom w:val="none" w:sz="0" w:space="0" w:color="auto"/>
        <w:right w:val="none" w:sz="0" w:space="0" w:color="auto"/>
      </w:divBdr>
    </w:div>
    <w:div w:id="404883169">
      <w:bodyDiv w:val="1"/>
      <w:marLeft w:val="0"/>
      <w:marRight w:val="0"/>
      <w:marTop w:val="0"/>
      <w:marBottom w:val="0"/>
      <w:divBdr>
        <w:top w:val="none" w:sz="0" w:space="0" w:color="auto"/>
        <w:left w:val="none" w:sz="0" w:space="0" w:color="auto"/>
        <w:bottom w:val="none" w:sz="0" w:space="0" w:color="auto"/>
        <w:right w:val="none" w:sz="0" w:space="0" w:color="auto"/>
      </w:divBdr>
    </w:div>
    <w:div w:id="404913091">
      <w:bodyDiv w:val="1"/>
      <w:marLeft w:val="0"/>
      <w:marRight w:val="0"/>
      <w:marTop w:val="0"/>
      <w:marBottom w:val="0"/>
      <w:divBdr>
        <w:top w:val="none" w:sz="0" w:space="0" w:color="auto"/>
        <w:left w:val="none" w:sz="0" w:space="0" w:color="auto"/>
        <w:bottom w:val="none" w:sz="0" w:space="0" w:color="auto"/>
        <w:right w:val="none" w:sz="0" w:space="0" w:color="auto"/>
      </w:divBdr>
    </w:div>
    <w:div w:id="405343230">
      <w:bodyDiv w:val="1"/>
      <w:marLeft w:val="0"/>
      <w:marRight w:val="0"/>
      <w:marTop w:val="0"/>
      <w:marBottom w:val="0"/>
      <w:divBdr>
        <w:top w:val="none" w:sz="0" w:space="0" w:color="auto"/>
        <w:left w:val="none" w:sz="0" w:space="0" w:color="auto"/>
        <w:bottom w:val="none" w:sz="0" w:space="0" w:color="auto"/>
        <w:right w:val="none" w:sz="0" w:space="0" w:color="auto"/>
      </w:divBdr>
    </w:div>
    <w:div w:id="405347102">
      <w:bodyDiv w:val="1"/>
      <w:marLeft w:val="0"/>
      <w:marRight w:val="0"/>
      <w:marTop w:val="0"/>
      <w:marBottom w:val="0"/>
      <w:divBdr>
        <w:top w:val="none" w:sz="0" w:space="0" w:color="auto"/>
        <w:left w:val="none" w:sz="0" w:space="0" w:color="auto"/>
        <w:bottom w:val="none" w:sz="0" w:space="0" w:color="auto"/>
        <w:right w:val="none" w:sz="0" w:space="0" w:color="auto"/>
      </w:divBdr>
    </w:div>
    <w:div w:id="405541741">
      <w:bodyDiv w:val="1"/>
      <w:marLeft w:val="0"/>
      <w:marRight w:val="0"/>
      <w:marTop w:val="0"/>
      <w:marBottom w:val="0"/>
      <w:divBdr>
        <w:top w:val="none" w:sz="0" w:space="0" w:color="auto"/>
        <w:left w:val="none" w:sz="0" w:space="0" w:color="auto"/>
        <w:bottom w:val="none" w:sz="0" w:space="0" w:color="auto"/>
        <w:right w:val="none" w:sz="0" w:space="0" w:color="auto"/>
      </w:divBdr>
    </w:div>
    <w:div w:id="405684942">
      <w:bodyDiv w:val="1"/>
      <w:marLeft w:val="0"/>
      <w:marRight w:val="0"/>
      <w:marTop w:val="0"/>
      <w:marBottom w:val="0"/>
      <w:divBdr>
        <w:top w:val="none" w:sz="0" w:space="0" w:color="auto"/>
        <w:left w:val="none" w:sz="0" w:space="0" w:color="auto"/>
        <w:bottom w:val="none" w:sz="0" w:space="0" w:color="auto"/>
        <w:right w:val="none" w:sz="0" w:space="0" w:color="auto"/>
      </w:divBdr>
    </w:div>
    <w:div w:id="405803820">
      <w:bodyDiv w:val="1"/>
      <w:marLeft w:val="0"/>
      <w:marRight w:val="0"/>
      <w:marTop w:val="0"/>
      <w:marBottom w:val="0"/>
      <w:divBdr>
        <w:top w:val="none" w:sz="0" w:space="0" w:color="auto"/>
        <w:left w:val="none" w:sz="0" w:space="0" w:color="auto"/>
        <w:bottom w:val="none" w:sz="0" w:space="0" w:color="auto"/>
        <w:right w:val="none" w:sz="0" w:space="0" w:color="auto"/>
      </w:divBdr>
    </w:div>
    <w:div w:id="405804311">
      <w:bodyDiv w:val="1"/>
      <w:marLeft w:val="0"/>
      <w:marRight w:val="0"/>
      <w:marTop w:val="0"/>
      <w:marBottom w:val="0"/>
      <w:divBdr>
        <w:top w:val="none" w:sz="0" w:space="0" w:color="auto"/>
        <w:left w:val="none" w:sz="0" w:space="0" w:color="auto"/>
        <w:bottom w:val="none" w:sz="0" w:space="0" w:color="auto"/>
        <w:right w:val="none" w:sz="0" w:space="0" w:color="auto"/>
      </w:divBdr>
    </w:div>
    <w:div w:id="405806124">
      <w:bodyDiv w:val="1"/>
      <w:marLeft w:val="0"/>
      <w:marRight w:val="0"/>
      <w:marTop w:val="0"/>
      <w:marBottom w:val="0"/>
      <w:divBdr>
        <w:top w:val="none" w:sz="0" w:space="0" w:color="auto"/>
        <w:left w:val="none" w:sz="0" w:space="0" w:color="auto"/>
        <w:bottom w:val="none" w:sz="0" w:space="0" w:color="auto"/>
        <w:right w:val="none" w:sz="0" w:space="0" w:color="auto"/>
      </w:divBdr>
    </w:div>
    <w:div w:id="405877894">
      <w:bodyDiv w:val="1"/>
      <w:marLeft w:val="0"/>
      <w:marRight w:val="0"/>
      <w:marTop w:val="0"/>
      <w:marBottom w:val="0"/>
      <w:divBdr>
        <w:top w:val="none" w:sz="0" w:space="0" w:color="auto"/>
        <w:left w:val="none" w:sz="0" w:space="0" w:color="auto"/>
        <w:bottom w:val="none" w:sz="0" w:space="0" w:color="auto"/>
        <w:right w:val="none" w:sz="0" w:space="0" w:color="auto"/>
      </w:divBdr>
    </w:div>
    <w:div w:id="406344681">
      <w:bodyDiv w:val="1"/>
      <w:marLeft w:val="0"/>
      <w:marRight w:val="0"/>
      <w:marTop w:val="0"/>
      <w:marBottom w:val="0"/>
      <w:divBdr>
        <w:top w:val="none" w:sz="0" w:space="0" w:color="auto"/>
        <w:left w:val="none" w:sz="0" w:space="0" w:color="auto"/>
        <w:bottom w:val="none" w:sz="0" w:space="0" w:color="auto"/>
        <w:right w:val="none" w:sz="0" w:space="0" w:color="auto"/>
      </w:divBdr>
    </w:div>
    <w:div w:id="406420857">
      <w:bodyDiv w:val="1"/>
      <w:marLeft w:val="0"/>
      <w:marRight w:val="0"/>
      <w:marTop w:val="0"/>
      <w:marBottom w:val="0"/>
      <w:divBdr>
        <w:top w:val="none" w:sz="0" w:space="0" w:color="auto"/>
        <w:left w:val="none" w:sz="0" w:space="0" w:color="auto"/>
        <w:bottom w:val="none" w:sz="0" w:space="0" w:color="auto"/>
        <w:right w:val="none" w:sz="0" w:space="0" w:color="auto"/>
      </w:divBdr>
    </w:div>
    <w:div w:id="406878609">
      <w:bodyDiv w:val="1"/>
      <w:marLeft w:val="0"/>
      <w:marRight w:val="0"/>
      <w:marTop w:val="0"/>
      <w:marBottom w:val="0"/>
      <w:divBdr>
        <w:top w:val="none" w:sz="0" w:space="0" w:color="auto"/>
        <w:left w:val="none" w:sz="0" w:space="0" w:color="auto"/>
        <w:bottom w:val="none" w:sz="0" w:space="0" w:color="auto"/>
        <w:right w:val="none" w:sz="0" w:space="0" w:color="auto"/>
      </w:divBdr>
    </w:div>
    <w:div w:id="406920017">
      <w:bodyDiv w:val="1"/>
      <w:marLeft w:val="0"/>
      <w:marRight w:val="0"/>
      <w:marTop w:val="0"/>
      <w:marBottom w:val="0"/>
      <w:divBdr>
        <w:top w:val="none" w:sz="0" w:space="0" w:color="auto"/>
        <w:left w:val="none" w:sz="0" w:space="0" w:color="auto"/>
        <w:bottom w:val="none" w:sz="0" w:space="0" w:color="auto"/>
        <w:right w:val="none" w:sz="0" w:space="0" w:color="auto"/>
      </w:divBdr>
    </w:div>
    <w:div w:id="407115468">
      <w:bodyDiv w:val="1"/>
      <w:marLeft w:val="0"/>
      <w:marRight w:val="0"/>
      <w:marTop w:val="0"/>
      <w:marBottom w:val="0"/>
      <w:divBdr>
        <w:top w:val="none" w:sz="0" w:space="0" w:color="auto"/>
        <w:left w:val="none" w:sz="0" w:space="0" w:color="auto"/>
        <w:bottom w:val="none" w:sz="0" w:space="0" w:color="auto"/>
        <w:right w:val="none" w:sz="0" w:space="0" w:color="auto"/>
      </w:divBdr>
    </w:div>
    <w:div w:id="407582155">
      <w:bodyDiv w:val="1"/>
      <w:marLeft w:val="0"/>
      <w:marRight w:val="0"/>
      <w:marTop w:val="0"/>
      <w:marBottom w:val="0"/>
      <w:divBdr>
        <w:top w:val="none" w:sz="0" w:space="0" w:color="auto"/>
        <w:left w:val="none" w:sz="0" w:space="0" w:color="auto"/>
        <w:bottom w:val="none" w:sz="0" w:space="0" w:color="auto"/>
        <w:right w:val="none" w:sz="0" w:space="0" w:color="auto"/>
      </w:divBdr>
    </w:div>
    <w:div w:id="407851903">
      <w:bodyDiv w:val="1"/>
      <w:marLeft w:val="0"/>
      <w:marRight w:val="0"/>
      <w:marTop w:val="0"/>
      <w:marBottom w:val="0"/>
      <w:divBdr>
        <w:top w:val="none" w:sz="0" w:space="0" w:color="auto"/>
        <w:left w:val="none" w:sz="0" w:space="0" w:color="auto"/>
        <w:bottom w:val="none" w:sz="0" w:space="0" w:color="auto"/>
        <w:right w:val="none" w:sz="0" w:space="0" w:color="auto"/>
      </w:divBdr>
    </w:div>
    <w:div w:id="407852143">
      <w:bodyDiv w:val="1"/>
      <w:marLeft w:val="0"/>
      <w:marRight w:val="0"/>
      <w:marTop w:val="0"/>
      <w:marBottom w:val="0"/>
      <w:divBdr>
        <w:top w:val="none" w:sz="0" w:space="0" w:color="auto"/>
        <w:left w:val="none" w:sz="0" w:space="0" w:color="auto"/>
        <w:bottom w:val="none" w:sz="0" w:space="0" w:color="auto"/>
        <w:right w:val="none" w:sz="0" w:space="0" w:color="auto"/>
      </w:divBdr>
    </w:div>
    <w:div w:id="408230946">
      <w:bodyDiv w:val="1"/>
      <w:marLeft w:val="0"/>
      <w:marRight w:val="0"/>
      <w:marTop w:val="0"/>
      <w:marBottom w:val="0"/>
      <w:divBdr>
        <w:top w:val="none" w:sz="0" w:space="0" w:color="auto"/>
        <w:left w:val="none" w:sz="0" w:space="0" w:color="auto"/>
        <w:bottom w:val="none" w:sz="0" w:space="0" w:color="auto"/>
        <w:right w:val="none" w:sz="0" w:space="0" w:color="auto"/>
      </w:divBdr>
    </w:div>
    <w:div w:id="408237858">
      <w:bodyDiv w:val="1"/>
      <w:marLeft w:val="0"/>
      <w:marRight w:val="0"/>
      <w:marTop w:val="0"/>
      <w:marBottom w:val="0"/>
      <w:divBdr>
        <w:top w:val="none" w:sz="0" w:space="0" w:color="auto"/>
        <w:left w:val="none" w:sz="0" w:space="0" w:color="auto"/>
        <w:bottom w:val="none" w:sz="0" w:space="0" w:color="auto"/>
        <w:right w:val="none" w:sz="0" w:space="0" w:color="auto"/>
      </w:divBdr>
    </w:div>
    <w:div w:id="408618573">
      <w:bodyDiv w:val="1"/>
      <w:marLeft w:val="0"/>
      <w:marRight w:val="0"/>
      <w:marTop w:val="0"/>
      <w:marBottom w:val="0"/>
      <w:divBdr>
        <w:top w:val="none" w:sz="0" w:space="0" w:color="auto"/>
        <w:left w:val="none" w:sz="0" w:space="0" w:color="auto"/>
        <w:bottom w:val="none" w:sz="0" w:space="0" w:color="auto"/>
        <w:right w:val="none" w:sz="0" w:space="0" w:color="auto"/>
      </w:divBdr>
    </w:div>
    <w:div w:id="408649430">
      <w:bodyDiv w:val="1"/>
      <w:marLeft w:val="0"/>
      <w:marRight w:val="0"/>
      <w:marTop w:val="0"/>
      <w:marBottom w:val="0"/>
      <w:divBdr>
        <w:top w:val="none" w:sz="0" w:space="0" w:color="auto"/>
        <w:left w:val="none" w:sz="0" w:space="0" w:color="auto"/>
        <w:bottom w:val="none" w:sz="0" w:space="0" w:color="auto"/>
        <w:right w:val="none" w:sz="0" w:space="0" w:color="auto"/>
      </w:divBdr>
    </w:div>
    <w:div w:id="409276230">
      <w:bodyDiv w:val="1"/>
      <w:marLeft w:val="0"/>
      <w:marRight w:val="0"/>
      <w:marTop w:val="0"/>
      <w:marBottom w:val="0"/>
      <w:divBdr>
        <w:top w:val="none" w:sz="0" w:space="0" w:color="auto"/>
        <w:left w:val="none" w:sz="0" w:space="0" w:color="auto"/>
        <w:bottom w:val="none" w:sz="0" w:space="0" w:color="auto"/>
        <w:right w:val="none" w:sz="0" w:space="0" w:color="auto"/>
      </w:divBdr>
    </w:div>
    <w:div w:id="409347349">
      <w:bodyDiv w:val="1"/>
      <w:marLeft w:val="0"/>
      <w:marRight w:val="0"/>
      <w:marTop w:val="0"/>
      <w:marBottom w:val="0"/>
      <w:divBdr>
        <w:top w:val="none" w:sz="0" w:space="0" w:color="auto"/>
        <w:left w:val="none" w:sz="0" w:space="0" w:color="auto"/>
        <w:bottom w:val="none" w:sz="0" w:space="0" w:color="auto"/>
        <w:right w:val="none" w:sz="0" w:space="0" w:color="auto"/>
      </w:divBdr>
    </w:div>
    <w:div w:id="409696190">
      <w:bodyDiv w:val="1"/>
      <w:marLeft w:val="0"/>
      <w:marRight w:val="0"/>
      <w:marTop w:val="0"/>
      <w:marBottom w:val="0"/>
      <w:divBdr>
        <w:top w:val="none" w:sz="0" w:space="0" w:color="auto"/>
        <w:left w:val="none" w:sz="0" w:space="0" w:color="auto"/>
        <w:bottom w:val="none" w:sz="0" w:space="0" w:color="auto"/>
        <w:right w:val="none" w:sz="0" w:space="0" w:color="auto"/>
      </w:divBdr>
    </w:div>
    <w:div w:id="409810579">
      <w:bodyDiv w:val="1"/>
      <w:marLeft w:val="0"/>
      <w:marRight w:val="0"/>
      <w:marTop w:val="0"/>
      <w:marBottom w:val="0"/>
      <w:divBdr>
        <w:top w:val="none" w:sz="0" w:space="0" w:color="auto"/>
        <w:left w:val="none" w:sz="0" w:space="0" w:color="auto"/>
        <w:bottom w:val="none" w:sz="0" w:space="0" w:color="auto"/>
        <w:right w:val="none" w:sz="0" w:space="0" w:color="auto"/>
      </w:divBdr>
    </w:div>
    <w:div w:id="410086587">
      <w:bodyDiv w:val="1"/>
      <w:marLeft w:val="0"/>
      <w:marRight w:val="0"/>
      <w:marTop w:val="0"/>
      <w:marBottom w:val="0"/>
      <w:divBdr>
        <w:top w:val="none" w:sz="0" w:space="0" w:color="auto"/>
        <w:left w:val="none" w:sz="0" w:space="0" w:color="auto"/>
        <w:bottom w:val="none" w:sz="0" w:space="0" w:color="auto"/>
        <w:right w:val="none" w:sz="0" w:space="0" w:color="auto"/>
      </w:divBdr>
    </w:div>
    <w:div w:id="410465186">
      <w:bodyDiv w:val="1"/>
      <w:marLeft w:val="0"/>
      <w:marRight w:val="0"/>
      <w:marTop w:val="0"/>
      <w:marBottom w:val="0"/>
      <w:divBdr>
        <w:top w:val="none" w:sz="0" w:space="0" w:color="auto"/>
        <w:left w:val="none" w:sz="0" w:space="0" w:color="auto"/>
        <w:bottom w:val="none" w:sz="0" w:space="0" w:color="auto"/>
        <w:right w:val="none" w:sz="0" w:space="0" w:color="auto"/>
      </w:divBdr>
    </w:div>
    <w:div w:id="410856335">
      <w:bodyDiv w:val="1"/>
      <w:marLeft w:val="0"/>
      <w:marRight w:val="0"/>
      <w:marTop w:val="0"/>
      <w:marBottom w:val="0"/>
      <w:divBdr>
        <w:top w:val="none" w:sz="0" w:space="0" w:color="auto"/>
        <w:left w:val="none" w:sz="0" w:space="0" w:color="auto"/>
        <w:bottom w:val="none" w:sz="0" w:space="0" w:color="auto"/>
        <w:right w:val="none" w:sz="0" w:space="0" w:color="auto"/>
      </w:divBdr>
    </w:div>
    <w:div w:id="410856725">
      <w:bodyDiv w:val="1"/>
      <w:marLeft w:val="0"/>
      <w:marRight w:val="0"/>
      <w:marTop w:val="0"/>
      <w:marBottom w:val="0"/>
      <w:divBdr>
        <w:top w:val="none" w:sz="0" w:space="0" w:color="auto"/>
        <w:left w:val="none" w:sz="0" w:space="0" w:color="auto"/>
        <w:bottom w:val="none" w:sz="0" w:space="0" w:color="auto"/>
        <w:right w:val="none" w:sz="0" w:space="0" w:color="auto"/>
      </w:divBdr>
    </w:div>
    <w:div w:id="411202269">
      <w:bodyDiv w:val="1"/>
      <w:marLeft w:val="0"/>
      <w:marRight w:val="0"/>
      <w:marTop w:val="0"/>
      <w:marBottom w:val="0"/>
      <w:divBdr>
        <w:top w:val="none" w:sz="0" w:space="0" w:color="auto"/>
        <w:left w:val="none" w:sz="0" w:space="0" w:color="auto"/>
        <w:bottom w:val="none" w:sz="0" w:space="0" w:color="auto"/>
        <w:right w:val="none" w:sz="0" w:space="0" w:color="auto"/>
      </w:divBdr>
    </w:div>
    <w:div w:id="411241073">
      <w:bodyDiv w:val="1"/>
      <w:marLeft w:val="0"/>
      <w:marRight w:val="0"/>
      <w:marTop w:val="0"/>
      <w:marBottom w:val="0"/>
      <w:divBdr>
        <w:top w:val="none" w:sz="0" w:space="0" w:color="auto"/>
        <w:left w:val="none" w:sz="0" w:space="0" w:color="auto"/>
        <w:bottom w:val="none" w:sz="0" w:space="0" w:color="auto"/>
        <w:right w:val="none" w:sz="0" w:space="0" w:color="auto"/>
      </w:divBdr>
    </w:div>
    <w:div w:id="411244224">
      <w:bodyDiv w:val="1"/>
      <w:marLeft w:val="0"/>
      <w:marRight w:val="0"/>
      <w:marTop w:val="0"/>
      <w:marBottom w:val="0"/>
      <w:divBdr>
        <w:top w:val="none" w:sz="0" w:space="0" w:color="auto"/>
        <w:left w:val="none" w:sz="0" w:space="0" w:color="auto"/>
        <w:bottom w:val="none" w:sz="0" w:space="0" w:color="auto"/>
        <w:right w:val="none" w:sz="0" w:space="0" w:color="auto"/>
      </w:divBdr>
    </w:div>
    <w:div w:id="411313274">
      <w:bodyDiv w:val="1"/>
      <w:marLeft w:val="0"/>
      <w:marRight w:val="0"/>
      <w:marTop w:val="0"/>
      <w:marBottom w:val="0"/>
      <w:divBdr>
        <w:top w:val="none" w:sz="0" w:space="0" w:color="auto"/>
        <w:left w:val="none" w:sz="0" w:space="0" w:color="auto"/>
        <w:bottom w:val="none" w:sz="0" w:space="0" w:color="auto"/>
        <w:right w:val="none" w:sz="0" w:space="0" w:color="auto"/>
      </w:divBdr>
    </w:div>
    <w:div w:id="411318478">
      <w:bodyDiv w:val="1"/>
      <w:marLeft w:val="0"/>
      <w:marRight w:val="0"/>
      <w:marTop w:val="0"/>
      <w:marBottom w:val="0"/>
      <w:divBdr>
        <w:top w:val="none" w:sz="0" w:space="0" w:color="auto"/>
        <w:left w:val="none" w:sz="0" w:space="0" w:color="auto"/>
        <w:bottom w:val="none" w:sz="0" w:space="0" w:color="auto"/>
        <w:right w:val="none" w:sz="0" w:space="0" w:color="auto"/>
      </w:divBdr>
    </w:div>
    <w:div w:id="411392889">
      <w:bodyDiv w:val="1"/>
      <w:marLeft w:val="0"/>
      <w:marRight w:val="0"/>
      <w:marTop w:val="0"/>
      <w:marBottom w:val="0"/>
      <w:divBdr>
        <w:top w:val="none" w:sz="0" w:space="0" w:color="auto"/>
        <w:left w:val="none" w:sz="0" w:space="0" w:color="auto"/>
        <w:bottom w:val="none" w:sz="0" w:space="0" w:color="auto"/>
        <w:right w:val="none" w:sz="0" w:space="0" w:color="auto"/>
      </w:divBdr>
    </w:div>
    <w:div w:id="411659334">
      <w:bodyDiv w:val="1"/>
      <w:marLeft w:val="0"/>
      <w:marRight w:val="0"/>
      <w:marTop w:val="0"/>
      <w:marBottom w:val="0"/>
      <w:divBdr>
        <w:top w:val="none" w:sz="0" w:space="0" w:color="auto"/>
        <w:left w:val="none" w:sz="0" w:space="0" w:color="auto"/>
        <w:bottom w:val="none" w:sz="0" w:space="0" w:color="auto"/>
        <w:right w:val="none" w:sz="0" w:space="0" w:color="auto"/>
      </w:divBdr>
    </w:div>
    <w:div w:id="411707227">
      <w:bodyDiv w:val="1"/>
      <w:marLeft w:val="0"/>
      <w:marRight w:val="0"/>
      <w:marTop w:val="0"/>
      <w:marBottom w:val="0"/>
      <w:divBdr>
        <w:top w:val="none" w:sz="0" w:space="0" w:color="auto"/>
        <w:left w:val="none" w:sz="0" w:space="0" w:color="auto"/>
        <w:bottom w:val="none" w:sz="0" w:space="0" w:color="auto"/>
        <w:right w:val="none" w:sz="0" w:space="0" w:color="auto"/>
      </w:divBdr>
    </w:div>
    <w:div w:id="411969411">
      <w:bodyDiv w:val="1"/>
      <w:marLeft w:val="0"/>
      <w:marRight w:val="0"/>
      <w:marTop w:val="0"/>
      <w:marBottom w:val="0"/>
      <w:divBdr>
        <w:top w:val="none" w:sz="0" w:space="0" w:color="auto"/>
        <w:left w:val="none" w:sz="0" w:space="0" w:color="auto"/>
        <w:bottom w:val="none" w:sz="0" w:space="0" w:color="auto"/>
        <w:right w:val="none" w:sz="0" w:space="0" w:color="auto"/>
      </w:divBdr>
    </w:div>
    <w:div w:id="411977573">
      <w:bodyDiv w:val="1"/>
      <w:marLeft w:val="0"/>
      <w:marRight w:val="0"/>
      <w:marTop w:val="0"/>
      <w:marBottom w:val="0"/>
      <w:divBdr>
        <w:top w:val="none" w:sz="0" w:space="0" w:color="auto"/>
        <w:left w:val="none" w:sz="0" w:space="0" w:color="auto"/>
        <w:bottom w:val="none" w:sz="0" w:space="0" w:color="auto"/>
        <w:right w:val="none" w:sz="0" w:space="0" w:color="auto"/>
      </w:divBdr>
    </w:div>
    <w:div w:id="412119638">
      <w:bodyDiv w:val="1"/>
      <w:marLeft w:val="0"/>
      <w:marRight w:val="0"/>
      <w:marTop w:val="0"/>
      <w:marBottom w:val="0"/>
      <w:divBdr>
        <w:top w:val="none" w:sz="0" w:space="0" w:color="auto"/>
        <w:left w:val="none" w:sz="0" w:space="0" w:color="auto"/>
        <w:bottom w:val="none" w:sz="0" w:space="0" w:color="auto"/>
        <w:right w:val="none" w:sz="0" w:space="0" w:color="auto"/>
      </w:divBdr>
    </w:div>
    <w:div w:id="412120370">
      <w:bodyDiv w:val="1"/>
      <w:marLeft w:val="0"/>
      <w:marRight w:val="0"/>
      <w:marTop w:val="0"/>
      <w:marBottom w:val="0"/>
      <w:divBdr>
        <w:top w:val="none" w:sz="0" w:space="0" w:color="auto"/>
        <w:left w:val="none" w:sz="0" w:space="0" w:color="auto"/>
        <w:bottom w:val="none" w:sz="0" w:space="0" w:color="auto"/>
        <w:right w:val="none" w:sz="0" w:space="0" w:color="auto"/>
      </w:divBdr>
    </w:div>
    <w:div w:id="412431443">
      <w:bodyDiv w:val="1"/>
      <w:marLeft w:val="0"/>
      <w:marRight w:val="0"/>
      <w:marTop w:val="0"/>
      <w:marBottom w:val="0"/>
      <w:divBdr>
        <w:top w:val="none" w:sz="0" w:space="0" w:color="auto"/>
        <w:left w:val="none" w:sz="0" w:space="0" w:color="auto"/>
        <w:bottom w:val="none" w:sz="0" w:space="0" w:color="auto"/>
        <w:right w:val="none" w:sz="0" w:space="0" w:color="auto"/>
      </w:divBdr>
    </w:div>
    <w:div w:id="412824077">
      <w:bodyDiv w:val="1"/>
      <w:marLeft w:val="0"/>
      <w:marRight w:val="0"/>
      <w:marTop w:val="0"/>
      <w:marBottom w:val="0"/>
      <w:divBdr>
        <w:top w:val="none" w:sz="0" w:space="0" w:color="auto"/>
        <w:left w:val="none" w:sz="0" w:space="0" w:color="auto"/>
        <w:bottom w:val="none" w:sz="0" w:space="0" w:color="auto"/>
        <w:right w:val="none" w:sz="0" w:space="0" w:color="auto"/>
      </w:divBdr>
    </w:div>
    <w:div w:id="412971844">
      <w:bodyDiv w:val="1"/>
      <w:marLeft w:val="0"/>
      <w:marRight w:val="0"/>
      <w:marTop w:val="0"/>
      <w:marBottom w:val="0"/>
      <w:divBdr>
        <w:top w:val="none" w:sz="0" w:space="0" w:color="auto"/>
        <w:left w:val="none" w:sz="0" w:space="0" w:color="auto"/>
        <w:bottom w:val="none" w:sz="0" w:space="0" w:color="auto"/>
        <w:right w:val="none" w:sz="0" w:space="0" w:color="auto"/>
      </w:divBdr>
    </w:div>
    <w:div w:id="413823594">
      <w:bodyDiv w:val="1"/>
      <w:marLeft w:val="0"/>
      <w:marRight w:val="0"/>
      <w:marTop w:val="0"/>
      <w:marBottom w:val="0"/>
      <w:divBdr>
        <w:top w:val="none" w:sz="0" w:space="0" w:color="auto"/>
        <w:left w:val="none" w:sz="0" w:space="0" w:color="auto"/>
        <w:bottom w:val="none" w:sz="0" w:space="0" w:color="auto"/>
        <w:right w:val="none" w:sz="0" w:space="0" w:color="auto"/>
      </w:divBdr>
    </w:div>
    <w:div w:id="414279706">
      <w:bodyDiv w:val="1"/>
      <w:marLeft w:val="0"/>
      <w:marRight w:val="0"/>
      <w:marTop w:val="0"/>
      <w:marBottom w:val="0"/>
      <w:divBdr>
        <w:top w:val="none" w:sz="0" w:space="0" w:color="auto"/>
        <w:left w:val="none" w:sz="0" w:space="0" w:color="auto"/>
        <w:bottom w:val="none" w:sz="0" w:space="0" w:color="auto"/>
        <w:right w:val="none" w:sz="0" w:space="0" w:color="auto"/>
      </w:divBdr>
    </w:div>
    <w:div w:id="414397423">
      <w:bodyDiv w:val="1"/>
      <w:marLeft w:val="0"/>
      <w:marRight w:val="0"/>
      <w:marTop w:val="0"/>
      <w:marBottom w:val="0"/>
      <w:divBdr>
        <w:top w:val="none" w:sz="0" w:space="0" w:color="auto"/>
        <w:left w:val="none" w:sz="0" w:space="0" w:color="auto"/>
        <w:bottom w:val="none" w:sz="0" w:space="0" w:color="auto"/>
        <w:right w:val="none" w:sz="0" w:space="0" w:color="auto"/>
      </w:divBdr>
    </w:div>
    <w:div w:id="414665910">
      <w:bodyDiv w:val="1"/>
      <w:marLeft w:val="0"/>
      <w:marRight w:val="0"/>
      <w:marTop w:val="0"/>
      <w:marBottom w:val="0"/>
      <w:divBdr>
        <w:top w:val="none" w:sz="0" w:space="0" w:color="auto"/>
        <w:left w:val="none" w:sz="0" w:space="0" w:color="auto"/>
        <w:bottom w:val="none" w:sz="0" w:space="0" w:color="auto"/>
        <w:right w:val="none" w:sz="0" w:space="0" w:color="auto"/>
      </w:divBdr>
    </w:div>
    <w:div w:id="414668459">
      <w:bodyDiv w:val="1"/>
      <w:marLeft w:val="0"/>
      <w:marRight w:val="0"/>
      <w:marTop w:val="0"/>
      <w:marBottom w:val="0"/>
      <w:divBdr>
        <w:top w:val="none" w:sz="0" w:space="0" w:color="auto"/>
        <w:left w:val="none" w:sz="0" w:space="0" w:color="auto"/>
        <w:bottom w:val="none" w:sz="0" w:space="0" w:color="auto"/>
        <w:right w:val="none" w:sz="0" w:space="0" w:color="auto"/>
      </w:divBdr>
    </w:div>
    <w:div w:id="414858450">
      <w:bodyDiv w:val="1"/>
      <w:marLeft w:val="0"/>
      <w:marRight w:val="0"/>
      <w:marTop w:val="0"/>
      <w:marBottom w:val="0"/>
      <w:divBdr>
        <w:top w:val="none" w:sz="0" w:space="0" w:color="auto"/>
        <w:left w:val="none" w:sz="0" w:space="0" w:color="auto"/>
        <w:bottom w:val="none" w:sz="0" w:space="0" w:color="auto"/>
        <w:right w:val="none" w:sz="0" w:space="0" w:color="auto"/>
      </w:divBdr>
    </w:div>
    <w:div w:id="415321625">
      <w:bodyDiv w:val="1"/>
      <w:marLeft w:val="0"/>
      <w:marRight w:val="0"/>
      <w:marTop w:val="0"/>
      <w:marBottom w:val="0"/>
      <w:divBdr>
        <w:top w:val="none" w:sz="0" w:space="0" w:color="auto"/>
        <w:left w:val="none" w:sz="0" w:space="0" w:color="auto"/>
        <w:bottom w:val="none" w:sz="0" w:space="0" w:color="auto"/>
        <w:right w:val="none" w:sz="0" w:space="0" w:color="auto"/>
      </w:divBdr>
    </w:div>
    <w:div w:id="415594842">
      <w:bodyDiv w:val="1"/>
      <w:marLeft w:val="0"/>
      <w:marRight w:val="0"/>
      <w:marTop w:val="0"/>
      <w:marBottom w:val="0"/>
      <w:divBdr>
        <w:top w:val="none" w:sz="0" w:space="0" w:color="auto"/>
        <w:left w:val="none" w:sz="0" w:space="0" w:color="auto"/>
        <w:bottom w:val="none" w:sz="0" w:space="0" w:color="auto"/>
        <w:right w:val="none" w:sz="0" w:space="0" w:color="auto"/>
      </w:divBdr>
    </w:div>
    <w:div w:id="415711743">
      <w:bodyDiv w:val="1"/>
      <w:marLeft w:val="0"/>
      <w:marRight w:val="0"/>
      <w:marTop w:val="0"/>
      <w:marBottom w:val="0"/>
      <w:divBdr>
        <w:top w:val="none" w:sz="0" w:space="0" w:color="auto"/>
        <w:left w:val="none" w:sz="0" w:space="0" w:color="auto"/>
        <w:bottom w:val="none" w:sz="0" w:space="0" w:color="auto"/>
        <w:right w:val="none" w:sz="0" w:space="0" w:color="auto"/>
      </w:divBdr>
    </w:div>
    <w:div w:id="415712435">
      <w:bodyDiv w:val="1"/>
      <w:marLeft w:val="0"/>
      <w:marRight w:val="0"/>
      <w:marTop w:val="0"/>
      <w:marBottom w:val="0"/>
      <w:divBdr>
        <w:top w:val="none" w:sz="0" w:space="0" w:color="auto"/>
        <w:left w:val="none" w:sz="0" w:space="0" w:color="auto"/>
        <w:bottom w:val="none" w:sz="0" w:space="0" w:color="auto"/>
        <w:right w:val="none" w:sz="0" w:space="0" w:color="auto"/>
      </w:divBdr>
    </w:div>
    <w:div w:id="415784547">
      <w:bodyDiv w:val="1"/>
      <w:marLeft w:val="0"/>
      <w:marRight w:val="0"/>
      <w:marTop w:val="0"/>
      <w:marBottom w:val="0"/>
      <w:divBdr>
        <w:top w:val="none" w:sz="0" w:space="0" w:color="auto"/>
        <w:left w:val="none" w:sz="0" w:space="0" w:color="auto"/>
        <w:bottom w:val="none" w:sz="0" w:space="0" w:color="auto"/>
        <w:right w:val="none" w:sz="0" w:space="0" w:color="auto"/>
      </w:divBdr>
    </w:div>
    <w:div w:id="415787991">
      <w:bodyDiv w:val="1"/>
      <w:marLeft w:val="0"/>
      <w:marRight w:val="0"/>
      <w:marTop w:val="0"/>
      <w:marBottom w:val="0"/>
      <w:divBdr>
        <w:top w:val="none" w:sz="0" w:space="0" w:color="auto"/>
        <w:left w:val="none" w:sz="0" w:space="0" w:color="auto"/>
        <w:bottom w:val="none" w:sz="0" w:space="0" w:color="auto"/>
        <w:right w:val="none" w:sz="0" w:space="0" w:color="auto"/>
      </w:divBdr>
    </w:div>
    <w:div w:id="415980050">
      <w:bodyDiv w:val="1"/>
      <w:marLeft w:val="0"/>
      <w:marRight w:val="0"/>
      <w:marTop w:val="0"/>
      <w:marBottom w:val="0"/>
      <w:divBdr>
        <w:top w:val="none" w:sz="0" w:space="0" w:color="auto"/>
        <w:left w:val="none" w:sz="0" w:space="0" w:color="auto"/>
        <w:bottom w:val="none" w:sz="0" w:space="0" w:color="auto"/>
        <w:right w:val="none" w:sz="0" w:space="0" w:color="auto"/>
      </w:divBdr>
    </w:div>
    <w:div w:id="416024688">
      <w:bodyDiv w:val="1"/>
      <w:marLeft w:val="0"/>
      <w:marRight w:val="0"/>
      <w:marTop w:val="0"/>
      <w:marBottom w:val="0"/>
      <w:divBdr>
        <w:top w:val="none" w:sz="0" w:space="0" w:color="auto"/>
        <w:left w:val="none" w:sz="0" w:space="0" w:color="auto"/>
        <w:bottom w:val="none" w:sz="0" w:space="0" w:color="auto"/>
        <w:right w:val="none" w:sz="0" w:space="0" w:color="auto"/>
      </w:divBdr>
    </w:div>
    <w:div w:id="416176913">
      <w:bodyDiv w:val="1"/>
      <w:marLeft w:val="0"/>
      <w:marRight w:val="0"/>
      <w:marTop w:val="0"/>
      <w:marBottom w:val="0"/>
      <w:divBdr>
        <w:top w:val="none" w:sz="0" w:space="0" w:color="auto"/>
        <w:left w:val="none" w:sz="0" w:space="0" w:color="auto"/>
        <w:bottom w:val="none" w:sz="0" w:space="0" w:color="auto"/>
        <w:right w:val="none" w:sz="0" w:space="0" w:color="auto"/>
      </w:divBdr>
    </w:div>
    <w:div w:id="416370782">
      <w:bodyDiv w:val="1"/>
      <w:marLeft w:val="0"/>
      <w:marRight w:val="0"/>
      <w:marTop w:val="0"/>
      <w:marBottom w:val="0"/>
      <w:divBdr>
        <w:top w:val="none" w:sz="0" w:space="0" w:color="auto"/>
        <w:left w:val="none" w:sz="0" w:space="0" w:color="auto"/>
        <w:bottom w:val="none" w:sz="0" w:space="0" w:color="auto"/>
        <w:right w:val="none" w:sz="0" w:space="0" w:color="auto"/>
      </w:divBdr>
    </w:div>
    <w:div w:id="416484147">
      <w:bodyDiv w:val="1"/>
      <w:marLeft w:val="0"/>
      <w:marRight w:val="0"/>
      <w:marTop w:val="0"/>
      <w:marBottom w:val="0"/>
      <w:divBdr>
        <w:top w:val="none" w:sz="0" w:space="0" w:color="auto"/>
        <w:left w:val="none" w:sz="0" w:space="0" w:color="auto"/>
        <w:bottom w:val="none" w:sz="0" w:space="0" w:color="auto"/>
        <w:right w:val="none" w:sz="0" w:space="0" w:color="auto"/>
      </w:divBdr>
    </w:div>
    <w:div w:id="416561112">
      <w:bodyDiv w:val="1"/>
      <w:marLeft w:val="0"/>
      <w:marRight w:val="0"/>
      <w:marTop w:val="0"/>
      <w:marBottom w:val="0"/>
      <w:divBdr>
        <w:top w:val="none" w:sz="0" w:space="0" w:color="auto"/>
        <w:left w:val="none" w:sz="0" w:space="0" w:color="auto"/>
        <w:bottom w:val="none" w:sz="0" w:space="0" w:color="auto"/>
        <w:right w:val="none" w:sz="0" w:space="0" w:color="auto"/>
      </w:divBdr>
    </w:div>
    <w:div w:id="416635196">
      <w:bodyDiv w:val="1"/>
      <w:marLeft w:val="0"/>
      <w:marRight w:val="0"/>
      <w:marTop w:val="0"/>
      <w:marBottom w:val="0"/>
      <w:divBdr>
        <w:top w:val="none" w:sz="0" w:space="0" w:color="auto"/>
        <w:left w:val="none" w:sz="0" w:space="0" w:color="auto"/>
        <w:bottom w:val="none" w:sz="0" w:space="0" w:color="auto"/>
        <w:right w:val="none" w:sz="0" w:space="0" w:color="auto"/>
      </w:divBdr>
    </w:div>
    <w:div w:id="416640015">
      <w:bodyDiv w:val="1"/>
      <w:marLeft w:val="0"/>
      <w:marRight w:val="0"/>
      <w:marTop w:val="0"/>
      <w:marBottom w:val="0"/>
      <w:divBdr>
        <w:top w:val="none" w:sz="0" w:space="0" w:color="auto"/>
        <w:left w:val="none" w:sz="0" w:space="0" w:color="auto"/>
        <w:bottom w:val="none" w:sz="0" w:space="0" w:color="auto"/>
        <w:right w:val="none" w:sz="0" w:space="0" w:color="auto"/>
      </w:divBdr>
    </w:div>
    <w:div w:id="416749148">
      <w:bodyDiv w:val="1"/>
      <w:marLeft w:val="0"/>
      <w:marRight w:val="0"/>
      <w:marTop w:val="0"/>
      <w:marBottom w:val="0"/>
      <w:divBdr>
        <w:top w:val="none" w:sz="0" w:space="0" w:color="auto"/>
        <w:left w:val="none" w:sz="0" w:space="0" w:color="auto"/>
        <w:bottom w:val="none" w:sz="0" w:space="0" w:color="auto"/>
        <w:right w:val="none" w:sz="0" w:space="0" w:color="auto"/>
      </w:divBdr>
    </w:div>
    <w:div w:id="416949057">
      <w:bodyDiv w:val="1"/>
      <w:marLeft w:val="0"/>
      <w:marRight w:val="0"/>
      <w:marTop w:val="0"/>
      <w:marBottom w:val="0"/>
      <w:divBdr>
        <w:top w:val="none" w:sz="0" w:space="0" w:color="auto"/>
        <w:left w:val="none" w:sz="0" w:space="0" w:color="auto"/>
        <w:bottom w:val="none" w:sz="0" w:space="0" w:color="auto"/>
        <w:right w:val="none" w:sz="0" w:space="0" w:color="auto"/>
      </w:divBdr>
    </w:div>
    <w:div w:id="417024632">
      <w:bodyDiv w:val="1"/>
      <w:marLeft w:val="0"/>
      <w:marRight w:val="0"/>
      <w:marTop w:val="0"/>
      <w:marBottom w:val="0"/>
      <w:divBdr>
        <w:top w:val="none" w:sz="0" w:space="0" w:color="auto"/>
        <w:left w:val="none" w:sz="0" w:space="0" w:color="auto"/>
        <w:bottom w:val="none" w:sz="0" w:space="0" w:color="auto"/>
        <w:right w:val="none" w:sz="0" w:space="0" w:color="auto"/>
      </w:divBdr>
    </w:div>
    <w:div w:id="417139013">
      <w:bodyDiv w:val="1"/>
      <w:marLeft w:val="0"/>
      <w:marRight w:val="0"/>
      <w:marTop w:val="0"/>
      <w:marBottom w:val="0"/>
      <w:divBdr>
        <w:top w:val="none" w:sz="0" w:space="0" w:color="auto"/>
        <w:left w:val="none" w:sz="0" w:space="0" w:color="auto"/>
        <w:bottom w:val="none" w:sz="0" w:space="0" w:color="auto"/>
        <w:right w:val="none" w:sz="0" w:space="0" w:color="auto"/>
      </w:divBdr>
    </w:div>
    <w:div w:id="417139979">
      <w:bodyDiv w:val="1"/>
      <w:marLeft w:val="0"/>
      <w:marRight w:val="0"/>
      <w:marTop w:val="0"/>
      <w:marBottom w:val="0"/>
      <w:divBdr>
        <w:top w:val="none" w:sz="0" w:space="0" w:color="auto"/>
        <w:left w:val="none" w:sz="0" w:space="0" w:color="auto"/>
        <w:bottom w:val="none" w:sz="0" w:space="0" w:color="auto"/>
        <w:right w:val="none" w:sz="0" w:space="0" w:color="auto"/>
      </w:divBdr>
    </w:div>
    <w:div w:id="417362122">
      <w:bodyDiv w:val="1"/>
      <w:marLeft w:val="0"/>
      <w:marRight w:val="0"/>
      <w:marTop w:val="0"/>
      <w:marBottom w:val="0"/>
      <w:divBdr>
        <w:top w:val="none" w:sz="0" w:space="0" w:color="auto"/>
        <w:left w:val="none" w:sz="0" w:space="0" w:color="auto"/>
        <w:bottom w:val="none" w:sz="0" w:space="0" w:color="auto"/>
        <w:right w:val="none" w:sz="0" w:space="0" w:color="auto"/>
      </w:divBdr>
    </w:div>
    <w:div w:id="417756457">
      <w:bodyDiv w:val="1"/>
      <w:marLeft w:val="0"/>
      <w:marRight w:val="0"/>
      <w:marTop w:val="0"/>
      <w:marBottom w:val="0"/>
      <w:divBdr>
        <w:top w:val="none" w:sz="0" w:space="0" w:color="auto"/>
        <w:left w:val="none" w:sz="0" w:space="0" w:color="auto"/>
        <w:bottom w:val="none" w:sz="0" w:space="0" w:color="auto"/>
        <w:right w:val="none" w:sz="0" w:space="0" w:color="auto"/>
      </w:divBdr>
    </w:div>
    <w:div w:id="418017955">
      <w:bodyDiv w:val="1"/>
      <w:marLeft w:val="0"/>
      <w:marRight w:val="0"/>
      <w:marTop w:val="0"/>
      <w:marBottom w:val="0"/>
      <w:divBdr>
        <w:top w:val="none" w:sz="0" w:space="0" w:color="auto"/>
        <w:left w:val="none" w:sz="0" w:space="0" w:color="auto"/>
        <w:bottom w:val="none" w:sz="0" w:space="0" w:color="auto"/>
        <w:right w:val="none" w:sz="0" w:space="0" w:color="auto"/>
      </w:divBdr>
    </w:div>
    <w:div w:id="418060063">
      <w:bodyDiv w:val="1"/>
      <w:marLeft w:val="0"/>
      <w:marRight w:val="0"/>
      <w:marTop w:val="0"/>
      <w:marBottom w:val="0"/>
      <w:divBdr>
        <w:top w:val="none" w:sz="0" w:space="0" w:color="auto"/>
        <w:left w:val="none" w:sz="0" w:space="0" w:color="auto"/>
        <w:bottom w:val="none" w:sz="0" w:space="0" w:color="auto"/>
        <w:right w:val="none" w:sz="0" w:space="0" w:color="auto"/>
      </w:divBdr>
    </w:div>
    <w:div w:id="418060648">
      <w:bodyDiv w:val="1"/>
      <w:marLeft w:val="0"/>
      <w:marRight w:val="0"/>
      <w:marTop w:val="0"/>
      <w:marBottom w:val="0"/>
      <w:divBdr>
        <w:top w:val="none" w:sz="0" w:space="0" w:color="auto"/>
        <w:left w:val="none" w:sz="0" w:space="0" w:color="auto"/>
        <w:bottom w:val="none" w:sz="0" w:space="0" w:color="auto"/>
        <w:right w:val="none" w:sz="0" w:space="0" w:color="auto"/>
      </w:divBdr>
    </w:div>
    <w:div w:id="418478269">
      <w:bodyDiv w:val="1"/>
      <w:marLeft w:val="0"/>
      <w:marRight w:val="0"/>
      <w:marTop w:val="0"/>
      <w:marBottom w:val="0"/>
      <w:divBdr>
        <w:top w:val="none" w:sz="0" w:space="0" w:color="auto"/>
        <w:left w:val="none" w:sz="0" w:space="0" w:color="auto"/>
        <w:bottom w:val="none" w:sz="0" w:space="0" w:color="auto"/>
        <w:right w:val="none" w:sz="0" w:space="0" w:color="auto"/>
      </w:divBdr>
    </w:div>
    <w:div w:id="418791976">
      <w:bodyDiv w:val="1"/>
      <w:marLeft w:val="0"/>
      <w:marRight w:val="0"/>
      <w:marTop w:val="0"/>
      <w:marBottom w:val="0"/>
      <w:divBdr>
        <w:top w:val="none" w:sz="0" w:space="0" w:color="auto"/>
        <w:left w:val="none" w:sz="0" w:space="0" w:color="auto"/>
        <w:bottom w:val="none" w:sz="0" w:space="0" w:color="auto"/>
        <w:right w:val="none" w:sz="0" w:space="0" w:color="auto"/>
      </w:divBdr>
    </w:div>
    <w:div w:id="419254147">
      <w:bodyDiv w:val="1"/>
      <w:marLeft w:val="0"/>
      <w:marRight w:val="0"/>
      <w:marTop w:val="0"/>
      <w:marBottom w:val="0"/>
      <w:divBdr>
        <w:top w:val="none" w:sz="0" w:space="0" w:color="auto"/>
        <w:left w:val="none" w:sz="0" w:space="0" w:color="auto"/>
        <w:bottom w:val="none" w:sz="0" w:space="0" w:color="auto"/>
        <w:right w:val="none" w:sz="0" w:space="0" w:color="auto"/>
      </w:divBdr>
    </w:div>
    <w:div w:id="419563199">
      <w:bodyDiv w:val="1"/>
      <w:marLeft w:val="0"/>
      <w:marRight w:val="0"/>
      <w:marTop w:val="0"/>
      <w:marBottom w:val="0"/>
      <w:divBdr>
        <w:top w:val="none" w:sz="0" w:space="0" w:color="auto"/>
        <w:left w:val="none" w:sz="0" w:space="0" w:color="auto"/>
        <w:bottom w:val="none" w:sz="0" w:space="0" w:color="auto"/>
        <w:right w:val="none" w:sz="0" w:space="0" w:color="auto"/>
      </w:divBdr>
    </w:div>
    <w:div w:id="419760122">
      <w:bodyDiv w:val="1"/>
      <w:marLeft w:val="0"/>
      <w:marRight w:val="0"/>
      <w:marTop w:val="0"/>
      <w:marBottom w:val="0"/>
      <w:divBdr>
        <w:top w:val="none" w:sz="0" w:space="0" w:color="auto"/>
        <w:left w:val="none" w:sz="0" w:space="0" w:color="auto"/>
        <w:bottom w:val="none" w:sz="0" w:space="0" w:color="auto"/>
        <w:right w:val="none" w:sz="0" w:space="0" w:color="auto"/>
      </w:divBdr>
    </w:div>
    <w:div w:id="419789513">
      <w:bodyDiv w:val="1"/>
      <w:marLeft w:val="0"/>
      <w:marRight w:val="0"/>
      <w:marTop w:val="0"/>
      <w:marBottom w:val="0"/>
      <w:divBdr>
        <w:top w:val="none" w:sz="0" w:space="0" w:color="auto"/>
        <w:left w:val="none" w:sz="0" w:space="0" w:color="auto"/>
        <w:bottom w:val="none" w:sz="0" w:space="0" w:color="auto"/>
        <w:right w:val="none" w:sz="0" w:space="0" w:color="auto"/>
      </w:divBdr>
    </w:div>
    <w:div w:id="420032229">
      <w:bodyDiv w:val="1"/>
      <w:marLeft w:val="0"/>
      <w:marRight w:val="0"/>
      <w:marTop w:val="0"/>
      <w:marBottom w:val="0"/>
      <w:divBdr>
        <w:top w:val="none" w:sz="0" w:space="0" w:color="auto"/>
        <w:left w:val="none" w:sz="0" w:space="0" w:color="auto"/>
        <w:bottom w:val="none" w:sz="0" w:space="0" w:color="auto"/>
        <w:right w:val="none" w:sz="0" w:space="0" w:color="auto"/>
      </w:divBdr>
    </w:div>
    <w:div w:id="420104741">
      <w:bodyDiv w:val="1"/>
      <w:marLeft w:val="0"/>
      <w:marRight w:val="0"/>
      <w:marTop w:val="0"/>
      <w:marBottom w:val="0"/>
      <w:divBdr>
        <w:top w:val="none" w:sz="0" w:space="0" w:color="auto"/>
        <w:left w:val="none" w:sz="0" w:space="0" w:color="auto"/>
        <w:bottom w:val="none" w:sz="0" w:space="0" w:color="auto"/>
        <w:right w:val="none" w:sz="0" w:space="0" w:color="auto"/>
      </w:divBdr>
    </w:div>
    <w:div w:id="420418135">
      <w:bodyDiv w:val="1"/>
      <w:marLeft w:val="0"/>
      <w:marRight w:val="0"/>
      <w:marTop w:val="0"/>
      <w:marBottom w:val="0"/>
      <w:divBdr>
        <w:top w:val="none" w:sz="0" w:space="0" w:color="auto"/>
        <w:left w:val="none" w:sz="0" w:space="0" w:color="auto"/>
        <w:bottom w:val="none" w:sz="0" w:space="0" w:color="auto"/>
        <w:right w:val="none" w:sz="0" w:space="0" w:color="auto"/>
      </w:divBdr>
    </w:div>
    <w:div w:id="420957833">
      <w:bodyDiv w:val="1"/>
      <w:marLeft w:val="0"/>
      <w:marRight w:val="0"/>
      <w:marTop w:val="0"/>
      <w:marBottom w:val="0"/>
      <w:divBdr>
        <w:top w:val="none" w:sz="0" w:space="0" w:color="auto"/>
        <w:left w:val="none" w:sz="0" w:space="0" w:color="auto"/>
        <w:bottom w:val="none" w:sz="0" w:space="0" w:color="auto"/>
        <w:right w:val="none" w:sz="0" w:space="0" w:color="auto"/>
      </w:divBdr>
    </w:div>
    <w:div w:id="421074607">
      <w:bodyDiv w:val="1"/>
      <w:marLeft w:val="0"/>
      <w:marRight w:val="0"/>
      <w:marTop w:val="0"/>
      <w:marBottom w:val="0"/>
      <w:divBdr>
        <w:top w:val="none" w:sz="0" w:space="0" w:color="auto"/>
        <w:left w:val="none" w:sz="0" w:space="0" w:color="auto"/>
        <w:bottom w:val="none" w:sz="0" w:space="0" w:color="auto"/>
        <w:right w:val="none" w:sz="0" w:space="0" w:color="auto"/>
      </w:divBdr>
    </w:div>
    <w:div w:id="421143378">
      <w:bodyDiv w:val="1"/>
      <w:marLeft w:val="0"/>
      <w:marRight w:val="0"/>
      <w:marTop w:val="0"/>
      <w:marBottom w:val="0"/>
      <w:divBdr>
        <w:top w:val="none" w:sz="0" w:space="0" w:color="auto"/>
        <w:left w:val="none" w:sz="0" w:space="0" w:color="auto"/>
        <w:bottom w:val="none" w:sz="0" w:space="0" w:color="auto"/>
        <w:right w:val="none" w:sz="0" w:space="0" w:color="auto"/>
      </w:divBdr>
    </w:div>
    <w:div w:id="421219465">
      <w:bodyDiv w:val="1"/>
      <w:marLeft w:val="0"/>
      <w:marRight w:val="0"/>
      <w:marTop w:val="0"/>
      <w:marBottom w:val="0"/>
      <w:divBdr>
        <w:top w:val="none" w:sz="0" w:space="0" w:color="auto"/>
        <w:left w:val="none" w:sz="0" w:space="0" w:color="auto"/>
        <w:bottom w:val="none" w:sz="0" w:space="0" w:color="auto"/>
        <w:right w:val="none" w:sz="0" w:space="0" w:color="auto"/>
      </w:divBdr>
    </w:div>
    <w:div w:id="421491377">
      <w:bodyDiv w:val="1"/>
      <w:marLeft w:val="0"/>
      <w:marRight w:val="0"/>
      <w:marTop w:val="0"/>
      <w:marBottom w:val="0"/>
      <w:divBdr>
        <w:top w:val="none" w:sz="0" w:space="0" w:color="auto"/>
        <w:left w:val="none" w:sz="0" w:space="0" w:color="auto"/>
        <w:bottom w:val="none" w:sz="0" w:space="0" w:color="auto"/>
        <w:right w:val="none" w:sz="0" w:space="0" w:color="auto"/>
      </w:divBdr>
    </w:div>
    <w:div w:id="421797489">
      <w:bodyDiv w:val="1"/>
      <w:marLeft w:val="0"/>
      <w:marRight w:val="0"/>
      <w:marTop w:val="0"/>
      <w:marBottom w:val="0"/>
      <w:divBdr>
        <w:top w:val="none" w:sz="0" w:space="0" w:color="auto"/>
        <w:left w:val="none" w:sz="0" w:space="0" w:color="auto"/>
        <w:bottom w:val="none" w:sz="0" w:space="0" w:color="auto"/>
        <w:right w:val="none" w:sz="0" w:space="0" w:color="auto"/>
      </w:divBdr>
    </w:div>
    <w:div w:id="421994986">
      <w:bodyDiv w:val="1"/>
      <w:marLeft w:val="0"/>
      <w:marRight w:val="0"/>
      <w:marTop w:val="0"/>
      <w:marBottom w:val="0"/>
      <w:divBdr>
        <w:top w:val="none" w:sz="0" w:space="0" w:color="auto"/>
        <w:left w:val="none" w:sz="0" w:space="0" w:color="auto"/>
        <w:bottom w:val="none" w:sz="0" w:space="0" w:color="auto"/>
        <w:right w:val="none" w:sz="0" w:space="0" w:color="auto"/>
      </w:divBdr>
    </w:div>
    <w:div w:id="422071567">
      <w:bodyDiv w:val="1"/>
      <w:marLeft w:val="0"/>
      <w:marRight w:val="0"/>
      <w:marTop w:val="0"/>
      <w:marBottom w:val="0"/>
      <w:divBdr>
        <w:top w:val="none" w:sz="0" w:space="0" w:color="auto"/>
        <w:left w:val="none" w:sz="0" w:space="0" w:color="auto"/>
        <w:bottom w:val="none" w:sz="0" w:space="0" w:color="auto"/>
        <w:right w:val="none" w:sz="0" w:space="0" w:color="auto"/>
      </w:divBdr>
    </w:div>
    <w:div w:id="422453836">
      <w:bodyDiv w:val="1"/>
      <w:marLeft w:val="0"/>
      <w:marRight w:val="0"/>
      <w:marTop w:val="0"/>
      <w:marBottom w:val="0"/>
      <w:divBdr>
        <w:top w:val="none" w:sz="0" w:space="0" w:color="auto"/>
        <w:left w:val="none" w:sz="0" w:space="0" w:color="auto"/>
        <w:bottom w:val="none" w:sz="0" w:space="0" w:color="auto"/>
        <w:right w:val="none" w:sz="0" w:space="0" w:color="auto"/>
      </w:divBdr>
    </w:div>
    <w:div w:id="422846251">
      <w:bodyDiv w:val="1"/>
      <w:marLeft w:val="0"/>
      <w:marRight w:val="0"/>
      <w:marTop w:val="0"/>
      <w:marBottom w:val="0"/>
      <w:divBdr>
        <w:top w:val="none" w:sz="0" w:space="0" w:color="auto"/>
        <w:left w:val="none" w:sz="0" w:space="0" w:color="auto"/>
        <w:bottom w:val="none" w:sz="0" w:space="0" w:color="auto"/>
        <w:right w:val="none" w:sz="0" w:space="0" w:color="auto"/>
      </w:divBdr>
    </w:div>
    <w:div w:id="422915073">
      <w:bodyDiv w:val="1"/>
      <w:marLeft w:val="0"/>
      <w:marRight w:val="0"/>
      <w:marTop w:val="0"/>
      <w:marBottom w:val="0"/>
      <w:divBdr>
        <w:top w:val="none" w:sz="0" w:space="0" w:color="auto"/>
        <w:left w:val="none" w:sz="0" w:space="0" w:color="auto"/>
        <w:bottom w:val="none" w:sz="0" w:space="0" w:color="auto"/>
        <w:right w:val="none" w:sz="0" w:space="0" w:color="auto"/>
      </w:divBdr>
    </w:div>
    <w:div w:id="423067162">
      <w:bodyDiv w:val="1"/>
      <w:marLeft w:val="0"/>
      <w:marRight w:val="0"/>
      <w:marTop w:val="0"/>
      <w:marBottom w:val="0"/>
      <w:divBdr>
        <w:top w:val="none" w:sz="0" w:space="0" w:color="auto"/>
        <w:left w:val="none" w:sz="0" w:space="0" w:color="auto"/>
        <w:bottom w:val="none" w:sz="0" w:space="0" w:color="auto"/>
        <w:right w:val="none" w:sz="0" w:space="0" w:color="auto"/>
      </w:divBdr>
    </w:div>
    <w:div w:id="423258504">
      <w:bodyDiv w:val="1"/>
      <w:marLeft w:val="0"/>
      <w:marRight w:val="0"/>
      <w:marTop w:val="0"/>
      <w:marBottom w:val="0"/>
      <w:divBdr>
        <w:top w:val="none" w:sz="0" w:space="0" w:color="auto"/>
        <w:left w:val="none" w:sz="0" w:space="0" w:color="auto"/>
        <w:bottom w:val="none" w:sz="0" w:space="0" w:color="auto"/>
        <w:right w:val="none" w:sz="0" w:space="0" w:color="auto"/>
      </w:divBdr>
    </w:div>
    <w:div w:id="423263874">
      <w:bodyDiv w:val="1"/>
      <w:marLeft w:val="0"/>
      <w:marRight w:val="0"/>
      <w:marTop w:val="0"/>
      <w:marBottom w:val="0"/>
      <w:divBdr>
        <w:top w:val="none" w:sz="0" w:space="0" w:color="auto"/>
        <w:left w:val="none" w:sz="0" w:space="0" w:color="auto"/>
        <w:bottom w:val="none" w:sz="0" w:space="0" w:color="auto"/>
        <w:right w:val="none" w:sz="0" w:space="0" w:color="auto"/>
      </w:divBdr>
    </w:div>
    <w:div w:id="423457428">
      <w:bodyDiv w:val="1"/>
      <w:marLeft w:val="0"/>
      <w:marRight w:val="0"/>
      <w:marTop w:val="0"/>
      <w:marBottom w:val="0"/>
      <w:divBdr>
        <w:top w:val="none" w:sz="0" w:space="0" w:color="auto"/>
        <w:left w:val="none" w:sz="0" w:space="0" w:color="auto"/>
        <w:bottom w:val="none" w:sz="0" w:space="0" w:color="auto"/>
        <w:right w:val="none" w:sz="0" w:space="0" w:color="auto"/>
      </w:divBdr>
    </w:div>
    <w:div w:id="423959289">
      <w:bodyDiv w:val="1"/>
      <w:marLeft w:val="0"/>
      <w:marRight w:val="0"/>
      <w:marTop w:val="0"/>
      <w:marBottom w:val="0"/>
      <w:divBdr>
        <w:top w:val="none" w:sz="0" w:space="0" w:color="auto"/>
        <w:left w:val="none" w:sz="0" w:space="0" w:color="auto"/>
        <w:bottom w:val="none" w:sz="0" w:space="0" w:color="auto"/>
        <w:right w:val="none" w:sz="0" w:space="0" w:color="auto"/>
      </w:divBdr>
    </w:div>
    <w:div w:id="424613164">
      <w:bodyDiv w:val="1"/>
      <w:marLeft w:val="0"/>
      <w:marRight w:val="0"/>
      <w:marTop w:val="0"/>
      <w:marBottom w:val="0"/>
      <w:divBdr>
        <w:top w:val="none" w:sz="0" w:space="0" w:color="auto"/>
        <w:left w:val="none" w:sz="0" w:space="0" w:color="auto"/>
        <w:bottom w:val="none" w:sz="0" w:space="0" w:color="auto"/>
        <w:right w:val="none" w:sz="0" w:space="0" w:color="auto"/>
      </w:divBdr>
    </w:div>
    <w:div w:id="424616454">
      <w:bodyDiv w:val="1"/>
      <w:marLeft w:val="0"/>
      <w:marRight w:val="0"/>
      <w:marTop w:val="0"/>
      <w:marBottom w:val="0"/>
      <w:divBdr>
        <w:top w:val="none" w:sz="0" w:space="0" w:color="auto"/>
        <w:left w:val="none" w:sz="0" w:space="0" w:color="auto"/>
        <w:bottom w:val="none" w:sz="0" w:space="0" w:color="auto"/>
        <w:right w:val="none" w:sz="0" w:space="0" w:color="auto"/>
      </w:divBdr>
    </w:div>
    <w:div w:id="424762894">
      <w:bodyDiv w:val="1"/>
      <w:marLeft w:val="0"/>
      <w:marRight w:val="0"/>
      <w:marTop w:val="0"/>
      <w:marBottom w:val="0"/>
      <w:divBdr>
        <w:top w:val="none" w:sz="0" w:space="0" w:color="auto"/>
        <w:left w:val="none" w:sz="0" w:space="0" w:color="auto"/>
        <w:bottom w:val="none" w:sz="0" w:space="0" w:color="auto"/>
        <w:right w:val="none" w:sz="0" w:space="0" w:color="auto"/>
      </w:divBdr>
    </w:div>
    <w:div w:id="424764818">
      <w:bodyDiv w:val="1"/>
      <w:marLeft w:val="0"/>
      <w:marRight w:val="0"/>
      <w:marTop w:val="0"/>
      <w:marBottom w:val="0"/>
      <w:divBdr>
        <w:top w:val="none" w:sz="0" w:space="0" w:color="auto"/>
        <w:left w:val="none" w:sz="0" w:space="0" w:color="auto"/>
        <w:bottom w:val="none" w:sz="0" w:space="0" w:color="auto"/>
        <w:right w:val="none" w:sz="0" w:space="0" w:color="auto"/>
      </w:divBdr>
    </w:div>
    <w:div w:id="424770797">
      <w:bodyDiv w:val="1"/>
      <w:marLeft w:val="0"/>
      <w:marRight w:val="0"/>
      <w:marTop w:val="0"/>
      <w:marBottom w:val="0"/>
      <w:divBdr>
        <w:top w:val="none" w:sz="0" w:space="0" w:color="auto"/>
        <w:left w:val="none" w:sz="0" w:space="0" w:color="auto"/>
        <w:bottom w:val="none" w:sz="0" w:space="0" w:color="auto"/>
        <w:right w:val="none" w:sz="0" w:space="0" w:color="auto"/>
      </w:divBdr>
    </w:div>
    <w:div w:id="425001775">
      <w:bodyDiv w:val="1"/>
      <w:marLeft w:val="0"/>
      <w:marRight w:val="0"/>
      <w:marTop w:val="0"/>
      <w:marBottom w:val="0"/>
      <w:divBdr>
        <w:top w:val="none" w:sz="0" w:space="0" w:color="auto"/>
        <w:left w:val="none" w:sz="0" w:space="0" w:color="auto"/>
        <w:bottom w:val="none" w:sz="0" w:space="0" w:color="auto"/>
        <w:right w:val="none" w:sz="0" w:space="0" w:color="auto"/>
      </w:divBdr>
    </w:div>
    <w:div w:id="425073391">
      <w:bodyDiv w:val="1"/>
      <w:marLeft w:val="0"/>
      <w:marRight w:val="0"/>
      <w:marTop w:val="0"/>
      <w:marBottom w:val="0"/>
      <w:divBdr>
        <w:top w:val="none" w:sz="0" w:space="0" w:color="auto"/>
        <w:left w:val="none" w:sz="0" w:space="0" w:color="auto"/>
        <w:bottom w:val="none" w:sz="0" w:space="0" w:color="auto"/>
        <w:right w:val="none" w:sz="0" w:space="0" w:color="auto"/>
      </w:divBdr>
    </w:div>
    <w:div w:id="425273286">
      <w:bodyDiv w:val="1"/>
      <w:marLeft w:val="0"/>
      <w:marRight w:val="0"/>
      <w:marTop w:val="0"/>
      <w:marBottom w:val="0"/>
      <w:divBdr>
        <w:top w:val="none" w:sz="0" w:space="0" w:color="auto"/>
        <w:left w:val="none" w:sz="0" w:space="0" w:color="auto"/>
        <w:bottom w:val="none" w:sz="0" w:space="0" w:color="auto"/>
        <w:right w:val="none" w:sz="0" w:space="0" w:color="auto"/>
      </w:divBdr>
    </w:div>
    <w:div w:id="425421459">
      <w:bodyDiv w:val="1"/>
      <w:marLeft w:val="0"/>
      <w:marRight w:val="0"/>
      <w:marTop w:val="0"/>
      <w:marBottom w:val="0"/>
      <w:divBdr>
        <w:top w:val="none" w:sz="0" w:space="0" w:color="auto"/>
        <w:left w:val="none" w:sz="0" w:space="0" w:color="auto"/>
        <w:bottom w:val="none" w:sz="0" w:space="0" w:color="auto"/>
        <w:right w:val="none" w:sz="0" w:space="0" w:color="auto"/>
      </w:divBdr>
    </w:div>
    <w:div w:id="425658085">
      <w:bodyDiv w:val="1"/>
      <w:marLeft w:val="0"/>
      <w:marRight w:val="0"/>
      <w:marTop w:val="0"/>
      <w:marBottom w:val="0"/>
      <w:divBdr>
        <w:top w:val="none" w:sz="0" w:space="0" w:color="auto"/>
        <w:left w:val="none" w:sz="0" w:space="0" w:color="auto"/>
        <w:bottom w:val="none" w:sz="0" w:space="0" w:color="auto"/>
        <w:right w:val="none" w:sz="0" w:space="0" w:color="auto"/>
      </w:divBdr>
    </w:div>
    <w:div w:id="425688793">
      <w:bodyDiv w:val="1"/>
      <w:marLeft w:val="0"/>
      <w:marRight w:val="0"/>
      <w:marTop w:val="0"/>
      <w:marBottom w:val="0"/>
      <w:divBdr>
        <w:top w:val="none" w:sz="0" w:space="0" w:color="auto"/>
        <w:left w:val="none" w:sz="0" w:space="0" w:color="auto"/>
        <w:bottom w:val="none" w:sz="0" w:space="0" w:color="auto"/>
        <w:right w:val="none" w:sz="0" w:space="0" w:color="auto"/>
      </w:divBdr>
    </w:div>
    <w:div w:id="425728975">
      <w:bodyDiv w:val="1"/>
      <w:marLeft w:val="0"/>
      <w:marRight w:val="0"/>
      <w:marTop w:val="0"/>
      <w:marBottom w:val="0"/>
      <w:divBdr>
        <w:top w:val="none" w:sz="0" w:space="0" w:color="auto"/>
        <w:left w:val="none" w:sz="0" w:space="0" w:color="auto"/>
        <w:bottom w:val="none" w:sz="0" w:space="0" w:color="auto"/>
        <w:right w:val="none" w:sz="0" w:space="0" w:color="auto"/>
      </w:divBdr>
    </w:div>
    <w:div w:id="425804048">
      <w:bodyDiv w:val="1"/>
      <w:marLeft w:val="0"/>
      <w:marRight w:val="0"/>
      <w:marTop w:val="0"/>
      <w:marBottom w:val="0"/>
      <w:divBdr>
        <w:top w:val="none" w:sz="0" w:space="0" w:color="auto"/>
        <w:left w:val="none" w:sz="0" w:space="0" w:color="auto"/>
        <w:bottom w:val="none" w:sz="0" w:space="0" w:color="auto"/>
        <w:right w:val="none" w:sz="0" w:space="0" w:color="auto"/>
      </w:divBdr>
    </w:div>
    <w:div w:id="426076661">
      <w:bodyDiv w:val="1"/>
      <w:marLeft w:val="0"/>
      <w:marRight w:val="0"/>
      <w:marTop w:val="0"/>
      <w:marBottom w:val="0"/>
      <w:divBdr>
        <w:top w:val="none" w:sz="0" w:space="0" w:color="auto"/>
        <w:left w:val="none" w:sz="0" w:space="0" w:color="auto"/>
        <w:bottom w:val="none" w:sz="0" w:space="0" w:color="auto"/>
        <w:right w:val="none" w:sz="0" w:space="0" w:color="auto"/>
      </w:divBdr>
    </w:div>
    <w:div w:id="426081355">
      <w:bodyDiv w:val="1"/>
      <w:marLeft w:val="0"/>
      <w:marRight w:val="0"/>
      <w:marTop w:val="0"/>
      <w:marBottom w:val="0"/>
      <w:divBdr>
        <w:top w:val="none" w:sz="0" w:space="0" w:color="auto"/>
        <w:left w:val="none" w:sz="0" w:space="0" w:color="auto"/>
        <w:bottom w:val="none" w:sz="0" w:space="0" w:color="auto"/>
        <w:right w:val="none" w:sz="0" w:space="0" w:color="auto"/>
      </w:divBdr>
    </w:div>
    <w:div w:id="426082292">
      <w:bodyDiv w:val="1"/>
      <w:marLeft w:val="0"/>
      <w:marRight w:val="0"/>
      <w:marTop w:val="0"/>
      <w:marBottom w:val="0"/>
      <w:divBdr>
        <w:top w:val="none" w:sz="0" w:space="0" w:color="auto"/>
        <w:left w:val="none" w:sz="0" w:space="0" w:color="auto"/>
        <w:bottom w:val="none" w:sz="0" w:space="0" w:color="auto"/>
        <w:right w:val="none" w:sz="0" w:space="0" w:color="auto"/>
      </w:divBdr>
    </w:div>
    <w:div w:id="426388636">
      <w:bodyDiv w:val="1"/>
      <w:marLeft w:val="0"/>
      <w:marRight w:val="0"/>
      <w:marTop w:val="0"/>
      <w:marBottom w:val="0"/>
      <w:divBdr>
        <w:top w:val="none" w:sz="0" w:space="0" w:color="auto"/>
        <w:left w:val="none" w:sz="0" w:space="0" w:color="auto"/>
        <w:bottom w:val="none" w:sz="0" w:space="0" w:color="auto"/>
        <w:right w:val="none" w:sz="0" w:space="0" w:color="auto"/>
      </w:divBdr>
    </w:div>
    <w:div w:id="426465060">
      <w:bodyDiv w:val="1"/>
      <w:marLeft w:val="0"/>
      <w:marRight w:val="0"/>
      <w:marTop w:val="0"/>
      <w:marBottom w:val="0"/>
      <w:divBdr>
        <w:top w:val="none" w:sz="0" w:space="0" w:color="auto"/>
        <w:left w:val="none" w:sz="0" w:space="0" w:color="auto"/>
        <w:bottom w:val="none" w:sz="0" w:space="0" w:color="auto"/>
        <w:right w:val="none" w:sz="0" w:space="0" w:color="auto"/>
      </w:divBdr>
    </w:div>
    <w:div w:id="426583641">
      <w:bodyDiv w:val="1"/>
      <w:marLeft w:val="0"/>
      <w:marRight w:val="0"/>
      <w:marTop w:val="0"/>
      <w:marBottom w:val="0"/>
      <w:divBdr>
        <w:top w:val="none" w:sz="0" w:space="0" w:color="auto"/>
        <w:left w:val="none" w:sz="0" w:space="0" w:color="auto"/>
        <w:bottom w:val="none" w:sz="0" w:space="0" w:color="auto"/>
        <w:right w:val="none" w:sz="0" w:space="0" w:color="auto"/>
      </w:divBdr>
    </w:div>
    <w:div w:id="426731155">
      <w:bodyDiv w:val="1"/>
      <w:marLeft w:val="0"/>
      <w:marRight w:val="0"/>
      <w:marTop w:val="0"/>
      <w:marBottom w:val="0"/>
      <w:divBdr>
        <w:top w:val="none" w:sz="0" w:space="0" w:color="auto"/>
        <w:left w:val="none" w:sz="0" w:space="0" w:color="auto"/>
        <w:bottom w:val="none" w:sz="0" w:space="0" w:color="auto"/>
        <w:right w:val="none" w:sz="0" w:space="0" w:color="auto"/>
      </w:divBdr>
    </w:div>
    <w:div w:id="426735048">
      <w:bodyDiv w:val="1"/>
      <w:marLeft w:val="0"/>
      <w:marRight w:val="0"/>
      <w:marTop w:val="0"/>
      <w:marBottom w:val="0"/>
      <w:divBdr>
        <w:top w:val="none" w:sz="0" w:space="0" w:color="auto"/>
        <w:left w:val="none" w:sz="0" w:space="0" w:color="auto"/>
        <w:bottom w:val="none" w:sz="0" w:space="0" w:color="auto"/>
        <w:right w:val="none" w:sz="0" w:space="0" w:color="auto"/>
      </w:divBdr>
    </w:div>
    <w:div w:id="426850027">
      <w:bodyDiv w:val="1"/>
      <w:marLeft w:val="0"/>
      <w:marRight w:val="0"/>
      <w:marTop w:val="0"/>
      <w:marBottom w:val="0"/>
      <w:divBdr>
        <w:top w:val="none" w:sz="0" w:space="0" w:color="auto"/>
        <w:left w:val="none" w:sz="0" w:space="0" w:color="auto"/>
        <w:bottom w:val="none" w:sz="0" w:space="0" w:color="auto"/>
        <w:right w:val="none" w:sz="0" w:space="0" w:color="auto"/>
      </w:divBdr>
    </w:div>
    <w:div w:id="426850240">
      <w:bodyDiv w:val="1"/>
      <w:marLeft w:val="0"/>
      <w:marRight w:val="0"/>
      <w:marTop w:val="0"/>
      <w:marBottom w:val="0"/>
      <w:divBdr>
        <w:top w:val="none" w:sz="0" w:space="0" w:color="auto"/>
        <w:left w:val="none" w:sz="0" w:space="0" w:color="auto"/>
        <w:bottom w:val="none" w:sz="0" w:space="0" w:color="auto"/>
        <w:right w:val="none" w:sz="0" w:space="0" w:color="auto"/>
      </w:divBdr>
    </w:div>
    <w:div w:id="427121466">
      <w:bodyDiv w:val="1"/>
      <w:marLeft w:val="0"/>
      <w:marRight w:val="0"/>
      <w:marTop w:val="0"/>
      <w:marBottom w:val="0"/>
      <w:divBdr>
        <w:top w:val="none" w:sz="0" w:space="0" w:color="auto"/>
        <w:left w:val="none" w:sz="0" w:space="0" w:color="auto"/>
        <w:bottom w:val="none" w:sz="0" w:space="0" w:color="auto"/>
        <w:right w:val="none" w:sz="0" w:space="0" w:color="auto"/>
      </w:divBdr>
    </w:div>
    <w:div w:id="427192908">
      <w:bodyDiv w:val="1"/>
      <w:marLeft w:val="0"/>
      <w:marRight w:val="0"/>
      <w:marTop w:val="0"/>
      <w:marBottom w:val="0"/>
      <w:divBdr>
        <w:top w:val="none" w:sz="0" w:space="0" w:color="auto"/>
        <w:left w:val="none" w:sz="0" w:space="0" w:color="auto"/>
        <w:bottom w:val="none" w:sz="0" w:space="0" w:color="auto"/>
        <w:right w:val="none" w:sz="0" w:space="0" w:color="auto"/>
      </w:divBdr>
    </w:div>
    <w:div w:id="427434535">
      <w:bodyDiv w:val="1"/>
      <w:marLeft w:val="0"/>
      <w:marRight w:val="0"/>
      <w:marTop w:val="0"/>
      <w:marBottom w:val="0"/>
      <w:divBdr>
        <w:top w:val="none" w:sz="0" w:space="0" w:color="auto"/>
        <w:left w:val="none" w:sz="0" w:space="0" w:color="auto"/>
        <w:bottom w:val="none" w:sz="0" w:space="0" w:color="auto"/>
        <w:right w:val="none" w:sz="0" w:space="0" w:color="auto"/>
      </w:divBdr>
    </w:div>
    <w:div w:id="427845452">
      <w:bodyDiv w:val="1"/>
      <w:marLeft w:val="0"/>
      <w:marRight w:val="0"/>
      <w:marTop w:val="0"/>
      <w:marBottom w:val="0"/>
      <w:divBdr>
        <w:top w:val="none" w:sz="0" w:space="0" w:color="auto"/>
        <w:left w:val="none" w:sz="0" w:space="0" w:color="auto"/>
        <w:bottom w:val="none" w:sz="0" w:space="0" w:color="auto"/>
        <w:right w:val="none" w:sz="0" w:space="0" w:color="auto"/>
      </w:divBdr>
    </w:div>
    <w:div w:id="427968502">
      <w:bodyDiv w:val="1"/>
      <w:marLeft w:val="0"/>
      <w:marRight w:val="0"/>
      <w:marTop w:val="0"/>
      <w:marBottom w:val="0"/>
      <w:divBdr>
        <w:top w:val="none" w:sz="0" w:space="0" w:color="auto"/>
        <w:left w:val="none" w:sz="0" w:space="0" w:color="auto"/>
        <w:bottom w:val="none" w:sz="0" w:space="0" w:color="auto"/>
        <w:right w:val="none" w:sz="0" w:space="0" w:color="auto"/>
      </w:divBdr>
    </w:div>
    <w:div w:id="428083905">
      <w:bodyDiv w:val="1"/>
      <w:marLeft w:val="0"/>
      <w:marRight w:val="0"/>
      <w:marTop w:val="0"/>
      <w:marBottom w:val="0"/>
      <w:divBdr>
        <w:top w:val="none" w:sz="0" w:space="0" w:color="auto"/>
        <w:left w:val="none" w:sz="0" w:space="0" w:color="auto"/>
        <w:bottom w:val="none" w:sz="0" w:space="0" w:color="auto"/>
        <w:right w:val="none" w:sz="0" w:space="0" w:color="auto"/>
      </w:divBdr>
    </w:div>
    <w:div w:id="428702684">
      <w:bodyDiv w:val="1"/>
      <w:marLeft w:val="0"/>
      <w:marRight w:val="0"/>
      <w:marTop w:val="0"/>
      <w:marBottom w:val="0"/>
      <w:divBdr>
        <w:top w:val="none" w:sz="0" w:space="0" w:color="auto"/>
        <w:left w:val="none" w:sz="0" w:space="0" w:color="auto"/>
        <w:bottom w:val="none" w:sz="0" w:space="0" w:color="auto"/>
        <w:right w:val="none" w:sz="0" w:space="0" w:color="auto"/>
      </w:divBdr>
    </w:div>
    <w:div w:id="428888649">
      <w:bodyDiv w:val="1"/>
      <w:marLeft w:val="0"/>
      <w:marRight w:val="0"/>
      <w:marTop w:val="0"/>
      <w:marBottom w:val="0"/>
      <w:divBdr>
        <w:top w:val="none" w:sz="0" w:space="0" w:color="auto"/>
        <w:left w:val="none" w:sz="0" w:space="0" w:color="auto"/>
        <w:bottom w:val="none" w:sz="0" w:space="0" w:color="auto"/>
        <w:right w:val="none" w:sz="0" w:space="0" w:color="auto"/>
      </w:divBdr>
    </w:div>
    <w:div w:id="429157733">
      <w:bodyDiv w:val="1"/>
      <w:marLeft w:val="0"/>
      <w:marRight w:val="0"/>
      <w:marTop w:val="0"/>
      <w:marBottom w:val="0"/>
      <w:divBdr>
        <w:top w:val="none" w:sz="0" w:space="0" w:color="auto"/>
        <w:left w:val="none" w:sz="0" w:space="0" w:color="auto"/>
        <w:bottom w:val="none" w:sz="0" w:space="0" w:color="auto"/>
        <w:right w:val="none" w:sz="0" w:space="0" w:color="auto"/>
      </w:divBdr>
    </w:div>
    <w:div w:id="429350478">
      <w:bodyDiv w:val="1"/>
      <w:marLeft w:val="0"/>
      <w:marRight w:val="0"/>
      <w:marTop w:val="0"/>
      <w:marBottom w:val="0"/>
      <w:divBdr>
        <w:top w:val="none" w:sz="0" w:space="0" w:color="auto"/>
        <w:left w:val="none" w:sz="0" w:space="0" w:color="auto"/>
        <w:bottom w:val="none" w:sz="0" w:space="0" w:color="auto"/>
        <w:right w:val="none" w:sz="0" w:space="0" w:color="auto"/>
      </w:divBdr>
    </w:div>
    <w:div w:id="429741321">
      <w:bodyDiv w:val="1"/>
      <w:marLeft w:val="0"/>
      <w:marRight w:val="0"/>
      <w:marTop w:val="0"/>
      <w:marBottom w:val="0"/>
      <w:divBdr>
        <w:top w:val="none" w:sz="0" w:space="0" w:color="auto"/>
        <w:left w:val="none" w:sz="0" w:space="0" w:color="auto"/>
        <w:bottom w:val="none" w:sz="0" w:space="0" w:color="auto"/>
        <w:right w:val="none" w:sz="0" w:space="0" w:color="auto"/>
      </w:divBdr>
    </w:div>
    <w:div w:id="429861123">
      <w:bodyDiv w:val="1"/>
      <w:marLeft w:val="0"/>
      <w:marRight w:val="0"/>
      <w:marTop w:val="0"/>
      <w:marBottom w:val="0"/>
      <w:divBdr>
        <w:top w:val="none" w:sz="0" w:space="0" w:color="auto"/>
        <w:left w:val="none" w:sz="0" w:space="0" w:color="auto"/>
        <w:bottom w:val="none" w:sz="0" w:space="0" w:color="auto"/>
        <w:right w:val="none" w:sz="0" w:space="0" w:color="auto"/>
      </w:divBdr>
    </w:div>
    <w:div w:id="430013743">
      <w:bodyDiv w:val="1"/>
      <w:marLeft w:val="0"/>
      <w:marRight w:val="0"/>
      <w:marTop w:val="0"/>
      <w:marBottom w:val="0"/>
      <w:divBdr>
        <w:top w:val="none" w:sz="0" w:space="0" w:color="auto"/>
        <w:left w:val="none" w:sz="0" w:space="0" w:color="auto"/>
        <w:bottom w:val="none" w:sz="0" w:space="0" w:color="auto"/>
        <w:right w:val="none" w:sz="0" w:space="0" w:color="auto"/>
      </w:divBdr>
    </w:div>
    <w:div w:id="430320592">
      <w:bodyDiv w:val="1"/>
      <w:marLeft w:val="0"/>
      <w:marRight w:val="0"/>
      <w:marTop w:val="0"/>
      <w:marBottom w:val="0"/>
      <w:divBdr>
        <w:top w:val="none" w:sz="0" w:space="0" w:color="auto"/>
        <w:left w:val="none" w:sz="0" w:space="0" w:color="auto"/>
        <w:bottom w:val="none" w:sz="0" w:space="0" w:color="auto"/>
        <w:right w:val="none" w:sz="0" w:space="0" w:color="auto"/>
      </w:divBdr>
    </w:div>
    <w:div w:id="430853143">
      <w:bodyDiv w:val="1"/>
      <w:marLeft w:val="0"/>
      <w:marRight w:val="0"/>
      <w:marTop w:val="0"/>
      <w:marBottom w:val="0"/>
      <w:divBdr>
        <w:top w:val="none" w:sz="0" w:space="0" w:color="auto"/>
        <w:left w:val="none" w:sz="0" w:space="0" w:color="auto"/>
        <w:bottom w:val="none" w:sz="0" w:space="0" w:color="auto"/>
        <w:right w:val="none" w:sz="0" w:space="0" w:color="auto"/>
      </w:divBdr>
    </w:div>
    <w:div w:id="430902227">
      <w:bodyDiv w:val="1"/>
      <w:marLeft w:val="0"/>
      <w:marRight w:val="0"/>
      <w:marTop w:val="0"/>
      <w:marBottom w:val="0"/>
      <w:divBdr>
        <w:top w:val="none" w:sz="0" w:space="0" w:color="auto"/>
        <w:left w:val="none" w:sz="0" w:space="0" w:color="auto"/>
        <w:bottom w:val="none" w:sz="0" w:space="0" w:color="auto"/>
        <w:right w:val="none" w:sz="0" w:space="0" w:color="auto"/>
      </w:divBdr>
    </w:div>
    <w:div w:id="431315822">
      <w:bodyDiv w:val="1"/>
      <w:marLeft w:val="0"/>
      <w:marRight w:val="0"/>
      <w:marTop w:val="0"/>
      <w:marBottom w:val="0"/>
      <w:divBdr>
        <w:top w:val="none" w:sz="0" w:space="0" w:color="auto"/>
        <w:left w:val="none" w:sz="0" w:space="0" w:color="auto"/>
        <w:bottom w:val="none" w:sz="0" w:space="0" w:color="auto"/>
        <w:right w:val="none" w:sz="0" w:space="0" w:color="auto"/>
      </w:divBdr>
    </w:div>
    <w:div w:id="431978125">
      <w:bodyDiv w:val="1"/>
      <w:marLeft w:val="0"/>
      <w:marRight w:val="0"/>
      <w:marTop w:val="0"/>
      <w:marBottom w:val="0"/>
      <w:divBdr>
        <w:top w:val="none" w:sz="0" w:space="0" w:color="auto"/>
        <w:left w:val="none" w:sz="0" w:space="0" w:color="auto"/>
        <w:bottom w:val="none" w:sz="0" w:space="0" w:color="auto"/>
        <w:right w:val="none" w:sz="0" w:space="0" w:color="auto"/>
      </w:divBdr>
    </w:div>
    <w:div w:id="431978805">
      <w:bodyDiv w:val="1"/>
      <w:marLeft w:val="0"/>
      <w:marRight w:val="0"/>
      <w:marTop w:val="0"/>
      <w:marBottom w:val="0"/>
      <w:divBdr>
        <w:top w:val="none" w:sz="0" w:space="0" w:color="auto"/>
        <w:left w:val="none" w:sz="0" w:space="0" w:color="auto"/>
        <w:bottom w:val="none" w:sz="0" w:space="0" w:color="auto"/>
        <w:right w:val="none" w:sz="0" w:space="0" w:color="auto"/>
      </w:divBdr>
    </w:div>
    <w:div w:id="432167408">
      <w:bodyDiv w:val="1"/>
      <w:marLeft w:val="0"/>
      <w:marRight w:val="0"/>
      <w:marTop w:val="0"/>
      <w:marBottom w:val="0"/>
      <w:divBdr>
        <w:top w:val="none" w:sz="0" w:space="0" w:color="auto"/>
        <w:left w:val="none" w:sz="0" w:space="0" w:color="auto"/>
        <w:bottom w:val="none" w:sz="0" w:space="0" w:color="auto"/>
        <w:right w:val="none" w:sz="0" w:space="0" w:color="auto"/>
      </w:divBdr>
    </w:div>
    <w:div w:id="432239493">
      <w:bodyDiv w:val="1"/>
      <w:marLeft w:val="0"/>
      <w:marRight w:val="0"/>
      <w:marTop w:val="0"/>
      <w:marBottom w:val="0"/>
      <w:divBdr>
        <w:top w:val="none" w:sz="0" w:space="0" w:color="auto"/>
        <w:left w:val="none" w:sz="0" w:space="0" w:color="auto"/>
        <w:bottom w:val="none" w:sz="0" w:space="0" w:color="auto"/>
        <w:right w:val="none" w:sz="0" w:space="0" w:color="auto"/>
      </w:divBdr>
    </w:div>
    <w:div w:id="432239810">
      <w:bodyDiv w:val="1"/>
      <w:marLeft w:val="0"/>
      <w:marRight w:val="0"/>
      <w:marTop w:val="0"/>
      <w:marBottom w:val="0"/>
      <w:divBdr>
        <w:top w:val="none" w:sz="0" w:space="0" w:color="auto"/>
        <w:left w:val="none" w:sz="0" w:space="0" w:color="auto"/>
        <w:bottom w:val="none" w:sz="0" w:space="0" w:color="auto"/>
        <w:right w:val="none" w:sz="0" w:space="0" w:color="auto"/>
      </w:divBdr>
    </w:div>
    <w:div w:id="432285939">
      <w:bodyDiv w:val="1"/>
      <w:marLeft w:val="0"/>
      <w:marRight w:val="0"/>
      <w:marTop w:val="0"/>
      <w:marBottom w:val="0"/>
      <w:divBdr>
        <w:top w:val="none" w:sz="0" w:space="0" w:color="auto"/>
        <w:left w:val="none" w:sz="0" w:space="0" w:color="auto"/>
        <w:bottom w:val="none" w:sz="0" w:space="0" w:color="auto"/>
        <w:right w:val="none" w:sz="0" w:space="0" w:color="auto"/>
      </w:divBdr>
    </w:div>
    <w:div w:id="432408289">
      <w:bodyDiv w:val="1"/>
      <w:marLeft w:val="0"/>
      <w:marRight w:val="0"/>
      <w:marTop w:val="0"/>
      <w:marBottom w:val="0"/>
      <w:divBdr>
        <w:top w:val="none" w:sz="0" w:space="0" w:color="auto"/>
        <w:left w:val="none" w:sz="0" w:space="0" w:color="auto"/>
        <w:bottom w:val="none" w:sz="0" w:space="0" w:color="auto"/>
        <w:right w:val="none" w:sz="0" w:space="0" w:color="auto"/>
      </w:divBdr>
    </w:div>
    <w:div w:id="432551927">
      <w:bodyDiv w:val="1"/>
      <w:marLeft w:val="0"/>
      <w:marRight w:val="0"/>
      <w:marTop w:val="0"/>
      <w:marBottom w:val="0"/>
      <w:divBdr>
        <w:top w:val="none" w:sz="0" w:space="0" w:color="auto"/>
        <w:left w:val="none" w:sz="0" w:space="0" w:color="auto"/>
        <w:bottom w:val="none" w:sz="0" w:space="0" w:color="auto"/>
        <w:right w:val="none" w:sz="0" w:space="0" w:color="auto"/>
      </w:divBdr>
    </w:div>
    <w:div w:id="432634172">
      <w:bodyDiv w:val="1"/>
      <w:marLeft w:val="0"/>
      <w:marRight w:val="0"/>
      <w:marTop w:val="0"/>
      <w:marBottom w:val="0"/>
      <w:divBdr>
        <w:top w:val="none" w:sz="0" w:space="0" w:color="auto"/>
        <w:left w:val="none" w:sz="0" w:space="0" w:color="auto"/>
        <w:bottom w:val="none" w:sz="0" w:space="0" w:color="auto"/>
        <w:right w:val="none" w:sz="0" w:space="0" w:color="auto"/>
      </w:divBdr>
    </w:div>
    <w:div w:id="432672641">
      <w:bodyDiv w:val="1"/>
      <w:marLeft w:val="0"/>
      <w:marRight w:val="0"/>
      <w:marTop w:val="0"/>
      <w:marBottom w:val="0"/>
      <w:divBdr>
        <w:top w:val="none" w:sz="0" w:space="0" w:color="auto"/>
        <w:left w:val="none" w:sz="0" w:space="0" w:color="auto"/>
        <w:bottom w:val="none" w:sz="0" w:space="0" w:color="auto"/>
        <w:right w:val="none" w:sz="0" w:space="0" w:color="auto"/>
      </w:divBdr>
    </w:div>
    <w:div w:id="432946113">
      <w:bodyDiv w:val="1"/>
      <w:marLeft w:val="0"/>
      <w:marRight w:val="0"/>
      <w:marTop w:val="0"/>
      <w:marBottom w:val="0"/>
      <w:divBdr>
        <w:top w:val="none" w:sz="0" w:space="0" w:color="auto"/>
        <w:left w:val="none" w:sz="0" w:space="0" w:color="auto"/>
        <w:bottom w:val="none" w:sz="0" w:space="0" w:color="auto"/>
        <w:right w:val="none" w:sz="0" w:space="0" w:color="auto"/>
      </w:divBdr>
    </w:div>
    <w:div w:id="433867533">
      <w:bodyDiv w:val="1"/>
      <w:marLeft w:val="0"/>
      <w:marRight w:val="0"/>
      <w:marTop w:val="0"/>
      <w:marBottom w:val="0"/>
      <w:divBdr>
        <w:top w:val="none" w:sz="0" w:space="0" w:color="auto"/>
        <w:left w:val="none" w:sz="0" w:space="0" w:color="auto"/>
        <w:bottom w:val="none" w:sz="0" w:space="0" w:color="auto"/>
        <w:right w:val="none" w:sz="0" w:space="0" w:color="auto"/>
      </w:divBdr>
    </w:div>
    <w:div w:id="433982107">
      <w:bodyDiv w:val="1"/>
      <w:marLeft w:val="0"/>
      <w:marRight w:val="0"/>
      <w:marTop w:val="0"/>
      <w:marBottom w:val="0"/>
      <w:divBdr>
        <w:top w:val="none" w:sz="0" w:space="0" w:color="auto"/>
        <w:left w:val="none" w:sz="0" w:space="0" w:color="auto"/>
        <w:bottom w:val="none" w:sz="0" w:space="0" w:color="auto"/>
        <w:right w:val="none" w:sz="0" w:space="0" w:color="auto"/>
      </w:divBdr>
    </w:div>
    <w:div w:id="434445791">
      <w:bodyDiv w:val="1"/>
      <w:marLeft w:val="0"/>
      <w:marRight w:val="0"/>
      <w:marTop w:val="0"/>
      <w:marBottom w:val="0"/>
      <w:divBdr>
        <w:top w:val="none" w:sz="0" w:space="0" w:color="auto"/>
        <w:left w:val="none" w:sz="0" w:space="0" w:color="auto"/>
        <w:bottom w:val="none" w:sz="0" w:space="0" w:color="auto"/>
        <w:right w:val="none" w:sz="0" w:space="0" w:color="auto"/>
      </w:divBdr>
    </w:div>
    <w:div w:id="434445830">
      <w:bodyDiv w:val="1"/>
      <w:marLeft w:val="0"/>
      <w:marRight w:val="0"/>
      <w:marTop w:val="0"/>
      <w:marBottom w:val="0"/>
      <w:divBdr>
        <w:top w:val="none" w:sz="0" w:space="0" w:color="auto"/>
        <w:left w:val="none" w:sz="0" w:space="0" w:color="auto"/>
        <w:bottom w:val="none" w:sz="0" w:space="0" w:color="auto"/>
        <w:right w:val="none" w:sz="0" w:space="0" w:color="auto"/>
      </w:divBdr>
    </w:div>
    <w:div w:id="434599884">
      <w:bodyDiv w:val="1"/>
      <w:marLeft w:val="0"/>
      <w:marRight w:val="0"/>
      <w:marTop w:val="0"/>
      <w:marBottom w:val="0"/>
      <w:divBdr>
        <w:top w:val="none" w:sz="0" w:space="0" w:color="auto"/>
        <w:left w:val="none" w:sz="0" w:space="0" w:color="auto"/>
        <w:bottom w:val="none" w:sz="0" w:space="0" w:color="auto"/>
        <w:right w:val="none" w:sz="0" w:space="0" w:color="auto"/>
      </w:divBdr>
    </w:div>
    <w:div w:id="434637221">
      <w:bodyDiv w:val="1"/>
      <w:marLeft w:val="0"/>
      <w:marRight w:val="0"/>
      <w:marTop w:val="0"/>
      <w:marBottom w:val="0"/>
      <w:divBdr>
        <w:top w:val="none" w:sz="0" w:space="0" w:color="auto"/>
        <w:left w:val="none" w:sz="0" w:space="0" w:color="auto"/>
        <w:bottom w:val="none" w:sz="0" w:space="0" w:color="auto"/>
        <w:right w:val="none" w:sz="0" w:space="0" w:color="auto"/>
      </w:divBdr>
    </w:div>
    <w:div w:id="434836805">
      <w:bodyDiv w:val="1"/>
      <w:marLeft w:val="0"/>
      <w:marRight w:val="0"/>
      <w:marTop w:val="0"/>
      <w:marBottom w:val="0"/>
      <w:divBdr>
        <w:top w:val="none" w:sz="0" w:space="0" w:color="auto"/>
        <w:left w:val="none" w:sz="0" w:space="0" w:color="auto"/>
        <w:bottom w:val="none" w:sz="0" w:space="0" w:color="auto"/>
        <w:right w:val="none" w:sz="0" w:space="0" w:color="auto"/>
      </w:divBdr>
    </w:div>
    <w:div w:id="435248083">
      <w:bodyDiv w:val="1"/>
      <w:marLeft w:val="0"/>
      <w:marRight w:val="0"/>
      <w:marTop w:val="0"/>
      <w:marBottom w:val="0"/>
      <w:divBdr>
        <w:top w:val="none" w:sz="0" w:space="0" w:color="auto"/>
        <w:left w:val="none" w:sz="0" w:space="0" w:color="auto"/>
        <w:bottom w:val="none" w:sz="0" w:space="0" w:color="auto"/>
        <w:right w:val="none" w:sz="0" w:space="0" w:color="auto"/>
      </w:divBdr>
    </w:div>
    <w:div w:id="435292415">
      <w:bodyDiv w:val="1"/>
      <w:marLeft w:val="0"/>
      <w:marRight w:val="0"/>
      <w:marTop w:val="0"/>
      <w:marBottom w:val="0"/>
      <w:divBdr>
        <w:top w:val="none" w:sz="0" w:space="0" w:color="auto"/>
        <w:left w:val="none" w:sz="0" w:space="0" w:color="auto"/>
        <w:bottom w:val="none" w:sz="0" w:space="0" w:color="auto"/>
        <w:right w:val="none" w:sz="0" w:space="0" w:color="auto"/>
      </w:divBdr>
    </w:div>
    <w:div w:id="435297931">
      <w:bodyDiv w:val="1"/>
      <w:marLeft w:val="0"/>
      <w:marRight w:val="0"/>
      <w:marTop w:val="0"/>
      <w:marBottom w:val="0"/>
      <w:divBdr>
        <w:top w:val="none" w:sz="0" w:space="0" w:color="auto"/>
        <w:left w:val="none" w:sz="0" w:space="0" w:color="auto"/>
        <w:bottom w:val="none" w:sz="0" w:space="0" w:color="auto"/>
        <w:right w:val="none" w:sz="0" w:space="0" w:color="auto"/>
      </w:divBdr>
    </w:div>
    <w:div w:id="435442384">
      <w:bodyDiv w:val="1"/>
      <w:marLeft w:val="0"/>
      <w:marRight w:val="0"/>
      <w:marTop w:val="0"/>
      <w:marBottom w:val="0"/>
      <w:divBdr>
        <w:top w:val="none" w:sz="0" w:space="0" w:color="auto"/>
        <w:left w:val="none" w:sz="0" w:space="0" w:color="auto"/>
        <w:bottom w:val="none" w:sz="0" w:space="0" w:color="auto"/>
        <w:right w:val="none" w:sz="0" w:space="0" w:color="auto"/>
      </w:divBdr>
    </w:div>
    <w:div w:id="435562862">
      <w:bodyDiv w:val="1"/>
      <w:marLeft w:val="0"/>
      <w:marRight w:val="0"/>
      <w:marTop w:val="0"/>
      <w:marBottom w:val="0"/>
      <w:divBdr>
        <w:top w:val="none" w:sz="0" w:space="0" w:color="auto"/>
        <w:left w:val="none" w:sz="0" w:space="0" w:color="auto"/>
        <w:bottom w:val="none" w:sz="0" w:space="0" w:color="auto"/>
        <w:right w:val="none" w:sz="0" w:space="0" w:color="auto"/>
      </w:divBdr>
    </w:div>
    <w:div w:id="435635333">
      <w:bodyDiv w:val="1"/>
      <w:marLeft w:val="0"/>
      <w:marRight w:val="0"/>
      <w:marTop w:val="0"/>
      <w:marBottom w:val="0"/>
      <w:divBdr>
        <w:top w:val="none" w:sz="0" w:space="0" w:color="auto"/>
        <w:left w:val="none" w:sz="0" w:space="0" w:color="auto"/>
        <w:bottom w:val="none" w:sz="0" w:space="0" w:color="auto"/>
        <w:right w:val="none" w:sz="0" w:space="0" w:color="auto"/>
      </w:divBdr>
    </w:div>
    <w:div w:id="435638007">
      <w:bodyDiv w:val="1"/>
      <w:marLeft w:val="0"/>
      <w:marRight w:val="0"/>
      <w:marTop w:val="0"/>
      <w:marBottom w:val="0"/>
      <w:divBdr>
        <w:top w:val="none" w:sz="0" w:space="0" w:color="auto"/>
        <w:left w:val="none" w:sz="0" w:space="0" w:color="auto"/>
        <w:bottom w:val="none" w:sz="0" w:space="0" w:color="auto"/>
        <w:right w:val="none" w:sz="0" w:space="0" w:color="auto"/>
      </w:divBdr>
    </w:div>
    <w:div w:id="435950104">
      <w:bodyDiv w:val="1"/>
      <w:marLeft w:val="0"/>
      <w:marRight w:val="0"/>
      <w:marTop w:val="0"/>
      <w:marBottom w:val="0"/>
      <w:divBdr>
        <w:top w:val="none" w:sz="0" w:space="0" w:color="auto"/>
        <w:left w:val="none" w:sz="0" w:space="0" w:color="auto"/>
        <w:bottom w:val="none" w:sz="0" w:space="0" w:color="auto"/>
        <w:right w:val="none" w:sz="0" w:space="0" w:color="auto"/>
      </w:divBdr>
    </w:div>
    <w:div w:id="436410761">
      <w:bodyDiv w:val="1"/>
      <w:marLeft w:val="0"/>
      <w:marRight w:val="0"/>
      <w:marTop w:val="0"/>
      <w:marBottom w:val="0"/>
      <w:divBdr>
        <w:top w:val="none" w:sz="0" w:space="0" w:color="auto"/>
        <w:left w:val="none" w:sz="0" w:space="0" w:color="auto"/>
        <w:bottom w:val="none" w:sz="0" w:space="0" w:color="auto"/>
        <w:right w:val="none" w:sz="0" w:space="0" w:color="auto"/>
      </w:divBdr>
    </w:div>
    <w:div w:id="436485968">
      <w:bodyDiv w:val="1"/>
      <w:marLeft w:val="0"/>
      <w:marRight w:val="0"/>
      <w:marTop w:val="0"/>
      <w:marBottom w:val="0"/>
      <w:divBdr>
        <w:top w:val="none" w:sz="0" w:space="0" w:color="auto"/>
        <w:left w:val="none" w:sz="0" w:space="0" w:color="auto"/>
        <w:bottom w:val="none" w:sz="0" w:space="0" w:color="auto"/>
        <w:right w:val="none" w:sz="0" w:space="0" w:color="auto"/>
      </w:divBdr>
    </w:div>
    <w:div w:id="436563590">
      <w:bodyDiv w:val="1"/>
      <w:marLeft w:val="0"/>
      <w:marRight w:val="0"/>
      <w:marTop w:val="0"/>
      <w:marBottom w:val="0"/>
      <w:divBdr>
        <w:top w:val="none" w:sz="0" w:space="0" w:color="auto"/>
        <w:left w:val="none" w:sz="0" w:space="0" w:color="auto"/>
        <w:bottom w:val="none" w:sz="0" w:space="0" w:color="auto"/>
        <w:right w:val="none" w:sz="0" w:space="0" w:color="auto"/>
      </w:divBdr>
    </w:div>
    <w:div w:id="436754386">
      <w:bodyDiv w:val="1"/>
      <w:marLeft w:val="0"/>
      <w:marRight w:val="0"/>
      <w:marTop w:val="0"/>
      <w:marBottom w:val="0"/>
      <w:divBdr>
        <w:top w:val="none" w:sz="0" w:space="0" w:color="auto"/>
        <w:left w:val="none" w:sz="0" w:space="0" w:color="auto"/>
        <w:bottom w:val="none" w:sz="0" w:space="0" w:color="auto"/>
        <w:right w:val="none" w:sz="0" w:space="0" w:color="auto"/>
      </w:divBdr>
    </w:div>
    <w:div w:id="436755935">
      <w:bodyDiv w:val="1"/>
      <w:marLeft w:val="0"/>
      <w:marRight w:val="0"/>
      <w:marTop w:val="0"/>
      <w:marBottom w:val="0"/>
      <w:divBdr>
        <w:top w:val="none" w:sz="0" w:space="0" w:color="auto"/>
        <w:left w:val="none" w:sz="0" w:space="0" w:color="auto"/>
        <w:bottom w:val="none" w:sz="0" w:space="0" w:color="auto"/>
        <w:right w:val="none" w:sz="0" w:space="0" w:color="auto"/>
      </w:divBdr>
    </w:div>
    <w:div w:id="437026385">
      <w:bodyDiv w:val="1"/>
      <w:marLeft w:val="0"/>
      <w:marRight w:val="0"/>
      <w:marTop w:val="0"/>
      <w:marBottom w:val="0"/>
      <w:divBdr>
        <w:top w:val="none" w:sz="0" w:space="0" w:color="auto"/>
        <w:left w:val="none" w:sz="0" w:space="0" w:color="auto"/>
        <w:bottom w:val="none" w:sz="0" w:space="0" w:color="auto"/>
        <w:right w:val="none" w:sz="0" w:space="0" w:color="auto"/>
      </w:divBdr>
    </w:div>
    <w:div w:id="437409821">
      <w:bodyDiv w:val="1"/>
      <w:marLeft w:val="0"/>
      <w:marRight w:val="0"/>
      <w:marTop w:val="0"/>
      <w:marBottom w:val="0"/>
      <w:divBdr>
        <w:top w:val="none" w:sz="0" w:space="0" w:color="auto"/>
        <w:left w:val="none" w:sz="0" w:space="0" w:color="auto"/>
        <w:bottom w:val="none" w:sz="0" w:space="0" w:color="auto"/>
        <w:right w:val="none" w:sz="0" w:space="0" w:color="auto"/>
      </w:divBdr>
    </w:div>
    <w:div w:id="437526149">
      <w:bodyDiv w:val="1"/>
      <w:marLeft w:val="0"/>
      <w:marRight w:val="0"/>
      <w:marTop w:val="0"/>
      <w:marBottom w:val="0"/>
      <w:divBdr>
        <w:top w:val="none" w:sz="0" w:space="0" w:color="auto"/>
        <w:left w:val="none" w:sz="0" w:space="0" w:color="auto"/>
        <w:bottom w:val="none" w:sz="0" w:space="0" w:color="auto"/>
        <w:right w:val="none" w:sz="0" w:space="0" w:color="auto"/>
      </w:divBdr>
    </w:div>
    <w:div w:id="438136758">
      <w:bodyDiv w:val="1"/>
      <w:marLeft w:val="0"/>
      <w:marRight w:val="0"/>
      <w:marTop w:val="0"/>
      <w:marBottom w:val="0"/>
      <w:divBdr>
        <w:top w:val="none" w:sz="0" w:space="0" w:color="auto"/>
        <w:left w:val="none" w:sz="0" w:space="0" w:color="auto"/>
        <w:bottom w:val="none" w:sz="0" w:space="0" w:color="auto"/>
        <w:right w:val="none" w:sz="0" w:space="0" w:color="auto"/>
      </w:divBdr>
    </w:div>
    <w:div w:id="438378682">
      <w:bodyDiv w:val="1"/>
      <w:marLeft w:val="0"/>
      <w:marRight w:val="0"/>
      <w:marTop w:val="0"/>
      <w:marBottom w:val="0"/>
      <w:divBdr>
        <w:top w:val="none" w:sz="0" w:space="0" w:color="auto"/>
        <w:left w:val="none" w:sz="0" w:space="0" w:color="auto"/>
        <w:bottom w:val="none" w:sz="0" w:space="0" w:color="auto"/>
        <w:right w:val="none" w:sz="0" w:space="0" w:color="auto"/>
      </w:divBdr>
    </w:div>
    <w:div w:id="438839694">
      <w:bodyDiv w:val="1"/>
      <w:marLeft w:val="0"/>
      <w:marRight w:val="0"/>
      <w:marTop w:val="0"/>
      <w:marBottom w:val="0"/>
      <w:divBdr>
        <w:top w:val="none" w:sz="0" w:space="0" w:color="auto"/>
        <w:left w:val="none" w:sz="0" w:space="0" w:color="auto"/>
        <w:bottom w:val="none" w:sz="0" w:space="0" w:color="auto"/>
        <w:right w:val="none" w:sz="0" w:space="0" w:color="auto"/>
      </w:divBdr>
    </w:div>
    <w:div w:id="438911177">
      <w:bodyDiv w:val="1"/>
      <w:marLeft w:val="0"/>
      <w:marRight w:val="0"/>
      <w:marTop w:val="0"/>
      <w:marBottom w:val="0"/>
      <w:divBdr>
        <w:top w:val="none" w:sz="0" w:space="0" w:color="auto"/>
        <w:left w:val="none" w:sz="0" w:space="0" w:color="auto"/>
        <w:bottom w:val="none" w:sz="0" w:space="0" w:color="auto"/>
        <w:right w:val="none" w:sz="0" w:space="0" w:color="auto"/>
      </w:divBdr>
    </w:div>
    <w:div w:id="439108439">
      <w:bodyDiv w:val="1"/>
      <w:marLeft w:val="0"/>
      <w:marRight w:val="0"/>
      <w:marTop w:val="0"/>
      <w:marBottom w:val="0"/>
      <w:divBdr>
        <w:top w:val="none" w:sz="0" w:space="0" w:color="auto"/>
        <w:left w:val="none" w:sz="0" w:space="0" w:color="auto"/>
        <w:bottom w:val="none" w:sz="0" w:space="0" w:color="auto"/>
        <w:right w:val="none" w:sz="0" w:space="0" w:color="auto"/>
      </w:divBdr>
    </w:div>
    <w:div w:id="439298985">
      <w:bodyDiv w:val="1"/>
      <w:marLeft w:val="0"/>
      <w:marRight w:val="0"/>
      <w:marTop w:val="0"/>
      <w:marBottom w:val="0"/>
      <w:divBdr>
        <w:top w:val="none" w:sz="0" w:space="0" w:color="auto"/>
        <w:left w:val="none" w:sz="0" w:space="0" w:color="auto"/>
        <w:bottom w:val="none" w:sz="0" w:space="0" w:color="auto"/>
        <w:right w:val="none" w:sz="0" w:space="0" w:color="auto"/>
      </w:divBdr>
    </w:div>
    <w:div w:id="439422229">
      <w:bodyDiv w:val="1"/>
      <w:marLeft w:val="0"/>
      <w:marRight w:val="0"/>
      <w:marTop w:val="0"/>
      <w:marBottom w:val="0"/>
      <w:divBdr>
        <w:top w:val="none" w:sz="0" w:space="0" w:color="auto"/>
        <w:left w:val="none" w:sz="0" w:space="0" w:color="auto"/>
        <w:bottom w:val="none" w:sz="0" w:space="0" w:color="auto"/>
        <w:right w:val="none" w:sz="0" w:space="0" w:color="auto"/>
      </w:divBdr>
    </w:div>
    <w:div w:id="439760332">
      <w:bodyDiv w:val="1"/>
      <w:marLeft w:val="0"/>
      <w:marRight w:val="0"/>
      <w:marTop w:val="0"/>
      <w:marBottom w:val="0"/>
      <w:divBdr>
        <w:top w:val="none" w:sz="0" w:space="0" w:color="auto"/>
        <w:left w:val="none" w:sz="0" w:space="0" w:color="auto"/>
        <w:bottom w:val="none" w:sz="0" w:space="0" w:color="auto"/>
        <w:right w:val="none" w:sz="0" w:space="0" w:color="auto"/>
      </w:divBdr>
    </w:div>
    <w:div w:id="439835960">
      <w:bodyDiv w:val="1"/>
      <w:marLeft w:val="0"/>
      <w:marRight w:val="0"/>
      <w:marTop w:val="0"/>
      <w:marBottom w:val="0"/>
      <w:divBdr>
        <w:top w:val="none" w:sz="0" w:space="0" w:color="auto"/>
        <w:left w:val="none" w:sz="0" w:space="0" w:color="auto"/>
        <w:bottom w:val="none" w:sz="0" w:space="0" w:color="auto"/>
        <w:right w:val="none" w:sz="0" w:space="0" w:color="auto"/>
      </w:divBdr>
    </w:div>
    <w:div w:id="439843065">
      <w:bodyDiv w:val="1"/>
      <w:marLeft w:val="0"/>
      <w:marRight w:val="0"/>
      <w:marTop w:val="0"/>
      <w:marBottom w:val="0"/>
      <w:divBdr>
        <w:top w:val="none" w:sz="0" w:space="0" w:color="auto"/>
        <w:left w:val="none" w:sz="0" w:space="0" w:color="auto"/>
        <w:bottom w:val="none" w:sz="0" w:space="0" w:color="auto"/>
        <w:right w:val="none" w:sz="0" w:space="0" w:color="auto"/>
      </w:divBdr>
    </w:div>
    <w:div w:id="439956454">
      <w:bodyDiv w:val="1"/>
      <w:marLeft w:val="0"/>
      <w:marRight w:val="0"/>
      <w:marTop w:val="0"/>
      <w:marBottom w:val="0"/>
      <w:divBdr>
        <w:top w:val="none" w:sz="0" w:space="0" w:color="auto"/>
        <w:left w:val="none" w:sz="0" w:space="0" w:color="auto"/>
        <w:bottom w:val="none" w:sz="0" w:space="0" w:color="auto"/>
        <w:right w:val="none" w:sz="0" w:space="0" w:color="auto"/>
      </w:divBdr>
    </w:div>
    <w:div w:id="440340876">
      <w:bodyDiv w:val="1"/>
      <w:marLeft w:val="0"/>
      <w:marRight w:val="0"/>
      <w:marTop w:val="0"/>
      <w:marBottom w:val="0"/>
      <w:divBdr>
        <w:top w:val="none" w:sz="0" w:space="0" w:color="auto"/>
        <w:left w:val="none" w:sz="0" w:space="0" w:color="auto"/>
        <w:bottom w:val="none" w:sz="0" w:space="0" w:color="auto"/>
        <w:right w:val="none" w:sz="0" w:space="0" w:color="auto"/>
      </w:divBdr>
    </w:div>
    <w:div w:id="440344878">
      <w:bodyDiv w:val="1"/>
      <w:marLeft w:val="0"/>
      <w:marRight w:val="0"/>
      <w:marTop w:val="0"/>
      <w:marBottom w:val="0"/>
      <w:divBdr>
        <w:top w:val="none" w:sz="0" w:space="0" w:color="auto"/>
        <w:left w:val="none" w:sz="0" w:space="0" w:color="auto"/>
        <w:bottom w:val="none" w:sz="0" w:space="0" w:color="auto"/>
        <w:right w:val="none" w:sz="0" w:space="0" w:color="auto"/>
      </w:divBdr>
    </w:div>
    <w:div w:id="440418507">
      <w:bodyDiv w:val="1"/>
      <w:marLeft w:val="0"/>
      <w:marRight w:val="0"/>
      <w:marTop w:val="0"/>
      <w:marBottom w:val="0"/>
      <w:divBdr>
        <w:top w:val="none" w:sz="0" w:space="0" w:color="auto"/>
        <w:left w:val="none" w:sz="0" w:space="0" w:color="auto"/>
        <w:bottom w:val="none" w:sz="0" w:space="0" w:color="auto"/>
        <w:right w:val="none" w:sz="0" w:space="0" w:color="auto"/>
      </w:divBdr>
    </w:div>
    <w:div w:id="440609871">
      <w:bodyDiv w:val="1"/>
      <w:marLeft w:val="0"/>
      <w:marRight w:val="0"/>
      <w:marTop w:val="0"/>
      <w:marBottom w:val="0"/>
      <w:divBdr>
        <w:top w:val="none" w:sz="0" w:space="0" w:color="auto"/>
        <w:left w:val="none" w:sz="0" w:space="0" w:color="auto"/>
        <w:bottom w:val="none" w:sz="0" w:space="0" w:color="auto"/>
        <w:right w:val="none" w:sz="0" w:space="0" w:color="auto"/>
      </w:divBdr>
    </w:div>
    <w:div w:id="441342195">
      <w:bodyDiv w:val="1"/>
      <w:marLeft w:val="0"/>
      <w:marRight w:val="0"/>
      <w:marTop w:val="0"/>
      <w:marBottom w:val="0"/>
      <w:divBdr>
        <w:top w:val="none" w:sz="0" w:space="0" w:color="auto"/>
        <w:left w:val="none" w:sz="0" w:space="0" w:color="auto"/>
        <w:bottom w:val="none" w:sz="0" w:space="0" w:color="auto"/>
        <w:right w:val="none" w:sz="0" w:space="0" w:color="auto"/>
      </w:divBdr>
    </w:div>
    <w:div w:id="441538786">
      <w:bodyDiv w:val="1"/>
      <w:marLeft w:val="0"/>
      <w:marRight w:val="0"/>
      <w:marTop w:val="0"/>
      <w:marBottom w:val="0"/>
      <w:divBdr>
        <w:top w:val="none" w:sz="0" w:space="0" w:color="auto"/>
        <w:left w:val="none" w:sz="0" w:space="0" w:color="auto"/>
        <w:bottom w:val="none" w:sz="0" w:space="0" w:color="auto"/>
        <w:right w:val="none" w:sz="0" w:space="0" w:color="auto"/>
      </w:divBdr>
    </w:div>
    <w:div w:id="441609699">
      <w:bodyDiv w:val="1"/>
      <w:marLeft w:val="0"/>
      <w:marRight w:val="0"/>
      <w:marTop w:val="0"/>
      <w:marBottom w:val="0"/>
      <w:divBdr>
        <w:top w:val="none" w:sz="0" w:space="0" w:color="auto"/>
        <w:left w:val="none" w:sz="0" w:space="0" w:color="auto"/>
        <w:bottom w:val="none" w:sz="0" w:space="0" w:color="auto"/>
        <w:right w:val="none" w:sz="0" w:space="0" w:color="auto"/>
      </w:divBdr>
    </w:div>
    <w:div w:id="442112249">
      <w:bodyDiv w:val="1"/>
      <w:marLeft w:val="0"/>
      <w:marRight w:val="0"/>
      <w:marTop w:val="0"/>
      <w:marBottom w:val="0"/>
      <w:divBdr>
        <w:top w:val="none" w:sz="0" w:space="0" w:color="auto"/>
        <w:left w:val="none" w:sz="0" w:space="0" w:color="auto"/>
        <w:bottom w:val="none" w:sz="0" w:space="0" w:color="auto"/>
        <w:right w:val="none" w:sz="0" w:space="0" w:color="auto"/>
      </w:divBdr>
    </w:div>
    <w:div w:id="442189432">
      <w:bodyDiv w:val="1"/>
      <w:marLeft w:val="0"/>
      <w:marRight w:val="0"/>
      <w:marTop w:val="0"/>
      <w:marBottom w:val="0"/>
      <w:divBdr>
        <w:top w:val="none" w:sz="0" w:space="0" w:color="auto"/>
        <w:left w:val="none" w:sz="0" w:space="0" w:color="auto"/>
        <w:bottom w:val="none" w:sz="0" w:space="0" w:color="auto"/>
        <w:right w:val="none" w:sz="0" w:space="0" w:color="auto"/>
      </w:divBdr>
    </w:div>
    <w:div w:id="442382500">
      <w:bodyDiv w:val="1"/>
      <w:marLeft w:val="0"/>
      <w:marRight w:val="0"/>
      <w:marTop w:val="0"/>
      <w:marBottom w:val="0"/>
      <w:divBdr>
        <w:top w:val="none" w:sz="0" w:space="0" w:color="auto"/>
        <w:left w:val="none" w:sz="0" w:space="0" w:color="auto"/>
        <w:bottom w:val="none" w:sz="0" w:space="0" w:color="auto"/>
        <w:right w:val="none" w:sz="0" w:space="0" w:color="auto"/>
      </w:divBdr>
    </w:div>
    <w:div w:id="442575743">
      <w:bodyDiv w:val="1"/>
      <w:marLeft w:val="0"/>
      <w:marRight w:val="0"/>
      <w:marTop w:val="0"/>
      <w:marBottom w:val="0"/>
      <w:divBdr>
        <w:top w:val="none" w:sz="0" w:space="0" w:color="auto"/>
        <w:left w:val="none" w:sz="0" w:space="0" w:color="auto"/>
        <w:bottom w:val="none" w:sz="0" w:space="0" w:color="auto"/>
        <w:right w:val="none" w:sz="0" w:space="0" w:color="auto"/>
      </w:divBdr>
    </w:div>
    <w:div w:id="442698661">
      <w:bodyDiv w:val="1"/>
      <w:marLeft w:val="0"/>
      <w:marRight w:val="0"/>
      <w:marTop w:val="0"/>
      <w:marBottom w:val="0"/>
      <w:divBdr>
        <w:top w:val="none" w:sz="0" w:space="0" w:color="auto"/>
        <w:left w:val="none" w:sz="0" w:space="0" w:color="auto"/>
        <w:bottom w:val="none" w:sz="0" w:space="0" w:color="auto"/>
        <w:right w:val="none" w:sz="0" w:space="0" w:color="auto"/>
      </w:divBdr>
    </w:div>
    <w:div w:id="442921147">
      <w:bodyDiv w:val="1"/>
      <w:marLeft w:val="0"/>
      <w:marRight w:val="0"/>
      <w:marTop w:val="0"/>
      <w:marBottom w:val="0"/>
      <w:divBdr>
        <w:top w:val="none" w:sz="0" w:space="0" w:color="auto"/>
        <w:left w:val="none" w:sz="0" w:space="0" w:color="auto"/>
        <w:bottom w:val="none" w:sz="0" w:space="0" w:color="auto"/>
        <w:right w:val="none" w:sz="0" w:space="0" w:color="auto"/>
      </w:divBdr>
    </w:div>
    <w:div w:id="443034457">
      <w:bodyDiv w:val="1"/>
      <w:marLeft w:val="0"/>
      <w:marRight w:val="0"/>
      <w:marTop w:val="0"/>
      <w:marBottom w:val="0"/>
      <w:divBdr>
        <w:top w:val="none" w:sz="0" w:space="0" w:color="auto"/>
        <w:left w:val="none" w:sz="0" w:space="0" w:color="auto"/>
        <w:bottom w:val="none" w:sz="0" w:space="0" w:color="auto"/>
        <w:right w:val="none" w:sz="0" w:space="0" w:color="auto"/>
      </w:divBdr>
    </w:div>
    <w:div w:id="443036759">
      <w:bodyDiv w:val="1"/>
      <w:marLeft w:val="0"/>
      <w:marRight w:val="0"/>
      <w:marTop w:val="0"/>
      <w:marBottom w:val="0"/>
      <w:divBdr>
        <w:top w:val="none" w:sz="0" w:space="0" w:color="auto"/>
        <w:left w:val="none" w:sz="0" w:space="0" w:color="auto"/>
        <w:bottom w:val="none" w:sz="0" w:space="0" w:color="auto"/>
        <w:right w:val="none" w:sz="0" w:space="0" w:color="auto"/>
      </w:divBdr>
    </w:div>
    <w:div w:id="443352890">
      <w:bodyDiv w:val="1"/>
      <w:marLeft w:val="0"/>
      <w:marRight w:val="0"/>
      <w:marTop w:val="0"/>
      <w:marBottom w:val="0"/>
      <w:divBdr>
        <w:top w:val="none" w:sz="0" w:space="0" w:color="auto"/>
        <w:left w:val="none" w:sz="0" w:space="0" w:color="auto"/>
        <w:bottom w:val="none" w:sz="0" w:space="0" w:color="auto"/>
        <w:right w:val="none" w:sz="0" w:space="0" w:color="auto"/>
      </w:divBdr>
    </w:div>
    <w:div w:id="443379924">
      <w:bodyDiv w:val="1"/>
      <w:marLeft w:val="0"/>
      <w:marRight w:val="0"/>
      <w:marTop w:val="0"/>
      <w:marBottom w:val="0"/>
      <w:divBdr>
        <w:top w:val="none" w:sz="0" w:space="0" w:color="auto"/>
        <w:left w:val="none" w:sz="0" w:space="0" w:color="auto"/>
        <w:bottom w:val="none" w:sz="0" w:space="0" w:color="auto"/>
        <w:right w:val="none" w:sz="0" w:space="0" w:color="auto"/>
      </w:divBdr>
    </w:div>
    <w:div w:id="443503276">
      <w:bodyDiv w:val="1"/>
      <w:marLeft w:val="0"/>
      <w:marRight w:val="0"/>
      <w:marTop w:val="0"/>
      <w:marBottom w:val="0"/>
      <w:divBdr>
        <w:top w:val="none" w:sz="0" w:space="0" w:color="auto"/>
        <w:left w:val="none" w:sz="0" w:space="0" w:color="auto"/>
        <w:bottom w:val="none" w:sz="0" w:space="0" w:color="auto"/>
        <w:right w:val="none" w:sz="0" w:space="0" w:color="auto"/>
      </w:divBdr>
    </w:div>
    <w:div w:id="444203194">
      <w:bodyDiv w:val="1"/>
      <w:marLeft w:val="0"/>
      <w:marRight w:val="0"/>
      <w:marTop w:val="0"/>
      <w:marBottom w:val="0"/>
      <w:divBdr>
        <w:top w:val="none" w:sz="0" w:space="0" w:color="auto"/>
        <w:left w:val="none" w:sz="0" w:space="0" w:color="auto"/>
        <w:bottom w:val="none" w:sz="0" w:space="0" w:color="auto"/>
        <w:right w:val="none" w:sz="0" w:space="0" w:color="auto"/>
      </w:divBdr>
    </w:div>
    <w:div w:id="444269849">
      <w:bodyDiv w:val="1"/>
      <w:marLeft w:val="0"/>
      <w:marRight w:val="0"/>
      <w:marTop w:val="0"/>
      <w:marBottom w:val="0"/>
      <w:divBdr>
        <w:top w:val="none" w:sz="0" w:space="0" w:color="auto"/>
        <w:left w:val="none" w:sz="0" w:space="0" w:color="auto"/>
        <w:bottom w:val="none" w:sz="0" w:space="0" w:color="auto"/>
        <w:right w:val="none" w:sz="0" w:space="0" w:color="auto"/>
      </w:divBdr>
    </w:div>
    <w:div w:id="444353351">
      <w:bodyDiv w:val="1"/>
      <w:marLeft w:val="0"/>
      <w:marRight w:val="0"/>
      <w:marTop w:val="0"/>
      <w:marBottom w:val="0"/>
      <w:divBdr>
        <w:top w:val="none" w:sz="0" w:space="0" w:color="auto"/>
        <w:left w:val="none" w:sz="0" w:space="0" w:color="auto"/>
        <w:bottom w:val="none" w:sz="0" w:space="0" w:color="auto"/>
        <w:right w:val="none" w:sz="0" w:space="0" w:color="auto"/>
      </w:divBdr>
    </w:div>
    <w:div w:id="444466631">
      <w:bodyDiv w:val="1"/>
      <w:marLeft w:val="0"/>
      <w:marRight w:val="0"/>
      <w:marTop w:val="0"/>
      <w:marBottom w:val="0"/>
      <w:divBdr>
        <w:top w:val="none" w:sz="0" w:space="0" w:color="auto"/>
        <w:left w:val="none" w:sz="0" w:space="0" w:color="auto"/>
        <w:bottom w:val="none" w:sz="0" w:space="0" w:color="auto"/>
        <w:right w:val="none" w:sz="0" w:space="0" w:color="auto"/>
      </w:divBdr>
    </w:div>
    <w:div w:id="444620952">
      <w:bodyDiv w:val="1"/>
      <w:marLeft w:val="0"/>
      <w:marRight w:val="0"/>
      <w:marTop w:val="0"/>
      <w:marBottom w:val="0"/>
      <w:divBdr>
        <w:top w:val="none" w:sz="0" w:space="0" w:color="auto"/>
        <w:left w:val="none" w:sz="0" w:space="0" w:color="auto"/>
        <w:bottom w:val="none" w:sz="0" w:space="0" w:color="auto"/>
        <w:right w:val="none" w:sz="0" w:space="0" w:color="auto"/>
      </w:divBdr>
    </w:div>
    <w:div w:id="444663030">
      <w:bodyDiv w:val="1"/>
      <w:marLeft w:val="0"/>
      <w:marRight w:val="0"/>
      <w:marTop w:val="0"/>
      <w:marBottom w:val="0"/>
      <w:divBdr>
        <w:top w:val="none" w:sz="0" w:space="0" w:color="auto"/>
        <w:left w:val="none" w:sz="0" w:space="0" w:color="auto"/>
        <w:bottom w:val="none" w:sz="0" w:space="0" w:color="auto"/>
        <w:right w:val="none" w:sz="0" w:space="0" w:color="auto"/>
      </w:divBdr>
    </w:div>
    <w:div w:id="445005762">
      <w:bodyDiv w:val="1"/>
      <w:marLeft w:val="0"/>
      <w:marRight w:val="0"/>
      <w:marTop w:val="0"/>
      <w:marBottom w:val="0"/>
      <w:divBdr>
        <w:top w:val="none" w:sz="0" w:space="0" w:color="auto"/>
        <w:left w:val="none" w:sz="0" w:space="0" w:color="auto"/>
        <w:bottom w:val="none" w:sz="0" w:space="0" w:color="auto"/>
        <w:right w:val="none" w:sz="0" w:space="0" w:color="auto"/>
      </w:divBdr>
    </w:div>
    <w:div w:id="445082669">
      <w:bodyDiv w:val="1"/>
      <w:marLeft w:val="0"/>
      <w:marRight w:val="0"/>
      <w:marTop w:val="0"/>
      <w:marBottom w:val="0"/>
      <w:divBdr>
        <w:top w:val="none" w:sz="0" w:space="0" w:color="auto"/>
        <w:left w:val="none" w:sz="0" w:space="0" w:color="auto"/>
        <w:bottom w:val="none" w:sz="0" w:space="0" w:color="auto"/>
        <w:right w:val="none" w:sz="0" w:space="0" w:color="auto"/>
      </w:divBdr>
    </w:div>
    <w:div w:id="445396196">
      <w:bodyDiv w:val="1"/>
      <w:marLeft w:val="0"/>
      <w:marRight w:val="0"/>
      <w:marTop w:val="0"/>
      <w:marBottom w:val="0"/>
      <w:divBdr>
        <w:top w:val="none" w:sz="0" w:space="0" w:color="auto"/>
        <w:left w:val="none" w:sz="0" w:space="0" w:color="auto"/>
        <w:bottom w:val="none" w:sz="0" w:space="0" w:color="auto"/>
        <w:right w:val="none" w:sz="0" w:space="0" w:color="auto"/>
      </w:divBdr>
    </w:div>
    <w:div w:id="445851305">
      <w:bodyDiv w:val="1"/>
      <w:marLeft w:val="0"/>
      <w:marRight w:val="0"/>
      <w:marTop w:val="0"/>
      <w:marBottom w:val="0"/>
      <w:divBdr>
        <w:top w:val="none" w:sz="0" w:space="0" w:color="auto"/>
        <w:left w:val="none" w:sz="0" w:space="0" w:color="auto"/>
        <w:bottom w:val="none" w:sz="0" w:space="0" w:color="auto"/>
        <w:right w:val="none" w:sz="0" w:space="0" w:color="auto"/>
      </w:divBdr>
    </w:div>
    <w:div w:id="445926202">
      <w:bodyDiv w:val="1"/>
      <w:marLeft w:val="0"/>
      <w:marRight w:val="0"/>
      <w:marTop w:val="0"/>
      <w:marBottom w:val="0"/>
      <w:divBdr>
        <w:top w:val="none" w:sz="0" w:space="0" w:color="auto"/>
        <w:left w:val="none" w:sz="0" w:space="0" w:color="auto"/>
        <w:bottom w:val="none" w:sz="0" w:space="0" w:color="auto"/>
        <w:right w:val="none" w:sz="0" w:space="0" w:color="auto"/>
      </w:divBdr>
    </w:div>
    <w:div w:id="446196340">
      <w:bodyDiv w:val="1"/>
      <w:marLeft w:val="0"/>
      <w:marRight w:val="0"/>
      <w:marTop w:val="0"/>
      <w:marBottom w:val="0"/>
      <w:divBdr>
        <w:top w:val="none" w:sz="0" w:space="0" w:color="auto"/>
        <w:left w:val="none" w:sz="0" w:space="0" w:color="auto"/>
        <w:bottom w:val="none" w:sz="0" w:space="0" w:color="auto"/>
        <w:right w:val="none" w:sz="0" w:space="0" w:color="auto"/>
      </w:divBdr>
    </w:div>
    <w:div w:id="446433024">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47167247">
      <w:bodyDiv w:val="1"/>
      <w:marLeft w:val="0"/>
      <w:marRight w:val="0"/>
      <w:marTop w:val="0"/>
      <w:marBottom w:val="0"/>
      <w:divBdr>
        <w:top w:val="none" w:sz="0" w:space="0" w:color="auto"/>
        <w:left w:val="none" w:sz="0" w:space="0" w:color="auto"/>
        <w:bottom w:val="none" w:sz="0" w:space="0" w:color="auto"/>
        <w:right w:val="none" w:sz="0" w:space="0" w:color="auto"/>
      </w:divBdr>
    </w:div>
    <w:div w:id="447359632">
      <w:bodyDiv w:val="1"/>
      <w:marLeft w:val="0"/>
      <w:marRight w:val="0"/>
      <w:marTop w:val="0"/>
      <w:marBottom w:val="0"/>
      <w:divBdr>
        <w:top w:val="none" w:sz="0" w:space="0" w:color="auto"/>
        <w:left w:val="none" w:sz="0" w:space="0" w:color="auto"/>
        <w:bottom w:val="none" w:sz="0" w:space="0" w:color="auto"/>
        <w:right w:val="none" w:sz="0" w:space="0" w:color="auto"/>
      </w:divBdr>
    </w:div>
    <w:div w:id="447627200">
      <w:bodyDiv w:val="1"/>
      <w:marLeft w:val="0"/>
      <w:marRight w:val="0"/>
      <w:marTop w:val="0"/>
      <w:marBottom w:val="0"/>
      <w:divBdr>
        <w:top w:val="none" w:sz="0" w:space="0" w:color="auto"/>
        <w:left w:val="none" w:sz="0" w:space="0" w:color="auto"/>
        <w:bottom w:val="none" w:sz="0" w:space="0" w:color="auto"/>
        <w:right w:val="none" w:sz="0" w:space="0" w:color="auto"/>
      </w:divBdr>
    </w:div>
    <w:div w:id="447629019">
      <w:bodyDiv w:val="1"/>
      <w:marLeft w:val="0"/>
      <w:marRight w:val="0"/>
      <w:marTop w:val="0"/>
      <w:marBottom w:val="0"/>
      <w:divBdr>
        <w:top w:val="none" w:sz="0" w:space="0" w:color="auto"/>
        <w:left w:val="none" w:sz="0" w:space="0" w:color="auto"/>
        <w:bottom w:val="none" w:sz="0" w:space="0" w:color="auto"/>
        <w:right w:val="none" w:sz="0" w:space="0" w:color="auto"/>
      </w:divBdr>
    </w:div>
    <w:div w:id="447818844">
      <w:bodyDiv w:val="1"/>
      <w:marLeft w:val="0"/>
      <w:marRight w:val="0"/>
      <w:marTop w:val="0"/>
      <w:marBottom w:val="0"/>
      <w:divBdr>
        <w:top w:val="none" w:sz="0" w:space="0" w:color="auto"/>
        <w:left w:val="none" w:sz="0" w:space="0" w:color="auto"/>
        <w:bottom w:val="none" w:sz="0" w:space="0" w:color="auto"/>
        <w:right w:val="none" w:sz="0" w:space="0" w:color="auto"/>
      </w:divBdr>
    </w:div>
    <w:div w:id="447891241">
      <w:bodyDiv w:val="1"/>
      <w:marLeft w:val="0"/>
      <w:marRight w:val="0"/>
      <w:marTop w:val="0"/>
      <w:marBottom w:val="0"/>
      <w:divBdr>
        <w:top w:val="none" w:sz="0" w:space="0" w:color="auto"/>
        <w:left w:val="none" w:sz="0" w:space="0" w:color="auto"/>
        <w:bottom w:val="none" w:sz="0" w:space="0" w:color="auto"/>
        <w:right w:val="none" w:sz="0" w:space="0" w:color="auto"/>
      </w:divBdr>
    </w:div>
    <w:div w:id="448008759">
      <w:bodyDiv w:val="1"/>
      <w:marLeft w:val="0"/>
      <w:marRight w:val="0"/>
      <w:marTop w:val="0"/>
      <w:marBottom w:val="0"/>
      <w:divBdr>
        <w:top w:val="none" w:sz="0" w:space="0" w:color="auto"/>
        <w:left w:val="none" w:sz="0" w:space="0" w:color="auto"/>
        <w:bottom w:val="none" w:sz="0" w:space="0" w:color="auto"/>
        <w:right w:val="none" w:sz="0" w:space="0" w:color="auto"/>
      </w:divBdr>
    </w:div>
    <w:div w:id="448620706">
      <w:bodyDiv w:val="1"/>
      <w:marLeft w:val="0"/>
      <w:marRight w:val="0"/>
      <w:marTop w:val="0"/>
      <w:marBottom w:val="0"/>
      <w:divBdr>
        <w:top w:val="none" w:sz="0" w:space="0" w:color="auto"/>
        <w:left w:val="none" w:sz="0" w:space="0" w:color="auto"/>
        <w:bottom w:val="none" w:sz="0" w:space="0" w:color="auto"/>
        <w:right w:val="none" w:sz="0" w:space="0" w:color="auto"/>
      </w:divBdr>
    </w:div>
    <w:div w:id="448822644">
      <w:bodyDiv w:val="1"/>
      <w:marLeft w:val="0"/>
      <w:marRight w:val="0"/>
      <w:marTop w:val="0"/>
      <w:marBottom w:val="0"/>
      <w:divBdr>
        <w:top w:val="none" w:sz="0" w:space="0" w:color="auto"/>
        <w:left w:val="none" w:sz="0" w:space="0" w:color="auto"/>
        <w:bottom w:val="none" w:sz="0" w:space="0" w:color="auto"/>
        <w:right w:val="none" w:sz="0" w:space="0" w:color="auto"/>
      </w:divBdr>
    </w:div>
    <w:div w:id="449054870">
      <w:bodyDiv w:val="1"/>
      <w:marLeft w:val="0"/>
      <w:marRight w:val="0"/>
      <w:marTop w:val="0"/>
      <w:marBottom w:val="0"/>
      <w:divBdr>
        <w:top w:val="none" w:sz="0" w:space="0" w:color="auto"/>
        <w:left w:val="none" w:sz="0" w:space="0" w:color="auto"/>
        <w:bottom w:val="none" w:sz="0" w:space="0" w:color="auto"/>
        <w:right w:val="none" w:sz="0" w:space="0" w:color="auto"/>
      </w:divBdr>
    </w:div>
    <w:div w:id="449275856">
      <w:bodyDiv w:val="1"/>
      <w:marLeft w:val="0"/>
      <w:marRight w:val="0"/>
      <w:marTop w:val="0"/>
      <w:marBottom w:val="0"/>
      <w:divBdr>
        <w:top w:val="none" w:sz="0" w:space="0" w:color="auto"/>
        <w:left w:val="none" w:sz="0" w:space="0" w:color="auto"/>
        <w:bottom w:val="none" w:sz="0" w:space="0" w:color="auto"/>
        <w:right w:val="none" w:sz="0" w:space="0" w:color="auto"/>
      </w:divBdr>
    </w:div>
    <w:div w:id="449739814">
      <w:bodyDiv w:val="1"/>
      <w:marLeft w:val="0"/>
      <w:marRight w:val="0"/>
      <w:marTop w:val="0"/>
      <w:marBottom w:val="0"/>
      <w:divBdr>
        <w:top w:val="none" w:sz="0" w:space="0" w:color="auto"/>
        <w:left w:val="none" w:sz="0" w:space="0" w:color="auto"/>
        <w:bottom w:val="none" w:sz="0" w:space="0" w:color="auto"/>
        <w:right w:val="none" w:sz="0" w:space="0" w:color="auto"/>
      </w:divBdr>
    </w:div>
    <w:div w:id="450054640">
      <w:bodyDiv w:val="1"/>
      <w:marLeft w:val="0"/>
      <w:marRight w:val="0"/>
      <w:marTop w:val="0"/>
      <w:marBottom w:val="0"/>
      <w:divBdr>
        <w:top w:val="none" w:sz="0" w:space="0" w:color="auto"/>
        <w:left w:val="none" w:sz="0" w:space="0" w:color="auto"/>
        <w:bottom w:val="none" w:sz="0" w:space="0" w:color="auto"/>
        <w:right w:val="none" w:sz="0" w:space="0" w:color="auto"/>
      </w:divBdr>
    </w:div>
    <w:div w:id="450170187">
      <w:bodyDiv w:val="1"/>
      <w:marLeft w:val="0"/>
      <w:marRight w:val="0"/>
      <w:marTop w:val="0"/>
      <w:marBottom w:val="0"/>
      <w:divBdr>
        <w:top w:val="none" w:sz="0" w:space="0" w:color="auto"/>
        <w:left w:val="none" w:sz="0" w:space="0" w:color="auto"/>
        <w:bottom w:val="none" w:sz="0" w:space="0" w:color="auto"/>
        <w:right w:val="none" w:sz="0" w:space="0" w:color="auto"/>
      </w:divBdr>
    </w:div>
    <w:div w:id="450172407">
      <w:bodyDiv w:val="1"/>
      <w:marLeft w:val="0"/>
      <w:marRight w:val="0"/>
      <w:marTop w:val="0"/>
      <w:marBottom w:val="0"/>
      <w:divBdr>
        <w:top w:val="none" w:sz="0" w:space="0" w:color="auto"/>
        <w:left w:val="none" w:sz="0" w:space="0" w:color="auto"/>
        <w:bottom w:val="none" w:sz="0" w:space="0" w:color="auto"/>
        <w:right w:val="none" w:sz="0" w:space="0" w:color="auto"/>
      </w:divBdr>
    </w:div>
    <w:div w:id="450247785">
      <w:bodyDiv w:val="1"/>
      <w:marLeft w:val="0"/>
      <w:marRight w:val="0"/>
      <w:marTop w:val="0"/>
      <w:marBottom w:val="0"/>
      <w:divBdr>
        <w:top w:val="none" w:sz="0" w:space="0" w:color="auto"/>
        <w:left w:val="none" w:sz="0" w:space="0" w:color="auto"/>
        <w:bottom w:val="none" w:sz="0" w:space="0" w:color="auto"/>
        <w:right w:val="none" w:sz="0" w:space="0" w:color="auto"/>
      </w:divBdr>
    </w:div>
    <w:div w:id="450393911">
      <w:bodyDiv w:val="1"/>
      <w:marLeft w:val="0"/>
      <w:marRight w:val="0"/>
      <w:marTop w:val="0"/>
      <w:marBottom w:val="0"/>
      <w:divBdr>
        <w:top w:val="none" w:sz="0" w:space="0" w:color="auto"/>
        <w:left w:val="none" w:sz="0" w:space="0" w:color="auto"/>
        <w:bottom w:val="none" w:sz="0" w:space="0" w:color="auto"/>
        <w:right w:val="none" w:sz="0" w:space="0" w:color="auto"/>
      </w:divBdr>
    </w:div>
    <w:div w:id="450587907">
      <w:bodyDiv w:val="1"/>
      <w:marLeft w:val="0"/>
      <w:marRight w:val="0"/>
      <w:marTop w:val="0"/>
      <w:marBottom w:val="0"/>
      <w:divBdr>
        <w:top w:val="none" w:sz="0" w:space="0" w:color="auto"/>
        <w:left w:val="none" w:sz="0" w:space="0" w:color="auto"/>
        <w:bottom w:val="none" w:sz="0" w:space="0" w:color="auto"/>
        <w:right w:val="none" w:sz="0" w:space="0" w:color="auto"/>
      </w:divBdr>
    </w:div>
    <w:div w:id="451091388">
      <w:bodyDiv w:val="1"/>
      <w:marLeft w:val="0"/>
      <w:marRight w:val="0"/>
      <w:marTop w:val="0"/>
      <w:marBottom w:val="0"/>
      <w:divBdr>
        <w:top w:val="none" w:sz="0" w:space="0" w:color="auto"/>
        <w:left w:val="none" w:sz="0" w:space="0" w:color="auto"/>
        <w:bottom w:val="none" w:sz="0" w:space="0" w:color="auto"/>
        <w:right w:val="none" w:sz="0" w:space="0" w:color="auto"/>
      </w:divBdr>
    </w:div>
    <w:div w:id="451217146">
      <w:bodyDiv w:val="1"/>
      <w:marLeft w:val="0"/>
      <w:marRight w:val="0"/>
      <w:marTop w:val="0"/>
      <w:marBottom w:val="0"/>
      <w:divBdr>
        <w:top w:val="none" w:sz="0" w:space="0" w:color="auto"/>
        <w:left w:val="none" w:sz="0" w:space="0" w:color="auto"/>
        <w:bottom w:val="none" w:sz="0" w:space="0" w:color="auto"/>
        <w:right w:val="none" w:sz="0" w:space="0" w:color="auto"/>
      </w:divBdr>
    </w:div>
    <w:div w:id="451241867">
      <w:bodyDiv w:val="1"/>
      <w:marLeft w:val="0"/>
      <w:marRight w:val="0"/>
      <w:marTop w:val="0"/>
      <w:marBottom w:val="0"/>
      <w:divBdr>
        <w:top w:val="none" w:sz="0" w:space="0" w:color="auto"/>
        <w:left w:val="none" w:sz="0" w:space="0" w:color="auto"/>
        <w:bottom w:val="none" w:sz="0" w:space="0" w:color="auto"/>
        <w:right w:val="none" w:sz="0" w:space="0" w:color="auto"/>
      </w:divBdr>
    </w:div>
    <w:div w:id="451287905">
      <w:bodyDiv w:val="1"/>
      <w:marLeft w:val="0"/>
      <w:marRight w:val="0"/>
      <w:marTop w:val="0"/>
      <w:marBottom w:val="0"/>
      <w:divBdr>
        <w:top w:val="none" w:sz="0" w:space="0" w:color="auto"/>
        <w:left w:val="none" w:sz="0" w:space="0" w:color="auto"/>
        <w:bottom w:val="none" w:sz="0" w:space="0" w:color="auto"/>
        <w:right w:val="none" w:sz="0" w:space="0" w:color="auto"/>
      </w:divBdr>
    </w:div>
    <w:div w:id="451478657">
      <w:bodyDiv w:val="1"/>
      <w:marLeft w:val="0"/>
      <w:marRight w:val="0"/>
      <w:marTop w:val="0"/>
      <w:marBottom w:val="0"/>
      <w:divBdr>
        <w:top w:val="none" w:sz="0" w:space="0" w:color="auto"/>
        <w:left w:val="none" w:sz="0" w:space="0" w:color="auto"/>
        <w:bottom w:val="none" w:sz="0" w:space="0" w:color="auto"/>
        <w:right w:val="none" w:sz="0" w:space="0" w:color="auto"/>
      </w:divBdr>
    </w:div>
    <w:div w:id="451829322">
      <w:bodyDiv w:val="1"/>
      <w:marLeft w:val="0"/>
      <w:marRight w:val="0"/>
      <w:marTop w:val="0"/>
      <w:marBottom w:val="0"/>
      <w:divBdr>
        <w:top w:val="none" w:sz="0" w:space="0" w:color="auto"/>
        <w:left w:val="none" w:sz="0" w:space="0" w:color="auto"/>
        <w:bottom w:val="none" w:sz="0" w:space="0" w:color="auto"/>
        <w:right w:val="none" w:sz="0" w:space="0" w:color="auto"/>
      </w:divBdr>
    </w:div>
    <w:div w:id="452284881">
      <w:bodyDiv w:val="1"/>
      <w:marLeft w:val="0"/>
      <w:marRight w:val="0"/>
      <w:marTop w:val="0"/>
      <w:marBottom w:val="0"/>
      <w:divBdr>
        <w:top w:val="none" w:sz="0" w:space="0" w:color="auto"/>
        <w:left w:val="none" w:sz="0" w:space="0" w:color="auto"/>
        <w:bottom w:val="none" w:sz="0" w:space="0" w:color="auto"/>
        <w:right w:val="none" w:sz="0" w:space="0" w:color="auto"/>
      </w:divBdr>
    </w:div>
    <w:div w:id="452289758">
      <w:bodyDiv w:val="1"/>
      <w:marLeft w:val="0"/>
      <w:marRight w:val="0"/>
      <w:marTop w:val="0"/>
      <w:marBottom w:val="0"/>
      <w:divBdr>
        <w:top w:val="none" w:sz="0" w:space="0" w:color="auto"/>
        <w:left w:val="none" w:sz="0" w:space="0" w:color="auto"/>
        <w:bottom w:val="none" w:sz="0" w:space="0" w:color="auto"/>
        <w:right w:val="none" w:sz="0" w:space="0" w:color="auto"/>
      </w:divBdr>
    </w:div>
    <w:div w:id="452410056">
      <w:bodyDiv w:val="1"/>
      <w:marLeft w:val="0"/>
      <w:marRight w:val="0"/>
      <w:marTop w:val="0"/>
      <w:marBottom w:val="0"/>
      <w:divBdr>
        <w:top w:val="none" w:sz="0" w:space="0" w:color="auto"/>
        <w:left w:val="none" w:sz="0" w:space="0" w:color="auto"/>
        <w:bottom w:val="none" w:sz="0" w:space="0" w:color="auto"/>
        <w:right w:val="none" w:sz="0" w:space="0" w:color="auto"/>
      </w:divBdr>
    </w:div>
    <w:div w:id="452526463">
      <w:bodyDiv w:val="1"/>
      <w:marLeft w:val="0"/>
      <w:marRight w:val="0"/>
      <w:marTop w:val="0"/>
      <w:marBottom w:val="0"/>
      <w:divBdr>
        <w:top w:val="none" w:sz="0" w:space="0" w:color="auto"/>
        <w:left w:val="none" w:sz="0" w:space="0" w:color="auto"/>
        <w:bottom w:val="none" w:sz="0" w:space="0" w:color="auto"/>
        <w:right w:val="none" w:sz="0" w:space="0" w:color="auto"/>
      </w:divBdr>
    </w:div>
    <w:div w:id="452790620">
      <w:bodyDiv w:val="1"/>
      <w:marLeft w:val="0"/>
      <w:marRight w:val="0"/>
      <w:marTop w:val="0"/>
      <w:marBottom w:val="0"/>
      <w:divBdr>
        <w:top w:val="none" w:sz="0" w:space="0" w:color="auto"/>
        <w:left w:val="none" w:sz="0" w:space="0" w:color="auto"/>
        <w:bottom w:val="none" w:sz="0" w:space="0" w:color="auto"/>
        <w:right w:val="none" w:sz="0" w:space="0" w:color="auto"/>
      </w:divBdr>
    </w:div>
    <w:div w:id="452797215">
      <w:bodyDiv w:val="1"/>
      <w:marLeft w:val="0"/>
      <w:marRight w:val="0"/>
      <w:marTop w:val="0"/>
      <w:marBottom w:val="0"/>
      <w:divBdr>
        <w:top w:val="none" w:sz="0" w:space="0" w:color="auto"/>
        <w:left w:val="none" w:sz="0" w:space="0" w:color="auto"/>
        <w:bottom w:val="none" w:sz="0" w:space="0" w:color="auto"/>
        <w:right w:val="none" w:sz="0" w:space="0" w:color="auto"/>
      </w:divBdr>
    </w:div>
    <w:div w:id="452864169">
      <w:bodyDiv w:val="1"/>
      <w:marLeft w:val="0"/>
      <w:marRight w:val="0"/>
      <w:marTop w:val="0"/>
      <w:marBottom w:val="0"/>
      <w:divBdr>
        <w:top w:val="none" w:sz="0" w:space="0" w:color="auto"/>
        <w:left w:val="none" w:sz="0" w:space="0" w:color="auto"/>
        <w:bottom w:val="none" w:sz="0" w:space="0" w:color="auto"/>
        <w:right w:val="none" w:sz="0" w:space="0" w:color="auto"/>
      </w:divBdr>
    </w:div>
    <w:div w:id="452989463">
      <w:bodyDiv w:val="1"/>
      <w:marLeft w:val="0"/>
      <w:marRight w:val="0"/>
      <w:marTop w:val="0"/>
      <w:marBottom w:val="0"/>
      <w:divBdr>
        <w:top w:val="none" w:sz="0" w:space="0" w:color="auto"/>
        <w:left w:val="none" w:sz="0" w:space="0" w:color="auto"/>
        <w:bottom w:val="none" w:sz="0" w:space="0" w:color="auto"/>
        <w:right w:val="none" w:sz="0" w:space="0" w:color="auto"/>
      </w:divBdr>
    </w:div>
    <w:div w:id="453596979">
      <w:bodyDiv w:val="1"/>
      <w:marLeft w:val="0"/>
      <w:marRight w:val="0"/>
      <w:marTop w:val="0"/>
      <w:marBottom w:val="0"/>
      <w:divBdr>
        <w:top w:val="none" w:sz="0" w:space="0" w:color="auto"/>
        <w:left w:val="none" w:sz="0" w:space="0" w:color="auto"/>
        <w:bottom w:val="none" w:sz="0" w:space="0" w:color="auto"/>
        <w:right w:val="none" w:sz="0" w:space="0" w:color="auto"/>
      </w:divBdr>
    </w:div>
    <w:div w:id="453838249">
      <w:bodyDiv w:val="1"/>
      <w:marLeft w:val="0"/>
      <w:marRight w:val="0"/>
      <w:marTop w:val="0"/>
      <w:marBottom w:val="0"/>
      <w:divBdr>
        <w:top w:val="none" w:sz="0" w:space="0" w:color="auto"/>
        <w:left w:val="none" w:sz="0" w:space="0" w:color="auto"/>
        <w:bottom w:val="none" w:sz="0" w:space="0" w:color="auto"/>
        <w:right w:val="none" w:sz="0" w:space="0" w:color="auto"/>
      </w:divBdr>
    </w:div>
    <w:div w:id="453839195">
      <w:bodyDiv w:val="1"/>
      <w:marLeft w:val="0"/>
      <w:marRight w:val="0"/>
      <w:marTop w:val="0"/>
      <w:marBottom w:val="0"/>
      <w:divBdr>
        <w:top w:val="none" w:sz="0" w:space="0" w:color="auto"/>
        <w:left w:val="none" w:sz="0" w:space="0" w:color="auto"/>
        <w:bottom w:val="none" w:sz="0" w:space="0" w:color="auto"/>
        <w:right w:val="none" w:sz="0" w:space="0" w:color="auto"/>
      </w:divBdr>
    </w:div>
    <w:div w:id="454056483">
      <w:bodyDiv w:val="1"/>
      <w:marLeft w:val="0"/>
      <w:marRight w:val="0"/>
      <w:marTop w:val="0"/>
      <w:marBottom w:val="0"/>
      <w:divBdr>
        <w:top w:val="none" w:sz="0" w:space="0" w:color="auto"/>
        <w:left w:val="none" w:sz="0" w:space="0" w:color="auto"/>
        <w:bottom w:val="none" w:sz="0" w:space="0" w:color="auto"/>
        <w:right w:val="none" w:sz="0" w:space="0" w:color="auto"/>
      </w:divBdr>
    </w:div>
    <w:div w:id="454058915">
      <w:bodyDiv w:val="1"/>
      <w:marLeft w:val="0"/>
      <w:marRight w:val="0"/>
      <w:marTop w:val="0"/>
      <w:marBottom w:val="0"/>
      <w:divBdr>
        <w:top w:val="none" w:sz="0" w:space="0" w:color="auto"/>
        <w:left w:val="none" w:sz="0" w:space="0" w:color="auto"/>
        <w:bottom w:val="none" w:sz="0" w:space="0" w:color="auto"/>
        <w:right w:val="none" w:sz="0" w:space="0" w:color="auto"/>
      </w:divBdr>
    </w:div>
    <w:div w:id="454065715">
      <w:bodyDiv w:val="1"/>
      <w:marLeft w:val="0"/>
      <w:marRight w:val="0"/>
      <w:marTop w:val="0"/>
      <w:marBottom w:val="0"/>
      <w:divBdr>
        <w:top w:val="none" w:sz="0" w:space="0" w:color="auto"/>
        <w:left w:val="none" w:sz="0" w:space="0" w:color="auto"/>
        <w:bottom w:val="none" w:sz="0" w:space="0" w:color="auto"/>
        <w:right w:val="none" w:sz="0" w:space="0" w:color="auto"/>
      </w:divBdr>
    </w:div>
    <w:div w:id="454522355">
      <w:bodyDiv w:val="1"/>
      <w:marLeft w:val="0"/>
      <w:marRight w:val="0"/>
      <w:marTop w:val="0"/>
      <w:marBottom w:val="0"/>
      <w:divBdr>
        <w:top w:val="none" w:sz="0" w:space="0" w:color="auto"/>
        <w:left w:val="none" w:sz="0" w:space="0" w:color="auto"/>
        <w:bottom w:val="none" w:sz="0" w:space="0" w:color="auto"/>
        <w:right w:val="none" w:sz="0" w:space="0" w:color="auto"/>
      </w:divBdr>
    </w:div>
    <w:div w:id="454561467">
      <w:bodyDiv w:val="1"/>
      <w:marLeft w:val="0"/>
      <w:marRight w:val="0"/>
      <w:marTop w:val="0"/>
      <w:marBottom w:val="0"/>
      <w:divBdr>
        <w:top w:val="none" w:sz="0" w:space="0" w:color="auto"/>
        <w:left w:val="none" w:sz="0" w:space="0" w:color="auto"/>
        <w:bottom w:val="none" w:sz="0" w:space="0" w:color="auto"/>
        <w:right w:val="none" w:sz="0" w:space="0" w:color="auto"/>
      </w:divBdr>
    </w:div>
    <w:div w:id="455148404">
      <w:bodyDiv w:val="1"/>
      <w:marLeft w:val="0"/>
      <w:marRight w:val="0"/>
      <w:marTop w:val="0"/>
      <w:marBottom w:val="0"/>
      <w:divBdr>
        <w:top w:val="none" w:sz="0" w:space="0" w:color="auto"/>
        <w:left w:val="none" w:sz="0" w:space="0" w:color="auto"/>
        <w:bottom w:val="none" w:sz="0" w:space="0" w:color="auto"/>
        <w:right w:val="none" w:sz="0" w:space="0" w:color="auto"/>
      </w:divBdr>
    </w:div>
    <w:div w:id="455221868">
      <w:bodyDiv w:val="1"/>
      <w:marLeft w:val="0"/>
      <w:marRight w:val="0"/>
      <w:marTop w:val="0"/>
      <w:marBottom w:val="0"/>
      <w:divBdr>
        <w:top w:val="none" w:sz="0" w:space="0" w:color="auto"/>
        <w:left w:val="none" w:sz="0" w:space="0" w:color="auto"/>
        <w:bottom w:val="none" w:sz="0" w:space="0" w:color="auto"/>
        <w:right w:val="none" w:sz="0" w:space="0" w:color="auto"/>
      </w:divBdr>
    </w:div>
    <w:div w:id="455416438">
      <w:bodyDiv w:val="1"/>
      <w:marLeft w:val="0"/>
      <w:marRight w:val="0"/>
      <w:marTop w:val="0"/>
      <w:marBottom w:val="0"/>
      <w:divBdr>
        <w:top w:val="none" w:sz="0" w:space="0" w:color="auto"/>
        <w:left w:val="none" w:sz="0" w:space="0" w:color="auto"/>
        <w:bottom w:val="none" w:sz="0" w:space="0" w:color="auto"/>
        <w:right w:val="none" w:sz="0" w:space="0" w:color="auto"/>
      </w:divBdr>
    </w:div>
    <w:div w:id="455485484">
      <w:bodyDiv w:val="1"/>
      <w:marLeft w:val="0"/>
      <w:marRight w:val="0"/>
      <w:marTop w:val="0"/>
      <w:marBottom w:val="0"/>
      <w:divBdr>
        <w:top w:val="none" w:sz="0" w:space="0" w:color="auto"/>
        <w:left w:val="none" w:sz="0" w:space="0" w:color="auto"/>
        <w:bottom w:val="none" w:sz="0" w:space="0" w:color="auto"/>
        <w:right w:val="none" w:sz="0" w:space="0" w:color="auto"/>
      </w:divBdr>
    </w:div>
    <w:div w:id="455487830">
      <w:bodyDiv w:val="1"/>
      <w:marLeft w:val="0"/>
      <w:marRight w:val="0"/>
      <w:marTop w:val="0"/>
      <w:marBottom w:val="0"/>
      <w:divBdr>
        <w:top w:val="none" w:sz="0" w:space="0" w:color="auto"/>
        <w:left w:val="none" w:sz="0" w:space="0" w:color="auto"/>
        <w:bottom w:val="none" w:sz="0" w:space="0" w:color="auto"/>
        <w:right w:val="none" w:sz="0" w:space="0" w:color="auto"/>
      </w:divBdr>
    </w:div>
    <w:div w:id="455567510">
      <w:bodyDiv w:val="1"/>
      <w:marLeft w:val="0"/>
      <w:marRight w:val="0"/>
      <w:marTop w:val="0"/>
      <w:marBottom w:val="0"/>
      <w:divBdr>
        <w:top w:val="none" w:sz="0" w:space="0" w:color="auto"/>
        <w:left w:val="none" w:sz="0" w:space="0" w:color="auto"/>
        <w:bottom w:val="none" w:sz="0" w:space="0" w:color="auto"/>
        <w:right w:val="none" w:sz="0" w:space="0" w:color="auto"/>
      </w:divBdr>
    </w:div>
    <w:div w:id="456022267">
      <w:bodyDiv w:val="1"/>
      <w:marLeft w:val="0"/>
      <w:marRight w:val="0"/>
      <w:marTop w:val="0"/>
      <w:marBottom w:val="0"/>
      <w:divBdr>
        <w:top w:val="none" w:sz="0" w:space="0" w:color="auto"/>
        <w:left w:val="none" w:sz="0" w:space="0" w:color="auto"/>
        <w:bottom w:val="none" w:sz="0" w:space="0" w:color="auto"/>
        <w:right w:val="none" w:sz="0" w:space="0" w:color="auto"/>
      </w:divBdr>
    </w:div>
    <w:div w:id="456025531">
      <w:bodyDiv w:val="1"/>
      <w:marLeft w:val="0"/>
      <w:marRight w:val="0"/>
      <w:marTop w:val="0"/>
      <w:marBottom w:val="0"/>
      <w:divBdr>
        <w:top w:val="none" w:sz="0" w:space="0" w:color="auto"/>
        <w:left w:val="none" w:sz="0" w:space="0" w:color="auto"/>
        <w:bottom w:val="none" w:sz="0" w:space="0" w:color="auto"/>
        <w:right w:val="none" w:sz="0" w:space="0" w:color="auto"/>
      </w:divBdr>
    </w:div>
    <w:div w:id="456145790">
      <w:bodyDiv w:val="1"/>
      <w:marLeft w:val="0"/>
      <w:marRight w:val="0"/>
      <w:marTop w:val="0"/>
      <w:marBottom w:val="0"/>
      <w:divBdr>
        <w:top w:val="none" w:sz="0" w:space="0" w:color="auto"/>
        <w:left w:val="none" w:sz="0" w:space="0" w:color="auto"/>
        <w:bottom w:val="none" w:sz="0" w:space="0" w:color="auto"/>
        <w:right w:val="none" w:sz="0" w:space="0" w:color="auto"/>
      </w:divBdr>
    </w:div>
    <w:div w:id="456224680">
      <w:bodyDiv w:val="1"/>
      <w:marLeft w:val="0"/>
      <w:marRight w:val="0"/>
      <w:marTop w:val="0"/>
      <w:marBottom w:val="0"/>
      <w:divBdr>
        <w:top w:val="none" w:sz="0" w:space="0" w:color="auto"/>
        <w:left w:val="none" w:sz="0" w:space="0" w:color="auto"/>
        <w:bottom w:val="none" w:sz="0" w:space="0" w:color="auto"/>
        <w:right w:val="none" w:sz="0" w:space="0" w:color="auto"/>
      </w:divBdr>
    </w:div>
    <w:div w:id="456334398">
      <w:bodyDiv w:val="1"/>
      <w:marLeft w:val="0"/>
      <w:marRight w:val="0"/>
      <w:marTop w:val="0"/>
      <w:marBottom w:val="0"/>
      <w:divBdr>
        <w:top w:val="none" w:sz="0" w:space="0" w:color="auto"/>
        <w:left w:val="none" w:sz="0" w:space="0" w:color="auto"/>
        <w:bottom w:val="none" w:sz="0" w:space="0" w:color="auto"/>
        <w:right w:val="none" w:sz="0" w:space="0" w:color="auto"/>
      </w:divBdr>
    </w:div>
    <w:div w:id="456335244">
      <w:bodyDiv w:val="1"/>
      <w:marLeft w:val="0"/>
      <w:marRight w:val="0"/>
      <w:marTop w:val="0"/>
      <w:marBottom w:val="0"/>
      <w:divBdr>
        <w:top w:val="none" w:sz="0" w:space="0" w:color="auto"/>
        <w:left w:val="none" w:sz="0" w:space="0" w:color="auto"/>
        <w:bottom w:val="none" w:sz="0" w:space="0" w:color="auto"/>
        <w:right w:val="none" w:sz="0" w:space="0" w:color="auto"/>
      </w:divBdr>
    </w:div>
    <w:div w:id="456528132">
      <w:bodyDiv w:val="1"/>
      <w:marLeft w:val="0"/>
      <w:marRight w:val="0"/>
      <w:marTop w:val="0"/>
      <w:marBottom w:val="0"/>
      <w:divBdr>
        <w:top w:val="none" w:sz="0" w:space="0" w:color="auto"/>
        <w:left w:val="none" w:sz="0" w:space="0" w:color="auto"/>
        <w:bottom w:val="none" w:sz="0" w:space="0" w:color="auto"/>
        <w:right w:val="none" w:sz="0" w:space="0" w:color="auto"/>
      </w:divBdr>
    </w:div>
    <w:div w:id="456532258">
      <w:bodyDiv w:val="1"/>
      <w:marLeft w:val="0"/>
      <w:marRight w:val="0"/>
      <w:marTop w:val="0"/>
      <w:marBottom w:val="0"/>
      <w:divBdr>
        <w:top w:val="none" w:sz="0" w:space="0" w:color="auto"/>
        <w:left w:val="none" w:sz="0" w:space="0" w:color="auto"/>
        <w:bottom w:val="none" w:sz="0" w:space="0" w:color="auto"/>
        <w:right w:val="none" w:sz="0" w:space="0" w:color="auto"/>
      </w:divBdr>
    </w:div>
    <w:div w:id="456534418">
      <w:bodyDiv w:val="1"/>
      <w:marLeft w:val="0"/>
      <w:marRight w:val="0"/>
      <w:marTop w:val="0"/>
      <w:marBottom w:val="0"/>
      <w:divBdr>
        <w:top w:val="none" w:sz="0" w:space="0" w:color="auto"/>
        <w:left w:val="none" w:sz="0" w:space="0" w:color="auto"/>
        <w:bottom w:val="none" w:sz="0" w:space="0" w:color="auto"/>
        <w:right w:val="none" w:sz="0" w:space="0" w:color="auto"/>
      </w:divBdr>
    </w:div>
    <w:div w:id="456721510">
      <w:bodyDiv w:val="1"/>
      <w:marLeft w:val="0"/>
      <w:marRight w:val="0"/>
      <w:marTop w:val="0"/>
      <w:marBottom w:val="0"/>
      <w:divBdr>
        <w:top w:val="none" w:sz="0" w:space="0" w:color="auto"/>
        <w:left w:val="none" w:sz="0" w:space="0" w:color="auto"/>
        <w:bottom w:val="none" w:sz="0" w:space="0" w:color="auto"/>
        <w:right w:val="none" w:sz="0" w:space="0" w:color="auto"/>
      </w:divBdr>
    </w:div>
    <w:div w:id="456918608">
      <w:bodyDiv w:val="1"/>
      <w:marLeft w:val="0"/>
      <w:marRight w:val="0"/>
      <w:marTop w:val="0"/>
      <w:marBottom w:val="0"/>
      <w:divBdr>
        <w:top w:val="none" w:sz="0" w:space="0" w:color="auto"/>
        <w:left w:val="none" w:sz="0" w:space="0" w:color="auto"/>
        <w:bottom w:val="none" w:sz="0" w:space="0" w:color="auto"/>
        <w:right w:val="none" w:sz="0" w:space="0" w:color="auto"/>
      </w:divBdr>
    </w:div>
    <w:div w:id="456994428">
      <w:bodyDiv w:val="1"/>
      <w:marLeft w:val="0"/>
      <w:marRight w:val="0"/>
      <w:marTop w:val="0"/>
      <w:marBottom w:val="0"/>
      <w:divBdr>
        <w:top w:val="none" w:sz="0" w:space="0" w:color="auto"/>
        <w:left w:val="none" w:sz="0" w:space="0" w:color="auto"/>
        <w:bottom w:val="none" w:sz="0" w:space="0" w:color="auto"/>
        <w:right w:val="none" w:sz="0" w:space="0" w:color="auto"/>
      </w:divBdr>
    </w:div>
    <w:div w:id="457458818">
      <w:bodyDiv w:val="1"/>
      <w:marLeft w:val="0"/>
      <w:marRight w:val="0"/>
      <w:marTop w:val="0"/>
      <w:marBottom w:val="0"/>
      <w:divBdr>
        <w:top w:val="none" w:sz="0" w:space="0" w:color="auto"/>
        <w:left w:val="none" w:sz="0" w:space="0" w:color="auto"/>
        <w:bottom w:val="none" w:sz="0" w:space="0" w:color="auto"/>
        <w:right w:val="none" w:sz="0" w:space="0" w:color="auto"/>
      </w:divBdr>
    </w:div>
    <w:div w:id="458180933">
      <w:bodyDiv w:val="1"/>
      <w:marLeft w:val="0"/>
      <w:marRight w:val="0"/>
      <w:marTop w:val="0"/>
      <w:marBottom w:val="0"/>
      <w:divBdr>
        <w:top w:val="none" w:sz="0" w:space="0" w:color="auto"/>
        <w:left w:val="none" w:sz="0" w:space="0" w:color="auto"/>
        <w:bottom w:val="none" w:sz="0" w:space="0" w:color="auto"/>
        <w:right w:val="none" w:sz="0" w:space="0" w:color="auto"/>
      </w:divBdr>
    </w:div>
    <w:div w:id="458302502">
      <w:bodyDiv w:val="1"/>
      <w:marLeft w:val="0"/>
      <w:marRight w:val="0"/>
      <w:marTop w:val="0"/>
      <w:marBottom w:val="0"/>
      <w:divBdr>
        <w:top w:val="none" w:sz="0" w:space="0" w:color="auto"/>
        <w:left w:val="none" w:sz="0" w:space="0" w:color="auto"/>
        <w:bottom w:val="none" w:sz="0" w:space="0" w:color="auto"/>
        <w:right w:val="none" w:sz="0" w:space="0" w:color="auto"/>
      </w:divBdr>
    </w:div>
    <w:div w:id="458570508">
      <w:bodyDiv w:val="1"/>
      <w:marLeft w:val="0"/>
      <w:marRight w:val="0"/>
      <w:marTop w:val="0"/>
      <w:marBottom w:val="0"/>
      <w:divBdr>
        <w:top w:val="none" w:sz="0" w:space="0" w:color="auto"/>
        <w:left w:val="none" w:sz="0" w:space="0" w:color="auto"/>
        <w:bottom w:val="none" w:sz="0" w:space="0" w:color="auto"/>
        <w:right w:val="none" w:sz="0" w:space="0" w:color="auto"/>
      </w:divBdr>
    </w:div>
    <w:div w:id="458648497">
      <w:bodyDiv w:val="1"/>
      <w:marLeft w:val="0"/>
      <w:marRight w:val="0"/>
      <w:marTop w:val="0"/>
      <w:marBottom w:val="0"/>
      <w:divBdr>
        <w:top w:val="none" w:sz="0" w:space="0" w:color="auto"/>
        <w:left w:val="none" w:sz="0" w:space="0" w:color="auto"/>
        <w:bottom w:val="none" w:sz="0" w:space="0" w:color="auto"/>
        <w:right w:val="none" w:sz="0" w:space="0" w:color="auto"/>
      </w:divBdr>
    </w:div>
    <w:div w:id="458762015">
      <w:bodyDiv w:val="1"/>
      <w:marLeft w:val="0"/>
      <w:marRight w:val="0"/>
      <w:marTop w:val="0"/>
      <w:marBottom w:val="0"/>
      <w:divBdr>
        <w:top w:val="none" w:sz="0" w:space="0" w:color="auto"/>
        <w:left w:val="none" w:sz="0" w:space="0" w:color="auto"/>
        <w:bottom w:val="none" w:sz="0" w:space="0" w:color="auto"/>
        <w:right w:val="none" w:sz="0" w:space="0" w:color="auto"/>
      </w:divBdr>
    </w:div>
    <w:div w:id="458768437">
      <w:bodyDiv w:val="1"/>
      <w:marLeft w:val="0"/>
      <w:marRight w:val="0"/>
      <w:marTop w:val="0"/>
      <w:marBottom w:val="0"/>
      <w:divBdr>
        <w:top w:val="none" w:sz="0" w:space="0" w:color="auto"/>
        <w:left w:val="none" w:sz="0" w:space="0" w:color="auto"/>
        <w:bottom w:val="none" w:sz="0" w:space="0" w:color="auto"/>
        <w:right w:val="none" w:sz="0" w:space="0" w:color="auto"/>
      </w:divBdr>
    </w:div>
    <w:div w:id="459032853">
      <w:bodyDiv w:val="1"/>
      <w:marLeft w:val="0"/>
      <w:marRight w:val="0"/>
      <w:marTop w:val="0"/>
      <w:marBottom w:val="0"/>
      <w:divBdr>
        <w:top w:val="none" w:sz="0" w:space="0" w:color="auto"/>
        <w:left w:val="none" w:sz="0" w:space="0" w:color="auto"/>
        <w:bottom w:val="none" w:sz="0" w:space="0" w:color="auto"/>
        <w:right w:val="none" w:sz="0" w:space="0" w:color="auto"/>
      </w:divBdr>
    </w:div>
    <w:div w:id="459493066">
      <w:bodyDiv w:val="1"/>
      <w:marLeft w:val="0"/>
      <w:marRight w:val="0"/>
      <w:marTop w:val="0"/>
      <w:marBottom w:val="0"/>
      <w:divBdr>
        <w:top w:val="none" w:sz="0" w:space="0" w:color="auto"/>
        <w:left w:val="none" w:sz="0" w:space="0" w:color="auto"/>
        <w:bottom w:val="none" w:sz="0" w:space="0" w:color="auto"/>
        <w:right w:val="none" w:sz="0" w:space="0" w:color="auto"/>
      </w:divBdr>
    </w:div>
    <w:div w:id="459693665">
      <w:bodyDiv w:val="1"/>
      <w:marLeft w:val="0"/>
      <w:marRight w:val="0"/>
      <w:marTop w:val="0"/>
      <w:marBottom w:val="0"/>
      <w:divBdr>
        <w:top w:val="none" w:sz="0" w:space="0" w:color="auto"/>
        <w:left w:val="none" w:sz="0" w:space="0" w:color="auto"/>
        <w:bottom w:val="none" w:sz="0" w:space="0" w:color="auto"/>
        <w:right w:val="none" w:sz="0" w:space="0" w:color="auto"/>
      </w:divBdr>
    </w:div>
    <w:div w:id="459884200">
      <w:bodyDiv w:val="1"/>
      <w:marLeft w:val="0"/>
      <w:marRight w:val="0"/>
      <w:marTop w:val="0"/>
      <w:marBottom w:val="0"/>
      <w:divBdr>
        <w:top w:val="none" w:sz="0" w:space="0" w:color="auto"/>
        <w:left w:val="none" w:sz="0" w:space="0" w:color="auto"/>
        <w:bottom w:val="none" w:sz="0" w:space="0" w:color="auto"/>
        <w:right w:val="none" w:sz="0" w:space="0" w:color="auto"/>
      </w:divBdr>
    </w:div>
    <w:div w:id="459959750">
      <w:bodyDiv w:val="1"/>
      <w:marLeft w:val="0"/>
      <w:marRight w:val="0"/>
      <w:marTop w:val="0"/>
      <w:marBottom w:val="0"/>
      <w:divBdr>
        <w:top w:val="none" w:sz="0" w:space="0" w:color="auto"/>
        <w:left w:val="none" w:sz="0" w:space="0" w:color="auto"/>
        <w:bottom w:val="none" w:sz="0" w:space="0" w:color="auto"/>
        <w:right w:val="none" w:sz="0" w:space="0" w:color="auto"/>
      </w:divBdr>
    </w:div>
    <w:div w:id="460197591">
      <w:bodyDiv w:val="1"/>
      <w:marLeft w:val="0"/>
      <w:marRight w:val="0"/>
      <w:marTop w:val="0"/>
      <w:marBottom w:val="0"/>
      <w:divBdr>
        <w:top w:val="none" w:sz="0" w:space="0" w:color="auto"/>
        <w:left w:val="none" w:sz="0" w:space="0" w:color="auto"/>
        <w:bottom w:val="none" w:sz="0" w:space="0" w:color="auto"/>
        <w:right w:val="none" w:sz="0" w:space="0" w:color="auto"/>
      </w:divBdr>
    </w:div>
    <w:div w:id="460541188">
      <w:bodyDiv w:val="1"/>
      <w:marLeft w:val="0"/>
      <w:marRight w:val="0"/>
      <w:marTop w:val="0"/>
      <w:marBottom w:val="0"/>
      <w:divBdr>
        <w:top w:val="none" w:sz="0" w:space="0" w:color="auto"/>
        <w:left w:val="none" w:sz="0" w:space="0" w:color="auto"/>
        <w:bottom w:val="none" w:sz="0" w:space="0" w:color="auto"/>
        <w:right w:val="none" w:sz="0" w:space="0" w:color="auto"/>
      </w:divBdr>
    </w:div>
    <w:div w:id="460610870">
      <w:bodyDiv w:val="1"/>
      <w:marLeft w:val="0"/>
      <w:marRight w:val="0"/>
      <w:marTop w:val="0"/>
      <w:marBottom w:val="0"/>
      <w:divBdr>
        <w:top w:val="none" w:sz="0" w:space="0" w:color="auto"/>
        <w:left w:val="none" w:sz="0" w:space="0" w:color="auto"/>
        <w:bottom w:val="none" w:sz="0" w:space="0" w:color="auto"/>
        <w:right w:val="none" w:sz="0" w:space="0" w:color="auto"/>
      </w:divBdr>
    </w:div>
    <w:div w:id="460660982">
      <w:bodyDiv w:val="1"/>
      <w:marLeft w:val="0"/>
      <w:marRight w:val="0"/>
      <w:marTop w:val="0"/>
      <w:marBottom w:val="0"/>
      <w:divBdr>
        <w:top w:val="none" w:sz="0" w:space="0" w:color="auto"/>
        <w:left w:val="none" w:sz="0" w:space="0" w:color="auto"/>
        <w:bottom w:val="none" w:sz="0" w:space="0" w:color="auto"/>
        <w:right w:val="none" w:sz="0" w:space="0" w:color="auto"/>
      </w:divBdr>
    </w:div>
    <w:div w:id="461115003">
      <w:bodyDiv w:val="1"/>
      <w:marLeft w:val="0"/>
      <w:marRight w:val="0"/>
      <w:marTop w:val="0"/>
      <w:marBottom w:val="0"/>
      <w:divBdr>
        <w:top w:val="none" w:sz="0" w:space="0" w:color="auto"/>
        <w:left w:val="none" w:sz="0" w:space="0" w:color="auto"/>
        <w:bottom w:val="none" w:sz="0" w:space="0" w:color="auto"/>
        <w:right w:val="none" w:sz="0" w:space="0" w:color="auto"/>
      </w:divBdr>
    </w:div>
    <w:div w:id="461121782">
      <w:bodyDiv w:val="1"/>
      <w:marLeft w:val="0"/>
      <w:marRight w:val="0"/>
      <w:marTop w:val="0"/>
      <w:marBottom w:val="0"/>
      <w:divBdr>
        <w:top w:val="none" w:sz="0" w:space="0" w:color="auto"/>
        <w:left w:val="none" w:sz="0" w:space="0" w:color="auto"/>
        <w:bottom w:val="none" w:sz="0" w:space="0" w:color="auto"/>
        <w:right w:val="none" w:sz="0" w:space="0" w:color="auto"/>
      </w:divBdr>
    </w:div>
    <w:div w:id="461651565">
      <w:bodyDiv w:val="1"/>
      <w:marLeft w:val="0"/>
      <w:marRight w:val="0"/>
      <w:marTop w:val="0"/>
      <w:marBottom w:val="0"/>
      <w:divBdr>
        <w:top w:val="none" w:sz="0" w:space="0" w:color="auto"/>
        <w:left w:val="none" w:sz="0" w:space="0" w:color="auto"/>
        <w:bottom w:val="none" w:sz="0" w:space="0" w:color="auto"/>
        <w:right w:val="none" w:sz="0" w:space="0" w:color="auto"/>
      </w:divBdr>
    </w:div>
    <w:div w:id="461702340">
      <w:bodyDiv w:val="1"/>
      <w:marLeft w:val="0"/>
      <w:marRight w:val="0"/>
      <w:marTop w:val="0"/>
      <w:marBottom w:val="0"/>
      <w:divBdr>
        <w:top w:val="none" w:sz="0" w:space="0" w:color="auto"/>
        <w:left w:val="none" w:sz="0" w:space="0" w:color="auto"/>
        <w:bottom w:val="none" w:sz="0" w:space="0" w:color="auto"/>
        <w:right w:val="none" w:sz="0" w:space="0" w:color="auto"/>
      </w:divBdr>
    </w:div>
    <w:div w:id="461849755">
      <w:bodyDiv w:val="1"/>
      <w:marLeft w:val="0"/>
      <w:marRight w:val="0"/>
      <w:marTop w:val="0"/>
      <w:marBottom w:val="0"/>
      <w:divBdr>
        <w:top w:val="none" w:sz="0" w:space="0" w:color="auto"/>
        <w:left w:val="none" w:sz="0" w:space="0" w:color="auto"/>
        <w:bottom w:val="none" w:sz="0" w:space="0" w:color="auto"/>
        <w:right w:val="none" w:sz="0" w:space="0" w:color="auto"/>
      </w:divBdr>
    </w:div>
    <w:div w:id="462043225">
      <w:bodyDiv w:val="1"/>
      <w:marLeft w:val="0"/>
      <w:marRight w:val="0"/>
      <w:marTop w:val="0"/>
      <w:marBottom w:val="0"/>
      <w:divBdr>
        <w:top w:val="none" w:sz="0" w:space="0" w:color="auto"/>
        <w:left w:val="none" w:sz="0" w:space="0" w:color="auto"/>
        <w:bottom w:val="none" w:sz="0" w:space="0" w:color="auto"/>
        <w:right w:val="none" w:sz="0" w:space="0" w:color="auto"/>
      </w:divBdr>
    </w:div>
    <w:div w:id="462161397">
      <w:bodyDiv w:val="1"/>
      <w:marLeft w:val="0"/>
      <w:marRight w:val="0"/>
      <w:marTop w:val="0"/>
      <w:marBottom w:val="0"/>
      <w:divBdr>
        <w:top w:val="none" w:sz="0" w:space="0" w:color="auto"/>
        <w:left w:val="none" w:sz="0" w:space="0" w:color="auto"/>
        <w:bottom w:val="none" w:sz="0" w:space="0" w:color="auto"/>
        <w:right w:val="none" w:sz="0" w:space="0" w:color="auto"/>
      </w:divBdr>
    </w:div>
    <w:div w:id="462384698">
      <w:bodyDiv w:val="1"/>
      <w:marLeft w:val="0"/>
      <w:marRight w:val="0"/>
      <w:marTop w:val="0"/>
      <w:marBottom w:val="0"/>
      <w:divBdr>
        <w:top w:val="none" w:sz="0" w:space="0" w:color="auto"/>
        <w:left w:val="none" w:sz="0" w:space="0" w:color="auto"/>
        <w:bottom w:val="none" w:sz="0" w:space="0" w:color="auto"/>
        <w:right w:val="none" w:sz="0" w:space="0" w:color="auto"/>
      </w:divBdr>
    </w:div>
    <w:div w:id="462886986">
      <w:bodyDiv w:val="1"/>
      <w:marLeft w:val="0"/>
      <w:marRight w:val="0"/>
      <w:marTop w:val="0"/>
      <w:marBottom w:val="0"/>
      <w:divBdr>
        <w:top w:val="none" w:sz="0" w:space="0" w:color="auto"/>
        <w:left w:val="none" w:sz="0" w:space="0" w:color="auto"/>
        <w:bottom w:val="none" w:sz="0" w:space="0" w:color="auto"/>
        <w:right w:val="none" w:sz="0" w:space="0" w:color="auto"/>
      </w:divBdr>
    </w:div>
    <w:div w:id="463350048">
      <w:bodyDiv w:val="1"/>
      <w:marLeft w:val="0"/>
      <w:marRight w:val="0"/>
      <w:marTop w:val="0"/>
      <w:marBottom w:val="0"/>
      <w:divBdr>
        <w:top w:val="none" w:sz="0" w:space="0" w:color="auto"/>
        <w:left w:val="none" w:sz="0" w:space="0" w:color="auto"/>
        <w:bottom w:val="none" w:sz="0" w:space="0" w:color="auto"/>
        <w:right w:val="none" w:sz="0" w:space="0" w:color="auto"/>
      </w:divBdr>
    </w:div>
    <w:div w:id="463691844">
      <w:bodyDiv w:val="1"/>
      <w:marLeft w:val="0"/>
      <w:marRight w:val="0"/>
      <w:marTop w:val="0"/>
      <w:marBottom w:val="0"/>
      <w:divBdr>
        <w:top w:val="none" w:sz="0" w:space="0" w:color="auto"/>
        <w:left w:val="none" w:sz="0" w:space="0" w:color="auto"/>
        <w:bottom w:val="none" w:sz="0" w:space="0" w:color="auto"/>
        <w:right w:val="none" w:sz="0" w:space="0" w:color="auto"/>
      </w:divBdr>
    </w:div>
    <w:div w:id="464126431">
      <w:bodyDiv w:val="1"/>
      <w:marLeft w:val="0"/>
      <w:marRight w:val="0"/>
      <w:marTop w:val="0"/>
      <w:marBottom w:val="0"/>
      <w:divBdr>
        <w:top w:val="none" w:sz="0" w:space="0" w:color="auto"/>
        <w:left w:val="none" w:sz="0" w:space="0" w:color="auto"/>
        <w:bottom w:val="none" w:sz="0" w:space="0" w:color="auto"/>
        <w:right w:val="none" w:sz="0" w:space="0" w:color="auto"/>
      </w:divBdr>
    </w:div>
    <w:div w:id="464350501">
      <w:bodyDiv w:val="1"/>
      <w:marLeft w:val="0"/>
      <w:marRight w:val="0"/>
      <w:marTop w:val="0"/>
      <w:marBottom w:val="0"/>
      <w:divBdr>
        <w:top w:val="none" w:sz="0" w:space="0" w:color="auto"/>
        <w:left w:val="none" w:sz="0" w:space="0" w:color="auto"/>
        <w:bottom w:val="none" w:sz="0" w:space="0" w:color="auto"/>
        <w:right w:val="none" w:sz="0" w:space="0" w:color="auto"/>
      </w:divBdr>
    </w:div>
    <w:div w:id="464351334">
      <w:bodyDiv w:val="1"/>
      <w:marLeft w:val="0"/>
      <w:marRight w:val="0"/>
      <w:marTop w:val="0"/>
      <w:marBottom w:val="0"/>
      <w:divBdr>
        <w:top w:val="none" w:sz="0" w:space="0" w:color="auto"/>
        <w:left w:val="none" w:sz="0" w:space="0" w:color="auto"/>
        <w:bottom w:val="none" w:sz="0" w:space="0" w:color="auto"/>
        <w:right w:val="none" w:sz="0" w:space="0" w:color="auto"/>
      </w:divBdr>
    </w:div>
    <w:div w:id="464394517">
      <w:bodyDiv w:val="1"/>
      <w:marLeft w:val="0"/>
      <w:marRight w:val="0"/>
      <w:marTop w:val="0"/>
      <w:marBottom w:val="0"/>
      <w:divBdr>
        <w:top w:val="none" w:sz="0" w:space="0" w:color="auto"/>
        <w:left w:val="none" w:sz="0" w:space="0" w:color="auto"/>
        <w:bottom w:val="none" w:sz="0" w:space="0" w:color="auto"/>
        <w:right w:val="none" w:sz="0" w:space="0" w:color="auto"/>
      </w:divBdr>
    </w:div>
    <w:div w:id="464465601">
      <w:bodyDiv w:val="1"/>
      <w:marLeft w:val="0"/>
      <w:marRight w:val="0"/>
      <w:marTop w:val="0"/>
      <w:marBottom w:val="0"/>
      <w:divBdr>
        <w:top w:val="none" w:sz="0" w:space="0" w:color="auto"/>
        <w:left w:val="none" w:sz="0" w:space="0" w:color="auto"/>
        <w:bottom w:val="none" w:sz="0" w:space="0" w:color="auto"/>
        <w:right w:val="none" w:sz="0" w:space="0" w:color="auto"/>
      </w:divBdr>
    </w:div>
    <w:div w:id="464590151">
      <w:bodyDiv w:val="1"/>
      <w:marLeft w:val="0"/>
      <w:marRight w:val="0"/>
      <w:marTop w:val="0"/>
      <w:marBottom w:val="0"/>
      <w:divBdr>
        <w:top w:val="none" w:sz="0" w:space="0" w:color="auto"/>
        <w:left w:val="none" w:sz="0" w:space="0" w:color="auto"/>
        <w:bottom w:val="none" w:sz="0" w:space="0" w:color="auto"/>
        <w:right w:val="none" w:sz="0" w:space="0" w:color="auto"/>
      </w:divBdr>
    </w:div>
    <w:div w:id="464809320">
      <w:bodyDiv w:val="1"/>
      <w:marLeft w:val="0"/>
      <w:marRight w:val="0"/>
      <w:marTop w:val="0"/>
      <w:marBottom w:val="0"/>
      <w:divBdr>
        <w:top w:val="none" w:sz="0" w:space="0" w:color="auto"/>
        <w:left w:val="none" w:sz="0" w:space="0" w:color="auto"/>
        <w:bottom w:val="none" w:sz="0" w:space="0" w:color="auto"/>
        <w:right w:val="none" w:sz="0" w:space="0" w:color="auto"/>
      </w:divBdr>
    </w:div>
    <w:div w:id="464859143">
      <w:bodyDiv w:val="1"/>
      <w:marLeft w:val="0"/>
      <w:marRight w:val="0"/>
      <w:marTop w:val="0"/>
      <w:marBottom w:val="0"/>
      <w:divBdr>
        <w:top w:val="none" w:sz="0" w:space="0" w:color="auto"/>
        <w:left w:val="none" w:sz="0" w:space="0" w:color="auto"/>
        <w:bottom w:val="none" w:sz="0" w:space="0" w:color="auto"/>
        <w:right w:val="none" w:sz="0" w:space="0" w:color="auto"/>
      </w:divBdr>
    </w:div>
    <w:div w:id="464860567">
      <w:bodyDiv w:val="1"/>
      <w:marLeft w:val="0"/>
      <w:marRight w:val="0"/>
      <w:marTop w:val="0"/>
      <w:marBottom w:val="0"/>
      <w:divBdr>
        <w:top w:val="none" w:sz="0" w:space="0" w:color="auto"/>
        <w:left w:val="none" w:sz="0" w:space="0" w:color="auto"/>
        <w:bottom w:val="none" w:sz="0" w:space="0" w:color="auto"/>
        <w:right w:val="none" w:sz="0" w:space="0" w:color="auto"/>
      </w:divBdr>
    </w:div>
    <w:div w:id="465049705">
      <w:bodyDiv w:val="1"/>
      <w:marLeft w:val="0"/>
      <w:marRight w:val="0"/>
      <w:marTop w:val="0"/>
      <w:marBottom w:val="0"/>
      <w:divBdr>
        <w:top w:val="none" w:sz="0" w:space="0" w:color="auto"/>
        <w:left w:val="none" w:sz="0" w:space="0" w:color="auto"/>
        <w:bottom w:val="none" w:sz="0" w:space="0" w:color="auto"/>
        <w:right w:val="none" w:sz="0" w:space="0" w:color="auto"/>
      </w:divBdr>
    </w:div>
    <w:div w:id="465127474">
      <w:bodyDiv w:val="1"/>
      <w:marLeft w:val="0"/>
      <w:marRight w:val="0"/>
      <w:marTop w:val="0"/>
      <w:marBottom w:val="0"/>
      <w:divBdr>
        <w:top w:val="none" w:sz="0" w:space="0" w:color="auto"/>
        <w:left w:val="none" w:sz="0" w:space="0" w:color="auto"/>
        <w:bottom w:val="none" w:sz="0" w:space="0" w:color="auto"/>
        <w:right w:val="none" w:sz="0" w:space="0" w:color="auto"/>
      </w:divBdr>
    </w:div>
    <w:div w:id="465243222">
      <w:bodyDiv w:val="1"/>
      <w:marLeft w:val="0"/>
      <w:marRight w:val="0"/>
      <w:marTop w:val="0"/>
      <w:marBottom w:val="0"/>
      <w:divBdr>
        <w:top w:val="none" w:sz="0" w:space="0" w:color="auto"/>
        <w:left w:val="none" w:sz="0" w:space="0" w:color="auto"/>
        <w:bottom w:val="none" w:sz="0" w:space="0" w:color="auto"/>
        <w:right w:val="none" w:sz="0" w:space="0" w:color="auto"/>
      </w:divBdr>
    </w:div>
    <w:div w:id="465244966">
      <w:bodyDiv w:val="1"/>
      <w:marLeft w:val="0"/>
      <w:marRight w:val="0"/>
      <w:marTop w:val="0"/>
      <w:marBottom w:val="0"/>
      <w:divBdr>
        <w:top w:val="none" w:sz="0" w:space="0" w:color="auto"/>
        <w:left w:val="none" w:sz="0" w:space="0" w:color="auto"/>
        <w:bottom w:val="none" w:sz="0" w:space="0" w:color="auto"/>
        <w:right w:val="none" w:sz="0" w:space="0" w:color="auto"/>
      </w:divBdr>
    </w:div>
    <w:div w:id="465322319">
      <w:bodyDiv w:val="1"/>
      <w:marLeft w:val="0"/>
      <w:marRight w:val="0"/>
      <w:marTop w:val="0"/>
      <w:marBottom w:val="0"/>
      <w:divBdr>
        <w:top w:val="none" w:sz="0" w:space="0" w:color="auto"/>
        <w:left w:val="none" w:sz="0" w:space="0" w:color="auto"/>
        <w:bottom w:val="none" w:sz="0" w:space="0" w:color="auto"/>
        <w:right w:val="none" w:sz="0" w:space="0" w:color="auto"/>
      </w:divBdr>
    </w:div>
    <w:div w:id="465438736">
      <w:bodyDiv w:val="1"/>
      <w:marLeft w:val="0"/>
      <w:marRight w:val="0"/>
      <w:marTop w:val="0"/>
      <w:marBottom w:val="0"/>
      <w:divBdr>
        <w:top w:val="none" w:sz="0" w:space="0" w:color="auto"/>
        <w:left w:val="none" w:sz="0" w:space="0" w:color="auto"/>
        <w:bottom w:val="none" w:sz="0" w:space="0" w:color="auto"/>
        <w:right w:val="none" w:sz="0" w:space="0" w:color="auto"/>
      </w:divBdr>
    </w:div>
    <w:div w:id="465467186">
      <w:bodyDiv w:val="1"/>
      <w:marLeft w:val="0"/>
      <w:marRight w:val="0"/>
      <w:marTop w:val="0"/>
      <w:marBottom w:val="0"/>
      <w:divBdr>
        <w:top w:val="none" w:sz="0" w:space="0" w:color="auto"/>
        <w:left w:val="none" w:sz="0" w:space="0" w:color="auto"/>
        <w:bottom w:val="none" w:sz="0" w:space="0" w:color="auto"/>
        <w:right w:val="none" w:sz="0" w:space="0" w:color="auto"/>
      </w:divBdr>
    </w:div>
    <w:div w:id="465512320">
      <w:bodyDiv w:val="1"/>
      <w:marLeft w:val="0"/>
      <w:marRight w:val="0"/>
      <w:marTop w:val="0"/>
      <w:marBottom w:val="0"/>
      <w:divBdr>
        <w:top w:val="none" w:sz="0" w:space="0" w:color="auto"/>
        <w:left w:val="none" w:sz="0" w:space="0" w:color="auto"/>
        <w:bottom w:val="none" w:sz="0" w:space="0" w:color="auto"/>
        <w:right w:val="none" w:sz="0" w:space="0" w:color="auto"/>
      </w:divBdr>
    </w:div>
    <w:div w:id="465634308">
      <w:bodyDiv w:val="1"/>
      <w:marLeft w:val="0"/>
      <w:marRight w:val="0"/>
      <w:marTop w:val="0"/>
      <w:marBottom w:val="0"/>
      <w:divBdr>
        <w:top w:val="none" w:sz="0" w:space="0" w:color="auto"/>
        <w:left w:val="none" w:sz="0" w:space="0" w:color="auto"/>
        <w:bottom w:val="none" w:sz="0" w:space="0" w:color="auto"/>
        <w:right w:val="none" w:sz="0" w:space="0" w:color="auto"/>
      </w:divBdr>
    </w:div>
    <w:div w:id="465703983">
      <w:bodyDiv w:val="1"/>
      <w:marLeft w:val="0"/>
      <w:marRight w:val="0"/>
      <w:marTop w:val="0"/>
      <w:marBottom w:val="0"/>
      <w:divBdr>
        <w:top w:val="none" w:sz="0" w:space="0" w:color="auto"/>
        <w:left w:val="none" w:sz="0" w:space="0" w:color="auto"/>
        <w:bottom w:val="none" w:sz="0" w:space="0" w:color="auto"/>
        <w:right w:val="none" w:sz="0" w:space="0" w:color="auto"/>
      </w:divBdr>
    </w:div>
    <w:div w:id="465775951">
      <w:bodyDiv w:val="1"/>
      <w:marLeft w:val="0"/>
      <w:marRight w:val="0"/>
      <w:marTop w:val="0"/>
      <w:marBottom w:val="0"/>
      <w:divBdr>
        <w:top w:val="none" w:sz="0" w:space="0" w:color="auto"/>
        <w:left w:val="none" w:sz="0" w:space="0" w:color="auto"/>
        <w:bottom w:val="none" w:sz="0" w:space="0" w:color="auto"/>
        <w:right w:val="none" w:sz="0" w:space="0" w:color="auto"/>
      </w:divBdr>
    </w:div>
    <w:div w:id="465780341">
      <w:bodyDiv w:val="1"/>
      <w:marLeft w:val="0"/>
      <w:marRight w:val="0"/>
      <w:marTop w:val="0"/>
      <w:marBottom w:val="0"/>
      <w:divBdr>
        <w:top w:val="none" w:sz="0" w:space="0" w:color="auto"/>
        <w:left w:val="none" w:sz="0" w:space="0" w:color="auto"/>
        <w:bottom w:val="none" w:sz="0" w:space="0" w:color="auto"/>
        <w:right w:val="none" w:sz="0" w:space="0" w:color="auto"/>
      </w:divBdr>
    </w:div>
    <w:div w:id="466049150">
      <w:bodyDiv w:val="1"/>
      <w:marLeft w:val="0"/>
      <w:marRight w:val="0"/>
      <w:marTop w:val="0"/>
      <w:marBottom w:val="0"/>
      <w:divBdr>
        <w:top w:val="none" w:sz="0" w:space="0" w:color="auto"/>
        <w:left w:val="none" w:sz="0" w:space="0" w:color="auto"/>
        <w:bottom w:val="none" w:sz="0" w:space="0" w:color="auto"/>
        <w:right w:val="none" w:sz="0" w:space="0" w:color="auto"/>
      </w:divBdr>
    </w:div>
    <w:div w:id="466123508">
      <w:bodyDiv w:val="1"/>
      <w:marLeft w:val="0"/>
      <w:marRight w:val="0"/>
      <w:marTop w:val="0"/>
      <w:marBottom w:val="0"/>
      <w:divBdr>
        <w:top w:val="none" w:sz="0" w:space="0" w:color="auto"/>
        <w:left w:val="none" w:sz="0" w:space="0" w:color="auto"/>
        <w:bottom w:val="none" w:sz="0" w:space="0" w:color="auto"/>
        <w:right w:val="none" w:sz="0" w:space="0" w:color="auto"/>
      </w:divBdr>
    </w:div>
    <w:div w:id="466314303">
      <w:bodyDiv w:val="1"/>
      <w:marLeft w:val="0"/>
      <w:marRight w:val="0"/>
      <w:marTop w:val="0"/>
      <w:marBottom w:val="0"/>
      <w:divBdr>
        <w:top w:val="none" w:sz="0" w:space="0" w:color="auto"/>
        <w:left w:val="none" w:sz="0" w:space="0" w:color="auto"/>
        <w:bottom w:val="none" w:sz="0" w:space="0" w:color="auto"/>
        <w:right w:val="none" w:sz="0" w:space="0" w:color="auto"/>
      </w:divBdr>
    </w:div>
    <w:div w:id="466625567">
      <w:bodyDiv w:val="1"/>
      <w:marLeft w:val="0"/>
      <w:marRight w:val="0"/>
      <w:marTop w:val="0"/>
      <w:marBottom w:val="0"/>
      <w:divBdr>
        <w:top w:val="none" w:sz="0" w:space="0" w:color="auto"/>
        <w:left w:val="none" w:sz="0" w:space="0" w:color="auto"/>
        <w:bottom w:val="none" w:sz="0" w:space="0" w:color="auto"/>
        <w:right w:val="none" w:sz="0" w:space="0" w:color="auto"/>
      </w:divBdr>
    </w:div>
    <w:div w:id="466699791">
      <w:bodyDiv w:val="1"/>
      <w:marLeft w:val="0"/>
      <w:marRight w:val="0"/>
      <w:marTop w:val="0"/>
      <w:marBottom w:val="0"/>
      <w:divBdr>
        <w:top w:val="none" w:sz="0" w:space="0" w:color="auto"/>
        <w:left w:val="none" w:sz="0" w:space="0" w:color="auto"/>
        <w:bottom w:val="none" w:sz="0" w:space="0" w:color="auto"/>
        <w:right w:val="none" w:sz="0" w:space="0" w:color="auto"/>
      </w:divBdr>
    </w:div>
    <w:div w:id="466707135">
      <w:bodyDiv w:val="1"/>
      <w:marLeft w:val="0"/>
      <w:marRight w:val="0"/>
      <w:marTop w:val="0"/>
      <w:marBottom w:val="0"/>
      <w:divBdr>
        <w:top w:val="none" w:sz="0" w:space="0" w:color="auto"/>
        <w:left w:val="none" w:sz="0" w:space="0" w:color="auto"/>
        <w:bottom w:val="none" w:sz="0" w:space="0" w:color="auto"/>
        <w:right w:val="none" w:sz="0" w:space="0" w:color="auto"/>
      </w:divBdr>
    </w:div>
    <w:div w:id="466896638">
      <w:bodyDiv w:val="1"/>
      <w:marLeft w:val="0"/>
      <w:marRight w:val="0"/>
      <w:marTop w:val="0"/>
      <w:marBottom w:val="0"/>
      <w:divBdr>
        <w:top w:val="none" w:sz="0" w:space="0" w:color="auto"/>
        <w:left w:val="none" w:sz="0" w:space="0" w:color="auto"/>
        <w:bottom w:val="none" w:sz="0" w:space="0" w:color="auto"/>
        <w:right w:val="none" w:sz="0" w:space="0" w:color="auto"/>
      </w:divBdr>
    </w:div>
    <w:div w:id="467017621">
      <w:bodyDiv w:val="1"/>
      <w:marLeft w:val="0"/>
      <w:marRight w:val="0"/>
      <w:marTop w:val="0"/>
      <w:marBottom w:val="0"/>
      <w:divBdr>
        <w:top w:val="none" w:sz="0" w:space="0" w:color="auto"/>
        <w:left w:val="none" w:sz="0" w:space="0" w:color="auto"/>
        <w:bottom w:val="none" w:sz="0" w:space="0" w:color="auto"/>
        <w:right w:val="none" w:sz="0" w:space="0" w:color="auto"/>
      </w:divBdr>
    </w:div>
    <w:div w:id="467088409">
      <w:bodyDiv w:val="1"/>
      <w:marLeft w:val="0"/>
      <w:marRight w:val="0"/>
      <w:marTop w:val="0"/>
      <w:marBottom w:val="0"/>
      <w:divBdr>
        <w:top w:val="none" w:sz="0" w:space="0" w:color="auto"/>
        <w:left w:val="none" w:sz="0" w:space="0" w:color="auto"/>
        <w:bottom w:val="none" w:sz="0" w:space="0" w:color="auto"/>
        <w:right w:val="none" w:sz="0" w:space="0" w:color="auto"/>
      </w:divBdr>
    </w:div>
    <w:div w:id="467403155">
      <w:bodyDiv w:val="1"/>
      <w:marLeft w:val="0"/>
      <w:marRight w:val="0"/>
      <w:marTop w:val="0"/>
      <w:marBottom w:val="0"/>
      <w:divBdr>
        <w:top w:val="none" w:sz="0" w:space="0" w:color="auto"/>
        <w:left w:val="none" w:sz="0" w:space="0" w:color="auto"/>
        <w:bottom w:val="none" w:sz="0" w:space="0" w:color="auto"/>
        <w:right w:val="none" w:sz="0" w:space="0" w:color="auto"/>
      </w:divBdr>
    </w:div>
    <w:div w:id="467403472">
      <w:bodyDiv w:val="1"/>
      <w:marLeft w:val="0"/>
      <w:marRight w:val="0"/>
      <w:marTop w:val="0"/>
      <w:marBottom w:val="0"/>
      <w:divBdr>
        <w:top w:val="none" w:sz="0" w:space="0" w:color="auto"/>
        <w:left w:val="none" w:sz="0" w:space="0" w:color="auto"/>
        <w:bottom w:val="none" w:sz="0" w:space="0" w:color="auto"/>
        <w:right w:val="none" w:sz="0" w:space="0" w:color="auto"/>
      </w:divBdr>
    </w:div>
    <w:div w:id="467405196">
      <w:bodyDiv w:val="1"/>
      <w:marLeft w:val="0"/>
      <w:marRight w:val="0"/>
      <w:marTop w:val="0"/>
      <w:marBottom w:val="0"/>
      <w:divBdr>
        <w:top w:val="none" w:sz="0" w:space="0" w:color="auto"/>
        <w:left w:val="none" w:sz="0" w:space="0" w:color="auto"/>
        <w:bottom w:val="none" w:sz="0" w:space="0" w:color="auto"/>
        <w:right w:val="none" w:sz="0" w:space="0" w:color="auto"/>
      </w:divBdr>
    </w:div>
    <w:div w:id="467476271">
      <w:bodyDiv w:val="1"/>
      <w:marLeft w:val="0"/>
      <w:marRight w:val="0"/>
      <w:marTop w:val="0"/>
      <w:marBottom w:val="0"/>
      <w:divBdr>
        <w:top w:val="none" w:sz="0" w:space="0" w:color="auto"/>
        <w:left w:val="none" w:sz="0" w:space="0" w:color="auto"/>
        <w:bottom w:val="none" w:sz="0" w:space="0" w:color="auto"/>
        <w:right w:val="none" w:sz="0" w:space="0" w:color="auto"/>
      </w:divBdr>
    </w:div>
    <w:div w:id="467555778">
      <w:bodyDiv w:val="1"/>
      <w:marLeft w:val="0"/>
      <w:marRight w:val="0"/>
      <w:marTop w:val="0"/>
      <w:marBottom w:val="0"/>
      <w:divBdr>
        <w:top w:val="none" w:sz="0" w:space="0" w:color="auto"/>
        <w:left w:val="none" w:sz="0" w:space="0" w:color="auto"/>
        <w:bottom w:val="none" w:sz="0" w:space="0" w:color="auto"/>
        <w:right w:val="none" w:sz="0" w:space="0" w:color="auto"/>
      </w:divBdr>
    </w:div>
    <w:div w:id="467669326">
      <w:bodyDiv w:val="1"/>
      <w:marLeft w:val="0"/>
      <w:marRight w:val="0"/>
      <w:marTop w:val="0"/>
      <w:marBottom w:val="0"/>
      <w:divBdr>
        <w:top w:val="none" w:sz="0" w:space="0" w:color="auto"/>
        <w:left w:val="none" w:sz="0" w:space="0" w:color="auto"/>
        <w:bottom w:val="none" w:sz="0" w:space="0" w:color="auto"/>
        <w:right w:val="none" w:sz="0" w:space="0" w:color="auto"/>
      </w:divBdr>
    </w:div>
    <w:div w:id="467671053">
      <w:bodyDiv w:val="1"/>
      <w:marLeft w:val="0"/>
      <w:marRight w:val="0"/>
      <w:marTop w:val="0"/>
      <w:marBottom w:val="0"/>
      <w:divBdr>
        <w:top w:val="none" w:sz="0" w:space="0" w:color="auto"/>
        <w:left w:val="none" w:sz="0" w:space="0" w:color="auto"/>
        <w:bottom w:val="none" w:sz="0" w:space="0" w:color="auto"/>
        <w:right w:val="none" w:sz="0" w:space="0" w:color="auto"/>
      </w:divBdr>
    </w:div>
    <w:div w:id="467864158">
      <w:bodyDiv w:val="1"/>
      <w:marLeft w:val="0"/>
      <w:marRight w:val="0"/>
      <w:marTop w:val="0"/>
      <w:marBottom w:val="0"/>
      <w:divBdr>
        <w:top w:val="none" w:sz="0" w:space="0" w:color="auto"/>
        <w:left w:val="none" w:sz="0" w:space="0" w:color="auto"/>
        <w:bottom w:val="none" w:sz="0" w:space="0" w:color="auto"/>
        <w:right w:val="none" w:sz="0" w:space="0" w:color="auto"/>
      </w:divBdr>
    </w:div>
    <w:div w:id="468405106">
      <w:bodyDiv w:val="1"/>
      <w:marLeft w:val="0"/>
      <w:marRight w:val="0"/>
      <w:marTop w:val="0"/>
      <w:marBottom w:val="0"/>
      <w:divBdr>
        <w:top w:val="none" w:sz="0" w:space="0" w:color="auto"/>
        <w:left w:val="none" w:sz="0" w:space="0" w:color="auto"/>
        <w:bottom w:val="none" w:sz="0" w:space="0" w:color="auto"/>
        <w:right w:val="none" w:sz="0" w:space="0" w:color="auto"/>
      </w:divBdr>
    </w:div>
    <w:div w:id="468597502">
      <w:bodyDiv w:val="1"/>
      <w:marLeft w:val="0"/>
      <w:marRight w:val="0"/>
      <w:marTop w:val="0"/>
      <w:marBottom w:val="0"/>
      <w:divBdr>
        <w:top w:val="none" w:sz="0" w:space="0" w:color="auto"/>
        <w:left w:val="none" w:sz="0" w:space="0" w:color="auto"/>
        <w:bottom w:val="none" w:sz="0" w:space="0" w:color="auto"/>
        <w:right w:val="none" w:sz="0" w:space="0" w:color="auto"/>
      </w:divBdr>
    </w:div>
    <w:div w:id="468717072">
      <w:bodyDiv w:val="1"/>
      <w:marLeft w:val="0"/>
      <w:marRight w:val="0"/>
      <w:marTop w:val="0"/>
      <w:marBottom w:val="0"/>
      <w:divBdr>
        <w:top w:val="none" w:sz="0" w:space="0" w:color="auto"/>
        <w:left w:val="none" w:sz="0" w:space="0" w:color="auto"/>
        <w:bottom w:val="none" w:sz="0" w:space="0" w:color="auto"/>
        <w:right w:val="none" w:sz="0" w:space="0" w:color="auto"/>
      </w:divBdr>
    </w:div>
    <w:div w:id="468984111">
      <w:bodyDiv w:val="1"/>
      <w:marLeft w:val="0"/>
      <w:marRight w:val="0"/>
      <w:marTop w:val="0"/>
      <w:marBottom w:val="0"/>
      <w:divBdr>
        <w:top w:val="none" w:sz="0" w:space="0" w:color="auto"/>
        <w:left w:val="none" w:sz="0" w:space="0" w:color="auto"/>
        <w:bottom w:val="none" w:sz="0" w:space="0" w:color="auto"/>
        <w:right w:val="none" w:sz="0" w:space="0" w:color="auto"/>
      </w:divBdr>
    </w:div>
    <w:div w:id="469443051">
      <w:bodyDiv w:val="1"/>
      <w:marLeft w:val="0"/>
      <w:marRight w:val="0"/>
      <w:marTop w:val="0"/>
      <w:marBottom w:val="0"/>
      <w:divBdr>
        <w:top w:val="none" w:sz="0" w:space="0" w:color="auto"/>
        <w:left w:val="none" w:sz="0" w:space="0" w:color="auto"/>
        <w:bottom w:val="none" w:sz="0" w:space="0" w:color="auto"/>
        <w:right w:val="none" w:sz="0" w:space="0" w:color="auto"/>
      </w:divBdr>
    </w:div>
    <w:div w:id="469784807">
      <w:bodyDiv w:val="1"/>
      <w:marLeft w:val="0"/>
      <w:marRight w:val="0"/>
      <w:marTop w:val="0"/>
      <w:marBottom w:val="0"/>
      <w:divBdr>
        <w:top w:val="none" w:sz="0" w:space="0" w:color="auto"/>
        <w:left w:val="none" w:sz="0" w:space="0" w:color="auto"/>
        <w:bottom w:val="none" w:sz="0" w:space="0" w:color="auto"/>
        <w:right w:val="none" w:sz="0" w:space="0" w:color="auto"/>
      </w:divBdr>
    </w:div>
    <w:div w:id="469828995">
      <w:bodyDiv w:val="1"/>
      <w:marLeft w:val="0"/>
      <w:marRight w:val="0"/>
      <w:marTop w:val="0"/>
      <w:marBottom w:val="0"/>
      <w:divBdr>
        <w:top w:val="none" w:sz="0" w:space="0" w:color="auto"/>
        <w:left w:val="none" w:sz="0" w:space="0" w:color="auto"/>
        <w:bottom w:val="none" w:sz="0" w:space="0" w:color="auto"/>
        <w:right w:val="none" w:sz="0" w:space="0" w:color="auto"/>
      </w:divBdr>
    </w:div>
    <w:div w:id="469831730">
      <w:bodyDiv w:val="1"/>
      <w:marLeft w:val="0"/>
      <w:marRight w:val="0"/>
      <w:marTop w:val="0"/>
      <w:marBottom w:val="0"/>
      <w:divBdr>
        <w:top w:val="none" w:sz="0" w:space="0" w:color="auto"/>
        <w:left w:val="none" w:sz="0" w:space="0" w:color="auto"/>
        <w:bottom w:val="none" w:sz="0" w:space="0" w:color="auto"/>
        <w:right w:val="none" w:sz="0" w:space="0" w:color="auto"/>
      </w:divBdr>
    </w:div>
    <w:div w:id="469902829">
      <w:bodyDiv w:val="1"/>
      <w:marLeft w:val="0"/>
      <w:marRight w:val="0"/>
      <w:marTop w:val="0"/>
      <w:marBottom w:val="0"/>
      <w:divBdr>
        <w:top w:val="none" w:sz="0" w:space="0" w:color="auto"/>
        <w:left w:val="none" w:sz="0" w:space="0" w:color="auto"/>
        <w:bottom w:val="none" w:sz="0" w:space="0" w:color="auto"/>
        <w:right w:val="none" w:sz="0" w:space="0" w:color="auto"/>
      </w:divBdr>
    </w:div>
    <w:div w:id="470169287">
      <w:bodyDiv w:val="1"/>
      <w:marLeft w:val="0"/>
      <w:marRight w:val="0"/>
      <w:marTop w:val="0"/>
      <w:marBottom w:val="0"/>
      <w:divBdr>
        <w:top w:val="none" w:sz="0" w:space="0" w:color="auto"/>
        <w:left w:val="none" w:sz="0" w:space="0" w:color="auto"/>
        <w:bottom w:val="none" w:sz="0" w:space="0" w:color="auto"/>
        <w:right w:val="none" w:sz="0" w:space="0" w:color="auto"/>
      </w:divBdr>
    </w:div>
    <w:div w:id="470444218">
      <w:bodyDiv w:val="1"/>
      <w:marLeft w:val="0"/>
      <w:marRight w:val="0"/>
      <w:marTop w:val="0"/>
      <w:marBottom w:val="0"/>
      <w:divBdr>
        <w:top w:val="none" w:sz="0" w:space="0" w:color="auto"/>
        <w:left w:val="none" w:sz="0" w:space="0" w:color="auto"/>
        <w:bottom w:val="none" w:sz="0" w:space="0" w:color="auto"/>
        <w:right w:val="none" w:sz="0" w:space="0" w:color="auto"/>
      </w:divBdr>
    </w:div>
    <w:div w:id="470486667">
      <w:bodyDiv w:val="1"/>
      <w:marLeft w:val="0"/>
      <w:marRight w:val="0"/>
      <w:marTop w:val="0"/>
      <w:marBottom w:val="0"/>
      <w:divBdr>
        <w:top w:val="none" w:sz="0" w:space="0" w:color="auto"/>
        <w:left w:val="none" w:sz="0" w:space="0" w:color="auto"/>
        <w:bottom w:val="none" w:sz="0" w:space="0" w:color="auto"/>
        <w:right w:val="none" w:sz="0" w:space="0" w:color="auto"/>
      </w:divBdr>
    </w:div>
    <w:div w:id="470706609">
      <w:bodyDiv w:val="1"/>
      <w:marLeft w:val="0"/>
      <w:marRight w:val="0"/>
      <w:marTop w:val="0"/>
      <w:marBottom w:val="0"/>
      <w:divBdr>
        <w:top w:val="none" w:sz="0" w:space="0" w:color="auto"/>
        <w:left w:val="none" w:sz="0" w:space="0" w:color="auto"/>
        <w:bottom w:val="none" w:sz="0" w:space="0" w:color="auto"/>
        <w:right w:val="none" w:sz="0" w:space="0" w:color="auto"/>
      </w:divBdr>
    </w:div>
    <w:div w:id="470710867">
      <w:bodyDiv w:val="1"/>
      <w:marLeft w:val="0"/>
      <w:marRight w:val="0"/>
      <w:marTop w:val="0"/>
      <w:marBottom w:val="0"/>
      <w:divBdr>
        <w:top w:val="none" w:sz="0" w:space="0" w:color="auto"/>
        <w:left w:val="none" w:sz="0" w:space="0" w:color="auto"/>
        <w:bottom w:val="none" w:sz="0" w:space="0" w:color="auto"/>
        <w:right w:val="none" w:sz="0" w:space="0" w:color="auto"/>
      </w:divBdr>
    </w:div>
    <w:div w:id="470947210">
      <w:bodyDiv w:val="1"/>
      <w:marLeft w:val="0"/>
      <w:marRight w:val="0"/>
      <w:marTop w:val="0"/>
      <w:marBottom w:val="0"/>
      <w:divBdr>
        <w:top w:val="none" w:sz="0" w:space="0" w:color="auto"/>
        <w:left w:val="none" w:sz="0" w:space="0" w:color="auto"/>
        <w:bottom w:val="none" w:sz="0" w:space="0" w:color="auto"/>
        <w:right w:val="none" w:sz="0" w:space="0" w:color="auto"/>
      </w:divBdr>
    </w:div>
    <w:div w:id="471336667">
      <w:bodyDiv w:val="1"/>
      <w:marLeft w:val="0"/>
      <w:marRight w:val="0"/>
      <w:marTop w:val="0"/>
      <w:marBottom w:val="0"/>
      <w:divBdr>
        <w:top w:val="none" w:sz="0" w:space="0" w:color="auto"/>
        <w:left w:val="none" w:sz="0" w:space="0" w:color="auto"/>
        <w:bottom w:val="none" w:sz="0" w:space="0" w:color="auto"/>
        <w:right w:val="none" w:sz="0" w:space="0" w:color="auto"/>
      </w:divBdr>
    </w:div>
    <w:div w:id="471362335">
      <w:bodyDiv w:val="1"/>
      <w:marLeft w:val="0"/>
      <w:marRight w:val="0"/>
      <w:marTop w:val="0"/>
      <w:marBottom w:val="0"/>
      <w:divBdr>
        <w:top w:val="none" w:sz="0" w:space="0" w:color="auto"/>
        <w:left w:val="none" w:sz="0" w:space="0" w:color="auto"/>
        <w:bottom w:val="none" w:sz="0" w:space="0" w:color="auto"/>
        <w:right w:val="none" w:sz="0" w:space="0" w:color="auto"/>
      </w:divBdr>
    </w:div>
    <w:div w:id="471990619">
      <w:bodyDiv w:val="1"/>
      <w:marLeft w:val="0"/>
      <w:marRight w:val="0"/>
      <w:marTop w:val="0"/>
      <w:marBottom w:val="0"/>
      <w:divBdr>
        <w:top w:val="none" w:sz="0" w:space="0" w:color="auto"/>
        <w:left w:val="none" w:sz="0" w:space="0" w:color="auto"/>
        <w:bottom w:val="none" w:sz="0" w:space="0" w:color="auto"/>
        <w:right w:val="none" w:sz="0" w:space="0" w:color="auto"/>
      </w:divBdr>
    </w:div>
    <w:div w:id="472253784">
      <w:bodyDiv w:val="1"/>
      <w:marLeft w:val="0"/>
      <w:marRight w:val="0"/>
      <w:marTop w:val="0"/>
      <w:marBottom w:val="0"/>
      <w:divBdr>
        <w:top w:val="none" w:sz="0" w:space="0" w:color="auto"/>
        <w:left w:val="none" w:sz="0" w:space="0" w:color="auto"/>
        <w:bottom w:val="none" w:sz="0" w:space="0" w:color="auto"/>
        <w:right w:val="none" w:sz="0" w:space="0" w:color="auto"/>
      </w:divBdr>
    </w:div>
    <w:div w:id="472334144">
      <w:bodyDiv w:val="1"/>
      <w:marLeft w:val="0"/>
      <w:marRight w:val="0"/>
      <w:marTop w:val="0"/>
      <w:marBottom w:val="0"/>
      <w:divBdr>
        <w:top w:val="none" w:sz="0" w:space="0" w:color="auto"/>
        <w:left w:val="none" w:sz="0" w:space="0" w:color="auto"/>
        <w:bottom w:val="none" w:sz="0" w:space="0" w:color="auto"/>
        <w:right w:val="none" w:sz="0" w:space="0" w:color="auto"/>
      </w:divBdr>
    </w:div>
    <w:div w:id="472479283">
      <w:bodyDiv w:val="1"/>
      <w:marLeft w:val="0"/>
      <w:marRight w:val="0"/>
      <w:marTop w:val="0"/>
      <w:marBottom w:val="0"/>
      <w:divBdr>
        <w:top w:val="none" w:sz="0" w:space="0" w:color="auto"/>
        <w:left w:val="none" w:sz="0" w:space="0" w:color="auto"/>
        <w:bottom w:val="none" w:sz="0" w:space="0" w:color="auto"/>
        <w:right w:val="none" w:sz="0" w:space="0" w:color="auto"/>
      </w:divBdr>
    </w:div>
    <w:div w:id="472597167">
      <w:bodyDiv w:val="1"/>
      <w:marLeft w:val="0"/>
      <w:marRight w:val="0"/>
      <w:marTop w:val="0"/>
      <w:marBottom w:val="0"/>
      <w:divBdr>
        <w:top w:val="none" w:sz="0" w:space="0" w:color="auto"/>
        <w:left w:val="none" w:sz="0" w:space="0" w:color="auto"/>
        <w:bottom w:val="none" w:sz="0" w:space="0" w:color="auto"/>
        <w:right w:val="none" w:sz="0" w:space="0" w:color="auto"/>
      </w:divBdr>
    </w:div>
    <w:div w:id="472719335">
      <w:bodyDiv w:val="1"/>
      <w:marLeft w:val="0"/>
      <w:marRight w:val="0"/>
      <w:marTop w:val="0"/>
      <w:marBottom w:val="0"/>
      <w:divBdr>
        <w:top w:val="none" w:sz="0" w:space="0" w:color="auto"/>
        <w:left w:val="none" w:sz="0" w:space="0" w:color="auto"/>
        <w:bottom w:val="none" w:sz="0" w:space="0" w:color="auto"/>
        <w:right w:val="none" w:sz="0" w:space="0" w:color="auto"/>
      </w:divBdr>
    </w:div>
    <w:div w:id="472909992">
      <w:bodyDiv w:val="1"/>
      <w:marLeft w:val="0"/>
      <w:marRight w:val="0"/>
      <w:marTop w:val="0"/>
      <w:marBottom w:val="0"/>
      <w:divBdr>
        <w:top w:val="none" w:sz="0" w:space="0" w:color="auto"/>
        <w:left w:val="none" w:sz="0" w:space="0" w:color="auto"/>
        <w:bottom w:val="none" w:sz="0" w:space="0" w:color="auto"/>
        <w:right w:val="none" w:sz="0" w:space="0" w:color="auto"/>
      </w:divBdr>
    </w:div>
    <w:div w:id="473059090">
      <w:bodyDiv w:val="1"/>
      <w:marLeft w:val="0"/>
      <w:marRight w:val="0"/>
      <w:marTop w:val="0"/>
      <w:marBottom w:val="0"/>
      <w:divBdr>
        <w:top w:val="none" w:sz="0" w:space="0" w:color="auto"/>
        <w:left w:val="none" w:sz="0" w:space="0" w:color="auto"/>
        <w:bottom w:val="none" w:sz="0" w:space="0" w:color="auto"/>
        <w:right w:val="none" w:sz="0" w:space="0" w:color="auto"/>
      </w:divBdr>
    </w:div>
    <w:div w:id="473766135">
      <w:bodyDiv w:val="1"/>
      <w:marLeft w:val="0"/>
      <w:marRight w:val="0"/>
      <w:marTop w:val="0"/>
      <w:marBottom w:val="0"/>
      <w:divBdr>
        <w:top w:val="none" w:sz="0" w:space="0" w:color="auto"/>
        <w:left w:val="none" w:sz="0" w:space="0" w:color="auto"/>
        <w:bottom w:val="none" w:sz="0" w:space="0" w:color="auto"/>
        <w:right w:val="none" w:sz="0" w:space="0" w:color="auto"/>
      </w:divBdr>
    </w:div>
    <w:div w:id="473836485">
      <w:bodyDiv w:val="1"/>
      <w:marLeft w:val="0"/>
      <w:marRight w:val="0"/>
      <w:marTop w:val="0"/>
      <w:marBottom w:val="0"/>
      <w:divBdr>
        <w:top w:val="none" w:sz="0" w:space="0" w:color="auto"/>
        <w:left w:val="none" w:sz="0" w:space="0" w:color="auto"/>
        <w:bottom w:val="none" w:sz="0" w:space="0" w:color="auto"/>
        <w:right w:val="none" w:sz="0" w:space="0" w:color="auto"/>
      </w:divBdr>
    </w:div>
    <w:div w:id="473914303">
      <w:bodyDiv w:val="1"/>
      <w:marLeft w:val="0"/>
      <w:marRight w:val="0"/>
      <w:marTop w:val="0"/>
      <w:marBottom w:val="0"/>
      <w:divBdr>
        <w:top w:val="none" w:sz="0" w:space="0" w:color="auto"/>
        <w:left w:val="none" w:sz="0" w:space="0" w:color="auto"/>
        <w:bottom w:val="none" w:sz="0" w:space="0" w:color="auto"/>
        <w:right w:val="none" w:sz="0" w:space="0" w:color="auto"/>
      </w:divBdr>
    </w:div>
    <w:div w:id="474106684">
      <w:bodyDiv w:val="1"/>
      <w:marLeft w:val="0"/>
      <w:marRight w:val="0"/>
      <w:marTop w:val="0"/>
      <w:marBottom w:val="0"/>
      <w:divBdr>
        <w:top w:val="none" w:sz="0" w:space="0" w:color="auto"/>
        <w:left w:val="none" w:sz="0" w:space="0" w:color="auto"/>
        <w:bottom w:val="none" w:sz="0" w:space="0" w:color="auto"/>
        <w:right w:val="none" w:sz="0" w:space="0" w:color="auto"/>
      </w:divBdr>
    </w:div>
    <w:div w:id="474109589">
      <w:bodyDiv w:val="1"/>
      <w:marLeft w:val="0"/>
      <w:marRight w:val="0"/>
      <w:marTop w:val="0"/>
      <w:marBottom w:val="0"/>
      <w:divBdr>
        <w:top w:val="none" w:sz="0" w:space="0" w:color="auto"/>
        <w:left w:val="none" w:sz="0" w:space="0" w:color="auto"/>
        <w:bottom w:val="none" w:sz="0" w:space="0" w:color="auto"/>
        <w:right w:val="none" w:sz="0" w:space="0" w:color="auto"/>
      </w:divBdr>
    </w:div>
    <w:div w:id="474300690">
      <w:bodyDiv w:val="1"/>
      <w:marLeft w:val="0"/>
      <w:marRight w:val="0"/>
      <w:marTop w:val="0"/>
      <w:marBottom w:val="0"/>
      <w:divBdr>
        <w:top w:val="none" w:sz="0" w:space="0" w:color="auto"/>
        <w:left w:val="none" w:sz="0" w:space="0" w:color="auto"/>
        <w:bottom w:val="none" w:sz="0" w:space="0" w:color="auto"/>
        <w:right w:val="none" w:sz="0" w:space="0" w:color="auto"/>
      </w:divBdr>
    </w:div>
    <w:div w:id="474492969">
      <w:bodyDiv w:val="1"/>
      <w:marLeft w:val="0"/>
      <w:marRight w:val="0"/>
      <w:marTop w:val="0"/>
      <w:marBottom w:val="0"/>
      <w:divBdr>
        <w:top w:val="none" w:sz="0" w:space="0" w:color="auto"/>
        <w:left w:val="none" w:sz="0" w:space="0" w:color="auto"/>
        <w:bottom w:val="none" w:sz="0" w:space="0" w:color="auto"/>
        <w:right w:val="none" w:sz="0" w:space="0" w:color="auto"/>
      </w:divBdr>
    </w:div>
    <w:div w:id="474565604">
      <w:bodyDiv w:val="1"/>
      <w:marLeft w:val="0"/>
      <w:marRight w:val="0"/>
      <w:marTop w:val="0"/>
      <w:marBottom w:val="0"/>
      <w:divBdr>
        <w:top w:val="none" w:sz="0" w:space="0" w:color="auto"/>
        <w:left w:val="none" w:sz="0" w:space="0" w:color="auto"/>
        <w:bottom w:val="none" w:sz="0" w:space="0" w:color="auto"/>
        <w:right w:val="none" w:sz="0" w:space="0" w:color="auto"/>
      </w:divBdr>
    </w:div>
    <w:div w:id="474643803">
      <w:bodyDiv w:val="1"/>
      <w:marLeft w:val="0"/>
      <w:marRight w:val="0"/>
      <w:marTop w:val="0"/>
      <w:marBottom w:val="0"/>
      <w:divBdr>
        <w:top w:val="none" w:sz="0" w:space="0" w:color="auto"/>
        <w:left w:val="none" w:sz="0" w:space="0" w:color="auto"/>
        <w:bottom w:val="none" w:sz="0" w:space="0" w:color="auto"/>
        <w:right w:val="none" w:sz="0" w:space="0" w:color="auto"/>
      </w:divBdr>
    </w:div>
    <w:div w:id="474764115">
      <w:bodyDiv w:val="1"/>
      <w:marLeft w:val="0"/>
      <w:marRight w:val="0"/>
      <w:marTop w:val="0"/>
      <w:marBottom w:val="0"/>
      <w:divBdr>
        <w:top w:val="none" w:sz="0" w:space="0" w:color="auto"/>
        <w:left w:val="none" w:sz="0" w:space="0" w:color="auto"/>
        <w:bottom w:val="none" w:sz="0" w:space="0" w:color="auto"/>
        <w:right w:val="none" w:sz="0" w:space="0" w:color="auto"/>
      </w:divBdr>
    </w:div>
    <w:div w:id="474950514">
      <w:bodyDiv w:val="1"/>
      <w:marLeft w:val="0"/>
      <w:marRight w:val="0"/>
      <w:marTop w:val="0"/>
      <w:marBottom w:val="0"/>
      <w:divBdr>
        <w:top w:val="none" w:sz="0" w:space="0" w:color="auto"/>
        <w:left w:val="none" w:sz="0" w:space="0" w:color="auto"/>
        <w:bottom w:val="none" w:sz="0" w:space="0" w:color="auto"/>
        <w:right w:val="none" w:sz="0" w:space="0" w:color="auto"/>
      </w:divBdr>
    </w:div>
    <w:div w:id="475151567">
      <w:bodyDiv w:val="1"/>
      <w:marLeft w:val="0"/>
      <w:marRight w:val="0"/>
      <w:marTop w:val="0"/>
      <w:marBottom w:val="0"/>
      <w:divBdr>
        <w:top w:val="none" w:sz="0" w:space="0" w:color="auto"/>
        <w:left w:val="none" w:sz="0" w:space="0" w:color="auto"/>
        <w:bottom w:val="none" w:sz="0" w:space="0" w:color="auto"/>
        <w:right w:val="none" w:sz="0" w:space="0" w:color="auto"/>
      </w:divBdr>
    </w:div>
    <w:div w:id="475299232">
      <w:bodyDiv w:val="1"/>
      <w:marLeft w:val="0"/>
      <w:marRight w:val="0"/>
      <w:marTop w:val="0"/>
      <w:marBottom w:val="0"/>
      <w:divBdr>
        <w:top w:val="none" w:sz="0" w:space="0" w:color="auto"/>
        <w:left w:val="none" w:sz="0" w:space="0" w:color="auto"/>
        <w:bottom w:val="none" w:sz="0" w:space="0" w:color="auto"/>
        <w:right w:val="none" w:sz="0" w:space="0" w:color="auto"/>
      </w:divBdr>
    </w:div>
    <w:div w:id="475495930">
      <w:bodyDiv w:val="1"/>
      <w:marLeft w:val="0"/>
      <w:marRight w:val="0"/>
      <w:marTop w:val="0"/>
      <w:marBottom w:val="0"/>
      <w:divBdr>
        <w:top w:val="none" w:sz="0" w:space="0" w:color="auto"/>
        <w:left w:val="none" w:sz="0" w:space="0" w:color="auto"/>
        <w:bottom w:val="none" w:sz="0" w:space="0" w:color="auto"/>
        <w:right w:val="none" w:sz="0" w:space="0" w:color="auto"/>
      </w:divBdr>
    </w:div>
    <w:div w:id="475949842">
      <w:bodyDiv w:val="1"/>
      <w:marLeft w:val="0"/>
      <w:marRight w:val="0"/>
      <w:marTop w:val="0"/>
      <w:marBottom w:val="0"/>
      <w:divBdr>
        <w:top w:val="none" w:sz="0" w:space="0" w:color="auto"/>
        <w:left w:val="none" w:sz="0" w:space="0" w:color="auto"/>
        <w:bottom w:val="none" w:sz="0" w:space="0" w:color="auto"/>
        <w:right w:val="none" w:sz="0" w:space="0" w:color="auto"/>
      </w:divBdr>
    </w:div>
    <w:div w:id="476151416">
      <w:bodyDiv w:val="1"/>
      <w:marLeft w:val="0"/>
      <w:marRight w:val="0"/>
      <w:marTop w:val="0"/>
      <w:marBottom w:val="0"/>
      <w:divBdr>
        <w:top w:val="none" w:sz="0" w:space="0" w:color="auto"/>
        <w:left w:val="none" w:sz="0" w:space="0" w:color="auto"/>
        <w:bottom w:val="none" w:sz="0" w:space="0" w:color="auto"/>
        <w:right w:val="none" w:sz="0" w:space="0" w:color="auto"/>
      </w:divBdr>
    </w:div>
    <w:div w:id="476845878">
      <w:bodyDiv w:val="1"/>
      <w:marLeft w:val="0"/>
      <w:marRight w:val="0"/>
      <w:marTop w:val="0"/>
      <w:marBottom w:val="0"/>
      <w:divBdr>
        <w:top w:val="none" w:sz="0" w:space="0" w:color="auto"/>
        <w:left w:val="none" w:sz="0" w:space="0" w:color="auto"/>
        <w:bottom w:val="none" w:sz="0" w:space="0" w:color="auto"/>
        <w:right w:val="none" w:sz="0" w:space="0" w:color="auto"/>
      </w:divBdr>
    </w:div>
    <w:div w:id="476917393">
      <w:bodyDiv w:val="1"/>
      <w:marLeft w:val="0"/>
      <w:marRight w:val="0"/>
      <w:marTop w:val="0"/>
      <w:marBottom w:val="0"/>
      <w:divBdr>
        <w:top w:val="none" w:sz="0" w:space="0" w:color="auto"/>
        <w:left w:val="none" w:sz="0" w:space="0" w:color="auto"/>
        <w:bottom w:val="none" w:sz="0" w:space="0" w:color="auto"/>
        <w:right w:val="none" w:sz="0" w:space="0" w:color="auto"/>
      </w:divBdr>
    </w:div>
    <w:div w:id="477110195">
      <w:bodyDiv w:val="1"/>
      <w:marLeft w:val="0"/>
      <w:marRight w:val="0"/>
      <w:marTop w:val="0"/>
      <w:marBottom w:val="0"/>
      <w:divBdr>
        <w:top w:val="none" w:sz="0" w:space="0" w:color="auto"/>
        <w:left w:val="none" w:sz="0" w:space="0" w:color="auto"/>
        <w:bottom w:val="none" w:sz="0" w:space="0" w:color="auto"/>
        <w:right w:val="none" w:sz="0" w:space="0" w:color="auto"/>
      </w:divBdr>
    </w:div>
    <w:div w:id="477184420">
      <w:bodyDiv w:val="1"/>
      <w:marLeft w:val="0"/>
      <w:marRight w:val="0"/>
      <w:marTop w:val="0"/>
      <w:marBottom w:val="0"/>
      <w:divBdr>
        <w:top w:val="none" w:sz="0" w:space="0" w:color="auto"/>
        <w:left w:val="none" w:sz="0" w:space="0" w:color="auto"/>
        <w:bottom w:val="none" w:sz="0" w:space="0" w:color="auto"/>
        <w:right w:val="none" w:sz="0" w:space="0" w:color="auto"/>
      </w:divBdr>
    </w:div>
    <w:div w:id="477187549">
      <w:bodyDiv w:val="1"/>
      <w:marLeft w:val="0"/>
      <w:marRight w:val="0"/>
      <w:marTop w:val="0"/>
      <w:marBottom w:val="0"/>
      <w:divBdr>
        <w:top w:val="none" w:sz="0" w:space="0" w:color="auto"/>
        <w:left w:val="none" w:sz="0" w:space="0" w:color="auto"/>
        <w:bottom w:val="none" w:sz="0" w:space="0" w:color="auto"/>
        <w:right w:val="none" w:sz="0" w:space="0" w:color="auto"/>
      </w:divBdr>
    </w:div>
    <w:div w:id="477498119">
      <w:bodyDiv w:val="1"/>
      <w:marLeft w:val="0"/>
      <w:marRight w:val="0"/>
      <w:marTop w:val="0"/>
      <w:marBottom w:val="0"/>
      <w:divBdr>
        <w:top w:val="none" w:sz="0" w:space="0" w:color="auto"/>
        <w:left w:val="none" w:sz="0" w:space="0" w:color="auto"/>
        <w:bottom w:val="none" w:sz="0" w:space="0" w:color="auto"/>
        <w:right w:val="none" w:sz="0" w:space="0" w:color="auto"/>
      </w:divBdr>
    </w:div>
    <w:div w:id="477654370">
      <w:bodyDiv w:val="1"/>
      <w:marLeft w:val="0"/>
      <w:marRight w:val="0"/>
      <w:marTop w:val="0"/>
      <w:marBottom w:val="0"/>
      <w:divBdr>
        <w:top w:val="none" w:sz="0" w:space="0" w:color="auto"/>
        <w:left w:val="none" w:sz="0" w:space="0" w:color="auto"/>
        <w:bottom w:val="none" w:sz="0" w:space="0" w:color="auto"/>
        <w:right w:val="none" w:sz="0" w:space="0" w:color="auto"/>
      </w:divBdr>
    </w:div>
    <w:div w:id="478113821">
      <w:bodyDiv w:val="1"/>
      <w:marLeft w:val="0"/>
      <w:marRight w:val="0"/>
      <w:marTop w:val="0"/>
      <w:marBottom w:val="0"/>
      <w:divBdr>
        <w:top w:val="none" w:sz="0" w:space="0" w:color="auto"/>
        <w:left w:val="none" w:sz="0" w:space="0" w:color="auto"/>
        <w:bottom w:val="none" w:sz="0" w:space="0" w:color="auto"/>
        <w:right w:val="none" w:sz="0" w:space="0" w:color="auto"/>
      </w:divBdr>
    </w:div>
    <w:div w:id="478233469">
      <w:bodyDiv w:val="1"/>
      <w:marLeft w:val="0"/>
      <w:marRight w:val="0"/>
      <w:marTop w:val="0"/>
      <w:marBottom w:val="0"/>
      <w:divBdr>
        <w:top w:val="none" w:sz="0" w:space="0" w:color="auto"/>
        <w:left w:val="none" w:sz="0" w:space="0" w:color="auto"/>
        <w:bottom w:val="none" w:sz="0" w:space="0" w:color="auto"/>
        <w:right w:val="none" w:sz="0" w:space="0" w:color="auto"/>
      </w:divBdr>
    </w:div>
    <w:div w:id="478235162">
      <w:bodyDiv w:val="1"/>
      <w:marLeft w:val="0"/>
      <w:marRight w:val="0"/>
      <w:marTop w:val="0"/>
      <w:marBottom w:val="0"/>
      <w:divBdr>
        <w:top w:val="none" w:sz="0" w:space="0" w:color="auto"/>
        <w:left w:val="none" w:sz="0" w:space="0" w:color="auto"/>
        <w:bottom w:val="none" w:sz="0" w:space="0" w:color="auto"/>
        <w:right w:val="none" w:sz="0" w:space="0" w:color="auto"/>
      </w:divBdr>
    </w:div>
    <w:div w:id="478838238">
      <w:bodyDiv w:val="1"/>
      <w:marLeft w:val="0"/>
      <w:marRight w:val="0"/>
      <w:marTop w:val="0"/>
      <w:marBottom w:val="0"/>
      <w:divBdr>
        <w:top w:val="none" w:sz="0" w:space="0" w:color="auto"/>
        <w:left w:val="none" w:sz="0" w:space="0" w:color="auto"/>
        <w:bottom w:val="none" w:sz="0" w:space="0" w:color="auto"/>
        <w:right w:val="none" w:sz="0" w:space="0" w:color="auto"/>
      </w:divBdr>
    </w:div>
    <w:div w:id="478960075">
      <w:bodyDiv w:val="1"/>
      <w:marLeft w:val="0"/>
      <w:marRight w:val="0"/>
      <w:marTop w:val="0"/>
      <w:marBottom w:val="0"/>
      <w:divBdr>
        <w:top w:val="none" w:sz="0" w:space="0" w:color="auto"/>
        <w:left w:val="none" w:sz="0" w:space="0" w:color="auto"/>
        <w:bottom w:val="none" w:sz="0" w:space="0" w:color="auto"/>
        <w:right w:val="none" w:sz="0" w:space="0" w:color="auto"/>
      </w:divBdr>
    </w:div>
    <w:div w:id="478964513">
      <w:bodyDiv w:val="1"/>
      <w:marLeft w:val="0"/>
      <w:marRight w:val="0"/>
      <w:marTop w:val="0"/>
      <w:marBottom w:val="0"/>
      <w:divBdr>
        <w:top w:val="none" w:sz="0" w:space="0" w:color="auto"/>
        <w:left w:val="none" w:sz="0" w:space="0" w:color="auto"/>
        <w:bottom w:val="none" w:sz="0" w:space="0" w:color="auto"/>
        <w:right w:val="none" w:sz="0" w:space="0" w:color="auto"/>
      </w:divBdr>
    </w:div>
    <w:div w:id="479034690">
      <w:bodyDiv w:val="1"/>
      <w:marLeft w:val="0"/>
      <w:marRight w:val="0"/>
      <w:marTop w:val="0"/>
      <w:marBottom w:val="0"/>
      <w:divBdr>
        <w:top w:val="none" w:sz="0" w:space="0" w:color="auto"/>
        <w:left w:val="none" w:sz="0" w:space="0" w:color="auto"/>
        <w:bottom w:val="none" w:sz="0" w:space="0" w:color="auto"/>
        <w:right w:val="none" w:sz="0" w:space="0" w:color="auto"/>
      </w:divBdr>
    </w:div>
    <w:div w:id="479075954">
      <w:bodyDiv w:val="1"/>
      <w:marLeft w:val="0"/>
      <w:marRight w:val="0"/>
      <w:marTop w:val="0"/>
      <w:marBottom w:val="0"/>
      <w:divBdr>
        <w:top w:val="none" w:sz="0" w:space="0" w:color="auto"/>
        <w:left w:val="none" w:sz="0" w:space="0" w:color="auto"/>
        <w:bottom w:val="none" w:sz="0" w:space="0" w:color="auto"/>
        <w:right w:val="none" w:sz="0" w:space="0" w:color="auto"/>
      </w:divBdr>
    </w:div>
    <w:div w:id="479276322">
      <w:bodyDiv w:val="1"/>
      <w:marLeft w:val="0"/>
      <w:marRight w:val="0"/>
      <w:marTop w:val="0"/>
      <w:marBottom w:val="0"/>
      <w:divBdr>
        <w:top w:val="none" w:sz="0" w:space="0" w:color="auto"/>
        <w:left w:val="none" w:sz="0" w:space="0" w:color="auto"/>
        <w:bottom w:val="none" w:sz="0" w:space="0" w:color="auto"/>
        <w:right w:val="none" w:sz="0" w:space="0" w:color="auto"/>
      </w:divBdr>
    </w:div>
    <w:div w:id="479425400">
      <w:bodyDiv w:val="1"/>
      <w:marLeft w:val="0"/>
      <w:marRight w:val="0"/>
      <w:marTop w:val="0"/>
      <w:marBottom w:val="0"/>
      <w:divBdr>
        <w:top w:val="none" w:sz="0" w:space="0" w:color="auto"/>
        <w:left w:val="none" w:sz="0" w:space="0" w:color="auto"/>
        <w:bottom w:val="none" w:sz="0" w:space="0" w:color="auto"/>
        <w:right w:val="none" w:sz="0" w:space="0" w:color="auto"/>
      </w:divBdr>
    </w:div>
    <w:div w:id="479543028">
      <w:bodyDiv w:val="1"/>
      <w:marLeft w:val="0"/>
      <w:marRight w:val="0"/>
      <w:marTop w:val="0"/>
      <w:marBottom w:val="0"/>
      <w:divBdr>
        <w:top w:val="none" w:sz="0" w:space="0" w:color="auto"/>
        <w:left w:val="none" w:sz="0" w:space="0" w:color="auto"/>
        <w:bottom w:val="none" w:sz="0" w:space="0" w:color="auto"/>
        <w:right w:val="none" w:sz="0" w:space="0" w:color="auto"/>
      </w:divBdr>
    </w:div>
    <w:div w:id="480076661">
      <w:bodyDiv w:val="1"/>
      <w:marLeft w:val="0"/>
      <w:marRight w:val="0"/>
      <w:marTop w:val="0"/>
      <w:marBottom w:val="0"/>
      <w:divBdr>
        <w:top w:val="none" w:sz="0" w:space="0" w:color="auto"/>
        <w:left w:val="none" w:sz="0" w:space="0" w:color="auto"/>
        <w:bottom w:val="none" w:sz="0" w:space="0" w:color="auto"/>
        <w:right w:val="none" w:sz="0" w:space="0" w:color="auto"/>
      </w:divBdr>
    </w:div>
    <w:div w:id="480272614">
      <w:bodyDiv w:val="1"/>
      <w:marLeft w:val="0"/>
      <w:marRight w:val="0"/>
      <w:marTop w:val="0"/>
      <w:marBottom w:val="0"/>
      <w:divBdr>
        <w:top w:val="none" w:sz="0" w:space="0" w:color="auto"/>
        <w:left w:val="none" w:sz="0" w:space="0" w:color="auto"/>
        <w:bottom w:val="none" w:sz="0" w:space="0" w:color="auto"/>
        <w:right w:val="none" w:sz="0" w:space="0" w:color="auto"/>
      </w:divBdr>
    </w:div>
    <w:div w:id="480510833">
      <w:bodyDiv w:val="1"/>
      <w:marLeft w:val="0"/>
      <w:marRight w:val="0"/>
      <w:marTop w:val="0"/>
      <w:marBottom w:val="0"/>
      <w:divBdr>
        <w:top w:val="none" w:sz="0" w:space="0" w:color="auto"/>
        <w:left w:val="none" w:sz="0" w:space="0" w:color="auto"/>
        <w:bottom w:val="none" w:sz="0" w:space="0" w:color="auto"/>
        <w:right w:val="none" w:sz="0" w:space="0" w:color="auto"/>
      </w:divBdr>
    </w:div>
    <w:div w:id="480541903">
      <w:bodyDiv w:val="1"/>
      <w:marLeft w:val="0"/>
      <w:marRight w:val="0"/>
      <w:marTop w:val="0"/>
      <w:marBottom w:val="0"/>
      <w:divBdr>
        <w:top w:val="none" w:sz="0" w:space="0" w:color="auto"/>
        <w:left w:val="none" w:sz="0" w:space="0" w:color="auto"/>
        <w:bottom w:val="none" w:sz="0" w:space="0" w:color="auto"/>
        <w:right w:val="none" w:sz="0" w:space="0" w:color="auto"/>
      </w:divBdr>
    </w:div>
    <w:div w:id="480728897">
      <w:bodyDiv w:val="1"/>
      <w:marLeft w:val="0"/>
      <w:marRight w:val="0"/>
      <w:marTop w:val="0"/>
      <w:marBottom w:val="0"/>
      <w:divBdr>
        <w:top w:val="none" w:sz="0" w:space="0" w:color="auto"/>
        <w:left w:val="none" w:sz="0" w:space="0" w:color="auto"/>
        <w:bottom w:val="none" w:sz="0" w:space="0" w:color="auto"/>
        <w:right w:val="none" w:sz="0" w:space="0" w:color="auto"/>
      </w:divBdr>
    </w:div>
    <w:div w:id="480737636">
      <w:bodyDiv w:val="1"/>
      <w:marLeft w:val="0"/>
      <w:marRight w:val="0"/>
      <w:marTop w:val="0"/>
      <w:marBottom w:val="0"/>
      <w:divBdr>
        <w:top w:val="none" w:sz="0" w:space="0" w:color="auto"/>
        <w:left w:val="none" w:sz="0" w:space="0" w:color="auto"/>
        <w:bottom w:val="none" w:sz="0" w:space="0" w:color="auto"/>
        <w:right w:val="none" w:sz="0" w:space="0" w:color="auto"/>
      </w:divBdr>
    </w:div>
    <w:div w:id="480776071">
      <w:bodyDiv w:val="1"/>
      <w:marLeft w:val="0"/>
      <w:marRight w:val="0"/>
      <w:marTop w:val="0"/>
      <w:marBottom w:val="0"/>
      <w:divBdr>
        <w:top w:val="none" w:sz="0" w:space="0" w:color="auto"/>
        <w:left w:val="none" w:sz="0" w:space="0" w:color="auto"/>
        <w:bottom w:val="none" w:sz="0" w:space="0" w:color="auto"/>
        <w:right w:val="none" w:sz="0" w:space="0" w:color="auto"/>
      </w:divBdr>
    </w:div>
    <w:div w:id="480778302">
      <w:bodyDiv w:val="1"/>
      <w:marLeft w:val="0"/>
      <w:marRight w:val="0"/>
      <w:marTop w:val="0"/>
      <w:marBottom w:val="0"/>
      <w:divBdr>
        <w:top w:val="none" w:sz="0" w:space="0" w:color="auto"/>
        <w:left w:val="none" w:sz="0" w:space="0" w:color="auto"/>
        <w:bottom w:val="none" w:sz="0" w:space="0" w:color="auto"/>
        <w:right w:val="none" w:sz="0" w:space="0" w:color="auto"/>
      </w:divBdr>
    </w:div>
    <w:div w:id="480851534">
      <w:bodyDiv w:val="1"/>
      <w:marLeft w:val="0"/>
      <w:marRight w:val="0"/>
      <w:marTop w:val="0"/>
      <w:marBottom w:val="0"/>
      <w:divBdr>
        <w:top w:val="none" w:sz="0" w:space="0" w:color="auto"/>
        <w:left w:val="none" w:sz="0" w:space="0" w:color="auto"/>
        <w:bottom w:val="none" w:sz="0" w:space="0" w:color="auto"/>
        <w:right w:val="none" w:sz="0" w:space="0" w:color="auto"/>
      </w:divBdr>
    </w:div>
    <w:div w:id="480925996">
      <w:bodyDiv w:val="1"/>
      <w:marLeft w:val="0"/>
      <w:marRight w:val="0"/>
      <w:marTop w:val="0"/>
      <w:marBottom w:val="0"/>
      <w:divBdr>
        <w:top w:val="none" w:sz="0" w:space="0" w:color="auto"/>
        <w:left w:val="none" w:sz="0" w:space="0" w:color="auto"/>
        <w:bottom w:val="none" w:sz="0" w:space="0" w:color="auto"/>
        <w:right w:val="none" w:sz="0" w:space="0" w:color="auto"/>
      </w:divBdr>
    </w:div>
    <w:div w:id="481049586">
      <w:bodyDiv w:val="1"/>
      <w:marLeft w:val="0"/>
      <w:marRight w:val="0"/>
      <w:marTop w:val="0"/>
      <w:marBottom w:val="0"/>
      <w:divBdr>
        <w:top w:val="none" w:sz="0" w:space="0" w:color="auto"/>
        <w:left w:val="none" w:sz="0" w:space="0" w:color="auto"/>
        <w:bottom w:val="none" w:sz="0" w:space="0" w:color="auto"/>
        <w:right w:val="none" w:sz="0" w:space="0" w:color="auto"/>
      </w:divBdr>
    </w:div>
    <w:div w:id="481122945">
      <w:bodyDiv w:val="1"/>
      <w:marLeft w:val="0"/>
      <w:marRight w:val="0"/>
      <w:marTop w:val="0"/>
      <w:marBottom w:val="0"/>
      <w:divBdr>
        <w:top w:val="none" w:sz="0" w:space="0" w:color="auto"/>
        <w:left w:val="none" w:sz="0" w:space="0" w:color="auto"/>
        <w:bottom w:val="none" w:sz="0" w:space="0" w:color="auto"/>
        <w:right w:val="none" w:sz="0" w:space="0" w:color="auto"/>
      </w:divBdr>
    </w:div>
    <w:div w:id="481195264">
      <w:bodyDiv w:val="1"/>
      <w:marLeft w:val="0"/>
      <w:marRight w:val="0"/>
      <w:marTop w:val="0"/>
      <w:marBottom w:val="0"/>
      <w:divBdr>
        <w:top w:val="none" w:sz="0" w:space="0" w:color="auto"/>
        <w:left w:val="none" w:sz="0" w:space="0" w:color="auto"/>
        <w:bottom w:val="none" w:sz="0" w:space="0" w:color="auto"/>
        <w:right w:val="none" w:sz="0" w:space="0" w:color="auto"/>
      </w:divBdr>
    </w:div>
    <w:div w:id="481434621">
      <w:bodyDiv w:val="1"/>
      <w:marLeft w:val="0"/>
      <w:marRight w:val="0"/>
      <w:marTop w:val="0"/>
      <w:marBottom w:val="0"/>
      <w:divBdr>
        <w:top w:val="none" w:sz="0" w:space="0" w:color="auto"/>
        <w:left w:val="none" w:sz="0" w:space="0" w:color="auto"/>
        <w:bottom w:val="none" w:sz="0" w:space="0" w:color="auto"/>
        <w:right w:val="none" w:sz="0" w:space="0" w:color="auto"/>
      </w:divBdr>
    </w:div>
    <w:div w:id="481654420">
      <w:bodyDiv w:val="1"/>
      <w:marLeft w:val="0"/>
      <w:marRight w:val="0"/>
      <w:marTop w:val="0"/>
      <w:marBottom w:val="0"/>
      <w:divBdr>
        <w:top w:val="none" w:sz="0" w:space="0" w:color="auto"/>
        <w:left w:val="none" w:sz="0" w:space="0" w:color="auto"/>
        <w:bottom w:val="none" w:sz="0" w:space="0" w:color="auto"/>
        <w:right w:val="none" w:sz="0" w:space="0" w:color="auto"/>
      </w:divBdr>
    </w:div>
    <w:div w:id="481895291">
      <w:bodyDiv w:val="1"/>
      <w:marLeft w:val="0"/>
      <w:marRight w:val="0"/>
      <w:marTop w:val="0"/>
      <w:marBottom w:val="0"/>
      <w:divBdr>
        <w:top w:val="none" w:sz="0" w:space="0" w:color="auto"/>
        <w:left w:val="none" w:sz="0" w:space="0" w:color="auto"/>
        <w:bottom w:val="none" w:sz="0" w:space="0" w:color="auto"/>
        <w:right w:val="none" w:sz="0" w:space="0" w:color="auto"/>
      </w:divBdr>
    </w:div>
    <w:div w:id="482159053">
      <w:bodyDiv w:val="1"/>
      <w:marLeft w:val="0"/>
      <w:marRight w:val="0"/>
      <w:marTop w:val="0"/>
      <w:marBottom w:val="0"/>
      <w:divBdr>
        <w:top w:val="none" w:sz="0" w:space="0" w:color="auto"/>
        <w:left w:val="none" w:sz="0" w:space="0" w:color="auto"/>
        <w:bottom w:val="none" w:sz="0" w:space="0" w:color="auto"/>
        <w:right w:val="none" w:sz="0" w:space="0" w:color="auto"/>
      </w:divBdr>
    </w:div>
    <w:div w:id="482164417">
      <w:bodyDiv w:val="1"/>
      <w:marLeft w:val="0"/>
      <w:marRight w:val="0"/>
      <w:marTop w:val="0"/>
      <w:marBottom w:val="0"/>
      <w:divBdr>
        <w:top w:val="none" w:sz="0" w:space="0" w:color="auto"/>
        <w:left w:val="none" w:sz="0" w:space="0" w:color="auto"/>
        <w:bottom w:val="none" w:sz="0" w:space="0" w:color="auto"/>
        <w:right w:val="none" w:sz="0" w:space="0" w:color="auto"/>
      </w:divBdr>
    </w:div>
    <w:div w:id="482351093">
      <w:bodyDiv w:val="1"/>
      <w:marLeft w:val="0"/>
      <w:marRight w:val="0"/>
      <w:marTop w:val="0"/>
      <w:marBottom w:val="0"/>
      <w:divBdr>
        <w:top w:val="none" w:sz="0" w:space="0" w:color="auto"/>
        <w:left w:val="none" w:sz="0" w:space="0" w:color="auto"/>
        <w:bottom w:val="none" w:sz="0" w:space="0" w:color="auto"/>
        <w:right w:val="none" w:sz="0" w:space="0" w:color="auto"/>
      </w:divBdr>
    </w:div>
    <w:div w:id="482695562">
      <w:bodyDiv w:val="1"/>
      <w:marLeft w:val="0"/>
      <w:marRight w:val="0"/>
      <w:marTop w:val="0"/>
      <w:marBottom w:val="0"/>
      <w:divBdr>
        <w:top w:val="none" w:sz="0" w:space="0" w:color="auto"/>
        <w:left w:val="none" w:sz="0" w:space="0" w:color="auto"/>
        <w:bottom w:val="none" w:sz="0" w:space="0" w:color="auto"/>
        <w:right w:val="none" w:sz="0" w:space="0" w:color="auto"/>
      </w:divBdr>
    </w:div>
    <w:div w:id="482742597">
      <w:bodyDiv w:val="1"/>
      <w:marLeft w:val="0"/>
      <w:marRight w:val="0"/>
      <w:marTop w:val="0"/>
      <w:marBottom w:val="0"/>
      <w:divBdr>
        <w:top w:val="none" w:sz="0" w:space="0" w:color="auto"/>
        <w:left w:val="none" w:sz="0" w:space="0" w:color="auto"/>
        <w:bottom w:val="none" w:sz="0" w:space="0" w:color="auto"/>
        <w:right w:val="none" w:sz="0" w:space="0" w:color="auto"/>
      </w:divBdr>
    </w:div>
    <w:div w:id="483010279">
      <w:bodyDiv w:val="1"/>
      <w:marLeft w:val="0"/>
      <w:marRight w:val="0"/>
      <w:marTop w:val="0"/>
      <w:marBottom w:val="0"/>
      <w:divBdr>
        <w:top w:val="none" w:sz="0" w:space="0" w:color="auto"/>
        <w:left w:val="none" w:sz="0" w:space="0" w:color="auto"/>
        <w:bottom w:val="none" w:sz="0" w:space="0" w:color="auto"/>
        <w:right w:val="none" w:sz="0" w:space="0" w:color="auto"/>
      </w:divBdr>
    </w:div>
    <w:div w:id="483161578">
      <w:bodyDiv w:val="1"/>
      <w:marLeft w:val="0"/>
      <w:marRight w:val="0"/>
      <w:marTop w:val="0"/>
      <w:marBottom w:val="0"/>
      <w:divBdr>
        <w:top w:val="none" w:sz="0" w:space="0" w:color="auto"/>
        <w:left w:val="none" w:sz="0" w:space="0" w:color="auto"/>
        <w:bottom w:val="none" w:sz="0" w:space="0" w:color="auto"/>
        <w:right w:val="none" w:sz="0" w:space="0" w:color="auto"/>
      </w:divBdr>
    </w:div>
    <w:div w:id="483204965">
      <w:bodyDiv w:val="1"/>
      <w:marLeft w:val="0"/>
      <w:marRight w:val="0"/>
      <w:marTop w:val="0"/>
      <w:marBottom w:val="0"/>
      <w:divBdr>
        <w:top w:val="none" w:sz="0" w:space="0" w:color="auto"/>
        <w:left w:val="none" w:sz="0" w:space="0" w:color="auto"/>
        <w:bottom w:val="none" w:sz="0" w:space="0" w:color="auto"/>
        <w:right w:val="none" w:sz="0" w:space="0" w:color="auto"/>
      </w:divBdr>
    </w:div>
    <w:div w:id="483206042">
      <w:bodyDiv w:val="1"/>
      <w:marLeft w:val="0"/>
      <w:marRight w:val="0"/>
      <w:marTop w:val="0"/>
      <w:marBottom w:val="0"/>
      <w:divBdr>
        <w:top w:val="none" w:sz="0" w:space="0" w:color="auto"/>
        <w:left w:val="none" w:sz="0" w:space="0" w:color="auto"/>
        <w:bottom w:val="none" w:sz="0" w:space="0" w:color="auto"/>
        <w:right w:val="none" w:sz="0" w:space="0" w:color="auto"/>
      </w:divBdr>
    </w:div>
    <w:div w:id="483545611">
      <w:bodyDiv w:val="1"/>
      <w:marLeft w:val="0"/>
      <w:marRight w:val="0"/>
      <w:marTop w:val="0"/>
      <w:marBottom w:val="0"/>
      <w:divBdr>
        <w:top w:val="none" w:sz="0" w:space="0" w:color="auto"/>
        <w:left w:val="none" w:sz="0" w:space="0" w:color="auto"/>
        <w:bottom w:val="none" w:sz="0" w:space="0" w:color="auto"/>
        <w:right w:val="none" w:sz="0" w:space="0" w:color="auto"/>
      </w:divBdr>
    </w:div>
    <w:div w:id="483746073">
      <w:bodyDiv w:val="1"/>
      <w:marLeft w:val="0"/>
      <w:marRight w:val="0"/>
      <w:marTop w:val="0"/>
      <w:marBottom w:val="0"/>
      <w:divBdr>
        <w:top w:val="none" w:sz="0" w:space="0" w:color="auto"/>
        <w:left w:val="none" w:sz="0" w:space="0" w:color="auto"/>
        <w:bottom w:val="none" w:sz="0" w:space="0" w:color="auto"/>
        <w:right w:val="none" w:sz="0" w:space="0" w:color="auto"/>
      </w:divBdr>
    </w:div>
    <w:div w:id="484130450">
      <w:bodyDiv w:val="1"/>
      <w:marLeft w:val="0"/>
      <w:marRight w:val="0"/>
      <w:marTop w:val="0"/>
      <w:marBottom w:val="0"/>
      <w:divBdr>
        <w:top w:val="none" w:sz="0" w:space="0" w:color="auto"/>
        <w:left w:val="none" w:sz="0" w:space="0" w:color="auto"/>
        <w:bottom w:val="none" w:sz="0" w:space="0" w:color="auto"/>
        <w:right w:val="none" w:sz="0" w:space="0" w:color="auto"/>
      </w:divBdr>
    </w:div>
    <w:div w:id="484276130">
      <w:bodyDiv w:val="1"/>
      <w:marLeft w:val="0"/>
      <w:marRight w:val="0"/>
      <w:marTop w:val="0"/>
      <w:marBottom w:val="0"/>
      <w:divBdr>
        <w:top w:val="none" w:sz="0" w:space="0" w:color="auto"/>
        <w:left w:val="none" w:sz="0" w:space="0" w:color="auto"/>
        <w:bottom w:val="none" w:sz="0" w:space="0" w:color="auto"/>
        <w:right w:val="none" w:sz="0" w:space="0" w:color="auto"/>
      </w:divBdr>
    </w:div>
    <w:div w:id="484468769">
      <w:bodyDiv w:val="1"/>
      <w:marLeft w:val="0"/>
      <w:marRight w:val="0"/>
      <w:marTop w:val="0"/>
      <w:marBottom w:val="0"/>
      <w:divBdr>
        <w:top w:val="none" w:sz="0" w:space="0" w:color="auto"/>
        <w:left w:val="none" w:sz="0" w:space="0" w:color="auto"/>
        <w:bottom w:val="none" w:sz="0" w:space="0" w:color="auto"/>
        <w:right w:val="none" w:sz="0" w:space="0" w:color="auto"/>
      </w:divBdr>
    </w:div>
    <w:div w:id="484473209">
      <w:bodyDiv w:val="1"/>
      <w:marLeft w:val="0"/>
      <w:marRight w:val="0"/>
      <w:marTop w:val="0"/>
      <w:marBottom w:val="0"/>
      <w:divBdr>
        <w:top w:val="none" w:sz="0" w:space="0" w:color="auto"/>
        <w:left w:val="none" w:sz="0" w:space="0" w:color="auto"/>
        <w:bottom w:val="none" w:sz="0" w:space="0" w:color="auto"/>
        <w:right w:val="none" w:sz="0" w:space="0" w:color="auto"/>
      </w:divBdr>
    </w:div>
    <w:div w:id="485167446">
      <w:bodyDiv w:val="1"/>
      <w:marLeft w:val="0"/>
      <w:marRight w:val="0"/>
      <w:marTop w:val="0"/>
      <w:marBottom w:val="0"/>
      <w:divBdr>
        <w:top w:val="none" w:sz="0" w:space="0" w:color="auto"/>
        <w:left w:val="none" w:sz="0" w:space="0" w:color="auto"/>
        <w:bottom w:val="none" w:sz="0" w:space="0" w:color="auto"/>
        <w:right w:val="none" w:sz="0" w:space="0" w:color="auto"/>
      </w:divBdr>
    </w:div>
    <w:div w:id="485361206">
      <w:bodyDiv w:val="1"/>
      <w:marLeft w:val="0"/>
      <w:marRight w:val="0"/>
      <w:marTop w:val="0"/>
      <w:marBottom w:val="0"/>
      <w:divBdr>
        <w:top w:val="none" w:sz="0" w:space="0" w:color="auto"/>
        <w:left w:val="none" w:sz="0" w:space="0" w:color="auto"/>
        <w:bottom w:val="none" w:sz="0" w:space="0" w:color="auto"/>
        <w:right w:val="none" w:sz="0" w:space="0" w:color="auto"/>
      </w:divBdr>
    </w:div>
    <w:div w:id="485557985">
      <w:bodyDiv w:val="1"/>
      <w:marLeft w:val="0"/>
      <w:marRight w:val="0"/>
      <w:marTop w:val="0"/>
      <w:marBottom w:val="0"/>
      <w:divBdr>
        <w:top w:val="none" w:sz="0" w:space="0" w:color="auto"/>
        <w:left w:val="none" w:sz="0" w:space="0" w:color="auto"/>
        <w:bottom w:val="none" w:sz="0" w:space="0" w:color="auto"/>
        <w:right w:val="none" w:sz="0" w:space="0" w:color="auto"/>
      </w:divBdr>
    </w:div>
    <w:div w:id="485628557">
      <w:bodyDiv w:val="1"/>
      <w:marLeft w:val="0"/>
      <w:marRight w:val="0"/>
      <w:marTop w:val="0"/>
      <w:marBottom w:val="0"/>
      <w:divBdr>
        <w:top w:val="none" w:sz="0" w:space="0" w:color="auto"/>
        <w:left w:val="none" w:sz="0" w:space="0" w:color="auto"/>
        <w:bottom w:val="none" w:sz="0" w:space="0" w:color="auto"/>
        <w:right w:val="none" w:sz="0" w:space="0" w:color="auto"/>
      </w:divBdr>
    </w:div>
    <w:div w:id="485635186">
      <w:bodyDiv w:val="1"/>
      <w:marLeft w:val="0"/>
      <w:marRight w:val="0"/>
      <w:marTop w:val="0"/>
      <w:marBottom w:val="0"/>
      <w:divBdr>
        <w:top w:val="none" w:sz="0" w:space="0" w:color="auto"/>
        <w:left w:val="none" w:sz="0" w:space="0" w:color="auto"/>
        <w:bottom w:val="none" w:sz="0" w:space="0" w:color="auto"/>
        <w:right w:val="none" w:sz="0" w:space="0" w:color="auto"/>
      </w:divBdr>
    </w:div>
    <w:div w:id="485753467">
      <w:bodyDiv w:val="1"/>
      <w:marLeft w:val="0"/>
      <w:marRight w:val="0"/>
      <w:marTop w:val="0"/>
      <w:marBottom w:val="0"/>
      <w:divBdr>
        <w:top w:val="none" w:sz="0" w:space="0" w:color="auto"/>
        <w:left w:val="none" w:sz="0" w:space="0" w:color="auto"/>
        <w:bottom w:val="none" w:sz="0" w:space="0" w:color="auto"/>
        <w:right w:val="none" w:sz="0" w:space="0" w:color="auto"/>
      </w:divBdr>
    </w:div>
    <w:div w:id="485975474">
      <w:bodyDiv w:val="1"/>
      <w:marLeft w:val="0"/>
      <w:marRight w:val="0"/>
      <w:marTop w:val="0"/>
      <w:marBottom w:val="0"/>
      <w:divBdr>
        <w:top w:val="none" w:sz="0" w:space="0" w:color="auto"/>
        <w:left w:val="none" w:sz="0" w:space="0" w:color="auto"/>
        <w:bottom w:val="none" w:sz="0" w:space="0" w:color="auto"/>
        <w:right w:val="none" w:sz="0" w:space="0" w:color="auto"/>
      </w:divBdr>
    </w:div>
    <w:div w:id="486286960">
      <w:bodyDiv w:val="1"/>
      <w:marLeft w:val="0"/>
      <w:marRight w:val="0"/>
      <w:marTop w:val="0"/>
      <w:marBottom w:val="0"/>
      <w:divBdr>
        <w:top w:val="none" w:sz="0" w:space="0" w:color="auto"/>
        <w:left w:val="none" w:sz="0" w:space="0" w:color="auto"/>
        <w:bottom w:val="none" w:sz="0" w:space="0" w:color="auto"/>
        <w:right w:val="none" w:sz="0" w:space="0" w:color="auto"/>
      </w:divBdr>
    </w:div>
    <w:div w:id="486366829">
      <w:bodyDiv w:val="1"/>
      <w:marLeft w:val="0"/>
      <w:marRight w:val="0"/>
      <w:marTop w:val="0"/>
      <w:marBottom w:val="0"/>
      <w:divBdr>
        <w:top w:val="none" w:sz="0" w:space="0" w:color="auto"/>
        <w:left w:val="none" w:sz="0" w:space="0" w:color="auto"/>
        <w:bottom w:val="none" w:sz="0" w:space="0" w:color="auto"/>
        <w:right w:val="none" w:sz="0" w:space="0" w:color="auto"/>
      </w:divBdr>
    </w:div>
    <w:div w:id="486476679">
      <w:bodyDiv w:val="1"/>
      <w:marLeft w:val="0"/>
      <w:marRight w:val="0"/>
      <w:marTop w:val="0"/>
      <w:marBottom w:val="0"/>
      <w:divBdr>
        <w:top w:val="none" w:sz="0" w:space="0" w:color="auto"/>
        <w:left w:val="none" w:sz="0" w:space="0" w:color="auto"/>
        <w:bottom w:val="none" w:sz="0" w:space="0" w:color="auto"/>
        <w:right w:val="none" w:sz="0" w:space="0" w:color="auto"/>
      </w:divBdr>
    </w:div>
    <w:div w:id="486478056">
      <w:bodyDiv w:val="1"/>
      <w:marLeft w:val="0"/>
      <w:marRight w:val="0"/>
      <w:marTop w:val="0"/>
      <w:marBottom w:val="0"/>
      <w:divBdr>
        <w:top w:val="none" w:sz="0" w:space="0" w:color="auto"/>
        <w:left w:val="none" w:sz="0" w:space="0" w:color="auto"/>
        <w:bottom w:val="none" w:sz="0" w:space="0" w:color="auto"/>
        <w:right w:val="none" w:sz="0" w:space="0" w:color="auto"/>
      </w:divBdr>
    </w:div>
    <w:div w:id="486676084">
      <w:bodyDiv w:val="1"/>
      <w:marLeft w:val="0"/>
      <w:marRight w:val="0"/>
      <w:marTop w:val="0"/>
      <w:marBottom w:val="0"/>
      <w:divBdr>
        <w:top w:val="none" w:sz="0" w:space="0" w:color="auto"/>
        <w:left w:val="none" w:sz="0" w:space="0" w:color="auto"/>
        <w:bottom w:val="none" w:sz="0" w:space="0" w:color="auto"/>
        <w:right w:val="none" w:sz="0" w:space="0" w:color="auto"/>
      </w:divBdr>
    </w:div>
    <w:div w:id="486751515">
      <w:bodyDiv w:val="1"/>
      <w:marLeft w:val="0"/>
      <w:marRight w:val="0"/>
      <w:marTop w:val="0"/>
      <w:marBottom w:val="0"/>
      <w:divBdr>
        <w:top w:val="none" w:sz="0" w:space="0" w:color="auto"/>
        <w:left w:val="none" w:sz="0" w:space="0" w:color="auto"/>
        <w:bottom w:val="none" w:sz="0" w:space="0" w:color="auto"/>
        <w:right w:val="none" w:sz="0" w:space="0" w:color="auto"/>
      </w:divBdr>
    </w:div>
    <w:div w:id="486899677">
      <w:bodyDiv w:val="1"/>
      <w:marLeft w:val="0"/>
      <w:marRight w:val="0"/>
      <w:marTop w:val="0"/>
      <w:marBottom w:val="0"/>
      <w:divBdr>
        <w:top w:val="none" w:sz="0" w:space="0" w:color="auto"/>
        <w:left w:val="none" w:sz="0" w:space="0" w:color="auto"/>
        <w:bottom w:val="none" w:sz="0" w:space="0" w:color="auto"/>
        <w:right w:val="none" w:sz="0" w:space="0" w:color="auto"/>
      </w:divBdr>
    </w:div>
    <w:div w:id="487013597">
      <w:bodyDiv w:val="1"/>
      <w:marLeft w:val="0"/>
      <w:marRight w:val="0"/>
      <w:marTop w:val="0"/>
      <w:marBottom w:val="0"/>
      <w:divBdr>
        <w:top w:val="none" w:sz="0" w:space="0" w:color="auto"/>
        <w:left w:val="none" w:sz="0" w:space="0" w:color="auto"/>
        <w:bottom w:val="none" w:sz="0" w:space="0" w:color="auto"/>
        <w:right w:val="none" w:sz="0" w:space="0" w:color="auto"/>
      </w:divBdr>
    </w:div>
    <w:div w:id="487210169">
      <w:bodyDiv w:val="1"/>
      <w:marLeft w:val="0"/>
      <w:marRight w:val="0"/>
      <w:marTop w:val="0"/>
      <w:marBottom w:val="0"/>
      <w:divBdr>
        <w:top w:val="none" w:sz="0" w:space="0" w:color="auto"/>
        <w:left w:val="none" w:sz="0" w:space="0" w:color="auto"/>
        <w:bottom w:val="none" w:sz="0" w:space="0" w:color="auto"/>
        <w:right w:val="none" w:sz="0" w:space="0" w:color="auto"/>
      </w:divBdr>
    </w:div>
    <w:div w:id="487483288">
      <w:bodyDiv w:val="1"/>
      <w:marLeft w:val="0"/>
      <w:marRight w:val="0"/>
      <w:marTop w:val="0"/>
      <w:marBottom w:val="0"/>
      <w:divBdr>
        <w:top w:val="none" w:sz="0" w:space="0" w:color="auto"/>
        <w:left w:val="none" w:sz="0" w:space="0" w:color="auto"/>
        <w:bottom w:val="none" w:sz="0" w:space="0" w:color="auto"/>
        <w:right w:val="none" w:sz="0" w:space="0" w:color="auto"/>
      </w:divBdr>
    </w:div>
    <w:div w:id="487861369">
      <w:bodyDiv w:val="1"/>
      <w:marLeft w:val="0"/>
      <w:marRight w:val="0"/>
      <w:marTop w:val="0"/>
      <w:marBottom w:val="0"/>
      <w:divBdr>
        <w:top w:val="none" w:sz="0" w:space="0" w:color="auto"/>
        <w:left w:val="none" w:sz="0" w:space="0" w:color="auto"/>
        <w:bottom w:val="none" w:sz="0" w:space="0" w:color="auto"/>
        <w:right w:val="none" w:sz="0" w:space="0" w:color="auto"/>
      </w:divBdr>
    </w:div>
    <w:div w:id="487939754">
      <w:bodyDiv w:val="1"/>
      <w:marLeft w:val="0"/>
      <w:marRight w:val="0"/>
      <w:marTop w:val="0"/>
      <w:marBottom w:val="0"/>
      <w:divBdr>
        <w:top w:val="none" w:sz="0" w:space="0" w:color="auto"/>
        <w:left w:val="none" w:sz="0" w:space="0" w:color="auto"/>
        <w:bottom w:val="none" w:sz="0" w:space="0" w:color="auto"/>
        <w:right w:val="none" w:sz="0" w:space="0" w:color="auto"/>
      </w:divBdr>
    </w:div>
    <w:div w:id="487983576">
      <w:bodyDiv w:val="1"/>
      <w:marLeft w:val="0"/>
      <w:marRight w:val="0"/>
      <w:marTop w:val="0"/>
      <w:marBottom w:val="0"/>
      <w:divBdr>
        <w:top w:val="none" w:sz="0" w:space="0" w:color="auto"/>
        <w:left w:val="none" w:sz="0" w:space="0" w:color="auto"/>
        <w:bottom w:val="none" w:sz="0" w:space="0" w:color="auto"/>
        <w:right w:val="none" w:sz="0" w:space="0" w:color="auto"/>
      </w:divBdr>
    </w:div>
    <w:div w:id="488057744">
      <w:bodyDiv w:val="1"/>
      <w:marLeft w:val="0"/>
      <w:marRight w:val="0"/>
      <w:marTop w:val="0"/>
      <w:marBottom w:val="0"/>
      <w:divBdr>
        <w:top w:val="none" w:sz="0" w:space="0" w:color="auto"/>
        <w:left w:val="none" w:sz="0" w:space="0" w:color="auto"/>
        <w:bottom w:val="none" w:sz="0" w:space="0" w:color="auto"/>
        <w:right w:val="none" w:sz="0" w:space="0" w:color="auto"/>
      </w:divBdr>
    </w:div>
    <w:div w:id="488139730">
      <w:bodyDiv w:val="1"/>
      <w:marLeft w:val="0"/>
      <w:marRight w:val="0"/>
      <w:marTop w:val="0"/>
      <w:marBottom w:val="0"/>
      <w:divBdr>
        <w:top w:val="none" w:sz="0" w:space="0" w:color="auto"/>
        <w:left w:val="none" w:sz="0" w:space="0" w:color="auto"/>
        <w:bottom w:val="none" w:sz="0" w:space="0" w:color="auto"/>
        <w:right w:val="none" w:sz="0" w:space="0" w:color="auto"/>
      </w:divBdr>
    </w:div>
    <w:div w:id="488449616">
      <w:bodyDiv w:val="1"/>
      <w:marLeft w:val="0"/>
      <w:marRight w:val="0"/>
      <w:marTop w:val="0"/>
      <w:marBottom w:val="0"/>
      <w:divBdr>
        <w:top w:val="none" w:sz="0" w:space="0" w:color="auto"/>
        <w:left w:val="none" w:sz="0" w:space="0" w:color="auto"/>
        <w:bottom w:val="none" w:sz="0" w:space="0" w:color="auto"/>
        <w:right w:val="none" w:sz="0" w:space="0" w:color="auto"/>
      </w:divBdr>
    </w:div>
    <w:div w:id="489566201">
      <w:bodyDiv w:val="1"/>
      <w:marLeft w:val="0"/>
      <w:marRight w:val="0"/>
      <w:marTop w:val="0"/>
      <w:marBottom w:val="0"/>
      <w:divBdr>
        <w:top w:val="none" w:sz="0" w:space="0" w:color="auto"/>
        <w:left w:val="none" w:sz="0" w:space="0" w:color="auto"/>
        <w:bottom w:val="none" w:sz="0" w:space="0" w:color="auto"/>
        <w:right w:val="none" w:sz="0" w:space="0" w:color="auto"/>
      </w:divBdr>
    </w:div>
    <w:div w:id="490023932">
      <w:bodyDiv w:val="1"/>
      <w:marLeft w:val="0"/>
      <w:marRight w:val="0"/>
      <w:marTop w:val="0"/>
      <w:marBottom w:val="0"/>
      <w:divBdr>
        <w:top w:val="none" w:sz="0" w:space="0" w:color="auto"/>
        <w:left w:val="none" w:sz="0" w:space="0" w:color="auto"/>
        <w:bottom w:val="none" w:sz="0" w:space="0" w:color="auto"/>
        <w:right w:val="none" w:sz="0" w:space="0" w:color="auto"/>
      </w:divBdr>
    </w:div>
    <w:div w:id="490026342">
      <w:bodyDiv w:val="1"/>
      <w:marLeft w:val="0"/>
      <w:marRight w:val="0"/>
      <w:marTop w:val="0"/>
      <w:marBottom w:val="0"/>
      <w:divBdr>
        <w:top w:val="none" w:sz="0" w:space="0" w:color="auto"/>
        <w:left w:val="none" w:sz="0" w:space="0" w:color="auto"/>
        <w:bottom w:val="none" w:sz="0" w:space="0" w:color="auto"/>
        <w:right w:val="none" w:sz="0" w:space="0" w:color="auto"/>
      </w:divBdr>
    </w:div>
    <w:div w:id="490367640">
      <w:bodyDiv w:val="1"/>
      <w:marLeft w:val="0"/>
      <w:marRight w:val="0"/>
      <w:marTop w:val="0"/>
      <w:marBottom w:val="0"/>
      <w:divBdr>
        <w:top w:val="none" w:sz="0" w:space="0" w:color="auto"/>
        <w:left w:val="none" w:sz="0" w:space="0" w:color="auto"/>
        <w:bottom w:val="none" w:sz="0" w:space="0" w:color="auto"/>
        <w:right w:val="none" w:sz="0" w:space="0" w:color="auto"/>
      </w:divBdr>
    </w:div>
    <w:div w:id="490412900">
      <w:bodyDiv w:val="1"/>
      <w:marLeft w:val="0"/>
      <w:marRight w:val="0"/>
      <w:marTop w:val="0"/>
      <w:marBottom w:val="0"/>
      <w:divBdr>
        <w:top w:val="none" w:sz="0" w:space="0" w:color="auto"/>
        <w:left w:val="none" w:sz="0" w:space="0" w:color="auto"/>
        <w:bottom w:val="none" w:sz="0" w:space="0" w:color="auto"/>
        <w:right w:val="none" w:sz="0" w:space="0" w:color="auto"/>
      </w:divBdr>
    </w:div>
    <w:div w:id="490416406">
      <w:bodyDiv w:val="1"/>
      <w:marLeft w:val="0"/>
      <w:marRight w:val="0"/>
      <w:marTop w:val="0"/>
      <w:marBottom w:val="0"/>
      <w:divBdr>
        <w:top w:val="none" w:sz="0" w:space="0" w:color="auto"/>
        <w:left w:val="none" w:sz="0" w:space="0" w:color="auto"/>
        <w:bottom w:val="none" w:sz="0" w:space="0" w:color="auto"/>
        <w:right w:val="none" w:sz="0" w:space="0" w:color="auto"/>
      </w:divBdr>
    </w:div>
    <w:div w:id="490558414">
      <w:bodyDiv w:val="1"/>
      <w:marLeft w:val="0"/>
      <w:marRight w:val="0"/>
      <w:marTop w:val="0"/>
      <w:marBottom w:val="0"/>
      <w:divBdr>
        <w:top w:val="none" w:sz="0" w:space="0" w:color="auto"/>
        <w:left w:val="none" w:sz="0" w:space="0" w:color="auto"/>
        <w:bottom w:val="none" w:sz="0" w:space="0" w:color="auto"/>
        <w:right w:val="none" w:sz="0" w:space="0" w:color="auto"/>
      </w:divBdr>
    </w:div>
    <w:div w:id="490559624">
      <w:bodyDiv w:val="1"/>
      <w:marLeft w:val="0"/>
      <w:marRight w:val="0"/>
      <w:marTop w:val="0"/>
      <w:marBottom w:val="0"/>
      <w:divBdr>
        <w:top w:val="none" w:sz="0" w:space="0" w:color="auto"/>
        <w:left w:val="none" w:sz="0" w:space="0" w:color="auto"/>
        <w:bottom w:val="none" w:sz="0" w:space="0" w:color="auto"/>
        <w:right w:val="none" w:sz="0" w:space="0" w:color="auto"/>
      </w:divBdr>
    </w:div>
    <w:div w:id="490827014">
      <w:bodyDiv w:val="1"/>
      <w:marLeft w:val="0"/>
      <w:marRight w:val="0"/>
      <w:marTop w:val="0"/>
      <w:marBottom w:val="0"/>
      <w:divBdr>
        <w:top w:val="none" w:sz="0" w:space="0" w:color="auto"/>
        <w:left w:val="none" w:sz="0" w:space="0" w:color="auto"/>
        <w:bottom w:val="none" w:sz="0" w:space="0" w:color="auto"/>
        <w:right w:val="none" w:sz="0" w:space="0" w:color="auto"/>
      </w:divBdr>
    </w:div>
    <w:div w:id="491025372">
      <w:bodyDiv w:val="1"/>
      <w:marLeft w:val="0"/>
      <w:marRight w:val="0"/>
      <w:marTop w:val="0"/>
      <w:marBottom w:val="0"/>
      <w:divBdr>
        <w:top w:val="none" w:sz="0" w:space="0" w:color="auto"/>
        <w:left w:val="none" w:sz="0" w:space="0" w:color="auto"/>
        <w:bottom w:val="none" w:sz="0" w:space="0" w:color="auto"/>
        <w:right w:val="none" w:sz="0" w:space="0" w:color="auto"/>
      </w:divBdr>
    </w:div>
    <w:div w:id="491337117">
      <w:bodyDiv w:val="1"/>
      <w:marLeft w:val="0"/>
      <w:marRight w:val="0"/>
      <w:marTop w:val="0"/>
      <w:marBottom w:val="0"/>
      <w:divBdr>
        <w:top w:val="none" w:sz="0" w:space="0" w:color="auto"/>
        <w:left w:val="none" w:sz="0" w:space="0" w:color="auto"/>
        <w:bottom w:val="none" w:sz="0" w:space="0" w:color="auto"/>
        <w:right w:val="none" w:sz="0" w:space="0" w:color="auto"/>
      </w:divBdr>
    </w:div>
    <w:div w:id="491527722">
      <w:bodyDiv w:val="1"/>
      <w:marLeft w:val="0"/>
      <w:marRight w:val="0"/>
      <w:marTop w:val="0"/>
      <w:marBottom w:val="0"/>
      <w:divBdr>
        <w:top w:val="none" w:sz="0" w:space="0" w:color="auto"/>
        <w:left w:val="none" w:sz="0" w:space="0" w:color="auto"/>
        <w:bottom w:val="none" w:sz="0" w:space="0" w:color="auto"/>
        <w:right w:val="none" w:sz="0" w:space="0" w:color="auto"/>
      </w:divBdr>
    </w:div>
    <w:div w:id="491603811">
      <w:bodyDiv w:val="1"/>
      <w:marLeft w:val="0"/>
      <w:marRight w:val="0"/>
      <w:marTop w:val="0"/>
      <w:marBottom w:val="0"/>
      <w:divBdr>
        <w:top w:val="none" w:sz="0" w:space="0" w:color="auto"/>
        <w:left w:val="none" w:sz="0" w:space="0" w:color="auto"/>
        <w:bottom w:val="none" w:sz="0" w:space="0" w:color="auto"/>
        <w:right w:val="none" w:sz="0" w:space="0" w:color="auto"/>
      </w:divBdr>
    </w:div>
    <w:div w:id="491987922">
      <w:bodyDiv w:val="1"/>
      <w:marLeft w:val="0"/>
      <w:marRight w:val="0"/>
      <w:marTop w:val="0"/>
      <w:marBottom w:val="0"/>
      <w:divBdr>
        <w:top w:val="none" w:sz="0" w:space="0" w:color="auto"/>
        <w:left w:val="none" w:sz="0" w:space="0" w:color="auto"/>
        <w:bottom w:val="none" w:sz="0" w:space="0" w:color="auto"/>
        <w:right w:val="none" w:sz="0" w:space="0" w:color="auto"/>
      </w:divBdr>
    </w:div>
    <w:div w:id="492110943">
      <w:bodyDiv w:val="1"/>
      <w:marLeft w:val="0"/>
      <w:marRight w:val="0"/>
      <w:marTop w:val="0"/>
      <w:marBottom w:val="0"/>
      <w:divBdr>
        <w:top w:val="none" w:sz="0" w:space="0" w:color="auto"/>
        <w:left w:val="none" w:sz="0" w:space="0" w:color="auto"/>
        <w:bottom w:val="none" w:sz="0" w:space="0" w:color="auto"/>
        <w:right w:val="none" w:sz="0" w:space="0" w:color="auto"/>
      </w:divBdr>
    </w:div>
    <w:div w:id="492450649">
      <w:bodyDiv w:val="1"/>
      <w:marLeft w:val="0"/>
      <w:marRight w:val="0"/>
      <w:marTop w:val="0"/>
      <w:marBottom w:val="0"/>
      <w:divBdr>
        <w:top w:val="none" w:sz="0" w:space="0" w:color="auto"/>
        <w:left w:val="none" w:sz="0" w:space="0" w:color="auto"/>
        <w:bottom w:val="none" w:sz="0" w:space="0" w:color="auto"/>
        <w:right w:val="none" w:sz="0" w:space="0" w:color="auto"/>
      </w:divBdr>
    </w:div>
    <w:div w:id="493297038">
      <w:bodyDiv w:val="1"/>
      <w:marLeft w:val="0"/>
      <w:marRight w:val="0"/>
      <w:marTop w:val="0"/>
      <w:marBottom w:val="0"/>
      <w:divBdr>
        <w:top w:val="none" w:sz="0" w:space="0" w:color="auto"/>
        <w:left w:val="none" w:sz="0" w:space="0" w:color="auto"/>
        <w:bottom w:val="none" w:sz="0" w:space="0" w:color="auto"/>
        <w:right w:val="none" w:sz="0" w:space="0" w:color="auto"/>
      </w:divBdr>
    </w:div>
    <w:div w:id="493690293">
      <w:bodyDiv w:val="1"/>
      <w:marLeft w:val="0"/>
      <w:marRight w:val="0"/>
      <w:marTop w:val="0"/>
      <w:marBottom w:val="0"/>
      <w:divBdr>
        <w:top w:val="none" w:sz="0" w:space="0" w:color="auto"/>
        <w:left w:val="none" w:sz="0" w:space="0" w:color="auto"/>
        <w:bottom w:val="none" w:sz="0" w:space="0" w:color="auto"/>
        <w:right w:val="none" w:sz="0" w:space="0" w:color="auto"/>
      </w:divBdr>
    </w:div>
    <w:div w:id="493843240">
      <w:bodyDiv w:val="1"/>
      <w:marLeft w:val="0"/>
      <w:marRight w:val="0"/>
      <w:marTop w:val="0"/>
      <w:marBottom w:val="0"/>
      <w:divBdr>
        <w:top w:val="none" w:sz="0" w:space="0" w:color="auto"/>
        <w:left w:val="none" w:sz="0" w:space="0" w:color="auto"/>
        <w:bottom w:val="none" w:sz="0" w:space="0" w:color="auto"/>
        <w:right w:val="none" w:sz="0" w:space="0" w:color="auto"/>
      </w:divBdr>
    </w:div>
    <w:div w:id="493911308">
      <w:bodyDiv w:val="1"/>
      <w:marLeft w:val="0"/>
      <w:marRight w:val="0"/>
      <w:marTop w:val="0"/>
      <w:marBottom w:val="0"/>
      <w:divBdr>
        <w:top w:val="none" w:sz="0" w:space="0" w:color="auto"/>
        <w:left w:val="none" w:sz="0" w:space="0" w:color="auto"/>
        <w:bottom w:val="none" w:sz="0" w:space="0" w:color="auto"/>
        <w:right w:val="none" w:sz="0" w:space="0" w:color="auto"/>
      </w:divBdr>
    </w:div>
    <w:div w:id="493952842">
      <w:bodyDiv w:val="1"/>
      <w:marLeft w:val="0"/>
      <w:marRight w:val="0"/>
      <w:marTop w:val="0"/>
      <w:marBottom w:val="0"/>
      <w:divBdr>
        <w:top w:val="none" w:sz="0" w:space="0" w:color="auto"/>
        <w:left w:val="none" w:sz="0" w:space="0" w:color="auto"/>
        <w:bottom w:val="none" w:sz="0" w:space="0" w:color="auto"/>
        <w:right w:val="none" w:sz="0" w:space="0" w:color="auto"/>
      </w:divBdr>
    </w:div>
    <w:div w:id="494104423">
      <w:bodyDiv w:val="1"/>
      <w:marLeft w:val="0"/>
      <w:marRight w:val="0"/>
      <w:marTop w:val="0"/>
      <w:marBottom w:val="0"/>
      <w:divBdr>
        <w:top w:val="none" w:sz="0" w:space="0" w:color="auto"/>
        <w:left w:val="none" w:sz="0" w:space="0" w:color="auto"/>
        <w:bottom w:val="none" w:sz="0" w:space="0" w:color="auto"/>
        <w:right w:val="none" w:sz="0" w:space="0" w:color="auto"/>
      </w:divBdr>
    </w:div>
    <w:div w:id="494224803">
      <w:bodyDiv w:val="1"/>
      <w:marLeft w:val="0"/>
      <w:marRight w:val="0"/>
      <w:marTop w:val="0"/>
      <w:marBottom w:val="0"/>
      <w:divBdr>
        <w:top w:val="none" w:sz="0" w:space="0" w:color="auto"/>
        <w:left w:val="none" w:sz="0" w:space="0" w:color="auto"/>
        <w:bottom w:val="none" w:sz="0" w:space="0" w:color="auto"/>
        <w:right w:val="none" w:sz="0" w:space="0" w:color="auto"/>
      </w:divBdr>
    </w:div>
    <w:div w:id="495144587">
      <w:bodyDiv w:val="1"/>
      <w:marLeft w:val="0"/>
      <w:marRight w:val="0"/>
      <w:marTop w:val="0"/>
      <w:marBottom w:val="0"/>
      <w:divBdr>
        <w:top w:val="none" w:sz="0" w:space="0" w:color="auto"/>
        <w:left w:val="none" w:sz="0" w:space="0" w:color="auto"/>
        <w:bottom w:val="none" w:sz="0" w:space="0" w:color="auto"/>
        <w:right w:val="none" w:sz="0" w:space="0" w:color="auto"/>
      </w:divBdr>
    </w:div>
    <w:div w:id="495342921">
      <w:bodyDiv w:val="1"/>
      <w:marLeft w:val="0"/>
      <w:marRight w:val="0"/>
      <w:marTop w:val="0"/>
      <w:marBottom w:val="0"/>
      <w:divBdr>
        <w:top w:val="none" w:sz="0" w:space="0" w:color="auto"/>
        <w:left w:val="none" w:sz="0" w:space="0" w:color="auto"/>
        <w:bottom w:val="none" w:sz="0" w:space="0" w:color="auto"/>
        <w:right w:val="none" w:sz="0" w:space="0" w:color="auto"/>
      </w:divBdr>
    </w:div>
    <w:div w:id="495457385">
      <w:bodyDiv w:val="1"/>
      <w:marLeft w:val="0"/>
      <w:marRight w:val="0"/>
      <w:marTop w:val="0"/>
      <w:marBottom w:val="0"/>
      <w:divBdr>
        <w:top w:val="none" w:sz="0" w:space="0" w:color="auto"/>
        <w:left w:val="none" w:sz="0" w:space="0" w:color="auto"/>
        <w:bottom w:val="none" w:sz="0" w:space="0" w:color="auto"/>
        <w:right w:val="none" w:sz="0" w:space="0" w:color="auto"/>
      </w:divBdr>
    </w:div>
    <w:div w:id="495461141">
      <w:bodyDiv w:val="1"/>
      <w:marLeft w:val="0"/>
      <w:marRight w:val="0"/>
      <w:marTop w:val="0"/>
      <w:marBottom w:val="0"/>
      <w:divBdr>
        <w:top w:val="none" w:sz="0" w:space="0" w:color="auto"/>
        <w:left w:val="none" w:sz="0" w:space="0" w:color="auto"/>
        <w:bottom w:val="none" w:sz="0" w:space="0" w:color="auto"/>
        <w:right w:val="none" w:sz="0" w:space="0" w:color="auto"/>
      </w:divBdr>
    </w:div>
    <w:div w:id="495655413">
      <w:bodyDiv w:val="1"/>
      <w:marLeft w:val="0"/>
      <w:marRight w:val="0"/>
      <w:marTop w:val="0"/>
      <w:marBottom w:val="0"/>
      <w:divBdr>
        <w:top w:val="none" w:sz="0" w:space="0" w:color="auto"/>
        <w:left w:val="none" w:sz="0" w:space="0" w:color="auto"/>
        <w:bottom w:val="none" w:sz="0" w:space="0" w:color="auto"/>
        <w:right w:val="none" w:sz="0" w:space="0" w:color="auto"/>
      </w:divBdr>
    </w:div>
    <w:div w:id="495730275">
      <w:bodyDiv w:val="1"/>
      <w:marLeft w:val="0"/>
      <w:marRight w:val="0"/>
      <w:marTop w:val="0"/>
      <w:marBottom w:val="0"/>
      <w:divBdr>
        <w:top w:val="none" w:sz="0" w:space="0" w:color="auto"/>
        <w:left w:val="none" w:sz="0" w:space="0" w:color="auto"/>
        <w:bottom w:val="none" w:sz="0" w:space="0" w:color="auto"/>
        <w:right w:val="none" w:sz="0" w:space="0" w:color="auto"/>
      </w:divBdr>
    </w:div>
    <w:div w:id="495925732">
      <w:bodyDiv w:val="1"/>
      <w:marLeft w:val="0"/>
      <w:marRight w:val="0"/>
      <w:marTop w:val="0"/>
      <w:marBottom w:val="0"/>
      <w:divBdr>
        <w:top w:val="none" w:sz="0" w:space="0" w:color="auto"/>
        <w:left w:val="none" w:sz="0" w:space="0" w:color="auto"/>
        <w:bottom w:val="none" w:sz="0" w:space="0" w:color="auto"/>
        <w:right w:val="none" w:sz="0" w:space="0" w:color="auto"/>
      </w:divBdr>
    </w:div>
    <w:div w:id="496071841">
      <w:bodyDiv w:val="1"/>
      <w:marLeft w:val="0"/>
      <w:marRight w:val="0"/>
      <w:marTop w:val="0"/>
      <w:marBottom w:val="0"/>
      <w:divBdr>
        <w:top w:val="none" w:sz="0" w:space="0" w:color="auto"/>
        <w:left w:val="none" w:sz="0" w:space="0" w:color="auto"/>
        <w:bottom w:val="none" w:sz="0" w:space="0" w:color="auto"/>
        <w:right w:val="none" w:sz="0" w:space="0" w:color="auto"/>
      </w:divBdr>
    </w:div>
    <w:div w:id="496268493">
      <w:bodyDiv w:val="1"/>
      <w:marLeft w:val="0"/>
      <w:marRight w:val="0"/>
      <w:marTop w:val="0"/>
      <w:marBottom w:val="0"/>
      <w:divBdr>
        <w:top w:val="none" w:sz="0" w:space="0" w:color="auto"/>
        <w:left w:val="none" w:sz="0" w:space="0" w:color="auto"/>
        <w:bottom w:val="none" w:sz="0" w:space="0" w:color="auto"/>
        <w:right w:val="none" w:sz="0" w:space="0" w:color="auto"/>
      </w:divBdr>
    </w:div>
    <w:div w:id="496768043">
      <w:bodyDiv w:val="1"/>
      <w:marLeft w:val="0"/>
      <w:marRight w:val="0"/>
      <w:marTop w:val="0"/>
      <w:marBottom w:val="0"/>
      <w:divBdr>
        <w:top w:val="none" w:sz="0" w:space="0" w:color="auto"/>
        <w:left w:val="none" w:sz="0" w:space="0" w:color="auto"/>
        <w:bottom w:val="none" w:sz="0" w:space="0" w:color="auto"/>
        <w:right w:val="none" w:sz="0" w:space="0" w:color="auto"/>
      </w:divBdr>
    </w:div>
    <w:div w:id="496922880">
      <w:bodyDiv w:val="1"/>
      <w:marLeft w:val="0"/>
      <w:marRight w:val="0"/>
      <w:marTop w:val="0"/>
      <w:marBottom w:val="0"/>
      <w:divBdr>
        <w:top w:val="none" w:sz="0" w:space="0" w:color="auto"/>
        <w:left w:val="none" w:sz="0" w:space="0" w:color="auto"/>
        <w:bottom w:val="none" w:sz="0" w:space="0" w:color="auto"/>
        <w:right w:val="none" w:sz="0" w:space="0" w:color="auto"/>
      </w:divBdr>
    </w:div>
    <w:div w:id="497113682">
      <w:bodyDiv w:val="1"/>
      <w:marLeft w:val="0"/>
      <w:marRight w:val="0"/>
      <w:marTop w:val="0"/>
      <w:marBottom w:val="0"/>
      <w:divBdr>
        <w:top w:val="none" w:sz="0" w:space="0" w:color="auto"/>
        <w:left w:val="none" w:sz="0" w:space="0" w:color="auto"/>
        <w:bottom w:val="none" w:sz="0" w:space="0" w:color="auto"/>
        <w:right w:val="none" w:sz="0" w:space="0" w:color="auto"/>
      </w:divBdr>
    </w:div>
    <w:div w:id="497157580">
      <w:bodyDiv w:val="1"/>
      <w:marLeft w:val="0"/>
      <w:marRight w:val="0"/>
      <w:marTop w:val="0"/>
      <w:marBottom w:val="0"/>
      <w:divBdr>
        <w:top w:val="none" w:sz="0" w:space="0" w:color="auto"/>
        <w:left w:val="none" w:sz="0" w:space="0" w:color="auto"/>
        <w:bottom w:val="none" w:sz="0" w:space="0" w:color="auto"/>
        <w:right w:val="none" w:sz="0" w:space="0" w:color="auto"/>
      </w:divBdr>
    </w:div>
    <w:div w:id="497231789">
      <w:bodyDiv w:val="1"/>
      <w:marLeft w:val="0"/>
      <w:marRight w:val="0"/>
      <w:marTop w:val="0"/>
      <w:marBottom w:val="0"/>
      <w:divBdr>
        <w:top w:val="none" w:sz="0" w:space="0" w:color="auto"/>
        <w:left w:val="none" w:sz="0" w:space="0" w:color="auto"/>
        <w:bottom w:val="none" w:sz="0" w:space="0" w:color="auto"/>
        <w:right w:val="none" w:sz="0" w:space="0" w:color="auto"/>
      </w:divBdr>
    </w:div>
    <w:div w:id="497427462">
      <w:bodyDiv w:val="1"/>
      <w:marLeft w:val="0"/>
      <w:marRight w:val="0"/>
      <w:marTop w:val="0"/>
      <w:marBottom w:val="0"/>
      <w:divBdr>
        <w:top w:val="none" w:sz="0" w:space="0" w:color="auto"/>
        <w:left w:val="none" w:sz="0" w:space="0" w:color="auto"/>
        <w:bottom w:val="none" w:sz="0" w:space="0" w:color="auto"/>
        <w:right w:val="none" w:sz="0" w:space="0" w:color="auto"/>
      </w:divBdr>
    </w:div>
    <w:div w:id="498083108">
      <w:bodyDiv w:val="1"/>
      <w:marLeft w:val="0"/>
      <w:marRight w:val="0"/>
      <w:marTop w:val="0"/>
      <w:marBottom w:val="0"/>
      <w:divBdr>
        <w:top w:val="none" w:sz="0" w:space="0" w:color="auto"/>
        <w:left w:val="none" w:sz="0" w:space="0" w:color="auto"/>
        <w:bottom w:val="none" w:sz="0" w:space="0" w:color="auto"/>
        <w:right w:val="none" w:sz="0" w:space="0" w:color="auto"/>
      </w:divBdr>
    </w:div>
    <w:div w:id="498279771">
      <w:bodyDiv w:val="1"/>
      <w:marLeft w:val="0"/>
      <w:marRight w:val="0"/>
      <w:marTop w:val="0"/>
      <w:marBottom w:val="0"/>
      <w:divBdr>
        <w:top w:val="none" w:sz="0" w:space="0" w:color="auto"/>
        <w:left w:val="none" w:sz="0" w:space="0" w:color="auto"/>
        <w:bottom w:val="none" w:sz="0" w:space="0" w:color="auto"/>
        <w:right w:val="none" w:sz="0" w:space="0" w:color="auto"/>
      </w:divBdr>
    </w:div>
    <w:div w:id="498425219">
      <w:bodyDiv w:val="1"/>
      <w:marLeft w:val="0"/>
      <w:marRight w:val="0"/>
      <w:marTop w:val="0"/>
      <w:marBottom w:val="0"/>
      <w:divBdr>
        <w:top w:val="none" w:sz="0" w:space="0" w:color="auto"/>
        <w:left w:val="none" w:sz="0" w:space="0" w:color="auto"/>
        <w:bottom w:val="none" w:sz="0" w:space="0" w:color="auto"/>
        <w:right w:val="none" w:sz="0" w:space="0" w:color="auto"/>
      </w:divBdr>
    </w:div>
    <w:div w:id="499003318">
      <w:bodyDiv w:val="1"/>
      <w:marLeft w:val="0"/>
      <w:marRight w:val="0"/>
      <w:marTop w:val="0"/>
      <w:marBottom w:val="0"/>
      <w:divBdr>
        <w:top w:val="none" w:sz="0" w:space="0" w:color="auto"/>
        <w:left w:val="none" w:sz="0" w:space="0" w:color="auto"/>
        <w:bottom w:val="none" w:sz="0" w:space="0" w:color="auto"/>
        <w:right w:val="none" w:sz="0" w:space="0" w:color="auto"/>
      </w:divBdr>
    </w:div>
    <w:div w:id="499467235">
      <w:bodyDiv w:val="1"/>
      <w:marLeft w:val="0"/>
      <w:marRight w:val="0"/>
      <w:marTop w:val="0"/>
      <w:marBottom w:val="0"/>
      <w:divBdr>
        <w:top w:val="none" w:sz="0" w:space="0" w:color="auto"/>
        <w:left w:val="none" w:sz="0" w:space="0" w:color="auto"/>
        <w:bottom w:val="none" w:sz="0" w:space="0" w:color="auto"/>
        <w:right w:val="none" w:sz="0" w:space="0" w:color="auto"/>
      </w:divBdr>
    </w:div>
    <w:div w:id="499737709">
      <w:bodyDiv w:val="1"/>
      <w:marLeft w:val="0"/>
      <w:marRight w:val="0"/>
      <w:marTop w:val="0"/>
      <w:marBottom w:val="0"/>
      <w:divBdr>
        <w:top w:val="none" w:sz="0" w:space="0" w:color="auto"/>
        <w:left w:val="none" w:sz="0" w:space="0" w:color="auto"/>
        <w:bottom w:val="none" w:sz="0" w:space="0" w:color="auto"/>
        <w:right w:val="none" w:sz="0" w:space="0" w:color="auto"/>
      </w:divBdr>
    </w:div>
    <w:div w:id="500050721">
      <w:bodyDiv w:val="1"/>
      <w:marLeft w:val="0"/>
      <w:marRight w:val="0"/>
      <w:marTop w:val="0"/>
      <w:marBottom w:val="0"/>
      <w:divBdr>
        <w:top w:val="none" w:sz="0" w:space="0" w:color="auto"/>
        <w:left w:val="none" w:sz="0" w:space="0" w:color="auto"/>
        <w:bottom w:val="none" w:sz="0" w:space="0" w:color="auto"/>
        <w:right w:val="none" w:sz="0" w:space="0" w:color="auto"/>
      </w:divBdr>
    </w:div>
    <w:div w:id="500194779">
      <w:bodyDiv w:val="1"/>
      <w:marLeft w:val="0"/>
      <w:marRight w:val="0"/>
      <w:marTop w:val="0"/>
      <w:marBottom w:val="0"/>
      <w:divBdr>
        <w:top w:val="none" w:sz="0" w:space="0" w:color="auto"/>
        <w:left w:val="none" w:sz="0" w:space="0" w:color="auto"/>
        <w:bottom w:val="none" w:sz="0" w:space="0" w:color="auto"/>
        <w:right w:val="none" w:sz="0" w:space="0" w:color="auto"/>
      </w:divBdr>
    </w:div>
    <w:div w:id="500244113">
      <w:bodyDiv w:val="1"/>
      <w:marLeft w:val="0"/>
      <w:marRight w:val="0"/>
      <w:marTop w:val="0"/>
      <w:marBottom w:val="0"/>
      <w:divBdr>
        <w:top w:val="none" w:sz="0" w:space="0" w:color="auto"/>
        <w:left w:val="none" w:sz="0" w:space="0" w:color="auto"/>
        <w:bottom w:val="none" w:sz="0" w:space="0" w:color="auto"/>
        <w:right w:val="none" w:sz="0" w:space="0" w:color="auto"/>
      </w:divBdr>
    </w:div>
    <w:div w:id="500437000">
      <w:bodyDiv w:val="1"/>
      <w:marLeft w:val="0"/>
      <w:marRight w:val="0"/>
      <w:marTop w:val="0"/>
      <w:marBottom w:val="0"/>
      <w:divBdr>
        <w:top w:val="none" w:sz="0" w:space="0" w:color="auto"/>
        <w:left w:val="none" w:sz="0" w:space="0" w:color="auto"/>
        <w:bottom w:val="none" w:sz="0" w:space="0" w:color="auto"/>
        <w:right w:val="none" w:sz="0" w:space="0" w:color="auto"/>
      </w:divBdr>
    </w:div>
    <w:div w:id="500584257">
      <w:bodyDiv w:val="1"/>
      <w:marLeft w:val="0"/>
      <w:marRight w:val="0"/>
      <w:marTop w:val="0"/>
      <w:marBottom w:val="0"/>
      <w:divBdr>
        <w:top w:val="none" w:sz="0" w:space="0" w:color="auto"/>
        <w:left w:val="none" w:sz="0" w:space="0" w:color="auto"/>
        <w:bottom w:val="none" w:sz="0" w:space="0" w:color="auto"/>
        <w:right w:val="none" w:sz="0" w:space="0" w:color="auto"/>
      </w:divBdr>
    </w:div>
    <w:div w:id="500857677">
      <w:bodyDiv w:val="1"/>
      <w:marLeft w:val="0"/>
      <w:marRight w:val="0"/>
      <w:marTop w:val="0"/>
      <w:marBottom w:val="0"/>
      <w:divBdr>
        <w:top w:val="none" w:sz="0" w:space="0" w:color="auto"/>
        <w:left w:val="none" w:sz="0" w:space="0" w:color="auto"/>
        <w:bottom w:val="none" w:sz="0" w:space="0" w:color="auto"/>
        <w:right w:val="none" w:sz="0" w:space="0" w:color="auto"/>
      </w:divBdr>
    </w:div>
    <w:div w:id="501089918">
      <w:bodyDiv w:val="1"/>
      <w:marLeft w:val="0"/>
      <w:marRight w:val="0"/>
      <w:marTop w:val="0"/>
      <w:marBottom w:val="0"/>
      <w:divBdr>
        <w:top w:val="none" w:sz="0" w:space="0" w:color="auto"/>
        <w:left w:val="none" w:sz="0" w:space="0" w:color="auto"/>
        <w:bottom w:val="none" w:sz="0" w:space="0" w:color="auto"/>
        <w:right w:val="none" w:sz="0" w:space="0" w:color="auto"/>
      </w:divBdr>
    </w:div>
    <w:div w:id="501429687">
      <w:bodyDiv w:val="1"/>
      <w:marLeft w:val="0"/>
      <w:marRight w:val="0"/>
      <w:marTop w:val="0"/>
      <w:marBottom w:val="0"/>
      <w:divBdr>
        <w:top w:val="none" w:sz="0" w:space="0" w:color="auto"/>
        <w:left w:val="none" w:sz="0" w:space="0" w:color="auto"/>
        <w:bottom w:val="none" w:sz="0" w:space="0" w:color="auto"/>
        <w:right w:val="none" w:sz="0" w:space="0" w:color="auto"/>
      </w:divBdr>
    </w:div>
    <w:div w:id="501820549">
      <w:bodyDiv w:val="1"/>
      <w:marLeft w:val="0"/>
      <w:marRight w:val="0"/>
      <w:marTop w:val="0"/>
      <w:marBottom w:val="0"/>
      <w:divBdr>
        <w:top w:val="none" w:sz="0" w:space="0" w:color="auto"/>
        <w:left w:val="none" w:sz="0" w:space="0" w:color="auto"/>
        <w:bottom w:val="none" w:sz="0" w:space="0" w:color="auto"/>
        <w:right w:val="none" w:sz="0" w:space="0" w:color="auto"/>
      </w:divBdr>
    </w:div>
    <w:div w:id="501822741">
      <w:bodyDiv w:val="1"/>
      <w:marLeft w:val="0"/>
      <w:marRight w:val="0"/>
      <w:marTop w:val="0"/>
      <w:marBottom w:val="0"/>
      <w:divBdr>
        <w:top w:val="none" w:sz="0" w:space="0" w:color="auto"/>
        <w:left w:val="none" w:sz="0" w:space="0" w:color="auto"/>
        <w:bottom w:val="none" w:sz="0" w:space="0" w:color="auto"/>
        <w:right w:val="none" w:sz="0" w:space="0" w:color="auto"/>
      </w:divBdr>
    </w:div>
    <w:div w:id="502208432">
      <w:bodyDiv w:val="1"/>
      <w:marLeft w:val="0"/>
      <w:marRight w:val="0"/>
      <w:marTop w:val="0"/>
      <w:marBottom w:val="0"/>
      <w:divBdr>
        <w:top w:val="none" w:sz="0" w:space="0" w:color="auto"/>
        <w:left w:val="none" w:sz="0" w:space="0" w:color="auto"/>
        <w:bottom w:val="none" w:sz="0" w:space="0" w:color="auto"/>
        <w:right w:val="none" w:sz="0" w:space="0" w:color="auto"/>
      </w:divBdr>
    </w:div>
    <w:div w:id="502476833">
      <w:bodyDiv w:val="1"/>
      <w:marLeft w:val="0"/>
      <w:marRight w:val="0"/>
      <w:marTop w:val="0"/>
      <w:marBottom w:val="0"/>
      <w:divBdr>
        <w:top w:val="none" w:sz="0" w:space="0" w:color="auto"/>
        <w:left w:val="none" w:sz="0" w:space="0" w:color="auto"/>
        <w:bottom w:val="none" w:sz="0" w:space="0" w:color="auto"/>
        <w:right w:val="none" w:sz="0" w:space="0" w:color="auto"/>
      </w:divBdr>
    </w:div>
    <w:div w:id="502477259">
      <w:bodyDiv w:val="1"/>
      <w:marLeft w:val="0"/>
      <w:marRight w:val="0"/>
      <w:marTop w:val="0"/>
      <w:marBottom w:val="0"/>
      <w:divBdr>
        <w:top w:val="none" w:sz="0" w:space="0" w:color="auto"/>
        <w:left w:val="none" w:sz="0" w:space="0" w:color="auto"/>
        <w:bottom w:val="none" w:sz="0" w:space="0" w:color="auto"/>
        <w:right w:val="none" w:sz="0" w:space="0" w:color="auto"/>
      </w:divBdr>
    </w:div>
    <w:div w:id="502622403">
      <w:bodyDiv w:val="1"/>
      <w:marLeft w:val="0"/>
      <w:marRight w:val="0"/>
      <w:marTop w:val="0"/>
      <w:marBottom w:val="0"/>
      <w:divBdr>
        <w:top w:val="none" w:sz="0" w:space="0" w:color="auto"/>
        <w:left w:val="none" w:sz="0" w:space="0" w:color="auto"/>
        <w:bottom w:val="none" w:sz="0" w:space="0" w:color="auto"/>
        <w:right w:val="none" w:sz="0" w:space="0" w:color="auto"/>
      </w:divBdr>
    </w:div>
    <w:div w:id="502740237">
      <w:bodyDiv w:val="1"/>
      <w:marLeft w:val="0"/>
      <w:marRight w:val="0"/>
      <w:marTop w:val="0"/>
      <w:marBottom w:val="0"/>
      <w:divBdr>
        <w:top w:val="none" w:sz="0" w:space="0" w:color="auto"/>
        <w:left w:val="none" w:sz="0" w:space="0" w:color="auto"/>
        <w:bottom w:val="none" w:sz="0" w:space="0" w:color="auto"/>
        <w:right w:val="none" w:sz="0" w:space="0" w:color="auto"/>
      </w:divBdr>
    </w:div>
    <w:div w:id="503397677">
      <w:bodyDiv w:val="1"/>
      <w:marLeft w:val="0"/>
      <w:marRight w:val="0"/>
      <w:marTop w:val="0"/>
      <w:marBottom w:val="0"/>
      <w:divBdr>
        <w:top w:val="none" w:sz="0" w:space="0" w:color="auto"/>
        <w:left w:val="none" w:sz="0" w:space="0" w:color="auto"/>
        <w:bottom w:val="none" w:sz="0" w:space="0" w:color="auto"/>
        <w:right w:val="none" w:sz="0" w:space="0" w:color="auto"/>
      </w:divBdr>
    </w:div>
    <w:div w:id="503471510">
      <w:bodyDiv w:val="1"/>
      <w:marLeft w:val="0"/>
      <w:marRight w:val="0"/>
      <w:marTop w:val="0"/>
      <w:marBottom w:val="0"/>
      <w:divBdr>
        <w:top w:val="none" w:sz="0" w:space="0" w:color="auto"/>
        <w:left w:val="none" w:sz="0" w:space="0" w:color="auto"/>
        <w:bottom w:val="none" w:sz="0" w:space="0" w:color="auto"/>
        <w:right w:val="none" w:sz="0" w:space="0" w:color="auto"/>
      </w:divBdr>
    </w:div>
    <w:div w:id="503587783">
      <w:bodyDiv w:val="1"/>
      <w:marLeft w:val="0"/>
      <w:marRight w:val="0"/>
      <w:marTop w:val="0"/>
      <w:marBottom w:val="0"/>
      <w:divBdr>
        <w:top w:val="none" w:sz="0" w:space="0" w:color="auto"/>
        <w:left w:val="none" w:sz="0" w:space="0" w:color="auto"/>
        <w:bottom w:val="none" w:sz="0" w:space="0" w:color="auto"/>
        <w:right w:val="none" w:sz="0" w:space="0" w:color="auto"/>
      </w:divBdr>
    </w:div>
    <w:div w:id="503592821">
      <w:bodyDiv w:val="1"/>
      <w:marLeft w:val="0"/>
      <w:marRight w:val="0"/>
      <w:marTop w:val="0"/>
      <w:marBottom w:val="0"/>
      <w:divBdr>
        <w:top w:val="none" w:sz="0" w:space="0" w:color="auto"/>
        <w:left w:val="none" w:sz="0" w:space="0" w:color="auto"/>
        <w:bottom w:val="none" w:sz="0" w:space="0" w:color="auto"/>
        <w:right w:val="none" w:sz="0" w:space="0" w:color="auto"/>
      </w:divBdr>
    </w:div>
    <w:div w:id="503738615">
      <w:bodyDiv w:val="1"/>
      <w:marLeft w:val="0"/>
      <w:marRight w:val="0"/>
      <w:marTop w:val="0"/>
      <w:marBottom w:val="0"/>
      <w:divBdr>
        <w:top w:val="none" w:sz="0" w:space="0" w:color="auto"/>
        <w:left w:val="none" w:sz="0" w:space="0" w:color="auto"/>
        <w:bottom w:val="none" w:sz="0" w:space="0" w:color="auto"/>
        <w:right w:val="none" w:sz="0" w:space="0" w:color="auto"/>
      </w:divBdr>
    </w:div>
    <w:div w:id="503740149">
      <w:bodyDiv w:val="1"/>
      <w:marLeft w:val="0"/>
      <w:marRight w:val="0"/>
      <w:marTop w:val="0"/>
      <w:marBottom w:val="0"/>
      <w:divBdr>
        <w:top w:val="none" w:sz="0" w:space="0" w:color="auto"/>
        <w:left w:val="none" w:sz="0" w:space="0" w:color="auto"/>
        <w:bottom w:val="none" w:sz="0" w:space="0" w:color="auto"/>
        <w:right w:val="none" w:sz="0" w:space="0" w:color="auto"/>
      </w:divBdr>
    </w:div>
    <w:div w:id="503979987">
      <w:bodyDiv w:val="1"/>
      <w:marLeft w:val="0"/>
      <w:marRight w:val="0"/>
      <w:marTop w:val="0"/>
      <w:marBottom w:val="0"/>
      <w:divBdr>
        <w:top w:val="none" w:sz="0" w:space="0" w:color="auto"/>
        <w:left w:val="none" w:sz="0" w:space="0" w:color="auto"/>
        <w:bottom w:val="none" w:sz="0" w:space="0" w:color="auto"/>
        <w:right w:val="none" w:sz="0" w:space="0" w:color="auto"/>
      </w:divBdr>
    </w:div>
    <w:div w:id="504053493">
      <w:bodyDiv w:val="1"/>
      <w:marLeft w:val="0"/>
      <w:marRight w:val="0"/>
      <w:marTop w:val="0"/>
      <w:marBottom w:val="0"/>
      <w:divBdr>
        <w:top w:val="none" w:sz="0" w:space="0" w:color="auto"/>
        <w:left w:val="none" w:sz="0" w:space="0" w:color="auto"/>
        <w:bottom w:val="none" w:sz="0" w:space="0" w:color="auto"/>
        <w:right w:val="none" w:sz="0" w:space="0" w:color="auto"/>
      </w:divBdr>
    </w:div>
    <w:div w:id="504057915">
      <w:bodyDiv w:val="1"/>
      <w:marLeft w:val="0"/>
      <w:marRight w:val="0"/>
      <w:marTop w:val="0"/>
      <w:marBottom w:val="0"/>
      <w:divBdr>
        <w:top w:val="none" w:sz="0" w:space="0" w:color="auto"/>
        <w:left w:val="none" w:sz="0" w:space="0" w:color="auto"/>
        <w:bottom w:val="none" w:sz="0" w:space="0" w:color="auto"/>
        <w:right w:val="none" w:sz="0" w:space="0" w:color="auto"/>
      </w:divBdr>
    </w:div>
    <w:div w:id="504131290">
      <w:bodyDiv w:val="1"/>
      <w:marLeft w:val="0"/>
      <w:marRight w:val="0"/>
      <w:marTop w:val="0"/>
      <w:marBottom w:val="0"/>
      <w:divBdr>
        <w:top w:val="none" w:sz="0" w:space="0" w:color="auto"/>
        <w:left w:val="none" w:sz="0" w:space="0" w:color="auto"/>
        <w:bottom w:val="none" w:sz="0" w:space="0" w:color="auto"/>
        <w:right w:val="none" w:sz="0" w:space="0" w:color="auto"/>
      </w:divBdr>
    </w:div>
    <w:div w:id="504395273">
      <w:bodyDiv w:val="1"/>
      <w:marLeft w:val="0"/>
      <w:marRight w:val="0"/>
      <w:marTop w:val="0"/>
      <w:marBottom w:val="0"/>
      <w:divBdr>
        <w:top w:val="none" w:sz="0" w:space="0" w:color="auto"/>
        <w:left w:val="none" w:sz="0" w:space="0" w:color="auto"/>
        <w:bottom w:val="none" w:sz="0" w:space="0" w:color="auto"/>
        <w:right w:val="none" w:sz="0" w:space="0" w:color="auto"/>
      </w:divBdr>
    </w:div>
    <w:div w:id="504711293">
      <w:bodyDiv w:val="1"/>
      <w:marLeft w:val="0"/>
      <w:marRight w:val="0"/>
      <w:marTop w:val="0"/>
      <w:marBottom w:val="0"/>
      <w:divBdr>
        <w:top w:val="none" w:sz="0" w:space="0" w:color="auto"/>
        <w:left w:val="none" w:sz="0" w:space="0" w:color="auto"/>
        <w:bottom w:val="none" w:sz="0" w:space="0" w:color="auto"/>
        <w:right w:val="none" w:sz="0" w:space="0" w:color="auto"/>
      </w:divBdr>
    </w:div>
    <w:div w:id="504975452">
      <w:bodyDiv w:val="1"/>
      <w:marLeft w:val="0"/>
      <w:marRight w:val="0"/>
      <w:marTop w:val="0"/>
      <w:marBottom w:val="0"/>
      <w:divBdr>
        <w:top w:val="none" w:sz="0" w:space="0" w:color="auto"/>
        <w:left w:val="none" w:sz="0" w:space="0" w:color="auto"/>
        <w:bottom w:val="none" w:sz="0" w:space="0" w:color="auto"/>
        <w:right w:val="none" w:sz="0" w:space="0" w:color="auto"/>
      </w:divBdr>
    </w:div>
    <w:div w:id="505094499">
      <w:bodyDiv w:val="1"/>
      <w:marLeft w:val="0"/>
      <w:marRight w:val="0"/>
      <w:marTop w:val="0"/>
      <w:marBottom w:val="0"/>
      <w:divBdr>
        <w:top w:val="none" w:sz="0" w:space="0" w:color="auto"/>
        <w:left w:val="none" w:sz="0" w:space="0" w:color="auto"/>
        <w:bottom w:val="none" w:sz="0" w:space="0" w:color="auto"/>
        <w:right w:val="none" w:sz="0" w:space="0" w:color="auto"/>
      </w:divBdr>
    </w:div>
    <w:div w:id="505242626">
      <w:bodyDiv w:val="1"/>
      <w:marLeft w:val="0"/>
      <w:marRight w:val="0"/>
      <w:marTop w:val="0"/>
      <w:marBottom w:val="0"/>
      <w:divBdr>
        <w:top w:val="none" w:sz="0" w:space="0" w:color="auto"/>
        <w:left w:val="none" w:sz="0" w:space="0" w:color="auto"/>
        <w:bottom w:val="none" w:sz="0" w:space="0" w:color="auto"/>
        <w:right w:val="none" w:sz="0" w:space="0" w:color="auto"/>
      </w:divBdr>
    </w:div>
    <w:div w:id="505484509">
      <w:bodyDiv w:val="1"/>
      <w:marLeft w:val="0"/>
      <w:marRight w:val="0"/>
      <w:marTop w:val="0"/>
      <w:marBottom w:val="0"/>
      <w:divBdr>
        <w:top w:val="none" w:sz="0" w:space="0" w:color="auto"/>
        <w:left w:val="none" w:sz="0" w:space="0" w:color="auto"/>
        <w:bottom w:val="none" w:sz="0" w:space="0" w:color="auto"/>
        <w:right w:val="none" w:sz="0" w:space="0" w:color="auto"/>
      </w:divBdr>
    </w:div>
    <w:div w:id="505630621">
      <w:bodyDiv w:val="1"/>
      <w:marLeft w:val="0"/>
      <w:marRight w:val="0"/>
      <w:marTop w:val="0"/>
      <w:marBottom w:val="0"/>
      <w:divBdr>
        <w:top w:val="none" w:sz="0" w:space="0" w:color="auto"/>
        <w:left w:val="none" w:sz="0" w:space="0" w:color="auto"/>
        <w:bottom w:val="none" w:sz="0" w:space="0" w:color="auto"/>
        <w:right w:val="none" w:sz="0" w:space="0" w:color="auto"/>
      </w:divBdr>
    </w:div>
    <w:div w:id="505754264">
      <w:bodyDiv w:val="1"/>
      <w:marLeft w:val="0"/>
      <w:marRight w:val="0"/>
      <w:marTop w:val="0"/>
      <w:marBottom w:val="0"/>
      <w:divBdr>
        <w:top w:val="none" w:sz="0" w:space="0" w:color="auto"/>
        <w:left w:val="none" w:sz="0" w:space="0" w:color="auto"/>
        <w:bottom w:val="none" w:sz="0" w:space="0" w:color="auto"/>
        <w:right w:val="none" w:sz="0" w:space="0" w:color="auto"/>
      </w:divBdr>
    </w:div>
    <w:div w:id="506094285">
      <w:bodyDiv w:val="1"/>
      <w:marLeft w:val="0"/>
      <w:marRight w:val="0"/>
      <w:marTop w:val="0"/>
      <w:marBottom w:val="0"/>
      <w:divBdr>
        <w:top w:val="none" w:sz="0" w:space="0" w:color="auto"/>
        <w:left w:val="none" w:sz="0" w:space="0" w:color="auto"/>
        <w:bottom w:val="none" w:sz="0" w:space="0" w:color="auto"/>
        <w:right w:val="none" w:sz="0" w:space="0" w:color="auto"/>
      </w:divBdr>
    </w:div>
    <w:div w:id="506138053">
      <w:bodyDiv w:val="1"/>
      <w:marLeft w:val="0"/>
      <w:marRight w:val="0"/>
      <w:marTop w:val="0"/>
      <w:marBottom w:val="0"/>
      <w:divBdr>
        <w:top w:val="none" w:sz="0" w:space="0" w:color="auto"/>
        <w:left w:val="none" w:sz="0" w:space="0" w:color="auto"/>
        <w:bottom w:val="none" w:sz="0" w:space="0" w:color="auto"/>
        <w:right w:val="none" w:sz="0" w:space="0" w:color="auto"/>
      </w:divBdr>
    </w:div>
    <w:div w:id="506284621">
      <w:bodyDiv w:val="1"/>
      <w:marLeft w:val="0"/>
      <w:marRight w:val="0"/>
      <w:marTop w:val="0"/>
      <w:marBottom w:val="0"/>
      <w:divBdr>
        <w:top w:val="none" w:sz="0" w:space="0" w:color="auto"/>
        <w:left w:val="none" w:sz="0" w:space="0" w:color="auto"/>
        <w:bottom w:val="none" w:sz="0" w:space="0" w:color="auto"/>
        <w:right w:val="none" w:sz="0" w:space="0" w:color="auto"/>
      </w:divBdr>
    </w:div>
    <w:div w:id="506411459">
      <w:bodyDiv w:val="1"/>
      <w:marLeft w:val="0"/>
      <w:marRight w:val="0"/>
      <w:marTop w:val="0"/>
      <w:marBottom w:val="0"/>
      <w:divBdr>
        <w:top w:val="none" w:sz="0" w:space="0" w:color="auto"/>
        <w:left w:val="none" w:sz="0" w:space="0" w:color="auto"/>
        <w:bottom w:val="none" w:sz="0" w:space="0" w:color="auto"/>
        <w:right w:val="none" w:sz="0" w:space="0" w:color="auto"/>
      </w:divBdr>
    </w:div>
    <w:div w:id="506752305">
      <w:bodyDiv w:val="1"/>
      <w:marLeft w:val="0"/>
      <w:marRight w:val="0"/>
      <w:marTop w:val="0"/>
      <w:marBottom w:val="0"/>
      <w:divBdr>
        <w:top w:val="none" w:sz="0" w:space="0" w:color="auto"/>
        <w:left w:val="none" w:sz="0" w:space="0" w:color="auto"/>
        <w:bottom w:val="none" w:sz="0" w:space="0" w:color="auto"/>
        <w:right w:val="none" w:sz="0" w:space="0" w:color="auto"/>
      </w:divBdr>
    </w:div>
    <w:div w:id="506793917">
      <w:bodyDiv w:val="1"/>
      <w:marLeft w:val="0"/>
      <w:marRight w:val="0"/>
      <w:marTop w:val="0"/>
      <w:marBottom w:val="0"/>
      <w:divBdr>
        <w:top w:val="none" w:sz="0" w:space="0" w:color="auto"/>
        <w:left w:val="none" w:sz="0" w:space="0" w:color="auto"/>
        <w:bottom w:val="none" w:sz="0" w:space="0" w:color="auto"/>
        <w:right w:val="none" w:sz="0" w:space="0" w:color="auto"/>
      </w:divBdr>
    </w:div>
    <w:div w:id="507326749">
      <w:bodyDiv w:val="1"/>
      <w:marLeft w:val="0"/>
      <w:marRight w:val="0"/>
      <w:marTop w:val="0"/>
      <w:marBottom w:val="0"/>
      <w:divBdr>
        <w:top w:val="none" w:sz="0" w:space="0" w:color="auto"/>
        <w:left w:val="none" w:sz="0" w:space="0" w:color="auto"/>
        <w:bottom w:val="none" w:sz="0" w:space="0" w:color="auto"/>
        <w:right w:val="none" w:sz="0" w:space="0" w:color="auto"/>
      </w:divBdr>
    </w:div>
    <w:div w:id="508184141">
      <w:bodyDiv w:val="1"/>
      <w:marLeft w:val="0"/>
      <w:marRight w:val="0"/>
      <w:marTop w:val="0"/>
      <w:marBottom w:val="0"/>
      <w:divBdr>
        <w:top w:val="none" w:sz="0" w:space="0" w:color="auto"/>
        <w:left w:val="none" w:sz="0" w:space="0" w:color="auto"/>
        <w:bottom w:val="none" w:sz="0" w:space="0" w:color="auto"/>
        <w:right w:val="none" w:sz="0" w:space="0" w:color="auto"/>
      </w:divBdr>
    </w:div>
    <w:div w:id="508252341">
      <w:bodyDiv w:val="1"/>
      <w:marLeft w:val="0"/>
      <w:marRight w:val="0"/>
      <w:marTop w:val="0"/>
      <w:marBottom w:val="0"/>
      <w:divBdr>
        <w:top w:val="none" w:sz="0" w:space="0" w:color="auto"/>
        <w:left w:val="none" w:sz="0" w:space="0" w:color="auto"/>
        <w:bottom w:val="none" w:sz="0" w:space="0" w:color="auto"/>
        <w:right w:val="none" w:sz="0" w:space="0" w:color="auto"/>
      </w:divBdr>
    </w:div>
    <w:div w:id="508377612">
      <w:bodyDiv w:val="1"/>
      <w:marLeft w:val="0"/>
      <w:marRight w:val="0"/>
      <w:marTop w:val="0"/>
      <w:marBottom w:val="0"/>
      <w:divBdr>
        <w:top w:val="none" w:sz="0" w:space="0" w:color="auto"/>
        <w:left w:val="none" w:sz="0" w:space="0" w:color="auto"/>
        <w:bottom w:val="none" w:sz="0" w:space="0" w:color="auto"/>
        <w:right w:val="none" w:sz="0" w:space="0" w:color="auto"/>
      </w:divBdr>
    </w:div>
    <w:div w:id="508563665">
      <w:bodyDiv w:val="1"/>
      <w:marLeft w:val="0"/>
      <w:marRight w:val="0"/>
      <w:marTop w:val="0"/>
      <w:marBottom w:val="0"/>
      <w:divBdr>
        <w:top w:val="none" w:sz="0" w:space="0" w:color="auto"/>
        <w:left w:val="none" w:sz="0" w:space="0" w:color="auto"/>
        <w:bottom w:val="none" w:sz="0" w:space="0" w:color="auto"/>
        <w:right w:val="none" w:sz="0" w:space="0" w:color="auto"/>
      </w:divBdr>
    </w:div>
    <w:div w:id="508762185">
      <w:bodyDiv w:val="1"/>
      <w:marLeft w:val="0"/>
      <w:marRight w:val="0"/>
      <w:marTop w:val="0"/>
      <w:marBottom w:val="0"/>
      <w:divBdr>
        <w:top w:val="none" w:sz="0" w:space="0" w:color="auto"/>
        <w:left w:val="none" w:sz="0" w:space="0" w:color="auto"/>
        <w:bottom w:val="none" w:sz="0" w:space="0" w:color="auto"/>
        <w:right w:val="none" w:sz="0" w:space="0" w:color="auto"/>
      </w:divBdr>
    </w:div>
    <w:div w:id="508985161">
      <w:bodyDiv w:val="1"/>
      <w:marLeft w:val="0"/>
      <w:marRight w:val="0"/>
      <w:marTop w:val="0"/>
      <w:marBottom w:val="0"/>
      <w:divBdr>
        <w:top w:val="none" w:sz="0" w:space="0" w:color="auto"/>
        <w:left w:val="none" w:sz="0" w:space="0" w:color="auto"/>
        <w:bottom w:val="none" w:sz="0" w:space="0" w:color="auto"/>
        <w:right w:val="none" w:sz="0" w:space="0" w:color="auto"/>
      </w:divBdr>
    </w:div>
    <w:div w:id="509032167">
      <w:bodyDiv w:val="1"/>
      <w:marLeft w:val="0"/>
      <w:marRight w:val="0"/>
      <w:marTop w:val="0"/>
      <w:marBottom w:val="0"/>
      <w:divBdr>
        <w:top w:val="none" w:sz="0" w:space="0" w:color="auto"/>
        <w:left w:val="none" w:sz="0" w:space="0" w:color="auto"/>
        <w:bottom w:val="none" w:sz="0" w:space="0" w:color="auto"/>
        <w:right w:val="none" w:sz="0" w:space="0" w:color="auto"/>
      </w:divBdr>
    </w:div>
    <w:div w:id="509106730">
      <w:bodyDiv w:val="1"/>
      <w:marLeft w:val="0"/>
      <w:marRight w:val="0"/>
      <w:marTop w:val="0"/>
      <w:marBottom w:val="0"/>
      <w:divBdr>
        <w:top w:val="none" w:sz="0" w:space="0" w:color="auto"/>
        <w:left w:val="none" w:sz="0" w:space="0" w:color="auto"/>
        <w:bottom w:val="none" w:sz="0" w:space="0" w:color="auto"/>
        <w:right w:val="none" w:sz="0" w:space="0" w:color="auto"/>
      </w:divBdr>
    </w:div>
    <w:div w:id="509177666">
      <w:bodyDiv w:val="1"/>
      <w:marLeft w:val="0"/>
      <w:marRight w:val="0"/>
      <w:marTop w:val="0"/>
      <w:marBottom w:val="0"/>
      <w:divBdr>
        <w:top w:val="none" w:sz="0" w:space="0" w:color="auto"/>
        <w:left w:val="none" w:sz="0" w:space="0" w:color="auto"/>
        <w:bottom w:val="none" w:sz="0" w:space="0" w:color="auto"/>
        <w:right w:val="none" w:sz="0" w:space="0" w:color="auto"/>
      </w:divBdr>
    </w:div>
    <w:div w:id="509179824">
      <w:bodyDiv w:val="1"/>
      <w:marLeft w:val="0"/>
      <w:marRight w:val="0"/>
      <w:marTop w:val="0"/>
      <w:marBottom w:val="0"/>
      <w:divBdr>
        <w:top w:val="none" w:sz="0" w:space="0" w:color="auto"/>
        <w:left w:val="none" w:sz="0" w:space="0" w:color="auto"/>
        <w:bottom w:val="none" w:sz="0" w:space="0" w:color="auto"/>
        <w:right w:val="none" w:sz="0" w:space="0" w:color="auto"/>
      </w:divBdr>
    </w:div>
    <w:div w:id="509295914">
      <w:bodyDiv w:val="1"/>
      <w:marLeft w:val="0"/>
      <w:marRight w:val="0"/>
      <w:marTop w:val="0"/>
      <w:marBottom w:val="0"/>
      <w:divBdr>
        <w:top w:val="none" w:sz="0" w:space="0" w:color="auto"/>
        <w:left w:val="none" w:sz="0" w:space="0" w:color="auto"/>
        <w:bottom w:val="none" w:sz="0" w:space="0" w:color="auto"/>
        <w:right w:val="none" w:sz="0" w:space="0" w:color="auto"/>
      </w:divBdr>
    </w:div>
    <w:div w:id="509638860">
      <w:bodyDiv w:val="1"/>
      <w:marLeft w:val="0"/>
      <w:marRight w:val="0"/>
      <w:marTop w:val="0"/>
      <w:marBottom w:val="0"/>
      <w:divBdr>
        <w:top w:val="none" w:sz="0" w:space="0" w:color="auto"/>
        <w:left w:val="none" w:sz="0" w:space="0" w:color="auto"/>
        <w:bottom w:val="none" w:sz="0" w:space="0" w:color="auto"/>
        <w:right w:val="none" w:sz="0" w:space="0" w:color="auto"/>
      </w:divBdr>
    </w:div>
    <w:div w:id="509947625">
      <w:bodyDiv w:val="1"/>
      <w:marLeft w:val="0"/>
      <w:marRight w:val="0"/>
      <w:marTop w:val="0"/>
      <w:marBottom w:val="0"/>
      <w:divBdr>
        <w:top w:val="none" w:sz="0" w:space="0" w:color="auto"/>
        <w:left w:val="none" w:sz="0" w:space="0" w:color="auto"/>
        <w:bottom w:val="none" w:sz="0" w:space="0" w:color="auto"/>
        <w:right w:val="none" w:sz="0" w:space="0" w:color="auto"/>
      </w:divBdr>
    </w:div>
    <w:div w:id="510072597">
      <w:bodyDiv w:val="1"/>
      <w:marLeft w:val="0"/>
      <w:marRight w:val="0"/>
      <w:marTop w:val="0"/>
      <w:marBottom w:val="0"/>
      <w:divBdr>
        <w:top w:val="none" w:sz="0" w:space="0" w:color="auto"/>
        <w:left w:val="none" w:sz="0" w:space="0" w:color="auto"/>
        <w:bottom w:val="none" w:sz="0" w:space="0" w:color="auto"/>
        <w:right w:val="none" w:sz="0" w:space="0" w:color="auto"/>
      </w:divBdr>
    </w:div>
    <w:div w:id="510263455">
      <w:bodyDiv w:val="1"/>
      <w:marLeft w:val="0"/>
      <w:marRight w:val="0"/>
      <w:marTop w:val="0"/>
      <w:marBottom w:val="0"/>
      <w:divBdr>
        <w:top w:val="none" w:sz="0" w:space="0" w:color="auto"/>
        <w:left w:val="none" w:sz="0" w:space="0" w:color="auto"/>
        <w:bottom w:val="none" w:sz="0" w:space="0" w:color="auto"/>
        <w:right w:val="none" w:sz="0" w:space="0" w:color="auto"/>
      </w:divBdr>
    </w:div>
    <w:div w:id="510294257">
      <w:bodyDiv w:val="1"/>
      <w:marLeft w:val="0"/>
      <w:marRight w:val="0"/>
      <w:marTop w:val="0"/>
      <w:marBottom w:val="0"/>
      <w:divBdr>
        <w:top w:val="none" w:sz="0" w:space="0" w:color="auto"/>
        <w:left w:val="none" w:sz="0" w:space="0" w:color="auto"/>
        <w:bottom w:val="none" w:sz="0" w:space="0" w:color="auto"/>
        <w:right w:val="none" w:sz="0" w:space="0" w:color="auto"/>
      </w:divBdr>
    </w:div>
    <w:div w:id="510411883">
      <w:bodyDiv w:val="1"/>
      <w:marLeft w:val="0"/>
      <w:marRight w:val="0"/>
      <w:marTop w:val="0"/>
      <w:marBottom w:val="0"/>
      <w:divBdr>
        <w:top w:val="none" w:sz="0" w:space="0" w:color="auto"/>
        <w:left w:val="none" w:sz="0" w:space="0" w:color="auto"/>
        <w:bottom w:val="none" w:sz="0" w:space="0" w:color="auto"/>
        <w:right w:val="none" w:sz="0" w:space="0" w:color="auto"/>
      </w:divBdr>
    </w:div>
    <w:div w:id="510527538">
      <w:bodyDiv w:val="1"/>
      <w:marLeft w:val="0"/>
      <w:marRight w:val="0"/>
      <w:marTop w:val="0"/>
      <w:marBottom w:val="0"/>
      <w:divBdr>
        <w:top w:val="none" w:sz="0" w:space="0" w:color="auto"/>
        <w:left w:val="none" w:sz="0" w:space="0" w:color="auto"/>
        <w:bottom w:val="none" w:sz="0" w:space="0" w:color="auto"/>
        <w:right w:val="none" w:sz="0" w:space="0" w:color="auto"/>
      </w:divBdr>
    </w:div>
    <w:div w:id="510950457">
      <w:bodyDiv w:val="1"/>
      <w:marLeft w:val="0"/>
      <w:marRight w:val="0"/>
      <w:marTop w:val="0"/>
      <w:marBottom w:val="0"/>
      <w:divBdr>
        <w:top w:val="none" w:sz="0" w:space="0" w:color="auto"/>
        <w:left w:val="none" w:sz="0" w:space="0" w:color="auto"/>
        <w:bottom w:val="none" w:sz="0" w:space="0" w:color="auto"/>
        <w:right w:val="none" w:sz="0" w:space="0" w:color="auto"/>
      </w:divBdr>
    </w:div>
    <w:div w:id="510995516">
      <w:bodyDiv w:val="1"/>
      <w:marLeft w:val="0"/>
      <w:marRight w:val="0"/>
      <w:marTop w:val="0"/>
      <w:marBottom w:val="0"/>
      <w:divBdr>
        <w:top w:val="none" w:sz="0" w:space="0" w:color="auto"/>
        <w:left w:val="none" w:sz="0" w:space="0" w:color="auto"/>
        <w:bottom w:val="none" w:sz="0" w:space="0" w:color="auto"/>
        <w:right w:val="none" w:sz="0" w:space="0" w:color="auto"/>
      </w:divBdr>
    </w:div>
    <w:div w:id="511068529">
      <w:bodyDiv w:val="1"/>
      <w:marLeft w:val="0"/>
      <w:marRight w:val="0"/>
      <w:marTop w:val="0"/>
      <w:marBottom w:val="0"/>
      <w:divBdr>
        <w:top w:val="none" w:sz="0" w:space="0" w:color="auto"/>
        <w:left w:val="none" w:sz="0" w:space="0" w:color="auto"/>
        <w:bottom w:val="none" w:sz="0" w:space="0" w:color="auto"/>
        <w:right w:val="none" w:sz="0" w:space="0" w:color="auto"/>
      </w:divBdr>
    </w:div>
    <w:div w:id="511265699">
      <w:bodyDiv w:val="1"/>
      <w:marLeft w:val="0"/>
      <w:marRight w:val="0"/>
      <w:marTop w:val="0"/>
      <w:marBottom w:val="0"/>
      <w:divBdr>
        <w:top w:val="none" w:sz="0" w:space="0" w:color="auto"/>
        <w:left w:val="none" w:sz="0" w:space="0" w:color="auto"/>
        <w:bottom w:val="none" w:sz="0" w:space="0" w:color="auto"/>
        <w:right w:val="none" w:sz="0" w:space="0" w:color="auto"/>
      </w:divBdr>
    </w:div>
    <w:div w:id="511342348">
      <w:bodyDiv w:val="1"/>
      <w:marLeft w:val="0"/>
      <w:marRight w:val="0"/>
      <w:marTop w:val="0"/>
      <w:marBottom w:val="0"/>
      <w:divBdr>
        <w:top w:val="none" w:sz="0" w:space="0" w:color="auto"/>
        <w:left w:val="none" w:sz="0" w:space="0" w:color="auto"/>
        <w:bottom w:val="none" w:sz="0" w:space="0" w:color="auto"/>
        <w:right w:val="none" w:sz="0" w:space="0" w:color="auto"/>
      </w:divBdr>
    </w:div>
    <w:div w:id="511528026">
      <w:bodyDiv w:val="1"/>
      <w:marLeft w:val="0"/>
      <w:marRight w:val="0"/>
      <w:marTop w:val="0"/>
      <w:marBottom w:val="0"/>
      <w:divBdr>
        <w:top w:val="none" w:sz="0" w:space="0" w:color="auto"/>
        <w:left w:val="none" w:sz="0" w:space="0" w:color="auto"/>
        <w:bottom w:val="none" w:sz="0" w:space="0" w:color="auto"/>
        <w:right w:val="none" w:sz="0" w:space="0" w:color="auto"/>
      </w:divBdr>
    </w:div>
    <w:div w:id="511534377">
      <w:bodyDiv w:val="1"/>
      <w:marLeft w:val="0"/>
      <w:marRight w:val="0"/>
      <w:marTop w:val="0"/>
      <w:marBottom w:val="0"/>
      <w:divBdr>
        <w:top w:val="none" w:sz="0" w:space="0" w:color="auto"/>
        <w:left w:val="none" w:sz="0" w:space="0" w:color="auto"/>
        <w:bottom w:val="none" w:sz="0" w:space="0" w:color="auto"/>
        <w:right w:val="none" w:sz="0" w:space="0" w:color="auto"/>
      </w:divBdr>
    </w:div>
    <w:div w:id="512111833">
      <w:bodyDiv w:val="1"/>
      <w:marLeft w:val="0"/>
      <w:marRight w:val="0"/>
      <w:marTop w:val="0"/>
      <w:marBottom w:val="0"/>
      <w:divBdr>
        <w:top w:val="none" w:sz="0" w:space="0" w:color="auto"/>
        <w:left w:val="none" w:sz="0" w:space="0" w:color="auto"/>
        <w:bottom w:val="none" w:sz="0" w:space="0" w:color="auto"/>
        <w:right w:val="none" w:sz="0" w:space="0" w:color="auto"/>
      </w:divBdr>
    </w:div>
    <w:div w:id="512306751">
      <w:bodyDiv w:val="1"/>
      <w:marLeft w:val="0"/>
      <w:marRight w:val="0"/>
      <w:marTop w:val="0"/>
      <w:marBottom w:val="0"/>
      <w:divBdr>
        <w:top w:val="none" w:sz="0" w:space="0" w:color="auto"/>
        <w:left w:val="none" w:sz="0" w:space="0" w:color="auto"/>
        <w:bottom w:val="none" w:sz="0" w:space="0" w:color="auto"/>
        <w:right w:val="none" w:sz="0" w:space="0" w:color="auto"/>
      </w:divBdr>
    </w:div>
    <w:div w:id="512497753">
      <w:bodyDiv w:val="1"/>
      <w:marLeft w:val="0"/>
      <w:marRight w:val="0"/>
      <w:marTop w:val="0"/>
      <w:marBottom w:val="0"/>
      <w:divBdr>
        <w:top w:val="none" w:sz="0" w:space="0" w:color="auto"/>
        <w:left w:val="none" w:sz="0" w:space="0" w:color="auto"/>
        <w:bottom w:val="none" w:sz="0" w:space="0" w:color="auto"/>
        <w:right w:val="none" w:sz="0" w:space="0" w:color="auto"/>
      </w:divBdr>
    </w:div>
    <w:div w:id="512499301">
      <w:bodyDiv w:val="1"/>
      <w:marLeft w:val="0"/>
      <w:marRight w:val="0"/>
      <w:marTop w:val="0"/>
      <w:marBottom w:val="0"/>
      <w:divBdr>
        <w:top w:val="none" w:sz="0" w:space="0" w:color="auto"/>
        <w:left w:val="none" w:sz="0" w:space="0" w:color="auto"/>
        <w:bottom w:val="none" w:sz="0" w:space="0" w:color="auto"/>
        <w:right w:val="none" w:sz="0" w:space="0" w:color="auto"/>
      </w:divBdr>
    </w:div>
    <w:div w:id="512649645">
      <w:bodyDiv w:val="1"/>
      <w:marLeft w:val="0"/>
      <w:marRight w:val="0"/>
      <w:marTop w:val="0"/>
      <w:marBottom w:val="0"/>
      <w:divBdr>
        <w:top w:val="none" w:sz="0" w:space="0" w:color="auto"/>
        <w:left w:val="none" w:sz="0" w:space="0" w:color="auto"/>
        <w:bottom w:val="none" w:sz="0" w:space="0" w:color="auto"/>
        <w:right w:val="none" w:sz="0" w:space="0" w:color="auto"/>
      </w:divBdr>
    </w:div>
    <w:div w:id="512720470">
      <w:bodyDiv w:val="1"/>
      <w:marLeft w:val="0"/>
      <w:marRight w:val="0"/>
      <w:marTop w:val="0"/>
      <w:marBottom w:val="0"/>
      <w:divBdr>
        <w:top w:val="none" w:sz="0" w:space="0" w:color="auto"/>
        <w:left w:val="none" w:sz="0" w:space="0" w:color="auto"/>
        <w:bottom w:val="none" w:sz="0" w:space="0" w:color="auto"/>
        <w:right w:val="none" w:sz="0" w:space="0" w:color="auto"/>
      </w:divBdr>
    </w:div>
    <w:div w:id="513113165">
      <w:bodyDiv w:val="1"/>
      <w:marLeft w:val="0"/>
      <w:marRight w:val="0"/>
      <w:marTop w:val="0"/>
      <w:marBottom w:val="0"/>
      <w:divBdr>
        <w:top w:val="none" w:sz="0" w:space="0" w:color="auto"/>
        <w:left w:val="none" w:sz="0" w:space="0" w:color="auto"/>
        <w:bottom w:val="none" w:sz="0" w:space="0" w:color="auto"/>
        <w:right w:val="none" w:sz="0" w:space="0" w:color="auto"/>
      </w:divBdr>
    </w:div>
    <w:div w:id="513497256">
      <w:bodyDiv w:val="1"/>
      <w:marLeft w:val="0"/>
      <w:marRight w:val="0"/>
      <w:marTop w:val="0"/>
      <w:marBottom w:val="0"/>
      <w:divBdr>
        <w:top w:val="none" w:sz="0" w:space="0" w:color="auto"/>
        <w:left w:val="none" w:sz="0" w:space="0" w:color="auto"/>
        <w:bottom w:val="none" w:sz="0" w:space="0" w:color="auto"/>
        <w:right w:val="none" w:sz="0" w:space="0" w:color="auto"/>
      </w:divBdr>
    </w:div>
    <w:div w:id="513498405">
      <w:bodyDiv w:val="1"/>
      <w:marLeft w:val="0"/>
      <w:marRight w:val="0"/>
      <w:marTop w:val="0"/>
      <w:marBottom w:val="0"/>
      <w:divBdr>
        <w:top w:val="none" w:sz="0" w:space="0" w:color="auto"/>
        <w:left w:val="none" w:sz="0" w:space="0" w:color="auto"/>
        <w:bottom w:val="none" w:sz="0" w:space="0" w:color="auto"/>
        <w:right w:val="none" w:sz="0" w:space="0" w:color="auto"/>
      </w:divBdr>
    </w:div>
    <w:div w:id="513572801">
      <w:bodyDiv w:val="1"/>
      <w:marLeft w:val="0"/>
      <w:marRight w:val="0"/>
      <w:marTop w:val="0"/>
      <w:marBottom w:val="0"/>
      <w:divBdr>
        <w:top w:val="none" w:sz="0" w:space="0" w:color="auto"/>
        <w:left w:val="none" w:sz="0" w:space="0" w:color="auto"/>
        <w:bottom w:val="none" w:sz="0" w:space="0" w:color="auto"/>
        <w:right w:val="none" w:sz="0" w:space="0" w:color="auto"/>
      </w:divBdr>
    </w:div>
    <w:div w:id="514149325">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4349793">
      <w:bodyDiv w:val="1"/>
      <w:marLeft w:val="0"/>
      <w:marRight w:val="0"/>
      <w:marTop w:val="0"/>
      <w:marBottom w:val="0"/>
      <w:divBdr>
        <w:top w:val="none" w:sz="0" w:space="0" w:color="auto"/>
        <w:left w:val="none" w:sz="0" w:space="0" w:color="auto"/>
        <w:bottom w:val="none" w:sz="0" w:space="0" w:color="auto"/>
        <w:right w:val="none" w:sz="0" w:space="0" w:color="auto"/>
      </w:divBdr>
    </w:div>
    <w:div w:id="514420498">
      <w:bodyDiv w:val="1"/>
      <w:marLeft w:val="0"/>
      <w:marRight w:val="0"/>
      <w:marTop w:val="0"/>
      <w:marBottom w:val="0"/>
      <w:divBdr>
        <w:top w:val="none" w:sz="0" w:space="0" w:color="auto"/>
        <w:left w:val="none" w:sz="0" w:space="0" w:color="auto"/>
        <w:bottom w:val="none" w:sz="0" w:space="0" w:color="auto"/>
        <w:right w:val="none" w:sz="0" w:space="0" w:color="auto"/>
      </w:divBdr>
    </w:div>
    <w:div w:id="515265712">
      <w:bodyDiv w:val="1"/>
      <w:marLeft w:val="0"/>
      <w:marRight w:val="0"/>
      <w:marTop w:val="0"/>
      <w:marBottom w:val="0"/>
      <w:divBdr>
        <w:top w:val="none" w:sz="0" w:space="0" w:color="auto"/>
        <w:left w:val="none" w:sz="0" w:space="0" w:color="auto"/>
        <w:bottom w:val="none" w:sz="0" w:space="0" w:color="auto"/>
        <w:right w:val="none" w:sz="0" w:space="0" w:color="auto"/>
      </w:divBdr>
    </w:div>
    <w:div w:id="515582883">
      <w:bodyDiv w:val="1"/>
      <w:marLeft w:val="0"/>
      <w:marRight w:val="0"/>
      <w:marTop w:val="0"/>
      <w:marBottom w:val="0"/>
      <w:divBdr>
        <w:top w:val="none" w:sz="0" w:space="0" w:color="auto"/>
        <w:left w:val="none" w:sz="0" w:space="0" w:color="auto"/>
        <w:bottom w:val="none" w:sz="0" w:space="0" w:color="auto"/>
        <w:right w:val="none" w:sz="0" w:space="0" w:color="auto"/>
      </w:divBdr>
    </w:div>
    <w:div w:id="515584879">
      <w:bodyDiv w:val="1"/>
      <w:marLeft w:val="0"/>
      <w:marRight w:val="0"/>
      <w:marTop w:val="0"/>
      <w:marBottom w:val="0"/>
      <w:divBdr>
        <w:top w:val="none" w:sz="0" w:space="0" w:color="auto"/>
        <w:left w:val="none" w:sz="0" w:space="0" w:color="auto"/>
        <w:bottom w:val="none" w:sz="0" w:space="0" w:color="auto"/>
        <w:right w:val="none" w:sz="0" w:space="0" w:color="auto"/>
      </w:divBdr>
    </w:div>
    <w:div w:id="515774186">
      <w:bodyDiv w:val="1"/>
      <w:marLeft w:val="0"/>
      <w:marRight w:val="0"/>
      <w:marTop w:val="0"/>
      <w:marBottom w:val="0"/>
      <w:divBdr>
        <w:top w:val="none" w:sz="0" w:space="0" w:color="auto"/>
        <w:left w:val="none" w:sz="0" w:space="0" w:color="auto"/>
        <w:bottom w:val="none" w:sz="0" w:space="0" w:color="auto"/>
        <w:right w:val="none" w:sz="0" w:space="0" w:color="auto"/>
      </w:divBdr>
    </w:div>
    <w:div w:id="515968035">
      <w:bodyDiv w:val="1"/>
      <w:marLeft w:val="0"/>
      <w:marRight w:val="0"/>
      <w:marTop w:val="0"/>
      <w:marBottom w:val="0"/>
      <w:divBdr>
        <w:top w:val="none" w:sz="0" w:space="0" w:color="auto"/>
        <w:left w:val="none" w:sz="0" w:space="0" w:color="auto"/>
        <w:bottom w:val="none" w:sz="0" w:space="0" w:color="auto"/>
        <w:right w:val="none" w:sz="0" w:space="0" w:color="auto"/>
      </w:divBdr>
    </w:div>
    <w:div w:id="516358221">
      <w:bodyDiv w:val="1"/>
      <w:marLeft w:val="0"/>
      <w:marRight w:val="0"/>
      <w:marTop w:val="0"/>
      <w:marBottom w:val="0"/>
      <w:divBdr>
        <w:top w:val="none" w:sz="0" w:space="0" w:color="auto"/>
        <w:left w:val="none" w:sz="0" w:space="0" w:color="auto"/>
        <w:bottom w:val="none" w:sz="0" w:space="0" w:color="auto"/>
        <w:right w:val="none" w:sz="0" w:space="0" w:color="auto"/>
      </w:divBdr>
    </w:div>
    <w:div w:id="516620986">
      <w:bodyDiv w:val="1"/>
      <w:marLeft w:val="0"/>
      <w:marRight w:val="0"/>
      <w:marTop w:val="0"/>
      <w:marBottom w:val="0"/>
      <w:divBdr>
        <w:top w:val="none" w:sz="0" w:space="0" w:color="auto"/>
        <w:left w:val="none" w:sz="0" w:space="0" w:color="auto"/>
        <w:bottom w:val="none" w:sz="0" w:space="0" w:color="auto"/>
        <w:right w:val="none" w:sz="0" w:space="0" w:color="auto"/>
      </w:divBdr>
    </w:div>
    <w:div w:id="516701245">
      <w:bodyDiv w:val="1"/>
      <w:marLeft w:val="0"/>
      <w:marRight w:val="0"/>
      <w:marTop w:val="0"/>
      <w:marBottom w:val="0"/>
      <w:divBdr>
        <w:top w:val="none" w:sz="0" w:space="0" w:color="auto"/>
        <w:left w:val="none" w:sz="0" w:space="0" w:color="auto"/>
        <w:bottom w:val="none" w:sz="0" w:space="0" w:color="auto"/>
        <w:right w:val="none" w:sz="0" w:space="0" w:color="auto"/>
      </w:divBdr>
    </w:div>
    <w:div w:id="516774604">
      <w:bodyDiv w:val="1"/>
      <w:marLeft w:val="0"/>
      <w:marRight w:val="0"/>
      <w:marTop w:val="0"/>
      <w:marBottom w:val="0"/>
      <w:divBdr>
        <w:top w:val="none" w:sz="0" w:space="0" w:color="auto"/>
        <w:left w:val="none" w:sz="0" w:space="0" w:color="auto"/>
        <w:bottom w:val="none" w:sz="0" w:space="0" w:color="auto"/>
        <w:right w:val="none" w:sz="0" w:space="0" w:color="auto"/>
      </w:divBdr>
    </w:div>
    <w:div w:id="516776520">
      <w:bodyDiv w:val="1"/>
      <w:marLeft w:val="0"/>
      <w:marRight w:val="0"/>
      <w:marTop w:val="0"/>
      <w:marBottom w:val="0"/>
      <w:divBdr>
        <w:top w:val="none" w:sz="0" w:space="0" w:color="auto"/>
        <w:left w:val="none" w:sz="0" w:space="0" w:color="auto"/>
        <w:bottom w:val="none" w:sz="0" w:space="0" w:color="auto"/>
        <w:right w:val="none" w:sz="0" w:space="0" w:color="auto"/>
      </w:divBdr>
    </w:div>
    <w:div w:id="517279005">
      <w:bodyDiv w:val="1"/>
      <w:marLeft w:val="0"/>
      <w:marRight w:val="0"/>
      <w:marTop w:val="0"/>
      <w:marBottom w:val="0"/>
      <w:divBdr>
        <w:top w:val="none" w:sz="0" w:space="0" w:color="auto"/>
        <w:left w:val="none" w:sz="0" w:space="0" w:color="auto"/>
        <w:bottom w:val="none" w:sz="0" w:space="0" w:color="auto"/>
        <w:right w:val="none" w:sz="0" w:space="0" w:color="auto"/>
      </w:divBdr>
    </w:div>
    <w:div w:id="517623154">
      <w:bodyDiv w:val="1"/>
      <w:marLeft w:val="0"/>
      <w:marRight w:val="0"/>
      <w:marTop w:val="0"/>
      <w:marBottom w:val="0"/>
      <w:divBdr>
        <w:top w:val="none" w:sz="0" w:space="0" w:color="auto"/>
        <w:left w:val="none" w:sz="0" w:space="0" w:color="auto"/>
        <w:bottom w:val="none" w:sz="0" w:space="0" w:color="auto"/>
        <w:right w:val="none" w:sz="0" w:space="0" w:color="auto"/>
      </w:divBdr>
    </w:div>
    <w:div w:id="517738328">
      <w:bodyDiv w:val="1"/>
      <w:marLeft w:val="0"/>
      <w:marRight w:val="0"/>
      <w:marTop w:val="0"/>
      <w:marBottom w:val="0"/>
      <w:divBdr>
        <w:top w:val="none" w:sz="0" w:space="0" w:color="auto"/>
        <w:left w:val="none" w:sz="0" w:space="0" w:color="auto"/>
        <w:bottom w:val="none" w:sz="0" w:space="0" w:color="auto"/>
        <w:right w:val="none" w:sz="0" w:space="0" w:color="auto"/>
      </w:divBdr>
    </w:div>
    <w:div w:id="518351117">
      <w:bodyDiv w:val="1"/>
      <w:marLeft w:val="0"/>
      <w:marRight w:val="0"/>
      <w:marTop w:val="0"/>
      <w:marBottom w:val="0"/>
      <w:divBdr>
        <w:top w:val="none" w:sz="0" w:space="0" w:color="auto"/>
        <w:left w:val="none" w:sz="0" w:space="0" w:color="auto"/>
        <w:bottom w:val="none" w:sz="0" w:space="0" w:color="auto"/>
        <w:right w:val="none" w:sz="0" w:space="0" w:color="auto"/>
      </w:divBdr>
    </w:div>
    <w:div w:id="518353054">
      <w:bodyDiv w:val="1"/>
      <w:marLeft w:val="0"/>
      <w:marRight w:val="0"/>
      <w:marTop w:val="0"/>
      <w:marBottom w:val="0"/>
      <w:divBdr>
        <w:top w:val="none" w:sz="0" w:space="0" w:color="auto"/>
        <w:left w:val="none" w:sz="0" w:space="0" w:color="auto"/>
        <w:bottom w:val="none" w:sz="0" w:space="0" w:color="auto"/>
        <w:right w:val="none" w:sz="0" w:space="0" w:color="auto"/>
      </w:divBdr>
    </w:div>
    <w:div w:id="518354930">
      <w:bodyDiv w:val="1"/>
      <w:marLeft w:val="0"/>
      <w:marRight w:val="0"/>
      <w:marTop w:val="0"/>
      <w:marBottom w:val="0"/>
      <w:divBdr>
        <w:top w:val="none" w:sz="0" w:space="0" w:color="auto"/>
        <w:left w:val="none" w:sz="0" w:space="0" w:color="auto"/>
        <w:bottom w:val="none" w:sz="0" w:space="0" w:color="auto"/>
        <w:right w:val="none" w:sz="0" w:space="0" w:color="auto"/>
      </w:divBdr>
    </w:div>
    <w:div w:id="518396699">
      <w:bodyDiv w:val="1"/>
      <w:marLeft w:val="0"/>
      <w:marRight w:val="0"/>
      <w:marTop w:val="0"/>
      <w:marBottom w:val="0"/>
      <w:divBdr>
        <w:top w:val="none" w:sz="0" w:space="0" w:color="auto"/>
        <w:left w:val="none" w:sz="0" w:space="0" w:color="auto"/>
        <w:bottom w:val="none" w:sz="0" w:space="0" w:color="auto"/>
        <w:right w:val="none" w:sz="0" w:space="0" w:color="auto"/>
      </w:divBdr>
    </w:div>
    <w:div w:id="518663388">
      <w:bodyDiv w:val="1"/>
      <w:marLeft w:val="0"/>
      <w:marRight w:val="0"/>
      <w:marTop w:val="0"/>
      <w:marBottom w:val="0"/>
      <w:divBdr>
        <w:top w:val="none" w:sz="0" w:space="0" w:color="auto"/>
        <w:left w:val="none" w:sz="0" w:space="0" w:color="auto"/>
        <w:bottom w:val="none" w:sz="0" w:space="0" w:color="auto"/>
        <w:right w:val="none" w:sz="0" w:space="0" w:color="auto"/>
      </w:divBdr>
    </w:div>
    <w:div w:id="518667996">
      <w:bodyDiv w:val="1"/>
      <w:marLeft w:val="0"/>
      <w:marRight w:val="0"/>
      <w:marTop w:val="0"/>
      <w:marBottom w:val="0"/>
      <w:divBdr>
        <w:top w:val="none" w:sz="0" w:space="0" w:color="auto"/>
        <w:left w:val="none" w:sz="0" w:space="0" w:color="auto"/>
        <w:bottom w:val="none" w:sz="0" w:space="0" w:color="auto"/>
        <w:right w:val="none" w:sz="0" w:space="0" w:color="auto"/>
      </w:divBdr>
    </w:div>
    <w:div w:id="518743988">
      <w:bodyDiv w:val="1"/>
      <w:marLeft w:val="0"/>
      <w:marRight w:val="0"/>
      <w:marTop w:val="0"/>
      <w:marBottom w:val="0"/>
      <w:divBdr>
        <w:top w:val="none" w:sz="0" w:space="0" w:color="auto"/>
        <w:left w:val="none" w:sz="0" w:space="0" w:color="auto"/>
        <w:bottom w:val="none" w:sz="0" w:space="0" w:color="auto"/>
        <w:right w:val="none" w:sz="0" w:space="0" w:color="auto"/>
      </w:divBdr>
    </w:div>
    <w:div w:id="518935523">
      <w:bodyDiv w:val="1"/>
      <w:marLeft w:val="0"/>
      <w:marRight w:val="0"/>
      <w:marTop w:val="0"/>
      <w:marBottom w:val="0"/>
      <w:divBdr>
        <w:top w:val="none" w:sz="0" w:space="0" w:color="auto"/>
        <w:left w:val="none" w:sz="0" w:space="0" w:color="auto"/>
        <w:bottom w:val="none" w:sz="0" w:space="0" w:color="auto"/>
        <w:right w:val="none" w:sz="0" w:space="0" w:color="auto"/>
      </w:divBdr>
    </w:div>
    <w:div w:id="518936493">
      <w:bodyDiv w:val="1"/>
      <w:marLeft w:val="0"/>
      <w:marRight w:val="0"/>
      <w:marTop w:val="0"/>
      <w:marBottom w:val="0"/>
      <w:divBdr>
        <w:top w:val="none" w:sz="0" w:space="0" w:color="auto"/>
        <w:left w:val="none" w:sz="0" w:space="0" w:color="auto"/>
        <w:bottom w:val="none" w:sz="0" w:space="0" w:color="auto"/>
        <w:right w:val="none" w:sz="0" w:space="0" w:color="auto"/>
      </w:divBdr>
    </w:div>
    <w:div w:id="519197155">
      <w:bodyDiv w:val="1"/>
      <w:marLeft w:val="0"/>
      <w:marRight w:val="0"/>
      <w:marTop w:val="0"/>
      <w:marBottom w:val="0"/>
      <w:divBdr>
        <w:top w:val="none" w:sz="0" w:space="0" w:color="auto"/>
        <w:left w:val="none" w:sz="0" w:space="0" w:color="auto"/>
        <w:bottom w:val="none" w:sz="0" w:space="0" w:color="auto"/>
        <w:right w:val="none" w:sz="0" w:space="0" w:color="auto"/>
      </w:divBdr>
    </w:div>
    <w:div w:id="519316098">
      <w:bodyDiv w:val="1"/>
      <w:marLeft w:val="0"/>
      <w:marRight w:val="0"/>
      <w:marTop w:val="0"/>
      <w:marBottom w:val="0"/>
      <w:divBdr>
        <w:top w:val="none" w:sz="0" w:space="0" w:color="auto"/>
        <w:left w:val="none" w:sz="0" w:space="0" w:color="auto"/>
        <w:bottom w:val="none" w:sz="0" w:space="0" w:color="auto"/>
        <w:right w:val="none" w:sz="0" w:space="0" w:color="auto"/>
      </w:divBdr>
    </w:div>
    <w:div w:id="519441704">
      <w:bodyDiv w:val="1"/>
      <w:marLeft w:val="0"/>
      <w:marRight w:val="0"/>
      <w:marTop w:val="0"/>
      <w:marBottom w:val="0"/>
      <w:divBdr>
        <w:top w:val="none" w:sz="0" w:space="0" w:color="auto"/>
        <w:left w:val="none" w:sz="0" w:space="0" w:color="auto"/>
        <w:bottom w:val="none" w:sz="0" w:space="0" w:color="auto"/>
        <w:right w:val="none" w:sz="0" w:space="0" w:color="auto"/>
      </w:divBdr>
    </w:div>
    <w:div w:id="519707904">
      <w:bodyDiv w:val="1"/>
      <w:marLeft w:val="0"/>
      <w:marRight w:val="0"/>
      <w:marTop w:val="0"/>
      <w:marBottom w:val="0"/>
      <w:divBdr>
        <w:top w:val="none" w:sz="0" w:space="0" w:color="auto"/>
        <w:left w:val="none" w:sz="0" w:space="0" w:color="auto"/>
        <w:bottom w:val="none" w:sz="0" w:space="0" w:color="auto"/>
        <w:right w:val="none" w:sz="0" w:space="0" w:color="auto"/>
      </w:divBdr>
    </w:div>
    <w:div w:id="519782319">
      <w:bodyDiv w:val="1"/>
      <w:marLeft w:val="0"/>
      <w:marRight w:val="0"/>
      <w:marTop w:val="0"/>
      <w:marBottom w:val="0"/>
      <w:divBdr>
        <w:top w:val="none" w:sz="0" w:space="0" w:color="auto"/>
        <w:left w:val="none" w:sz="0" w:space="0" w:color="auto"/>
        <w:bottom w:val="none" w:sz="0" w:space="0" w:color="auto"/>
        <w:right w:val="none" w:sz="0" w:space="0" w:color="auto"/>
      </w:divBdr>
    </w:div>
    <w:div w:id="520164620">
      <w:bodyDiv w:val="1"/>
      <w:marLeft w:val="0"/>
      <w:marRight w:val="0"/>
      <w:marTop w:val="0"/>
      <w:marBottom w:val="0"/>
      <w:divBdr>
        <w:top w:val="none" w:sz="0" w:space="0" w:color="auto"/>
        <w:left w:val="none" w:sz="0" w:space="0" w:color="auto"/>
        <w:bottom w:val="none" w:sz="0" w:space="0" w:color="auto"/>
        <w:right w:val="none" w:sz="0" w:space="0" w:color="auto"/>
      </w:divBdr>
    </w:div>
    <w:div w:id="520318834">
      <w:bodyDiv w:val="1"/>
      <w:marLeft w:val="0"/>
      <w:marRight w:val="0"/>
      <w:marTop w:val="0"/>
      <w:marBottom w:val="0"/>
      <w:divBdr>
        <w:top w:val="none" w:sz="0" w:space="0" w:color="auto"/>
        <w:left w:val="none" w:sz="0" w:space="0" w:color="auto"/>
        <w:bottom w:val="none" w:sz="0" w:space="0" w:color="auto"/>
        <w:right w:val="none" w:sz="0" w:space="0" w:color="auto"/>
      </w:divBdr>
    </w:div>
    <w:div w:id="520358614">
      <w:bodyDiv w:val="1"/>
      <w:marLeft w:val="0"/>
      <w:marRight w:val="0"/>
      <w:marTop w:val="0"/>
      <w:marBottom w:val="0"/>
      <w:divBdr>
        <w:top w:val="none" w:sz="0" w:space="0" w:color="auto"/>
        <w:left w:val="none" w:sz="0" w:space="0" w:color="auto"/>
        <w:bottom w:val="none" w:sz="0" w:space="0" w:color="auto"/>
        <w:right w:val="none" w:sz="0" w:space="0" w:color="auto"/>
      </w:divBdr>
    </w:div>
    <w:div w:id="520361573">
      <w:bodyDiv w:val="1"/>
      <w:marLeft w:val="0"/>
      <w:marRight w:val="0"/>
      <w:marTop w:val="0"/>
      <w:marBottom w:val="0"/>
      <w:divBdr>
        <w:top w:val="none" w:sz="0" w:space="0" w:color="auto"/>
        <w:left w:val="none" w:sz="0" w:space="0" w:color="auto"/>
        <w:bottom w:val="none" w:sz="0" w:space="0" w:color="auto"/>
        <w:right w:val="none" w:sz="0" w:space="0" w:color="auto"/>
      </w:divBdr>
    </w:div>
    <w:div w:id="520507380">
      <w:bodyDiv w:val="1"/>
      <w:marLeft w:val="0"/>
      <w:marRight w:val="0"/>
      <w:marTop w:val="0"/>
      <w:marBottom w:val="0"/>
      <w:divBdr>
        <w:top w:val="none" w:sz="0" w:space="0" w:color="auto"/>
        <w:left w:val="none" w:sz="0" w:space="0" w:color="auto"/>
        <w:bottom w:val="none" w:sz="0" w:space="0" w:color="auto"/>
        <w:right w:val="none" w:sz="0" w:space="0" w:color="auto"/>
      </w:divBdr>
    </w:div>
    <w:div w:id="520633197">
      <w:bodyDiv w:val="1"/>
      <w:marLeft w:val="0"/>
      <w:marRight w:val="0"/>
      <w:marTop w:val="0"/>
      <w:marBottom w:val="0"/>
      <w:divBdr>
        <w:top w:val="none" w:sz="0" w:space="0" w:color="auto"/>
        <w:left w:val="none" w:sz="0" w:space="0" w:color="auto"/>
        <w:bottom w:val="none" w:sz="0" w:space="0" w:color="auto"/>
        <w:right w:val="none" w:sz="0" w:space="0" w:color="auto"/>
      </w:divBdr>
    </w:div>
    <w:div w:id="520898192">
      <w:bodyDiv w:val="1"/>
      <w:marLeft w:val="0"/>
      <w:marRight w:val="0"/>
      <w:marTop w:val="0"/>
      <w:marBottom w:val="0"/>
      <w:divBdr>
        <w:top w:val="none" w:sz="0" w:space="0" w:color="auto"/>
        <w:left w:val="none" w:sz="0" w:space="0" w:color="auto"/>
        <w:bottom w:val="none" w:sz="0" w:space="0" w:color="auto"/>
        <w:right w:val="none" w:sz="0" w:space="0" w:color="auto"/>
      </w:divBdr>
    </w:div>
    <w:div w:id="521355819">
      <w:bodyDiv w:val="1"/>
      <w:marLeft w:val="0"/>
      <w:marRight w:val="0"/>
      <w:marTop w:val="0"/>
      <w:marBottom w:val="0"/>
      <w:divBdr>
        <w:top w:val="none" w:sz="0" w:space="0" w:color="auto"/>
        <w:left w:val="none" w:sz="0" w:space="0" w:color="auto"/>
        <w:bottom w:val="none" w:sz="0" w:space="0" w:color="auto"/>
        <w:right w:val="none" w:sz="0" w:space="0" w:color="auto"/>
      </w:divBdr>
    </w:div>
    <w:div w:id="521945043">
      <w:bodyDiv w:val="1"/>
      <w:marLeft w:val="0"/>
      <w:marRight w:val="0"/>
      <w:marTop w:val="0"/>
      <w:marBottom w:val="0"/>
      <w:divBdr>
        <w:top w:val="none" w:sz="0" w:space="0" w:color="auto"/>
        <w:left w:val="none" w:sz="0" w:space="0" w:color="auto"/>
        <w:bottom w:val="none" w:sz="0" w:space="0" w:color="auto"/>
        <w:right w:val="none" w:sz="0" w:space="0" w:color="auto"/>
      </w:divBdr>
    </w:div>
    <w:div w:id="522087807">
      <w:bodyDiv w:val="1"/>
      <w:marLeft w:val="0"/>
      <w:marRight w:val="0"/>
      <w:marTop w:val="0"/>
      <w:marBottom w:val="0"/>
      <w:divBdr>
        <w:top w:val="none" w:sz="0" w:space="0" w:color="auto"/>
        <w:left w:val="none" w:sz="0" w:space="0" w:color="auto"/>
        <w:bottom w:val="none" w:sz="0" w:space="0" w:color="auto"/>
        <w:right w:val="none" w:sz="0" w:space="0" w:color="auto"/>
      </w:divBdr>
    </w:div>
    <w:div w:id="522596364">
      <w:bodyDiv w:val="1"/>
      <w:marLeft w:val="0"/>
      <w:marRight w:val="0"/>
      <w:marTop w:val="0"/>
      <w:marBottom w:val="0"/>
      <w:divBdr>
        <w:top w:val="none" w:sz="0" w:space="0" w:color="auto"/>
        <w:left w:val="none" w:sz="0" w:space="0" w:color="auto"/>
        <w:bottom w:val="none" w:sz="0" w:space="0" w:color="auto"/>
        <w:right w:val="none" w:sz="0" w:space="0" w:color="auto"/>
      </w:divBdr>
    </w:div>
    <w:div w:id="522785677">
      <w:bodyDiv w:val="1"/>
      <w:marLeft w:val="0"/>
      <w:marRight w:val="0"/>
      <w:marTop w:val="0"/>
      <w:marBottom w:val="0"/>
      <w:divBdr>
        <w:top w:val="none" w:sz="0" w:space="0" w:color="auto"/>
        <w:left w:val="none" w:sz="0" w:space="0" w:color="auto"/>
        <w:bottom w:val="none" w:sz="0" w:space="0" w:color="auto"/>
        <w:right w:val="none" w:sz="0" w:space="0" w:color="auto"/>
      </w:divBdr>
    </w:div>
    <w:div w:id="522792767">
      <w:bodyDiv w:val="1"/>
      <w:marLeft w:val="0"/>
      <w:marRight w:val="0"/>
      <w:marTop w:val="0"/>
      <w:marBottom w:val="0"/>
      <w:divBdr>
        <w:top w:val="none" w:sz="0" w:space="0" w:color="auto"/>
        <w:left w:val="none" w:sz="0" w:space="0" w:color="auto"/>
        <w:bottom w:val="none" w:sz="0" w:space="0" w:color="auto"/>
        <w:right w:val="none" w:sz="0" w:space="0" w:color="auto"/>
      </w:divBdr>
    </w:div>
    <w:div w:id="522938139">
      <w:bodyDiv w:val="1"/>
      <w:marLeft w:val="0"/>
      <w:marRight w:val="0"/>
      <w:marTop w:val="0"/>
      <w:marBottom w:val="0"/>
      <w:divBdr>
        <w:top w:val="none" w:sz="0" w:space="0" w:color="auto"/>
        <w:left w:val="none" w:sz="0" w:space="0" w:color="auto"/>
        <w:bottom w:val="none" w:sz="0" w:space="0" w:color="auto"/>
        <w:right w:val="none" w:sz="0" w:space="0" w:color="auto"/>
      </w:divBdr>
    </w:div>
    <w:div w:id="522941732">
      <w:bodyDiv w:val="1"/>
      <w:marLeft w:val="0"/>
      <w:marRight w:val="0"/>
      <w:marTop w:val="0"/>
      <w:marBottom w:val="0"/>
      <w:divBdr>
        <w:top w:val="none" w:sz="0" w:space="0" w:color="auto"/>
        <w:left w:val="none" w:sz="0" w:space="0" w:color="auto"/>
        <w:bottom w:val="none" w:sz="0" w:space="0" w:color="auto"/>
        <w:right w:val="none" w:sz="0" w:space="0" w:color="auto"/>
      </w:divBdr>
    </w:div>
    <w:div w:id="523174236">
      <w:bodyDiv w:val="1"/>
      <w:marLeft w:val="0"/>
      <w:marRight w:val="0"/>
      <w:marTop w:val="0"/>
      <w:marBottom w:val="0"/>
      <w:divBdr>
        <w:top w:val="none" w:sz="0" w:space="0" w:color="auto"/>
        <w:left w:val="none" w:sz="0" w:space="0" w:color="auto"/>
        <w:bottom w:val="none" w:sz="0" w:space="0" w:color="auto"/>
        <w:right w:val="none" w:sz="0" w:space="0" w:color="auto"/>
      </w:divBdr>
    </w:div>
    <w:div w:id="523174363">
      <w:bodyDiv w:val="1"/>
      <w:marLeft w:val="0"/>
      <w:marRight w:val="0"/>
      <w:marTop w:val="0"/>
      <w:marBottom w:val="0"/>
      <w:divBdr>
        <w:top w:val="none" w:sz="0" w:space="0" w:color="auto"/>
        <w:left w:val="none" w:sz="0" w:space="0" w:color="auto"/>
        <w:bottom w:val="none" w:sz="0" w:space="0" w:color="auto"/>
        <w:right w:val="none" w:sz="0" w:space="0" w:color="auto"/>
      </w:divBdr>
    </w:div>
    <w:div w:id="523250588">
      <w:bodyDiv w:val="1"/>
      <w:marLeft w:val="0"/>
      <w:marRight w:val="0"/>
      <w:marTop w:val="0"/>
      <w:marBottom w:val="0"/>
      <w:divBdr>
        <w:top w:val="none" w:sz="0" w:space="0" w:color="auto"/>
        <w:left w:val="none" w:sz="0" w:space="0" w:color="auto"/>
        <w:bottom w:val="none" w:sz="0" w:space="0" w:color="auto"/>
        <w:right w:val="none" w:sz="0" w:space="0" w:color="auto"/>
      </w:divBdr>
    </w:div>
    <w:div w:id="523253868">
      <w:bodyDiv w:val="1"/>
      <w:marLeft w:val="0"/>
      <w:marRight w:val="0"/>
      <w:marTop w:val="0"/>
      <w:marBottom w:val="0"/>
      <w:divBdr>
        <w:top w:val="none" w:sz="0" w:space="0" w:color="auto"/>
        <w:left w:val="none" w:sz="0" w:space="0" w:color="auto"/>
        <w:bottom w:val="none" w:sz="0" w:space="0" w:color="auto"/>
        <w:right w:val="none" w:sz="0" w:space="0" w:color="auto"/>
      </w:divBdr>
    </w:div>
    <w:div w:id="523712043">
      <w:bodyDiv w:val="1"/>
      <w:marLeft w:val="0"/>
      <w:marRight w:val="0"/>
      <w:marTop w:val="0"/>
      <w:marBottom w:val="0"/>
      <w:divBdr>
        <w:top w:val="none" w:sz="0" w:space="0" w:color="auto"/>
        <w:left w:val="none" w:sz="0" w:space="0" w:color="auto"/>
        <w:bottom w:val="none" w:sz="0" w:space="0" w:color="auto"/>
        <w:right w:val="none" w:sz="0" w:space="0" w:color="auto"/>
      </w:divBdr>
    </w:div>
    <w:div w:id="523787976">
      <w:bodyDiv w:val="1"/>
      <w:marLeft w:val="0"/>
      <w:marRight w:val="0"/>
      <w:marTop w:val="0"/>
      <w:marBottom w:val="0"/>
      <w:divBdr>
        <w:top w:val="none" w:sz="0" w:space="0" w:color="auto"/>
        <w:left w:val="none" w:sz="0" w:space="0" w:color="auto"/>
        <w:bottom w:val="none" w:sz="0" w:space="0" w:color="auto"/>
        <w:right w:val="none" w:sz="0" w:space="0" w:color="auto"/>
      </w:divBdr>
    </w:div>
    <w:div w:id="523859100">
      <w:bodyDiv w:val="1"/>
      <w:marLeft w:val="0"/>
      <w:marRight w:val="0"/>
      <w:marTop w:val="0"/>
      <w:marBottom w:val="0"/>
      <w:divBdr>
        <w:top w:val="none" w:sz="0" w:space="0" w:color="auto"/>
        <w:left w:val="none" w:sz="0" w:space="0" w:color="auto"/>
        <w:bottom w:val="none" w:sz="0" w:space="0" w:color="auto"/>
        <w:right w:val="none" w:sz="0" w:space="0" w:color="auto"/>
      </w:divBdr>
    </w:div>
    <w:div w:id="523860900">
      <w:bodyDiv w:val="1"/>
      <w:marLeft w:val="0"/>
      <w:marRight w:val="0"/>
      <w:marTop w:val="0"/>
      <w:marBottom w:val="0"/>
      <w:divBdr>
        <w:top w:val="none" w:sz="0" w:space="0" w:color="auto"/>
        <w:left w:val="none" w:sz="0" w:space="0" w:color="auto"/>
        <w:bottom w:val="none" w:sz="0" w:space="0" w:color="auto"/>
        <w:right w:val="none" w:sz="0" w:space="0" w:color="auto"/>
      </w:divBdr>
    </w:div>
    <w:div w:id="524054262">
      <w:bodyDiv w:val="1"/>
      <w:marLeft w:val="0"/>
      <w:marRight w:val="0"/>
      <w:marTop w:val="0"/>
      <w:marBottom w:val="0"/>
      <w:divBdr>
        <w:top w:val="none" w:sz="0" w:space="0" w:color="auto"/>
        <w:left w:val="none" w:sz="0" w:space="0" w:color="auto"/>
        <w:bottom w:val="none" w:sz="0" w:space="0" w:color="auto"/>
        <w:right w:val="none" w:sz="0" w:space="0" w:color="auto"/>
      </w:divBdr>
    </w:div>
    <w:div w:id="524367475">
      <w:bodyDiv w:val="1"/>
      <w:marLeft w:val="0"/>
      <w:marRight w:val="0"/>
      <w:marTop w:val="0"/>
      <w:marBottom w:val="0"/>
      <w:divBdr>
        <w:top w:val="none" w:sz="0" w:space="0" w:color="auto"/>
        <w:left w:val="none" w:sz="0" w:space="0" w:color="auto"/>
        <w:bottom w:val="none" w:sz="0" w:space="0" w:color="auto"/>
        <w:right w:val="none" w:sz="0" w:space="0" w:color="auto"/>
      </w:divBdr>
    </w:div>
    <w:div w:id="524371171">
      <w:bodyDiv w:val="1"/>
      <w:marLeft w:val="0"/>
      <w:marRight w:val="0"/>
      <w:marTop w:val="0"/>
      <w:marBottom w:val="0"/>
      <w:divBdr>
        <w:top w:val="none" w:sz="0" w:space="0" w:color="auto"/>
        <w:left w:val="none" w:sz="0" w:space="0" w:color="auto"/>
        <w:bottom w:val="none" w:sz="0" w:space="0" w:color="auto"/>
        <w:right w:val="none" w:sz="0" w:space="0" w:color="auto"/>
      </w:divBdr>
    </w:div>
    <w:div w:id="524560869">
      <w:bodyDiv w:val="1"/>
      <w:marLeft w:val="0"/>
      <w:marRight w:val="0"/>
      <w:marTop w:val="0"/>
      <w:marBottom w:val="0"/>
      <w:divBdr>
        <w:top w:val="none" w:sz="0" w:space="0" w:color="auto"/>
        <w:left w:val="none" w:sz="0" w:space="0" w:color="auto"/>
        <w:bottom w:val="none" w:sz="0" w:space="0" w:color="auto"/>
        <w:right w:val="none" w:sz="0" w:space="0" w:color="auto"/>
      </w:divBdr>
    </w:div>
    <w:div w:id="524562866">
      <w:bodyDiv w:val="1"/>
      <w:marLeft w:val="0"/>
      <w:marRight w:val="0"/>
      <w:marTop w:val="0"/>
      <w:marBottom w:val="0"/>
      <w:divBdr>
        <w:top w:val="none" w:sz="0" w:space="0" w:color="auto"/>
        <w:left w:val="none" w:sz="0" w:space="0" w:color="auto"/>
        <w:bottom w:val="none" w:sz="0" w:space="0" w:color="auto"/>
        <w:right w:val="none" w:sz="0" w:space="0" w:color="auto"/>
      </w:divBdr>
    </w:div>
    <w:div w:id="524825515">
      <w:bodyDiv w:val="1"/>
      <w:marLeft w:val="0"/>
      <w:marRight w:val="0"/>
      <w:marTop w:val="0"/>
      <w:marBottom w:val="0"/>
      <w:divBdr>
        <w:top w:val="none" w:sz="0" w:space="0" w:color="auto"/>
        <w:left w:val="none" w:sz="0" w:space="0" w:color="auto"/>
        <w:bottom w:val="none" w:sz="0" w:space="0" w:color="auto"/>
        <w:right w:val="none" w:sz="0" w:space="0" w:color="auto"/>
      </w:divBdr>
    </w:div>
    <w:div w:id="524829885">
      <w:bodyDiv w:val="1"/>
      <w:marLeft w:val="0"/>
      <w:marRight w:val="0"/>
      <w:marTop w:val="0"/>
      <w:marBottom w:val="0"/>
      <w:divBdr>
        <w:top w:val="none" w:sz="0" w:space="0" w:color="auto"/>
        <w:left w:val="none" w:sz="0" w:space="0" w:color="auto"/>
        <w:bottom w:val="none" w:sz="0" w:space="0" w:color="auto"/>
        <w:right w:val="none" w:sz="0" w:space="0" w:color="auto"/>
      </w:divBdr>
    </w:div>
    <w:div w:id="525021790">
      <w:bodyDiv w:val="1"/>
      <w:marLeft w:val="0"/>
      <w:marRight w:val="0"/>
      <w:marTop w:val="0"/>
      <w:marBottom w:val="0"/>
      <w:divBdr>
        <w:top w:val="none" w:sz="0" w:space="0" w:color="auto"/>
        <w:left w:val="none" w:sz="0" w:space="0" w:color="auto"/>
        <w:bottom w:val="none" w:sz="0" w:space="0" w:color="auto"/>
        <w:right w:val="none" w:sz="0" w:space="0" w:color="auto"/>
      </w:divBdr>
    </w:div>
    <w:div w:id="525368828">
      <w:bodyDiv w:val="1"/>
      <w:marLeft w:val="0"/>
      <w:marRight w:val="0"/>
      <w:marTop w:val="0"/>
      <w:marBottom w:val="0"/>
      <w:divBdr>
        <w:top w:val="none" w:sz="0" w:space="0" w:color="auto"/>
        <w:left w:val="none" w:sz="0" w:space="0" w:color="auto"/>
        <w:bottom w:val="none" w:sz="0" w:space="0" w:color="auto"/>
        <w:right w:val="none" w:sz="0" w:space="0" w:color="auto"/>
      </w:divBdr>
    </w:div>
    <w:div w:id="526020859">
      <w:bodyDiv w:val="1"/>
      <w:marLeft w:val="0"/>
      <w:marRight w:val="0"/>
      <w:marTop w:val="0"/>
      <w:marBottom w:val="0"/>
      <w:divBdr>
        <w:top w:val="none" w:sz="0" w:space="0" w:color="auto"/>
        <w:left w:val="none" w:sz="0" w:space="0" w:color="auto"/>
        <w:bottom w:val="none" w:sz="0" w:space="0" w:color="auto"/>
        <w:right w:val="none" w:sz="0" w:space="0" w:color="auto"/>
      </w:divBdr>
    </w:div>
    <w:div w:id="526256906">
      <w:bodyDiv w:val="1"/>
      <w:marLeft w:val="0"/>
      <w:marRight w:val="0"/>
      <w:marTop w:val="0"/>
      <w:marBottom w:val="0"/>
      <w:divBdr>
        <w:top w:val="none" w:sz="0" w:space="0" w:color="auto"/>
        <w:left w:val="none" w:sz="0" w:space="0" w:color="auto"/>
        <w:bottom w:val="none" w:sz="0" w:space="0" w:color="auto"/>
        <w:right w:val="none" w:sz="0" w:space="0" w:color="auto"/>
      </w:divBdr>
    </w:div>
    <w:div w:id="526329435">
      <w:bodyDiv w:val="1"/>
      <w:marLeft w:val="0"/>
      <w:marRight w:val="0"/>
      <w:marTop w:val="0"/>
      <w:marBottom w:val="0"/>
      <w:divBdr>
        <w:top w:val="none" w:sz="0" w:space="0" w:color="auto"/>
        <w:left w:val="none" w:sz="0" w:space="0" w:color="auto"/>
        <w:bottom w:val="none" w:sz="0" w:space="0" w:color="auto"/>
        <w:right w:val="none" w:sz="0" w:space="0" w:color="auto"/>
      </w:divBdr>
    </w:div>
    <w:div w:id="526338015">
      <w:bodyDiv w:val="1"/>
      <w:marLeft w:val="0"/>
      <w:marRight w:val="0"/>
      <w:marTop w:val="0"/>
      <w:marBottom w:val="0"/>
      <w:divBdr>
        <w:top w:val="none" w:sz="0" w:space="0" w:color="auto"/>
        <w:left w:val="none" w:sz="0" w:space="0" w:color="auto"/>
        <w:bottom w:val="none" w:sz="0" w:space="0" w:color="auto"/>
        <w:right w:val="none" w:sz="0" w:space="0" w:color="auto"/>
      </w:divBdr>
    </w:div>
    <w:div w:id="526405201">
      <w:bodyDiv w:val="1"/>
      <w:marLeft w:val="0"/>
      <w:marRight w:val="0"/>
      <w:marTop w:val="0"/>
      <w:marBottom w:val="0"/>
      <w:divBdr>
        <w:top w:val="none" w:sz="0" w:space="0" w:color="auto"/>
        <w:left w:val="none" w:sz="0" w:space="0" w:color="auto"/>
        <w:bottom w:val="none" w:sz="0" w:space="0" w:color="auto"/>
        <w:right w:val="none" w:sz="0" w:space="0" w:color="auto"/>
      </w:divBdr>
    </w:div>
    <w:div w:id="526527798">
      <w:bodyDiv w:val="1"/>
      <w:marLeft w:val="0"/>
      <w:marRight w:val="0"/>
      <w:marTop w:val="0"/>
      <w:marBottom w:val="0"/>
      <w:divBdr>
        <w:top w:val="none" w:sz="0" w:space="0" w:color="auto"/>
        <w:left w:val="none" w:sz="0" w:space="0" w:color="auto"/>
        <w:bottom w:val="none" w:sz="0" w:space="0" w:color="auto"/>
        <w:right w:val="none" w:sz="0" w:space="0" w:color="auto"/>
      </w:divBdr>
    </w:div>
    <w:div w:id="526795179">
      <w:bodyDiv w:val="1"/>
      <w:marLeft w:val="0"/>
      <w:marRight w:val="0"/>
      <w:marTop w:val="0"/>
      <w:marBottom w:val="0"/>
      <w:divBdr>
        <w:top w:val="none" w:sz="0" w:space="0" w:color="auto"/>
        <w:left w:val="none" w:sz="0" w:space="0" w:color="auto"/>
        <w:bottom w:val="none" w:sz="0" w:space="0" w:color="auto"/>
        <w:right w:val="none" w:sz="0" w:space="0" w:color="auto"/>
      </w:divBdr>
    </w:div>
    <w:div w:id="526798188">
      <w:bodyDiv w:val="1"/>
      <w:marLeft w:val="0"/>
      <w:marRight w:val="0"/>
      <w:marTop w:val="0"/>
      <w:marBottom w:val="0"/>
      <w:divBdr>
        <w:top w:val="none" w:sz="0" w:space="0" w:color="auto"/>
        <w:left w:val="none" w:sz="0" w:space="0" w:color="auto"/>
        <w:bottom w:val="none" w:sz="0" w:space="0" w:color="auto"/>
        <w:right w:val="none" w:sz="0" w:space="0" w:color="auto"/>
      </w:divBdr>
    </w:div>
    <w:div w:id="526909989">
      <w:bodyDiv w:val="1"/>
      <w:marLeft w:val="0"/>
      <w:marRight w:val="0"/>
      <w:marTop w:val="0"/>
      <w:marBottom w:val="0"/>
      <w:divBdr>
        <w:top w:val="none" w:sz="0" w:space="0" w:color="auto"/>
        <w:left w:val="none" w:sz="0" w:space="0" w:color="auto"/>
        <w:bottom w:val="none" w:sz="0" w:space="0" w:color="auto"/>
        <w:right w:val="none" w:sz="0" w:space="0" w:color="auto"/>
      </w:divBdr>
    </w:div>
    <w:div w:id="526917360">
      <w:bodyDiv w:val="1"/>
      <w:marLeft w:val="0"/>
      <w:marRight w:val="0"/>
      <w:marTop w:val="0"/>
      <w:marBottom w:val="0"/>
      <w:divBdr>
        <w:top w:val="none" w:sz="0" w:space="0" w:color="auto"/>
        <w:left w:val="none" w:sz="0" w:space="0" w:color="auto"/>
        <w:bottom w:val="none" w:sz="0" w:space="0" w:color="auto"/>
        <w:right w:val="none" w:sz="0" w:space="0" w:color="auto"/>
      </w:divBdr>
    </w:div>
    <w:div w:id="526992508">
      <w:bodyDiv w:val="1"/>
      <w:marLeft w:val="0"/>
      <w:marRight w:val="0"/>
      <w:marTop w:val="0"/>
      <w:marBottom w:val="0"/>
      <w:divBdr>
        <w:top w:val="none" w:sz="0" w:space="0" w:color="auto"/>
        <w:left w:val="none" w:sz="0" w:space="0" w:color="auto"/>
        <w:bottom w:val="none" w:sz="0" w:space="0" w:color="auto"/>
        <w:right w:val="none" w:sz="0" w:space="0" w:color="auto"/>
      </w:divBdr>
    </w:div>
    <w:div w:id="527063899">
      <w:bodyDiv w:val="1"/>
      <w:marLeft w:val="0"/>
      <w:marRight w:val="0"/>
      <w:marTop w:val="0"/>
      <w:marBottom w:val="0"/>
      <w:divBdr>
        <w:top w:val="none" w:sz="0" w:space="0" w:color="auto"/>
        <w:left w:val="none" w:sz="0" w:space="0" w:color="auto"/>
        <w:bottom w:val="none" w:sz="0" w:space="0" w:color="auto"/>
        <w:right w:val="none" w:sz="0" w:space="0" w:color="auto"/>
      </w:divBdr>
    </w:div>
    <w:div w:id="527256568">
      <w:bodyDiv w:val="1"/>
      <w:marLeft w:val="0"/>
      <w:marRight w:val="0"/>
      <w:marTop w:val="0"/>
      <w:marBottom w:val="0"/>
      <w:divBdr>
        <w:top w:val="none" w:sz="0" w:space="0" w:color="auto"/>
        <w:left w:val="none" w:sz="0" w:space="0" w:color="auto"/>
        <w:bottom w:val="none" w:sz="0" w:space="0" w:color="auto"/>
        <w:right w:val="none" w:sz="0" w:space="0" w:color="auto"/>
      </w:divBdr>
    </w:div>
    <w:div w:id="527644930">
      <w:bodyDiv w:val="1"/>
      <w:marLeft w:val="0"/>
      <w:marRight w:val="0"/>
      <w:marTop w:val="0"/>
      <w:marBottom w:val="0"/>
      <w:divBdr>
        <w:top w:val="none" w:sz="0" w:space="0" w:color="auto"/>
        <w:left w:val="none" w:sz="0" w:space="0" w:color="auto"/>
        <w:bottom w:val="none" w:sz="0" w:space="0" w:color="auto"/>
        <w:right w:val="none" w:sz="0" w:space="0" w:color="auto"/>
      </w:divBdr>
    </w:div>
    <w:div w:id="528031342">
      <w:bodyDiv w:val="1"/>
      <w:marLeft w:val="0"/>
      <w:marRight w:val="0"/>
      <w:marTop w:val="0"/>
      <w:marBottom w:val="0"/>
      <w:divBdr>
        <w:top w:val="none" w:sz="0" w:space="0" w:color="auto"/>
        <w:left w:val="none" w:sz="0" w:space="0" w:color="auto"/>
        <w:bottom w:val="none" w:sz="0" w:space="0" w:color="auto"/>
        <w:right w:val="none" w:sz="0" w:space="0" w:color="auto"/>
      </w:divBdr>
    </w:div>
    <w:div w:id="528223463">
      <w:bodyDiv w:val="1"/>
      <w:marLeft w:val="0"/>
      <w:marRight w:val="0"/>
      <w:marTop w:val="0"/>
      <w:marBottom w:val="0"/>
      <w:divBdr>
        <w:top w:val="none" w:sz="0" w:space="0" w:color="auto"/>
        <w:left w:val="none" w:sz="0" w:space="0" w:color="auto"/>
        <w:bottom w:val="none" w:sz="0" w:space="0" w:color="auto"/>
        <w:right w:val="none" w:sz="0" w:space="0" w:color="auto"/>
      </w:divBdr>
    </w:div>
    <w:div w:id="528766219">
      <w:bodyDiv w:val="1"/>
      <w:marLeft w:val="0"/>
      <w:marRight w:val="0"/>
      <w:marTop w:val="0"/>
      <w:marBottom w:val="0"/>
      <w:divBdr>
        <w:top w:val="none" w:sz="0" w:space="0" w:color="auto"/>
        <w:left w:val="none" w:sz="0" w:space="0" w:color="auto"/>
        <w:bottom w:val="none" w:sz="0" w:space="0" w:color="auto"/>
        <w:right w:val="none" w:sz="0" w:space="0" w:color="auto"/>
      </w:divBdr>
    </w:div>
    <w:div w:id="528835182">
      <w:bodyDiv w:val="1"/>
      <w:marLeft w:val="0"/>
      <w:marRight w:val="0"/>
      <w:marTop w:val="0"/>
      <w:marBottom w:val="0"/>
      <w:divBdr>
        <w:top w:val="none" w:sz="0" w:space="0" w:color="auto"/>
        <w:left w:val="none" w:sz="0" w:space="0" w:color="auto"/>
        <w:bottom w:val="none" w:sz="0" w:space="0" w:color="auto"/>
        <w:right w:val="none" w:sz="0" w:space="0" w:color="auto"/>
      </w:divBdr>
    </w:div>
    <w:div w:id="529220775">
      <w:bodyDiv w:val="1"/>
      <w:marLeft w:val="0"/>
      <w:marRight w:val="0"/>
      <w:marTop w:val="0"/>
      <w:marBottom w:val="0"/>
      <w:divBdr>
        <w:top w:val="none" w:sz="0" w:space="0" w:color="auto"/>
        <w:left w:val="none" w:sz="0" w:space="0" w:color="auto"/>
        <w:bottom w:val="none" w:sz="0" w:space="0" w:color="auto"/>
        <w:right w:val="none" w:sz="0" w:space="0" w:color="auto"/>
      </w:divBdr>
    </w:div>
    <w:div w:id="529419245">
      <w:bodyDiv w:val="1"/>
      <w:marLeft w:val="0"/>
      <w:marRight w:val="0"/>
      <w:marTop w:val="0"/>
      <w:marBottom w:val="0"/>
      <w:divBdr>
        <w:top w:val="none" w:sz="0" w:space="0" w:color="auto"/>
        <w:left w:val="none" w:sz="0" w:space="0" w:color="auto"/>
        <w:bottom w:val="none" w:sz="0" w:space="0" w:color="auto"/>
        <w:right w:val="none" w:sz="0" w:space="0" w:color="auto"/>
      </w:divBdr>
    </w:div>
    <w:div w:id="530264534">
      <w:bodyDiv w:val="1"/>
      <w:marLeft w:val="0"/>
      <w:marRight w:val="0"/>
      <w:marTop w:val="0"/>
      <w:marBottom w:val="0"/>
      <w:divBdr>
        <w:top w:val="none" w:sz="0" w:space="0" w:color="auto"/>
        <w:left w:val="none" w:sz="0" w:space="0" w:color="auto"/>
        <w:bottom w:val="none" w:sz="0" w:space="0" w:color="auto"/>
        <w:right w:val="none" w:sz="0" w:space="0" w:color="auto"/>
      </w:divBdr>
    </w:div>
    <w:div w:id="530656453">
      <w:bodyDiv w:val="1"/>
      <w:marLeft w:val="0"/>
      <w:marRight w:val="0"/>
      <w:marTop w:val="0"/>
      <w:marBottom w:val="0"/>
      <w:divBdr>
        <w:top w:val="none" w:sz="0" w:space="0" w:color="auto"/>
        <w:left w:val="none" w:sz="0" w:space="0" w:color="auto"/>
        <w:bottom w:val="none" w:sz="0" w:space="0" w:color="auto"/>
        <w:right w:val="none" w:sz="0" w:space="0" w:color="auto"/>
      </w:divBdr>
    </w:div>
    <w:div w:id="530925389">
      <w:bodyDiv w:val="1"/>
      <w:marLeft w:val="0"/>
      <w:marRight w:val="0"/>
      <w:marTop w:val="0"/>
      <w:marBottom w:val="0"/>
      <w:divBdr>
        <w:top w:val="none" w:sz="0" w:space="0" w:color="auto"/>
        <w:left w:val="none" w:sz="0" w:space="0" w:color="auto"/>
        <w:bottom w:val="none" w:sz="0" w:space="0" w:color="auto"/>
        <w:right w:val="none" w:sz="0" w:space="0" w:color="auto"/>
      </w:divBdr>
    </w:div>
    <w:div w:id="531387303">
      <w:bodyDiv w:val="1"/>
      <w:marLeft w:val="0"/>
      <w:marRight w:val="0"/>
      <w:marTop w:val="0"/>
      <w:marBottom w:val="0"/>
      <w:divBdr>
        <w:top w:val="none" w:sz="0" w:space="0" w:color="auto"/>
        <w:left w:val="none" w:sz="0" w:space="0" w:color="auto"/>
        <w:bottom w:val="none" w:sz="0" w:space="0" w:color="auto"/>
        <w:right w:val="none" w:sz="0" w:space="0" w:color="auto"/>
      </w:divBdr>
    </w:div>
    <w:div w:id="531650548">
      <w:bodyDiv w:val="1"/>
      <w:marLeft w:val="0"/>
      <w:marRight w:val="0"/>
      <w:marTop w:val="0"/>
      <w:marBottom w:val="0"/>
      <w:divBdr>
        <w:top w:val="none" w:sz="0" w:space="0" w:color="auto"/>
        <w:left w:val="none" w:sz="0" w:space="0" w:color="auto"/>
        <w:bottom w:val="none" w:sz="0" w:space="0" w:color="auto"/>
        <w:right w:val="none" w:sz="0" w:space="0" w:color="auto"/>
      </w:divBdr>
    </w:div>
    <w:div w:id="531697138">
      <w:bodyDiv w:val="1"/>
      <w:marLeft w:val="0"/>
      <w:marRight w:val="0"/>
      <w:marTop w:val="0"/>
      <w:marBottom w:val="0"/>
      <w:divBdr>
        <w:top w:val="none" w:sz="0" w:space="0" w:color="auto"/>
        <w:left w:val="none" w:sz="0" w:space="0" w:color="auto"/>
        <w:bottom w:val="none" w:sz="0" w:space="0" w:color="auto"/>
        <w:right w:val="none" w:sz="0" w:space="0" w:color="auto"/>
      </w:divBdr>
      <w:divsChild>
        <w:div w:id="600839418">
          <w:marLeft w:val="0"/>
          <w:marRight w:val="0"/>
          <w:marTop w:val="0"/>
          <w:marBottom w:val="0"/>
          <w:divBdr>
            <w:top w:val="none" w:sz="0" w:space="0" w:color="auto"/>
            <w:left w:val="none" w:sz="0" w:space="0" w:color="auto"/>
            <w:bottom w:val="none" w:sz="0" w:space="0" w:color="auto"/>
            <w:right w:val="none" w:sz="0" w:space="0" w:color="auto"/>
          </w:divBdr>
        </w:div>
        <w:div w:id="860361908">
          <w:marLeft w:val="0"/>
          <w:marRight w:val="0"/>
          <w:marTop w:val="0"/>
          <w:marBottom w:val="0"/>
          <w:divBdr>
            <w:top w:val="none" w:sz="0" w:space="0" w:color="auto"/>
            <w:left w:val="none" w:sz="0" w:space="0" w:color="auto"/>
            <w:bottom w:val="none" w:sz="0" w:space="0" w:color="auto"/>
            <w:right w:val="none" w:sz="0" w:space="0" w:color="auto"/>
          </w:divBdr>
          <w:divsChild>
            <w:div w:id="894199089">
              <w:marLeft w:val="0"/>
              <w:marRight w:val="0"/>
              <w:marTop w:val="0"/>
              <w:marBottom w:val="0"/>
              <w:divBdr>
                <w:top w:val="none" w:sz="0" w:space="0" w:color="auto"/>
                <w:left w:val="none" w:sz="0" w:space="0" w:color="auto"/>
                <w:bottom w:val="none" w:sz="0" w:space="0" w:color="auto"/>
                <w:right w:val="none" w:sz="0" w:space="0" w:color="auto"/>
              </w:divBdr>
            </w:div>
            <w:div w:id="1203324911">
              <w:marLeft w:val="0"/>
              <w:marRight w:val="0"/>
              <w:marTop w:val="0"/>
              <w:marBottom w:val="0"/>
              <w:divBdr>
                <w:top w:val="none" w:sz="0" w:space="0" w:color="auto"/>
                <w:left w:val="none" w:sz="0" w:space="0" w:color="auto"/>
                <w:bottom w:val="none" w:sz="0" w:space="0" w:color="auto"/>
                <w:right w:val="none" w:sz="0" w:space="0" w:color="auto"/>
              </w:divBdr>
            </w:div>
            <w:div w:id="1635285619">
              <w:marLeft w:val="0"/>
              <w:marRight w:val="0"/>
              <w:marTop w:val="0"/>
              <w:marBottom w:val="0"/>
              <w:divBdr>
                <w:top w:val="none" w:sz="0" w:space="0" w:color="auto"/>
                <w:left w:val="none" w:sz="0" w:space="0" w:color="auto"/>
                <w:bottom w:val="none" w:sz="0" w:space="0" w:color="auto"/>
                <w:right w:val="none" w:sz="0" w:space="0" w:color="auto"/>
              </w:divBdr>
            </w:div>
          </w:divsChild>
        </w:div>
        <w:div w:id="1170288481">
          <w:marLeft w:val="0"/>
          <w:marRight w:val="0"/>
          <w:marTop w:val="0"/>
          <w:marBottom w:val="0"/>
          <w:divBdr>
            <w:top w:val="none" w:sz="0" w:space="0" w:color="auto"/>
            <w:left w:val="none" w:sz="0" w:space="0" w:color="auto"/>
            <w:bottom w:val="none" w:sz="0" w:space="0" w:color="auto"/>
            <w:right w:val="none" w:sz="0" w:space="0" w:color="auto"/>
          </w:divBdr>
        </w:div>
        <w:div w:id="1413312175">
          <w:marLeft w:val="0"/>
          <w:marRight w:val="0"/>
          <w:marTop w:val="0"/>
          <w:marBottom w:val="0"/>
          <w:divBdr>
            <w:top w:val="none" w:sz="0" w:space="0" w:color="auto"/>
            <w:left w:val="none" w:sz="0" w:space="0" w:color="auto"/>
            <w:bottom w:val="none" w:sz="0" w:space="0" w:color="auto"/>
            <w:right w:val="none" w:sz="0" w:space="0" w:color="auto"/>
          </w:divBdr>
        </w:div>
        <w:div w:id="1584028358">
          <w:marLeft w:val="0"/>
          <w:marRight w:val="0"/>
          <w:marTop w:val="0"/>
          <w:marBottom w:val="0"/>
          <w:divBdr>
            <w:top w:val="none" w:sz="0" w:space="0" w:color="auto"/>
            <w:left w:val="none" w:sz="0" w:space="0" w:color="auto"/>
            <w:bottom w:val="none" w:sz="0" w:space="0" w:color="auto"/>
            <w:right w:val="none" w:sz="0" w:space="0" w:color="auto"/>
          </w:divBdr>
        </w:div>
        <w:div w:id="1857036598">
          <w:marLeft w:val="0"/>
          <w:marRight w:val="0"/>
          <w:marTop w:val="0"/>
          <w:marBottom w:val="0"/>
          <w:divBdr>
            <w:top w:val="none" w:sz="0" w:space="0" w:color="auto"/>
            <w:left w:val="none" w:sz="0" w:space="0" w:color="auto"/>
            <w:bottom w:val="none" w:sz="0" w:space="0" w:color="auto"/>
            <w:right w:val="none" w:sz="0" w:space="0" w:color="auto"/>
          </w:divBdr>
        </w:div>
        <w:div w:id="2075540496">
          <w:marLeft w:val="0"/>
          <w:marRight w:val="0"/>
          <w:marTop w:val="0"/>
          <w:marBottom w:val="0"/>
          <w:divBdr>
            <w:top w:val="none" w:sz="0" w:space="0" w:color="auto"/>
            <w:left w:val="none" w:sz="0" w:space="0" w:color="auto"/>
            <w:bottom w:val="none" w:sz="0" w:space="0" w:color="auto"/>
            <w:right w:val="none" w:sz="0" w:space="0" w:color="auto"/>
          </w:divBdr>
          <w:divsChild>
            <w:div w:id="899024649">
              <w:marLeft w:val="-75"/>
              <w:marRight w:val="0"/>
              <w:marTop w:val="30"/>
              <w:marBottom w:val="30"/>
              <w:divBdr>
                <w:top w:val="none" w:sz="0" w:space="0" w:color="auto"/>
                <w:left w:val="none" w:sz="0" w:space="0" w:color="auto"/>
                <w:bottom w:val="none" w:sz="0" w:space="0" w:color="auto"/>
                <w:right w:val="none" w:sz="0" w:space="0" w:color="auto"/>
              </w:divBdr>
              <w:divsChild>
                <w:div w:id="8260341">
                  <w:marLeft w:val="0"/>
                  <w:marRight w:val="0"/>
                  <w:marTop w:val="0"/>
                  <w:marBottom w:val="0"/>
                  <w:divBdr>
                    <w:top w:val="none" w:sz="0" w:space="0" w:color="auto"/>
                    <w:left w:val="none" w:sz="0" w:space="0" w:color="auto"/>
                    <w:bottom w:val="none" w:sz="0" w:space="0" w:color="auto"/>
                    <w:right w:val="none" w:sz="0" w:space="0" w:color="auto"/>
                  </w:divBdr>
                  <w:divsChild>
                    <w:div w:id="1334069189">
                      <w:marLeft w:val="0"/>
                      <w:marRight w:val="0"/>
                      <w:marTop w:val="0"/>
                      <w:marBottom w:val="0"/>
                      <w:divBdr>
                        <w:top w:val="none" w:sz="0" w:space="0" w:color="auto"/>
                        <w:left w:val="none" w:sz="0" w:space="0" w:color="auto"/>
                        <w:bottom w:val="none" w:sz="0" w:space="0" w:color="auto"/>
                        <w:right w:val="none" w:sz="0" w:space="0" w:color="auto"/>
                      </w:divBdr>
                    </w:div>
                  </w:divsChild>
                </w:div>
                <w:div w:id="41640850">
                  <w:marLeft w:val="0"/>
                  <w:marRight w:val="0"/>
                  <w:marTop w:val="0"/>
                  <w:marBottom w:val="0"/>
                  <w:divBdr>
                    <w:top w:val="none" w:sz="0" w:space="0" w:color="auto"/>
                    <w:left w:val="none" w:sz="0" w:space="0" w:color="auto"/>
                    <w:bottom w:val="none" w:sz="0" w:space="0" w:color="auto"/>
                    <w:right w:val="none" w:sz="0" w:space="0" w:color="auto"/>
                  </w:divBdr>
                  <w:divsChild>
                    <w:div w:id="420567730">
                      <w:marLeft w:val="0"/>
                      <w:marRight w:val="0"/>
                      <w:marTop w:val="0"/>
                      <w:marBottom w:val="0"/>
                      <w:divBdr>
                        <w:top w:val="none" w:sz="0" w:space="0" w:color="auto"/>
                        <w:left w:val="none" w:sz="0" w:space="0" w:color="auto"/>
                        <w:bottom w:val="none" w:sz="0" w:space="0" w:color="auto"/>
                        <w:right w:val="none" w:sz="0" w:space="0" w:color="auto"/>
                      </w:divBdr>
                    </w:div>
                  </w:divsChild>
                </w:div>
                <w:div w:id="478113629">
                  <w:marLeft w:val="0"/>
                  <w:marRight w:val="0"/>
                  <w:marTop w:val="0"/>
                  <w:marBottom w:val="0"/>
                  <w:divBdr>
                    <w:top w:val="none" w:sz="0" w:space="0" w:color="auto"/>
                    <w:left w:val="none" w:sz="0" w:space="0" w:color="auto"/>
                    <w:bottom w:val="none" w:sz="0" w:space="0" w:color="auto"/>
                    <w:right w:val="none" w:sz="0" w:space="0" w:color="auto"/>
                  </w:divBdr>
                  <w:divsChild>
                    <w:div w:id="1469587082">
                      <w:marLeft w:val="0"/>
                      <w:marRight w:val="0"/>
                      <w:marTop w:val="0"/>
                      <w:marBottom w:val="0"/>
                      <w:divBdr>
                        <w:top w:val="none" w:sz="0" w:space="0" w:color="auto"/>
                        <w:left w:val="none" w:sz="0" w:space="0" w:color="auto"/>
                        <w:bottom w:val="none" w:sz="0" w:space="0" w:color="auto"/>
                        <w:right w:val="none" w:sz="0" w:space="0" w:color="auto"/>
                      </w:divBdr>
                    </w:div>
                  </w:divsChild>
                </w:div>
                <w:div w:id="552160639">
                  <w:marLeft w:val="0"/>
                  <w:marRight w:val="0"/>
                  <w:marTop w:val="0"/>
                  <w:marBottom w:val="0"/>
                  <w:divBdr>
                    <w:top w:val="none" w:sz="0" w:space="0" w:color="auto"/>
                    <w:left w:val="none" w:sz="0" w:space="0" w:color="auto"/>
                    <w:bottom w:val="none" w:sz="0" w:space="0" w:color="auto"/>
                    <w:right w:val="none" w:sz="0" w:space="0" w:color="auto"/>
                  </w:divBdr>
                  <w:divsChild>
                    <w:div w:id="135420248">
                      <w:marLeft w:val="0"/>
                      <w:marRight w:val="0"/>
                      <w:marTop w:val="0"/>
                      <w:marBottom w:val="0"/>
                      <w:divBdr>
                        <w:top w:val="none" w:sz="0" w:space="0" w:color="auto"/>
                        <w:left w:val="none" w:sz="0" w:space="0" w:color="auto"/>
                        <w:bottom w:val="none" w:sz="0" w:space="0" w:color="auto"/>
                        <w:right w:val="none" w:sz="0" w:space="0" w:color="auto"/>
                      </w:divBdr>
                    </w:div>
                  </w:divsChild>
                </w:div>
                <w:div w:id="776952242">
                  <w:marLeft w:val="0"/>
                  <w:marRight w:val="0"/>
                  <w:marTop w:val="0"/>
                  <w:marBottom w:val="0"/>
                  <w:divBdr>
                    <w:top w:val="none" w:sz="0" w:space="0" w:color="auto"/>
                    <w:left w:val="none" w:sz="0" w:space="0" w:color="auto"/>
                    <w:bottom w:val="none" w:sz="0" w:space="0" w:color="auto"/>
                    <w:right w:val="none" w:sz="0" w:space="0" w:color="auto"/>
                  </w:divBdr>
                  <w:divsChild>
                    <w:div w:id="1034498850">
                      <w:marLeft w:val="0"/>
                      <w:marRight w:val="0"/>
                      <w:marTop w:val="0"/>
                      <w:marBottom w:val="0"/>
                      <w:divBdr>
                        <w:top w:val="none" w:sz="0" w:space="0" w:color="auto"/>
                        <w:left w:val="none" w:sz="0" w:space="0" w:color="auto"/>
                        <w:bottom w:val="none" w:sz="0" w:space="0" w:color="auto"/>
                        <w:right w:val="none" w:sz="0" w:space="0" w:color="auto"/>
                      </w:divBdr>
                    </w:div>
                  </w:divsChild>
                </w:div>
                <w:div w:id="931468630">
                  <w:marLeft w:val="0"/>
                  <w:marRight w:val="0"/>
                  <w:marTop w:val="0"/>
                  <w:marBottom w:val="0"/>
                  <w:divBdr>
                    <w:top w:val="none" w:sz="0" w:space="0" w:color="auto"/>
                    <w:left w:val="none" w:sz="0" w:space="0" w:color="auto"/>
                    <w:bottom w:val="none" w:sz="0" w:space="0" w:color="auto"/>
                    <w:right w:val="none" w:sz="0" w:space="0" w:color="auto"/>
                  </w:divBdr>
                  <w:divsChild>
                    <w:div w:id="926886853">
                      <w:marLeft w:val="0"/>
                      <w:marRight w:val="0"/>
                      <w:marTop w:val="0"/>
                      <w:marBottom w:val="0"/>
                      <w:divBdr>
                        <w:top w:val="none" w:sz="0" w:space="0" w:color="auto"/>
                        <w:left w:val="none" w:sz="0" w:space="0" w:color="auto"/>
                        <w:bottom w:val="none" w:sz="0" w:space="0" w:color="auto"/>
                        <w:right w:val="none" w:sz="0" w:space="0" w:color="auto"/>
                      </w:divBdr>
                    </w:div>
                  </w:divsChild>
                </w:div>
                <w:div w:id="988632295">
                  <w:marLeft w:val="0"/>
                  <w:marRight w:val="0"/>
                  <w:marTop w:val="0"/>
                  <w:marBottom w:val="0"/>
                  <w:divBdr>
                    <w:top w:val="none" w:sz="0" w:space="0" w:color="auto"/>
                    <w:left w:val="none" w:sz="0" w:space="0" w:color="auto"/>
                    <w:bottom w:val="none" w:sz="0" w:space="0" w:color="auto"/>
                    <w:right w:val="none" w:sz="0" w:space="0" w:color="auto"/>
                  </w:divBdr>
                  <w:divsChild>
                    <w:div w:id="1865048566">
                      <w:marLeft w:val="0"/>
                      <w:marRight w:val="0"/>
                      <w:marTop w:val="0"/>
                      <w:marBottom w:val="0"/>
                      <w:divBdr>
                        <w:top w:val="none" w:sz="0" w:space="0" w:color="auto"/>
                        <w:left w:val="none" w:sz="0" w:space="0" w:color="auto"/>
                        <w:bottom w:val="none" w:sz="0" w:space="0" w:color="auto"/>
                        <w:right w:val="none" w:sz="0" w:space="0" w:color="auto"/>
                      </w:divBdr>
                    </w:div>
                  </w:divsChild>
                </w:div>
                <w:div w:id="1156991097">
                  <w:marLeft w:val="0"/>
                  <w:marRight w:val="0"/>
                  <w:marTop w:val="0"/>
                  <w:marBottom w:val="0"/>
                  <w:divBdr>
                    <w:top w:val="none" w:sz="0" w:space="0" w:color="auto"/>
                    <w:left w:val="none" w:sz="0" w:space="0" w:color="auto"/>
                    <w:bottom w:val="none" w:sz="0" w:space="0" w:color="auto"/>
                    <w:right w:val="none" w:sz="0" w:space="0" w:color="auto"/>
                  </w:divBdr>
                  <w:divsChild>
                    <w:div w:id="743337126">
                      <w:marLeft w:val="0"/>
                      <w:marRight w:val="0"/>
                      <w:marTop w:val="0"/>
                      <w:marBottom w:val="0"/>
                      <w:divBdr>
                        <w:top w:val="none" w:sz="0" w:space="0" w:color="auto"/>
                        <w:left w:val="none" w:sz="0" w:space="0" w:color="auto"/>
                        <w:bottom w:val="none" w:sz="0" w:space="0" w:color="auto"/>
                        <w:right w:val="none" w:sz="0" w:space="0" w:color="auto"/>
                      </w:divBdr>
                    </w:div>
                  </w:divsChild>
                </w:div>
                <w:div w:id="1211260076">
                  <w:marLeft w:val="0"/>
                  <w:marRight w:val="0"/>
                  <w:marTop w:val="0"/>
                  <w:marBottom w:val="0"/>
                  <w:divBdr>
                    <w:top w:val="none" w:sz="0" w:space="0" w:color="auto"/>
                    <w:left w:val="none" w:sz="0" w:space="0" w:color="auto"/>
                    <w:bottom w:val="none" w:sz="0" w:space="0" w:color="auto"/>
                    <w:right w:val="none" w:sz="0" w:space="0" w:color="auto"/>
                  </w:divBdr>
                  <w:divsChild>
                    <w:div w:id="991101257">
                      <w:marLeft w:val="0"/>
                      <w:marRight w:val="0"/>
                      <w:marTop w:val="0"/>
                      <w:marBottom w:val="0"/>
                      <w:divBdr>
                        <w:top w:val="none" w:sz="0" w:space="0" w:color="auto"/>
                        <w:left w:val="none" w:sz="0" w:space="0" w:color="auto"/>
                        <w:bottom w:val="none" w:sz="0" w:space="0" w:color="auto"/>
                        <w:right w:val="none" w:sz="0" w:space="0" w:color="auto"/>
                      </w:divBdr>
                    </w:div>
                  </w:divsChild>
                </w:div>
                <w:div w:id="1384983833">
                  <w:marLeft w:val="0"/>
                  <w:marRight w:val="0"/>
                  <w:marTop w:val="0"/>
                  <w:marBottom w:val="0"/>
                  <w:divBdr>
                    <w:top w:val="none" w:sz="0" w:space="0" w:color="auto"/>
                    <w:left w:val="none" w:sz="0" w:space="0" w:color="auto"/>
                    <w:bottom w:val="none" w:sz="0" w:space="0" w:color="auto"/>
                    <w:right w:val="none" w:sz="0" w:space="0" w:color="auto"/>
                  </w:divBdr>
                  <w:divsChild>
                    <w:div w:id="19098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6666">
      <w:bodyDiv w:val="1"/>
      <w:marLeft w:val="0"/>
      <w:marRight w:val="0"/>
      <w:marTop w:val="0"/>
      <w:marBottom w:val="0"/>
      <w:divBdr>
        <w:top w:val="none" w:sz="0" w:space="0" w:color="auto"/>
        <w:left w:val="none" w:sz="0" w:space="0" w:color="auto"/>
        <w:bottom w:val="none" w:sz="0" w:space="0" w:color="auto"/>
        <w:right w:val="none" w:sz="0" w:space="0" w:color="auto"/>
      </w:divBdr>
    </w:div>
    <w:div w:id="531964441">
      <w:bodyDiv w:val="1"/>
      <w:marLeft w:val="0"/>
      <w:marRight w:val="0"/>
      <w:marTop w:val="0"/>
      <w:marBottom w:val="0"/>
      <w:divBdr>
        <w:top w:val="none" w:sz="0" w:space="0" w:color="auto"/>
        <w:left w:val="none" w:sz="0" w:space="0" w:color="auto"/>
        <w:bottom w:val="none" w:sz="0" w:space="0" w:color="auto"/>
        <w:right w:val="none" w:sz="0" w:space="0" w:color="auto"/>
      </w:divBdr>
    </w:div>
    <w:div w:id="532306490">
      <w:bodyDiv w:val="1"/>
      <w:marLeft w:val="0"/>
      <w:marRight w:val="0"/>
      <w:marTop w:val="0"/>
      <w:marBottom w:val="0"/>
      <w:divBdr>
        <w:top w:val="none" w:sz="0" w:space="0" w:color="auto"/>
        <w:left w:val="none" w:sz="0" w:space="0" w:color="auto"/>
        <w:bottom w:val="none" w:sz="0" w:space="0" w:color="auto"/>
        <w:right w:val="none" w:sz="0" w:space="0" w:color="auto"/>
      </w:divBdr>
    </w:div>
    <w:div w:id="532427086">
      <w:bodyDiv w:val="1"/>
      <w:marLeft w:val="0"/>
      <w:marRight w:val="0"/>
      <w:marTop w:val="0"/>
      <w:marBottom w:val="0"/>
      <w:divBdr>
        <w:top w:val="none" w:sz="0" w:space="0" w:color="auto"/>
        <w:left w:val="none" w:sz="0" w:space="0" w:color="auto"/>
        <w:bottom w:val="none" w:sz="0" w:space="0" w:color="auto"/>
        <w:right w:val="none" w:sz="0" w:space="0" w:color="auto"/>
      </w:divBdr>
    </w:div>
    <w:div w:id="532503474">
      <w:bodyDiv w:val="1"/>
      <w:marLeft w:val="0"/>
      <w:marRight w:val="0"/>
      <w:marTop w:val="0"/>
      <w:marBottom w:val="0"/>
      <w:divBdr>
        <w:top w:val="none" w:sz="0" w:space="0" w:color="auto"/>
        <w:left w:val="none" w:sz="0" w:space="0" w:color="auto"/>
        <w:bottom w:val="none" w:sz="0" w:space="0" w:color="auto"/>
        <w:right w:val="none" w:sz="0" w:space="0" w:color="auto"/>
      </w:divBdr>
    </w:div>
    <w:div w:id="532575738">
      <w:bodyDiv w:val="1"/>
      <w:marLeft w:val="0"/>
      <w:marRight w:val="0"/>
      <w:marTop w:val="0"/>
      <w:marBottom w:val="0"/>
      <w:divBdr>
        <w:top w:val="none" w:sz="0" w:space="0" w:color="auto"/>
        <w:left w:val="none" w:sz="0" w:space="0" w:color="auto"/>
        <w:bottom w:val="none" w:sz="0" w:space="0" w:color="auto"/>
        <w:right w:val="none" w:sz="0" w:space="0" w:color="auto"/>
      </w:divBdr>
    </w:div>
    <w:div w:id="532697311">
      <w:bodyDiv w:val="1"/>
      <w:marLeft w:val="0"/>
      <w:marRight w:val="0"/>
      <w:marTop w:val="0"/>
      <w:marBottom w:val="0"/>
      <w:divBdr>
        <w:top w:val="none" w:sz="0" w:space="0" w:color="auto"/>
        <w:left w:val="none" w:sz="0" w:space="0" w:color="auto"/>
        <w:bottom w:val="none" w:sz="0" w:space="0" w:color="auto"/>
        <w:right w:val="none" w:sz="0" w:space="0" w:color="auto"/>
      </w:divBdr>
    </w:div>
    <w:div w:id="533268620">
      <w:bodyDiv w:val="1"/>
      <w:marLeft w:val="0"/>
      <w:marRight w:val="0"/>
      <w:marTop w:val="0"/>
      <w:marBottom w:val="0"/>
      <w:divBdr>
        <w:top w:val="none" w:sz="0" w:space="0" w:color="auto"/>
        <w:left w:val="none" w:sz="0" w:space="0" w:color="auto"/>
        <w:bottom w:val="none" w:sz="0" w:space="0" w:color="auto"/>
        <w:right w:val="none" w:sz="0" w:space="0" w:color="auto"/>
      </w:divBdr>
    </w:div>
    <w:div w:id="533738890">
      <w:bodyDiv w:val="1"/>
      <w:marLeft w:val="0"/>
      <w:marRight w:val="0"/>
      <w:marTop w:val="0"/>
      <w:marBottom w:val="0"/>
      <w:divBdr>
        <w:top w:val="none" w:sz="0" w:space="0" w:color="auto"/>
        <w:left w:val="none" w:sz="0" w:space="0" w:color="auto"/>
        <w:bottom w:val="none" w:sz="0" w:space="0" w:color="auto"/>
        <w:right w:val="none" w:sz="0" w:space="0" w:color="auto"/>
      </w:divBdr>
    </w:div>
    <w:div w:id="533856746">
      <w:bodyDiv w:val="1"/>
      <w:marLeft w:val="0"/>
      <w:marRight w:val="0"/>
      <w:marTop w:val="0"/>
      <w:marBottom w:val="0"/>
      <w:divBdr>
        <w:top w:val="none" w:sz="0" w:space="0" w:color="auto"/>
        <w:left w:val="none" w:sz="0" w:space="0" w:color="auto"/>
        <w:bottom w:val="none" w:sz="0" w:space="0" w:color="auto"/>
        <w:right w:val="none" w:sz="0" w:space="0" w:color="auto"/>
      </w:divBdr>
    </w:div>
    <w:div w:id="534271424">
      <w:bodyDiv w:val="1"/>
      <w:marLeft w:val="0"/>
      <w:marRight w:val="0"/>
      <w:marTop w:val="0"/>
      <w:marBottom w:val="0"/>
      <w:divBdr>
        <w:top w:val="none" w:sz="0" w:space="0" w:color="auto"/>
        <w:left w:val="none" w:sz="0" w:space="0" w:color="auto"/>
        <w:bottom w:val="none" w:sz="0" w:space="0" w:color="auto"/>
        <w:right w:val="none" w:sz="0" w:space="0" w:color="auto"/>
      </w:divBdr>
    </w:div>
    <w:div w:id="534392130">
      <w:bodyDiv w:val="1"/>
      <w:marLeft w:val="0"/>
      <w:marRight w:val="0"/>
      <w:marTop w:val="0"/>
      <w:marBottom w:val="0"/>
      <w:divBdr>
        <w:top w:val="none" w:sz="0" w:space="0" w:color="auto"/>
        <w:left w:val="none" w:sz="0" w:space="0" w:color="auto"/>
        <w:bottom w:val="none" w:sz="0" w:space="0" w:color="auto"/>
        <w:right w:val="none" w:sz="0" w:space="0" w:color="auto"/>
      </w:divBdr>
    </w:div>
    <w:div w:id="535387519">
      <w:bodyDiv w:val="1"/>
      <w:marLeft w:val="0"/>
      <w:marRight w:val="0"/>
      <w:marTop w:val="0"/>
      <w:marBottom w:val="0"/>
      <w:divBdr>
        <w:top w:val="none" w:sz="0" w:space="0" w:color="auto"/>
        <w:left w:val="none" w:sz="0" w:space="0" w:color="auto"/>
        <w:bottom w:val="none" w:sz="0" w:space="0" w:color="auto"/>
        <w:right w:val="none" w:sz="0" w:space="0" w:color="auto"/>
      </w:divBdr>
    </w:div>
    <w:div w:id="535696269">
      <w:bodyDiv w:val="1"/>
      <w:marLeft w:val="0"/>
      <w:marRight w:val="0"/>
      <w:marTop w:val="0"/>
      <w:marBottom w:val="0"/>
      <w:divBdr>
        <w:top w:val="none" w:sz="0" w:space="0" w:color="auto"/>
        <w:left w:val="none" w:sz="0" w:space="0" w:color="auto"/>
        <w:bottom w:val="none" w:sz="0" w:space="0" w:color="auto"/>
        <w:right w:val="none" w:sz="0" w:space="0" w:color="auto"/>
      </w:divBdr>
    </w:div>
    <w:div w:id="535777437">
      <w:bodyDiv w:val="1"/>
      <w:marLeft w:val="0"/>
      <w:marRight w:val="0"/>
      <w:marTop w:val="0"/>
      <w:marBottom w:val="0"/>
      <w:divBdr>
        <w:top w:val="none" w:sz="0" w:space="0" w:color="auto"/>
        <w:left w:val="none" w:sz="0" w:space="0" w:color="auto"/>
        <w:bottom w:val="none" w:sz="0" w:space="0" w:color="auto"/>
        <w:right w:val="none" w:sz="0" w:space="0" w:color="auto"/>
      </w:divBdr>
    </w:div>
    <w:div w:id="535777649">
      <w:bodyDiv w:val="1"/>
      <w:marLeft w:val="0"/>
      <w:marRight w:val="0"/>
      <w:marTop w:val="0"/>
      <w:marBottom w:val="0"/>
      <w:divBdr>
        <w:top w:val="none" w:sz="0" w:space="0" w:color="auto"/>
        <w:left w:val="none" w:sz="0" w:space="0" w:color="auto"/>
        <w:bottom w:val="none" w:sz="0" w:space="0" w:color="auto"/>
        <w:right w:val="none" w:sz="0" w:space="0" w:color="auto"/>
      </w:divBdr>
    </w:div>
    <w:div w:id="536239653">
      <w:bodyDiv w:val="1"/>
      <w:marLeft w:val="0"/>
      <w:marRight w:val="0"/>
      <w:marTop w:val="0"/>
      <w:marBottom w:val="0"/>
      <w:divBdr>
        <w:top w:val="none" w:sz="0" w:space="0" w:color="auto"/>
        <w:left w:val="none" w:sz="0" w:space="0" w:color="auto"/>
        <w:bottom w:val="none" w:sz="0" w:space="0" w:color="auto"/>
        <w:right w:val="none" w:sz="0" w:space="0" w:color="auto"/>
      </w:divBdr>
    </w:div>
    <w:div w:id="536430291">
      <w:bodyDiv w:val="1"/>
      <w:marLeft w:val="0"/>
      <w:marRight w:val="0"/>
      <w:marTop w:val="0"/>
      <w:marBottom w:val="0"/>
      <w:divBdr>
        <w:top w:val="none" w:sz="0" w:space="0" w:color="auto"/>
        <w:left w:val="none" w:sz="0" w:space="0" w:color="auto"/>
        <w:bottom w:val="none" w:sz="0" w:space="0" w:color="auto"/>
        <w:right w:val="none" w:sz="0" w:space="0" w:color="auto"/>
      </w:divBdr>
    </w:div>
    <w:div w:id="536818172">
      <w:bodyDiv w:val="1"/>
      <w:marLeft w:val="0"/>
      <w:marRight w:val="0"/>
      <w:marTop w:val="0"/>
      <w:marBottom w:val="0"/>
      <w:divBdr>
        <w:top w:val="none" w:sz="0" w:space="0" w:color="auto"/>
        <w:left w:val="none" w:sz="0" w:space="0" w:color="auto"/>
        <w:bottom w:val="none" w:sz="0" w:space="0" w:color="auto"/>
        <w:right w:val="none" w:sz="0" w:space="0" w:color="auto"/>
      </w:divBdr>
    </w:div>
    <w:div w:id="538055057">
      <w:bodyDiv w:val="1"/>
      <w:marLeft w:val="0"/>
      <w:marRight w:val="0"/>
      <w:marTop w:val="0"/>
      <w:marBottom w:val="0"/>
      <w:divBdr>
        <w:top w:val="none" w:sz="0" w:space="0" w:color="auto"/>
        <w:left w:val="none" w:sz="0" w:space="0" w:color="auto"/>
        <w:bottom w:val="none" w:sz="0" w:space="0" w:color="auto"/>
        <w:right w:val="none" w:sz="0" w:space="0" w:color="auto"/>
      </w:divBdr>
    </w:div>
    <w:div w:id="538055810">
      <w:bodyDiv w:val="1"/>
      <w:marLeft w:val="0"/>
      <w:marRight w:val="0"/>
      <w:marTop w:val="0"/>
      <w:marBottom w:val="0"/>
      <w:divBdr>
        <w:top w:val="none" w:sz="0" w:space="0" w:color="auto"/>
        <w:left w:val="none" w:sz="0" w:space="0" w:color="auto"/>
        <w:bottom w:val="none" w:sz="0" w:space="0" w:color="auto"/>
        <w:right w:val="none" w:sz="0" w:space="0" w:color="auto"/>
      </w:divBdr>
    </w:div>
    <w:div w:id="538132775">
      <w:bodyDiv w:val="1"/>
      <w:marLeft w:val="0"/>
      <w:marRight w:val="0"/>
      <w:marTop w:val="0"/>
      <w:marBottom w:val="0"/>
      <w:divBdr>
        <w:top w:val="none" w:sz="0" w:space="0" w:color="auto"/>
        <w:left w:val="none" w:sz="0" w:space="0" w:color="auto"/>
        <w:bottom w:val="none" w:sz="0" w:space="0" w:color="auto"/>
        <w:right w:val="none" w:sz="0" w:space="0" w:color="auto"/>
      </w:divBdr>
    </w:div>
    <w:div w:id="538199696">
      <w:bodyDiv w:val="1"/>
      <w:marLeft w:val="0"/>
      <w:marRight w:val="0"/>
      <w:marTop w:val="0"/>
      <w:marBottom w:val="0"/>
      <w:divBdr>
        <w:top w:val="none" w:sz="0" w:space="0" w:color="auto"/>
        <w:left w:val="none" w:sz="0" w:space="0" w:color="auto"/>
        <w:bottom w:val="none" w:sz="0" w:space="0" w:color="auto"/>
        <w:right w:val="none" w:sz="0" w:space="0" w:color="auto"/>
      </w:divBdr>
    </w:div>
    <w:div w:id="538317865">
      <w:bodyDiv w:val="1"/>
      <w:marLeft w:val="0"/>
      <w:marRight w:val="0"/>
      <w:marTop w:val="0"/>
      <w:marBottom w:val="0"/>
      <w:divBdr>
        <w:top w:val="none" w:sz="0" w:space="0" w:color="auto"/>
        <w:left w:val="none" w:sz="0" w:space="0" w:color="auto"/>
        <w:bottom w:val="none" w:sz="0" w:space="0" w:color="auto"/>
        <w:right w:val="none" w:sz="0" w:space="0" w:color="auto"/>
      </w:divBdr>
    </w:div>
    <w:div w:id="538736684">
      <w:bodyDiv w:val="1"/>
      <w:marLeft w:val="0"/>
      <w:marRight w:val="0"/>
      <w:marTop w:val="0"/>
      <w:marBottom w:val="0"/>
      <w:divBdr>
        <w:top w:val="none" w:sz="0" w:space="0" w:color="auto"/>
        <w:left w:val="none" w:sz="0" w:space="0" w:color="auto"/>
        <w:bottom w:val="none" w:sz="0" w:space="0" w:color="auto"/>
        <w:right w:val="none" w:sz="0" w:space="0" w:color="auto"/>
      </w:divBdr>
    </w:div>
    <w:div w:id="538787032">
      <w:bodyDiv w:val="1"/>
      <w:marLeft w:val="0"/>
      <w:marRight w:val="0"/>
      <w:marTop w:val="0"/>
      <w:marBottom w:val="0"/>
      <w:divBdr>
        <w:top w:val="none" w:sz="0" w:space="0" w:color="auto"/>
        <w:left w:val="none" w:sz="0" w:space="0" w:color="auto"/>
        <w:bottom w:val="none" w:sz="0" w:space="0" w:color="auto"/>
        <w:right w:val="none" w:sz="0" w:space="0" w:color="auto"/>
      </w:divBdr>
    </w:div>
    <w:div w:id="538905295">
      <w:bodyDiv w:val="1"/>
      <w:marLeft w:val="0"/>
      <w:marRight w:val="0"/>
      <w:marTop w:val="0"/>
      <w:marBottom w:val="0"/>
      <w:divBdr>
        <w:top w:val="none" w:sz="0" w:space="0" w:color="auto"/>
        <w:left w:val="none" w:sz="0" w:space="0" w:color="auto"/>
        <w:bottom w:val="none" w:sz="0" w:space="0" w:color="auto"/>
        <w:right w:val="none" w:sz="0" w:space="0" w:color="auto"/>
      </w:divBdr>
    </w:div>
    <w:div w:id="539049666">
      <w:bodyDiv w:val="1"/>
      <w:marLeft w:val="0"/>
      <w:marRight w:val="0"/>
      <w:marTop w:val="0"/>
      <w:marBottom w:val="0"/>
      <w:divBdr>
        <w:top w:val="none" w:sz="0" w:space="0" w:color="auto"/>
        <w:left w:val="none" w:sz="0" w:space="0" w:color="auto"/>
        <w:bottom w:val="none" w:sz="0" w:space="0" w:color="auto"/>
        <w:right w:val="none" w:sz="0" w:space="0" w:color="auto"/>
      </w:divBdr>
    </w:div>
    <w:div w:id="539053604">
      <w:bodyDiv w:val="1"/>
      <w:marLeft w:val="0"/>
      <w:marRight w:val="0"/>
      <w:marTop w:val="0"/>
      <w:marBottom w:val="0"/>
      <w:divBdr>
        <w:top w:val="none" w:sz="0" w:space="0" w:color="auto"/>
        <w:left w:val="none" w:sz="0" w:space="0" w:color="auto"/>
        <w:bottom w:val="none" w:sz="0" w:space="0" w:color="auto"/>
        <w:right w:val="none" w:sz="0" w:space="0" w:color="auto"/>
      </w:divBdr>
    </w:div>
    <w:div w:id="539099280">
      <w:bodyDiv w:val="1"/>
      <w:marLeft w:val="0"/>
      <w:marRight w:val="0"/>
      <w:marTop w:val="0"/>
      <w:marBottom w:val="0"/>
      <w:divBdr>
        <w:top w:val="none" w:sz="0" w:space="0" w:color="auto"/>
        <w:left w:val="none" w:sz="0" w:space="0" w:color="auto"/>
        <w:bottom w:val="none" w:sz="0" w:space="0" w:color="auto"/>
        <w:right w:val="none" w:sz="0" w:space="0" w:color="auto"/>
      </w:divBdr>
    </w:div>
    <w:div w:id="539166393">
      <w:bodyDiv w:val="1"/>
      <w:marLeft w:val="0"/>
      <w:marRight w:val="0"/>
      <w:marTop w:val="0"/>
      <w:marBottom w:val="0"/>
      <w:divBdr>
        <w:top w:val="none" w:sz="0" w:space="0" w:color="auto"/>
        <w:left w:val="none" w:sz="0" w:space="0" w:color="auto"/>
        <w:bottom w:val="none" w:sz="0" w:space="0" w:color="auto"/>
        <w:right w:val="none" w:sz="0" w:space="0" w:color="auto"/>
      </w:divBdr>
    </w:div>
    <w:div w:id="539362236">
      <w:bodyDiv w:val="1"/>
      <w:marLeft w:val="0"/>
      <w:marRight w:val="0"/>
      <w:marTop w:val="0"/>
      <w:marBottom w:val="0"/>
      <w:divBdr>
        <w:top w:val="none" w:sz="0" w:space="0" w:color="auto"/>
        <w:left w:val="none" w:sz="0" w:space="0" w:color="auto"/>
        <w:bottom w:val="none" w:sz="0" w:space="0" w:color="auto"/>
        <w:right w:val="none" w:sz="0" w:space="0" w:color="auto"/>
      </w:divBdr>
    </w:div>
    <w:div w:id="539517151">
      <w:bodyDiv w:val="1"/>
      <w:marLeft w:val="0"/>
      <w:marRight w:val="0"/>
      <w:marTop w:val="0"/>
      <w:marBottom w:val="0"/>
      <w:divBdr>
        <w:top w:val="none" w:sz="0" w:space="0" w:color="auto"/>
        <w:left w:val="none" w:sz="0" w:space="0" w:color="auto"/>
        <w:bottom w:val="none" w:sz="0" w:space="0" w:color="auto"/>
        <w:right w:val="none" w:sz="0" w:space="0" w:color="auto"/>
      </w:divBdr>
    </w:div>
    <w:div w:id="539637230">
      <w:bodyDiv w:val="1"/>
      <w:marLeft w:val="0"/>
      <w:marRight w:val="0"/>
      <w:marTop w:val="0"/>
      <w:marBottom w:val="0"/>
      <w:divBdr>
        <w:top w:val="none" w:sz="0" w:space="0" w:color="auto"/>
        <w:left w:val="none" w:sz="0" w:space="0" w:color="auto"/>
        <w:bottom w:val="none" w:sz="0" w:space="0" w:color="auto"/>
        <w:right w:val="none" w:sz="0" w:space="0" w:color="auto"/>
      </w:divBdr>
    </w:div>
    <w:div w:id="539754632">
      <w:bodyDiv w:val="1"/>
      <w:marLeft w:val="0"/>
      <w:marRight w:val="0"/>
      <w:marTop w:val="0"/>
      <w:marBottom w:val="0"/>
      <w:divBdr>
        <w:top w:val="none" w:sz="0" w:space="0" w:color="auto"/>
        <w:left w:val="none" w:sz="0" w:space="0" w:color="auto"/>
        <w:bottom w:val="none" w:sz="0" w:space="0" w:color="auto"/>
        <w:right w:val="none" w:sz="0" w:space="0" w:color="auto"/>
      </w:divBdr>
    </w:div>
    <w:div w:id="539899028">
      <w:bodyDiv w:val="1"/>
      <w:marLeft w:val="0"/>
      <w:marRight w:val="0"/>
      <w:marTop w:val="0"/>
      <w:marBottom w:val="0"/>
      <w:divBdr>
        <w:top w:val="none" w:sz="0" w:space="0" w:color="auto"/>
        <w:left w:val="none" w:sz="0" w:space="0" w:color="auto"/>
        <w:bottom w:val="none" w:sz="0" w:space="0" w:color="auto"/>
        <w:right w:val="none" w:sz="0" w:space="0" w:color="auto"/>
      </w:divBdr>
    </w:div>
    <w:div w:id="540094488">
      <w:bodyDiv w:val="1"/>
      <w:marLeft w:val="0"/>
      <w:marRight w:val="0"/>
      <w:marTop w:val="0"/>
      <w:marBottom w:val="0"/>
      <w:divBdr>
        <w:top w:val="none" w:sz="0" w:space="0" w:color="auto"/>
        <w:left w:val="none" w:sz="0" w:space="0" w:color="auto"/>
        <w:bottom w:val="none" w:sz="0" w:space="0" w:color="auto"/>
        <w:right w:val="none" w:sz="0" w:space="0" w:color="auto"/>
      </w:divBdr>
    </w:div>
    <w:div w:id="540216327">
      <w:bodyDiv w:val="1"/>
      <w:marLeft w:val="0"/>
      <w:marRight w:val="0"/>
      <w:marTop w:val="0"/>
      <w:marBottom w:val="0"/>
      <w:divBdr>
        <w:top w:val="none" w:sz="0" w:space="0" w:color="auto"/>
        <w:left w:val="none" w:sz="0" w:space="0" w:color="auto"/>
        <w:bottom w:val="none" w:sz="0" w:space="0" w:color="auto"/>
        <w:right w:val="none" w:sz="0" w:space="0" w:color="auto"/>
      </w:divBdr>
    </w:div>
    <w:div w:id="540290554">
      <w:bodyDiv w:val="1"/>
      <w:marLeft w:val="0"/>
      <w:marRight w:val="0"/>
      <w:marTop w:val="0"/>
      <w:marBottom w:val="0"/>
      <w:divBdr>
        <w:top w:val="none" w:sz="0" w:space="0" w:color="auto"/>
        <w:left w:val="none" w:sz="0" w:space="0" w:color="auto"/>
        <w:bottom w:val="none" w:sz="0" w:space="0" w:color="auto"/>
        <w:right w:val="none" w:sz="0" w:space="0" w:color="auto"/>
      </w:divBdr>
    </w:div>
    <w:div w:id="540628895">
      <w:bodyDiv w:val="1"/>
      <w:marLeft w:val="0"/>
      <w:marRight w:val="0"/>
      <w:marTop w:val="0"/>
      <w:marBottom w:val="0"/>
      <w:divBdr>
        <w:top w:val="none" w:sz="0" w:space="0" w:color="auto"/>
        <w:left w:val="none" w:sz="0" w:space="0" w:color="auto"/>
        <w:bottom w:val="none" w:sz="0" w:space="0" w:color="auto"/>
        <w:right w:val="none" w:sz="0" w:space="0" w:color="auto"/>
      </w:divBdr>
    </w:div>
    <w:div w:id="540676299">
      <w:bodyDiv w:val="1"/>
      <w:marLeft w:val="0"/>
      <w:marRight w:val="0"/>
      <w:marTop w:val="0"/>
      <w:marBottom w:val="0"/>
      <w:divBdr>
        <w:top w:val="none" w:sz="0" w:space="0" w:color="auto"/>
        <w:left w:val="none" w:sz="0" w:space="0" w:color="auto"/>
        <w:bottom w:val="none" w:sz="0" w:space="0" w:color="auto"/>
        <w:right w:val="none" w:sz="0" w:space="0" w:color="auto"/>
      </w:divBdr>
    </w:div>
    <w:div w:id="540677462">
      <w:bodyDiv w:val="1"/>
      <w:marLeft w:val="0"/>
      <w:marRight w:val="0"/>
      <w:marTop w:val="0"/>
      <w:marBottom w:val="0"/>
      <w:divBdr>
        <w:top w:val="none" w:sz="0" w:space="0" w:color="auto"/>
        <w:left w:val="none" w:sz="0" w:space="0" w:color="auto"/>
        <w:bottom w:val="none" w:sz="0" w:space="0" w:color="auto"/>
        <w:right w:val="none" w:sz="0" w:space="0" w:color="auto"/>
      </w:divBdr>
    </w:div>
    <w:div w:id="541089039">
      <w:bodyDiv w:val="1"/>
      <w:marLeft w:val="0"/>
      <w:marRight w:val="0"/>
      <w:marTop w:val="0"/>
      <w:marBottom w:val="0"/>
      <w:divBdr>
        <w:top w:val="none" w:sz="0" w:space="0" w:color="auto"/>
        <w:left w:val="none" w:sz="0" w:space="0" w:color="auto"/>
        <w:bottom w:val="none" w:sz="0" w:space="0" w:color="auto"/>
        <w:right w:val="none" w:sz="0" w:space="0" w:color="auto"/>
      </w:divBdr>
    </w:div>
    <w:div w:id="541139648">
      <w:bodyDiv w:val="1"/>
      <w:marLeft w:val="0"/>
      <w:marRight w:val="0"/>
      <w:marTop w:val="0"/>
      <w:marBottom w:val="0"/>
      <w:divBdr>
        <w:top w:val="none" w:sz="0" w:space="0" w:color="auto"/>
        <w:left w:val="none" w:sz="0" w:space="0" w:color="auto"/>
        <w:bottom w:val="none" w:sz="0" w:space="0" w:color="auto"/>
        <w:right w:val="none" w:sz="0" w:space="0" w:color="auto"/>
      </w:divBdr>
    </w:div>
    <w:div w:id="541140840">
      <w:bodyDiv w:val="1"/>
      <w:marLeft w:val="0"/>
      <w:marRight w:val="0"/>
      <w:marTop w:val="0"/>
      <w:marBottom w:val="0"/>
      <w:divBdr>
        <w:top w:val="none" w:sz="0" w:space="0" w:color="auto"/>
        <w:left w:val="none" w:sz="0" w:space="0" w:color="auto"/>
        <w:bottom w:val="none" w:sz="0" w:space="0" w:color="auto"/>
        <w:right w:val="none" w:sz="0" w:space="0" w:color="auto"/>
      </w:divBdr>
    </w:div>
    <w:div w:id="541554846">
      <w:bodyDiv w:val="1"/>
      <w:marLeft w:val="0"/>
      <w:marRight w:val="0"/>
      <w:marTop w:val="0"/>
      <w:marBottom w:val="0"/>
      <w:divBdr>
        <w:top w:val="none" w:sz="0" w:space="0" w:color="auto"/>
        <w:left w:val="none" w:sz="0" w:space="0" w:color="auto"/>
        <w:bottom w:val="none" w:sz="0" w:space="0" w:color="auto"/>
        <w:right w:val="none" w:sz="0" w:space="0" w:color="auto"/>
      </w:divBdr>
    </w:div>
    <w:div w:id="541676015">
      <w:bodyDiv w:val="1"/>
      <w:marLeft w:val="0"/>
      <w:marRight w:val="0"/>
      <w:marTop w:val="0"/>
      <w:marBottom w:val="0"/>
      <w:divBdr>
        <w:top w:val="none" w:sz="0" w:space="0" w:color="auto"/>
        <w:left w:val="none" w:sz="0" w:space="0" w:color="auto"/>
        <w:bottom w:val="none" w:sz="0" w:space="0" w:color="auto"/>
        <w:right w:val="none" w:sz="0" w:space="0" w:color="auto"/>
      </w:divBdr>
    </w:div>
    <w:div w:id="542330745">
      <w:bodyDiv w:val="1"/>
      <w:marLeft w:val="0"/>
      <w:marRight w:val="0"/>
      <w:marTop w:val="0"/>
      <w:marBottom w:val="0"/>
      <w:divBdr>
        <w:top w:val="none" w:sz="0" w:space="0" w:color="auto"/>
        <w:left w:val="none" w:sz="0" w:space="0" w:color="auto"/>
        <w:bottom w:val="none" w:sz="0" w:space="0" w:color="auto"/>
        <w:right w:val="none" w:sz="0" w:space="0" w:color="auto"/>
      </w:divBdr>
    </w:div>
    <w:div w:id="542403667">
      <w:bodyDiv w:val="1"/>
      <w:marLeft w:val="0"/>
      <w:marRight w:val="0"/>
      <w:marTop w:val="0"/>
      <w:marBottom w:val="0"/>
      <w:divBdr>
        <w:top w:val="none" w:sz="0" w:space="0" w:color="auto"/>
        <w:left w:val="none" w:sz="0" w:space="0" w:color="auto"/>
        <w:bottom w:val="none" w:sz="0" w:space="0" w:color="auto"/>
        <w:right w:val="none" w:sz="0" w:space="0" w:color="auto"/>
      </w:divBdr>
    </w:div>
    <w:div w:id="542524169">
      <w:bodyDiv w:val="1"/>
      <w:marLeft w:val="0"/>
      <w:marRight w:val="0"/>
      <w:marTop w:val="0"/>
      <w:marBottom w:val="0"/>
      <w:divBdr>
        <w:top w:val="none" w:sz="0" w:space="0" w:color="auto"/>
        <w:left w:val="none" w:sz="0" w:space="0" w:color="auto"/>
        <w:bottom w:val="none" w:sz="0" w:space="0" w:color="auto"/>
        <w:right w:val="none" w:sz="0" w:space="0" w:color="auto"/>
      </w:divBdr>
    </w:div>
    <w:div w:id="542711955">
      <w:bodyDiv w:val="1"/>
      <w:marLeft w:val="0"/>
      <w:marRight w:val="0"/>
      <w:marTop w:val="0"/>
      <w:marBottom w:val="0"/>
      <w:divBdr>
        <w:top w:val="none" w:sz="0" w:space="0" w:color="auto"/>
        <w:left w:val="none" w:sz="0" w:space="0" w:color="auto"/>
        <w:bottom w:val="none" w:sz="0" w:space="0" w:color="auto"/>
        <w:right w:val="none" w:sz="0" w:space="0" w:color="auto"/>
      </w:divBdr>
    </w:div>
    <w:div w:id="542792333">
      <w:bodyDiv w:val="1"/>
      <w:marLeft w:val="0"/>
      <w:marRight w:val="0"/>
      <w:marTop w:val="0"/>
      <w:marBottom w:val="0"/>
      <w:divBdr>
        <w:top w:val="none" w:sz="0" w:space="0" w:color="auto"/>
        <w:left w:val="none" w:sz="0" w:space="0" w:color="auto"/>
        <w:bottom w:val="none" w:sz="0" w:space="0" w:color="auto"/>
        <w:right w:val="none" w:sz="0" w:space="0" w:color="auto"/>
      </w:divBdr>
    </w:div>
    <w:div w:id="542864283">
      <w:bodyDiv w:val="1"/>
      <w:marLeft w:val="0"/>
      <w:marRight w:val="0"/>
      <w:marTop w:val="0"/>
      <w:marBottom w:val="0"/>
      <w:divBdr>
        <w:top w:val="none" w:sz="0" w:space="0" w:color="auto"/>
        <w:left w:val="none" w:sz="0" w:space="0" w:color="auto"/>
        <w:bottom w:val="none" w:sz="0" w:space="0" w:color="auto"/>
        <w:right w:val="none" w:sz="0" w:space="0" w:color="auto"/>
      </w:divBdr>
    </w:div>
    <w:div w:id="543177935">
      <w:bodyDiv w:val="1"/>
      <w:marLeft w:val="0"/>
      <w:marRight w:val="0"/>
      <w:marTop w:val="0"/>
      <w:marBottom w:val="0"/>
      <w:divBdr>
        <w:top w:val="none" w:sz="0" w:space="0" w:color="auto"/>
        <w:left w:val="none" w:sz="0" w:space="0" w:color="auto"/>
        <w:bottom w:val="none" w:sz="0" w:space="0" w:color="auto"/>
        <w:right w:val="none" w:sz="0" w:space="0" w:color="auto"/>
      </w:divBdr>
    </w:div>
    <w:div w:id="543905098">
      <w:bodyDiv w:val="1"/>
      <w:marLeft w:val="0"/>
      <w:marRight w:val="0"/>
      <w:marTop w:val="0"/>
      <w:marBottom w:val="0"/>
      <w:divBdr>
        <w:top w:val="none" w:sz="0" w:space="0" w:color="auto"/>
        <w:left w:val="none" w:sz="0" w:space="0" w:color="auto"/>
        <w:bottom w:val="none" w:sz="0" w:space="0" w:color="auto"/>
        <w:right w:val="none" w:sz="0" w:space="0" w:color="auto"/>
      </w:divBdr>
    </w:div>
    <w:div w:id="543908965">
      <w:bodyDiv w:val="1"/>
      <w:marLeft w:val="0"/>
      <w:marRight w:val="0"/>
      <w:marTop w:val="0"/>
      <w:marBottom w:val="0"/>
      <w:divBdr>
        <w:top w:val="none" w:sz="0" w:space="0" w:color="auto"/>
        <w:left w:val="none" w:sz="0" w:space="0" w:color="auto"/>
        <w:bottom w:val="none" w:sz="0" w:space="0" w:color="auto"/>
        <w:right w:val="none" w:sz="0" w:space="0" w:color="auto"/>
      </w:divBdr>
    </w:div>
    <w:div w:id="543911411">
      <w:bodyDiv w:val="1"/>
      <w:marLeft w:val="0"/>
      <w:marRight w:val="0"/>
      <w:marTop w:val="0"/>
      <w:marBottom w:val="0"/>
      <w:divBdr>
        <w:top w:val="none" w:sz="0" w:space="0" w:color="auto"/>
        <w:left w:val="none" w:sz="0" w:space="0" w:color="auto"/>
        <w:bottom w:val="none" w:sz="0" w:space="0" w:color="auto"/>
        <w:right w:val="none" w:sz="0" w:space="0" w:color="auto"/>
      </w:divBdr>
    </w:div>
    <w:div w:id="543912569">
      <w:bodyDiv w:val="1"/>
      <w:marLeft w:val="0"/>
      <w:marRight w:val="0"/>
      <w:marTop w:val="0"/>
      <w:marBottom w:val="0"/>
      <w:divBdr>
        <w:top w:val="none" w:sz="0" w:space="0" w:color="auto"/>
        <w:left w:val="none" w:sz="0" w:space="0" w:color="auto"/>
        <w:bottom w:val="none" w:sz="0" w:space="0" w:color="auto"/>
        <w:right w:val="none" w:sz="0" w:space="0" w:color="auto"/>
      </w:divBdr>
    </w:div>
    <w:div w:id="543981519">
      <w:bodyDiv w:val="1"/>
      <w:marLeft w:val="0"/>
      <w:marRight w:val="0"/>
      <w:marTop w:val="0"/>
      <w:marBottom w:val="0"/>
      <w:divBdr>
        <w:top w:val="none" w:sz="0" w:space="0" w:color="auto"/>
        <w:left w:val="none" w:sz="0" w:space="0" w:color="auto"/>
        <w:bottom w:val="none" w:sz="0" w:space="0" w:color="auto"/>
        <w:right w:val="none" w:sz="0" w:space="0" w:color="auto"/>
      </w:divBdr>
    </w:div>
    <w:div w:id="544407795">
      <w:bodyDiv w:val="1"/>
      <w:marLeft w:val="0"/>
      <w:marRight w:val="0"/>
      <w:marTop w:val="0"/>
      <w:marBottom w:val="0"/>
      <w:divBdr>
        <w:top w:val="none" w:sz="0" w:space="0" w:color="auto"/>
        <w:left w:val="none" w:sz="0" w:space="0" w:color="auto"/>
        <w:bottom w:val="none" w:sz="0" w:space="0" w:color="auto"/>
        <w:right w:val="none" w:sz="0" w:space="0" w:color="auto"/>
      </w:divBdr>
    </w:div>
    <w:div w:id="544565125">
      <w:bodyDiv w:val="1"/>
      <w:marLeft w:val="0"/>
      <w:marRight w:val="0"/>
      <w:marTop w:val="0"/>
      <w:marBottom w:val="0"/>
      <w:divBdr>
        <w:top w:val="none" w:sz="0" w:space="0" w:color="auto"/>
        <w:left w:val="none" w:sz="0" w:space="0" w:color="auto"/>
        <w:bottom w:val="none" w:sz="0" w:space="0" w:color="auto"/>
        <w:right w:val="none" w:sz="0" w:space="0" w:color="auto"/>
      </w:divBdr>
    </w:div>
    <w:div w:id="544677252">
      <w:bodyDiv w:val="1"/>
      <w:marLeft w:val="0"/>
      <w:marRight w:val="0"/>
      <w:marTop w:val="0"/>
      <w:marBottom w:val="0"/>
      <w:divBdr>
        <w:top w:val="none" w:sz="0" w:space="0" w:color="auto"/>
        <w:left w:val="none" w:sz="0" w:space="0" w:color="auto"/>
        <w:bottom w:val="none" w:sz="0" w:space="0" w:color="auto"/>
        <w:right w:val="none" w:sz="0" w:space="0" w:color="auto"/>
      </w:divBdr>
    </w:div>
    <w:div w:id="544876633">
      <w:bodyDiv w:val="1"/>
      <w:marLeft w:val="0"/>
      <w:marRight w:val="0"/>
      <w:marTop w:val="0"/>
      <w:marBottom w:val="0"/>
      <w:divBdr>
        <w:top w:val="none" w:sz="0" w:space="0" w:color="auto"/>
        <w:left w:val="none" w:sz="0" w:space="0" w:color="auto"/>
        <w:bottom w:val="none" w:sz="0" w:space="0" w:color="auto"/>
        <w:right w:val="none" w:sz="0" w:space="0" w:color="auto"/>
      </w:divBdr>
    </w:div>
    <w:div w:id="544950637">
      <w:bodyDiv w:val="1"/>
      <w:marLeft w:val="0"/>
      <w:marRight w:val="0"/>
      <w:marTop w:val="0"/>
      <w:marBottom w:val="0"/>
      <w:divBdr>
        <w:top w:val="none" w:sz="0" w:space="0" w:color="auto"/>
        <w:left w:val="none" w:sz="0" w:space="0" w:color="auto"/>
        <w:bottom w:val="none" w:sz="0" w:space="0" w:color="auto"/>
        <w:right w:val="none" w:sz="0" w:space="0" w:color="auto"/>
      </w:divBdr>
    </w:div>
    <w:div w:id="545219675">
      <w:bodyDiv w:val="1"/>
      <w:marLeft w:val="0"/>
      <w:marRight w:val="0"/>
      <w:marTop w:val="0"/>
      <w:marBottom w:val="0"/>
      <w:divBdr>
        <w:top w:val="none" w:sz="0" w:space="0" w:color="auto"/>
        <w:left w:val="none" w:sz="0" w:space="0" w:color="auto"/>
        <w:bottom w:val="none" w:sz="0" w:space="0" w:color="auto"/>
        <w:right w:val="none" w:sz="0" w:space="0" w:color="auto"/>
      </w:divBdr>
    </w:div>
    <w:div w:id="545259961">
      <w:bodyDiv w:val="1"/>
      <w:marLeft w:val="0"/>
      <w:marRight w:val="0"/>
      <w:marTop w:val="0"/>
      <w:marBottom w:val="0"/>
      <w:divBdr>
        <w:top w:val="none" w:sz="0" w:space="0" w:color="auto"/>
        <w:left w:val="none" w:sz="0" w:space="0" w:color="auto"/>
        <w:bottom w:val="none" w:sz="0" w:space="0" w:color="auto"/>
        <w:right w:val="none" w:sz="0" w:space="0" w:color="auto"/>
      </w:divBdr>
    </w:div>
    <w:div w:id="545337181">
      <w:bodyDiv w:val="1"/>
      <w:marLeft w:val="0"/>
      <w:marRight w:val="0"/>
      <w:marTop w:val="0"/>
      <w:marBottom w:val="0"/>
      <w:divBdr>
        <w:top w:val="none" w:sz="0" w:space="0" w:color="auto"/>
        <w:left w:val="none" w:sz="0" w:space="0" w:color="auto"/>
        <w:bottom w:val="none" w:sz="0" w:space="0" w:color="auto"/>
        <w:right w:val="none" w:sz="0" w:space="0" w:color="auto"/>
      </w:divBdr>
    </w:div>
    <w:div w:id="545485889">
      <w:bodyDiv w:val="1"/>
      <w:marLeft w:val="0"/>
      <w:marRight w:val="0"/>
      <w:marTop w:val="0"/>
      <w:marBottom w:val="0"/>
      <w:divBdr>
        <w:top w:val="none" w:sz="0" w:space="0" w:color="auto"/>
        <w:left w:val="none" w:sz="0" w:space="0" w:color="auto"/>
        <w:bottom w:val="none" w:sz="0" w:space="0" w:color="auto"/>
        <w:right w:val="none" w:sz="0" w:space="0" w:color="auto"/>
      </w:divBdr>
    </w:div>
    <w:div w:id="545724399">
      <w:bodyDiv w:val="1"/>
      <w:marLeft w:val="0"/>
      <w:marRight w:val="0"/>
      <w:marTop w:val="0"/>
      <w:marBottom w:val="0"/>
      <w:divBdr>
        <w:top w:val="none" w:sz="0" w:space="0" w:color="auto"/>
        <w:left w:val="none" w:sz="0" w:space="0" w:color="auto"/>
        <w:bottom w:val="none" w:sz="0" w:space="0" w:color="auto"/>
        <w:right w:val="none" w:sz="0" w:space="0" w:color="auto"/>
      </w:divBdr>
    </w:div>
    <w:div w:id="545869330">
      <w:bodyDiv w:val="1"/>
      <w:marLeft w:val="0"/>
      <w:marRight w:val="0"/>
      <w:marTop w:val="0"/>
      <w:marBottom w:val="0"/>
      <w:divBdr>
        <w:top w:val="none" w:sz="0" w:space="0" w:color="auto"/>
        <w:left w:val="none" w:sz="0" w:space="0" w:color="auto"/>
        <w:bottom w:val="none" w:sz="0" w:space="0" w:color="auto"/>
        <w:right w:val="none" w:sz="0" w:space="0" w:color="auto"/>
      </w:divBdr>
    </w:div>
    <w:div w:id="545870434">
      <w:bodyDiv w:val="1"/>
      <w:marLeft w:val="0"/>
      <w:marRight w:val="0"/>
      <w:marTop w:val="0"/>
      <w:marBottom w:val="0"/>
      <w:divBdr>
        <w:top w:val="none" w:sz="0" w:space="0" w:color="auto"/>
        <w:left w:val="none" w:sz="0" w:space="0" w:color="auto"/>
        <w:bottom w:val="none" w:sz="0" w:space="0" w:color="auto"/>
        <w:right w:val="none" w:sz="0" w:space="0" w:color="auto"/>
      </w:divBdr>
    </w:div>
    <w:div w:id="546525986">
      <w:bodyDiv w:val="1"/>
      <w:marLeft w:val="0"/>
      <w:marRight w:val="0"/>
      <w:marTop w:val="0"/>
      <w:marBottom w:val="0"/>
      <w:divBdr>
        <w:top w:val="none" w:sz="0" w:space="0" w:color="auto"/>
        <w:left w:val="none" w:sz="0" w:space="0" w:color="auto"/>
        <w:bottom w:val="none" w:sz="0" w:space="0" w:color="auto"/>
        <w:right w:val="none" w:sz="0" w:space="0" w:color="auto"/>
      </w:divBdr>
    </w:div>
    <w:div w:id="546644637">
      <w:bodyDiv w:val="1"/>
      <w:marLeft w:val="0"/>
      <w:marRight w:val="0"/>
      <w:marTop w:val="0"/>
      <w:marBottom w:val="0"/>
      <w:divBdr>
        <w:top w:val="none" w:sz="0" w:space="0" w:color="auto"/>
        <w:left w:val="none" w:sz="0" w:space="0" w:color="auto"/>
        <w:bottom w:val="none" w:sz="0" w:space="0" w:color="auto"/>
        <w:right w:val="none" w:sz="0" w:space="0" w:color="auto"/>
      </w:divBdr>
    </w:div>
    <w:div w:id="546799155">
      <w:bodyDiv w:val="1"/>
      <w:marLeft w:val="0"/>
      <w:marRight w:val="0"/>
      <w:marTop w:val="0"/>
      <w:marBottom w:val="0"/>
      <w:divBdr>
        <w:top w:val="none" w:sz="0" w:space="0" w:color="auto"/>
        <w:left w:val="none" w:sz="0" w:space="0" w:color="auto"/>
        <w:bottom w:val="none" w:sz="0" w:space="0" w:color="auto"/>
        <w:right w:val="none" w:sz="0" w:space="0" w:color="auto"/>
      </w:divBdr>
    </w:div>
    <w:div w:id="546836173">
      <w:bodyDiv w:val="1"/>
      <w:marLeft w:val="0"/>
      <w:marRight w:val="0"/>
      <w:marTop w:val="0"/>
      <w:marBottom w:val="0"/>
      <w:divBdr>
        <w:top w:val="none" w:sz="0" w:space="0" w:color="auto"/>
        <w:left w:val="none" w:sz="0" w:space="0" w:color="auto"/>
        <w:bottom w:val="none" w:sz="0" w:space="0" w:color="auto"/>
        <w:right w:val="none" w:sz="0" w:space="0" w:color="auto"/>
      </w:divBdr>
    </w:div>
    <w:div w:id="546986565">
      <w:bodyDiv w:val="1"/>
      <w:marLeft w:val="0"/>
      <w:marRight w:val="0"/>
      <w:marTop w:val="0"/>
      <w:marBottom w:val="0"/>
      <w:divBdr>
        <w:top w:val="none" w:sz="0" w:space="0" w:color="auto"/>
        <w:left w:val="none" w:sz="0" w:space="0" w:color="auto"/>
        <w:bottom w:val="none" w:sz="0" w:space="0" w:color="auto"/>
        <w:right w:val="none" w:sz="0" w:space="0" w:color="auto"/>
      </w:divBdr>
    </w:div>
    <w:div w:id="547255844">
      <w:bodyDiv w:val="1"/>
      <w:marLeft w:val="0"/>
      <w:marRight w:val="0"/>
      <w:marTop w:val="0"/>
      <w:marBottom w:val="0"/>
      <w:divBdr>
        <w:top w:val="none" w:sz="0" w:space="0" w:color="auto"/>
        <w:left w:val="none" w:sz="0" w:space="0" w:color="auto"/>
        <w:bottom w:val="none" w:sz="0" w:space="0" w:color="auto"/>
        <w:right w:val="none" w:sz="0" w:space="0" w:color="auto"/>
      </w:divBdr>
    </w:div>
    <w:div w:id="547454435">
      <w:bodyDiv w:val="1"/>
      <w:marLeft w:val="0"/>
      <w:marRight w:val="0"/>
      <w:marTop w:val="0"/>
      <w:marBottom w:val="0"/>
      <w:divBdr>
        <w:top w:val="none" w:sz="0" w:space="0" w:color="auto"/>
        <w:left w:val="none" w:sz="0" w:space="0" w:color="auto"/>
        <w:bottom w:val="none" w:sz="0" w:space="0" w:color="auto"/>
        <w:right w:val="none" w:sz="0" w:space="0" w:color="auto"/>
      </w:divBdr>
    </w:div>
    <w:div w:id="547491209">
      <w:bodyDiv w:val="1"/>
      <w:marLeft w:val="0"/>
      <w:marRight w:val="0"/>
      <w:marTop w:val="0"/>
      <w:marBottom w:val="0"/>
      <w:divBdr>
        <w:top w:val="none" w:sz="0" w:space="0" w:color="auto"/>
        <w:left w:val="none" w:sz="0" w:space="0" w:color="auto"/>
        <w:bottom w:val="none" w:sz="0" w:space="0" w:color="auto"/>
        <w:right w:val="none" w:sz="0" w:space="0" w:color="auto"/>
      </w:divBdr>
    </w:div>
    <w:div w:id="547574865">
      <w:bodyDiv w:val="1"/>
      <w:marLeft w:val="0"/>
      <w:marRight w:val="0"/>
      <w:marTop w:val="0"/>
      <w:marBottom w:val="0"/>
      <w:divBdr>
        <w:top w:val="none" w:sz="0" w:space="0" w:color="auto"/>
        <w:left w:val="none" w:sz="0" w:space="0" w:color="auto"/>
        <w:bottom w:val="none" w:sz="0" w:space="0" w:color="auto"/>
        <w:right w:val="none" w:sz="0" w:space="0" w:color="auto"/>
      </w:divBdr>
    </w:div>
    <w:div w:id="547686722">
      <w:bodyDiv w:val="1"/>
      <w:marLeft w:val="0"/>
      <w:marRight w:val="0"/>
      <w:marTop w:val="0"/>
      <w:marBottom w:val="0"/>
      <w:divBdr>
        <w:top w:val="none" w:sz="0" w:space="0" w:color="auto"/>
        <w:left w:val="none" w:sz="0" w:space="0" w:color="auto"/>
        <w:bottom w:val="none" w:sz="0" w:space="0" w:color="auto"/>
        <w:right w:val="none" w:sz="0" w:space="0" w:color="auto"/>
      </w:divBdr>
    </w:div>
    <w:div w:id="547952837">
      <w:bodyDiv w:val="1"/>
      <w:marLeft w:val="0"/>
      <w:marRight w:val="0"/>
      <w:marTop w:val="0"/>
      <w:marBottom w:val="0"/>
      <w:divBdr>
        <w:top w:val="none" w:sz="0" w:space="0" w:color="auto"/>
        <w:left w:val="none" w:sz="0" w:space="0" w:color="auto"/>
        <w:bottom w:val="none" w:sz="0" w:space="0" w:color="auto"/>
        <w:right w:val="none" w:sz="0" w:space="0" w:color="auto"/>
      </w:divBdr>
    </w:div>
    <w:div w:id="548498536">
      <w:bodyDiv w:val="1"/>
      <w:marLeft w:val="0"/>
      <w:marRight w:val="0"/>
      <w:marTop w:val="0"/>
      <w:marBottom w:val="0"/>
      <w:divBdr>
        <w:top w:val="none" w:sz="0" w:space="0" w:color="auto"/>
        <w:left w:val="none" w:sz="0" w:space="0" w:color="auto"/>
        <w:bottom w:val="none" w:sz="0" w:space="0" w:color="auto"/>
        <w:right w:val="none" w:sz="0" w:space="0" w:color="auto"/>
      </w:divBdr>
    </w:div>
    <w:div w:id="548611637">
      <w:bodyDiv w:val="1"/>
      <w:marLeft w:val="0"/>
      <w:marRight w:val="0"/>
      <w:marTop w:val="0"/>
      <w:marBottom w:val="0"/>
      <w:divBdr>
        <w:top w:val="none" w:sz="0" w:space="0" w:color="auto"/>
        <w:left w:val="none" w:sz="0" w:space="0" w:color="auto"/>
        <w:bottom w:val="none" w:sz="0" w:space="0" w:color="auto"/>
        <w:right w:val="none" w:sz="0" w:space="0" w:color="auto"/>
      </w:divBdr>
    </w:div>
    <w:div w:id="548684974">
      <w:bodyDiv w:val="1"/>
      <w:marLeft w:val="0"/>
      <w:marRight w:val="0"/>
      <w:marTop w:val="0"/>
      <w:marBottom w:val="0"/>
      <w:divBdr>
        <w:top w:val="none" w:sz="0" w:space="0" w:color="auto"/>
        <w:left w:val="none" w:sz="0" w:space="0" w:color="auto"/>
        <w:bottom w:val="none" w:sz="0" w:space="0" w:color="auto"/>
        <w:right w:val="none" w:sz="0" w:space="0" w:color="auto"/>
      </w:divBdr>
    </w:div>
    <w:div w:id="548881414">
      <w:bodyDiv w:val="1"/>
      <w:marLeft w:val="0"/>
      <w:marRight w:val="0"/>
      <w:marTop w:val="0"/>
      <w:marBottom w:val="0"/>
      <w:divBdr>
        <w:top w:val="none" w:sz="0" w:space="0" w:color="auto"/>
        <w:left w:val="none" w:sz="0" w:space="0" w:color="auto"/>
        <w:bottom w:val="none" w:sz="0" w:space="0" w:color="auto"/>
        <w:right w:val="none" w:sz="0" w:space="0" w:color="auto"/>
      </w:divBdr>
    </w:div>
    <w:div w:id="549192422">
      <w:bodyDiv w:val="1"/>
      <w:marLeft w:val="0"/>
      <w:marRight w:val="0"/>
      <w:marTop w:val="0"/>
      <w:marBottom w:val="0"/>
      <w:divBdr>
        <w:top w:val="none" w:sz="0" w:space="0" w:color="auto"/>
        <w:left w:val="none" w:sz="0" w:space="0" w:color="auto"/>
        <w:bottom w:val="none" w:sz="0" w:space="0" w:color="auto"/>
        <w:right w:val="none" w:sz="0" w:space="0" w:color="auto"/>
      </w:divBdr>
    </w:div>
    <w:div w:id="549342791">
      <w:bodyDiv w:val="1"/>
      <w:marLeft w:val="0"/>
      <w:marRight w:val="0"/>
      <w:marTop w:val="0"/>
      <w:marBottom w:val="0"/>
      <w:divBdr>
        <w:top w:val="none" w:sz="0" w:space="0" w:color="auto"/>
        <w:left w:val="none" w:sz="0" w:space="0" w:color="auto"/>
        <w:bottom w:val="none" w:sz="0" w:space="0" w:color="auto"/>
        <w:right w:val="none" w:sz="0" w:space="0" w:color="auto"/>
      </w:divBdr>
    </w:div>
    <w:div w:id="549608669">
      <w:bodyDiv w:val="1"/>
      <w:marLeft w:val="0"/>
      <w:marRight w:val="0"/>
      <w:marTop w:val="0"/>
      <w:marBottom w:val="0"/>
      <w:divBdr>
        <w:top w:val="none" w:sz="0" w:space="0" w:color="auto"/>
        <w:left w:val="none" w:sz="0" w:space="0" w:color="auto"/>
        <w:bottom w:val="none" w:sz="0" w:space="0" w:color="auto"/>
        <w:right w:val="none" w:sz="0" w:space="0" w:color="auto"/>
      </w:divBdr>
    </w:div>
    <w:div w:id="549805072">
      <w:bodyDiv w:val="1"/>
      <w:marLeft w:val="0"/>
      <w:marRight w:val="0"/>
      <w:marTop w:val="0"/>
      <w:marBottom w:val="0"/>
      <w:divBdr>
        <w:top w:val="none" w:sz="0" w:space="0" w:color="auto"/>
        <w:left w:val="none" w:sz="0" w:space="0" w:color="auto"/>
        <w:bottom w:val="none" w:sz="0" w:space="0" w:color="auto"/>
        <w:right w:val="none" w:sz="0" w:space="0" w:color="auto"/>
      </w:divBdr>
    </w:div>
    <w:div w:id="550003384">
      <w:bodyDiv w:val="1"/>
      <w:marLeft w:val="0"/>
      <w:marRight w:val="0"/>
      <w:marTop w:val="0"/>
      <w:marBottom w:val="0"/>
      <w:divBdr>
        <w:top w:val="none" w:sz="0" w:space="0" w:color="auto"/>
        <w:left w:val="none" w:sz="0" w:space="0" w:color="auto"/>
        <w:bottom w:val="none" w:sz="0" w:space="0" w:color="auto"/>
        <w:right w:val="none" w:sz="0" w:space="0" w:color="auto"/>
      </w:divBdr>
    </w:div>
    <w:div w:id="550118714">
      <w:bodyDiv w:val="1"/>
      <w:marLeft w:val="0"/>
      <w:marRight w:val="0"/>
      <w:marTop w:val="0"/>
      <w:marBottom w:val="0"/>
      <w:divBdr>
        <w:top w:val="none" w:sz="0" w:space="0" w:color="auto"/>
        <w:left w:val="none" w:sz="0" w:space="0" w:color="auto"/>
        <w:bottom w:val="none" w:sz="0" w:space="0" w:color="auto"/>
        <w:right w:val="none" w:sz="0" w:space="0" w:color="auto"/>
      </w:divBdr>
    </w:div>
    <w:div w:id="550657394">
      <w:bodyDiv w:val="1"/>
      <w:marLeft w:val="0"/>
      <w:marRight w:val="0"/>
      <w:marTop w:val="0"/>
      <w:marBottom w:val="0"/>
      <w:divBdr>
        <w:top w:val="none" w:sz="0" w:space="0" w:color="auto"/>
        <w:left w:val="none" w:sz="0" w:space="0" w:color="auto"/>
        <w:bottom w:val="none" w:sz="0" w:space="0" w:color="auto"/>
        <w:right w:val="none" w:sz="0" w:space="0" w:color="auto"/>
      </w:divBdr>
    </w:div>
    <w:div w:id="550775486">
      <w:bodyDiv w:val="1"/>
      <w:marLeft w:val="0"/>
      <w:marRight w:val="0"/>
      <w:marTop w:val="0"/>
      <w:marBottom w:val="0"/>
      <w:divBdr>
        <w:top w:val="none" w:sz="0" w:space="0" w:color="auto"/>
        <w:left w:val="none" w:sz="0" w:space="0" w:color="auto"/>
        <w:bottom w:val="none" w:sz="0" w:space="0" w:color="auto"/>
        <w:right w:val="none" w:sz="0" w:space="0" w:color="auto"/>
      </w:divBdr>
    </w:div>
    <w:div w:id="550925477">
      <w:bodyDiv w:val="1"/>
      <w:marLeft w:val="0"/>
      <w:marRight w:val="0"/>
      <w:marTop w:val="0"/>
      <w:marBottom w:val="0"/>
      <w:divBdr>
        <w:top w:val="none" w:sz="0" w:space="0" w:color="auto"/>
        <w:left w:val="none" w:sz="0" w:space="0" w:color="auto"/>
        <w:bottom w:val="none" w:sz="0" w:space="0" w:color="auto"/>
        <w:right w:val="none" w:sz="0" w:space="0" w:color="auto"/>
      </w:divBdr>
    </w:div>
    <w:div w:id="550927331">
      <w:bodyDiv w:val="1"/>
      <w:marLeft w:val="0"/>
      <w:marRight w:val="0"/>
      <w:marTop w:val="0"/>
      <w:marBottom w:val="0"/>
      <w:divBdr>
        <w:top w:val="none" w:sz="0" w:space="0" w:color="auto"/>
        <w:left w:val="none" w:sz="0" w:space="0" w:color="auto"/>
        <w:bottom w:val="none" w:sz="0" w:space="0" w:color="auto"/>
        <w:right w:val="none" w:sz="0" w:space="0" w:color="auto"/>
      </w:divBdr>
    </w:div>
    <w:div w:id="551159331">
      <w:bodyDiv w:val="1"/>
      <w:marLeft w:val="0"/>
      <w:marRight w:val="0"/>
      <w:marTop w:val="0"/>
      <w:marBottom w:val="0"/>
      <w:divBdr>
        <w:top w:val="none" w:sz="0" w:space="0" w:color="auto"/>
        <w:left w:val="none" w:sz="0" w:space="0" w:color="auto"/>
        <w:bottom w:val="none" w:sz="0" w:space="0" w:color="auto"/>
        <w:right w:val="none" w:sz="0" w:space="0" w:color="auto"/>
      </w:divBdr>
    </w:div>
    <w:div w:id="551231972">
      <w:bodyDiv w:val="1"/>
      <w:marLeft w:val="0"/>
      <w:marRight w:val="0"/>
      <w:marTop w:val="0"/>
      <w:marBottom w:val="0"/>
      <w:divBdr>
        <w:top w:val="none" w:sz="0" w:space="0" w:color="auto"/>
        <w:left w:val="none" w:sz="0" w:space="0" w:color="auto"/>
        <w:bottom w:val="none" w:sz="0" w:space="0" w:color="auto"/>
        <w:right w:val="none" w:sz="0" w:space="0" w:color="auto"/>
      </w:divBdr>
    </w:div>
    <w:div w:id="551355902">
      <w:bodyDiv w:val="1"/>
      <w:marLeft w:val="0"/>
      <w:marRight w:val="0"/>
      <w:marTop w:val="0"/>
      <w:marBottom w:val="0"/>
      <w:divBdr>
        <w:top w:val="none" w:sz="0" w:space="0" w:color="auto"/>
        <w:left w:val="none" w:sz="0" w:space="0" w:color="auto"/>
        <w:bottom w:val="none" w:sz="0" w:space="0" w:color="auto"/>
        <w:right w:val="none" w:sz="0" w:space="0" w:color="auto"/>
      </w:divBdr>
    </w:div>
    <w:div w:id="551383300">
      <w:bodyDiv w:val="1"/>
      <w:marLeft w:val="0"/>
      <w:marRight w:val="0"/>
      <w:marTop w:val="0"/>
      <w:marBottom w:val="0"/>
      <w:divBdr>
        <w:top w:val="none" w:sz="0" w:space="0" w:color="auto"/>
        <w:left w:val="none" w:sz="0" w:space="0" w:color="auto"/>
        <w:bottom w:val="none" w:sz="0" w:space="0" w:color="auto"/>
        <w:right w:val="none" w:sz="0" w:space="0" w:color="auto"/>
      </w:divBdr>
    </w:div>
    <w:div w:id="551424998">
      <w:bodyDiv w:val="1"/>
      <w:marLeft w:val="0"/>
      <w:marRight w:val="0"/>
      <w:marTop w:val="0"/>
      <w:marBottom w:val="0"/>
      <w:divBdr>
        <w:top w:val="none" w:sz="0" w:space="0" w:color="auto"/>
        <w:left w:val="none" w:sz="0" w:space="0" w:color="auto"/>
        <w:bottom w:val="none" w:sz="0" w:space="0" w:color="auto"/>
        <w:right w:val="none" w:sz="0" w:space="0" w:color="auto"/>
      </w:divBdr>
    </w:div>
    <w:div w:id="551431432">
      <w:bodyDiv w:val="1"/>
      <w:marLeft w:val="0"/>
      <w:marRight w:val="0"/>
      <w:marTop w:val="0"/>
      <w:marBottom w:val="0"/>
      <w:divBdr>
        <w:top w:val="none" w:sz="0" w:space="0" w:color="auto"/>
        <w:left w:val="none" w:sz="0" w:space="0" w:color="auto"/>
        <w:bottom w:val="none" w:sz="0" w:space="0" w:color="auto"/>
        <w:right w:val="none" w:sz="0" w:space="0" w:color="auto"/>
      </w:divBdr>
    </w:div>
    <w:div w:id="551575835">
      <w:bodyDiv w:val="1"/>
      <w:marLeft w:val="0"/>
      <w:marRight w:val="0"/>
      <w:marTop w:val="0"/>
      <w:marBottom w:val="0"/>
      <w:divBdr>
        <w:top w:val="none" w:sz="0" w:space="0" w:color="auto"/>
        <w:left w:val="none" w:sz="0" w:space="0" w:color="auto"/>
        <w:bottom w:val="none" w:sz="0" w:space="0" w:color="auto"/>
        <w:right w:val="none" w:sz="0" w:space="0" w:color="auto"/>
      </w:divBdr>
    </w:div>
    <w:div w:id="551772822">
      <w:bodyDiv w:val="1"/>
      <w:marLeft w:val="0"/>
      <w:marRight w:val="0"/>
      <w:marTop w:val="0"/>
      <w:marBottom w:val="0"/>
      <w:divBdr>
        <w:top w:val="none" w:sz="0" w:space="0" w:color="auto"/>
        <w:left w:val="none" w:sz="0" w:space="0" w:color="auto"/>
        <w:bottom w:val="none" w:sz="0" w:space="0" w:color="auto"/>
        <w:right w:val="none" w:sz="0" w:space="0" w:color="auto"/>
      </w:divBdr>
    </w:div>
    <w:div w:id="551891174">
      <w:bodyDiv w:val="1"/>
      <w:marLeft w:val="0"/>
      <w:marRight w:val="0"/>
      <w:marTop w:val="0"/>
      <w:marBottom w:val="0"/>
      <w:divBdr>
        <w:top w:val="none" w:sz="0" w:space="0" w:color="auto"/>
        <w:left w:val="none" w:sz="0" w:space="0" w:color="auto"/>
        <w:bottom w:val="none" w:sz="0" w:space="0" w:color="auto"/>
        <w:right w:val="none" w:sz="0" w:space="0" w:color="auto"/>
      </w:divBdr>
    </w:div>
    <w:div w:id="552039625">
      <w:bodyDiv w:val="1"/>
      <w:marLeft w:val="0"/>
      <w:marRight w:val="0"/>
      <w:marTop w:val="0"/>
      <w:marBottom w:val="0"/>
      <w:divBdr>
        <w:top w:val="none" w:sz="0" w:space="0" w:color="auto"/>
        <w:left w:val="none" w:sz="0" w:space="0" w:color="auto"/>
        <w:bottom w:val="none" w:sz="0" w:space="0" w:color="auto"/>
        <w:right w:val="none" w:sz="0" w:space="0" w:color="auto"/>
      </w:divBdr>
    </w:div>
    <w:div w:id="552042297">
      <w:bodyDiv w:val="1"/>
      <w:marLeft w:val="0"/>
      <w:marRight w:val="0"/>
      <w:marTop w:val="0"/>
      <w:marBottom w:val="0"/>
      <w:divBdr>
        <w:top w:val="none" w:sz="0" w:space="0" w:color="auto"/>
        <w:left w:val="none" w:sz="0" w:space="0" w:color="auto"/>
        <w:bottom w:val="none" w:sz="0" w:space="0" w:color="auto"/>
        <w:right w:val="none" w:sz="0" w:space="0" w:color="auto"/>
      </w:divBdr>
    </w:div>
    <w:div w:id="552353432">
      <w:bodyDiv w:val="1"/>
      <w:marLeft w:val="0"/>
      <w:marRight w:val="0"/>
      <w:marTop w:val="0"/>
      <w:marBottom w:val="0"/>
      <w:divBdr>
        <w:top w:val="none" w:sz="0" w:space="0" w:color="auto"/>
        <w:left w:val="none" w:sz="0" w:space="0" w:color="auto"/>
        <w:bottom w:val="none" w:sz="0" w:space="0" w:color="auto"/>
        <w:right w:val="none" w:sz="0" w:space="0" w:color="auto"/>
      </w:divBdr>
    </w:div>
    <w:div w:id="552544182">
      <w:bodyDiv w:val="1"/>
      <w:marLeft w:val="0"/>
      <w:marRight w:val="0"/>
      <w:marTop w:val="0"/>
      <w:marBottom w:val="0"/>
      <w:divBdr>
        <w:top w:val="none" w:sz="0" w:space="0" w:color="auto"/>
        <w:left w:val="none" w:sz="0" w:space="0" w:color="auto"/>
        <w:bottom w:val="none" w:sz="0" w:space="0" w:color="auto"/>
        <w:right w:val="none" w:sz="0" w:space="0" w:color="auto"/>
      </w:divBdr>
    </w:div>
    <w:div w:id="552617150">
      <w:bodyDiv w:val="1"/>
      <w:marLeft w:val="0"/>
      <w:marRight w:val="0"/>
      <w:marTop w:val="0"/>
      <w:marBottom w:val="0"/>
      <w:divBdr>
        <w:top w:val="none" w:sz="0" w:space="0" w:color="auto"/>
        <w:left w:val="none" w:sz="0" w:space="0" w:color="auto"/>
        <w:bottom w:val="none" w:sz="0" w:space="0" w:color="auto"/>
        <w:right w:val="none" w:sz="0" w:space="0" w:color="auto"/>
      </w:divBdr>
    </w:div>
    <w:div w:id="552694081">
      <w:bodyDiv w:val="1"/>
      <w:marLeft w:val="0"/>
      <w:marRight w:val="0"/>
      <w:marTop w:val="0"/>
      <w:marBottom w:val="0"/>
      <w:divBdr>
        <w:top w:val="none" w:sz="0" w:space="0" w:color="auto"/>
        <w:left w:val="none" w:sz="0" w:space="0" w:color="auto"/>
        <w:bottom w:val="none" w:sz="0" w:space="0" w:color="auto"/>
        <w:right w:val="none" w:sz="0" w:space="0" w:color="auto"/>
      </w:divBdr>
    </w:div>
    <w:div w:id="552695174">
      <w:bodyDiv w:val="1"/>
      <w:marLeft w:val="0"/>
      <w:marRight w:val="0"/>
      <w:marTop w:val="0"/>
      <w:marBottom w:val="0"/>
      <w:divBdr>
        <w:top w:val="none" w:sz="0" w:space="0" w:color="auto"/>
        <w:left w:val="none" w:sz="0" w:space="0" w:color="auto"/>
        <w:bottom w:val="none" w:sz="0" w:space="0" w:color="auto"/>
        <w:right w:val="none" w:sz="0" w:space="0" w:color="auto"/>
      </w:divBdr>
    </w:div>
    <w:div w:id="553007446">
      <w:bodyDiv w:val="1"/>
      <w:marLeft w:val="0"/>
      <w:marRight w:val="0"/>
      <w:marTop w:val="0"/>
      <w:marBottom w:val="0"/>
      <w:divBdr>
        <w:top w:val="none" w:sz="0" w:space="0" w:color="auto"/>
        <w:left w:val="none" w:sz="0" w:space="0" w:color="auto"/>
        <w:bottom w:val="none" w:sz="0" w:space="0" w:color="auto"/>
        <w:right w:val="none" w:sz="0" w:space="0" w:color="auto"/>
      </w:divBdr>
    </w:div>
    <w:div w:id="553079867">
      <w:bodyDiv w:val="1"/>
      <w:marLeft w:val="0"/>
      <w:marRight w:val="0"/>
      <w:marTop w:val="0"/>
      <w:marBottom w:val="0"/>
      <w:divBdr>
        <w:top w:val="none" w:sz="0" w:space="0" w:color="auto"/>
        <w:left w:val="none" w:sz="0" w:space="0" w:color="auto"/>
        <w:bottom w:val="none" w:sz="0" w:space="0" w:color="auto"/>
        <w:right w:val="none" w:sz="0" w:space="0" w:color="auto"/>
      </w:divBdr>
    </w:div>
    <w:div w:id="553351080">
      <w:bodyDiv w:val="1"/>
      <w:marLeft w:val="0"/>
      <w:marRight w:val="0"/>
      <w:marTop w:val="0"/>
      <w:marBottom w:val="0"/>
      <w:divBdr>
        <w:top w:val="none" w:sz="0" w:space="0" w:color="auto"/>
        <w:left w:val="none" w:sz="0" w:space="0" w:color="auto"/>
        <w:bottom w:val="none" w:sz="0" w:space="0" w:color="auto"/>
        <w:right w:val="none" w:sz="0" w:space="0" w:color="auto"/>
      </w:divBdr>
    </w:div>
    <w:div w:id="553389828">
      <w:bodyDiv w:val="1"/>
      <w:marLeft w:val="0"/>
      <w:marRight w:val="0"/>
      <w:marTop w:val="0"/>
      <w:marBottom w:val="0"/>
      <w:divBdr>
        <w:top w:val="none" w:sz="0" w:space="0" w:color="auto"/>
        <w:left w:val="none" w:sz="0" w:space="0" w:color="auto"/>
        <w:bottom w:val="none" w:sz="0" w:space="0" w:color="auto"/>
        <w:right w:val="none" w:sz="0" w:space="0" w:color="auto"/>
      </w:divBdr>
    </w:div>
    <w:div w:id="553391051">
      <w:bodyDiv w:val="1"/>
      <w:marLeft w:val="0"/>
      <w:marRight w:val="0"/>
      <w:marTop w:val="0"/>
      <w:marBottom w:val="0"/>
      <w:divBdr>
        <w:top w:val="none" w:sz="0" w:space="0" w:color="auto"/>
        <w:left w:val="none" w:sz="0" w:space="0" w:color="auto"/>
        <w:bottom w:val="none" w:sz="0" w:space="0" w:color="auto"/>
        <w:right w:val="none" w:sz="0" w:space="0" w:color="auto"/>
      </w:divBdr>
    </w:div>
    <w:div w:id="553539501">
      <w:bodyDiv w:val="1"/>
      <w:marLeft w:val="0"/>
      <w:marRight w:val="0"/>
      <w:marTop w:val="0"/>
      <w:marBottom w:val="0"/>
      <w:divBdr>
        <w:top w:val="none" w:sz="0" w:space="0" w:color="auto"/>
        <w:left w:val="none" w:sz="0" w:space="0" w:color="auto"/>
        <w:bottom w:val="none" w:sz="0" w:space="0" w:color="auto"/>
        <w:right w:val="none" w:sz="0" w:space="0" w:color="auto"/>
      </w:divBdr>
    </w:div>
    <w:div w:id="553583872">
      <w:bodyDiv w:val="1"/>
      <w:marLeft w:val="0"/>
      <w:marRight w:val="0"/>
      <w:marTop w:val="0"/>
      <w:marBottom w:val="0"/>
      <w:divBdr>
        <w:top w:val="none" w:sz="0" w:space="0" w:color="auto"/>
        <w:left w:val="none" w:sz="0" w:space="0" w:color="auto"/>
        <w:bottom w:val="none" w:sz="0" w:space="0" w:color="auto"/>
        <w:right w:val="none" w:sz="0" w:space="0" w:color="auto"/>
      </w:divBdr>
    </w:div>
    <w:div w:id="553733320">
      <w:bodyDiv w:val="1"/>
      <w:marLeft w:val="0"/>
      <w:marRight w:val="0"/>
      <w:marTop w:val="0"/>
      <w:marBottom w:val="0"/>
      <w:divBdr>
        <w:top w:val="none" w:sz="0" w:space="0" w:color="auto"/>
        <w:left w:val="none" w:sz="0" w:space="0" w:color="auto"/>
        <w:bottom w:val="none" w:sz="0" w:space="0" w:color="auto"/>
        <w:right w:val="none" w:sz="0" w:space="0" w:color="auto"/>
      </w:divBdr>
    </w:div>
    <w:div w:id="553858577">
      <w:bodyDiv w:val="1"/>
      <w:marLeft w:val="0"/>
      <w:marRight w:val="0"/>
      <w:marTop w:val="0"/>
      <w:marBottom w:val="0"/>
      <w:divBdr>
        <w:top w:val="none" w:sz="0" w:space="0" w:color="auto"/>
        <w:left w:val="none" w:sz="0" w:space="0" w:color="auto"/>
        <w:bottom w:val="none" w:sz="0" w:space="0" w:color="auto"/>
        <w:right w:val="none" w:sz="0" w:space="0" w:color="auto"/>
      </w:divBdr>
    </w:div>
    <w:div w:id="554046077">
      <w:bodyDiv w:val="1"/>
      <w:marLeft w:val="0"/>
      <w:marRight w:val="0"/>
      <w:marTop w:val="0"/>
      <w:marBottom w:val="0"/>
      <w:divBdr>
        <w:top w:val="none" w:sz="0" w:space="0" w:color="auto"/>
        <w:left w:val="none" w:sz="0" w:space="0" w:color="auto"/>
        <w:bottom w:val="none" w:sz="0" w:space="0" w:color="auto"/>
        <w:right w:val="none" w:sz="0" w:space="0" w:color="auto"/>
      </w:divBdr>
    </w:div>
    <w:div w:id="554049537">
      <w:bodyDiv w:val="1"/>
      <w:marLeft w:val="0"/>
      <w:marRight w:val="0"/>
      <w:marTop w:val="0"/>
      <w:marBottom w:val="0"/>
      <w:divBdr>
        <w:top w:val="none" w:sz="0" w:space="0" w:color="auto"/>
        <w:left w:val="none" w:sz="0" w:space="0" w:color="auto"/>
        <w:bottom w:val="none" w:sz="0" w:space="0" w:color="auto"/>
        <w:right w:val="none" w:sz="0" w:space="0" w:color="auto"/>
      </w:divBdr>
    </w:div>
    <w:div w:id="554239600">
      <w:bodyDiv w:val="1"/>
      <w:marLeft w:val="0"/>
      <w:marRight w:val="0"/>
      <w:marTop w:val="0"/>
      <w:marBottom w:val="0"/>
      <w:divBdr>
        <w:top w:val="none" w:sz="0" w:space="0" w:color="auto"/>
        <w:left w:val="none" w:sz="0" w:space="0" w:color="auto"/>
        <w:bottom w:val="none" w:sz="0" w:space="0" w:color="auto"/>
        <w:right w:val="none" w:sz="0" w:space="0" w:color="auto"/>
      </w:divBdr>
    </w:div>
    <w:div w:id="554508352">
      <w:bodyDiv w:val="1"/>
      <w:marLeft w:val="0"/>
      <w:marRight w:val="0"/>
      <w:marTop w:val="0"/>
      <w:marBottom w:val="0"/>
      <w:divBdr>
        <w:top w:val="none" w:sz="0" w:space="0" w:color="auto"/>
        <w:left w:val="none" w:sz="0" w:space="0" w:color="auto"/>
        <w:bottom w:val="none" w:sz="0" w:space="0" w:color="auto"/>
        <w:right w:val="none" w:sz="0" w:space="0" w:color="auto"/>
      </w:divBdr>
    </w:div>
    <w:div w:id="554899351">
      <w:bodyDiv w:val="1"/>
      <w:marLeft w:val="0"/>
      <w:marRight w:val="0"/>
      <w:marTop w:val="0"/>
      <w:marBottom w:val="0"/>
      <w:divBdr>
        <w:top w:val="none" w:sz="0" w:space="0" w:color="auto"/>
        <w:left w:val="none" w:sz="0" w:space="0" w:color="auto"/>
        <w:bottom w:val="none" w:sz="0" w:space="0" w:color="auto"/>
        <w:right w:val="none" w:sz="0" w:space="0" w:color="auto"/>
      </w:divBdr>
    </w:div>
    <w:div w:id="555047836">
      <w:bodyDiv w:val="1"/>
      <w:marLeft w:val="0"/>
      <w:marRight w:val="0"/>
      <w:marTop w:val="0"/>
      <w:marBottom w:val="0"/>
      <w:divBdr>
        <w:top w:val="none" w:sz="0" w:space="0" w:color="auto"/>
        <w:left w:val="none" w:sz="0" w:space="0" w:color="auto"/>
        <w:bottom w:val="none" w:sz="0" w:space="0" w:color="auto"/>
        <w:right w:val="none" w:sz="0" w:space="0" w:color="auto"/>
      </w:divBdr>
    </w:div>
    <w:div w:id="555049554">
      <w:bodyDiv w:val="1"/>
      <w:marLeft w:val="0"/>
      <w:marRight w:val="0"/>
      <w:marTop w:val="0"/>
      <w:marBottom w:val="0"/>
      <w:divBdr>
        <w:top w:val="none" w:sz="0" w:space="0" w:color="auto"/>
        <w:left w:val="none" w:sz="0" w:space="0" w:color="auto"/>
        <w:bottom w:val="none" w:sz="0" w:space="0" w:color="auto"/>
        <w:right w:val="none" w:sz="0" w:space="0" w:color="auto"/>
      </w:divBdr>
    </w:div>
    <w:div w:id="555091976">
      <w:bodyDiv w:val="1"/>
      <w:marLeft w:val="0"/>
      <w:marRight w:val="0"/>
      <w:marTop w:val="0"/>
      <w:marBottom w:val="0"/>
      <w:divBdr>
        <w:top w:val="none" w:sz="0" w:space="0" w:color="auto"/>
        <w:left w:val="none" w:sz="0" w:space="0" w:color="auto"/>
        <w:bottom w:val="none" w:sz="0" w:space="0" w:color="auto"/>
        <w:right w:val="none" w:sz="0" w:space="0" w:color="auto"/>
      </w:divBdr>
    </w:div>
    <w:div w:id="555165633">
      <w:bodyDiv w:val="1"/>
      <w:marLeft w:val="0"/>
      <w:marRight w:val="0"/>
      <w:marTop w:val="0"/>
      <w:marBottom w:val="0"/>
      <w:divBdr>
        <w:top w:val="none" w:sz="0" w:space="0" w:color="auto"/>
        <w:left w:val="none" w:sz="0" w:space="0" w:color="auto"/>
        <w:bottom w:val="none" w:sz="0" w:space="0" w:color="auto"/>
        <w:right w:val="none" w:sz="0" w:space="0" w:color="auto"/>
      </w:divBdr>
    </w:div>
    <w:div w:id="555169178">
      <w:bodyDiv w:val="1"/>
      <w:marLeft w:val="0"/>
      <w:marRight w:val="0"/>
      <w:marTop w:val="0"/>
      <w:marBottom w:val="0"/>
      <w:divBdr>
        <w:top w:val="none" w:sz="0" w:space="0" w:color="auto"/>
        <w:left w:val="none" w:sz="0" w:space="0" w:color="auto"/>
        <w:bottom w:val="none" w:sz="0" w:space="0" w:color="auto"/>
        <w:right w:val="none" w:sz="0" w:space="0" w:color="auto"/>
      </w:divBdr>
    </w:div>
    <w:div w:id="555237947">
      <w:bodyDiv w:val="1"/>
      <w:marLeft w:val="0"/>
      <w:marRight w:val="0"/>
      <w:marTop w:val="0"/>
      <w:marBottom w:val="0"/>
      <w:divBdr>
        <w:top w:val="none" w:sz="0" w:space="0" w:color="auto"/>
        <w:left w:val="none" w:sz="0" w:space="0" w:color="auto"/>
        <w:bottom w:val="none" w:sz="0" w:space="0" w:color="auto"/>
        <w:right w:val="none" w:sz="0" w:space="0" w:color="auto"/>
      </w:divBdr>
    </w:div>
    <w:div w:id="555630549">
      <w:bodyDiv w:val="1"/>
      <w:marLeft w:val="0"/>
      <w:marRight w:val="0"/>
      <w:marTop w:val="0"/>
      <w:marBottom w:val="0"/>
      <w:divBdr>
        <w:top w:val="none" w:sz="0" w:space="0" w:color="auto"/>
        <w:left w:val="none" w:sz="0" w:space="0" w:color="auto"/>
        <w:bottom w:val="none" w:sz="0" w:space="0" w:color="auto"/>
        <w:right w:val="none" w:sz="0" w:space="0" w:color="auto"/>
      </w:divBdr>
    </w:div>
    <w:div w:id="556086084">
      <w:bodyDiv w:val="1"/>
      <w:marLeft w:val="0"/>
      <w:marRight w:val="0"/>
      <w:marTop w:val="0"/>
      <w:marBottom w:val="0"/>
      <w:divBdr>
        <w:top w:val="none" w:sz="0" w:space="0" w:color="auto"/>
        <w:left w:val="none" w:sz="0" w:space="0" w:color="auto"/>
        <w:bottom w:val="none" w:sz="0" w:space="0" w:color="auto"/>
        <w:right w:val="none" w:sz="0" w:space="0" w:color="auto"/>
      </w:divBdr>
    </w:div>
    <w:div w:id="556285239">
      <w:bodyDiv w:val="1"/>
      <w:marLeft w:val="0"/>
      <w:marRight w:val="0"/>
      <w:marTop w:val="0"/>
      <w:marBottom w:val="0"/>
      <w:divBdr>
        <w:top w:val="none" w:sz="0" w:space="0" w:color="auto"/>
        <w:left w:val="none" w:sz="0" w:space="0" w:color="auto"/>
        <w:bottom w:val="none" w:sz="0" w:space="0" w:color="auto"/>
        <w:right w:val="none" w:sz="0" w:space="0" w:color="auto"/>
      </w:divBdr>
    </w:div>
    <w:div w:id="556401610">
      <w:bodyDiv w:val="1"/>
      <w:marLeft w:val="0"/>
      <w:marRight w:val="0"/>
      <w:marTop w:val="0"/>
      <w:marBottom w:val="0"/>
      <w:divBdr>
        <w:top w:val="none" w:sz="0" w:space="0" w:color="auto"/>
        <w:left w:val="none" w:sz="0" w:space="0" w:color="auto"/>
        <w:bottom w:val="none" w:sz="0" w:space="0" w:color="auto"/>
        <w:right w:val="none" w:sz="0" w:space="0" w:color="auto"/>
      </w:divBdr>
    </w:div>
    <w:div w:id="556475959">
      <w:bodyDiv w:val="1"/>
      <w:marLeft w:val="0"/>
      <w:marRight w:val="0"/>
      <w:marTop w:val="0"/>
      <w:marBottom w:val="0"/>
      <w:divBdr>
        <w:top w:val="none" w:sz="0" w:space="0" w:color="auto"/>
        <w:left w:val="none" w:sz="0" w:space="0" w:color="auto"/>
        <w:bottom w:val="none" w:sz="0" w:space="0" w:color="auto"/>
        <w:right w:val="none" w:sz="0" w:space="0" w:color="auto"/>
      </w:divBdr>
    </w:div>
    <w:div w:id="556551254">
      <w:bodyDiv w:val="1"/>
      <w:marLeft w:val="0"/>
      <w:marRight w:val="0"/>
      <w:marTop w:val="0"/>
      <w:marBottom w:val="0"/>
      <w:divBdr>
        <w:top w:val="none" w:sz="0" w:space="0" w:color="auto"/>
        <w:left w:val="none" w:sz="0" w:space="0" w:color="auto"/>
        <w:bottom w:val="none" w:sz="0" w:space="0" w:color="auto"/>
        <w:right w:val="none" w:sz="0" w:space="0" w:color="auto"/>
      </w:divBdr>
    </w:div>
    <w:div w:id="556551443">
      <w:bodyDiv w:val="1"/>
      <w:marLeft w:val="0"/>
      <w:marRight w:val="0"/>
      <w:marTop w:val="0"/>
      <w:marBottom w:val="0"/>
      <w:divBdr>
        <w:top w:val="none" w:sz="0" w:space="0" w:color="auto"/>
        <w:left w:val="none" w:sz="0" w:space="0" w:color="auto"/>
        <w:bottom w:val="none" w:sz="0" w:space="0" w:color="auto"/>
        <w:right w:val="none" w:sz="0" w:space="0" w:color="auto"/>
      </w:divBdr>
    </w:div>
    <w:div w:id="556624262">
      <w:bodyDiv w:val="1"/>
      <w:marLeft w:val="0"/>
      <w:marRight w:val="0"/>
      <w:marTop w:val="0"/>
      <w:marBottom w:val="0"/>
      <w:divBdr>
        <w:top w:val="none" w:sz="0" w:space="0" w:color="auto"/>
        <w:left w:val="none" w:sz="0" w:space="0" w:color="auto"/>
        <w:bottom w:val="none" w:sz="0" w:space="0" w:color="auto"/>
        <w:right w:val="none" w:sz="0" w:space="0" w:color="auto"/>
      </w:divBdr>
    </w:div>
    <w:div w:id="557058250">
      <w:bodyDiv w:val="1"/>
      <w:marLeft w:val="0"/>
      <w:marRight w:val="0"/>
      <w:marTop w:val="0"/>
      <w:marBottom w:val="0"/>
      <w:divBdr>
        <w:top w:val="none" w:sz="0" w:space="0" w:color="auto"/>
        <w:left w:val="none" w:sz="0" w:space="0" w:color="auto"/>
        <w:bottom w:val="none" w:sz="0" w:space="0" w:color="auto"/>
        <w:right w:val="none" w:sz="0" w:space="0" w:color="auto"/>
      </w:divBdr>
    </w:div>
    <w:div w:id="557397417">
      <w:bodyDiv w:val="1"/>
      <w:marLeft w:val="0"/>
      <w:marRight w:val="0"/>
      <w:marTop w:val="0"/>
      <w:marBottom w:val="0"/>
      <w:divBdr>
        <w:top w:val="none" w:sz="0" w:space="0" w:color="auto"/>
        <w:left w:val="none" w:sz="0" w:space="0" w:color="auto"/>
        <w:bottom w:val="none" w:sz="0" w:space="0" w:color="auto"/>
        <w:right w:val="none" w:sz="0" w:space="0" w:color="auto"/>
      </w:divBdr>
    </w:div>
    <w:div w:id="557667432">
      <w:bodyDiv w:val="1"/>
      <w:marLeft w:val="0"/>
      <w:marRight w:val="0"/>
      <w:marTop w:val="0"/>
      <w:marBottom w:val="0"/>
      <w:divBdr>
        <w:top w:val="none" w:sz="0" w:space="0" w:color="auto"/>
        <w:left w:val="none" w:sz="0" w:space="0" w:color="auto"/>
        <w:bottom w:val="none" w:sz="0" w:space="0" w:color="auto"/>
        <w:right w:val="none" w:sz="0" w:space="0" w:color="auto"/>
      </w:divBdr>
    </w:div>
    <w:div w:id="557669857">
      <w:bodyDiv w:val="1"/>
      <w:marLeft w:val="0"/>
      <w:marRight w:val="0"/>
      <w:marTop w:val="0"/>
      <w:marBottom w:val="0"/>
      <w:divBdr>
        <w:top w:val="none" w:sz="0" w:space="0" w:color="auto"/>
        <w:left w:val="none" w:sz="0" w:space="0" w:color="auto"/>
        <w:bottom w:val="none" w:sz="0" w:space="0" w:color="auto"/>
        <w:right w:val="none" w:sz="0" w:space="0" w:color="auto"/>
      </w:divBdr>
    </w:div>
    <w:div w:id="557712964">
      <w:bodyDiv w:val="1"/>
      <w:marLeft w:val="0"/>
      <w:marRight w:val="0"/>
      <w:marTop w:val="0"/>
      <w:marBottom w:val="0"/>
      <w:divBdr>
        <w:top w:val="none" w:sz="0" w:space="0" w:color="auto"/>
        <w:left w:val="none" w:sz="0" w:space="0" w:color="auto"/>
        <w:bottom w:val="none" w:sz="0" w:space="0" w:color="auto"/>
        <w:right w:val="none" w:sz="0" w:space="0" w:color="auto"/>
      </w:divBdr>
    </w:div>
    <w:div w:id="557714695">
      <w:bodyDiv w:val="1"/>
      <w:marLeft w:val="0"/>
      <w:marRight w:val="0"/>
      <w:marTop w:val="0"/>
      <w:marBottom w:val="0"/>
      <w:divBdr>
        <w:top w:val="none" w:sz="0" w:space="0" w:color="auto"/>
        <w:left w:val="none" w:sz="0" w:space="0" w:color="auto"/>
        <w:bottom w:val="none" w:sz="0" w:space="0" w:color="auto"/>
        <w:right w:val="none" w:sz="0" w:space="0" w:color="auto"/>
      </w:divBdr>
    </w:div>
    <w:div w:id="557742077">
      <w:bodyDiv w:val="1"/>
      <w:marLeft w:val="0"/>
      <w:marRight w:val="0"/>
      <w:marTop w:val="0"/>
      <w:marBottom w:val="0"/>
      <w:divBdr>
        <w:top w:val="none" w:sz="0" w:space="0" w:color="auto"/>
        <w:left w:val="none" w:sz="0" w:space="0" w:color="auto"/>
        <w:bottom w:val="none" w:sz="0" w:space="0" w:color="auto"/>
        <w:right w:val="none" w:sz="0" w:space="0" w:color="auto"/>
      </w:divBdr>
    </w:div>
    <w:div w:id="557938594">
      <w:bodyDiv w:val="1"/>
      <w:marLeft w:val="0"/>
      <w:marRight w:val="0"/>
      <w:marTop w:val="0"/>
      <w:marBottom w:val="0"/>
      <w:divBdr>
        <w:top w:val="none" w:sz="0" w:space="0" w:color="auto"/>
        <w:left w:val="none" w:sz="0" w:space="0" w:color="auto"/>
        <w:bottom w:val="none" w:sz="0" w:space="0" w:color="auto"/>
        <w:right w:val="none" w:sz="0" w:space="0" w:color="auto"/>
      </w:divBdr>
    </w:div>
    <w:div w:id="558322020">
      <w:bodyDiv w:val="1"/>
      <w:marLeft w:val="0"/>
      <w:marRight w:val="0"/>
      <w:marTop w:val="0"/>
      <w:marBottom w:val="0"/>
      <w:divBdr>
        <w:top w:val="none" w:sz="0" w:space="0" w:color="auto"/>
        <w:left w:val="none" w:sz="0" w:space="0" w:color="auto"/>
        <w:bottom w:val="none" w:sz="0" w:space="0" w:color="auto"/>
        <w:right w:val="none" w:sz="0" w:space="0" w:color="auto"/>
      </w:divBdr>
    </w:div>
    <w:div w:id="558520476">
      <w:bodyDiv w:val="1"/>
      <w:marLeft w:val="0"/>
      <w:marRight w:val="0"/>
      <w:marTop w:val="0"/>
      <w:marBottom w:val="0"/>
      <w:divBdr>
        <w:top w:val="none" w:sz="0" w:space="0" w:color="auto"/>
        <w:left w:val="none" w:sz="0" w:space="0" w:color="auto"/>
        <w:bottom w:val="none" w:sz="0" w:space="0" w:color="auto"/>
        <w:right w:val="none" w:sz="0" w:space="0" w:color="auto"/>
      </w:divBdr>
    </w:div>
    <w:div w:id="558588540">
      <w:bodyDiv w:val="1"/>
      <w:marLeft w:val="0"/>
      <w:marRight w:val="0"/>
      <w:marTop w:val="0"/>
      <w:marBottom w:val="0"/>
      <w:divBdr>
        <w:top w:val="none" w:sz="0" w:space="0" w:color="auto"/>
        <w:left w:val="none" w:sz="0" w:space="0" w:color="auto"/>
        <w:bottom w:val="none" w:sz="0" w:space="0" w:color="auto"/>
        <w:right w:val="none" w:sz="0" w:space="0" w:color="auto"/>
      </w:divBdr>
    </w:div>
    <w:div w:id="558858193">
      <w:bodyDiv w:val="1"/>
      <w:marLeft w:val="0"/>
      <w:marRight w:val="0"/>
      <w:marTop w:val="0"/>
      <w:marBottom w:val="0"/>
      <w:divBdr>
        <w:top w:val="none" w:sz="0" w:space="0" w:color="auto"/>
        <w:left w:val="none" w:sz="0" w:space="0" w:color="auto"/>
        <w:bottom w:val="none" w:sz="0" w:space="0" w:color="auto"/>
        <w:right w:val="none" w:sz="0" w:space="0" w:color="auto"/>
      </w:divBdr>
    </w:div>
    <w:div w:id="558905410">
      <w:bodyDiv w:val="1"/>
      <w:marLeft w:val="0"/>
      <w:marRight w:val="0"/>
      <w:marTop w:val="0"/>
      <w:marBottom w:val="0"/>
      <w:divBdr>
        <w:top w:val="none" w:sz="0" w:space="0" w:color="auto"/>
        <w:left w:val="none" w:sz="0" w:space="0" w:color="auto"/>
        <w:bottom w:val="none" w:sz="0" w:space="0" w:color="auto"/>
        <w:right w:val="none" w:sz="0" w:space="0" w:color="auto"/>
      </w:divBdr>
    </w:div>
    <w:div w:id="559289337">
      <w:bodyDiv w:val="1"/>
      <w:marLeft w:val="0"/>
      <w:marRight w:val="0"/>
      <w:marTop w:val="0"/>
      <w:marBottom w:val="0"/>
      <w:divBdr>
        <w:top w:val="none" w:sz="0" w:space="0" w:color="auto"/>
        <w:left w:val="none" w:sz="0" w:space="0" w:color="auto"/>
        <w:bottom w:val="none" w:sz="0" w:space="0" w:color="auto"/>
        <w:right w:val="none" w:sz="0" w:space="0" w:color="auto"/>
      </w:divBdr>
    </w:div>
    <w:div w:id="559485439">
      <w:bodyDiv w:val="1"/>
      <w:marLeft w:val="0"/>
      <w:marRight w:val="0"/>
      <w:marTop w:val="0"/>
      <w:marBottom w:val="0"/>
      <w:divBdr>
        <w:top w:val="none" w:sz="0" w:space="0" w:color="auto"/>
        <w:left w:val="none" w:sz="0" w:space="0" w:color="auto"/>
        <w:bottom w:val="none" w:sz="0" w:space="0" w:color="auto"/>
        <w:right w:val="none" w:sz="0" w:space="0" w:color="auto"/>
      </w:divBdr>
    </w:div>
    <w:div w:id="559560196">
      <w:bodyDiv w:val="1"/>
      <w:marLeft w:val="0"/>
      <w:marRight w:val="0"/>
      <w:marTop w:val="0"/>
      <w:marBottom w:val="0"/>
      <w:divBdr>
        <w:top w:val="none" w:sz="0" w:space="0" w:color="auto"/>
        <w:left w:val="none" w:sz="0" w:space="0" w:color="auto"/>
        <w:bottom w:val="none" w:sz="0" w:space="0" w:color="auto"/>
        <w:right w:val="none" w:sz="0" w:space="0" w:color="auto"/>
      </w:divBdr>
    </w:div>
    <w:div w:id="559633867">
      <w:bodyDiv w:val="1"/>
      <w:marLeft w:val="0"/>
      <w:marRight w:val="0"/>
      <w:marTop w:val="0"/>
      <w:marBottom w:val="0"/>
      <w:divBdr>
        <w:top w:val="none" w:sz="0" w:space="0" w:color="auto"/>
        <w:left w:val="none" w:sz="0" w:space="0" w:color="auto"/>
        <w:bottom w:val="none" w:sz="0" w:space="0" w:color="auto"/>
        <w:right w:val="none" w:sz="0" w:space="0" w:color="auto"/>
      </w:divBdr>
    </w:div>
    <w:div w:id="559903379">
      <w:bodyDiv w:val="1"/>
      <w:marLeft w:val="0"/>
      <w:marRight w:val="0"/>
      <w:marTop w:val="0"/>
      <w:marBottom w:val="0"/>
      <w:divBdr>
        <w:top w:val="none" w:sz="0" w:space="0" w:color="auto"/>
        <w:left w:val="none" w:sz="0" w:space="0" w:color="auto"/>
        <w:bottom w:val="none" w:sz="0" w:space="0" w:color="auto"/>
        <w:right w:val="none" w:sz="0" w:space="0" w:color="auto"/>
      </w:divBdr>
    </w:div>
    <w:div w:id="560022216">
      <w:bodyDiv w:val="1"/>
      <w:marLeft w:val="0"/>
      <w:marRight w:val="0"/>
      <w:marTop w:val="0"/>
      <w:marBottom w:val="0"/>
      <w:divBdr>
        <w:top w:val="none" w:sz="0" w:space="0" w:color="auto"/>
        <w:left w:val="none" w:sz="0" w:space="0" w:color="auto"/>
        <w:bottom w:val="none" w:sz="0" w:space="0" w:color="auto"/>
        <w:right w:val="none" w:sz="0" w:space="0" w:color="auto"/>
      </w:divBdr>
    </w:div>
    <w:div w:id="560091730">
      <w:bodyDiv w:val="1"/>
      <w:marLeft w:val="0"/>
      <w:marRight w:val="0"/>
      <w:marTop w:val="0"/>
      <w:marBottom w:val="0"/>
      <w:divBdr>
        <w:top w:val="none" w:sz="0" w:space="0" w:color="auto"/>
        <w:left w:val="none" w:sz="0" w:space="0" w:color="auto"/>
        <w:bottom w:val="none" w:sz="0" w:space="0" w:color="auto"/>
        <w:right w:val="none" w:sz="0" w:space="0" w:color="auto"/>
      </w:divBdr>
    </w:div>
    <w:div w:id="560101328">
      <w:bodyDiv w:val="1"/>
      <w:marLeft w:val="0"/>
      <w:marRight w:val="0"/>
      <w:marTop w:val="0"/>
      <w:marBottom w:val="0"/>
      <w:divBdr>
        <w:top w:val="none" w:sz="0" w:space="0" w:color="auto"/>
        <w:left w:val="none" w:sz="0" w:space="0" w:color="auto"/>
        <w:bottom w:val="none" w:sz="0" w:space="0" w:color="auto"/>
        <w:right w:val="none" w:sz="0" w:space="0" w:color="auto"/>
      </w:divBdr>
    </w:div>
    <w:div w:id="560294079">
      <w:bodyDiv w:val="1"/>
      <w:marLeft w:val="0"/>
      <w:marRight w:val="0"/>
      <w:marTop w:val="0"/>
      <w:marBottom w:val="0"/>
      <w:divBdr>
        <w:top w:val="none" w:sz="0" w:space="0" w:color="auto"/>
        <w:left w:val="none" w:sz="0" w:space="0" w:color="auto"/>
        <w:bottom w:val="none" w:sz="0" w:space="0" w:color="auto"/>
        <w:right w:val="none" w:sz="0" w:space="0" w:color="auto"/>
      </w:divBdr>
    </w:div>
    <w:div w:id="560332866">
      <w:bodyDiv w:val="1"/>
      <w:marLeft w:val="0"/>
      <w:marRight w:val="0"/>
      <w:marTop w:val="0"/>
      <w:marBottom w:val="0"/>
      <w:divBdr>
        <w:top w:val="none" w:sz="0" w:space="0" w:color="auto"/>
        <w:left w:val="none" w:sz="0" w:space="0" w:color="auto"/>
        <w:bottom w:val="none" w:sz="0" w:space="0" w:color="auto"/>
        <w:right w:val="none" w:sz="0" w:space="0" w:color="auto"/>
      </w:divBdr>
    </w:div>
    <w:div w:id="560332916">
      <w:bodyDiv w:val="1"/>
      <w:marLeft w:val="0"/>
      <w:marRight w:val="0"/>
      <w:marTop w:val="0"/>
      <w:marBottom w:val="0"/>
      <w:divBdr>
        <w:top w:val="none" w:sz="0" w:space="0" w:color="auto"/>
        <w:left w:val="none" w:sz="0" w:space="0" w:color="auto"/>
        <w:bottom w:val="none" w:sz="0" w:space="0" w:color="auto"/>
        <w:right w:val="none" w:sz="0" w:space="0" w:color="auto"/>
      </w:divBdr>
    </w:div>
    <w:div w:id="560673923">
      <w:bodyDiv w:val="1"/>
      <w:marLeft w:val="0"/>
      <w:marRight w:val="0"/>
      <w:marTop w:val="0"/>
      <w:marBottom w:val="0"/>
      <w:divBdr>
        <w:top w:val="none" w:sz="0" w:space="0" w:color="auto"/>
        <w:left w:val="none" w:sz="0" w:space="0" w:color="auto"/>
        <w:bottom w:val="none" w:sz="0" w:space="0" w:color="auto"/>
        <w:right w:val="none" w:sz="0" w:space="0" w:color="auto"/>
      </w:divBdr>
    </w:div>
    <w:div w:id="560945303">
      <w:bodyDiv w:val="1"/>
      <w:marLeft w:val="0"/>
      <w:marRight w:val="0"/>
      <w:marTop w:val="0"/>
      <w:marBottom w:val="0"/>
      <w:divBdr>
        <w:top w:val="none" w:sz="0" w:space="0" w:color="auto"/>
        <w:left w:val="none" w:sz="0" w:space="0" w:color="auto"/>
        <w:bottom w:val="none" w:sz="0" w:space="0" w:color="auto"/>
        <w:right w:val="none" w:sz="0" w:space="0" w:color="auto"/>
      </w:divBdr>
    </w:div>
    <w:div w:id="561402594">
      <w:bodyDiv w:val="1"/>
      <w:marLeft w:val="0"/>
      <w:marRight w:val="0"/>
      <w:marTop w:val="0"/>
      <w:marBottom w:val="0"/>
      <w:divBdr>
        <w:top w:val="none" w:sz="0" w:space="0" w:color="auto"/>
        <w:left w:val="none" w:sz="0" w:space="0" w:color="auto"/>
        <w:bottom w:val="none" w:sz="0" w:space="0" w:color="auto"/>
        <w:right w:val="none" w:sz="0" w:space="0" w:color="auto"/>
      </w:divBdr>
    </w:div>
    <w:div w:id="561721715">
      <w:bodyDiv w:val="1"/>
      <w:marLeft w:val="0"/>
      <w:marRight w:val="0"/>
      <w:marTop w:val="0"/>
      <w:marBottom w:val="0"/>
      <w:divBdr>
        <w:top w:val="none" w:sz="0" w:space="0" w:color="auto"/>
        <w:left w:val="none" w:sz="0" w:space="0" w:color="auto"/>
        <w:bottom w:val="none" w:sz="0" w:space="0" w:color="auto"/>
        <w:right w:val="none" w:sz="0" w:space="0" w:color="auto"/>
      </w:divBdr>
    </w:div>
    <w:div w:id="561869914">
      <w:bodyDiv w:val="1"/>
      <w:marLeft w:val="0"/>
      <w:marRight w:val="0"/>
      <w:marTop w:val="0"/>
      <w:marBottom w:val="0"/>
      <w:divBdr>
        <w:top w:val="none" w:sz="0" w:space="0" w:color="auto"/>
        <w:left w:val="none" w:sz="0" w:space="0" w:color="auto"/>
        <w:bottom w:val="none" w:sz="0" w:space="0" w:color="auto"/>
        <w:right w:val="none" w:sz="0" w:space="0" w:color="auto"/>
      </w:divBdr>
    </w:div>
    <w:div w:id="562256841">
      <w:bodyDiv w:val="1"/>
      <w:marLeft w:val="0"/>
      <w:marRight w:val="0"/>
      <w:marTop w:val="0"/>
      <w:marBottom w:val="0"/>
      <w:divBdr>
        <w:top w:val="none" w:sz="0" w:space="0" w:color="auto"/>
        <w:left w:val="none" w:sz="0" w:space="0" w:color="auto"/>
        <w:bottom w:val="none" w:sz="0" w:space="0" w:color="auto"/>
        <w:right w:val="none" w:sz="0" w:space="0" w:color="auto"/>
      </w:divBdr>
    </w:div>
    <w:div w:id="562369186">
      <w:bodyDiv w:val="1"/>
      <w:marLeft w:val="0"/>
      <w:marRight w:val="0"/>
      <w:marTop w:val="0"/>
      <w:marBottom w:val="0"/>
      <w:divBdr>
        <w:top w:val="none" w:sz="0" w:space="0" w:color="auto"/>
        <w:left w:val="none" w:sz="0" w:space="0" w:color="auto"/>
        <w:bottom w:val="none" w:sz="0" w:space="0" w:color="auto"/>
        <w:right w:val="none" w:sz="0" w:space="0" w:color="auto"/>
      </w:divBdr>
    </w:div>
    <w:div w:id="562376816">
      <w:bodyDiv w:val="1"/>
      <w:marLeft w:val="0"/>
      <w:marRight w:val="0"/>
      <w:marTop w:val="0"/>
      <w:marBottom w:val="0"/>
      <w:divBdr>
        <w:top w:val="none" w:sz="0" w:space="0" w:color="auto"/>
        <w:left w:val="none" w:sz="0" w:space="0" w:color="auto"/>
        <w:bottom w:val="none" w:sz="0" w:space="0" w:color="auto"/>
        <w:right w:val="none" w:sz="0" w:space="0" w:color="auto"/>
      </w:divBdr>
    </w:div>
    <w:div w:id="562570977">
      <w:bodyDiv w:val="1"/>
      <w:marLeft w:val="0"/>
      <w:marRight w:val="0"/>
      <w:marTop w:val="0"/>
      <w:marBottom w:val="0"/>
      <w:divBdr>
        <w:top w:val="none" w:sz="0" w:space="0" w:color="auto"/>
        <w:left w:val="none" w:sz="0" w:space="0" w:color="auto"/>
        <w:bottom w:val="none" w:sz="0" w:space="0" w:color="auto"/>
        <w:right w:val="none" w:sz="0" w:space="0" w:color="auto"/>
      </w:divBdr>
    </w:div>
    <w:div w:id="563223645">
      <w:bodyDiv w:val="1"/>
      <w:marLeft w:val="0"/>
      <w:marRight w:val="0"/>
      <w:marTop w:val="0"/>
      <w:marBottom w:val="0"/>
      <w:divBdr>
        <w:top w:val="none" w:sz="0" w:space="0" w:color="auto"/>
        <w:left w:val="none" w:sz="0" w:space="0" w:color="auto"/>
        <w:bottom w:val="none" w:sz="0" w:space="0" w:color="auto"/>
        <w:right w:val="none" w:sz="0" w:space="0" w:color="auto"/>
      </w:divBdr>
    </w:div>
    <w:div w:id="563224470">
      <w:bodyDiv w:val="1"/>
      <w:marLeft w:val="0"/>
      <w:marRight w:val="0"/>
      <w:marTop w:val="0"/>
      <w:marBottom w:val="0"/>
      <w:divBdr>
        <w:top w:val="none" w:sz="0" w:space="0" w:color="auto"/>
        <w:left w:val="none" w:sz="0" w:space="0" w:color="auto"/>
        <w:bottom w:val="none" w:sz="0" w:space="0" w:color="auto"/>
        <w:right w:val="none" w:sz="0" w:space="0" w:color="auto"/>
      </w:divBdr>
    </w:div>
    <w:div w:id="563563455">
      <w:bodyDiv w:val="1"/>
      <w:marLeft w:val="0"/>
      <w:marRight w:val="0"/>
      <w:marTop w:val="0"/>
      <w:marBottom w:val="0"/>
      <w:divBdr>
        <w:top w:val="none" w:sz="0" w:space="0" w:color="auto"/>
        <w:left w:val="none" w:sz="0" w:space="0" w:color="auto"/>
        <w:bottom w:val="none" w:sz="0" w:space="0" w:color="auto"/>
        <w:right w:val="none" w:sz="0" w:space="0" w:color="auto"/>
      </w:divBdr>
    </w:div>
    <w:div w:id="563755114">
      <w:bodyDiv w:val="1"/>
      <w:marLeft w:val="0"/>
      <w:marRight w:val="0"/>
      <w:marTop w:val="0"/>
      <w:marBottom w:val="0"/>
      <w:divBdr>
        <w:top w:val="none" w:sz="0" w:space="0" w:color="auto"/>
        <w:left w:val="none" w:sz="0" w:space="0" w:color="auto"/>
        <w:bottom w:val="none" w:sz="0" w:space="0" w:color="auto"/>
        <w:right w:val="none" w:sz="0" w:space="0" w:color="auto"/>
      </w:divBdr>
    </w:div>
    <w:div w:id="563836047">
      <w:bodyDiv w:val="1"/>
      <w:marLeft w:val="0"/>
      <w:marRight w:val="0"/>
      <w:marTop w:val="0"/>
      <w:marBottom w:val="0"/>
      <w:divBdr>
        <w:top w:val="none" w:sz="0" w:space="0" w:color="auto"/>
        <w:left w:val="none" w:sz="0" w:space="0" w:color="auto"/>
        <w:bottom w:val="none" w:sz="0" w:space="0" w:color="auto"/>
        <w:right w:val="none" w:sz="0" w:space="0" w:color="auto"/>
      </w:divBdr>
    </w:div>
    <w:div w:id="564074929">
      <w:bodyDiv w:val="1"/>
      <w:marLeft w:val="0"/>
      <w:marRight w:val="0"/>
      <w:marTop w:val="0"/>
      <w:marBottom w:val="0"/>
      <w:divBdr>
        <w:top w:val="none" w:sz="0" w:space="0" w:color="auto"/>
        <w:left w:val="none" w:sz="0" w:space="0" w:color="auto"/>
        <w:bottom w:val="none" w:sz="0" w:space="0" w:color="auto"/>
        <w:right w:val="none" w:sz="0" w:space="0" w:color="auto"/>
      </w:divBdr>
    </w:div>
    <w:div w:id="564100471">
      <w:bodyDiv w:val="1"/>
      <w:marLeft w:val="0"/>
      <w:marRight w:val="0"/>
      <w:marTop w:val="0"/>
      <w:marBottom w:val="0"/>
      <w:divBdr>
        <w:top w:val="none" w:sz="0" w:space="0" w:color="auto"/>
        <w:left w:val="none" w:sz="0" w:space="0" w:color="auto"/>
        <w:bottom w:val="none" w:sz="0" w:space="0" w:color="auto"/>
        <w:right w:val="none" w:sz="0" w:space="0" w:color="auto"/>
      </w:divBdr>
    </w:div>
    <w:div w:id="564221868">
      <w:bodyDiv w:val="1"/>
      <w:marLeft w:val="0"/>
      <w:marRight w:val="0"/>
      <w:marTop w:val="0"/>
      <w:marBottom w:val="0"/>
      <w:divBdr>
        <w:top w:val="none" w:sz="0" w:space="0" w:color="auto"/>
        <w:left w:val="none" w:sz="0" w:space="0" w:color="auto"/>
        <w:bottom w:val="none" w:sz="0" w:space="0" w:color="auto"/>
        <w:right w:val="none" w:sz="0" w:space="0" w:color="auto"/>
      </w:divBdr>
    </w:div>
    <w:div w:id="564267748">
      <w:bodyDiv w:val="1"/>
      <w:marLeft w:val="0"/>
      <w:marRight w:val="0"/>
      <w:marTop w:val="0"/>
      <w:marBottom w:val="0"/>
      <w:divBdr>
        <w:top w:val="none" w:sz="0" w:space="0" w:color="auto"/>
        <w:left w:val="none" w:sz="0" w:space="0" w:color="auto"/>
        <w:bottom w:val="none" w:sz="0" w:space="0" w:color="auto"/>
        <w:right w:val="none" w:sz="0" w:space="0" w:color="auto"/>
      </w:divBdr>
    </w:div>
    <w:div w:id="564294338">
      <w:bodyDiv w:val="1"/>
      <w:marLeft w:val="0"/>
      <w:marRight w:val="0"/>
      <w:marTop w:val="0"/>
      <w:marBottom w:val="0"/>
      <w:divBdr>
        <w:top w:val="none" w:sz="0" w:space="0" w:color="auto"/>
        <w:left w:val="none" w:sz="0" w:space="0" w:color="auto"/>
        <w:bottom w:val="none" w:sz="0" w:space="0" w:color="auto"/>
        <w:right w:val="none" w:sz="0" w:space="0" w:color="auto"/>
      </w:divBdr>
    </w:div>
    <w:div w:id="564297340">
      <w:bodyDiv w:val="1"/>
      <w:marLeft w:val="0"/>
      <w:marRight w:val="0"/>
      <w:marTop w:val="0"/>
      <w:marBottom w:val="0"/>
      <w:divBdr>
        <w:top w:val="none" w:sz="0" w:space="0" w:color="auto"/>
        <w:left w:val="none" w:sz="0" w:space="0" w:color="auto"/>
        <w:bottom w:val="none" w:sz="0" w:space="0" w:color="auto"/>
        <w:right w:val="none" w:sz="0" w:space="0" w:color="auto"/>
      </w:divBdr>
      <w:divsChild>
        <w:div w:id="135100740">
          <w:marLeft w:val="0"/>
          <w:marRight w:val="0"/>
          <w:marTop w:val="0"/>
          <w:marBottom w:val="0"/>
          <w:divBdr>
            <w:top w:val="none" w:sz="0" w:space="0" w:color="auto"/>
            <w:left w:val="none" w:sz="0" w:space="0" w:color="auto"/>
            <w:bottom w:val="none" w:sz="0" w:space="0" w:color="auto"/>
            <w:right w:val="none" w:sz="0" w:space="0" w:color="auto"/>
          </w:divBdr>
        </w:div>
        <w:div w:id="395324958">
          <w:marLeft w:val="0"/>
          <w:marRight w:val="0"/>
          <w:marTop w:val="0"/>
          <w:marBottom w:val="0"/>
          <w:divBdr>
            <w:top w:val="none" w:sz="0" w:space="0" w:color="auto"/>
            <w:left w:val="none" w:sz="0" w:space="0" w:color="auto"/>
            <w:bottom w:val="none" w:sz="0" w:space="0" w:color="auto"/>
            <w:right w:val="none" w:sz="0" w:space="0" w:color="auto"/>
          </w:divBdr>
        </w:div>
        <w:div w:id="489832433">
          <w:marLeft w:val="0"/>
          <w:marRight w:val="0"/>
          <w:marTop w:val="0"/>
          <w:marBottom w:val="0"/>
          <w:divBdr>
            <w:top w:val="none" w:sz="0" w:space="0" w:color="auto"/>
            <w:left w:val="none" w:sz="0" w:space="0" w:color="auto"/>
            <w:bottom w:val="none" w:sz="0" w:space="0" w:color="auto"/>
            <w:right w:val="none" w:sz="0" w:space="0" w:color="auto"/>
          </w:divBdr>
        </w:div>
        <w:div w:id="975791962">
          <w:marLeft w:val="0"/>
          <w:marRight w:val="0"/>
          <w:marTop w:val="0"/>
          <w:marBottom w:val="0"/>
          <w:divBdr>
            <w:top w:val="none" w:sz="0" w:space="0" w:color="auto"/>
            <w:left w:val="none" w:sz="0" w:space="0" w:color="auto"/>
            <w:bottom w:val="none" w:sz="0" w:space="0" w:color="auto"/>
            <w:right w:val="none" w:sz="0" w:space="0" w:color="auto"/>
          </w:divBdr>
        </w:div>
        <w:div w:id="1188180355">
          <w:marLeft w:val="0"/>
          <w:marRight w:val="0"/>
          <w:marTop w:val="0"/>
          <w:marBottom w:val="0"/>
          <w:divBdr>
            <w:top w:val="none" w:sz="0" w:space="0" w:color="auto"/>
            <w:left w:val="none" w:sz="0" w:space="0" w:color="auto"/>
            <w:bottom w:val="none" w:sz="0" w:space="0" w:color="auto"/>
            <w:right w:val="none" w:sz="0" w:space="0" w:color="auto"/>
          </w:divBdr>
        </w:div>
        <w:div w:id="1189638297">
          <w:marLeft w:val="0"/>
          <w:marRight w:val="0"/>
          <w:marTop w:val="0"/>
          <w:marBottom w:val="0"/>
          <w:divBdr>
            <w:top w:val="none" w:sz="0" w:space="0" w:color="auto"/>
            <w:left w:val="none" w:sz="0" w:space="0" w:color="auto"/>
            <w:bottom w:val="none" w:sz="0" w:space="0" w:color="auto"/>
            <w:right w:val="none" w:sz="0" w:space="0" w:color="auto"/>
          </w:divBdr>
        </w:div>
        <w:div w:id="1227303036">
          <w:marLeft w:val="0"/>
          <w:marRight w:val="0"/>
          <w:marTop w:val="0"/>
          <w:marBottom w:val="0"/>
          <w:divBdr>
            <w:top w:val="none" w:sz="0" w:space="0" w:color="auto"/>
            <w:left w:val="none" w:sz="0" w:space="0" w:color="auto"/>
            <w:bottom w:val="none" w:sz="0" w:space="0" w:color="auto"/>
            <w:right w:val="none" w:sz="0" w:space="0" w:color="auto"/>
          </w:divBdr>
        </w:div>
        <w:div w:id="1348291556">
          <w:marLeft w:val="0"/>
          <w:marRight w:val="0"/>
          <w:marTop w:val="0"/>
          <w:marBottom w:val="0"/>
          <w:divBdr>
            <w:top w:val="none" w:sz="0" w:space="0" w:color="auto"/>
            <w:left w:val="none" w:sz="0" w:space="0" w:color="auto"/>
            <w:bottom w:val="none" w:sz="0" w:space="0" w:color="auto"/>
            <w:right w:val="none" w:sz="0" w:space="0" w:color="auto"/>
          </w:divBdr>
        </w:div>
        <w:div w:id="1450003391">
          <w:marLeft w:val="0"/>
          <w:marRight w:val="0"/>
          <w:marTop w:val="0"/>
          <w:marBottom w:val="0"/>
          <w:divBdr>
            <w:top w:val="none" w:sz="0" w:space="0" w:color="auto"/>
            <w:left w:val="none" w:sz="0" w:space="0" w:color="auto"/>
            <w:bottom w:val="none" w:sz="0" w:space="0" w:color="auto"/>
            <w:right w:val="none" w:sz="0" w:space="0" w:color="auto"/>
          </w:divBdr>
        </w:div>
        <w:div w:id="1514303820">
          <w:marLeft w:val="0"/>
          <w:marRight w:val="0"/>
          <w:marTop w:val="0"/>
          <w:marBottom w:val="0"/>
          <w:divBdr>
            <w:top w:val="none" w:sz="0" w:space="0" w:color="auto"/>
            <w:left w:val="none" w:sz="0" w:space="0" w:color="auto"/>
            <w:bottom w:val="none" w:sz="0" w:space="0" w:color="auto"/>
            <w:right w:val="none" w:sz="0" w:space="0" w:color="auto"/>
          </w:divBdr>
        </w:div>
        <w:div w:id="1529753958">
          <w:marLeft w:val="0"/>
          <w:marRight w:val="0"/>
          <w:marTop w:val="0"/>
          <w:marBottom w:val="0"/>
          <w:divBdr>
            <w:top w:val="none" w:sz="0" w:space="0" w:color="auto"/>
            <w:left w:val="none" w:sz="0" w:space="0" w:color="auto"/>
            <w:bottom w:val="none" w:sz="0" w:space="0" w:color="auto"/>
            <w:right w:val="none" w:sz="0" w:space="0" w:color="auto"/>
          </w:divBdr>
        </w:div>
        <w:div w:id="2114158376">
          <w:marLeft w:val="0"/>
          <w:marRight w:val="0"/>
          <w:marTop w:val="0"/>
          <w:marBottom w:val="0"/>
          <w:divBdr>
            <w:top w:val="none" w:sz="0" w:space="0" w:color="auto"/>
            <w:left w:val="none" w:sz="0" w:space="0" w:color="auto"/>
            <w:bottom w:val="none" w:sz="0" w:space="0" w:color="auto"/>
            <w:right w:val="none" w:sz="0" w:space="0" w:color="auto"/>
          </w:divBdr>
        </w:div>
      </w:divsChild>
    </w:div>
    <w:div w:id="564416259">
      <w:bodyDiv w:val="1"/>
      <w:marLeft w:val="0"/>
      <w:marRight w:val="0"/>
      <w:marTop w:val="0"/>
      <w:marBottom w:val="0"/>
      <w:divBdr>
        <w:top w:val="none" w:sz="0" w:space="0" w:color="auto"/>
        <w:left w:val="none" w:sz="0" w:space="0" w:color="auto"/>
        <w:bottom w:val="none" w:sz="0" w:space="0" w:color="auto"/>
        <w:right w:val="none" w:sz="0" w:space="0" w:color="auto"/>
      </w:divBdr>
    </w:div>
    <w:div w:id="564603362">
      <w:bodyDiv w:val="1"/>
      <w:marLeft w:val="0"/>
      <w:marRight w:val="0"/>
      <w:marTop w:val="0"/>
      <w:marBottom w:val="0"/>
      <w:divBdr>
        <w:top w:val="none" w:sz="0" w:space="0" w:color="auto"/>
        <w:left w:val="none" w:sz="0" w:space="0" w:color="auto"/>
        <w:bottom w:val="none" w:sz="0" w:space="0" w:color="auto"/>
        <w:right w:val="none" w:sz="0" w:space="0" w:color="auto"/>
      </w:divBdr>
    </w:div>
    <w:div w:id="564603570">
      <w:bodyDiv w:val="1"/>
      <w:marLeft w:val="0"/>
      <w:marRight w:val="0"/>
      <w:marTop w:val="0"/>
      <w:marBottom w:val="0"/>
      <w:divBdr>
        <w:top w:val="none" w:sz="0" w:space="0" w:color="auto"/>
        <w:left w:val="none" w:sz="0" w:space="0" w:color="auto"/>
        <w:bottom w:val="none" w:sz="0" w:space="0" w:color="auto"/>
        <w:right w:val="none" w:sz="0" w:space="0" w:color="auto"/>
      </w:divBdr>
    </w:div>
    <w:div w:id="564797660">
      <w:bodyDiv w:val="1"/>
      <w:marLeft w:val="0"/>
      <w:marRight w:val="0"/>
      <w:marTop w:val="0"/>
      <w:marBottom w:val="0"/>
      <w:divBdr>
        <w:top w:val="none" w:sz="0" w:space="0" w:color="auto"/>
        <w:left w:val="none" w:sz="0" w:space="0" w:color="auto"/>
        <w:bottom w:val="none" w:sz="0" w:space="0" w:color="auto"/>
        <w:right w:val="none" w:sz="0" w:space="0" w:color="auto"/>
      </w:divBdr>
    </w:div>
    <w:div w:id="565534774">
      <w:bodyDiv w:val="1"/>
      <w:marLeft w:val="0"/>
      <w:marRight w:val="0"/>
      <w:marTop w:val="0"/>
      <w:marBottom w:val="0"/>
      <w:divBdr>
        <w:top w:val="none" w:sz="0" w:space="0" w:color="auto"/>
        <w:left w:val="none" w:sz="0" w:space="0" w:color="auto"/>
        <w:bottom w:val="none" w:sz="0" w:space="0" w:color="auto"/>
        <w:right w:val="none" w:sz="0" w:space="0" w:color="auto"/>
      </w:divBdr>
    </w:div>
    <w:div w:id="565606732">
      <w:bodyDiv w:val="1"/>
      <w:marLeft w:val="0"/>
      <w:marRight w:val="0"/>
      <w:marTop w:val="0"/>
      <w:marBottom w:val="0"/>
      <w:divBdr>
        <w:top w:val="none" w:sz="0" w:space="0" w:color="auto"/>
        <w:left w:val="none" w:sz="0" w:space="0" w:color="auto"/>
        <w:bottom w:val="none" w:sz="0" w:space="0" w:color="auto"/>
        <w:right w:val="none" w:sz="0" w:space="0" w:color="auto"/>
      </w:divBdr>
    </w:div>
    <w:div w:id="565645267">
      <w:bodyDiv w:val="1"/>
      <w:marLeft w:val="0"/>
      <w:marRight w:val="0"/>
      <w:marTop w:val="0"/>
      <w:marBottom w:val="0"/>
      <w:divBdr>
        <w:top w:val="none" w:sz="0" w:space="0" w:color="auto"/>
        <w:left w:val="none" w:sz="0" w:space="0" w:color="auto"/>
        <w:bottom w:val="none" w:sz="0" w:space="0" w:color="auto"/>
        <w:right w:val="none" w:sz="0" w:space="0" w:color="auto"/>
      </w:divBdr>
    </w:div>
    <w:div w:id="566189243">
      <w:bodyDiv w:val="1"/>
      <w:marLeft w:val="0"/>
      <w:marRight w:val="0"/>
      <w:marTop w:val="0"/>
      <w:marBottom w:val="0"/>
      <w:divBdr>
        <w:top w:val="none" w:sz="0" w:space="0" w:color="auto"/>
        <w:left w:val="none" w:sz="0" w:space="0" w:color="auto"/>
        <w:bottom w:val="none" w:sz="0" w:space="0" w:color="auto"/>
        <w:right w:val="none" w:sz="0" w:space="0" w:color="auto"/>
      </w:divBdr>
    </w:div>
    <w:div w:id="566575678">
      <w:bodyDiv w:val="1"/>
      <w:marLeft w:val="0"/>
      <w:marRight w:val="0"/>
      <w:marTop w:val="0"/>
      <w:marBottom w:val="0"/>
      <w:divBdr>
        <w:top w:val="none" w:sz="0" w:space="0" w:color="auto"/>
        <w:left w:val="none" w:sz="0" w:space="0" w:color="auto"/>
        <w:bottom w:val="none" w:sz="0" w:space="0" w:color="auto"/>
        <w:right w:val="none" w:sz="0" w:space="0" w:color="auto"/>
      </w:divBdr>
    </w:div>
    <w:div w:id="566652995">
      <w:bodyDiv w:val="1"/>
      <w:marLeft w:val="0"/>
      <w:marRight w:val="0"/>
      <w:marTop w:val="0"/>
      <w:marBottom w:val="0"/>
      <w:divBdr>
        <w:top w:val="none" w:sz="0" w:space="0" w:color="auto"/>
        <w:left w:val="none" w:sz="0" w:space="0" w:color="auto"/>
        <w:bottom w:val="none" w:sz="0" w:space="0" w:color="auto"/>
        <w:right w:val="none" w:sz="0" w:space="0" w:color="auto"/>
      </w:divBdr>
    </w:div>
    <w:div w:id="566963836">
      <w:bodyDiv w:val="1"/>
      <w:marLeft w:val="0"/>
      <w:marRight w:val="0"/>
      <w:marTop w:val="0"/>
      <w:marBottom w:val="0"/>
      <w:divBdr>
        <w:top w:val="none" w:sz="0" w:space="0" w:color="auto"/>
        <w:left w:val="none" w:sz="0" w:space="0" w:color="auto"/>
        <w:bottom w:val="none" w:sz="0" w:space="0" w:color="auto"/>
        <w:right w:val="none" w:sz="0" w:space="0" w:color="auto"/>
      </w:divBdr>
    </w:div>
    <w:div w:id="567303042">
      <w:bodyDiv w:val="1"/>
      <w:marLeft w:val="0"/>
      <w:marRight w:val="0"/>
      <w:marTop w:val="0"/>
      <w:marBottom w:val="0"/>
      <w:divBdr>
        <w:top w:val="none" w:sz="0" w:space="0" w:color="auto"/>
        <w:left w:val="none" w:sz="0" w:space="0" w:color="auto"/>
        <w:bottom w:val="none" w:sz="0" w:space="0" w:color="auto"/>
        <w:right w:val="none" w:sz="0" w:space="0" w:color="auto"/>
      </w:divBdr>
    </w:div>
    <w:div w:id="567419975">
      <w:bodyDiv w:val="1"/>
      <w:marLeft w:val="0"/>
      <w:marRight w:val="0"/>
      <w:marTop w:val="0"/>
      <w:marBottom w:val="0"/>
      <w:divBdr>
        <w:top w:val="none" w:sz="0" w:space="0" w:color="auto"/>
        <w:left w:val="none" w:sz="0" w:space="0" w:color="auto"/>
        <w:bottom w:val="none" w:sz="0" w:space="0" w:color="auto"/>
        <w:right w:val="none" w:sz="0" w:space="0" w:color="auto"/>
      </w:divBdr>
    </w:div>
    <w:div w:id="567495086">
      <w:bodyDiv w:val="1"/>
      <w:marLeft w:val="0"/>
      <w:marRight w:val="0"/>
      <w:marTop w:val="0"/>
      <w:marBottom w:val="0"/>
      <w:divBdr>
        <w:top w:val="none" w:sz="0" w:space="0" w:color="auto"/>
        <w:left w:val="none" w:sz="0" w:space="0" w:color="auto"/>
        <w:bottom w:val="none" w:sz="0" w:space="0" w:color="auto"/>
        <w:right w:val="none" w:sz="0" w:space="0" w:color="auto"/>
      </w:divBdr>
    </w:div>
    <w:div w:id="567811679">
      <w:bodyDiv w:val="1"/>
      <w:marLeft w:val="0"/>
      <w:marRight w:val="0"/>
      <w:marTop w:val="0"/>
      <w:marBottom w:val="0"/>
      <w:divBdr>
        <w:top w:val="none" w:sz="0" w:space="0" w:color="auto"/>
        <w:left w:val="none" w:sz="0" w:space="0" w:color="auto"/>
        <w:bottom w:val="none" w:sz="0" w:space="0" w:color="auto"/>
        <w:right w:val="none" w:sz="0" w:space="0" w:color="auto"/>
      </w:divBdr>
    </w:div>
    <w:div w:id="568150488">
      <w:bodyDiv w:val="1"/>
      <w:marLeft w:val="0"/>
      <w:marRight w:val="0"/>
      <w:marTop w:val="0"/>
      <w:marBottom w:val="0"/>
      <w:divBdr>
        <w:top w:val="none" w:sz="0" w:space="0" w:color="auto"/>
        <w:left w:val="none" w:sz="0" w:space="0" w:color="auto"/>
        <w:bottom w:val="none" w:sz="0" w:space="0" w:color="auto"/>
        <w:right w:val="none" w:sz="0" w:space="0" w:color="auto"/>
      </w:divBdr>
    </w:div>
    <w:div w:id="568199221">
      <w:bodyDiv w:val="1"/>
      <w:marLeft w:val="0"/>
      <w:marRight w:val="0"/>
      <w:marTop w:val="0"/>
      <w:marBottom w:val="0"/>
      <w:divBdr>
        <w:top w:val="none" w:sz="0" w:space="0" w:color="auto"/>
        <w:left w:val="none" w:sz="0" w:space="0" w:color="auto"/>
        <w:bottom w:val="none" w:sz="0" w:space="0" w:color="auto"/>
        <w:right w:val="none" w:sz="0" w:space="0" w:color="auto"/>
      </w:divBdr>
    </w:div>
    <w:div w:id="568610614">
      <w:bodyDiv w:val="1"/>
      <w:marLeft w:val="0"/>
      <w:marRight w:val="0"/>
      <w:marTop w:val="0"/>
      <w:marBottom w:val="0"/>
      <w:divBdr>
        <w:top w:val="none" w:sz="0" w:space="0" w:color="auto"/>
        <w:left w:val="none" w:sz="0" w:space="0" w:color="auto"/>
        <w:bottom w:val="none" w:sz="0" w:space="0" w:color="auto"/>
        <w:right w:val="none" w:sz="0" w:space="0" w:color="auto"/>
      </w:divBdr>
    </w:div>
    <w:div w:id="568611674">
      <w:bodyDiv w:val="1"/>
      <w:marLeft w:val="0"/>
      <w:marRight w:val="0"/>
      <w:marTop w:val="0"/>
      <w:marBottom w:val="0"/>
      <w:divBdr>
        <w:top w:val="none" w:sz="0" w:space="0" w:color="auto"/>
        <w:left w:val="none" w:sz="0" w:space="0" w:color="auto"/>
        <w:bottom w:val="none" w:sz="0" w:space="0" w:color="auto"/>
        <w:right w:val="none" w:sz="0" w:space="0" w:color="auto"/>
      </w:divBdr>
    </w:div>
    <w:div w:id="568733611">
      <w:bodyDiv w:val="1"/>
      <w:marLeft w:val="0"/>
      <w:marRight w:val="0"/>
      <w:marTop w:val="0"/>
      <w:marBottom w:val="0"/>
      <w:divBdr>
        <w:top w:val="none" w:sz="0" w:space="0" w:color="auto"/>
        <w:left w:val="none" w:sz="0" w:space="0" w:color="auto"/>
        <w:bottom w:val="none" w:sz="0" w:space="0" w:color="auto"/>
        <w:right w:val="none" w:sz="0" w:space="0" w:color="auto"/>
      </w:divBdr>
    </w:div>
    <w:div w:id="568998047">
      <w:bodyDiv w:val="1"/>
      <w:marLeft w:val="0"/>
      <w:marRight w:val="0"/>
      <w:marTop w:val="0"/>
      <w:marBottom w:val="0"/>
      <w:divBdr>
        <w:top w:val="none" w:sz="0" w:space="0" w:color="auto"/>
        <w:left w:val="none" w:sz="0" w:space="0" w:color="auto"/>
        <w:bottom w:val="none" w:sz="0" w:space="0" w:color="auto"/>
        <w:right w:val="none" w:sz="0" w:space="0" w:color="auto"/>
      </w:divBdr>
    </w:div>
    <w:div w:id="569002651">
      <w:bodyDiv w:val="1"/>
      <w:marLeft w:val="0"/>
      <w:marRight w:val="0"/>
      <w:marTop w:val="0"/>
      <w:marBottom w:val="0"/>
      <w:divBdr>
        <w:top w:val="none" w:sz="0" w:space="0" w:color="auto"/>
        <w:left w:val="none" w:sz="0" w:space="0" w:color="auto"/>
        <w:bottom w:val="none" w:sz="0" w:space="0" w:color="auto"/>
        <w:right w:val="none" w:sz="0" w:space="0" w:color="auto"/>
      </w:divBdr>
    </w:div>
    <w:div w:id="569269697">
      <w:bodyDiv w:val="1"/>
      <w:marLeft w:val="0"/>
      <w:marRight w:val="0"/>
      <w:marTop w:val="0"/>
      <w:marBottom w:val="0"/>
      <w:divBdr>
        <w:top w:val="none" w:sz="0" w:space="0" w:color="auto"/>
        <w:left w:val="none" w:sz="0" w:space="0" w:color="auto"/>
        <w:bottom w:val="none" w:sz="0" w:space="0" w:color="auto"/>
        <w:right w:val="none" w:sz="0" w:space="0" w:color="auto"/>
      </w:divBdr>
    </w:div>
    <w:div w:id="569390948">
      <w:bodyDiv w:val="1"/>
      <w:marLeft w:val="0"/>
      <w:marRight w:val="0"/>
      <w:marTop w:val="0"/>
      <w:marBottom w:val="0"/>
      <w:divBdr>
        <w:top w:val="none" w:sz="0" w:space="0" w:color="auto"/>
        <w:left w:val="none" w:sz="0" w:space="0" w:color="auto"/>
        <w:bottom w:val="none" w:sz="0" w:space="0" w:color="auto"/>
        <w:right w:val="none" w:sz="0" w:space="0" w:color="auto"/>
      </w:divBdr>
    </w:div>
    <w:div w:id="569466713">
      <w:bodyDiv w:val="1"/>
      <w:marLeft w:val="0"/>
      <w:marRight w:val="0"/>
      <w:marTop w:val="0"/>
      <w:marBottom w:val="0"/>
      <w:divBdr>
        <w:top w:val="none" w:sz="0" w:space="0" w:color="auto"/>
        <w:left w:val="none" w:sz="0" w:space="0" w:color="auto"/>
        <w:bottom w:val="none" w:sz="0" w:space="0" w:color="auto"/>
        <w:right w:val="none" w:sz="0" w:space="0" w:color="auto"/>
      </w:divBdr>
    </w:div>
    <w:div w:id="569652955">
      <w:bodyDiv w:val="1"/>
      <w:marLeft w:val="0"/>
      <w:marRight w:val="0"/>
      <w:marTop w:val="0"/>
      <w:marBottom w:val="0"/>
      <w:divBdr>
        <w:top w:val="none" w:sz="0" w:space="0" w:color="auto"/>
        <w:left w:val="none" w:sz="0" w:space="0" w:color="auto"/>
        <w:bottom w:val="none" w:sz="0" w:space="0" w:color="auto"/>
        <w:right w:val="none" w:sz="0" w:space="0" w:color="auto"/>
      </w:divBdr>
    </w:div>
    <w:div w:id="569659822">
      <w:bodyDiv w:val="1"/>
      <w:marLeft w:val="0"/>
      <w:marRight w:val="0"/>
      <w:marTop w:val="0"/>
      <w:marBottom w:val="0"/>
      <w:divBdr>
        <w:top w:val="none" w:sz="0" w:space="0" w:color="auto"/>
        <w:left w:val="none" w:sz="0" w:space="0" w:color="auto"/>
        <w:bottom w:val="none" w:sz="0" w:space="0" w:color="auto"/>
        <w:right w:val="none" w:sz="0" w:space="0" w:color="auto"/>
      </w:divBdr>
    </w:div>
    <w:div w:id="569727975">
      <w:bodyDiv w:val="1"/>
      <w:marLeft w:val="0"/>
      <w:marRight w:val="0"/>
      <w:marTop w:val="0"/>
      <w:marBottom w:val="0"/>
      <w:divBdr>
        <w:top w:val="none" w:sz="0" w:space="0" w:color="auto"/>
        <w:left w:val="none" w:sz="0" w:space="0" w:color="auto"/>
        <w:bottom w:val="none" w:sz="0" w:space="0" w:color="auto"/>
        <w:right w:val="none" w:sz="0" w:space="0" w:color="auto"/>
      </w:divBdr>
    </w:div>
    <w:div w:id="569772202">
      <w:bodyDiv w:val="1"/>
      <w:marLeft w:val="0"/>
      <w:marRight w:val="0"/>
      <w:marTop w:val="0"/>
      <w:marBottom w:val="0"/>
      <w:divBdr>
        <w:top w:val="none" w:sz="0" w:space="0" w:color="auto"/>
        <w:left w:val="none" w:sz="0" w:space="0" w:color="auto"/>
        <w:bottom w:val="none" w:sz="0" w:space="0" w:color="auto"/>
        <w:right w:val="none" w:sz="0" w:space="0" w:color="auto"/>
      </w:divBdr>
    </w:div>
    <w:div w:id="570040827">
      <w:bodyDiv w:val="1"/>
      <w:marLeft w:val="0"/>
      <w:marRight w:val="0"/>
      <w:marTop w:val="0"/>
      <w:marBottom w:val="0"/>
      <w:divBdr>
        <w:top w:val="none" w:sz="0" w:space="0" w:color="auto"/>
        <w:left w:val="none" w:sz="0" w:space="0" w:color="auto"/>
        <w:bottom w:val="none" w:sz="0" w:space="0" w:color="auto"/>
        <w:right w:val="none" w:sz="0" w:space="0" w:color="auto"/>
      </w:divBdr>
    </w:div>
    <w:div w:id="570775765">
      <w:bodyDiv w:val="1"/>
      <w:marLeft w:val="0"/>
      <w:marRight w:val="0"/>
      <w:marTop w:val="0"/>
      <w:marBottom w:val="0"/>
      <w:divBdr>
        <w:top w:val="none" w:sz="0" w:space="0" w:color="auto"/>
        <w:left w:val="none" w:sz="0" w:space="0" w:color="auto"/>
        <w:bottom w:val="none" w:sz="0" w:space="0" w:color="auto"/>
        <w:right w:val="none" w:sz="0" w:space="0" w:color="auto"/>
      </w:divBdr>
    </w:div>
    <w:div w:id="570777850">
      <w:bodyDiv w:val="1"/>
      <w:marLeft w:val="0"/>
      <w:marRight w:val="0"/>
      <w:marTop w:val="0"/>
      <w:marBottom w:val="0"/>
      <w:divBdr>
        <w:top w:val="none" w:sz="0" w:space="0" w:color="auto"/>
        <w:left w:val="none" w:sz="0" w:space="0" w:color="auto"/>
        <w:bottom w:val="none" w:sz="0" w:space="0" w:color="auto"/>
        <w:right w:val="none" w:sz="0" w:space="0" w:color="auto"/>
      </w:divBdr>
    </w:div>
    <w:div w:id="570844569">
      <w:bodyDiv w:val="1"/>
      <w:marLeft w:val="0"/>
      <w:marRight w:val="0"/>
      <w:marTop w:val="0"/>
      <w:marBottom w:val="0"/>
      <w:divBdr>
        <w:top w:val="none" w:sz="0" w:space="0" w:color="auto"/>
        <w:left w:val="none" w:sz="0" w:space="0" w:color="auto"/>
        <w:bottom w:val="none" w:sz="0" w:space="0" w:color="auto"/>
        <w:right w:val="none" w:sz="0" w:space="0" w:color="auto"/>
      </w:divBdr>
    </w:div>
    <w:div w:id="571159395">
      <w:bodyDiv w:val="1"/>
      <w:marLeft w:val="0"/>
      <w:marRight w:val="0"/>
      <w:marTop w:val="0"/>
      <w:marBottom w:val="0"/>
      <w:divBdr>
        <w:top w:val="none" w:sz="0" w:space="0" w:color="auto"/>
        <w:left w:val="none" w:sz="0" w:space="0" w:color="auto"/>
        <w:bottom w:val="none" w:sz="0" w:space="0" w:color="auto"/>
        <w:right w:val="none" w:sz="0" w:space="0" w:color="auto"/>
      </w:divBdr>
    </w:div>
    <w:div w:id="571429854">
      <w:bodyDiv w:val="1"/>
      <w:marLeft w:val="0"/>
      <w:marRight w:val="0"/>
      <w:marTop w:val="0"/>
      <w:marBottom w:val="0"/>
      <w:divBdr>
        <w:top w:val="none" w:sz="0" w:space="0" w:color="auto"/>
        <w:left w:val="none" w:sz="0" w:space="0" w:color="auto"/>
        <w:bottom w:val="none" w:sz="0" w:space="0" w:color="auto"/>
        <w:right w:val="none" w:sz="0" w:space="0" w:color="auto"/>
      </w:divBdr>
    </w:div>
    <w:div w:id="571545759">
      <w:bodyDiv w:val="1"/>
      <w:marLeft w:val="0"/>
      <w:marRight w:val="0"/>
      <w:marTop w:val="0"/>
      <w:marBottom w:val="0"/>
      <w:divBdr>
        <w:top w:val="none" w:sz="0" w:space="0" w:color="auto"/>
        <w:left w:val="none" w:sz="0" w:space="0" w:color="auto"/>
        <w:bottom w:val="none" w:sz="0" w:space="0" w:color="auto"/>
        <w:right w:val="none" w:sz="0" w:space="0" w:color="auto"/>
      </w:divBdr>
    </w:div>
    <w:div w:id="571742765">
      <w:bodyDiv w:val="1"/>
      <w:marLeft w:val="0"/>
      <w:marRight w:val="0"/>
      <w:marTop w:val="0"/>
      <w:marBottom w:val="0"/>
      <w:divBdr>
        <w:top w:val="none" w:sz="0" w:space="0" w:color="auto"/>
        <w:left w:val="none" w:sz="0" w:space="0" w:color="auto"/>
        <w:bottom w:val="none" w:sz="0" w:space="0" w:color="auto"/>
        <w:right w:val="none" w:sz="0" w:space="0" w:color="auto"/>
      </w:divBdr>
    </w:div>
    <w:div w:id="572276878">
      <w:bodyDiv w:val="1"/>
      <w:marLeft w:val="0"/>
      <w:marRight w:val="0"/>
      <w:marTop w:val="0"/>
      <w:marBottom w:val="0"/>
      <w:divBdr>
        <w:top w:val="none" w:sz="0" w:space="0" w:color="auto"/>
        <w:left w:val="none" w:sz="0" w:space="0" w:color="auto"/>
        <w:bottom w:val="none" w:sz="0" w:space="0" w:color="auto"/>
        <w:right w:val="none" w:sz="0" w:space="0" w:color="auto"/>
      </w:divBdr>
    </w:div>
    <w:div w:id="572395709">
      <w:bodyDiv w:val="1"/>
      <w:marLeft w:val="0"/>
      <w:marRight w:val="0"/>
      <w:marTop w:val="0"/>
      <w:marBottom w:val="0"/>
      <w:divBdr>
        <w:top w:val="none" w:sz="0" w:space="0" w:color="auto"/>
        <w:left w:val="none" w:sz="0" w:space="0" w:color="auto"/>
        <w:bottom w:val="none" w:sz="0" w:space="0" w:color="auto"/>
        <w:right w:val="none" w:sz="0" w:space="0" w:color="auto"/>
      </w:divBdr>
    </w:div>
    <w:div w:id="572593414">
      <w:bodyDiv w:val="1"/>
      <w:marLeft w:val="0"/>
      <w:marRight w:val="0"/>
      <w:marTop w:val="0"/>
      <w:marBottom w:val="0"/>
      <w:divBdr>
        <w:top w:val="none" w:sz="0" w:space="0" w:color="auto"/>
        <w:left w:val="none" w:sz="0" w:space="0" w:color="auto"/>
        <w:bottom w:val="none" w:sz="0" w:space="0" w:color="auto"/>
        <w:right w:val="none" w:sz="0" w:space="0" w:color="auto"/>
      </w:divBdr>
    </w:div>
    <w:div w:id="572929031">
      <w:bodyDiv w:val="1"/>
      <w:marLeft w:val="0"/>
      <w:marRight w:val="0"/>
      <w:marTop w:val="0"/>
      <w:marBottom w:val="0"/>
      <w:divBdr>
        <w:top w:val="none" w:sz="0" w:space="0" w:color="auto"/>
        <w:left w:val="none" w:sz="0" w:space="0" w:color="auto"/>
        <w:bottom w:val="none" w:sz="0" w:space="0" w:color="auto"/>
        <w:right w:val="none" w:sz="0" w:space="0" w:color="auto"/>
      </w:divBdr>
    </w:div>
    <w:div w:id="572935460">
      <w:bodyDiv w:val="1"/>
      <w:marLeft w:val="0"/>
      <w:marRight w:val="0"/>
      <w:marTop w:val="0"/>
      <w:marBottom w:val="0"/>
      <w:divBdr>
        <w:top w:val="none" w:sz="0" w:space="0" w:color="auto"/>
        <w:left w:val="none" w:sz="0" w:space="0" w:color="auto"/>
        <w:bottom w:val="none" w:sz="0" w:space="0" w:color="auto"/>
        <w:right w:val="none" w:sz="0" w:space="0" w:color="auto"/>
      </w:divBdr>
    </w:div>
    <w:div w:id="573047983">
      <w:bodyDiv w:val="1"/>
      <w:marLeft w:val="0"/>
      <w:marRight w:val="0"/>
      <w:marTop w:val="0"/>
      <w:marBottom w:val="0"/>
      <w:divBdr>
        <w:top w:val="none" w:sz="0" w:space="0" w:color="auto"/>
        <w:left w:val="none" w:sz="0" w:space="0" w:color="auto"/>
        <w:bottom w:val="none" w:sz="0" w:space="0" w:color="auto"/>
        <w:right w:val="none" w:sz="0" w:space="0" w:color="auto"/>
      </w:divBdr>
    </w:div>
    <w:div w:id="573246086">
      <w:bodyDiv w:val="1"/>
      <w:marLeft w:val="0"/>
      <w:marRight w:val="0"/>
      <w:marTop w:val="0"/>
      <w:marBottom w:val="0"/>
      <w:divBdr>
        <w:top w:val="none" w:sz="0" w:space="0" w:color="auto"/>
        <w:left w:val="none" w:sz="0" w:space="0" w:color="auto"/>
        <w:bottom w:val="none" w:sz="0" w:space="0" w:color="auto"/>
        <w:right w:val="none" w:sz="0" w:space="0" w:color="auto"/>
      </w:divBdr>
    </w:div>
    <w:div w:id="573593356">
      <w:bodyDiv w:val="1"/>
      <w:marLeft w:val="0"/>
      <w:marRight w:val="0"/>
      <w:marTop w:val="0"/>
      <w:marBottom w:val="0"/>
      <w:divBdr>
        <w:top w:val="none" w:sz="0" w:space="0" w:color="auto"/>
        <w:left w:val="none" w:sz="0" w:space="0" w:color="auto"/>
        <w:bottom w:val="none" w:sz="0" w:space="0" w:color="auto"/>
        <w:right w:val="none" w:sz="0" w:space="0" w:color="auto"/>
      </w:divBdr>
    </w:div>
    <w:div w:id="573664158">
      <w:bodyDiv w:val="1"/>
      <w:marLeft w:val="0"/>
      <w:marRight w:val="0"/>
      <w:marTop w:val="0"/>
      <w:marBottom w:val="0"/>
      <w:divBdr>
        <w:top w:val="none" w:sz="0" w:space="0" w:color="auto"/>
        <w:left w:val="none" w:sz="0" w:space="0" w:color="auto"/>
        <w:bottom w:val="none" w:sz="0" w:space="0" w:color="auto"/>
        <w:right w:val="none" w:sz="0" w:space="0" w:color="auto"/>
      </w:divBdr>
    </w:div>
    <w:div w:id="573734657">
      <w:bodyDiv w:val="1"/>
      <w:marLeft w:val="0"/>
      <w:marRight w:val="0"/>
      <w:marTop w:val="0"/>
      <w:marBottom w:val="0"/>
      <w:divBdr>
        <w:top w:val="none" w:sz="0" w:space="0" w:color="auto"/>
        <w:left w:val="none" w:sz="0" w:space="0" w:color="auto"/>
        <w:bottom w:val="none" w:sz="0" w:space="0" w:color="auto"/>
        <w:right w:val="none" w:sz="0" w:space="0" w:color="auto"/>
      </w:divBdr>
    </w:div>
    <w:div w:id="574125295">
      <w:bodyDiv w:val="1"/>
      <w:marLeft w:val="0"/>
      <w:marRight w:val="0"/>
      <w:marTop w:val="0"/>
      <w:marBottom w:val="0"/>
      <w:divBdr>
        <w:top w:val="none" w:sz="0" w:space="0" w:color="auto"/>
        <w:left w:val="none" w:sz="0" w:space="0" w:color="auto"/>
        <w:bottom w:val="none" w:sz="0" w:space="0" w:color="auto"/>
        <w:right w:val="none" w:sz="0" w:space="0" w:color="auto"/>
      </w:divBdr>
    </w:div>
    <w:div w:id="575016406">
      <w:bodyDiv w:val="1"/>
      <w:marLeft w:val="0"/>
      <w:marRight w:val="0"/>
      <w:marTop w:val="0"/>
      <w:marBottom w:val="0"/>
      <w:divBdr>
        <w:top w:val="none" w:sz="0" w:space="0" w:color="auto"/>
        <w:left w:val="none" w:sz="0" w:space="0" w:color="auto"/>
        <w:bottom w:val="none" w:sz="0" w:space="0" w:color="auto"/>
        <w:right w:val="none" w:sz="0" w:space="0" w:color="auto"/>
      </w:divBdr>
    </w:div>
    <w:div w:id="575017119">
      <w:bodyDiv w:val="1"/>
      <w:marLeft w:val="0"/>
      <w:marRight w:val="0"/>
      <w:marTop w:val="0"/>
      <w:marBottom w:val="0"/>
      <w:divBdr>
        <w:top w:val="none" w:sz="0" w:space="0" w:color="auto"/>
        <w:left w:val="none" w:sz="0" w:space="0" w:color="auto"/>
        <w:bottom w:val="none" w:sz="0" w:space="0" w:color="auto"/>
        <w:right w:val="none" w:sz="0" w:space="0" w:color="auto"/>
      </w:divBdr>
    </w:div>
    <w:div w:id="575214540">
      <w:bodyDiv w:val="1"/>
      <w:marLeft w:val="0"/>
      <w:marRight w:val="0"/>
      <w:marTop w:val="0"/>
      <w:marBottom w:val="0"/>
      <w:divBdr>
        <w:top w:val="none" w:sz="0" w:space="0" w:color="auto"/>
        <w:left w:val="none" w:sz="0" w:space="0" w:color="auto"/>
        <w:bottom w:val="none" w:sz="0" w:space="0" w:color="auto"/>
        <w:right w:val="none" w:sz="0" w:space="0" w:color="auto"/>
      </w:divBdr>
    </w:div>
    <w:div w:id="575433657">
      <w:bodyDiv w:val="1"/>
      <w:marLeft w:val="0"/>
      <w:marRight w:val="0"/>
      <w:marTop w:val="0"/>
      <w:marBottom w:val="0"/>
      <w:divBdr>
        <w:top w:val="none" w:sz="0" w:space="0" w:color="auto"/>
        <w:left w:val="none" w:sz="0" w:space="0" w:color="auto"/>
        <w:bottom w:val="none" w:sz="0" w:space="0" w:color="auto"/>
        <w:right w:val="none" w:sz="0" w:space="0" w:color="auto"/>
      </w:divBdr>
    </w:div>
    <w:div w:id="575437815">
      <w:bodyDiv w:val="1"/>
      <w:marLeft w:val="0"/>
      <w:marRight w:val="0"/>
      <w:marTop w:val="0"/>
      <w:marBottom w:val="0"/>
      <w:divBdr>
        <w:top w:val="none" w:sz="0" w:space="0" w:color="auto"/>
        <w:left w:val="none" w:sz="0" w:space="0" w:color="auto"/>
        <w:bottom w:val="none" w:sz="0" w:space="0" w:color="auto"/>
        <w:right w:val="none" w:sz="0" w:space="0" w:color="auto"/>
      </w:divBdr>
    </w:div>
    <w:div w:id="575634001">
      <w:bodyDiv w:val="1"/>
      <w:marLeft w:val="0"/>
      <w:marRight w:val="0"/>
      <w:marTop w:val="0"/>
      <w:marBottom w:val="0"/>
      <w:divBdr>
        <w:top w:val="none" w:sz="0" w:space="0" w:color="auto"/>
        <w:left w:val="none" w:sz="0" w:space="0" w:color="auto"/>
        <w:bottom w:val="none" w:sz="0" w:space="0" w:color="auto"/>
        <w:right w:val="none" w:sz="0" w:space="0" w:color="auto"/>
      </w:divBdr>
    </w:div>
    <w:div w:id="575670504">
      <w:bodyDiv w:val="1"/>
      <w:marLeft w:val="0"/>
      <w:marRight w:val="0"/>
      <w:marTop w:val="0"/>
      <w:marBottom w:val="0"/>
      <w:divBdr>
        <w:top w:val="none" w:sz="0" w:space="0" w:color="auto"/>
        <w:left w:val="none" w:sz="0" w:space="0" w:color="auto"/>
        <w:bottom w:val="none" w:sz="0" w:space="0" w:color="auto"/>
        <w:right w:val="none" w:sz="0" w:space="0" w:color="auto"/>
      </w:divBdr>
    </w:div>
    <w:div w:id="575673079">
      <w:bodyDiv w:val="1"/>
      <w:marLeft w:val="0"/>
      <w:marRight w:val="0"/>
      <w:marTop w:val="0"/>
      <w:marBottom w:val="0"/>
      <w:divBdr>
        <w:top w:val="none" w:sz="0" w:space="0" w:color="auto"/>
        <w:left w:val="none" w:sz="0" w:space="0" w:color="auto"/>
        <w:bottom w:val="none" w:sz="0" w:space="0" w:color="auto"/>
        <w:right w:val="none" w:sz="0" w:space="0" w:color="auto"/>
      </w:divBdr>
    </w:div>
    <w:div w:id="576861338">
      <w:bodyDiv w:val="1"/>
      <w:marLeft w:val="0"/>
      <w:marRight w:val="0"/>
      <w:marTop w:val="0"/>
      <w:marBottom w:val="0"/>
      <w:divBdr>
        <w:top w:val="none" w:sz="0" w:space="0" w:color="auto"/>
        <w:left w:val="none" w:sz="0" w:space="0" w:color="auto"/>
        <w:bottom w:val="none" w:sz="0" w:space="0" w:color="auto"/>
        <w:right w:val="none" w:sz="0" w:space="0" w:color="auto"/>
      </w:divBdr>
    </w:div>
    <w:div w:id="576938214">
      <w:bodyDiv w:val="1"/>
      <w:marLeft w:val="0"/>
      <w:marRight w:val="0"/>
      <w:marTop w:val="0"/>
      <w:marBottom w:val="0"/>
      <w:divBdr>
        <w:top w:val="none" w:sz="0" w:space="0" w:color="auto"/>
        <w:left w:val="none" w:sz="0" w:space="0" w:color="auto"/>
        <w:bottom w:val="none" w:sz="0" w:space="0" w:color="auto"/>
        <w:right w:val="none" w:sz="0" w:space="0" w:color="auto"/>
      </w:divBdr>
    </w:div>
    <w:div w:id="577445932">
      <w:bodyDiv w:val="1"/>
      <w:marLeft w:val="0"/>
      <w:marRight w:val="0"/>
      <w:marTop w:val="0"/>
      <w:marBottom w:val="0"/>
      <w:divBdr>
        <w:top w:val="none" w:sz="0" w:space="0" w:color="auto"/>
        <w:left w:val="none" w:sz="0" w:space="0" w:color="auto"/>
        <w:bottom w:val="none" w:sz="0" w:space="0" w:color="auto"/>
        <w:right w:val="none" w:sz="0" w:space="0" w:color="auto"/>
      </w:divBdr>
    </w:div>
    <w:div w:id="577447895">
      <w:bodyDiv w:val="1"/>
      <w:marLeft w:val="0"/>
      <w:marRight w:val="0"/>
      <w:marTop w:val="0"/>
      <w:marBottom w:val="0"/>
      <w:divBdr>
        <w:top w:val="none" w:sz="0" w:space="0" w:color="auto"/>
        <w:left w:val="none" w:sz="0" w:space="0" w:color="auto"/>
        <w:bottom w:val="none" w:sz="0" w:space="0" w:color="auto"/>
        <w:right w:val="none" w:sz="0" w:space="0" w:color="auto"/>
      </w:divBdr>
    </w:div>
    <w:div w:id="577599931">
      <w:bodyDiv w:val="1"/>
      <w:marLeft w:val="0"/>
      <w:marRight w:val="0"/>
      <w:marTop w:val="0"/>
      <w:marBottom w:val="0"/>
      <w:divBdr>
        <w:top w:val="none" w:sz="0" w:space="0" w:color="auto"/>
        <w:left w:val="none" w:sz="0" w:space="0" w:color="auto"/>
        <w:bottom w:val="none" w:sz="0" w:space="0" w:color="auto"/>
        <w:right w:val="none" w:sz="0" w:space="0" w:color="auto"/>
      </w:divBdr>
    </w:div>
    <w:div w:id="577712162">
      <w:bodyDiv w:val="1"/>
      <w:marLeft w:val="0"/>
      <w:marRight w:val="0"/>
      <w:marTop w:val="0"/>
      <w:marBottom w:val="0"/>
      <w:divBdr>
        <w:top w:val="none" w:sz="0" w:space="0" w:color="auto"/>
        <w:left w:val="none" w:sz="0" w:space="0" w:color="auto"/>
        <w:bottom w:val="none" w:sz="0" w:space="0" w:color="auto"/>
        <w:right w:val="none" w:sz="0" w:space="0" w:color="auto"/>
      </w:divBdr>
    </w:div>
    <w:div w:id="578028524">
      <w:bodyDiv w:val="1"/>
      <w:marLeft w:val="0"/>
      <w:marRight w:val="0"/>
      <w:marTop w:val="0"/>
      <w:marBottom w:val="0"/>
      <w:divBdr>
        <w:top w:val="none" w:sz="0" w:space="0" w:color="auto"/>
        <w:left w:val="none" w:sz="0" w:space="0" w:color="auto"/>
        <w:bottom w:val="none" w:sz="0" w:space="0" w:color="auto"/>
        <w:right w:val="none" w:sz="0" w:space="0" w:color="auto"/>
      </w:divBdr>
    </w:div>
    <w:div w:id="578028976">
      <w:bodyDiv w:val="1"/>
      <w:marLeft w:val="0"/>
      <w:marRight w:val="0"/>
      <w:marTop w:val="0"/>
      <w:marBottom w:val="0"/>
      <w:divBdr>
        <w:top w:val="none" w:sz="0" w:space="0" w:color="auto"/>
        <w:left w:val="none" w:sz="0" w:space="0" w:color="auto"/>
        <w:bottom w:val="none" w:sz="0" w:space="0" w:color="auto"/>
        <w:right w:val="none" w:sz="0" w:space="0" w:color="auto"/>
      </w:divBdr>
    </w:div>
    <w:div w:id="578486920">
      <w:bodyDiv w:val="1"/>
      <w:marLeft w:val="0"/>
      <w:marRight w:val="0"/>
      <w:marTop w:val="0"/>
      <w:marBottom w:val="0"/>
      <w:divBdr>
        <w:top w:val="none" w:sz="0" w:space="0" w:color="auto"/>
        <w:left w:val="none" w:sz="0" w:space="0" w:color="auto"/>
        <w:bottom w:val="none" w:sz="0" w:space="0" w:color="auto"/>
        <w:right w:val="none" w:sz="0" w:space="0" w:color="auto"/>
      </w:divBdr>
    </w:div>
    <w:div w:id="578517644">
      <w:bodyDiv w:val="1"/>
      <w:marLeft w:val="0"/>
      <w:marRight w:val="0"/>
      <w:marTop w:val="0"/>
      <w:marBottom w:val="0"/>
      <w:divBdr>
        <w:top w:val="none" w:sz="0" w:space="0" w:color="auto"/>
        <w:left w:val="none" w:sz="0" w:space="0" w:color="auto"/>
        <w:bottom w:val="none" w:sz="0" w:space="0" w:color="auto"/>
        <w:right w:val="none" w:sz="0" w:space="0" w:color="auto"/>
      </w:divBdr>
    </w:div>
    <w:div w:id="578901613">
      <w:bodyDiv w:val="1"/>
      <w:marLeft w:val="0"/>
      <w:marRight w:val="0"/>
      <w:marTop w:val="0"/>
      <w:marBottom w:val="0"/>
      <w:divBdr>
        <w:top w:val="none" w:sz="0" w:space="0" w:color="auto"/>
        <w:left w:val="none" w:sz="0" w:space="0" w:color="auto"/>
        <w:bottom w:val="none" w:sz="0" w:space="0" w:color="auto"/>
        <w:right w:val="none" w:sz="0" w:space="0" w:color="auto"/>
      </w:divBdr>
    </w:div>
    <w:div w:id="578946692">
      <w:bodyDiv w:val="1"/>
      <w:marLeft w:val="0"/>
      <w:marRight w:val="0"/>
      <w:marTop w:val="0"/>
      <w:marBottom w:val="0"/>
      <w:divBdr>
        <w:top w:val="none" w:sz="0" w:space="0" w:color="auto"/>
        <w:left w:val="none" w:sz="0" w:space="0" w:color="auto"/>
        <w:bottom w:val="none" w:sz="0" w:space="0" w:color="auto"/>
        <w:right w:val="none" w:sz="0" w:space="0" w:color="auto"/>
      </w:divBdr>
    </w:div>
    <w:div w:id="579215136">
      <w:bodyDiv w:val="1"/>
      <w:marLeft w:val="0"/>
      <w:marRight w:val="0"/>
      <w:marTop w:val="0"/>
      <w:marBottom w:val="0"/>
      <w:divBdr>
        <w:top w:val="none" w:sz="0" w:space="0" w:color="auto"/>
        <w:left w:val="none" w:sz="0" w:space="0" w:color="auto"/>
        <w:bottom w:val="none" w:sz="0" w:space="0" w:color="auto"/>
        <w:right w:val="none" w:sz="0" w:space="0" w:color="auto"/>
      </w:divBdr>
    </w:div>
    <w:div w:id="579365591">
      <w:bodyDiv w:val="1"/>
      <w:marLeft w:val="0"/>
      <w:marRight w:val="0"/>
      <w:marTop w:val="0"/>
      <w:marBottom w:val="0"/>
      <w:divBdr>
        <w:top w:val="none" w:sz="0" w:space="0" w:color="auto"/>
        <w:left w:val="none" w:sz="0" w:space="0" w:color="auto"/>
        <w:bottom w:val="none" w:sz="0" w:space="0" w:color="auto"/>
        <w:right w:val="none" w:sz="0" w:space="0" w:color="auto"/>
      </w:divBdr>
    </w:div>
    <w:div w:id="579557571">
      <w:bodyDiv w:val="1"/>
      <w:marLeft w:val="0"/>
      <w:marRight w:val="0"/>
      <w:marTop w:val="0"/>
      <w:marBottom w:val="0"/>
      <w:divBdr>
        <w:top w:val="none" w:sz="0" w:space="0" w:color="auto"/>
        <w:left w:val="none" w:sz="0" w:space="0" w:color="auto"/>
        <w:bottom w:val="none" w:sz="0" w:space="0" w:color="auto"/>
        <w:right w:val="none" w:sz="0" w:space="0" w:color="auto"/>
      </w:divBdr>
    </w:div>
    <w:div w:id="579602747">
      <w:bodyDiv w:val="1"/>
      <w:marLeft w:val="0"/>
      <w:marRight w:val="0"/>
      <w:marTop w:val="0"/>
      <w:marBottom w:val="0"/>
      <w:divBdr>
        <w:top w:val="none" w:sz="0" w:space="0" w:color="auto"/>
        <w:left w:val="none" w:sz="0" w:space="0" w:color="auto"/>
        <w:bottom w:val="none" w:sz="0" w:space="0" w:color="auto"/>
        <w:right w:val="none" w:sz="0" w:space="0" w:color="auto"/>
      </w:divBdr>
    </w:div>
    <w:div w:id="579674596">
      <w:bodyDiv w:val="1"/>
      <w:marLeft w:val="0"/>
      <w:marRight w:val="0"/>
      <w:marTop w:val="0"/>
      <w:marBottom w:val="0"/>
      <w:divBdr>
        <w:top w:val="none" w:sz="0" w:space="0" w:color="auto"/>
        <w:left w:val="none" w:sz="0" w:space="0" w:color="auto"/>
        <w:bottom w:val="none" w:sz="0" w:space="0" w:color="auto"/>
        <w:right w:val="none" w:sz="0" w:space="0" w:color="auto"/>
      </w:divBdr>
    </w:div>
    <w:div w:id="579754374">
      <w:bodyDiv w:val="1"/>
      <w:marLeft w:val="0"/>
      <w:marRight w:val="0"/>
      <w:marTop w:val="0"/>
      <w:marBottom w:val="0"/>
      <w:divBdr>
        <w:top w:val="none" w:sz="0" w:space="0" w:color="auto"/>
        <w:left w:val="none" w:sz="0" w:space="0" w:color="auto"/>
        <w:bottom w:val="none" w:sz="0" w:space="0" w:color="auto"/>
        <w:right w:val="none" w:sz="0" w:space="0" w:color="auto"/>
      </w:divBdr>
    </w:div>
    <w:div w:id="579873146">
      <w:bodyDiv w:val="1"/>
      <w:marLeft w:val="0"/>
      <w:marRight w:val="0"/>
      <w:marTop w:val="0"/>
      <w:marBottom w:val="0"/>
      <w:divBdr>
        <w:top w:val="none" w:sz="0" w:space="0" w:color="auto"/>
        <w:left w:val="none" w:sz="0" w:space="0" w:color="auto"/>
        <w:bottom w:val="none" w:sz="0" w:space="0" w:color="auto"/>
        <w:right w:val="none" w:sz="0" w:space="0" w:color="auto"/>
      </w:divBdr>
    </w:div>
    <w:div w:id="579943648">
      <w:bodyDiv w:val="1"/>
      <w:marLeft w:val="0"/>
      <w:marRight w:val="0"/>
      <w:marTop w:val="0"/>
      <w:marBottom w:val="0"/>
      <w:divBdr>
        <w:top w:val="none" w:sz="0" w:space="0" w:color="auto"/>
        <w:left w:val="none" w:sz="0" w:space="0" w:color="auto"/>
        <w:bottom w:val="none" w:sz="0" w:space="0" w:color="auto"/>
        <w:right w:val="none" w:sz="0" w:space="0" w:color="auto"/>
      </w:divBdr>
    </w:div>
    <w:div w:id="579951553">
      <w:bodyDiv w:val="1"/>
      <w:marLeft w:val="0"/>
      <w:marRight w:val="0"/>
      <w:marTop w:val="0"/>
      <w:marBottom w:val="0"/>
      <w:divBdr>
        <w:top w:val="none" w:sz="0" w:space="0" w:color="auto"/>
        <w:left w:val="none" w:sz="0" w:space="0" w:color="auto"/>
        <w:bottom w:val="none" w:sz="0" w:space="0" w:color="auto"/>
        <w:right w:val="none" w:sz="0" w:space="0" w:color="auto"/>
      </w:divBdr>
    </w:div>
    <w:div w:id="580018840">
      <w:bodyDiv w:val="1"/>
      <w:marLeft w:val="0"/>
      <w:marRight w:val="0"/>
      <w:marTop w:val="0"/>
      <w:marBottom w:val="0"/>
      <w:divBdr>
        <w:top w:val="none" w:sz="0" w:space="0" w:color="auto"/>
        <w:left w:val="none" w:sz="0" w:space="0" w:color="auto"/>
        <w:bottom w:val="none" w:sz="0" w:space="0" w:color="auto"/>
        <w:right w:val="none" w:sz="0" w:space="0" w:color="auto"/>
      </w:divBdr>
    </w:div>
    <w:div w:id="580020660">
      <w:bodyDiv w:val="1"/>
      <w:marLeft w:val="0"/>
      <w:marRight w:val="0"/>
      <w:marTop w:val="0"/>
      <w:marBottom w:val="0"/>
      <w:divBdr>
        <w:top w:val="none" w:sz="0" w:space="0" w:color="auto"/>
        <w:left w:val="none" w:sz="0" w:space="0" w:color="auto"/>
        <w:bottom w:val="none" w:sz="0" w:space="0" w:color="auto"/>
        <w:right w:val="none" w:sz="0" w:space="0" w:color="auto"/>
      </w:divBdr>
    </w:div>
    <w:div w:id="580137296">
      <w:bodyDiv w:val="1"/>
      <w:marLeft w:val="0"/>
      <w:marRight w:val="0"/>
      <w:marTop w:val="0"/>
      <w:marBottom w:val="0"/>
      <w:divBdr>
        <w:top w:val="none" w:sz="0" w:space="0" w:color="auto"/>
        <w:left w:val="none" w:sz="0" w:space="0" w:color="auto"/>
        <w:bottom w:val="none" w:sz="0" w:space="0" w:color="auto"/>
        <w:right w:val="none" w:sz="0" w:space="0" w:color="auto"/>
      </w:divBdr>
    </w:div>
    <w:div w:id="580331080">
      <w:bodyDiv w:val="1"/>
      <w:marLeft w:val="0"/>
      <w:marRight w:val="0"/>
      <w:marTop w:val="0"/>
      <w:marBottom w:val="0"/>
      <w:divBdr>
        <w:top w:val="none" w:sz="0" w:space="0" w:color="auto"/>
        <w:left w:val="none" w:sz="0" w:space="0" w:color="auto"/>
        <w:bottom w:val="none" w:sz="0" w:space="0" w:color="auto"/>
        <w:right w:val="none" w:sz="0" w:space="0" w:color="auto"/>
      </w:divBdr>
    </w:div>
    <w:div w:id="580482630">
      <w:bodyDiv w:val="1"/>
      <w:marLeft w:val="0"/>
      <w:marRight w:val="0"/>
      <w:marTop w:val="0"/>
      <w:marBottom w:val="0"/>
      <w:divBdr>
        <w:top w:val="none" w:sz="0" w:space="0" w:color="auto"/>
        <w:left w:val="none" w:sz="0" w:space="0" w:color="auto"/>
        <w:bottom w:val="none" w:sz="0" w:space="0" w:color="auto"/>
        <w:right w:val="none" w:sz="0" w:space="0" w:color="auto"/>
      </w:divBdr>
    </w:div>
    <w:div w:id="580674039">
      <w:bodyDiv w:val="1"/>
      <w:marLeft w:val="0"/>
      <w:marRight w:val="0"/>
      <w:marTop w:val="0"/>
      <w:marBottom w:val="0"/>
      <w:divBdr>
        <w:top w:val="none" w:sz="0" w:space="0" w:color="auto"/>
        <w:left w:val="none" w:sz="0" w:space="0" w:color="auto"/>
        <w:bottom w:val="none" w:sz="0" w:space="0" w:color="auto"/>
        <w:right w:val="none" w:sz="0" w:space="0" w:color="auto"/>
      </w:divBdr>
    </w:div>
    <w:div w:id="580680169">
      <w:bodyDiv w:val="1"/>
      <w:marLeft w:val="0"/>
      <w:marRight w:val="0"/>
      <w:marTop w:val="0"/>
      <w:marBottom w:val="0"/>
      <w:divBdr>
        <w:top w:val="none" w:sz="0" w:space="0" w:color="auto"/>
        <w:left w:val="none" w:sz="0" w:space="0" w:color="auto"/>
        <w:bottom w:val="none" w:sz="0" w:space="0" w:color="auto"/>
        <w:right w:val="none" w:sz="0" w:space="0" w:color="auto"/>
      </w:divBdr>
    </w:div>
    <w:div w:id="580991051">
      <w:bodyDiv w:val="1"/>
      <w:marLeft w:val="0"/>
      <w:marRight w:val="0"/>
      <w:marTop w:val="0"/>
      <w:marBottom w:val="0"/>
      <w:divBdr>
        <w:top w:val="none" w:sz="0" w:space="0" w:color="auto"/>
        <w:left w:val="none" w:sz="0" w:space="0" w:color="auto"/>
        <w:bottom w:val="none" w:sz="0" w:space="0" w:color="auto"/>
        <w:right w:val="none" w:sz="0" w:space="0" w:color="auto"/>
      </w:divBdr>
    </w:div>
    <w:div w:id="581063998">
      <w:bodyDiv w:val="1"/>
      <w:marLeft w:val="0"/>
      <w:marRight w:val="0"/>
      <w:marTop w:val="0"/>
      <w:marBottom w:val="0"/>
      <w:divBdr>
        <w:top w:val="none" w:sz="0" w:space="0" w:color="auto"/>
        <w:left w:val="none" w:sz="0" w:space="0" w:color="auto"/>
        <w:bottom w:val="none" w:sz="0" w:space="0" w:color="auto"/>
        <w:right w:val="none" w:sz="0" w:space="0" w:color="auto"/>
      </w:divBdr>
    </w:div>
    <w:div w:id="581332946">
      <w:bodyDiv w:val="1"/>
      <w:marLeft w:val="0"/>
      <w:marRight w:val="0"/>
      <w:marTop w:val="0"/>
      <w:marBottom w:val="0"/>
      <w:divBdr>
        <w:top w:val="none" w:sz="0" w:space="0" w:color="auto"/>
        <w:left w:val="none" w:sz="0" w:space="0" w:color="auto"/>
        <w:bottom w:val="none" w:sz="0" w:space="0" w:color="auto"/>
        <w:right w:val="none" w:sz="0" w:space="0" w:color="auto"/>
      </w:divBdr>
    </w:div>
    <w:div w:id="581567209">
      <w:bodyDiv w:val="1"/>
      <w:marLeft w:val="0"/>
      <w:marRight w:val="0"/>
      <w:marTop w:val="0"/>
      <w:marBottom w:val="0"/>
      <w:divBdr>
        <w:top w:val="none" w:sz="0" w:space="0" w:color="auto"/>
        <w:left w:val="none" w:sz="0" w:space="0" w:color="auto"/>
        <w:bottom w:val="none" w:sz="0" w:space="0" w:color="auto"/>
        <w:right w:val="none" w:sz="0" w:space="0" w:color="auto"/>
      </w:divBdr>
    </w:div>
    <w:div w:id="581716489">
      <w:bodyDiv w:val="1"/>
      <w:marLeft w:val="0"/>
      <w:marRight w:val="0"/>
      <w:marTop w:val="0"/>
      <w:marBottom w:val="0"/>
      <w:divBdr>
        <w:top w:val="none" w:sz="0" w:space="0" w:color="auto"/>
        <w:left w:val="none" w:sz="0" w:space="0" w:color="auto"/>
        <w:bottom w:val="none" w:sz="0" w:space="0" w:color="auto"/>
        <w:right w:val="none" w:sz="0" w:space="0" w:color="auto"/>
      </w:divBdr>
    </w:div>
    <w:div w:id="581839524">
      <w:bodyDiv w:val="1"/>
      <w:marLeft w:val="0"/>
      <w:marRight w:val="0"/>
      <w:marTop w:val="0"/>
      <w:marBottom w:val="0"/>
      <w:divBdr>
        <w:top w:val="none" w:sz="0" w:space="0" w:color="auto"/>
        <w:left w:val="none" w:sz="0" w:space="0" w:color="auto"/>
        <w:bottom w:val="none" w:sz="0" w:space="0" w:color="auto"/>
        <w:right w:val="none" w:sz="0" w:space="0" w:color="auto"/>
      </w:divBdr>
    </w:div>
    <w:div w:id="582102470">
      <w:bodyDiv w:val="1"/>
      <w:marLeft w:val="0"/>
      <w:marRight w:val="0"/>
      <w:marTop w:val="0"/>
      <w:marBottom w:val="0"/>
      <w:divBdr>
        <w:top w:val="none" w:sz="0" w:space="0" w:color="auto"/>
        <w:left w:val="none" w:sz="0" w:space="0" w:color="auto"/>
        <w:bottom w:val="none" w:sz="0" w:space="0" w:color="auto"/>
        <w:right w:val="none" w:sz="0" w:space="0" w:color="auto"/>
      </w:divBdr>
    </w:div>
    <w:div w:id="582111540">
      <w:bodyDiv w:val="1"/>
      <w:marLeft w:val="0"/>
      <w:marRight w:val="0"/>
      <w:marTop w:val="0"/>
      <w:marBottom w:val="0"/>
      <w:divBdr>
        <w:top w:val="none" w:sz="0" w:space="0" w:color="auto"/>
        <w:left w:val="none" w:sz="0" w:space="0" w:color="auto"/>
        <w:bottom w:val="none" w:sz="0" w:space="0" w:color="auto"/>
        <w:right w:val="none" w:sz="0" w:space="0" w:color="auto"/>
      </w:divBdr>
    </w:div>
    <w:div w:id="582182987">
      <w:bodyDiv w:val="1"/>
      <w:marLeft w:val="0"/>
      <w:marRight w:val="0"/>
      <w:marTop w:val="0"/>
      <w:marBottom w:val="0"/>
      <w:divBdr>
        <w:top w:val="none" w:sz="0" w:space="0" w:color="auto"/>
        <w:left w:val="none" w:sz="0" w:space="0" w:color="auto"/>
        <w:bottom w:val="none" w:sz="0" w:space="0" w:color="auto"/>
        <w:right w:val="none" w:sz="0" w:space="0" w:color="auto"/>
      </w:divBdr>
    </w:div>
    <w:div w:id="582689999">
      <w:bodyDiv w:val="1"/>
      <w:marLeft w:val="0"/>
      <w:marRight w:val="0"/>
      <w:marTop w:val="0"/>
      <w:marBottom w:val="0"/>
      <w:divBdr>
        <w:top w:val="none" w:sz="0" w:space="0" w:color="auto"/>
        <w:left w:val="none" w:sz="0" w:space="0" w:color="auto"/>
        <w:bottom w:val="none" w:sz="0" w:space="0" w:color="auto"/>
        <w:right w:val="none" w:sz="0" w:space="0" w:color="auto"/>
      </w:divBdr>
    </w:div>
    <w:div w:id="582759651">
      <w:bodyDiv w:val="1"/>
      <w:marLeft w:val="0"/>
      <w:marRight w:val="0"/>
      <w:marTop w:val="0"/>
      <w:marBottom w:val="0"/>
      <w:divBdr>
        <w:top w:val="none" w:sz="0" w:space="0" w:color="auto"/>
        <w:left w:val="none" w:sz="0" w:space="0" w:color="auto"/>
        <w:bottom w:val="none" w:sz="0" w:space="0" w:color="auto"/>
        <w:right w:val="none" w:sz="0" w:space="0" w:color="auto"/>
      </w:divBdr>
    </w:div>
    <w:div w:id="582833482">
      <w:bodyDiv w:val="1"/>
      <w:marLeft w:val="0"/>
      <w:marRight w:val="0"/>
      <w:marTop w:val="0"/>
      <w:marBottom w:val="0"/>
      <w:divBdr>
        <w:top w:val="none" w:sz="0" w:space="0" w:color="auto"/>
        <w:left w:val="none" w:sz="0" w:space="0" w:color="auto"/>
        <w:bottom w:val="none" w:sz="0" w:space="0" w:color="auto"/>
        <w:right w:val="none" w:sz="0" w:space="0" w:color="auto"/>
      </w:divBdr>
    </w:div>
    <w:div w:id="583144782">
      <w:bodyDiv w:val="1"/>
      <w:marLeft w:val="0"/>
      <w:marRight w:val="0"/>
      <w:marTop w:val="0"/>
      <w:marBottom w:val="0"/>
      <w:divBdr>
        <w:top w:val="none" w:sz="0" w:space="0" w:color="auto"/>
        <w:left w:val="none" w:sz="0" w:space="0" w:color="auto"/>
        <w:bottom w:val="none" w:sz="0" w:space="0" w:color="auto"/>
        <w:right w:val="none" w:sz="0" w:space="0" w:color="auto"/>
      </w:divBdr>
    </w:div>
    <w:div w:id="583337593">
      <w:bodyDiv w:val="1"/>
      <w:marLeft w:val="0"/>
      <w:marRight w:val="0"/>
      <w:marTop w:val="0"/>
      <w:marBottom w:val="0"/>
      <w:divBdr>
        <w:top w:val="none" w:sz="0" w:space="0" w:color="auto"/>
        <w:left w:val="none" w:sz="0" w:space="0" w:color="auto"/>
        <w:bottom w:val="none" w:sz="0" w:space="0" w:color="auto"/>
        <w:right w:val="none" w:sz="0" w:space="0" w:color="auto"/>
      </w:divBdr>
    </w:div>
    <w:div w:id="583343797">
      <w:bodyDiv w:val="1"/>
      <w:marLeft w:val="0"/>
      <w:marRight w:val="0"/>
      <w:marTop w:val="0"/>
      <w:marBottom w:val="0"/>
      <w:divBdr>
        <w:top w:val="none" w:sz="0" w:space="0" w:color="auto"/>
        <w:left w:val="none" w:sz="0" w:space="0" w:color="auto"/>
        <w:bottom w:val="none" w:sz="0" w:space="0" w:color="auto"/>
        <w:right w:val="none" w:sz="0" w:space="0" w:color="auto"/>
      </w:divBdr>
    </w:div>
    <w:div w:id="583756965">
      <w:bodyDiv w:val="1"/>
      <w:marLeft w:val="0"/>
      <w:marRight w:val="0"/>
      <w:marTop w:val="0"/>
      <w:marBottom w:val="0"/>
      <w:divBdr>
        <w:top w:val="none" w:sz="0" w:space="0" w:color="auto"/>
        <w:left w:val="none" w:sz="0" w:space="0" w:color="auto"/>
        <w:bottom w:val="none" w:sz="0" w:space="0" w:color="auto"/>
        <w:right w:val="none" w:sz="0" w:space="0" w:color="auto"/>
      </w:divBdr>
    </w:div>
    <w:div w:id="583757031">
      <w:bodyDiv w:val="1"/>
      <w:marLeft w:val="0"/>
      <w:marRight w:val="0"/>
      <w:marTop w:val="0"/>
      <w:marBottom w:val="0"/>
      <w:divBdr>
        <w:top w:val="none" w:sz="0" w:space="0" w:color="auto"/>
        <w:left w:val="none" w:sz="0" w:space="0" w:color="auto"/>
        <w:bottom w:val="none" w:sz="0" w:space="0" w:color="auto"/>
        <w:right w:val="none" w:sz="0" w:space="0" w:color="auto"/>
      </w:divBdr>
    </w:div>
    <w:div w:id="584070499">
      <w:bodyDiv w:val="1"/>
      <w:marLeft w:val="0"/>
      <w:marRight w:val="0"/>
      <w:marTop w:val="0"/>
      <w:marBottom w:val="0"/>
      <w:divBdr>
        <w:top w:val="none" w:sz="0" w:space="0" w:color="auto"/>
        <w:left w:val="none" w:sz="0" w:space="0" w:color="auto"/>
        <w:bottom w:val="none" w:sz="0" w:space="0" w:color="auto"/>
        <w:right w:val="none" w:sz="0" w:space="0" w:color="auto"/>
      </w:divBdr>
    </w:div>
    <w:div w:id="584268383">
      <w:bodyDiv w:val="1"/>
      <w:marLeft w:val="0"/>
      <w:marRight w:val="0"/>
      <w:marTop w:val="0"/>
      <w:marBottom w:val="0"/>
      <w:divBdr>
        <w:top w:val="none" w:sz="0" w:space="0" w:color="auto"/>
        <w:left w:val="none" w:sz="0" w:space="0" w:color="auto"/>
        <w:bottom w:val="none" w:sz="0" w:space="0" w:color="auto"/>
        <w:right w:val="none" w:sz="0" w:space="0" w:color="auto"/>
      </w:divBdr>
    </w:div>
    <w:div w:id="584455982">
      <w:bodyDiv w:val="1"/>
      <w:marLeft w:val="0"/>
      <w:marRight w:val="0"/>
      <w:marTop w:val="0"/>
      <w:marBottom w:val="0"/>
      <w:divBdr>
        <w:top w:val="none" w:sz="0" w:space="0" w:color="auto"/>
        <w:left w:val="none" w:sz="0" w:space="0" w:color="auto"/>
        <w:bottom w:val="none" w:sz="0" w:space="0" w:color="auto"/>
        <w:right w:val="none" w:sz="0" w:space="0" w:color="auto"/>
      </w:divBdr>
    </w:div>
    <w:div w:id="585193354">
      <w:bodyDiv w:val="1"/>
      <w:marLeft w:val="0"/>
      <w:marRight w:val="0"/>
      <w:marTop w:val="0"/>
      <w:marBottom w:val="0"/>
      <w:divBdr>
        <w:top w:val="none" w:sz="0" w:space="0" w:color="auto"/>
        <w:left w:val="none" w:sz="0" w:space="0" w:color="auto"/>
        <w:bottom w:val="none" w:sz="0" w:space="0" w:color="auto"/>
        <w:right w:val="none" w:sz="0" w:space="0" w:color="auto"/>
      </w:divBdr>
    </w:div>
    <w:div w:id="585697056">
      <w:bodyDiv w:val="1"/>
      <w:marLeft w:val="0"/>
      <w:marRight w:val="0"/>
      <w:marTop w:val="0"/>
      <w:marBottom w:val="0"/>
      <w:divBdr>
        <w:top w:val="none" w:sz="0" w:space="0" w:color="auto"/>
        <w:left w:val="none" w:sz="0" w:space="0" w:color="auto"/>
        <w:bottom w:val="none" w:sz="0" w:space="0" w:color="auto"/>
        <w:right w:val="none" w:sz="0" w:space="0" w:color="auto"/>
      </w:divBdr>
    </w:div>
    <w:div w:id="585765668">
      <w:bodyDiv w:val="1"/>
      <w:marLeft w:val="0"/>
      <w:marRight w:val="0"/>
      <w:marTop w:val="0"/>
      <w:marBottom w:val="0"/>
      <w:divBdr>
        <w:top w:val="none" w:sz="0" w:space="0" w:color="auto"/>
        <w:left w:val="none" w:sz="0" w:space="0" w:color="auto"/>
        <w:bottom w:val="none" w:sz="0" w:space="0" w:color="auto"/>
        <w:right w:val="none" w:sz="0" w:space="0" w:color="auto"/>
      </w:divBdr>
    </w:div>
    <w:div w:id="585960783">
      <w:bodyDiv w:val="1"/>
      <w:marLeft w:val="0"/>
      <w:marRight w:val="0"/>
      <w:marTop w:val="0"/>
      <w:marBottom w:val="0"/>
      <w:divBdr>
        <w:top w:val="none" w:sz="0" w:space="0" w:color="auto"/>
        <w:left w:val="none" w:sz="0" w:space="0" w:color="auto"/>
        <w:bottom w:val="none" w:sz="0" w:space="0" w:color="auto"/>
        <w:right w:val="none" w:sz="0" w:space="0" w:color="auto"/>
      </w:divBdr>
    </w:div>
    <w:div w:id="586186085">
      <w:bodyDiv w:val="1"/>
      <w:marLeft w:val="0"/>
      <w:marRight w:val="0"/>
      <w:marTop w:val="0"/>
      <w:marBottom w:val="0"/>
      <w:divBdr>
        <w:top w:val="none" w:sz="0" w:space="0" w:color="auto"/>
        <w:left w:val="none" w:sz="0" w:space="0" w:color="auto"/>
        <w:bottom w:val="none" w:sz="0" w:space="0" w:color="auto"/>
        <w:right w:val="none" w:sz="0" w:space="0" w:color="auto"/>
      </w:divBdr>
    </w:div>
    <w:div w:id="586353771">
      <w:bodyDiv w:val="1"/>
      <w:marLeft w:val="0"/>
      <w:marRight w:val="0"/>
      <w:marTop w:val="0"/>
      <w:marBottom w:val="0"/>
      <w:divBdr>
        <w:top w:val="none" w:sz="0" w:space="0" w:color="auto"/>
        <w:left w:val="none" w:sz="0" w:space="0" w:color="auto"/>
        <w:bottom w:val="none" w:sz="0" w:space="0" w:color="auto"/>
        <w:right w:val="none" w:sz="0" w:space="0" w:color="auto"/>
      </w:divBdr>
    </w:div>
    <w:div w:id="586421844">
      <w:bodyDiv w:val="1"/>
      <w:marLeft w:val="0"/>
      <w:marRight w:val="0"/>
      <w:marTop w:val="0"/>
      <w:marBottom w:val="0"/>
      <w:divBdr>
        <w:top w:val="none" w:sz="0" w:space="0" w:color="auto"/>
        <w:left w:val="none" w:sz="0" w:space="0" w:color="auto"/>
        <w:bottom w:val="none" w:sz="0" w:space="0" w:color="auto"/>
        <w:right w:val="none" w:sz="0" w:space="0" w:color="auto"/>
      </w:divBdr>
    </w:div>
    <w:div w:id="586578969">
      <w:bodyDiv w:val="1"/>
      <w:marLeft w:val="0"/>
      <w:marRight w:val="0"/>
      <w:marTop w:val="0"/>
      <w:marBottom w:val="0"/>
      <w:divBdr>
        <w:top w:val="none" w:sz="0" w:space="0" w:color="auto"/>
        <w:left w:val="none" w:sz="0" w:space="0" w:color="auto"/>
        <w:bottom w:val="none" w:sz="0" w:space="0" w:color="auto"/>
        <w:right w:val="none" w:sz="0" w:space="0" w:color="auto"/>
      </w:divBdr>
    </w:div>
    <w:div w:id="586696725">
      <w:bodyDiv w:val="1"/>
      <w:marLeft w:val="0"/>
      <w:marRight w:val="0"/>
      <w:marTop w:val="0"/>
      <w:marBottom w:val="0"/>
      <w:divBdr>
        <w:top w:val="none" w:sz="0" w:space="0" w:color="auto"/>
        <w:left w:val="none" w:sz="0" w:space="0" w:color="auto"/>
        <w:bottom w:val="none" w:sz="0" w:space="0" w:color="auto"/>
        <w:right w:val="none" w:sz="0" w:space="0" w:color="auto"/>
      </w:divBdr>
    </w:div>
    <w:div w:id="586885341">
      <w:bodyDiv w:val="1"/>
      <w:marLeft w:val="0"/>
      <w:marRight w:val="0"/>
      <w:marTop w:val="0"/>
      <w:marBottom w:val="0"/>
      <w:divBdr>
        <w:top w:val="none" w:sz="0" w:space="0" w:color="auto"/>
        <w:left w:val="none" w:sz="0" w:space="0" w:color="auto"/>
        <w:bottom w:val="none" w:sz="0" w:space="0" w:color="auto"/>
        <w:right w:val="none" w:sz="0" w:space="0" w:color="auto"/>
      </w:divBdr>
    </w:div>
    <w:div w:id="586890807">
      <w:bodyDiv w:val="1"/>
      <w:marLeft w:val="0"/>
      <w:marRight w:val="0"/>
      <w:marTop w:val="0"/>
      <w:marBottom w:val="0"/>
      <w:divBdr>
        <w:top w:val="none" w:sz="0" w:space="0" w:color="auto"/>
        <w:left w:val="none" w:sz="0" w:space="0" w:color="auto"/>
        <w:bottom w:val="none" w:sz="0" w:space="0" w:color="auto"/>
        <w:right w:val="none" w:sz="0" w:space="0" w:color="auto"/>
      </w:divBdr>
    </w:div>
    <w:div w:id="587275742">
      <w:bodyDiv w:val="1"/>
      <w:marLeft w:val="0"/>
      <w:marRight w:val="0"/>
      <w:marTop w:val="0"/>
      <w:marBottom w:val="0"/>
      <w:divBdr>
        <w:top w:val="none" w:sz="0" w:space="0" w:color="auto"/>
        <w:left w:val="none" w:sz="0" w:space="0" w:color="auto"/>
        <w:bottom w:val="none" w:sz="0" w:space="0" w:color="auto"/>
        <w:right w:val="none" w:sz="0" w:space="0" w:color="auto"/>
      </w:divBdr>
    </w:div>
    <w:div w:id="587470625">
      <w:bodyDiv w:val="1"/>
      <w:marLeft w:val="0"/>
      <w:marRight w:val="0"/>
      <w:marTop w:val="0"/>
      <w:marBottom w:val="0"/>
      <w:divBdr>
        <w:top w:val="none" w:sz="0" w:space="0" w:color="auto"/>
        <w:left w:val="none" w:sz="0" w:space="0" w:color="auto"/>
        <w:bottom w:val="none" w:sz="0" w:space="0" w:color="auto"/>
        <w:right w:val="none" w:sz="0" w:space="0" w:color="auto"/>
      </w:divBdr>
    </w:div>
    <w:div w:id="587538467">
      <w:bodyDiv w:val="1"/>
      <w:marLeft w:val="0"/>
      <w:marRight w:val="0"/>
      <w:marTop w:val="0"/>
      <w:marBottom w:val="0"/>
      <w:divBdr>
        <w:top w:val="none" w:sz="0" w:space="0" w:color="auto"/>
        <w:left w:val="none" w:sz="0" w:space="0" w:color="auto"/>
        <w:bottom w:val="none" w:sz="0" w:space="0" w:color="auto"/>
        <w:right w:val="none" w:sz="0" w:space="0" w:color="auto"/>
      </w:divBdr>
    </w:div>
    <w:div w:id="587617007">
      <w:bodyDiv w:val="1"/>
      <w:marLeft w:val="0"/>
      <w:marRight w:val="0"/>
      <w:marTop w:val="0"/>
      <w:marBottom w:val="0"/>
      <w:divBdr>
        <w:top w:val="none" w:sz="0" w:space="0" w:color="auto"/>
        <w:left w:val="none" w:sz="0" w:space="0" w:color="auto"/>
        <w:bottom w:val="none" w:sz="0" w:space="0" w:color="auto"/>
        <w:right w:val="none" w:sz="0" w:space="0" w:color="auto"/>
      </w:divBdr>
    </w:div>
    <w:div w:id="587622673">
      <w:bodyDiv w:val="1"/>
      <w:marLeft w:val="0"/>
      <w:marRight w:val="0"/>
      <w:marTop w:val="0"/>
      <w:marBottom w:val="0"/>
      <w:divBdr>
        <w:top w:val="none" w:sz="0" w:space="0" w:color="auto"/>
        <w:left w:val="none" w:sz="0" w:space="0" w:color="auto"/>
        <w:bottom w:val="none" w:sz="0" w:space="0" w:color="auto"/>
        <w:right w:val="none" w:sz="0" w:space="0" w:color="auto"/>
      </w:divBdr>
    </w:div>
    <w:div w:id="587661688">
      <w:bodyDiv w:val="1"/>
      <w:marLeft w:val="0"/>
      <w:marRight w:val="0"/>
      <w:marTop w:val="0"/>
      <w:marBottom w:val="0"/>
      <w:divBdr>
        <w:top w:val="none" w:sz="0" w:space="0" w:color="auto"/>
        <w:left w:val="none" w:sz="0" w:space="0" w:color="auto"/>
        <w:bottom w:val="none" w:sz="0" w:space="0" w:color="auto"/>
        <w:right w:val="none" w:sz="0" w:space="0" w:color="auto"/>
      </w:divBdr>
    </w:div>
    <w:div w:id="587812458">
      <w:bodyDiv w:val="1"/>
      <w:marLeft w:val="0"/>
      <w:marRight w:val="0"/>
      <w:marTop w:val="0"/>
      <w:marBottom w:val="0"/>
      <w:divBdr>
        <w:top w:val="none" w:sz="0" w:space="0" w:color="auto"/>
        <w:left w:val="none" w:sz="0" w:space="0" w:color="auto"/>
        <w:bottom w:val="none" w:sz="0" w:space="0" w:color="auto"/>
        <w:right w:val="none" w:sz="0" w:space="0" w:color="auto"/>
      </w:divBdr>
    </w:div>
    <w:div w:id="587812603">
      <w:bodyDiv w:val="1"/>
      <w:marLeft w:val="0"/>
      <w:marRight w:val="0"/>
      <w:marTop w:val="0"/>
      <w:marBottom w:val="0"/>
      <w:divBdr>
        <w:top w:val="none" w:sz="0" w:space="0" w:color="auto"/>
        <w:left w:val="none" w:sz="0" w:space="0" w:color="auto"/>
        <w:bottom w:val="none" w:sz="0" w:space="0" w:color="auto"/>
        <w:right w:val="none" w:sz="0" w:space="0" w:color="auto"/>
      </w:divBdr>
    </w:div>
    <w:div w:id="587927469">
      <w:bodyDiv w:val="1"/>
      <w:marLeft w:val="0"/>
      <w:marRight w:val="0"/>
      <w:marTop w:val="0"/>
      <w:marBottom w:val="0"/>
      <w:divBdr>
        <w:top w:val="none" w:sz="0" w:space="0" w:color="auto"/>
        <w:left w:val="none" w:sz="0" w:space="0" w:color="auto"/>
        <w:bottom w:val="none" w:sz="0" w:space="0" w:color="auto"/>
        <w:right w:val="none" w:sz="0" w:space="0" w:color="auto"/>
      </w:divBdr>
    </w:div>
    <w:div w:id="587929232">
      <w:bodyDiv w:val="1"/>
      <w:marLeft w:val="0"/>
      <w:marRight w:val="0"/>
      <w:marTop w:val="0"/>
      <w:marBottom w:val="0"/>
      <w:divBdr>
        <w:top w:val="none" w:sz="0" w:space="0" w:color="auto"/>
        <w:left w:val="none" w:sz="0" w:space="0" w:color="auto"/>
        <w:bottom w:val="none" w:sz="0" w:space="0" w:color="auto"/>
        <w:right w:val="none" w:sz="0" w:space="0" w:color="auto"/>
      </w:divBdr>
    </w:div>
    <w:div w:id="587933360">
      <w:bodyDiv w:val="1"/>
      <w:marLeft w:val="0"/>
      <w:marRight w:val="0"/>
      <w:marTop w:val="0"/>
      <w:marBottom w:val="0"/>
      <w:divBdr>
        <w:top w:val="none" w:sz="0" w:space="0" w:color="auto"/>
        <w:left w:val="none" w:sz="0" w:space="0" w:color="auto"/>
        <w:bottom w:val="none" w:sz="0" w:space="0" w:color="auto"/>
        <w:right w:val="none" w:sz="0" w:space="0" w:color="auto"/>
      </w:divBdr>
    </w:div>
    <w:div w:id="588003536">
      <w:bodyDiv w:val="1"/>
      <w:marLeft w:val="0"/>
      <w:marRight w:val="0"/>
      <w:marTop w:val="0"/>
      <w:marBottom w:val="0"/>
      <w:divBdr>
        <w:top w:val="none" w:sz="0" w:space="0" w:color="auto"/>
        <w:left w:val="none" w:sz="0" w:space="0" w:color="auto"/>
        <w:bottom w:val="none" w:sz="0" w:space="0" w:color="auto"/>
        <w:right w:val="none" w:sz="0" w:space="0" w:color="auto"/>
      </w:divBdr>
    </w:div>
    <w:div w:id="588079790">
      <w:bodyDiv w:val="1"/>
      <w:marLeft w:val="0"/>
      <w:marRight w:val="0"/>
      <w:marTop w:val="0"/>
      <w:marBottom w:val="0"/>
      <w:divBdr>
        <w:top w:val="none" w:sz="0" w:space="0" w:color="auto"/>
        <w:left w:val="none" w:sz="0" w:space="0" w:color="auto"/>
        <w:bottom w:val="none" w:sz="0" w:space="0" w:color="auto"/>
        <w:right w:val="none" w:sz="0" w:space="0" w:color="auto"/>
      </w:divBdr>
    </w:div>
    <w:div w:id="588125692">
      <w:bodyDiv w:val="1"/>
      <w:marLeft w:val="0"/>
      <w:marRight w:val="0"/>
      <w:marTop w:val="0"/>
      <w:marBottom w:val="0"/>
      <w:divBdr>
        <w:top w:val="none" w:sz="0" w:space="0" w:color="auto"/>
        <w:left w:val="none" w:sz="0" w:space="0" w:color="auto"/>
        <w:bottom w:val="none" w:sz="0" w:space="0" w:color="auto"/>
        <w:right w:val="none" w:sz="0" w:space="0" w:color="auto"/>
      </w:divBdr>
    </w:div>
    <w:div w:id="588199337">
      <w:bodyDiv w:val="1"/>
      <w:marLeft w:val="0"/>
      <w:marRight w:val="0"/>
      <w:marTop w:val="0"/>
      <w:marBottom w:val="0"/>
      <w:divBdr>
        <w:top w:val="none" w:sz="0" w:space="0" w:color="auto"/>
        <w:left w:val="none" w:sz="0" w:space="0" w:color="auto"/>
        <w:bottom w:val="none" w:sz="0" w:space="0" w:color="auto"/>
        <w:right w:val="none" w:sz="0" w:space="0" w:color="auto"/>
      </w:divBdr>
    </w:div>
    <w:div w:id="588201631">
      <w:bodyDiv w:val="1"/>
      <w:marLeft w:val="0"/>
      <w:marRight w:val="0"/>
      <w:marTop w:val="0"/>
      <w:marBottom w:val="0"/>
      <w:divBdr>
        <w:top w:val="none" w:sz="0" w:space="0" w:color="auto"/>
        <w:left w:val="none" w:sz="0" w:space="0" w:color="auto"/>
        <w:bottom w:val="none" w:sz="0" w:space="0" w:color="auto"/>
        <w:right w:val="none" w:sz="0" w:space="0" w:color="auto"/>
      </w:divBdr>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88775736">
      <w:bodyDiv w:val="1"/>
      <w:marLeft w:val="0"/>
      <w:marRight w:val="0"/>
      <w:marTop w:val="0"/>
      <w:marBottom w:val="0"/>
      <w:divBdr>
        <w:top w:val="none" w:sz="0" w:space="0" w:color="auto"/>
        <w:left w:val="none" w:sz="0" w:space="0" w:color="auto"/>
        <w:bottom w:val="none" w:sz="0" w:space="0" w:color="auto"/>
        <w:right w:val="none" w:sz="0" w:space="0" w:color="auto"/>
      </w:divBdr>
    </w:div>
    <w:div w:id="588974381">
      <w:bodyDiv w:val="1"/>
      <w:marLeft w:val="0"/>
      <w:marRight w:val="0"/>
      <w:marTop w:val="0"/>
      <w:marBottom w:val="0"/>
      <w:divBdr>
        <w:top w:val="none" w:sz="0" w:space="0" w:color="auto"/>
        <w:left w:val="none" w:sz="0" w:space="0" w:color="auto"/>
        <w:bottom w:val="none" w:sz="0" w:space="0" w:color="auto"/>
        <w:right w:val="none" w:sz="0" w:space="0" w:color="auto"/>
      </w:divBdr>
    </w:div>
    <w:div w:id="589000518">
      <w:bodyDiv w:val="1"/>
      <w:marLeft w:val="0"/>
      <w:marRight w:val="0"/>
      <w:marTop w:val="0"/>
      <w:marBottom w:val="0"/>
      <w:divBdr>
        <w:top w:val="none" w:sz="0" w:space="0" w:color="auto"/>
        <w:left w:val="none" w:sz="0" w:space="0" w:color="auto"/>
        <w:bottom w:val="none" w:sz="0" w:space="0" w:color="auto"/>
        <w:right w:val="none" w:sz="0" w:space="0" w:color="auto"/>
      </w:divBdr>
    </w:div>
    <w:div w:id="589121730">
      <w:bodyDiv w:val="1"/>
      <w:marLeft w:val="0"/>
      <w:marRight w:val="0"/>
      <w:marTop w:val="0"/>
      <w:marBottom w:val="0"/>
      <w:divBdr>
        <w:top w:val="none" w:sz="0" w:space="0" w:color="auto"/>
        <w:left w:val="none" w:sz="0" w:space="0" w:color="auto"/>
        <w:bottom w:val="none" w:sz="0" w:space="0" w:color="auto"/>
        <w:right w:val="none" w:sz="0" w:space="0" w:color="auto"/>
      </w:divBdr>
    </w:div>
    <w:div w:id="589435852">
      <w:bodyDiv w:val="1"/>
      <w:marLeft w:val="0"/>
      <w:marRight w:val="0"/>
      <w:marTop w:val="0"/>
      <w:marBottom w:val="0"/>
      <w:divBdr>
        <w:top w:val="none" w:sz="0" w:space="0" w:color="auto"/>
        <w:left w:val="none" w:sz="0" w:space="0" w:color="auto"/>
        <w:bottom w:val="none" w:sz="0" w:space="0" w:color="auto"/>
        <w:right w:val="none" w:sz="0" w:space="0" w:color="auto"/>
      </w:divBdr>
    </w:div>
    <w:div w:id="589436518">
      <w:bodyDiv w:val="1"/>
      <w:marLeft w:val="0"/>
      <w:marRight w:val="0"/>
      <w:marTop w:val="0"/>
      <w:marBottom w:val="0"/>
      <w:divBdr>
        <w:top w:val="none" w:sz="0" w:space="0" w:color="auto"/>
        <w:left w:val="none" w:sz="0" w:space="0" w:color="auto"/>
        <w:bottom w:val="none" w:sz="0" w:space="0" w:color="auto"/>
        <w:right w:val="none" w:sz="0" w:space="0" w:color="auto"/>
      </w:divBdr>
    </w:div>
    <w:div w:id="589659076">
      <w:bodyDiv w:val="1"/>
      <w:marLeft w:val="0"/>
      <w:marRight w:val="0"/>
      <w:marTop w:val="0"/>
      <w:marBottom w:val="0"/>
      <w:divBdr>
        <w:top w:val="none" w:sz="0" w:space="0" w:color="auto"/>
        <w:left w:val="none" w:sz="0" w:space="0" w:color="auto"/>
        <w:bottom w:val="none" w:sz="0" w:space="0" w:color="auto"/>
        <w:right w:val="none" w:sz="0" w:space="0" w:color="auto"/>
      </w:divBdr>
    </w:div>
    <w:div w:id="589848053">
      <w:bodyDiv w:val="1"/>
      <w:marLeft w:val="0"/>
      <w:marRight w:val="0"/>
      <w:marTop w:val="0"/>
      <w:marBottom w:val="0"/>
      <w:divBdr>
        <w:top w:val="none" w:sz="0" w:space="0" w:color="auto"/>
        <w:left w:val="none" w:sz="0" w:space="0" w:color="auto"/>
        <w:bottom w:val="none" w:sz="0" w:space="0" w:color="auto"/>
        <w:right w:val="none" w:sz="0" w:space="0" w:color="auto"/>
      </w:divBdr>
    </w:div>
    <w:div w:id="589966204">
      <w:bodyDiv w:val="1"/>
      <w:marLeft w:val="0"/>
      <w:marRight w:val="0"/>
      <w:marTop w:val="0"/>
      <w:marBottom w:val="0"/>
      <w:divBdr>
        <w:top w:val="none" w:sz="0" w:space="0" w:color="auto"/>
        <w:left w:val="none" w:sz="0" w:space="0" w:color="auto"/>
        <w:bottom w:val="none" w:sz="0" w:space="0" w:color="auto"/>
        <w:right w:val="none" w:sz="0" w:space="0" w:color="auto"/>
      </w:divBdr>
    </w:div>
    <w:div w:id="589969708">
      <w:bodyDiv w:val="1"/>
      <w:marLeft w:val="0"/>
      <w:marRight w:val="0"/>
      <w:marTop w:val="0"/>
      <w:marBottom w:val="0"/>
      <w:divBdr>
        <w:top w:val="none" w:sz="0" w:space="0" w:color="auto"/>
        <w:left w:val="none" w:sz="0" w:space="0" w:color="auto"/>
        <w:bottom w:val="none" w:sz="0" w:space="0" w:color="auto"/>
        <w:right w:val="none" w:sz="0" w:space="0" w:color="auto"/>
      </w:divBdr>
    </w:div>
    <w:div w:id="590166825">
      <w:bodyDiv w:val="1"/>
      <w:marLeft w:val="0"/>
      <w:marRight w:val="0"/>
      <w:marTop w:val="0"/>
      <w:marBottom w:val="0"/>
      <w:divBdr>
        <w:top w:val="none" w:sz="0" w:space="0" w:color="auto"/>
        <w:left w:val="none" w:sz="0" w:space="0" w:color="auto"/>
        <w:bottom w:val="none" w:sz="0" w:space="0" w:color="auto"/>
        <w:right w:val="none" w:sz="0" w:space="0" w:color="auto"/>
      </w:divBdr>
    </w:div>
    <w:div w:id="590436056">
      <w:bodyDiv w:val="1"/>
      <w:marLeft w:val="0"/>
      <w:marRight w:val="0"/>
      <w:marTop w:val="0"/>
      <w:marBottom w:val="0"/>
      <w:divBdr>
        <w:top w:val="none" w:sz="0" w:space="0" w:color="auto"/>
        <w:left w:val="none" w:sz="0" w:space="0" w:color="auto"/>
        <w:bottom w:val="none" w:sz="0" w:space="0" w:color="auto"/>
        <w:right w:val="none" w:sz="0" w:space="0" w:color="auto"/>
      </w:divBdr>
    </w:div>
    <w:div w:id="590625900">
      <w:bodyDiv w:val="1"/>
      <w:marLeft w:val="0"/>
      <w:marRight w:val="0"/>
      <w:marTop w:val="0"/>
      <w:marBottom w:val="0"/>
      <w:divBdr>
        <w:top w:val="none" w:sz="0" w:space="0" w:color="auto"/>
        <w:left w:val="none" w:sz="0" w:space="0" w:color="auto"/>
        <w:bottom w:val="none" w:sz="0" w:space="0" w:color="auto"/>
        <w:right w:val="none" w:sz="0" w:space="0" w:color="auto"/>
      </w:divBdr>
    </w:div>
    <w:div w:id="590628472">
      <w:bodyDiv w:val="1"/>
      <w:marLeft w:val="0"/>
      <w:marRight w:val="0"/>
      <w:marTop w:val="0"/>
      <w:marBottom w:val="0"/>
      <w:divBdr>
        <w:top w:val="none" w:sz="0" w:space="0" w:color="auto"/>
        <w:left w:val="none" w:sz="0" w:space="0" w:color="auto"/>
        <w:bottom w:val="none" w:sz="0" w:space="0" w:color="auto"/>
        <w:right w:val="none" w:sz="0" w:space="0" w:color="auto"/>
      </w:divBdr>
    </w:div>
    <w:div w:id="590704072">
      <w:bodyDiv w:val="1"/>
      <w:marLeft w:val="0"/>
      <w:marRight w:val="0"/>
      <w:marTop w:val="0"/>
      <w:marBottom w:val="0"/>
      <w:divBdr>
        <w:top w:val="none" w:sz="0" w:space="0" w:color="auto"/>
        <w:left w:val="none" w:sz="0" w:space="0" w:color="auto"/>
        <w:bottom w:val="none" w:sz="0" w:space="0" w:color="auto"/>
        <w:right w:val="none" w:sz="0" w:space="0" w:color="auto"/>
      </w:divBdr>
    </w:div>
    <w:div w:id="590771964">
      <w:bodyDiv w:val="1"/>
      <w:marLeft w:val="0"/>
      <w:marRight w:val="0"/>
      <w:marTop w:val="0"/>
      <w:marBottom w:val="0"/>
      <w:divBdr>
        <w:top w:val="none" w:sz="0" w:space="0" w:color="auto"/>
        <w:left w:val="none" w:sz="0" w:space="0" w:color="auto"/>
        <w:bottom w:val="none" w:sz="0" w:space="0" w:color="auto"/>
        <w:right w:val="none" w:sz="0" w:space="0" w:color="auto"/>
      </w:divBdr>
    </w:div>
    <w:div w:id="591083325">
      <w:bodyDiv w:val="1"/>
      <w:marLeft w:val="0"/>
      <w:marRight w:val="0"/>
      <w:marTop w:val="0"/>
      <w:marBottom w:val="0"/>
      <w:divBdr>
        <w:top w:val="none" w:sz="0" w:space="0" w:color="auto"/>
        <w:left w:val="none" w:sz="0" w:space="0" w:color="auto"/>
        <w:bottom w:val="none" w:sz="0" w:space="0" w:color="auto"/>
        <w:right w:val="none" w:sz="0" w:space="0" w:color="auto"/>
      </w:divBdr>
    </w:div>
    <w:div w:id="591089738">
      <w:bodyDiv w:val="1"/>
      <w:marLeft w:val="0"/>
      <w:marRight w:val="0"/>
      <w:marTop w:val="0"/>
      <w:marBottom w:val="0"/>
      <w:divBdr>
        <w:top w:val="none" w:sz="0" w:space="0" w:color="auto"/>
        <w:left w:val="none" w:sz="0" w:space="0" w:color="auto"/>
        <w:bottom w:val="none" w:sz="0" w:space="0" w:color="auto"/>
        <w:right w:val="none" w:sz="0" w:space="0" w:color="auto"/>
      </w:divBdr>
    </w:div>
    <w:div w:id="591162771">
      <w:bodyDiv w:val="1"/>
      <w:marLeft w:val="0"/>
      <w:marRight w:val="0"/>
      <w:marTop w:val="0"/>
      <w:marBottom w:val="0"/>
      <w:divBdr>
        <w:top w:val="none" w:sz="0" w:space="0" w:color="auto"/>
        <w:left w:val="none" w:sz="0" w:space="0" w:color="auto"/>
        <w:bottom w:val="none" w:sz="0" w:space="0" w:color="auto"/>
        <w:right w:val="none" w:sz="0" w:space="0" w:color="auto"/>
      </w:divBdr>
    </w:div>
    <w:div w:id="591276935">
      <w:bodyDiv w:val="1"/>
      <w:marLeft w:val="0"/>
      <w:marRight w:val="0"/>
      <w:marTop w:val="0"/>
      <w:marBottom w:val="0"/>
      <w:divBdr>
        <w:top w:val="none" w:sz="0" w:space="0" w:color="auto"/>
        <w:left w:val="none" w:sz="0" w:space="0" w:color="auto"/>
        <w:bottom w:val="none" w:sz="0" w:space="0" w:color="auto"/>
        <w:right w:val="none" w:sz="0" w:space="0" w:color="auto"/>
      </w:divBdr>
    </w:div>
    <w:div w:id="591402666">
      <w:bodyDiv w:val="1"/>
      <w:marLeft w:val="0"/>
      <w:marRight w:val="0"/>
      <w:marTop w:val="0"/>
      <w:marBottom w:val="0"/>
      <w:divBdr>
        <w:top w:val="none" w:sz="0" w:space="0" w:color="auto"/>
        <w:left w:val="none" w:sz="0" w:space="0" w:color="auto"/>
        <w:bottom w:val="none" w:sz="0" w:space="0" w:color="auto"/>
        <w:right w:val="none" w:sz="0" w:space="0" w:color="auto"/>
      </w:divBdr>
    </w:div>
    <w:div w:id="591473038">
      <w:bodyDiv w:val="1"/>
      <w:marLeft w:val="0"/>
      <w:marRight w:val="0"/>
      <w:marTop w:val="0"/>
      <w:marBottom w:val="0"/>
      <w:divBdr>
        <w:top w:val="none" w:sz="0" w:space="0" w:color="auto"/>
        <w:left w:val="none" w:sz="0" w:space="0" w:color="auto"/>
        <w:bottom w:val="none" w:sz="0" w:space="0" w:color="auto"/>
        <w:right w:val="none" w:sz="0" w:space="0" w:color="auto"/>
      </w:divBdr>
    </w:div>
    <w:div w:id="591738431">
      <w:bodyDiv w:val="1"/>
      <w:marLeft w:val="0"/>
      <w:marRight w:val="0"/>
      <w:marTop w:val="0"/>
      <w:marBottom w:val="0"/>
      <w:divBdr>
        <w:top w:val="none" w:sz="0" w:space="0" w:color="auto"/>
        <w:left w:val="none" w:sz="0" w:space="0" w:color="auto"/>
        <w:bottom w:val="none" w:sz="0" w:space="0" w:color="auto"/>
        <w:right w:val="none" w:sz="0" w:space="0" w:color="auto"/>
      </w:divBdr>
    </w:div>
    <w:div w:id="591745744">
      <w:bodyDiv w:val="1"/>
      <w:marLeft w:val="0"/>
      <w:marRight w:val="0"/>
      <w:marTop w:val="0"/>
      <w:marBottom w:val="0"/>
      <w:divBdr>
        <w:top w:val="none" w:sz="0" w:space="0" w:color="auto"/>
        <w:left w:val="none" w:sz="0" w:space="0" w:color="auto"/>
        <w:bottom w:val="none" w:sz="0" w:space="0" w:color="auto"/>
        <w:right w:val="none" w:sz="0" w:space="0" w:color="auto"/>
      </w:divBdr>
    </w:div>
    <w:div w:id="591856075">
      <w:bodyDiv w:val="1"/>
      <w:marLeft w:val="0"/>
      <w:marRight w:val="0"/>
      <w:marTop w:val="0"/>
      <w:marBottom w:val="0"/>
      <w:divBdr>
        <w:top w:val="none" w:sz="0" w:space="0" w:color="auto"/>
        <w:left w:val="none" w:sz="0" w:space="0" w:color="auto"/>
        <w:bottom w:val="none" w:sz="0" w:space="0" w:color="auto"/>
        <w:right w:val="none" w:sz="0" w:space="0" w:color="auto"/>
      </w:divBdr>
    </w:div>
    <w:div w:id="591859877">
      <w:bodyDiv w:val="1"/>
      <w:marLeft w:val="0"/>
      <w:marRight w:val="0"/>
      <w:marTop w:val="0"/>
      <w:marBottom w:val="0"/>
      <w:divBdr>
        <w:top w:val="none" w:sz="0" w:space="0" w:color="auto"/>
        <w:left w:val="none" w:sz="0" w:space="0" w:color="auto"/>
        <w:bottom w:val="none" w:sz="0" w:space="0" w:color="auto"/>
        <w:right w:val="none" w:sz="0" w:space="0" w:color="auto"/>
      </w:divBdr>
    </w:div>
    <w:div w:id="592588336">
      <w:bodyDiv w:val="1"/>
      <w:marLeft w:val="0"/>
      <w:marRight w:val="0"/>
      <w:marTop w:val="0"/>
      <w:marBottom w:val="0"/>
      <w:divBdr>
        <w:top w:val="none" w:sz="0" w:space="0" w:color="auto"/>
        <w:left w:val="none" w:sz="0" w:space="0" w:color="auto"/>
        <w:bottom w:val="none" w:sz="0" w:space="0" w:color="auto"/>
        <w:right w:val="none" w:sz="0" w:space="0" w:color="auto"/>
      </w:divBdr>
    </w:div>
    <w:div w:id="592588453">
      <w:bodyDiv w:val="1"/>
      <w:marLeft w:val="0"/>
      <w:marRight w:val="0"/>
      <w:marTop w:val="0"/>
      <w:marBottom w:val="0"/>
      <w:divBdr>
        <w:top w:val="none" w:sz="0" w:space="0" w:color="auto"/>
        <w:left w:val="none" w:sz="0" w:space="0" w:color="auto"/>
        <w:bottom w:val="none" w:sz="0" w:space="0" w:color="auto"/>
        <w:right w:val="none" w:sz="0" w:space="0" w:color="auto"/>
      </w:divBdr>
    </w:div>
    <w:div w:id="592786305">
      <w:bodyDiv w:val="1"/>
      <w:marLeft w:val="0"/>
      <w:marRight w:val="0"/>
      <w:marTop w:val="0"/>
      <w:marBottom w:val="0"/>
      <w:divBdr>
        <w:top w:val="none" w:sz="0" w:space="0" w:color="auto"/>
        <w:left w:val="none" w:sz="0" w:space="0" w:color="auto"/>
        <w:bottom w:val="none" w:sz="0" w:space="0" w:color="auto"/>
        <w:right w:val="none" w:sz="0" w:space="0" w:color="auto"/>
      </w:divBdr>
    </w:div>
    <w:div w:id="592861417">
      <w:bodyDiv w:val="1"/>
      <w:marLeft w:val="0"/>
      <w:marRight w:val="0"/>
      <w:marTop w:val="0"/>
      <w:marBottom w:val="0"/>
      <w:divBdr>
        <w:top w:val="none" w:sz="0" w:space="0" w:color="auto"/>
        <w:left w:val="none" w:sz="0" w:space="0" w:color="auto"/>
        <w:bottom w:val="none" w:sz="0" w:space="0" w:color="auto"/>
        <w:right w:val="none" w:sz="0" w:space="0" w:color="auto"/>
      </w:divBdr>
    </w:div>
    <w:div w:id="593321320">
      <w:bodyDiv w:val="1"/>
      <w:marLeft w:val="0"/>
      <w:marRight w:val="0"/>
      <w:marTop w:val="0"/>
      <w:marBottom w:val="0"/>
      <w:divBdr>
        <w:top w:val="none" w:sz="0" w:space="0" w:color="auto"/>
        <w:left w:val="none" w:sz="0" w:space="0" w:color="auto"/>
        <w:bottom w:val="none" w:sz="0" w:space="0" w:color="auto"/>
        <w:right w:val="none" w:sz="0" w:space="0" w:color="auto"/>
      </w:divBdr>
    </w:div>
    <w:div w:id="593321885">
      <w:bodyDiv w:val="1"/>
      <w:marLeft w:val="0"/>
      <w:marRight w:val="0"/>
      <w:marTop w:val="0"/>
      <w:marBottom w:val="0"/>
      <w:divBdr>
        <w:top w:val="none" w:sz="0" w:space="0" w:color="auto"/>
        <w:left w:val="none" w:sz="0" w:space="0" w:color="auto"/>
        <w:bottom w:val="none" w:sz="0" w:space="0" w:color="auto"/>
        <w:right w:val="none" w:sz="0" w:space="0" w:color="auto"/>
      </w:divBdr>
    </w:div>
    <w:div w:id="593515060">
      <w:bodyDiv w:val="1"/>
      <w:marLeft w:val="0"/>
      <w:marRight w:val="0"/>
      <w:marTop w:val="0"/>
      <w:marBottom w:val="0"/>
      <w:divBdr>
        <w:top w:val="none" w:sz="0" w:space="0" w:color="auto"/>
        <w:left w:val="none" w:sz="0" w:space="0" w:color="auto"/>
        <w:bottom w:val="none" w:sz="0" w:space="0" w:color="auto"/>
        <w:right w:val="none" w:sz="0" w:space="0" w:color="auto"/>
      </w:divBdr>
    </w:div>
    <w:div w:id="593779282">
      <w:bodyDiv w:val="1"/>
      <w:marLeft w:val="0"/>
      <w:marRight w:val="0"/>
      <w:marTop w:val="0"/>
      <w:marBottom w:val="0"/>
      <w:divBdr>
        <w:top w:val="none" w:sz="0" w:space="0" w:color="auto"/>
        <w:left w:val="none" w:sz="0" w:space="0" w:color="auto"/>
        <w:bottom w:val="none" w:sz="0" w:space="0" w:color="auto"/>
        <w:right w:val="none" w:sz="0" w:space="0" w:color="auto"/>
      </w:divBdr>
    </w:div>
    <w:div w:id="594437775">
      <w:bodyDiv w:val="1"/>
      <w:marLeft w:val="0"/>
      <w:marRight w:val="0"/>
      <w:marTop w:val="0"/>
      <w:marBottom w:val="0"/>
      <w:divBdr>
        <w:top w:val="none" w:sz="0" w:space="0" w:color="auto"/>
        <w:left w:val="none" w:sz="0" w:space="0" w:color="auto"/>
        <w:bottom w:val="none" w:sz="0" w:space="0" w:color="auto"/>
        <w:right w:val="none" w:sz="0" w:space="0" w:color="auto"/>
      </w:divBdr>
    </w:div>
    <w:div w:id="594676751">
      <w:bodyDiv w:val="1"/>
      <w:marLeft w:val="0"/>
      <w:marRight w:val="0"/>
      <w:marTop w:val="0"/>
      <w:marBottom w:val="0"/>
      <w:divBdr>
        <w:top w:val="none" w:sz="0" w:space="0" w:color="auto"/>
        <w:left w:val="none" w:sz="0" w:space="0" w:color="auto"/>
        <w:bottom w:val="none" w:sz="0" w:space="0" w:color="auto"/>
        <w:right w:val="none" w:sz="0" w:space="0" w:color="auto"/>
      </w:divBdr>
    </w:div>
    <w:div w:id="594940735">
      <w:bodyDiv w:val="1"/>
      <w:marLeft w:val="0"/>
      <w:marRight w:val="0"/>
      <w:marTop w:val="0"/>
      <w:marBottom w:val="0"/>
      <w:divBdr>
        <w:top w:val="none" w:sz="0" w:space="0" w:color="auto"/>
        <w:left w:val="none" w:sz="0" w:space="0" w:color="auto"/>
        <w:bottom w:val="none" w:sz="0" w:space="0" w:color="auto"/>
        <w:right w:val="none" w:sz="0" w:space="0" w:color="auto"/>
      </w:divBdr>
    </w:div>
    <w:div w:id="595097463">
      <w:bodyDiv w:val="1"/>
      <w:marLeft w:val="0"/>
      <w:marRight w:val="0"/>
      <w:marTop w:val="0"/>
      <w:marBottom w:val="0"/>
      <w:divBdr>
        <w:top w:val="none" w:sz="0" w:space="0" w:color="auto"/>
        <w:left w:val="none" w:sz="0" w:space="0" w:color="auto"/>
        <w:bottom w:val="none" w:sz="0" w:space="0" w:color="auto"/>
        <w:right w:val="none" w:sz="0" w:space="0" w:color="auto"/>
      </w:divBdr>
    </w:div>
    <w:div w:id="595287115">
      <w:bodyDiv w:val="1"/>
      <w:marLeft w:val="0"/>
      <w:marRight w:val="0"/>
      <w:marTop w:val="0"/>
      <w:marBottom w:val="0"/>
      <w:divBdr>
        <w:top w:val="none" w:sz="0" w:space="0" w:color="auto"/>
        <w:left w:val="none" w:sz="0" w:space="0" w:color="auto"/>
        <w:bottom w:val="none" w:sz="0" w:space="0" w:color="auto"/>
        <w:right w:val="none" w:sz="0" w:space="0" w:color="auto"/>
      </w:divBdr>
    </w:div>
    <w:div w:id="595868016">
      <w:bodyDiv w:val="1"/>
      <w:marLeft w:val="0"/>
      <w:marRight w:val="0"/>
      <w:marTop w:val="0"/>
      <w:marBottom w:val="0"/>
      <w:divBdr>
        <w:top w:val="none" w:sz="0" w:space="0" w:color="auto"/>
        <w:left w:val="none" w:sz="0" w:space="0" w:color="auto"/>
        <w:bottom w:val="none" w:sz="0" w:space="0" w:color="auto"/>
        <w:right w:val="none" w:sz="0" w:space="0" w:color="auto"/>
      </w:divBdr>
    </w:div>
    <w:div w:id="595938196">
      <w:bodyDiv w:val="1"/>
      <w:marLeft w:val="0"/>
      <w:marRight w:val="0"/>
      <w:marTop w:val="0"/>
      <w:marBottom w:val="0"/>
      <w:divBdr>
        <w:top w:val="none" w:sz="0" w:space="0" w:color="auto"/>
        <w:left w:val="none" w:sz="0" w:space="0" w:color="auto"/>
        <w:bottom w:val="none" w:sz="0" w:space="0" w:color="auto"/>
        <w:right w:val="none" w:sz="0" w:space="0" w:color="auto"/>
      </w:divBdr>
    </w:div>
    <w:div w:id="596134565">
      <w:bodyDiv w:val="1"/>
      <w:marLeft w:val="0"/>
      <w:marRight w:val="0"/>
      <w:marTop w:val="0"/>
      <w:marBottom w:val="0"/>
      <w:divBdr>
        <w:top w:val="none" w:sz="0" w:space="0" w:color="auto"/>
        <w:left w:val="none" w:sz="0" w:space="0" w:color="auto"/>
        <w:bottom w:val="none" w:sz="0" w:space="0" w:color="auto"/>
        <w:right w:val="none" w:sz="0" w:space="0" w:color="auto"/>
      </w:divBdr>
    </w:div>
    <w:div w:id="596209277">
      <w:bodyDiv w:val="1"/>
      <w:marLeft w:val="0"/>
      <w:marRight w:val="0"/>
      <w:marTop w:val="0"/>
      <w:marBottom w:val="0"/>
      <w:divBdr>
        <w:top w:val="none" w:sz="0" w:space="0" w:color="auto"/>
        <w:left w:val="none" w:sz="0" w:space="0" w:color="auto"/>
        <w:bottom w:val="none" w:sz="0" w:space="0" w:color="auto"/>
        <w:right w:val="none" w:sz="0" w:space="0" w:color="auto"/>
      </w:divBdr>
    </w:div>
    <w:div w:id="596257837">
      <w:bodyDiv w:val="1"/>
      <w:marLeft w:val="0"/>
      <w:marRight w:val="0"/>
      <w:marTop w:val="0"/>
      <w:marBottom w:val="0"/>
      <w:divBdr>
        <w:top w:val="none" w:sz="0" w:space="0" w:color="auto"/>
        <w:left w:val="none" w:sz="0" w:space="0" w:color="auto"/>
        <w:bottom w:val="none" w:sz="0" w:space="0" w:color="auto"/>
        <w:right w:val="none" w:sz="0" w:space="0" w:color="auto"/>
      </w:divBdr>
    </w:div>
    <w:div w:id="596407852">
      <w:bodyDiv w:val="1"/>
      <w:marLeft w:val="0"/>
      <w:marRight w:val="0"/>
      <w:marTop w:val="0"/>
      <w:marBottom w:val="0"/>
      <w:divBdr>
        <w:top w:val="none" w:sz="0" w:space="0" w:color="auto"/>
        <w:left w:val="none" w:sz="0" w:space="0" w:color="auto"/>
        <w:bottom w:val="none" w:sz="0" w:space="0" w:color="auto"/>
        <w:right w:val="none" w:sz="0" w:space="0" w:color="auto"/>
      </w:divBdr>
    </w:div>
    <w:div w:id="596718846">
      <w:bodyDiv w:val="1"/>
      <w:marLeft w:val="0"/>
      <w:marRight w:val="0"/>
      <w:marTop w:val="0"/>
      <w:marBottom w:val="0"/>
      <w:divBdr>
        <w:top w:val="none" w:sz="0" w:space="0" w:color="auto"/>
        <w:left w:val="none" w:sz="0" w:space="0" w:color="auto"/>
        <w:bottom w:val="none" w:sz="0" w:space="0" w:color="auto"/>
        <w:right w:val="none" w:sz="0" w:space="0" w:color="auto"/>
      </w:divBdr>
    </w:div>
    <w:div w:id="596863662">
      <w:bodyDiv w:val="1"/>
      <w:marLeft w:val="0"/>
      <w:marRight w:val="0"/>
      <w:marTop w:val="0"/>
      <w:marBottom w:val="0"/>
      <w:divBdr>
        <w:top w:val="none" w:sz="0" w:space="0" w:color="auto"/>
        <w:left w:val="none" w:sz="0" w:space="0" w:color="auto"/>
        <w:bottom w:val="none" w:sz="0" w:space="0" w:color="auto"/>
        <w:right w:val="none" w:sz="0" w:space="0" w:color="auto"/>
      </w:divBdr>
    </w:div>
    <w:div w:id="597056199">
      <w:bodyDiv w:val="1"/>
      <w:marLeft w:val="0"/>
      <w:marRight w:val="0"/>
      <w:marTop w:val="0"/>
      <w:marBottom w:val="0"/>
      <w:divBdr>
        <w:top w:val="none" w:sz="0" w:space="0" w:color="auto"/>
        <w:left w:val="none" w:sz="0" w:space="0" w:color="auto"/>
        <w:bottom w:val="none" w:sz="0" w:space="0" w:color="auto"/>
        <w:right w:val="none" w:sz="0" w:space="0" w:color="auto"/>
      </w:divBdr>
    </w:div>
    <w:div w:id="597103848">
      <w:bodyDiv w:val="1"/>
      <w:marLeft w:val="0"/>
      <w:marRight w:val="0"/>
      <w:marTop w:val="0"/>
      <w:marBottom w:val="0"/>
      <w:divBdr>
        <w:top w:val="none" w:sz="0" w:space="0" w:color="auto"/>
        <w:left w:val="none" w:sz="0" w:space="0" w:color="auto"/>
        <w:bottom w:val="none" w:sz="0" w:space="0" w:color="auto"/>
        <w:right w:val="none" w:sz="0" w:space="0" w:color="auto"/>
      </w:divBdr>
    </w:div>
    <w:div w:id="597367111">
      <w:bodyDiv w:val="1"/>
      <w:marLeft w:val="0"/>
      <w:marRight w:val="0"/>
      <w:marTop w:val="0"/>
      <w:marBottom w:val="0"/>
      <w:divBdr>
        <w:top w:val="none" w:sz="0" w:space="0" w:color="auto"/>
        <w:left w:val="none" w:sz="0" w:space="0" w:color="auto"/>
        <w:bottom w:val="none" w:sz="0" w:space="0" w:color="auto"/>
        <w:right w:val="none" w:sz="0" w:space="0" w:color="auto"/>
      </w:divBdr>
    </w:div>
    <w:div w:id="597372246">
      <w:bodyDiv w:val="1"/>
      <w:marLeft w:val="0"/>
      <w:marRight w:val="0"/>
      <w:marTop w:val="0"/>
      <w:marBottom w:val="0"/>
      <w:divBdr>
        <w:top w:val="none" w:sz="0" w:space="0" w:color="auto"/>
        <w:left w:val="none" w:sz="0" w:space="0" w:color="auto"/>
        <w:bottom w:val="none" w:sz="0" w:space="0" w:color="auto"/>
        <w:right w:val="none" w:sz="0" w:space="0" w:color="auto"/>
      </w:divBdr>
    </w:div>
    <w:div w:id="597755310">
      <w:bodyDiv w:val="1"/>
      <w:marLeft w:val="0"/>
      <w:marRight w:val="0"/>
      <w:marTop w:val="0"/>
      <w:marBottom w:val="0"/>
      <w:divBdr>
        <w:top w:val="none" w:sz="0" w:space="0" w:color="auto"/>
        <w:left w:val="none" w:sz="0" w:space="0" w:color="auto"/>
        <w:bottom w:val="none" w:sz="0" w:space="0" w:color="auto"/>
        <w:right w:val="none" w:sz="0" w:space="0" w:color="auto"/>
      </w:divBdr>
    </w:div>
    <w:div w:id="598606313">
      <w:bodyDiv w:val="1"/>
      <w:marLeft w:val="0"/>
      <w:marRight w:val="0"/>
      <w:marTop w:val="0"/>
      <w:marBottom w:val="0"/>
      <w:divBdr>
        <w:top w:val="none" w:sz="0" w:space="0" w:color="auto"/>
        <w:left w:val="none" w:sz="0" w:space="0" w:color="auto"/>
        <w:bottom w:val="none" w:sz="0" w:space="0" w:color="auto"/>
        <w:right w:val="none" w:sz="0" w:space="0" w:color="auto"/>
      </w:divBdr>
    </w:div>
    <w:div w:id="598684423">
      <w:bodyDiv w:val="1"/>
      <w:marLeft w:val="0"/>
      <w:marRight w:val="0"/>
      <w:marTop w:val="0"/>
      <w:marBottom w:val="0"/>
      <w:divBdr>
        <w:top w:val="none" w:sz="0" w:space="0" w:color="auto"/>
        <w:left w:val="none" w:sz="0" w:space="0" w:color="auto"/>
        <w:bottom w:val="none" w:sz="0" w:space="0" w:color="auto"/>
        <w:right w:val="none" w:sz="0" w:space="0" w:color="auto"/>
      </w:divBdr>
    </w:div>
    <w:div w:id="598755683">
      <w:bodyDiv w:val="1"/>
      <w:marLeft w:val="0"/>
      <w:marRight w:val="0"/>
      <w:marTop w:val="0"/>
      <w:marBottom w:val="0"/>
      <w:divBdr>
        <w:top w:val="none" w:sz="0" w:space="0" w:color="auto"/>
        <w:left w:val="none" w:sz="0" w:space="0" w:color="auto"/>
        <w:bottom w:val="none" w:sz="0" w:space="0" w:color="auto"/>
        <w:right w:val="none" w:sz="0" w:space="0" w:color="auto"/>
      </w:divBdr>
    </w:div>
    <w:div w:id="599027159">
      <w:bodyDiv w:val="1"/>
      <w:marLeft w:val="0"/>
      <w:marRight w:val="0"/>
      <w:marTop w:val="0"/>
      <w:marBottom w:val="0"/>
      <w:divBdr>
        <w:top w:val="none" w:sz="0" w:space="0" w:color="auto"/>
        <w:left w:val="none" w:sz="0" w:space="0" w:color="auto"/>
        <w:bottom w:val="none" w:sz="0" w:space="0" w:color="auto"/>
        <w:right w:val="none" w:sz="0" w:space="0" w:color="auto"/>
      </w:divBdr>
    </w:div>
    <w:div w:id="599290920">
      <w:bodyDiv w:val="1"/>
      <w:marLeft w:val="0"/>
      <w:marRight w:val="0"/>
      <w:marTop w:val="0"/>
      <w:marBottom w:val="0"/>
      <w:divBdr>
        <w:top w:val="none" w:sz="0" w:space="0" w:color="auto"/>
        <w:left w:val="none" w:sz="0" w:space="0" w:color="auto"/>
        <w:bottom w:val="none" w:sz="0" w:space="0" w:color="auto"/>
        <w:right w:val="none" w:sz="0" w:space="0" w:color="auto"/>
      </w:divBdr>
    </w:div>
    <w:div w:id="599609779">
      <w:bodyDiv w:val="1"/>
      <w:marLeft w:val="0"/>
      <w:marRight w:val="0"/>
      <w:marTop w:val="0"/>
      <w:marBottom w:val="0"/>
      <w:divBdr>
        <w:top w:val="none" w:sz="0" w:space="0" w:color="auto"/>
        <w:left w:val="none" w:sz="0" w:space="0" w:color="auto"/>
        <w:bottom w:val="none" w:sz="0" w:space="0" w:color="auto"/>
        <w:right w:val="none" w:sz="0" w:space="0" w:color="auto"/>
      </w:divBdr>
    </w:div>
    <w:div w:id="599684305">
      <w:bodyDiv w:val="1"/>
      <w:marLeft w:val="0"/>
      <w:marRight w:val="0"/>
      <w:marTop w:val="0"/>
      <w:marBottom w:val="0"/>
      <w:divBdr>
        <w:top w:val="none" w:sz="0" w:space="0" w:color="auto"/>
        <w:left w:val="none" w:sz="0" w:space="0" w:color="auto"/>
        <w:bottom w:val="none" w:sz="0" w:space="0" w:color="auto"/>
        <w:right w:val="none" w:sz="0" w:space="0" w:color="auto"/>
      </w:divBdr>
    </w:div>
    <w:div w:id="600064849">
      <w:bodyDiv w:val="1"/>
      <w:marLeft w:val="0"/>
      <w:marRight w:val="0"/>
      <w:marTop w:val="0"/>
      <w:marBottom w:val="0"/>
      <w:divBdr>
        <w:top w:val="none" w:sz="0" w:space="0" w:color="auto"/>
        <w:left w:val="none" w:sz="0" w:space="0" w:color="auto"/>
        <w:bottom w:val="none" w:sz="0" w:space="0" w:color="auto"/>
        <w:right w:val="none" w:sz="0" w:space="0" w:color="auto"/>
      </w:divBdr>
    </w:div>
    <w:div w:id="600182447">
      <w:bodyDiv w:val="1"/>
      <w:marLeft w:val="0"/>
      <w:marRight w:val="0"/>
      <w:marTop w:val="0"/>
      <w:marBottom w:val="0"/>
      <w:divBdr>
        <w:top w:val="none" w:sz="0" w:space="0" w:color="auto"/>
        <w:left w:val="none" w:sz="0" w:space="0" w:color="auto"/>
        <w:bottom w:val="none" w:sz="0" w:space="0" w:color="auto"/>
        <w:right w:val="none" w:sz="0" w:space="0" w:color="auto"/>
      </w:divBdr>
    </w:div>
    <w:div w:id="600263144">
      <w:bodyDiv w:val="1"/>
      <w:marLeft w:val="0"/>
      <w:marRight w:val="0"/>
      <w:marTop w:val="0"/>
      <w:marBottom w:val="0"/>
      <w:divBdr>
        <w:top w:val="none" w:sz="0" w:space="0" w:color="auto"/>
        <w:left w:val="none" w:sz="0" w:space="0" w:color="auto"/>
        <w:bottom w:val="none" w:sz="0" w:space="0" w:color="auto"/>
        <w:right w:val="none" w:sz="0" w:space="0" w:color="auto"/>
      </w:divBdr>
    </w:div>
    <w:div w:id="600333831">
      <w:bodyDiv w:val="1"/>
      <w:marLeft w:val="0"/>
      <w:marRight w:val="0"/>
      <w:marTop w:val="0"/>
      <w:marBottom w:val="0"/>
      <w:divBdr>
        <w:top w:val="none" w:sz="0" w:space="0" w:color="auto"/>
        <w:left w:val="none" w:sz="0" w:space="0" w:color="auto"/>
        <w:bottom w:val="none" w:sz="0" w:space="0" w:color="auto"/>
        <w:right w:val="none" w:sz="0" w:space="0" w:color="auto"/>
      </w:divBdr>
    </w:div>
    <w:div w:id="600339438">
      <w:bodyDiv w:val="1"/>
      <w:marLeft w:val="0"/>
      <w:marRight w:val="0"/>
      <w:marTop w:val="0"/>
      <w:marBottom w:val="0"/>
      <w:divBdr>
        <w:top w:val="none" w:sz="0" w:space="0" w:color="auto"/>
        <w:left w:val="none" w:sz="0" w:space="0" w:color="auto"/>
        <w:bottom w:val="none" w:sz="0" w:space="0" w:color="auto"/>
        <w:right w:val="none" w:sz="0" w:space="0" w:color="auto"/>
      </w:divBdr>
    </w:div>
    <w:div w:id="600381389">
      <w:bodyDiv w:val="1"/>
      <w:marLeft w:val="0"/>
      <w:marRight w:val="0"/>
      <w:marTop w:val="0"/>
      <w:marBottom w:val="0"/>
      <w:divBdr>
        <w:top w:val="none" w:sz="0" w:space="0" w:color="auto"/>
        <w:left w:val="none" w:sz="0" w:space="0" w:color="auto"/>
        <w:bottom w:val="none" w:sz="0" w:space="0" w:color="auto"/>
        <w:right w:val="none" w:sz="0" w:space="0" w:color="auto"/>
      </w:divBdr>
    </w:div>
    <w:div w:id="601182558">
      <w:bodyDiv w:val="1"/>
      <w:marLeft w:val="0"/>
      <w:marRight w:val="0"/>
      <w:marTop w:val="0"/>
      <w:marBottom w:val="0"/>
      <w:divBdr>
        <w:top w:val="none" w:sz="0" w:space="0" w:color="auto"/>
        <w:left w:val="none" w:sz="0" w:space="0" w:color="auto"/>
        <w:bottom w:val="none" w:sz="0" w:space="0" w:color="auto"/>
        <w:right w:val="none" w:sz="0" w:space="0" w:color="auto"/>
      </w:divBdr>
    </w:div>
    <w:div w:id="601306888">
      <w:bodyDiv w:val="1"/>
      <w:marLeft w:val="0"/>
      <w:marRight w:val="0"/>
      <w:marTop w:val="0"/>
      <w:marBottom w:val="0"/>
      <w:divBdr>
        <w:top w:val="none" w:sz="0" w:space="0" w:color="auto"/>
        <w:left w:val="none" w:sz="0" w:space="0" w:color="auto"/>
        <w:bottom w:val="none" w:sz="0" w:space="0" w:color="auto"/>
        <w:right w:val="none" w:sz="0" w:space="0" w:color="auto"/>
      </w:divBdr>
    </w:div>
    <w:div w:id="601381383">
      <w:bodyDiv w:val="1"/>
      <w:marLeft w:val="0"/>
      <w:marRight w:val="0"/>
      <w:marTop w:val="0"/>
      <w:marBottom w:val="0"/>
      <w:divBdr>
        <w:top w:val="none" w:sz="0" w:space="0" w:color="auto"/>
        <w:left w:val="none" w:sz="0" w:space="0" w:color="auto"/>
        <w:bottom w:val="none" w:sz="0" w:space="0" w:color="auto"/>
        <w:right w:val="none" w:sz="0" w:space="0" w:color="auto"/>
      </w:divBdr>
    </w:div>
    <w:div w:id="601760624">
      <w:bodyDiv w:val="1"/>
      <w:marLeft w:val="0"/>
      <w:marRight w:val="0"/>
      <w:marTop w:val="0"/>
      <w:marBottom w:val="0"/>
      <w:divBdr>
        <w:top w:val="none" w:sz="0" w:space="0" w:color="auto"/>
        <w:left w:val="none" w:sz="0" w:space="0" w:color="auto"/>
        <w:bottom w:val="none" w:sz="0" w:space="0" w:color="auto"/>
        <w:right w:val="none" w:sz="0" w:space="0" w:color="auto"/>
      </w:divBdr>
    </w:div>
    <w:div w:id="601957387">
      <w:bodyDiv w:val="1"/>
      <w:marLeft w:val="0"/>
      <w:marRight w:val="0"/>
      <w:marTop w:val="0"/>
      <w:marBottom w:val="0"/>
      <w:divBdr>
        <w:top w:val="none" w:sz="0" w:space="0" w:color="auto"/>
        <w:left w:val="none" w:sz="0" w:space="0" w:color="auto"/>
        <w:bottom w:val="none" w:sz="0" w:space="0" w:color="auto"/>
        <w:right w:val="none" w:sz="0" w:space="0" w:color="auto"/>
      </w:divBdr>
    </w:div>
    <w:div w:id="602030530">
      <w:bodyDiv w:val="1"/>
      <w:marLeft w:val="0"/>
      <w:marRight w:val="0"/>
      <w:marTop w:val="0"/>
      <w:marBottom w:val="0"/>
      <w:divBdr>
        <w:top w:val="none" w:sz="0" w:space="0" w:color="auto"/>
        <w:left w:val="none" w:sz="0" w:space="0" w:color="auto"/>
        <w:bottom w:val="none" w:sz="0" w:space="0" w:color="auto"/>
        <w:right w:val="none" w:sz="0" w:space="0" w:color="auto"/>
      </w:divBdr>
    </w:div>
    <w:div w:id="602110489">
      <w:bodyDiv w:val="1"/>
      <w:marLeft w:val="0"/>
      <w:marRight w:val="0"/>
      <w:marTop w:val="0"/>
      <w:marBottom w:val="0"/>
      <w:divBdr>
        <w:top w:val="none" w:sz="0" w:space="0" w:color="auto"/>
        <w:left w:val="none" w:sz="0" w:space="0" w:color="auto"/>
        <w:bottom w:val="none" w:sz="0" w:space="0" w:color="auto"/>
        <w:right w:val="none" w:sz="0" w:space="0" w:color="auto"/>
      </w:divBdr>
    </w:div>
    <w:div w:id="602230817">
      <w:bodyDiv w:val="1"/>
      <w:marLeft w:val="0"/>
      <w:marRight w:val="0"/>
      <w:marTop w:val="0"/>
      <w:marBottom w:val="0"/>
      <w:divBdr>
        <w:top w:val="none" w:sz="0" w:space="0" w:color="auto"/>
        <w:left w:val="none" w:sz="0" w:space="0" w:color="auto"/>
        <w:bottom w:val="none" w:sz="0" w:space="0" w:color="auto"/>
        <w:right w:val="none" w:sz="0" w:space="0" w:color="auto"/>
      </w:divBdr>
    </w:div>
    <w:div w:id="602341897">
      <w:bodyDiv w:val="1"/>
      <w:marLeft w:val="0"/>
      <w:marRight w:val="0"/>
      <w:marTop w:val="0"/>
      <w:marBottom w:val="0"/>
      <w:divBdr>
        <w:top w:val="none" w:sz="0" w:space="0" w:color="auto"/>
        <w:left w:val="none" w:sz="0" w:space="0" w:color="auto"/>
        <w:bottom w:val="none" w:sz="0" w:space="0" w:color="auto"/>
        <w:right w:val="none" w:sz="0" w:space="0" w:color="auto"/>
      </w:divBdr>
    </w:div>
    <w:div w:id="602416295">
      <w:bodyDiv w:val="1"/>
      <w:marLeft w:val="0"/>
      <w:marRight w:val="0"/>
      <w:marTop w:val="0"/>
      <w:marBottom w:val="0"/>
      <w:divBdr>
        <w:top w:val="none" w:sz="0" w:space="0" w:color="auto"/>
        <w:left w:val="none" w:sz="0" w:space="0" w:color="auto"/>
        <w:bottom w:val="none" w:sz="0" w:space="0" w:color="auto"/>
        <w:right w:val="none" w:sz="0" w:space="0" w:color="auto"/>
      </w:divBdr>
    </w:div>
    <w:div w:id="602685995">
      <w:bodyDiv w:val="1"/>
      <w:marLeft w:val="0"/>
      <w:marRight w:val="0"/>
      <w:marTop w:val="0"/>
      <w:marBottom w:val="0"/>
      <w:divBdr>
        <w:top w:val="none" w:sz="0" w:space="0" w:color="auto"/>
        <w:left w:val="none" w:sz="0" w:space="0" w:color="auto"/>
        <w:bottom w:val="none" w:sz="0" w:space="0" w:color="auto"/>
        <w:right w:val="none" w:sz="0" w:space="0" w:color="auto"/>
      </w:divBdr>
    </w:div>
    <w:div w:id="602690725">
      <w:bodyDiv w:val="1"/>
      <w:marLeft w:val="0"/>
      <w:marRight w:val="0"/>
      <w:marTop w:val="0"/>
      <w:marBottom w:val="0"/>
      <w:divBdr>
        <w:top w:val="none" w:sz="0" w:space="0" w:color="auto"/>
        <w:left w:val="none" w:sz="0" w:space="0" w:color="auto"/>
        <w:bottom w:val="none" w:sz="0" w:space="0" w:color="auto"/>
        <w:right w:val="none" w:sz="0" w:space="0" w:color="auto"/>
      </w:divBdr>
    </w:div>
    <w:div w:id="602809393">
      <w:bodyDiv w:val="1"/>
      <w:marLeft w:val="0"/>
      <w:marRight w:val="0"/>
      <w:marTop w:val="0"/>
      <w:marBottom w:val="0"/>
      <w:divBdr>
        <w:top w:val="none" w:sz="0" w:space="0" w:color="auto"/>
        <w:left w:val="none" w:sz="0" w:space="0" w:color="auto"/>
        <w:bottom w:val="none" w:sz="0" w:space="0" w:color="auto"/>
        <w:right w:val="none" w:sz="0" w:space="0" w:color="auto"/>
      </w:divBdr>
    </w:div>
    <w:div w:id="602877922">
      <w:bodyDiv w:val="1"/>
      <w:marLeft w:val="0"/>
      <w:marRight w:val="0"/>
      <w:marTop w:val="0"/>
      <w:marBottom w:val="0"/>
      <w:divBdr>
        <w:top w:val="none" w:sz="0" w:space="0" w:color="auto"/>
        <w:left w:val="none" w:sz="0" w:space="0" w:color="auto"/>
        <w:bottom w:val="none" w:sz="0" w:space="0" w:color="auto"/>
        <w:right w:val="none" w:sz="0" w:space="0" w:color="auto"/>
      </w:divBdr>
    </w:div>
    <w:div w:id="602960372">
      <w:bodyDiv w:val="1"/>
      <w:marLeft w:val="0"/>
      <w:marRight w:val="0"/>
      <w:marTop w:val="0"/>
      <w:marBottom w:val="0"/>
      <w:divBdr>
        <w:top w:val="none" w:sz="0" w:space="0" w:color="auto"/>
        <w:left w:val="none" w:sz="0" w:space="0" w:color="auto"/>
        <w:bottom w:val="none" w:sz="0" w:space="0" w:color="auto"/>
        <w:right w:val="none" w:sz="0" w:space="0" w:color="auto"/>
      </w:divBdr>
    </w:div>
    <w:div w:id="603342895">
      <w:bodyDiv w:val="1"/>
      <w:marLeft w:val="0"/>
      <w:marRight w:val="0"/>
      <w:marTop w:val="0"/>
      <w:marBottom w:val="0"/>
      <w:divBdr>
        <w:top w:val="none" w:sz="0" w:space="0" w:color="auto"/>
        <w:left w:val="none" w:sz="0" w:space="0" w:color="auto"/>
        <w:bottom w:val="none" w:sz="0" w:space="0" w:color="auto"/>
        <w:right w:val="none" w:sz="0" w:space="0" w:color="auto"/>
      </w:divBdr>
    </w:div>
    <w:div w:id="603420934">
      <w:bodyDiv w:val="1"/>
      <w:marLeft w:val="0"/>
      <w:marRight w:val="0"/>
      <w:marTop w:val="0"/>
      <w:marBottom w:val="0"/>
      <w:divBdr>
        <w:top w:val="none" w:sz="0" w:space="0" w:color="auto"/>
        <w:left w:val="none" w:sz="0" w:space="0" w:color="auto"/>
        <w:bottom w:val="none" w:sz="0" w:space="0" w:color="auto"/>
        <w:right w:val="none" w:sz="0" w:space="0" w:color="auto"/>
      </w:divBdr>
    </w:div>
    <w:div w:id="603653548">
      <w:bodyDiv w:val="1"/>
      <w:marLeft w:val="0"/>
      <w:marRight w:val="0"/>
      <w:marTop w:val="0"/>
      <w:marBottom w:val="0"/>
      <w:divBdr>
        <w:top w:val="none" w:sz="0" w:space="0" w:color="auto"/>
        <w:left w:val="none" w:sz="0" w:space="0" w:color="auto"/>
        <w:bottom w:val="none" w:sz="0" w:space="0" w:color="auto"/>
        <w:right w:val="none" w:sz="0" w:space="0" w:color="auto"/>
      </w:divBdr>
    </w:div>
    <w:div w:id="603924253">
      <w:bodyDiv w:val="1"/>
      <w:marLeft w:val="0"/>
      <w:marRight w:val="0"/>
      <w:marTop w:val="0"/>
      <w:marBottom w:val="0"/>
      <w:divBdr>
        <w:top w:val="none" w:sz="0" w:space="0" w:color="auto"/>
        <w:left w:val="none" w:sz="0" w:space="0" w:color="auto"/>
        <w:bottom w:val="none" w:sz="0" w:space="0" w:color="auto"/>
        <w:right w:val="none" w:sz="0" w:space="0" w:color="auto"/>
      </w:divBdr>
    </w:div>
    <w:div w:id="604121802">
      <w:bodyDiv w:val="1"/>
      <w:marLeft w:val="0"/>
      <w:marRight w:val="0"/>
      <w:marTop w:val="0"/>
      <w:marBottom w:val="0"/>
      <w:divBdr>
        <w:top w:val="none" w:sz="0" w:space="0" w:color="auto"/>
        <w:left w:val="none" w:sz="0" w:space="0" w:color="auto"/>
        <w:bottom w:val="none" w:sz="0" w:space="0" w:color="auto"/>
        <w:right w:val="none" w:sz="0" w:space="0" w:color="auto"/>
      </w:divBdr>
    </w:div>
    <w:div w:id="604270846">
      <w:bodyDiv w:val="1"/>
      <w:marLeft w:val="0"/>
      <w:marRight w:val="0"/>
      <w:marTop w:val="0"/>
      <w:marBottom w:val="0"/>
      <w:divBdr>
        <w:top w:val="none" w:sz="0" w:space="0" w:color="auto"/>
        <w:left w:val="none" w:sz="0" w:space="0" w:color="auto"/>
        <w:bottom w:val="none" w:sz="0" w:space="0" w:color="auto"/>
        <w:right w:val="none" w:sz="0" w:space="0" w:color="auto"/>
      </w:divBdr>
    </w:div>
    <w:div w:id="604463972">
      <w:bodyDiv w:val="1"/>
      <w:marLeft w:val="0"/>
      <w:marRight w:val="0"/>
      <w:marTop w:val="0"/>
      <w:marBottom w:val="0"/>
      <w:divBdr>
        <w:top w:val="none" w:sz="0" w:space="0" w:color="auto"/>
        <w:left w:val="none" w:sz="0" w:space="0" w:color="auto"/>
        <w:bottom w:val="none" w:sz="0" w:space="0" w:color="auto"/>
        <w:right w:val="none" w:sz="0" w:space="0" w:color="auto"/>
      </w:divBdr>
    </w:div>
    <w:div w:id="604919421">
      <w:bodyDiv w:val="1"/>
      <w:marLeft w:val="0"/>
      <w:marRight w:val="0"/>
      <w:marTop w:val="0"/>
      <w:marBottom w:val="0"/>
      <w:divBdr>
        <w:top w:val="none" w:sz="0" w:space="0" w:color="auto"/>
        <w:left w:val="none" w:sz="0" w:space="0" w:color="auto"/>
        <w:bottom w:val="none" w:sz="0" w:space="0" w:color="auto"/>
        <w:right w:val="none" w:sz="0" w:space="0" w:color="auto"/>
      </w:divBdr>
    </w:div>
    <w:div w:id="604963446">
      <w:bodyDiv w:val="1"/>
      <w:marLeft w:val="0"/>
      <w:marRight w:val="0"/>
      <w:marTop w:val="0"/>
      <w:marBottom w:val="0"/>
      <w:divBdr>
        <w:top w:val="none" w:sz="0" w:space="0" w:color="auto"/>
        <w:left w:val="none" w:sz="0" w:space="0" w:color="auto"/>
        <w:bottom w:val="none" w:sz="0" w:space="0" w:color="auto"/>
        <w:right w:val="none" w:sz="0" w:space="0" w:color="auto"/>
      </w:divBdr>
    </w:div>
    <w:div w:id="604969361">
      <w:bodyDiv w:val="1"/>
      <w:marLeft w:val="0"/>
      <w:marRight w:val="0"/>
      <w:marTop w:val="0"/>
      <w:marBottom w:val="0"/>
      <w:divBdr>
        <w:top w:val="none" w:sz="0" w:space="0" w:color="auto"/>
        <w:left w:val="none" w:sz="0" w:space="0" w:color="auto"/>
        <w:bottom w:val="none" w:sz="0" w:space="0" w:color="auto"/>
        <w:right w:val="none" w:sz="0" w:space="0" w:color="auto"/>
      </w:divBdr>
    </w:div>
    <w:div w:id="605506739">
      <w:bodyDiv w:val="1"/>
      <w:marLeft w:val="0"/>
      <w:marRight w:val="0"/>
      <w:marTop w:val="0"/>
      <w:marBottom w:val="0"/>
      <w:divBdr>
        <w:top w:val="none" w:sz="0" w:space="0" w:color="auto"/>
        <w:left w:val="none" w:sz="0" w:space="0" w:color="auto"/>
        <w:bottom w:val="none" w:sz="0" w:space="0" w:color="auto"/>
        <w:right w:val="none" w:sz="0" w:space="0" w:color="auto"/>
      </w:divBdr>
    </w:div>
    <w:div w:id="605965754">
      <w:bodyDiv w:val="1"/>
      <w:marLeft w:val="0"/>
      <w:marRight w:val="0"/>
      <w:marTop w:val="0"/>
      <w:marBottom w:val="0"/>
      <w:divBdr>
        <w:top w:val="none" w:sz="0" w:space="0" w:color="auto"/>
        <w:left w:val="none" w:sz="0" w:space="0" w:color="auto"/>
        <w:bottom w:val="none" w:sz="0" w:space="0" w:color="auto"/>
        <w:right w:val="none" w:sz="0" w:space="0" w:color="auto"/>
      </w:divBdr>
    </w:div>
    <w:div w:id="606154680">
      <w:bodyDiv w:val="1"/>
      <w:marLeft w:val="0"/>
      <w:marRight w:val="0"/>
      <w:marTop w:val="0"/>
      <w:marBottom w:val="0"/>
      <w:divBdr>
        <w:top w:val="none" w:sz="0" w:space="0" w:color="auto"/>
        <w:left w:val="none" w:sz="0" w:space="0" w:color="auto"/>
        <w:bottom w:val="none" w:sz="0" w:space="0" w:color="auto"/>
        <w:right w:val="none" w:sz="0" w:space="0" w:color="auto"/>
      </w:divBdr>
    </w:div>
    <w:div w:id="606159448">
      <w:bodyDiv w:val="1"/>
      <w:marLeft w:val="0"/>
      <w:marRight w:val="0"/>
      <w:marTop w:val="0"/>
      <w:marBottom w:val="0"/>
      <w:divBdr>
        <w:top w:val="none" w:sz="0" w:space="0" w:color="auto"/>
        <w:left w:val="none" w:sz="0" w:space="0" w:color="auto"/>
        <w:bottom w:val="none" w:sz="0" w:space="0" w:color="auto"/>
        <w:right w:val="none" w:sz="0" w:space="0" w:color="auto"/>
      </w:divBdr>
    </w:div>
    <w:div w:id="606162667">
      <w:bodyDiv w:val="1"/>
      <w:marLeft w:val="0"/>
      <w:marRight w:val="0"/>
      <w:marTop w:val="0"/>
      <w:marBottom w:val="0"/>
      <w:divBdr>
        <w:top w:val="none" w:sz="0" w:space="0" w:color="auto"/>
        <w:left w:val="none" w:sz="0" w:space="0" w:color="auto"/>
        <w:bottom w:val="none" w:sz="0" w:space="0" w:color="auto"/>
        <w:right w:val="none" w:sz="0" w:space="0" w:color="auto"/>
      </w:divBdr>
    </w:div>
    <w:div w:id="606229691">
      <w:bodyDiv w:val="1"/>
      <w:marLeft w:val="0"/>
      <w:marRight w:val="0"/>
      <w:marTop w:val="0"/>
      <w:marBottom w:val="0"/>
      <w:divBdr>
        <w:top w:val="none" w:sz="0" w:space="0" w:color="auto"/>
        <w:left w:val="none" w:sz="0" w:space="0" w:color="auto"/>
        <w:bottom w:val="none" w:sz="0" w:space="0" w:color="auto"/>
        <w:right w:val="none" w:sz="0" w:space="0" w:color="auto"/>
      </w:divBdr>
    </w:div>
    <w:div w:id="606277102">
      <w:bodyDiv w:val="1"/>
      <w:marLeft w:val="0"/>
      <w:marRight w:val="0"/>
      <w:marTop w:val="0"/>
      <w:marBottom w:val="0"/>
      <w:divBdr>
        <w:top w:val="none" w:sz="0" w:space="0" w:color="auto"/>
        <w:left w:val="none" w:sz="0" w:space="0" w:color="auto"/>
        <w:bottom w:val="none" w:sz="0" w:space="0" w:color="auto"/>
        <w:right w:val="none" w:sz="0" w:space="0" w:color="auto"/>
      </w:divBdr>
    </w:div>
    <w:div w:id="606354221">
      <w:bodyDiv w:val="1"/>
      <w:marLeft w:val="0"/>
      <w:marRight w:val="0"/>
      <w:marTop w:val="0"/>
      <w:marBottom w:val="0"/>
      <w:divBdr>
        <w:top w:val="none" w:sz="0" w:space="0" w:color="auto"/>
        <w:left w:val="none" w:sz="0" w:space="0" w:color="auto"/>
        <w:bottom w:val="none" w:sz="0" w:space="0" w:color="auto"/>
        <w:right w:val="none" w:sz="0" w:space="0" w:color="auto"/>
      </w:divBdr>
    </w:div>
    <w:div w:id="606471858">
      <w:bodyDiv w:val="1"/>
      <w:marLeft w:val="0"/>
      <w:marRight w:val="0"/>
      <w:marTop w:val="0"/>
      <w:marBottom w:val="0"/>
      <w:divBdr>
        <w:top w:val="none" w:sz="0" w:space="0" w:color="auto"/>
        <w:left w:val="none" w:sz="0" w:space="0" w:color="auto"/>
        <w:bottom w:val="none" w:sz="0" w:space="0" w:color="auto"/>
        <w:right w:val="none" w:sz="0" w:space="0" w:color="auto"/>
      </w:divBdr>
    </w:div>
    <w:div w:id="606735223">
      <w:bodyDiv w:val="1"/>
      <w:marLeft w:val="0"/>
      <w:marRight w:val="0"/>
      <w:marTop w:val="0"/>
      <w:marBottom w:val="0"/>
      <w:divBdr>
        <w:top w:val="none" w:sz="0" w:space="0" w:color="auto"/>
        <w:left w:val="none" w:sz="0" w:space="0" w:color="auto"/>
        <w:bottom w:val="none" w:sz="0" w:space="0" w:color="auto"/>
        <w:right w:val="none" w:sz="0" w:space="0" w:color="auto"/>
      </w:divBdr>
    </w:div>
    <w:div w:id="607392555">
      <w:bodyDiv w:val="1"/>
      <w:marLeft w:val="0"/>
      <w:marRight w:val="0"/>
      <w:marTop w:val="0"/>
      <w:marBottom w:val="0"/>
      <w:divBdr>
        <w:top w:val="none" w:sz="0" w:space="0" w:color="auto"/>
        <w:left w:val="none" w:sz="0" w:space="0" w:color="auto"/>
        <w:bottom w:val="none" w:sz="0" w:space="0" w:color="auto"/>
        <w:right w:val="none" w:sz="0" w:space="0" w:color="auto"/>
      </w:divBdr>
    </w:div>
    <w:div w:id="607392674">
      <w:bodyDiv w:val="1"/>
      <w:marLeft w:val="0"/>
      <w:marRight w:val="0"/>
      <w:marTop w:val="0"/>
      <w:marBottom w:val="0"/>
      <w:divBdr>
        <w:top w:val="none" w:sz="0" w:space="0" w:color="auto"/>
        <w:left w:val="none" w:sz="0" w:space="0" w:color="auto"/>
        <w:bottom w:val="none" w:sz="0" w:space="0" w:color="auto"/>
        <w:right w:val="none" w:sz="0" w:space="0" w:color="auto"/>
      </w:divBdr>
    </w:div>
    <w:div w:id="607585500">
      <w:bodyDiv w:val="1"/>
      <w:marLeft w:val="0"/>
      <w:marRight w:val="0"/>
      <w:marTop w:val="0"/>
      <w:marBottom w:val="0"/>
      <w:divBdr>
        <w:top w:val="none" w:sz="0" w:space="0" w:color="auto"/>
        <w:left w:val="none" w:sz="0" w:space="0" w:color="auto"/>
        <w:bottom w:val="none" w:sz="0" w:space="0" w:color="auto"/>
        <w:right w:val="none" w:sz="0" w:space="0" w:color="auto"/>
      </w:divBdr>
    </w:div>
    <w:div w:id="607587139">
      <w:bodyDiv w:val="1"/>
      <w:marLeft w:val="0"/>
      <w:marRight w:val="0"/>
      <w:marTop w:val="0"/>
      <w:marBottom w:val="0"/>
      <w:divBdr>
        <w:top w:val="none" w:sz="0" w:space="0" w:color="auto"/>
        <w:left w:val="none" w:sz="0" w:space="0" w:color="auto"/>
        <w:bottom w:val="none" w:sz="0" w:space="0" w:color="auto"/>
        <w:right w:val="none" w:sz="0" w:space="0" w:color="auto"/>
      </w:divBdr>
    </w:div>
    <w:div w:id="607662679">
      <w:bodyDiv w:val="1"/>
      <w:marLeft w:val="0"/>
      <w:marRight w:val="0"/>
      <w:marTop w:val="0"/>
      <w:marBottom w:val="0"/>
      <w:divBdr>
        <w:top w:val="none" w:sz="0" w:space="0" w:color="auto"/>
        <w:left w:val="none" w:sz="0" w:space="0" w:color="auto"/>
        <w:bottom w:val="none" w:sz="0" w:space="0" w:color="auto"/>
        <w:right w:val="none" w:sz="0" w:space="0" w:color="auto"/>
      </w:divBdr>
    </w:div>
    <w:div w:id="607859902">
      <w:bodyDiv w:val="1"/>
      <w:marLeft w:val="0"/>
      <w:marRight w:val="0"/>
      <w:marTop w:val="0"/>
      <w:marBottom w:val="0"/>
      <w:divBdr>
        <w:top w:val="none" w:sz="0" w:space="0" w:color="auto"/>
        <w:left w:val="none" w:sz="0" w:space="0" w:color="auto"/>
        <w:bottom w:val="none" w:sz="0" w:space="0" w:color="auto"/>
        <w:right w:val="none" w:sz="0" w:space="0" w:color="auto"/>
      </w:divBdr>
    </w:div>
    <w:div w:id="607935924">
      <w:bodyDiv w:val="1"/>
      <w:marLeft w:val="0"/>
      <w:marRight w:val="0"/>
      <w:marTop w:val="0"/>
      <w:marBottom w:val="0"/>
      <w:divBdr>
        <w:top w:val="none" w:sz="0" w:space="0" w:color="auto"/>
        <w:left w:val="none" w:sz="0" w:space="0" w:color="auto"/>
        <w:bottom w:val="none" w:sz="0" w:space="0" w:color="auto"/>
        <w:right w:val="none" w:sz="0" w:space="0" w:color="auto"/>
      </w:divBdr>
    </w:div>
    <w:div w:id="608001693">
      <w:bodyDiv w:val="1"/>
      <w:marLeft w:val="0"/>
      <w:marRight w:val="0"/>
      <w:marTop w:val="0"/>
      <w:marBottom w:val="0"/>
      <w:divBdr>
        <w:top w:val="none" w:sz="0" w:space="0" w:color="auto"/>
        <w:left w:val="none" w:sz="0" w:space="0" w:color="auto"/>
        <w:bottom w:val="none" w:sz="0" w:space="0" w:color="auto"/>
        <w:right w:val="none" w:sz="0" w:space="0" w:color="auto"/>
      </w:divBdr>
    </w:div>
    <w:div w:id="608009205">
      <w:bodyDiv w:val="1"/>
      <w:marLeft w:val="0"/>
      <w:marRight w:val="0"/>
      <w:marTop w:val="0"/>
      <w:marBottom w:val="0"/>
      <w:divBdr>
        <w:top w:val="none" w:sz="0" w:space="0" w:color="auto"/>
        <w:left w:val="none" w:sz="0" w:space="0" w:color="auto"/>
        <w:bottom w:val="none" w:sz="0" w:space="0" w:color="auto"/>
        <w:right w:val="none" w:sz="0" w:space="0" w:color="auto"/>
      </w:divBdr>
    </w:div>
    <w:div w:id="608047226">
      <w:bodyDiv w:val="1"/>
      <w:marLeft w:val="0"/>
      <w:marRight w:val="0"/>
      <w:marTop w:val="0"/>
      <w:marBottom w:val="0"/>
      <w:divBdr>
        <w:top w:val="none" w:sz="0" w:space="0" w:color="auto"/>
        <w:left w:val="none" w:sz="0" w:space="0" w:color="auto"/>
        <w:bottom w:val="none" w:sz="0" w:space="0" w:color="auto"/>
        <w:right w:val="none" w:sz="0" w:space="0" w:color="auto"/>
      </w:divBdr>
    </w:div>
    <w:div w:id="608049304">
      <w:bodyDiv w:val="1"/>
      <w:marLeft w:val="0"/>
      <w:marRight w:val="0"/>
      <w:marTop w:val="0"/>
      <w:marBottom w:val="0"/>
      <w:divBdr>
        <w:top w:val="none" w:sz="0" w:space="0" w:color="auto"/>
        <w:left w:val="none" w:sz="0" w:space="0" w:color="auto"/>
        <w:bottom w:val="none" w:sz="0" w:space="0" w:color="auto"/>
        <w:right w:val="none" w:sz="0" w:space="0" w:color="auto"/>
      </w:divBdr>
    </w:div>
    <w:div w:id="608123583">
      <w:bodyDiv w:val="1"/>
      <w:marLeft w:val="0"/>
      <w:marRight w:val="0"/>
      <w:marTop w:val="0"/>
      <w:marBottom w:val="0"/>
      <w:divBdr>
        <w:top w:val="none" w:sz="0" w:space="0" w:color="auto"/>
        <w:left w:val="none" w:sz="0" w:space="0" w:color="auto"/>
        <w:bottom w:val="none" w:sz="0" w:space="0" w:color="auto"/>
        <w:right w:val="none" w:sz="0" w:space="0" w:color="auto"/>
      </w:divBdr>
    </w:div>
    <w:div w:id="608197744">
      <w:bodyDiv w:val="1"/>
      <w:marLeft w:val="0"/>
      <w:marRight w:val="0"/>
      <w:marTop w:val="0"/>
      <w:marBottom w:val="0"/>
      <w:divBdr>
        <w:top w:val="none" w:sz="0" w:space="0" w:color="auto"/>
        <w:left w:val="none" w:sz="0" w:space="0" w:color="auto"/>
        <w:bottom w:val="none" w:sz="0" w:space="0" w:color="auto"/>
        <w:right w:val="none" w:sz="0" w:space="0" w:color="auto"/>
      </w:divBdr>
    </w:div>
    <w:div w:id="608394889">
      <w:bodyDiv w:val="1"/>
      <w:marLeft w:val="0"/>
      <w:marRight w:val="0"/>
      <w:marTop w:val="0"/>
      <w:marBottom w:val="0"/>
      <w:divBdr>
        <w:top w:val="none" w:sz="0" w:space="0" w:color="auto"/>
        <w:left w:val="none" w:sz="0" w:space="0" w:color="auto"/>
        <w:bottom w:val="none" w:sz="0" w:space="0" w:color="auto"/>
        <w:right w:val="none" w:sz="0" w:space="0" w:color="auto"/>
      </w:divBdr>
    </w:div>
    <w:div w:id="608783380">
      <w:bodyDiv w:val="1"/>
      <w:marLeft w:val="0"/>
      <w:marRight w:val="0"/>
      <w:marTop w:val="0"/>
      <w:marBottom w:val="0"/>
      <w:divBdr>
        <w:top w:val="none" w:sz="0" w:space="0" w:color="auto"/>
        <w:left w:val="none" w:sz="0" w:space="0" w:color="auto"/>
        <w:bottom w:val="none" w:sz="0" w:space="0" w:color="auto"/>
        <w:right w:val="none" w:sz="0" w:space="0" w:color="auto"/>
      </w:divBdr>
    </w:div>
    <w:div w:id="609170149">
      <w:bodyDiv w:val="1"/>
      <w:marLeft w:val="0"/>
      <w:marRight w:val="0"/>
      <w:marTop w:val="0"/>
      <w:marBottom w:val="0"/>
      <w:divBdr>
        <w:top w:val="none" w:sz="0" w:space="0" w:color="auto"/>
        <w:left w:val="none" w:sz="0" w:space="0" w:color="auto"/>
        <w:bottom w:val="none" w:sz="0" w:space="0" w:color="auto"/>
        <w:right w:val="none" w:sz="0" w:space="0" w:color="auto"/>
      </w:divBdr>
    </w:div>
    <w:div w:id="609363905">
      <w:bodyDiv w:val="1"/>
      <w:marLeft w:val="0"/>
      <w:marRight w:val="0"/>
      <w:marTop w:val="0"/>
      <w:marBottom w:val="0"/>
      <w:divBdr>
        <w:top w:val="none" w:sz="0" w:space="0" w:color="auto"/>
        <w:left w:val="none" w:sz="0" w:space="0" w:color="auto"/>
        <w:bottom w:val="none" w:sz="0" w:space="0" w:color="auto"/>
        <w:right w:val="none" w:sz="0" w:space="0" w:color="auto"/>
      </w:divBdr>
    </w:div>
    <w:div w:id="609434850">
      <w:bodyDiv w:val="1"/>
      <w:marLeft w:val="0"/>
      <w:marRight w:val="0"/>
      <w:marTop w:val="0"/>
      <w:marBottom w:val="0"/>
      <w:divBdr>
        <w:top w:val="none" w:sz="0" w:space="0" w:color="auto"/>
        <w:left w:val="none" w:sz="0" w:space="0" w:color="auto"/>
        <w:bottom w:val="none" w:sz="0" w:space="0" w:color="auto"/>
        <w:right w:val="none" w:sz="0" w:space="0" w:color="auto"/>
      </w:divBdr>
    </w:div>
    <w:div w:id="609439285">
      <w:bodyDiv w:val="1"/>
      <w:marLeft w:val="0"/>
      <w:marRight w:val="0"/>
      <w:marTop w:val="0"/>
      <w:marBottom w:val="0"/>
      <w:divBdr>
        <w:top w:val="none" w:sz="0" w:space="0" w:color="auto"/>
        <w:left w:val="none" w:sz="0" w:space="0" w:color="auto"/>
        <w:bottom w:val="none" w:sz="0" w:space="0" w:color="auto"/>
        <w:right w:val="none" w:sz="0" w:space="0" w:color="auto"/>
      </w:divBdr>
    </w:div>
    <w:div w:id="609701326">
      <w:bodyDiv w:val="1"/>
      <w:marLeft w:val="0"/>
      <w:marRight w:val="0"/>
      <w:marTop w:val="0"/>
      <w:marBottom w:val="0"/>
      <w:divBdr>
        <w:top w:val="none" w:sz="0" w:space="0" w:color="auto"/>
        <w:left w:val="none" w:sz="0" w:space="0" w:color="auto"/>
        <w:bottom w:val="none" w:sz="0" w:space="0" w:color="auto"/>
        <w:right w:val="none" w:sz="0" w:space="0" w:color="auto"/>
      </w:divBdr>
    </w:div>
    <w:div w:id="609775439">
      <w:bodyDiv w:val="1"/>
      <w:marLeft w:val="0"/>
      <w:marRight w:val="0"/>
      <w:marTop w:val="0"/>
      <w:marBottom w:val="0"/>
      <w:divBdr>
        <w:top w:val="none" w:sz="0" w:space="0" w:color="auto"/>
        <w:left w:val="none" w:sz="0" w:space="0" w:color="auto"/>
        <w:bottom w:val="none" w:sz="0" w:space="0" w:color="auto"/>
        <w:right w:val="none" w:sz="0" w:space="0" w:color="auto"/>
      </w:divBdr>
    </w:div>
    <w:div w:id="609968041">
      <w:bodyDiv w:val="1"/>
      <w:marLeft w:val="0"/>
      <w:marRight w:val="0"/>
      <w:marTop w:val="0"/>
      <w:marBottom w:val="0"/>
      <w:divBdr>
        <w:top w:val="none" w:sz="0" w:space="0" w:color="auto"/>
        <w:left w:val="none" w:sz="0" w:space="0" w:color="auto"/>
        <w:bottom w:val="none" w:sz="0" w:space="0" w:color="auto"/>
        <w:right w:val="none" w:sz="0" w:space="0" w:color="auto"/>
      </w:divBdr>
    </w:div>
    <w:div w:id="610357177">
      <w:bodyDiv w:val="1"/>
      <w:marLeft w:val="0"/>
      <w:marRight w:val="0"/>
      <w:marTop w:val="0"/>
      <w:marBottom w:val="0"/>
      <w:divBdr>
        <w:top w:val="none" w:sz="0" w:space="0" w:color="auto"/>
        <w:left w:val="none" w:sz="0" w:space="0" w:color="auto"/>
        <w:bottom w:val="none" w:sz="0" w:space="0" w:color="auto"/>
        <w:right w:val="none" w:sz="0" w:space="0" w:color="auto"/>
      </w:divBdr>
    </w:div>
    <w:div w:id="610405473">
      <w:bodyDiv w:val="1"/>
      <w:marLeft w:val="0"/>
      <w:marRight w:val="0"/>
      <w:marTop w:val="0"/>
      <w:marBottom w:val="0"/>
      <w:divBdr>
        <w:top w:val="none" w:sz="0" w:space="0" w:color="auto"/>
        <w:left w:val="none" w:sz="0" w:space="0" w:color="auto"/>
        <w:bottom w:val="none" w:sz="0" w:space="0" w:color="auto"/>
        <w:right w:val="none" w:sz="0" w:space="0" w:color="auto"/>
      </w:divBdr>
    </w:div>
    <w:div w:id="610474937">
      <w:bodyDiv w:val="1"/>
      <w:marLeft w:val="0"/>
      <w:marRight w:val="0"/>
      <w:marTop w:val="0"/>
      <w:marBottom w:val="0"/>
      <w:divBdr>
        <w:top w:val="none" w:sz="0" w:space="0" w:color="auto"/>
        <w:left w:val="none" w:sz="0" w:space="0" w:color="auto"/>
        <w:bottom w:val="none" w:sz="0" w:space="0" w:color="auto"/>
        <w:right w:val="none" w:sz="0" w:space="0" w:color="auto"/>
      </w:divBdr>
    </w:div>
    <w:div w:id="610622649">
      <w:bodyDiv w:val="1"/>
      <w:marLeft w:val="0"/>
      <w:marRight w:val="0"/>
      <w:marTop w:val="0"/>
      <w:marBottom w:val="0"/>
      <w:divBdr>
        <w:top w:val="none" w:sz="0" w:space="0" w:color="auto"/>
        <w:left w:val="none" w:sz="0" w:space="0" w:color="auto"/>
        <w:bottom w:val="none" w:sz="0" w:space="0" w:color="auto"/>
        <w:right w:val="none" w:sz="0" w:space="0" w:color="auto"/>
      </w:divBdr>
    </w:div>
    <w:div w:id="611666840">
      <w:bodyDiv w:val="1"/>
      <w:marLeft w:val="0"/>
      <w:marRight w:val="0"/>
      <w:marTop w:val="0"/>
      <w:marBottom w:val="0"/>
      <w:divBdr>
        <w:top w:val="none" w:sz="0" w:space="0" w:color="auto"/>
        <w:left w:val="none" w:sz="0" w:space="0" w:color="auto"/>
        <w:bottom w:val="none" w:sz="0" w:space="0" w:color="auto"/>
        <w:right w:val="none" w:sz="0" w:space="0" w:color="auto"/>
      </w:divBdr>
    </w:div>
    <w:div w:id="611863879">
      <w:bodyDiv w:val="1"/>
      <w:marLeft w:val="0"/>
      <w:marRight w:val="0"/>
      <w:marTop w:val="0"/>
      <w:marBottom w:val="0"/>
      <w:divBdr>
        <w:top w:val="none" w:sz="0" w:space="0" w:color="auto"/>
        <w:left w:val="none" w:sz="0" w:space="0" w:color="auto"/>
        <w:bottom w:val="none" w:sz="0" w:space="0" w:color="auto"/>
        <w:right w:val="none" w:sz="0" w:space="0" w:color="auto"/>
      </w:divBdr>
    </w:div>
    <w:div w:id="611909770">
      <w:bodyDiv w:val="1"/>
      <w:marLeft w:val="0"/>
      <w:marRight w:val="0"/>
      <w:marTop w:val="0"/>
      <w:marBottom w:val="0"/>
      <w:divBdr>
        <w:top w:val="none" w:sz="0" w:space="0" w:color="auto"/>
        <w:left w:val="none" w:sz="0" w:space="0" w:color="auto"/>
        <w:bottom w:val="none" w:sz="0" w:space="0" w:color="auto"/>
        <w:right w:val="none" w:sz="0" w:space="0" w:color="auto"/>
      </w:divBdr>
    </w:div>
    <w:div w:id="612172319">
      <w:bodyDiv w:val="1"/>
      <w:marLeft w:val="0"/>
      <w:marRight w:val="0"/>
      <w:marTop w:val="0"/>
      <w:marBottom w:val="0"/>
      <w:divBdr>
        <w:top w:val="none" w:sz="0" w:space="0" w:color="auto"/>
        <w:left w:val="none" w:sz="0" w:space="0" w:color="auto"/>
        <w:bottom w:val="none" w:sz="0" w:space="0" w:color="auto"/>
        <w:right w:val="none" w:sz="0" w:space="0" w:color="auto"/>
      </w:divBdr>
    </w:div>
    <w:div w:id="612176370">
      <w:bodyDiv w:val="1"/>
      <w:marLeft w:val="0"/>
      <w:marRight w:val="0"/>
      <w:marTop w:val="0"/>
      <w:marBottom w:val="0"/>
      <w:divBdr>
        <w:top w:val="none" w:sz="0" w:space="0" w:color="auto"/>
        <w:left w:val="none" w:sz="0" w:space="0" w:color="auto"/>
        <w:bottom w:val="none" w:sz="0" w:space="0" w:color="auto"/>
        <w:right w:val="none" w:sz="0" w:space="0" w:color="auto"/>
      </w:divBdr>
    </w:div>
    <w:div w:id="612516896">
      <w:bodyDiv w:val="1"/>
      <w:marLeft w:val="0"/>
      <w:marRight w:val="0"/>
      <w:marTop w:val="0"/>
      <w:marBottom w:val="0"/>
      <w:divBdr>
        <w:top w:val="none" w:sz="0" w:space="0" w:color="auto"/>
        <w:left w:val="none" w:sz="0" w:space="0" w:color="auto"/>
        <w:bottom w:val="none" w:sz="0" w:space="0" w:color="auto"/>
        <w:right w:val="none" w:sz="0" w:space="0" w:color="auto"/>
      </w:divBdr>
    </w:div>
    <w:div w:id="612591740">
      <w:bodyDiv w:val="1"/>
      <w:marLeft w:val="0"/>
      <w:marRight w:val="0"/>
      <w:marTop w:val="0"/>
      <w:marBottom w:val="0"/>
      <w:divBdr>
        <w:top w:val="none" w:sz="0" w:space="0" w:color="auto"/>
        <w:left w:val="none" w:sz="0" w:space="0" w:color="auto"/>
        <w:bottom w:val="none" w:sz="0" w:space="0" w:color="auto"/>
        <w:right w:val="none" w:sz="0" w:space="0" w:color="auto"/>
      </w:divBdr>
    </w:div>
    <w:div w:id="612787726">
      <w:bodyDiv w:val="1"/>
      <w:marLeft w:val="0"/>
      <w:marRight w:val="0"/>
      <w:marTop w:val="0"/>
      <w:marBottom w:val="0"/>
      <w:divBdr>
        <w:top w:val="none" w:sz="0" w:space="0" w:color="auto"/>
        <w:left w:val="none" w:sz="0" w:space="0" w:color="auto"/>
        <w:bottom w:val="none" w:sz="0" w:space="0" w:color="auto"/>
        <w:right w:val="none" w:sz="0" w:space="0" w:color="auto"/>
      </w:divBdr>
    </w:div>
    <w:div w:id="612859557">
      <w:bodyDiv w:val="1"/>
      <w:marLeft w:val="0"/>
      <w:marRight w:val="0"/>
      <w:marTop w:val="0"/>
      <w:marBottom w:val="0"/>
      <w:divBdr>
        <w:top w:val="none" w:sz="0" w:space="0" w:color="auto"/>
        <w:left w:val="none" w:sz="0" w:space="0" w:color="auto"/>
        <w:bottom w:val="none" w:sz="0" w:space="0" w:color="auto"/>
        <w:right w:val="none" w:sz="0" w:space="0" w:color="auto"/>
      </w:divBdr>
    </w:div>
    <w:div w:id="612982206">
      <w:bodyDiv w:val="1"/>
      <w:marLeft w:val="0"/>
      <w:marRight w:val="0"/>
      <w:marTop w:val="0"/>
      <w:marBottom w:val="0"/>
      <w:divBdr>
        <w:top w:val="none" w:sz="0" w:space="0" w:color="auto"/>
        <w:left w:val="none" w:sz="0" w:space="0" w:color="auto"/>
        <w:bottom w:val="none" w:sz="0" w:space="0" w:color="auto"/>
        <w:right w:val="none" w:sz="0" w:space="0" w:color="auto"/>
      </w:divBdr>
    </w:div>
    <w:div w:id="613483097">
      <w:bodyDiv w:val="1"/>
      <w:marLeft w:val="0"/>
      <w:marRight w:val="0"/>
      <w:marTop w:val="0"/>
      <w:marBottom w:val="0"/>
      <w:divBdr>
        <w:top w:val="none" w:sz="0" w:space="0" w:color="auto"/>
        <w:left w:val="none" w:sz="0" w:space="0" w:color="auto"/>
        <w:bottom w:val="none" w:sz="0" w:space="0" w:color="auto"/>
        <w:right w:val="none" w:sz="0" w:space="0" w:color="auto"/>
      </w:divBdr>
    </w:div>
    <w:div w:id="613755668">
      <w:bodyDiv w:val="1"/>
      <w:marLeft w:val="0"/>
      <w:marRight w:val="0"/>
      <w:marTop w:val="0"/>
      <w:marBottom w:val="0"/>
      <w:divBdr>
        <w:top w:val="none" w:sz="0" w:space="0" w:color="auto"/>
        <w:left w:val="none" w:sz="0" w:space="0" w:color="auto"/>
        <w:bottom w:val="none" w:sz="0" w:space="0" w:color="auto"/>
        <w:right w:val="none" w:sz="0" w:space="0" w:color="auto"/>
      </w:divBdr>
    </w:div>
    <w:div w:id="613900494">
      <w:bodyDiv w:val="1"/>
      <w:marLeft w:val="0"/>
      <w:marRight w:val="0"/>
      <w:marTop w:val="0"/>
      <w:marBottom w:val="0"/>
      <w:divBdr>
        <w:top w:val="none" w:sz="0" w:space="0" w:color="auto"/>
        <w:left w:val="none" w:sz="0" w:space="0" w:color="auto"/>
        <w:bottom w:val="none" w:sz="0" w:space="0" w:color="auto"/>
        <w:right w:val="none" w:sz="0" w:space="0" w:color="auto"/>
      </w:divBdr>
    </w:div>
    <w:div w:id="614210622">
      <w:bodyDiv w:val="1"/>
      <w:marLeft w:val="0"/>
      <w:marRight w:val="0"/>
      <w:marTop w:val="0"/>
      <w:marBottom w:val="0"/>
      <w:divBdr>
        <w:top w:val="none" w:sz="0" w:space="0" w:color="auto"/>
        <w:left w:val="none" w:sz="0" w:space="0" w:color="auto"/>
        <w:bottom w:val="none" w:sz="0" w:space="0" w:color="auto"/>
        <w:right w:val="none" w:sz="0" w:space="0" w:color="auto"/>
      </w:divBdr>
    </w:div>
    <w:div w:id="614597761">
      <w:bodyDiv w:val="1"/>
      <w:marLeft w:val="0"/>
      <w:marRight w:val="0"/>
      <w:marTop w:val="0"/>
      <w:marBottom w:val="0"/>
      <w:divBdr>
        <w:top w:val="none" w:sz="0" w:space="0" w:color="auto"/>
        <w:left w:val="none" w:sz="0" w:space="0" w:color="auto"/>
        <w:bottom w:val="none" w:sz="0" w:space="0" w:color="auto"/>
        <w:right w:val="none" w:sz="0" w:space="0" w:color="auto"/>
      </w:divBdr>
    </w:div>
    <w:div w:id="614598700">
      <w:bodyDiv w:val="1"/>
      <w:marLeft w:val="0"/>
      <w:marRight w:val="0"/>
      <w:marTop w:val="0"/>
      <w:marBottom w:val="0"/>
      <w:divBdr>
        <w:top w:val="none" w:sz="0" w:space="0" w:color="auto"/>
        <w:left w:val="none" w:sz="0" w:space="0" w:color="auto"/>
        <w:bottom w:val="none" w:sz="0" w:space="0" w:color="auto"/>
        <w:right w:val="none" w:sz="0" w:space="0" w:color="auto"/>
      </w:divBdr>
    </w:div>
    <w:div w:id="614794493">
      <w:bodyDiv w:val="1"/>
      <w:marLeft w:val="0"/>
      <w:marRight w:val="0"/>
      <w:marTop w:val="0"/>
      <w:marBottom w:val="0"/>
      <w:divBdr>
        <w:top w:val="none" w:sz="0" w:space="0" w:color="auto"/>
        <w:left w:val="none" w:sz="0" w:space="0" w:color="auto"/>
        <w:bottom w:val="none" w:sz="0" w:space="0" w:color="auto"/>
        <w:right w:val="none" w:sz="0" w:space="0" w:color="auto"/>
      </w:divBdr>
    </w:div>
    <w:div w:id="614870600">
      <w:bodyDiv w:val="1"/>
      <w:marLeft w:val="0"/>
      <w:marRight w:val="0"/>
      <w:marTop w:val="0"/>
      <w:marBottom w:val="0"/>
      <w:divBdr>
        <w:top w:val="none" w:sz="0" w:space="0" w:color="auto"/>
        <w:left w:val="none" w:sz="0" w:space="0" w:color="auto"/>
        <w:bottom w:val="none" w:sz="0" w:space="0" w:color="auto"/>
        <w:right w:val="none" w:sz="0" w:space="0" w:color="auto"/>
      </w:divBdr>
    </w:div>
    <w:div w:id="614873366">
      <w:bodyDiv w:val="1"/>
      <w:marLeft w:val="0"/>
      <w:marRight w:val="0"/>
      <w:marTop w:val="0"/>
      <w:marBottom w:val="0"/>
      <w:divBdr>
        <w:top w:val="none" w:sz="0" w:space="0" w:color="auto"/>
        <w:left w:val="none" w:sz="0" w:space="0" w:color="auto"/>
        <w:bottom w:val="none" w:sz="0" w:space="0" w:color="auto"/>
        <w:right w:val="none" w:sz="0" w:space="0" w:color="auto"/>
      </w:divBdr>
    </w:div>
    <w:div w:id="615059225">
      <w:bodyDiv w:val="1"/>
      <w:marLeft w:val="0"/>
      <w:marRight w:val="0"/>
      <w:marTop w:val="0"/>
      <w:marBottom w:val="0"/>
      <w:divBdr>
        <w:top w:val="none" w:sz="0" w:space="0" w:color="auto"/>
        <w:left w:val="none" w:sz="0" w:space="0" w:color="auto"/>
        <w:bottom w:val="none" w:sz="0" w:space="0" w:color="auto"/>
        <w:right w:val="none" w:sz="0" w:space="0" w:color="auto"/>
      </w:divBdr>
    </w:div>
    <w:div w:id="615334161">
      <w:bodyDiv w:val="1"/>
      <w:marLeft w:val="0"/>
      <w:marRight w:val="0"/>
      <w:marTop w:val="0"/>
      <w:marBottom w:val="0"/>
      <w:divBdr>
        <w:top w:val="none" w:sz="0" w:space="0" w:color="auto"/>
        <w:left w:val="none" w:sz="0" w:space="0" w:color="auto"/>
        <w:bottom w:val="none" w:sz="0" w:space="0" w:color="auto"/>
        <w:right w:val="none" w:sz="0" w:space="0" w:color="auto"/>
      </w:divBdr>
    </w:div>
    <w:div w:id="615336912">
      <w:bodyDiv w:val="1"/>
      <w:marLeft w:val="0"/>
      <w:marRight w:val="0"/>
      <w:marTop w:val="0"/>
      <w:marBottom w:val="0"/>
      <w:divBdr>
        <w:top w:val="none" w:sz="0" w:space="0" w:color="auto"/>
        <w:left w:val="none" w:sz="0" w:space="0" w:color="auto"/>
        <w:bottom w:val="none" w:sz="0" w:space="0" w:color="auto"/>
        <w:right w:val="none" w:sz="0" w:space="0" w:color="auto"/>
      </w:divBdr>
    </w:div>
    <w:div w:id="615910697">
      <w:bodyDiv w:val="1"/>
      <w:marLeft w:val="0"/>
      <w:marRight w:val="0"/>
      <w:marTop w:val="0"/>
      <w:marBottom w:val="0"/>
      <w:divBdr>
        <w:top w:val="none" w:sz="0" w:space="0" w:color="auto"/>
        <w:left w:val="none" w:sz="0" w:space="0" w:color="auto"/>
        <w:bottom w:val="none" w:sz="0" w:space="0" w:color="auto"/>
        <w:right w:val="none" w:sz="0" w:space="0" w:color="auto"/>
      </w:divBdr>
    </w:div>
    <w:div w:id="616256937">
      <w:bodyDiv w:val="1"/>
      <w:marLeft w:val="0"/>
      <w:marRight w:val="0"/>
      <w:marTop w:val="0"/>
      <w:marBottom w:val="0"/>
      <w:divBdr>
        <w:top w:val="none" w:sz="0" w:space="0" w:color="auto"/>
        <w:left w:val="none" w:sz="0" w:space="0" w:color="auto"/>
        <w:bottom w:val="none" w:sz="0" w:space="0" w:color="auto"/>
        <w:right w:val="none" w:sz="0" w:space="0" w:color="auto"/>
      </w:divBdr>
    </w:div>
    <w:div w:id="616301004">
      <w:bodyDiv w:val="1"/>
      <w:marLeft w:val="0"/>
      <w:marRight w:val="0"/>
      <w:marTop w:val="0"/>
      <w:marBottom w:val="0"/>
      <w:divBdr>
        <w:top w:val="none" w:sz="0" w:space="0" w:color="auto"/>
        <w:left w:val="none" w:sz="0" w:space="0" w:color="auto"/>
        <w:bottom w:val="none" w:sz="0" w:space="0" w:color="auto"/>
        <w:right w:val="none" w:sz="0" w:space="0" w:color="auto"/>
      </w:divBdr>
    </w:div>
    <w:div w:id="616523848">
      <w:bodyDiv w:val="1"/>
      <w:marLeft w:val="0"/>
      <w:marRight w:val="0"/>
      <w:marTop w:val="0"/>
      <w:marBottom w:val="0"/>
      <w:divBdr>
        <w:top w:val="none" w:sz="0" w:space="0" w:color="auto"/>
        <w:left w:val="none" w:sz="0" w:space="0" w:color="auto"/>
        <w:bottom w:val="none" w:sz="0" w:space="0" w:color="auto"/>
        <w:right w:val="none" w:sz="0" w:space="0" w:color="auto"/>
      </w:divBdr>
    </w:div>
    <w:div w:id="616526180">
      <w:bodyDiv w:val="1"/>
      <w:marLeft w:val="0"/>
      <w:marRight w:val="0"/>
      <w:marTop w:val="0"/>
      <w:marBottom w:val="0"/>
      <w:divBdr>
        <w:top w:val="none" w:sz="0" w:space="0" w:color="auto"/>
        <w:left w:val="none" w:sz="0" w:space="0" w:color="auto"/>
        <w:bottom w:val="none" w:sz="0" w:space="0" w:color="auto"/>
        <w:right w:val="none" w:sz="0" w:space="0" w:color="auto"/>
      </w:divBdr>
    </w:div>
    <w:div w:id="617218363">
      <w:bodyDiv w:val="1"/>
      <w:marLeft w:val="0"/>
      <w:marRight w:val="0"/>
      <w:marTop w:val="0"/>
      <w:marBottom w:val="0"/>
      <w:divBdr>
        <w:top w:val="none" w:sz="0" w:space="0" w:color="auto"/>
        <w:left w:val="none" w:sz="0" w:space="0" w:color="auto"/>
        <w:bottom w:val="none" w:sz="0" w:space="0" w:color="auto"/>
        <w:right w:val="none" w:sz="0" w:space="0" w:color="auto"/>
      </w:divBdr>
    </w:div>
    <w:div w:id="617373869">
      <w:bodyDiv w:val="1"/>
      <w:marLeft w:val="0"/>
      <w:marRight w:val="0"/>
      <w:marTop w:val="0"/>
      <w:marBottom w:val="0"/>
      <w:divBdr>
        <w:top w:val="none" w:sz="0" w:space="0" w:color="auto"/>
        <w:left w:val="none" w:sz="0" w:space="0" w:color="auto"/>
        <w:bottom w:val="none" w:sz="0" w:space="0" w:color="auto"/>
        <w:right w:val="none" w:sz="0" w:space="0" w:color="auto"/>
      </w:divBdr>
    </w:div>
    <w:div w:id="617562544">
      <w:bodyDiv w:val="1"/>
      <w:marLeft w:val="0"/>
      <w:marRight w:val="0"/>
      <w:marTop w:val="0"/>
      <w:marBottom w:val="0"/>
      <w:divBdr>
        <w:top w:val="none" w:sz="0" w:space="0" w:color="auto"/>
        <w:left w:val="none" w:sz="0" w:space="0" w:color="auto"/>
        <w:bottom w:val="none" w:sz="0" w:space="0" w:color="auto"/>
        <w:right w:val="none" w:sz="0" w:space="0" w:color="auto"/>
      </w:divBdr>
    </w:div>
    <w:div w:id="617761838">
      <w:bodyDiv w:val="1"/>
      <w:marLeft w:val="0"/>
      <w:marRight w:val="0"/>
      <w:marTop w:val="0"/>
      <w:marBottom w:val="0"/>
      <w:divBdr>
        <w:top w:val="none" w:sz="0" w:space="0" w:color="auto"/>
        <w:left w:val="none" w:sz="0" w:space="0" w:color="auto"/>
        <w:bottom w:val="none" w:sz="0" w:space="0" w:color="auto"/>
        <w:right w:val="none" w:sz="0" w:space="0" w:color="auto"/>
      </w:divBdr>
    </w:div>
    <w:div w:id="617954841">
      <w:bodyDiv w:val="1"/>
      <w:marLeft w:val="0"/>
      <w:marRight w:val="0"/>
      <w:marTop w:val="0"/>
      <w:marBottom w:val="0"/>
      <w:divBdr>
        <w:top w:val="none" w:sz="0" w:space="0" w:color="auto"/>
        <w:left w:val="none" w:sz="0" w:space="0" w:color="auto"/>
        <w:bottom w:val="none" w:sz="0" w:space="0" w:color="auto"/>
        <w:right w:val="none" w:sz="0" w:space="0" w:color="auto"/>
      </w:divBdr>
    </w:div>
    <w:div w:id="618149766">
      <w:bodyDiv w:val="1"/>
      <w:marLeft w:val="0"/>
      <w:marRight w:val="0"/>
      <w:marTop w:val="0"/>
      <w:marBottom w:val="0"/>
      <w:divBdr>
        <w:top w:val="none" w:sz="0" w:space="0" w:color="auto"/>
        <w:left w:val="none" w:sz="0" w:space="0" w:color="auto"/>
        <w:bottom w:val="none" w:sz="0" w:space="0" w:color="auto"/>
        <w:right w:val="none" w:sz="0" w:space="0" w:color="auto"/>
      </w:divBdr>
    </w:div>
    <w:div w:id="618219358">
      <w:bodyDiv w:val="1"/>
      <w:marLeft w:val="0"/>
      <w:marRight w:val="0"/>
      <w:marTop w:val="0"/>
      <w:marBottom w:val="0"/>
      <w:divBdr>
        <w:top w:val="none" w:sz="0" w:space="0" w:color="auto"/>
        <w:left w:val="none" w:sz="0" w:space="0" w:color="auto"/>
        <w:bottom w:val="none" w:sz="0" w:space="0" w:color="auto"/>
        <w:right w:val="none" w:sz="0" w:space="0" w:color="auto"/>
      </w:divBdr>
    </w:div>
    <w:div w:id="618298264">
      <w:bodyDiv w:val="1"/>
      <w:marLeft w:val="0"/>
      <w:marRight w:val="0"/>
      <w:marTop w:val="0"/>
      <w:marBottom w:val="0"/>
      <w:divBdr>
        <w:top w:val="none" w:sz="0" w:space="0" w:color="auto"/>
        <w:left w:val="none" w:sz="0" w:space="0" w:color="auto"/>
        <w:bottom w:val="none" w:sz="0" w:space="0" w:color="auto"/>
        <w:right w:val="none" w:sz="0" w:space="0" w:color="auto"/>
      </w:divBdr>
    </w:div>
    <w:div w:id="618730170">
      <w:bodyDiv w:val="1"/>
      <w:marLeft w:val="0"/>
      <w:marRight w:val="0"/>
      <w:marTop w:val="0"/>
      <w:marBottom w:val="0"/>
      <w:divBdr>
        <w:top w:val="none" w:sz="0" w:space="0" w:color="auto"/>
        <w:left w:val="none" w:sz="0" w:space="0" w:color="auto"/>
        <w:bottom w:val="none" w:sz="0" w:space="0" w:color="auto"/>
        <w:right w:val="none" w:sz="0" w:space="0" w:color="auto"/>
      </w:divBdr>
    </w:div>
    <w:div w:id="618998233">
      <w:bodyDiv w:val="1"/>
      <w:marLeft w:val="0"/>
      <w:marRight w:val="0"/>
      <w:marTop w:val="0"/>
      <w:marBottom w:val="0"/>
      <w:divBdr>
        <w:top w:val="none" w:sz="0" w:space="0" w:color="auto"/>
        <w:left w:val="none" w:sz="0" w:space="0" w:color="auto"/>
        <w:bottom w:val="none" w:sz="0" w:space="0" w:color="auto"/>
        <w:right w:val="none" w:sz="0" w:space="0" w:color="auto"/>
      </w:divBdr>
    </w:div>
    <w:div w:id="619142312">
      <w:bodyDiv w:val="1"/>
      <w:marLeft w:val="0"/>
      <w:marRight w:val="0"/>
      <w:marTop w:val="0"/>
      <w:marBottom w:val="0"/>
      <w:divBdr>
        <w:top w:val="none" w:sz="0" w:space="0" w:color="auto"/>
        <w:left w:val="none" w:sz="0" w:space="0" w:color="auto"/>
        <w:bottom w:val="none" w:sz="0" w:space="0" w:color="auto"/>
        <w:right w:val="none" w:sz="0" w:space="0" w:color="auto"/>
      </w:divBdr>
    </w:div>
    <w:div w:id="619343988">
      <w:bodyDiv w:val="1"/>
      <w:marLeft w:val="0"/>
      <w:marRight w:val="0"/>
      <w:marTop w:val="0"/>
      <w:marBottom w:val="0"/>
      <w:divBdr>
        <w:top w:val="none" w:sz="0" w:space="0" w:color="auto"/>
        <w:left w:val="none" w:sz="0" w:space="0" w:color="auto"/>
        <w:bottom w:val="none" w:sz="0" w:space="0" w:color="auto"/>
        <w:right w:val="none" w:sz="0" w:space="0" w:color="auto"/>
      </w:divBdr>
    </w:div>
    <w:div w:id="619381212">
      <w:bodyDiv w:val="1"/>
      <w:marLeft w:val="0"/>
      <w:marRight w:val="0"/>
      <w:marTop w:val="0"/>
      <w:marBottom w:val="0"/>
      <w:divBdr>
        <w:top w:val="none" w:sz="0" w:space="0" w:color="auto"/>
        <w:left w:val="none" w:sz="0" w:space="0" w:color="auto"/>
        <w:bottom w:val="none" w:sz="0" w:space="0" w:color="auto"/>
        <w:right w:val="none" w:sz="0" w:space="0" w:color="auto"/>
      </w:divBdr>
    </w:div>
    <w:div w:id="619385835">
      <w:bodyDiv w:val="1"/>
      <w:marLeft w:val="0"/>
      <w:marRight w:val="0"/>
      <w:marTop w:val="0"/>
      <w:marBottom w:val="0"/>
      <w:divBdr>
        <w:top w:val="none" w:sz="0" w:space="0" w:color="auto"/>
        <w:left w:val="none" w:sz="0" w:space="0" w:color="auto"/>
        <w:bottom w:val="none" w:sz="0" w:space="0" w:color="auto"/>
        <w:right w:val="none" w:sz="0" w:space="0" w:color="auto"/>
      </w:divBdr>
    </w:div>
    <w:div w:id="619609349">
      <w:bodyDiv w:val="1"/>
      <w:marLeft w:val="0"/>
      <w:marRight w:val="0"/>
      <w:marTop w:val="0"/>
      <w:marBottom w:val="0"/>
      <w:divBdr>
        <w:top w:val="none" w:sz="0" w:space="0" w:color="auto"/>
        <w:left w:val="none" w:sz="0" w:space="0" w:color="auto"/>
        <w:bottom w:val="none" w:sz="0" w:space="0" w:color="auto"/>
        <w:right w:val="none" w:sz="0" w:space="0" w:color="auto"/>
      </w:divBdr>
    </w:div>
    <w:div w:id="619721354">
      <w:bodyDiv w:val="1"/>
      <w:marLeft w:val="0"/>
      <w:marRight w:val="0"/>
      <w:marTop w:val="0"/>
      <w:marBottom w:val="0"/>
      <w:divBdr>
        <w:top w:val="none" w:sz="0" w:space="0" w:color="auto"/>
        <w:left w:val="none" w:sz="0" w:space="0" w:color="auto"/>
        <w:bottom w:val="none" w:sz="0" w:space="0" w:color="auto"/>
        <w:right w:val="none" w:sz="0" w:space="0" w:color="auto"/>
      </w:divBdr>
    </w:div>
    <w:div w:id="619722458">
      <w:bodyDiv w:val="1"/>
      <w:marLeft w:val="0"/>
      <w:marRight w:val="0"/>
      <w:marTop w:val="0"/>
      <w:marBottom w:val="0"/>
      <w:divBdr>
        <w:top w:val="none" w:sz="0" w:space="0" w:color="auto"/>
        <w:left w:val="none" w:sz="0" w:space="0" w:color="auto"/>
        <w:bottom w:val="none" w:sz="0" w:space="0" w:color="auto"/>
        <w:right w:val="none" w:sz="0" w:space="0" w:color="auto"/>
      </w:divBdr>
    </w:div>
    <w:div w:id="619726120">
      <w:bodyDiv w:val="1"/>
      <w:marLeft w:val="0"/>
      <w:marRight w:val="0"/>
      <w:marTop w:val="0"/>
      <w:marBottom w:val="0"/>
      <w:divBdr>
        <w:top w:val="none" w:sz="0" w:space="0" w:color="auto"/>
        <w:left w:val="none" w:sz="0" w:space="0" w:color="auto"/>
        <w:bottom w:val="none" w:sz="0" w:space="0" w:color="auto"/>
        <w:right w:val="none" w:sz="0" w:space="0" w:color="auto"/>
      </w:divBdr>
    </w:div>
    <w:div w:id="619798301">
      <w:bodyDiv w:val="1"/>
      <w:marLeft w:val="0"/>
      <w:marRight w:val="0"/>
      <w:marTop w:val="0"/>
      <w:marBottom w:val="0"/>
      <w:divBdr>
        <w:top w:val="none" w:sz="0" w:space="0" w:color="auto"/>
        <w:left w:val="none" w:sz="0" w:space="0" w:color="auto"/>
        <w:bottom w:val="none" w:sz="0" w:space="0" w:color="auto"/>
        <w:right w:val="none" w:sz="0" w:space="0" w:color="auto"/>
      </w:divBdr>
    </w:div>
    <w:div w:id="619997424">
      <w:bodyDiv w:val="1"/>
      <w:marLeft w:val="0"/>
      <w:marRight w:val="0"/>
      <w:marTop w:val="0"/>
      <w:marBottom w:val="0"/>
      <w:divBdr>
        <w:top w:val="none" w:sz="0" w:space="0" w:color="auto"/>
        <w:left w:val="none" w:sz="0" w:space="0" w:color="auto"/>
        <w:bottom w:val="none" w:sz="0" w:space="0" w:color="auto"/>
        <w:right w:val="none" w:sz="0" w:space="0" w:color="auto"/>
      </w:divBdr>
    </w:div>
    <w:div w:id="620036460">
      <w:bodyDiv w:val="1"/>
      <w:marLeft w:val="0"/>
      <w:marRight w:val="0"/>
      <w:marTop w:val="0"/>
      <w:marBottom w:val="0"/>
      <w:divBdr>
        <w:top w:val="none" w:sz="0" w:space="0" w:color="auto"/>
        <w:left w:val="none" w:sz="0" w:space="0" w:color="auto"/>
        <w:bottom w:val="none" w:sz="0" w:space="0" w:color="auto"/>
        <w:right w:val="none" w:sz="0" w:space="0" w:color="auto"/>
      </w:divBdr>
    </w:div>
    <w:div w:id="620188450">
      <w:bodyDiv w:val="1"/>
      <w:marLeft w:val="0"/>
      <w:marRight w:val="0"/>
      <w:marTop w:val="0"/>
      <w:marBottom w:val="0"/>
      <w:divBdr>
        <w:top w:val="none" w:sz="0" w:space="0" w:color="auto"/>
        <w:left w:val="none" w:sz="0" w:space="0" w:color="auto"/>
        <w:bottom w:val="none" w:sz="0" w:space="0" w:color="auto"/>
        <w:right w:val="none" w:sz="0" w:space="0" w:color="auto"/>
      </w:divBdr>
    </w:div>
    <w:div w:id="620189871">
      <w:bodyDiv w:val="1"/>
      <w:marLeft w:val="0"/>
      <w:marRight w:val="0"/>
      <w:marTop w:val="0"/>
      <w:marBottom w:val="0"/>
      <w:divBdr>
        <w:top w:val="none" w:sz="0" w:space="0" w:color="auto"/>
        <w:left w:val="none" w:sz="0" w:space="0" w:color="auto"/>
        <w:bottom w:val="none" w:sz="0" w:space="0" w:color="auto"/>
        <w:right w:val="none" w:sz="0" w:space="0" w:color="auto"/>
      </w:divBdr>
    </w:div>
    <w:div w:id="620234708">
      <w:bodyDiv w:val="1"/>
      <w:marLeft w:val="0"/>
      <w:marRight w:val="0"/>
      <w:marTop w:val="0"/>
      <w:marBottom w:val="0"/>
      <w:divBdr>
        <w:top w:val="none" w:sz="0" w:space="0" w:color="auto"/>
        <w:left w:val="none" w:sz="0" w:space="0" w:color="auto"/>
        <w:bottom w:val="none" w:sz="0" w:space="0" w:color="auto"/>
        <w:right w:val="none" w:sz="0" w:space="0" w:color="auto"/>
      </w:divBdr>
    </w:div>
    <w:div w:id="620303232">
      <w:bodyDiv w:val="1"/>
      <w:marLeft w:val="0"/>
      <w:marRight w:val="0"/>
      <w:marTop w:val="0"/>
      <w:marBottom w:val="0"/>
      <w:divBdr>
        <w:top w:val="none" w:sz="0" w:space="0" w:color="auto"/>
        <w:left w:val="none" w:sz="0" w:space="0" w:color="auto"/>
        <w:bottom w:val="none" w:sz="0" w:space="0" w:color="auto"/>
        <w:right w:val="none" w:sz="0" w:space="0" w:color="auto"/>
      </w:divBdr>
    </w:div>
    <w:div w:id="620494862">
      <w:bodyDiv w:val="1"/>
      <w:marLeft w:val="0"/>
      <w:marRight w:val="0"/>
      <w:marTop w:val="0"/>
      <w:marBottom w:val="0"/>
      <w:divBdr>
        <w:top w:val="none" w:sz="0" w:space="0" w:color="auto"/>
        <w:left w:val="none" w:sz="0" w:space="0" w:color="auto"/>
        <w:bottom w:val="none" w:sz="0" w:space="0" w:color="auto"/>
        <w:right w:val="none" w:sz="0" w:space="0" w:color="auto"/>
      </w:divBdr>
    </w:div>
    <w:div w:id="620572272">
      <w:bodyDiv w:val="1"/>
      <w:marLeft w:val="0"/>
      <w:marRight w:val="0"/>
      <w:marTop w:val="0"/>
      <w:marBottom w:val="0"/>
      <w:divBdr>
        <w:top w:val="none" w:sz="0" w:space="0" w:color="auto"/>
        <w:left w:val="none" w:sz="0" w:space="0" w:color="auto"/>
        <w:bottom w:val="none" w:sz="0" w:space="0" w:color="auto"/>
        <w:right w:val="none" w:sz="0" w:space="0" w:color="auto"/>
      </w:divBdr>
    </w:div>
    <w:div w:id="620848081">
      <w:bodyDiv w:val="1"/>
      <w:marLeft w:val="0"/>
      <w:marRight w:val="0"/>
      <w:marTop w:val="0"/>
      <w:marBottom w:val="0"/>
      <w:divBdr>
        <w:top w:val="none" w:sz="0" w:space="0" w:color="auto"/>
        <w:left w:val="none" w:sz="0" w:space="0" w:color="auto"/>
        <w:bottom w:val="none" w:sz="0" w:space="0" w:color="auto"/>
        <w:right w:val="none" w:sz="0" w:space="0" w:color="auto"/>
      </w:divBdr>
    </w:div>
    <w:div w:id="621110055">
      <w:bodyDiv w:val="1"/>
      <w:marLeft w:val="0"/>
      <w:marRight w:val="0"/>
      <w:marTop w:val="0"/>
      <w:marBottom w:val="0"/>
      <w:divBdr>
        <w:top w:val="none" w:sz="0" w:space="0" w:color="auto"/>
        <w:left w:val="none" w:sz="0" w:space="0" w:color="auto"/>
        <w:bottom w:val="none" w:sz="0" w:space="0" w:color="auto"/>
        <w:right w:val="none" w:sz="0" w:space="0" w:color="auto"/>
      </w:divBdr>
    </w:div>
    <w:div w:id="621691020">
      <w:bodyDiv w:val="1"/>
      <w:marLeft w:val="0"/>
      <w:marRight w:val="0"/>
      <w:marTop w:val="0"/>
      <w:marBottom w:val="0"/>
      <w:divBdr>
        <w:top w:val="none" w:sz="0" w:space="0" w:color="auto"/>
        <w:left w:val="none" w:sz="0" w:space="0" w:color="auto"/>
        <w:bottom w:val="none" w:sz="0" w:space="0" w:color="auto"/>
        <w:right w:val="none" w:sz="0" w:space="0" w:color="auto"/>
      </w:divBdr>
    </w:div>
    <w:div w:id="621811035">
      <w:bodyDiv w:val="1"/>
      <w:marLeft w:val="0"/>
      <w:marRight w:val="0"/>
      <w:marTop w:val="0"/>
      <w:marBottom w:val="0"/>
      <w:divBdr>
        <w:top w:val="none" w:sz="0" w:space="0" w:color="auto"/>
        <w:left w:val="none" w:sz="0" w:space="0" w:color="auto"/>
        <w:bottom w:val="none" w:sz="0" w:space="0" w:color="auto"/>
        <w:right w:val="none" w:sz="0" w:space="0" w:color="auto"/>
      </w:divBdr>
    </w:div>
    <w:div w:id="622542554">
      <w:bodyDiv w:val="1"/>
      <w:marLeft w:val="0"/>
      <w:marRight w:val="0"/>
      <w:marTop w:val="0"/>
      <w:marBottom w:val="0"/>
      <w:divBdr>
        <w:top w:val="none" w:sz="0" w:space="0" w:color="auto"/>
        <w:left w:val="none" w:sz="0" w:space="0" w:color="auto"/>
        <w:bottom w:val="none" w:sz="0" w:space="0" w:color="auto"/>
        <w:right w:val="none" w:sz="0" w:space="0" w:color="auto"/>
      </w:divBdr>
    </w:div>
    <w:div w:id="622734256">
      <w:bodyDiv w:val="1"/>
      <w:marLeft w:val="0"/>
      <w:marRight w:val="0"/>
      <w:marTop w:val="0"/>
      <w:marBottom w:val="0"/>
      <w:divBdr>
        <w:top w:val="none" w:sz="0" w:space="0" w:color="auto"/>
        <w:left w:val="none" w:sz="0" w:space="0" w:color="auto"/>
        <w:bottom w:val="none" w:sz="0" w:space="0" w:color="auto"/>
        <w:right w:val="none" w:sz="0" w:space="0" w:color="auto"/>
      </w:divBdr>
    </w:div>
    <w:div w:id="623192087">
      <w:bodyDiv w:val="1"/>
      <w:marLeft w:val="0"/>
      <w:marRight w:val="0"/>
      <w:marTop w:val="0"/>
      <w:marBottom w:val="0"/>
      <w:divBdr>
        <w:top w:val="none" w:sz="0" w:space="0" w:color="auto"/>
        <w:left w:val="none" w:sz="0" w:space="0" w:color="auto"/>
        <w:bottom w:val="none" w:sz="0" w:space="0" w:color="auto"/>
        <w:right w:val="none" w:sz="0" w:space="0" w:color="auto"/>
      </w:divBdr>
    </w:div>
    <w:div w:id="623199396">
      <w:bodyDiv w:val="1"/>
      <w:marLeft w:val="0"/>
      <w:marRight w:val="0"/>
      <w:marTop w:val="0"/>
      <w:marBottom w:val="0"/>
      <w:divBdr>
        <w:top w:val="none" w:sz="0" w:space="0" w:color="auto"/>
        <w:left w:val="none" w:sz="0" w:space="0" w:color="auto"/>
        <w:bottom w:val="none" w:sz="0" w:space="0" w:color="auto"/>
        <w:right w:val="none" w:sz="0" w:space="0" w:color="auto"/>
      </w:divBdr>
    </w:div>
    <w:div w:id="623386053">
      <w:bodyDiv w:val="1"/>
      <w:marLeft w:val="0"/>
      <w:marRight w:val="0"/>
      <w:marTop w:val="0"/>
      <w:marBottom w:val="0"/>
      <w:divBdr>
        <w:top w:val="none" w:sz="0" w:space="0" w:color="auto"/>
        <w:left w:val="none" w:sz="0" w:space="0" w:color="auto"/>
        <w:bottom w:val="none" w:sz="0" w:space="0" w:color="auto"/>
        <w:right w:val="none" w:sz="0" w:space="0" w:color="auto"/>
      </w:divBdr>
    </w:div>
    <w:div w:id="623732064">
      <w:bodyDiv w:val="1"/>
      <w:marLeft w:val="0"/>
      <w:marRight w:val="0"/>
      <w:marTop w:val="0"/>
      <w:marBottom w:val="0"/>
      <w:divBdr>
        <w:top w:val="none" w:sz="0" w:space="0" w:color="auto"/>
        <w:left w:val="none" w:sz="0" w:space="0" w:color="auto"/>
        <w:bottom w:val="none" w:sz="0" w:space="0" w:color="auto"/>
        <w:right w:val="none" w:sz="0" w:space="0" w:color="auto"/>
      </w:divBdr>
    </w:div>
    <w:div w:id="623997909">
      <w:bodyDiv w:val="1"/>
      <w:marLeft w:val="0"/>
      <w:marRight w:val="0"/>
      <w:marTop w:val="0"/>
      <w:marBottom w:val="0"/>
      <w:divBdr>
        <w:top w:val="none" w:sz="0" w:space="0" w:color="auto"/>
        <w:left w:val="none" w:sz="0" w:space="0" w:color="auto"/>
        <w:bottom w:val="none" w:sz="0" w:space="0" w:color="auto"/>
        <w:right w:val="none" w:sz="0" w:space="0" w:color="auto"/>
      </w:divBdr>
    </w:div>
    <w:div w:id="624507653">
      <w:bodyDiv w:val="1"/>
      <w:marLeft w:val="0"/>
      <w:marRight w:val="0"/>
      <w:marTop w:val="0"/>
      <w:marBottom w:val="0"/>
      <w:divBdr>
        <w:top w:val="none" w:sz="0" w:space="0" w:color="auto"/>
        <w:left w:val="none" w:sz="0" w:space="0" w:color="auto"/>
        <w:bottom w:val="none" w:sz="0" w:space="0" w:color="auto"/>
        <w:right w:val="none" w:sz="0" w:space="0" w:color="auto"/>
      </w:divBdr>
    </w:div>
    <w:div w:id="624510145">
      <w:bodyDiv w:val="1"/>
      <w:marLeft w:val="0"/>
      <w:marRight w:val="0"/>
      <w:marTop w:val="0"/>
      <w:marBottom w:val="0"/>
      <w:divBdr>
        <w:top w:val="none" w:sz="0" w:space="0" w:color="auto"/>
        <w:left w:val="none" w:sz="0" w:space="0" w:color="auto"/>
        <w:bottom w:val="none" w:sz="0" w:space="0" w:color="auto"/>
        <w:right w:val="none" w:sz="0" w:space="0" w:color="auto"/>
      </w:divBdr>
    </w:div>
    <w:div w:id="624584142">
      <w:bodyDiv w:val="1"/>
      <w:marLeft w:val="0"/>
      <w:marRight w:val="0"/>
      <w:marTop w:val="0"/>
      <w:marBottom w:val="0"/>
      <w:divBdr>
        <w:top w:val="none" w:sz="0" w:space="0" w:color="auto"/>
        <w:left w:val="none" w:sz="0" w:space="0" w:color="auto"/>
        <w:bottom w:val="none" w:sz="0" w:space="0" w:color="auto"/>
        <w:right w:val="none" w:sz="0" w:space="0" w:color="auto"/>
      </w:divBdr>
    </w:div>
    <w:div w:id="624699572">
      <w:bodyDiv w:val="1"/>
      <w:marLeft w:val="0"/>
      <w:marRight w:val="0"/>
      <w:marTop w:val="0"/>
      <w:marBottom w:val="0"/>
      <w:divBdr>
        <w:top w:val="none" w:sz="0" w:space="0" w:color="auto"/>
        <w:left w:val="none" w:sz="0" w:space="0" w:color="auto"/>
        <w:bottom w:val="none" w:sz="0" w:space="0" w:color="auto"/>
        <w:right w:val="none" w:sz="0" w:space="0" w:color="auto"/>
      </w:divBdr>
    </w:div>
    <w:div w:id="624778663">
      <w:bodyDiv w:val="1"/>
      <w:marLeft w:val="0"/>
      <w:marRight w:val="0"/>
      <w:marTop w:val="0"/>
      <w:marBottom w:val="0"/>
      <w:divBdr>
        <w:top w:val="none" w:sz="0" w:space="0" w:color="auto"/>
        <w:left w:val="none" w:sz="0" w:space="0" w:color="auto"/>
        <w:bottom w:val="none" w:sz="0" w:space="0" w:color="auto"/>
        <w:right w:val="none" w:sz="0" w:space="0" w:color="auto"/>
      </w:divBdr>
    </w:div>
    <w:div w:id="625162701">
      <w:bodyDiv w:val="1"/>
      <w:marLeft w:val="0"/>
      <w:marRight w:val="0"/>
      <w:marTop w:val="0"/>
      <w:marBottom w:val="0"/>
      <w:divBdr>
        <w:top w:val="none" w:sz="0" w:space="0" w:color="auto"/>
        <w:left w:val="none" w:sz="0" w:space="0" w:color="auto"/>
        <w:bottom w:val="none" w:sz="0" w:space="0" w:color="auto"/>
        <w:right w:val="none" w:sz="0" w:space="0" w:color="auto"/>
      </w:divBdr>
    </w:div>
    <w:div w:id="625504362">
      <w:bodyDiv w:val="1"/>
      <w:marLeft w:val="0"/>
      <w:marRight w:val="0"/>
      <w:marTop w:val="0"/>
      <w:marBottom w:val="0"/>
      <w:divBdr>
        <w:top w:val="none" w:sz="0" w:space="0" w:color="auto"/>
        <w:left w:val="none" w:sz="0" w:space="0" w:color="auto"/>
        <w:bottom w:val="none" w:sz="0" w:space="0" w:color="auto"/>
        <w:right w:val="none" w:sz="0" w:space="0" w:color="auto"/>
      </w:divBdr>
    </w:div>
    <w:div w:id="625547875">
      <w:bodyDiv w:val="1"/>
      <w:marLeft w:val="0"/>
      <w:marRight w:val="0"/>
      <w:marTop w:val="0"/>
      <w:marBottom w:val="0"/>
      <w:divBdr>
        <w:top w:val="none" w:sz="0" w:space="0" w:color="auto"/>
        <w:left w:val="none" w:sz="0" w:space="0" w:color="auto"/>
        <w:bottom w:val="none" w:sz="0" w:space="0" w:color="auto"/>
        <w:right w:val="none" w:sz="0" w:space="0" w:color="auto"/>
      </w:divBdr>
    </w:div>
    <w:div w:id="625625030">
      <w:bodyDiv w:val="1"/>
      <w:marLeft w:val="0"/>
      <w:marRight w:val="0"/>
      <w:marTop w:val="0"/>
      <w:marBottom w:val="0"/>
      <w:divBdr>
        <w:top w:val="none" w:sz="0" w:space="0" w:color="auto"/>
        <w:left w:val="none" w:sz="0" w:space="0" w:color="auto"/>
        <w:bottom w:val="none" w:sz="0" w:space="0" w:color="auto"/>
        <w:right w:val="none" w:sz="0" w:space="0" w:color="auto"/>
      </w:divBdr>
    </w:div>
    <w:div w:id="626088351">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26280083">
      <w:bodyDiv w:val="1"/>
      <w:marLeft w:val="0"/>
      <w:marRight w:val="0"/>
      <w:marTop w:val="0"/>
      <w:marBottom w:val="0"/>
      <w:divBdr>
        <w:top w:val="none" w:sz="0" w:space="0" w:color="auto"/>
        <w:left w:val="none" w:sz="0" w:space="0" w:color="auto"/>
        <w:bottom w:val="none" w:sz="0" w:space="0" w:color="auto"/>
        <w:right w:val="none" w:sz="0" w:space="0" w:color="auto"/>
      </w:divBdr>
    </w:div>
    <w:div w:id="626355806">
      <w:bodyDiv w:val="1"/>
      <w:marLeft w:val="0"/>
      <w:marRight w:val="0"/>
      <w:marTop w:val="0"/>
      <w:marBottom w:val="0"/>
      <w:divBdr>
        <w:top w:val="none" w:sz="0" w:space="0" w:color="auto"/>
        <w:left w:val="none" w:sz="0" w:space="0" w:color="auto"/>
        <w:bottom w:val="none" w:sz="0" w:space="0" w:color="auto"/>
        <w:right w:val="none" w:sz="0" w:space="0" w:color="auto"/>
      </w:divBdr>
    </w:div>
    <w:div w:id="626394718">
      <w:bodyDiv w:val="1"/>
      <w:marLeft w:val="0"/>
      <w:marRight w:val="0"/>
      <w:marTop w:val="0"/>
      <w:marBottom w:val="0"/>
      <w:divBdr>
        <w:top w:val="none" w:sz="0" w:space="0" w:color="auto"/>
        <w:left w:val="none" w:sz="0" w:space="0" w:color="auto"/>
        <w:bottom w:val="none" w:sz="0" w:space="0" w:color="auto"/>
        <w:right w:val="none" w:sz="0" w:space="0" w:color="auto"/>
      </w:divBdr>
    </w:div>
    <w:div w:id="626470404">
      <w:bodyDiv w:val="1"/>
      <w:marLeft w:val="0"/>
      <w:marRight w:val="0"/>
      <w:marTop w:val="0"/>
      <w:marBottom w:val="0"/>
      <w:divBdr>
        <w:top w:val="none" w:sz="0" w:space="0" w:color="auto"/>
        <w:left w:val="none" w:sz="0" w:space="0" w:color="auto"/>
        <w:bottom w:val="none" w:sz="0" w:space="0" w:color="auto"/>
        <w:right w:val="none" w:sz="0" w:space="0" w:color="auto"/>
      </w:divBdr>
    </w:div>
    <w:div w:id="626593519">
      <w:bodyDiv w:val="1"/>
      <w:marLeft w:val="0"/>
      <w:marRight w:val="0"/>
      <w:marTop w:val="0"/>
      <w:marBottom w:val="0"/>
      <w:divBdr>
        <w:top w:val="none" w:sz="0" w:space="0" w:color="auto"/>
        <w:left w:val="none" w:sz="0" w:space="0" w:color="auto"/>
        <w:bottom w:val="none" w:sz="0" w:space="0" w:color="auto"/>
        <w:right w:val="none" w:sz="0" w:space="0" w:color="auto"/>
      </w:divBdr>
    </w:div>
    <w:div w:id="626664944">
      <w:bodyDiv w:val="1"/>
      <w:marLeft w:val="0"/>
      <w:marRight w:val="0"/>
      <w:marTop w:val="0"/>
      <w:marBottom w:val="0"/>
      <w:divBdr>
        <w:top w:val="none" w:sz="0" w:space="0" w:color="auto"/>
        <w:left w:val="none" w:sz="0" w:space="0" w:color="auto"/>
        <w:bottom w:val="none" w:sz="0" w:space="0" w:color="auto"/>
        <w:right w:val="none" w:sz="0" w:space="0" w:color="auto"/>
      </w:divBdr>
    </w:div>
    <w:div w:id="626814882">
      <w:bodyDiv w:val="1"/>
      <w:marLeft w:val="0"/>
      <w:marRight w:val="0"/>
      <w:marTop w:val="0"/>
      <w:marBottom w:val="0"/>
      <w:divBdr>
        <w:top w:val="none" w:sz="0" w:space="0" w:color="auto"/>
        <w:left w:val="none" w:sz="0" w:space="0" w:color="auto"/>
        <w:bottom w:val="none" w:sz="0" w:space="0" w:color="auto"/>
        <w:right w:val="none" w:sz="0" w:space="0" w:color="auto"/>
      </w:divBdr>
    </w:div>
    <w:div w:id="626816133">
      <w:bodyDiv w:val="1"/>
      <w:marLeft w:val="0"/>
      <w:marRight w:val="0"/>
      <w:marTop w:val="0"/>
      <w:marBottom w:val="0"/>
      <w:divBdr>
        <w:top w:val="none" w:sz="0" w:space="0" w:color="auto"/>
        <w:left w:val="none" w:sz="0" w:space="0" w:color="auto"/>
        <w:bottom w:val="none" w:sz="0" w:space="0" w:color="auto"/>
        <w:right w:val="none" w:sz="0" w:space="0" w:color="auto"/>
      </w:divBdr>
    </w:div>
    <w:div w:id="627012674">
      <w:bodyDiv w:val="1"/>
      <w:marLeft w:val="0"/>
      <w:marRight w:val="0"/>
      <w:marTop w:val="0"/>
      <w:marBottom w:val="0"/>
      <w:divBdr>
        <w:top w:val="none" w:sz="0" w:space="0" w:color="auto"/>
        <w:left w:val="none" w:sz="0" w:space="0" w:color="auto"/>
        <w:bottom w:val="none" w:sz="0" w:space="0" w:color="auto"/>
        <w:right w:val="none" w:sz="0" w:space="0" w:color="auto"/>
      </w:divBdr>
    </w:div>
    <w:div w:id="627012912">
      <w:bodyDiv w:val="1"/>
      <w:marLeft w:val="0"/>
      <w:marRight w:val="0"/>
      <w:marTop w:val="0"/>
      <w:marBottom w:val="0"/>
      <w:divBdr>
        <w:top w:val="none" w:sz="0" w:space="0" w:color="auto"/>
        <w:left w:val="none" w:sz="0" w:space="0" w:color="auto"/>
        <w:bottom w:val="none" w:sz="0" w:space="0" w:color="auto"/>
        <w:right w:val="none" w:sz="0" w:space="0" w:color="auto"/>
      </w:divBdr>
    </w:div>
    <w:div w:id="627203844">
      <w:bodyDiv w:val="1"/>
      <w:marLeft w:val="0"/>
      <w:marRight w:val="0"/>
      <w:marTop w:val="0"/>
      <w:marBottom w:val="0"/>
      <w:divBdr>
        <w:top w:val="none" w:sz="0" w:space="0" w:color="auto"/>
        <w:left w:val="none" w:sz="0" w:space="0" w:color="auto"/>
        <w:bottom w:val="none" w:sz="0" w:space="0" w:color="auto"/>
        <w:right w:val="none" w:sz="0" w:space="0" w:color="auto"/>
      </w:divBdr>
    </w:div>
    <w:div w:id="627245166">
      <w:bodyDiv w:val="1"/>
      <w:marLeft w:val="0"/>
      <w:marRight w:val="0"/>
      <w:marTop w:val="0"/>
      <w:marBottom w:val="0"/>
      <w:divBdr>
        <w:top w:val="none" w:sz="0" w:space="0" w:color="auto"/>
        <w:left w:val="none" w:sz="0" w:space="0" w:color="auto"/>
        <w:bottom w:val="none" w:sz="0" w:space="0" w:color="auto"/>
        <w:right w:val="none" w:sz="0" w:space="0" w:color="auto"/>
      </w:divBdr>
    </w:div>
    <w:div w:id="627861321">
      <w:bodyDiv w:val="1"/>
      <w:marLeft w:val="0"/>
      <w:marRight w:val="0"/>
      <w:marTop w:val="0"/>
      <w:marBottom w:val="0"/>
      <w:divBdr>
        <w:top w:val="none" w:sz="0" w:space="0" w:color="auto"/>
        <w:left w:val="none" w:sz="0" w:space="0" w:color="auto"/>
        <w:bottom w:val="none" w:sz="0" w:space="0" w:color="auto"/>
        <w:right w:val="none" w:sz="0" w:space="0" w:color="auto"/>
      </w:divBdr>
    </w:div>
    <w:div w:id="628367091">
      <w:bodyDiv w:val="1"/>
      <w:marLeft w:val="0"/>
      <w:marRight w:val="0"/>
      <w:marTop w:val="0"/>
      <w:marBottom w:val="0"/>
      <w:divBdr>
        <w:top w:val="none" w:sz="0" w:space="0" w:color="auto"/>
        <w:left w:val="none" w:sz="0" w:space="0" w:color="auto"/>
        <w:bottom w:val="none" w:sz="0" w:space="0" w:color="auto"/>
        <w:right w:val="none" w:sz="0" w:space="0" w:color="auto"/>
      </w:divBdr>
    </w:div>
    <w:div w:id="628434614">
      <w:bodyDiv w:val="1"/>
      <w:marLeft w:val="0"/>
      <w:marRight w:val="0"/>
      <w:marTop w:val="0"/>
      <w:marBottom w:val="0"/>
      <w:divBdr>
        <w:top w:val="none" w:sz="0" w:space="0" w:color="auto"/>
        <w:left w:val="none" w:sz="0" w:space="0" w:color="auto"/>
        <w:bottom w:val="none" w:sz="0" w:space="0" w:color="auto"/>
        <w:right w:val="none" w:sz="0" w:space="0" w:color="auto"/>
      </w:divBdr>
    </w:div>
    <w:div w:id="628437347">
      <w:bodyDiv w:val="1"/>
      <w:marLeft w:val="0"/>
      <w:marRight w:val="0"/>
      <w:marTop w:val="0"/>
      <w:marBottom w:val="0"/>
      <w:divBdr>
        <w:top w:val="none" w:sz="0" w:space="0" w:color="auto"/>
        <w:left w:val="none" w:sz="0" w:space="0" w:color="auto"/>
        <w:bottom w:val="none" w:sz="0" w:space="0" w:color="auto"/>
        <w:right w:val="none" w:sz="0" w:space="0" w:color="auto"/>
      </w:divBdr>
    </w:div>
    <w:div w:id="628510942">
      <w:bodyDiv w:val="1"/>
      <w:marLeft w:val="0"/>
      <w:marRight w:val="0"/>
      <w:marTop w:val="0"/>
      <w:marBottom w:val="0"/>
      <w:divBdr>
        <w:top w:val="none" w:sz="0" w:space="0" w:color="auto"/>
        <w:left w:val="none" w:sz="0" w:space="0" w:color="auto"/>
        <w:bottom w:val="none" w:sz="0" w:space="0" w:color="auto"/>
        <w:right w:val="none" w:sz="0" w:space="0" w:color="auto"/>
      </w:divBdr>
    </w:div>
    <w:div w:id="628894990">
      <w:bodyDiv w:val="1"/>
      <w:marLeft w:val="0"/>
      <w:marRight w:val="0"/>
      <w:marTop w:val="0"/>
      <w:marBottom w:val="0"/>
      <w:divBdr>
        <w:top w:val="none" w:sz="0" w:space="0" w:color="auto"/>
        <w:left w:val="none" w:sz="0" w:space="0" w:color="auto"/>
        <w:bottom w:val="none" w:sz="0" w:space="0" w:color="auto"/>
        <w:right w:val="none" w:sz="0" w:space="0" w:color="auto"/>
      </w:divBdr>
    </w:div>
    <w:div w:id="629166841">
      <w:bodyDiv w:val="1"/>
      <w:marLeft w:val="0"/>
      <w:marRight w:val="0"/>
      <w:marTop w:val="0"/>
      <w:marBottom w:val="0"/>
      <w:divBdr>
        <w:top w:val="none" w:sz="0" w:space="0" w:color="auto"/>
        <w:left w:val="none" w:sz="0" w:space="0" w:color="auto"/>
        <w:bottom w:val="none" w:sz="0" w:space="0" w:color="auto"/>
        <w:right w:val="none" w:sz="0" w:space="0" w:color="auto"/>
      </w:divBdr>
    </w:div>
    <w:div w:id="629167606">
      <w:bodyDiv w:val="1"/>
      <w:marLeft w:val="0"/>
      <w:marRight w:val="0"/>
      <w:marTop w:val="0"/>
      <w:marBottom w:val="0"/>
      <w:divBdr>
        <w:top w:val="none" w:sz="0" w:space="0" w:color="auto"/>
        <w:left w:val="none" w:sz="0" w:space="0" w:color="auto"/>
        <w:bottom w:val="none" w:sz="0" w:space="0" w:color="auto"/>
        <w:right w:val="none" w:sz="0" w:space="0" w:color="auto"/>
      </w:divBdr>
    </w:div>
    <w:div w:id="629283310">
      <w:bodyDiv w:val="1"/>
      <w:marLeft w:val="0"/>
      <w:marRight w:val="0"/>
      <w:marTop w:val="0"/>
      <w:marBottom w:val="0"/>
      <w:divBdr>
        <w:top w:val="none" w:sz="0" w:space="0" w:color="auto"/>
        <w:left w:val="none" w:sz="0" w:space="0" w:color="auto"/>
        <w:bottom w:val="none" w:sz="0" w:space="0" w:color="auto"/>
        <w:right w:val="none" w:sz="0" w:space="0" w:color="auto"/>
      </w:divBdr>
    </w:div>
    <w:div w:id="629288176">
      <w:bodyDiv w:val="1"/>
      <w:marLeft w:val="0"/>
      <w:marRight w:val="0"/>
      <w:marTop w:val="0"/>
      <w:marBottom w:val="0"/>
      <w:divBdr>
        <w:top w:val="none" w:sz="0" w:space="0" w:color="auto"/>
        <w:left w:val="none" w:sz="0" w:space="0" w:color="auto"/>
        <w:bottom w:val="none" w:sz="0" w:space="0" w:color="auto"/>
        <w:right w:val="none" w:sz="0" w:space="0" w:color="auto"/>
      </w:divBdr>
    </w:div>
    <w:div w:id="629357350">
      <w:bodyDiv w:val="1"/>
      <w:marLeft w:val="0"/>
      <w:marRight w:val="0"/>
      <w:marTop w:val="0"/>
      <w:marBottom w:val="0"/>
      <w:divBdr>
        <w:top w:val="none" w:sz="0" w:space="0" w:color="auto"/>
        <w:left w:val="none" w:sz="0" w:space="0" w:color="auto"/>
        <w:bottom w:val="none" w:sz="0" w:space="0" w:color="auto"/>
        <w:right w:val="none" w:sz="0" w:space="0" w:color="auto"/>
      </w:divBdr>
    </w:div>
    <w:div w:id="629746863">
      <w:bodyDiv w:val="1"/>
      <w:marLeft w:val="0"/>
      <w:marRight w:val="0"/>
      <w:marTop w:val="0"/>
      <w:marBottom w:val="0"/>
      <w:divBdr>
        <w:top w:val="none" w:sz="0" w:space="0" w:color="auto"/>
        <w:left w:val="none" w:sz="0" w:space="0" w:color="auto"/>
        <w:bottom w:val="none" w:sz="0" w:space="0" w:color="auto"/>
        <w:right w:val="none" w:sz="0" w:space="0" w:color="auto"/>
      </w:divBdr>
    </w:div>
    <w:div w:id="629752791">
      <w:bodyDiv w:val="1"/>
      <w:marLeft w:val="0"/>
      <w:marRight w:val="0"/>
      <w:marTop w:val="0"/>
      <w:marBottom w:val="0"/>
      <w:divBdr>
        <w:top w:val="none" w:sz="0" w:space="0" w:color="auto"/>
        <w:left w:val="none" w:sz="0" w:space="0" w:color="auto"/>
        <w:bottom w:val="none" w:sz="0" w:space="0" w:color="auto"/>
        <w:right w:val="none" w:sz="0" w:space="0" w:color="auto"/>
      </w:divBdr>
    </w:div>
    <w:div w:id="630017625">
      <w:bodyDiv w:val="1"/>
      <w:marLeft w:val="0"/>
      <w:marRight w:val="0"/>
      <w:marTop w:val="0"/>
      <w:marBottom w:val="0"/>
      <w:divBdr>
        <w:top w:val="none" w:sz="0" w:space="0" w:color="auto"/>
        <w:left w:val="none" w:sz="0" w:space="0" w:color="auto"/>
        <w:bottom w:val="none" w:sz="0" w:space="0" w:color="auto"/>
        <w:right w:val="none" w:sz="0" w:space="0" w:color="auto"/>
      </w:divBdr>
    </w:div>
    <w:div w:id="630095475">
      <w:bodyDiv w:val="1"/>
      <w:marLeft w:val="0"/>
      <w:marRight w:val="0"/>
      <w:marTop w:val="0"/>
      <w:marBottom w:val="0"/>
      <w:divBdr>
        <w:top w:val="none" w:sz="0" w:space="0" w:color="auto"/>
        <w:left w:val="none" w:sz="0" w:space="0" w:color="auto"/>
        <w:bottom w:val="none" w:sz="0" w:space="0" w:color="auto"/>
        <w:right w:val="none" w:sz="0" w:space="0" w:color="auto"/>
      </w:divBdr>
    </w:div>
    <w:div w:id="630283588">
      <w:bodyDiv w:val="1"/>
      <w:marLeft w:val="0"/>
      <w:marRight w:val="0"/>
      <w:marTop w:val="0"/>
      <w:marBottom w:val="0"/>
      <w:divBdr>
        <w:top w:val="none" w:sz="0" w:space="0" w:color="auto"/>
        <w:left w:val="none" w:sz="0" w:space="0" w:color="auto"/>
        <w:bottom w:val="none" w:sz="0" w:space="0" w:color="auto"/>
        <w:right w:val="none" w:sz="0" w:space="0" w:color="auto"/>
      </w:divBdr>
    </w:div>
    <w:div w:id="630329267">
      <w:bodyDiv w:val="1"/>
      <w:marLeft w:val="0"/>
      <w:marRight w:val="0"/>
      <w:marTop w:val="0"/>
      <w:marBottom w:val="0"/>
      <w:divBdr>
        <w:top w:val="none" w:sz="0" w:space="0" w:color="auto"/>
        <w:left w:val="none" w:sz="0" w:space="0" w:color="auto"/>
        <w:bottom w:val="none" w:sz="0" w:space="0" w:color="auto"/>
        <w:right w:val="none" w:sz="0" w:space="0" w:color="auto"/>
      </w:divBdr>
    </w:div>
    <w:div w:id="630407273">
      <w:bodyDiv w:val="1"/>
      <w:marLeft w:val="0"/>
      <w:marRight w:val="0"/>
      <w:marTop w:val="0"/>
      <w:marBottom w:val="0"/>
      <w:divBdr>
        <w:top w:val="none" w:sz="0" w:space="0" w:color="auto"/>
        <w:left w:val="none" w:sz="0" w:space="0" w:color="auto"/>
        <w:bottom w:val="none" w:sz="0" w:space="0" w:color="auto"/>
        <w:right w:val="none" w:sz="0" w:space="0" w:color="auto"/>
      </w:divBdr>
    </w:div>
    <w:div w:id="630750396">
      <w:bodyDiv w:val="1"/>
      <w:marLeft w:val="0"/>
      <w:marRight w:val="0"/>
      <w:marTop w:val="0"/>
      <w:marBottom w:val="0"/>
      <w:divBdr>
        <w:top w:val="none" w:sz="0" w:space="0" w:color="auto"/>
        <w:left w:val="none" w:sz="0" w:space="0" w:color="auto"/>
        <w:bottom w:val="none" w:sz="0" w:space="0" w:color="auto"/>
        <w:right w:val="none" w:sz="0" w:space="0" w:color="auto"/>
      </w:divBdr>
    </w:div>
    <w:div w:id="630791669">
      <w:bodyDiv w:val="1"/>
      <w:marLeft w:val="0"/>
      <w:marRight w:val="0"/>
      <w:marTop w:val="0"/>
      <w:marBottom w:val="0"/>
      <w:divBdr>
        <w:top w:val="none" w:sz="0" w:space="0" w:color="auto"/>
        <w:left w:val="none" w:sz="0" w:space="0" w:color="auto"/>
        <w:bottom w:val="none" w:sz="0" w:space="0" w:color="auto"/>
        <w:right w:val="none" w:sz="0" w:space="0" w:color="auto"/>
      </w:divBdr>
    </w:div>
    <w:div w:id="630864112">
      <w:bodyDiv w:val="1"/>
      <w:marLeft w:val="0"/>
      <w:marRight w:val="0"/>
      <w:marTop w:val="0"/>
      <w:marBottom w:val="0"/>
      <w:divBdr>
        <w:top w:val="none" w:sz="0" w:space="0" w:color="auto"/>
        <w:left w:val="none" w:sz="0" w:space="0" w:color="auto"/>
        <w:bottom w:val="none" w:sz="0" w:space="0" w:color="auto"/>
        <w:right w:val="none" w:sz="0" w:space="0" w:color="auto"/>
      </w:divBdr>
    </w:div>
    <w:div w:id="630939354">
      <w:bodyDiv w:val="1"/>
      <w:marLeft w:val="0"/>
      <w:marRight w:val="0"/>
      <w:marTop w:val="0"/>
      <w:marBottom w:val="0"/>
      <w:divBdr>
        <w:top w:val="none" w:sz="0" w:space="0" w:color="auto"/>
        <w:left w:val="none" w:sz="0" w:space="0" w:color="auto"/>
        <w:bottom w:val="none" w:sz="0" w:space="0" w:color="auto"/>
        <w:right w:val="none" w:sz="0" w:space="0" w:color="auto"/>
      </w:divBdr>
    </w:div>
    <w:div w:id="631642186">
      <w:bodyDiv w:val="1"/>
      <w:marLeft w:val="0"/>
      <w:marRight w:val="0"/>
      <w:marTop w:val="0"/>
      <w:marBottom w:val="0"/>
      <w:divBdr>
        <w:top w:val="none" w:sz="0" w:space="0" w:color="auto"/>
        <w:left w:val="none" w:sz="0" w:space="0" w:color="auto"/>
        <w:bottom w:val="none" w:sz="0" w:space="0" w:color="auto"/>
        <w:right w:val="none" w:sz="0" w:space="0" w:color="auto"/>
      </w:divBdr>
    </w:div>
    <w:div w:id="631643580">
      <w:bodyDiv w:val="1"/>
      <w:marLeft w:val="0"/>
      <w:marRight w:val="0"/>
      <w:marTop w:val="0"/>
      <w:marBottom w:val="0"/>
      <w:divBdr>
        <w:top w:val="none" w:sz="0" w:space="0" w:color="auto"/>
        <w:left w:val="none" w:sz="0" w:space="0" w:color="auto"/>
        <w:bottom w:val="none" w:sz="0" w:space="0" w:color="auto"/>
        <w:right w:val="none" w:sz="0" w:space="0" w:color="auto"/>
      </w:divBdr>
    </w:div>
    <w:div w:id="631667742">
      <w:bodyDiv w:val="1"/>
      <w:marLeft w:val="0"/>
      <w:marRight w:val="0"/>
      <w:marTop w:val="0"/>
      <w:marBottom w:val="0"/>
      <w:divBdr>
        <w:top w:val="none" w:sz="0" w:space="0" w:color="auto"/>
        <w:left w:val="none" w:sz="0" w:space="0" w:color="auto"/>
        <w:bottom w:val="none" w:sz="0" w:space="0" w:color="auto"/>
        <w:right w:val="none" w:sz="0" w:space="0" w:color="auto"/>
      </w:divBdr>
    </w:div>
    <w:div w:id="631862029">
      <w:bodyDiv w:val="1"/>
      <w:marLeft w:val="0"/>
      <w:marRight w:val="0"/>
      <w:marTop w:val="0"/>
      <w:marBottom w:val="0"/>
      <w:divBdr>
        <w:top w:val="none" w:sz="0" w:space="0" w:color="auto"/>
        <w:left w:val="none" w:sz="0" w:space="0" w:color="auto"/>
        <w:bottom w:val="none" w:sz="0" w:space="0" w:color="auto"/>
        <w:right w:val="none" w:sz="0" w:space="0" w:color="auto"/>
      </w:divBdr>
    </w:div>
    <w:div w:id="632252826">
      <w:bodyDiv w:val="1"/>
      <w:marLeft w:val="0"/>
      <w:marRight w:val="0"/>
      <w:marTop w:val="0"/>
      <w:marBottom w:val="0"/>
      <w:divBdr>
        <w:top w:val="none" w:sz="0" w:space="0" w:color="auto"/>
        <w:left w:val="none" w:sz="0" w:space="0" w:color="auto"/>
        <w:bottom w:val="none" w:sz="0" w:space="0" w:color="auto"/>
        <w:right w:val="none" w:sz="0" w:space="0" w:color="auto"/>
      </w:divBdr>
    </w:div>
    <w:div w:id="632291572">
      <w:bodyDiv w:val="1"/>
      <w:marLeft w:val="0"/>
      <w:marRight w:val="0"/>
      <w:marTop w:val="0"/>
      <w:marBottom w:val="0"/>
      <w:divBdr>
        <w:top w:val="none" w:sz="0" w:space="0" w:color="auto"/>
        <w:left w:val="none" w:sz="0" w:space="0" w:color="auto"/>
        <w:bottom w:val="none" w:sz="0" w:space="0" w:color="auto"/>
        <w:right w:val="none" w:sz="0" w:space="0" w:color="auto"/>
      </w:divBdr>
    </w:div>
    <w:div w:id="632642374">
      <w:bodyDiv w:val="1"/>
      <w:marLeft w:val="0"/>
      <w:marRight w:val="0"/>
      <w:marTop w:val="0"/>
      <w:marBottom w:val="0"/>
      <w:divBdr>
        <w:top w:val="none" w:sz="0" w:space="0" w:color="auto"/>
        <w:left w:val="none" w:sz="0" w:space="0" w:color="auto"/>
        <w:bottom w:val="none" w:sz="0" w:space="0" w:color="auto"/>
        <w:right w:val="none" w:sz="0" w:space="0" w:color="auto"/>
      </w:divBdr>
    </w:div>
    <w:div w:id="632834580">
      <w:bodyDiv w:val="1"/>
      <w:marLeft w:val="0"/>
      <w:marRight w:val="0"/>
      <w:marTop w:val="0"/>
      <w:marBottom w:val="0"/>
      <w:divBdr>
        <w:top w:val="none" w:sz="0" w:space="0" w:color="auto"/>
        <w:left w:val="none" w:sz="0" w:space="0" w:color="auto"/>
        <w:bottom w:val="none" w:sz="0" w:space="0" w:color="auto"/>
        <w:right w:val="none" w:sz="0" w:space="0" w:color="auto"/>
      </w:divBdr>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2513">
      <w:bodyDiv w:val="1"/>
      <w:marLeft w:val="0"/>
      <w:marRight w:val="0"/>
      <w:marTop w:val="0"/>
      <w:marBottom w:val="0"/>
      <w:divBdr>
        <w:top w:val="none" w:sz="0" w:space="0" w:color="auto"/>
        <w:left w:val="none" w:sz="0" w:space="0" w:color="auto"/>
        <w:bottom w:val="none" w:sz="0" w:space="0" w:color="auto"/>
        <w:right w:val="none" w:sz="0" w:space="0" w:color="auto"/>
      </w:divBdr>
    </w:div>
    <w:div w:id="633606290">
      <w:bodyDiv w:val="1"/>
      <w:marLeft w:val="0"/>
      <w:marRight w:val="0"/>
      <w:marTop w:val="0"/>
      <w:marBottom w:val="0"/>
      <w:divBdr>
        <w:top w:val="none" w:sz="0" w:space="0" w:color="auto"/>
        <w:left w:val="none" w:sz="0" w:space="0" w:color="auto"/>
        <w:bottom w:val="none" w:sz="0" w:space="0" w:color="auto"/>
        <w:right w:val="none" w:sz="0" w:space="0" w:color="auto"/>
      </w:divBdr>
    </w:div>
    <w:div w:id="633684139">
      <w:bodyDiv w:val="1"/>
      <w:marLeft w:val="0"/>
      <w:marRight w:val="0"/>
      <w:marTop w:val="0"/>
      <w:marBottom w:val="0"/>
      <w:divBdr>
        <w:top w:val="none" w:sz="0" w:space="0" w:color="auto"/>
        <w:left w:val="none" w:sz="0" w:space="0" w:color="auto"/>
        <w:bottom w:val="none" w:sz="0" w:space="0" w:color="auto"/>
        <w:right w:val="none" w:sz="0" w:space="0" w:color="auto"/>
      </w:divBdr>
    </w:div>
    <w:div w:id="633874284">
      <w:bodyDiv w:val="1"/>
      <w:marLeft w:val="0"/>
      <w:marRight w:val="0"/>
      <w:marTop w:val="0"/>
      <w:marBottom w:val="0"/>
      <w:divBdr>
        <w:top w:val="none" w:sz="0" w:space="0" w:color="auto"/>
        <w:left w:val="none" w:sz="0" w:space="0" w:color="auto"/>
        <w:bottom w:val="none" w:sz="0" w:space="0" w:color="auto"/>
        <w:right w:val="none" w:sz="0" w:space="0" w:color="auto"/>
      </w:divBdr>
    </w:div>
    <w:div w:id="634408531">
      <w:bodyDiv w:val="1"/>
      <w:marLeft w:val="0"/>
      <w:marRight w:val="0"/>
      <w:marTop w:val="0"/>
      <w:marBottom w:val="0"/>
      <w:divBdr>
        <w:top w:val="none" w:sz="0" w:space="0" w:color="auto"/>
        <w:left w:val="none" w:sz="0" w:space="0" w:color="auto"/>
        <w:bottom w:val="none" w:sz="0" w:space="0" w:color="auto"/>
        <w:right w:val="none" w:sz="0" w:space="0" w:color="auto"/>
      </w:divBdr>
    </w:div>
    <w:div w:id="634454190">
      <w:bodyDiv w:val="1"/>
      <w:marLeft w:val="0"/>
      <w:marRight w:val="0"/>
      <w:marTop w:val="0"/>
      <w:marBottom w:val="0"/>
      <w:divBdr>
        <w:top w:val="none" w:sz="0" w:space="0" w:color="auto"/>
        <w:left w:val="none" w:sz="0" w:space="0" w:color="auto"/>
        <w:bottom w:val="none" w:sz="0" w:space="0" w:color="auto"/>
        <w:right w:val="none" w:sz="0" w:space="0" w:color="auto"/>
      </w:divBdr>
    </w:div>
    <w:div w:id="634527602">
      <w:bodyDiv w:val="1"/>
      <w:marLeft w:val="0"/>
      <w:marRight w:val="0"/>
      <w:marTop w:val="0"/>
      <w:marBottom w:val="0"/>
      <w:divBdr>
        <w:top w:val="none" w:sz="0" w:space="0" w:color="auto"/>
        <w:left w:val="none" w:sz="0" w:space="0" w:color="auto"/>
        <w:bottom w:val="none" w:sz="0" w:space="0" w:color="auto"/>
        <w:right w:val="none" w:sz="0" w:space="0" w:color="auto"/>
      </w:divBdr>
    </w:div>
    <w:div w:id="634599140">
      <w:bodyDiv w:val="1"/>
      <w:marLeft w:val="0"/>
      <w:marRight w:val="0"/>
      <w:marTop w:val="0"/>
      <w:marBottom w:val="0"/>
      <w:divBdr>
        <w:top w:val="none" w:sz="0" w:space="0" w:color="auto"/>
        <w:left w:val="none" w:sz="0" w:space="0" w:color="auto"/>
        <w:bottom w:val="none" w:sz="0" w:space="0" w:color="auto"/>
        <w:right w:val="none" w:sz="0" w:space="0" w:color="auto"/>
      </w:divBdr>
    </w:div>
    <w:div w:id="635186119">
      <w:bodyDiv w:val="1"/>
      <w:marLeft w:val="0"/>
      <w:marRight w:val="0"/>
      <w:marTop w:val="0"/>
      <w:marBottom w:val="0"/>
      <w:divBdr>
        <w:top w:val="none" w:sz="0" w:space="0" w:color="auto"/>
        <w:left w:val="none" w:sz="0" w:space="0" w:color="auto"/>
        <w:bottom w:val="none" w:sz="0" w:space="0" w:color="auto"/>
        <w:right w:val="none" w:sz="0" w:space="0" w:color="auto"/>
      </w:divBdr>
    </w:div>
    <w:div w:id="636178479">
      <w:bodyDiv w:val="1"/>
      <w:marLeft w:val="0"/>
      <w:marRight w:val="0"/>
      <w:marTop w:val="0"/>
      <w:marBottom w:val="0"/>
      <w:divBdr>
        <w:top w:val="none" w:sz="0" w:space="0" w:color="auto"/>
        <w:left w:val="none" w:sz="0" w:space="0" w:color="auto"/>
        <w:bottom w:val="none" w:sz="0" w:space="0" w:color="auto"/>
        <w:right w:val="none" w:sz="0" w:space="0" w:color="auto"/>
      </w:divBdr>
    </w:div>
    <w:div w:id="636178963">
      <w:bodyDiv w:val="1"/>
      <w:marLeft w:val="0"/>
      <w:marRight w:val="0"/>
      <w:marTop w:val="0"/>
      <w:marBottom w:val="0"/>
      <w:divBdr>
        <w:top w:val="none" w:sz="0" w:space="0" w:color="auto"/>
        <w:left w:val="none" w:sz="0" w:space="0" w:color="auto"/>
        <w:bottom w:val="none" w:sz="0" w:space="0" w:color="auto"/>
        <w:right w:val="none" w:sz="0" w:space="0" w:color="auto"/>
      </w:divBdr>
    </w:div>
    <w:div w:id="636371542">
      <w:bodyDiv w:val="1"/>
      <w:marLeft w:val="0"/>
      <w:marRight w:val="0"/>
      <w:marTop w:val="0"/>
      <w:marBottom w:val="0"/>
      <w:divBdr>
        <w:top w:val="none" w:sz="0" w:space="0" w:color="auto"/>
        <w:left w:val="none" w:sz="0" w:space="0" w:color="auto"/>
        <w:bottom w:val="none" w:sz="0" w:space="0" w:color="auto"/>
        <w:right w:val="none" w:sz="0" w:space="0" w:color="auto"/>
      </w:divBdr>
    </w:div>
    <w:div w:id="636372864">
      <w:bodyDiv w:val="1"/>
      <w:marLeft w:val="0"/>
      <w:marRight w:val="0"/>
      <w:marTop w:val="0"/>
      <w:marBottom w:val="0"/>
      <w:divBdr>
        <w:top w:val="none" w:sz="0" w:space="0" w:color="auto"/>
        <w:left w:val="none" w:sz="0" w:space="0" w:color="auto"/>
        <w:bottom w:val="none" w:sz="0" w:space="0" w:color="auto"/>
        <w:right w:val="none" w:sz="0" w:space="0" w:color="auto"/>
      </w:divBdr>
    </w:div>
    <w:div w:id="636378125">
      <w:bodyDiv w:val="1"/>
      <w:marLeft w:val="0"/>
      <w:marRight w:val="0"/>
      <w:marTop w:val="0"/>
      <w:marBottom w:val="0"/>
      <w:divBdr>
        <w:top w:val="none" w:sz="0" w:space="0" w:color="auto"/>
        <w:left w:val="none" w:sz="0" w:space="0" w:color="auto"/>
        <w:bottom w:val="none" w:sz="0" w:space="0" w:color="auto"/>
        <w:right w:val="none" w:sz="0" w:space="0" w:color="auto"/>
      </w:divBdr>
    </w:div>
    <w:div w:id="636421768">
      <w:bodyDiv w:val="1"/>
      <w:marLeft w:val="0"/>
      <w:marRight w:val="0"/>
      <w:marTop w:val="0"/>
      <w:marBottom w:val="0"/>
      <w:divBdr>
        <w:top w:val="none" w:sz="0" w:space="0" w:color="auto"/>
        <w:left w:val="none" w:sz="0" w:space="0" w:color="auto"/>
        <w:bottom w:val="none" w:sz="0" w:space="0" w:color="auto"/>
        <w:right w:val="none" w:sz="0" w:space="0" w:color="auto"/>
      </w:divBdr>
    </w:div>
    <w:div w:id="636490489">
      <w:bodyDiv w:val="1"/>
      <w:marLeft w:val="0"/>
      <w:marRight w:val="0"/>
      <w:marTop w:val="0"/>
      <w:marBottom w:val="0"/>
      <w:divBdr>
        <w:top w:val="none" w:sz="0" w:space="0" w:color="auto"/>
        <w:left w:val="none" w:sz="0" w:space="0" w:color="auto"/>
        <w:bottom w:val="none" w:sz="0" w:space="0" w:color="auto"/>
        <w:right w:val="none" w:sz="0" w:space="0" w:color="auto"/>
      </w:divBdr>
    </w:div>
    <w:div w:id="637338847">
      <w:bodyDiv w:val="1"/>
      <w:marLeft w:val="0"/>
      <w:marRight w:val="0"/>
      <w:marTop w:val="0"/>
      <w:marBottom w:val="0"/>
      <w:divBdr>
        <w:top w:val="none" w:sz="0" w:space="0" w:color="auto"/>
        <w:left w:val="none" w:sz="0" w:space="0" w:color="auto"/>
        <w:bottom w:val="none" w:sz="0" w:space="0" w:color="auto"/>
        <w:right w:val="none" w:sz="0" w:space="0" w:color="auto"/>
      </w:divBdr>
    </w:div>
    <w:div w:id="637342675">
      <w:bodyDiv w:val="1"/>
      <w:marLeft w:val="0"/>
      <w:marRight w:val="0"/>
      <w:marTop w:val="0"/>
      <w:marBottom w:val="0"/>
      <w:divBdr>
        <w:top w:val="none" w:sz="0" w:space="0" w:color="auto"/>
        <w:left w:val="none" w:sz="0" w:space="0" w:color="auto"/>
        <w:bottom w:val="none" w:sz="0" w:space="0" w:color="auto"/>
        <w:right w:val="none" w:sz="0" w:space="0" w:color="auto"/>
      </w:divBdr>
    </w:div>
    <w:div w:id="637540289">
      <w:bodyDiv w:val="1"/>
      <w:marLeft w:val="0"/>
      <w:marRight w:val="0"/>
      <w:marTop w:val="0"/>
      <w:marBottom w:val="0"/>
      <w:divBdr>
        <w:top w:val="none" w:sz="0" w:space="0" w:color="auto"/>
        <w:left w:val="none" w:sz="0" w:space="0" w:color="auto"/>
        <w:bottom w:val="none" w:sz="0" w:space="0" w:color="auto"/>
        <w:right w:val="none" w:sz="0" w:space="0" w:color="auto"/>
      </w:divBdr>
    </w:div>
    <w:div w:id="637611782">
      <w:bodyDiv w:val="1"/>
      <w:marLeft w:val="0"/>
      <w:marRight w:val="0"/>
      <w:marTop w:val="0"/>
      <w:marBottom w:val="0"/>
      <w:divBdr>
        <w:top w:val="none" w:sz="0" w:space="0" w:color="auto"/>
        <w:left w:val="none" w:sz="0" w:space="0" w:color="auto"/>
        <w:bottom w:val="none" w:sz="0" w:space="0" w:color="auto"/>
        <w:right w:val="none" w:sz="0" w:space="0" w:color="auto"/>
      </w:divBdr>
    </w:div>
    <w:div w:id="637684552">
      <w:bodyDiv w:val="1"/>
      <w:marLeft w:val="0"/>
      <w:marRight w:val="0"/>
      <w:marTop w:val="0"/>
      <w:marBottom w:val="0"/>
      <w:divBdr>
        <w:top w:val="none" w:sz="0" w:space="0" w:color="auto"/>
        <w:left w:val="none" w:sz="0" w:space="0" w:color="auto"/>
        <w:bottom w:val="none" w:sz="0" w:space="0" w:color="auto"/>
        <w:right w:val="none" w:sz="0" w:space="0" w:color="auto"/>
      </w:divBdr>
    </w:div>
    <w:div w:id="638001410">
      <w:bodyDiv w:val="1"/>
      <w:marLeft w:val="0"/>
      <w:marRight w:val="0"/>
      <w:marTop w:val="0"/>
      <w:marBottom w:val="0"/>
      <w:divBdr>
        <w:top w:val="none" w:sz="0" w:space="0" w:color="auto"/>
        <w:left w:val="none" w:sz="0" w:space="0" w:color="auto"/>
        <w:bottom w:val="none" w:sz="0" w:space="0" w:color="auto"/>
        <w:right w:val="none" w:sz="0" w:space="0" w:color="auto"/>
      </w:divBdr>
    </w:div>
    <w:div w:id="638075583">
      <w:bodyDiv w:val="1"/>
      <w:marLeft w:val="0"/>
      <w:marRight w:val="0"/>
      <w:marTop w:val="0"/>
      <w:marBottom w:val="0"/>
      <w:divBdr>
        <w:top w:val="none" w:sz="0" w:space="0" w:color="auto"/>
        <w:left w:val="none" w:sz="0" w:space="0" w:color="auto"/>
        <w:bottom w:val="none" w:sz="0" w:space="0" w:color="auto"/>
        <w:right w:val="none" w:sz="0" w:space="0" w:color="auto"/>
      </w:divBdr>
    </w:div>
    <w:div w:id="638149614">
      <w:bodyDiv w:val="1"/>
      <w:marLeft w:val="0"/>
      <w:marRight w:val="0"/>
      <w:marTop w:val="0"/>
      <w:marBottom w:val="0"/>
      <w:divBdr>
        <w:top w:val="none" w:sz="0" w:space="0" w:color="auto"/>
        <w:left w:val="none" w:sz="0" w:space="0" w:color="auto"/>
        <w:bottom w:val="none" w:sz="0" w:space="0" w:color="auto"/>
        <w:right w:val="none" w:sz="0" w:space="0" w:color="auto"/>
      </w:divBdr>
    </w:div>
    <w:div w:id="638729775">
      <w:bodyDiv w:val="1"/>
      <w:marLeft w:val="0"/>
      <w:marRight w:val="0"/>
      <w:marTop w:val="0"/>
      <w:marBottom w:val="0"/>
      <w:divBdr>
        <w:top w:val="none" w:sz="0" w:space="0" w:color="auto"/>
        <w:left w:val="none" w:sz="0" w:space="0" w:color="auto"/>
        <w:bottom w:val="none" w:sz="0" w:space="0" w:color="auto"/>
        <w:right w:val="none" w:sz="0" w:space="0" w:color="auto"/>
      </w:divBdr>
    </w:div>
    <w:div w:id="639501470">
      <w:bodyDiv w:val="1"/>
      <w:marLeft w:val="0"/>
      <w:marRight w:val="0"/>
      <w:marTop w:val="0"/>
      <w:marBottom w:val="0"/>
      <w:divBdr>
        <w:top w:val="none" w:sz="0" w:space="0" w:color="auto"/>
        <w:left w:val="none" w:sz="0" w:space="0" w:color="auto"/>
        <w:bottom w:val="none" w:sz="0" w:space="0" w:color="auto"/>
        <w:right w:val="none" w:sz="0" w:space="0" w:color="auto"/>
      </w:divBdr>
    </w:div>
    <w:div w:id="639505628">
      <w:bodyDiv w:val="1"/>
      <w:marLeft w:val="0"/>
      <w:marRight w:val="0"/>
      <w:marTop w:val="0"/>
      <w:marBottom w:val="0"/>
      <w:divBdr>
        <w:top w:val="none" w:sz="0" w:space="0" w:color="auto"/>
        <w:left w:val="none" w:sz="0" w:space="0" w:color="auto"/>
        <w:bottom w:val="none" w:sz="0" w:space="0" w:color="auto"/>
        <w:right w:val="none" w:sz="0" w:space="0" w:color="auto"/>
      </w:divBdr>
    </w:div>
    <w:div w:id="639921120">
      <w:bodyDiv w:val="1"/>
      <w:marLeft w:val="0"/>
      <w:marRight w:val="0"/>
      <w:marTop w:val="0"/>
      <w:marBottom w:val="0"/>
      <w:divBdr>
        <w:top w:val="none" w:sz="0" w:space="0" w:color="auto"/>
        <w:left w:val="none" w:sz="0" w:space="0" w:color="auto"/>
        <w:bottom w:val="none" w:sz="0" w:space="0" w:color="auto"/>
        <w:right w:val="none" w:sz="0" w:space="0" w:color="auto"/>
      </w:divBdr>
    </w:div>
    <w:div w:id="639921216">
      <w:bodyDiv w:val="1"/>
      <w:marLeft w:val="0"/>
      <w:marRight w:val="0"/>
      <w:marTop w:val="0"/>
      <w:marBottom w:val="0"/>
      <w:divBdr>
        <w:top w:val="none" w:sz="0" w:space="0" w:color="auto"/>
        <w:left w:val="none" w:sz="0" w:space="0" w:color="auto"/>
        <w:bottom w:val="none" w:sz="0" w:space="0" w:color="auto"/>
        <w:right w:val="none" w:sz="0" w:space="0" w:color="auto"/>
      </w:divBdr>
    </w:div>
    <w:div w:id="640119327">
      <w:bodyDiv w:val="1"/>
      <w:marLeft w:val="0"/>
      <w:marRight w:val="0"/>
      <w:marTop w:val="0"/>
      <w:marBottom w:val="0"/>
      <w:divBdr>
        <w:top w:val="none" w:sz="0" w:space="0" w:color="auto"/>
        <w:left w:val="none" w:sz="0" w:space="0" w:color="auto"/>
        <w:bottom w:val="none" w:sz="0" w:space="0" w:color="auto"/>
        <w:right w:val="none" w:sz="0" w:space="0" w:color="auto"/>
      </w:divBdr>
    </w:div>
    <w:div w:id="640187675">
      <w:bodyDiv w:val="1"/>
      <w:marLeft w:val="0"/>
      <w:marRight w:val="0"/>
      <w:marTop w:val="0"/>
      <w:marBottom w:val="0"/>
      <w:divBdr>
        <w:top w:val="none" w:sz="0" w:space="0" w:color="auto"/>
        <w:left w:val="none" w:sz="0" w:space="0" w:color="auto"/>
        <w:bottom w:val="none" w:sz="0" w:space="0" w:color="auto"/>
        <w:right w:val="none" w:sz="0" w:space="0" w:color="auto"/>
      </w:divBdr>
    </w:div>
    <w:div w:id="640428256">
      <w:bodyDiv w:val="1"/>
      <w:marLeft w:val="0"/>
      <w:marRight w:val="0"/>
      <w:marTop w:val="0"/>
      <w:marBottom w:val="0"/>
      <w:divBdr>
        <w:top w:val="none" w:sz="0" w:space="0" w:color="auto"/>
        <w:left w:val="none" w:sz="0" w:space="0" w:color="auto"/>
        <w:bottom w:val="none" w:sz="0" w:space="0" w:color="auto"/>
        <w:right w:val="none" w:sz="0" w:space="0" w:color="auto"/>
      </w:divBdr>
    </w:div>
    <w:div w:id="640503013">
      <w:bodyDiv w:val="1"/>
      <w:marLeft w:val="0"/>
      <w:marRight w:val="0"/>
      <w:marTop w:val="0"/>
      <w:marBottom w:val="0"/>
      <w:divBdr>
        <w:top w:val="none" w:sz="0" w:space="0" w:color="auto"/>
        <w:left w:val="none" w:sz="0" w:space="0" w:color="auto"/>
        <w:bottom w:val="none" w:sz="0" w:space="0" w:color="auto"/>
        <w:right w:val="none" w:sz="0" w:space="0" w:color="auto"/>
      </w:divBdr>
    </w:div>
    <w:div w:id="640576879">
      <w:bodyDiv w:val="1"/>
      <w:marLeft w:val="0"/>
      <w:marRight w:val="0"/>
      <w:marTop w:val="0"/>
      <w:marBottom w:val="0"/>
      <w:divBdr>
        <w:top w:val="none" w:sz="0" w:space="0" w:color="auto"/>
        <w:left w:val="none" w:sz="0" w:space="0" w:color="auto"/>
        <w:bottom w:val="none" w:sz="0" w:space="0" w:color="auto"/>
        <w:right w:val="none" w:sz="0" w:space="0" w:color="auto"/>
      </w:divBdr>
    </w:div>
    <w:div w:id="640840860">
      <w:bodyDiv w:val="1"/>
      <w:marLeft w:val="0"/>
      <w:marRight w:val="0"/>
      <w:marTop w:val="0"/>
      <w:marBottom w:val="0"/>
      <w:divBdr>
        <w:top w:val="none" w:sz="0" w:space="0" w:color="auto"/>
        <w:left w:val="none" w:sz="0" w:space="0" w:color="auto"/>
        <w:bottom w:val="none" w:sz="0" w:space="0" w:color="auto"/>
        <w:right w:val="none" w:sz="0" w:space="0" w:color="auto"/>
      </w:divBdr>
    </w:div>
    <w:div w:id="640964549">
      <w:bodyDiv w:val="1"/>
      <w:marLeft w:val="0"/>
      <w:marRight w:val="0"/>
      <w:marTop w:val="0"/>
      <w:marBottom w:val="0"/>
      <w:divBdr>
        <w:top w:val="none" w:sz="0" w:space="0" w:color="auto"/>
        <w:left w:val="none" w:sz="0" w:space="0" w:color="auto"/>
        <w:bottom w:val="none" w:sz="0" w:space="0" w:color="auto"/>
        <w:right w:val="none" w:sz="0" w:space="0" w:color="auto"/>
      </w:divBdr>
    </w:div>
    <w:div w:id="641497642">
      <w:bodyDiv w:val="1"/>
      <w:marLeft w:val="0"/>
      <w:marRight w:val="0"/>
      <w:marTop w:val="0"/>
      <w:marBottom w:val="0"/>
      <w:divBdr>
        <w:top w:val="none" w:sz="0" w:space="0" w:color="auto"/>
        <w:left w:val="none" w:sz="0" w:space="0" w:color="auto"/>
        <w:bottom w:val="none" w:sz="0" w:space="0" w:color="auto"/>
        <w:right w:val="none" w:sz="0" w:space="0" w:color="auto"/>
      </w:divBdr>
    </w:div>
    <w:div w:id="641614688">
      <w:bodyDiv w:val="1"/>
      <w:marLeft w:val="0"/>
      <w:marRight w:val="0"/>
      <w:marTop w:val="0"/>
      <w:marBottom w:val="0"/>
      <w:divBdr>
        <w:top w:val="none" w:sz="0" w:space="0" w:color="auto"/>
        <w:left w:val="none" w:sz="0" w:space="0" w:color="auto"/>
        <w:bottom w:val="none" w:sz="0" w:space="0" w:color="auto"/>
        <w:right w:val="none" w:sz="0" w:space="0" w:color="auto"/>
      </w:divBdr>
    </w:div>
    <w:div w:id="641618028">
      <w:bodyDiv w:val="1"/>
      <w:marLeft w:val="0"/>
      <w:marRight w:val="0"/>
      <w:marTop w:val="0"/>
      <w:marBottom w:val="0"/>
      <w:divBdr>
        <w:top w:val="none" w:sz="0" w:space="0" w:color="auto"/>
        <w:left w:val="none" w:sz="0" w:space="0" w:color="auto"/>
        <w:bottom w:val="none" w:sz="0" w:space="0" w:color="auto"/>
        <w:right w:val="none" w:sz="0" w:space="0" w:color="auto"/>
      </w:divBdr>
    </w:div>
    <w:div w:id="641889819">
      <w:bodyDiv w:val="1"/>
      <w:marLeft w:val="0"/>
      <w:marRight w:val="0"/>
      <w:marTop w:val="0"/>
      <w:marBottom w:val="0"/>
      <w:divBdr>
        <w:top w:val="none" w:sz="0" w:space="0" w:color="auto"/>
        <w:left w:val="none" w:sz="0" w:space="0" w:color="auto"/>
        <w:bottom w:val="none" w:sz="0" w:space="0" w:color="auto"/>
        <w:right w:val="none" w:sz="0" w:space="0" w:color="auto"/>
      </w:divBdr>
    </w:div>
    <w:div w:id="642345254">
      <w:bodyDiv w:val="1"/>
      <w:marLeft w:val="0"/>
      <w:marRight w:val="0"/>
      <w:marTop w:val="0"/>
      <w:marBottom w:val="0"/>
      <w:divBdr>
        <w:top w:val="none" w:sz="0" w:space="0" w:color="auto"/>
        <w:left w:val="none" w:sz="0" w:space="0" w:color="auto"/>
        <w:bottom w:val="none" w:sz="0" w:space="0" w:color="auto"/>
        <w:right w:val="none" w:sz="0" w:space="0" w:color="auto"/>
      </w:divBdr>
    </w:div>
    <w:div w:id="642467108">
      <w:bodyDiv w:val="1"/>
      <w:marLeft w:val="0"/>
      <w:marRight w:val="0"/>
      <w:marTop w:val="0"/>
      <w:marBottom w:val="0"/>
      <w:divBdr>
        <w:top w:val="none" w:sz="0" w:space="0" w:color="auto"/>
        <w:left w:val="none" w:sz="0" w:space="0" w:color="auto"/>
        <w:bottom w:val="none" w:sz="0" w:space="0" w:color="auto"/>
        <w:right w:val="none" w:sz="0" w:space="0" w:color="auto"/>
      </w:divBdr>
    </w:div>
    <w:div w:id="643124365">
      <w:bodyDiv w:val="1"/>
      <w:marLeft w:val="0"/>
      <w:marRight w:val="0"/>
      <w:marTop w:val="0"/>
      <w:marBottom w:val="0"/>
      <w:divBdr>
        <w:top w:val="none" w:sz="0" w:space="0" w:color="auto"/>
        <w:left w:val="none" w:sz="0" w:space="0" w:color="auto"/>
        <w:bottom w:val="none" w:sz="0" w:space="0" w:color="auto"/>
        <w:right w:val="none" w:sz="0" w:space="0" w:color="auto"/>
      </w:divBdr>
    </w:div>
    <w:div w:id="643194444">
      <w:bodyDiv w:val="1"/>
      <w:marLeft w:val="0"/>
      <w:marRight w:val="0"/>
      <w:marTop w:val="0"/>
      <w:marBottom w:val="0"/>
      <w:divBdr>
        <w:top w:val="none" w:sz="0" w:space="0" w:color="auto"/>
        <w:left w:val="none" w:sz="0" w:space="0" w:color="auto"/>
        <w:bottom w:val="none" w:sz="0" w:space="0" w:color="auto"/>
        <w:right w:val="none" w:sz="0" w:space="0" w:color="auto"/>
      </w:divBdr>
    </w:div>
    <w:div w:id="643462692">
      <w:bodyDiv w:val="1"/>
      <w:marLeft w:val="0"/>
      <w:marRight w:val="0"/>
      <w:marTop w:val="0"/>
      <w:marBottom w:val="0"/>
      <w:divBdr>
        <w:top w:val="none" w:sz="0" w:space="0" w:color="auto"/>
        <w:left w:val="none" w:sz="0" w:space="0" w:color="auto"/>
        <w:bottom w:val="none" w:sz="0" w:space="0" w:color="auto"/>
        <w:right w:val="none" w:sz="0" w:space="0" w:color="auto"/>
      </w:divBdr>
    </w:div>
    <w:div w:id="643660611">
      <w:bodyDiv w:val="1"/>
      <w:marLeft w:val="0"/>
      <w:marRight w:val="0"/>
      <w:marTop w:val="0"/>
      <w:marBottom w:val="0"/>
      <w:divBdr>
        <w:top w:val="none" w:sz="0" w:space="0" w:color="auto"/>
        <w:left w:val="none" w:sz="0" w:space="0" w:color="auto"/>
        <w:bottom w:val="none" w:sz="0" w:space="0" w:color="auto"/>
        <w:right w:val="none" w:sz="0" w:space="0" w:color="auto"/>
      </w:divBdr>
    </w:div>
    <w:div w:id="643777350">
      <w:bodyDiv w:val="1"/>
      <w:marLeft w:val="0"/>
      <w:marRight w:val="0"/>
      <w:marTop w:val="0"/>
      <w:marBottom w:val="0"/>
      <w:divBdr>
        <w:top w:val="none" w:sz="0" w:space="0" w:color="auto"/>
        <w:left w:val="none" w:sz="0" w:space="0" w:color="auto"/>
        <w:bottom w:val="none" w:sz="0" w:space="0" w:color="auto"/>
        <w:right w:val="none" w:sz="0" w:space="0" w:color="auto"/>
      </w:divBdr>
    </w:div>
    <w:div w:id="643968706">
      <w:bodyDiv w:val="1"/>
      <w:marLeft w:val="0"/>
      <w:marRight w:val="0"/>
      <w:marTop w:val="0"/>
      <w:marBottom w:val="0"/>
      <w:divBdr>
        <w:top w:val="none" w:sz="0" w:space="0" w:color="auto"/>
        <w:left w:val="none" w:sz="0" w:space="0" w:color="auto"/>
        <w:bottom w:val="none" w:sz="0" w:space="0" w:color="auto"/>
        <w:right w:val="none" w:sz="0" w:space="0" w:color="auto"/>
      </w:divBdr>
    </w:div>
    <w:div w:id="644049444">
      <w:bodyDiv w:val="1"/>
      <w:marLeft w:val="0"/>
      <w:marRight w:val="0"/>
      <w:marTop w:val="0"/>
      <w:marBottom w:val="0"/>
      <w:divBdr>
        <w:top w:val="none" w:sz="0" w:space="0" w:color="auto"/>
        <w:left w:val="none" w:sz="0" w:space="0" w:color="auto"/>
        <w:bottom w:val="none" w:sz="0" w:space="0" w:color="auto"/>
        <w:right w:val="none" w:sz="0" w:space="0" w:color="auto"/>
      </w:divBdr>
    </w:div>
    <w:div w:id="644163179">
      <w:bodyDiv w:val="1"/>
      <w:marLeft w:val="0"/>
      <w:marRight w:val="0"/>
      <w:marTop w:val="0"/>
      <w:marBottom w:val="0"/>
      <w:divBdr>
        <w:top w:val="none" w:sz="0" w:space="0" w:color="auto"/>
        <w:left w:val="none" w:sz="0" w:space="0" w:color="auto"/>
        <w:bottom w:val="none" w:sz="0" w:space="0" w:color="auto"/>
        <w:right w:val="none" w:sz="0" w:space="0" w:color="auto"/>
      </w:divBdr>
    </w:div>
    <w:div w:id="644437369">
      <w:bodyDiv w:val="1"/>
      <w:marLeft w:val="0"/>
      <w:marRight w:val="0"/>
      <w:marTop w:val="0"/>
      <w:marBottom w:val="0"/>
      <w:divBdr>
        <w:top w:val="none" w:sz="0" w:space="0" w:color="auto"/>
        <w:left w:val="none" w:sz="0" w:space="0" w:color="auto"/>
        <w:bottom w:val="none" w:sz="0" w:space="0" w:color="auto"/>
        <w:right w:val="none" w:sz="0" w:space="0" w:color="auto"/>
      </w:divBdr>
    </w:div>
    <w:div w:id="644702518">
      <w:bodyDiv w:val="1"/>
      <w:marLeft w:val="0"/>
      <w:marRight w:val="0"/>
      <w:marTop w:val="0"/>
      <w:marBottom w:val="0"/>
      <w:divBdr>
        <w:top w:val="none" w:sz="0" w:space="0" w:color="auto"/>
        <w:left w:val="none" w:sz="0" w:space="0" w:color="auto"/>
        <w:bottom w:val="none" w:sz="0" w:space="0" w:color="auto"/>
        <w:right w:val="none" w:sz="0" w:space="0" w:color="auto"/>
      </w:divBdr>
    </w:div>
    <w:div w:id="644941395">
      <w:bodyDiv w:val="1"/>
      <w:marLeft w:val="0"/>
      <w:marRight w:val="0"/>
      <w:marTop w:val="0"/>
      <w:marBottom w:val="0"/>
      <w:divBdr>
        <w:top w:val="none" w:sz="0" w:space="0" w:color="auto"/>
        <w:left w:val="none" w:sz="0" w:space="0" w:color="auto"/>
        <w:bottom w:val="none" w:sz="0" w:space="0" w:color="auto"/>
        <w:right w:val="none" w:sz="0" w:space="0" w:color="auto"/>
      </w:divBdr>
    </w:div>
    <w:div w:id="645008821">
      <w:bodyDiv w:val="1"/>
      <w:marLeft w:val="0"/>
      <w:marRight w:val="0"/>
      <w:marTop w:val="0"/>
      <w:marBottom w:val="0"/>
      <w:divBdr>
        <w:top w:val="none" w:sz="0" w:space="0" w:color="auto"/>
        <w:left w:val="none" w:sz="0" w:space="0" w:color="auto"/>
        <w:bottom w:val="none" w:sz="0" w:space="0" w:color="auto"/>
        <w:right w:val="none" w:sz="0" w:space="0" w:color="auto"/>
      </w:divBdr>
    </w:div>
    <w:div w:id="645357498">
      <w:bodyDiv w:val="1"/>
      <w:marLeft w:val="0"/>
      <w:marRight w:val="0"/>
      <w:marTop w:val="0"/>
      <w:marBottom w:val="0"/>
      <w:divBdr>
        <w:top w:val="none" w:sz="0" w:space="0" w:color="auto"/>
        <w:left w:val="none" w:sz="0" w:space="0" w:color="auto"/>
        <w:bottom w:val="none" w:sz="0" w:space="0" w:color="auto"/>
        <w:right w:val="none" w:sz="0" w:space="0" w:color="auto"/>
      </w:divBdr>
    </w:div>
    <w:div w:id="645546727">
      <w:bodyDiv w:val="1"/>
      <w:marLeft w:val="0"/>
      <w:marRight w:val="0"/>
      <w:marTop w:val="0"/>
      <w:marBottom w:val="0"/>
      <w:divBdr>
        <w:top w:val="none" w:sz="0" w:space="0" w:color="auto"/>
        <w:left w:val="none" w:sz="0" w:space="0" w:color="auto"/>
        <w:bottom w:val="none" w:sz="0" w:space="0" w:color="auto"/>
        <w:right w:val="none" w:sz="0" w:space="0" w:color="auto"/>
      </w:divBdr>
    </w:div>
    <w:div w:id="645815958">
      <w:bodyDiv w:val="1"/>
      <w:marLeft w:val="0"/>
      <w:marRight w:val="0"/>
      <w:marTop w:val="0"/>
      <w:marBottom w:val="0"/>
      <w:divBdr>
        <w:top w:val="none" w:sz="0" w:space="0" w:color="auto"/>
        <w:left w:val="none" w:sz="0" w:space="0" w:color="auto"/>
        <w:bottom w:val="none" w:sz="0" w:space="0" w:color="auto"/>
        <w:right w:val="none" w:sz="0" w:space="0" w:color="auto"/>
      </w:divBdr>
    </w:div>
    <w:div w:id="646085443">
      <w:bodyDiv w:val="1"/>
      <w:marLeft w:val="0"/>
      <w:marRight w:val="0"/>
      <w:marTop w:val="0"/>
      <w:marBottom w:val="0"/>
      <w:divBdr>
        <w:top w:val="none" w:sz="0" w:space="0" w:color="auto"/>
        <w:left w:val="none" w:sz="0" w:space="0" w:color="auto"/>
        <w:bottom w:val="none" w:sz="0" w:space="0" w:color="auto"/>
        <w:right w:val="none" w:sz="0" w:space="0" w:color="auto"/>
      </w:divBdr>
    </w:div>
    <w:div w:id="646133911">
      <w:bodyDiv w:val="1"/>
      <w:marLeft w:val="0"/>
      <w:marRight w:val="0"/>
      <w:marTop w:val="0"/>
      <w:marBottom w:val="0"/>
      <w:divBdr>
        <w:top w:val="none" w:sz="0" w:space="0" w:color="auto"/>
        <w:left w:val="none" w:sz="0" w:space="0" w:color="auto"/>
        <w:bottom w:val="none" w:sz="0" w:space="0" w:color="auto"/>
        <w:right w:val="none" w:sz="0" w:space="0" w:color="auto"/>
      </w:divBdr>
    </w:div>
    <w:div w:id="646202499">
      <w:bodyDiv w:val="1"/>
      <w:marLeft w:val="0"/>
      <w:marRight w:val="0"/>
      <w:marTop w:val="0"/>
      <w:marBottom w:val="0"/>
      <w:divBdr>
        <w:top w:val="none" w:sz="0" w:space="0" w:color="auto"/>
        <w:left w:val="none" w:sz="0" w:space="0" w:color="auto"/>
        <w:bottom w:val="none" w:sz="0" w:space="0" w:color="auto"/>
        <w:right w:val="none" w:sz="0" w:space="0" w:color="auto"/>
      </w:divBdr>
    </w:div>
    <w:div w:id="646203037">
      <w:bodyDiv w:val="1"/>
      <w:marLeft w:val="0"/>
      <w:marRight w:val="0"/>
      <w:marTop w:val="0"/>
      <w:marBottom w:val="0"/>
      <w:divBdr>
        <w:top w:val="none" w:sz="0" w:space="0" w:color="auto"/>
        <w:left w:val="none" w:sz="0" w:space="0" w:color="auto"/>
        <w:bottom w:val="none" w:sz="0" w:space="0" w:color="auto"/>
        <w:right w:val="none" w:sz="0" w:space="0" w:color="auto"/>
      </w:divBdr>
    </w:div>
    <w:div w:id="646209010">
      <w:bodyDiv w:val="1"/>
      <w:marLeft w:val="0"/>
      <w:marRight w:val="0"/>
      <w:marTop w:val="0"/>
      <w:marBottom w:val="0"/>
      <w:divBdr>
        <w:top w:val="none" w:sz="0" w:space="0" w:color="auto"/>
        <w:left w:val="none" w:sz="0" w:space="0" w:color="auto"/>
        <w:bottom w:val="none" w:sz="0" w:space="0" w:color="auto"/>
        <w:right w:val="none" w:sz="0" w:space="0" w:color="auto"/>
      </w:divBdr>
    </w:div>
    <w:div w:id="646281552">
      <w:bodyDiv w:val="1"/>
      <w:marLeft w:val="0"/>
      <w:marRight w:val="0"/>
      <w:marTop w:val="0"/>
      <w:marBottom w:val="0"/>
      <w:divBdr>
        <w:top w:val="none" w:sz="0" w:space="0" w:color="auto"/>
        <w:left w:val="none" w:sz="0" w:space="0" w:color="auto"/>
        <w:bottom w:val="none" w:sz="0" w:space="0" w:color="auto"/>
        <w:right w:val="none" w:sz="0" w:space="0" w:color="auto"/>
      </w:divBdr>
    </w:div>
    <w:div w:id="646472908">
      <w:bodyDiv w:val="1"/>
      <w:marLeft w:val="0"/>
      <w:marRight w:val="0"/>
      <w:marTop w:val="0"/>
      <w:marBottom w:val="0"/>
      <w:divBdr>
        <w:top w:val="none" w:sz="0" w:space="0" w:color="auto"/>
        <w:left w:val="none" w:sz="0" w:space="0" w:color="auto"/>
        <w:bottom w:val="none" w:sz="0" w:space="0" w:color="auto"/>
        <w:right w:val="none" w:sz="0" w:space="0" w:color="auto"/>
      </w:divBdr>
    </w:div>
    <w:div w:id="646594773">
      <w:bodyDiv w:val="1"/>
      <w:marLeft w:val="0"/>
      <w:marRight w:val="0"/>
      <w:marTop w:val="0"/>
      <w:marBottom w:val="0"/>
      <w:divBdr>
        <w:top w:val="none" w:sz="0" w:space="0" w:color="auto"/>
        <w:left w:val="none" w:sz="0" w:space="0" w:color="auto"/>
        <w:bottom w:val="none" w:sz="0" w:space="0" w:color="auto"/>
        <w:right w:val="none" w:sz="0" w:space="0" w:color="auto"/>
      </w:divBdr>
    </w:div>
    <w:div w:id="646662806">
      <w:bodyDiv w:val="1"/>
      <w:marLeft w:val="0"/>
      <w:marRight w:val="0"/>
      <w:marTop w:val="0"/>
      <w:marBottom w:val="0"/>
      <w:divBdr>
        <w:top w:val="none" w:sz="0" w:space="0" w:color="auto"/>
        <w:left w:val="none" w:sz="0" w:space="0" w:color="auto"/>
        <w:bottom w:val="none" w:sz="0" w:space="0" w:color="auto"/>
        <w:right w:val="none" w:sz="0" w:space="0" w:color="auto"/>
      </w:divBdr>
    </w:div>
    <w:div w:id="646664404">
      <w:bodyDiv w:val="1"/>
      <w:marLeft w:val="0"/>
      <w:marRight w:val="0"/>
      <w:marTop w:val="0"/>
      <w:marBottom w:val="0"/>
      <w:divBdr>
        <w:top w:val="none" w:sz="0" w:space="0" w:color="auto"/>
        <w:left w:val="none" w:sz="0" w:space="0" w:color="auto"/>
        <w:bottom w:val="none" w:sz="0" w:space="0" w:color="auto"/>
        <w:right w:val="none" w:sz="0" w:space="0" w:color="auto"/>
      </w:divBdr>
    </w:div>
    <w:div w:id="646936126">
      <w:bodyDiv w:val="1"/>
      <w:marLeft w:val="0"/>
      <w:marRight w:val="0"/>
      <w:marTop w:val="0"/>
      <w:marBottom w:val="0"/>
      <w:divBdr>
        <w:top w:val="none" w:sz="0" w:space="0" w:color="auto"/>
        <w:left w:val="none" w:sz="0" w:space="0" w:color="auto"/>
        <w:bottom w:val="none" w:sz="0" w:space="0" w:color="auto"/>
        <w:right w:val="none" w:sz="0" w:space="0" w:color="auto"/>
      </w:divBdr>
    </w:div>
    <w:div w:id="647130698">
      <w:bodyDiv w:val="1"/>
      <w:marLeft w:val="0"/>
      <w:marRight w:val="0"/>
      <w:marTop w:val="0"/>
      <w:marBottom w:val="0"/>
      <w:divBdr>
        <w:top w:val="none" w:sz="0" w:space="0" w:color="auto"/>
        <w:left w:val="none" w:sz="0" w:space="0" w:color="auto"/>
        <w:bottom w:val="none" w:sz="0" w:space="0" w:color="auto"/>
        <w:right w:val="none" w:sz="0" w:space="0" w:color="auto"/>
      </w:divBdr>
    </w:div>
    <w:div w:id="647172389">
      <w:bodyDiv w:val="1"/>
      <w:marLeft w:val="0"/>
      <w:marRight w:val="0"/>
      <w:marTop w:val="0"/>
      <w:marBottom w:val="0"/>
      <w:divBdr>
        <w:top w:val="none" w:sz="0" w:space="0" w:color="auto"/>
        <w:left w:val="none" w:sz="0" w:space="0" w:color="auto"/>
        <w:bottom w:val="none" w:sz="0" w:space="0" w:color="auto"/>
        <w:right w:val="none" w:sz="0" w:space="0" w:color="auto"/>
      </w:divBdr>
    </w:div>
    <w:div w:id="647251511">
      <w:bodyDiv w:val="1"/>
      <w:marLeft w:val="0"/>
      <w:marRight w:val="0"/>
      <w:marTop w:val="0"/>
      <w:marBottom w:val="0"/>
      <w:divBdr>
        <w:top w:val="none" w:sz="0" w:space="0" w:color="auto"/>
        <w:left w:val="none" w:sz="0" w:space="0" w:color="auto"/>
        <w:bottom w:val="none" w:sz="0" w:space="0" w:color="auto"/>
        <w:right w:val="none" w:sz="0" w:space="0" w:color="auto"/>
      </w:divBdr>
    </w:div>
    <w:div w:id="647369888">
      <w:bodyDiv w:val="1"/>
      <w:marLeft w:val="0"/>
      <w:marRight w:val="0"/>
      <w:marTop w:val="0"/>
      <w:marBottom w:val="0"/>
      <w:divBdr>
        <w:top w:val="none" w:sz="0" w:space="0" w:color="auto"/>
        <w:left w:val="none" w:sz="0" w:space="0" w:color="auto"/>
        <w:bottom w:val="none" w:sz="0" w:space="0" w:color="auto"/>
        <w:right w:val="none" w:sz="0" w:space="0" w:color="auto"/>
      </w:divBdr>
    </w:div>
    <w:div w:id="647394678">
      <w:bodyDiv w:val="1"/>
      <w:marLeft w:val="0"/>
      <w:marRight w:val="0"/>
      <w:marTop w:val="0"/>
      <w:marBottom w:val="0"/>
      <w:divBdr>
        <w:top w:val="none" w:sz="0" w:space="0" w:color="auto"/>
        <w:left w:val="none" w:sz="0" w:space="0" w:color="auto"/>
        <w:bottom w:val="none" w:sz="0" w:space="0" w:color="auto"/>
        <w:right w:val="none" w:sz="0" w:space="0" w:color="auto"/>
      </w:divBdr>
    </w:div>
    <w:div w:id="647708022">
      <w:bodyDiv w:val="1"/>
      <w:marLeft w:val="0"/>
      <w:marRight w:val="0"/>
      <w:marTop w:val="0"/>
      <w:marBottom w:val="0"/>
      <w:divBdr>
        <w:top w:val="none" w:sz="0" w:space="0" w:color="auto"/>
        <w:left w:val="none" w:sz="0" w:space="0" w:color="auto"/>
        <w:bottom w:val="none" w:sz="0" w:space="0" w:color="auto"/>
        <w:right w:val="none" w:sz="0" w:space="0" w:color="auto"/>
      </w:divBdr>
    </w:div>
    <w:div w:id="647710543">
      <w:bodyDiv w:val="1"/>
      <w:marLeft w:val="0"/>
      <w:marRight w:val="0"/>
      <w:marTop w:val="0"/>
      <w:marBottom w:val="0"/>
      <w:divBdr>
        <w:top w:val="none" w:sz="0" w:space="0" w:color="auto"/>
        <w:left w:val="none" w:sz="0" w:space="0" w:color="auto"/>
        <w:bottom w:val="none" w:sz="0" w:space="0" w:color="auto"/>
        <w:right w:val="none" w:sz="0" w:space="0" w:color="auto"/>
      </w:divBdr>
    </w:div>
    <w:div w:id="647712147">
      <w:bodyDiv w:val="1"/>
      <w:marLeft w:val="0"/>
      <w:marRight w:val="0"/>
      <w:marTop w:val="0"/>
      <w:marBottom w:val="0"/>
      <w:divBdr>
        <w:top w:val="none" w:sz="0" w:space="0" w:color="auto"/>
        <w:left w:val="none" w:sz="0" w:space="0" w:color="auto"/>
        <w:bottom w:val="none" w:sz="0" w:space="0" w:color="auto"/>
        <w:right w:val="none" w:sz="0" w:space="0" w:color="auto"/>
      </w:divBdr>
    </w:div>
    <w:div w:id="647783971">
      <w:bodyDiv w:val="1"/>
      <w:marLeft w:val="0"/>
      <w:marRight w:val="0"/>
      <w:marTop w:val="0"/>
      <w:marBottom w:val="0"/>
      <w:divBdr>
        <w:top w:val="none" w:sz="0" w:space="0" w:color="auto"/>
        <w:left w:val="none" w:sz="0" w:space="0" w:color="auto"/>
        <w:bottom w:val="none" w:sz="0" w:space="0" w:color="auto"/>
        <w:right w:val="none" w:sz="0" w:space="0" w:color="auto"/>
      </w:divBdr>
    </w:div>
    <w:div w:id="647825614">
      <w:bodyDiv w:val="1"/>
      <w:marLeft w:val="0"/>
      <w:marRight w:val="0"/>
      <w:marTop w:val="0"/>
      <w:marBottom w:val="0"/>
      <w:divBdr>
        <w:top w:val="none" w:sz="0" w:space="0" w:color="auto"/>
        <w:left w:val="none" w:sz="0" w:space="0" w:color="auto"/>
        <w:bottom w:val="none" w:sz="0" w:space="0" w:color="auto"/>
        <w:right w:val="none" w:sz="0" w:space="0" w:color="auto"/>
      </w:divBdr>
    </w:div>
    <w:div w:id="647829032">
      <w:bodyDiv w:val="1"/>
      <w:marLeft w:val="0"/>
      <w:marRight w:val="0"/>
      <w:marTop w:val="0"/>
      <w:marBottom w:val="0"/>
      <w:divBdr>
        <w:top w:val="none" w:sz="0" w:space="0" w:color="auto"/>
        <w:left w:val="none" w:sz="0" w:space="0" w:color="auto"/>
        <w:bottom w:val="none" w:sz="0" w:space="0" w:color="auto"/>
        <w:right w:val="none" w:sz="0" w:space="0" w:color="auto"/>
      </w:divBdr>
    </w:div>
    <w:div w:id="647980627">
      <w:bodyDiv w:val="1"/>
      <w:marLeft w:val="0"/>
      <w:marRight w:val="0"/>
      <w:marTop w:val="0"/>
      <w:marBottom w:val="0"/>
      <w:divBdr>
        <w:top w:val="none" w:sz="0" w:space="0" w:color="auto"/>
        <w:left w:val="none" w:sz="0" w:space="0" w:color="auto"/>
        <w:bottom w:val="none" w:sz="0" w:space="0" w:color="auto"/>
        <w:right w:val="none" w:sz="0" w:space="0" w:color="auto"/>
      </w:divBdr>
    </w:div>
    <w:div w:id="648437893">
      <w:bodyDiv w:val="1"/>
      <w:marLeft w:val="0"/>
      <w:marRight w:val="0"/>
      <w:marTop w:val="0"/>
      <w:marBottom w:val="0"/>
      <w:divBdr>
        <w:top w:val="none" w:sz="0" w:space="0" w:color="auto"/>
        <w:left w:val="none" w:sz="0" w:space="0" w:color="auto"/>
        <w:bottom w:val="none" w:sz="0" w:space="0" w:color="auto"/>
        <w:right w:val="none" w:sz="0" w:space="0" w:color="auto"/>
      </w:divBdr>
    </w:div>
    <w:div w:id="648562360">
      <w:bodyDiv w:val="1"/>
      <w:marLeft w:val="0"/>
      <w:marRight w:val="0"/>
      <w:marTop w:val="0"/>
      <w:marBottom w:val="0"/>
      <w:divBdr>
        <w:top w:val="none" w:sz="0" w:space="0" w:color="auto"/>
        <w:left w:val="none" w:sz="0" w:space="0" w:color="auto"/>
        <w:bottom w:val="none" w:sz="0" w:space="0" w:color="auto"/>
        <w:right w:val="none" w:sz="0" w:space="0" w:color="auto"/>
      </w:divBdr>
    </w:div>
    <w:div w:id="648823228">
      <w:bodyDiv w:val="1"/>
      <w:marLeft w:val="0"/>
      <w:marRight w:val="0"/>
      <w:marTop w:val="0"/>
      <w:marBottom w:val="0"/>
      <w:divBdr>
        <w:top w:val="none" w:sz="0" w:space="0" w:color="auto"/>
        <w:left w:val="none" w:sz="0" w:space="0" w:color="auto"/>
        <w:bottom w:val="none" w:sz="0" w:space="0" w:color="auto"/>
        <w:right w:val="none" w:sz="0" w:space="0" w:color="auto"/>
      </w:divBdr>
    </w:div>
    <w:div w:id="649015972">
      <w:bodyDiv w:val="1"/>
      <w:marLeft w:val="0"/>
      <w:marRight w:val="0"/>
      <w:marTop w:val="0"/>
      <w:marBottom w:val="0"/>
      <w:divBdr>
        <w:top w:val="none" w:sz="0" w:space="0" w:color="auto"/>
        <w:left w:val="none" w:sz="0" w:space="0" w:color="auto"/>
        <w:bottom w:val="none" w:sz="0" w:space="0" w:color="auto"/>
        <w:right w:val="none" w:sz="0" w:space="0" w:color="auto"/>
      </w:divBdr>
    </w:div>
    <w:div w:id="649091652">
      <w:bodyDiv w:val="1"/>
      <w:marLeft w:val="0"/>
      <w:marRight w:val="0"/>
      <w:marTop w:val="0"/>
      <w:marBottom w:val="0"/>
      <w:divBdr>
        <w:top w:val="none" w:sz="0" w:space="0" w:color="auto"/>
        <w:left w:val="none" w:sz="0" w:space="0" w:color="auto"/>
        <w:bottom w:val="none" w:sz="0" w:space="0" w:color="auto"/>
        <w:right w:val="none" w:sz="0" w:space="0" w:color="auto"/>
      </w:divBdr>
    </w:div>
    <w:div w:id="649209097">
      <w:bodyDiv w:val="1"/>
      <w:marLeft w:val="0"/>
      <w:marRight w:val="0"/>
      <w:marTop w:val="0"/>
      <w:marBottom w:val="0"/>
      <w:divBdr>
        <w:top w:val="none" w:sz="0" w:space="0" w:color="auto"/>
        <w:left w:val="none" w:sz="0" w:space="0" w:color="auto"/>
        <w:bottom w:val="none" w:sz="0" w:space="0" w:color="auto"/>
        <w:right w:val="none" w:sz="0" w:space="0" w:color="auto"/>
      </w:divBdr>
    </w:div>
    <w:div w:id="649360948">
      <w:bodyDiv w:val="1"/>
      <w:marLeft w:val="0"/>
      <w:marRight w:val="0"/>
      <w:marTop w:val="0"/>
      <w:marBottom w:val="0"/>
      <w:divBdr>
        <w:top w:val="none" w:sz="0" w:space="0" w:color="auto"/>
        <w:left w:val="none" w:sz="0" w:space="0" w:color="auto"/>
        <w:bottom w:val="none" w:sz="0" w:space="0" w:color="auto"/>
        <w:right w:val="none" w:sz="0" w:space="0" w:color="auto"/>
      </w:divBdr>
    </w:div>
    <w:div w:id="649559773">
      <w:bodyDiv w:val="1"/>
      <w:marLeft w:val="0"/>
      <w:marRight w:val="0"/>
      <w:marTop w:val="0"/>
      <w:marBottom w:val="0"/>
      <w:divBdr>
        <w:top w:val="none" w:sz="0" w:space="0" w:color="auto"/>
        <w:left w:val="none" w:sz="0" w:space="0" w:color="auto"/>
        <w:bottom w:val="none" w:sz="0" w:space="0" w:color="auto"/>
        <w:right w:val="none" w:sz="0" w:space="0" w:color="auto"/>
      </w:divBdr>
    </w:div>
    <w:div w:id="649675108">
      <w:bodyDiv w:val="1"/>
      <w:marLeft w:val="0"/>
      <w:marRight w:val="0"/>
      <w:marTop w:val="0"/>
      <w:marBottom w:val="0"/>
      <w:divBdr>
        <w:top w:val="none" w:sz="0" w:space="0" w:color="auto"/>
        <w:left w:val="none" w:sz="0" w:space="0" w:color="auto"/>
        <w:bottom w:val="none" w:sz="0" w:space="0" w:color="auto"/>
        <w:right w:val="none" w:sz="0" w:space="0" w:color="auto"/>
      </w:divBdr>
    </w:div>
    <w:div w:id="649791426">
      <w:bodyDiv w:val="1"/>
      <w:marLeft w:val="0"/>
      <w:marRight w:val="0"/>
      <w:marTop w:val="0"/>
      <w:marBottom w:val="0"/>
      <w:divBdr>
        <w:top w:val="none" w:sz="0" w:space="0" w:color="auto"/>
        <w:left w:val="none" w:sz="0" w:space="0" w:color="auto"/>
        <w:bottom w:val="none" w:sz="0" w:space="0" w:color="auto"/>
        <w:right w:val="none" w:sz="0" w:space="0" w:color="auto"/>
      </w:divBdr>
    </w:div>
    <w:div w:id="649870419">
      <w:bodyDiv w:val="1"/>
      <w:marLeft w:val="0"/>
      <w:marRight w:val="0"/>
      <w:marTop w:val="0"/>
      <w:marBottom w:val="0"/>
      <w:divBdr>
        <w:top w:val="none" w:sz="0" w:space="0" w:color="auto"/>
        <w:left w:val="none" w:sz="0" w:space="0" w:color="auto"/>
        <w:bottom w:val="none" w:sz="0" w:space="0" w:color="auto"/>
        <w:right w:val="none" w:sz="0" w:space="0" w:color="auto"/>
      </w:divBdr>
    </w:div>
    <w:div w:id="650331707">
      <w:bodyDiv w:val="1"/>
      <w:marLeft w:val="0"/>
      <w:marRight w:val="0"/>
      <w:marTop w:val="0"/>
      <w:marBottom w:val="0"/>
      <w:divBdr>
        <w:top w:val="none" w:sz="0" w:space="0" w:color="auto"/>
        <w:left w:val="none" w:sz="0" w:space="0" w:color="auto"/>
        <w:bottom w:val="none" w:sz="0" w:space="0" w:color="auto"/>
        <w:right w:val="none" w:sz="0" w:space="0" w:color="auto"/>
      </w:divBdr>
    </w:div>
    <w:div w:id="650401938">
      <w:bodyDiv w:val="1"/>
      <w:marLeft w:val="0"/>
      <w:marRight w:val="0"/>
      <w:marTop w:val="0"/>
      <w:marBottom w:val="0"/>
      <w:divBdr>
        <w:top w:val="none" w:sz="0" w:space="0" w:color="auto"/>
        <w:left w:val="none" w:sz="0" w:space="0" w:color="auto"/>
        <w:bottom w:val="none" w:sz="0" w:space="0" w:color="auto"/>
        <w:right w:val="none" w:sz="0" w:space="0" w:color="auto"/>
      </w:divBdr>
    </w:div>
    <w:div w:id="650448729">
      <w:bodyDiv w:val="1"/>
      <w:marLeft w:val="0"/>
      <w:marRight w:val="0"/>
      <w:marTop w:val="0"/>
      <w:marBottom w:val="0"/>
      <w:divBdr>
        <w:top w:val="none" w:sz="0" w:space="0" w:color="auto"/>
        <w:left w:val="none" w:sz="0" w:space="0" w:color="auto"/>
        <w:bottom w:val="none" w:sz="0" w:space="0" w:color="auto"/>
        <w:right w:val="none" w:sz="0" w:space="0" w:color="auto"/>
      </w:divBdr>
    </w:div>
    <w:div w:id="650714305">
      <w:bodyDiv w:val="1"/>
      <w:marLeft w:val="0"/>
      <w:marRight w:val="0"/>
      <w:marTop w:val="0"/>
      <w:marBottom w:val="0"/>
      <w:divBdr>
        <w:top w:val="none" w:sz="0" w:space="0" w:color="auto"/>
        <w:left w:val="none" w:sz="0" w:space="0" w:color="auto"/>
        <w:bottom w:val="none" w:sz="0" w:space="0" w:color="auto"/>
        <w:right w:val="none" w:sz="0" w:space="0" w:color="auto"/>
      </w:divBdr>
    </w:div>
    <w:div w:id="650791331">
      <w:bodyDiv w:val="1"/>
      <w:marLeft w:val="0"/>
      <w:marRight w:val="0"/>
      <w:marTop w:val="0"/>
      <w:marBottom w:val="0"/>
      <w:divBdr>
        <w:top w:val="none" w:sz="0" w:space="0" w:color="auto"/>
        <w:left w:val="none" w:sz="0" w:space="0" w:color="auto"/>
        <w:bottom w:val="none" w:sz="0" w:space="0" w:color="auto"/>
        <w:right w:val="none" w:sz="0" w:space="0" w:color="auto"/>
      </w:divBdr>
    </w:div>
    <w:div w:id="651298894">
      <w:bodyDiv w:val="1"/>
      <w:marLeft w:val="0"/>
      <w:marRight w:val="0"/>
      <w:marTop w:val="0"/>
      <w:marBottom w:val="0"/>
      <w:divBdr>
        <w:top w:val="none" w:sz="0" w:space="0" w:color="auto"/>
        <w:left w:val="none" w:sz="0" w:space="0" w:color="auto"/>
        <w:bottom w:val="none" w:sz="0" w:space="0" w:color="auto"/>
        <w:right w:val="none" w:sz="0" w:space="0" w:color="auto"/>
      </w:divBdr>
    </w:div>
    <w:div w:id="651494640">
      <w:bodyDiv w:val="1"/>
      <w:marLeft w:val="0"/>
      <w:marRight w:val="0"/>
      <w:marTop w:val="0"/>
      <w:marBottom w:val="0"/>
      <w:divBdr>
        <w:top w:val="none" w:sz="0" w:space="0" w:color="auto"/>
        <w:left w:val="none" w:sz="0" w:space="0" w:color="auto"/>
        <w:bottom w:val="none" w:sz="0" w:space="0" w:color="auto"/>
        <w:right w:val="none" w:sz="0" w:space="0" w:color="auto"/>
      </w:divBdr>
    </w:div>
    <w:div w:id="651519365">
      <w:bodyDiv w:val="1"/>
      <w:marLeft w:val="0"/>
      <w:marRight w:val="0"/>
      <w:marTop w:val="0"/>
      <w:marBottom w:val="0"/>
      <w:divBdr>
        <w:top w:val="none" w:sz="0" w:space="0" w:color="auto"/>
        <w:left w:val="none" w:sz="0" w:space="0" w:color="auto"/>
        <w:bottom w:val="none" w:sz="0" w:space="0" w:color="auto"/>
        <w:right w:val="none" w:sz="0" w:space="0" w:color="auto"/>
      </w:divBdr>
    </w:div>
    <w:div w:id="651637038">
      <w:bodyDiv w:val="1"/>
      <w:marLeft w:val="0"/>
      <w:marRight w:val="0"/>
      <w:marTop w:val="0"/>
      <w:marBottom w:val="0"/>
      <w:divBdr>
        <w:top w:val="none" w:sz="0" w:space="0" w:color="auto"/>
        <w:left w:val="none" w:sz="0" w:space="0" w:color="auto"/>
        <w:bottom w:val="none" w:sz="0" w:space="0" w:color="auto"/>
        <w:right w:val="none" w:sz="0" w:space="0" w:color="auto"/>
      </w:divBdr>
    </w:div>
    <w:div w:id="652105447">
      <w:bodyDiv w:val="1"/>
      <w:marLeft w:val="0"/>
      <w:marRight w:val="0"/>
      <w:marTop w:val="0"/>
      <w:marBottom w:val="0"/>
      <w:divBdr>
        <w:top w:val="none" w:sz="0" w:space="0" w:color="auto"/>
        <w:left w:val="none" w:sz="0" w:space="0" w:color="auto"/>
        <w:bottom w:val="none" w:sz="0" w:space="0" w:color="auto"/>
        <w:right w:val="none" w:sz="0" w:space="0" w:color="auto"/>
      </w:divBdr>
    </w:div>
    <w:div w:id="652225372">
      <w:bodyDiv w:val="1"/>
      <w:marLeft w:val="0"/>
      <w:marRight w:val="0"/>
      <w:marTop w:val="0"/>
      <w:marBottom w:val="0"/>
      <w:divBdr>
        <w:top w:val="none" w:sz="0" w:space="0" w:color="auto"/>
        <w:left w:val="none" w:sz="0" w:space="0" w:color="auto"/>
        <w:bottom w:val="none" w:sz="0" w:space="0" w:color="auto"/>
        <w:right w:val="none" w:sz="0" w:space="0" w:color="auto"/>
      </w:divBdr>
    </w:div>
    <w:div w:id="652298761">
      <w:bodyDiv w:val="1"/>
      <w:marLeft w:val="0"/>
      <w:marRight w:val="0"/>
      <w:marTop w:val="0"/>
      <w:marBottom w:val="0"/>
      <w:divBdr>
        <w:top w:val="none" w:sz="0" w:space="0" w:color="auto"/>
        <w:left w:val="none" w:sz="0" w:space="0" w:color="auto"/>
        <w:bottom w:val="none" w:sz="0" w:space="0" w:color="auto"/>
        <w:right w:val="none" w:sz="0" w:space="0" w:color="auto"/>
      </w:divBdr>
    </w:div>
    <w:div w:id="652610806">
      <w:bodyDiv w:val="1"/>
      <w:marLeft w:val="0"/>
      <w:marRight w:val="0"/>
      <w:marTop w:val="0"/>
      <w:marBottom w:val="0"/>
      <w:divBdr>
        <w:top w:val="none" w:sz="0" w:space="0" w:color="auto"/>
        <w:left w:val="none" w:sz="0" w:space="0" w:color="auto"/>
        <w:bottom w:val="none" w:sz="0" w:space="0" w:color="auto"/>
        <w:right w:val="none" w:sz="0" w:space="0" w:color="auto"/>
      </w:divBdr>
    </w:div>
    <w:div w:id="652953854">
      <w:bodyDiv w:val="1"/>
      <w:marLeft w:val="0"/>
      <w:marRight w:val="0"/>
      <w:marTop w:val="0"/>
      <w:marBottom w:val="0"/>
      <w:divBdr>
        <w:top w:val="none" w:sz="0" w:space="0" w:color="auto"/>
        <w:left w:val="none" w:sz="0" w:space="0" w:color="auto"/>
        <w:bottom w:val="none" w:sz="0" w:space="0" w:color="auto"/>
        <w:right w:val="none" w:sz="0" w:space="0" w:color="auto"/>
      </w:divBdr>
    </w:div>
    <w:div w:id="653023384">
      <w:bodyDiv w:val="1"/>
      <w:marLeft w:val="0"/>
      <w:marRight w:val="0"/>
      <w:marTop w:val="0"/>
      <w:marBottom w:val="0"/>
      <w:divBdr>
        <w:top w:val="none" w:sz="0" w:space="0" w:color="auto"/>
        <w:left w:val="none" w:sz="0" w:space="0" w:color="auto"/>
        <w:bottom w:val="none" w:sz="0" w:space="0" w:color="auto"/>
        <w:right w:val="none" w:sz="0" w:space="0" w:color="auto"/>
      </w:divBdr>
    </w:div>
    <w:div w:id="653023744">
      <w:bodyDiv w:val="1"/>
      <w:marLeft w:val="0"/>
      <w:marRight w:val="0"/>
      <w:marTop w:val="0"/>
      <w:marBottom w:val="0"/>
      <w:divBdr>
        <w:top w:val="none" w:sz="0" w:space="0" w:color="auto"/>
        <w:left w:val="none" w:sz="0" w:space="0" w:color="auto"/>
        <w:bottom w:val="none" w:sz="0" w:space="0" w:color="auto"/>
        <w:right w:val="none" w:sz="0" w:space="0" w:color="auto"/>
      </w:divBdr>
    </w:div>
    <w:div w:id="653417358">
      <w:bodyDiv w:val="1"/>
      <w:marLeft w:val="0"/>
      <w:marRight w:val="0"/>
      <w:marTop w:val="0"/>
      <w:marBottom w:val="0"/>
      <w:divBdr>
        <w:top w:val="none" w:sz="0" w:space="0" w:color="auto"/>
        <w:left w:val="none" w:sz="0" w:space="0" w:color="auto"/>
        <w:bottom w:val="none" w:sz="0" w:space="0" w:color="auto"/>
        <w:right w:val="none" w:sz="0" w:space="0" w:color="auto"/>
      </w:divBdr>
    </w:div>
    <w:div w:id="653606893">
      <w:bodyDiv w:val="1"/>
      <w:marLeft w:val="0"/>
      <w:marRight w:val="0"/>
      <w:marTop w:val="0"/>
      <w:marBottom w:val="0"/>
      <w:divBdr>
        <w:top w:val="none" w:sz="0" w:space="0" w:color="auto"/>
        <w:left w:val="none" w:sz="0" w:space="0" w:color="auto"/>
        <w:bottom w:val="none" w:sz="0" w:space="0" w:color="auto"/>
        <w:right w:val="none" w:sz="0" w:space="0" w:color="auto"/>
      </w:divBdr>
    </w:div>
    <w:div w:id="653728608">
      <w:bodyDiv w:val="1"/>
      <w:marLeft w:val="0"/>
      <w:marRight w:val="0"/>
      <w:marTop w:val="0"/>
      <w:marBottom w:val="0"/>
      <w:divBdr>
        <w:top w:val="none" w:sz="0" w:space="0" w:color="auto"/>
        <w:left w:val="none" w:sz="0" w:space="0" w:color="auto"/>
        <w:bottom w:val="none" w:sz="0" w:space="0" w:color="auto"/>
        <w:right w:val="none" w:sz="0" w:space="0" w:color="auto"/>
      </w:divBdr>
    </w:div>
    <w:div w:id="653752499">
      <w:bodyDiv w:val="1"/>
      <w:marLeft w:val="0"/>
      <w:marRight w:val="0"/>
      <w:marTop w:val="0"/>
      <w:marBottom w:val="0"/>
      <w:divBdr>
        <w:top w:val="none" w:sz="0" w:space="0" w:color="auto"/>
        <w:left w:val="none" w:sz="0" w:space="0" w:color="auto"/>
        <w:bottom w:val="none" w:sz="0" w:space="0" w:color="auto"/>
        <w:right w:val="none" w:sz="0" w:space="0" w:color="auto"/>
      </w:divBdr>
    </w:div>
    <w:div w:id="653753902">
      <w:bodyDiv w:val="1"/>
      <w:marLeft w:val="0"/>
      <w:marRight w:val="0"/>
      <w:marTop w:val="0"/>
      <w:marBottom w:val="0"/>
      <w:divBdr>
        <w:top w:val="none" w:sz="0" w:space="0" w:color="auto"/>
        <w:left w:val="none" w:sz="0" w:space="0" w:color="auto"/>
        <w:bottom w:val="none" w:sz="0" w:space="0" w:color="auto"/>
        <w:right w:val="none" w:sz="0" w:space="0" w:color="auto"/>
      </w:divBdr>
    </w:div>
    <w:div w:id="653878855">
      <w:bodyDiv w:val="1"/>
      <w:marLeft w:val="0"/>
      <w:marRight w:val="0"/>
      <w:marTop w:val="0"/>
      <w:marBottom w:val="0"/>
      <w:divBdr>
        <w:top w:val="none" w:sz="0" w:space="0" w:color="auto"/>
        <w:left w:val="none" w:sz="0" w:space="0" w:color="auto"/>
        <w:bottom w:val="none" w:sz="0" w:space="0" w:color="auto"/>
        <w:right w:val="none" w:sz="0" w:space="0" w:color="auto"/>
      </w:divBdr>
    </w:div>
    <w:div w:id="654068810">
      <w:bodyDiv w:val="1"/>
      <w:marLeft w:val="0"/>
      <w:marRight w:val="0"/>
      <w:marTop w:val="0"/>
      <w:marBottom w:val="0"/>
      <w:divBdr>
        <w:top w:val="none" w:sz="0" w:space="0" w:color="auto"/>
        <w:left w:val="none" w:sz="0" w:space="0" w:color="auto"/>
        <w:bottom w:val="none" w:sz="0" w:space="0" w:color="auto"/>
        <w:right w:val="none" w:sz="0" w:space="0" w:color="auto"/>
      </w:divBdr>
    </w:div>
    <w:div w:id="654069890">
      <w:bodyDiv w:val="1"/>
      <w:marLeft w:val="0"/>
      <w:marRight w:val="0"/>
      <w:marTop w:val="0"/>
      <w:marBottom w:val="0"/>
      <w:divBdr>
        <w:top w:val="none" w:sz="0" w:space="0" w:color="auto"/>
        <w:left w:val="none" w:sz="0" w:space="0" w:color="auto"/>
        <w:bottom w:val="none" w:sz="0" w:space="0" w:color="auto"/>
        <w:right w:val="none" w:sz="0" w:space="0" w:color="auto"/>
      </w:divBdr>
    </w:div>
    <w:div w:id="654258904">
      <w:bodyDiv w:val="1"/>
      <w:marLeft w:val="0"/>
      <w:marRight w:val="0"/>
      <w:marTop w:val="0"/>
      <w:marBottom w:val="0"/>
      <w:divBdr>
        <w:top w:val="none" w:sz="0" w:space="0" w:color="auto"/>
        <w:left w:val="none" w:sz="0" w:space="0" w:color="auto"/>
        <w:bottom w:val="none" w:sz="0" w:space="0" w:color="auto"/>
        <w:right w:val="none" w:sz="0" w:space="0" w:color="auto"/>
      </w:divBdr>
    </w:div>
    <w:div w:id="654263017">
      <w:bodyDiv w:val="1"/>
      <w:marLeft w:val="0"/>
      <w:marRight w:val="0"/>
      <w:marTop w:val="0"/>
      <w:marBottom w:val="0"/>
      <w:divBdr>
        <w:top w:val="none" w:sz="0" w:space="0" w:color="auto"/>
        <w:left w:val="none" w:sz="0" w:space="0" w:color="auto"/>
        <w:bottom w:val="none" w:sz="0" w:space="0" w:color="auto"/>
        <w:right w:val="none" w:sz="0" w:space="0" w:color="auto"/>
      </w:divBdr>
    </w:div>
    <w:div w:id="654377115">
      <w:bodyDiv w:val="1"/>
      <w:marLeft w:val="0"/>
      <w:marRight w:val="0"/>
      <w:marTop w:val="0"/>
      <w:marBottom w:val="0"/>
      <w:divBdr>
        <w:top w:val="none" w:sz="0" w:space="0" w:color="auto"/>
        <w:left w:val="none" w:sz="0" w:space="0" w:color="auto"/>
        <w:bottom w:val="none" w:sz="0" w:space="0" w:color="auto"/>
        <w:right w:val="none" w:sz="0" w:space="0" w:color="auto"/>
      </w:divBdr>
    </w:div>
    <w:div w:id="654604702">
      <w:bodyDiv w:val="1"/>
      <w:marLeft w:val="0"/>
      <w:marRight w:val="0"/>
      <w:marTop w:val="0"/>
      <w:marBottom w:val="0"/>
      <w:divBdr>
        <w:top w:val="none" w:sz="0" w:space="0" w:color="auto"/>
        <w:left w:val="none" w:sz="0" w:space="0" w:color="auto"/>
        <w:bottom w:val="none" w:sz="0" w:space="0" w:color="auto"/>
        <w:right w:val="none" w:sz="0" w:space="0" w:color="auto"/>
      </w:divBdr>
    </w:div>
    <w:div w:id="654841216">
      <w:bodyDiv w:val="1"/>
      <w:marLeft w:val="0"/>
      <w:marRight w:val="0"/>
      <w:marTop w:val="0"/>
      <w:marBottom w:val="0"/>
      <w:divBdr>
        <w:top w:val="none" w:sz="0" w:space="0" w:color="auto"/>
        <w:left w:val="none" w:sz="0" w:space="0" w:color="auto"/>
        <w:bottom w:val="none" w:sz="0" w:space="0" w:color="auto"/>
        <w:right w:val="none" w:sz="0" w:space="0" w:color="auto"/>
      </w:divBdr>
    </w:div>
    <w:div w:id="654918750">
      <w:bodyDiv w:val="1"/>
      <w:marLeft w:val="0"/>
      <w:marRight w:val="0"/>
      <w:marTop w:val="0"/>
      <w:marBottom w:val="0"/>
      <w:divBdr>
        <w:top w:val="none" w:sz="0" w:space="0" w:color="auto"/>
        <w:left w:val="none" w:sz="0" w:space="0" w:color="auto"/>
        <w:bottom w:val="none" w:sz="0" w:space="0" w:color="auto"/>
        <w:right w:val="none" w:sz="0" w:space="0" w:color="auto"/>
      </w:divBdr>
    </w:div>
    <w:div w:id="655300875">
      <w:bodyDiv w:val="1"/>
      <w:marLeft w:val="0"/>
      <w:marRight w:val="0"/>
      <w:marTop w:val="0"/>
      <w:marBottom w:val="0"/>
      <w:divBdr>
        <w:top w:val="none" w:sz="0" w:space="0" w:color="auto"/>
        <w:left w:val="none" w:sz="0" w:space="0" w:color="auto"/>
        <w:bottom w:val="none" w:sz="0" w:space="0" w:color="auto"/>
        <w:right w:val="none" w:sz="0" w:space="0" w:color="auto"/>
      </w:divBdr>
    </w:div>
    <w:div w:id="655456098">
      <w:bodyDiv w:val="1"/>
      <w:marLeft w:val="0"/>
      <w:marRight w:val="0"/>
      <w:marTop w:val="0"/>
      <w:marBottom w:val="0"/>
      <w:divBdr>
        <w:top w:val="none" w:sz="0" w:space="0" w:color="auto"/>
        <w:left w:val="none" w:sz="0" w:space="0" w:color="auto"/>
        <w:bottom w:val="none" w:sz="0" w:space="0" w:color="auto"/>
        <w:right w:val="none" w:sz="0" w:space="0" w:color="auto"/>
      </w:divBdr>
    </w:div>
    <w:div w:id="655493513">
      <w:bodyDiv w:val="1"/>
      <w:marLeft w:val="0"/>
      <w:marRight w:val="0"/>
      <w:marTop w:val="0"/>
      <w:marBottom w:val="0"/>
      <w:divBdr>
        <w:top w:val="none" w:sz="0" w:space="0" w:color="auto"/>
        <w:left w:val="none" w:sz="0" w:space="0" w:color="auto"/>
        <w:bottom w:val="none" w:sz="0" w:space="0" w:color="auto"/>
        <w:right w:val="none" w:sz="0" w:space="0" w:color="auto"/>
      </w:divBdr>
    </w:div>
    <w:div w:id="655695240">
      <w:bodyDiv w:val="1"/>
      <w:marLeft w:val="0"/>
      <w:marRight w:val="0"/>
      <w:marTop w:val="0"/>
      <w:marBottom w:val="0"/>
      <w:divBdr>
        <w:top w:val="none" w:sz="0" w:space="0" w:color="auto"/>
        <w:left w:val="none" w:sz="0" w:space="0" w:color="auto"/>
        <w:bottom w:val="none" w:sz="0" w:space="0" w:color="auto"/>
        <w:right w:val="none" w:sz="0" w:space="0" w:color="auto"/>
      </w:divBdr>
    </w:div>
    <w:div w:id="655914671">
      <w:bodyDiv w:val="1"/>
      <w:marLeft w:val="0"/>
      <w:marRight w:val="0"/>
      <w:marTop w:val="0"/>
      <w:marBottom w:val="0"/>
      <w:divBdr>
        <w:top w:val="none" w:sz="0" w:space="0" w:color="auto"/>
        <w:left w:val="none" w:sz="0" w:space="0" w:color="auto"/>
        <w:bottom w:val="none" w:sz="0" w:space="0" w:color="auto"/>
        <w:right w:val="none" w:sz="0" w:space="0" w:color="auto"/>
      </w:divBdr>
    </w:div>
    <w:div w:id="656032944">
      <w:bodyDiv w:val="1"/>
      <w:marLeft w:val="0"/>
      <w:marRight w:val="0"/>
      <w:marTop w:val="0"/>
      <w:marBottom w:val="0"/>
      <w:divBdr>
        <w:top w:val="none" w:sz="0" w:space="0" w:color="auto"/>
        <w:left w:val="none" w:sz="0" w:space="0" w:color="auto"/>
        <w:bottom w:val="none" w:sz="0" w:space="0" w:color="auto"/>
        <w:right w:val="none" w:sz="0" w:space="0" w:color="auto"/>
      </w:divBdr>
    </w:div>
    <w:div w:id="656111681">
      <w:bodyDiv w:val="1"/>
      <w:marLeft w:val="0"/>
      <w:marRight w:val="0"/>
      <w:marTop w:val="0"/>
      <w:marBottom w:val="0"/>
      <w:divBdr>
        <w:top w:val="none" w:sz="0" w:space="0" w:color="auto"/>
        <w:left w:val="none" w:sz="0" w:space="0" w:color="auto"/>
        <w:bottom w:val="none" w:sz="0" w:space="0" w:color="auto"/>
        <w:right w:val="none" w:sz="0" w:space="0" w:color="auto"/>
      </w:divBdr>
    </w:div>
    <w:div w:id="656299906">
      <w:bodyDiv w:val="1"/>
      <w:marLeft w:val="0"/>
      <w:marRight w:val="0"/>
      <w:marTop w:val="0"/>
      <w:marBottom w:val="0"/>
      <w:divBdr>
        <w:top w:val="none" w:sz="0" w:space="0" w:color="auto"/>
        <w:left w:val="none" w:sz="0" w:space="0" w:color="auto"/>
        <w:bottom w:val="none" w:sz="0" w:space="0" w:color="auto"/>
        <w:right w:val="none" w:sz="0" w:space="0" w:color="auto"/>
      </w:divBdr>
    </w:div>
    <w:div w:id="656570319">
      <w:bodyDiv w:val="1"/>
      <w:marLeft w:val="0"/>
      <w:marRight w:val="0"/>
      <w:marTop w:val="0"/>
      <w:marBottom w:val="0"/>
      <w:divBdr>
        <w:top w:val="none" w:sz="0" w:space="0" w:color="auto"/>
        <w:left w:val="none" w:sz="0" w:space="0" w:color="auto"/>
        <w:bottom w:val="none" w:sz="0" w:space="0" w:color="auto"/>
        <w:right w:val="none" w:sz="0" w:space="0" w:color="auto"/>
      </w:divBdr>
    </w:div>
    <w:div w:id="656614351">
      <w:bodyDiv w:val="1"/>
      <w:marLeft w:val="0"/>
      <w:marRight w:val="0"/>
      <w:marTop w:val="0"/>
      <w:marBottom w:val="0"/>
      <w:divBdr>
        <w:top w:val="none" w:sz="0" w:space="0" w:color="auto"/>
        <w:left w:val="none" w:sz="0" w:space="0" w:color="auto"/>
        <w:bottom w:val="none" w:sz="0" w:space="0" w:color="auto"/>
        <w:right w:val="none" w:sz="0" w:space="0" w:color="auto"/>
      </w:divBdr>
    </w:div>
    <w:div w:id="656810665">
      <w:bodyDiv w:val="1"/>
      <w:marLeft w:val="0"/>
      <w:marRight w:val="0"/>
      <w:marTop w:val="0"/>
      <w:marBottom w:val="0"/>
      <w:divBdr>
        <w:top w:val="none" w:sz="0" w:space="0" w:color="auto"/>
        <w:left w:val="none" w:sz="0" w:space="0" w:color="auto"/>
        <w:bottom w:val="none" w:sz="0" w:space="0" w:color="auto"/>
        <w:right w:val="none" w:sz="0" w:space="0" w:color="auto"/>
      </w:divBdr>
    </w:div>
    <w:div w:id="657076604">
      <w:bodyDiv w:val="1"/>
      <w:marLeft w:val="0"/>
      <w:marRight w:val="0"/>
      <w:marTop w:val="0"/>
      <w:marBottom w:val="0"/>
      <w:divBdr>
        <w:top w:val="none" w:sz="0" w:space="0" w:color="auto"/>
        <w:left w:val="none" w:sz="0" w:space="0" w:color="auto"/>
        <w:bottom w:val="none" w:sz="0" w:space="0" w:color="auto"/>
        <w:right w:val="none" w:sz="0" w:space="0" w:color="auto"/>
      </w:divBdr>
    </w:div>
    <w:div w:id="657152235">
      <w:bodyDiv w:val="1"/>
      <w:marLeft w:val="0"/>
      <w:marRight w:val="0"/>
      <w:marTop w:val="0"/>
      <w:marBottom w:val="0"/>
      <w:divBdr>
        <w:top w:val="none" w:sz="0" w:space="0" w:color="auto"/>
        <w:left w:val="none" w:sz="0" w:space="0" w:color="auto"/>
        <w:bottom w:val="none" w:sz="0" w:space="0" w:color="auto"/>
        <w:right w:val="none" w:sz="0" w:space="0" w:color="auto"/>
      </w:divBdr>
    </w:div>
    <w:div w:id="657224538">
      <w:bodyDiv w:val="1"/>
      <w:marLeft w:val="0"/>
      <w:marRight w:val="0"/>
      <w:marTop w:val="0"/>
      <w:marBottom w:val="0"/>
      <w:divBdr>
        <w:top w:val="none" w:sz="0" w:space="0" w:color="auto"/>
        <w:left w:val="none" w:sz="0" w:space="0" w:color="auto"/>
        <w:bottom w:val="none" w:sz="0" w:space="0" w:color="auto"/>
        <w:right w:val="none" w:sz="0" w:space="0" w:color="auto"/>
      </w:divBdr>
    </w:div>
    <w:div w:id="657533526">
      <w:bodyDiv w:val="1"/>
      <w:marLeft w:val="0"/>
      <w:marRight w:val="0"/>
      <w:marTop w:val="0"/>
      <w:marBottom w:val="0"/>
      <w:divBdr>
        <w:top w:val="none" w:sz="0" w:space="0" w:color="auto"/>
        <w:left w:val="none" w:sz="0" w:space="0" w:color="auto"/>
        <w:bottom w:val="none" w:sz="0" w:space="0" w:color="auto"/>
        <w:right w:val="none" w:sz="0" w:space="0" w:color="auto"/>
      </w:divBdr>
    </w:div>
    <w:div w:id="657731255">
      <w:bodyDiv w:val="1"/>
      <w:marLeft w:val="0"/>
      <w:marRight w:val="0"/>
      <w:marTop w:val="0"/>
      <w:marBottom w:val="0"/>
      <w:divBdr>
        <w:top w:val="none" w:sz="0" w:space="0" w:color="auto"/>
        <w:left w:val="none" w:sz="0" w:space="0" w:color="auto"/>
        <w:bottom w:val="none" w:sz="0" w:space="0" w:color="auto"/>
        <w:right w:val="none" w:sz="0" w:space="0" w:color="auto"/>
      </w:divBdr>
    </w:div>
    <w:div w:id="658388419">
      <w:bodyDiv w:val="1"/>
      <w:marLeft w:val="0"/>
      <w:marRight w:val="0"/>
      <w:marTop w:val="0"/>
      <w:marBottom w:val="0"/>
      <w:divBdr>
        <w:top w:val="none" w:sz="0" w:space="0" w:color="auto"/>
        <w:left w:val="none" w:sz="0" w:space="0" w:color="auto"/>
        <w:bottom w:val="none" w:sz="0" w:space="0" w:color="auto"/>
        <w:right w:val="none" w:sz="0" w:space="0" w:color="auto"/>
      </w:divBdr>
    </w:div>
    <w:div w:id="658702377">
      <w:bodyDiv w:val="1"/>
      <w:marLeft w:val="0"/>
      <w:marRight w:val="0"/>
      <w:marTop w:val="0"/>
      <w:marBottom w:val="0"/>
      <w:divBdr>
        <w:top w:val="none" w:sz="0" w:space="0" w:color="auto"/>
        <w:left w:val="none" w:sz="0" w:space="0" w:color="auto"/>
        <w:bottom w:val="none" w:sz="0" w:space="0" w:color="auto"/>
        <w:right w:val="none" w:sz="0" w:space="0" w:color="auto"/>
      </w:divBdr>
    </w:div>
    <w:div w:id="658849316">
      <w:bodyDiv w:val="1"/>
      <w:marLeft w:val="0"/>
      <w:marRight w:val="0"/>
      <w:marTop w:val="0"/>
      <w:marBottom w:val="0"/>
      <w:divBdr>
        <w:top w:val="none" w:sz="0" w:space="0" w:color="auto"/>
        <w:left w:val="none" w:sz="0" w:space="0" w:color="auto"/>
        <w:bottom w:val="none" w:sz="0" w:space="0" w:color="auto"/>
        <w:right w:val="none" w:sz="0" w:space="0" w:color="auto"/>
      </w:divBdr>
    </w:div>
    <w:div w:id="658853666">
      <w:bodyDiv w:val="1"/>
      <w:marLeft w:val="0"/>
      <w:marRight w:val="0"/>
      <w:marTop w:val="0"/>
      <w:marBottom w:val="0"/>
      <w:divBdr>
        <w:top w:val="none" w:sz="0" w:space="0" w:color="auto"/>
        <w:left w:val="none" w:sz="0" w:space="0" w:color="auto"/>
        <w:bottom w:val="none" w:sz="0" w:space="0" w:color="auto"/>
        <w:right w:val="none" w:sz="0" w:space="0" w:color="auto"/>
      </w:divBdr>
    </w:div>
    <w:div w:id="658969102">
      <w:bodyDiv w:val="1"/>
      <w:marLeft w:val="0"/>
      <w:marRight w:val="0"/>
      <w:marTop w:val="0"/>
      <w:marBottom w:val="0"/>
      <w:divBdr>
        <w:top w:val="none" w:sz="0" w:space="0" w:color="auto"/>
        <w:left w:val="none" w:sz="0" w:space="0" w:color="auto"/>
        <w:bottom w:val="none" w:sz="0" w:space="0" w:color="auto"/>
        <w:right w:val="none" w:sz="0" w:space="0" w:color="auto"/>
      </w:divBdr>
    </w:div>
    <w:div w:id="659383071">
      <w:bodyDiv w:val="1"/>
      <w:marLeft w:val="0"/>
      <w:marRight w:val="0"/>
      <w:marTop w:val="0"/>
      <w:marBottom w:val="0"/>
      <w:divBdr>
        <w:top w:val="none" w:sz="0" w:space="0" w:color="auto"/>
        <w:left w:val="none" w:sz="0" w:space="0" w:color="auto"/>
        <w:bottom w:val="none" w:sz="0" w:space="0" w:color="auto"/>
        <w:right w:val="none" w:sz="0" w:space="0" w:color="auto"/>
      </w:divBdr>
    </w:div>
    <w:div w:id="660037909">
      <w:bodyDiv w:val="1"/>
      <w:marLeft w:val="0"/>
      <w:marRight w:val="0"/>
      <w:marTop w:val="0"/>
      <w:marBottom w:val="0"/>
      <w:divBdr>
        <w:top w:val="none" w:sz="0" w:space="0" w:color="auto"/>
        <w:left w:val="none" w:sz="0" w:space="0" w:color="auto"/>
        <w:bottom w:val="none" w:sz="0" w:space="0" w:color="auto"/>
        <w:right w:val="none" w:sz="0" w:space="0" w:color="auto"/>
      </w:divBdr>
    </w:div>
    <w:div w:id="660085317">
      <w:bodyDiv w:val="1"/>
      <w:marLeft w:val="0"/>
      <w:marRight w:val="0"/>
      <w:marTop w:val="0"/>
      <w:marBottom w:val="0"/>
      <w:divBdr>
        <w:top w:val="none" w:sz="0" w:space="0" w:color="auto"/>
        <w:left w:val="none" w:sz="0" w:space="0" w:color="auto"/>
        <w:bottom w:val="none" w:sz="0" w:space="0" w:color="auto"/>
        <w:right w:val="none" w:sz="0" w:space="0" w:color="auto"/>
      </w:divBdr>
    </w:div>
    <w:div w:id="660087429">
      <w:bodyDiv w:val="1"/>
      <w:marLeft w:val="0"/>
      <w:marRight w:val="0"/>
      <w:marTop w:val="0"/>
      <w:marBottom w:val="0"/>
      <w:divBdr>
        <w:top w:val="none" w:sz="0" w:space="0" w:color="auto"/>
        <w:left w:val="none" w:sz="0" w:space="0" w:color="auto"/>
        <w:bottom w:val="none" w:sz="0" w:space="0" w:color="auto"/>
        <w:right w:val="none" w:sz="0" w:space="0" w:color="auto"/>
      </w:divBdr>
    </w:div>
    <w:div w:id="660430714">
      <w:bodyDiv w:val="1"/>
      <w:marLeft w:val="0"/>
      <w:marRight w:val="0"/>
      <w:marTop w:val="0"/>
      <w:marBottom w:val="0"/>
      <w:divBdr>
        <w:top w:val="none" w:sz="0" w:space="0" w:color="auto"/>
        <w:left w:val="none" w:sz="0" w:space="0" w:color="auto"/>
        <w:bottom w:val="none" w:sz="0" w:space="0" w:color="auto"/>
        <w:right w:val="none" w:sz="0" w:space="0" w:color="auto"/>
      </w:divBdr>
    </w:div>
    <w:div w:id="660474529">
      <w:bodyDiv w:val="1"/>
      <w:marLeft w:val="0"/>
      <w:marRight w:val="0"/>
      <w:marTop w:val="0"/>
      <w:marBottom w:val="0"/>
      <w:divBdr>
        <w:top w:val="none" w:sz="0" w:space="0" w:color="auto"/>
        <w:left w:val="none" w:sz="0" w:space="0" w:color="auto"/>
        <w:bottom w:val="none" w:sz="0" w:space="0" w:color="auto"/>
        <w:right w:val="none" w:sz="0" w:space="0" w:color="auto"/>
      </w:divBdr>
    </w:div>
    <w:div w:id="660887069">
      <w:bodyDiv w:val="1"/>
      <w:marLeft w:val="0"/>
      <w:marRight w:val="0"/>
      <w:marTop w:val="0"/>
      <w:marBottom w:val="0"/>
      <w:divBdr>
        <w:top w:val="none" w:sz="0" w:space="0" w:color="auto"/>
        <w:left w:val="none" w:sz="0" w:space="0" w:color="auto"/>
        <w:bottom w:val="none" w:sz="0" w:space="0" w:color="auto"/>
        <w:right w:val="none" w:sz="0" w:space="0" w:color="auto"/>
      </w:divBdr>
    </w:div>
    <w:div w:id="661078611">
      <w:bodyDiv w:val="1"/>
      <w:marLeft w:val="0"/>
      <w:marRight w:val="0"/>
      <w:marTop w:val="0"/>
      <w:marBottom w:val="0"/>
      <w:divBdr>
        <w:top w:val="none" w:sz="0" w:space="0" w:color="auto"/>
        <w:left w:val="none" w:sz="0" w:space="0" w:color="auto"/>
        <w:bottom w:val="none" w:sz="0" w:space="0" w:color="auto"/>
        <w:right w:val="none" w:sz="0" w:space="0" w:color="auto"/>
      </w:divBdr>
    </w:div>
    <w:div w:id="661153900">
      <w:bodyDiv w:val="1"/>
      <w:marLeft w:val="0"/>
      <w:marRight w:val="0"/>
      <w:marTop w:val="0"/>
      <w:marBottom w:val="0"/>
      <w:divBdr>
        <w:top w:val="none" w:sz="0" w:space="0" w:color="auto"/>
        <w:left w:val="none" w:sz="0" w:space="0" w:color="auto"/>
        <w:bottom w:val="none" w:sz="0" w:space="0" w:color="auto"/>
        <w:right w:val="none" w:sz="0" w:space="0" w:color="auto"/>
      </w:divBdr>
    </w:div>
    <w:div w:id="661587382">
      <w:bodyDiv w:val="1"/>
      <w:marLeft w:val="0"/>
      <w:marRight w:val="0"/>
      <w:marTop w:val="0"/>
      <w:marBottom w:val="0"/>
      <w:divBdr>
        <w:top w:val="none" w:sz="0" w:space="0" w:color="auto"/>
        <w:left w:val="none" w:sz="0" w:space="0" w:color="auto"/>
        <w:bottom w:val="none" w:sz="0" w:space="0" w:color="auto"/>
        <w:right w:val="none" w:sz="0" w:space="0" w:color="auto"/>
      </w:divBdr>
    </w:div>
    <w:div w:id="661615971">
      <w:bodyDiv w:val="1"/>
      <w:marLeft w:val="0"/>
      <w:marRight w:val="0"/>
      <w:marTop w:val="0"/>
      <w:marBottom w:val="0"/>
      <w:divBdr>
        <w:top w:val="none" w:sz="0" w:space="0" w:color="auto"/>
        <w:left w:val="none" w:sz="0" w:space="0" w:color="auto"/>
        <w:bottom w:val="none" w:sz="0" w:space="0" w:color="auto"/>
        <w:right w:val="none" w:sz="0" w:space="0" w:color="auto"/>
      </w:divBdr>
    </w:div>
    <w:div w:id="661783811">
      <w:bodyDiv w:val="1"/>
      <w:marLeft w:val="0"/>
      <w:marRight w:val="0"/>
      <w:marTop w:val="0"/>
      <w:marBottom w:val="0"/>
      <w:divBdr>
        <w:top w:val="none" w:sz="0" w:space="0" w:color="auto"/>
        <w:left w:val="none" w:sz="0" w:space="0" w:color="auto"/>
        <w:bottom w:val="none" w:sz="0" w:space="0" w:color="auto"/>
        <w:right w:val="none" w:sz="0" w:space="0" w:color="auto"/>
      </w:divBdr>
    </w:div>
    <w:div w:id="661858998">
      <w:bodyDiv w:val="1"/>
      <w:marLeft w:val="0"/>
      <w:marRight w:val="0"/>
      <w:marTop w:val="0"/>
      <w:marBottom w:val="0"/>
      <w:divBdr>
        <w:top w:val="none" w:sz="0" w:space="0" w:color="auto"/>
        <w:left w:val="none" w:sz="0" w:space="0" w:color="auto"/>
        <w:bottom w:val="none" w:sz="0" w:space="0" w:color="auto"/>
        <w:right w:val="none" w:sz="0" w:space="0" w:color="auto"/>
      </w:divBdr>
    </w:div>
    <w:div w:id="662006805">
      <w:bodyDiv w:val="1"/>
      <w:marLeft w:val="0"/>
      <w:marRight w:val="0"/>
      <w:marTop w:val="0"/>
      <w:marBottom w:val="0"/>
      <w:divBdr>
        <w:top w:val="none" w:sz="0" w:space="0" w:color="auto"/>
        <w:left w:val="none" w:sz="0" w:space="0" w:color="auto"/>
        <w:bottom w:val="none" w:sz="0" w:space="0" w:color="auto"/>
        <w:right w:val="none" w:sz="0" w:space="0" w:color="auto"/>
      </w:divBdr>
    </w:div>
    <w:div w:id="662008329">
      <w:bodyDiv w:val="1"/>
      <w:marLeft w:val="0"/>
      <w:marRight w:val="0"/>
      <w:marTop w:val="0"/>
      <w:marBottom w:val="0"/>
      <w:divBdr>
        <w:top w:val="none" w:sz="0" w:space="0" w:color="auto"/>
        <w:left w:val="none" w:sz="0" w:space="0" w:color="auto"/>
        <w:bottom w:val="none" w:sz="0" w:space="0" w:color="auto"/>
        <w:right w:val="none" w:sz="0" w:space="0" w:color="auto"/>
      </w:divBdr>
    </w:div>
    <w:div w:id="662051373">
      <w:bodyDiv w:val="1"/>
      <w:marLeft w:val="0"/>
      <w:marRight w:val="0"/>
      <w:marTop w:val="0"/>
      <w:marBottom w:val="0"/>
      <w:divBdr>
        <w:top w:val="none" w:sz="0" w:space="0" w:color="auto"/>
        <w:left w:val="none" w:sz="0" w:space="0" w:color="auto"/>
        <w:bottom w:val="none" w:sz="0" w:space="0" w:color="auto"/>
        <w:right w:val="none" w:sz="0" w:space="0" w:color="auto"/>
      </w:divBdr>
    </w:div>
    <w:div w:id="662120806">
      <w:bodyDiv w:val="1"/>
      <w:marLeft w:val="0"/>
      <w:marRight w:val="0"/>
      <w:marTop w:val="0"/>
      <w:marBottom w:val="0"/>
      <w:divBdr>
        <w:top w:val="none" w:sz="0" w:space="0" w:color="auto"/>
        <w:left w:val="none" w:sz="0" w:space="0" w:color="auto"/>
        <w:bottom w:val="none" w:sz="0" w:space="0" w:color="auto"/>
        <w:right w:val="none" w:sz="0" w:space="0" w:color="auto"/>
      </w:divBdr>
    </w:div>
    <w:div w:id="662321515">
      <w:bodyDiv w:val="1"/>
      <w:marLeft w:val="0"/>
      <w:marRight w:val="0"/>
      <w:marTop w:val="0"/>
      <w:marBottom w:val="0"/>
      <w:divBdr>
        <w:top w:val="none" w:sz="0" w:space="0" w:color="auto"/>
        <w:left w:val="none" w:sz="0" w:space="0" w:color="auto"/>
        <w:bottom w:val="none" w:sz="0" w:space="0" w:color="auto"/>
        <w:right w:val="none" w:sz="0" w:space="0" w:color="auto"/>
      </w:divBdr>
    </w:div>
    <w:div w:id="662590861">
      <w:bodyDiv w:val="1"/>
      <w:marLeft w:val="0"/>
      <w:marRight w:val="0"/>
      <w:marTop w:val="0"/>
      <w:marBottom w:val="0"/>
      <w:divBdr>
        <w:top w:val="none" w:sz="0" w:space="0" w:color="auto"/>
        <w:left w:val="none" w:sz="0" w:space="0" w:color="auto"/>
        <w:bottom w:val="none" w:sz="0" w:space="0" w:color="auto"/>
        <w:right w:val="none" w:sz="0" w:space="0" w:color="auto"/>
      </w:divBdr>
    </w:div>
    <w:div w:id="662662640">
      <w:bodyDiv w:val="1"/>
      <w:marLeft w:val="0"/>
      <w:marRight w:val="0"/>
      <w:marTop w:val="0"/>
      <w:marBottom w:val="0"/>
      <w:divBdr>
        <w:top w:val="none" w:sz="0" w:space="0" w:color="auto"/>
        <w:left w:val="none" w:sz="0" w:space="0" w:color="auto"/>
        <w:bottom w:val="none" w:sz="0" w:space="0" w:color="auto"/>
        <w:right w:val="none" w:sz="0" w:space="0" w:color="auto"/>
      </w:divBdr>
    </w:div>
    <w:div w:id="662705685">
      <w:bodyDiv w:val="1"/>
      <w:marLeft w:val="0"/>
      <w:marRight w:val="0"/>
      <w:marTop w:val="0"/>
      <w:marBottom w:val="0"/>
      <w:divBdr>
        <w:top w:val="none" w:sz="0" w:space="0" w:color="auto"/>
        <w:left w:val="none" w:sz="0" w:space="0" w:color="auto"/>
        <w:bottom w:val="none" w:sz="0" w:space="0" w:color="auto"/>
        <w:right w:val="none" w:sz="0" w:space="0" w:color="auto"/>
      </w:divBdr>
    </w:div>
    <w:div w:id="662976044">
      <w:bodyDiv w:val="1"/>
      <w:marLeft w:val="0"/>
      <w:marRight w:val="0"/>
      <w:marTop w:val="0"/>
      <w:marBottom w:val="0"/>
      <w:divBdr>
        <w:top w:val="none" w:sz="0" w:space="0" w:color="auto"/>
        <w:left w:val="none" w:sz="0" w:space="0" w:color="auto"/>
        <w:bottom w:val="none" w:sz="0" w:space="0" w:color="auto"/>
        <w:right w:val="none" w:sz="0" w:space="0" w:color="auto"/>
      </w:divBdr>
    </w:div>
    <w:div w:id="663359129">
      <w:bodyDiv w:val="1"/>
      <w:marLeft w:val="0"/>
      <w:marRight w:val="0"/>
      <w:marTop w:val="0"/>
      <w:marBottom w:val="0"/>
      <w:divBdr>
        <w:top w:val="none" w:sz="0" w:space="0" w:color="auto"/>
        <w:left w:val="none" w:sz="0" w:space="0" w:color="auto"/>
        <w:bottom w:val="none" w:sz="0" w:space="0" w:color="auto"/>
        <w:right w:val="none" w:sz="0" w:space="0" w:color="auto"/>
      </w:divBdr>
    </w:div>
    <w:div w:id="663506866">
      <w:bodyDiv w:val="1"/>
      <w:marLeft w:val="0"/>
      <w:marRight w:val="0"/>
      <w:marTop w:val="0"/>
      <w:marBottom w:val="0"/>
      <w:divBdr>
        <w:top w:val="none" w:sz="0" w:space="0" w:color="auto"/>
        <w:left w:val="none" w:sz="0" w:space="0" w:color="auto"/>
        <w:bottom w:val="none" w:sz="0" w:space="0" w:color="auto"/>
        <w:right w:val="none" w:sz="0" w:space="0" w:color="auto"/>
      </w:divBdr>
    </w:div>
    <w:div w:id="663583476">
      <w:bodyDiv w:val="1"/>
      <w:marLeft w:val="0"/>
      <w:marRight w:val="0"/>
      <w:marTop w:val="0"/>
      <w:marBottom w:val="0"/>
      <w:divBdr>
        <w:top w:val="none" w:sz="0" w:space="0" w:color="auto"/>
        <w:left w:val="none" w:sz="0" w:space="0" w:color="auto"/>
        <w:bottom w:val="none" w:sz="0" w:space="0" w:color="auto"/>
        <w:right w:val="none" w:sz="0" w:space="0" w:color="auto"/>
      </w:divBdr>
    </w:div>
    <w:div w:id="663632889">
      <w:bodyDiv w:val="1"/>
      <w:marLeft w:val="0"/>
      <w:marRight w:val="0"/>
      <w:marTop w:val="0"/>
      <w:marBottom w:val="0"/>
      <w:divBdr>
        <w:top w:val="none" w:sz="0" w:space="0" w:color="auto"/>
        <w:left w:val="none" w:sz="0" w:space="0" w:color="auto"/>
        <w:bottom w:val="none" w:sz="0" w:space="0" w:color="auto"/>
        <w:right w:val="none" w:sz="0" w:space="0" w:color="auto"/>
      </w:divBdr>
    </w:div>
    <w:div w:id="663976786">
      <w:bodyDiv w:val="1"/>
      <w:marLeft w:val="0"/>
      <w:marRight w:val="0"/>
      <w:marTop w:val="0"/>
      <w:marBottom w:val="0"/>
      <w:divBdr>
        <w:top w:val="none" w:sz="0" w:space="0" w:color="auto"/>
        <w:left w:val="none" w:sz="0" w:space="0" w:color="auto"/>
        <w:bottom w:val="none" w:sz="0" w:space="0" w:color="auto"/>
        <w:right w:val="none" w:sz="0" w:space="0" w:color="auto"/>
      </w:divBdr>
    </w:div>
    <w:div w:id="664014423">
      <w:bodyDiv w:val="1"/>
      <w:marLeft w:val="0"/>
      <w:marRight w:val="0"/>
      <w:marTop w:val="0"/>
      <w:marBottom w:val="0"/>
      <w:divBdr>
        <w:top w:val="none" w:sz="0" w:space="0" w:color="auto"/>
        <w:left w:val="none" w:sz="0" w:space="0" w:color="auto"/>
        <w:bottom w:val="none" w:sz="0" w:space="0" w:color="auto"/>
        <w:right w:val="none" w:sz="0" w:space="0" w:color="auto"/>
      </w:divBdr>
    </w:div>
    <w:div w:id="664086471">
      <w:bodyDiv w:val="1"/>
      <w:marLeft w:val="0"/>
      <w:marRight w:val="0"/>
      <w:marTop w:val="0"/>
      <w:marBottom w:val="0"/>
      <w:divBdr>
        <w:top w:val="none" w:sz="0" w:space="0" w:color="auto"/>
        <w:left w:val="none" w:sz="0" w:space="0" w:color="auto"/>
        <w:bottom w:val="none" w:sz="0" w:space="0" w:color="auto"/>
        <w:right w:val="none" w:sz="0" w:space="0" w:color="auto"/>
      </w:divBdr>
    </w:div>
    <w:div w:id="664213259">
      <w:bodyDiv w:val="1"/>
      <w:marLeft w:val="0"/>
      <w:marRight w:val="0"/>
      <w:marTop w:val="0"/>
      <w:marBottom w:val="0"/>
      <w:divBdr>
        <w:top w:val="none" w:sz="0" w:space="0" w:color="auto"/>
        <w:left w:val="none" w:sz="0" w:space="0" w:color="auto"/>
        <w:bottom w:val="none" w:sz="0" w:space="0" w:color="auto"/>
        <w:right w:val="none" w:sz="0" w:space="0" w:color="auto"/>
      </w:divBdr>
    </w:div>
    <w:div w:id="664357151">
      <w:bodyDiv w:val="1"/>
      <w:marLeft w:val="0"/>
      <w:marRight w:val="0"/>
      <w:marTop w:val="0"/>
      <w:marBottom w:val="0"/>
      <w:divBdr>
        <w:top w:val="none" w:sz="0" w:space="0" w:color="auto"/>
        <w:left w:val="none" w:sz="0" w:space="0" w:color="auto"/>
        <w:bottom w:val="none" w:sz="0" w:space="0" w:color="auto"/>
        <w:right w:val="none" w:sz="0" w:space="0" w:color="auto"/>
      </w:divBdr>
    </w:div>
    <w:div w:id="664631296">
      <w:bodyDiv w:val="1"/>
      <w:marLeft w:val="0"/>
      <w:marRight w:val="0"/>
      <w:marTop w:val="0"/>
      <w:marBottom w:val="0"/>
      <w:divBdr>
        <w:top w:val="none" w:sz="0" w:space="0" w:color="auto"/>
        <w:left w:val="none" w:sz="0" w:space="0" w:color="auto"/>
        <w:bottom w:val="none" w:sz="0" w:space="0" w:color="auto"/>
        <w:right w:val="none" w:sz="0" w:space="0" w:color="auto"/>
      </w:divBdr>
    </w:div>
    <w:div w:id="664742365">
      <w:bodyDiv w:val="1"/>
      <w:marLeft w:val="0"/>
      <w:marRight w:val="0"/>
      <w:marTop w:val="0"/>
      <w:marBottom w:val="0"/>
      <w:divBdr>
        <w:top w:val="none" w:sz="0" w:space="0" w:color="auto"/>
        <w:left w:val="none" w:sz="0" w:space="0" w:color="auto"/>
        <w:bottom w:val="none" w:sz="0" w:space="0" w:color="auto"/>
        <w:right w:val="none" w:sz="0" w:space="0" w:color="auto"/>
      </w:divBdr>
    </w:div>
    <w:div w:id="665014313">
      <w:bodyDiv w:val="1"/>
      <w:marLeft w:val="0"/>
      <w:marRight w:val="0"/>
      <w:marTop w:val="0"/>
      <w:marBottom w:val="0"/>
      <w:divBdr>
        <w:top w:val="none" w:sz="0" w:space="0" w:color="auto"/>
        <w:left w:val="none" w:sz="0" w:space="0" w:color="auto"/>
        <w:bottom w:val="none" w:sz="0" w:space="0" w:color="auto"/>
        <w:right w:val="none" w:sz="0" w:space="0" w:color="auto"/>
      </w:divBdr>
    </w:div>
    <w:div w:id="665092080">
      <w:bodyDiv w:val="1"/>
      <w:marLeft w:val="0"/>
      <w:marRight w:val="0"/>
      <w:marTop w:val="0"/>
      <w:marBottom w:val="0"/>
      <w:divBdr>
        <w:top w:val="none" w:sz="0" w:space="0" w:color="auto"/>
        <w:left w:val="none" w:sz="0" w:space="0" w:color="auto"/>
        <w:bottom w:val="none" w:sz="0" w:space="0" w:color="auto"/>
        <w:right w:val="none" w:sz="0" w:space="0" w:color="auto"/>
      </w:divBdr>
    </w:div>
    <w:div w:id="665210414">
      <w:bodyDiv w:val="1"/>
      <w:marLeft w:val="0"/>
      <w:marRight w:val="0"/>
      <w:marTop w:val="0"/>
      <w:marBottom w:val="0"/>
      <w:divBdr>
        <w:top w:val="none" w:sz="0" w:space="0" w:color="auto"/>
        <w:left w:val="none" w:sz="0" w:space="0" w:color="auto"/>
        <w:bottom w:val="none" w:sz="0" w:space="0" w:color="auto"/>
        <w:right w:val="none" w:sz="0" w:space="0" w:color="auto"/>
      </w:divBdr>
    </w:div>
    <w:div w:id="665210865">
      <w:bodyDiv w:val="1"/>
      <w:marLeft w:val="0"/>
      <w:marRight w:val="0"/>
      <w:marTop w:val="0"/>
      <w:marBottom w:val="0"/>
      <w:divBdr>
        <w:top w:val="none" w:sz="0" w:space="0" w:color="auto"/>
        <w:left w:val="none" w:sz="0" w:space="0" w:color="auto"/>
        <w:bottom w:val="none" w:sz="0" w:space="0" w:color="auto"/>
        <w:right w:val="none" w:sz="0" w:space="0" w:color="auto"/>
      </w:divBdr>
    </w:div>
    <w:div w:id="665282170">
      <w:bodyDiv w:val="1"/>
      <w:marLeft w:val="0"/>
      <w:marRight w:val="0"/>
      <w:marTop w:val="0"/>
      <w:marBottom w:val="0"/>
      <w:divBdr>
        <w:top w:val="none" w:sz="0" w:space="0" w:color="auto"/>
        <w:left w:val="none" w:sz="0" w:space="0" w:color="auto"/>
        <w:bottom w:val="none" w:sz="0" w:space="0" w:color="auto"/>
        <w:right w:val="none" w:sz="0" w:space="0" w:color="auto"/>
      </w:divBdr>
    </w:div>
    <w:div w:id="665524182">
      <w:bodyDiv w:val="1"/>
      <w:marLeft w:val="0"/>
      <w:marRight w:val="0"/>
      <w:marTop w:val="0"/>
      <w:marBottom w:val="0"/>
      <w:divBdr>
        <w:top w:val="none" w:sz="0" w:space="0" w:color="auto"/>
        <w:left w:val="none" w:sz="0" w:space="0" w:color="auto"/>
        <w:bottom w:val="none" w:sz="0" w:space="0" w:color="auto"/>
        <w:right w:val="none" w:sz="0" w:space="0" w:color="auto"/>
      </w:divBdr>
    </w:div>
    <w:div w:id="665548923">
      <w:bodyDiv w:val="1"/>
      <w:marLeft w:val="0"/>
      <w:marRight w:val="0"/>
      <w:marTop w:val="0"/>
      <w:marBottom w:val="0"/>
      <w:divBdr>
        <w:top w:val="none" w:sz="0" w:space="0" w:color="auto"/>
        <w:left w:val="none" w:sz="0" w:space="0" w:color="auto"/>
        <w:bottom w:val="none" w:sz="0" w:space="0" w:color="auto"/>
        <w:right w:val="none" w:sz="0" w:space="0" w:color="auto"/>
      </w:divBdr>
    </w:div>
    <w:div w:id="665665635">
      <w:bodyDiv w:val="1"/>
      <w:marLeft w:val="0"/>
      <w:marRight w:val="0"/>
      <w:marTop w:val="0"/>
      <w:marBottom w:val="0"/>
      <w:divBdr>
        <w:top w:val="none" w:sz="0" w:space="0" w:color="auto"/>
        <w:left w:val="none" w:sz="0" w:space="0" w:color="auto"/>
        <w:bottom w:val="none" w:sz="0" w:space="0" w:color="auto"/>
        <w:right w:val="none" w:sz="0" w:space="0" w:color="auto"/>
      </w:divBdr>
    </w:div>
    <w:div w:id="665667967">
      <w:bodyDiv w:val="1"/>
      <w:marLeft w:val="0"/>
      <w:marRight w:val="0"/>
      <w:marTop w:val="0"/>
      <w:marBottom w:val="0"/>
      <w:divBdr>
        <w:top w:val="none" w:sz="0" w:space="0" w:color="auto"/>
        <w:left w:val="none" w:sz="0" w:space="0" w:color="auto"/>
        <w:bottom w:val="none" w:sz="0" w:space="0" w:color="auto"/>
        <w:right w:val="none" w:sz="0" w:space="0" w:color="auto"/>
      </w:divBdr>
    </w:div>
    <w:div w:id="665792679">
      <w:bodyDiv w:val="1"/>
      <w:marLeft w:val="0"/>
      <w:marRight w:val="0"/>
      <w:marTop w:val="0"/>
      <w:marBottom w:val="0"/>
      <w:divBdr>
        <w:top w:val="none" w:sz="0" w:space="0" w:color="auto"/>
        <w:left w:val="none" w:sz="0" w:space="0" w:color="auto"/>
        <w:bottom w:val="none" w:sz="0" w:space="0" w:color="auto"/>
        <w:right w:val="none" w:sz="0" w:space="0" w:color="auto"/>
      </w:divBdr>
    </w:div>
    <w:div w:id="665935193">
      <w:bodyDiv w:val="1"/>
      <w:marLeft w:val="0"/>
      <w:marRight w:val="0"/>
      <w:marTop w:val="0"/>
      <w:marBottom w:val="0"/>
      <w:divBdr>
        <w:top w:val="none" w:sz="0" w:space="0" w:color="auto"/>
        <w:left w:val="none" w:sz="0" w:space="0" w:color="auto"/>
        <w:bottom w:val="none" w:sz="0" w:space="0" w:color="auto"/>
        <w:right w:val="none" w:sz="0" w:space="0" w:color="auto"/>
      </w:divBdr>
    </w:div>
    <w:div w:id="666131548">
      <w:bodyDiv w:val="1"/>
      <w:marLeft w:val="0"/>
      <w:marRight w:val="0"/>
      <w:marTop w:val="0"/>
      <w:marBottom w:val="0"/>
      <w:divBdr>
        <w:top w:val="none" w:sz="0" w:space="0" w:color="auto"/>
        <w:left w:val="none" w:sz="0" w:space="0" w:color="auto"/>
        <w:bottom w:val="none" w:sz="0" w:space="0" w:color="auto"/>
        <w:right w:val="none" w:sz="0" w:space="0" w:color="auto"/>
      </w:divBdr>
    </w:div>
    <w:div w:id="666372457">
      <w:bodyDiv w:val="1"/>
      <w:marLeft w:val="0"/>
      <w:marRight w:val="0"/>
      <w:marTop w:val="0"/>
      <w:marBottom w:val="0"/>
      <w:divBdr>
        <w:top w:val="none" w:sz="0" w:space="0" w:color="auto"/>
        <w:left w:val="none" w:sz="0" w:space="0" w:color="auto"/>
        <w:bottom w:val="none" w:sz="0" w:space="0" w:color="auto"/>
        <w:right w:val="none" w:sz="0" w:space="0" w:color="auto"/>
      </w:divBdr>
    </w:div>
    <w:div w:id="666520391">
      <w:bodyDiv w:val="1"/>
      <w:marLeft w:val="0"/>
      <w:marRight w:val="0"/>
      <w:marTop w:val="0"/>
      <w:marBottom w:val="0"/>
      <w:divBdr>
        <w:top w:val="none" w:sz="0" w:space="0" w:color="auto"/>
        <w:left w:val="none" w:sz="0" w:space="0" w:color="auto"/>
        <w:bottom w:val="none" w:sz="0" w:space="0" w:color="auto"/>
        <w:right w:val="none" w:sz="0" w:space="0" w:color="auto"/>
      </w:divBdr>
    </w:div>
    <w:div w:id="666520751">
      <w:bodyDiv w:val="1"/>
      <w:marLeft w:val="0"/>
      <w:marRight w:val="0"/>
      <w:marTop w:val="0"/>
      <w:marBottom w:val="0"/>
      <w:divBdr>
        <w:top w:val="none" w:sz="0" w:space="0" w:color="auto"/>
        <w:left w:val="none" w:sz="0" w:space="0" w:color="auto"/>
        <w:bottom w:val="none" w:sz="0" w:space="0" w:color="auto"/>
        <w:right w:val="none" w:sz="0" w:space="0" w:color="auto"/>
      </w:divBdr>
    </w:div>
    <w:div w:id="666598546">
      <w:bodyDiv w:val="1"/>
      <w:marLeft w:val="0"/>
      <w:marRight w:val="0"/>
      <w:marTop w:val="0"/>
      <w:marBottom w:val="0"/>
      <w:divBdr>
        <w:top w:val="none" w:sz="0" w:space="0" w:color="auto"/>
        <w:left w:val="none" w:sz="0" w:space="0" w:color="auto"/>
        <w:bottom w:val="none" w:sz="0" w:space="0" w:color="auto"/>
        <w:right w:val="none" w:sz="0" w:space="0" w:color="auto"/>
      </w:divBdr>
    </w:div>
    <w:div w:id="666788437">
      <w:bodyDiv w:val="1"/>
      <w:marLeft w:val="0"/>
      <w:marRight w:val="0"/>
      <w:marTop w:val="0"/>
      <w:marBottom w:val="0"/>
      <w:divBdr>
        <w:top w:val="none" w:sz="0" w:space="0" w:color="auto"/>
        <w:left w:val="none" w:sz="0" w:space="0" w:color="auto"/>
        <w:bottom w:val="none" w:sz="0" w:space="0" w:color="auto"/>
        <w:right w:val="none" w:sz="0" w:space="0" w:color="auto"/>
      </w:divBdr>
    </w:div>
    <w:div w:id="666790456">
      <w:bodyDiv w:val="1"/>
      <w:marLeft w:val="0"/>
      <w:marRight w:val="0"/>
      <w:marTop w:val="0"/>
      <w:marBottom w:val="0"/>
      <w:divBdr>
        <w:top w:val="none" w:sz="0" w:space="0" w:color="auto"/>
        <w:left w:val="none" w:sz="0" w:space="0" w:color="auto"/>
        <w:bottom w:val="none" w:sz="0" w:space="0" w:color="auto"/>
        <w:right w:val="none" w:sz="0" w:space="0" w:color="auto"/>
      </w:divBdr>
    </w:div>
    <w:div w:id="666909790">
      <w:bodyDiv w:val="1"/>
      <w:marLeft w:val="0"/>
      <w:marRight w:val="0"/>
      <w:marTop w:val="0"/>
      <w:marBottom w:val="0"/>
      <w:divBdr>
        <w:top w:val="none" w:sz="0" w:space="0" w:color="auto"/>
        <w:left w:val="none" w:sz="0" w:space="0" w:color="auto"/>
        <w:bottom w:val="none" w:sz="0" w:space="0" w:color="auto"/>
        <w:right w:val="none" w:sz="0" w:space="0" w:color="auto"/>
      </w:divBdr>
    </w:div>
    <w:div w:id="666982879">
      <w:bodyDiv w:val="1"/>
      <w:marLeft w:val="0"/>
      <w:marRight w:val="0"/>
      <w:marTop w:val="0"/>
      <w:marBottom w:val="0"/>
      <w:divBdr>
        <w:top w:val="none" w:sz="0" w:space="0" w:color="auto"/>
        <w:left w:val="none" w:sz="0" w:space="0" w:color="auto"/>
        <w:bottom w:val="none" w:sz="0" w:space="0" w:color="auto"/>
        <w:right w:val="none" w:sz="0" w:space="0" w:color="auto"/>
      </w:divBdr>
    </w:div>
    <w:div w:id="667171281">
      <w:bodyDiv w:val="1"/>
      <w:marLeft w:val="0"/>
      <w:marRight w:val="0"/>
      <w:marTop w:val="0"/>
      <w:marBottom w:val="0"/>
      <w:divBdr>
        <w:top w:val="none" w:sz="0" w:space="0" w:color="auto"/>
        <w:left w:val="none" w:sz="0" w:space="0" w:color="auto"/>
        <w:bottom w:val="none" w:sz="0" w:space="0" w:color="auto"/>
        <w:right w:val="none" w:sz="0" w:space="0" w:color="auto"/>
      </w:divBdr>
    </w:div>
    <w:div w:id="667252394">
      <w:bodyDiv w:val="1"/>
      <w:marLeft w:val="0"/>
      <w:marRight w:val="0"/>
      <w:marTop w:val="0"/>
      <w:marBottom w:val="0"/>
      <w:divBdr>
        <w:top w:val="none" w:sz="0" w:space="0" w:color="auto"/>
        <w:left w:val="none" w:sz="0" w:space="0" w:color="auto"/>
        <w:bottom w:val="none" w:sz="0" w:space="0" w:color="auto"/>
        <w:right w:val="none" w:sz="0" w:space="0" w:color="auto"/>
      </w:divBdr>
    </w:div>
    <w:div w:id="667637149">
      <w:bodyDiv w:val="1"/>
      <w:marLeft w:val="0"/>
      <w:marRight w:val="0"/>
      <w:marTop w:val="0"/>
      <w:marBottom w:val="0"/>
      <w:divBdr>
        <w:top w:val="none" w:sz="0" w:space="0" w:color="auto"/>
        <w:left w:val="none" w:sz="0" w:space="0" w:color="auto"/>
        <w:bottom w:val="none" w:sz="0" w:space="0" w:color="auto"/>
        <w:right w:val="none" w:sz="0" w:space="0" w:color="auto"/>
      </w:divBdr>
    </w:div>
    <w:div w:id="667683361">
      <w:bodyDiv w:val="1"/>
      <w:marLeft w:val="0"/>
      <w:marRight w:val="0"/>
      <w:marTop w:val="0"/>
      <w:marBottom w:val="0"/>
      <w:divBdr>
        <w:top w:val="none" w:sz="0" w:space="0" w:color="auto"/>
        <w:left w:val="none" w:sz="0" w:space="0" w:color="auto"/>
        <w:bottom w:val="none" w:sz="0" w:space="0" w:color="auto"/>
        <w:right w:val="none" w:sz="0" w:space="0" w:color="auto"/>
      </w:divBdr>
    </w:div>
    <w:div w:id="667709654">
      <w:bodyDiv w:val="1"/>
      <w:marLeft w:val="0"/>
      <w:marRight w:val="0"/>
      <w:marTop w:val="0"/>
      <w:marBottom w:val="0"/>
      <w:divBdr>
        <w:top w:val="none" w:sz="0" w:space="0" w:color="auto"/>
        <w:left w:val="none" w:sz="0" w:space="0" w:color="auto"/>
        <w:bottom w:val="none" w:sz="0" w:space="0" w:color="auto"/>
        <w:right w:val="none" w:sz="0" w:space="0" w:color="auto"/>
      </w:divBdr>
    </w:div>
    <w:div w:id="668098429">
      <w:bodyDiv w:val="1"/>
      <w:marLeft w:val="0"/>
      <w:marRight w:val="0"/>
      <w:marTop w:val="0"/>
      <w:marBottom w:val="0"/>
      <w:divBdr>
        <w:top w:val="none" w:sz="0" w:space="0" w:color="auto"/>
        <w:left w:val="none" w:sz="0" w:space="0" w:color="auto"/>
        <w:bottom w:val="none" w:sz="0" w:space="0" w:color="auto"/>
        <w:right w:val="none" w:sz="0" w:space="0" w:color="auto"/>
      </w:divBdr>
    </w:div>
    <w:div w:id="668289420">
      <w:bodyDiv w:val="1"/>
      <w:marLeft w:val="0"/>
      <w:marRight w:val="0"/>
      <w:marTop w:val="0"/>
      <w:marBottom w:val="0"/>
      <w:divBdr>
        <w:top w:val="none" w:sz="0" w:space="0" w:color="auto"/>
        <w:left w:val="none" w:sz="0" w:space="0" w:color="auto"/>
        <w:bottom w:val="none" w:sz="0" w:space="0" w:color="auto"/>
        <w:right w:val="none" w:sz="0" w:space="0" w:color="auto"/>
      </w:divBdr>
    </w:div>
    <w:div w:id="669020885">
      <w:bodyDiv w:val="1"/>
      <w:marLeft w:val="0"/>
      <w:marRight w:val="0"/>
      <w:marTop w:val="0"/>
      <w:marBottom w:val="0"/>
      <w:divBdr>
        <w:top w:val="none" w:sz="0" w:space="0" w:color="auto"/>
        <w:left w:val="none" w:sz="0" w:space="0" w:color="auto"/>
        <w:bottom w:val="none" w:sz="0" w:space="0" w:color="auto"/>
        <w:right w:val="none" w:sz="0" w:space="0" w:color="auto"/>
      </w:divBdr>
    </w:div>
    <w:div w:id="669214641">
      <w:bodyDiv w:val="1"/>
      <w:marLeft w:val="0"/>
      <w:marRight w:val="0"/>
      <w:marTop w:val="0"/>
      <w:marBottom w:val="0"/>
      <w:divBdr>
        <w:top w:val="none" w:sz="0" w:space="0" w:color="auto"/>
        <w:left w:val="none" w:sz="0" w:space="0" w:color="auto"/>
        <w:bottom w:val="none" w:sz="0" w:space="0" w:color="auto"/>
        <w:right w:val="none" w:sz="0" w:space="0" w:color="auto"/>
      </w:divBdr>
    </w:div>
    <w:div w:id="669332170">
      <w:bodyDiv w:val="1"/>
      <w:marLeft w:val="0"/>
      <w:marRight w:val="0"/>
      <w:marTop w:val="0"/>
      <w:marBottom w:val="0"/>
      <w:divBdr>
        <w:top w:val="none" w:sz="0" w:space="0" w:color="auto"/>
        <w:left w:val="none" w:sz="0" w:space="0" w:color="auto"/>
        <w:bottom w:val="none" w:sz="0" w:space="0" w:color="auto"/>
        <w:right w:val="none" w:sz="0" w:space="0" w:color="auto"/>
      </w:divBdr>
    </w:div>
    <w:div w:id="669481961">
      <w:bodyDiv w:val="1"/>
      <w:marLeft w:val="0"/>
      <w:marRight w:val="0"/>
      <w:marTop w:val="0"/>
      <w:marBottom w:val="0"/>
      <w:divBdr>
        <w:top w:val="none" w:sz="0" w:space="0" w:color="auto"/>
        <w:left w:val="none" w:sz="0" w:space="0" w:color="auto"/>
        <w:bottom w:val="none" w:sz="0" w:space="0" w:color="auto"/>
        <w:right w:val="none" w:sz="0" w:space="0" w:color="auto"/>
      </w:divBdr>
    </w:div>
    <w:div w:id="669522005">
      <w:bodyDiv w:val="1"/>
      <w:marLeft w:val="0"/>
      <w:marRight w:val="0"/>
      <w:marTop w:val="0"/>
      <w:marBottom w:val="0"/>
      <w:divBdr>
        <w:top w:val="none" w:sz="0" w:space="0" w:color="auto"/>
        <w:left w:val="none" w:sz="0" w:space="0" w:color="auto"/>
        <w:bottom w:val="none" w:sz="0" w:space="0" w:color="auto"/>
        <w:right w:val="none" w:sz="0" w:space="0" w:color="auto"/>
      </w:divBdr>
    </w:div>
    <w:div w:id="669523104">
      <w:bodyDiv w:val="1"/>
      <w:marLeft w:val="0"/>
      <w:marRight w:val="0"/>
      <w:marTop w:val="0"/>
      <w:marBottom w:val="0"/>
      <w:divBdr>
        <w:top w:val="none" w:sz="0" w:space="0" w:color="auto"/>
        <w:left w:val="none" w:sz="0" w:space="0" w:color="auto"/>
        <w:bottom w:val="none" w:sz="0" w:space="0" w:color="auto"/>
        <w:right w:val="none" w:sz="0" w:space="0" w:color="auto"/>
      </w:divBdr>
    </w:div>
    <w:div w:id="669721098">
      <w:bodyDiv w:val="1"/>
      <w:marLeft w:val="0"/>
      <w:marRight w:val="0"/>
      <w:marTop w:val="0"/>
      <w:marBottom w:val="0"/>
      <w:divBdr>
        <w:top w:val="none" w:sz="0" w:space="0" w:color="auto"/>
        <w:left w:val="none" w:sz="0" w:space="0" w:color="auto"/>
        <w:bottom w:val="none" w:sz="0" w:space="0" w:color="auto"/>
        <w:right w:val="none" w:sz="0" w:space="0" w:color="auto"/>
      </w:divBdr>
    </w:div>
    <w:div w:id="669723499">
      <w:bodyDiv w:val="1"/>
      <w:marLeft w:val="0"/>
      <w:marRight w:val="0"/>
      <w:marTop w:val="0"/>
      <w:marBottom w:val="0"/>
      <w:divBdr>
        <w:top w:val="none" w:sz="0" w:space="0" w:color="auto"/>
        <w:left w:val="none" w:sz="0" w:space="0" w:color="auto"/>
        <w:bottom w:val="none" w:sz="0" w:space="0" w:color="auto"/>
        <w:right w:val="none" w:sz="0" w:space="0" w:color="auto"/>
      </w:divBdr>
    </w:div>
    <w:div w:id="670106617">
      <w:bodyDiv w:val="1"/>
      <w:marLeft w:val="0"/>
      <w:marRight w:val="0"/>
      <w:marTop w:val="0"/>
      <w:marBottom w:val="0"/>
      <w:divBdr>
        <w:top w:val="none" w:sz="0" w:space="0" w:color="auto"/>
        <w:left w:val="none" w:sz="0" w:space="0" w:color="auto"/>
        <w:bottom w:val="none" w:sz="0" w:space="0" w:color="auto"/>
        <w:right w:val="none" w:sz="0" w:space="0" w:color="auto"/>
      </w:divBdr>
    </w:div>
    <w:div w:id="670186122">
      <w:bodyDiv w:val="1"/>
      <w:marLeft w:val="0"/>
      <w:marRight w:val="0"/>
      <w:marTop w:val="0"/>
      <w:marBottom w:val="0"/>
      <w:divBdr>
        <w:top w:val="none" w:sz="0" w:space="0" w:color="auto"/>
        <w:left w:val="none" w:sz="0" w:space="0" w:color="auto"/>
        <w:bottom w:val="none" w:sz="0" w:space="0" w:color="auto"/>
        <w:right w:val="none" w:sz="0" w:space="0" w:color="auto"/>
      </w:divBdr>
    </w:div>
    <w:div w:id="670330481">
      <w:bodyDiv w:val="1"/>
      <w:marLeft w:val="0"/>
      <w:marRight w:val="0"/>
      <w:marTop w:val="0"/>
      <w:marBottom w:val="0"/>
      <w:divBdr>
        <w:top w:val="none" w:sz="0" w:space="0" w:color="auto"/>
        <w:left w:val="none" w:sz="0" w:space="0" w:color="auto"/>
        <w:bottom w:val="none" w:sz="0" w:space="0" w:color="auto"/>
        <w:right w:val="none" w:sz="0" w:space="0" w:color="auto"/>
      </w:divBdr>
    </w:div>
    <w:div w:id="670524683">
      <w:bodyDiv w:val="1"/>
      <w:marLeft w:val="0"/>
      <w:marRight w:val="0"/>
      <w:marTop w:val="0"/>
      <w:marBottom w:val="0"/>
      <w:divBdr>
        <w:top w:val="none" w:sz="0" w:space="0" w:color="auto"/>
        <w:left w:val="none" w:sz="0" w:space="0" w:color="auto"/>
        <w:bottom w:val="none" w:sz="0" w:space="0" w:color="auto"/>
        <w:right w:val="none" w:sz="0" w:space="0" w:color="auto"/>
      </w:divBdr>
    </w:div>
    <w:div w:id="671226987">
      <w:bodyDiv w:val="1"/>
      <w:marLeft w:val="0"/>
      <w:marRight w:val="0"/>
      <w:marTop w:val="0"/>
      <w:marBottom w:val="0"/>
      <w:divBdr>
        <w:top w:val="none" w:sz="0" w:space="0" w:color="auto"/>
        <w:left w:val="none" w:sz="0" w:space="0" w:color="auto"/>
        <w:bottom w:val="none" w:sz="0" w:space="0" w:color="auto"/>
        <w:right w:val="none" w:sz="0" w:space="0" w:color="auto"/>
      </w:divBdr>
    </w:div>
    <w:div w:id="671228159">
      <w:bodyDiv w:val="1"/>
      <w:marLeft w:val="0"/>
      <w:marRight w:val="0"/>
      <w:marTop w:val="0"/>
      <w:marBottom w:val="0"/>
      <w:divBdr>
        <w:top w:val="none" w:sz="0" w:space="0" w:color="auto"/>
        <w:left w:val="none" w:sz="0" w:space="0" w:color="auto"/>
        <w:bottom w:val="none" w:sz="0" w:space="0" w:color="auto"/>
        <w:right w:val="none" w:sz="0" w:space="0" w:color="auto"/>
      </w:divBdr>
    </w:div>
    <w:div w:id="671418789">
      <w:bodyDiv w:val="1"/>
      <w:marLeft w:val="0"/>
      <w:marRight w:val="0"/>
      <w:marTop w:val="0"/>
      <w:marBottom w:val="0"/>
      <w:divBdr>
        <w:top w:val="none" w:sz="0" w:space="0" w:color="auto"/>
        <w:left w:val="none" w:sz="0" w:space="0" w:color="auto"/>
        <w:bottom w:val="none" w:sz="0" w:space="0" w:color="auto"/>
        <w:right w:val="none" w:sz="0" w:space="0" w:color="auto"/>
      </w:divBdr>
    </w:div>
    <w:div w:id="671420278">
      <w:bodyDiv w:val="1"/>
      <w:marLeft w:val="0"/>
      <w:marRight w:val="0"/>
      <w:marTop w:val="0"/>
      <w:marBottom w:val="0"/>
      <w:divBdr>
        <w:top w:val="none" w:sz="0" w:space="0" w:color="auto"/>
        <w:left w:val="none" w:sz="0" w:space="0" w:color="auto"/>
        <w:bottom w:val="none" w:sz="0" w:space="0" w:color="auto"/>
        <w:right w:val="none" w:sz="0" w:space="0" w:color="auto"/>
      </w:divBdr>
    </w:div>
    <w:div w:id="671614223">
      <w:bodyDiv w:val="1"/>
      <w:marLeft w:val="0"/>
      <w:marRight w:val="0"/>
      <w:marTop w:val="0"/>
      <w:marBottom w:val="0"/>
      <w:divBdr>
        <w:top w:val="none" w:sz="0" w:space="0" w:color="auto"/>
        <w:left w:val="none" w:sz="0" w:space="0" w:color="auto"/>
        <w:bottom w:val="none" w:sz="0" w:space="0" w:color="auto"/>
        <w:right w:val="none" w:sz="0" w:space="0" w:color="auto"/>
      </w:divBdr>
    </w:div>
    <w:div w:id="672032215">
      <w:bodyDiv w:val="1"/>
      <w:marLeft w:val="0"/>
      <w:marRight w:val="0"/>
      <w:marTop w:val="0"/>
      <w:marBottom w:val="0"/>
      <w:divBdr>
        <w:top w:val="none" w:sz="0" w:space="0" w:color="auto"/>
        <w:left w:val="none" w:sz="0" w:space="0" w:color="auto"/>
        <w:bottom w:val="none" w:sz="0" w:space="0" w:color="auto"/>
        <w:right w:val="none" w:sz="0" w:space="0" w:color="auto"/>
      </w:divBdr>
    </w:div>
    <w:div w:id="672101287">
      <w:bodyDiv w:val="1"/>
      <w:marLeft w:val="0"/>
      <w:marRight w:val="0"/>
      <w:marTop w:val="0"/>
      <w:marBottom w:val="0"/>
      <w:divBdr>
        <w:top w:val="none" w:sz="0" w:space="0" w:color="auto"/>
        <w:left w:val="none" w:sz="0" w:space="0" w:color="auto"/>
        <w:bottom w:val="none" w:sz="0" w:space="0" w:color="auto"/>
        <w:right w:val="none" w:sz="0" w:space="0" w:color="auto"/>
      </w:divBdr>
    </w:div>
    <w:div w:id="672226256">
      <w:bodyDiv w:val="1"/>
      <w:marLeft w:val="0"/>
      <w:marRight w:val="0"/>
      <w:marTop w:val="0"/>
      <w:marBottom w:val="0"/>
      <w:divBdr>
        <w:top w:val="none" w:sz="0" w:space="0" w:color="auto"/>
        <w:left w:val="none" w:sz="0" w:space="0" w:color="auto"/>
        <w:bottom w:val="none" w:sz="0" w:space="0" w:color="auto"/>
        <w:right w:val="none" w:sz="0" w:space="0" w:color="auto"/>
      </w:divBdr>
    </w:div>
    <w:div w:id="672412849">
      <w:bodyDiv w:val="1"/>
      <w:marLeft w:val="0"/>
      <w:marRight w:val="0"/>
      <w:marTop w:val="0"/>
      <w:marBottom w:val="0"/>
      <w:divBdr>
        <w:top w:val="none" w:sz="0" w:space="0" w:color="auto"/>
        <w:left w:val="none" w:sz="0" w:space="0" w:color="auto"/>
        <w:bottom w:val="none" w:sz="0" w:space="0" w:color="auto"/>
        <w:right w:val="none" w:sz="0" w:space="0" w:color="auto"/>
      </w:divBdr>
    </w:div>
    <w:div w:id="672488729">
      <w:bodyDiv w:val="1"/>
      <w:marLeft w:val="0"/>
      <w:marRight w:val="0"/>
      <w:marTop w:val="0"/>
      <w:marBottom w:val="0"/>
      <w:divBdr>
        <w:top w:val="none" w:sz="0" w:space="0" w:color="auto"/>
        <w:left w:val="none" w:sz="0" w:space="0" w:color="auto"/>
        <w:bottom w:val="none" w:sz="0" w:space="0" w:color="auto"/>
        <w:right w:val="none" w:sz="0" w:space="0" w:color="auto"/>
      </w:divBdr>
    </w:div>
    <w:div w:id="672532106">
      <w:bodyDiv w:val="1"/>
      <w:marLeft w:val="0"/>
      <w:marRight w:val="0"/>
      <w:marTop w:val="0"/>
      <w:marBottom w:val="0"/>
      <w:divBdr>
        <w:top w:val="none" w:sz="0" w:space="0" w:color="auto"/>
        <w:left w:val="none" w:sz="0" w:space="0" w:color="auto"/>
        <w:bottom w:val="none" w:sz="0" w:space="0" w:color="auto"/>
        <w:right w:val="none" w:sz="0" w:space="0" w:color="auto"/>
      </w:divBdr>
    </w:div>
    <w:div w:id="672606591">
      <w:bodyDiv w:val="1"/>
      <w:marLeft w:val="0"/>
      <w:marRight w:val="0"/>
      <w:marTop w:val="0"/>
      <w:marBottom w:val="0"/>
      <w:divBdr>
        <w:top w:val="none" w:sz="0" w:space="0" w:color="auto"/>
        <w:left w:val="none" w:sz="0" w:space="0" w:color="auto"/>
        <w:bottom w:val="none" w:sz="0" w:space="0" w:color="auto"/>
        <w:right w:val="none" w:sz="0" w:space="0" w:color="auto"/>
      </w:divBdr>
    </w:div>
    <w:div w:id="672608478">
      <w:bodyDiv w:val="1"/>
      <w:marLeft w:val="0"/>
      <w:marRight w:val="0"/>
      <w:marTop w:val="0"/>
      <w:marBottom w:val="0"/>
      <w:divBdr>
        <w:top w:val="none" w:sz="0" w:space="0" w:color="auto"/>
        <w:left w:val="none" w:sz="0" w:space="0" w:color="auto"/>
        <w:bottom w:val="none" w:sz="0" w:space="0" w:color="auto"/>
        <w:right w:val="none" w:sz="0" w:space="0" w:color="auto"/>
      </w:divBdr>
    </w:div>
    <w:div w:id="672802318">
      <w:bodyDiv w:val="1"/>
      <w:marLeft w:val="0"/>
      <w:marRight w:val="0"/>
      <w:marTop w:val="0"/>
      <w:marBottom w:val="0"/>
      <w:divBdr>
        <w:top w:val="none" w:sz="0" w:space="0" w:color="auto"/>
        <w:left w:val="none" w:sz="0" w:space="0" w:color="auto"/>
        <w:bottom w:val="none" w:sz="0" w:space="0" w:color="auto"/>
        <w:right w:val="none" w:sz="0" w:space="0" w:color="auto"/>
      </w:divBdr>
    </w:div>
    <w:div w:id="673453785">
      <w:bodyDiv w:val="1"/>
      <w:marLeft w:val="0"/>
      <w:marRight w:val="0"/>
      <w:marTop w:val="0"/>
      <w:marBottom w:val="0"/>
      <w:divBdr>
        <w:top w:val="none" w:sz="0" w:space="0" w:color="auto"/>
        <w:left w:val="none" w:sz="0" w:space="0" w:color="auto"/>
        <w:bottom w:val="none" w:sz="0" w:space="0" w:color="auto"/>
        <w:right w:val="none" w:sz="0" w:space="0" w:color="auto"/>
      </w:divBdr>
    </w:div>
    <w:div w:id="673454696">
      <w:bodyDiv w:val="1"/>
      <w:marLeft w:val="0"/>
      <w:marRight w:val="0"/>
      <w:marTop w:val="0"/>
      <w:marBottom w:val="0"/>
      <w:divBdr>
        <w:top w:val="none" w:sz="0" w:space="0" w:color="auto"/>
        <w:left w:val="none" w:sz="0" w:space="0" w:color="auto"/>
        <w:bottom w:val="none" w:sz="0" w:space="0" w:color="auto"/>
        <w:right w:val="none" w:sz="0" w:space="0" w:color="auto"/>
      </w:divBdr>
    </w:div>
    <w:div w:id="673655954">
      <w:bodyDiv w:val="1"/>
      <w:marLeft w:val="0"/>
      <w:marRight w:val="0"/>
      <w:marTop w:val="0"/>
      <w:marBottom w:val="0"/>
      <w:divBdr>
        <w:top w:val="none" w:sz="0" w:space="0" w:color="auto"/>
        <w:left w:val="none" w:sz="0" w:space="0" w:color="auto"/>
        <w:bottom w:val="none" w:sz="0" w:space="0" w:color="auto"/>
        <w:right w:val="none" w:sz="0" w:space="0" w:color="auto"/>
      </w:divBdr>
    </w:div>
    <w:div w:id="674309206">
      <w:bodyDiv w:val="1"/>
      <w:marLeft w:val="0"/>
      <w:marRight w:val="0"/>
      <w:marTop w:val="0"/>
      <w:marBottom w:val="0"/>
      <w:divBdr>
        <w:top w:val="none" w:sz="0" w:space="0" w:color="auto"/>
        <w:left w:val="none" w:sz="0" w:space="0" w:color="auto"/>
        <w:bottom w:val="none" w:sz="0" w:space="0" w:color="auto"/>
        <w:right w:val="none" w:sz="0" w:space="0" w:color="auto"/>
      </w:divBdr>
    </w:div>
    <w:div w:id="674460375">
      <w:bodyDiv w:val="1"/>
      <w:marLeft w:val="0"/>
      <w:marRight w:val="0"/>
      <w:marTop w:val="0"/>
      <w:marBottom w:val="0"/>
      <w:divBdr>
        <w:top w:val="none" w:sz="0" w:space="0" w:color="auto"/>
        <w:left w:val="none" w:sz="0" w:space="0" w:color="auto"/>
        <w:bottom w:val="none" w:sz="0" w:space="0" w:color="auto"/>
        <w:right w:val="none" w:sz="0" w:space="0" w:color="auto"/>
      </w:divBdr>
    </w:div>
    <w:div w:id="675229097">
      <w:bodyDiv w:val="1"/>
      <w:marLeft w:val="0"/>
      <w:marRight w:val="0"/>
      <w:marTop w:val="0"/>
      <w:marBottom w:val="0"/>
      <w:divBdr>
        <w:top w:val="none" w:sz="0" w:space="0" w:color="auto"/>
        <w:left w:val="none" w:sz="0" w:space="0" w:color="auto"/>
        <w:bottom w:val="none" w:sz="0" w:space="0" w:color="auto"/>
        <w:right w:val="none" w:sz="0" w:space="0" w:color="auto"/>
      </w:divBdr>
    </w:div>
    <w:div w:id="675620243">
      <w:bodyDiv w:val="1"/>
      <w:marLeft w:val="0"/>
      <w:marRight w:val="0"/>
      <w:marTop w:val="0"/>
      <w:marBottom w:val="0"/>
      <w:divBdr>
        <w:top w:val="none" w:sz="0" w:space="0" w:color="auto"/>
        <w:left w:val="none" w:sz="0" w:space="0" w:color="auto"/>
        <w:bottom w:val="none" w:sz="0" w:space="0" w:color="auto"/>
        <w:right w:val="none" w:sz="0" w:space="0" w:color="auto"/>
      </w:divBdr>
    </w:div>
    <w:div w:id="675885974">
      <w:bodyDiv w:val="1"/>
      <w:marLeft w:val="0"/>
      <w:marRight w:val="0"/>
      <w:marTop w:val="0"/>
      <w:marBottom w:val="0"/>
      <w:divBdr>
        <w:top w:val="none" w:sz="0" w:space="0" w:color="auto"/>
        <w:left w:val="none" w:sz="0" w:space="0" w:color="auto"/>
        <w:bottom w:val="none" w:sz="0" w:space="0" w:color="auto"/>
        <w:right w:val="none" w:sz="0" w:space="0" w:color="auto"/>
      </w:divBdr>
    </w:div>
    <w:div w:id="675959056">
      <w:bodyDiv w:val="1"/>
      <w:marLeft w:val="0"/>
      <w:marRight w:val="0"/>
      <w:marTop w:val="0"/>
      <w:marBottom w:val="0"/>
      <w:divBdr>
        <w:top w:val="none" w:sz="0" w:space="0" w:color="auto"/>
        <w:left w:val="none" w:sz="0" w:space="0" w:color="auto"/>
        <w:bottom w:val="none" w:sz="0" w:space="0" w:color="auto"/>
        <w:right w:val="none" w:sz="0" w:space="0" w:color="auto"/>
      </w:divBdr>
    </w:div>
    <w:div w:id="676078120">
      <w:bodyDiv w:val="1"/>
      <w:marLeft w:val="0"/>
      <w:marRight w:val="0"/>
      <w:marTop w:val="0"/>
      <w:marBottom w:val="0"/>
      <w:divBdr>
        <w:top w:val="none" w:sz="0" w:space="0" w:color="auto"/>
        <w:left w:val="none" w:sz="0" w:space="0" w:color="auto"/>
        <w:bottom w:val="none" w:sz="0" w:space="0" w:color="auto"/>
        <w:right w:val="none" w:sz="0" w:space="0" w:color="auto"/>
      </w:divBdr>
    </w:div>
    <w:div w:id="676348430">
      <w:bodyDiv w:val="1"/>
      <w:marLeft w:val="0"/>
      <w:marRight w:val="0"/>
      <w:marTop w:val="0"/>
      <w:marBottom w:val="0"/>
      <w:divBdr>
        <w:top w:val="none" w:sz="0" w:space="0" w:color="auto"/>
        <w:left w:val="none" w:sz="0" w:space="0" w:color="auto"/>
        <w:bottom w:val="none" w:sz="0" w:space="0" w:color="auto"/>
        <w:right w:val="none" w:sz="0" w:space="0" w:color="auto"/>
      </w:divBdr>
    </w:div>
    <w:div w:id="676812598">
      <w:bodyDiv w:val="1"/>
      <w:marLeft w:val="0"/>
      <w:marRight w:val="0"/>
      <w:marTop w:val="0"/>
      <w:marBottom w:val="0"/>
      <w:divBdr>
        <w:top w:val="none" w:sz="0" w:space="0" w:color="auto"/>
        <w:left w:val="none" w:sz="0" w:space="0" w:color="auto"/>
        <w:bottom w:val="none" w:sz="0" w:space="0" w:color="auto"/>
        <w:right w:val="none" w:sz="0" w:space="0" w:color="auto"/>
      </w:divBdr>
    </w:div>
    <w:div w:id="676923356">
      <w:bodyDiv w:val="1"/>
      <w:marLeft w:val="0"/>
      <w:marRight w:val="0"/>
      <w:marTop w:val="0"/>
      <w:marBottom w:val="0"/>
      <w:divBdr>
        <w:top w:val="none" w:sz="0" w:space="0" w:color="auto"/>
        <w:left w:val="none" w:sz="0" w:space="0" w:color="auto"/>
        <w:bottom w:val="none" w:sz="0" w:space="0" w:color="auto"/>
        <w:right w:val="none" w:sz="0" w:space="0" w:color="auto"/>
      </w:divBdr>
    </w:div>
    <w:div w:id="676999869">
      <w:bodyDiv w:val="1"/>
      <w:marLeft w:val="0"/>
      <w:marRight w:val="0"/>
      <w:marTop w:val="0"/>
      <w:marBottom w:val="0"/>
      <w:divBdr>
        <w:top w:val="none" w:sz="0" w:space="0" w:color="auto"/>
        <w:left w:val="none" w:sz="0" w:space="0" w:color="auto"/>
        <w:bottom w:val="none" w:sz="0" w:space="0" w:color="auto"/>
        <w:right w:val="none" w:sz="0" w:space="0" w:color="auto"/>
      </w:divBdr>
    </w:div>
    <w:div w:id="677083149">
      <w:bodyDiv w:val="1"/>
      <w:marLeft w:val="0"/>
      <w:marRight w:val="0"/>
      <w:marTop w:val="0"/>
      <w:marBottom w:val="0"/>
      <w:divBdr>
        <w:top w:val="none" w:sz="0" w:space="0" w:color="auto"/>
        <w:left w:val="none" w:sz="0" w:space="0" w:color="auto"/>
        <w:bottom w:val="none" w:sz="0" w:space="0" w:color="auto"/>
        <w:right w:val="none" w:sz="0" w:space="0" w:color="auto"/>
      </w:divBdr>
    </w:div>
    <w:div w:id="677195692">
      <w:bodyDiv w:val="1"/>
      <w:marLeft w:val="0"/>
      <w:marRight w:val="0"/>
      <w:marTop w:val="0"/>
      <w:marBottom w:val="0"/>
      <w:divBdr>
        <w:top w:val="none" w:sz="0" w:space="0" w:color="auto"/>
        <w:left w:val="none" w:sz="0" w:space="0" w:color="auto"/>
        <w:bottom w:val="none" w:sz="0" w:space="0" w:color="auto"/>
        <w:right w:val="none" w:sz="0" w:space="0" w:color="auto"/>
      </w:divBdr>
    </w:div>
    <w:div w:id="677195787">
      <w:bodyDiv w:val="1"/>
      <w:marLeft w:val="0"/>
      <w:marRight w:val="0"/>
      <w:marTop w:val="0"/>
      <w:marBottom w:val="0"/>
      <w:divBdr>
        <w:top w:val="none" w:sz="0" w:space="0" w:color="auto"/>
        <w:left w:val="none" w:sz="0" w:space="0" w:color="auto"/>
        <w:bottom w:val="none" w:sz="0" w:space="0" w:color="auto"/>
        <w:right w:val="none" w:sz="0" w:space="0" w:color="auto"/>
      </w:divBdr>
    </w:div>
    <w:div w:id="677197508">
      <w:bodyDiv w:val="1"/>
      <w:marLeft w:val="0"/>
      <w:marRight w:val="0"/>
      <w:marTop w:val="0"/>
      <w:marBottom w:val="0"/>
      <w:divBdr>
        <w:top w:val="none" w:sz="0" w:space="0" w:color="auto"/>
        <w:left w:val="none" w:sz="0" w:space="0" w:color="auto"/>
        <w:bottom w:val="none" w:sz="0" w:space="0" w:color="auto"/>
        <w:right w:val="none" w:sz="0" w:space="0" w:color="auto"/>
      </w:divBdr>
    </w:div>
    <w:div w:id="677535774">
      <w:bodyDiv w:val="1"/>
      <w:marLeft w:val="0"/>
      <w:marRight w:val="0"/>
      <w:marTop w:val="0"/>
      <w:marBottom w:val="0"/>
      <w:divBdr>
        <w:top w:val="none" w:sz="0" w:space="0" w:color="auto"/>
        <w:left w:val="none" w:sz="0" w:space="0" w:color="auto"/>
        <w:bottom w:val="none" w:sz="0" w:space="0" w:color="auto"/>
        <w:right w:val="none" w:sz="0" w:space="0" w:color="auto"/>
      </w:divBdr>
    </w:div>
    <w:div w:id="677584609">
      <w:bodyDiv w:val="1"/>
      <w:marLeft w:val="0"/>
      <w:marRight w:val="0"/>
      <w:marTop w:val="0"/>
      <w:marBottom w:val="0"/>
      <w:divBdr>
        <w:top w:val="none" w:sz="0" w:space="0" w:color="auto"/>
        <w:left w:val="none" w:sz="0" w:space="0" w:color="auto"/>
        <w:bottom w:val="none" w:sz="0" w:space="0" w:color="auto"/>
        <w:right w:val="none" w:sz="0" w:space="0" w:color="auto"/>
      </w:divBdr>
    </w:div>
    <w:div w:id="677653781">
      <w:bodyDiv w:val="1"/>
      <w:marLeft w:val="0"/>
      <w:marRight w:val="0"/>
      <w:marTop w:val="0"/>
      <w:marBottom w:val="0"/>
      <w:divBdr>
        <w:top w:val="none" w:sz="0" w:space="0" w:color="auto"/>
        <w:left w:val="none" w:sz="0" w:space="0" w:color="auto"/>
        <w:bottom w:val="none" w:sz="0" w:space="0" w:color="auto"/>
        <w:right w:val="none" w:sz="0" w:space="0" w:color="auto"/>
      </w:divBdr>
    </w:div>
    <w:div w:id="678046224">
      <w:bodyDiv w:val="1"/>
      <w:marLeft w:val="0"/>
      <w:marRight w:val="0"/>
      <w:marTop w:val="0"/>
      <w:marBottom w:val="0"/>
      <w:divBdr>
        <w:top w:val="none" w:sz="0" w:space="0" w:color="auto"/>
        <w:left w:val="none" w:sz="0" w:space="0" w:color="auto"/>
        <w:bottom w:val="none" w:sz="0" w:space="0" w:color="auto"/>
        <w:right w:val="none" w:sz="0" w:space="0" w:color="auto"/>
      </w:divBdr>
    </w:div>
    <w:div w:id="678115719">
      <w:bodyDiv w:val="1"/>
      <w:marLeft w:val="0"/>
      <w:marRight w:val="0"/>
      <w:marTop w:val="0"/>
      <w:marBottom w:val="0"/>
      <w:divBdr>
        <w:top w:val="none" w:sz="0" w:space="0" w:color="auto"/>
        <w:left w:val="none" w:sz="0" w:space="0" w:color="auto"/>
        <w:bottom w:val="none" w:sz="0" w:space="0" w:color="auto"/>
        <w:right w:val="none" w:sz="0" w:space="0" w:color="auto"/>
      </w:divBdr>
    </w:div>
    <w:div w:id="678193444">
      <w:bodyDiv w:val="1"/>
      <w:marLeft w:val="0"/>
      <w:marRight w:val="0"/>
      <w:marTop w:val="0"/>
      <w:marBottom w:val="0"/>
      <w:divBdr>
        <w:top w:val="none" w:sz="0" w:space="0" w:color="auto"/>
        <w:left w:val="none" w:sz="0" w:space="0" w:color="auto"/>
        <w:bottom w:val="none" w:sz="0" w:space="0" w:color="auto"/>
        <w:right w:val="none" w:sz="0" w:space="0" w:color="auto"/>
      </w:divBdr>
    </w:div>
    <w:div w:id="678504154">
      <w:bodyDiv w:val="1"/>
      <w:marLeft w:val="0"/>
      <w:marRight w:val="0"/>
      <w:marTop w:val="0"/>
      <w:marBottom w:val="0"/>
      <w:divBdr>
        <w:top w:val="none" w:sz="0" w:space="0" w:color="auto"/>
        <w:left w:val="none" w:sz="0" w:space="0" w:color="auto"/>
        <w:bottom w:val="none" w:sz="0" w:space="0" w:color="auto"/>
        <w:right w:val="none" w:sz="0" w:space="0" w:color="auto"/>
      </w:divBdr>
    </w:div>
    <w:div w:id="678697315">
      <w:bodyDiv w:val="1"/>
      <w:marLeft w:val="0"/>
      <w:marRight w:val="0"/>
      <w:marTop w:val="0"/>
      <w:marBottom w:val="0"/>
      <w:divBdr>
        <w:top w:val="none" w:sz="0" w:space="0" w:color="auto"/>
        <w:left w:val="none" w:sz="0" w:space="0" w:color="auto"/>
        <w:bottom w:val="none" w:sz="0" w:space="0" w:color="auto"/>
        <w:right w:val="none" w:sz="0" w:space="0" w:color="auto"/>
      </w:divBdr>
    </w:div>
    <w:div w:id="678772893">
      <w:bodyDiv w:val="1"/>
      <w:marLeft w:val="0"/>
      <w:marRight w:val="0"/>
      <w:marTop w:val="0"/>
      <w:marBottom w:val="0"/>
      <w:divBdr>
        <w:top w:val="none" w:sz="0" w:space="0" w:color="auto"/>
        <w:left w:val="none" w:sz="0" w:space="0" w:color="auto"/>
        <w:bottom w:val="none" w:sz="0" w:space="0" w:color="auto"/>
        <w:right w:val="none" w:sz="0" w:space="0" w:color="auto"/>
      </w:divBdr>
    </w:div>
    <w:div w:id="678892924">
      <w:bodyDiv w:val="1"/>
      <w:marLeft w:val="0"/>
      <w:marRight w:val="0"/>
      <w:marTop w:val="0"/>
      <w:marBottom w:val="0"/>
      <w:divBdr>
        <w:top w:val="none" w:sz="0" w:space="0" w:color="auto"/>
        <w:left w:val="none" w:sz="0" w:space="0" w:color="auto"/>
        <w:bottom w:val="none" w:sz="0" w:space="0" w:color="auto"/>
        <w:right w:val="none" w:sz="0" w:space="0" w:color="auto"/>
      </w:divBdr>
    </w:div>
    <w:div w:id="678964518">
      <w:bodyDiv w:val="1"/>
      <w:marLeft w:val="0"/>
      <w:marRight w:val="0"/>
      <w:marTop w:val="0"/>
      <w:marBottom w:val="0"/>
      <w:divBdr>
        <w:top w:val="none" w:sz="0" w:space="0" w:color="auto"/>
        <w:left w:val="none" w:sz="0" w:space="0" w:color="auto"/>
        <w:bottom w:val="none" w:sz="0" w:space="0" w:color="auto"/>
        <w:right w:val="none" w:sz="0" w:space="0" w:color="auto"/>
      </w:divBdr>
    </w:div>
    <w:div w:id="679114738">
      <w:bodyDiv w:val="1"/>
      <w:marLeft w:val="0"/>
      <w:marRight w:val="0"/>
      <w:marTop w:val="0"/>
      <w:marBottom w:val="0"/>
      <w:divBdr>
        <w:top w:val="none" w:sz="0" w:space="0" w:color="auto"/>
        <w:left w:val="none" w:sz="0" w:space="0" w:color="auto"/>
        <w:bottom w:val="none" w:sz="0" w:space="0" w:color="auto"/>
        <w:right w:val="none" w:sz="0" w:space="0" w:color="auto"/>
      </w:divBdr>
    </w:div>
    <w:div w:id="679308117">
      <w:bodyDiv w:val="1"/>
      <w:marLeft w:val="0"/>
      <w:marRight w:val="0"/>
      <w:marTop w:val="0"/>
      <w:marBottom w:val="0"/>
      <w:divBdr>
        <w:top w:val="none" w:sz="0" w:space="0" w:color="auto"/>
        <w:left w:val="none" w:sz="0" w:space="0" w:color="auto"/>
        <w:bottom w:val="none" w:sz="0" w:space="0" w:color="auto"/>
        <w:right w:val="none" w:sz="0" w:space="0" w:color="auto"/>
      </w:divBdr>
    </w:div>
    <w:div w:id="679819128">
      <w:bodyDiv w:val="1"/>
      <w:marLeft w:val="0"/>
      <w:marRight w:val="0"/>
      <w:marTop w:val="0"/>
      <w:marBottom w:val="0"/>
      <w:divBdr>
        <w:top w:val="none" w:sz="0" w:space="0" w:color="auto"/>
        <w:left w:val="none" w:sz="0" w:space="0" w:color="auto"/>
        <w:bottom w:val="none" w:sz="0" w:space="0" w:color="auto"/>
        <w:right w:val="none" w:sz="0" w:space="0" w:color="auto"/>
      </w:divBdr>
    </w:div>
    <w:div w:id="679897366">
      <w:bodyDiv w:val="1"/>
      <w:marLeft w:val="0"/>
      <w:marRight w:val="0"/>
      <w:marTop w:val="0"/>
      <w:marBottom w:val="0"/>
      <w:divBdr>
        <w:top w:val="none" w:sz="0" w:space="0" w:color="auto"/>
        <w:left w:val="none" w:sz="0" w:space="0" w:color="auto"/>
        <w:bottom w:val="none" w:sz="0" w:space="0" w:color="auto"/>
        <w:right w:val="none" w:sz="0" w:space="0" w:color="auto"/>
      </w:divBdr>
    </w:div>
    <w:div w:id="680274592">
      <w:bodyDiv w:val="1"/>
      <w:marLeft w:val="0"/>
      <w:marRight w:val="0"/>
      <w:marTop w:val="0"/>
      <w:marBottom w:val="0"/>
      <w:divBdr>
        <w:top w:val="none" w:sz="0" w:space="0" w:color="auto"/>
        <w:left w:val="none" w:sz="0" w:space="0" w:color="auto"/>
        <w:bottom w:val="none" w:sz="0" w:space="0" w:color="auto"/>
        <w:right w:val="none" w:sz="0" w:space="0" w:color="auto"/>
      </w:divBdr>
    </w:div>
    <w:div w:id="680549993">
      <w:bodyDiv w:val="1"/>
      <w:marLeft w:val="0"/>
      <w:marRight w:val="0"/>
      <w:marTop w:val="0"/>
      <w:marBottom w:val="0"/>
      <w:divBdr>
        <w:top w:val="none" w:sz="0" w:space="0" w:color="auto"/>
        <w:left w:val="none" w:sz="0" w:space="0" w:color="auto"/>
        <w:bottom w:val="none" w:sz="0" w:space="0" w:color="auto"/>
        <w:right w:val="none" w:sz="0" w:space="0" w:color="auto"/>
      </w:divBdr>
    </w:div>
    <w:div w:id="680619168">
      <w:bodyDiv w:val="1"/>
      <w:marLeft w:val="0"/>
      <w:marRight w:val="0"/>
      <w:marTop w:val="0"/>
      <w:marBottom w:val="0"/>
      <w:divBdr>
        <w:top w:val="none" w:sz="0" w:space="0" w:color="auto"/>
        <w:left w:val="none" w:sz="0" w:space="0" w:color="auto"/>
        <w:bottom w:val="none" w:sz="0" w:space="0" w:color="auto"/>
        <w:right w:val="none" w:sz="0" w:space="0" w:color="auto"/>
      </w:divBdr>
    </w:div>
    <w:div w:id="680932496">
      <w:bodyDiv w:val="1"/>
      <w:marLeft w:val="0"/>
      <w:marRight w:val="0"/>
      <w:marTop w:val="0"/>
      <w:marBottom w:val="0"/>
      <w:divBdr>
        <w:top w:val="none" w:sz="0" w:space="0" w:color="auto"/>
        <w:left w:val="none" w:sz="0" w:space="0" w:color="auto"/>
        <w:bottom w:val="none" w:sz="0" w:space="0" w:color="auto"/>
        <w:right w:val="none" w:sz="0" w:space="0" w:color="auto"/>
      </w:divBdr>
    </w:div>
    <w:div w:id="681007360">
      <w:bodyDiv w:val="1"/>
      <w:marLeft w:val="0"/>
      <w:marRight w:val="0"/>
      <w:marTop w:val="0"/>
      <w:marBottom w:val="0"/>
      <w:divBdr>
        <w:top w:val="none" w:sz="0" w:space="0" w:color="auto"/>
        <w:left w:val="none" w:sz="0" w:space="0" w:color="auto"/>
        <w:bottom w:val="none" w:sz="0" w:space="0" w:color="auto"/>
        <w:right w:val="none" w:sz="0" w:space="0" w:color="auto"/>
      </w:divBdr>
    </w:div>
    <w:div w:id="681081779">
      <w:bodyDiv w:val="1"/>
      <w:marLeft w:val="0"/>
      <w:marRight w:val="0"/>
      <w:marTop w:val="0"/>
      <w:marBottom w:val="0"/>
      <w:divBdr>
        <w:top w:val="none" w:sz="0" w:space="0" w:color="auto"/>
        <w:left w:val="none" w:sz="0" w:space="0" w:color="auto"/>
        <w:bottom w:val="none" w:sz="0" w:space="0" w:color="auto"/>
        <w:right w:val="none" w:sz="0" w:space="0" w:color="auto"/>
      </w:divBdr>
    </w:div>
    <w:div w:id="681320321">
      <w:bodyDiv w:val="1"/>
      <w:marLeft w:val="0"/>
      <w:marRight w:val="0"/>
      <w:marTop w:val="0"/>
      <w:marBottom w:val="0"/>
      <w:divBdr>
        <w:top w:val="none" w:sz="0" w:space="0" w:color="auto"/>
        <w:left w:val="none" w:sz="0" w:space="0" w:color="auto"/>
        <w:bottom w:val="none" w:sz="0" w:space="0" w:color="auto"/>
        <w:right w:val="none" w:sz="0" w:space="0" w:color="auto"/>
      </w:divBdr>
    </w:div>
    <w:div w:id="681511816">
      <w:bodyDiv w:val="1"/>
      <w:marLeft w:val="0"/>
      <w:marRight w:val="0"/>
      <w:marTop w:val="0"/>
      <w:marBottom w:val="0"/>
      <w:divBdr>
        <w:top w:val="none" w:sz="0" w:space="0" w:color="auto"/>
        <w:left w:val="none" w:sz="0" w:space="0" w:color="auto"/>
        <w:bottom w:val="none" w:sz="0" w:space="0" w:color="auto"/>
        <w:right w:val="none" w:sz="0" w:space="0" w:color="auto"/>
      </w:divBdr>
    </w:div>
    <w:div w:id="681972752">
      <w:bodyDiv w:val="1"/>
      <w:marLeft w:val="0"/>
      <w:marRight w:val="0"/>
      <w:marTop w:val="0"/>
      <w:marBottom w:val="0"/>
      <w:divBdr>
        <w:top w:val="none" w:sz="0" w:space="0" w:color="auto"/>
        <w:left w:val="none" w:sz="0" w:space="0" w:color="auto"/>
        <w:bottom w:val="none" w:sz="0" w:space="0" w:color="auto"/>
        <w:right w:val="none" w:sz="0" w:space="0" w:color="auto"/>
      </w:divBdr>
    </w:div>
    <w:div w:id="682130236">
      <w:bodyDiv w:val="1"/>
      <w:marLeft w:val="0"/>
      <w:marRight w:val="0"/>
      <w:marTop w:val="0"/>
      <w:marBottom w:val="0"/>
      <w:divBdr>
        <w:top w:val="none" w:sz="0" w:space="0" w:color="auto"/>
        <w:left w:val="none" w:sz="0" w:space="0" w:color="auto"/>
        <w:bottom w:val="none" w:sz="0" w:space="0" w:color="auto"/>
        <w:right w:val="none" w:sz="0" w:space="0" w:color="auto"/>
      </w:divBdr>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2317743">
      <w:bodyDiv w:val="1"/>
      <w:marLeft w:val="0"/>
      <w:marRight w:val="0"/>
      <w:marTop w:val="0"/>
      <w:marBottom w:val="0"/>
      <w:divBdr>
        <w:top w:val="none" w:sz="0" w:space="0" w:color="auto"/>
        <w:left w:val="none" w:sz="0" w:space="0" w:color="auto"/>
        <w:bottom w:val="none" w:sz="0" w:space="0" w:color="auto"/>
        <w:right w:val="none" w:sz="0" w:space="0" w:color="auto"/>
      </w:divBdr>
    </w:div>
    <w:div w:id="682435860">
      <w:bodyDiv w:val="1"/>
      <w:marLeft w:val="0"/>
      <w:marRight w:val="0"/>
      <w:marTop w:val="0"/>
      <w:marBottom w:val="0"/>
      <w:divBdr>
        <w:top w:val="none" w:sz="0" w:space="0" w:color="auto"/>
        <w:left w:val="none" w:sz="0" w:space="0" w:color="auto"/>
        <w:bottom w:val="none" w:sz="0" w:space="0" w:color="auto"/>
        <w:right w:val="none" w:sz="0" w:space="0" w:color="auto"/>
      </w:divBdr>
    </w:div>
    <w:div w:id="683481648">
      <w:bodyDiv w:val="1"/>
      <w:marLeft w:val="0"/>
      <w:marRight w:val="0"/>
      <w:marTop w:val="0"/>
      <w:marBottom w:val="0"/>
      <w:divBdr>
        <w:top w:val="none" w:sz="0" w:space="0" w:color="auto"/>
        <w:left w:val="none" w:sz="0" w:space="0" w:color="auto"/>
        <w:bottom w:val="none" w:sz="0" w:space="0" w:color="auto"/>
        <w:right w:val="none" w:sz="0" w:space="0" w:color="auto"/>
      </w:divBdr>
    </w:div>
    <w:div w:id="683868965">
      <w:bodyDiv w:val="1"/>
      <w:marLeft w:val="0"/>
      <w:marRight w:val="0"/>
      <w:marTop w:val="0"/>
      <w:marBottom w:val="0"/>
      <w:divBdr>
        <w:top w:val="none" w:sz="0" w:space="0" w:color="auto"/>
        <w:left w:val="none" w:sz="0" w:space="0" w:color="auto"/>
        <w:bottom w:val="none" w:sz="0" w:space="0" w:color="auto"/>
        <w:right w:val="none" w:sz="0" w:space="0" w:color="auto"/>
      </w:divBdr>
    </w:div>
    <w:div w:id="683895555">
      <w:bodyDiv w:val="1"/>
      <w:marLeft w:val="0"/>
      <w:marRight w:val="0"/>
      <w:marTop w:val="0"/>
      <w:marBottom w:val="0"/>
      <w:divBdr>
        <w:top w:val="none" w:sz="0" w:space="0" w:color="auto"/>
        <w:left w:val="none" w:sz="0" w:space="0" w:color="auto"/>
        <w:bottom w:val="none" w:sz="0" w:space="0" w:color="auto"/>
        <w:right w:val="none" w:sz="0" w:space="0" w:color="auto"/>
      </w:divBdr>
    </w:div>
    <w:div w:id="683899505">
      <w:bodyDiv w:val="1"/>
      <w:marLeft w:val="0"/>
      <w:marRight w:val="0"/>
      <w:marTop w:val="0"/>
      <w:marBottom w:val="0"/>
      <w:divBdr>
        <w:top w:val="none" w:sz="0" w:space="0" w:color="auto"/>
        <w:left w:val="none" w:sz="0" w:space="0" w:color="auto"/>
        <w:bottom w:val="none" w:sz="0" w:space="0" w:color="auto"/>
        <w:right w:val="none" w:sz="0" w:space="0" w:color="auto"/>
      </w:divBdr>
    </w:div>
    <w:div w:id="683900447">
      <w:bodyDiv w:val="1"/>
      <w:marLeft w:val="0"/>
      <w:marRight w:val="0"/>
      <w:marTop w:val="0"/>
      <w:marBottom w:val="0"/>
      <w:divBdr>
        <w:top w:val="none" w:sz="0" w:space="0" w:color="auto"/>
        <w:left w:val="none" w:sz="0" w:space="0" w:color="auto"/>
        <w:bottom w:val="none" w:sz="0" w:space="0" w:color="auto"/>
        <w:right w:val="none" w:sz="0" w:space="0" w:color="auto"/>
      </w:divBdr>
    </w:div>
    <w:div w:id="684014065">
      <w:bodyDiv w:val="1"/>
      <w:marLeft w:val="0"/>
      <w:marRight w:val="0"/>
      <w:marTop w:val="0"/>
      <w:marBottom w:val="0"/>
      <w:divBdr>
        <w:top w:val="none" w:sz="0" w:space="0" w:color="auto"/>
        <w:left w:val="none" w:sz="0" w:space="0" w:color="auto"/>
        <w:bottom w:val="none" w:sz="0" w:space="0" w:color="auto"/>
        <w:right w:val="none" w:sz="0" w:space="0" w:color="auto"/>
      </w:divBdr>
    </w:div>
    <w:div w:id="684016821">
      <w:bodyDiv w:val="1"/>
      <w:marLeft w:val="0"/>
      <w:marRight w:val="0"/>
      <w:marTop w:val="0"/>
      <w:marBottom w:val="0"/>
      <w:divBdr>
        <w:top w:val="none" w:sz="0" w:space="0" w:color="auto"/>
        <w:left w:val="none" w:sz="0" w:space="0" w:color="auto"/>
        <w:bottom w:val="none" w:sz="0" w:space="0" w:color="auto"/>
        <w:right w:val="none" w:sz="0" w:space="0" w:color="auto"/>
      </w:divBdr>
    </w:div>
    <w:div w:id="684090092">
      <w:bodyDiv w:val="1"/>
      <w:marLeft w:val="0"/>
      <w:marRight w:val="0"/>
      <w:marTop w:val="0"/>
      <w:marBottom w:val="0"/>
      <w:divBdr>
        <w:top w:val="none" w:sz="0" w:space="0" w:color="auto"/>
        <w:left w:val="none" w:sz="0" w:space="0" w:color="auto"/>
        <w:bottom w:val="none" w:sz="0" w:space="0" w:color="auto"/>
        <w:right w:val="none" w:sz="0" w:space="0" w:color="auto"/>
      </w:divBdr>
    </w:div>
    <w:div w:id="684095116">
      <w:bodyDiv w:val="1"/>
      <w:marLeft w:val="0"/>
      <w:marRight w:val="0"/>
      <w:marTop w:val="0"/>
      <w:marBottom w:val="0"/>
      <w:divBdr>
        <w:top w:val="none" w:sz="0" w:space="0" w:color="auto"/>
        <w:left w:val="none" w:sz="0" w:space="0" w:color="auto"/>
        <w:bottom w:val="none" w:sz="0" w:space="0" w:color="auto"/>
        <w:right w:val="none" w:sz="0" w:space="0" w:color="auto"/>
      </w:divBdr>
    </w:div>
    <w:div w:id="684333406">
      <w:bodyDiv w:val="1"/>
      <w:marLeft w:val="0"/>
      <w:marRight w:val="0"/>
      <w:marTop w:val="0"/>
      <w:marBottom w:val="0"/>
      <w:divBdr>
        <w:top w:val="none" w:sz="0" w:space="0" w:color="auto"/>
        <w:left w:val="none" w:sz="0" w:space="0" w:color="auto"/>
        <w:bottom w:val="none" w:sz="0" w:space="0" w:color="auto"/>
        <w:right w:val="none" w:sz="0" w:space="0" w:color="auto"/>
      </w:divBdr>
    </w:div>
    <w:div w:id="684476951">
      <w:bodyDiv w:val="1"/>
      <w:marLeft w:val="0"/>
      <w:marRight w:val="0"/>
      <w:marTop w:val="0"/>
      <w:marBottom w:val="0"/>
      <w:divBdr>
        <w:top w:val="none" w:sz="0" w:space="0" w:color="auto"/>
        <w:left w:val="none" w:sz="0" w:space="0" w:color="auto"/>
        <w:bottom w:val="none" w:sz="0" w:space="0" w:color="auto"/>
        <w:right w:val="none" w:sz="0" w:space="0" w:color="auto"/>
      </w:divBdr>
    </w:div>
    <w:div w:id="684481897">
      <w:bodyDiv w:val="1"/>
      <w:marLeft w:val="0"/>
      <w:marRight w:val="0"/>
      <w:marTop w:val="0"/>
      <w:marBottom w:val="0"/>
      <w:divBdr>
        <w:top w:val="none" w:sz="0" w:space="0" w:color="auto"/>
        <w:left w:val="none" w:sz="0" w:space="0" w:color="auto"/>
        <w:bottom w:val="none" w:sz="0" w:space="0" w:color="auto"/>
        <w:right w:val="none" w:sz="0" w:space="0" w:color="auto"/>
      </w:divBdr>
    </w:div>
    <w:div w:id="684550608">
      <w:bodyDiv w:val="1"/>
      <w:marLeft w:val="0"/>
      <w:marRight w:val="0"/>
      <w:marTop w:val="0"/>
      <w:marBottom w:val="0"/>
      <w:divBdr>
        <w:top w:val="none" w:sz="0" w:space="0" w:color="auto"/>
        <w:left w:val="none" w:sz="0" w:space="0" w:color="auto"/>
        <w:bottom w:val="none" w:sz="0" w:space="0" w:color="auto"/>
        <w:right w:val="none" w:sz="0" w:space="0" w:color="auto"/>
      </w:divBdr>
    </w:div>
    <w:div w:id="684862942">
      <w:bodyDiv w:val="1"/>
      <w:marLeft w:val="0"/>
      <w:marRight w:val="0"/>
      <w:marTop w:val="0"/>
      <w:marBottom w:val="0"/>
      <w:divBdr>
        <w:top w:val="none" w:sz="0" w:space="0" w:color="auto"/>
        <w:left w:val="none" w:sz="0" w:space="0" w:color="auto"/>
        <w:bottom w:val="none" w:sz="0" w:space="0" w:color="auto"/>
        <w:right w:val="none" w:sz="0" w:space="0" w:color="auto"/>
      </w:divBdr>
    </w:div>
    <w:div w:id="684942595">
      <w:bodyDiv w:val="1"/>
      <w:marLeft w:val="0"/>
      <w:marRight w:val="0"/>
      <w:marTop w:val="0"/>
      <w:marBottom w:val="0"/>
      <w:divBdr>
        <w:top w:val="none" w:sz="0" w:space="0" w:color="auto"/>
        <w:left w:val="none" w:sz="0" w:space="0" w:color="auto"/>
        <w:bottom w:val="none" w:sz="0" w:space="0" w:color="auto"/>
        <w:right w:val="none" w:sz="0" w:space="0" w:color="auto"/>
      </w:divBdr>
    </w:div>
    <w:div w:id="684983223">
      <w:bodyDiv w:val="1"/>
      <w:marLeft w:val="0"/>
      <w:marRight w:val="0"/>
      <w:marTop w:val="0"/>
      <w:marBottom w:val="0"/>
      <w:divBdr>
        <w:top w:val="none" w:sz="0" w:space="0" w:color="auto"/>
        <w:left w:val="none" w:sz="0" w:space="0" w:color="auto"/>
        <w:bottom w:val="none" w:sz="0" w:space="0" w:color="auto"/>
        <w:right w:val="none" w:sz="0" w:space="0" w:color="auto"/>
      </w:divBdr>
    </w:div>
    <w:div w:id="684986911">
      <w:bodyDiv w:val="1"/>
      <w:marLeft w:val="0"/>
      <w:marRight w:val="0"/>
      <w:marTop w:val="0"/>
      <w:marBottom w:val="0"/>
      <w:divBdr>
        <w:top w:val="none" w:sz="0" w:space="0" w:color="auto"/>
        <w:left w:val="none" w:sz="0" w:space="0" w:color="auto"/>
        <w:bottom w:val="none" w:sz="0" w:space="0" w:color="auto"/>
        <w:right w:val="none" w:sz="0" w:space="0" w:color="auto"/>
      </w:divBdr>
    </w:div>
    <w:div w:id="685206079">
      <w:bodyDiv w:val="1"/>
      <w:marLeft w:val="0"/>
      <w:marRight w:val="0"/>
      <w:marTop w:val="0"/>
      <w:marBottom w:val="0"/>
      <w:divBdr>
        <w:top w:val="none" w:sz="0" w:space="0" w:color="auto"/>
        <w:left w:val="none" w:sz="0" w:space="0" w:color="auto"/>
        <w:bottom w:val="none" w:sz="0" w:space="0" w:color="auto"/>
        <w:right w:val="none" w:sz="0" w:space="0" w:color="auto"/>
      </w:divBdr>
    </w:div>
    <w:div w:id="685403960">
      <w:bodyDiv w:val="1"/>
      <w:marLeft w:val="0"/>
      <w:marRight w:val="0"/>
      <w:marTop w:val="0"/>
      <w:marBottom w:val="0"/>
      <w:divBdr>
        <w:top w:val="none" w:sz="0" w:space="0" w:color="auto"/>
        <w:left w:val="none" w:sz="0" w:space="0" w:color="auto"/>
        <w:bottom w:val="none" w:sz="0" w:space="0" w:color="auto"/>
        <w:right w:val="none" w:sz="0" w:space="0" w:color="auto"/>
      </w:divBdr>
    </w:div>
    <w:div w:id="685450237">
      <w:bodyDiv w:val="1"/>
      <w:marLeft w:val="0"/>
      <w:marRight w:val="0"/>
      <w:marTop w:val="0"/>
      <w:marBottom w:val="0"/>
      <w:divBdr>
        <w:top w:val="none" w:sz="0" w:space="0" w:color="auto"/>
        <w:left w:val="none" w:sz="0" w:space="0" w:color="auto"/>
        <w:bottom w:val="none" w:sz="0" w:space="0" w:color="auto"/>
        <w:right w:val="none" w:sz="0" w:space="0" w:color="auto"/>
      </w:divBdr>
    </w:div>
    <w:div w:id="685643859">
      <w:bodyDiv w:val="1"/>
      <w:marLeft w:val="0"/>
      <w:marRight w:val="0"/>
      <w:marTop w:val="0"/>
      <w:marBottom w:val="0"/>
      <w:divBdr>
        <w:top w:val="none" w:sz="0" w:space="0" w:color="auto"/>
        <w:left w:val="none" w:sz="0" w:space="0" w:color="auto"/>
        <w:bottom w:val="none" w:sz="0" w:space="0" w:color="auto"/>
        <w:right w:val="none" w:sz="0" w:space="0" w:color="auto"/>
      </w:divBdr>
    </w:div>
    <w:div w:id="685978830">
      <w:bodyDiv w:val="1"/>
      <w:marLeft w:val="0"/>
      <w:marRight w:val="0"/>
      <w:marTop w:val="0"/>
      <w:marBottom w:val="0"/>
      <w:divBdr>
        <w:top w:val="none" w:sz="0" w:space="0" w:color="auto"/>
        <w:left w:val="none" w:sz="0" w:space="0" w:color="auto"/>
        <w:bottom w:val="none" w:sz="0" w:space="0" w:color="auto"/>
        <w:right w:val="none" w:sz="0" w:space="0" w:color="auto"/>
      </w:divBdr>
    </w:div>
    <w:div w:id="686178901">
      <w:bodyDiv w:val="1"/>
      <w:marLeft w:val="0"/>
      <w:marRight w:val="0"/>
      <w:marTop w:val="0"/>
      <w:marBottom w:val="0"/>
      <w:divBdr>
        <w:top w:val="none" w:sz="0" w:space="0" w:color="auto"/>
        <w:left w:val="none" w:sz="0" w:space="0" w:color="auto"/>
        <w:bottom w:val="none" w:sz="0" w:space="0" w:color="auto"/>
        <w:right w:val="none" w:sz="0" w:space="0" w:color="auto"/>
      </w:divBdr>
    </w:div>
    <w:div w:id="686247844">
      <w:bodyDiv w:val="1"/>
      <w:marLeft w:val="0"/>
      <w:marRight w:val="0"/>
      <w:marTop w:val="0"/>
      <w:marBottom w:val="0"/>
      <w:divBdr>
        <w:top w:val="none" w:sz="0" w:space="0" w:color="auto"/>
        <w:left w:val="none" w:sz="0" w:space="0" w:color="auto"/>
        <w:bottom w:val="none" w:sz="0" w:space="0" w:color="auto"/>
        <w:right w:val="none" w:sz="0" w:space="0" w:color="auto"/>
      </w:divBdr>
    </w:div>
    <w:div w:id="686912019">
      <w:bodyDiv w:val="1"/>
      <w:marLeft w:val="0"/>
      <w:marRight w:val="0"/>
      <w:marTop w:val="0"/>
      <w:marBottom w:val="0"/>
      <w:divBdr>
        <w:top w:val="none" w:sz="0" w:space="0" w:color="auto"/>
        <w:left w:val="none" w:sz="0" w:space="0" w:color="auto"/>
        <w:bottom w:val="none" w:sz="0" w:space="0" w:color="auto"/>
        <w:right w:val="none" w:sz="0" w:space="0" w:color="auto"/>
      </w:divBdr>
    </w:div>
    <w:div w:id="686952266">
      <w:bodyDiv w:val="1"/>
      <w:marLeft w:val="0"/>
      <w:marRight w:val="0"/>
      <w:marTop w:val="0"/>
      <w:marBottom w:val="0"/>
      <w:divBdr>
        <w:top w:val="none" w:sz="0" w:space="0" w:color="auto"/>
        <w:left w:val="none" w:sz="0" w:space="0" w:color="auto"/>
        <w:bottom w:val="none" w:sz="0" w:space="0" w:color="auto"/>
        <w:right w:val="none" w:sz="0" w:space="0" w:color="auto"/>
      </w:divBdr>
    </w:div>
    <w:div w:id="687173560">
      <w:bodyDiv w:val="1"/>
      <w:marLeft w:val="0"/>
      <w:marRight w:val="0"/>
      <w:marTop w:val="0"/>
      <w:marBottom w:val="0"/>
      <w:divBdr>
        <w:top w:val="none" w:sz="0" w:space="0" w:color="auto"/>
        <w:left w:val="none" w:sz="0" w:space="0" w:color="auto"/>
        <w:bottom w:val="none" w:sz="0" w:space="0" w:color="auto"/>
        <w:right w:val="none" w:sz="0" w:space="0" w:color="auto"/>
      </w:divBdr>
    </w:div>
    <w:div w:id="687173977">
      <w:bodyDiv w:val="1"/>
      <w:marLeft w:val="0"/>
      <w:marRight w:val="0"/>
      <w:marTop w:val="0"/>
      <w:marBottom w:val="0"/>
      <w:divBdr>
        <w:top w:val="none" w:sz="0" w:space="0" w:color="auto"/>
        <w:left w:val="none" w:sz="0" w:space="0" w:color="auto"/>
        <w:bottom w:val="none" w:sz="0" w:space="0" w:color="auto"/>
        <w:right w:val="none" w:sz="0" w:space="0" w:color="auto"/>
      </w:divBdr>
    </w:div>
    <w:div w:id="687221016">
      <w:bodyDiv w:val="1"/>
      <w:marLeft w:val="0"/>
      <w:marRight w:val="0"/>
      <w:marTop w:val="0"/>
      <w:marBottom w:val="0"/>
      <w:divBdr>
        <w:top w:val="none" w:sz="0" w:space="0" w:color="auto"/>
        <w:left w:val="none" w:sz="0" w:space="0" w:color="auto"/>
        <w:bottom w:val="none" w:sz="0" w:space="0" w:color="auto"/>
        <w:right w:val="none" w:sz="0" w:space="0" w:color="auto"/>
      </w:divBdr>
    </w:div>
    <w:div w:id="687290924">
      <w:bodyDiv w:val="1"/>
      <w:marLeft w:val="0"/>
      <w:marRight w:val="0"/>
      <w:marTop w:val="0"/>
      <w:marBottom w:val="0"/>
      <w:divBdr>
        <w:top w:val="none" w:sz="0" w:space="0" w:color="auto"/>
        <w:left w:val="none" w:sz="0" w:space="0" w:color="auto"/>
        <w:bottom w:val="none" w:sz="0" w:space="0" w:color="auto"/>
        <w:right w:val="none" w:sz="0" w:space="0" w:color="auto"/>
      </w:divBdr>
    </w:div>
    <w:div w:id="687372370">
      <w:bodyDiv w:val="1"/>
      <w:marLeft w:val="0"/>
      <w:marRight w:val="0"/>
      <w:marTop w:val="0"/>
      <w:marBottom w:val="0"/>
      <w:divBdr>
        <w:top w:val="none" w:sz="0" w:space="0" w:color="auto"/>
        <w:left w:val="none" w:sz="0" w:space="0" w:color="auto"/>
        <w:bottom w:val="none" w:sz="0" w:space="0" w:color="auto"/>
        <w:right w:val="none" w:sz="0" w:space="0" w:color="auto"/>
      </w:divBdr>
    </w:div>
    <w:div w:id="687560092">
      <w:bodyDiv w:val="1"/>
      <w:marLeft w:val="0"/>
      <w:marRight w:val="0"/>
      <w:marTop w:val="0"/>
      <w:marBottom w:val="0"/>
      <w:divBdr>
        <w:top w:val="none" w:sz="0" w:space="0" w:color="auto"/>
        <w:left w:val="none" w:sz="0" w:space="0" w:color="auto"/>
        <w:bottom w:val="none" w:sz="0" w:space="0" w:color="auto"/>
        <w:right w:val="none" w:sz="0" w:space="0" w:color="auto"/>
      </w:divBdr>
    </w:div>
    <w:div w:id="687634966">
      <w:bodyDiv w:val="1"/>
      <w:marLeft w:val="0"/>
      <w:marRight w:val="0"/>
      <w:marTop w:val="0"/>
      <w:marBottom w:val="0"/>
      <w:divBdr>
        <w:top w:val="none" w:sz="0" w:space="0" w:color="auto"/>
        <w:left w:val="none" w:sz="0" w:space="0" w:color="auto"/>
        <w:bottom w:val="none" w:sz="0" w:space="0" w:color="auto"/>
        <w:right w:val="none" w:sz="0" w:space="0" w:color="auto"/>
      </w:divBdr>
    </w:div>
    <w:div w:id="687751612">
      <w:bodyDiv w:val="1"/>
      <w:marLeft w:val="0"/>
      <w:marRight w:val="0"/>
      <w:marTop w:val="0"/>
      <w:marBottom w:val="0"/>
      <w:divBdr>
        <w:top w:val="none" w:sz="0" w:space="0" w:color="auto"/>
        <w:left w:val="none" w:sz="0" w:space="0" w:color="auto"/>
        <w:bottom w:val="none" w:sz="0" w:space="0" w:color="auto"/>
        <w:right w:val="none" w:sz="0" w:space="0" w:color="auto"/>
      </w:divBdr>
    </w:div>
    <w:div w:id="688525397">
      <w:bodyDiv w:val="1"/>
      <w:marLeft w:val="0"/>
      <w:marRight w:val="0"/>
      <w:marTop w:val="0"/>
      <w:marBottom w:val="0"/>
      <w:divBdr>
        <w:top w:val="none" w:sz="0" w:space="0" w:color="auto"/>
        <w:left w:val="none" w:sz="0" w:space="0" w:color="auto"/>
        <w:bottom w:val="none" w:sz="0" w:space="0" w:color="auto"/>
        <w:right w:val="none" w:sz="0" w:space="0" w:color="auto"/>
      </w:divBdr>
    </w:div>
    <w:div w:id="688678961">
      <w:bodyDiv w:val="1"/>
      <w:marLeft w:val="0"/>
      <w:marRight w:val="0"/>
      <w:marTop w:val="0"/>
      <w:marBottom w:val="0"/>
      <w:divBdr>
        <w:top w:val="none" w:sz="0" w:space="0" w:color="auto"/>
        <w:left w:val="none" w:sz="0" w:space="0" w:color="auto"/>
        <w:bottom w:val="none" w:sz="0" w:space="0" w:color="auto"/>
        <w:right w:val="none" w:sz="0" w:space="0" w:color="auto"/>
      </w:divBdr>
    </w:div>
    <w:div w:id="688682046">
      <w:bodyDiv w:val="1"/>
      <w:marLeft w:val="0"/>
      <w:marRight w:val="0"/>
      <w:marTop w:val="0"/>
      <w:marBottom w:val="0"/>
      <w:divBdr>
        <w:top w:val="none" w:sz="0" w:space="0" w:color="auto"/>
        <w:left w:val="none" w:sz="0" w:space="0" w:color="auto"/>
        <w:bottom w:val="none" w:sz="0" w:space="0" w:color="auto"/>
        <w:right w:val="none" w:sz="0" w:space="0" w:color="auto"/>
      </w:divBdr>
    </w:div>
    <w:div w:id="688914695">
      <w:bodyDiv w:val="1"/>
      <w:marLeft w:val="0"/>
      <w:marRight w:val="0"/>
      <w:marTop w:val="0"/>
      <w:marBottom w:val="0"/>
      <w:divBdr>
        <w:top w:val="none" w:sz="0" w:space="0" w:color="auto"/>
        <w:left w:val="none" w:sz="0" w:space="0" w:color="auto"/>
        <w:bottom w:val="none" w:sz="0" w:space="0" w:color="auto"/>
        <w:right w:val="none" w:sz="0" w:space="0" w:color="auto"/>
      </w:divBdr>
    </w:div>
    <w:div w:id="688986457">
      <w:bodyDiv w:val="1"/>
      <w:marLeft w:val="0"/>
      <w:marRight w:val="0"/>
      <w:marTop w:val="0"/>
      <w:marBottom w:val="0"/>
      <w:divBdr>
        <w:top w:val="none" w:sz="0" w:space="0" w:color="auto"/>
        <w:left w:val="none" w:sz="0" w:space="0" w:color="auto"/>
        <w:bottom w:val="none" w:sz="0" w:space="0" w:color="auto"/>
        <w:right w:val="none" w:sz="0" w:space="0" w:color="auto"/>
      </w:divBdr>
    </w:div>
    <w:div w:id="689181365">
      <w:bodyDiv w:val="1"/>
      <w:marLeft w:val="0"/>
      <w:marRight w:val="0"/>
      <w:marTop w:val="0"/>
      <w:marBottom w:val="0"/>
      <w:divBdr>
        <w:top w:val="none" w:sz="0" w:space="0" w:color="auto"/>
        <w:left w:val="none" w:sz="0" w:space="0" w:color="auto"/>
        <w:bottom w:val="none" w:sz="0" w:space="0" w:color="auto"/>
        <w:right w:val="none" w:sz="0" w:space="0" w:color="auto"/>
      </w:divBdr>
    </w:div>
    <w:div w:id="689645642">
      <w:bodyDiv w:val="1"/>
      <w:marLeft w:val="0"/>
      <w:marRight w:val="0"/>
      <w:marTop w:val="0"/>
      <w:marBottom w:val="0"/>
      <w:divBdr>
        <w:top w:val="none" w:sz="0" w:space="0" w:color="auto"/>
        <w:left w:val="none" w:sz="0" w:space="0" w:color="auto"/>
        <w:bottom w:val="none" w:sz="0" w:space="0" w:color="auto"/>
        <w:right w:val="none" w:sz="0" w:space="0" w:color="auto"/>
      </w:divBdr>
    </w:div>
    <w:div w:id="689919125">
      <w:bodyDiv w:val="1"/>
      <w:marLeft w:val="0"/>
      <w:marRight w:val="0"/>
      <w:marTop w:val="0"/>
      <w:marBottom w:val="0"/>
      <w:divBdr>
        <w:top w:val="none" w:sz="0" w:space="0" w:color="auto"/>
        <w:left w:val="none" w:sz="0" w:space="0" w:color="auto"/>
        <w:bottom w:val="none" w:sz="0" w:space="0" w:color="auto"/>
        <w:right w:val="none" w:sz="0" w:space="0" w:color="auto"/>
      </w:divBdr>
    </w:div>
    <w:div w:id="690036809">
      <w:bodyDiv w:val="1"/>
      <w:marLeft w:val="0"/>
      <w:marRight w:val="0"/>
      <w:marTop w:val="0"/>
      <w:marBottom w:val="0"/>
      <w:divBdr>
        <w:top w:val="none" w:sz="0" w:space="0" w:color="auto"/>
        <w:left w:val="none" w:sz="0" w:space="0" w:color="auto"/>
        <w:bottom w:val="none" w:sz="0" w:space="0" w:color="auto"/>
        <w:right w:val="none" w:sz="0" w:space="0" w:color="auto"/>
      </w:divBdr>
    </w:div>
    <w:div w:id="690305215">
      <w:bodyDiv w:val="1"/>
      <w:marLeft w:val="0"/>
      <w:marRight w:val="0"/>
      <w:marTop w:val="0"/>
      <w:marBottom w:val="0"/>
      <w:divBdr>
        <w:top w:val="none" w:sz="0" w:space="0" w:color="auto"/>
        <w:left w:val="none" w:sz="0" w:space="0" w:color="auto"/>
        <w:bottom w:val="none" w:sz="0" w:space="0" w:color="auto"/>
        <w:right w:val="none" w:sz="0" w:space="0" w:color="auto"/>
      </w:divBdr>
    </w:div>
    <w:div w:id="690373066">
      <w:bodyDiv w:val="1"/>
      <w:marLeft w:val="0"/>
      <w:marRight w:val="0"/>
      <w:marTop w:val="0"/>
      <w:marBottom w:val="0"/>
      <w:divBdr>
        <w:top w:val="none" w:sz="0" w:space="0" w:color="auto"/>
        <w:left w:val="none" w:sz="0" w:space="0" w:color="auto"/>
        <w:bottom w:val="none" w:sz="0" w:space="0" w:color="auto"/>
        <w:right w:val="none" w:sz="0" w:space="0" w:color="auto"/>
      </w:divBdr>
    </w:div>
    <w:div w:id="690493202">
      <w:bodyDiv w:val="1"/>
      <w:marLeft w:val="0"/>
      <w:marRight w:val="0"/>
      <w:marTop w:val="0"/>
      <w:marBottom w:val="0"/>
      <w:divBdr>
        <w:top w:val="none" w:sz="0" w:space="0" w:color="auto"/>
        <w:left w:val="none" w:sz="0" w:space="0" w:color="auto"/>
        <w:bottom w:val="none" w:sz="0" w:space="0" w:color="auto"/>
        <w:right w:val="none" w:sz="0" w:space="0" w:color="auto"/>
      </w:divBdr>
    </w:div>
    <w:div w:id="690497827">
      <w:bodyDiv w:val="1"/>
      <w:marLeft w:val="0"/>
      <w:marRight w:val="0"/>
      <w:marTop w:val="0"/>
      <w:marBottom w:val="0"/>
      <w:divBdr>
        <w:top w:val="none" w:sz="0" w:space="0" w:color="auto"/>
        <w:left w:val="none" w:sz="0" w:space="0" w:color="auto"/>
        <w:bottom w:val="none" w:sz="0" w:space="0" w:color="auto"/>
        <w:right w:val="none" w:sz="0" w:space="0" w:color="auto"/>
      </w:divBdr>
    </w:div>
    <w:div w:id="690644716">
      <w:bodyDiv w:val="1"/>
      <w:marLeft w:val="0"/>
      <w:marRight w:val="0"/>
      <w:marTop w:val="0"/>
      <w:marBottom w:val="0"/>
      <w:divBdr>
        <w:top w:val="none" w:sz="0" w:space="0" w:color="auto"/>
        <w:left w:val="none" w:sz="0" w:space="0" w:color="auto"/>
        <w:bottom w:val="none" w:sz="0" w:space="0" w:color="auto"/>
        <w:right w:val="none" w:sz="0" w:space="0" w:color="auto"/>
      </w:divBdr>
    </w:div>
    <w:div w:id="690687938">
      <w:bodyDiv w:val="1"/>
      <w:marLeft w:val="0"/>
      <w:marRight w:val="0"/>
      <w:marTop w:val="0"/>
      <w:marBottom w:val="0"/>
      <w:divBdr>
        <w:top w:val="none" w:sz="0" w:space="0" w:color="auto"/>
        <w:left w:val="none" w:sz="0" w:space="0" w:color="auto"/>
        <w:bottom w:val="none" w:sz="0" w:space="0" w:color="auto"/>
        <w:right w:val="none" w:sz="0" w:space="0" w:color="auto"/>
      </w:divBdr>
    </w:div>
    <w:div w:id="690953030">
      <w:bodyDiv w:val="1"/>
      <w:marLeft w:val="0"/>
      <w:marRight w:val="0"/>
      <w:marTop w:val="0"/>
      <w:marBottom w:val="0"/>
      <w:divBdr>
        <w:top w:val="none" w:sz="0" w:space="0" w:color="auto"/>
        <w:left w:val="none" w:sz="0" w:space="0" w:color="auto"/>
        <w:bottom w:val="none" w:sz="0" w:space="0" w:color="auto"/>
        <w:right w:val="none" w:sz="0" w:space="0" w:color="auto"/>
      </w:divBdr>
    </w:div>
    <w:div w:id="691032628">
      <w:bodyDiv w:val="1"/>
      <w:marLeft w:val="0"/>
      <w:marRight w:val="0"/>
      <w:marTop w:val="0"/>
      <w:marBottom w:val="0"/>
      <w:divBdr>
        <w:top w:val="none" w:sz="0" w:space="0" w:color="auto"/>
        <w:left w:val="none" w:sz="0" w:space="0" w:color="auto"/>
        <w:bottom w:val="none" w:sz="0" w:space="0" w:color="auto"/>
        <w:right w:val="none" w:sz="0" w:space="0" w:color="auto"/>
      </w:divBdr>
    </w:div>
    <w:div w:id="691036888">
      <w:bodyDiv w:val="1"/>
      <w:marLeft w:val="0"/>
      <w:marRight w:val="0"/>
      <w:marTop w:val="0"/>
      <w:marBottom w:val="0"/>
      <w:divBdr>
        <w:top w:val="none" w:sz="0" w:space="0" w:color="auto"/>
        <w:left w:val="none" w:sz="0" w:space="0" w:color="auto"/>
        <w:bottom w:val="none" w:sz="0" w:space="0" w:color="auto"/>
        <w:right w:val="none" w:sz="0" w:space="0" w:color="auto"/>
      </w:divBdr>
    </w:div>
    <w:div w:id="691302305">
      <w:bodyDiv w:val="1"/>
      <w:marLeft w:val="0"/>
      <w:marRight w:val="0"/>
      <w:marTop w:val="0"/>
      <w:marBottom w:val="0"/>
      <w:divBdr>
        <w:top w:val="none" w:sz="0" w:space="0" w:color="auto"/>
        <w:left w:val="none" w:sz="0" w:space="0" w:color="auto"/>
        <w:bottom w:val="none" w:sz="0" w:space="0" w:color="auto"/>
        <w:right w:val="none" w:sz="0" w:space="0" w:color="auto"/>
      </w:divBdr>
    </w:div>
    <w:div w:id="691415880">
      <w:bodyDiv w:val="1"/>
      <w:marLeft w:val="0"/>
      <w:marRight w:val="0"/>
      <w:marTop w:val="0"/>
      <w:marBottom w:val="0"/>
      <w:divBdr>
        <w:top w:val="none" w:sz="0" w:space="0" w:color="auto"/>
        <w:left w:val="none" w:sz="0" w:space="0" w:color="auto"/>
        <w:bottom w:val="none" w:sz="0" w:space="0" w:color="auto"/>
        <w:right w:val="none" w:sz="0" w:space="0" w:color="auto"/>
      </w:divBdr>
    </w:div>
    <w:div w:id="691615718">
      <w:bodyDiv w:val="1"/>
      <w:marLeft w:val="0"/>
      <w:marRight w:val="0"/>
      <w:marTop w:val="0"/>
      <w:marBottom w:val="0"/>
      <w:divBdr>
        <w:top w:val="none" w:sz="0" w:space="0" w:color="auto"/>
        <w:left w:val="none" w:sz="0" w:space="0" w:color="auto"/>
        <w:bottom w:val="none" w:sz="0" w:space="0" w:color="auto"/>
        <w:right w:val="none" w:sz="0" w:space="0" w:color="auto"/>
      </w:divBdr>
    </w:div>
    <w:div w:id="691686630">
      <w:bodyDiv w:val="1"/>
      <w:marLeft w:val="0"/>
      <w:marRight w:val="0"/>
      <w:marTop w:val="0"/>
      <w:marBottom w:val="0"/>
      <w:divBdr>
        <w:top w:val="none" w:sz="0" w:space="0" w:color="auto"/>
        <w:left w:val="none" w:sz="0" w:space="0" w:color="auto"/>
        <w:bottom w:val="none" w:sz="0" w:space="0" w:color="auto"/>
        <w:right w:val="none" w:sz="0" w:space="0" w:color="auto"/>
      </w:divBdr>
    </w:div>
    <w:div w:id="691760796">
      <w:bodyDiv w:val="1"/>
      <w:marLeft w:val="0"/>
      <w:marRight w:val="0"/>
      <w:marTop w:val="0"/>
      <w:marBottom w:val="0"/>
      <w:divBdr>
        <w:top w:val="none" w:sz="0" w:space="0" w:color="auto"/>
        <w:left w:val="none" w:sz="0" w:space="0" w:color="auto"/>
        <w:bottom w:val="none" w:sz="0" w:space="0" w:color="auto"/>
        <w:right w:val="none" w:sz="0" w:space="0" w:color="auto"/>
      </w:divBdr>
    </w:div>
    <w:div w:id="691879642">
      <w:bodyDiv w:val="1"/>
      <w:marLeft w:val="0"/>
      <w:marRight w:val="0"/>
      <w:marTop w:val="0"/>
      <w:marBottom w:val="0"/>
      <w:divBdr>
        <w:top w:val="none" w:sz="0" w:space="0" w:color="auto"/>
        <w:left w:val="none" w:sz="0" w:space="0" w:color="auto"/>
        <w:bottom w:val="none" w:sz="0" w:space="0" w:color="auto"/>
        <w:right w:val="none" w:sz="0" w:space="0" w:color="auto"/>
      </w:divBdr>
    </w:div>
    <w:div w:id="691960503">
      <w:bodyDiv w:val="1"/>
      <w:marLeft w:val="0"/>
      <w:marRight w:val="0"/>
      <w:marTop w:val="0"/>
      <w:marBottom w:val="0"/>
      <w:divBdr>
        <w:top w:val="none" w:sz="0" w:space="0" w:color="auto"/>
        <w:left w:val="none" w:sz="0" w:space="0" w:color="auto"/>
        <w:bottom w:val="none" w:sz="0" w:space="0" w:color="auto"/>
        <w:right w:val="none" w:sz="0" w:space="0" w:color="auto"/>
      </w:divBdr>
    </w:div>
    <w:div w:id="692150946">
      <w:bodyDiv w:val="1"/>
      <w:marLeft w:val="0"/>
      <w:marRight w:val="0"/>
      <w:marTop w:val="0"/>
      <w:marBottom w:val="0"/>
      <w:divBdr>
        <w:top w:val="none" w:sz="0" w:space="0" w:color="auto"/>
        <w:left w:val="none" w:sz="0" w:space="0" w:color="auto"/>
        <w:bottom w:val="none" w:sz="0" w:space="0" w:color="auto"/>
        <w:right w:val="none" w:sz="0" w:space="0" w:color="auto"/>
      </w:divBdr>
    </w:div>
    <w:div w:id="692151685">
      <w:bodyDiv w:val="1"/>
      <w:marLeft w:val="0"/>
      <w:marRight w:val="0"/>
      <w:marTop w:val="0"/>
      <w:marBottom w:val="0"/>
      <w:divBdr>
        <w:top w:val="none" w:sz="0" w:space="0" w:color="auto"/>
        <w:left w:val="none" w:sz="0" w:space="0" w:color="auto"/>
        <w:bottom w:val="none" w:sz="0" w:space="0" w:color="auto"/>
        <w:right w:val="none" w:sz="0" w:space="0" w:color="auto"/>
      </w:divBdr>
    </w:div>
    <w:div w:id="692462220">
      <w:bodyDiv w:val="1"/>
      <w:marLeft w:val="0"/>
      <w:marRight w:val="0"/>
      <w:marTop w:val="0"/>
      <w:marBottom w:val="0"/>
      <w:divBdr>
        <w:top w:val="none" w:sz="0" w:space="0" w:color="auto"/>
        <w:left w:val="none" w:sz="0" w:space="0" w:color="auto"/>
        <w:bottom w:val="none" w:sz="0" w:space="0" w:color="auto"/>
        <w:right w:val="none" w:sz="0" w:space="0" w:color="auto"/>
      </w:divBdr>
    </w:div>
    <w:div w:id="692614228">
      <w:bodyDiv w:val="1"/>
      <w:marLeft w:val="0"/>
      <w:marRight w:val="0"/>
      <w:marTop w:val="0"/>
      <w:marBottom w:val="0"/>
      <w:divBdr>
        <w:top w:val="none" w:sz="0" w:space="0" w:color="auto"/>
        <w:left w:val="none" w:sz="0" w:space="0" w:color="auto"/>
        <w:bottom w:val="none" w:sz="0" w:space="0" w:color="auto"/>
        <w:right w:val="none" w:sz="0" w:space="0" w:color="auto"/>
      </w:divBdr>
    </w:div>
    <w:div w:id="692655861">
      <w:bodyDiv w:val="1"/>
      <w:marLeft w:val="0"/>
      <w:marRight w:val="0"/>
      <w:marTop w:val="0"/>
      <w:marBottom w:val="0"/>
      <w:divBdr>
        <w:top w:val="none" w:sz="0" w:space="0" w:color="auto"/>
        <w:left w:val="none" w:sz="0" w:space="0" w:color="auto"/>
        <w:bottom w:val="none" w:sz="0" w:space="0" w:color="auto"/>
        <w:right w:val="none" w:sz="0" w:space="0" w:color="auto"/>
      </w:divBdr>
    </w:div>
    <w:div w:id="692682751">
      <w:bodyDiv w:val="1"/>
      <w:marLeft w:val="0"/>
      <w:marRight w:val="0"/>
      <w:marTop w:val="0"/>
      <w:marBottom w:val="0"/>
      <w:divBdr>
        <w:top w:val="none" w:sz="0" w:space="0" w:color="auto"/>
        <w:left w:val="none" w:sz="0" w:space="0" w:color="auto"/>
        <w:bottom w:val="none" w:sz="0" w:space="0" w:color="auto"/>
        <w:right w:val="none" w:sz="0" w:space="0" w:color="auto"/>
      </w:divBdr>
    </w:div>
    <w:div w:id="692727003">
      <w:bodyDiv w:val="1"/>
      <w:marLeft w:val="0"/>
      <w:marRight w:val="0"/>
      <w:marTop w:val="0"/>
      <w:marBottom w:val="0"/>
      <w:divBdr>
        <w:top w:val="none" w:sz="0" w:space="0" w:color="auto"/>
        <w:left w:val="none" w:sz="0" w:space="0" w:color="auto"/>
        <w:bottom w:val="none" w:sz="0" w:space="0" w:color="auto"/>
        <w:right w:val="none" w:sz="0" w:space="0" w:color="auto"/>
      </w:divBdr>
    </w:div>
    <w:div w:id="692728826">
      <w:bodyDiv w:val="1"/>
      <w:marLeft w:val="0"/>
      <w:marRight w:val="0"/>
      <w:marTop w:val="0"/>
      <w:marBottom w:val="0"/>
      <w:divBdr>
        <w:top w:val="none" w:sz="0" w:space="0" w:color="auto"/>
        <w:left w:val="none" w:sz="0" w:space="0" w:color="auto"/>
        <w:bottom w:val="none" w:sz="0" w:space="0" w:color="auto"/>
        <w:right w:val="none" w:sz="0" w:space="0" w:color="auto"/>
      </w:divBdr>
    </w:div>
    <w:div w:id="692800012">
      <w:bodyDiv w:val="1"/>
      <w:marLeft w:val="0"/>
      <w:marRight w:val="0"/>
      <w:marTop w:val="0"/>
      <w:marBottom w:val="0"/>
      <w:divBdr>
        <w:top w:val="none" w:sz="0" w:space="0" w:color="auto"/>
        <w:left w:val="none" w:sz="0" w:space="0" w:color="auto"/>
        <w:bottom w:val="none" w:sz="0" w:space="0" w:color="auto"/>
        <w:right w:val="none" w:sz="0" w:space="0" w:color="auto"/>
      </w:divBdr>
    </w:div>
    <w:div w:id="693118692">
      <w:bodyDiv w:val="1"/>
      <w:marLeft w:val="0"/>
      <w:marRight w:val="0"/>
      <w:marTop w:val="0"/>
      <w:marBottom w:val="0"/>
      <w:divBdr>
        <w:top w:val="none" w:sz="0" w:space="0" w:color="auto"/>
        <w:left w:val="none" w:sz="0" w:space="0" w:color="auto"/>
        <w:bottom w:val="none" w:sz="0" w:space="0" w:color="auto"/>
        <w:right w:val="none" w:sz="0" w:space="0" w:color="auto"/>
      </w:divBdr>
    </w:div>
    <w:div w:id="693382633">
      <w:bodyDiv w:val="1"/>
      <w:marLeft w:val="0"/>
      <w:marRight w:val="0"/>
      <w:marTop w:val="0"/>
      <w:marBottom w:val="0"/>
      <w:divBdr>
        <w:top w:val="none" w:sz="0" w:space="0" w:color="auto"/>
        <w:left w:val="none" w:sz="0" w:space="0" w:color="auto"/>
        <w:bottom w:val="none" w:sz="0" w:space="0" w:color="auto"/>
        <w:right w:val="none" w:sz="0" w:space="0" w:color="auto"/>
      </w:divBdr>
    </w:div>
    <w:div w:id="693652652">
      <w:bodyDiv w:val="1"/>
      <w:marLeft w:val="0"/>
      <w:marRight w:val="0"/>
      <w:marTop w:val="0"/>
      <w:marBottom w:val="0"/>
      <w:divBdr>
        <w:top w:val="none" w:sz="0" w:space="0" w:color="auto"/>
        <w:left w:val="none" w:sz="0" w:space="0" w:color="auto"/>
        <w:bottom w:val="none" w:sz="0" w:space="0" w:color="auto"/>
        <w:right w:val="none" w:sz="0" w:space="0" w:color="auto"/>
      </w:divBdr>
    </w:div>
    <w:div w:id="693658006">
      <w:bodyDiv w:val="1"/>
      <w:marLeft w:val="0"/>
      <w:marRight w:val="0"/>
      <w:marTop w:val="0"/>
      <w:marBottom w:val="0"/>
      <w:divBdr>
        <w:top w:val="none" w:sz="0" w:space="0" w:color="auto"/>
        <w:left w:val="none" w:sz="0" w:space="0" w:color="auto"/>
        <w:bottom w:val="none" w:sz="0" w:space="0" w:color="auto"/>
        <w:right w:val="none" w:sz="0" w:space="0" w:color="auto"/>
      </w:divBdr>
    </w:div>
    <w:div w:id="693698905">
      <w:bodyDiv w:val="1"/>
      <w:marLeft w:val="0"/>
      <w:marRight w:val="0"/>
      <w:marTop w:val="0"/>
      <w:marBottom w:val="0"/>
      <w:divBdr>
        <w:top w:val="none" w:sz="0" w:space="0" w:color="auto"/>
        <w:left w:val="none" w:sz="0" w:space="0" w:color="auto"/>
        <w:bottom w:val="none" w:sz="0" w:space="0" w:color="auto"/>
        <w:right w:val="none" w:sz="0" w:space="0" w:color="auto"/>
      </w:divBdr>
    </w:div>
    <w:div w:id="694305443">
      <w:bodyDiv w:val="1"/>
      <w:marLeft w:val="0"/>
      <w:marRight w:val="0"/>
      <w:marTop w:val="0"/>
      <w:marBottom w:val="0"/>
      <w:divBdr>
        <w:top w:val="none" w:sz="0" w:space="0" w:color="auto"/>
        <w:left w:val="none" w:sz="0" w:space="0" w:color="auto"/>
        <w:bottom w:val="none" w:sz="0" w:space="0" w:color="auto"/>
        <w:right w:val="none" w:sz="0" w:space="0" w:color="auto"/>
      </w:divBdr>
    </w:div>
    <w:div w:id="694814358">
      <w:bodyDiv w:val="1"/>
      <w:marLeft w:val="0"/>
      <w:marRight w:val="0"/>
      <w:marTop w:val="0"/>
      <w:marBottom w:val="0"/>
      <w:divBdr>
        <w:top w:val="none" w:sz="0" w:space="0" w:color="auto"/>
        <w:left w:val="none" w:sz="0" w:space="0" w:color="auto"/>
        <w:bottom w:val="none" w:sz="0" w:space="0" w:color="auto"/>
        <w:right w:val="none" w:sz="0" w:space="0" w:color="auto"/>
      </w:divBdr>
    </w:div>
    <w:div w:id="694842267">
      <w:bodyDiv w:val="1"/>
      <w:marLeft w:val="0"/>
      <w:marRight w:val="0"/>
      <w:marTop w:val="0"/>
      <w:marBottom w:val="0"/>
      <w:divBdr>
        <w:top w:val="none" w:sz="0" w:space="0" w:color="auto"/>
        <w:left w:val="none" w:sz="0" w:space="0" w:color="auto"/>
        <w:bottom w:val="none" w:sz="0" w:space="0" w:color="auto"/>
        <w:right w:val="none" w:sz="0" w:space="0" w:color="auto"/>
      </w:divBdr>
    </w:div>
    <w:div w:id="694959180">
      <w:bodyDiv w:val="1"/>
      <w:marLeft w:val="0"/>
      <w:marRight w:val="0"/>
      <w:marTop w:val="0"/>
      <w:marBottom w:val="0"/>
      <w:divBdr>
        <w:top w:val="none" w:sz="0" w:space="0" w:color="auto"/>
        <w:left w:val="none" w:sz="0" w:space="0" w:color="auto"/>
        <w:bottom w:val="none" w:sz="0" w:space="0" w:color="auto"/>
        <w:right w:val="none" w:sz="0" w:space="0" w:color="auto"/>
      </w:divBdr>
    </w:div>
    <w:div w:id="694964275">
      <w:bodyDiv w:val="1"/>
      <w:marLeft w:val="0"/>
      <w:marRight w:val="0"/>
      <w:marTop w:val="0"/>
      <w:marBottom w:val="0"/>
      <w:divBdr>
        <w:top w:val="none" w:sz="0" w:space="0" w:color="auto"/>
        <w:left w:val="none" w:sz="0" w:space="0" w:color="auto"/>
        <w:bottom w:val="none" w:sz="0" w:space="0" w:color="auto"/>
        <w:right w:val="none" w:sz="0" w:space="0" w:color="auto"/>
      </w:divBdr>
    </w:div>
    <w:div w:id="695037248">
      <w:bodyDiv w:val="1"/>
      <w:marLeft w:val="0"/>
      <w:marRight w:val="0"/>
      <w:marTop w:val="0"/>
      <w:marBottom w:val="0"/>
      <w:divBdr>
        <w:top w:val="none" w:sz="0" w:space="0" w:color="auto"/>
        <w:left w:val="none" w:sz="0" w:space="0" w:color="auto"/>
        <w:bottom w:val="none" w:sz="0" w:space="0" w:color="auto"/>
        <w:right w:val="none" w:sz="0" w:space="0" w:color="auto"/>
      </w:divBdr>
    </w:div>
    <w:div w:id="695280091">
      <w:bodyDiv w:val="1"/>
      <w:marLeft w:val="0"/>
      <w:marRight w:val="0"/>
      <w:marTop w:val="0"/>
      <w:marBottom w:val="0"/>
      <w:divBdr>
        <w:top w:val="none" w:sz="0" w:space="0" w:color="auto"/>
        <w:left w:val="none" w:sz="0" w:space="0" w:color="auto"/>
        <w:bottom w:val="none" w:sz="0" w:space="0" w:color="auto"/>
        <w:right w:val="none" w:sz="0" w:space="0" w:color="auto"/>
      </w:divBdr>
    </w:div>
    <w:div w:id="695303699">
      <w:bodyDiv w:val="1"/>
      <w:marLeft w:val="0"/>
      <w:marRight w:val="0"/>
      <w:marTop w:val="0"/>
      <w:marBottom w:val="0"/>
      <w:divBdr>
        <w:top w:val="none" w:sz="0" w:space="0" w:color="auto"/>
        <w:left w:val="none" w:sz="0" w:space="0" w:color="auto"/>
        <w:bottom w:val="none" w:sz="0" w:space="0" w:color="auto"/>
        <w:right w:val="none" w:sz="0" w:space="0" w:color="auto"/>
      </w:divBdr>
    </w:div>
    <w:div w:id="695425535">
      <w:bodyDiv w:val="1"/>
      <w:marLeft w:val="0"/>
      <w:marRight w:val="0"/>
      <w:marTop w:val="0"/>
      <w:marBottom w:val="0"/>
      <w:divBdr>
        <w:top w:val="none" w:sz="0" w:space="0" w:color="auto"/>
        <w:left w:val="none" w:sz="0" w:space="0" w:color="auto"/>
        <w:bottom w:val="none" w:sz="0" w:space="0" w:color="auto"/>
        <w:right w:val="none" w:sz="0" w:space="0" w:color="auto"/>
      </w:divBdr>
    </w:div>
    <w:div w:id="695498297">
      <w:bodyDiv w:val="1"/>
      <w:marLeft w:val="0"/>
      <w:marRight w:val="0"/>
      <w:marTop w:val="0"/>
      <w:marBottom w:val="0"/>
      <w:divBdr>
        <w:top w:val="none" w:sz="0" w:space="0" w:color="auto"/>
        <w:left w:val="none" w:sz="0" w:space="0" w:color="auto"/>
        <w:bottom w:val="none" w:sz="0" w:space="0" w:color="auto"/>
        <w:right w:val="none" w:sz="0" w:space="0" w:color="auto"/>
      </w:divBdr>
    </w:div>
    <w:div w:id="695620091">
      <w:bodyDiv w:val="1"/>
      <w:marLeft w:val="0"/>
      <w:marRight w:val="0"/>
      <w:marTop w:val="0"/>
      <w:marBottom w:val="0"/>
      <w:divBdr>
        <w:top w:val="none" w:sz="0" w:space="0" w:color="auto"/>
        <w:left w:val="none" w:sz="0" w:space="0" w:color="auto"/>
        <w:bottom w:val="none" w:sz="0" w:space="0" w:color="auto"/>
        <w:right w:val="none" w:sz="0" w:space="0" w:color="auto"/>
      </w:divBdr>
    </w:div>
    <w:div w:id="695735772">
      <w:bodyDiv w:val="1"/>
      <w:marLeft w:val="0"/>
      <w:marRight w:val="0"/>
      <w:marTop w:val="0"/>
      <w:marBottom w:val="0"/>
      <w:divBdr>
        <w:top w:val="none" w:sz="0" w:space="0" w:color="auto"/>
        <w:left w:val="none" w:sz="0" w:space="0" w:color="auto"/>
        <w:bottom w:val="none" w:sz="0" w:space="0" w:color="auto"/>
        <w:right w:val="none" w:sz="0" w:space="0" w:color="auto"/>
      </w:divBdr>
    </w:div>
    <w:div w:id="696010062">
      <w:bodyDiv w:val="1"/>
      <w:marLeft w:val="0"/>
      <w:marRight w:val="0"/>
      <w:marTop w:val="0"/>
      <w:marBottom w:val="0"/>
      <w:divBdr>
        <w:top w:val="none" w:sz="0" w:space="0" w:color="auto"/>
        <w:left w:val="none" w:sz="0" w:space="0" w:color="auto"/>
        <w:bottom w:val="none" w:sz="0" w:space="0" w:color="auto"/>
        <w:right w:val="none" w:sz="0" w:space="0" w:color="auto"/>
      </w:divBdr>
    </w:div>
    <w:div w:id="696076507">
      <w:bodyDiv w:val="1"/>
      <w:marLeft w:val="0"/>
      <w:marRight w:val="0"/>
      <w:marTop w:val="0"/>
      <w:marBottom w:val="0"/>
      <w:divBdr>
        <w:top w:val="none" w:sz="0" w:space="0" w:color="auto"/>
        <w:left w:val="none" w:sz="0" w:space="0" w:color="auto"/>
        <w:bottom w:val="none" w:sz="0" w:space="0" w:color="auto"/>
        <w:right w:val="none" w:sz="0" w:space="0" w:color="auto"/>
      </w:divBdr>
    </w:div>
    <w:div w:id="696083904">
      <w:bodyDiv w:val="1"/>
      <w:marLeft w:val="0"/>
      <w:marRight w:val="0"/>
      <w:marTop w:val="0"/>
      <w:marBottom w:val="0"/>
      <w:divBdr>
        <w:top w:val="none" w:sz="0" w:space="0" w:color="auto"/>
        <w:left w:val="none" w:sz="0" w:space="0" w:color="auto"/>
        <w:bottom w:val="none" w:sz="0" w:space="0" w:color="auto"/>
        <w:right w:val="none" w:sz="0" w:space="0" w:color="auto"/>
      </w:divBdr>
    </w:div>
    <w:div w:id="696273249">
      <w:bodyDiv w:val="1"/>
      <w:marLeft w:val="0"/>
      <w:marRight w:val="0"/>
      <w:marTop w:val="0"/>
      <w:marBottom w:val="0"/>
      <w:divBdr>
        <w:top w:val="none" w:sz="0" w:space="0" w:color="auto"/>
        <w:left w:val="none" w:sz="0" w:space="0" w:color="auto"/>
        <w:bottom w:val="none" w:sz="0" w:space="0" w:color="auto"/>
        <w:right w:val="none" w:sz="0" w:space="0" w:color="auto"/>
      </w:divBdr>
    </w:div>
    <w:div w:id="696390631">
      <w:bodyDiv w:val="1"/>
      <w:marLeft w:val="0"/>
      <w:marRight w:val="0"/>
      <w:marTop w:val="0"/>
      <w:marBottom w:val="0"/>
      <w:divBdr>
        <w:top w:val="none" w:sz="0" w:space="0" w:color="auto"/>
        <w:left w:val="none" w:sz="0" w:space="0" w:color="auto"/>
        <w:bottom w:val="none" w:sz="0" w:space="0" w:color="auto"/>
        <w:right w:val="none" w:sz="0" w:space="0" w:color="auto"/>
      </w:divBdr>
    </w:div>
    <w:div w:id="696538406">
      <w:bodyDiv w:val="1"/>
      <w:marLeft w:val="0"/>
      <w:marRight w:val="0"/>
      <w:marTop w:val="0"/>
      <w:marBottom w:val="0"/>
      <w:divBdr>
        <w:top w:val="none" w:sz="0" w:space="0" w:color="auto"/>
        <w:left w:val="none" w:sz="0" w:space="0" w:color="auto"/>
        <w:bottom w:val="none" w:sz="0" w:space="0" w:color="auto"/>
        <w:right w:val="none" w:sz="0" w:space="0" w:color="auto"/>
      </w:divBdr>
    </w:div>
    <w:div w:id="696658457">
      <w:bodyDiv w:val="1"/>
      <w:marLeft w:val="0"/>
      <w:marRight w:val="0"/>
      <w:marTop w:val="0"/>
      <w:marBottom w:val="0"/>
      <w:divBdr>
        <w:top w:val="none" w:sz="0" w:space="0" w:color="auto"/>
        <w:left w:val="none" w:sz="0" w:space="0" w:color="auto"/>
        <w:bottom w:val="none" w:sz="0" w:space="0" w:color="auto"/>
        <w:right w:val="none" w:sz="0" w:space="0" w:color="auto"/>
      </w:divBdr>
    </w:div>
    <w:div w:id="696807111">
      <w:bodyDiv w:val="1"/>
      <w:marLeft w:val="0"/>
      <w:marRight w:val="0"/>
      <w:marTop w:val="0"/>
      <w:marBottom w:val="0"/>
      <w:divBdr>
        <w:top w:val="none" w:sz="0" w:space="0" w:color="auto"/>
        <w:left w:val="none" w:sz="0" w:space="0" w:color="auto"/>
        <w:bottom w:val="none" w:sz="0" w:space="0" w:color="auto"/>
        <w:right w:val="none" w:sz="0" w:space="0" w:color="auto"/>
      </w:divBdr>
    </w:div>
    <w:div w:id="697008125">
      <w:bodyDiv w:val="1"/>
      <w:marLeft w:val="0"/>
      <w:marRight w:val="0"/>
      <w:marTop w:val="0"/>
      <w:marBottom w:val="0"/>
      <w:divBdr>
        <w:top w:val="none" w:sz="0" w:space="0" w:color="auto"/>
        <w:left w:val="none" w:sz="0" w:space="0" w:color="auto"/>
        <w:bottom w:val="none" w:sz="0" w:space="0" w:color="auto"/>
        <w:right w:val="none" w:sz="0" w:space="0" w:color="auto"/>
      </w:divBdr>
    </w:div>
    <w:div w:id="697043981">
      <w:bodyDiv w:val="1"/>
      <w:marLeft w:val="0"/>
      <w:marRight w:val="0"/>
      <w:marTop w:val="0"/>
      <w:marBottom w:val="0"/>
      <w:divBdr>
        <w:top w:val="none" w:sz="0" w:space="0" w:color="auto"/>
        <w:left w:val="none" w:sz="0" w:space="0" w:color="auto"/>
        <w:bottom w:val="none" w:sz="0" w:space="0" w:color="auto"/>
        <w:right w:val="none" w:sz="0" w:space="0" w:color="auto"/>
      </w:divBdr>
    </w:div>
    <w:div w:id="697052548">
      <w:bodyDiv w:val="1"/>
      <w:marLeft w:val="0"/>
      <w:marRight w:val="0"/>
      <w:marTop w:val="0"/>
      <w:marBottom w:val="0"/>
      <w:divBdr>
        <w:top w:val="none" w:sz="0" w:space="0" w:color="auto"/>
        <w:left w:val="none" w:sz="0" w:space="0" w:color="auto"/>
        <w:bottom w:val="none" w:sz="0" w:space="0" w:color="auto"/>
        <w:right w:val="none" w:sz="0" w:space="0" w:color="auto"/>
      </w:divBdr>
    </w:div>
    <w:div w:id="697126643">
      <w:bodyDiv w:val="1"/>
      <w:marLeft w:val="0"/>
      <w:marRight w:val="0"/>
      <w:marTop w:val="0"/>
      <w:marBottom w:val="0"/>
      <w:divBdr>
        <w:top w:val="none" w:sz="0" w:space="0" w:color="auto"/>
        <w:left w:val="none" w:sz="0" w:space="0" w:color="auto"/>
        <w:bottom w:val="none" w:sz="0" w:space="0" w:color="auto"/>
        <w:right w:val="none" w:sz="0" w:space="0" w:color="auto"/>
      </w:divBdr>
    </w:div>
    <w:div w:id="697242190">
      <w:bodyDiv w:val="1"/>
      <w:marLeft w:val="0"/>
      <w:marRight w:val="0"/>
      <w:marTop w:val="0"/>
      <w:marBottom w:val="0"/>
      <w:divBdr>
        <w:top w:val="none" w:sz="0" w:space="0" w:color="auto"/>
        <w:left w:val="none" w:sz="0" w:space="0" w:color="auto"/>
        <w:bottom w:val="none" w:sz="0" w:space="0" w:color="auto"/>
        <w:right w:val="none" w:sz="0" w:space="0" w:color="auto"/>
      </w:divBdr>
    </w:div>
    <w:div w:id="697464656">
      <w:bodyDiv w:val="1"/>
      <w:marLeft w:val="0"/>
      <w:marRight w:val="0"/>
      <w:marTop w:val="0"/>
      <w:marBottom w:val="0"/>
      <w:divBdr>
        <w:top w:val="none" w:sz="0" w:space="0" w:color="auto"/>
        <w:left w:val="none" w:sz="0" w:space="0" w:color="auto"/>
        <w:bottom w:val="none" w:sz="0" w:space="0" w:color="auto"/>
        <w:right w:val="none" w:sz="0" w:space="0" w:color="auto"/>
      </w:divBdr>
    </w:div>
    <w:div w:id="697703227">
      <w:bodyDiv w:val="1"/>
      <w:marLeft w:val="0"/>
      <w:marRight w:val="0"/>
      <w:marTop w:val="0"/>
      <w:marBottom w:val="0"/>
      <w:divBdr>
        <w:top w:val="none" w:sz="0" w:space="0" w:color="auto"/>
        <w:left w:val="none" w:sz="0" w:space="0" w:color="auto"/>
        <w:bottom w:val="none" w:sz="0" w:space="0" w:color="auto"/>
        <w:right w:val="none" w:sz="0" w:space="0" w:color="auto"/>
      </w:divBdr>
    </w:div>
    <w:div w:id="697856986">
      <w:bodyDiv w:val="1"/>
      <w:marLeft w:val="0"/>
      <w:marRight w:val="0"/>
      <w:marTop w:val="0"/>
      <w:marBottom w:val="0"/>
      <w:divBdr>
        <w:top w:val="none" w:sz="0" w:space="0" w:color="auto"/>
        <w:left w:val="none" w:sz="0" w:space="0" w:color="auto"/>
        <w:bottom w:val="none" w:sz="0" w:space="0" w:color="auto"/>
        <w:right w:val="none" w:sz="0" w:space="0" w:color="auto"/>
      </w:divBdr>
    </w:div>
    <w:div w:id="697857666">
      <w:bodyDiv w:val="1"/>
      <w:marLeft w:val="0"/>
      <w:marRight w:val="0"/>
      <w:marTop w:val="0"/>
      <w:marBottom w:val="0"/>
      <w:divBdr>
        <w:top w:val="none" w:sz="0" w:space="0" w:color="auto"/>
        <w:left w:val="none" w:sz="0" w:space="0" w:color="auto"/>
        <w:bottom w:val="none" w:sz="0" w:space="0" w:color="auto"/>
        <w:right w:val="none" w:sz="0" w:space="0" w:color="auto"/>
      </w:divBdr>
    </w:div>
    <w:div w:id="697925151">
      <w:bodyDiv w:val="1"/>
      <w:marLeft w:val="0"/>
      <w:marRight w:val="0"/>
      <w:marTop w:val="0"/>
      <w:marBottom w:val="0"/>
      <w:divBdr>
        <w:top w:val="none" w:sz="0" w:space="0" w:color="auto"/>
        <w:left w:val="none" w:sz="0" w:space="0" w:color="auto"/>
        <w:bottom w:val="none" w:sz="0" w:space="0" w:color="auto"/>
        <w:right w:val="none" w:sz="0" w:space="0" w:color="auto"/>
      </w:divBdr>
    </w:div>
    <w:div w:id="697974578">
      <w:bodyDiv w:val="1"/>
      <w:marLeft w:val="0"/>
      <w:marRight w:val="0"/>
      <w:marTop w:val="0"/>
      <w:marBottom w:val="0"/>
      <w:divBdr>
        <w:top w:val="none" w:sz="0" w:space="0" w:color="auto"/>
        <w:left w:val="none" w:sz="0" w:space="0" w:color="auto"/>
        <w:bottom w:val="none" w:sz="0" w:space="0" w:color="auto"/>
        <w:right w:val="none" w:sz="0" w:space="0" w:color="auto"/>
      </w:divBdr>
    </w:div>
    <w:div w:id="698512538">
      <w:bodyDiv w:val="1"/>
      <w:marLeft w:val="0"/>
      <w:marRight w:val="0"/>
      <w:marTop w:val="0"/>
      <w:marBottom w:val="0"/>
      <w:divBdr>
        <w:top w:val="none" w:sz="0" w:space="0" w:color="auto"/>
        <w:left w:val="none" w:sz="0" w:space="0" w:color="auto"/>
        <w:bottom w:val="none" w:sz="0" w:space="0" w:color="auto"/>
        <w:right w:val="none" w:sz="0" w:space="0" w:color="auto"/>
      </w:divBdr>
    </w:div>
    <w:div w:id="699009326">
      <w:bodyDiv w:val="1"/>
      <w:marLeft w:val="0"/>
      <w:marRight w:val="0"/>
      <w:marTop w:val="0"/>
      <w:marBottom w:val="0"/>
      <w:divBdr>
        <w:top w:val="none" w:sz="0" w:space="0" w:color="auto"/>
        <w:left w:val="none" w:sz="0" w:space="0" w:color="auto"/>
        <w:bottom w:val="none" w:sz="0" w:space="0" w:color="auto"/>
        <w:right w:val="none" w:sz="0" w:space="0" w:color="auto"/>
      </w:divBdr>
    </w:div>
    <w:div w:id="699431241">
      <w:bodyDiv w:val="1"/>
      <w:marLeft w:val="0"/>
      <w:marRight w:val="0"/>
      <w:marTop w:val="0"/>
      <w:marBottom w:val="0"/>
      <w:divBdr>
        <w:top w:val="none" w:sz="0" w:space="0" w:color="auto"/>
        <w:left w:val="none" w:sz="0" w:space="0" w:color="auto"/>
        <w:bottom w:val="none" w:sz="0" w:space="0" w:color="auto"/>
        <w:right w:val="none" w:sz="0" w:space="0" w:color="auto"/>
      </w:divBdr>
    </w:div>
    <w:div w:id="699624789">
      <w:bodyDiv w:val="1"/>
      <w:marLeft w:val="0"/>
      <w:marRight w:val="0"/>
      <w:marTop w:val="0"/>
      <w:marBottom w:val="0"/>
      <w:divBdr>
        <w:top w:val="none" w:sz="0" w:space="0" w:color="auto"/>
        <w:left w:val="none" w:sz="0" w:space="0" w:color="auto"/>
        <w:bottom w:val="none" w:sz="0" w:space="0" w:color="auto"/>
        <w:right w:val="none" w:sz="0" w:space="0" w:color="auto"/>
      </w:divBdr>
    </w:div>
    <w:div w:id="699666832">
      <w:bodyDiv w:val="1"/>
      <w:marLeft w:val="0"/>
      <w:marRight w:val="0"/>
      <w:marTop w:val="0"/>
      <w:marBottom w:val="0"/>
      <w:divBdr>
        <w:top w:val="none" w:sz="0" w:space="0" w:color="auto"/>
        <w:left w:val="none" w:sz="0" w:space="0" w:color="auto"/>
        <w:bottom w:val="none" w:sz="0" w:space="0" w:color="auto"/>
        <w:right w:val="none" w:sz="0" w:space="0" w:color="auto"/>
      </w:divBdr>
    </w:div>
    <w:div w:id="699862833">
      <w:bodyDiv w:val="1"/>
      <w:marLeft w:val="0"/>
      <w:marRight w:val="0"/>
      <w:marTop w:val="0"/>
      <w:marBottom w:val="0"/>
      <w:divBdr>
        <w:top w:val="none" w:sz="0" w:space="0" w:color="auto"/>
        <w:left w:val="none" w:sz="0" w:space="0" w:color="auto"/>
        <w:bottom w:val="none" w:sz="0" w:space="0" w:color="auto"/>
        <w:right w:val="none" w:sz="0" w:space="0" w:color="auto"/>
      </w:divBdr>
    </w:div>
    <w:div w:id="700058040">
      <w:bodyDiv w:val="1"/>
      <w:marLeft w:val="0"/>
      <w:marRight w:val="0"/>
      <w:marTop w:val="0"/>
      <w:marBottom w:val="0"/>
      <w:divBdr>
        <w:top w:val="none" w:sz="0" w:space="0" w:color="auto"/>
        <w:left w:val="none" w:sz="0" w:space="0" w:color="auto"/>
        <w:bottom w:val="none" w:sz="0" w:space="0" w:color="auto"/>
        <w:right w:val="none" w:sz="0" w:space="0" w:color="auto"/>
      </w:divBdr>
    </w:div>
    <w:div w:id="700083642">
      <w:bodyDiv w:val="1"/>
      <w:marLeft w:val="0"/>
      <w:marRight w:val="0"/>
      <w:marTop w:val="0"/>
      <w:marBottom w:val="0"/>
      <w:divBdr>
        <w:top w:val="none" w:sz="0" w:space="0" w:color="auto"/>
        <w:left w:val="none" w:sz="0" w:space="0" w:color="auto"/>
        <w:bottom w:val="none" w:sz="0" w:space="0" w:color="auto"/>
        <w:right w:val="none" w:sz="0" w:space="0" w:color="auto"/>
      </w:divBdr>
    </w:div>
    <w:div w:id="700133072">
      <w:bodyDiv w:val="1"/>
      <w:marLeft w:val="0"/>
      <w:marRight w:val="0"/>
      <w:marTop w:val="0"/>
      <w:marBottom w:val="0"/>
      <w:divBdr>
        <w:top w:val="none" w:sz="0" w:space="0" w:color="auto"/>
        <w:left w:val="none" w:sz="0" w:space="0" w:color="auto"/>
        <w:bottom w:val="none" w:sz="0" w:space="0" w:color="auto"/>
        <w:right w:val="none" w:sz="0" w:space="0" w:color="auto"/>
      </w:divBdr>
    </w:div>
    <w:div w:id="700202993">
      <w:bodyDiv w:val="1"/>
      <w:marLeft w:val="0"/>
      <w:marRight w:val="0"/>
      <w:marTop w:val="0"/>
      <w:marBottom w:val="0"/>
      <w:divBdr>
        <w:top w:val="none" w:sz="0" w:space="0" w:color="auto"/>
        <w:left w:val="none" w:sz="0" w:space="0" w:color="auto"/>
        <w:bottom w:val="none" w:sz="0" w:space="0" w:color="auto"/>
        <w:right w:val="none" w:sz="0" w:space="0" w:color="auto"/>
      </w:divBdr>
    </w:div>
    <w:div w:id="700207744">
      <w:bodyDiv w:val="1"/>
      <w:marLeft w:val="0"/>
      <w:marRight w:val="0"/>
      <w:marTop w:val="0"/>
      <w:marBottom w:val="0"/>
      <w:divBdr>
        <w:top w:val="none" w:sz="0" w:space="0" w:color="auto"/>
        <w:left w:val="none" w:sz="0" w:space="0" w:color="auto"/>
        <w:bottom w:val="none" w:sz="0" w:space="0" w:color="auto"/>
        <w:right w:val="none" w:sz="0" w:space="0" w:color="auto"/>
      </w:divBdr>
    </w:div>
    <w:div w:id="700278995">
      <w:bodyDiv w:val="1"/>
      <w:marLeft w:val="0"/>
      <w:marRight w:val="0"/>
      <w:marTop w:val="0"/>
      <w:marBottom w:val="0"/>
      <w:divBdr>
        <w:top w:val="none" w:sz="0" w:space="0" w:color="auto"/>
        <w:left w:val="none" w:sz="0" w:space="0" w:color="auto"/>
        <w:bottom w:val="none" w:sz="0" w:space="0" w:color="auto"/>
        <w:right w:val="none" w:sz="0" w:space="0" w:color="auto"/>
      </w:divBdr>
    </w:div>
    <w:div w:id="700519003">
      <w:bodyDiv w:val="1"/>
      <w:marLeft w:val="0"/>
      <w:marRight w:val="0"/>
      <w:marTop w:val="0"/>
      <w:marBottom w:val="0"/>
      <w:divBdr>
        <w:top w:val="none" w:sz="0" w:space="0" w:color="auto"/>
        <w:left w:val="none" w:sz="0" w:space="0" w:color="auto"/>
        <w:bottom w:val="none" w:sz="0" w:space="0" w:color="auto"/>
        <w:right w:val="none" w:sz="0" w:space="0" w:color="auto"/>
      </w:divBdr>
    </w:div>
    <w:div w:id="700545468">
      <w:bodyDiv w:val="1"/>
      <w:marLeft w:val="0"/>
      <w:marRight w:val="0"/>
      <w:marTop w:val="0"/>
      <w:marBottom w:val="0"/>
      <w:divBdr>
        <w:top w:val="none" w:sz="0" w:space="0" w:color="auto"/>
        <w:left w:val="none" w:sz="0" w:space="0" w:color="auto"/>
        <w:bottom w:val="none" w:sz="0" w:space="0" w:color="auto"/>
        <w:right w:val="none" w:sz="0" w:space="0" w:color="auto"/>
      </w:divBdr>
    </w:div>
    <w:div w:id="700594619">
      <w:bodyDiv w:val="1"/>
      <w:marLeft w:val="0"/>
      <w:marRight w:val="0"/>
      <w:marTop w:val="0"/>
      <w:marBottom w:val="0"/>
      <w:divBdr>
        <w:top w:val="none" w:sz="0" w:space="0" w:color="auto"/>
        <w:left w:val="none" w:sz="0" w:space="0" w:color="auto"/>
        <w:bottom w:val="none" w:sz="0" w:space="0" w:color="auto"/>
        <w:right w:val="none" w:sz="0" w:space="0" w:color="auto"/>
      </w:divBdr>
    </w:div>
    <w:div w:id="700666544">
      <w:bodyDiv w:val="1"/>
      <w:marLeft w:val="0"/>
      <w:marRight w:val="0"/>
      <w:marTop w:val="0"/>
      <w:marBottom w:val="0"/>
      <w:divBdr>
        <w:top w:val="none" w:sz="0" w:space="0" w:color="auto"/>
        <w:left w:val="none" w:sz="0" w:space="0" w:color="auto"/>
        <w:bottom w:val="none" w:sz="0" w:space="0" w:color="auto"/>
        <w:right w:val="none" w:sz="0" w:space="0" w:color="auto"/>
      </w:divBdr>
    </w:div>
    <w:div w:id="700666945">
      <w:bodyDiv w:val="1"/>
      <w:marLeft w:val="0"/>
      <w:marRight w:val="0"/>
      <w:marTop w:val="0"/>
      <w:marBottom w:val="0"/>
      <w:divBdr>
        <w:top w:val="none" w:sz="0" w:space="0" w:color="auto"/>
        <w:left w:val="none" w:sz="0" w:space="0" w:color="auto"/>
        <w:bottom w:val="none" w:sz="0" w:space="0" w:color="auto"/>
        <w:right w:val="none" w:sz="0" w:space="0" w:color="auto"/>
      </w:divBdr>
    </w:div>
    <w:div w:id="700713060">
      <w:bodyDiv w:val="1"/>
      <w:marLeft w:val="0"/>
      <w:marRight w:val="0"/>
      <w:marTop w:val="0"/>
      <w:marBottom w:val="0"/>
      <w:divBdr>
        <w:top w:val="none" w:sz="0" w:space="0" w:color="auto"/>
        <w:left w:val="none" w:sz="0" w:space="0" w:color="auto"/>
        <w:bottom w:val="none" w:sz="0" w:space="0" w:color="auto"/>
        <w:right w:val="none" w:sz="0" w:space="0" w:color="auto"/>
      </w:divBdr>
    </w:div>
    <w:div w:id="700783074">
      <w:bodyDiv w:val="1"/>
      <w:marLeft w:val="0"/>
      <w:marRight w:val="0"/>
      <w:marTop w:val="0"/>
      <w:marBottom w:val="0"/>
      <w:divBdr>
        <w:top w:val="none" w:sz="0" w:space="0" w:color="auto"/>
        <w:left w:val="none" w:sz="0" w:space="0" w:color="auto"/>
        <w:bottom w:val="none" w:sz="0" w:space="0" w:color="auto"/>
        <w:right w:val="none" w:sz="0" w:space="0" w:color="auto"/>
      </w:divBdr>
    </w:div>
    <w:div w:id="700787966">
      <w:bodyDiv w:val="1"/>
      <w:marLeft w:val="0"/>
      <w:marRight w:val="0"/>
      <w:marTop w:val="0"/>
      <w:marBottom w:val="0"/>
      <w:divBdr>
        <w:top w:val="none" w:sz="0" w:space="0" w:color="auto"/>
        <w:left w:val="none" w:sz="0" w:space="0" w:color="auto"/>
        <w:bottom w:val="none" w:sz="0" w:space="0" w:color="auto"/>
        <w:right w:val="none" w:sz="0" w:space="0" w:color="auto"/>
      </w:divBdr>
    </w:div>
    <w:div w:id="701050373">
      <w:bodyDiv w:val="1"/>
      <w:marLeft w:val="0"/>
      <w:marRight w:val="0"/>
      <w:marTop w:val="0"/>
      <w:marBottom w:val="0"/>
      <w:divBdr>
        <w:top w:val="none" w:sz="0" w:space="0" w:color="auto"/>
        <w:left w:val="none" w:sz="0" w:space="0" w:color="auto"/>
        <w:bottom w:val="none" w:sz="0" w:space="0" w:color="auto"/>
        <w:right w:val="none" w:sz="0" w:space="0" w:color="auto"/>
      </w:divBdr>
    </w:div>
    <w:div w:id="701174214">
      <w:bodyDiv w:val="1"/>
      <w:marLeft w:val="0"/>
      <w:marRight w:val="0"/>
      <w:marTop w:val="0"/>
      <w:marBottom w:val="0"/>
      <w:divBdr>
        <w:top w:val="none" w:sz="0" w:space="0" w:color="auto"/>
        <w:left w:val="none" w:sz="0" w:space="0" w:color="auto"/>
        <w:bottom w:val="none" w:sz="0" w:space="0" w:color="auto"/>
        <w:right w:val="none" w:sz="0" w:space="0" w:color="auto"/>
      </w:divBdr>
    </w:div>
    <w:div w:id="701593520">
      <w:bodyDiv w:val="1"/>
      <w:marLeft w:val="0"/>
      <w:marRight w:val="0"/>
      <w:marTop w:val="0"/>
      <w:marBottom w:val="0"/>
      <w:divBdr>
        <w:top w:val="none" w:sz="0" w:space="0" w:color="auto"/>
        <w:left w:val="none" w:sz="0" w:space="0" w:color="auto"/>
        <w:bottom w:val="none" w:sz="0" w:space="0" w:color="auto"/>
        <w:right w:val="none" w:sz="0" w:space="0" w:color="auto"/>
      </w:divBdr>
    </w:div>
    <w:div w:id="701634181">
      <w:bodyDiv w:val="1"/>
      <w:marLeft w:val="0"/>
      <w:marRight w:val="0"/>
      <w:marTop w:val="0"/>
      <w:marBottom w:val="0"/>
      <w:divBdr>
        <w:top w:val="none" w:sz="0" w:space="0" w:color="auto"/>
        <w:left w:val="none" w:sz="0" w:space="0" w:color="auto"/>
        <w:bottom w:val="none" w:sz="0" w:space="0" w:color="auto"/>
        <w:right w:val="none" w:sz="0" w:space="0" w:color="auto"/>
      </w:divBdr>
    </w:div>
    <w:div w:id="701788944">
      <w:bodyDiv w:val="1"/>
      <w:marLeft w:val="0"/>
      <w:marRight w:val="0"/>
      <w:marTop w:val="0"/>
      <w:marBottom w:val="0"/>
      <w:divBdr>
        <w:top w:val="none" w:sz="0" w:space="0" w:color="auto"/>
        <w:left w:val="none" w:sz="0" w:space="0" w:color="auto"/>
        <w:bottom w:val="none" w:sz="0" w:space="0" w:color="auto"/>
        <w:right w:val="none" w:sz="0" w:space="0" w:color="auto"/>
      </w:divBdr>
    </w:div>
    <w:div w:id="701981488">
      <w:bodyDiv w:val="1"/>
      <w:marLeft w:val="0"/>
      <w:marRight w:val="0"/>
      <w:marTop w:val="0"/>
      <w:marBottom w:val="0"/>
      <w:divBdr>
        <w:top w:val="none" w:sz="0" w:space="0" w:color="auto"/>
        <w:left w:val="none" w:sz="0" w:space="0" w:color="auto"/>
        <w:bottom w:val="none" w:sz="0" w:space="0" w:color="auto"/>
        <w:right w:val="none" w:sz="0" w:space="0" w:color="auto"/>
      </w:divBdr>
    </w:div>
    <w:div w:id="702631262">
      <w:bodyDiv w:val="1"/>
      <w:marLeft w:val="0"/>
      <w:marRight w:val="0"/>
      <w:marTop w:val="0"/>
      <w:marBottom w:val="0"/>
      <w:divBdr>
        <w:top w:val="none" w:sz="0" w:space="0" w:color="auto"/>
        <w:left w:val="none" w:sz="0" w:space="0" w:color="auto"/>
        <w:bottom w:val="none" w:sz="0" w:space="0" w:color="auto"/>
        <w:right w:val="none" w:sz="0" w:space="0" w:color="auto"/>
      </w:divBdr>
    </w:div>
    <w:div w:id="703015970">
      <w:bodyDiv w:val="1"/>
      <w:marLeft w:val="0"/>
      <w:marRight w:val="0"/>
      <w:marTop w:val="0"/>
      <w:marBottom w:val="0"/>
      <w:divBdr>
        <w:top w:val="none" w:sz="0" w:space="0" w:color="auto"/>
        <w:left w:val="none" w:sz="0" w:space="0" w:color="auto"/>
        <w:bottom w:val="none" w:sz="0" w:space="0" w:color="auto"/>
        <w:right w:val="none" w:sz="0" w:space="0" w:color="auto"/>
      </w:divBdr>
    </w:div>
    <w:div w:id="703094444">
      <w:bodyDiv w:val="1"/>
      <w:marLeft w:val="0"/>
      <w:marRight w:val="0"/>
      <w:marTop w:val="0"/>
      <w:marBottom w:val="0"/>
      <w:divBdr>
        <w:top w:val="none" w:sz="0" w:space="0" w:color="auto"/>
        <w:left w:val="none" w:sz="0" w:space="0" w:color="auto"/>
        <w:bottom w:val="none" w:sz="0" w:space="0" w:color="auto"/>
        <w:right w:val="none" w:sz="0" w:space="0" w:color="auto"/>
      </w:divBdr>
    </w:div>
    <w:div w:id="703097294">
      <w:bodyDiv w:val="1"/>
      <w:marLeft w:val="0"/>
      <w:marRight w:val="0"/>
      <w:marTop w:val="0"/>
      <w:marBottom w:val="0"/>
      <w:divBdr>
        <w:top w:val="none" w:sz="0" w:space="0" w:color="auto"/>
        <w:left w:val="none" w:sz="0" w:space="0" w:color="auto"/>
        <w:bottom w:val="none" w:sz="0" w:space="0" w:color="auto"/>
        <w:right w:val="none" w:sz="0" w:space="0" w:color="auto"/>
      </w:divBdr>
    </w:div>
    <w:div w:id="703290060">
      <w:bodyDiv w:val="1"/>
      <w:marLeft w:val="0"/>
      <w:marRight w:val="0"/>
      <w:marTop w:val="0"/>
      <w:marBottom w:val="0"/>
      <w:divBdr>
        <w:top w:val="none" w:sz="0" w:space="0" w:color="auto"/>
        <w:left w:val="none" w:sz="0" w:space="0" w:color="auto"/>
        <w:bottom w:val="none" w:sz="0" w:space="0" w:color="auto"/>
        <w:right w:val="none" w:sz="0" w:space="0" w:color="auto"/>
      </w:divBdr>
    </w:div>
    <w:div w:id="703555596">
      <w:bodyDiv w:val="1"/>
      <w:marLeft w:val="0"/>
      <w:marRight w:val="0"/>
      <w:marTop w:val="0"/>
      <w:marBottom w:val="0"/>
      <w:divBdr>
        <w:top w:val="none" w:sz="0" w:space="0" w:color="auto"/>
        <w:left w:val="none" w:sz="0" w:space="0" w:color="auto"/>
        <w:bottom w:val="none" w:sz="0" w:space="0" w:color="auto"/>
        <w:right w:val="none" w:sz="0" w:space="0" w:color="auto"/>
      </w:divBdr>
    </w:div>
    <w:div w:id="703792808">
      <w:bodyDiv w:val="1"/>
      <w:marLeft w:val="0"/>
      <w:marRight w:val="0"/>
      <w:marTop w:val="0"/>
      <w:marBottom w:val="0"/>
      <w:divBdr>
        <w:top w:val="none" w:sz="0" w:space="0" w:color="auto"/>
        <w:left w:val="none" w:sz="0" w:space="0" w:color="auto"/>
        <w:bottom w:val="none" w:sz="0" w:space="0" w:color="auto"/>
        <w:right w:val="none" w:sz="0" w:space="0" w:color="auto"/>
      </w:divBdr>
    </w:div>
    <w:div w:id="704062313">
      <w:bodyDiv w:val="1"/>
      <w:marLeft w:val="0"/>
      <w:marRight w:val="0"/>
      <w:marTop w:val="0"/>
      <w:marBottom w:val="0"/>
      <w:divBdr>
        <w:top w:val="none" w:sz="0" w:space="0" w:color="auto"/>
        <w:left w:val="none" w:sz="0" w:space="0" w:color="auto"/>
        <w:bottom w:val="none" w:sz="0" w:space="0" w:color="auto"/>
        <w:right w:val="none" w:sz="0" w:space="0" w:color="auto"/>
      </w:divBdr>
    </w:div>
    <w:div w:id="704327281">
      <w:bodyDiv w:val="1"/>
      <w:marLeft w:val="0"/>
      <w:marRight w:val="0"/>
      <w:marTop w:val="0"/>
      <w:marBottom w:val="0"/>
      <w:divBdr>
        <w:top w:val="none" w:sz="0" w:space="0" w:color="auto"/>
        <w:left w:val="none" w:sz="0" w:space="0" w:color="auto"/>
        <w:bottom w:val="none" w:sz="0" w:space="0" w:color="auto"/>
        <w:right w:val="none" w:sz="0" w:space="0" w:color="auto"/>
      </w:divBdr>
    </w:div>
    <w:div w:id="704409966">
      <w:bodyDiv w:val="1"/>
      <w:marLeft w:val="0"/>
      <w:marRight w:val="0"/>
      <w:marTop w:val="0"/>
      <w:marBottom w:val="0"/>
      <w:divBdr>
        <w:top w:val="none" w:sz="0" w:space="0" w:color="auto"/>
        <w:left w:val="none" w:sz="0" w:space="0" w:color="auto"/>
        <w:bottom w:val="none" w:sz="0" w:space="0" w:color="auto"/>
        <w:right w:val="none" w:sz="0" w:space="0" w:color="auto"/>
      </w:divBdr>
    </w:div>
    <w:div w:id="704446607">
      <w:bodyDiv w:val="1"/>
      <w:marLeft w:val="0"/>
      <w:marRight w:val="0"/>
      <w:marTop w:val="0"/>
      <w:marBottom w:val="0"/>
      <w:divBdr>
        <w:top w:val="none" w:sz="0" w:space="0" w:color="auto"/>
        <w:left w:val="none" w:sz="0" w:space="0" w:color="auto"/>
        <w:bottom w:val="none" w:sz="0" w:space="0" w:color="auto"/>
        <w:right w:val="none" w:sz="0" w:space="0" w:color="auto"/>
      </w:divBdr>
    </w:div>
    <w:div w:id="704521732">
      <w:bodyDiv w:val="1"/>
      <w:marLeft w:val="0"/>
      <w:marRight w:val="0"/>
      <w:marTop w:val="0"/>
      <w:marBottom w:val="0"/>
      <w:divBdr>
        <w:top w:val="none" w:sz="0" w:space="0" w:color="auto"/>
        <w:left w:val="none" w:sz="0" w:space="0" w:color="auto"/>
        <w:bottom w:val="none" w:sz="0" w:space="0" w:color="auto"/>
        <w:right w:val="none" w:sz="0" w:space="0" w:color="auto"/>
      </w:divBdr>
    </w:div>
    <w:div w:id="704598376">
      <w:bodyDiv w:val="1"/>
      <w:marLeft w:val="0"/>
      <w:marRight w:val="0"/>
      <w:marTop w:val="0"/>
      <w:marBottom w:val="0"/>
      <w:divBdr>
        <w:top w:val="none" w:sz="0" w:space="0" w:color="auto"/>
        <w:left w:val="none" w:sz="0" w:space="0" w:color="auto"/>
        <w:bottom w:val="none" w:sz="0" w:space="0" w:color="auto"/>
        <w:right w:val="none" w:sz="0" w:space="0" w:color="auto"/>
      </w:divBdr>
    </w:div>
    <w:div w:id="704989165">
      <w:bodyDiv w:val="1"/>
      <w:marLeft w:val="0"/>
      <w:marRight w:val="0"/>
      <w:marTop w:val="0"/>
      <w:marBottom w:val="0"/>
      <w:divBdr>
        <w:top w:val="none" w:sz="0" w:space="0" w:color="auto"/>
        <w:left w:val="none" w:sz="0" w:space="0" w:color="auto"/>
        <w:bottom w:val="none" w:sz="0" w:space="0" w:color="auto"/>
        <w:right w:val="none" w:sz="0" w:space="0" w:color="auto"/>
      </w:divBdr>
    </w:div>
    <w:div w:id="705058113">
      <w:bodyDiv w:val="1"/>
      <w:marLeft w:val="0"/>
      <w:marRight w:val="0"/>
      <w:marTop w:val="0"/>
      <w:marBottom w:val="0"/>
      <w:divBdr>
        <w:top w:val="none" w:sz="0" w:space="0" w:color="auto"/>
        <w:left w:val="none" w:sz="0" w:space="0" w:color="auto"/>
        <w:bottom w:val="none" w:sz="0" w:space="0" w:color="auto"/>
        <w:right w:val="none" w:sz="0" w:space="0" w:color="auto"/>
      </w:divBdr>
    </w:div>
    <w:div w:id="705299822">
      <w:bodyDiv w:val="1"/>
      <w:marLeft w:val="0"/>
      <w:marRight w:val="0"/>
      <w:marTop w:val="0"/>
      <w:marBottom w:val="0"/>
      <w:divBdr>
        <w:top w:val="none" w:sz="0" w:space="0" w:color="auto"/>
        <w:left w:val="none" w:sz="0" w:space="0" w:color="auto"/>
        <w:bottom w:val="none" w:sz="0" w:space="0" w:color="auto"/>
        <w:right w:val="none" w:sz="0" w:space="0" w:color="auto"/>
      </w:divBdr>
    </w:div>
    <w:div w:id="705327758">
      <w:bodyDiv w:val="1"/>
      <w:marLeft w:val="0"/>
      <w:marRight w:val="0"/>
      <w:marTop w:val="0"/>
      <w:marBottom w:val="0"/>
      <w:divBdr>
        <w:top w:val="none" w:sz="0" w:space="0" w:color="auto"/>
        <w:left w:val="none" w:sz="0" w:space="0" w:color="auto"/>
        <w:bottom w:val="none" w:sz="0" w:space="0" w:color="auto"/>
        <w:right w:val="none" w:sz="0" w:space="0" w:color="auto"/>
      </w:divBdr>
    </w:div>
    <w:div w:id="705524930">
      <w:bodyDiv w:val="1"/>
      <w:marLeft w:val="0"/>
      <w:marRight w:val="0"/>
      <w:marTop w:val="0"/>
      <w:marBottom w:val="0"/>
      <w:divBdr>
        <w:top w:val="none" w:sz="0" w:space="0" w:color="auto"/>
        <w:left w:val="none" w:sz="0" w:space="0" w:color="auto"/>
        <w:bottom w:val="none" w:sz="0" w:space="0" w:color="auto"/>
        <w:right w:val="none" w:sz="0" w:space="0" w:color="auto"/>
      </w:divBdr>
    </w:div>
    <w:div w:id="705715087">
      <w:bodyDiv w:val="1"/>
      <w:marLeft w:val="0"/>
      <w:marRight w:val="0"/>
      <w:marTop w:val="0"/>
      <w:marBottom w:val="0"/>
      <w:divBdr>
        <w:top w:val="none" w:sz="0" w:space="0" w:color="auto"/>
        <w:left w:val="none" w:sz="0" w:space="0" w:color="auto"/>
        <w:bottom w:val="none" w:sz="0" w:space="0" w:color="auto"/>
        <w:right w:val="none" w:sz="0" w:space="0" w:color="auto"/>
      </w:divBdr>
    </w:div>
    <w:div w:id="706029693">
      <w:bodyDiv w:val="1"/>
      <w:marLeft w:val="0"/>
      <w:marRight w:val="0"/>
      <w:marTop w:val="0"/>
      <w:marBottom w:val="0"/>
      <w:divBdr>
        <w:top w:val="none" w:sz="0" w:space="0" w:color="auto"/>
        <w:left w:val="none" w:sz="0" w:space="0" w:color="auto"/>
        <w:bottom w:val="none" w:sz="0" w:space="0" w:color="auto"/>
        <w:right w:val="none" w:sz="0" w:space="0" w:color="auto"/>
      </w:divBdr>
    </w:div>
    <w:div w:id="706099166">
      <w:bodyDiv w:val="1"/>
      <w:marLeft w:val="0"/>
      <w:marRight w:val="0"/>
      <w:marTop w:val="0"/>
      <w:marBottom w:val="0"/>
      <w:divBdr>
        <w:top w:val="none" w:sz="0" w:space="0" w:color="auto"/>
        <w:left w:val="none" w:sz="0" w:space="0" w:color="auto"/>
        <w:bottom w:val="none" w:sz="0" w:space="0" w:color="auto"/>
        <w:right w:val="none" w:sz="0" w:space="0" w:color="auto"/>
      </w:divBdr>
    </w:div>
    <w:div w:id="706175272">
      <w:bodyDiv w:val="1"/>
      <w:marLeft w:val="0"/>
      <w:marRight w:val="0"/>
      <w:marTop w:val="0"/>
      <w:marBottom w:val="0"/>
      <w:divBdr>
        <w:top w:val="none" w:sz="0" w:space="0" w:color="auto"/>
        <w:left w:val="none" w:sz="0" w:space="0" w:color="auto"/>
        <w:bottom w:val="none" w:sz="0" w:space="0" w:color="auto"/>
        <w:right w:val="none" w:sz="0" w:space="0" w:color="auto"/>
      </w:divBdr>
    </w:div>
    <w:div w:id="706293450">
      <w:bodyDiv w:val="1"/>
      <w:marLeft w:val="0"/>
      <w:marRight w:val="0"/>
      <w:marTop w:val="0"/>
      <w:marBottom w:val="0"/>
      <w:divBdr>
        <w:top w:val="none" w:sz="0" w:space="0" w:color="auto"/>
        <w:left w:val="none" w:sz="0" w:space="0" w:color="auto"/>
        <w:bottom w:val="none" w:sz="0" w:space="0" w:color="auto"/>
        <w:right w:val="none" w:sz="0" w:space="0" w:color="auto"/>
      </w:divBdr>
    </w:div>
    <w:div w:id="706371276">
      <w:bodyDiv w:val="1"/>
      <w:marLeft w:val="0"/>
      <w:marRight w:val="0"/>
      <w:marTop w:val="0"/>
      <w:marBottom w:val="0"/>
      <w:divBdr>
        <w:top w:val="none" w:sz="0" w:space="0" w:color="auto"/>
        <w:left w:val="none" w:sz="0" w:space="0" w:color="auto"/>
        <w:bottom w:val="none" w:sz="0" w:space="0" w:color="auto"/>
        <w:right w:val="none" w:sz="0" w:space="0" w:color="auto"/>
      </w:divBdr>
    </w:div>
    <w:div w:id="706489794">
      <w:bodyDiv w:val="1"/>
      <w:marLeft w:val="0"/>
      <w:marRight w:val="0"/>
      <w:marTop w:val="0"/>
      <w:marBottom w:val="0"/>
      <w:divBdr>
        <w:top w:val="none" w:sz="0" w:space="0" w:color="auto"/>
        <w:left w:val="none" w:sz="0" w:space="0" w:color="auto"/>
        <w:bottom w:val="none" w:sz="0" w:space="0" w:color="auto"/>
        <w:right w:val="none" w:sz="0" w:space="0" w:color="auto"/>
      </w:divBdr>
    </w:div>
    <w:div w:id="706833078">
      <w:bodyDiv w:val="1"/>
      <w:marLeft w:val="0"/>
      <w:marRight w:val="0"/>
      <w:marTop w:val="0"/>
      <w:marBottom w:val="0"/>
      <w:divBdr>
        <w:top w:val="none" w:sz="0" w:space="0" w:color="auto"/>
        <w:left w:val="none" w:sz="0" w:space="0" w:color="auto"/>
        <w:bottom w:val="none" w:sz="0" w:space="0" w:color="auto"/>
        <w:right w:val="none" w:sz="0" w:space="0" w:color="auto"/>
      </w:divBdr>
    </w:div>
    <w:div w:id="706953014">
      <w:bodyDiv w:val="1"/>
      <w:marLeft w:val="0"/>
      <w:marRight w:val="0"/>
      <w:marTop w:val="0"/>
      <w:marBottom w:val="0"/>
      <w:divBdr>
        <w:top w:val="none" w:sz="0" w:space="0" w:color="auto"/>
        <w:left w:val="none" w:sz="0" w:space="0" w:color="auto"/>
        <w:bottom w:val="none" w:sz="0" w:space="0" w:color="auto"/>
        <w:right w:val="none" w:sz="0" w:space="0" w:color="auto"/>
      </w:divBdr>
    </w:div>
    <w:div w:id="707339181">
      <w:bodyDiv w:val="1"/>
      <w:marLeft w:val="0"/>
      <w:marRight w:val="0"/>
      <w:marTop w:val="0"/>
      <w:marBottom w:val="0"/>
      <w:divBdr>
        <w:top w:val="none" w:sz="0" w:space="0" w:color="auto"/>
        <w:left w:val="none" w:sz="0" w:space="0" w:color="auto"/>
        <w:bottom w:val="none" w:sz="0" w:space="0" w:color="auto"/>
        <w:right w:val="none" w:sz="0" w:space="0" w:color="auto"/>
      </w:divBdr>
    </w:div>
    <w:div w:id="707492588">
      <w:bodyDiv w:val="1"/>
      <w:marLeft w:val="0"/>
      <w:marRight w:val="0"/>
      <w:marTop w:val="0"/>
      <w:marBottom w:val="0"/>
      <w:divBdr>
        <w:top w:val="none" w:sz="0" w:space="0" w:color="auto"/>
        <w:left w:val="none" w:sz="0" w:space="0" w:color="auto"/>
        <w:bottom w:val="none" w:sz="0" w:space="0" w:color="auto"/>
        <w:right w:val="none" w:sz="0" w:space="0" w:color="auto"/>
      </w:divBdr>
    </w:div>
    <w:div w:id="707871324">
      <w:bodyDiv w:val="1"/>
      <w:marLeft w:val="0"/>
      <w:marRight w:val="0"/>
      <w:marTop w:val="0"/>
      <w:marBottom w:val="0"/>
      <w:divBdr>
        <w:top w:val="none" w:sz="0" w:space="0" w:color="auto"/>
        <w:left w:val="none" w:sz="0" w:space="0" w:color="auto"/>
        <w:bottom w:val="none" w:sz="0" w:space="0" w:color="auto"/>
        <w:right w:val="none" w:sz="0" w:space="0" w:color="auto"/>
      </w:divBdr>
    </w:div>
    <w:div w:id="707880210">
      <w:bodyDiv w:val="1"/>
      <w:marLeft w:val="0"/>
      <w:marRight w:val="0"/>
      <w:marTop w:val="0"/>
      <w:marBottom w:val="0"/>
      <w:divBdr>
        <w:top w:val="none" w:sz="0" w:space="0" w:color="auto"/>
        <w:left w:val="none" w:sz="0" w:space="0" w:color="auto"/>
        <w:bottom w:val="none" w:sz="0" w:space="0" w:color="auto"/>
        <w:right w:val="none" w:sz="0" w:space="0" w:color="auto"/>
      </w:divBdr>
    </w:div>
    <w:div w:id="707922448">
      <w:bodyDiv w:val="1"/>
      <w:marLeft w:val="0"/>
      <w:marRight w:val="0"/>
      <w:marTop w:val="0"/>
      <w:marBottom w:val="0"/>
      <w:divBdr>
        <w:top w:val="none" w:sz="0" w:space="0" w:color="auto"/>
        <w:left w:val="none" w:sz="0" w:space="0" w:color="auto"/>
        <w:bottom w:val="none" w:sz="0" w:space="0" w:color="auto"/>
        <w:right w:val="none" w:sz="0" w:space="0" w:color="auto"/>
      </w:divBdr>
    </w:div>
    <w:div w:id="708072002">
      <w:bodyDiv w:val="1"/>
      <w:marLeft w:val="0"/>
      <w:marRight w:val="0"/>
      <w:marTop w:val="0"/>
      <w:marBottom w:val="0"/>
      <w:divBdr>
        <w:top w:val="none" w:sz="0" w:space="0" w:color="auto"/>
        <w:left w:val="none" w:sz="0" w:space="0" w:color="auto"/>
        <w:bottom w:val="none" w:sz="0" w:space="0" w:color="auto"/>
        <w:right w:val="none" w:sz="0" w:space="0" w:color="auto"/>
      </w:divBdr>
    </w:div>
    <w:div w:id="708073618">
      <w:bodyDiv w:val="1"/>
      <w:marLeft w:val="0"/>
      <w:marRight w:val="0"/>
      <w:marTop w:val="0"/>
      <w:marBottom w:val="0"/>
      <w:divBdr>
        <w:top w:val="none" w:sz="0" w:space="0" w:color="auto"/>
        <w:left w:val="none" w:sz="0" w:space="0" w:color="auto"/>
        <w:bottom w:val="none" w:sz="0" w:space="0" w:color="auto"/>
        <w:right w:val="none" w:sz="0" w:space="0" w:color="auto"/>
      </w:divBdr>
    </w:div>
    <w:div w:id="708144039">
      <w:bodyDiv w:val="1"/>
      <w:marLeft w:val="0"/>
      <w:marRight w:val="0"/>
      <w:marTop w:val="0"/>
      <w:marBottom w:val="0"/>
      <w:divBdr>
        <w:top w:val="none" w:sz="0" w:space="0" w:color="auto"/>
        <w:left w:val="none" w:sz="0" w:space="0" w:color="auto"/>
        <w:bottom w:val="none" w:sz="0" w:space="0" w:color="auto"/>
        <w:right w:val="none" w:sz="0" w:space="0" w:color="auto"/>
      </w:divBdr>
    </w:div>
    <w:div w:id="708190692">
      <w:bodyDiv w:val="1"/>
      <w:marLeft w:val="0"/>
      <w:marRight w:val="0"/>
      <w:marTop w:val="0"/>
      <w:marBottom w:val="0"/>
      <w:divBdr>
        <w:top w:val="none" w:sz="0" w:space="0" w:color="auto"/>
        <w:left w:val="none" w:sz="0" w:space="0" w:color="auto"/>
        <w:bottom w:val="none" w:sz="0" w:space="0" w:color="auto"/>
        <w:right w:val="none" w:sz="0" w:space="0" w:color="auto"/>
      </w:divBdr>
    </w:div>
    <w:div w:id="708260547">
      <w:bodyDiv w:val="1"/>
      <w:marLeft w:val="0"/>
      <w:marRight w:val="0"/>
      <w:marTop w:val="0"/>
      <w:marBottom w:val="0"/>
      <w:divBdr>
        <w:top w:val="none" w:sz="0" w:space="0" w:color="auto"/>
        <w:left w:val="none" w:sz="0" w:space="0" w:color="auto"/>
        <w:bottom w:val="none" w:sz="0" w:space="0" w:color="auto"/>
        <w:right w:val="none" w:sz="0" w:space="0" w:color="auto"/>
      </w:divBdr>
    </w:div>
    <w:div w:id="708340213">
      <w:bodyDiv w:val="1"/>
      <w:marLeft w:val="0"/>
      <w:marRight w:val="0"/>
      <w:marTop w:val="0"/>
      <w:marBottom w:val="0"/>
      <w:divBdr>
        <w:top w:val="none" w:sz="0" w:space="0" w:color="auto"/>
        <w:left w:val="none" w:sz="0" w:space="0" w:color="auto"/>
        <w:bottom w:val="none" w:sz="0" w:space="0" w:color="auto"/>
        <w:right w:val="none" w:sz="0" w:space="0" w:color="auto"/>
      </w:divBdr>
    </w:div>
    <w:div w:id="708648526">
      <w:bodyDiv w:val="1"/>
      <w:marLeft w:val="0"/>
      <w:marRight w:val="0"/>
      <w:marTop w:val="0"/>
      <w:marBottom w:val="0"/>
      <w:divBdr>
        <w:top w:val="none" w:sz="0" w:space="0" w:color="auto"/>
        <w:left w:val="none" w:sz="0" w:space="0" w:color="auto"/>
        <w:bottom w:val="none" w:sz="0" w:space="0" w:color="auto"/>
        <w:right w:val="none" w:sz="0" w:space="0" w:color="auto"/>
      </w:divBdr>
    </w:div>
    <w:div w:id="708727249">
      <w:bodyDiv w:val="1"/>
      <w:marLeft w:val="0"/>
      <w:marRight w:val="0"/>
      <w:marTop w:val="0"/>
      <w:marBottom w:val="0"/>
      <w:divBdr>
        <w:top w:val="none" w:sz="0" w:space="0" w:color="auto"/>
        <w:left w:val="none" w:sz="0" w:space="0" w:color="auto"/>
        <w:bottom w:val="none" w:sz="0" w:space="0" w:color="auto"/>
        <w:right w:val="none" w:sz="0" w:space="0" w:color="auto"/>
      </w:divBdr>
    </w:div>
    <w:div w:id="709039423">
      <w:bodyDiv w:val="1"/>
      <w:marLeft w:val="0"/>
      <w:marRight w:val="0"/>
      <w:marTop w:val="0"/>
      <w:marBottom w:val="0"/>
      <w:divBdr>
        <w:top w:val="none" w:sz="0" w:space="0" w:color="auto"/>
        <w:left w:val="none" w:sz="0" w:space="0" w:color="auto"/>
        <w:bottom w:val="none" w:sz="0" w:space="0" w:color="auto"/>
        <w:right w:val="none" w:sz="0" w:space="0" w:color="auto"/>
      </w:divBdr>
    </w:div>
    <w:div w:id="709262737">
      <w:bodyDiv w:val="1"/>
      <w:marLeft w:val="0"/>
      <w:marRight w:val="0"/>
      <w:marTop w:val="0"/>
      <w:marBottom w:val="0"/>
      <w:divBdr>
        <w:top w:val="none" w:sz="0" w:space="0" w:color="auto"/>
        <w:left w:val="none" w:sz="0" w:space="0" w:color="auto"/>
        <w:bottom w:val="none" w:sz="0" w:space="0" w:color="auto"/>
        <w:right w:val="none" w:sz="0" w:space="0" w:color="auto"/>
      </w:divBdr>
    </w:div>
    <w:div w:id="709309191">
      <w:bodyDiv w:val="1"/>
      <w:marLeft w:val="0"/>
      <w:marRight w:val="0"/>
      <w:marTop w:val="0"/>
      <w:marBottom w:val="0"/>
      <w:divBdr>
        <w:top w:val="none" w:sz="0" w:space="0" w:color="auto"/>
        <w:left w:val="none" w:sz="0" w:space="0" w:color="auto"/>
        <w:bottom w:val="none" w:sz="0" w:space="0" w:color="auto"/>
        <w:right w:val="none" w:sz="0" w:space="0" w:color="auto"/>
      </w:divBdr>
    </w:div>
    <w:div w:id="709571807">
      <w:bodyDiv w:val="1"/>
      <w:marLeft w:val="0"/>
      <w:marRight w:val="0"/>
      <w:marTop w:val="0"/>
      <w:marBottom w:val="0"/>
      <w:divBdr>
        <w:top w:val="none" w:sz="0" w:space="0" w:color="auto"/>
        <w:left w:val="none" w:sz="0" w:space="0" w:color="auto"/>
        <w:bottom w:val="none" w:sz="0" w:space="0" w:color="auto"/>
        <w:right w:val="none" w:sz="0" w:space="0" w:color="auto"/>
      </w:divBdr>
    </w:div>
    <w:div w:id="709576513">
      <w:bodyDiv w:val="1"/>
      <w:marLeft w:val="0"/>
      <w:marRight w:val="0"/>
      <w:marTop w:val="0"/>
      <w:marBottom w:val="0"/>
      <w:divBdr>
        <w:top w:val="none" w:sz="0" w:space="0" w:color="auto"/>
        <w:left w:val="none" w:sz="0" w:space="0" w:color="auto"/>
        <w:bottom w:val="none" w:sz="0" w:space="0" w:color="auto"/>
        <w:right w:val="none" w:sz="0" w:space="0" w:color="auto"/>
      </w:divBdr>
    </w:div>
    <w:div w:id="709888020">
      <w:bodyDiv w:val="1"/>
      <w:marLeft w:val="0"/>
      <w:marRight w:val="0"/>
      <w:marTop w:val="0"/>
      <w:marBottom w:val="0"/>
      <w:divBdr>
        <w:top w:val="none" w:sz="0" w:space="0" w:color="auto"/>
        <w:left w:val="none" w:sz="0" w:space="0" w:color="auto"/>
        <w:bottom w:val="none" w:sz="0" w:space="0" w:color="auto"/>
        <w:right w:val="none" w:sz="0" w:space="0" w:color="auto"/>
      </w:divBdr>
    </w:div>
    <w:div w:id="709918303">
      <w:bodyDiv w:val="1"/>
      <w:marLeft w:val="0"/>
      <w:marRight w:val="0"/>
      <w:marTop w:val="0"/>
      <w:marBottom w:val="0"/>
      <w:divBdr>
        <w:top w:val="none" w:sz="0" w:space="0" w:color="auto"/>
        <w:left w:val="none" w:sz="0" w:space="0" w:color="auto"/>
        <w:bottom w:val="none" w:sz="0" w:space="0" w:color="auto"/>
        <w:right w:val="none" w:sz="0" w:space="0" w:color="auto"/>
      </w:divBdr>
    </w:div>
    <w:div w:id="710569511">
      <w:bodyDiv w:val="1"/>
      <w:marLeft w:val="0"/>
      <w:marRight w:val="0"/>
      <w:marTop w:val="0"/>
      <w:marBottom w:val="0"/>
      <w:divBdr>
        <w:top w:val="none" w:sz="0" w:space="0" w:color="auto"/>
        <w:left w:val="none" w:sz="0" w:space="0" w:color="auto"/>
        <w:bottom w:val="none" w:sz="0" w:space="0" w:color="auto"/>
        <w:right w:val="none" w:sz="0" w:space="0" w:color="auto"/>
      </w:divBdr>
    </w:div>
    <w:div w:id="711425403">
      <w:bodyDiv w:val="1"/>
      <w:marLeft w:val="0"/>
      <w:marRight w:val="0"/>
      <w:marTop w:val="0"/>
      <w:marBottom w:val="0"/>
      <w:divBdr>
        <w:top w:val="none" w:sz="0" w:space="0" w:color="auto"/>
        <w:left w:val="none" w:sz="0" w:space="0" w:color="auto"/>
        <w:bottom w:val="none" w:sz="0" w:space="0" w:color="auto"/>
        <w:right w:val="none" w:sz="0" w:space="0" w:color="auto"/>
      </w:divBdr>
    </w:div>
    <w:div w:id="711539767">
      <w:bodyDiv w:val="1"/>
      <w:marLeft w:val="0"/>
      <w:marRight w:val="0"/>
      <w:marTop w:val="0"/>
      <w:marBottom w:val="0"/>
      <w:divBdr>
        <w:top w:val="none" w:sz="0" w:space="0" w:color="auto"/>
        <w:left w:val="none" w:sz="0" w:space="0" w:color="auto"/>
        <w:bottom w:val="none" w:sz="0" w:space="0" w:color="auto"/>
        <w:right w:val="none" w:sz="0" w:space="0" w:color="auto"/>
      </w:divBdr>
    </w:div>
    <w:div w:id="711541615">
      <w:bodyDiv w:val="1"/>
      <w:marLeft w:val="0"/>
      <w:marRight w:val="0"/>
      <w:marTop w:val="0"/>
      <w:marBottom w:val="0"/>
      <w:divBdr>
        <w:top w:val="none" w:sz="0" w:space="0" w:color="auto"/>
        <w:left w:val="none" w:sz="0" w:space="0" w:color="auto"/>
        <w:bottom w:val="none" w:sz="0" w:space="0" w:color="auto"/>
        <w:right w:val="none" w:sz="0" w:space="0" w:color="auto"/>
      </w:divBdr>
    </w:div>
    <w:div w:id="711733100">
      <w:bodyDiv w:val="1"/>
      <w:marLeft w:val="0"/>
      <w:marRight w:val="0"/>
      <w:marTop w:val="0"/>
      <w:marBottom w:val="0"/>
      <w:divBdr>
        <w:top w:val="none" w:sz="0" w:space="0" w:color="auto"/>
        <w:left w:val="none" w:sz="0" w:space="0" w:color="auto"/>
        <w:bottom w:val="none" w:sz="0" w:space="0" w:color="auto"/>
        <w:right w:val="none" w:sz="0" w:space="0" w:color="auto"/>
      </w:divBdr>
    </w:div>
    <w:div w:id="711884198">
      <w:bodyDiv w:val="1"/>
      <w:marLeft w:val="0"/>
      <w:marRight w:val="0"/>
      <w:marTop w:val="0"/>
      <w:marBottom w:val="0"/>
      <w:divBdr>
        <w:top w:val="none" w:sz="0" w:space="0" w:color="auto"/>
        <w:left w:val="none" w:sz="0" w:space="0" w:color="auto"/>
        <w:bottom w:val="none" w:sz="0" w:space="0" w:color="auto"/>
        <w:right w:val="none" w:sz="0" w:space="0" w:color="auto"/>
      </w:divBdr>
    </w:div>
    <w:div w:id="711997591">
      <w:bodyDiv w:val="1"/>
      <w:marLeft w:val="0"/>
      <w:marRight w:val="0"/>
      <w:marTop w:val="0"/>
      <w:marBottom w:val="0"/>
      <w:divBdr>
        <w:top w:val="none" w:sz="0" w:space="0" w:color="auto"/>
        <w:left w:val="none" w:sz="0" w:space="0" w:color="auto"/>
        <w:bottom w:val="none" w:sz="0" w:space="0" w:color="auto"/>
        <w:right w:val="none" w:sz="0" w:space="0" w:color="auto"/>
      </w:divBdr>
    </w:div>
    <w:div w:id="712001412">
      <w:bodyDiv w:val="1"/>
      <w:marLeft w:val="0"/>
      <w:marRight w:val="0"/>
      <w:marTop w:val="0"/>
      <w:marBottom w:val="0"/>
      <w:divBdr>
        <w:top w:val="none" w:sz="0" w:space="0" w:color="auto"/>
        <w:left w:val="none" w:sz="0" w:space="0" w:color="auto"/>
        <w:bottom w:val="none" w:sz="0" w:space="0" w:color="auto"/>
        <w:right w:val="none" w:sz="0" w:space="0" w:color="auto"/>
      </w:divBdr>
    </w:div>
    <w:div w:id="712078479">
      <w:bodyDiv w:val="1"/>
      <w:marLeft w:val="0"/>
      <w:marRight w:val="0"/>
      <w:marTop w:val="0"/>
      <w:marBottom w:val="0"/>
      <w:divBdr>
        <w:top w:val="none" w:sz="0" w:space="0" w:color="auto"/>
        <w:left w:val="none" w:sz="0" w:space="0" w:color="auto"/>
        <w:bottom w:val="none" w:sz="0" w:space="0" w:color="auto"/>
        <w:right w:val="none" w:sz="0" w:space="0" w:color="auto"/>
      </w:divBdr>
    </w:div>
    <w:div w:id="712118582">
      <w:bodyDiv w:val="1"/>
      <w:marLeft w:val="0"/>
      <w:marRight w:val="0"/>
      <w:marTop w:val="0"/>
      <w:marBottom w:val="0"/>
      <w:divBdr>
        <w:top w:val="none" w:sz="0" w:space="0" w:color="auto"/>
        <w:left w:val="none" w:sz="0" w:space="0" w:color="auto"/>
        <w:bottom w:val="none" w:sz="0" w:space="0" w:color="auto"/>
        <w:right w:val="none" w:sz="0" w:space="0" w:color="auto"/>
      </w:divBdr>
    </w:div>
    <w:div w:id="712123026">
      <w:bodyDiv w:val="1"/>
      <w:marLeft w:val="0"/>
      <w:marRight w:val="0"/>
      <w:marTop w:val="0"/>
      <w:marBottom w:val="0"/>
      <w:divBdr>
        <w:top w:val="none" w:sz="0" w:space="0" w:color="auto"/>
        <w:left w:val="none" w:sz="0" w:space="0" w:color="auto"/>
        <w:bottom w:val="none" w:sz="0" w:space="0" w:color="auto"/>
        <w:right w:val="none" w:sz="0" w:space="0" w:color="auto"/>
      </w:divBdr>
    </w:div>
    <w:div w:id="712537189">
      <w:bodyDiv w:val="1"/>
      <w:marLeft w:val="0"/>
      <w:marRight w:val="0"/>
      <w:marTop w:val="0"/>
      <w:marBottom w:val="0"/>
      <w:divBdr>
        <w:top w:val="none" w:sz="0" w:space="0" w:color="auto"/>
        <w:left w:val="none" w:sz="0" w:space="0" w:color="auto"/>
        <w:bottom w:val="none" w:sz="0" w:space="0" w:color="auto"/>
        <w:right w:val="none" w:sz="0" w:space="0" w:color="auto"/>
      </w:divBdr>
    </w:div>
    <w:div w:id="712584924">
      <w:bodyDiv w:val="1"/>
      <w:marLeft w:val="0"/>
      <w:marRight w:val="0"/>
      <w:marTop w:val="0"/>
      <w:marBottom w:val="0"/>
      <w:divBdr>
        <w:top w:val="none" w:sz="0" w:space="0" w:color="auto"/>
        <w:left w:val="none" w:sz="0" w:space="0" w:color="auto"/>
        <w:bottom w:val="none" w:sz="0" w:space="0" w:color="auto"/>
        <w:right w:val="none" w:sz="0" w:space="0" w:color="auto"/>
      </w:divBdr>
    </w:div>
    <w:div w:id="713120781">
      <w:bodyDiv w:val="1"/>
      <w:marLeft w:val="0"/>
      <w:marRight w:val="0"/>
      <w:marTop w:val="0"/>
      <w:marBottom w:val="0"/>
      <w:divBdr>
        <w:top w:val="none" w:sz="0" w:space="0" w:color="auto"/>
        <w:left w:val="none" w:sz="0" w:space="0" w:color="auto"/>
        <w:bottom w:val="none" w:sz="0" w:space="0" w:color="auto"/>
        <w:right w:val="none" w:sz="0" w:space="0" w:color="auto"/>
      </w:divBdr>
    </w:div>
    <w:div w:id="713194164">
      <w:bodyDiv w:val="1"/>
      <w:marLeft w:val="0"/>
      <w:marRight w:val="0"/>
      <w:marTop w:val="0"/>
      <w:marBottom w:val="0"/>
      <w:divBdr>
        <w:top w:val="none" w:sz="0" w:space="0" w:color="auto"/>
        <w:left w:val="none" w:sz="0" w:space="0" w:color="auto"/>
        <w:bottom w:val="none" w:sz="0" w:space="0" w:color="auto"/>
        <w:right w:val="none" w:sz="0" w:space="0" w:color="auto"/>
      </w:divBdr>
    </w:div>
    <w:div w:id="713235412">
      <w:bodyDiv w:val="1"/>
      <w:marLeft w:val="0"/>
      <w:marRight w:val="0"/>
      <w:marTop w:val="0"/>
      <w:marBottom w:val="0"/>
      <w:divBdr>
        <w:top w:val="none" w:sz="0" w:space="0" w:color="auto"/>
        <w:left w:val="none" w:sz="0" w:space="0" w:color="auto"/>
        <w:bottom w:val="none" w:sz="0" w:space="0" w:color="auto"/>
        <w:right w:val="none" w:sz="0" w:space="0" w:color="auto"/>
      </w:divBdr>
    </w:div>
    <w:div w:id="713391132">
      <w:bodyDiv w:val="1"/>
      <w:marLeft w:val="0"/>
      <w:marRight w:val="0"/>
      <w:marTop w:val="0"/>
      <w:marBottom w:val="0"/>
      <w:divBdr>
        <w:top w:val="none" w:sz="0" w:space="0" w:color="auto"/>
        <w:left w:val="none" w:sz="0" w:space="0" w:color="auto"/>
        <w:bottom w:val="none" w:sz="0" w:space="0" w:color="auto"/>
        <w:right w:val="none" w:sz="0" w:space="0" w:color="auto"/>
      </w:divBdr>
    </w:div>
    <w:div w:id="713391196">
      <w:bodyDiv w:val="1"/>
      <w:marLeft w:val="0"/>
      <w:marRight w:val="0"/>
      <w:marTop w:val="0"/>
      <w:marBottom w:val="0"/>
      <w:divBdr>
        <w:top w:val="none" w:sz="0" w:space="0" w:color="auto"/>
        <w:left w:val="none" w:sz="0" w:space="0" w:color="auto"/>
        <w:bottom w:val="none" w:sz="0" w:space="0" w:color="auto"/>
        <w:right w:val="none" w:sz="0" w:space="0" w:color="auto"/>
      </w:divBdr>
    </w:div>
    <w:div w:id="713888902">
      <w:bodyDiv w:val="1"/>
      <w:marLeft w:val="0"/>
      <w:marRight w:val="0"/>
      <w:marTop w:val="0"/>
      <w:marBottom w:val="0"/>
      <w:divBdr>
        <w:top w:val="none" w:sz="0" w:space="0" w:color="auto"/>
        <w:left w:val="none" w:sz="0" w:space="0" w:color="auto"/>
        <w:bottom w:val="none" w:sz="0" w:space="0" w:color="auto"/>
        <w:right w:val="none" w:sz="0" w:space="0" w:color="auto"/>
      </w:divBdr>
    </w:div>
    <w:div w:id="714046407">
      <w:bodyDiv w:val="1"/>
      <w:marLeft w:val="0"/>
      <w:marRight w:val="0"/>
      <w:marTop w:val="0"/>
      <w:marBottom w:val="0"/>
      <w:divBdr>
        <w:top w:val="none" w:sz="0" w:space="0" w:color="auto"/>
        <w:left w:val="none" w:sz="0" w:space="0" w:color="auto"/>
        <w:bottom w:val="none" w:sz="0" w:space="0" w:color="auto"/>
        <w:right w:val="none" w:sz="0" w:space="0" w:color="auto"/>
      </w:divBdr>
    </w:div>
    <w:div w:id="714080421">
      <w:bodyDiv w:val="1"/>
      <w:marLeft w:val="0"/>
      <w:marRight w:val="0"/>
      <w:marTop w:val="0"/>
      <w:marBottom w:val="0"/>
      <w:divBdr>
        <w:top w:val="none" w:sz="0" w:space="0" w:color="auto"/>
        <w:left w:val="none" w:sz="0" w:space="0" w:color="auto"/>
        <w:bottom w:val="none" w:sz="0" w:space="0" w:color="auto"/>
        <w:right w:val="none" w:sz="0" w:space="0" w:color="auto"/>
      </w:divBdr>
    </w:div>
    <w:div w:id="714424139">
      <w:bodyDiv w:val="1"/>
      <w:marLeft w:val="0"/>
      <w:marRight w:val="0"/>
      <w:marTop w:val="0"/>
      <w:marBottom w:val="0"/>
      <w:divBdr>
        <w:top w:val="none" w:sz="0" w:space="0" w:color="auto"/>
        <w:left w:val="none" w:sz="0" w:space="0" w:color="auto"/>
        <w:bottom w:val="none" w:sz="0" w:space="0" w:color="auto"/>
        <w:right w:val="none" w:sz="0" w:space="0" w:color="auto"/>
      </w:divBdr>
    </w:div>
    <w:div w:id="714502012">
      <w:bodyDiv w:val="1"/>
      <w:marLeft w:val="0"/>
      <w:marRight w:val="0"/>
      <w:marTop w:val="0"/>
      <w:marBottom w:val="0"/>
      <w:divBdr>
        <w:top w:val="none" w:sz="0" w:space="0" w:color="auto"/>
        <w:left w:val="none" w:sz="0" w:space="0" w:color="auto"/>
        <w:bottom w:val="none" w:sz="0" w:space="0" w:color="auto"/>
        <w:right w:val="none" w:sz="0" w:space="0" w:color="auto"/>
      </w:divBdr>
    </w:div>
    <w:div w:id="714624127">
      <w:bodyDiv w:val="1"/>
      <w:marLeft w:val="0"/>
      <w:marRight w:val="0"/>
      <w:marTop w:val="0"/>
      <w:marBottom w:val="0"/>
      <w:divBdr>
        <w:top w:val="none" w:sz="0" w:space="0" w:color="auto"/>
        <w:left w:val="none" w:sz="0" w:space="0" w:color="auto"/>
        <w:bottom w:val="none" w:sz="0" w:space="0" w:color="auto"/>
        <w:right w:val="none" w:sz="0" w:space="0" w:color="auto"/>
      </w:divBdr>
    </w:div>
    <w:div w:id="714693180">
      <w:bodyDiv w:val="1"/>
      <w:marLeft w:val="0"/>
      <w:marRight w:val="0"/>
      <w:marTop w:val="0"/>
      <w:marBottom w:val="0"/>
      <w:divBdr>
        <w:top w:val="none" w:sz="0" w:space="0" w:color="auto"/>
        <w:left w:val="none" w:sz="0" w:space="0" w:color="auto"/>
        <w:bottom w:val="none" w:sz="0" w:space="0" w:color="auto"/>
        <w:right w:val="none" w:sz="0" w:space="0" w:color="auto"/>
      </w:divBdr>
    </w:div>
    <w:div w:id="714961782">
      <w:bodyDiv w:val="1"/>
      <w:marLeft w:val="0"/>
      <w:marRight w:val="0"/>
      <w:marTop w:val="0"/>
      <w:marBottom w:val="0"/>
      <w:divBdr>
        <w:top w:val="none" w:sz="0" w:space="0" w:color="auto"/>
        <w:left w:val="none" w:sz="0" w:space="0" w:color="auto"/>
        <w:bottom w:val="none" w:sz="0" w:space="0" w:color="auto"/>
        <w:right w:val="none" w:sz="0" w:space="0" w:color="auto"/>
      </w:divBdr>
    </w:div>
    <w:div w:id="715154675">
      <w:bodyDiv w:val="1"/>
      <w:marLeft w:val="0"/>
      <w:marRight w:val="0"/>
      <w:marTop w:val="0"/>
      <w:marBottom w:val="0"/>
      <w:divBdr>
        <w:top w:val="none" w:sz="0" w:space="0" w:color="auto"/>
        <w:left w:val="none" w:sz="0" w:space="0" w:color="auto"/>
        <w:bottom w:val="none" w:sz="0" w:space="0" w:color="auto"/>
        <w:right w:val="none" w:sz="0" w:space="0" w:color="auto"/>
      </w:divBdr>
    </w:div>
    <w:div w:id="715197310">
      <w:bodyDiv w:val="1"/>
      <w:marLeft w:val="0"/>
      <w:marRight w:val="0"/>
      <w:marTop w:val="0"/>
      <w:marBottom w:val="0"/>
      <w:divBdr>
        <w:top w:val="none" w:sz="0" w:space="0" w:color="auto"/>
        <w:left w:val="none" w:sz="0" w:space="0" w:color="auto"/>
        <w:bottom w:val="none" w:sz="0" w:space="0" w:color="auto"/>
        <w:right w:val="none" w:sz="0" w:space="0" w:color="auto"/>
      </w:divBdr>
    </w:div>
    <w:div w:id="715277945">
      <w:bodyDiv w:val="1"/>
      <w:marLeft w:val="0"/>
      <w:marRight w:val="0"/>
      <w:marTop w:val="0"/>
      <w:marBottom w:val="0"/>
      <w:divBdr>
        <w:top w:val="none" w:sz="0" w:space="0" w:color="auto"/>
        <w:left w:val="none" w:sz="0" w:space="0" w:color="auto"/>
        <w:bottom w:val="none" w:sz="0" w:space="0" w:color="auto"/>
        <w:right w:val="none" w:sz="0" w:space="0" w:color="auto"/>
      </w:divBdr>
    </w:div>
    <w:div w:id="715350290">
      <w:bodyDiv w:val="1"/>
      <w:marLeft w:val="0"/>
      <w:marRight w:val="0"/>
      <w:marTop w:val="0"/>
      <w:marBottom w:val="0"/>
      <w:divBdr>
        <w:top w:val="none" w:sz="0" w:space="0" w:color="auto"/>
        <w:left w:val="none" w:sz="0" w:space="0" w:color="auto"/>
        <w:bottom w:val="none" w:sz="0" w:space="0" w:color="auto"/>
        <w:right w:val="none" w:sz="0" w:space="0" w:color="auto"/>
      </w:divBdr>
    </w:div>
    <w:div w:id="715351446">
      <w:bodyDiv w:val="1"/>
      <w:marLeft w:val="0"/>
      <w:marRight w:val="0"/>
      <w:marTop w:val="0"/>
      <w:marBottom w:val="0"/>
      <w:divBdr>
        <w:top w:val="none" w:sz="0" w:space="0" w:color="auto"/>
        <w:left w:val="none" w:sz="0" w:space="0" w:color="auto"/>
        <w:bottom w:val="none" w:sz="0" w:space="0" w:color="auto"/>
        <w:right w:val="none" w:sz="0" w:space="0" w:color="auto"/>
      </w:divBdr>
    </w:div>
    <w:div w:id="715397681">
      <w:bodyDiv w:val="1"/>
      <w:marLeft w:val="0"/>
      <w:marRight w:val="0"/>
      <w:marTop w:val="0"/>
      <w:marBottom w:val="0"/>
      <w:divBdr>
        <w:top w:val="none" w:sz="0" w:space="0" w:color="auto"/>
        <w:left w:val="none" w:sz="0" w:space="0" w:color="auto"/>
        <w:bottom w:val="none" w:sz="0" w:space="0" w:color="auto"/>
        <w:right w:val="none" w:sz="0" w:space="0" w:color="auto"/>
      </w:divBdr>
    </w:div>
    <w:div w:id="715662405">
      <w:bodyDiv w:val="1"/>
      <w:marLeft w:val="0"/>
      <w:marRight w:val="0"/>
      <w:marTop w:val="0"/>
      <w:marBottom w:val="0"/>
      <w:divBdr>
        <w:top w:val="none" w:sz="0" w:space="0" w:color="auto"/>
        <w:left w:val="none" w:sz="0" w:space="0" w:color="auto"/>
        <w:bottom w:val="none" w:sz="0" w:space="0" w:color="auto"/>
        <w:right w:val="none" w:sz="0" w:space="0" w:color="auto"/>
      </w:divBdr>
    </w:div>
    <w:div w:id="715928932">
      <w:bodyDiv w:val="1"/>
      <w:marLeft w:val="0"/>
      <w:marRight w:val="0"/>
      <w:marTop w:val="0"/>
      <w:marBottom w:val="0"/>
      <w:divBdr>
        <w:top w:val="none" w:sz="0" w:space="0" w:color="auto"/>
        <w:left w:val="none" w:sz="0" w:space="0" w:color="auto"/>
        <w:bottom w:val="none" w:sz="0" w:space="0" w:color="auto"/>
        <w:right w:val="none" w:sz="0" w:space="0" w:color="auto"/>
      </w:divBdr>
    </w:div>
    <w:div w:id="716199633">
      <w:bodyDiv w:val="1"/>
      <w:marLeft w:val="0"/>
      <w:marRight w:val="0"/>
      <w:marTop w:val="0"/>
      <w:marBottom w:val="0"/>
      <w:divBdr>
        <w:top w:val="none" w:sz="0" w:space="0" w:color="auto"/>
        <w:left w:val="none" w:sz="0" w:space="0" w:color="auto"/>
        <w:bottom w:val="none" w:sz="0" w:space="0" w:color="auto"/>
        <w:right w:val="none" w:sz="0" w:space="0" w:color="auto"/>
      </w:divBdr>
    </w:div>
    <w:div w:id="716661424">
      <w:bodyDiv w:val="1"/>
      <w:marLeft w:val="0"/>
      <w:marRight w:val="0"/>
      <w:marTop w:val="0"/>
      <w:marBottom w:val="0"/>
      <w:divBdr>
        <w:top w:val="none" w:sz="0" w:space="0" w:color="auto"/>
        <w:left w:val="none" w:sz="0" w:space="0" w:color="auto"/>
        <w:bottom w:val="none" w:sz="0" w:space="0" w:color="auto"/>
        <w:right w:val="none" w:sz="0" w:space="0" w:color="auto"/>
      </w:divBdr>
    </w:div>
    <w:div w:id="716977059">
      <w:bodyDiv w:val="1"/>
      <w:marLeft w:val="0"/>
      <w:marRight w:val="0"/>
      <w:marTop w:val="0"/>
      <w:marBottom w:val="0"/>
      <w:divBdr>
        <w:top w:val="none" w:sz="0" w:space="0" w:color="auto"/>
        <w:left w:val="none" w:sz="0" w:space="0" w:color="auto"/>
        <w:bottom w:val="none" w:sz="0" w:space="0" w:color="auto"/>
        <w:right w:val="none" w:sz="0" w:space="0" w:color="auto"/>
      </w:divBdr>
    </w:div>
    <w:div w:id="717054152">
      <w:bodyDiv w:val="1"/>
      <w:marLeft w:val="0"/>
      <w:marRight w:val="0"/>
      <w:marTop w:val="0"/>
      <w:marBottom w:val="0"/>
      <w:divBdr>
        <w:top w:val="none" w:sz="0" w:space="0" w:color="auto"/>
        <w:left w:val="none" w:sz="0" w:space="0" w:color="auto"/>
        <w:bottom w:val="none" w:sz="0" w:space="0" w:color="auto"/>
        <w:right w:val="none" w:sz="0" w:space="0" w:color="auto"/>
      </w:divBdr>
    </w:div>
    <w:div w:id="717318306">
      <w:bodyDiv w:val="1"/>
      <w:marLeft w:val="0"/>
      <w:marRight w:val="0"/>
      <w:marTop w:val="0"/>
      <w:marBottom w:val="0"/>
      <w:divBdr>
        <w:top w:val="none" w:sz="0" w:space="0" w:color="auto"/>
        <w:left w:val="none" w:sz="0" w:space="0" w:color="auto"/>
        <w:bottom w:val="none" w:sz="0" w:space="0" w:color="auto"/>
        <w:right w:val="none" w:sz="0" w:space="0" w:color="auto"/>
      </w:divBdr>
    </w:div>
    <w:div w:id="717510114">
      <w:bodyDiv w:val="1"/>
      <w:marLeft w:val="0"/>
      <w:marRight w:val="0"/>
      <w:marTop w:val="0"/>
      <w:marBottom w:val="0"/>
      <w:divBdr>
        <w:top w:val="none" w:sz="0" w:space="0" w:color="auto"/>
        <w:left w:val="none" w:sz="0" w:space="0" w:color="auto"/>
        <w:bottom w:val="none" w:sz="0" w:space="0" w:color="auto"/>
        <w:right w:val="none" w:sz="0" w:space="0" w:color="auto"/>
      </w:divBdr>
    </w:div>
    <w:div w:id="717555158">
      <w:bodyDiv w:val="1"/>
      <w:marLeft w:val="0"/>
      <w:marRight w:val="0"/>
      <w:marTop w:val="0"/>
      <w:marBottom w:val="0"/>
      <w:divBdr>
        <w:top w:val="none" w:sz="0" w:space="0" w:color="auto"/>
        <w:left w:val="none" w:sz="0" w:space="0" w:color="auto"/>
        <w:bottom w:val="none" w:sz="0" w:space="0" w:color="auto"/>
        <w:right w:val="none" w:sz="0" w:space="0" w:color="auto"/>
      </w:divBdr>
    </w:div>
    <w:div w:id="717559225">
      <w:bodyDiv w:val="1"/>
      <w:marLeft w:val="0"/>
      <w:marRight w:val="0"/>
      <w:marTop w:val="0"/>
      <w:marBottom w:val="0"/>
      <w:divBdr>
        <w:top w:val="none" w:sz="0" w:space="0" w:color="auto"/>
        <w:left w:val="none" w:sz="0" w:space="0" w:color="auto"/>
        <w:bottom w:val="none" w:sz="0" w:space="0" w:color="auto"/>
        <w:right w:val="none" w:sz="0" w:space="0" w:color="auto"/>
      </w:divBdr>
    </w:div>
    <w:div w:id="717780146">
      <w:bodyDiv w:val="1"/>
      <w:marLeft w:val="0"/>
      <w:marRight w:val="0"/>
      <w:marTop w:val="0"/>
      <w:marBottom w:val="0"/>
      <w:divBdr>
        <w:top w:val="none" w:sz="0" w:space="0" w:color="auto"/>
        <w:left w:val="none" w:sz="0" w:space="0" w:color="auto"/>
        <w:bottom w:val="none" w:sz="0" w:space="0" w:color="auto"/>
        <w:right w:val="none" w:sz="0" w:space="0" w:color="auto"/>
      </w:divBdr>
    </w:div>
    <w:div w:id="717818939">
      <w:bodyDiv w:val="1"/>
      <w:marLeft w:val="0"/>
      <w:marRight w:val="0"/>
      <w:marTop w:val="0"/>
      <w:marBottom w:val="0"/>
      <w:divBdr>
        <w:top w:val="none" w:sz="0" w:space="0" w:color="auto"/>
        <w:left w:val="none" w:sz="0" w:space="0" w:color="auto"/>
        <w:bottom w:val="none" w:sz="0" w:space="0" w:color="auto"/>
        <w:right w:val="none" w:sz="0" w:space="0" w:color="auto"/>
      </w:divBdr>
    </w:div>
    <w:div w:id="717821054">
      <w:bodyDiv w:val="1"/>
      <w:marLeft w:val="0"/>
      <w:marRight w:val="0"/>
      <w:marTop w:val="0"/>
      <w:marBottom w:val="0"/>
      <w:divBdr>
        <w:top w:val="none" w:sz="0" w:space="0" w:color="auto"/>
        <w:left w:val="none" w:sz="0" w:space="0" w:color="auto"/>
        <w:bottom w:val="none" w:sz="0" w:space="0" w:color="auto"/>
        <w:right w:val="none" w:sz="0" w:space="0" w:color="auto"/>
      </w:divBdr>
    </w:div>
    <w:div w:id="717821725">
      <w:bodyDiv w:val="1"/>
      <w:marLeft w:val="0"/>
      <w:marRight w:val="0"/>
      <w:marTop w:val="0"/>
      <w:marBottom w:val="0"/>
      <w:divBdr>
        <w:top w:val="none" w:sz="0" w:space="0" w:color="auto"/>
        <w:left w:val="none" w:sz="0" w:space="0" w:color="auto"/>
        <w:bottom w:val="none" w:sz="0" w:space="0" w:color="auto"/>
        <w:right w:val="none" w:sz="0" w:space="0" w:color="auto"/>
      </w:divBdr>
    </w:div>
    <w:div w:id="717971382">
      <w:bodyDiv w:val="1"/>
      <w:marLeft w:val="0"/>
      <w:marRight w:val="0"/>
      <w:marTop w:val="0"/>
      <w:marBottom w:val="0"/>
      <w:divBdr>
        <w:top w:val="none" w:sz="0" w:space="0" w:color="auto"/>
        <w:left w:val="none" w:sz="0" w:space="0" w:color="auto"/>
        <w:bottom w:val="none" w:sz="0" w:space="0" w:color="auto"/>
        <w:right w:val="none" w:sz="0" w:space="0" w:color="auto"/>
      </w:divBdr>
    </w:div>
    <w:div w:id="718210226">
      <w:bodyDiv w:val="1"/>
      <w:marLeft w:val="0"/>
      <w:marRight w:val="0"/>
      <w:marTop w:val="0"/>
      <w:marBottom w:val="0"/>
      <w:divBdr>
        <w:top w:val="none" w:sz="0" w:space="0" w:color="auto"/>
        <w:left w:val="none" w:sz="0" w:space="0" w:color="auto"/>
        <w:bottom w:val="none" w:sz="0" w:space="0" w:color="auto"/>
        <w:right w:val="none" w:sz="0" w:space="0" w:color="auto"/>
      </w:divBdr>
    </w:div>
    <w:div w:id="718240913">
      <w:bodyDiv w:val="1"/>
      <w:marLeft w:val="0"/>
      <w:marRight w:val="0"/>
      <w:marTop w:val="0"/>
      <w:marBottom w:val="0"/>
      <w:divBdr>
        <w:top w:val="none" w:sz="0" w:space="0" w:color="auto"/>
        <w:left w:val="none" w:sz="0" w:space="0" w:color="auto"/>
        <w:bottom w:val="none" w:sz="0" w:space="0" w:color="auto"/>
        <w:right w:val="none" w:sz="0" w:space="0" w:color="auto"/>
      </w:divBdr>
    </w:div>
    <w:div w:id="718287480">
      <w:bodyDiv w:val="1"/>
      <w:marLeft w:val="0"/>
      <w:marRight w:val="0"/>
      <w:marTop w:val="0"/>
      <w:marBottom w:val="0"/>
      <w:divBdr>
        <w:top w:val="none" w:sz="0" w:space="0" w:color="auto"/>
        <w:left w:val="none" w:sz="0" w:space="0" w:color="auto"/>
        <w:bottom w:val="none" w:sz="0" w:space="0" w:color="auto"/>
        <w:right w:val="none" w:sz="0" w:space="0" w:color="auto"/>
      </w:divBdr>
    </w:div>
    <w:div w:id="718287818">
      <w:bodyDiv w:val="1"/>
      <w:marLeft w:val="0"/>
      <w:marRight w:val="0"/>
      <w:marTop w:val="0"/>
      <w:marBottom w:val="0"/>
      <w:divBdr>
        <w:top w:val="none" w:sz="0" w:space="0" w:color="auto"/>
        <w:left w:val="none" w:sz="0" w:space="0" w:color="auto"/>
        <w:bottom w:val="none" w:sz="0" w:space="0" w:color="auto"/>
        <w:right w:val="none" w:sz="0" w:space="0" w:color="auto"/>
      </w:divBdr>
    </w:div>
    <w:div w:id="718407571">
      <w:bodyDiv w:val="1"/>
      <w:marLeft w:val="0"/>
      <w:marRight w:val="0"/>
      <w:marTop w:val="0"/>
      <w:marBottom w:val="0"/>
      <w:divBdr>
        <w:top w:val="none" w:sz="0" w:space="0" w:color="auto"/>
        <w:left w:val="none" w:sz="0" w:space="0" w:color="auto"/>
        <w:bottom w:val="none" w:sz="0" w:space="0" w:color="auto"/>
        <w:right w:val="none" w:sz="0" w:space="0" w:color="auto"/>
      </w:divBdr>
    </w:div>
    <w:div w:id="718628037">
      <w:bodyDiv w:val="1"/>
      <w:marLeft w:val="0"/>
      <w:marRight w:val="0"/>
      <w:marTop w:val="0"/>
      <w:marBottom w:val="0"/>
      <w:divBdr>
        <w:top w:val="none" w:sz="0" w:space="0" w:color="auto"/>
        <w:left w:val="none" w:sz="0" w:space="0" w:color="auto"/>
        <w:bottom w:val="none" w:sz="0" w:space="0" w:color="auto"/>
        <w:right w:val="none" w:sz="0" w:space="0" w:color="auto"/>
      </w:divBdr>
    </w:div>
    <w:div w:id="718748145">
      <w:bodyDiv w:val="1"/>
      <w:marLeft w:val="0"/>
      <w:marRight w:val="0"/>
      <w:marTop w:val="0"/>
      <w:marBottom w:val="0"/>
      <w:divBdr>
        <w:top w:val="none" w:sz="0" w:space="0" w:color="auto"/>
        <w:left w:val="none" w:sz="0" w:space="0" w:color="auto"/>
        <w:bottom w:val="none" w:sz="0" w:space="0" w:color="auto"/>
        <w:right w:val="none" w:sz="0" w:space="0" w:color="auto"/>
      </w:divBdr>
    </w:div>
    <w:div w:id="718944042">
      <w:bodyDiv w:val="1"/>
      <w:marLeft w:val="0"/>
      <w:marRight w:val="0"/>
      <w:marTop w:val="0"/>
      <w:marBottom w:val="0"/>
      <w:divBdr>
        <w:top w:val="none" w:sz="0" w:space="0" w:color="auto"/>
        <w:left w:val="none" w:sz="0" w:space="0" w:color="auto"/>
        <w:bottom w:val="none" w:sz="0" w:space="0" w:color="auto"/>
        <w:right w:val="none" w:sz="0" w:space="0" w:color="auto"/>
      </w:divBdr>
    </w:div>
    <w:div w:id="719012583">
      <w:bodyDiv w:val="1"/>
      <w:marLeft w:val="0"/>
      <w:marRight w:val="0"/>
      <w:marTop w:val="0"/>
      <w:marBottom w:val="0"/>
      <w:divBdr>
        <w:top w:val="none" w:sz="0" w:space="0" w:color="auto"/>
        <w:left w:val="none" w:sz="0" w:space="0" w:color="auto"/>
        <w:bottom w:val="none" w:sz="0" w:space="0" w:color="auto"/>
        <w:right w:val="none" w:sz="0" w:space="0" w:color="auto"/>
      </w:divBdr>
    </w:div>
    <w:div w:id="719013159">
      <w:bodyDiv w:val="1"/>
      <w:marLeft w:val="0"/>
      <w:marRight w:val="0"/>
      <w:marTop w:val="0"/>
      <w:marBottom w:val="0"/>
      <w:divBdr>
        <w:top w:val="none" w:sz="0" w:space="0" w:color="auto"/>
        <w:left w:val="none" w:sz="0" w:space="0" w:color="auto"/>
        <w:bottom w:val="none" w:sz="0" w:space="0" w:color="auto"/>
        <w:right w:val="none" w:sz="0" w:space="0" w:color="auto"/>
      </w:divBdr>
    </w:div>
    <w:div w:id="719061886">
      <w:bodyDiv w:val="1"/>
      <w:marLeft w:val="0"/>
      <w:marRight w:val="0"/>
      <w:marTop w:val="0"/>
      <w:marBottom w:val="0"/>
      <w:divBdr>
        <w:top w:val="none" w:sz="0" w:space="0" w:color="auto"/>
        <w:left w:val="none" w:sz="0" w:space="0" w:color="auto"/>
        <w:bottom w:val="none" w:sz="0" w:space="0" w:color="auto"/>
        <w:right w:val="none" w:sz="0" w:space="0" w:color="auto"/>
      </w:divBdr>
    </w:div>
    <w:div w:id="719213253">
      <w:bodyDiv w:val="1"/>
      <w:marLeft w:val="0"/>
      <w:marRight w:val="0"/>
      <w:marTop w:val="0"/>
      <w:marBottom w:val="0"/>
      <w:divBdr>
        <w:top w:val="none" w:sz="0" w:space="0" w:color="auto"/>
        <w:left w:val="none" w:sz="0" w:space="0" w:color="auto"/>
        <w:bottom w:val="none" w:sz="0" w:space="0" w:color="auto"/>
        <w:right w:val="none" w:sz="0" w:space="0" w:color="auto"/>
      </w:divBdr>
    </w:div>
    <w:div w:id="719717341">
      <w:bodyDiv w:val="1"/>
      <w:marLeft w:val="0"/>
      <w:marRight w:val="0"/>
      <w:marTop w:val="0"/>
      <w:marBottom w:val="0"/>
      <w:divBdr>
        <w:top w:val="none" w:sz="0" w:space="0" w:color="auto"/>
        <w:left w:val="none" w:sz="0" w:space="0" w:color="auto"/>
        <w:bottom w:val="none" w:sz="0" w:space="0" w:color="auto"/>
        <w:right w:val="none" w:sz="0" w:space="0" w:color="auto"/>
      </w:divBdr>
    </w:div>
    <w:div w:id="719865636">
      <w:bodyDiv w:val="1"/>
      <w:marLeft w:val="0"/>
      <w:marRight w:val="0"/>
      <w:marTop w:val="0"/>
      <w:marBottom w:val="0"/>
      <w:divBdr>
        <w:top w:val="none" w:sz="0" w:space="0" w:color="auto"/>
        <w:left w:val="none" w:sz="0" w:space="0" w:color="auto"/>
        <w:bottom w:val="none" w:sz="0" w:space="0" w:color="auto"/>
        <w:right w:val="none" w:sz="0" w:space="0" w:color="auto"/>
      </w:divBdr>
    </w:div>
    <w:div w:id="719937792">
      <w:bodyDiv w:val="1"/>
      <w:marLeft w:val="0"/>
      <w:marRight w:val="0"/>
      <w:marTop w:val="0"/>
      <w:marBottom w:val="0"/>
      <w:divBdr>
        <w:top w:val="none" w:sz="0" w:space="0" w:color="auto"/>
        <w:left w:val="none" w:sz="0" w:space="0" w:color="auto"/>
        <w:bottom w:val="none" w:sz="0" w:space="0" w:color="auto"/>
        <w:right w:val="none" w:sz="0" w:space="0" w:color="auto"/>
      </w:divBdr>
    </w:div>
    <w:div w:id="720134960">
      <w:bodyDiv w:val="1"/>
      <w:marLeft w:val="0"/>
      <w:marRight w:val="0"/>
      <w:marTop w:val="0"/>
      <w:marBottom w:val="0"/>
      <w:divBdr>
        <w:top w:val="none" w:sz="0" w:space="0" w:color="auto"/>
        <w:left w:val="none" w:sz="0" w:space="0" w:color="auto"/>
        <w:bottom w:val="none" w:sz="0" w:space="0" w:color="auto"/>
        <w:right w:val="none" w:sz="0" w:space="0" w:color="auto"/>
      </w:divBdr>
    </w:div>
    <w:div w:id="720135759">
      <w:bodyDiv w:val="1"/>
      <w:marLeft w:val="0"/>
      <w:marRight w:val="0"/>
      <w:marTop w:val="0"/>
      <w:marBottom w:val="0"/>
      <w:divBdr>
        <w:top w:val="none" w:sz="0" w:space="0" w:color="auto"/>
        <w:left w:val="none" w:sz="0" w:space="0" w:color="auto"/>
        <w:bottom w:val="none" w:sz="0" w:space="0" w:color="auto"/>
        <w:right w:val="none" w:sz="0" w:space="0" w:color="auto"/>
      </w:divBdr>
    </w:div>
    <w:div w:id="720246130">
      <w:bodyDiv w:val="1"/>
      <w:marLeft w:val="0"/>
      <w:marRight w:val="0"/>
      <w:marTop w:val="0"/>
      <w:marBottom w:val="0"/>
      <w:divBdr>
        <w:top w:val="none" w:sz="0" w:space="0" w:color="auto"/>
        <w:left w:val="none" w:sz="0" w:space="0" w:color="auto"/>
        <w:bottom w:val="none" w:sz="0" w:space="0" w:color="auto"/>
        <w:right w:val="none" w:sz="0" w:space="0" w:color="auto"/>
      </w:divBdr>
    </w:div>
    <w:div w:id="720404210">
      <w:bodyDiv w:val="1"/>
      <w:marLeft w:val="0"/>
      <w:marRight w:val="0"/>
      <w:marTop w:val="0"/>
      <w:marBottom w:val="0"/>
      <w:divBdr>
        <w:top w:val="none" w:sz="0" w:space="0" w:color="auto"/>
        <w:left w:val="none" w:sz="0" w:space="0" w:color="auto"/>
        <w:bottom w:val="none" w:sz="0" w:space="0" w:color="auto"/>
        <w:right w:val="none" w:sz="0" w:space="0" w:color="auto"/>
      </w:divBdr>
    </w:div>
    <w:div w:id="720442711">
      <w:bodyDiv w:val="1"/>
      <w:marLeft w:val="0"/>
      <w:marRight w:val="0"/>
      <w:marTop w:val="0"/>
      <w:marBottom w:val="0"/>
      <w:divBdr>
        <w:top w:val="none" w:sz="0" w:space="0" w:color="auto"/>
        <w:left w:val="none" w:sz="0" w:space="0" w:color="auto"/>
        <w:bottom w:val="none" w:sz="0" w:space="0" w:color="auto"/>
        <w:right w:val="none" w:sz="0" w:space="0" w:color="auto"/>
      </w:divBdr>
    </w:div>
    <w:div w:id="721053601">
      <w:bodyDiv w:val="1"/>
      <w:marLeft w:val="0"/>
      <w:marRight w:val="0"/>
      <w:marTop w:val="0"/>
      <w:marBottom w:val="0"/>
      <w:divBdr>
        <w:top w:val="none" w:sz="0" w:space="0" w:color="auto"/>
        <w:left w:val="none" w:sz="0" w:space="0" w:color="auto"/>
        <w:bottom w:val="none" w:sz="0" w:space="0" w:color="auto"/>
        <w:right w:val="none" w:sz="0" w:space="0" w:color="auto"/>
      </w:divBdr>
    </w:div>
    <w:div w:id="721251275">
      <w:bodyDiv w:val="1"/>
      <w:marLeft w:val="0"/>
      <w:marRight w:val="0"/>
      <w:marTop w:val="0"/>
      <w:marBottom w:val="0"/>
      <w:divBdr>
        <w:top w:val="none" w:sz="0" w:space="0" w:color="auto"/>
        <w:left w:val="none" w:sz="0" w:space="0" w:color="auto"/>
        <w:bottom w:val="none" w:sz="0" w:space="0" w:color="auto"/>
        <w:right w:val="none" w:sz="0" w:space="0" w:color="auto"/>
      </w:divBdr>
    </w:div>
    <w:div w:id="721321427">
      <w:bodyDiv w:val="1"/>
      <w:marLeft w:val="0"/>
      <w:marRight w:val="0"/>
      <w:marTop w:val="0"/>
      <w:marBottom w:val="0"/>
      <w:divBdr>
        <w:top w:val="none" w:sz="0" w:space="0" w:color="auto"/>
        <w:left w:val="none" w:sz="0" w:space="0" w:color="auto"/>
        <w:bottom w:val="none" w:sz="0" w:space="0" w:color="auto"/>
        <w:right w:val="none" w:sz="0" w:space="0" w:color="auto"/>
      </w:divBdr>
    </w:div>
    <w:div w:id="721439045">
      <w:bodyDiv w:val="1"/>
      <w:marLeft w:val="0"/>
      <w:marRight w:val="0"/>
      <w:marTop w:val="0"/>
      <w:marBottom w:val="0"/>
      <w:divBdr>
        <w:top w:val="none" w:sz="0" w:space="0" w:color="auto"/>
        <w:left w:val="none" w:sz="0" w:space="0" w:color="auto"/>
        <w:bottom w:val="none" w:sz="0" w:space="0" w:color="auto"/>
        <w:right w:val="none" w:sz="0" w:space="0" w:color="auto"/>
      </w:divBdr>
    </w:div>
    <w:div w:id="721558919">
      <w:bodyDiv w:val="1"/>
      <w:marLeft w:val="0"/>
      <w:marRight w:val="0"/>
      <w:marTop w:val="0"/>
      <w:marBottom w:val="0"/>
      <w:divBdr>
        <w:top w:val="none" w:sz="0" w:space="0" w:color="auto"/>
        <w:left w:val="none" w:sz="0" w:space="0" w:color="auto"/>
        <w:bottom w:val="none" w:sz="0" w:space="0" w:color="auto"/>
        <w:right w:val="none" w:sz="0" w:space="0" w:color="auto"/>
      </w:divBdr>
    </w:div>
    <w:div w:id="721633292">
      <w:bodyDiv w:val="1"/>
      <w:marLeft w:val="0"/>
      <w:marRight w:val="0"/>
      <w:marTop w:val="0"/>
      <w:marBottom w:val="0"/>
      <w:divBdr>
        <w:top w:val="none" w:sz="0" w:space="0" w:color="auto"/>
        <w:left w:val="none" w:sz="0" w:space="0" w:color="auto"/>
        <w:bottom w:val="none" w:sz="0" w:space="0" w:color="auto"/>
        <w:right w:val="none" w:sz="0" w:space="0" w:color="auto"/>
      </w:divBdr>
    </w:div>
    <w:div w:id="721684010">
      <w:bodyDiv w:val="1"/>
      <w:marLeft w:val="0"/>
      <w:marRight w:val="0"/>
      <w:marTop w:val="0"/>
      <w:marBottom w:val="0"/>
      <w:divBdr>
        <w:top w:val="none" w:sz="0" w:space="0" w:color="auto"/>
        <w:left w:val="none" w:sz="0" w:space="0" w:color="auto"/>
        <w:bottom w:val="none" w:sz="0" w:space="0" w:color="auto"/>
        <w:right w:val="none" w:sz="0" w:space="0" w:color="auto"/>
      </w:divBdr>
    </w:div>
    <w:div w:id="721830248">
      <w:bodyDiv w:val="1"/>
      <w:marLeft w:val="0"/>
      <w:marRight w:val="0"/>
      <w:marTop w:val="0"/>
      <w:marBottom w:val="0"/>
      <w:divBdr>
        <w:top w:val="none" w:sz="0" w:space="0" w:color="auto"/>
        <w:left w:val="none" w:sz="0" w:space="0" w:color="auto"/>
        <w:bottom w:val="none" w:sz="0" w:space="0" w:color="auto"/>
        <w:right w:val="none" w:sz="0" w:space="0" w:color="auto"/>
      </w:divBdr>
    </w:div>
    <w:div w:id="721834686">
      <w:bodyDiv w:val="1"/>
      <w:marLeft w:val="0"/>
      <w:marRight w:val="0"/>
      <w:marTop w:val="0"/>
      <w:marBottom w:val="0"/>
      <w:divBdr>
        <w:top w:val="none" w:sz="0" w:space="0" w:color="auto"/>
        <w:left w:val="none" w:sz="0" w:space="0" w:color="auto"/>
        <w:bottom w:val="none" w:sz="0" w:space="0" w:color="auto"/>
        <w:right w:val="none" w:sz="0" w:space="0" w:color="auto"/>
      </w:divBdr>
    </w:div>
    <w:div w:id="722289329">
      <w:bodyDiv w:val="1"/>
      <w:marLeft w:val="0"/>
      <w:marRight w:val="0"/>
      <w:marTop w:val="0"/>
      <w:marBottom w:val="0"/>
      <w:divBdr>
        <w:top w:val="none" w:sz="0" w:space="0" w:color="auto"/>
        <w:left w:val="none" w:sz="0" w:space="0" w:color="auto"/>
        <w:bottom w:val="none" w:sz="0" w:space="0" w:color="auto"/>
        <w:right w:val="none" w:sz="0" w:space="0" w:color="auto"/>
      </w:divBdr>
    </w:div>
    <w:div w:id="722602818">
      <w:bodyDiv w:val="1"/>
      <w:marLeft w:val="0"/>
      <w:marRight w:val="0"/>
      <w:marTop w:val="0"/>
      <w:marBottom w:val="0"/>
      <w:divBdr>
        <w:top w:val="none" w:sz="0" w:space="0" w:color="auto"/>
        <w:left w:val="none" w:sz="0" w:space="0" w:color="auto"/>
        <w:bottom w:val="none" w:sz="0" w:space="0" w:color="auto"/>
        <w:right w:val="none" w:sz="0" w:space="0" w:color="auto"/>
      </w:divBdr>
    </w:div>
    <w:div w:id="722673856">
      <w:bodyDiv w:val="1"/>
      <w:marLeft w:val="0"/>
      <w:marRight w:val="0"/>
      <w:marTop w:val="0"/>
      <w:marBottom w:val="0"/>
      <w:divBdr>
        <w:top w:val="none" w:sz="0" w:space="0" w:color="auto"/>
        <w:left w:val="none" w:sz="0" w:space="0" w:color="auto"/>
        <w:bottom w:val="none" w:sz="0" w:space="0" w:color="auto"/>
        <w:right w:val="none" w:sz="0" w:space="0" w:color="auto"/>
      </w:divBdr>
    </w:div>
    <w:div w:id="722677561">
      <w:bodyDiv w:val="1"/>
      <w:marLeft w:val="0"/>
      <w:marRight w:val="0"/>
      <w:marTop w:val="0"/>
      <w:marBottom w:val="0"/>
      <w:divBdr>
        <w:top w:val="none" w:sz="0" w:space="0" w:color="auto"/>
        <w:left w:val="none" w:sz="0" w:space="0" w:color="auto"/>
        <w:bottom w:val="none" w:sz="0" w:space="0" w:color="auto"/>
        <w:right w:val="none" w:sz="0" w:space="0" w:color="auto"/>
      </w:divBdr>
    </w:div>
    <w:div w:id="722824408">
      <w:bodyDiv w:val="1"/>
      <w:marLeft w:val="0"/>
      <w:marRight w:val="0"/>
      <w:marTop w:val="0"/>
      <w:marBottom w:val="0"/>
      <w:divBdr>
        <w:top w:val="none" w:sz="0" w:space="0" w:color="auto"/>
        <w:left w:val="none" w:sz="0" w:space="0" w:color="auto"/>
        <w:bottom w:val="none" w:sz="0" w:space="0" w:color="auto"/>
        <w:right w:val="none" w:sz="0" w:space="0" w:color="auto"/>
      </w:divBdr>
    </w:div>
    <w:div w:id="723060737">
      <w:bodyDiv w:val="1"/>
      <w:marLeft w:val="0"/>
      <w:marRight w:val="0"/>
      <w:marTop w:val="0"/>
      <w:marBottom w:val="0"/>
      <w:divBdr>
        <w:top w:val="none" w:sz="0" w:space="0" w:color="auto"/>
        <w:left w:val="none" w:sz="0" w:space="0" w:color="auto"/>
        <w:bottom w:val="none" w:sz="0" w:space="0" w:color="auto"/>
        <w:right w:val="none" w:sz="0" w:space="0" w:color="auto"/>
      </w:divBdr>
    </w:div>
    <w:div w:id="723214796">
      <w:bodyDiv w:val="1"/>
      <w:marLeft w:val="0"/>
      <w:marRight w:val="0"/>
      <w:marTop w:val="0"/>
      <w:marBottom w:val="0"/>
      <w:divBdr>
        <w:top w:val="none" w:sz="0" w:space="0" w:color="auto"/>
        <w:left w:val="none" w:sz="0" w:space="0" w:color="auto"/>
        <w:bottom w:val="none" w:sz="0" w:space="0" w:color="auto"/>
        <w:right w:val="none" w:sz="0" w:space="0" w:color="auto"/>
      </w:divBdr>
    </w:div>
    <w:div w:id="723216161">
      <w:bodyDiv w:val="1"/>
      <w:marLeft w:val="0"/>
      <w:marRight w:val="0"/>
      <w:marTop w:val="0"/>
      <w:marBottom w:val="0"/>
      <w:divBdr>
        <w:top w:val="none" w:sz="0" w:space="0" w:color="auto"/>
        <w:left w:val="none" w:sz="0" w:space="0" w:color="auto"/>
        <w:bottom w:val="none" w:sz="0" w:space="0" w:color="auto"/>
        <w:right w:val="none" w:sz="0" w:space="0" w:color="auto"/>
      </w:divBdr>
    </w:div>
    <w:div w:id="723257552">
      <w:bodyDiv w:val="1"/>
      <w:marLeft w:val="0"/>
      <w:marRight w:val="0"/>
      <w:marTop w:val="0"/>
      <w:marBottom w:val="0"/>
      <w:divBdr>
        <w:top w:val="none" w:sz="0" w:space="0" w:color="auto"/>
        <w:left w:val="none" w:sz="0" w:space="0" w:color="auto"/>
        <w:bottom w:val="none" w:sz="0" w:space="0" w:color="auto"/>
        <w:right w:val="none" w:sz="0" w:space="0" w:color="auto"/>
      </w:divBdr>
    </w:div>
    <w:div w:id="723286442">
      <w:bodyDiv w:val="1"/>
      <w:marLeft w:val="0"/>
      <w:marRight w:val="0"/>
      <w:marTop w:val="0"/>
      <w:marBottom w:val="0"/>
      <w:divBdr>
        <w:top w:val="none" w:sz="0" w:space="0" w:color="auto"/>
        <w:left w:val="none" w:sz="0" w:space="0" w:color="auto"/>
        <w:bottom w:val="none" w:sz="0" w:space="0" w:color="auto"/>
        <w:right w:val="none" w:sz="0" w:space="0" w:color="auto"/>
      </w:divBdr>
    </w:div>
    <w:div w:id="723800364">
      <w:bodyDiv w:val="1"/>
      <w:marLeft w:val="0"/>
      <w:marRight w:val="0"/>
      <w:marTop w:val="0"/>
      <w:marBottom w:val="0"/>
      <w:divBdr>
        <w:top w:val="none" w:sz="0" w:space="0" w:color="auto"/>
        <w:left w:val="none" w:sz="0" w:space="0" w:color="auto"/>
        <w:bottom w:val="none" w:sz="0" w:space="0" w:color="auto"/>
        <w:right w:val="none" w:sz="0" w:space="0" w:color="auto"/>
      </w:divBdr>
    </w:div>
    <w:div w:id="723914783">
      <w:bodyDiv w:val="1"/>
      <w:marLeft w:val="0"/>
      <w:marRight w:val="0"/>
      <w:marTop w:val="0"/>
      <w:marBottom w:val="0"/>
      <w:divBdr>
        <w:top w:val="none" w:sz="0" w:space="0" w:color="auto"/>
        <w:left w:val="none" w:sz="0" w:space="0" w:color="auto"/>
        <w:bottom w:val="none" w:sz="0" w:space="0" w:color="auto"/>
        <w:right w:val="none" w:sz="0" w:space="0" w:color="auto"/>
      </w:divBdr>
    </w:div>
    <w:div w:id="723985443">
      <w:bodyDiv w:val="1"/>
      <w:marLeft w:val="0"/>
      <w:marRight w:val="0"/>
      <w:marTop w:val="0"/>
      <w:marBottom w:val="0"/>
      <w:divBdr>
        <w:top w:val="none" w:sz="0" w:space="0" w:color="auto"/>
        <w:left w:val="none" w:sz="0" w:space="0" w:color="auto"/>
        <w:bottom w:val="none" w:sz="0" w:space="0" w:color="auto"/>
        <w:right w:val="none" w:sz="0" w:space="0" w:color="auto"/>
      </w:divBdr>
    </w:div>
    <w:div w:id="724262141">
      <w:bodyDiv w:val="1"/>
      <w:marLeft w:val="0"/>
      <w:marRight w:val="0"/>
      <w:marTop w:val="0"/>
      <w:marBottom w:val="0"/>
      <w:divBdr>
        <w:top w:val="none" w:sz="0" w:space="0" w:color="auto"/>
        <w:left w:val="none" w:sz="0" w:space="0" w:color="auto"/>
        <w:bottom w:val="none" w:sz="0" w:space="0" w:color="auto"/>
        <w:right w:val="none" w:sz="0" w:space="0" w:color="auto"/>
      </w:divBdr>
    </w:div>
    <w:div w:id="724446995">
      <w:bodyDiv w:val="1"/>
      <w:marLeft w:val="0"/>
      <w:marRight w:val="0"/>
      <w:marTop w:val="0"/>
      <w:marBottom w:val="0"/>
      <w:divBdr>
        <w:top w:val="none" w:sz="0" w:space="0" w:color="auto"/>
        <w:left w:val="none" w:sz="0" w:space="0" w:color="auto"/>
        <w:bottom w:val="none" w:sz="0" w:space="0" w:color="auto"/>
        <w:right w:val="none" w:sz="0" w:space="0" w:color="auto"/>
      </w:divBdr>
    </w:div>
    <w:div w:id="724521712">
      <w:bodyDiv w:val="1"/>
      <w:marLeft w:val="0"/>
      <w:marRight w:val="0"/>
      <w:marTop w:val="0"/>
      <w:marBottom w:val="0"/>
      <w:divBdr>
        <w:top w:val="none" w:sz="0" w:space="0" w:color="auto"/>
        <w:left w:val="none" w:sz="0" w:space="0" w:color="auto"/>
        <w:bottom w:val="none" w:sz="0" w:space="0" w:color="auto"/>
        <w:right w:val="none" w:sz="0" w:space="0" w:color="auto"/>
      </w:divBdr>
    </w:div>
    <w:div w:id="724832922">
      <w:bodyDiv w:val="1"/>
      <w:marLeft w:val="0"/>
      <w:marRight w:val="0"/>
      <w:marTop w:val="0"/>
      <w:marBottom w:val="0"/>
      <w:divBdr>
        <w:top w:val="none" w:sz="0" w:space="0" w:color="auto"/>
        <w:left w:val="none" w:sz="0" w:space="0" w:color="auto"/>
        <w:bottom w:val="none" w:sz="0" w:space="0" w:color="auto"/>
        <w:right w:val="none" w:sz="0" w:space="0" w:color="auto"/>
      </w:divBdr>
    </w:div>
    <w:div w:id="724959668">
      <w:bodyDiv w:val="1"/>
      <w:marLeft w:val="0"/>
      <w:marRight w:val="0"/>
      <w:marTop w:val="0"/>
      <w:marBottom w:val="0"/>
      <w:divBdr>
        <w:top w:val="none" w:sz="0" w:space="0" w:color="auto"/>
        <w:left w:val="none" w:sz="0" w:space="0" w:color="auto"/>
        <w:bottom w:val="none" w:sz="0" w:space="0" w:color="auto"/>
        <w:right w:val="none" w:sz="0" w:space="0" w:color="auto"/>
      </w:divBdr>
    </w:div>
    <w:div w:id="725026507">
      <w:bodyDiv w:val="1"/>
      <w:marLeft w:val="0"/>
      <w:marRight w:val="0"/>
      <w:marTop w:val="0"/>
      <w:marBottom w:val="0"/>
      <w:divBdr>
        <w:top w:val="none" w:sz="0" w:space="0" w:color="auto"/>
        <w:left w:val="none" w:sz="0" w:space="0" w:color="auto"/>
        <w:bottom w:val="none" w:sz="0" w:space="0" w:color="auto"/>
        <w:right w:val="none" w:sz="0" w:space="0" w:color="auto"/>
      </w:divBdr>
    </w:div>
    <w:div w:id="725185635">
      <w:bodyDiv w:val="1"/>
      <w:marLeft w:val="0"/>
      <w:marRight w:val="0"/>
      <w:marTop w:val="0"/>
      <w:marBottom w:val="0"/>
      <w:divBdr>
        <w:top w:val="none" w:sz="0" w:space="0" w:color="auto"/>
        <w:left w:val="none" w:sz="0" w:space="0" w:color="auto"/>
        <w:bottom w:val="none" w:sz="0" w:space="0" w:color="auto"/>
        <w:right w:val="none" w:sz="0" w:space="0" w:color="auto"/>
      </w:divBdr>
    </w:div>
    <w:div w:id="726032757">
      <w:bodyDiv w:val="1"/>
      <w:marLeft w:val="0"/>
      <w:marRight w:val="0"/>
      <w:marTop w:val="0"/>
      <w:marBottom w:val="0"/>
      <w:divBdr>
        <w:top w:val="none" w:sz="0" w:space="0" w:color="auto"/>
        <w:left w:val="none" w:sz="0" w:space="0" w:color="auto"/>
        <w:bottom w:val="none" w:sz="0" w:space="0" w:color="auto"/>
        <w:right w:val="none" w:sz="0" w:space="0" w:color="auto"/>
      </w:divBdr>
    </w:div>
    <w:div w:id="726883247">
      <w:bodyDiv w:val="1"/>
      <w:marLeft w:val="0"/>
      <w:marRight w:val="0"/>
      <w:marTop w:val="0"/>
      <w:marBottom w:val="0"/>
      <w:divBdr>
        <w:top w:val="none" w:sz="0" w:space="0" w:color="auto"/>
        <w:left w:val="none" w:sz="0" w:space="0" w:color="auto"/>
        <w:bottom w:val="none" w:sz="0" w:space="0" w:color="auto"/>
        <w:right w:val="none" w:sz="0" w:space="0" w:color="auto"/>
      </w:divBdr>
    </w:div>
    <w:div w:id="726957857">
      <w:bodyDiv w:val="1"/>
      <w:marLeft w:val="0"/>
      <w:marRight w:val="0"/>
      <w:marTop w:val="0"/>
      <w:marBottom w:val="0"/>
      <w:divBdr>
        <w:top w:val="none" w:sz="0" w:space="0" w:color="auto"/>
        <w:left w:val="none" w:sz="0" w:space="0" w:color="auto"/>
        <w:bottom w:val="none" w:sz="0" w:space="0" w:color="auto"/>
        <w:right w:val="none" w:sz="0" w:space="0" w:color="auto"/>
      </w:divBdr>
    </w:div>
    <w:div w:id="727073552">
      <w:bodyDiv w:val="1"/>
      <w:marLeft w:val="0"/>
      <w:marRight w:val="0"/>
      <w:marTop w:val="0"/>
      <w:marBottom w:val="0"/>
      <w:divBdr>
        <w:top w:val="none" w:sz="0" w:space="0" w:color="auto"/>
        <w:left w:val="none" w:sz="0" w:space="0" w:color="auto"/>
        <w:bottom w:val="none" w:sz="0" w:space="0" w:color="auto"/>
        <w:right w:val="none" w:sz="0" w:space="0" w:color="auto"/>
      </w:divBdr>
    </w:div>
    <w:div w:id="727219683">
      <w:bodyDiv w:val="1"/>
      <w:marLeft w:val="0"/>
      <w:marRight w:val="0"/>
      <w:marTop w:val="0"/>
      <w:marBottom w:val="0"/>
      <w:divBdr>
        <w:top w:val="none" w:sz="0" w:space="0" w:color="auto"/>
        <w:left w:val="none" w:sz="0" w:space="0" w:color="auto"/>
        <w:bottom w:val="none" w:sz="0" w:space="0" w:color="auto"/>
        <w:right w:val="none" w:sz="0" w:space="0" w:color="auto"/>
      </w:divBdr>
    </w:div>
    <w:div w:id="727416316">
      <w:bodyDiv w:val="1"/>
      <w:marLeft w:val="0"/>
      <w:marRight w:val="0"/>
      <w:marTop w:val="0"/>
      <w:marBottom w:val="0"/>
      <w:divBdr>
        <w:top w:val="none" w:sz="0" w:space="0" w:color="auto"/>
        <w:left w:val="none" w:sz="0" w:space="0" w:color="auto"/>
        <w:bottom w:val="none" w:sz="0" w:space="0" w:color="auto"/>
        <w:right w:val="none" w:sz="0" w:space="0" w:color="auto"/>
      </w:divBdr>
    </w:div>
    <w:div w:id="727650393">
      <w:bodyDiv w:val="1"/>
      <w:marLeft w:val="0"/>
      <w:marRight w:val="0"/>
      <w:marTop w:val="0"/>
      <w:marBottom w:val="0"/>
      <w:divBdr>
        <w:top w:val="none" w:sz="0" w:space="0" w:color="auto"/>
        <w:left w:val="none" w:sz="0" w:space="0" w:color="auto"/>
        <w:bottom w:val="none" w:sz="0" w:space="0" w:color="auto"/>
        <w:right w:val="none" w:sz="0" w:space="0" w:color="auto"/>
      </w:divBdr>
    </w:div>
    <w:div w:id="727728727">
      <w:bodyDiv w:val="1"/>
      <w:marLeft w:val="0"/>
      <w:marRight w:val="0"/>
      <w:marTop w:val="0"/>
      <w:marBottom w:val="0"/>
      <w:divBdr>
        <w:top w:val="none" w:sz="0" w:space="0" w:color="auto"/>
        <w:left w:val="none" w:sz="0" w:space="0" w:color="auto"/>
        <w:bottom w:val="none" w:sz="0" w:space="0" w:color="auto"/>
        <w:right w:val="none" w:sz="0" w:space="0" w:color="auto"/>
      </w:divBdr>
    </w:div>
    <w:div w:id="728190395">
      <w:bodyDiv w:val="1"/>
      <w:marLeft w:val="0"/>
      <w:marRight w:val="0"/>
      <w:marTop w:val="0"/>
      <w:marBottom w:val="0"/>
      <w:divBdr>
        <w:top w:val="none" w:sz="0" w:space="0" w:color="auto"/>
        <w:left w:val="none" w:sz="0" w:space="0" w:color="auto"/>
        <w:bottom w:val="none" w:sz="0" w:space="0" w:color="auto"/>
        <w:right w:val="none" w:sz="0" w:space="0" w:color="auto"/>
      </w:divBdr>
    </w:div>
    <w:div w:id="728387139">
      <w:bodyDiv w:val="1"/>
      <w:marLeft w:val="0"/>
      <w:marRight w:val="0"/>
      <w:marTop w:val="0"/>
      <w:marBottom w:val="0"/>
      <w:divBdr>
        <w:top w:val="none" w:sz="0" w:space="0" w:color="auto"/>
        <w:left w:val="none" w:sz="0" w:space="0" w:color="auto"/>
        <w:bottom w:val="none" w:sz="0" w:space="0" w:color="auto"/>
        <w:right w:val="none" w:sz="0" w:space="0" w:color="auto"/>
      </w:divBdr>
    </w:div>
    <w:div w:id="728652059">
      <w:bodyDiv w:val="1"/>
      <w:marLeft w:val="0"/>
      <w:marRight w:val="0"/>
      <w:marTop w:val="0"/>
      <w:marBottom w:val="0"/>
      <w:divBdr>
        <w:top w:val="none" w:sz="0" w:space="0" w:color="auto"/>
        <w:left w:val="none" w:sz="0" w:space="0" w:color="auto"/>
        <w:bottom w:val="none" w:sz="0" w:space="0" w:color="auto"/>
        <w:right w:val="none" w:sz="0" w:space="0" w:color="auto"/>
      </w:divBdr>
    </w:div>
    <w:div w:id="728916366">
      <w:bodyDiv w:val="1"/>
      <w:marLeft w:val="0"/>
      <w:marRight w:val="0"/>
      <w:marTop w:val="0"/>
      <w:marBottom w:val="0"/>
      <w:divBdr>
        <w:top w:val="none" w:sz="0" w:space="0" w:color="auto"/>
        <w:left w:val="none" w:sz="0" w:space="0" w:color="auto"/>
        <w:bottom w:val="none" w:sz="0" w:space="0" w:color="auto"/>
        <w:right w:val="none" w:sz="0" w:space="0" w:color="auto"/>
      </w:divBdr>
    </w:div>
    <w:div w:id="728966212">
      <w:bodyDiv w:val="1"/>
      <w:marLeft w:val="0"/>
      <w:marRight w:val="0"/>
      <w:marTop w:val="0"/>
      <w:marBottom w:val="0"/>
      <w:divBdr>
        <w:top w:val="none" w:sz="0" w:space="0" w:color="auto"/>
        <w:left w:val="none" w:sz="0" w:space="0" w:color="auto"/>
        <w:bottom w:val="none" w:sz="0" w:space="0" w:color="auto"/>
        <w:right w:val="none" w:sz="0" w:space="0" w:color="auto"/>
      </w:divBdr>
    </w:div>
    <w:div w:id="729039334">
      <w:bodyDiv w:val="1"/>
      <w:marLeft w:val="0"/>
      <w:marRight w:val="0"/>
      <w:marTop w:val="0"/>
      <w:marBottom w:val="0"/>
      <w:divBdr>
        <w:top w:val="none" w:sz="0" w:space="0" w:color="auto"/>
        <w:left w:val="none" w:sz="0" w:space="0" w:color="auto"/>
        <w:bottom w:val="none" w:sz="0" w:space="0" w:color="auto"/>
        <w:right w:val="none" w:sz="0" w:space="0" w:color="auto"/>
      </w:divBdr>
    </w:div>
    <w:div w:id="729041436">
      <w:bodyDiv w:val="1"/>
      <w:marLeft w:val="0"/>
      <w:marRight w:val="0"/>
      <w:marTop w:val="0"/>
      <w:marBottom w:val="0"/>
      <w:divBdr>
        <w:top w:val="none" w:sz="0" w:space="0" w:color="auto"/>
        <w:left w:val="none" w:sz="0" w:space="0" w:color="auto"/>
        <w:bottom w:val="none" w:sz="0" w:space="0" w:color="auto"/>
        <w:right w:val="none" w:sz="0" w:space="0" w:color="auto"/>
      </w:divBdr>
    </w:div>
    <w:div w:id="729380085">
      <w:bodyDiv w:val="1"/>
      <w:marLeft w:val="0"/>
      <w:marRight w:val="0"/>
      <w:marTop w:val="0"/>
      <w:marBottom w:val="0"/>
      <w:divBdr>
        <w:top w:val="none" w:sz="0" w:space="0" w:color="auto"/>
        <w:left w:val="none" w:sz="0" w:space="0" w:color="auto"/>
        <w:bottom w:val="none" w:sz="0" w:space="0" w:color="auto"/>
        <w:right w:val="none" w:sz="0" w:space="0" w:color="auto"/>
      </w:divBdr>
    </w:div>
    <w:div w:id="729689058">
      <w:bodyDiv w:val="1"/>
      <w:marLeft w:val="0"/>
      <w:marRight w:val="0"/>
      <w:marTop w:val="0"/>
      <w:marBottom w:val="0"/>
      <w:divBdr>
        <w:top w:val="none" w:sz="0" w:space="0" w:color="auto"/>
        <w:left w:val="none" w:sz="0" w:space="0" w:color="auto"/>
        <w:bottom w:val="none" w:sz="0" w:space="0" w:color="auto"/>
        <w:right w:val="none" w:sz="0" w:space="0" w:color="auto"/>
      </w:divBdr>
    </w:div>
    <w:div w:id="729696550">
      <w:bodyDiv w:val="1"/>
      <w:marLeft w:val="0"/>
      <w:marRight w:val="0"/>
      <w:marTop w:val="0"/>
      <w:marBottom w:val="0"/>
      <w:divBdr>
        <w:top w:val="none" w:sz="0" w:space="0" w:color="auto"/>
        <w:left w:val="none" w:sz="0" w:space="0" w:color="auto"/>
        <w:bottom w:val="none" w:sz="0" w:space="0" w:color="auto"/>
        <w:right w:val="none" w:sz="0" w:space="0" w:color="auto"/>
      </w:divBdr>
    </w:div>
    <w:div w:id="730083375">
      <w:bodyDiv w:val="1"/>
      <w:marLeft w:val="0"/>
      <w:marRight w:val="0"/>
      <w:marTop w:val="0"/>
      <w:marBottom w:val="0"/>
      <w:divBdr>
        <w:top w:val="none" w:sz="0" w:space="0" w:color="auto"/>
        <w:left w:val="none" w:sz="0" w:space="0" w:color="auto"/>
        <w:bottom w:val="none" w:sz="0" w:space="0" w:color="auto"/>
        <w:right w:val="none" w:sz="0" w:space="0" w:color="auto"/>
      </w:divBdr>
    </w:div>
    <w:div w:id="730227589">
      <w:bodyDiv w:val="1"/>
      <w:marLeft w:val="0"/>
      <w:marRight w:val="0"/>
      <w:marTop w:val="0"/>
      <w:marBottom w:val="0"/>
      <w:divBdr>
        <w:top w:val="none" w:sz="0" w:space="0" w:color="auto"/>
        <w:left w:val="none" w:sz="0" w:space="0" w:color="auto"/>
        <w:bottom w:val="none" w:sz="0" w:space="0" w:color="auto"/>
        <w:right w:val="none" w:sz="0" w:space="0" w:color="auto"/>
      </w:divBdr>
    </w:div>
    <w:div w:id="730539037">
      <w:bodyDiv w:val="1"/>
      <w:marLeft w:val="0"/>
      <w:marRight w:val="0"/>
      <w:marTop w:val="0"/>
      <w:marBottom w:val="0"/>
      <w:divBdr>
        <w:top w:val="none" w:sz="0" w:space="0" w:color="auto"/>
        <w:left w:val="none" w:sz="0" w:space="0" w:color="auto"/>
        <w:bottom w:val="none" w:sz="0" w:space="0" w:color="auto"/>
        <w:right w:val="none" w:sz="0" w:space="0" w:color="auto"/>
      </w:divBdr>
    </w:div>
    <w:div w:id="730688129">
      <w:bodyDiv w:val="1"/>
      <w:marLeft w:val="0"/>
      <w:marRight w:val="0"/>
      <w:marTop w:val="0"/>
      <w:marBottom w:val="0"/>
      <w:divBdr>
        <w:top w:val="none" w:sz="0" w:space="0" w:color="auto"/>
        <w:left w:val="none" w:sz="0" w:space="0" w:color="auto"/>
        <w:bottom w:val="none" w:sz="0" w:space="0" w:color="auto"/>
        <w:right w:val="none" w:sz="0" w:space="0" w:color="auto"/>
      </w:divBdr>
    </w:div>
    <w:div w:id="730688659">
      <w:bodyDiv w:val="1"/>
      <w:marLeft w:val="0"/>
      <w:marRight w:val="0"/>
      <w:marTop w:val="0"/>
      <w:marBottom w:val="0"/>
      <w:divBdr>
        <w:top w:val="none" w:sz="0" w:space="0" w:color="auto"/>
        <w:left w:val="none" w:sz="0" w:space="0" w:color="auto"/>
        <w:bottom w:val="none" w:sz="0" w:space="0" w:color="auto"/>
        <w:right w:val="none" w:sz="0" w:space="0" w:color="auto"/>
      </w:divBdr>
    </w:div>
    <w:div w:id="730889413">
      <w:bodyDiv w:val="1"/>
      <w:marLeft w:val="0"/>
      <w:marRight w:val="0"/>
      <w:marTop w:val="0"/>
      <w:marBottom w:val="0"/>
      <w:divBdr>
        <w:top w:val="none" w:sz="0" w:space="0" w:color="auto"/>
        <w:left w:val="none" w:sz="0" w:space="0" w:color="auto"/>
        <w:bottom w:val="none" w:sz="0" w:space="0" w:color="auto"/>
        <w:right w:val="none" w:sz="0" w:space="0" w:color="auto"/>
      </w:divBdr>
    </w:div>
    <w:div w:id="731003167">
      <w:bodyDiv w:val="1"/>
      <w:marLeft w:val="0"/>
      <w:marRight w:val="0"/>
      <w:marTop w:val="0"/>
      <w:marBottom w:val="0"/>
      <w:divBdr>
        <w:top w:val="none" w:sz="0" w:space="0" w:color="auto"/>
        <w:left w:val="none" w:sz="0" w:space="0" w:color="auto"/>
        <w:bottom w:val="none" w:sz="0" w:space="0" w:color="auto"/>
        <w:right w:val="none" w:sz="0" w:space="0" w:color="auto"/>
      </w:divBdr>
    </w:div>
    <w:div w:id="731077195">
      <w:bodyDiv w:val="1"/>
      <w:marLeft w:val="0"/>
      <w:marRight w:val="0"/>
      <w:marTop w:val="0"/>
      <w:marBottom w:val="0"/>
      <w:divBdr>
        <w:top w:val="none" w:sz="0" w:space="0" w:color="auto"/>
        <w:left w:val="none" w:sz="0" w:space="0" w:color="auto"/>
        <w:bottom w:val="none" w:sz="0" w:space="0" w:color="auto"/>
        <w:right w:val="none" w:sz="0" w:space="0" w:color="auto"/>
      </w:divBdr>
    </w:div>
    <w:div w:id="731082561">
      <w:bodyDiv w:val="1"/>
      <w:marLeft w:val="0"/>
      <w:marRight w:val="0"/>
      <w:marTop w:val="0"/>
      <w:marBottom w:val="0"/>
      <w:divBdr>
        <w:top w:val="none" w:sz="0" w:space="0" w:color="auto"/>
        <w:left w:val="none" w:sz="0" w:space="0" w:color="auto"/>
        <w:bottom w:val="none" w:sz="0" w:space="0" w:color="auto"/>
        <w:right w:val="none" w:sz="0" w:space="0" w:color="auto"/>
      </w:divBdr>
    </w:div>
    <w:div w:id="731270531">
      <w:bodyDiv w:val="1"/>
      <w:marLeft w:val="0"/>
      <w:marRight w:val="0"/>
      <w:marTop w:val="0"/>
      <w:marBottom w:val="0"/>
      <w:divBdr>
        <w:top w:val="none" w:sz="0" w:space="0" w:color="auto"/>
        <w:left w:val="none" w:sz="0" w:space="0" w:color="auto"/>
        <w:bottom w:val="none" w:sz="0" w:space="0" w:color="auto"/>
        <w:right w:val="none" w:sz="0" w:space="0" w:color="auto"/>
      </w:divBdr>
    </w:div>
    <w:div w:id="731347283">
      <w:bodyDiv w:val="1"/>
      <w:marLeft w:val="0"/>
      <w:marRight w:val="0"/>
      <w:marTop w:val="0"/>
      <w:marBottom w:val="0"/>
      <w:divBdr>
        <w:top w:val="none" w:sz="0" w:space="0" w:color="auto"/>
        <w:left w:val="none" w:sz="0" w:space="0" w:color="auto"/>
        <w:bottom w:val="none" w:sz="0" w:space="0" w:color="auto"/>
        <w:right w:val="none" w:sz="0" w:space="0" w:color="auto"/>
      </w:divBdr>
    </w:div>
    <w:div w:id="731348080">
      <w:bodyDiv w:val="1"/>
      <w:marLeft w:val="0"/>
      <w:marRight w:val="0"/>
      <w:marTop w:val="0"/>
      <w:marBottom w:val="0"/>
      <w:divBdr>
        <w:top w:val="none" w:sz="0" w:space="0" w:color="auto"/>
        <w:left w:val="none" w:sz="0" w:space="0" w:color="auto"/>
        <w:bottom w:val="none" w:sz="0" w:space="0" w:color="auto"/>
        <w:right w:val="none" w:sz="0" w:space="0" w:color="auto"/>
      </w:divBdr>
    </w:div>
    <w:div w:id="731348382">
      <w:bodyDiv w:val="1"/>
      <w:marLeft w:val="0"/>
      <w:marRight w:val="0"/>
      <w:marTop w:val="0"/>
      <w:marBottom w:val="0"/>
      <w:divBdr>
        <w:top w:val="none" w:sz="0" w:space="0" w:color="auto"/>
        <w:left w:val="none" w:sz="0" w:space="0" w:color="auto"/>
        <w:bottom w:val="none" w:sz="0" w:space="0" w:color="auto"/>
        <w:right w:val="none" w:sz="0" w:space="0" w:color="auto"/>
      </w:divBdr>
    </w:div>
    <w:div w:id="731854619">
      <w:bodyDiv w:val="1"/>
      <w:marLeft w:val="0"/>
      <w:marRight w:val="0"/>
      <w:marTop w:val="0"/>
      <w:marBottom w:val="0"/>
      <w:divBdr>
        <w:top w:val="none" w:sz="0" w:space="0" w:color="auto"/>
        <w:left w:val="none" w:sz="0" w:space="0" w:color="auto"/>
        <w:bottom w:val="none" w:sz="0" w:space="0" w:color="auto"/>
        <w:right w:val="none" w:sz="0" w:space="0" w:color="auto"/>
      </w:divBdr>
    </w:div>
    <w:div w:id="732318856">
      <w:bodyDiv w:val="1"/>
      <w:marLeft w:val="0"/>
      <w:marRight w:val="0"/>
      <w:marTop w:val="0"/>
      <w:marBottom w:val="0"/>
      <w:divBdr>
        <w:top w:val="none" w:sz="0" w:space="0" w:color="auto"/>
        <w:left w:val="none" w:sz="0" w:space="0" w:color="auto"/>
        <w:bottom w:val="none" w:sz="0" w:space="0" w:color="auto"/>
        <w:right w:val="none" w:sz="0" w:space="0" w:color="auto"/>
      </w:divBdr>
    </w:div>
    <w:div w:id="732586723">
      <w:bodyDiv w:val="1"/>
      <w:marLeft w:val="0"/>
      <w:marRight w:val="0"/>
      <w:marTop w:val="0"/>
      <w:marBottom w:val="0"/>
      <w:divBdr>
        <w:top w:val="none" w:sz="0" w:space="0" w:color="auto"/>
        <w:left w:val="none" w:sz="0" w:space="0" w:color="auto"/>
        <w:bottom w:val="none" w:sz="0" w:space="0" w:color="auto"/>
        <w:right w:val="none" w:sz="0" w:space="0" w:color="auto"/>
      </w:divBdr>
    </w:div>
    <w:div w:id="733088225">
      <w:bodyDiv w:val="1"/>
      <w:marLeft w:val="0"/>
      <w:marRight w:val="0"/>
      <w:marTop w:val="0"/>
      <w:marBottom w:val="0"/>
      <w:divBdr>
        <w:top w:val="none" w:sz="0" w:space="0" w:color="auto"/>
        <w:left w:val="none" w:sz="0" w:space="0" w:color="auto"/>
        <w:bottom w:val="none" w:sz="0" w:space="0" w:color="auto"/>
        <w:right w:val="none" w:sz="0" w:space="0" w:color="auto"/>
      </w:divBdr>
    </w:div>
    <w:div w:id="733090459">
      <w:bodyDiv w:val="1"/>
      <w:marLeft w:val="0"/>
      <w:marRight w:val="0"/>
      <w:marTop w:val="0"/>
      <w:marBottom w:val="0"/>
      <w:divBdr>
        <w:top w:val="none" w:sz="0" w:space="0" w:color="auto"/>
        <w:left w:val="none" w:sz="0" w:space="0" w:color="auto"/>
        <w:bottom w:val="none" w:sz="0" w:space="0" w:color="auto"/>
        <w:right w:val="none" w:sz="0" w:space="0" w:color="auto"/>
      </w:divBdr>
    </w:div>
    <w:div w:id="733428442">
      <w:bodyDiv w:val="1"/>
      <w:marLeft w:val="0"/>
      <w:marRight w:val="0"/>
      <w:marTop w:val="0"/>
      <w:marBottom w:val="0"/>
      <w:divBdr>
        <w:top w:val="none" w:sz="0" w:space="0" w:color="auto"/>
        <w:left w:val="none" w:sz="0" w:space="0" w:color="auto"/>
        <w:bottom w:val="none" w:sz="0" w:space="0" w:color="auto"/>
        <w:right w:val="none" w:sz="0" w:space="0" w:color="auto"/>
      </w:divBdr>
    </w:div>
    <w:div w:id="733544838">
      <w:bodyDiv w:val="1"/>
      <w:marLeft w:val="0"/>
      <w:marRight w:val="0"/>
      <w:marTop w:val="0"/>
      <w:marBottom w:val="0"/>
      <w:divBdr>
        <w:top w:val="none" w:sz="0" w:space="0" w:color="auto"/>
        <w:left w:val="none" w:sz="0" w:space="0" w:color="auto"/>
        <w:bottom w:val="none" w:sz="0" w:space="0" w:color="auto"/>
        <w:right w:val="none" w:sz="0" w:space="0" w:color="auto"/>
      </w:divBdr>
    </w:div>
    <w:div w:id="733552280">
      <w:bodyDiv w:val="1"/>
      <w:marLeft w:val="0"/>
      <w:marRight w:val="0"/>
      <w:marTop w:val="0"/>
      <w:marBottom w:val="0"/>
      <w:divBdr>
        <w:top w:val="none" w:sz="0" w:space="0" w:color="auto"/>
        <w:left w:val="none" w:sz="0" w:space="0" w:color="auto"/>
        <w:bottom w:val="none" w:sz="0" w:space="0" w:color="auto"/>
        <w:right w:val="none" w:sz="0" w:space="0" w:color="auto"/>
      </w:divBdr>
    </w:div>
    <w:div w:id="733742382">
      <w:bodyDiv w:val="1"/>
      <w:marLeft w:val="0"/>
      <w:marRight w:val="0"/>
      <w:marTop w:val="0"/>
      <w:marBottom w:val="0"/>
      <w:divBdr>
        <w:top w:val="none" w:sz="0" w:space="0" w:color="auto"/>
        <w:left w:val="none" w:sz="0" w:space="0" w:color="auto"/>
        <w:bottom w:val="none" w:sz="0" w:space="0" w:color="auto"/>
        <w:right w:val="none" w:sz="0" w:space="0" w:color="auto"/>
      </w:divBdr>
    </w:div>
    <w:div w:id="733817640">
      <w:bodyDiv w:val="1"/>
      <w:marLeft w:val="0"/>
      <w:marRight w:val="0"/>
      <w:marTop w:val="0"/>
      <w:marBottom w:val="0"/>
      <w:divBdr>
        <w:top w:val="none" w:sz="0" w:space="0" w:color="auto"/>
        <w:left w:val="none" w:sz="0" w:space="0" w:color="auto"/>
        <w:bottom w:val="none" w:sz="0" w:space="0" w:color="auto"/>
        <w:right w:val="none" w:sz="0" w:space="0" w:color="auto"/>
      </w:divBdr>
    </w:div>
    <w:div w:id="734353195">
      <w:bodyDiv w:val="1"/>
      <w:marLeft w:val="0"/>
      <w:marRight w:val="0"/>
      <w:marTop w:val="0"/>
      <w:marBottom w:val="0"/>
      <w:divBdr>
        <w:top w:val="none" w:sz="0" w:space="0" w:color="auto"/>
        <w:left w:val="none" w:sz="0" w:space="0" w:color="auto"/>
        <w:bottom w:val="none" w:sz="0" w:space="0" w:color="auto"/>
        <w:right w:val="none" w:sz="0" w:space="0" w:color="auto"/>
      </w:divBdr>
    </w:div>
    <w:div w:id="734358432">
      <w:bodyDiv w:val="1"/>
      <w:marLeft w:val="0"/>
      <w:marRight w:val="0"/>
      <w:marTop w:val="0"/>
      <w:marBottom w:val="0"/>
      <w:divBdr>
        <w:top w:val="none" w:sz="0" w:space="0" w:color="auto"/>
        <w:left w:val="none" w:sz="0" w:space="0" w:color="auto"/>
        <w:bottom w:val="none" w:sz="0" w:space="0" w:color="auto"/>
        <w:right w:val="none" w:sz="0" w:space="0" w:color="auto"/>
      </w:divBdr>
    </w:div>
    <w:div w:id="734549536">
      <w:bodyDiv w:val="1"/>
      <w:marLeft w:val="0"/>
      <w:marRight w:val="0"/>
      <w:marTop w:val="0"/>
      <w:marBottom w:val="0"/>
      <w:divBdr>
        <w:top w:val="none" w:sz="0" w:space="0" w:color="auto"/>
        <w:left w:val="none" w:sz="0" w:space="0" w:color="auto"/>
        <w:bottom w:val="none" w:sz="0" w:space="0" w:color="auto"/>
        <w:right w:val="none" w:sz="0" w:space="0" w:color="auto"/>
      </w:divBdr>
    </w:div>
    <w:div w:id="734668914">
      <w:bodyDiv w:val="1"/>
      <w:marLeft w:val="0"/>
      <w:marRight w:val="0"/>
      <w:marTop w:val="0"/>
      <w:marBottom w:val="0"/>
      <w:divBdr>
        <w:top w:val="none" w:sz="0" w:space="0" w:color="auto"/>
        <w:left w:val="none" w:sz="0" w:space="0" w:color="auto"/>
        <w:bottom w:val="none" w:sz="0" w:space="0" w:color="auto"/>
        <w:right w:val="none" w:sz="0" w:space="0" w:color="auto"/>
      </w:divBdr>
    </w:div>
    <w:div w:id="734814752">
      <w:bodyDiv w:val="1"/>
      <w:marLeft w:val="0"/>
      <w:marRight w:val="0"/>
      <w:marTop w:val="0"/>
      <w:marBottom w:val="0"/>
      <w:divBdr>
        <w:top w:val="none" w:sz="0" w:space="0" w:color="auto"/>
        <w:left w:val="none" w:sz="0" w:space="0" w:color="auto"/>
        <w:bottom w:val="none" w:sz="0" w:space="0" w:color="auto"/>
        <w:right w:val="none" w:sz="0" w:space="0" w:color="auto"/>
      </w:divBdr>
    </w:div>
    <w:div w:id="734820250">
      <w:bodyDiv w:val="1"/>
      <w:marLeft w:val="0"/>
      <w:marRight w:val="0"/>
      <w:marTop w:val="0"/>
      <w:marBottom w:val="0"/>
      <w:divBdr>
        <w:top w:val="none" w:sz="0" w:space="0" w:color="auto"/>
        <w:left w:val="none" w:sz="0" w:space="0" w:color="auto"/>
        <w:bottom w:val="none" w:sz="0" w:space="0" w:color="auto"/>
        <w:right w:val="none" w:sz="0" w:space="0" w:color="auto"/>
      </w:divBdr>
    </w:div>
    <w:div w:id="734857688">
      <w:bodyDiv w:val="1"/>
      <w:marLeft w:val="0"/>
      <w:marRight w:val="0"/>
      <w:marTop w:val="0"/>
      <w:marBottom w:val="0"/>
      <w:divBdr>
        <w:top w:val="none" w:sz="0" w:space="0" w:color="auto"/>
        <w:left w:val="none" w:sz="0" w:space="0" w:color="auto"/>
        <w:bottom w:val="none" w:sz="0" w:space="0" w:color="auto"/>
        <w:right w:val="none" w:sz="0" w:space="0" w:color="auto"/>
      </w:divBdr>
    </w:div>
    <w:div w:id="735006603">
      <w:bodyDiv w:val="1"/>
      <w:marLeft w:val="0"/>
      <w:marRight w:val="0"/>
      <w:marTop w:val="0"/>
      <w:marBottom w:val="0"/>
      <w:divBdr>
        <w:top w:val="none" w:sz="0" w:space="0" w:color="auto"/>
        <w:left w:val="none" w:sz="0" w:space="0" w:color="auto"/>
        <w:bottom w:val="none" w:sz="0" w:space="0" w:color="auto"/>
        <w:right w:val="none" w:sz="0" w:space="0" w:color="auto"/>
      </w:divBdr>
    </w:div>
    <w:div w:id="735011479">
      <w:bodyDiv w:val="1"/>
      <w:marLeft w:val="0"/>
      <w:marRight w:val="0"/>
      <w:marTop w:val="0"/>
      <w:marBottom w:val="0"/>
      <w:divBdr>
        <w:top w:val="none" w:sz="0" w:space="0" w:color="auto"/>
        <w:left w:val="none" w:sz="0" w:space="0" w:color="auto"/>
        <w:bottom w:val="none" w:sz="0" w:space="0" w:color="auto"/>
        <w:right w:val="none" w:sz="0" w:space="0" w:color="auto"/>
      </w:divBdr>
    </w:div>
    <w:div w:id="735519568">
      <w:bodyDiv w:val="1"/>
      <w:marLeft w:val="0"/>
      <w:marRight w:val="0"/>
      <w:marTop w:val="0"/>
      <w:marBottom w:val="0"/>
      <w:divBdr>
        <w:top w:val="none" w:sz="0" w:space="0" w:color="auto"/>
        <w:left w:val="none" w:sz="0" w:space="0" w:color="auto"/>
        <w:bottom w:val="none" w:sz="0" w:space="0" w:color="auto"/>
        <w:right w:val="none" w:sz="0" w:space="0" w:color="auto"/>
      </w:divBdr>
    </w:div>
    <w:div w:id="735663151">
      <w:bodyDiv w:val="1"/>
      <w:marLeft w:val="0"/>
      <w:marRight w:val="0"/>
      <w:marTop w:val="0"/>
      <w:marBottom w:val="0"/>
      <w:divBdr>
        <w:top w:val="none" w:sz="0" w:space="0" w:color="auto"/>
        <w:left w:val="none" w:sz="0" w:space="0" w:color="auto"/>
        <w:bottom w:val="none" w:sz="0" w:space="0" w:color="auto"/>
        <w:right w:val="none" w:sz="0" w:space="0" w:color="auto"/>
      </w:divBdr>
    </w:div>
    <w:div w:id="735863236">
      <w:bodyDiv w:val="1"/>
      <w:marLeft w:val="0"/>
      <w:marRight w:val="0"/>
      <w:marTop w:val="0"/>
      <w:marBottom w:val="0"/>
      <w:divBdr>
        <w:top w:val="none" w:sz="0" w:space="0" w:color="auto"/>
        <w:left w:val="none" w:sz="0" w:space="0" w:color="auto"/>
        <w:bottom w:val="none" w:sz="0" w:space="0" w:color="auto"/>
        <w:right w:val="none" w:sz="0" w:space="0" w:color="auto"/>
      </w:divBdr>
    </w:div>
    <w:div w:id="735863244">
      <w:bodyDiv w:val="1"/>
      <w:marLeft w:val="0"/>
      <w:marRight w:val="0"/>
      <w:marTop w:val="0"/>
      <w:marBottom w:val="0"/>
      <w:divBdr>
        <w:top w:val="none" w:sz="0" w:space="0" w:color="auto"/>
        <w:left w:val="none" w:sz="0" w:space="0" w:color="auto"/>
        <w:bottom w:val="none" w:sz="0" w:space="0" w:color="auto"/>
        <w:right w:val="none" w:sz="0" w:space="0" w:color="auto"/>
      </w:divBdr>
    </w:div>
    <w:div w:id="735863588">
      <w:bodyDiv w:val="1"/>
      <w:marLeft w:val="0"/>
      <w:marRight w:val="0"/>
      <w:marTop w:val="0"/>
      <w:marBottom w:val="0"/>
      <w:divBdr>
        <w:top w:val="none" w:sz="0" w:space="0" w:color="auto"/>
        <w:left w:val="none" w:sz="0" w:space="0" w:color="auto"/>
        <w:bottom w:val="none" w:sz="0" w:space="0" w:color="auto"/>
        <w:right w:val="none" w:sz="0" w:space="0" w:color="auto"/>
      </w:divBdr>
    </w:div>
    <w:div w:id="736128205">
      <w:bodyDiv w:val="1"/>
      <w:marLeft w:val="0"/>
      <w:marRight w:val="0"/>
      <w:marTop w:val="0"/>
      <w:marBottom w:val="0"/>
      <w:divBdr>
        <w:top w:val="none" w:sz="0" w:space="0" w:color="auto"/>
        <w:left w:val="none" w:sz="0" w:space="0" w:color="auto"/>
        <w:bottom w:val="none" w:sz="0" w:space="0" w:color="auto"/>
        <w:right w:val="none" w:sz="0" w:space="0" w:color="auto"/>
      </w:divBdr>
    </w:div>
    <w:div w:id="736245627">
      <w:bodyDiv w:val="1"/>
      <w:marLeft w:val="0"/>
      <w:marRight w:val="0"/>
      <w:marTop w:val="0"/>
      <w:marBottom w:val="0"/>
      <w:divBdr>
        <w:top w:val="none" w:sz="0" w:space="0" w:color="auto"/>
        <w:left w:val="none" w:sz="0" w:space="0" w:color="auto"/>
        <w:bottom w:val="none" w:sz="0" w:space="0" w:color="auto"/>
        <w:right w:val="none" w:sz="0" w:space="0" w:color="auto"/>
      </w:divBdr>
    </w:div>
    <w:div w:id="736443340">
      <w:bodyDiv w:val="1"/>
      <w:marLeft w:val="0"/>
      <w:marRight w:val="0"/>
      <w:marTop w:val="0"/>
      <w:marBottom w:val="0"/>
      <w:divBdr>
        <w:top w:val="none" w:sz="0" w:space="0" w:color="auto"/>
        <w:left w:val="none" w:sz="0" w:space="0" w:color="auto"/>
        <w:bottom w:val="none" w:sz="0" w:space="0" w:color="auto"/>
        <w:right w:val="none" w:sz="0" w:space="0" w:color="auto"/>
      </w:divBdr>
    </w:div>
    <w:div w:id="736510329">
      <w:bodyDiv w:val="1"/>
      <w:marLeft w:val="0"/>
      <w:marRight w:val="0"/>
      <w:marTop w:val="0"/>
      <w:marBottom w:val="0"/>
      <w:divBdr>
        <w:top w:val="none" w:sz="0" w:space="0" w:color="auto"/>
        <w:left w:val="none" w:sz="0" w:space="0" w:color="auto"/>
        <w:bottom w:val="none" w:sz="0" w:space="0" w:color="auto"/>
        <w:right w:val="none" w:sz="0" w:space="0" w:color="auto"/>
      </w:divBdr>
    </w:div>
    <w:div w:id="736516068">
      <w:bodyDiv w:val="1"/>
      <w:marLeft w:val="0"/>
      <w:marRight w:val="0"/>
      <w:marTop w:val="0"/>
      <w:marBottom w:val="0"/>
      <w:divBdr>
        <w:top w:val="none" w:sz="0" w:space="0" w:color="auto"/>
        <w:left w:val="none" w:sz="0" w:space="0" w:color="auto"/>
        <w:bottom w:val="none" w:sz="0" w:space="0" w:color="auto"/>
        <w:right w:val="none" w:sz="0" w:space="0" w:color="auto"/>
      </w:divBdr>
    </w:div>
    <w:div w:id="736704319">
      <w:bodyDiv w:val="1"/>
      <w:marLeft w:val="0"/>
      <w:marRight w:val="0"/>
      <w:marTop w:val="0"/>
      <w:marBottom w:val="0"/>
      <w:divBdr>
        <w:top w:val="none" w:sz="0" w:space="0" w:color="auto"/>
        <w:left w:val="none" w:sz="0" w:space="0" w:color="auto"/>
        <w:bottom w:val="none" w:sz="0" w:space="0" w:color="auto"/>
        <w:right w:val="none" w:sz="0" w:space="0" w:color="auto"/>
      </w:divBdr>
    </w:div>
    <w:div w:id="736704869">
      <w:bodyDiv w:val="1"/>
      <w:marLeft w:val="0"/>
      <w:marRight w:val="0"/>
      <w:marTop w:val="0"/>
      <w:marBottom w:val="0"/>
      <w:divBdr>
        <w:top w:val="none" w:sz="0" w:space="0" w:color="auto"/>
        <w:left w:val="none" w:sz="0" w:space="0" w:color="auto"/>
        <w:bottom w:val="none" w:sz="0" w:space="0" w:color="auto"/>
        <w:right w:val="none" w:sz="0" w:space="0" w:color="auto"/>
      </w:divBdr>
    </w:div>
    <w:div w:id="736781426">
      <w:bodyDiv w:val="1"/>
      <w:marLeft w:val="0"/>
      <w:marRight w:val="0"/>
      <w:marTop w:val="0"/>
      <w:marBottom w:val="0"/>
      <w:divBdr>
        <w:top w:val="none" w:sz="0" w:space="0" w:color="auto"/>
        <w:left w:val="none" w:sz="0" w:space="0" w:color="auto"/>
        <w:bottom w:val="none" w:sz="0" w:space="0" w:color="auto"/>
        <w:right w:val="none" w:sz="0" w:space="0" w:color="auto"/>
      </w:divBdr>
    </w:div>
    <w:div w:id="736823059">
      <w:bodyDiv w:val="1"/>
      <w:marLeft w:val="0"/>
      <w:marRight w:val="0"/>
      <w:marTop w:val="0"/>
      <w:marBottom w:val="0"/>
      <w:divBdr>
        <w:top w:val="none" w:sz="0" w:space="0" w:color="auto"/>
        <w:left w:val="none" w:sz="0" w:space="0" w:color="auto"/>
        <w:bottom w:val="none" w:sz="0" w:space="0" w:color="auto"/>
        <w:right w:val="none" w:sz="0" w:space="0" w:color="auto"/>
      </w:divBdr>
    </w:div>
    <w:div w:id="736973759">
      <w:bodyDiv w:val="1"/>
      <w:marLeft w:val="0"/>
      <w:marRight w:val="0"/>
      <w:marTop w:val="0"/>
      <w:marBottom w:val="0"/>
      <w:divBdr>
        <w:top w:val="none" w:sz="0" w:space="0" w:color="auto"/>
        <w:left w:val="none" w:sz="0" w:space="0" w:color="auto"/>
        <w:bottom w:val="none" w:sz="0" w:space="0" w:color="auto"/>
        <w:right w:val="none" w:sz="0" w:space="0" w:color="auto"/>
      </w:divBdr>
    </w:div>
    <w:div w:id="737287735">
      <w:bodyDiv w:val="1"/>
      <w:marLeft w:val="0"/>
      <w:marRight w:val="0"/>
      <w:marTop w:val="0"/>
      <w:marBottom w:val="0"/>
      <w:divBdr>
        <w:top w:val="none" w:sz="0" w:space="0" w:color="auto"/>
        <w:left w:val="none" w:sz="0" w:space="0" w:color="auto"/>
        <w:bottom w:val="none" w:sz="0" w:space="0" w:color="auto"/>
        <w:right w:val="none" w:sz="0" w:space="0" w:color="auto"/>
      </w:divBdr>
    </w:div>
    <w:div w:id="737436864">
      <w:bodyDiv w:val="1"/>
      <w:marLeft w:val="0"/>
      <w:marRight w:val="0"/>
      <w:marTop w:val="0"/>
      <w:marBottom w:val="0"/>
      <w:divBdr>
        <w:top w:val="none" w:sz="0" w:space="0" w:color="auto"/>
        <w:left w:val="none" w:sz="0" w:space="0" w:color="auto"/>
        <w:bottom w:val="none" w:sz="0" w:space="0" w:color="auto"/>
        <w:right w:val="none" w:sz="0" w:space="0" w:color="auto"/>
      </w:divBdr>
    </w:div>
    <w:div w:id="737477404">
      <w:bodyDiv w:val="1"/>
      <w:marLeft w:val="0"/>
      <w:marRight w:val="0"/>
      <w:marTop w:val="0"/>
      <w:marBottom w:val="0"/>
      <w:divBdr>
        <w:top w:val="none" w:sz="0" w:space="0" w:color="auto"/>
        <w:left w:val="none" w:sz="0" w:space="0" w:color="auto"/>
        <w:bottom w:val="none" w:sz="0" w:space="0" w:color="auto"/>
        <w:right w:val="none" w:sz="0" w:space="0" w:color="auto"/>
      </w:divBdr>
    </w:div>
    <w:div w:id="737552290">
      <w:bodyDiv w:val="1"/>
      <w:marLeft w:val="0"/>
      <w:marRight w:val="0"/>
      <w:marTop w:val="0"/>
      <w:marBottom w:val="0"/>
      <w:divBdr>
        <w:top w:val="none" w:sz="0" w:space="0" w:color="auto"/>
        <w:left w:val="none" w:sz="0" w:space="0" w:color="auto"/>
        <w:bottom w:val="none" w:sz="0" w:space="0" w:color="auto"/>
        <w:right w:val="none" w:sz="0" w:space="0" w:color="auto"/>
      </w:divBdr>
    </w:div>
    <w:div w:id="737629647">
      <w:bodyDiv w:val="1"/>
      <w:marLeft w:val="0"/>
      <w:marRight w:val="0"/>
      <w:marTop w:val="0"/>
      <w:marBottom w:val="0"/>
      <w:divBdr>
        <w:top w:val="none" w:sz="0" w:space="0" w:color="auto"/>
        <w:left w:val="none" w:sz="0" w:space="0" w:color="auto"/>
        <w:bottom w:val="none" w:sz="0" w:space="0" w:color="auto"/>
        <w:right w:val="none" w:sz="0" w:space="0" w:color="auto"/>
      </w:divBdr>
    </w:div>
    <w:div w:id="737897994">
      <w:bodyDiv w:val="1"/>
      <w:marLeft w:val="0"/>
      <w:marRight w:val="0"/>
      <w:marTop w:val="0"/>
      <w:marBottom w:val="0"/>
      <w:divBdr>
        <w:top w:val="none" w:sz="0" w:space="0" w:color="auto"/>
        <w:left w:val="none" w:sz="0" w:space="0" w:color="auto"/>
        <w:bottom w:val="none" w:sz="0" w:space="0" w:color="auto"/>
        <w:right w:val="none" w:sz="0" w:space="0" w:color="auto"/>
      </w:divBdr>
    </w:div>
    <w:div w:id="738093864">
      <w:bodyDiv w:val="1"/>
      <w:marLeft w:val="0"/>
      <w:marRight w:val="0"/>
      <w:marTop w:val="0"/>
      <w:marBottom w:val="0"/>
      <w:divBdr>
        <w:top w:val="none" w:sz="0" w:space="0" w:color="auto"/>
        <w:left w:val="none" w:sz="0" w:space="0" w:color="auto"/>
        <w:bottom w:val="none" w:sz="0" w:space="0" w:color="auto"/>
        <w:right w:val="none" w:sz="0" w:space="0" w:color="auto"/>
      </w:divBdr>
    </w:div>
    <w:div w:id="738288211">
      <w:bodyDiv w:val="1"/>
      <w:marLeft w:val="0"/>
      <w:marRight w:val="0"/>
      <w:marTop w:val="0"/>
      <w:marBottom w:val="0"/>
      <w:divBdr>
        <w:top w:val="none" w:sz="0" w:space="0" w:color="auto"/>
        <w:left w:val="none" w:sz="0" w:space="0" w:color="auto"/>
        <w:bottom w:val="none" w:sz="0" w:space="0" w:color="auto"/>
        <w:right w:val="none" w:sz="0" w:space="0" w:color="auto"/>
      </w:divBdr>
    </w:div>
    <w:div w:id="738551087">
      <w:bodyDiv w:val="1"/>
      <w:marLeft w:val="0"/>
      <w:marRight w:val="0"/>
      <w:marTop w:val="0"/>
      <w:marBottom w:val="0"/>
      <w:divBdr>
        <w:top w:val="none" w:sz="0" w:space="0" w:color="auto"/>
        <w:left w:val="none" w:sz="0" w:space="0" w:color="auto"/>
        <w:bottom w:val="none" w:sz="0" w:space="0" w:color="auto"/>
        <w:right w:val="none" w:sz="0" w:space="0" w:color="auto"/>
      </w:divBdr>
    </w:div>
    <w:div w:id="738595961">
      <w:bodyDiv w:val="1"/>
      <w:marLeft w:val="0"/>
      <w:marRight w:val="0"/>
      <w:marTop w:val="0"/>
      <w:marBottom w:val="0"/>
      <w:divBdr>
        <w:top w:val="none" w:sz="0" w:space="0" w:color="auto"/>
        <w:left w:val="none" w:sz="0" w:space="0" w:color="auto"/>
        <w:bottom w:val="none" w:sz="0" w:space="0" w:color="auto"/>
        <w:right w:val="none" w:sz="0" w:space="0" w:color="auto"/>
      </w:divBdr>
    </w:div>
    <w:div w:id="738596074">
      <w:bodyDiv w:val="1"/>
      <w:marLeft w:val="0"/>
      <w:marRight w:val="0"/>
      <w:marTop w:val="0"/>
      <w:marBottom w:val="0"/>
      <w:divBdr>
        <w:top w:val="none" w:sz="0" w:space="0" w:color="auto"/>
        <w:left w:val="none" w:sz="0" w:space="0" w:color="auto"/>
        <w:bottom w:val="none" w:sz="0" w:space="0" w:color="auto"/>
        <w:right w:val="none" w:sz="0" w:space="0" w:color="auto"/>
      </w:divBdr>
    </w:div>
    <w:div w:id="738671720">
      <w:bodyDiv w:val="1"/>
      <w:marLeft w:val="0"/>
      <w:marRight w:val="0"/>
      <w:marTop w:val="0"/>
      <w:marBottom w:val="0"/>
      <w:divBdr>
        <w:top w:val="none" w:sz="0" w:space="0" w:color="auto"/>
        <w:left w:val="none" w:sz="0" w:space="0" w:color="auto"/>
        <w:bottom w:val="none" w:sz="0" w:space="0" w:color="auto"/>
        <w:right w:val="none" w:sz="0" w:space="0" w:color="auto"/>
      </w:divBdr>
    </w:div>
    <w:div w:id="738790463">
      <w:bodyDiv w:val="1"/>
      <w:marLeft w:val="0"/>
      <w:marRight w:val="0"/>
      <w:marTop w:val="0"/>
      <w:marBottom w:val="0"/>
      <w:divBdr>
        <w:top w:val="none" w:sz="0" w:space="0" w:color="auto"/>
        <w:left w:val="none" w:sz="0" w:space="0" w:color="auto"/>
        <w:bottom w:val="none" w:sz="0" w:space="0" w:color="auto"/>
        <w:right w:val="none" w:sz="0" w:space="0" w:color="auto"/>
      </w:divBdr>
    </w:div>
    <w:div w:id="739134777">
      <w:bodyDiv w:val="1"/>
      <w:marLeft w:val="0"/>
      <w:marRight w:val="0"/>
      <w:marTop w:val="0"/>
      <w:marBottom w:val="0"/>
      <w:divBdr>
        <w:top w:val="none" w:sz="0" w:space="0" w:color="auto"/>
        <w:left w:val="none" w:sz="0" w:space="0" w:color="auto"/>
        <w:bottom w:val="none" w:sz="0" w:space="0" w:color="auto"/>
        <w:right w:val="none" w:sz="0" w:space="0" w:color="auto"/>
      </w:divBdr>
    </w:div>
    <w:div w:id="739209373">
      <w:bodyDiv w:val="1"/>
      <w:marLeft w:val="0"/>
      <w:marRight w:val="0"/>
      <w:marTop w:val="0"/>
      <w:marBottom w:val="0"/>
      <w:divBdr>
        <w:top w:val="none" w:sz="0" w:space="0" w:color="auto"/>
        <w:left w:val="none" w:sz="0" w:space="0" w:color="auto"/>
        <w:bottom w:val="none" w:sz="0" w:space="0" w:color="auto"/>
        <w:right w:val="none" w:sz="0" w:space="0" w:color="auto"/>
      </w:divBdr>
    </w:div>
    <w:div w:id="739324809">
      <w:bodyDiv w:val="1"/>
      <w:marLeft w:val="0"/>
      <w:marRight w:val="0"/>
      <w:marTop w:val="0"/>
      <w:marBottom w:val="0"/>
      <w:divBdr>
        <w:top w:val="none" w:sz="0" w:space="0" w:color="auto"/>
        <w:left w:val="none" w:sz="0" w:space="0" w:color="auto"/>
        <w:bottom w:val="none" w:sz="0" w:space="0" w:color="auto"/>
        <w:right w:val="none" w:sz="0" w:space="0" w:color="auto"/>
      </w:divBdr>
    </w:div>
    <w:div w:id="739333620">
      <w:bodyDiv w:val="1"/>
      <w:marLeft w:val="0"/>
      <w:marRight w:val="0"/>
      <w:marTop w:val="0"/>
      <w:marBottom w:val="0"/>
      <w:divBdr>
        <w:top w:val="none" w:sz="0" w:space="0" w:color="auto"/>
        <w:left w:val="none" w:sz="0" w:space="0" w:color="auto"/>
        <w:bottom w:val="none" w:sz="0" w:space="0" w:color="auto"/>
        <w:right w:val="none" w:sz="0" w:space="0" w:color="auto"/>
      </w:divBdr>
    </w:div>
    <w:div w:id="739669011">
      <w:bodyDiv w:val="1"/>
      <w:marLeft w:val="0"/>
      <w:marRight w:val="0"/>
      <w:marTop w:val="0"/>
      <w:marBottom w:val="0"/>
      <w:divBdr>
        <w:top w:val="none" w:sz="0" w:space="0" w:color="auto"/>
        <w:left w:val="none" w:sz="0" w:space="0" w:color="auto"/>
        <w:bottom w:val="none" w:sz="0" w:space="0" w:color="auto"/>
        <w:right w:val="none" w:sz="0" w:space="0" w:color="auto"/>
      </w:divBdr>
    </w:div>
    <w:div w:id="739711310">
      <w:bodyDiv w:val="1"/>
      <w:marLeft w:val="0"/>
      <w:marRight w:val="0"/>
      <w:marTop w:val="0"/>
      <w:marBottom w:val="0"/>
      <w:divBdr>
        <w:top w:val="none" w:sz="0" w:space="0" w:color="auto"/>
        <w:left w:val="none" w:sz="0" w:space="0" w:color="auto"/>
        <w:bottom w:val="none" w:sz="0" w:space="0" w:color="auto"/>
        <w:right w:val="none" w:sz="0" w:space="0" w:color="auto"/>
      </w:divBdr>
    </w:div>
    <w:div w:id="739792392">
      <w:bodyDiv w:val="1"/>
      <w:marLeft w:val="0"/>
      <w:marRight w:val="0"/>
      <w:marTop w:val="0"/>
      <w:marBottom w:val="0"/>
      <w:divBdr>
        <w:top w:val="none" w:sz="0" w:space="0" w:color="auto"/>
        <w:left w:val="none" w:sz="0" w:space="0" w:color="auto"/>
        <w:bottom w:val="none" w:sz="0" w:space="0" w:color="auto"/>
        <w:right w:val="none" w:sz="0" w:space="0" w:color="auto"/>
      </w:divBdr>
    </w:div>
    <w:div w:id="739794790">
      <w:bodyDiv w:val="1"/>
      <w:marLeft w:val="0"/>
      <w:marRight w:val="0"/>
      <w:marTop w:val="0"/>
      <w:marBottom w:val="0"/>
      <w:divBdr>
        <w:top w:val="none" w:sz="0" w:space="0" w:color="auto"/>
        <w:left w:val="none" w:sz="0" w:space="0" w:color="auto"/>
        <w:bottom w:val="none" w:sz="0" w:space="0" w:color="auto"/>
        <w:right w:val="none" w:sz="0" w:space="0" w:color="auto"/>
      </w:divBdr>
    </w:div>
    <w:div w:id="739909942">
      <w:bodyDiv w:val="1"/>
      <w:marLeft w:val="0"/>
      <w:marRight w:val="0"/>
      <w:marTop w:val="0"/>
      <w:marBottom w:val="0"/>
      <w:divBdr>
        <w:top w:val="none" w:sz="0" w:space="0" w:color="auto"/>
        <w:left w:val="none" w:sz="0" w:space="0" w:color="auto"/>
        <w:bottom w:val="none" w:sz="0" w:space="0" w:color="auto"/>
        <w:right w:val="none" w:sz="0" w:space="0" w:color="auto"/>
      </w:divBdr>
    </w:div>
    <w:div w:id="740297538">
      <w:bodyDiv w:val="1"/>
      <w:marLeft w:val="0"/>
      <w:marRight w:val="0"/>
      <w:marTop w:val="0"/>
      <w:marBottom w:val="0"/>
      <w:divBdr>
        <w:top w:val="none" w:sz="0" w:space="0" w:color="auto"/>
        <w:left w:val="none" w:sz="0" w:space="0" w:color="auto"/>
        <w:bottom w:val="none" w:sz="0" w:space="0" w:color="auto"/>
        <w:right w:val="none" w:sz="0" w:space="0" w:color="auto"/>
      </w:divBdr>
    </w:div>
    <w:div w:id="741414180">
      <w:bodyDiv w:val="1"/>
      <w:marLeft w:val="0"/>
      <w:marRight w:val="0"/>
      <w:marTop w:val="0"/>
      <w:marBottom w:val="0"/>
      <w:divBdr>
        <w:top w:val="none" w:sz="0" w:space="0" w:color="auto"/>
        <w:left w:val="none" w:sz="0" w:space="0" w:color="auto"/>
        <w:bottom w:val="none" w:sz="0" w:space="0" w:color="auto"/>
        <w:right w:val="none" w:sz="0" w:space="0" w:color="auto"/>
      </w:divBdr>
    </w:div>
    <w:div w:id="741566253">
      <w:bodyDiv w:val="1"/>
      <w:marLeft w:val="0"/>
      <w:marRight w:val="0"/>
      <w:marTop w:val="0"/>
      <w:marBottom w:val="0"/>
      <w:divBdr>
        <w:top w:val="none" w:sz="0" w:space="0" w:color="auto"/>
        <w:left w:val="none" w:sz="0" w:space="0" w:color="auto"/>
        <w:bottom w:val="none" w:sz="0" w:space="0" w:color="auto"/>
        <w:right w:val="none" w:sz="0" w:space="0" w:color="auto"/>
      </w:divBdr>
    </w:div>
    <w:div w:id="741681536">
      <w:bodyDiv w:val="1"/>
      <w:marLeft w:val="0"/>
      <w:marRight w:val="0"/>
      <w:marTop w:val="0"/>
      <w:marBottom w:val="0"/>
      <w:divBdr>
        <w:top w:val="none" w:sz="0" w:space="0" w:color="auto"/>
        <w:left w:val="none" w:sz="0" w:space="0" w:color="auto"/>
        <w:bottom w:val="none" w:sz="0" w:space="0" w:color="auto"/>
        <w:right w:val="none" w:sz="0" w:space="0" w:color="auto"/>
      </w:divBdr>
    </w:div>
    <w:div w:id="741954515">
      <w:bodyDiv w:val="1"/>
      <w:marLeft w:val="0"/>
      <w:marRight w:val="0"/>
      <w:marTop w:val="0"/>
      <w:marBottom w:val="0"/>
      <w:divBdr>
        <w:top w:val="none" w:sz="0" w:space="0" w:color="auto"/>
        <w:left w:val="none" w:sz="0" w:space="0" w:color="auto"/>
        <w:bottom w:val="none" w:sz="0" w:space="0" w:color="auto"/>
        <w:right w:val="none" w:sz="0" w:space="0" w:color="auto"/>
      </w:divBdr>
    </w:div>
    <w:div w:id="742139663">
      <w:bodyDiv w:val="1"/>
      <w:marLeft w:val="0"/>
      <w:marRight w:val="0"/>
      <w:marTop w:val="0"/>
      <w:marBottom w:val="0"/>
      <w:divBdr>
        <w:top w:val="none" w:sz="0" w:space="0" w:color="auto"/>
        <w:left w:val="none" w:sz="0" w:space="0" w:color="auto"/>
        <w:bottom w:val="none" w:sz="0" w:space="0" w:color="auto"/>
        <w:right w:val="none" w:sz="0" w:space="0" w:color="auto"/>
      </w:divBdr>
    </w:div>
    <w:div w:id="742143722">
      <w:bodyDiv w:val="1"/>
      <w:marLeft w:val="0"/>
      <w:marRight w:val="0"/>
      <w:marTop w:val="0"/>
      <w:marBottom w:val="0"/>
      <w:divBdr>
        <w:top w:val="none" w:sz="0" w:space="0" w:color="auto"/>
        <w:left w:val="none" w:sz="0" w:space="0" w:color="auto"/>
        <w:bottom w:val="none" w:sz="0" w:space="0" w:color="auto"/>
        <w:right w:val="none" w:sz="0" w:space="0" w:color="auto"/>
      </w:divBdr>
    </w:div>
    <w:div w:id="742528983">
      <w:bodyDiv w:val="1"/>
      <w:marLeft w:val="0"/>
      <w:marRight w:val="0"/>
      <w:marTop w:val="0"/>
      <w:marBottom w:val="0"/>
      <w:divBdr>
        <w:top w:val="none" w:sz="0" w:space="0" w:color="auto"/>
        <w:left w:val="none" w:sz="0" w:space="0" w:color="auto"/>
        <w:bottom w:val="none" w:sz="0" w:space="0" w:color="auto"/>
        <w:right w:val="none" w:sz="0" w:space="0" w:color="auto"/>
      </w:divBdr>
    </w:div>
    <w:div w:id="743184035">
      <w:bodyDiv w:val="1"/>
      <w:marLeft w:val="0"/>
      <w:marRight w:val="0"/>
      <w:marTop w:val="0"/>
      <w:marBottom w:val="0"/>
      <w:divBdr>
        <w:top w:val="none" w:sz="0" w:space="0" w:color="auto"/>
        <w:left w:val="none" w:sz="0" w:space="0" w:color="auto"/>
        <w:bottom w:val="none" w:sz="0" w:space="0" w:color="auto"/>
        <w:right w:val="none" w:sz="0" w:space="0" w:color="auto"/>
      </w:divBdr>
    </w:div>
    <w:div w:id="743185548">
      <w:bodyDiv w:val="1"/>
      <w:marLeft w:val="0"/>
      <w:marRight w:val="0"/>
      <w:marTop w:val="0"/>
      <w:marBottom w:val="0"/>
      <w:divBdr>
        <w:top w:val="none" w:sz="0" w:space="0" w:color="auto"/>
        <w:left w:val="none" w:sz="0" w:space="0" w:color="auto"/>
        <w:bottom w:val="none" w:sz="0" w:space="0" w:color="auto"/>
        <w:right w:val="none" w:sz="0" w:space="0" w:color="auto"/>
      </w:divBdr>
    </w:div>
    <w:div w:id="743188781">
      <w:bodyDiv w:val="1"/>
      <w:marLeft w:val="0"/>
      <w:marRight w:val="0"/>
      <w:marTop w:val="0"/>
      <w:marBottom w:val="0"/>
      <w:divBdr>
        <w:top w:val="none" w:sz="0" w:space="0" w:color="auto"/>
        <w:left w:val="none" w:sz="0" w:space="0" w:color="auto"/>
        <w:bottom w:val="none" w:sz="0" w:space="0" w:color="auto"/>
        <w:right w:val="none" w:sz="0" w:space="0" w:color="auto"/>
      </w:divBdr>
    </w:div>
    <w:div w:id="743380228">
      <w:bodyDiv w:val="1"/>
      <w:marLeft w:val="0"/>
      <w:marRight w:val="0"/>
      <w:marTop w:val="0"/>
      <w:marBottom w:val="0"/>
      <w:divBdr>
        <w:top w:val="none" w:sz="0" w:space="0" w:color="auto"/>
        <w:left w:val="none" w:sz="0" w:space="0" w:color="auto"/>
        <w:bottom w:val="none" w:sz="0" w:space="0" w:color="auto"/>
        <w:right w:val="none" w:sz="0" w:space="0" w:color="auto"/>
      </w:divBdr>
    </w:div>
    <w:div w:id="743457536">
      <w:bodyDiv w:val="1"/>
      <w:marLeft w:val="0"/>
      <w:marRight w:val="0"/>
      <w:marTop w:val="0"/>
      <w:marBottom w:val="0"/>
      <w:divBdr>
        <w:top w:val="none" w:sz="0" w:space="0" w:color="auto"/>
        <w:left w:val="none" w:sz="0" w:space="0" w:color="auto"/>
        <w:bottom w:val="none" w:sz="0" w:space="0" w:color="auto"/>
        <w:right w:val="none" w:sz="0" w:space="0" w:color="auto"/>
      </w:divBdr>
    </w:div>
    <w:div w:id="743722444">
      <w:bodyDiv w:val="1"/>
      <w:marLeft w:val="0"/>
      <w:marRight w:val="0"/>
      <w:marTop w:val="0"/>
      <w:marBottom w:val="0"/>
      <w:divBdr>
        <w:top w:val="none" w:sz="0" w:space="0" w:color="auto"/>
        <w:left w:val="none" w:sz="0" w:space="0" w:color="auto"/>
        <w:bottom w:val="none" w:sz="0" w:space="0" w:color="auto"/>
        <w:right w:val="none" w:sz="0" w:space="0" w:color="auto"/>
      </w:divBdr>
    </w:div>
    <w:div w:id="743840807">
      <w:bodyDiv w:val="1"/>
      <w:marLeft w:val="0"/>
      <w:marRight w:val="0"/>
      <w:marTop w:val="0"/>
      <w:marBottom w:val="0"/>
      <w:divBdr>
        <w:top w:val="none" w:sz="0" w:space="0" w:color="auto"/>
        <w:left w:val="none" w:sz="0" w:space="0" w:color="auto"/>
        <w:bottom w:val="none" w:sz="0" w:space="0" w:color="auto"/>
        <w:right w:val="none" w:sz="0" w:space="0" w:color="auto"/>
      </w:divBdr>
    </w:div>
    <w:div w:id="743844722">
      <w:bodyDiv w:val="1"/>
      <w:marLeft w:val="0"/>
      <w:marRight w:val="0"/>
      <w:marTop w:val="0"/>
      <w:marBottom w:val="0"/>
      <w:divBdr>
        <w:top w:val="none" w:sz="0" w:space="0" w:color="auto"/>
        <w:left w:val="none" w:sz="0" w:space="0" w:color="auto"/>
        <w:bottom w:val="none" w:sz="0" w:space="0" w:color="auto"/>
        <w:right w:val="none" w:sz="0" w:space="0" w:color="auto"/>
      </w:divBdr>
    </w:div>
    <w:div w:id="743987802">
      <w:bodyDiv w:val="1"/>
      <w:marLeft w:val="0"/>
      <w:marRight w:val="0"/>
      <w:marTop w:val="0"/>
      <w:marBottom w:val="0"/>
      <w:divBdr>
        <w:top w:val="none" w:sz="0" w:space="0" w:color="auto"/>
        <w:left w:val="none" w:sz="0" w:space="0" w:color="auto"/>
        <w:bottom w:val="none" w:sz="0" w:space="0" w:color="auto"/>
        <w:right w:val="none" w:sz="0" w:space="0" w:color="auto"/>
      </w:divBdr>
    </w:div>
    <w:div w:id="744104585">
      <w:bodyDiv w:val="1"/>
      <w:marLeft w:val="0"/>
      <w:marRight w:val="0"/>
      <w:marTop w:val="0"/>
      <w:marBottom w:val="0"/>
      <w:divBdr>
        <w:top w:val="none" w:sz="0" w:space="0" w:color="auto"/>
        <w:left w:val="none" w:sz="0" w:space="0" w:color="auto"/>
        <w:bottom w:val="none" w:sz="0" w:space="0" w:color="auto"/>
        <w:right w:val="none" w:sz="0" w:space="0" w:color="auto"/>
      </w:divBdr>
    </w:div>
    <w:div w:id="744112526">
      <w:bodyDiv w:val="1"/>
      <w:marLeft w:val="0"/>
      <w:marRight w:val="0"/>
      <w:marTop w:val="0"/>
      <w:marBottom w:val="0"/>
      <w:divBdr>
        <w:top w:val="none" w:sz="0" w:space="0" w:color="auto"/>
        <w:left w:val="none" w:sz="0" w:space="0" w:color="auto"/>
        <w:bottom w:val="none" w:sz="0" w:space="0" w:color="auto"/>
        <w:right w:val="none" w:sz="0" w:space="0" w:color="auto"/>
      </w:divBdr>
    </w:div>
    <w:div w:id="744373396">
      <w:bodyDiv w:val="1"/>
      <w:marLeft w:val="0"/>
      <w:marRight w:val="0"/>
      <w:marTop w:val="0"/>
      <w:marBottom w:val="0"/>
      <w:divBdr>
        <w:top w:val="none" w:sz="0" w:space="0" w:color="auto"/>
        <w:left w:val="none" w:sz="0" w:space="0" w:color="auto"/>
        <w:bottom w:val="none" w:sz="0" w:space="0" w:color="auto"/>
        <w:right w:val="none" w:sz="0" w:space="0" w:color="auto"/>
      </w:divBdr>
    </w:div>
    <w:div w:id="744373682">
      <w:bodyDiv w:val="1"/>
      <w:marLeft w:val="0"/>
      <w:marRight w:val="0"/>
      <w:marTop w:val="0"/>
      <w:marBottom w:val="0"/>
      <w:divBdr>
        <w:top w:val="none" w:sz="0" w:space="0" w:color="auto"/>
        <w:left w:val="none" w:sz="0" w:space="0" w:color="auto"/>
        <w:bottom w:val="none" w:sz="0" w:space="0" w:color="auto"/>
        <w:right w:val="none" w:sz="0" w:space="0" w:color="auto"/>
      </w:divBdr>
    </w:div>
    <w:div w:id="744450781">
      <w:bodyDiv w:val="1"/>
      <w:marLeft w:val="0"/>
      <w:marRight w:val="0"/>
      <w:marTop w:val="0"/>
      <w:marBottom w:val="0"/>
      <w:divBdr>
        <w:top w:val="none" w:sz="0" w:space="0" w:color="auto"/>
        <w:left w:val="none" w:sz="0" w:space="0" w:color="auto"/>
        <w:bottom w:val="none" w:sz="0" w:space="0" w:color="auto"/>
        <w:right w:val="none" w:sz="0" w:space="0" w:color="auto"/>
      </w:divBdr>
    </w:div>
    <w:div w:id="744455061">
      <w:bodyDiv w:val="1"/>
      <w:marLeft w:val="0"/>
      <w:marRight w:val="0"/>
      <w:marTop w:val="0"/>
      <w:marBottom w:val="0"/>
      <w:divBdr>
        <w:top w:val="none" w:sz="0" w:space="0" w:color="auto"/>
        <w:left w:val="none" w:sz="0" w:space="0" w:color="auto"/>
        <w:bottom w:val="none" w:sz="0" w:space="0" w:color="auto"/>
        <w:right w:val="none" w:sz="0" w:space="0" w:color="auto"/>
      </w:divBdr>
    </w:div>
    <w:div w:id="744494220">
      <w:bodyDiv w:val="1"/>
      <w:marLeft w:val="0"/>
      <w:marRight w:val="0"/>
      <w:marTop w:val="0"/>
      <w:marBottom w:val="0"/>
      <w:divBdr>
        <w:top w:val="none" w:sz="0" w:space="0" w:color="auto"/>
        <w:left w:val="none" w:sz="0" w:space="0" w:color="auto"/>
        <w:bottom w:val="none" w:sz="0" w:space="0" w:color="auto"/>
        <w:right w:val="none" w:sz="0" w:space="0" w:color="auto"/>
      </w:divBdr>
    </w:div>
    <w:div w:id="744886192">
      <w:bodyDiv w:val="1"/>
      <w:marLeft w:val="0"/>
      <w:marRight w:val="0"/>
      <w:marTop w:val="0"/>
      <w:marBottom w:val="0"/>
      <w:divBdr>
        <w:top w:val="none" w:sz="0" w:space="0" w:color="auto"/>
        <w:left w:val="none" w:sz="0" w:space="0" w:color="auto"/>
        <w:bottom w:val="none" w:sz="0" w:space="0" w:color="auto"/>
        <w:right w:val="none" w:sz="0" w:space="0" w:color="auto"/>
      </w:divBdr>
    </w:div>
    <w:div w:id="744959381">
      <w:bodyDiv w:val="1"/>
      <w:marLeft w:val="0"/>
      <w:marRight w:val="0"/>
      <w:marTop w:val="0"/>
      <w:marBottom w:val="0"/>
      <w:divBdr>
        <w:top w:val="none" w:sz="0" w:space="0" w:color="auto"/>
        <w:left w:val="none" w:sz="0" w:space="0" w:color="auto"/>
        <w:bottom w:val="none" w:sz="0" w:space="0" w:color="auto"/>
        <w:right w:val="none" w:sz="0" w:space="0" w:color="auto"/>
      </w:divBdr>
    </w:div>
    <w:div w:id="745028389">
      <w:bodyDiv w:val="1"/>
      <w:marLeft w:val="0"/>
      <w:marRight w:val="0"/>
      <w:marTop w:val="0"/>
      <w:marBottom w:val="0"/>
      <w:divBdr>
        <w:top w:val="none" w:sz="0" w:space="0" w:color="auto"/>
        <w:left w:val="none" w:sz="0" w:space="0" w:color="auto"/>
        <w:bottom w:val="none" w:sz="0" w:space="0" w:color="auto"/>
        <w:right w:val="none" w:sz="0" w:space="0" w:color="auto"/>
      </w:divBdr>
    </w:div>
    <w:div w:id="745029386">
      <w:bodyDiv w:val="1"/>
      <w:marLeft w:val="0"/>
      <w:marRight w:val="0"/>
      <w:marTop w:val="0"/>
      <w:marBottom w:val="0"/>
      <w:divBdr>
        <w:top w:val="none" w:sz="0" w:space="0" w:color="auto"/>
        <w:left w:val="none" w:sz="0" w:space="0" w:color="auto"/>
        <w:bottom w:val="none" w:sz="0" w:space="0" w:color="auto"/>
        <w:right w:val="none" w:sz="0" w:space="0" w:color="auto"/>
      </w:divBdr>
    </w:div>
    <w:div w:id="745106781">
      <w:bodyDiv w:val="1"/>
      <w:marLeft w:val="0"/>
      <w:marRight w:val="0"/>
      <w:marTop w:val="0"/>
      <w:marBottom w:val="0"/>
      <w:divBdr>
        <w:top w:val="none" w:sz="0" w:space="0" w:color="auto"/>
        <w:left w:val="none" w:sz="0" w:space="0" w:color="auto"/>
        <w:bottom w:val="none" w:sz="0" w:space="0" w:color="auto"/>
        <w:right w:val="none" w:sz="0" w:space="0" w:color="auto"/>
      </w:divBdr>
    </w:div>
    <w:div w:id="745152588">
      <w:bodyDiv w:val="1"/>
      <w:marLeft w:val="0"/>
      <w:marRight w:val="0"/>
      <w:marTop w:val="0"/>
      <w:marBottom w:val="0"/>
      <w:divBdr>
        <w:top w:val="none" w:sz="0" w:space="0" w:color="auto"/>
        <w:left w:val="none" w:sz="0" w:space="0" w:color="auto"/>
        <w:bottom w:val="none" w:sz="0" w:space="0" w:color="auto"/>
        <w:right w:val="none" w:sz="0" w:space="0" w:color="auto"/>
      </w:divBdr>
    </w:div>
    <w:div w:id="746804459">
      <w:bodyDiv w:val="1"/>
      <w:marLeft w:val="0"/>
      <w:marRight w:val="0"/>
      <w:marTop w:val="0"/>
      <w:marBottom w:val="0"/>
      <w:divBdr>
        <w:top w:val="none" w:sz="0" w:space="0" w:color="auto"/>
        <w:left w:val="none" w:sz="0" w:space="0" w:color="auto"/>
        <w:bottom w:val="none" w:sz="0" w:space="0" w:color="auto"/>
        <w:right w:val="none" w:sz="0" w:space="0" w:color="auto"/>
      </w:divBdr>
    </w:div>
    <w:div w:id="747075870">
      <w:bodyDiv w:val="1"/>
      <w:marLeft w:val="0"/>
      <w:marRight w:val="0"/>
      <w:marTop w:val="0"/>
      <w:marBottom w:val="0"/>
      <w:divBdr>
        <w:top w:val="none" w:sz="0" w:space="0" w:color="auto"/>
        <w:left w:val="none" w:sz="0" w:space="0" w:color="auto"/>
        <w:bottom w:val="none" w:sz="0" w:space="0" w:color="auto"/>
        <w:right w:val="none" w:sz="0" w:space="0" w:color="auto"/>
      </w:divBdr>
    </w:div>
    <w:div w:id="747337972">
      <w:bodyDiv w:val="1"/>
      <w:marLeft w:val="0"/>
      <w:marRight w:val="0"/>
      <w:marTop w:val="0"/>
      <w:marBottom w:val="0"/>
      <w:divBdr>
        <w:top w:val="none" w:sz="0" w:space="0" w:color="auto"/>
        <w:left w:val="none" w:sz="0" w:space="0" w:color="auto"/>
        <w:bottom w:val="none" w:sz="0" w:space="0" w:color="auto"/>
        <w:right w:val="none" w:sz="0" w:space="0" w:color="auto"/>
      </w:divBdr>
    </w:div>
    <w:div w:id="747385930">
      <w:bodyDiv w:val="1"/>
      <w:marLeft w:val="0"/>
      <w:marRight w:val="0"/>
      <w:marTop w:val="0"/>
      <w:marBottom w:val="0"/>
      <w:divBdr>
        <w:top w:val="none" w:sz="0" w:space="0" w:color="auto"/>
        <w:left w:val="none" w:sz="0" w:space="0" w:color="auto"/>
        <w:bottom w:val="none" w:sz="0" w:space="0" w:color="auto"/>
        <w:right w:val="none" w:sz="0" w:space="0" w:color="auto"/>
      </w:divBdr>
    </w:div>
    <w:div w:id="747388610">
      <w:bodyDiv w:val="1"/>
      <w:marLeft w:val="0"/>
      <w:marRight w:val="0"/>
      <w:marTop w:val="0"/>
      <w:marBottom w:val="0"/>
      <w:divBdr>
        <w:top w:val="none" w:sz="0" w:space="0" w:color="auto"/>
        <w:left w:val="none" w:sz="0" w:space="0" w:color="auto"/>
        <w:bottom w:val="none" w:sz="0" w:space="0" w:color="auto"/>
        <w:right w:val="none" w:sz="0" w:space="0" w:color="auto"/>
      </w:divBdr>
    </w:div>
    <w:div w:id="747460618">
      <w:bodyDiv w:val="1"/>
      <w:marLeft w:val="0"/>
      <w:marRight w:val="0"/>
      <w:marTop w:val="0"/>
      <w:marBottom w:val="0"/>
      <w:divBdr>
        <w:top w:val="none" w:sz="0" w:space="0" w:color="auto"/>
        <w:left w:val="none" w:sz="0" w:space="0" w:color="auto"/>
        <w:bottom w:val="none" w:sz="0" w:space="0" w:color="auto"/>
        <w:right w:val="none" w:sz="0" w:space="0" w:color="auto"/>
      </w:divBdr>
    </w:div>
    <w:div w:id="747507300">
      <w:bodyDiv w:val="1"/>
      <w:marLeft w:val="0"/>
      <w:marRight w:val="0"/>
      <w:marTop w:val="0"/>
      <w:marBottom w:val="0"/>
      <w:divBdr>
        <w:top w:val="none" w:sz="0" w:space="0" w:color="auto"/>
        <w:left w:val="none" w:sz="0" w:space="0" w:color="auto"/>
        <w:bottom w:val="none" w:sz="0" w:space="0" w:color="auto"/>
        <w:right w:val="none" w:sz="0" w:space="0" w:color="auto"/>
      </w:divBdr>
    </w:div>
    <w:div w:id="747578944">
      <w:bodyDiv w:val="1"/>
      <w:marLeft w:val="0"/>
      <w:marRight w:val="0"/>
      <w:marTop w:val="0"/>
      <w:marBottom w:val="0"/>
      <w:divBdr>
        <w:top w:val="none" w:sz="0" w:space="0" w:color="auto"/>
        <w:left w:val="none" w:sz="0" w:space="0" w:color="auto"/>
        <w:bottom w:val="none" w:sz="0" w:space="0" w:color="auto"/>
        <w:right w:val="none" w:sz="0" w:space="0" w:color="auto"/>
      </w:divBdr>
    </w:div>
    <w:div w:id="747649580">
      <w:bodyDiv w:val="1"/>
      <w:marLeft w:val="0"/>
      <w:marRight w:val="0"/>
      <w:marTop w:val="0"/>
      <w:marBottom w:val="0"/>
      <w:divBdr>
        <w:top w:val="none" w:sz="0" w:space="0" w:color="auto"/>
        <w:left w:val="none" w:sz="0" w:space="0" w:color="auto"/>
        <w:bottom w:val="none" w:sz="0" w:space="0" w:color="auto"/>
        <w:right w:val="none" w:sz="0" w:space="0" w:color="auto"/>
      </w:divBdr>
    </w:div>
    <w:div w:id="747775240">
      <w:bodyDiv w:val="1"/>
      <w:marLeft w:val="0"/>
      <w:marRight w:val="0"/>
      <w:marTop w:val="0"/>
      <w:marBottom w:val="0"/>
      <w:divBdr>
        <w:top w:val="none" w:sz="0" w:space="0" w:color="auto"/>
        <w:left w:val="none" w:sz="0" w:space="0" w:color="auto"/>
        <w:bottom w:val="none" w:sz="0" w:space="0" w:color="auto"/>
        <w:right w:val="none" w:sz="0" w:space="0" w:color="auto"/>
      </w:divBdr>
    </w:div>
    <w:div w:id="747923601">
      <w:bodyDiv w:val="1"/>
      <w:marLeft w:val="0"/>
      <w:marRight w:val="0"/>
      <w:marTop w:val="0"/>
      <w:marBottom w:val="0"/>
      <w:divBdr>
        <w:top w:val="none" w:sz="0" w:space="0" w:color="auto"/>
        <w:left w:val="none" w:sz="0" w:space="0" w:color="auto"/>
        <w:bottom w:val="none" w:sz="0" w:space="0" w:color="auto"/>
        <w:right w:val="none" w:sz="0" w:space="0" w:color="auto"/>
      </w:divBdr>
    </w:div>
    <w:div w:id="748620857">
      <w:bodyDiv w:val="1"/>
      <w:marLeft w:val="0"/>
      <w:marRight w:val="0"/>
      <w:marTop w:val="0"/>
      <w:marBottom w:val="0"/>
      <w:divBdr>
        <w:top w:val="none" w:sz="0" w:space="0" w:color="auto"/>
        <w:left w:val="none" w:sz="0" w:space="0" w:color="auto"/>
        <w:bottom w:val="none" w:sz="0" w:space="0" w:color="auto"/>
        <w:right w:val="none" w:sz="0" w:space="0" w:color="auto"/>
      </w:divBdr>
    </w:div>
    <w:div w:id="750152633">
      <w:bodyDiv w:val="1"/>
      <w:marLeft w:val="0"/>
      <w:marRight w:val="0"/>
      <w:marTop w:val="0"/>
      <w:marBottom w:val="0"/>
      <w:divBdr>
        <w:top w:val="none" w:sz="0" w:space="0" w:color="auto"/>
        <w:left w:val="none" w:sz="0" w:space="0" w:color="auto"/>
        <w:bottom w:val="none" w:sz="0" w:space="0" w:color="auto"/>
        <w:right w:val="none" w:sz="0" w:space="0" w:color="auto"/>
      </w:divBdr>
    </w:div>
    <w:div w:id="750735819">
      <w:bodyDiv w:val="1"/>
      <w:marLeft w:val="0"/>
      <w:marRight w:val="0"/>
      <w:marTop w:val="0"/>
      <w:marBottom w:val="0"/>
      <w:divBdr>
        <w:top w:val="none" w:sz="0" w:space="0" w:color="auto"/>
        <w:left w:val="none" w:sz="0" w:space="0" w:color="auto"/>
        <w:bottom w:val="none" w:sz="0" w:space="0" w:color="auto"/>
        <w:right w:val="none" w:sz="0" w:space="0" w:color="auto"/>
      </w:divBdr>
    </w:div>
    <w:div w:id="750739268">
      <w:bodyDiv w:val="1"/>
      <w:marLeft w:val="0"/>
      <w:marRight w:val="0"/>
      <w:marTop w:val="0"/>
      <w:marBottom w:val="0"/>
      <w:divBdr>
        <w:top w:val="none" w:sz="0" w:space="0" w:color="auto"/>
        <w:left w:val="none" w:sz="0" w:space="0" w:color="auto"/>
        <w:bottom w:val="none" w:sz="0" w:space="0" w:color="auto"/>
        <w:right w:val="none" w:sz="0" w:space="0" w:color="auto"/>
      </w:divBdr>
    </w:div>
    <w:div w:id="750811732">
      <w:bodyDiv w:val="1"/>
      <w:marLeft w:val="0"/>
      <w:marRight w:val="0"/>
      <w:marTop w:val="0"/>
      <w:marBottom w:val="0"/>
      <w:divBdr>
        <w:top w:val="none" w:sz="0" w:space="0" w:color="auto"/>
        <w:left w:val="none" w:sz="0" w:space="0" w:color="auto"/>
        <w:bottom w:val="none" w:sz="0" w:space="0" w:color="auto"/>
        <w:right w:val="none" w:sz="0" w:space="0" w:color="auto"/>
      </w:divBdr>
    </w:div>
    <w:div w:id="750926450">
      <w:bodyDiv w:val="1"/>
      <w:marLeft w:val="0"/>
      <w:marRight w:val="0"/>
      <w:marTop w:val="0"/>
      <w:marBottom w:val="0"/>
      <w:divBdr>
        <w:top w:val="none" w:sz="0" w:space="0" w:color="auto"/>
        <w:left w:val="none" w:sz="0" w:space="0" w:color="auto"/>
        <w:bottom w:val="none" w:sz="0" w:space="0" w:color="auto"/>
        <w:right w:val="none" w:sz="0" w:space="0" w:color="auto"/>
      </w:divBdr>
    </w:div>
    <w:div w:id="750933552">
      <w:bodyDiv w:val="1"/>
      <w:marLeft w:val="0"/>
      <w:marRight w:val="0"/>
      <w:marTop w:val="0"/>
      <w:marBottom w:val="0"/>
      <w:divBdr>
        <w:top w:val="none" w:sz="0" w:space="0" w:color="auto"/>
        <w:left w:val="none" w:sz="0" w:space="0" w:color="auto"/>
        <w:bottom w:val="none" w:sz="0" w:space="0" w:color="auto"/>
        <w:right w:val="none" w:sz="0" w:space="0" w:color="auto"/>
      </w:divBdr>
    </w:div>
    <w:div w:id="751002680">
      <w:bodyDiv w:val="1"/>
      <w:marLeft w:val="0"/>
      <w:marRight w:val="0"/>
      <w:marTop w:val="0"/>
      <w:marBottom w:val="0"/>
      <w:divBdr>
        <w:top w:val="none" w:sz="0" w:space="0" w:color="auto"/>
        <w:left w:val="none" w:sz="0" w:space="0" w:color="auto"/>
        <w:bottom w:val="none" w:sz="0" w:space="0" w:color="auto"/>
        <w:right w:val="none" w:sz="0" w:space="0" w:color="auto"/>
      </w:divBdr>
    </w:div>
    <w:div w:id="751119519">
      <w:bodyDiv w:val="1"/>
      <w:marLeft w:val="0"/>
      <w:marRight w:val="0"/>
      <w:marTop w:val="0"/>
      <w:marBottom w:val="0"/>
      <w:divBdr>
        <w:top w:val="none" w:sz="0" w:space="0" w:color="auto"/>
        <w:left w:val="none" w:sz="0" w:space="0" w:color="auto"/>
        <w:bottom w:val="none" w:sz="0" w:space="0" w:color="auto"/>
        <w:right w:val="none" w:sz="0" w:space="0" w:color="auto"/>
      </w:divBdr>
    </w:div>
    <w:div w:id="751123606">
      <w:bodyDiv w:val="1"/>
      <w:marLeft w:val="0"/>
      <w:marRight w:val="0"/>
      <w:marTop w:val="0"/>
      <w:marBottom w:val="0"/>
      <w:divBdr>
        <w:top w:val="none" w:sz="0" w:space="0" w:color="auto"/>
        <w:left w:val="none" w:sz="0" w:space="0" w:color="auto"/>
        <w:bottom w:val="none" w:sz="0" w:space="0" w:color="auto"/>
        <w:right w:val="none" w:sz="0" w:space="0" w:color="auto"/>
      </w:divBdr>
    </w:div>
    <w:div w:id="751658170">
      <w:bodyDiv w:val="1"/>
      <w:marLeft w:val="0"/>
      <w:marRight w:val="0"/>
      <w:marTop w:val="0"/>
      <w:marBottom w:val="0"/>
      <w:divBdr>
        <w:top w:val="none" w:sz="0" w:space="0" w:color="auto"/>
        <w:left w:val="none" w:sz="0" w:space="0" w:color="auto"/>
        <w:bottom w:val="none" w:sz="0" w:space="0" w:color="auto"/>
        <w:right w:val="none" w:sz="0" w:space="0" w:color="auto"/>
      </w:divBdr>
    </w:div>
    <w:div w:id="751699690">
      <w:bodyDiv w:val="1"/>
      <w:marLeft w:val="0"/>
      <w:marRight w:val="0"/>
      <w:marTop w:val="0"/>
      <w:marBottom w:val="0"/>
      <w:divBdr>
        <w:top w:val="none" w:sz="0" w:space="0" w:color="auto"/>
        <w:left w:val="none" w:sz="0" w:space="0" w:color="auto"/>
        <w:bottom w:val="none" w:sz="0" w:space="0" w:color="auto"/>
        <w:right w:val="none" w:sz="0" w:space="0" w:color="auto"/>
      </w:divBdr>
    </w:div>
    <w:div w:id="752436593">
      <w:bodyDiv w:val="1"/>
      <w:marLeft w:val="0"/>
      <w:marRight w:val="0"/>
      <w:marTop w:val="0"/>
      <w:marBottom w:val="0"/>
      <w:divBdr>
        <w:top w:val="none" w:sz="0" w:space="0" w:color="auto"/>
        <w:left w:val="none" w:sz="0" w:space="0" w:color="auto"/>
        <w:bottom w:val="none" w:sz="0" w:space="0" w:color="auto"/>
        <w:right w:val="none" w:sz="0" w:space="0" w:color="auto"/>
      </w:divBdr>
    </w:div>
    <w:div w:id="752580656">
      <w:bodyDiv w:val="1"/>
      <w:marLeft w:val="0"/>
      <w:marRight w:val="0"/>
      <w:marTop w:val="0"/>
      <w:marBottom w:val="0"/>
      <w:divBdr>
        <w:top w:val="none" w:sz="0" w:space="0" w:color="auto"/>
        <w:left w:val="none" w:sz="0" w:space="0" w:color="auto"/>
        <w:bottom w:val="none" w:sz="0" w:space="0" w:color="auto"/>
        <w:right w:val="none" w:sz="0" w:space="0" w:color="auto"/>
      </w:divBdr>
    </w:div>
    <w:div w:id="752581244">
      <w:bodyDiv w:val="1"/>
      <w:marLeft w:val="0"/>
      <w:marRight w:val="0"/>
      <w:marTop w:val="0"/>
      <w:marBottom w:val="0"/>
      <w:divBdr>
        <w:top w:val="none" w:sz="0" w:space="0" w:color="auto"/>
        <w:left w:val="none" w:sz="0" w:space="0" w:color="auto"/>
        <w:bottom w:val="none" w:sz="0" w:space="0" w:color="auto"/>
        <w:right w:val="none" w:sz="0" w:space="0" w:color="auto"/>
      </w:divBdr>
    </w:div>
    <w:div w:id="752705721">
      <w:bodyDiv w:val="1"/>
      <w:marLeft w:val="0"/>
      <w:marRight w:val="0"/>
      <w:marTop w:val="0"/>
      <w:marBottom w:val="0"/>
      <w:divBdr>
        <w:top w:val="none" w:sz="0" w:space="0" w:color="auto"/>
        <w:left w:val="none" w:sz="0" w:space="0" w:color="auto"/>
        <w:bottom w:val="none" w:sz="0" w:space="0" w:color="auto"/>
        <w:right w:val="none" w:sz="0" w:space="0" w:color="auto"/>
      </w:divBdr>
    </w:div>
    <w:div w:id="752823689">
      <w:bodyDiv w:val="1"/>
      <w:marLeft w:val="0"/>
      <w:marRight w:val="0"/>
      <w:marTop w:val="0"/>
      <w:marBottom w:val="0"/>
      <w:divBdr>
        <w:top w:val="none" w:sz="0" w:space="0" w:color="auto"/>
        <w:left w:val="none" w:sz="0" w:space="0" w:color="auto"/>
        <w:bottom w:val="none" w:sz="0" w:space="0" w:color="auto"/>
        <w:right w:val="none" w:sz="0" w:space="0" w:color="auto"/>
      </w:divBdr>
    </w:div>
    <w:div w:id="753011292">
      <w:bodyDiv w:val="1"/>
      <w:marLeft w:val="0"/>
      <w:marRight w:val="0"/>
      <w:marTop w:val="0"/>
      <w:marBottom w:val="0"/>
      <w:divBdr>
        <w:top w:val="none" w:sz="0" w:space="0" w:color="auto"/>
        <w:left w:val="none" w:sz="0" w:space="0" w:color="auto"/>
        <w:bottom w:val="none" w:sz="0" w:space="0" w:color="auto"/>
        <w:right w:val="none" w:sz="0" w:space="0" w:color="auto"/>
      </w:divBdr>
    </w:div>
    <w:div w:id="753011744">
      <w:bodyDiv w:val="1"/>
      <w:marLeft w:val="0"/>
      <w:marRight w:val="0"/>
      <w:marTop w:val="0"/>
      <w:marBottom w:val="0"/>
      <w:divBdr>
        <w:top w:val="none" w:sz="0" w:space="0" w:color="auto"/>
        <w:left w:val="none" w:sz="0" w:space="0" w:color="auto"/>
        <w:bottom w:val="none" w:sz="0" w:space="0" w:color="auto"/>
        <w:right w:val="none" w:sz="0" w:space="0" w:color="auto"/>
      </w:divBdr>
    </w:div>
    <w:div w:id="753161488">
      <w:bodyDiv w:val="1"/>
      <w:marLeft w:val="0"/>
      <w:marRight w:val="0"/>
      <w:marTop w:val="0"/>
      <w:marBottom w:val="0"/>
      <w:divBdr>
        <w:top w:val="none" w:sz="0" w:space="0" w:color="auto"/>
        <w:left w:val="none" w:sz="0" w:space="0" w:color="auto"/>
        <w:bottom w:val="none" w:sz="0" w:space="0" w:color="auto"/>
        <w:right w:val="none" w:sz="0" w:space="0" w:color="auto"/>
      </w:divBdr>
    </w:div>
    <w:div w:id="753169559">
      <w:bodyDiv w:val="1"/>
      <w:marLeft w:val="0"/>
      <w:marRight w:val="0"/>
      <w:marTop w:val="0"/>
      <w:marBottom w:val="0"/>
      <w:divBdr>
        <w:top w:val="none" w:sz="0" w:space="0" w:color="auto"/>
        <w:left w:val="none" w:sz="0" w:space="0" w:color="auto"/>
        <w:bottom w:val="none" w:sz="0" w:space="0" w:color="auto"/>
        <w:right w:val="none" w:sz="0" w:space="0" w:color="auto"/>
      </w:divBdr>
    </w:div>
    <w:div w:id="753430898">
      <w:bodyDiv w:val="1"/>
      <w:marLeft w:val="0"/>
      <w:marRight w:val="0"/>
      <w:marTop w:val="0"/>
      <w:marBottom w:val="0"/>
      <w:divBdr>
        <w:top w:val="none" w:sz="0" w:space="0" w:color="auto"/>
        <w:left w:val="none" w:sz="0" w:space="0" w:color="auto"/>
        <w:bottom w:val="none" w:sz="0" w:space="0" w:color="auto"/>
        <w:right w:val="none" w:sz="0" w:space="0" w:color="auto"/>
      </w:divBdr>
    </w:div>
    <w:div w:id="753746525">
      <w:bodyDiv w:val="1"/>
      <w:marLeft w:val="0"/>
      <w:marRight w:val="0"/>
      <w:marTop w:val="0"/>
      <w:marBottom w:val="0"/>
      <w:divBdr>
        <w:top w:val="none" w:sz="0" w:space="0" w:color="auto"/>
        <w:left w:val="none" w:sz="0" w:space="0" w:color="auto"/>
        <w:bottom w:val="none" w:sz="0" w:space="0" w:color="auto"/>
        <w:right w:val="none" w:sz="0" w:space="0" w:color="auto"/>
      </w:divBdr>
    </w:div>
    <w:div w:id="753866068">
      <w:bodyDiv w:val="1"/>
      <w:marLeft w:val="0"/>
      <w:marRight w:val="0"/>
      <w:marTop w:val="0"/>
      <w:marBottom w:val="0"/>
      <w:divBdr>
        <w:top w:val="none" w:sz="0" w:space="0" w:color="auto"/>
        <w:left w:val="none" w:sz="0" w:space="0" w:color="auto"/>
        <w:bottom w:val="none" w:sz="0" w:space="0" w:color="auto"/>
        <w:right w:val="none" w:sz="0" w:space="0" w:color="auto"/>
      </w:divBdr>
    </w:div>
    <w:div w:id="754084718">
      <w:bodyDiv w:val="1"/>
      <w:marLeft w:val="0"/>
      <w:marRight w:val="0"/>
      <w:marTop w:val="0"/>
      <w:marBottom w:val="0"/>
      <w:divBdr>
        <w:top w:val="none" w:sz="0" w:space="0" w:color="auto"/>
        <w:left w:val="none" w:sz="0" w:space="0" w:color="auto"/>
        <w:bottom w:val="none" w:sz="0" w:space="0" w:color="auto"/>
        <w:right w:val="none" w:sz="0" w:space="0" w:color="auto"/>
      </w:divBdr>
    </w:div>
    <w:div w:id="754135098">
      <w:bodyDiv w:val="1"/>
      <w:marLeft w:val="0"/>
      <w:marRight w:val="0"/>
      <w:marTop w:val="0"/>
      <w:marBottom w:val="0"/>
      <w:divBdr>
        <w:top w:val="none" w:sz="0" w:space="0" w:color="auto"/>
        <w:left w:val="none" w:sz="0" w:space="0" w:color="auto"/>
        <w:bottom w:val="none" w:sz="0" w:space="0" w:color="auto"/>
        <w:right w:val="none" w:sz="0" w:space="0" w:color="auto"/>
      </w:divBdr>
    </w:div>
    <w:div w:id="754404113">
      <w:bodyDiv w:val="1"/>
      <w:marLeft w:val="0"/>
      <w:marRight w:val="0"/>
      <w:marTop w:val="0"/>
      <w:marBottom w:val="0"/>
      <w:divBdr>
        <w:top w:val="none" w:sz="0" w:space="0" w:color="auto"/>
        <w:left w:val="none" w:sz="0" w:space="0" w:color="auto"/>
        <w:bottom w:val="none" w:sz="0" w:space="0" w:color="auto"/>
        <w:right w:val="none" w:sz="0" w:space="0" w:color="auto"/>
      </w:divBdr>
    </w:div>
    <w:div w:id="754590258">
      <w:bodyDiv w:val="1"/>
      <w:marLeft w:val="0"/>
      <w:marRight w:val="0"/>
      <w:marTop w:val="0"/>
      <w:marBottom w:val="0"/>
      <w:divBdr>
        <w:top w:val="none" w:sz="0" w:space="0" w:color="auto"/>
        <w:left w:val="none" w:sz="0" w:space="0" w:color="auto"/>
        <w:bottom w:val="none" w:sz="0" w:space="0" w:color="auto"/>
        <w:right w:val="none" w:sz="0" w:space="0" w:color="auto"/>
      </w:divBdr>
    </w:div>
    <w:div w:id="754791571">
      <w:bodyDiv w:val="1"/>
      <w:marLeft w:val="0"/>
      <w:marRight w:val="0"/>
      <w:marTop w:val="0"/>
      <w:marBottom w:val="0"/>
      <w:divBdr>
        <w:top w:val="none" w:sz="0" w:space="0" w:color="auto"/>
        <w:left w:val="none" w:sz="0" w:space="0" w:color="auto"/>
        <w:bottom w:val="none" w:sz="0" w:space="0" w:color="auto"/>
        <w:right w:val="none" w:sz="0" w:space="0" w:color="auto"/>
      </w:divBdr>
    </w:div>
    <w:div w:id="755059128">
      <w:bodyDiv w:val="1"/>
      <w:marLeft w:val="0"/>
      <w:marRight w:val="0"/>
      <w:marTop w:val="0"/>
      <w:marBottom w:val="0"/>
      <w:divBdr>
        <w:top w:val="none" w:sz="0" w:space="0" w:color="auto"/>
        <w:left w:val="none" w:sz="0" w:space="0" w:color="auto"/>
        <w:bottom w:val="none" w:sz="0" w:space="0" w:color="auto"/>
        <w:right w:val="none" w:sz="0" w:space="0" w:color="auto"/>
      </w:divBdr>
    </w:div>
    <w:div w:id="755201187">
      <w:bodyDiv w:val="1"/>
      <w:marLeft w:val="0"/>
      <w:marRight w:val="0"/>
      <w:marTop w:val="0"/>
      <w:marBottom w:val="0"/>
      <w:divBdr>
        <w:top w:val="none" w:sz="0" w:space="0" w:color="auto"/>
        <w:left w:val="none" w:sz="0" w:space="0" w:color="auto"/>
        <w:bottom w:val="none" w:sz="0" w:space="0" w:color="auto"/>
        <w:right w:val="none" w:sz="0" w:space="0" w:color="auto"/>
      </w:divBdr>
    </w:div>
    <w:div w:id="755250636">
      <w:bodyDiv w:val="1"/>
      <w:marLeft w:val="0"/>
      <w:marRight w:val="0"/>
      <w:marTop w:val="0"/>
      <w:marBottom w:val="0"/>
      <w:divBdr>
        <w:top w:val="none" w:sz="0" w:space="0" w:color="auto"/>
        <w:left w:val="none" w:sz="0" w:space="0" w:color="auto"/>
        <w:bottom w:val="none" w:sz="0" w:space="0" w:color="auto"/>
        <w:right w:val="none" w:sz="0" w:space="0" w:color="auto"/>
      </w:divBdr>
    </w:div>
    <w:div w:id="755322160">
      <w:bodyDiv w:val="1"/>
      <w:marLeft w:val="0"/>
      <w:marRight w:val="0"/>
      <w:marTop w:val="0"/>
      <w:marBottom w:val="0"/>
      <w:divBdr>
        <w:top w:val="none" w:sz="0" w:space="0" w:color="auto"/>
        <w:left w:val="none" w:sz="0" w:space="0" w:color="auto"/>
        <w:bottom w:val="none" w:sz="0" w:space="0" w:color="auto"/>
        <w:right w:val="none" w:sz="0" w:space="0" w:color="auto"/>
      </w:divBdr>
    </w:div>
    <w:div w:id="756093043">
      <w:bodyDiv w:val="1"/>
      <w:marLeft w:val="0"/>
      <w:marRight w:val="0"/>
      <w:marTop w:val="0"/>
      <w:marBottom w:val="0"/>
      <w:divBdr>
        <w:top w:val="none" w:sz="0" w:space="0" w:color="auto"/>
        <w:left w:val="none" w:sz="0" w:space="0" w:color="auto"/>
        <w:bottom w:val="none" w:sz="0" w:space="0" w:color="auto"/>
        <w:right w:val="none" w:sz="0" w:space="0" w:color="auto"/>
      </w:divBdr>
    </w:div>
    <w:div w:id="756169869">
      <w:bodyDiv w:val="1"/>
      <w:marLeft w:val="0"/>
      <w:marRight w:val="0"/>
      <w:marTop w:val="0"/>
      <w:marBottom w:val="0"/>
      <w:divBdr>
        <w:top w:val="none" w:sz="0" w:space="0" w:color="auto"/>
        <w:left w:val="none" w:sz="0" w:space="0" w:color="auto"/>
        <w:bottom w:val="none" w:sz="0" w:space="0" w:color="auto"/>
        <w:right w:val="none" w:sz="0" w:space="0" w:color="auto"/>
      </w:divBdr>
    </w:div>
    <w:div w:id="756563936">
      <w:bodyDiv w:val="1"/>
      <w:marLeft w:val="0"/>
      <w:marRight w:val="0"/>
      <w:marTop w:val="0"/>
      <w:marBottom w:val="0"/>
      <w:divBdr>
        <w:top w:val="none" w:sz="0" w:space="0" w:color="auto"/>
        <w:left w:val="none" w:sz="0" w:space="0" w:color="auto"/>
        <w:bottom w:val="none" w:sz="0" w:space="0" w:color="auto"/>
        <w:right w:val="none" w:sz="0" w:space="0" w:color="auto"/>
      </w:divBdr>
    </w:div>
    <w:div w:id="756631531">
      <w:bodyDiv w:val="1"/>
      <w:marLeft w:val="0"/>
      <w:marRight w:val="0"/>
      <w:marTop w:val="0"/>
      <w:marBottom w:val="0"/>
      <w:divBdr>
        <w:top w:val="none" w:sz="0" w:space="0" w:color="auto"/>
        <w:left w:val="none" w:sz="0" w:space="0" w:color="auto"/>
        <w:bottom w:val="none" w:sz="0" w:space="0" w:color="auto"/>
        <w:right w:val="none" w:sz="0" w:space="0" w:color="auto"/>
      </w:divBdr>
    </w:div>
    <w:div w:id="757024202">
      <w:bodyDiv w:val="1"/>
      <w:marLeft w:val="0"/>
      <w:marRight w:val="0"/>
      <w:marTop w:val="0"/>
      <w:marBottom w:val="0"/>
      <w:divBdr>
        <w:top w:val="none" w:sz="0" w:space="0" w:color="auto"/>
        <w:left w:val="none" w:sz="0" w:space="0" w:color="auto"/>
        <w:bottom w:val="none" w:sz="0" w:space="0" w:color="auto"/>
        <w:right w:val="none" w:sz="0" w:space="0" w:color="auto"/>
      </w:divBdr>
    </w:div>
    <w:div w:id="757211807">
      <w:bodyDiv w:val="1"/>
      <w:marLeft w:val="0"/>
      <w:marRight w:val="0"/>
      <w:marTop w:val="0"/>
      <w:marBottom w:val="0"/>
      <w:divBdr>
        <w:top w:val="none" w:sz="0" w:space="0" w:color="auto"/>
        <w:left w:val="none" w:sz="0" w:space="0" w:color="auto"/>
        <w:bottom w:val="none" w:sz="0" w:space="0" w:color="auto"/>
        <w:right w:val="none" w:sz="0" w:space="0" w:color="auto"/>
      </w:divBdr>
    </w:div>
    <w:div w:id="757213722">
      <w:bodyDiv w:val="1"/>
      <w:marLeft w:val="0"/>
      <w:marRight w:val="0"/>
      <w:marTop w:val="0"/>
      <w:marBottom w:val="0"/>
      <w:divBdr>
        <w:top w:val="none" w:sz="0" w:space="0" w:color="auto"/>
        <w:left w:val="none" w:sz="0" w:space="0" w:color="auto"/>
        <w:bottom w:val="none" w:sz="0" w:space="0" w:color="auto"/>
        <w:right w:val="none" w:sz="0" w:space="0" w:color="auto"/>
      </w:divBdr>
    </w:div>
    <w:div w:id="757561620">
      <w:bodyDiv w:val="1"/>
      <w:marLeft w:val="0"/>
      <w:marRight w:val="0"/>
      <w:marTop w:val="0"/>
      <w:marBottom w:val="0"/>
      <w:divBdr>
        <w:top w:val="none" w:sz="0" w:space="0" w:color="auto"/>
        <w:left w:val="none" w:sz="0" w:space="0" w:color="auto"/>
        <w:bottom w:val="none" w:sz="0" w:space="0" w:color="auto"/>
        <w:right w:val="none" w:sz="0" w:space="0" w:color="auto"/>
      </w:divBdr>
    </w:div>
    <w:div w:id="757596637">
      <w:bodyDiv w:val="1"/>
      <w:marLeft w:val="0"/>
      <w:marRight w:val="0"/>
      <w:marTop w:val="0"/>
      <w:marBottom w:val="0"/>
      <w:divBdr>
        <w:top w:val="none" w:sz="0" w:space="0" w:color="auto"/>
        <w:left w:val="none" w:sz="0" w:space="0" w:color="auto"/>
        <w:bottom w:val="none" w:sz="0" w:space="0" w:color="auto"/>
        <w:right w:val="none" w:sz="0" w:space="0" w:color="auto"/>
      </w:divBdr>
    </w:div>
    <w:div w:id="757749178">
      <w:bodyDiv w:val="1"/>
      <w:marLeft w:val="0"/>
      <w:marRight w:val="0"/>
      <w:marTop w:val="0"/>
      <w:marBottom w:val="0"/>
      <w:divBdr>
        <w:top w:val="none" w:sz="0" w:space="0" w:color="auto"/>
        <w:left w:val="none" w:sz="0" w:space="0" w:color="auto"/>
        <w:bottom w:val="none" w:sz="0" w:space="0" w:color="auto"/>
        <w:right w:val="none" w:sz="0" w:space="0" w:color="auto"/>
      </w:divBdr>
    </w:div>
    <w:div w:id="757750281">
      <w:bodyDiv w:val="1"/>
      <w:marLeft w:val="0"/>
      <w:marRight w:val="0"/>
      <w:marTop w:val="0"/>
      <w:marBottom w:val="0"/>
      <w:divBdr>
        <w:top w:val="none" w:sz="0" w:space="0" w:color="auto"/>
        <w:left w:val="none" w:sz="0" w:space="0" w:color="auto"/>
        <w:bottom w:val="none" w:sz="0" w:space="0" w:color="auto"/>
        <w:right w:val="none" w:sz="0" w:space="0" w:color="auto"/>
      </w:divBdr>
    </w:div>
    <w:div w:id="757796313">
      <w:bodyDiv w:val="1"/>
      <w:marLeft w:val="0"/>
      <w:marRight w:val="0"/>
      <w:marTop w:val="0"/>
      <w:marBottom w:val="0"/>
      <w:divBdr>
        <w:top w:val="none" w:sz="0" w:space="0" w:color="auto"/>
        <w:left w:val="none" w:sz="0" w:space="0" w:color="auto"/>
        <w:bottom w:val="none" w:sz="0" w:space="0" w:color="auto"/>
        <w:right w:val="none" w:sz="0" w:space="0" w:color="auto"/>
      </w:divBdr>
    </w:div>
    <w:div w:id="758021651">
      <w:bodyDiv w:val="1"/>
      <w:marLeft w:val="0"/>
      <w:marRight w:val="0"/>
      <w:marTop w:val="0"/>
      <w:marBottom w:val="0"/>
      <w:divBdr>
        <w:top w:val="none" w:sz="0" w:space="0" w:color="auto"/>
        <w:left w:val="none" w:sz="0" w:space="0" w:color="auto"/>
        <w:bottom w:val="none" w:sz="0" w:space="0" w:color="auto"/>
        <w:right w:val="none" w:sz="0" w:space="0" w:color="auto"/>
      </w:divBdr>
    </w:div>
    <w:div w:id="758453543">
      <w:bodyDiv w:val="1"/>
      <w:marLeft w:val="0"/>
      <w:marRight w:val="0"/>
      <w:marTop w:val="0"/>
      <w:marBottom w:val="0"/>
      <w:divBdr>
        <w:top w:val="none" w:sz="0" w:space="0" w:color="auto"/>
        <w:left w:val="none" w:sz="0" w:space="0" w:color="auto"/>
        <w:bottom w:val="none" w:sz="0" w:space="0" w:color="auto"/>
        <w:right w:val="none" w:sz="0" w:space="0" w:color="auto"/>
      </w:divBdr>
    </w:div>
    <w:div w:id="758673514">
      <w:bodyDiv w:val="1"/>
      <w:marLeft w:val="0"/>
      <w:marRight w:val="0"/>
      <w:marTop w:val="0"/>
      <w:marBottom w:val="0"/>
      <w:divBdr>
        <w:top w:val="none" w:sz="0" w:space="0" w:color="auto"/>
        <w:left w:val="none" w:sz="0" w:space="0" w:color="auto"/>
        <w:bottom w:val="none" w:sz="0" w:space="0" w:color="auto"/>
        <w:right w:val="none" w:sz="0" w:space="0" w:color="auto"/>
      </w:divBdr>
    </w:div>
    <w:div w:id="758673640">
      <w:bodyDiv w:val="1"/>
      <w:marLeft w:val="0"/>
      <w:marRight w:val="0"/>
      <w:marTop w:val="0"/>
      <w:marBottom w:val="0"/>
      <w:divBdr>
        <w:top w:val="none" w:sz="0" w:space="0" w:color="auto"/>
        <w:left w:val="none" w:sz="0" w:space="0" w:color="auto"/>
        <w:bottom w:val="none" w:sz="0" w:space="0" w:color="auto"/>
        <w:right w:val="none" w:sz="0" w:space="0" w:color="auto"/>
      </w:divBdr>
    </w:div>
    <w:div w:id="758722465">
      <w:bodyDiv w:val="1"/>
      <w:marLeft w:val="0"/>
      <w:marRight w:val="0"/>
      <w:marTop w:val="0"/>
      <w:marBottom w:val="0"/>
      <w:divBdr>
        <w:top w:val="none" w:sz="0" w:space="0" w:color="auto"/>
        <w:left w:val="none" w:sz="0" w:space="0" w:color="auto"/>
        <w:bottom w:val="none" w:sz="0" w:space="0" w:color="auto"/>
        <w:right w:val="none" w:sz="0" w:space="0" w:color="auto"/>
      </w:divBdr>
    </w:div>
    <w:div w:id="758872753">
      <w:bodyDiv w:val="1"/>
      <w:marLeft w:val="0"/>
      <w:marRight w:val="0"/>
      <w:marTop w:val="0"/>
      <w:marBottom w:val="0"/>
      <w:divBdr>
        <w:top w:val="none" w:sz="0" w:space="0" w:color="auto"/>
        <w:left w:val="none" w:sz="0" w:space="0" w:color="auto"/>
        <w:bottom w:val="none" w:sz="0" w:space="0" w:color="auto"/>
        <w:right w:val="none" w:sz="0" w:space="0" w:color="auto"/>
      </w:divBdr>
    </w:div>
    <w:div w:id="759446497">
      <w:bodyDiv w:val="1"/>
      <w:marLeft w:val="0"/>
      <w:marRight w:val="0"/>
      <w:marTop w:val="0"/>
      <w:marBottom w:val="0"/>
      <w:divBdr>
        <w:top w:val="none" w:sz="0" w:space="0" w:color="auto"/>
        <w:left w:val="none" w:sz="0" w:space="0" w:color="auto"/>
        <w:bottom w:val="none" w:sz="0" w:space="0" w:color="auto"/>
        <w:right w:val="none" w:sz="0" w:space="0" w:color="auto"/>
      </w:divBdr>
    </w:div>
    <w:div w:id="759520649">
      <w:bodyDiv w:val="1"/>
      <w:marLeft w:val="0"/>
      <w:marRight w:val="0"/>
      <w:marTop w:val="0"/>
      <w:marBottom w:val="0"/>
      <w:divBdr>
        <w:top w:val="none" w:sz="0" w:space="0" w:color="auto"/>
        <w:left w:val="none" w:sz="0" w:space="0" w:color="auto"/>
        <w:bottom w:val="none" w:sz="0" w:space="0" w:color="auto"/>
        <w:right w:val="none" w:sz="0" w:space="0" w:color="auto"/>
      </w:divBdr>
    </w:div>
    <w:div w:id="759526957">
      <w:bodyDiv w:val="1"/>
      <w:marLeft w:val="0"/>
      <w:marRight w:val="0"/>
      <w:marTop w:val="0"/>
      <w:marBottom w:val="0"/>
      <w:divBdr>
        <w:top w:val="none" w:sz="0" w:space="0" w:color="auto"/>
        <w:left w:val="none" w:sz="0" w:space="0" w:color="auto"/>
        <w:bottom w:val="none" w:sz="0" w:space="0" w:color="auto"/>
        <w:right w:val="none" w:sz="0" w:space="0" w:color="auto"/>
      </w:divBdr>
    </w:div>
    <w:div w:id="759914034">
      <w:bodyDiv w:val="1"/>
      <w:marLeft w:val="0"/>
      <w:marRight w:val="0"/>
      <w:marTop w:val="0"/>
      <w:marBottom w:val="0"/>
      <w:divBdr>
        <w:top w:val="none" w:sz="0" w:space="0" w:color="auto"/>
        <w:left w:val="none" w:sz="0" w:space="0" w:color="auto"/>
        <w:bottom w:val="none" w:sz="0" w:space="0" w:color="auto"/>
        <w:right w:val="none" w:sz="0" w:space="0" w:color="auto"/>
      </w:divBdr>
    </w:div>
    <w:div w:id="760032575">
      <w:bodyDiv w:val="1"/>
      <w:marLeft w:val="0"/>
      <w:marRight w:val="0"/>
      <w:marTop w:val="0"/>
      <w:marBottom w:val="0"/>
      <w:divBdr>
        <w:top w:val="none" w:sz="0" w:space="0" w:color="auto"/>
        <w:left w:val="none" w:sz="0" w:space="0" w:color="auto"/>
        <w:bottom w:val="none" w:sz="0" w:space="0" w:color="auto"/>
        <w:right w:val="none" w:sz="0" w:space="0" w:color="auto"/>
      </w:divBdr>
    </w:div>
    <w:div w:id="760414701">
      <w:bodyDiv w:val="1"/>
      <w:marLeft w:val="0"/>
      <w:marRight w:val="0"/>
      <w:marTop w:val="0"/>
      <w:marBottom w:val="0"/>
      <w:divBdr>
        <w:top w:val="none" w:sz="0" w:space="0" w:color="auto"/>
        <w:left w:val="none" w:sz="0" w:space="0" w:color="auto"/>
        <w:bottom w:val="none" w:sz="0" w:space="0" w:color="auto"/>
        <w:right w:val="none" w:sz="0" w:space="0" w:color="auto"/>
      </w:divBdr>
    </w:div>
    <w:div w:id="760489613">
      <w:bodyDiv w:val="1"/>
      <w:marLeft w:val="0"/>
      <w:marRight w:val="0"/>
      <w:marTop w:val="0"/>
      <w:marBottom w:val="0"/>
      <w:divBdr>
        <w:top w:val="none" w:sz="0" w:space="0" w:color="auto"/>
        <w:left w:val="none" w:sz="0" w:space="0" w:color="auto"/>
        <w:bottom w:val="none" w:sz="0" w:space="0" w:color="auto"/>
        <w:right w:val="none" w:sz="0" w:space="0" w:color="auto"/>
      </w:divBdr>
    </w:div>
    <w:div w:id="760954140">
      <w:bodyDiv w:val="1"/>
      <w:marLeft w:val="0"/>
      <w:marRight w:val="0"/>
      <w:marTop w:val="0"/>
      <w:marBottom w:val="0"/>
      <w:divBdr>
        <w:top w:val="none" w:sz="0" w:space="0" w:color="auto"/>
        <w:left w:val="none" w:sz="0" w:space="0" w:color="auto"/>
        <w:bottom w:val="none" w:sz="0" w:space="0" w:color="auto"/>
        <w:right w:val="none" w:sz="0" w:space="0" w:color="auto"/>
      </w:divBdr>
    </w:div>
    <w:div w:id="761221082">
      <w:bodyDiv w:val="1"/>
      <w:marLeft w:val="0"/>
      <w:marRight w:val="0"/>
      <w:marTop w:val="0"/>
      <w:marBottom w:val="0"/>
      <w:divBdr>
        <w:top w:val="none" w:sz="0" w:space="0" w:color="auto"/>
        <w:left w:val="none" w:sz="0" w:space="0" w:color="auto"/>
        <w:bottom w:val="none" w:sz="0" w:space="0" w:color="auto"/>
        <w:right w:val="none" w:sz="0" w:space="0" w:color="auto"/>
      </w:divBdr>
    </w:div>
    <w:div w:id="761607096">
      <w:bodyDiv w:val="1"/>
      <w:marLeft w:val="0"/>
      <w:marRight w:val="0"/>
      <w:marTop w:val="0"/>
      <w:marBottom w:val="0"/>
      <w:divBdr>
        <w:top w:val="none" w:sz="0" w:space="0" w:color="auto"/>
        <w:left w:val="none" w:sz="0" w:space="0" w:color="auto"/>
        <w:bottom w:val="none" w:sz="0" w:space="0" w:color="auto"/>
        <w:right w:val="none" w:sz="0" w:space="0" w:color="auto"/>
      </w:divBdr>
    </w:div>
    <w:div w:id="761608633">
      <w:bodyDiv w:val="1"/>
      <w:marLeft w:val="0"/>
      <w:marRight w:val="0"/>
      <w:marTop w:val="0"/>
      <w:marBottom w:val="0"/>
      <w:divBdr>
        <w:top w:val="none" w:sz="0" w:space="0" w:color="auto"/>
        <w:left w:val="none" w:sz="0" w:space="0" w:color="auto"/>
        <w:bottom w:val="none" w:sz="0" w:space="0" w:color="auto"/>
        <w:right w:val="none" w:sz="0" w:space="0" w:color="auto"/>
      </w:divBdr>
    </w:div>
    <w:div w:id="761611169">
      <w:bodyDiv w:val="1"/>
      <w:marLeft w:val="0"/>
      <w:marRight w:val="0"/>
      <w:marTop w:val="0"/>
      <w:marBottom w:val="0"/>
      <w:divBdr>
        <w:top w:val="none" w:sz="0" w:space="0" w:color="auto"/>
        <w:left w:val="none" w:sz="0" w:space="0" w:color="auto"/>
        <w:bottom w:val="none" w:sz="0" w:space="0" w:color="auto"/>
        <w:right w:val="none" w:sz="0" w:space="0" w:color="auto"/>
      </w:divBdr>
    </w:div>
    <w:div w:id="761947610">
      <w:bodyDiv w:val="1"/>
      <w:marLeft w:val="0"/>
      <w:marRight w:val="0"/>
      <w:marTop w:val="0"/>
      <w:marBottom w:val="0"/>
      <w:divBdr>
        <w:top w:val="none" w:sz="0" w:space="0" w:color="auto"/>
        <w:left w:val="none" w:sz="0" w:space="0" w:color="auto"/>
        <w:bottom w:val="none" w:sz="0" w:space="0" w:color="auto"/>
        <w:right w:val="none" w:sz="0" w:space="0" w:color="auto"/>
      </w:divBdr>
    </w:div>
    <w:div w:id="761992419">
      <w:bodyDiv w:val="1"/>
      <w:marLeft w:val="0"/>
      <w:marRight w:val="0"/>
      <w:marTop w:val="0"/>
      <w:marBottom w:val="0"/>
      <w:divBdr>
        <w:top w:val="none" w:sz="0" w:space="0" w:color="auto"/>
        <w:left w:val="none" w:sz="0" w:space="0" w:color="auto"/>
        <w:bottom w:val="none" w:sz="0" w:space="0" w:color="auto"/>
        <w:right w:val="none" w:sz="0" w:space="0" w:color="auto"/>
      </w:divBdr>
    </w:div>
    <w:div w:id="762143066">
      <w:bodyDiv w:val="1"/>
      <w:marLeft w:val="0"/>
      <w:marRight w:val="0"/>
      <w:marTop w:val="0"/>
      <w:marBottom w:val="0"/>
      <w:divBdr>
        <w:top w:val="none" w:sz="0" w:space="0" w:color="auto"/>
        <w:left w:val="none" w:sz="0" w:space="0" w:color="auto"/>
        <w:bottom w:val="none" w:sz="0" w:space="0" w:color="auto"/>
        <w:right w:val="none" w:sz="0" w:space="0" w:color="auto"/>
      </w:divBdr>
    </w:div>
    <w:div w:id="762148027">
      <w:bodyDiv w:val="1"/>
      <w:marLeft w:val="0"/>
      <w:marRight w:val="0"/>
      <w:marTop w:val="0"/>
      <w:marBottom w:val="0"/>
      <w:divBdr>
        <w:top w:val="none" w:sz="0" w:space="0" w:color="auto"/>
        <w:left w:val="none" w:sz="0" w:space="0" w:color="auto"/>
        <w:bottom w:val="none" w:sz="0" w:space="0" w:color="auto"/>
        <w:right w:val="none" w:sz="0" w:space="0" w:color="auto"/>
      </w:divBdr>
    </w:div>
    <w:div w:id="762262216">
      <w:bodyDiv w:val="1"/>
      <w:marLeft w:val="0"/>
      <w:marRight w:val="0"/>
      <w:marTop w:val="0"/>
      <w:marBottom w:val="0"/>
      <w:divBdr>
        <w:top w:val="none" w:sz="0" w:space="0" w:color="auto"/>
        <w:left w:val="none" w:sz="0" w:space="0" w:color="auto"/>
        <w:bottom w:val="none" w:sz="0" w:space="0" w:color="auto"/>
        <w:right w:val="none" w:sz="0" w:space="0" w:color="auto"/>
      </w:divBdr>
    </w:div>
    <w:div w:id="762265243">
      <w:bodyDiv w:val="1"/>
      <w:marLeft w:val="0"/>
      <w:marRight w:val="0"/>
      <w:marTop w:val="0"/>
      <w:marBottom w:val="0"/>
      <w:divBdr>
        <w:top w:val="none" w:sz="0" w:space="0" w:color="auto"/>
        <w:left w:val="none" w:sz="0" w:space="0" w:color="auto"/>
        <w:bottom w:val="none" w:sz="0" w:space="0" w:color="auto"/>
        <w:right w:val="none" w:sz="0" w:space="0" w:color="auto"/>
      </w:divBdr>
    </w:div>
    <w:div w:id="762382659">
      <w:bodyDiv w:val="1"/>
      <w:marLeft w:val="0"/>
      <w:marRight w:val="0"/>
      <w:marTop w:val="0"/>
      <w:marBottom w:val="0"/>
      <w:divBdr>
        <w:top w:val="none" w:sz="0" w:space="0" w:color="auto"/>
        <w:left w:val="none" w:sz="0" w:space="0" w:color="auto"/>
        <w:bottom w:val="none" w:sz="0" w:space="0" w:color="auto"/>
        <w:right w:val="none" w:sz="0" w:space="0" w:color="auto"/>
      </w:divBdr>
    </w:div>
    <w:div w:id="762577927">
      <w:bodyDiv w:val="1"/>
      <w:marLeft w:val="0"/>
      <w:marRight w:val="0"/>
      <w:marTop w:val="0"/>
      <w:marBottom w:val="0"/>
      <w:divBdr>
        <w:top w:val="none" w:sz="0" w:space="0" w:color="auto"/>
        <w:left w:val="none" w:sz="0" w:space="0" w:color="auto"/>
        <w:bottom w:val="none" w:sz="0" w:space="0" w:color="auto"/>
        <w:right w:val="none" w:sz="0" w:space="0" w:color="auto"/>
      </w:divBdr>
    </w:div>
    <w:div w:id="762726145">
      <w:bodyDiv w:val="1"/>
      <w:marLeft w:val="0"/>
      <w:marRight w:val="0"/>
      <w:marTop w:val="0"/>
      <w:marBottom w:val="0"/>
      <w:divBdr>
        <w:top w:val="none" w:sz="0" w:space="0" w:color="auto"/>
        <w:left w:val="none" w:sz="0" w:space="0" w:color="auto"/>
        <w:bottom w:val="none" w:sz="0" w:space="0" w:color="auto"/>
        <w:right w:val="none" w:sz="0" w:space="0" w:color="auto"/>
      </w:divBdr>
    </w:div>
    <w:div w:id="762797277">
      <w:bodyDiv w:val="1"/>
      <w:marLeft w:val="0"/>
      <w:marRight w:val="0"/>
      <w:marTop w:val="0"/>
      <w:marBottom w:val="0"/>
      <w:divBdr>
        <w:top w:val="none" w:sz="0" w:space="0" w:color="auto"/>
        <w:left w:val="none" w:sz="0" w:space="0" w:color="auto"/>
        <w:bottom w:val="none" w:sz="0" w:space="0" w:color="auto"/>
        <w:right w:val="none" w:sz="0" w:space="0" w:color="auto"/>
      </w:divBdr>
    </w:div>
    <w:div w:id="763039398">
      <w:bodyDiv w:val="1"/>
      <w:marLeft w:val="0"/>
      <w:marRight w:val="0"/>
      <w:marTop w:val="0"/>
      <w:marBottom w:val="0"/>
      <w:divBdr>
        <w:top w:val="none" w:sz="0" w:space="0" w:color="auto"/>
        <w:left w:val="none" w:sz="0" w:space="0" w:color="auto"/>
        <w:bottom w:val="none" w:sz="0" w:space="0" w:color="auto"/>
        <w:right w:val="none" w:sz="0" w:space="0" w:color="auto"/>
      </w:divBdr>
    </w:div>
    <w:div w:id="763300554">
      <w:bodyDiv w:val="1"/>
      <w:marLeft w:val="0"/>
      <w:marRight w:val="0"/>
      <w:marTop w:val="0"/>
      <w:marBottom w:val="0"/>
      <w:divBdr>
        <w:top w:val="none" w:sz="0" w:space="0" w:color="auto"/>
        <w:left w:val="none" w:sz="0" w:space="0" w:color="auto"/>
        <w:bottom w:val="none" w:sz="0" w:space="0" w:color="auto"/>
        <w:right w:val="none" w:sz="0" w:space="0" w:color="auto"/>
      </w:divBdr>
    </w:div>
    <w:div w:id="763383551">
      <w:bodyDiv w:val="1"/>
      <w:marLeft w:val="0"/>
      <w:marRight w:val="0"/>
      <w:marTop w:val="0"/>
      <w:marBottom w:val="0"/>
      <w:divBdr>
        <w:top w:val="none" w:sz="0" w:space="0" w:color="auto"/>
        <w:left w:val="none" w:sz="0" w:space="0" w:color="auto"/>
        <w:bottom w:val="none" w:sz="0" w:space="0" w:color="auto"/>
        <w:right w:val="none" w:sz="0" w:space="0" w:color="auto"/>
      </w:divBdr>
    </w:div>
    <w:div w:id="763769461">
      <w:bodyDiv w:val="1"/>
      <w:marLeft w:val="0"/>
      <w:marRight w:val="0"/>
      <w:marTop w:val="0"/>
      <w:marBottom w:val="0"/>
      <w:divBdr>
        <w:top w:val="none" w:sz="0" w:space="0" w:color="auto"/>
        <w:left w:val="none" w:sz="0" w:space="0" w:color="auto"/>
        <w:bottom w:val="none" w:sz="0" w:space="0" w:color="auto"/>
        <w:right w:val="none" w:sz="0" w:space="0" w:color="auto"/>
      </w:divBdr>
    </w:div>
    <w:div w:id="763914512">
      <w:bodyDiv w:val="1"/>
      <w:marLeft w:val="0"/>
      <w:marRight w:val="0"/>
      <w:marTop w:val="0"/>
      <w:marBottom w:val="0"/>
      <w:divBdr>
        <w:top w:val="none" w:sz="0" w:space="0" w:color="auto"/>
        <w:left w:val="none" w:sz="0" w:space="0" w:color="auto"/>
        <w:bottom w:val="none" w:sz="0" w:space="0" w:color="auto"/>
        <w:right w:val="none" w:sz="0" w:space="0" w:color="auto"/>
      </w:divBdr>
    </w:div>
    <w:div w:id="764158483">
      <w:bodyDiv w:val="1"/>
      <w:marLeft w:val="0"/>
      <w:marRight w:val="0"/>
      <w:marTop w:val="0"/>
      <w:marBottom w:val="0"/>
      <w:divBdr>
        <w:top w:val="none" w:sz="0" w:space="0" w:color="auto"/>
        <w:left w:val="none" w:sz="0" w:space="0" w:color="auto"/>
        <w:bottom w:val="none" w:sz="0" w:space="0" w:color="auto"/>
        <w:right w:val="none" w:sz="0" w:space="0" w:color="auto"/>
      </w:divBdr>
    </w:div>
    <w:div w:id="764181942">
      <w:bodyDiv w:val="1"/>
      <w:marLeft w:val="0"/>
      <w:marRight w:val="0"/>
      <w:marTop w:val="0"/>
      <w:marBottom w:val="0"/>
      <w:divBdr>
        <w:top w:val="none" w:sz="0" w:space="0" w:color="auto"/>
        <w:left w:val="none" w:sz="0" w:space="0" w:color="auto"/>
        <w:bottom w:val="none" w:sz="0" w:space="0" w:color="auto"/>
        <w:right w:val="none" w:sz="0" w:space="0" w:color="auto"/>
      </w:divBdr>
    </w:div>
    <w:div w:id="765080134">
      <w:bodyDiv w:val="1"/>
      <w:marLeft w:val="0"/>
      <w:marRight w:val="0"/>
      <w:marTop w:val="0"/>
      <w:marBottom w:val="0"/>
      <w:divBdr>
        <w:top w:val="none" w:sz="0" w:space="0" w:color="auto"/>
        <w:left w:val="none" w:sz="0" w:space="0" w:color="auto"/>
        <w:bottom w:val="none" w:sz="0" w:space="0" w:color="auto"/>
        <w:right w:val="none" w:sz="0" w:space="0" w:color="auto"/>
      </w:divBdr>
    </w:div>
    <w:div w:id="765151984">
      <w:bodyDiv w:val="1"/>
      <w:marLeft w:val="0"/>
      <w:marRight w:val="0"/>
      <w:marTop w:val="0"/>
      <w:marBottom w:val="0"/>
      <w:divBdr>
        <w:top w:val="none" w:sz="0" w:space="0" w:color="auto"/>
        <w:left w:val="none" w:sz="0" w:space="0" w:color="auto"/>
        <w:bottom w:val="none" w:sz="0" w:space="0" w:color="auto"/>
        <w:right w:val="none" w:sz="0" w:space="0" w:color="auto"/>
      </w:divBdr>
    </w:div>
    <w:div w:id="765271855">
      <w:bodyDiv w:val="1"/>
      <w:marLeft w:val="0"/>
      <w:marRight w:val="0"/>
      <w:marTop w:val="0"/>
      <w:marBottom w:val="0"/>
      <w:divBdr>
        <w:top w:val="none" w:sz="0" w:space="0" w:color="auto"/>
        <w:left w:val="none" w:sz="0" w:space="0" w:color="auto"/>
        <w:bottom w:val="none" w:sz="0" w:space="0" w:color="auto"/>
        <w:right w:val="none" w:sz="0" w:space="0" w:color="auto"/>
      </w:divBdr>
    </w:div>
    <w:div w:id="765881357">
      <w:bodyDiv w:val="1"/>
      <w:marLeft w:val="0"/>
      <w:marRight w:val="0"/>
      <w:marTop w:val="0"/>
      <w:marBottom w:val="0"/>
      <w:divBdr>
        <w:top w:val="none" w:sz="0" w:space="0" w:color="auto"/>
        <w:left w:val="none" w:sz="0" w:space="0" w:color="auto"/>
        <w:bottom w:val="none" w:sz="0" w:space="0" w:color="auto"/>
        <w:right w:val="none" w:sz="0" w:space="0" w:color="auto"/>
      </w:divBdr>
    </w:div>
    <w:div w:id="766001953">
      <w:bodyDiv w:val="1"/>
      <w:marLeft w:val="0"/>
      <w:marRight w:val="0"/>
      <w:marTop w:val="0"/>
      <w:marBottom w:val="0"/>
      <w:divBdr>
        <w:top w:val="none" w:sz="0" w:space="0" w:color="auto"/>
        <w:left w:val="none" w:sz="0" w:space="0" w:color="auto"/>
        <w:bottom w:val="none" w:sz="0" w:space="0" w:color="auto"/>
        <w:right w:val="none" w:sz="0" w:space="0" w:color="auto"/>
      </w:divBdr>
    </w:div>
    <w:div w:id="766194641">
      <w:bodyDiv w:val="1"/>
      <w:marLeft w:val="0"/>
      <w:marRight w:val="0"/>
      <w:marTop w:val="0"/>
      <w:marBottom w:val="0"/>
      <w:divBdr>
        <w:top w:val="none" w:sz="0" w:space="0" w:color="auto"/>
        <w:left w:val="none" w:sz="0" w:space="0" w:color="auto"/>
        <w:bottom w:val="none" w:sz="0" w:space="0" w:color="auto"/>
        <w:right w:val="none" w:sz="0" w:space="0" w:color="auto"/>
      </w:divBdr>
    </w:div>
    <w:div w:id="766582999">
      <w:bodyDiv w:val="1"/>
      <w:marLeft w:val="0"/>
      <w:marRight w:val="0"/>
      <w:marTop w:val="0"/>
      <w:marBottom w:val="0"/>
      <w:divBdr>
        <w:top w:val="none" w:sz="0" w:space="0" w:color="auto"/>
        <w:left w:val="none" w:sz="0" w:space="0" w:color="auto"/>
        <w:bottom w:val="none" w:sz="0" w:space="0" w:color="auto"/>
        <w:right w:val="none" w:sz="0" w:space="0" w:color="auto"/>
      </w:divBdr>
    </w:div>
    <w:div w:id="766846863">
      <w:bodyDiv w:val="1"/>
      <w:marLeft w:val="0"/>
      <w:marRight w:val="0"/>
      <w:marTop w:val="0"/>
      <w:marBottom w:val="0"/>
      <w:divBdr>
        <w:top w:val="none" w:sz="0" w:space="0" w:color="auto"/>
        <w:left w:val="none" w:sz="0" w:space="0" w:color="auto"/>
        <w:bottom w:val="none" w:sz="0" w:space="0" w:color="auto"/>
        <w:right w:val="none" w:sz="0" w:space="0" w:color="auto"/>
      </w:divBdr>
    </w:div>
    <w:div w:id="766850977">
      <w:bodyDiv w:val="1"/>
      <w:marLeft w:val="0"/>
      <w:marRight w:val="0"/>
      <w:marTop w:val="0"/>
      <w:marBottom w:val="0"/>
      <w:divBdr>
        <w:top w:val="none" w:sz="0" w:space="0" w:color="auto"/>
        <w:left w:val="none" w:sz="0" w:space="0" w:color="auto"/>
        <w:bottom w:val="none" w:sz="0" w:space="0" w:color="auto"/>
        <w:right w:val="none" w:sz="0" w:space="0" w:color="auto"/>
      </w:divBdr>
    </w:div>
    <w:div w:id="766928190">
      <w:bodyDiv w:val="1"/>
      <w:marLeft w:val="0"/>
      <w:marRight w:val="0"/>
      <w:marTop w:val="0"/>
      <w:marBottom w:val="0"/>
      <w:divBdr>
        <w:top w:val="none" w:sz="0" w:space="0" w:color="auto"/>
        <w:left w:val="none" w:sz="0" w:space="0" w:color="auto"/>
        <w:bottom w:val="none" w:sz="0" w:space="0" w:color="auto"/>
        <w:right w:val="none" w:sz="0" w:space="0" w:color="auto"/>
      </w:divBdr>
    </w:div>
    <w:div w:id="766928622">
      <w:bodyDiv w:val="1"/>
      <w:marLeft w:val="0"/>
      <w:marRight w:val="0"/>
      <w:marTop w:val="0"/>
      <w:marBottom w:val="0"/>
      <w:divBdr>
        <w:top w:val="none" w:sz="0" w:space="0" w:color="auto"/>
        <w:left w:val="none" w:sz="0" w:space="0" w:color="auto"/>
        <w:bottom w:val="none" w:sz="0" w:space="0" w:color="auto"/>
        <w:right w:val="none" w:sz="0" w:space="0" w:color="auto"/>
      </w:divBdr>
    </w:div>
    <w:div w:id="767194627">
      <w:bodyDiv w:val="1"/>
      <w:marLeft w:val="0"/>
      <w:marRight w:val="0"/>
      <w:marTop w:val="0"/>
      <w:marBottom w:val="0"/>
      <w:divBdr>
        <w:top w:val="none" w:sz="0" w:space="0" w:color="auto"/>
        <w:left w:val="none" w:sz="0" w:space="0" w:color="auto"/>
        <w:bottom w:val="none" w:sz="0" w:space="0" w:color="auto"/>
        <w:right w:val="none" w:sz="0" w:space="0" w:color="auto"/>
      </w:divBdr>
    </w:div>
    <w:div w:id="767696808">
      <w:bodyDiv w:val="1"/>
      <w:marLeft w:val="0"/>
      <w:marRight w:val="0"/>
      <w:marTop w:val="0"/>
      <w:marBottom w:val="0"/>
      <w:divBdr>
        <w:top w:val="none" w:sz="0" w:space="0" w:color="auto"/>
        <w:left w:val="none" w:sz="0" w:space="0" w:color="auto"/>
        <w:bottom w:val="none" w:sz="0" w:space="0" w:color="auto"/>
        <w:right w:val="none" w:sz="0" w:space="0" w:color="auto"/>
      </w:divBdr>
    </w:div>
    <w:div w:id="767896561">
      <w:bodyDiv w:val="1"/>
      <w:marLeft w:val="0"/>
      <w:marRight w:val="0"/>
      <w:marTop w:val="0"/>
      <w:marBottom w:val="0"/>
      <w:divBdr>
        <w:top w:val="none" w:sz="0" w:space="0" w:color="auto"/>
        <w:left w:val="none" w:sz="0" w:space="0" w:color="auto"/>
        <w:bottom w:val="none" w:sz="0" w:space="0" w:color="auto"/>
        <w:right w:val="none" w:sz="0" w:space="0" w:color="auto"/>
      </w:divBdr>
    </w:div>
    <w:div w:id="767971233">
      <w:bodyDiv w:val="1"/>
      <w:marLeft w:val="0"/>
      <w:marRight w:val="0"/>
      <w:marTop w:val="0"/>
      <w:marBottom w:val="0"/>
      <w:divBdr>
        <w:top w:val="none" w:sz="0" w:space="0" w:color="auto"/>
        <w:left w:val="none" w:sz="0" w:space="0" w:color="auto"/>
        <w:bottom w:val="none" w:sz="0" w:space="0" w:color="auto"/>
        <w:right w:val="none" w:sz="0" w:space="0" w:color="auto"/>
      </w:divBdr>
    </w:div>
    <w:div w:id="768161731">
      <w:bodyDiv w:val="1"/>
      <w:marLeft w:val="0"/>
      <w:marRight w:val="0"/>
      <w:marTop w:val="0"/>
      <w:marBottom w:val="0"/>
      <w:divBdr>
        <w:top w:val="none" w:sz="0" w:space="0" w:color="auto"/>
        <w:left w:val="none" w:sz="0" w:space="0" w:color="auto"/>
        <w:bottom w:val="none" w:sz="0" w:space="0" w:color="auto"/>
        <w:right w:val="none" w:sz="0" w:space="0" w:color="auto"/>
      </w:divBdr>
    </w:div>
    <w:div w:id="768702415">
      <w:bodyDiv w:val="1"/>
      <w:marLeft w:val="0"/>
      <w:marRight w:val="0"/>
      <w:marTop w:val="0"/>
      <w:marBottom w:val="0"/>
      <w:divBdr>
        <w:top w:val="none" w:sz="0" w:space="0" w:color="auto"/>
        <w:left w:val="none" w:sz="0" w:space="0" w:color="auto"/>
        <w:bottom w:val="none" w:sz="0" w:space="0" w:color="auto"/>
        <w:right w:val="none" w:sz="0" w:space="0" w:color="auto"/>
      </w:divBdr>
    </w:div>
    <w:div w:id="768936887">
      <w:bodyDiv w:val="1"/>
      <w:marLeft w:val="0"/>
      <w:marRight w:val="0"/>
      <w:marTop w:val="0"/>
      <w:marBottom w:val="0"/>
      <w:divBdr>
        <w:top w:val="none" w:sz="0" w:space="0" w:color="auto"/>
        <w:left w:val="none" w:sz="0" w:space="0" w:color="auto"/>
        <w:bottom w:val="none" w:sz="0" w:space="0" w:color="auto"/>
        <w:right w:val="none" w:sz="0" w:space="0" w:color="auto"/>
      </w:divBdr>
    </w:div>
    <w:div w:id="769089261">
      <w:bodyDiv w:val="1"/>
      <w:marLeft w:val="0"/>
      <w:marRight w:val="0"/>
      <w:marTop w:val="0"/>
      <w:marBottom w:val="0"/>
      <w:divBdr>
        <w:top w:val="none" w:sz="0" w:space="0" w:color="auto"/>
        <w:left w:val="none" w:sz="0" w:space="0" w:color="auto"/>
        <w:bottom w:val="none" w:sz="0" w:space="0" w:color="auto"/>
        <w:right w:val="none" w:sz="0" w:space="0" w:color="auto"/>
      </w:divBdr>
    </w:div>
    <w:div w:id="769159455">
      <w:bodyDiv w:val="1"/>
      <w:marLeft w:val="0"/>
      <w:marRight w:val="0"/>
      <w:marTop w:val="0"/>
      <w:marBottom w:val="0"/>
      <w:divBdr>
        <w:top w:val="none" w:sz="0" w:space="0" w:color="auto"/>
        <w:left w:val="none" w:sz="0" w:space="0" w:color="auto"/>
        <w:bottom w:val="none" w:sz="0" w:space="0" w:color="auto"/>
        <w:right w:val="none" w:sz="0" w:space="0" w:color="auto"/>
      </w:divBdr>
    </w:div>
    <w:div w:id="769357149">
      <w:bodyDiv w:val="1"/>
      <w:marLeft w:val="0"/>
      <w:marRight w:val="0"/>
      <w:marTop w:val="0"/>
      <w:marBottom w:val="0"/>
      <w:divBdr>
        <w:top w:val="none" w:sz="0" w:space="0" w:color="auto"/>
        <w:left w:val="none" w:sz="0" w:space="0" w:color="auto"/>
        <w:bottom w:val="none" w:sz="0" w:space="0" w:color="auto"/>
        <w:right w:val="none" w:sz="0" w:space="0" w:color="auto"/>
      </w:divBdr>
    </w:div>
    <w:div w:id="769396763">
      <w:bodyDiv w:val="1"/>
      <w:marLeft w:val="0"/>
      <w:marRight w:val="0"/>
      <w:marTop w:val="0"/>
      <w:marBottom w:val="0"/>
      <w:divBdr>
        <w:top w:val="none" w:sz="0" w:space="0" w:color="auto"/>
        <w:left w:val="none" w:sz="0" w:space="0" w:color="auto"/>
        <w:bottom w:val="none" w:sz="0" w:space="0" w:color="auto"/>
        <w:right w:val="none" w:sz="0" w:space="0" w:color="auto"/>
      </w:divBdr>
    </w:div>
    <w:div w:id="769660678">
      <w:bodyDiv w:val="1"/>
      <w:marLeft w:val="0"/>
      <w:marRight w:val="0"/>
      <w:marTop w:val="0"/>
      <w:marBottom w:val="0"/>
      <w:divBdr>
        <w:top w:val="none" w:sz="0" w:space="0" w:color="auto"/>
        <w:left w:val="none" w:sz="0" w:space="0" w:color="auto"/>
        <w:bottom w:val="none" w:sz="0" w:space="0" w:color="auto"/>
        <w:right w:val="none" w:sz="0" w:space="0" w:color="auto"/>
      </w:divBdr>
    </w:div>
    <w:div w:id="769816928">
      <w:bodyDiv w:val="1"/>
      <w:marLeft w:val="0"/>
      <w:marRight w:val="0"/>
      <w:marTop w:val="0"/>
      <w:marBottom w:val="0"/>
      <w:divBdr>
        <w:top w:val="none" w:sz="0" w:space="0" w:color="auto"/>
        <w:left w:val="none" w:sz="0" w:space="0" w:color="auto"/>
        <w:bottom w:val="none" w:sz="0" w:space="0" w:color="auto"/>
        <w:right w:val="none" w:sz="0" w:space="0" w:color="auto"/>
      </w:divBdr>
    </w:div>
    <w:div w:id="769818249">
      <w:bodyDiv w:val="1"/>
      <w:marLeft w:val="0"/>
      <w:marRight w:val="0"/>
      <w:marTop w:val="0"/>
      <w:marBottom w:val="0"/>
      <w:divBdr>
        <w:top w:val="none" w:sz="0" w:space="0" w:color="auto"/>
        <w:left w:val="none" w:sz="0" w:space="0" w:color="auto"/>
        <w:bottom w:val="none" w:sz="0" w:space="0" w:color="auto"/>
        <w:right w:val="none" w:sz="0" w:space="0" w:color="auto"/>
      </w:divBdr>
    </w:div>
    <w:div w:id="769930423">
      <w:bodyDiv w:val="1"/>
      <w:marLeft w:val="0"/>
      <w:marRight w:val="0"/>
      <w:marTop w:val="0"/>
      <w:marBottom w:val="0"/>
      <w:divBdr>
        <w:top w:val="none" w:sz="0" w:space="0" w:color="auto"/>
        <w:left w:val="none" w:sz="0" w:space="0" w:color="auto"/>
        <w:bottom w:val="none" w:sz="0" w:space="0" w:color="auto"/>
        <w:right w:val="none" w:sz="0" w:space="0" w:color="auto"/>
      </w:divBdr>
    </w:div>
    <w:div w:id="770129285">
      <w:bodyDiv w:val="1"/>
      <w:marLeft w:val="0"/>
      <w:marRight w:val="0"/>
      <w:marTop w:val="0"/>
      <w:marBottom w:val="0"/>
      <w:divBdr>
        <w:top w:val="none" w:sz="0" w:space="0" w:color="auto"/>
        <w:left w:val="none" w:sz="0" w:space="0" w:color="auto"/>
        <w:bottom w:val="none" w:sz="0" w:space="0" w:color="auto"/>
        <w:right w:val="none" w:sz="0" w:space="0" w:color="auto"/>
      </w:divBdr>
    </w:div>
    <w:div w:id="770199900">
      <w:bodyDiv w:val="1"/>
      <w:marLeft w:val="0"/>
      <w:marRight w:val="0"/>
      <w:marTop w:val="0"/>
      <w:marBottom w:val="0"/>
      <w:divBdr>
        <w:top w:val="none" w:sz="0" w:space="0" w:color="auto"/>
        <w:left w:val="none" w:sz="0" w:space="0" w:color="auto"/>
        <w:bottom w:val="none" w:sz="0" w:space="0" w:color="auto"/>
        <w:right w:val="none" w:sz="0" w:space="0" w:color="auto"/>
      </w:divBdr>
    </w:div>
    <w:div w:id="770247510">
      <w:bodyDiv w:val="1"/>
      <w:marLeft w:val="0"/>
      <w:marRight w:val="0"/>
      <w:marTop w:val="0"/>
      <w:marBottom w:val="0"/>
      <w:divBdr>
        <w:top w:val="none" w:sz="0" w:space="0" w:color="auto"/>
        <w:left w:val="none" w:sz="0" w:space="0" w:color="auto"/>
        <w:bottom w:val="none" w:sz="0" w:space="0" w:color="auto"/>
        <w:right w:val="none" w:sz="0" w:space="0" w:color="auto"/>
      </w:divBdr>
    </w:div>
    <w:div w:id="770272547">
      <w:bodyDiv w:val="1"/>
      <w:marLeft w:val="0"/>
      <w:marRight w:val="0"/>
      <w:marTop w:val="0"/>
      <w:marBottom w:val="0"/>
      <w:divBdr>
        <w:top w:val="none" w:sz="0" w:space="0" w:color="auto"/>
        <w:left w:val="none" w:sz="0" w:space="0" w:color="auto"/>
        <w:bottom w:val="none" w:sz="0" w:space="0" w:color="auto"/>
        <w:right w:val="none" w:sz="0" w:space="0" w:color="auto"/>
      </w:divBdr>
    </w:div>
    <w:div w:id="770513875">
      <w:bodyDiv w:val="1"/>
      <w:marLeft w:val="0"/>
      <w:marRight w:val="0"/>
      <w:marTop w:val="0"/>
      <w:marBottom w:val="0"/>
      <w:divBdr>
        <w:top w:val="none" w:sz="0" w:space="0" w:color="auto"/>
        <w:left w:val="none" w:sz="0" w:space="0" w:color="auto"/>
        <w:bottom w:val="none" w:sz="0" w:space="0" w:color="auto"/>
        <w:right w:val="none" w:sz="0" w:space="0" w:color="auto"/>
      </w:divBdr>
    </w:div>
    <w:div w:id="770590049">
      <w:bodyDiv w:val="1"/>
      <w:marLeft w:val="0"/>
      <w:marRight w:val="0"/>
      <w:marTop w:val="0"/>
      <w:marBottom w:val="0"/>
      <w:divBdr>
        <w:top w:val="none" w:sz="0" w:space="0" w:color="auto"/>
        <w:left w:val="none" w:sz="0" w:space="0" w:color="auto"/>
        <w:bottom w:val="none" w:sz="0" w:space="0" w:color="auto"/>
        <w:right w:val="none" w:sz="0" w:space="0" w:color="auto"/>
      </w:divBdr>
    </w:div>
    <w:div w:id="770929555">
      <w:bodyDiv w:val="1"/>
      <w:marLeft w:val="0"/>
      <w:marRight w:val="0"/>
      <w:marTop w:val="0"/>
      <w:marBottom w:val="0"/>
      <w:divBdr>
        <w:top w:val="none" w:sz="0" w:space="0" w:color="auto"/>
        <w:left w:val="none" w:sz="0" w:space="0" w:color="auto"/>
        <w:bottom w:val="none" w:sz="0" w:space="0" w:color="auto"/>
        <w:right w:val="none" w:sz="0" w:space="0" w:color="auto"/>
      </w:divBdr>
    </w:div>
    <w:div w:id="771097713">
      <w:bodyDiv w:val="1"/>
      <w:marLeft w:val="0"/>
      <w:marRight w:val="0"/>
      <w:marTop w:val="0"/>
      <w:marBottom w:val="0"/>
      <w:divBdr>
        <w:top w:val="none" w:sz="0" w:space="0" w:color="auto"/>
        <w:left w:val="none" w:sz="0" w:space="0" w:color="auto"/>
        <w:bottom w:val="none" w:sz="0" w:space="0" w:color="auto"/>
        <w:right w:val="none" w:sz="0" w:space="0" w:color="auto"/>
      </w:divBdr>
    </w:div>
    <w:div w:id="771121736">
      <w:bodyDiv w:val="1"/>
      <w:marLeft w:val="0"/>
      <w:marRight w:val="0"/>
      <w:marTop w:val="0"/>
      <w:marBottom w:val="0"/>
      <w:divBdr>
        <w:top w:val="none" w:sz="0" w:space="0" w:color="auto"/>
        <w:left w:val="none" w:sz="0" w:space="0" w:color="auto"/>
        <w:bottom w:val="none" w:sz="0" w:space="0" w:color="auto"/>
        <w:right w:val="none" w:sz="0" w:space="0" w:color="auto"/>
      </w:divBdr>
    </w:div>
    <w:div w:id="771164828">
      <w:bodyDiv w:val="1"/>
      <w:marLeft w:val="0"/>
      <w:marRight w:val="0"/>
      <w:marTop w:val="0"/>
      <w:marBottom w:val="0"/>
      <w:divBdr>
        <w:top w:val="none" w:sz="0" w:space="0" w:color="auto"/>
        <w:left w:val="none" w:sz="0" w:space="0" w:color="auto"/>
        <w:bottom w:val="none" w:sz="0" w:space="0" w:color="auto"/>
        <w:right w:val="none" w:sz="0" w:space="0" w:color="auto"/>
      </w:divBdr>
    </w:div>
    <w:div w:id="771168468">
      <w:bodyDiv w:val="1"/>
      <w:marLeft w:val="0"/>
      <w:marRight w:val="0"/>
      <w:marTop w:val="0"/>
      <w:marBottom w:val="0"/>
      <w:divBdr>
        <w:top w:val="none" w:sz="0" w:space="0" w:color="auto"/>
        <w:left w:val="none" w:sz="0" w:space="0" w:color="auto"/>
        <w:bottom w:val="none" w:sz="0" w:space="0" w:color="auto"/>
        <w:right w:val="none" w:sz="0" w:space="0" w:color="auto"/>
      </w:divBdr>
    </w:div>
    <w:div w:id="771319151">
      <w:bodyDiv w:val="1"/>
      <w:marLeft w:val="0"/>
      <w:marRight w:val="0"/>
      <w:marTop w:val="0"/>
      <w:marBottom w:val="0"/>
      <w:divBdr>
        <w:top w:val="none" w:sz="0" w:space="0" w:color="auto"/>
        <w:left w:val="none" w:sz="0" w:space="0" w:color="auto"/>
        <w:bottom w:val="none" w:sz="0" w:space="0" w:color="auto"/>
        <w:right w:val="none" w:sz="0" w:space="0" w:color="auto"/>
      </w:divBdr>
    </w:div>
    <w:div w:id="771437109">
      <w:bodyDiv w:val="1"/>
      <w:marLeft w:val="0"/>
      <w:marRight w:val="0"/>
      <w:marTop w:val="0"/>
      <w:marBottom w:val="0"/>
      <w:divBdr>
        <w:top w:val="none" w:sz="0" w:space="0" w:color="auto"/>
        <w:left w:val="none" w:sz="0" w:space="0" w:color="auto"/>
        <w:bottom w:val="none" w:sz="0" w:space="0" w:color="auto"/>
        <w:right w:val="none" w:sz="0" w:space="0" w:color="auto"/>
      </w:divBdr>
    </w:div>
    <w:div w:id="771508238">
      <w:bodyDiv w:val="1"/>
      <w:marLeft w:val="0"/>
      <w:marRight w:val="0"/>
      <w:marTop w:val="0"/>
      <w:marBottom w:val="0"/>
      <w:divBdr>
        <w:top w:val="none" w:sz="0" w:space="0" w:color="auto"/>
        <w:left w:val="none" w:sz="0" w:space="0" w:color="auto"/>
        <w:bottom w:val="none" w:sz="0" w:space="0" w:color="auto"/>
        <w:right w:val="none" w:sz="0" w:space="0" w:color="auto"/>
      </w:divBdr>
    </w:div>
    <w:div w:id="771515990">
      <w:bodyDiv w:val="1"/>
      <w:marLeft w:val="0"/>
      <w:marRight w:val="0"/>
      <w:marTop w:val="0"/>
      <w:marBottom w:val="0"/>
      <w:divBdr>
        <w:top w:val="none" w:sz="0" w:space="0" w:color="auto"/>
        <w:left w:val="none" w:sz="0" w:space="0" w:color="auto"/>
        <w:bottom w:val="none" w:sz="0" w:space="0" w:color="auto"/>
        <w:right w:val="none" w:sz="0" w:space="0" w:color="auto"/>
      </w:divBdr>
    </w:div>
    <w:div w:id="771634677">
      <w:bodyDiv w:val="1"/>
      <w:marLeft w:val="0"/>
      <w:marRight w:val="0"/>
      <w:marTop w:val="0"/>
      <w:marBottom w:val="0"/>
      <w:divBdr>
        <w:top w:val="none" w:sz="0" w:space="0" w:color="auto"/>
        <w:left w:val="none" w:sz="0" w:space="0" w:color="auto"/>
        <w:bottom w:val="none" w:sz="0" w:space="0" w:color="auto"/>
        <w:right w:val="none" w:sz="0" w:space="0" w:color="auto"/>
      </w:divBdr>
    </w:div>
    <w:div w:id="772089140">
      <w:bodyDiv w:val="1"/>
      <w:marLeft w:val="0"/>
      <w:marRight w:val="0"/>
      <w:marTop w:val="0"/>
      <w:marBottom w:val="0"/>
      <w:divBdr>
        <w:top w:val="none" w:sz="0" w:space="0" w:color="auto"/>
        <w:left w:val="none" w:sz="0" w:space="0" w:color="auto"/>
        <w:bottom w:val="none" w:sz="0" w:space="0" w:color="auto"/>
        <w:right w:val="none" w:sz="0" w:space="0" w:color="auto"/>
      </w:divBdr>
    </w:div>
    <w:div w:id="772359244">
      <w:bodyDiv w:val="1"/>
      <w:marLeft w:val="0"/>
      <w:marRight w:val="0"/>
      <w:marTop w:val="0"/>
      <w:marBottom w:val="0"/>
      <w:divBdr>
        <w:top w:val="none" w:sz="0" w:space="0" w:color="auto"/>
        <w:left w:val="none" w:sz="0" w:space="0" w:color="auto"/>
        <w:bottom w:val="none" w:sz="0" w:space="0" w:color="auto"/>
        <w:right w:val="none" w:sz="0" w:space="0" w:color="auto"/>
      </w:divBdr>
    </w:div>
    <w:div w:id="772477847">
      <w:bodyDiv w:val="1"/>
      <w:marLeft w:val="0"/>
      <w:marRight w:val="0"/>
      <w:marTop w:val="0"/>
      <w:marBottom w:val="0"/>
      <w:divBdr>
        <w:top w:val="none" w:sz="0" w:space="0" w:color="auto"/>
        <w:left w:val="none" w:sz="0" w:space="0" w:color="auto"/>
        <w:bottom w:val="none" w:sz="0" w:space="0" w:color="auto"/>
        <w:right w:val="none" w:sz="0" w:space="0" w:color="auto"/>
      </w:divBdr>
    </w:div>
    <w:div w:id="772551252">
      <w:bodyDiv w:val="1"/>
      <w:marLeft w:val="0"/>
      <w:marRight w:val="0"/>
      <w:marTop w:val="0"/>
      <w:marBottom w:val="0"/>
      <w:divBdr>
        <w:top w:val="none" w:sz="0" w:space="0" w:color="auto"/>
        <w:left w:val="none" w:sz="0" w:space="0" w:color="auto"/>
        <w:bottom w:val="none" w:sz="0" w:space="0" w:color="auto"/>
        <w:right w:val="none" w:sz="0" w:space="0" w:color="auto"/>
      </w:divBdr>
    </w:div>
    <w:div w:id="772938366">
      <w:bodyDiv w:val="1"/>
      <w:marLeft w:val="0"/>
      <w:marRight w:val="0"/>
      <w:marTop w:val="0"/>
      <w:marBottom w:val="0"/>
      <w:divBdr>
        <w:top w:val="none" w:sz="0" w:space="0" w:color="auto"/>
        <w:left w:val="none" w:sz="0" w:space="0" w:color="auto"/>
        <w:bottom w:val="none" w:sz="0" w:space="0" w:color="auto"/>
        <w:right w:val="none" w:sz="0" w:space="0" w:color="auto"/>
      </w:divBdr>
    </w:div>
    <w:div w:id="773326090">
      <w:bodyDiv w:val="1"/>
      <w:marLeft w:val="0"/>
      <w:marRight w:val="0"/>
      <w:marTop w:val="0"/>
      <w:marBottom w:val="0"/>
      <w:divBdr>
        <w:top w:val="none" w:sz="0" w:space="0" w:color="auto"/>
        <w:left w:val="none" w:sz="0" w:space="0" w:color="auto"/>
        <w:bottom w:val="none" w:sz="0" w:space="0" w:color="auto"/>
        <w:right w:val="none" w:sz="0" w:space="0" w:color="auto"/>
      </w:divBdr>
    </w:div>
    <w:div w:id="773474453">
      <w:bodyDiv w:val="1"/>
      <w:marLeft w:val="0"/>
      <w:marRight w:val="0"/>
      <w:marTop w:val="0"/>
      <w:marBottom w:val="0"/>
      <w:divBdr>
        <w:top w:val="none" w:sz="0" w:space="0" w:color="auto"/>
        <w:left w:val="none" w:sz="0" w:space="0" w:color="auto"/>
        <w:bottom w:val="none" w:sz="0" w:space="0" w:color="auto"/>
        <w:right w:val="none" w:sz="0" w:space="0" w:color="auto"/>
      </w:divBdr>
    </w:div>
    <w:div w:id="773718156">
      <w:bodyDiv w:val="1"/>
      <w:marLeft w:val="0"/>
      <w:marRight w:val="0"/>
      <w:marTop w:val="0"/>
      <w:marBottom w:val="0"/>
      <w:divBdr>
        <w:top w:val="none" w:sz="0" w:space="0" w:color="auto"/>
        <w:left w:val="none" w:sz="0" w:space="0" w:color="auto"/>
        <w:bottom w:val="none" w:sz="0" w:space="0" w:color="auto"/>
        <w:right w:val="none" w:sz="0" w:space="0" w:color="auto"/>
      </w:divBdr>
    </w:div>
    <w:div w:id="773718942">
      <w:bodyDiv w:val="1"/>
      <w:marLeft w:val="0"/>
      <w:marRight w:val="0"/>
      <w:marTop w:val="0"/>
      <w:marBottom w:val="0"/>
      <w:divBdr>
        <w:top w:val="none" w:sz="0" w:space="0" w:color="auto"/>
        <w:left w:val="none" w:sz="0" w:space="0" w:color="auto"/>
        <w:bottom w:val="none" w:sz="0" w:space="0" w:color="auto"/>
        <w:right w:val="none" w:sz="0" w:space="0" w:color="auto"/>
      </w:divBdr>
    </w:div>
    <w:div w:id="773788979">
      <w:bodyDiv w:val="1"/>
      <w:marLeft w:val="0"/>
      <w:marRight w:val="0"/>
      <w:marTop w:val="0"/>
      <w:marBottom w:val="0"/>
      <w:divBdr>
        <w:top w:val="none" w:sz="0" w:space="0" w:color="auto"/>
        <w:left w:val="none" w:sz="0" w:space="0" w:color="auto"/>
        <w:bottom w:val="none" w:sz="0" w:space="0" w:color="auto"/>
        <w:right w:val="none" w:sz="0" w:space="0" w:color="auto"/>
      </w:divBdr>
    </w:div>
    <w:div w:id="773791455">
      <w:bodyDiv w:val="1"/>
      <w:marLeft w:val="0"/>
      <w:marRight w:val="0"/>
      <w:marTop w:val="0"/>
      <w:marBottom w:val="0"/>
      <w:divBdr>
        <w:top w:val="none" w:sz="0" w:space="0" w:color="auto"/>
        <w:left w:val="none" w:sz="0" w:space="0" w:color="auto"/>
        <w:bottom w:val="none" w:sz="0" w:space="0" w:color="auto"/>
        <w:right w:val="none" w:sz="0" w:space="0" w:color="auto"/>
      </w:divBdr>
    </w:div>
    <w:div w:id="773941915">
      <w:bodyDiv w:val="1"/>
      <w:marLeft w:val="0"/>
      <w:marRight w:val="0"/>
      <w:marTop w:val="0"/>
      <w:marBottom w:val="0"/>
      <w:divBdr>
        <w:top w:val="none" w:sz="0" w:space="0" w:color="auto"/>
        <w:left w:val="none" w:sz="0" w:space="0" w:color="auto"/>
        <w:bottom w:val="none" w:sz="0" w:space="0" w:color="auto"/>
        <w:right w:val="none" w:sz="0" w:space="0" w:color="auto"/>
      </w:divBdr>
    </w:div>
    <w:div w:id="773985111">
      <w:bodyDiv w:val="1"/>
      <w:marLeft w:val="0"/>
      <w:marRight w:val="0"/>
      <w:marTop w:val="0"/>
      <w:marBottom w:val="0"/>
      <w:divBdr>
        <w:top w:val="none" w:sz="0" w:space="0" w:color="auto"/>
        <w:left w:val="none" w:sz="0" w:space="0" w:color="auto"/>
        <w:bottom w:val="none" w:sz="0" w:space="0" w:color="auto"/>
        <w:right w:val="none" w:sz="0" w:space="0" w:color="auto"/>
      </w:divBdr>
    </w:div>
    <w:div w:id="774208629">
      <w:bodyDiv w:val="1"/>
      <w:marLeft w:val="0"/>
      <w:marRight w:val="0"/>
      <w:marTop w:val="0"/>
      <w:marBottom w:val="0"/>
      <w:divBdr>
        <w:top w:val="none" w:sz="0" w:space="0" w:color="auto"/>
        <w:left w:val="none" w:sz="0" w:space="0" w:color="auto"/>
        <w:bottom w:val="none" w:sz="0" w:space="0" w:color="auto"/>
        <w:right w:val="none" w:sz="0" w:space="0" w:color="auto"/>
      </w:divBdr>
    </w:div>
    <w:div w:id="774327864">
      <w:bodyDiv w:val="1"/>
      <w:marLeft w:val="0"/>
      <w:marRight w:val="0"/>
      <w:marTop w:val="0"/>
      <w:marBottom w:val="0"/>
      <w:divBdr>
        <w:top w:val="none" w:sz="0" w:space="0" w:color="auto"/>
        <w:left w:val="none" w:sz="0" w:space="0" w:color="auto"/>
        <w:bottom w:val="none" w:sz="0" w:space="0" w:color="auto"/>
        <w:right w:val="none" w:sz="0" w:space="0" w:color="auto"/>
      </w:divBdr>
    </w:div>
    <w:div w:id="774441371">
      <w:bodyDiv w:val="1"/>
      <w:marLeft w:val="0"/>
      <w:marRight w:val="0"/>
      <w:marTop w:val="0"/>
      <w:marBottom w:val="0"/>
      <w:divBdr>
        <w:top w:val="none" w:sz="0" w:space="0" w:color="auto"/>
        <w:left w:val="none" w:sz="0" w:space="0" w:color="auto"/>
        <w:bottom w:val="none" w:sz="0" w:space="0" w:color="auto"/>
        <w:right w:val="none" w:sz="0" w:space="0" w:color="auto"/>
      </w:divBdr>
    </w:div>
    <w:div w:id="774515631">
      <w:bodyDiv w:val="1"/>
      <w:marLeft w:val="0"/>
      <w:marRight w:val="0"/>
      <w:marTop w:val="0"/>
      <w:marBottom w:val="0"/>
      <w:divBdr>
        <w:top w:val="none" w:sz="0" w:space="0" w:color="auto"/>
        <w:left w:val="none" w:sz="0" w:space="0" w:color="auto"/>
        <w:bottom w:val="none" w:sz="0" w:space="0" w:color="auto"/>
        <w:right w:val="none" w:sz="0" w:space="0" w:color="auto"/>
      </w:divBdr>
    </w:div>
    <w:div w:id="774523008">
      <w:bodyDiv w:val="1"/>
      <w:marLeft w:val="0"/>
      <w:marRight w:val="0"/>
      <w:marTop w:val="0"/>
      <w:marBottom w:val="0"/>
      <w:divBdr>
        <w:top w:val="none" w:sz="0" w:space="0" w:color="auto"/>
        <w:left w:val="none" w:sz="0" w:space="0" w:color="auto"/>
        <w:bottom w:val="none" w:sz="0" w:space="0" w:color="auto"/>
        <w:right w:val="none" w:sz="0" w:space="0" w:color="auto"/>
      </w:divBdr>
    </w:div>
    <w:div w:id="774787767">
      <w:bodyDiv w:val="1"/>
      <w:marLeft w:val="0"/>
      <w:marRight w:val="0"/>
      <w:marTop w:val="0"/>
      <w:marBottom w:val="0"/>
      <w:divBdr>
        <w:top w:val="none" w:sz="0" w:space="0" w:color="auto"/>
        <w:left w:val="none" w:sz="0" w:space="0" w:color="auto"/>
        <w:bottom w:val="none" w:sz="0" w:space="0" w:color="auto"/>
        <w:right w:val="none" w:sz="0" w:space="0" w:color="auto"/>
      </w:divBdr>
    </w:div>
    <w:div w:id="774790957">
      <w:bodyDiv w:val="1"/>
      <w:marLeft w:val="0"/>
      <w:marRight w:val="0"/>
      <w:marTop w:val="0"/>
      <w:marBottom w:val="0"/>
      <w:divBdr>
        <w:top w:val="none" w:sz="0" w:space="0" w:color="auto"/>
        <w:left w:val="none" w:sz="0" w:space="0" w:color="auto"/>
        <w:bottom w:val="none" w:sz="0" w:space="0" w:color="auto"/>
        <w:right w:val="none" w:sz="0" w:space="0" w:color="auto"/>
      </w:divBdr>
    </w:div>
    <w:div w:id="774907678">
      <w:bodyDiv w:val="1"/>
      <w:marLeft w:val="0"/>
      <w:marRight w:val="0"/>
      <w:marTop w:val="0"/>
      <w:marBottom w:val="0"/>
      <w:divBdr>
        <w:top w:val="none" w:sz="0" w:space="0" w:color="auto"/>
        <w:left w:val="none" w:sz="0" w:space="0" w:color="auto"/>
        <w:bottom w:val="none" w:sz="0" w:space="0" w:color="auto"/>
        <w:right w:val="none" w:sz="0" w:space="0" w:color="auto"/>
      </w:divBdr>
    </w:div>
    <w:div w:id="775298064">
      <w:bodyDiv w:val="1"/>
      <w:marLeft w:val="0"/>
      <w:marRight w:val="0"/>
      <w:marTop w:val="0"/>
      <w:marBottom w:val="0"/>
      <w:divBdr>
        <w:top w:val="none" w:sz="0" w:space="0" w:color="auto"/>
        <w:left w:val="none" w:sz="0" w:space="0" w:color="auto"/>
        <w:bottom w:val="none" w:sz="0" w:space="0" w:color="auto"/>
        <w:right w:val="none" w:sz="0" w:space="0" w:color="auto"/>
      </w:divBdr>
    </w:div>
    <w:div w:id="775490157">
      <w:bodyDiv w:val="1"/>
      <w:marLeft w:val="0"/>
      <w:marRight w:val="0"/>
      <w:marTop w:val="0"/>
      <w:marBottom w:val="0"/>
      <w:divBdr>
        <w:top w:val="none" w:sz="0" w:space="0" w:color="auto"/>
        <w:left w:val="none" w:sz="0" w:space="0" w:color="auto"/>
        <w:bottom w:val="none" w:sz="0" w:space="0" w:color="auto"/>
        <w:right w:val="none" w:sz="0" w:space="0" w:color="auto"/>
      </w:divBdr>
    </w:div>
    <w:div w:id="775759774">
      <w:bodyDiv w:val="1"/>
      <w:marLeft w:val="0"/>
      <w:marRight w:val="0"/>
      <w:marTop w:val="0"/>
      <w:marBottom w:val="0"/>
      <w:divBdr>
        <w:top w:val="none" w:sz="0" w:space="0" w:color="auto"/>
        <w:left w:val="none" w:sz="0" w:space="0" w:color="auto"/>
        <w:bottom w:val="none" w:sz="0" w:space="0" w:color="auto"/>
        <w:right w:val="none" w:sz="0" w:space="0" w:color="auto"/>
      </w:divBdr>
    </w:div>
    <w:div w:id="776144082">
      <w:bodyDiv w:val="1"/>
      <w:marLeft w:val="0"/>
      <w:marRight w:val="0"/>
      <w:marTop w:val="0"/>
      <w:marBottom w:val="0"/>
      <w:divBdr>
        <w:top w:val="none" w:sz="0" w:space="0" w:color="auto"/>
        <w:left w:val="none" w:sz="0" w:space="0" w:color="auto"/>
        <w:bottom w:val="none" w:sz="0" w:space="0" w:color="auto"/>
        <w:right w:val="none" w:sz="0" w:space="0" w:color="auto"/>
      </w:divBdr>
    </w:div>
    <w:div w:id="776296806">
      <w:bodyDiv w:val="1"/>
      <w:marLeft w:val="0"/>
      <w:marRight w:val="0"/>
      <w:marTop w:val="0"/>
      <w:marBottom w:val="0"/>
      <w:divBdr>
        <w:top w:val="none" w:sz="0" w:space="0" w:color="auto"/>
        <w:left w:val="none" w:sz="0" w:space="0" w:color="auto"/>
        <w:bottom w:val="none" w:sz="0" w:space="0" w:color="auto"/>
        <w:right w:val="none" w:sz="0" w:space="0" w:color="auto"/>
      </w:divBdr>
    </w:div>
    <w:div w:id="776604880">
      <w:bodyDiv w:val="1"/>
      <w:marLeft w:val="0"/>
      <w:marRight w:val="0"/>
      <w:marTop w:val="0"/>
      <w:marBottom w:val="0"/>
      <w:divBdr>
        <w:top w:val="none" w:sz="0" w:space="0" w:color="auto"/>
        <w:left w:val="none" w:sz="0" w:space="0" w:color="auto"/>
        <w:bottom w:val="none" w:sz="0" w:space="0" w:color="auto"/>
        <w:right w:val="none" w:sz="0" w:space="0" w:color="auto"/>
      </w:divBdr>
    </w:div>
    <w:div w:id="776756894">
      <w:bodyDiv w:val="1"/>
      <w:marLeft w:val="0"/>
      <w:marRight w:val="0"/>
      <w:marTop w:val="0"/>
      <w:marBottom w:val="0"/>
      <w:divBdr>
        <w:top w:val="none" w:sz="0" w:space="0" w:color="auto"/>
        <w:left w:val="none" w:sz="0" w:space="0" w:color="auto"/>
        <w:bottom w:val="none" w:sz="0" w:space="0" w:color="auto"/>
        <w:right w:val="none" w:sz="0" w:space="0" w:color="auto"/>
      </w:divBdr>
    </w:div>
    <w:div w:id="776950978">
      <w:bodyDiv w:val="1"/>
      <w:marLeft w:val="0"/>
      <w:marRight w:val="0"/>
      <w:marTop w:val="0"/>
      <w:marBottom w:val="0"/>
      <w:divBdr>
        <w:top w:val="none" w:sz="0" w:space="0" w:color="auto"/>
        <w:left w:val="none" w:sz="0" w:space="0" w:color="auto"/>
        <w:bottom w:val="none" w:sz="0" w:space="0" w:color="auto"/>
        <w:right w:val="none" w:sz="0" w:space="0" w:color="auto"/>
      </w:divBdr>
    </w:div>
    <w:div w:id="776951978">
      <w:bodyDiv w:val="1"/>
      <w:marLeft w:val="0"/>
      <w:marRight w:val="0"/>
      <w:marTop w:val="0"/>
      <w:marBottom w:val="0"/>
      <w:divBdr>
        <w:top w:val="none" w:sz="0" w:space="0" w:color="auto"/>
        <w:left w:val="none" w:sz="0" w:space="0" w:color="auto"/>
        <w:bottom w:val="none" w:sz="0" w:space="0" w:color="auto"/>
        <w:right w:val="none" w:sz="0" w:space="0" w:color="auto"/>
      </w:divBdr>
    </w:div>
    <w:div w:id="777481824">
      <w:bodyDiv w:val="1"/>
      <w:marLeft w:val="0"/>
      <w:marRight w:val="0"/>
      <w:marTop w:val="0"/>
      <w:marBottom w:val="0"/>
      <w:divBdr>
        <w:top w:val="none" w:sz="0" w:space="0" w:color="auto"/>
        <w:left w:val="none" w:sz="0" w:space="0" w:color="auto"/>
        <w:bottom w:val="none" w:sz="0" w:space="0" w:color="auto"/>
        <w:right w:val="none" w:sz="0" w:space="0" w:color="auto"/>
      </w:divBdr>
    </w:div>
    <w:div w:id="777484484">
      <w:bodyDiv w:val="1"/>
      <w:marLeft w:val="0"/>
      <w:marRight w:val="0"/>
      <w:marTop w:val="0"/>
      <w:marBottom w:val="0"/>
      <w:divBdr>
        <w:top w:val="none" w:sz="0" w:space="0" w:color="auto"/>
        <w:left w:val="none" w:sz="0" w:space="0" w:color="auto"/>
        <w:bottom w:val="none" w:sz="0" w:space="0" w:color="auto"/>
        <w:right w:val="none" w:sz="0" w:space="0" w:color="auto"/>
      </w:divBdr>
    </w:div>
    <w:div w:id="778068148">
      <w:bodyDiv w:val="1"/>
      <w:marLeft w:val="0"/>
      <w:marRight w:val="0"/>
      <w:marTop w:val="0"/>
      <w:marBottom w:val="0"/>
      <w:divBdr>
        <w:top w:val="none" w:sz="0" w:space="0" w:color="auto"/>
        <w:left w:val="none" w:sz="0" w:space="0" w:color="auto"/>
        <w:bottom w:val="none" w:sz="0" w:space="0" w:color="auto"/>
        <w:right w:val="none" w:sz="0" w:space="0" w:color="auto"/>
      </w:divBdr>
    </w:div>
    <w:div w:id="778185208">
      <w:bodyDiv w:val="1"/>
      <w:marLeft w:val="0"/>
      <w:marRight w:val="0"/>
      <w:marTop w:val="0"/>
      <w:marBottom w:val="0"/>
      <w:divBdr>
        <w:top w:val="none" w:sz="0" w:space="0" w:color="auto"/>
        <w:left w:val="none" w:sz="0" w:space="0" w:color="auto"/>
        <w:bottom w:val="none" w:sz="0" w:space="0" w:color="auto"/>
        <w:right w:val="none" w:sz="0" w:space="0" w:color="auto"/>
      </w:divBdr>
    </w:div>
    <w:div w:id="778523306">
      <w:bodyDiv w:val="1"/>
      <w:marLeft w:val="0"/>
      <w:marRight w:val="0"/>
      <w:marTop w:val="0"/>
      <w:marBottom w:val="0"/>
      <w:divBdr>
        <w:top w:val="none" w:sz="0" w:space="0" w:color="auto"/>
        <w:left w:val="none" w:sz="0" w:space="0" w:color="auto"/>
        <w:bottom w:val="none" w:sz="0" w:space="0" w:color="auto"/>
        <w:right w:val="none" w:sz="0" w:space="0" w:color="auto"/>
      </w:divBdr>
    </w:div>
    <w:div w:id="778531344">
      <w:bodyDiv w:val="1"/>
      <w:marLeft w:val="0"/>
      <w:marRight w:val="0"/>
      <w:marTop w:val="0"/>
      <w:marBottom w:val="0"/>
      <w:divBdr>
        <w:top w:val="none" w:sz="0" w:space="0" w:color="auto"/>
        <w:left w:val="none" w:sz="0" w:space="0" w:color="auto"/>
        <w:bottom w:val="none" w:sz="0" w:space="0" w:color="auto"/>
        <w:right w:val="none" w:sz="0" w:space="0" w:color="auto"/>
      </w:divBdr>
    </w:div>
    <w:div w:id="778647227">
      <w:bodyDiv w:val="1"/>
      <w:marLeft w:val="0"/>
      <w:marRight w:val="0"/>
      <w:marTop w:val="0"/>
      <w:marBottom w:val="0"/>
      <w:divBdr>
        <w:top w:val="none" w:sz="0" w:space="0" w:color="auto"/>
        <w:left w:val="none" w:sz="0" w:space="0" w:color="auto"/>
        <w:bottom w:val="none" w:sz="0" w:space="0" w:color="auto"/>
        <w:right w:val="none" w:sz="0" w:space="0" w:color="auto"/>
      </w:divBdr>
    </w:div>
    <w:div w:id="779568262">
      <w:bodyDiv w:val="1"/>
      <w:marLeft w:val="0"/>
      <w:marRight w:val="0"/>
      <w:marTop w:val="0"/>
      <w:marBottom w:val="0"/>
      <w:divBdr>
        <w:top w:val="none" w:sz="0" w:space="0" w:color="auto"/>
        <w:left w:val="none" w:sz="0" w:space="0" w:color="auto"/>
        <w:bottom w:val="none" w:sz="0" w:space="0" w:color="auto"/>
        <w:right w:val="none" w:sz="0" w:space="0" w:color="auto"/>
      </w:divBdr>
    </w:div>
    <w:div w:id="779880070">
      <w:bodyDiv w:val="1"/>
      <w:marLeft w:val="0"/>
      <w:marRight w:val="0"/>
      <w:marTop w:val="0"/>
      <w:marBottom w:val="0"/>
      <w:divBdr>
        <w:top w:val="none" w:sz="0" w:space="0" w:color="auto"/>
        <w:left w:val="none" w:sz="0" w:space="0" w:color="auto"/>
        <w:bottom w:val="none" w:sz="0" w:space="0" w:color="auto"/>
        <w:right w:val="none" w:sz="0" w:space="0" w:color="auto"/>
      </w:divBdr>
    </w:div>
    <w:div w:id="780417229">
      <w:bodyDiv w:val="1"/>
      <w:marLeft w:val="0"/>
      <w:marRight w:val="0"/>
      <w:marTop w:val="0"/>
      <w:marBottom w:val="0"/>
      <w:divBdr>
        <w:top w:val="none" w:sz="0" w:space="0" w:color="auto"/>
        <w:left w:val="none" w:sz="0" w:space="0" w:color="auto"/>
        <w:bottom w:val="none" w:sz="0" w:space="0" w:color="auto"/>
        <w:right w:val="none" w:sz="0" w:space="0" w:color="auto"/>
      </w:divBdr>
    </w:div>
    <w:div w:id="780566198">
      <w:bodyDiv w:val="1"/>
      <w:marLeft w:val="0"/>
      <w:marRight w:val="0"/>
      <w:marTop w:val="0"/>
      <w:marBottom w:val="0"/>
      <w:divBdr>
        <w:top w:val="none" w:sz="0" w:space="0" w:color="auto"/>
        <w:left w:val="none" w:sz="0" w:space="0" w:color="auto"/>
        <w:bottom w:val="none" w:sz="0" w:space="0" w:color="auto"/>
        <w:right w:val="none" w:sz="0" w:space="0" w:color="auto"/>
      </w:divBdr>
    </w:div>
    <w:div w:id="780879535">
      <w:bodyDiv w:val="1"/>
      <w:marLeft w:val="0"/>
      <w:marRight w:val="0"/>
      <w:marTop w:val="0"/>
      <w:marBottom w:val="0"/>
      <w:divBdr>
        <w:top w:val="none" w:sz="0" w:space="0" w:color="auto"/>
        <w:left w:val="none" w:sz="0" w:space="0" w:color="auto"/>
        <w:bottom w:val="none" w:sz="0" w:space="0" w:color="auto"/>
        <w:right w:val="none" w:sz="0" w:space="0" w:color="auto"/>
      </w:divBdr>
    </w:div>
    <w:div w:id="781195680">
      <w:bodyDiv w:val="1"/>
      <w:marLeft w:val="0"/>
      <w:marRight w:val="0"/>
      <w:marTop w:val="0"/>
      <w:marBottom w:val="0"/>
      <w:divBdr>
        <w:top w:val="none" w:sz="0" w:space="0" w:color="auto"/>
        <w:left w:val="none" w:sz="0" w:space="0" w:color="auto"/>
        <w:bottom w:val="none" w:sz="0" w:space="0" w:color="auto"/>
        <w:right w:val="none" w:sz="0" w:space="0" w:color="auto"/>
      </w:divBdr>
    </w:div>
    <w:div w:id="781345633">
      <w:bodyDiv w:val="1"/>
      <w:marLeft w:val="0"/>
      <w:marRight w:val="0"/>
      <w:marTop w:val="0"/>
      <w:marBottom w:val="0"/>
      <w:divBdr>
        <w:top w:val="none" w:sz="0" w:space="0" w:color="auto"/>
        <w:left w:val="none" w:sz="0" w:space="0" w:color="auto"/>
        <w:bottom w:val="none" w:sz="0" w:space="0" w:color="auto"/>
        <w:right w:val="none" w:sz="0" w:space="0" w:color="auto"/>
      </w:divBdr>
    </w:div>
    <w:div w:id="781414167">
      <w:bodyDiv w:val="1"/>
      <w:marLeft w:val="0"/>
      <w:marRight w:val="0"/>
      <w:marTop w:val="0"/>
      <w:marBottom w:val="0"/>
      <w:divBdr>
        <w:top w:val="none" w:sz="0" w:space="0" w:color="auto"/>
        <w:left w:val="none" w:sz="0" w:space="0" w:color="auto"/>
        <w:bottom w:val="none" w:sz="0" w:space="0" w:color="auto"/>
        <w:right w:val="none" w:sz="0" w:space="0" w:color="auto"/>
      </w:divBdr>
    </w:div>
    <w:div w:id="781461732">
      <w:bodyDiv w:val="1"/>
      <w:marLeft w:val="0"/>
      <w:marRight w:val="0"/>
      <w:marTop w:val="0"/>
      <w:marBottom w:val="0"/>
      <w:divBdr>
        <w:top w:val="none" w:sz="0" w:space="0" w:color="auto"/>
        <w:left w:val="none" w:sz="0" w:space="0" w:color="auto"/>
        <w:bottom w:val="none" w:sz="0" w:space="0" w:color="auto"/>
        <w:right w:val="none" w:sz="0" w:space="0" w:color="auto"/>
      </w:divBdr>
    </w:div>
    <w:div w:id="781654541">
      <w:bodyDiv w:val="1"/>
      <w:marLeft w:val="0"/>
      <w:marRight w:val="0"/>
      <w:marTop w:val="0"/>
      <w:marBottom w:val="0"/>
      <w:divBdr>
        <w:top w:val="none" w:sz="0" w:space="0" w:color="auto"/>
        <w:left w:val="none" w:sz="0" w:space="0" w:color="auto"/>
        <w:bottom w:val="none" w:sz="0" w:space="0" w:color="auto"/>
        <w:right w:val="none" w:sz="0" w:space="0" w:color="auto"/>
      </w:divBdr>
    </w:div>
    <w:div w:id="781800401">
      <w:bodyDiv w:val="1"/>
      <w:marLeft w:val="0"/>
      <w:marRight w:val="0"/>
      <w:marTop w:val="0"/>
      <w:marBottom w:val="0"/>
      <w:divBdr>
        <w:top w:val="none" w:sz="0" w:space="0" w:color="auto"/>
        <w:left w:val="none" w:sz="0" w:space="0" w:color="auto"/>
        <w:bottom w:val="none" w:sz="0" w:space="0" w:color="auto"/>
        <w:right w:val="none" w:sz="0" w:space="0" w:color="auto"/>
      </w:divBdr>
    </w:div>
    <w:div w:id="781845336">
      <w:bodyDiv w:val="1"/>
      <w:marLeft w:val="0"/>
      <w:marRight w:val="0"/>
      <w:marTop w:val="0"/>
      <w:marBottom w:val="0"/>
      <w:divBdr>
        <w:top w:val="none" w:sz="0" w:space="0" w:color="auto"/>
        <w:left w:val="none" w:sz="0" w:space="0" w:color="auto"/>
        <w:bottom w:val="none" w:sz="0" w:space="0" w:color="auto"/>
        <w:right w:val="none" w:sz="0" w:space="0" w:color="auto"/>
      </w:divBdr>
    </w:div>
    <w:div w:id="782116850">
      <w:bodyDiv w:val="1"/>
      <w:marLeft w:val="0"/>
      <w:marRight w:val="0"/>
      <w:marTop w:val="0"/>
      <w:marBottom w:val="0"/>
      <w:divBdr>
        <w:top w:val="none" w:sz="0" w:space="0" w:color="auto"/>
        <w:left w:val="none" w:sz="0" w:space="0" w:color="auto"/>
        <w:bottom w:val="none" w:sz="0" w:space="0" w:color="auto"/>
        <w:right w:val="none" w:sz="0" w:space="0" w:color="auto"/>
      </w:divBdr>
    </w:div>
    <w:div w:id="782381784">
      <w:bodyDiv w:val="1"/>
      <w:marLeft w:val="0"/>
      <w:marRight w:val="0"/>
      <w:marTop w:val="0"/>
      <w:marBottom w:val="0"/>
      <w:divBdr>
        <w:top w:val="none" w:sz="0" w:space="0" w:color="auto"/>
        <w:left w:val="none" w:sz="0" w:space="0" w:color="auto"/>
        <w:bottom w:val="none" w:sz="0" w:space="0" w:color="auto"/>
        <w:right w:val="none" w:sz="0" w:space="0" w:color="auto"/>
      </w:divBdr>
    </w:div>
    <w:div w:id="782456441">
      <w:bodyDiv w:val="1"/>
      <w:marLeft w:val="0"/>
      <w:marRight w:val="0"/>
      <w:marTop w:val="0"/>
      <w:marBottom w:val="0"/>
      <w:divBdr>
        <w:top w:val="none" w:sz="0" w:space="0" w:color="auto"/>
        <w:left w:val="none" w:sz="0" w:space="0" w:color="auto"/>
        <w:bottom w:val="none" w:sz="0" w:space="0" w:color="auto"/>
        <w:right w:val="none" w:sz="0" w:space="0" w:color="auto"/>
      </w:divBdr>
    </w:div>
    <w:div w:id="782576804">
      <w:bodyDiv w:val="1"/>
      <w:marLeft w:val="0"/>
      <w:marRight w:val="0"/>
      <w:marTop w:val="0"/>
      <w:marBottom w:val="0"/>
      <w:divBdr>
        <w:top w:val="none" w:sz="0" w:space="0" w:color="auto"/>
        <w:left w:val="none" w:sz="0" w:space="0" w:color="auto"/>
        <w:bottom w:val="none" w:sz="0" w:space="0" w:color="auto"/>
        <w:right w:val="none" w:sz="0" w:space="0" w:color="auto"/>
      </w:divBdr>
    </w:div>
    <w:div w:id="782651540">
      <w:bodyDiv w:val="1"/>
      <w:marLeft w:val="0"/>
      <w:marRight w:val="0"/>
      <w:marTop w:val="0"/>
      <w:marBottom w:val="0"/>
      <w:divBdr>
        <w:top w:val="none" w:sz="0" w:space="0" w:color="auto"/>
        <w:left w:val="none" w:sz="0" w:space="0" w:color="auto"/>
        <w:bottom w:val="none" w:sz="0" w:space="0" w:color="auto"/>
        <w:right w:val="none" w:sz="0" w:space="0" w:color="auto"/>
      </w:divBdr>
    </w:div>
    <w:div w:id="782921173">
      <w:bodyDiv w:val="1"/>
      <w:marLeft w:val="0"/>
      <w:marRight w:val="0"/>
      <w:marTop w:val="0"/>
      <w:marBottom w:val="0"/>
      <w:divBdr>
        <w:top w:val="none" w:sz="0" w:space="0" w:color="auto"/>
        <w:left w:val="none" w:sz="0" w:space="0" w:color="auto"/>
        <w:bottom w:val="none" w:sz="0" w:space="0" w:color="auto"/>
        <w:right w:val="none" w:sz="0" w:space="0" w:color="auto"/>
      </w:divBdr>
    </w:div>
    <w:div w:id="782962505">
      <w:bodyDiv w:val="1"/>
      <w:marLeft w:val="0"/>
      <w:marRight w:val="0"/>
      <w:marTop w:val="0"/>
      <w:marBottom w:val="0"/>
      <w:divBdr>
        <w:top w:val="none" w:sz="0" w:space="0" w:color="auto"/>
        <w:left w:val="none" w:sz="0" w:space="0" w:color="auto"/>
        <w:bottom w:val="none" w:sz="0" w:space="0" w:color="auto"/>
        <w:right w:val="none" w:sz="0" w:space="0" w:color="auto"/>
      </w:divBdr>
    </w:div>
    <w:div w:id="782965264">
      <w:bodyDiv w:val="1"/>
      <w:marLeft w:val="0"/>
      <w:marRight w:val="0"/>
      <w:marTop w:val="0"/>
      <w:marBottom w:val="0"/>
      <w:divBdr>
        <w:top w:val="none" w:sz="0" w:space="0" w:color="auto"/>
        <w:left w:val="none" w:sz="0" w:space="0" w:color="auto"/>
        <w:bottom w:val="none" w:sz="0" w:space="0" w:color="auto"/>
        <w:right w:val="none" w:sz="0" w:space="0" w:color="auto"/>
      </w:divBdr>
    </w:div>
    <w:div w:id="783035594">
      <w:bodyDiv w:val="1"/>
      <w:marLeft w:val="0"/>
      <w:marRight w:val="0"/>
      <w:marTop w:val="0"/>
      <w:marBottom w:val="0"/>
      <w:divBdr>
        <w:top w:val="none" w:sz="0" w:space="0" w:color="auto"/>
        <w:left w:val="none" w:sz="0" w:space="0" w:color="auto"/>
        <w:bottom w:val="none" w:sz="0" w:space="0" w:color="auto"/>
        <w:right w:val="none" w:sz="0" w:space="0" w:color="auto"/>
      </w:divBdr>
    </w:div>
    <w:div w:id="783420947">
      <w:bodyDiv w:val="1"/>
      <w:marLeft w:val="0"/>
      <w:marRight w:val="0"/>
      <w:marTop w:val="0"/>
      <w:marBottom w:val="0"/>
      <w:divBdr>
        <w:top w:val="none" w:sz="0" w:space="0" w:color="auto"/>
        <w:left w:val="none" w:sz="0" w:space="0" w:color="auto"/>
        <w:bottom w:val="none" w:sz="0" w:space="0" w:color="auto"/>
        <w:right w:val="none" w:sz="0" w:space="0" w:color="auto"/>
      </w:divBdr>
    </w:div>
    <w:div w:id="783496828">
      <w:bodyDiv w:val="1"/>
      <w:marLeft w:val="0"/>
      <w:marRight w:val="0"/>
      <w:marTop w:val="0"/>
      <w:marBottom w:val="0"/>
      <w:divBdr>
        <w:top w:val="none" w:sz="0" w:space="0" w:color="auto"/>
        <w:left w:val="none" w:sz="0" w:space="0" w:color="auto"/>
        <w:bottom w:val="none" w:sz="0" w:space="0" w:color="auto"/>
        <w:right w:val="none" w:sz="0" w:space="0" w:color="auto"/>
      </w:divBdr>
    </w:div>
    <w:div w:id="784039422">
      <w:bodyDiv w:val="1"/>
      <w:marLeft w:val="0"/>
      <w:marRight w:val="0"/>
      <w:marTop w:val="0"/>
      <w:marBottom w:val="0"/>
      <w:divBdr>
        <w:top w:val="none" w:sz="0" w:space="0" w:color="auto"/>
        <w:left w:val="none" w:sz="0" w:space="0" w:color="auto"/>
        <w:bottom w:val="none" w:sz="0" w:space="0" w:color="auto"/>
        <w:right w:val="none" w:sz="0" w:space="0" w:color="auto"/>
      </w:divBdr>
    </w:div>
    <w:div w:id="784082203">
      <w:bodyDiv w:val="1"/>
      <w:marLeft w:val="0"/>
      <w:marRight w:val="0"/>
      <w:marTop w:val="0"/>
      <w:marBottom w:val="0"/>
      <w:divBdr>
        <w:top w:val="none" w:sz="0" w:space="0" w:color="auto"/>
        <w:left w:val="none" w:sz="0" w:space="0" w:color="auto"/>
        <w:bottom w:val="none" w:sz="0" w:space="0" w:color="auto"/>
        <w:right w:val="none" w:sz="0" w:space="0" w:color="auto"/>
      </w:divBdr>
    </w:div>
    <w:div w:id="784157199">
      <w:bodyDiv w:val="1"/>
      <w:marLeft w:val="0"/>
      <w:marRight w:val="0"/>
      <w:marTop w:val="0"/>
      <w:marBottom w:val="0"/>
      <w:divBdr>
        <w:top w:val="none" w:sz="0" w:space="0" w:color="auto"/>
        <w:left w:val="none" w:sz="0" w:space="0" w:color="auto"/>
        <w:bottom w:val="none" w:sz="0" w:space="0" w:color="auto"/>
        <w:right w:val="none" w:sz="0" w:space="0" w:color="auto"/>
      </w:divBdr>
    </w:div>
    <w:div w:id="785082058">
      <w:bodyDiv w:val="1"/>
      <w:marLeft w:val="0"/>
      <w:marRight w:val="0"/>
      <w:marTop w:val="0"/>
      <w:marBottom w:val="0"/>
      <w:divBdr>
        <w:top w:val="none" w:sz="0" w:space="0" w:color="auto"/>
        <w:left w:val="none" w:sz="0" w:space="0" w:color="auto"/>
        <w:bottom w:val="none" w:sz="0" w:space="0" w:color="auto"/>
        <w:right w:val="none" w:sz="0" w:space="0" w:color="auto"/>
      </w:divBdr>
    </w:div>
    <w:div w:id="785199112">
      <w:bodyDiv w:val="1"/>
      <w:marLeft w:val="0"/>
      <w:marRight w:val="0"/>
      <w:marTop w:val="0"/>
      <w:marBottom w:val="0"/>
      <w:divBdr>
        <w:top w:val="none" w:sz="0" w:space="0" w:color="auto"/>
        <w:left w:val="none" w:sz="0" w:space="0" w:color="auto"/>
        <w:bottom w:val="none" w:sz="0" w:space="0" w:color="auto"/>
        <w:right w:val="none" w:sz="0" w:space="0" w:color="auto"/>
      </w:divBdr>
    </w:div>
    <w:div w:id="785585024">
      <w:bodyDiv w:val="1"/>
      <w:marLeft w:val="0"/>
      <w:marRight w:val="0"/>
      <w:marTop w:val="0"/>
      <w:marBottom w:val="0"/>
      <w:divBdr>
        <w:top w:val="none" w:sz="0" w:space="0" w:color="auto"/>
        <w:left w:val="none" w:sz="0" w:space="0" w:color="auto"/>
        <w:bottom w:val="none" w:sz="0" w:space="0" w:color="auto"/>
        <w:right w:val="none" w:sz="0" w:space="0" w:color="auto"/>
      </w:divBdr>
    </w:div>
    <w:div w:id="785585287">
      <w:bodyDiv w:val="1"/>
      <w:marLeft w:val="0"/>
      <w:marRight w:val="0"/>
      <w:marTop w:val="0"/>
      <w:marBottom w:val="0"/>
      <w:divBdr>
        <w:top w:val="none" w:sz="0" w:space="0" w:color="auto"/>
        <w:left w:val="none" w:sz="0" w:space="0" w:color="auto"/>
        <w:bottom w:val="none" w:sz="0" w:space="0" w:color="auto"/>
        <w:right w:val="none" w:sz="0" w:space="0" w:color="auto"/>
      </w:divBdr>
    </w:div>
    <w:div w:id="786116784">
      <w:bodyDiv w:val="1"/>
      <w:marLeft w:val="0"/>
      <w:marRight w:val="0"/>
      <w:marTop w:val="0"/>
      <w:marBottom w:val="0"/>
      <w:divBdr>
        <w:top w:val="none" w:sz="0" w:space="0" w:color="auto"/>
        <w:left w:val="none" w:sz="0" w:space="0" w:color="auto"/>
        <w:bottom w:val="none" w:sz="0" w:space="0" w:color="auto"/>
        <w:right w:val="none" w:sz="0" w:space="0" w:color="auto"/>
      </w:divBdr>
    </w:div>
    <w:div w:id="786117888">
      <w:bodyDiv w:val="1"/>
      <w:marLeft w:val="0"/>
      <w:marRight w:val="0"/>
      <w:marTop w:val="0"/>
      <w:marBottom w:val="0"/>
      <w:divBdr>
        <w:top w:val="none" w:sz="0" w:space="0" w:color="auto"/>
        <w:left w:val="none" w:sz="0" w:space="0" w:color="auto"/>
        <w:bottom w:val="none" w:sz="0" w:space="0" w:color="auto"/>
        <w:right w:val="none" w:sz="0" w:space="0" w:color="auto"/>
      </w:divBdr>
    </w:div>
    <w:div w:id="786585365">
      <w:bodyDiv w:val="1"/>
      <w:marLeft w:val="0"/>
      <w:marRight w:val="0"/>
      <w:marTop w:val="0"/>
      <w:marBottom w:val="0"/>
      <w:divBdr>
        <w:top w:val="none" w:sz="0" w:space="0" w:color="auto"/>
        <w:left w:val="none" w:sz="0" w:space="0" w:color="auto"/>
        <w:bottom w:val="none" w:sz="0" w:space="0" w:color="auto"/>
        <w:right w:val="none" w:sz="0" w:space="0" w:color="auto"/>
      </w:divBdr>
    </w:div>
    <w:div w:id="786856853">
      <w:bodyDiv w:val="1"/>
      <w:marLeft w:val="0"/>
      <w:marRight w:val="0"/>
      <w:marTop w:val="0"/>
      <w:marBottom w:val="0"/>
      <w:divBdr>
        <w:top w:val="none" w:sz="0" w:space="0" w:color="auto"/>
        <w:left w:val="none" w:sz="0" w:space="0" w:color="auto"/>
        <w:bottom w:val="none" w:sz="0" w:space="0" w:color="auto"/>
        <w:right w:val="none" w:sz="0" w:space="0" w:color="auto"/>
      </w:divBdr>
    </w:div>
    <w:div w:id="787048836">
      <w:bodyDiv w:val="1"/>
      <w:marLeft w:val="0"/>
      <w:marRight w:val="0"/>
      <w:marTop w:val="0"/>
      <w:marBottom w:val="0"/>
      <w:divBdr>
        <w:top w:val="none" w:sz="0" w:space="0" w:color="auto"/>
        <w:left w:val="none" w:sz="0" w:space="0" w:color="auto"/>
        <w:bottom w:val="none" w:sz="0" w:space="0" w:color="auto"/>
        <w:right w:val="none" w:sz="0" w:space="0" w:color="auto"/>
      </w:divBdr>
    </w:div>
    <w:div w:id="787356793">
      <w:bodyDiv w:val="1"/>
      <w:marLeft w:val="0"/>
      <w:marRight w:val="0"/>
      <w:marTop w:val="0"/>
      <w:marBottom w:val="0"/>
      <w:divBdr>
        <w:top w:val="none" w:sz="0" w:space="0" w:color="auto"/>
        <w:left w:val="none" w:sz="0" w:space="0" w:color="auto"/>
        <w:bottom w:val="none" w:sz="0" w:space="0" w:color="auto"/>
        <w:right w:val="none" w:sz="0" w:space="0" w:color="auto"/>
      </w:divBdr>
    </w:div>
    <w:div w:id="787428937">
      <w:bodyDiv w:val="1"/>
      <w:marLeft w:val="0"/>
      <w:marRight w:val="0"/>
      <w:marTop w:val="0"/>
      <w:marBottom w:val="0"/>
      <w:divBdr>
        <w:top w:val="none" w:sz="0" w:space="0" w:color="auto"/>
        <w:left w:val="none" w:sz="0" w:space="0" w:color="auto"/>
        <w:bottom w:val="none" w:sz="0" w:space="0" w:color="auto"/>
        <w:right w:val="none" w:sz="0" w:space="0" w:color="auto"/>
      </w:divBdr>
    </w:div>
    <w:div w:id="787772692">
      <w:bodyDiv w:val="1"/>
      <w:marLeft w:val="0"/>
      <w:marRight w:val="0"/>
      <w:marTop w:val="0"/>
      <w:marBottom w:val="0"/>
      <w:divBdr>
        <w:top w:val="none" w:sz="0" w:space="0" w:color="auto"/>
        <w:left w:val="none" w:sz="0" w:space="0" w:color="auto"/>
        <w:bottom w:val="none" w:sz="0" w:space="0" w:color="auto"/>
        <w:right w:val="none" w:sz="0" w:space="0" w:color="auto"/>
      </w:divBdr>
    </w:div>
    <w:div w:id="787970580">
      <w:bodyDiv w:val="1"/>
      <w:marLeft w:val="0"/>
      <w:marRight w:val="0"/>
      <w:marTop w:val="0"/>
      <w:marBottom w:val="0"/>
      <w:divBdr>
        <w:top w:val="none" w:sz="0" w:space="0" w:color="auto"/>
        <w:left w:val="none" w:sz="0" w:space="0" w:color="auto"/>
        <w:bottom w:val="none" w:sz="0" w:space="0" w:color="auto"/>
        <w:right w:val="none" w:sz="0" w:space="0" w:color="auto"/>
      </w:divBdr>
    </w:div>
    <w:div w:id="788007623">
      <w:bodyDiv w:val="1"/>
      <w:marLeft w:val="0"/>
      <w:marRight w:val="0"/>
      <w:marTop w:val="0"/>
      <w:marBottom w:val="0"/>
      <w:divBdr>
        <w:top w:val="none" w:sz="0" w:space="0" w:color="auto"/>
        <w:left w:val="none" w:sz="0" w:space="0" w:color="auto"/>
        <w:bottom w:val="none" w:sz="0" w:space="0" w:color="auto"/>
        <w:right w:val="none" w:sz="0" w:space="0" w:color="auto"/>
      </w:divBdr>
    </w:div>
    <w:div w:id="788010602">
      <w:bodyDiv w:val="1"/>
      <w:marLeft w:val="0"/>
      <w:marRight w:val="0"/>
      <w:marTop w:val="0"/>
      <w:marBottom w:val="0"/>
      <w:divBdr>
        <w:top w:val="none" w:sz="0" w:space="0" w:color="auto"/>
        <w:left w:val="none" w:sz="0" w:space="0" w:color="auto"/>
        <w:bottom w:val="none" w:sz="0" w:space="0" w:color="auto"/>
        <w:right w:val="none" w:sz="0" w:space="0" w:color="auto"/>
      </w:divBdr>
    </w:div>
    <w:div w:id="788204862">
      <w:bodyDiv w:val="1"/>
      <w:marLeft w:val="0"/>
      <w:marRight w:val="0"/>
      <w:marTop w:val="0"/>
      <w:marBottom w:val="0"/>
      <w:divBdr>
        <w:top w:val="none" w:sz="0" w:space="0" w:color="auto"/>
        <w:left w:val="none" w:sz="0" w:space="0" w:color="auto"/>
        <w:bottom w:val="none" w:sz="0" w:space="0" w:color="auto"/>
        <w:right w:val="none" w:sz="0" w:space="0" w:color="auto"/>
      </w:divBdr>
    </w:div>
    <w:div w:id="788354898">
      <w:bodyDiv w:val="1"/>
      <w:marLeft w:val="0"/>
      <w:marRight w:val="0"/>
      <w:marTop w:val="0"/>
      <w:marBottom w:val="0"/>
      <w:divBdr>
        <w:top w:val="none" w:sz="0" w:space="0" w:color="auto"/>
        <w:left w:val="none" w:sz="0" w:space="0" w:color="auto"/>
        <w:bottom w:val="none" w:sz="0" w:space="0" w:color="auto"/>
        <w:right w:val="none" w:sz="0" w:space="0" w:color="auto"/>
      </w:divBdr>
    </w:div>
    <w:div w:id="788624241">
      <w:bodyDiv w:val="1"/>
      <w:marLeft w:val="0"/>
      <w:marRight w:val="0"/>
      <w:marTop w:val="0"/>
      <w:marBottom w:val="0"/>
      <w:divBdr>
        <w:top w:val="none" w:sz="0" w:space="0" w:color="auto"/>
        <w:left w:val="none" w:sz="0" w:space="0" w:color="auto"/>
        <w:bottom w:val="none" w:sz="0" w:space="0" w:color="auto"/>
        <w:right w:val="none" w:sz="0" w:space="0" w:color="auto"/>
      </w:divBdr>
    </w:div>
    <w:div w:id="788664908">
      <w:bodyDiv w:val="1"/>
      <w:marLeft w:val="0"/>
      <w:marRight w:val="0"/>
      <w:marTop w:val="0"/>
      <w:marBottom w:val="0"/>
      <w:divBdr>
        <w:top w:val="none" w:sz="0" w:space="0" w:color="auto"/>
        <w:left w:val="none" w:sz="0" w:space="0" w:color="auto"/>
        <w:bottom w:val="none" w:sz="0" w:space="0" w:color="auto"/>
        <w:right w:val="none" w:sz="0" w:space="0" w:color="auto"/>
      </w:divBdr>
    </w:div>
    <w:div w:id="789014363">
      <w:bodyDiv w:val="1"/>
      <w:marLeft w:val="0"/>
      <w:marRight w:val="0"/>
      <w:marTop w:val="0"/>
      <w:marBottom w:val="0"/>
      <w:divBdr>
        <w:top w:val="none" w:sz="0" w:space="0" w:color="auto"/>
        <w:left w:val="none" w:sz="0" w:space="0" w:color="auto"/>
        <w:bottom w:val="none" w:sz="0" w:space="0" w:color="auto"/>
        <w:right w:val="none" w:sz="0" w:space="0" w:color="auto"/>
      </w:divBdr>
    </w:div>
    <w:div w:id="789127321">
      <w:bodyDiv w:val="1"/>
      <w:marLeft w:val="0"/>
      <w:marRight w:val="0"/>
      <w:marTop w:val="0"/>
      <w:marBottom w:val="0"/>
      <w:divBdr>
        <w:top w:val="none" w:sz="0" w:space="0" w:color="auto"/>
        <w:left w:val="none" w:sz="0" w:space="0" w:color="auto"/>
        <w:bottom w:val="none" w:sz="0" w:space="0" w:color="auto"/>
        <w:right w:val="none" w:sz="0" w:space="0" w:color="auto"/>
      </w:divBdr>
    </w:div>
    <w:div w:id="789128256">
      <w:bodyDiv w:val="1"/>
      <w:marLeft w:val="0"/>
      <w:marRight w:val="0"/>
      <w:marTop w:val="0"/>
      <w:marBottom w:val="0"/>
      <w:divBdr>
        <w:top w:val="none" w:sz="0" w:space="0" w:color="auto"/>
        <w:left w:val="none" w:sz="0" w:space="0" w:color="auto"/>
        <w:bottom w:val="none" w:sz="0" w:space="0" w:color="auto"/>
        <w:right w:val="none" w:sz="0" w:space="0" w:color="auto"/>
      </w:divBdr>
    </w:div>
    <w:div w:id="789276252">
      <w:bodyDiv w:val="1"/>
      <w:marLeft w:val="0"/>
      <w:marRight w:val="0"/>
      <w:marTop w:val="0"/>
      <w:marBottom w:val="0"/>
      <w:divBdr>
        <w:top w:val="none" w:sz="0" w:space="0" w:color="auto"/>
        <w:left w:val="none" w:sz="0" w:space="0" w:color="auto"/>
        <w:bottom w:val="none" w:sz="0" w:space="0" w:color="auto"/>
        <w:right w:val="none" w:sz="0" w:space="0" w:color="auto"/>
      </w:divBdr>
    </w:div>
    <w:div w:id="789471185">
      <w:bodyDiv w:val="1"/>
      <w:marLeft w:val="0"/>
      <w:marRight w:val="0"/>
      <w:marTop w:val="0"/>
      <w:marBottom w:val="0"/>
      <w:divBdr>
        <w:top w:val="none" w:sz="0" w:space="0" w:color="auto"/>
        <w:left w:val="none" w:sz="0" w:space="0" w:color="auto"/>
        <w:bottom w:val="none" w:sz="0" w:space="0" w:color="auto"/>
        <w:right w:val="none" w:sz="0" w:space="0" w:color="auto"/>
      </w:divBdr>
    </w:div>
    <w:div w:id="789512960">
      <w:bodyDiv w:val="1"/>
      <w:marLeft w:val="0"/>
      <w:marRight w:val="0"/>
      <w:marTop w:val="0"/>
      <w:marBottom w:val="0"/>
      <w:divBdr>
        <w:top w:val="none" w:sz="0" w:space="0" w:color="auto"/>
        <w:left w:val="none" w:sz="0" w:space="0" w:color="auto"/>
        <w:bottom w:val="none" w:sz="0" w:space="0" w:color="auto"/>
        <w:right w:val="none" w:sz="0" w:space="0" w:color="auto"/>
      </w:divBdr>
    </w:div>
    <w:div w:id="789709921">
      <w:bodyDiv w:val="1"/>
      <w:marLeft w:val="0"/>
      <w:marRight w:val="0"/>
      <w:marTop w:val="0"/>
      <w:marBottom w:val="0"/>
      <w:divBdr>
        <w:top w:val="none" w:sz="0" w:space="0" w:color="auto"/>
        <w:left w:val="none" w:sz="0" w:space="0" w:color="auto"/>
        <w:bottom w:val="none" w:sz="0" w:space="0" w:color="auto"/>
        <w:right w:val="none" w:sz="0" w:space="0" w:color="auto"/>
      </w:divBdr>
    </w:div>
    <w:div w:id="789864236">
      <w:bodyDiv w:val="1"/>
      <w:marLeft w:val="0"/>
      <w:marRight w:val="0"/>
      <w:marTop w:val="0"/>
      <w:marBottom w:val="0"/>
      <w:divBdr>
        <w:top w:val="none" w:sz="0" w:space="0" w:color="auto"/>
        <w:left w:val="none" w:sz="0" w:space="0" w:color="auto"/>
        <w:bottom w:val="none" w:sz="0" w:space="0" w:color="auto"/>
        <w:right w:val="none" w:sz="0" w:space="0" w:color="auto"/>
      </w:divBdr>
    </w:div>
    <w:div w:id="790052508">
      <w:bodyDiv w:val="1"/>
      <w:marLeft w:val="0"/>
      <w:marRight w:val="0"/>
      <w:marTop w:val="0"/>
      <w:marBottom w:val="0"/>
      <w:divBdr>
        <w:top w:val="none" w:sz="0" w:space="0" w:color="auto"/>
        <w:left w:val="none" w:sz="0" w:space="0" w:color="auto"/>
        <w:bottom w:val="none" w:sz="0" w:space="0" w:color="auto"/>
        <w:right w:val="none" w:sz="0" w:space="0" w:color="auto"/>
      </w:divBdr>
    </w:div>
    <w:div w:id="790247879">
      <w:bodyDiv w:val="1"/>
      <w:marLeft w:val="0"/>
      <w:marRight w:val="0"/>
      <w:marTop w:val="0"/>
      <w:marBottom w:val="0"/>
      <w:divBdr>
        <w:top w:val="none" w:sz="0" w:space="0" w:color="auto"/>
        <w:left w:val="none" w:sz="0" w:space="0" w:color="auto"/>
        <w:bottom w:val="none" w:sz="0" w:space="0" w:color="auto"/>
        <w:right w:val="none" w:sz="0" w:space="0" w:color="auto"/>
      </w:divBdr>
    </w:div>
    <w:div w:id="790366488">
      <w:bodyDiv w:val="1"/>
      <w:marLeft w:val="0"/>
      <w:marRight w:val="0"/>
      <w:marTop w:val="0"/>
      <w:marBottom w:val="0"/>
      <w:divBdr>
        <w:top w:val="none" w:sz="0" w:space="0" w:color="auto"/>
        <w:left w:val="none" w:sz="0" w:space="0" w:color="auto"/>
        <w:bottom w:val="none" w:sz="0" w:space="0" w:color="auto"/>
        <w:right w:val="none" w:sz="0" w:space="0" w:color="auto"/>
      </w:divBdr>
    </w:div>
    <w:div w:id="790394553">
      <w:bodyDiv w:val="1"/>
      <w:marLeft w:val="0"/>
      <w:marRight w:val="0"/>
      <w:marTop w:val="0"/>
      <w:marBottom w:val="0"/>
      <w:divBdr>
        <w:top w:val="none" w:sz="0" w:space="0" w:color="auto"/>
        <w:left w:val="none" w:sz="0" w:space="0" w:color="auto"/>
        <w:bottom w:val="none" w:sz="0" w:space="0" w:color="auto"/>
        <w:right w:val="none" w:sz="0" w:space="0" w:color="auto"/>
      </w:divBdr>
    </w:div>
    <w:div w:id="790562447">
      <w:bodyDiv w:val="1"/>
      <w:marLeft w:val="0"/>
      <w:marRight w:val="0"/>
      <w:marTop w:val="0"/>
      <w:marBottom w:val="0"/>
      <w:divBdr>
        <w:top w:val="none" w:sz="0" w:space="0" w:color="auto"/>
        <w:left w:val="none" w:sz="0" w:space="0" w:color="auto"/>
        <w:bottom w:val="none" w:sz="0" w:space="0" w:color="auto"/>
        <w:right w:val="none" w:sz="0" w:space="0" w:color="auto"/>
      </w:divBdr>
    </w:div>
    <w:div w:id="790784238">
      <w:bodyDiv w:val="1"/>
      <w:marLeft w:val="0"/>
      <w:marRight w:val="0"/>
      <w:marTop w:val="0"/>
      <w:marBottom w:val="0"/>
      <w:divBdr>
        <w:top w:val="none" w:sz="0" w:space="0" w:color="auto"/>
        <w:left w:val="none" w:sz="0" w:space="0" w:color="auto"/>
        <w:bottom w:val="none" w:sz="0" w:space="0" w:color="auto"/>
        <w:right w:val="none" w:sz="0" w:space="0" w:color="auto"/>
      </w:divBdr>
    </w:div>
    <w:div w:id="790898774">
      <w:bodyDiv w:val="1"/>
      <w:marLeft w:val="0"/>
      <w:marRight w:val="0"/>
      <w:marTop w:val="0"/>
      <w:marBottom w:val="0"/>
      <w:divBdr>
        <w:top w:val="none" w:sz="0" w:space="0" w:color="auto"/>
        <w:left w:val="none" w:sz="0" w:space="0" w:color="auto"/>
        <w:bottom w:val="none" w:sz="0" w:space="0" w:color="auto"/>
        <w:right w:val="none" w:sz="0" w:space="0" w:color="auto"/>
      </w:divBdr>
    </w:div>
    <w:div w:id="790905650">
      <w:bodyDiv w:val="1"/>
      <w:marLeft w:val="0"/>
      <w:marRight w:val="0"/>
      <w:marTop w:val="0"/>
      <w:marBottom w:val="0"/>
      <w:divBdr>
        <w:top w:val="none" w:sz="0" w:space="0" w:color="auto"/>
        <w:left w:val="none" w:sz="0" w:space="0" w:color="auto"/>
        <w:bottom w:val="none" w:sz="0" w:space="0" w:color="auto"/>
        <w:right w:val="none" w:sz="0" w:space="0" w:color="auto"/>
      </w:divBdr>
    </w:div>
    <w:div w:id="791097153">
      <w:bodyDiv w:val="1"/>
      <w:marLeft w:val="0"/>
      <w:marRight w:val="0"/>
      <w:marTop w:val="0"/>
      <w:marBottom w:val="0"/>
      <w:divBdr>
        <w:top w:val="none" w:sz="0" w:space="0" w:color="auto"/>
        <w:left w:val="none" w:sz="0" w:space="0" w:color="auto"/>
        <w:bottom w:val="none" w:sz="0" w:space="0" w:color="auto"/>
        <w:right w:val="none" w:sz="0" w:space="0" w:color="auto"/>
      </w:divBdr>
    </w:div>
    <w:div w:id="791166530">
      <w:bodyDiv w:val="1"/>
      <w:marLeft w:val="0"/>
      <w:marRight w:val="0"/>
      <w:marTop w:val="0"/>
      <w:marBottom w:val="0"/>
      <w:divBdr>
        <w:top w:val="none" w:sz="0" w:space="0" w:color="auto"/>
        <w:left w:val="none" w:sz="0" w:space="0" w:color="auto"/>
        <w:bottom w:val="none" w:sz="0" w:space="0" w:color="auto"/>
        <w:right w:val="none" w:sz="0" w:space="0" w:color="auto"/>
      </w:divBdr>
    </w:div>
    <w:div w:id="791443498">
      <w:bodyDiv w:val="1"/>
      <w:marLeft w:val="0"/>
      <w:marRight w:val="0"/>
      <w:marTop w:val="0"/>
      <w:marBottom w:val="0"/>
      <w:divBdr>
        <w:top w:val="none" w:sz="0" w:space="0" w:color="auto"/>
        <w:left w:val="none" w:sz="0" w:space="0" w:color="auto"/>
        <w:bottom w:val="none" w:sz="0" w:space="0" w:color="auto"/>
        <w:right w:val="none" w:sz="0" w:space="0" w:color="auto"/>
      </w:divBdr>
    </w:div>
    <w:div w:id="791483235">
      <w:bodyDiv w:val="1"/>
      <w:marLeft w:val="0"/>
      <w:marRight w:val="0"/>
      <w:marTop w:val="0"/>
      <w:marBottom w:val="0"/>
      <w:divBdr>
        <w:top w:val="none" w:sz="0" w:space="0" w:color="auto"/>
        <w:left w:val="none" w:sz="0" w:space="0" w:color="auto"/>
        <w:bottom w:val="none" w:sz="0" w:space="0" w:color="auto"/>
        <w:right w:val="none" w:sz="0" w:space="0" w:color="auto"/>
      </w:divBdr>
    </w:div>
    <w:div w:id="791484136">
      <w:bodyDiv w:val="1"/>
      <w:marLeft w:val="0"/>
      <w:marRight w:val="0"/>
      <w:marTop w:val="0"/>
      <w:marBottom w:val="0"/>
      <w:divBdr>
        <w:top w:val="none" w:sz="0" w:space="0" w:color="auto"/>
        <w:left w:val="none" w:sz="0" w:space="0" w:color="auto"/>
        <w:bottom w:val="none" w:sz="0" w:space="0" w:color="auto"/>
        <w:right w:val="none" w:sz="0" w:space="0" w:color="auto"/>
      </w:divBdr>
    </w:div>
    <w:div w:id="791486683">
      <w:bodyDiv w:val="1"/>
      <w:marLeft w:val="0"/>
      <w:marRight w:val="0"/>
      <w:marTop w:val="0"/>
      <w:marBottom w:val="0"/>
      <w:divBdr>
        <w:top w:val="none" w:sz="0" w:space="0" w:color="auto"/>
        <w:left w:val="none" w:sz="0" w:space="0" w:color="auto"/>
        <w:bottom w:val="none" w:sz="0" w:space="0" w:color="auto"/>
        <w:right w:val="none" w:sz="0" w:space="0" w:color="auto"/>
      </w:divBdr>
    </w:div>
    <w:div w:id="791556887">
      <w:bodyDiv w:val="1"/>
      <w:marLeft w:val="0"/>
      <w:marRight w:val="0"/>
      <w:marTop w:val="0"/>
      <w:marBottom w:val="0"/>
      <w:divBdr>
        <w:top w:val="none" w:sz="0" w:space="0" w:color="auto"/>
        <w:left w:val="none" w:sz="0" w:space="0" w:color="auto"/>
        <w:bottom w:val="none" w:sz="0" w:space="0" w:color="auto"/>
        <w:right w:val="none" w:sz="0" w:space="0" w:color="auto"/>
      </w:divBdr>
    </w:div>
    <w:div w:id="791749608">
      <w:bodyDiv w:val="1"/>
      <w:marLeft w:val="0"/>
      <w:marRight w:val="0"/>
      <w:marTop w:val="0"/>
      <w:marBottom w:val="0"/>
      <w:divBdr>
        <w:top w:val="none" w:sz="0" w:space="0" w:color="auto"/>
        <w:left w:val="none" w:sz="0" w:space="0" w:color="auto"/>
        <w:bottom w:val="none" w:sz="0" w:space="0" w:color="auto"/>
        <w:right w:val="none" w:sz="0" w:space="0" w:color="auto"/>
      </w:divBdr>
    </w:div>
    <w:div w:id="792476471">
      <w:bodyDiv w:val="1"/>
      <w:marLeft w:val="0"/>
      <w:marRight w:val="0"/>
      <w:marTop w:val="0"/>
      <w:marBottom w:val="0"/>
      <w:divBdr>
        <w:top w:val="none" w:sz="0" w:space="0" w:color="auto"/>
        <w:left w:val="none" w:sz="0" w:space="0" w:color="auto"/>
        <w:bottom w:val="none" w:sz="0" w:space="0" w:color="auto"/>
        <w:right w:val="none" w:sz="0" w:space="0" w:color="auto"/>
      </w:divBdr>
    </w:div>
    <w:div w:id="792597062">
      <w:bodyDiv w:val="1"/>
      <w:marLeft w:val="0"/>
      <w:marRight w:val="0"/>
      <w:marTop w:val="0"/>
      <w:marBottom w:val="0"/>
      <w:divBdr>
        <w:top w:val="none" w:sz="0" w:space="0" w:color="auto"/>
        <w:left w:val="none" w:sz="0" w:space="0" w:color="auto"/>
        <w:bottom w:val="none" w:sz="0" w:space="0" w:color="auto"/>
        <w:right w:val="none" w:sz="0" w:space="0" w:color="auto"/>
      </w:divBdr>
    </w:div>
    <w:div w:id="792598472">
      <w:bodyDiv w:val="1"/>
      <w:marLeft w:val="0"/>
      <w:marRight w:val="0"/>
      <w:marTop w:val="0"/>
      <w:marBottom w:val="0"/>
      <w:divBdr>
        <w:top w:val="none" w:sz="0" w:space="0" w:color="auto"/>
        <w:left w:val="none" w:sz="0" w:space="0" w:color="auto"/>
        <w:bottom w:val="none" w:sz="0" w:space="0" w:color="auto"/>
        <w:right w:val="none" w:sz="0" w:space="0" w:color="auto"/>
      </w:divBdr>
    </w:div>
    <w:div w:id="792678546">
      <w:bodyDiv w:val="1"/>
      <w:marLeft w:val="0"/>
      <w:marRight w:val="0"/>
      <w:marTop w:val="0"/>
      <w:marBottom w:val="0"/>
      <w:divBdr>
        <w:top w:val="none" w:sz="0" w:space="0" w:color="auto"/>
        <w:left w:val="none" w:sz="0" w:space="0" w:color="auto"/>
        <w:bottom w:val="none" w:sz="0" w:space="0" w:color="auto"/>
        <w:right w:val="none" w:sz="0" w:space="0" w:color="auto"/>
      </w:divBdr>
    </w:div>
    <w:div w:id="792865461">
      <w:bodyDiv w:val="1"/>
      <w:marLeft w:val="0"/>
      <w:marRight w:val="0"/>
      <w:marTop w:val="0"/>
      <w:marBottom w:val="0"/>
      <w:divBdr>
        <w:top w:val="none" w:sz="0" w:space="0" w:color="auto"/>
        <w:left w:val="none" w:sz="0" w:space="0" w:color="auto"/>
        <w:bottom w:val="none" w:sz="0" w:space="0" w:color="auto"/>
        <w:right w:val="none" w:sz="0" w:space="0" w:color="auto"/>
      </w:divBdr>
    </w:div>
    <w:div w:id="792866732">
      <w:bodyDiv w:val="1"/>
      <w:marLeft w:val="0"/>
      <w:marRight w:val="0"/>
      <w:marTop w:val="0"/>
      <w:marBottom w:val="0"/>
      <w:divBdr>
        <w:top w:val="none" w:sz="0" w:space="0" w:color="auto"/>
        <w:left w:val="none" w:sz="0" w:space="0" w:color="auto"/>
        <w:bottom w:val="none" w:sz="0" w:space="0" w:color="auto"/>
        <w:right w:val="none" w:sz="0" w:space="0" w:color="auto"/>
      </w:divBdr>
    </w:div>
    <w:div w:id="792947237">
      <w:bodyDiv w:val="1"/>
      <w:marLeft w:val="0"/>
      <w:marRight w:val="0"/>
      <w:marTop w:val="0"/>
      <w:marBottom w:val="0"/>
      <w:divBdr>
        <w:top w:val="none" w:sz="0" w:space="0" w:color="auto"/>
        <w:left w:val="none" w:sz="0" w:space="0" w:color="auto"/>
        <w:bottom w:val="none" w:sz="0" w:space="0" w:color="auto"/>
        <w:right w:val="none" w:sz="0" w:space="0" w:color="auto"/>
      </w:divBdr>
    </w:div>
    <w:div w:id="793060654">
      <w:bodyDiv w:val="1"/>
      <w:marLeft w:val="0"/>
      <w:marRight w:val="0"/>
      <w:marTop w:val="0"/>
      <w:marBottom w:val="0"/>
      <w:divBdr>
        <w:top w:val="none" w:sz="0" w:space="0" w:color="auto"/>
        <w:left w:val="none" w:sz="0" w:space="0" w:color="auto"/>
        <w:bottom w:val="none" w:sz="0" w:space="0" w:color="auto"/>
        <w:right w:val="none" w:sz="0" w:space="0" w:color="auto"/>
      </w:divBdr>
    </w:div>
    <w:div w:id="793061748">
      <w:bodyDiv w:val="1"/>
      <w:marLeft w:val="0"/>
      <w:marRight w:val="0"/>
      <w:marTop w:val="0"/>
      <w:marBottom w:val="0"/>
      <w:divBdr>
        <w:top w:val="none" w:sz="0" w:space="0" w:color="auto"/>
        <w:left w:val="none" w:sz="0" w:space="0" w:color="auto"/>
        <w:bottom w:val="none" w:sz="0" w:space="0" w:color="auto"/>
        <w:right w:val="none" w:sz="0" w:space="0" w:color="auto"/>
      </w:divBdr>
    </w:div>
    <w:div w:id="793136240">
      <w:bodyDiv w:val="1"/>
      <w:marLeft w:val="0"/>
      <w:marRight w:val="0"/>
      <w:marTop w:val="0"/>
      <w:marBottom w:val="0"/>
      <w:divBdr>
        <w:top w:val="none" w:sz="0" w:space="0" w:color="auto"/>
        <w:left w:val="none" w:sz="0" w:space="0" w:color="auto"/>
        <w:bottom w:val="none" w:sz="0" w:space="0" w:color="auto"/>
        <w:right w:val="none" w:sz="0" w:space="0" w:color="auto"/>
      </w:divBdr>
    </w:div>
    <w:div w:id="793404891">
      <w:bodyDiv w:val="1"/>
      <w:marLeft w:val="0"/>
      <w:marRight w:val="0"/>
      <w:marTop w:val="0"/>
      <w:marBottom w:val="0"/>
      <w:divBdr>
        <w:top w:val="none" w:sz="0" w:space="0" w:color="auto"/>
        <w:left w:val="none" w:sz="0" w:space="0" w:color="auto"/>
        <w:bottom w:val="none" w:sz="0" w:space="0" w:color="auto"/>
        <w:right w:val="none" w:sz="0" w:space="0" w:color="auto"/>
      </w:divBdr>
    </w:div>
    <w:div w:id="793865580">
      <w:bodyDiv w:val="1"/>
      <w:marLeft w:val="0"/>
      <w:marRight w:val="0"/>
      <w:marTop w:val="0"/>
      <w:marBottom w:val="0"/>
      <w:divBdr>
        <w:top w:val="none" w:sz="0" w:space="0" w:color="auto"/>
        <w:left w:val="none" w:sz="0" w:space="0" w:color="auto"/>
        <w:bottom w:val="none" w:sz="0" w:space="0" w:color="auto"/>
        <w:right w:val="none" w:sz="0" w:space="0" w:color="auto"/>
      </w:divBdr>
    </w:div>
    <w:div w:id="794101809">
      <w:bodyDiv w:val="1"/>
      <w:marLeft w:val="0"/>
      <w:marRight w:val="0"/>
      <w:marTop w:val="0"/>
      <w:marBottom w:val="0"/>
      <w:divBdr>
        <w:top w:val="none" w:sz="0" w:space="0" w:color="auto"/>
        <w:left w:val="none" w:sz="0" w:space="0" w:color="auto"/>
        <w:bottom w:val="none" w:sz="0" w:space="0" w:color="auto"/>
        <w:right w:val="none" w:sz="0" w:space="0" w:color="auto"/>
      </w:divBdr>
    </w:div>
    <w:div w:id="794131373">
      <w:bodyDiv w:val="1"/>
      <w:marLeft w:val="0"/>
      <w:marRight w:val="0"/>
      <w:marTop w:val="0"/>
      <w:marBottom w:val="0"/>
      <w:divBdr>
        <w:top w:val="none" w:sz="0" w:space="0" w:color="auto"/>
        <w:left w:val="none" w:sz="0" w:space="0" w:color="auto"/>
        <w:bottom w:val="none" w:sz="0" w:space="0" w:color="auto"/>
        <w:right w:val="none" w:sz="0" w:space="0" w:color="auto"/>
      </w:divBdr>
    </w:div>
    <w:div w:id="794175394">
      <w:bodyDiv w:val="1"/>
      <w:marLeft w:val="0"/>
      <w:marRight w:val="0"/>
      <w:marTop w:val="0"/>
      <w:marBottom w:val="0"/>
      <w:divBdr>
        <w:top w:val="none" w:sz="0" w:space="0" w:color="auto"/>
        <w:left w:val="none" w:sz="0" w:space="0" w:color="auto"/>
        <w:bottom w:val="none" w:sz="0" w:space="0" w:color="auto"/>
        <w:right w:val="none" w:sz="0" w:space="0" w:color="auto"/>
      </w:divBdr>
    </w:div>
    <w:div w:id="794369271">
      <w:bodyDiv w:val="1"/>
      <w:marLeft w:val="0"/>
      <w:marRight w:val="0"/>
      <w:marTop w:val="0"/>
      <w:marBottom w:val="0"/>
      <w:divBdr>
        <w:top w:val="none" w:sz="0" w:space="0" w:color="auto"/>
        <w:left w:val="none" w:sz="0" w:space="0" w:color="auto"/>
        <w:bottom w:val="none" w:sz="0" w:space="0" w:color="auto"/>
        <w:right w:val="none" w:sz="0" w:space="0" w:color="auto"/>
      </w:divBdr>
    </w:div>
    <w:div w:id="794493446">
      <w:bodyDiv w:val="1"/>
      <w:marLeft w:val="0"/>
      <w:marRight w:val="0"/>
      <w:marTop w:val="0"/>
      <w:marBottom w:val="0"/>
      <w:divBdr>
        <w:top w:val="none" w:sz="0" w:space="0" w:color="auto"/>
        <w:left w:val="none" w:sz="0" w:space="0" w:color="auto"/>
        <w:bottom w:val="none" w:sz="0" w:space="0" w:color="auto"/>
        <w:right w:val="none" w:sz="0" w:space="0" w:color="auto"/>
      </w:divBdr>
    </w:div>
    <w:div w:id="794905560">
      <w:bodyDiv w:val="1"/>
      <w:marLeft w:val="0"/>
      <w:marRight w:val="0"/>
      <w:marTop w:val="0"/>
      <w:marBottom w:val="0"/>
      <w:divBdr>
        <w:top w:val="none" w:sz="0" w:space="0" w:color="auto"/>
        <w:left w:val="none" w:sz="0" w:space="0" w:color="auto"/>
        <w:bottom w:val="none" w:sz="0" w:space="0" w:color="auto"/>
        <w:right w:val="none" w:sz="0" w:space="0" w:color="auto"/>
      </w:divBdr>
    </w:div>
    <w:div w:id="795173003">
      <w:bodyDiv w:val="1"/>
      <w:marLeft w:val="0"/>
      <w:marRight w:val="0"/>
      <w:marTop w:val="0"/>
      <w:marBottom w:val="0"/>
      <w:divBdr>
        <w:top w:val="none" w:sz="0" w:space="0" w:color="auto"/>
        <w:left w:val="none" w:sz="0" w:space="0" w:color="auto"/>
        <w:bottom w:val="none" w:sz="0" w:space="0" w:color="auto"/>
        <w:right w:val="none" w:sz="0" w:space="0" w:color="auto"/>
      </w:divBdr>
    </w:div>
    <w:div w:id="795219110">
      <w:bodyDiv w:val="1"/>
      <w:marLeft w:val="0"/>
      <w:marRight w:val="0"/>
      <w:marTop w:val="0"/>
      <w:marBottom w:val="0"/>
      <w:divBdr>
        <w:top w:val="none" w:sz="0" w:space="0" w:color="auto"/>
        <w:left w:val="none" w:sz="0" w:space="0" w:color="auto"/>
        <w:bottom w:val="none" w:sz="0" w:space="0" w:color="auto"/>
        <w:right w:val="none" w:sz="0" w:space="0" w:color="auto"/>
      </w:divBdr>
    </w:div>
    <w:div w:id="795490788">
      <w:bodyDiv w:val="1"/>
      <w:marLeft w:val="0"/>
      <w:marRight w:val="0"/>
      <w:marTop w:val="0"/>
      <w:marBottom w:val="0"/>
      <w:divBdr>
        <w:top w:val="none" w:sz="0" w:space="0" w:color="auto"/>
        <w:left w:val="none" w:sz="0" w:space="0" w:color="auto"/>
        <w:bottom w:val="none" w:sz="0" w:space="0" w:color="auto"/>
        <w:right w:val="none" w:sz="0" w:space="0" w:color="auto"/>
      </w:divBdr>
    </w:div>
    <w:div w:id="795756004">
      <w:bodyDiv w:val="1"/>
      <w:marLeft w:val="0"/>
      <w:marRight w:val="0"/>
      <w:marTop w:val="0"/>
      <w:marBottom w:val="0"/>
      <w:divBdr>
        <w:top w:val="none" w:sz="0" w:space="0" w:color="auto"/>
        <w:left w:val="none" w:sz="0" w:space="0" w:color="auto"/>
        <w:bottom w:val="none" w:sz="0" w:space="0" w:color="auto"/>
        <w:right w:val="none" w:sz="0" w:space="0" w:color="auto"/>
      </w:divBdr>
    </w:div>
    <w:div w:id="795878412">
      <w:bodyDiv w:val="1"/>
      <w:marLeft w:val="0"/>
      <w:marRight w:val="0"/>
      <w:marTop w:val="0"/>
      <w:marBottom w:val="0"/>
      <w:divBdr>
        <w:top w:val="none" w:sz="0" w:space="0" w:color="auto"/>
        <w:left w:val="none" w:sz="0" w:space="0" w:color="auto"/>
        <w:bottom w:val="none" w:sz="0" w:space="0" w:color="auto"/>
        <w:right w:val="none" w:sz="0" w:space="0" w:color="auto"/>
      </w:divBdr>
    </w:div>
    <w:div w:id="795879488">
      <w:bodyDiv w:val="1"/>
      <w:marLeft w:val="0"/>
      <w:marRight w:val="0"/>
      <w:marTop w:val="0"/>
      <w:marBottom w:val="0"/>
      <w:divBdr>
        <w:top w:val="none" w:sz="0" w:space="0" w:color="auto"/>
        <w:left w:val="none" w:sz="0" w:space="0" w:color="auto"/>
        <w:bottom w:val="none" w:sz="0" w:space="0" w:color="auto"/>
        <w:right w:val="none" w:sz="0" w:space="0" w:color="auto"/>
      </w:divBdr>
    </w:div>
    <w:div w:id="796223217">
      <w:bodyDiv w:val="1"/>
      <w:marLeft w:val="0"/>
      <w:marRight w:val="0"/>
      <w:marTop w:val="0"/>
      <w:marBottom w:val="0"/>
      <w:divBdr>
        <w:top w:val="none" w:sz="0" w:space="0" w:color="auto"/>
        <w:left w:val="none" w:sz="0" w:space="0" w:color="auto"/>
        <w:bottom w:val="none" w:sz="0" w:space="0" w:color="auto"/>
        <w:right w:val="none" w:sz="0" w:space="0" w:color="auto"/>
      </w:divBdr>
    </w:div>
    <w:div w:id="796459138">
      <w:bodyDiv w:val="1"/>
      <w:marLeft w:val="0"/>
      <w:marRight w:val="0"/>
      <w:marTop w:val="0"/>
      <w:marBottom w:val="0"/>
      <w:divBdr>
        <w:top w:val="none" w:sz="0" w:space="0" w:color="auto"/>
        <w:left w:val="none" w:sz="0" w:space="0" w:color="auto"/>
        <w:bottom w:val="none" w:sz="0" w:space="0" w:color="auto"/>
        <w:right w:val="none" w:sz="0" w:space="0" w:color="auto"/>
      </w:divBdr>
    </w:div>
    <w:div w:id="796491738">
      <w:bodyDiv w:val="1"/>
      <w:marLeft w:val="0"/>
      <w:marRight w:val="0"/>
      <w:marTop w:val="0"/>
      <w:marBottom w:val="0"/>
      <w:divBdr>
        <w:top w:val="none" w:sz="0" w:space="0" w:color="auto"/>
        <w:left w:val="none" w:sz="0" w:space="0" w:color="auto"/>
        <w:bottom w:val="none" w:sz="0" w:space="0" w:color="auto"/>
        <w:right w:val="none" w:sz="0" w:space="0" w:color="auto"/>
      </w:divBdr>
    </w:div>
    <w:div w:id="796532459">
      <w:bodyDiv w:val="1"/>
      <w:marLeft w:val="0"/>
      <w:marRight w:val="0"/>
      <w:marTop w:val="0"/>
      <w:marBottom w:val="0"/>
      <w:divBdr>
        <w:top w:val="none" w:sz="0" w:space="0" w:color="auto"/>
        <w:left w:val="none" w:sz="0" w:space="0" w:color="auto"/>
        <w:bottom w:val="none" w:sz="0" w:space="0" w:color="auto"/>
        <w:right w:val="none" w:sz="0" w:space="0" w:color="auto"/>
      </w:divBdr>
    </w:div>
    <w:div w:id="796602222">
      <w:bodyDiv w:val="1"/>
      <w:marLeft w:val="0"/>
      <w:marRight w:val="0"/>
      <w:marTop w:val="0"/>
      <w:marBottom w:val="0"/>
      <w:divBdr>
        <w:top w:val="none" w:sz="0" w:space="0" w:color="auto"/>
        <w:left w:val="none" w:sz="0" w:space="0" w:color="auto"/>
        <w:bottom w:val="none" w:sz="0" w:space="0" w:color="auto"/>
        <w:right w:val="none" w:sz="0" w:space="0" w:color="auto"/>
      </w:divBdr>
    </w:div>
    <w:div w:id="796722262">
      <w:bodyDiv w:val="1"/>
      <w:marLeft w:val="0"/>
      <w:marRight w:val="0"/>
      <w:marTop w:val="0"/>
      <w:marBottom w:val="0"/>
      <w:divBdr>
        <w:top w:val="none" w:sz="0" w:space="0" w:color="auto"/>
        <w:left w:val="none" w:sz="0" w:space="0" w:color="auto"/>
        <w:bottom w:val="none" w:sz="0" w:space="0" w:color="auto"/>
        <w:right w:val="none" w:sz="0" w:space="0" w:color="auto"/>
      </w:divBdr>
    </w:div>
    <w:div w:id="796725261">
      <w:bodyDiv w:val="1"/>
      <w:marLeft w:val="0"/>
      <w:marRight w:val="0"/>
      <w:marTop w:val="0"/>
      <w:marBottom w:val="0"/>
      <w:divBdr>
        <w:top w:val="none" w:sz="0" w:space="0" w:color="auto"/>
        <w:left w:val="none" w:sz="0" w:space="0" w:color="auto"/>
        <w:bottom w:val="none" w:sz="0" w:space="0" w:color="auto"/>
        <w:right w:val="none" w:sz="0" w:space="0" w:color="auto"/>
      </w:divBdr>
    </w:div>
    <w:div w:id="796875147">
      <w:bodyDiv w:val="1"/>
      <w:marLeft w:val="0"/>
      <w:marRight w:val="0"/>
      <w:marTop w:val="0"/>
      <w:marBottom w:val="0"/>
      <w:divBdr>
        <w:top w:val="none" w:sz="0" w:space="0" w:color="auto"/>
        <w:left w:val="none" w:sz="0" w:space="0" w:color="auto"/>
        <w:bottom w:val="none" w:sz="0" w:space="0" w:color="auto"/>
        <w:right w:val="none" w:sz="0" w:space="0" w:color="auto"/>
      </w:divBdr>
    </w:div>
    <w:div w:id="797145993">
      <w:bodyDiv w:val="1"/>
      <w:marLeft w:val="0"/>
      <w:marRight w:val="0"/>
      <w:marTop w:val="0"/>
      <w:marBottom w:val="0"/>
      <w:divBdr>
        <w:top w:val="none" w:sz="0" w:space="0" w:color="auto"/>
        <w:left w:val="none" w:sz="0" w:space="0" w:color="auto"/>
        <w:bottom w:val="none" w:sz="0" w:space="0" w:color="auto"/>
        <w:right w:val="none" w:sz="0" w:space="0" w:color="auto"/>
      </w:divBdr>
    </w:div>
    <w:div w:id="797381295">
      <w:bodyDiv w:val="1"/>
      <w:marLeft w:val="0"/>
      <w:marRight w:val="0"/>
      <w:marTop w:val="0"/>
      <w:marBottom w:val="0"/>
      <w:divBdr>
        <w:top w:val="none" w:sz="0" w:space="0" w:color="auto"/>
        <w:left w:val="none" w:sz="0" w:space="0" w:color="auto"/>
        <w:bottom w:val="none" w:sz="0" w:space="0" w:color="auto"/>
        <w:right w:val="none" w:sz="0" w:space="0" w:color="auto"/>
      </w:divBdr>
    </w:div>
    <w:div w:id="797408574">
      <w:bodyDiv w:val="1"/>
      <w:marLeft w:val="0"/>
      <w:marRight w:val="0"/>
      <w:marTop w:val="0"/>
      <w:marBottom w:val="0"/>
      <w:divBdr>
        <w:top w:val="none" w:sz="0" w:space="0" w:color="auto"/>
        <w:left w:val="none" w:sz="0" w:space="0" w:color="auto"/>
        <w:bottom w:val="none" w:sz="0" w:space="0" w:color="auto"/>
        <w:right w:val="none" w:sz="0" w:space="0" w:color="auto"/>
      </w:divBdr>
    </w:div>
    <w:div w:id="797643851">
      <w:bodyDiv w:val="1"/>
      <w:marLeft w:val="0"/>
      <w:marRight w:val="0"/>
      <w:marTop w:val="0"/>
      <w:marBottom w:val="0"/>
      <w:divBdr>
        <w:top w:val="none" w:sz="0" w:space="0" w:color="auto"/>
        <w:left w:val="none" w:sz="0" w:space="0" w:color="auto"/>
        <w:bottom w:val="none" w:sz="0" w:space="0" w:color="auto"/>
        <w:right w:val="none" w:sz="0" w:space="0" w:color="auto"/>
      </w:divBdr>
    </w:div>
    <w:div w:id="797840514">
      <w:bodyDiv w:val="1"/>
      <w:marLeft w:val="0"/>
      <w:marRight w:val="0"/>
      <w:marTop w:val="0"/>
      <w:marBottom w:val="0"/>
      <w:divBdr>
        <w:top w:val="none" w:sz="0" w:space="0" w:color="auto"/>
        <w:left w:val="none" w:sz="0" w:space="0" w:color="auto"/>
        <w:bottom w:val="none" w:sz="0" w:space="0" w:color="auto"/>
        <w:right w:val="none" w:sz="0" w:space="0" w:color="auto"/>
      </w:divBdr>
    </w:div>
    <w:div w:id="797845416">
      <w:bodyDiv w:val="1"/>
      <w:marLeft w:val="0"/>
      <w:marRight w:val="0"/>
      <w:marTop w:val="0"/>
      <w:marBottom w:val="0"/>
      <w:divBdr>
        <w:top w:val="none" w:sz="0" w:space="0" w:color="auto"/>
        <w:left w:val="none" w:sz="0" w:space="0" w:color="auto"/>
        <w:bottom w:val="none" w:sz="0" w:space="0" w:color="auto"/>
        <w:right w:val="none" w:sz="0" w:space="0" w:color="auto"/>
      </w:divBdr>
    </w:div>
    <w:div w:id="798032119">
      <w:bodyDiv w:val="1"/>
      <w:marLeft w:val="0"/>
      <w:marRight w:val="0"/>
      <w:marTop w:val="0"/>
      <w:marBottom w:val="0"/>
      <w:divBdr>
        <w:top w:val="none" w:sz="0" w:space="0" w:color="auto"/>
        <w:left w:val="none" w:sz="0" w:space="0" w:color="auto"/>
        <w:bottom w:val="none" w:sz="0" w:space="0" w:color="auto"/>
        <w:right w:val="none" w:sz="0" w:space="0" w:color="auto"/>
      </w:divBdr>
    </w:div>
    <w:div w:id="798113709">
      <w:bodyDiv w:val="1"/>
      <w:marLeft w:val="0"/>
      <w:marRight w:val="0"/>
      <w:marTop w:val="0"/>
      <w:marBottom w:val="0"/>
      <w:divBdr>
        <w:top w:val="none" w:sz="0" w:space="0" w:color="auto"/>
        <w:left w:val="none" w:sz="0" w:space="0" w:color="auto"/>
        <w:bottom w:val="none" w:sz="0" w:space="0" w:color="auto"/>
        <w:right w:val="none" w:sz="0" w:space="0" w:color="auto"/>
      </w:divBdr>
    </w:div>
    <w:div w:id="798495086">
      <w:bodyDiv w:val="1"/>
      <w:marLeft w:val="0"/>
      <w:marRight w:val="0"/>
      <w:marTop w:val="0"/>
      <w:marBottom w:val="0"/>
      <w:divBdr>
        <w:top w:val="none" w:sz="0" w:space="0" w:color="auto"/>
        <w:left w:val="none" w:sz="0" w:space="0" w:color="auto"/>
        <w:bottom w:val="none" w:sz="0" w:space="0" w:color="auto"/>
        <w:right w:val="none" w:sz="0" w:space="0" w:color="auto"/>
      </w:divBdr>
    </w:div>
    <w:div w:id="798837047">
      <w:bodyDiv w:val="1"/>
      <w:marLeft w:val="0"/>
      <w:marRight w:val="0"/>
      <w:marTop w:val="0"/>
      <w:marBottom w:val="0"/>
      <w:divBdr>
        <w:top w:val="none" w:sz="0" w:space="0" w:color="auto"/>
        <w:left w:val="none" w:sz="0" w:space="0" w:color="auto"/>
        <w:bottom w:val="none" w:sz="0" w:space="0" w:color="auto"/>
        <w:right w:val="none" w:sz="0" w:space="0" w:color="auto"/>
      </w:divBdr>
    </w:div>
    <w:div w:id="798886425">
      <w:bodyDiv w:val="1"/>
      <w:marLeft w:val="0"/>
      <w:marRight w:val="0"/>
      <w:marTop w:val="0"/>
      <w:marBottom w:val="0"/>
      <w:divBdr>
        <w:top w:val="none" w:sz="0" w:space="0" w:color="auto"/>
        <w:left w:val="none" w:sz="0" w:space="0" w:color="auto"/>
        <w:bottom w:val="none" w:sz="0" w:space="0" w:color="auto"/>
        <w:right w:val="none" w:sz="0" w:space="0" w:color="auto"/>
      </w:divBdr>
    </w:div>
    <w:div w:id="798955154">
      <w:bodyDiv w:val="1"/>
      <w:marLeft w:val="0"/>
      <w:marRight w:val="0"/>
      <w:marTop w:val="0"/>
      <w:marBottom w:val="0"/>
      <w:divBdr>
        <w:top w:val="none" w:sz="0" w:space="0" w:color="auto"/>
        <w:left w:val="none" w:sz="0" w:space="0" w:color="auto"/>
        <w:bottom w:val="none" w:sz="0" w:space="0" w:color="auto"/>
        <w:right w:val="none" w:sz="0" w:space="0" w:color="auto"/>
      </w:divBdr>
    </w:div>
    <w:div w:id="799342656">
      <w:bodyDiv w:val="1"/>
      <w:marLeft w:val="0"/>
      <w:marRight w:val="0"/>
      <w:marTop w:val="0"/>
      <w:marBottom w:val="0"/>
      <w:divBdr>
        <w:top w:val="none" w:sz="0" w:space="0" w:color="auto"/>
        <w:left w:val="none" w:sz="0" w:space="0" w:color="auto"/>
        <w:bottom w:val="none" w:sz="0" w:space="0" w:color="auto"/>
        <w:right w:val="none" w:sz="0" w:space="0" w:color="auto"/>
      </w:divBdr>
    </w:div>
    <w:div w:id="799566453">
      <w:bodyDiv w:val="1"/>
      <w:marLeft w:val="0"/>
      <w:marRight w:val="0"/>
      <w:marTop w:val="0"/>
      <w:marBottom w:val="0"/>
      <w:divBdr>
        <w:top w:val="none" w:sz="0" w:space="0" w:color="auto"/>
        <w:left w:val="none" w:sz="0" w:space="0" w:color="auto"/>
        <w:bottom w:val="none" w:sz="0" w:space="0" w:color="auto"/>
        <w:right w:val="none" w:sz="0" w:space="0" w:color="auto"/>
      </w:divBdr>
    </w:div>
    <w:div w:id="800028770">
      <w:bodyDiv w:val="1"/>
      <w:marLeft w:val="0"/>
      <w:marRight w:val="0"/>
      <w:marTop w:val="0"/>
      <w:marBottom w:val="0"/>
      <w:divBdr>
        <w:top w:val="none" w:sz="0" w:space="0" w:color="auto"/>
        <w:left w:val="none" w:sz="0" w:space="0" w:color="auto"/>
        <w:bottom w:val="none" w:sz="0" w:space="0" w:color="auto"/>
        <w:right w:val="none" w:sz="0" w:space="0" w:color="auto"/>
      </w:divBdr>
    </w:div>
    <w:div w:id="800146746">
      <w:bodyDiv w:val="1"/>
      <w:marLeft w:val="0"/>
      <w:marRight w:val="0"/>
      <w:marTop w:val="0"/>
      <w:marBottom w:val="0"/>
      <w:divBdr>
        <w:top w:val="none" w:sz="0" w:space="0" w:color="auto"/>
        <w:left w:val="none" w:sz="0" w:space="0" w:color="auto"/>
        <w:bottom w:val="none" w:sz="0" w:space="0" w:color="auto"/>
        <w:right w:val="none" w:sz="0" w:space="0" w:color="auto"/>
      </w:divBdr>
    </w:div>
    <w:div w:id="801653631">
      <w:bodyDiv w:val="1"/>
      <w:marLeft w:val="0"/>
      <w:marRight w:val="0"/>
      <w:marTop w:val="0"/>
      <w:marBottom w:val="0"/>
      <w:divBdr>
        <w:top w:val="none" w:sz="0" w:space="0" w:color="auto"/>
        <w:left w:val="none" w:sz="0" w:space="0" w:color="auto"/>
        <w:bottom w:val="none" w:sz="0" w:space="0" w:color="auto"/>
        <w:right w:val="none" w:sz="0" w:space="0" w:color="auto"/>
      </w:divBdr>
    </w:div>
    <w:div w:id="802046007">
      <w:bodyDiv w:val="1"/>
      <w:marLeft w:val="0"/>
      <w:marRight w:val="0"/>
      <w:marTop w:val="0"/>
      <w:marBottom w:val="0"/>
      <w:divBdr>
        <w:top w:val="none" w:sz="0" w:space="0" w:color="auto"/>
        <w:left w:val="none" w:sz="0" w:space="0" w:color="auto"/>
        <w:bottom w:val="none" w:sz="0" w:space="0" w:color="auto"/>
        <w:right w:val="none" w:sz="0" w:space="0" w:color="auto"/>
      </w:divBdr>
    </w:div>
    <w:div w:id="802187910">
      <w:bodyDiv w:val="1"/>
      <w:marLeft w:val="0"/>
      <w:marRight w:val="0"/>
      <w:marTop w:val="0"/>
      <w:marBottom w:val="0"/>
      <w:divBdr>
        <w:top w:val="none" w:sz="0" w:space="0" w:color="auto"/>
        <w:left w:val="none" w:sz="0" w:space="0" w:color="auto"/>
        <w:bottom w:val="none" w:sz="0" w:space="0" w:color="auto"/>
        <w:right w:val="none" w:sz="0" w:space="0" w:color="auto"/>
      </w:divBdr>
    </w:div>
    <w:div w:id="802695208">
      <w:bodyDiv w:val="1"/>
      <w:marLeft w:val="0"/>
      <w:marRight w:val="0"/>
      <w:marTop w:val="0"/>
      <w:marBottom w:val="0"/>
      <w:divBdr>
        <w:top w:val="none" w:sz="0" w:space="0" w:color="auto"/>
        <w:left w:val="none" w:sz="0" w:space="0" w:color="auto"/>
        <w:bottom w:val="none" w:sz="0" w:space="0" w:color="auto"/>
        <w:right w:val="none" w:sz="0" w:space="0" w:color="auto"/>
      </w:divBdr>
    </w:div>
    <w:div w:id="803045270">
      <w:bodyDiv w:val="1"/>
      <w:marLeft w:val="0"/>
      <w:marRight w:val="0"/>
      <w:marTop w:val="0"/>
      <w:marBottom w:val="0"/>
      <w:divBdr>
        <w:top w:val="none" w:sz="0" w:space="0" w:color="auto"/>
        <w:left w:val="none" w:sz="0" w:space="0" w:color="auto"/>
        <w:bottom w:val="none" w:sz="0" w:space="0" w:color="auto"/>
        <w:right w:val="none" w:sz="0" w:space="0" w:color="auto"/>
      </w:divBdr>
    </w:div>
    <w:div w:id="803084027">
      <w:bodyDiv w:val="1"/>
      <w:marLeft w:val="0"/>
      <w:marRight w:val="0"/>
      <w:marTop w:val="0"/>
      <w:marBottom w:val="0"/>
      <w:divBdr>
        <w:top w:val="none" w:sz="0" w:space="0" w:color="auto"/>
        <w:left w:val="none" w:sz="0" w:space="0" w:color="auto"/>
        <w:bottom w:val="none" w:sz="0" w:space="0" w:color="auto"/>
        <w:right w:val="none" w:sz="0" w:space="0" w:color="auto"/>
      </w:divBdr>
    </w:div>
    <w:div w:id="803275721">
      <w:bodyDiv w:val="1"/>
      <w:marLeft w:val="0"/>
      <w:marRight w:val="0"/>
      <w:marTop w:val="0"/>
      <w:marBottom w:val="0"/>
      <w:divBdr>
        <w:top w:val="none" w:sz="0" w:space="0" w:color="auto"/>
        <w:left w:val="none" w:sz="0" w:space="0" w:color="auto"/>
        <w:bottom w:val="none" w:sz="0" w:space="0" w:color="auto"/>
        <w:right w:val="none" w:sz="0" w:space="0" w:color="auto"/>
      </w:divBdr>
    </w:div>
    <w:div w:id="803279116">
      <w:bodyDiv w:val="1"/>
      <w:marLeft w:val="0"/>
      <w:marRight w:val="0"/>
      <w:marTop w:val="0"/>
      <w:marBottom w:val="0"/>
      <w:divBdr>
        <w:top w:val="none" w:sz="0" w:space="0" w:color="auto"/>
        <w:left w:val="none" w:sz="0" w:space="0" w:color="auto"/>
        <w:bottom w:val="none" w:sz="0" w:space="0" w:color="auto"/>
        <w:right w:val="none" w:sz="0" w:space="0" w:color="auto"/>
      </w:divBdr>
    </w:div>
    <w:div w:id="803426765">
      <w:bodyDiv w:val="1"/>
      <w:marLeft w:val="0"/>
      <w:marRight w:val="0"/>
      <w:marTop w:val="0"/>
      <w:marBottom w:val="0"/>
      <w:divBdr>
        <w:top w:val="none" w:sz="0" w:space="0" w:color="auto"/>
        <w:left w:val="none" w:sz="0" w:space="0" w:color="auto"/>
        <w:bottom w:val="none" w:sz="0" w:space="0" w:color="auto"/>
        <w:right w:val="none" w:sz="0" w:space="0" w:color="auto"/>
      </w:divBdr>
    </w:div>
    <w:div w:id="803695886">
      <w:bodyDiv w:val="1"/>
      <w:marLeft w:val="0"/>
      <w:marRight w:val="0"/>
      <w:marTop w:val="0"/>
      <w:marBottom w:val="0"/>
      <w:divBdr>
        <w:top w:val="none" w:sz="0" w:space="0" w:color="auto"/>
        <w:left w:val="none" w:sz="0" w:space="0" w:color="auto"/>
        <w:bottom w:val="none" w:sz="0" w:space="0" w:color="auto"/>
        <w:right w:val="none" w:sz="0" w:space="0" w:color="auto"/>
      </w:divBdr>
    </w:div>
    <w:div w:id="803932770">
      <w:bodyDiv w:val="1"/>
      <w:marLeft w:val="0"/>
      <w:marRight w:val="0"/>
      <w:marTop w:val="0"/>
      <w:marBottom w:val="0"/>
      <w:divBdr>
        <w:top w:val="none" w:sz="0" w:space="0" w:color="auto"/>
        <w:left w:val="none" w:sz="0" w:space="0" w:color="auto"/>
        <w:bottom w:val="none" w:sz="0" w:space="0" w:color="auto"/>
        <w:right w:val="none" w:sz="0" w:space="0" w:color="auto"/>
      </w:divBdr>
    </w:div>
    <w:div w:id="804085208">
      <w:bodyDiv w:val="1"/>
      <w:marLeft w:val="0"/>
      <w:marRight w:val="0"/>
      <w:marTop w:val="0"/>
      <w:marBottom w:val="0"/>
      <w:divBdr>
        <w:top w:val="none" w:sz="0" w:space="0" w:color="auto"/>
        <w:left w:val="none" w:sz="0" w:space="0" w:color="auto"/>
        <w:bottom w:val="none" w:sz="0" w:space="0" w:color="auto"/>
        <w:right w:val="none" w:sz="0" w:space="0" w:color="auto"/>
      </w:divBdr>
    </w:div>
    <w:div w:id="804545690">
      <w:bodyDiv w:val="1"/>
      <w:marLeft w:val="0"/>
      <w:marRight w:val="0"/>
      <w:marTop w:val="0"/>
      <w:marBottom w:val="0"/>
      <w:divBdr>
        <w:top w:val="none" w:sz="0" w:space="0" w:color="auto"/>
        <w:left w:val="none" w:sz="0" w:space="0" w:color="auto"/>
        <w:bottom w:val="none" w:sz="0" w:space="0" w:color="auto"/>
        <w:right w:val="none" w:sz="0" w:space="0" w:color="auto"/>
      </w:divBdr>
    </w:div>
    <w:div w:id="804735542">
      <w:bodyDiv w:val="1"/>
      <w:marLeft w:val="0"/>
      <w:marRight w:val="0"/>
      <w:marTop w:val="0"/>
      <w:marBottom w:val="0"/>
      <w:divBdr>
        <w:top w:val="none" w:sz="0" w:space="0" w:color="auto"/>
        <w:left w:val="none" w:sz="0" w:space="0" w:color="auto"/>
        <w:bottom w:val="none" w:sz="0" w:space="0" w:color="auto"/>
        <w:right w:val="none" w:sz="0" w:space="0" w:color="auto"/>
      </w:divBdr>
    </w:div>
    <w:div w:id="804931307">
      <w:bodyDiv w:val="1"/>
      <w:marLeft w:val="0"/>
      <w:marRight w:val="0"/>
      <w:marTop w:val="0"/>
      <w:marBottom w:val="0"/>
      <w:divBdr>
        <w:top w:val="none" w:sz="0" w:space="0" w:color="auto"/>
        <w:left w:val="none" w:sz="0" w:space="0" w:color="auto"/>
        <w:bottom w:val="none" w:sz="0" w:space="0" w:color="auto"/>
        <w:right w:val="none" w:sz="0" w:space="0" w:color="auto"/>
      </w:divBdr>
    </w:div>
    <w:div w:id="805006052">
      <w:bodyDiv w:val="1"/>
      <w:marLeft w:val="0"/>
      <w:marRight w:val="0"/>
      <w:marTop w:val="0"/>
      <w:marBottom w:val="0"/>
      <w:divBdr>
        <w:top w:val="none" w:sz="0" w:space="0" w:color="auto"/>
        <w:left w:val="none" w:sz="0" w:space="0" w:color="auto"/>
        <w:bottom w:val="none" w:sz="0" w:space="0" w:color="auto"/>
        <w:right w:val="none" w:sz="0" w:space="0" w:color="auto"/>
      </w:divBdr>
    </w:div>
    <w:div w:id="805044585">
      <w:bodyDiv w:val="1"/>
      <w:marLeft w:val="0"/>
      <w:marRight w:val="0"/>
      <w:marTop w:val="0"/>
      <w:marBottom w:val="0"/>
      <w:divBdr>
        <w:top w:val="none" w:sz="0" w:space="0" w:color="auto"/>
        <w:left w:val="none" w:sz="0" w:space="0" w:color="auto"/>
        <w:bottom w:val="none" w:sz="0" w:space="0" w:color="auto"/>
        <w:right w:val="none" w:sz="0" w:space="0" w:color="auto"/>
      </w:divBdr>
    </w:div>
    <w:div w:id="805053423">
      <w:bodyDiv w:val="1"/>
      <w:marLeft w:val="0"/>
      <w:marRight w:val="0"/>
      <w:marTop w:val="0"/>
      <w:marBottom w:val="0"/>
      <w:divBdr>
        <w:top w:val="none" w:sz="0" w:space="0" w:color="auto"/>
        <w:left w:val="none" w:sz="0" w:space="0" w:color="auto"/>
        <w:bottom w:val="none" w:sz="0" w:space="0" w:color="auto"/>
        <w:right w:val="none" w:sz="0" w:space="0" w:color="auto"/>
      </w:divBdr>
    </w:div>
    <w:div w:id="805197878">
      <w:bodyDiv w:val="1"/>
      <w:marLeft w:val="0"/>
      <w:marRight w:val="0"/>
      <w:marTop w:val="0"/>
      <w:marBottom w:val="0"/>
      <w:divBdr>
        <w:top w:val="none" w:sz="0" w:space="0" w:color="auto"/>
        <w:left w:val="none" w:sz="0" w:space="0" w:color="auto"/>
        <w:bottom w:val="none" w:sz="0" w:space="0" w:color="auto"/>
        <w:right w:val="none" w:sz="0" w:space="0" w:color="auto"/>
      </w:divBdr>
    </w:div>
    <w:div w:id="805200370">
      <w:bodyDiv w:val="1"/>
      <w:marLeft w:val="0"/>
      <w:marRight w:val="0"/>
      <w:marTop w:val="0"/>
      <w:marBottom w:val="0"/>
      <w:divBdr>
        <w:top w:val="none" w:sz="0" w:space="0" w:color="auto"/>
        <w:left w:val="none" w:sz="0" w:space="0" w:color="auto"/>
        <w:bottom w:val="none" w:sz="0" w:space="0" w:color="auto"/>
        <w:right w:val="none" w:sz="0" w:space="0" w:color="auto"/>
      </w:divBdr>
    </w:div>
    <w:div w:id="805514202">
      <w:bodyDiv w:val="1"/>
      <w:marLeft w:val="0"/>
      <w:marRight w:val="0"/>
      <w:marTop w:val="0"/>
      <w:marBottom w:val="0"/>
      <w:divBdr>
        <w:top w:val="none" w:sz="0" w:space="0" w:color="auto"/>
        <w:left w:val="none" w:sz="0" w:space="0" w:color="auto"/>
        <w:bottom w:val="none" w:sz="0" w:space="0" w:color="auto"/>
        <w:right w:val="none" w:sz="0" w:space="0" w:color="auto"/>
      </w:divBdr>
    </w:div>
    <w:div w:id="805586349">
      <w:bodyDiv w:val="1"/>
      <w:marLeft w:val="0"/>
      <w:marRight w:val="0"/>
      <w:marTop w:val="0"/>
      <w:marBottom w:val="0"/>
      <w:divBdr>
        <w:top w:val="none" w:sz="0" w:space="0" w:color="auto"/>
        <w:left w:val="none" w:sz="0" w:space="0" w:color="auto"/>
        <w:bottom w:val="none" w:sz="0" w:space="0" w:color="auto"/>
        <w:right w:val="none" w:sz="0" w:space="0" w:color="auto"/>
      </w:divBdr>
    </w:div>
    <w:div w:id="805705772">
      <w:bodyDiv w:val="1"/>
      <w:marLeft w:val="0"/>
      <w:marRight w:val="0"/>
      <w:marTop w:val="0"/>
      <w:marBottom w:val="0"/>
      <w:divBdr>
        <w:top w:val="none" w:sz="0" w:space="0" w:color="auto"/>
        <w:left w:val="none" w:sz="0" w:space="0" w:color="auto"/>
        <w:bottom w:val="none" w:sz="0" w:space="0" w:color="auto"/>
        <w:right w:val="none" w:sz="0" w:space="0" w:color="auto"/>
      </w:divBdr>
    </w:div>
    <w:div w:id="805969296">
      <w:bodyDiv w:val="1"/>
      <w:marLeft w:val="0"/>
      <w:marRight w:val="0"/>
      <w:marTop w:val="0"/>
      <w:marBottom w:val="0"/>
      <w:divBdr>
        <w:top w:val="none" w:sz="0" w:space="0" w:color="auto"/>
        <w:left w:val="none" w:sz="0" w:space="0" w:color="auto"/>
        <w:bottom w:val="none" w:sz="0" w:space="0" w:color="auto"/>
        <w:right w:val="none" w:sz="0" w:space="0" w:color="auto"/>
      </w:divBdr>
    </w:div>
    <w:div w:id="806313268">
      <w:bodyDiv w:val="1"/>
      <w:marLeft w:val="0"/>
      <w:marRight w:val="0"/>
      <w:marTop w:val="0"/>
      <w:marBottom w:val="0"/>
      <w:divBdr>
        <w:top w:val="none" w:sz="0" w:space="0" w:color="auto"/>
        <w:left w:val="none" w:sz="0" w:space="0" w:color="auto"/>
        <w:bottom w:val="none" w:sz="0" w:space="0" w:color="auto"/>
        <w:right w:val="none" w:sz="0" w:space="0" w:color="auto"/>
      </w:divBdr>
    </w:div>
    <w:div w:id="807092253">
      <w:bodyDiv w:val="1"/>
      <w:marLeft w:val="0"/>
      <w:marRight w:val="0"/>
      <w:marTop w:val="0"/>
      <w:marBottom w:val="0"/>
      <w:divBdr>
        <w:top w:val="none" w:sz="0" w:space="0" w:color="auto"/>
        <w:left w:val="none" w:sz="0" w:space="0" w:color="auto"/>
        <w:bottom w:val="none" w:sz="0" w:space="0" w:color="auto"/>
        <w:right w:val="none" w:sz="0" w:space="0" w:color="auto"/>
      </w:divBdr>
    </w:div>
    <w:div w:id="807741210">
      <w:bodyDiv w:val="1"/>
      <w:marLeft w:val="0"/>
      <w:marRight w:val="0"/>
      <w:marTop w:val="0"/>
      <w:marBottom w:val="0"/>
      <w:divBdr>
        <w:top w:val="none" w:sz="0" w:space="0" w:color="auto"/>
        <w:left w:val="none" w:sz="0" w:space="0" w:color="auto"/>
        <w:bottom w:val="none" w:sz="0" w:space="0" w:color="auto"/>
        <w:right w:val="none" w:sz="0" w:space="0" w:color="auto"/>
      </w:divBdr>
    </w:div>
    <w:div w:id="807748048">
      <w:bodyDiv w:val="1"/>
      <w:marLeft w:val="0"/>
      <w:marRight w:val="0"/>
      <w:marTop w:val="0"/>
      <w:marBottom w:val="0"/>
      <w:divBdr>
        <w:top w:val="none" w:sz="0" w:space="0" w:color="auto"/>
        <w:left w:val="none" w:sz="0" w:space="0" w:color="auto"/>
        <w:bottom w:val="none" w:sz="0" w:space="0" w:color="auto"/>
        <w:right w:val="none" w:sz="0" w:space="0" w:color="auto"/>
      </w:divBdr>
    </w:div>
    <w:div w:id="808085146">
      <w:bodyDiv w:val="1"/>
      <w:marLeft w:val="0"/>
      <w:marRight w:val="0"/>
      <w:marTop w:val="0"/>
      <w:marBottom w:val="0"/>
      <w:divBdr>
        <w:top w:val="none" w:sz="0" w:space="0" w:color="auto"/>
        <w:left w:val="none" w:sz="0" w:space="0" w:color="auto"/>
        <w:bottom w:val="none" w:sz="0" w:space="0" w:color="auto"/>
        <w:right w:val="none" w:sz="0" w:space="0" w:color="auto"/>
      </w:divBdr>
    </w:div>
    <w:div w:id="808135414">
      <w:bodyDiv w:val="1"/>
      <w:marLeft w:val="0"/>
      <w:marRight w:val="0"/>
      <w:marTop w:val="0"/>
      <w:marBottom w:val="0"/>
      <w:divBdr>
        <w:top w:val="none" w:sz="0" w:space="0" w:color="auto"/>
        <w:left w:val="none" w:sz="0" w:space="0" w:color="auto"/>
        <w:bottom w:val="none" w:sz="0" w:space="0" w:color="auto"/>
        <w:right w:val="none" w:sz="0" w:space="0" w:color="auto"/>
      </w:divBdr>
    </w:div>
    <w:div w:id="808282457">
      <w:bodyDiv w:val="1"/>
      <w:marLeft w:val="0"/>
      <w:marRight w:val="0"/>
      <w:marTop w:val="0"/>
      <w:marBottom w:val="0"/>
      <w:divBdr>
        <w:top w:val="none" w:sz="0" w:space="0" w:color="auto"/>
        <w:left w:val="none" w:sz="0" w:space="0" w:color="auto"/>
        <w:bottom w:val="none" w:sz="0" w:space="0" w:color="auto"/>
        <w:right w:val="none" w:sz="0" w:space="0" w:color="auto"/>
      </w:divBdr>
    </w:div>
    <w:div w:id="808400437">
      <w:bodyDiv w:val="1"/>
      <w:marLeft w:val="0"/>
      <w:marRight w:val="0"/>
      <w:marTop w:val="0"/>
      <w:marBottom w:val="0"/>
      <w:divBdr>
        <w:top w:val="none" w:sz="0" w:space="0" w:color="auto"/>
        <w:left w:val="none" w:sz="0" w:space="0" w:color="auto"/>
        <w:bottom w:val="none" w:sz="0" w:space="0" w:color="auto"/>
        <w:right w:val="none" w:sz="0" w:space="0" w:color="auto"/>
      </w:divBdr>
    </w:div>
    <w:div w:id="809059827">
      <w:bodyDiv w:val="1"/>
      <w:marLeft w:val="0"/>
      <w:marRight w:val="0"/>
      <w:marTop w:val="0"/>
      <w:marBottom w:val="0"/>
      <w:divBdr>
        <w:top w:val="none" w:sz="0" w:space="0" w:color="auto"/>
        <w:left w:val="none" w:sz="0" w:space="0" w:color="auto"/>
        <w:bottom w:val="none" w:sz="0" w:space="0" w:color="auto"/>
        <w:right w:val="none" w:sz="0" w:space="0" w:color="auto"/>
      </w:divBdr>
    </w:div>
    <w:div w:id="809597581">
      <w:bodyDiv w:val="1"/>
      <w:marLeft w:val="0"/>
      <w:marRight w:val="0"/>
      <w:marTop w:val="0"/>
      <w:marBottom w:val="0"/>
      <w:divBdr>
        <w:top w:val="none" w:sz="0" w:space="0" w:color="auto"/>
        <w:left w:val="none" w:sz="0" w:space="0" w:color="auto"/>
        <w:bottom w:val="none" w:sz="0" w:space="0" w:color="auto"/>
        <w:right w:val="none" w:sz="0" w:space="0" w:color="auto"/>
      </w:divBdr>
    </w:div>
    <w:div w:id="809638628">
      <w:bodyDiv w:val="1"/>
      <w:marLeft w:val="0"/>
      <w:marRight w:val="0"/>
      <w:marTop w:val="0"/>
      <w:marBottom w:val="0"/>
      <w:divBdr>
        <w:top w:val="none" w:sz="0" w:space="0" w:color="auto"/>
        <w:left w:val="none" w:sz="0" w:space="0" w:color="auto"/>
        <w:bottom w:val="none" w:sz="0" w:space="0" w:color="auto"/>
        <w:right w:val="none" w:sz="0" w:space="0" w:color="auto"/>
      </w:divBdr>
    </w:div>
    <w:div w:id="809708493">
      <w:bodyDiv w:val="1"/>
      <w:marLeft w:val="0"/>
      <w:marRight w:val="0"/>
      <w:marTop w:val="0"/>
      <w:marBottom w:val="0"/>
      <w:divBdr>
        <w:top w:val="none" w:sz="0" w:space="0" w:color="auto"/>
        <w:left w:val="none" w:sz="0" w:space="0" w:color="auto"/>
        <w:bottom w:val="none" w:sz="0" w:space="0" w:color="auto"/>
        <w:right w:val="none" w:sz="0" w:space="0" w:color="auto"/>
      </w:divBdr>
    </w:div>
    <w:div w:id="809858391">
      <w:bodyDiv w:val="1"/>
      <w:marLeft w:val="0"/>
      <w:marRight w:val="0"/>
      <w:marTop w:val="0"/>
      <w:marBottom w:val="0"/>
      <w:divBdr>
        <w:top w:val="none" w:sz="0" w:space="0" w:color="auto"/>
        <w:left w:val="none" w:sz="0" w:space="0" w:color="auto"/>
        <w:bottom w:val="none" w:sz="0" w:space="0" w:color="auto"/>
        <w:right w:val="none" w:sz="0" w:space="0" w:color="auto"/>
      </w:divBdr>
    </w:div>
    <w:div w:id="809901745">
      <w:bodyDiv w:val="1"/>
      <w:marLeft w:val="0"/>
      <w:marRight w:val="0"/>
      <w:marTop w:val="0"/>
      <w:marBottom w:val="0"/>
      <w:divBdr>
        <w:top w:val="none" w:sz="0" w:space="0" w:color="auto"/>
        <w:left w:val="none" w:sz="0" w:space="0" w:color="auto"/>
        <w:bottom w:val="none" w:sz="0" w:space="0" w:color="auto"/>
        <w:right w:val="none" w:sz="0" w:space="0" w:color="auto"/>
      </w:divBdr>
    </w:div>
    <w:div w:id="810177302">
      <w:bodyDiv w:val="1"/>
      <w:marLeft w:val="0"/>
      <w:marRight w:val="0"/>
      <w:marTop w:val="0"/>
      <w:marBottom w:val="0"/>
      <w:divBdr>
        <w:top w:val="none" w:sz="0" w:space="0" w:color="auto"/>
        <w:left w:val="none" w:sz="0" w:space="0" w:color="auto"/>
        <w:bottom w:val="none" w:sz="0" w:space="0" w:color="auto"/>
        <w:right w:val="none" w:sz="0" w:space="0" w:color="auto"/>
      </w:divBdr>
    </w:div>
    <w:div w:id="810439446">
      <w:bodyDiv w:val="1"/>
      <w:marLeft w:val="0"/>
      <w:marRight w:val="0"/>
      <w:marTop w:val="0"/>
      <w:marBottom w:val="0"/>
      <w:divBdr>
        <w:top w:val="none" w:sz="0" w:space="0" w:color="auto"/>
        <w:left w:val="none" w:sz="0" w:space="0" w:color="auto"/>
        <w:bottom w:val="none" w:sz="0" w:space="0" w:color="auto"/>
        <w:right w:val="none" w:sz="0" w:space="0" w:color="auto"/>
      </w:divBdr>
    </w:div>
    <w:div w:id="810756771">
      <w:bodyDiv w:val="1"/>
      <w:marLeft w:val="0"/>
      <w:marRight w:val="0"/>
      <w:marTop w:val="0"/>
      <w:marBottom w:val="0"/>
      <w:divBdr>
        <w:top w:val="none" w:sz="0" w:space="0" w:color="auto"/>
        <w:left w:val="none" w:sz="0" w:space="0" w:color="auto"/>
        <w:bottom w:val="none" w:sz="0" w:space="0" w:color="auto"/>
        <w:right w:val="none" w:sz="0" w:space="0" w:color="auto"/>
      </w:divBdr>
    </w:div>
    <w:div w:id="811218916">
      <w:bodyDiv w:val="1"/>
      <w:marLeft w:val="0"/>
      <w:marRight w:val="0"/>
      <w:marTop w:val="0"/>
      <w:marBottom w:val="0"/>
      <w:divBdr>
        <w:top w:val="none" w:sz="0" w:space="0" w:color="auto"/>
        <w:left w:val="none" w:sz="0" w:space="0" w:color="auto"/>
        <w:bottom w:val="none" w:sz="0" w:space="0" w:color="auto"/>
        <w:right w:val="none" w:sz="0" w:space="0" w:color="auto"/>
      </w:divBdr>
    </w:div>
    <w:div w:id="811412692">
      <w:bodyDiv w:val="1"/>
      <w:marLeft w:val="0"/>
      <w:marRight w:val="0"/>
      <w:marTop w:val="0"/>
      <w:marBottom w:val="0"/>
      <w:divBdr>
        <w:top w:val="none" w:sz="0" w:space="0" w:color="auto"/>
        <w:left w:val="none" w:sz="0" w:space="0" w:color="auto"/>
        <w:bottom w:val="none" w:sz="0" w:space="0" w:color="auto"/>
        <w:right w:val="none" w:sz="0" w:space="0" w:color="auto"/>
      </w:divBdr>
    </w:div>
    <w:div w:id="811605480">
      <w:bodyDiv w:val="1"/>
      <w:marLeft w:val="0"/>
      <w:marRight w:val="0"/>
      <w:marTop w:val="0"/>
      <w:marBottom w:val="0"/>
      <w:divBdr>
        <w:top w:val="none" w:sz="0" w:space="0" w:color="auto"/>
        <w:left w:val="none" w:sz="0" w:space="0" w:color="auto"/>
        <w:bottom w:val="none" w:sz="0" w:space="0" w:color="auto"/>
        <w:right w:val="none" w:sz="0" w:space="0" w:color="auto"/>
      </w:divBdr>
    </w:div>
    <w:div w:id="811824396">
      <w:bodyDiv w:val="1"/>
      <w:marLeft w:val="0"/>
      <w:marRight w:val="0"/>
      <w:marTop w:val="0"/>
      <w:marBottom w:val="0"/>
      <w:divBdr>
        <w:top w:val="none" w:sz="0" w:space="0" w:color="auto"/>
        <w:left w:val="none" w:sz="0" w:space="0" w:color="auto"/>
        <w:bottom w:val="none" w:sz="0" w:space="0" w:color="auto"/>
        <w:right w:val="none" w:sz="0" w:space="0" w:color="auto"/>
      </w:divBdr>
    </w:div>
    <w:div w:id="812217469">
      <w:bodyDiv w:val="1"/>
      <w:marLeft w:val="0"/>
      <w:marRight w:val="0"/>
      <w:marTop w:val="0"/>
      <w:marBottom w:val="0"/>
      <w:divBdr>
        <w:top w:val="none" w:sz="0" w:space="0" w:color="auto"/>
        <w:left w:val="none" w:sz="0" w:space="0" w:color="auto"/>
        <w:bottom w:val="none" w:sz="0" w:space="0" w:color="auto"/>
        <w:right w:val="none" w:sz="0" w:space="0" w:color="auto"/>
      </w:divBdr>
    </w:div>
    <w:div w:id="812409417">
      <w:bodyDiv w:val="1"/>
      <w:marLeft w:val="0"/>
      <w:marRight w:val="0"/>
      <w:marTop w:val="0"/>
      <w:marBottom w:val="0"/>
      <w:divBdr>
        <w:top w:val="none" w:sz="0" w:space="0" w:color="auto"/>
        <w:left w:val="none" w:sz="0" w:space="0" w:color="auto"/>
        <w:bottom w:val="none" w:sz="0" w:space="0" w:color="auto"/>
        <w:right w:val="none" w:sz="0" w:space="0" w:color="auto"/>
      </w:divBdr>
    </w:div>
    <w:div w:id="812599823">
      <w:bodyDiv w:val="1"/>
      <w:marLeft w:val="0"/>
      <w:marRight w:val="0"/>
      <w:marTop w:val="0"/>
      <w:marBottom w:val="0"/>
      <w:divBdr>
        <w:top w:val="none" w:sz="0" w:space="0" w:color="auto"/>
        <w:left w:val="none" w:sz="0" w:space="0" w:color="auto"/>
        <w:bottom w:val="none" w:sz="0" w:space="0" w:color="auto"/>
        <w:right w:val="none" w:sz="0" w:space="0" w:color="auto"/>
      </w:divBdr>
    </w:div>
    <w:div w:id="812988351">
      <w:bodyDiv w:val="1"/>
      <w:marLeft w:val="0"/>
      <w:marRight w:val="0"/>
      <w:marTop w:val="0"/>
      <w:marBottom w:val="0"/>
      <w:divBdr>
        <w:top w:val="none" w:sz="0" w:space="0" w:color="auto"/>
        <w:left w:val="none" w:sz="0" w:space="0" w:color="auto"/>
        <w:bottom w:val="none" w:sz="0" w:space="0" w:color="auto"/>
        <w:right w:val="none" w:sz="0" w:space="0" w:color="auto"/>
      </w:divBdr>
    </w:div>
    <w:div w:id="813065313">
      <w:bodyDiv w:val="1"/>
      <w:marLeft w:val="0"/>
      <w:marRight w:val="0"/>
      <w:marTop w:val="0"/>
      <w:marBottom w:val="0"/>
      <w:divBdr>
        <w:top w:val="none" w:sz="0" w:space="0" w:color="auto"/>
        <w:left w:val="none" w:sz="0" w:space="0" w:color="auto"/>
        <w:bottom w:val="none" w:sz="0" w:space="0" w:color="auto"/>
        <w:right w:val="none" w:sz="0" w:space="0" w:color="auto"/>
      </w:divBdr>
    </w:div>
    <w:div w:id="813260730">
      <w:bodyDiv w:val="1"/>
      <w:marLeft w:val="0"/>
      <w:marRight w:val="0"/>
      <w:marTop w:val="0"/>
      <w:marBottom w:val="0"/>
      <w:divBdr>
        <w:top w:val="none" w:sz="0" w:space="0" w:color="auto"/>
        <w:left w:val="none" w:sz="0" w:space="0" w:color="auto"/>
        <w:bottom w:val="none" w:sz="0" w:space="0" w:color="auto"/>
        <w:right w:val="none" w:sz="0" w:space="0" w:color="auto"/>
      </w:divBdr>
    </w:div>
    <w:div w:id="813453740">
      <w:bodyDiv w:val="1"/>
      <w:marLeft w:val="0"/>
      <w:marRight w:val="0"/>
      <w:marTop w:val="0"/>
      <w:marBottom w:val="0"/>
      <w:divBdr>
        <w:top w:val="none" w:sz="0" w:space="0" w:color="auto"/>
        <w:left w:val="none" w:sz="0" w:space="0" w:color="auto"/>
        <w:bottom w:val="none" w:sz="0" w:space="0" w:color="auto"/>
        <w:right w:val="none" w:sz="0" w:space="0" w:color="auto"/>
      </w:divBdr>
    </w:div>
    <w:div w:id="813564725">
      <w:bodyDiv w:val="1"/>
      <w:marLeft w:val="0"/>
      <w:marRight w:val="0"/>
      <w:marTop w:val="0"/>
      <w:marBottom w:val="0"/>
      <w:divBdr>
        <w:top w:val="none" w:sz="0" w:space="0" w:color="auto"/>
        <w:left w:val="none" w:sz="0" w:space="0" w:color="auto"/>
        <w:bottom w:val="none" w:sz="0" w:space="0" w:color="auto"/>
        <w:right w:val="none" w:sz="0" w:space="0" w:color="auto"/>
      </w:divBdr>
    </w:div>
    <w:div w:id="813916174">
      <w:bodyDiv w:val="1"/>
      <w:marLeft w:val="0"/>
      <w:marRight w:val="0"/>
      <w:marTop w:val="0"/>
      <w:marBottom w:val="0"/>
      <w:divBdr>
        <w:top w:val="none" w:sz="0" w:space="0" w:color="auto"/>
        <w:left w:val="none" w:sz="0" w:space="0" w:color="auto"/>
        <w:bottom w:val="none" w:sz="0" w:space="0" w:color="auto"/>
        <w:right w:val="none" w:sz="0" w:space="0" w:color="auto"/>
      </w:divBdr>
    </w:div>
    <w:div w:id="813988234">
      <w:bodyDiv w:val="1"/>
      <w:marLeft w:val="0"/>
      <w:marRight w:val="0"/>
      <w:marTop w:val="0"/>
      <w:marBottom w:val="0"/>
      <w:divBdr>
        <w:top w:val="none" w:sz="0" w:space="0" w:color="auto"/>
        <w:left w:val="none" w:sz="0" w:space="0" w:color="auto"/>
        <w:bottom w:val="none" w:sz="0" w:space="0" w:color="auto"/>
        <w:right w:val="none" w:sz="0" w:space="0" w:color="auto"/>
      </w:divBdr>
    </w:div>
    <w:div w:id="814219583">
      <w:bodyDiv w:val="1"/>
      <w:marLeft w:val="0"/>
      <w:marRight w:val="0"/>
      <w:marTop w:val="0"/>
      <w:marBottom w:val="0"/>
      <w:divBdr>
        <w:top w:val="none" w:sz="0" w:space="0" w:color="auto"/>
        <w:left w:val="none" w:sz="0" w:space="0" w:color="auto"/>
        <w:bottom w:val="none" w:sz="0" w:space="0" w:color="auto"/>
        <w:right w:val="none" w:sz="0" w:space="0" w:color="auto"/>
      </w:divBdr>
    </w:div>
    <w:div w:id="814490253">
      <w:bodyDiv w:val="1"/>
      <w:marLeft w:val="0"/>
      <w:marRight w:val="0"/>
      <w:marTop w:val="0"/>
      <w:marBottom w:val="0"/>
      <w:divBdr>
        <w:top w:val="none" w:sz="0" w:space="0" w:color="auto"/>
        <w:left w:val="none" w:sz="0" w:space="0" w:color="auto"/>
        <w:bottom w:val="none" w:sz="0" w:space="0" w:color="auto"/>
        <w:right w:val="none" w:sz="0" w:space="0" w:color="auto"/>
      </w:divBdr>
    </w:div>
    <w:div w:id="814640602">
      <w:bodyDiv w:val="1"/>
      <w:marLeft w:val="0"/>
      <w:marRight w:val="0"/>
      <w:marTop w:val="0"/>
      <w:marBottom w:val="0"/>
      <w:divBdr>
        <w:top w:val="none" w:sz="0" w:space="0" w:color="auto"/>
        <w:left w:val="none" w:sz="0" w:space="0" w:color="auto"/>
        <w:bottom w:val="none" w:sz="0" w:space="0" w:color="auto"/>
        <w:right w:val="none" w:sz="0" w:space="0" w:color="auto"/>
      </w:divBdr>
    </w:div>
    <w:div w:id="815031479">
      <w:bodyDiv w:val="1"/>
      <w:marLeft w:val="0"/>
      <w:marRight w:val="0"/>
      <w:marTop w:val="0"/>
      <w:marBottom w:val="0"/>
      <w:divBdr>
        <w:top w:val="none" w:sz="0" w:space="0" w:color="auto"/>
        <w:left w:val="none" w:sz="0" w:space="0" w:color="auto"/>
        <w:bottom w:val="none" w:sz="0" w:space="0" w:color="auto"/>
        <w:right w:val="none" w:sz="0" w:space="0" w:color="auto"/>
      </w:divBdr>
    </w:div>
    <w:div w:id="815141954">
      <w:bodyDiv w:val="1"/>
      <w:marLeft w:val="0"/>
      <w:marRight w:val="0"/>
      <w:marTop w:val="0"/>
      <w:marBottom w:val="0"/>
      <w:divBdr>
        <w:top w:val="none" w:sz="0" w:space="0" w:color="auto"/>
        <w:left w:val="none" w:sz="0" w:space="0" w:color="auto"/>
        <w:bottom w:val="none" w:sz="0" w:space="0" w:color="auto"/>
        <w:right w:val="none" w:sz="0" w:space="0" w:color="auto"/>
      </w:divBdr>
    </w:div>
    <w:div w:id="815144361">
      <w:bodyDiv w:val="1"/>
      <w:marLeft w:val="0"/>
      <w:marRight w:val="0"/>
      <w:marTop w:val="0"/>
      <w:marBottom w:val="0"/>
      <w:divBdr>
        <w:top w:val="none" w:sz="0" w:space="0" w:color="auto"/>
        <w:left w:val="none" w:sz="0" w:space="0" w:color="auto"/>
        <w:bottom w:val="none" w:sz="0" w:space="0" w:color="auto"/>
        <w:right w:val="none" w:sz="0" w:space="0" w:color="auto"/>
      </w:divBdr>
    </w:div>
    <w:div w:id="815418430">
      <w:bodyDiv w:val="1"/>
      <w:marLeft w:val="0"/>
      <w:marRight w:val="0"/>
      <w:marTop w:val="0"/>
      <w:marBottom w:val="0"/>
      <w:divBdr>
        <w:top w:val="none" w:sz="0" w:space="0" w:color="auto"/>
        <w:left w:val="none" w:sz="0" w:space="0" w:color="auto"/>
        <w:bottom w:val="none" w:sz="0" w:space="0" w:color="auto"/>
        <w:right w:val="none" w:sz="0" w:space="0" w:color="auto"/>
      </w:divBdr>
    </w:div>
    <w:div w:id="815420127">
      <w:bodyDiv w:val="1"/>
      <w:marLeft w:val="0"/>
      <w:marRight w:val="0"/>
      <w:marTop w:val="0"/>
      <w:marBottom w:val="0"/>
      <w:divBdr>
        <w:top w:val="none" w:sz="0" w:space="0" w:color="auto"/>
        <w:left w:val="none" w:sz="0" w:space="0" w:color="auto"/>
        <w:bottom w:val="none" w:sz="0" w:space="0" w:color="auto"/>
        <w:right w:val="none" w:sz="0" w:space="0" w:color="auto"/>
      </w:divBdr>
    </w:div>
    <w:div w:id="815489696">
      <w:bodyDiv w:val="1"/>
      <w:marLeft w:val="0"/>
      <w:marRight w:val="0"/>
      <w:marTop w:val="0"/>
      <w:marBottom w:val="0"/>
      <w:divBdr>
        <w:top w:val="none" w:sz="0" w:space="0" w:color="auto"/>
        <w:left w:val="none" w:sz="0" w:space="0" w:color="auto"/>
        <w:bottom w:val="none" w:sz="0" w:space="0" w:color="auto"/>
        <w:right w:val="none" w:sz="0" w:space="0" w:color="auto"/>
      </w:divBdr>
    </w:div>
    <w:div w:id="815681483">
      <w:bodyDiv w:val="1"/>
      <w:marLeft w:val="0"/>
      <w:marRight w:val="0"/>
      <w:marTop w:val="0"/>
      <w:marBottom w:val="0"/>
      <w:divBdr>
        <w:top w:val="none" w:sz="0" w:space="0" w:color="auto"/>
        <w:left w:val="none" w:sz="0" w:space="0" w:color="auto"/>
        <w:bottom w:val="none" w:sz="0" w:space="0" w:color="auto"/>
        <w:right w:val="none" w:sz="0" w:space="0" w:color="auto"/>
      </w:divBdr>
    </w:div>
    <w:div w:id="816260921">
      <w:bodyDiv w:val="1"/>
      <w:marLeft w:val="0"/>
      <w:marRight w:val="0"/>
      <w:marTop w:val="0"/>
      <w:marBottom w:val="0"/>
      <w:divBdr>
        <w:top w:val="none" w:sz="0" w:space="0" w:color="auto"/>
        <w:left w:val="none" w:sz="0" w:space="0" w:color="auto"/>
        <w:bottom w:val="none" w:sz="0" w:space="0" w:color="auto"/>
        <w:right w:val="none" w:sz="0" w:space="0" w:color="auto"/>
      </w:divBdr>
    </w:div>
    <w:div w:id="816260930">
      <w:bodyDiv w:val="1"/>
      <w:marLeft w:val="0"/>
      <w:marRight w:val="0"/>
      <w:marTop w:val="0"/>
      <w:marBottom w:val="0"/>
      <w:divBdr>
        <w:top w:val="none" w:sz="0" w:space="0" w:color="auto"/>
        <w:left w:val="none" w:sz="0" w:space="0" w:color="auto"/>
        <w:bottom w:val="none" w:sz="0" w:space="0" w:color="auto"/>
        <w:right w:val="none" w:sz="0" w:space="0" w:color="auto"/>
      </w:divBdr>
    </w:div>
    <w:div w:id="816342423">
      <w:bodyDiv w:val="1"/>
      <w:marLeft w:val="0"/>
      <w:marRight w:val="0"/>
      <w:marTop w:val="0"/>
      <w:marBottom w:val="0"/>
      <w:divBdr>
        <w:top w:val="none" w:sz="0" w:space="0" w:color="auto"/>
        <w:left w:val="none" w:sz="0" w:space="0" w:color="auto"/>
        <w:bottom w:val="none" w:sz="0" w:space="0" w:color="auto"/>
        <w:right w:val="none" w:sz="0" w:space="0" w:color="auto"/>
      </w:divBdr>
    </w:div>
    <w:div w:id="816537572">
      <w:bodyDiv w:val="1"/>
      <w:marLeft w:val="0"/>
      <w:marRight w:val="0"/>
      <w:marTop w:val="0"/>
      <w:marBottom w:val="0"/>
      <w:divBdr>
        <w:top w:val="none" w:sz="0" w:space="0" w:color="auto"/>
        <w:left w:val="none" w:sz="0" w:space="0" w:color="auto"/>
        <w:bottom w:val="none" w:sz="0" w:space="0" w:color="auto"/>
        <w:right w:val="none" w:sz="0" w:space="0" w:color="auto"/>
      </w:divBdr>
    </w:div>
    <w:div w:id="816728671">
      <w:bodyDiv w:val="1"/>
      <w:marLeft w:val="0"/>
      <w:marRight w:val="0"/>
      <w:marTop w:val="0"/>
      <w:marBottom w:val="0"/>
      <w:divBdr>
        <w:top w:val="none" w:sz="0" w:space="0" w:color="auto"/>
        <w:left w:val="none" w:sz="0" w:space="0" w:color="auto"/>
        <w:bottom w:val="none" w:sz="0" w:space="0" w:color="auto"/>
        <w:right w:val="none" w:sz="0" w:space="0" w:color="auto"/>
      </w:divBdr>
    </w:div>
    <w:div w:id="816798852">
      <w:bodyDiv w:val="1"/>
      <w:marLeft w:val="0"/>
      <w:marRight w:val="0"/>
      <w:marTop w:val="0"/>
      <w:marBottom w:val="0"/>
      <w:divBdr>
        <w:top w:val="none" w:sz="0" w:space="0" w:color="auto"/>
        <w:left w:val="none" w:sz="0" w:space="0" w:color="auto"/>
        <w:bottom w:val="none" w:sz="0" w:space="0" w:color="auto"/>
        <w:right w:val="none" w:sz="0" w:space="0" w:color="auto"/>
      </w:divBdr>
    </w:div>
    <w:div w:id="816922757">
      <w:bodyDiv w:val="1"/>
      <w:marLeft w:val="0"/>
      <w:marRight w:val="0"/>
      <w:marTop w:val="0"/>
      <w:marBottom w:val="0"/>
      <w:divBdr>
        <w:top w:val="none" w:sz="0" w:space="0" w:color="auto"/>
        <w:left w:val="none" w:sz="0" w:space="0" w:color="auto"/>
        <w:bottom w:val="none" w:sz="0" w:space="0" w:color="auto"/>
        <w:right w:val="none" w:sz="0" w:space="0" w:color="auto"/>
      </w:divBdr>
    </w:div>
    <w:div w:id="817192213">
      <w:bodyDiv w:val="1"/>
      <w:marLeft w:val="0"/>
      <w:marRight w:val="0"/>
      <w:marTop w:val="0"/>
      <w:marBottom w:val="0"/>
      <w:divBdr>
        <w:top w:val="none" w:sz="0" w:space="0" w:color="auto"/>
        <w:left w:val="none" w:sz="0" w:space="0" w:color="auto"/>
        <w:bottom w:val="none" w:sz="0" w:space="0" w:color="auto"/>
        <w:right w:val="none" w:sz="0" w:space="0" w:color="auto"/>
      </w:divBdr>
    </w:div>
    <w:div w:id="817385040">
      <w:bodyDiv w:val="1"/>
      <w:marLeft w:val="0"/>
      <w:marRight w:val="0"/>
      <w:marTop w:val="0"/>
      <w:marBottom w:val="0"/>
      <w:divBdr>
        <w:top w:val="none" w:sz="0" w:space="0" w:color="auto"/>
        <w:left w:val="none" w:sz="0" w:space="0" w:color="auto"/>
        <w:bottom w:val="none" w:sz="0" w:space="0" w:color="auto"/>
        <w:right w:val="none" w:sz="0" w:space="0" w:color="auto"/>
      </w:divBdr>
    </w:div>
    <w:div w:id="817648388">
      <w:bodyDiv w:val="1"/>
      <w:marLeft w:val="0"/>
      <w:marRight w:val="0"/>
      <w:marTop w:val="0"/>
      <w:marBottom w:val="0"/>
      <w:divBdr>
        <w:top w:val="none" w:sz="0" w:space="0" w:color="auto"/>
        <w:left w:val="none" w:sz="0" w:space="0" w:color="auto"/>
        <w:bottom w:val="none" w:sz="0" w:space="0" w:color="auto"/>
        <w:right w:val="none" w:sz="0" w:space="0" w:color="auto"/>
      </w:divBdr>
    </w:div>
    <w:div w:id="818039909">
      <w:bodyDiv w:val="1"/>
      <w:marLeft w:val="0"/>
      <w:marRight w:val="0"/>
      <w:marTop w:val="0"/>
      <w:marBottom w:val="0"/>
      <w:divBdr>
        <w:top w:val="none" w:sz="0" w:space="0" w:color="auto"/>
        <w:left w:val="none" w:sz="0" w:space="0" w:color="auto"/>
        <w:bottom w:val="none" w:sz="0" w:space="0" w:color="auto"/>
        <w:right w:val="none" w:sz="0" w:space="0" w:color="auto"/>
      </w:divBdr>
    </w:div>
    <w:div w:id="818111696">
      <w:bodyDiv w:val="1"/>
      <w:marLeft w:val="0"/>
      <w:marRight w:val="0"/>
      <w:marTop w:val="0"/>
      <w:marBottom w:val="0"/>
      <w:divBdr>
        <w:top w:val="none" w:sz="0" w:space="0" w:color="auto"/>
        <w:left w:val="none" w:sz="0" w:space="0" w:color="auto"/>
        <w:bottom w:val="none" w:sz="0" w:space="0" w:color="auto"/>
        <w:right w:val="none" w:sz="0" w:space="0" w:color="auto"/>
      </w:divBdr>
    </w:div>
    <w:div w:id="818155406">
      <w:bodyDiv w:val="1"/>
      <w:marLeft w:val="0"/>
      <w:marRight w:val="0"/>
      <w:marTop w:val="0"/>
      <w:marBottom w:val="0"/>
      <w:divBdr>
        <w:top w:val="none" w:sz="0" w:space="0" w:color="auto"/>
        <w:left w:val="none" w:sz="0" w:space="0" w:color="auto"/>
        <w:bottom w:val="none" w:sz="0" w:space="0" w:color="auto"/>
        <w:right w:val="none" w:sz="0" w:space="0" w:color="auto"/>
      </w:divBdr>
    </w:div>
    <w:div w:id="818349361">
      <w:bodyDiv w:val="1"/>
      <w:marLeft w:val="0"/>
      <w:marRight w:val="0"/>
      <w:marTop w:val="0"/>
      <w:marBottom w:val="0"/>
      <w:divBdr>
        <w:top w:val="none" w:sz="0" w:space="0" w:color="auto"/>
        <w:left w:val="none" w:sz="0" w:space="0" w:color="auto"/>
        <w:bottom w:val="none" w:sz="0" w:space="0" w:color="auto"/>
        <w:right w:val="none" w:sz="0" w:space="0" w:color="auto"/>
      </w:divBdr>
    </w:div>
    <w:div w:id="818572307">
      <w:bodyDiv w:val="1"/>
      <w:marLeft w:val="0"/>
      <w:marRight w:val="0"/>
      <w:marTop w:val="0"/>
      <w:marBottom w:val="0"/>
      <w:divBdr>
        <w:top w:val="none" w:sz="0" w:space="0" w:color="auto"/>
        <w:left w:val="none" w:sz="0" w:space="0" w:color="auto"/>
        <w:bottom w:val="none" w:sz="0" w:space="0" w:color="auto"/>
        <w:right w:val="none" w:sz="0" w:space="0" w:color="auto"/>
      </w:divBdr>
    </w:div>
    <w:div w:id="818695528">
      <w:bodyDiv w:val="1"/>
      <w:marLeft w:val="0"/>
      <w:marRight w:val="0"/>
      <w:marTop w:val="0"/>
      <w:marBottom w:val="0"/>
      <w:divBdr>
        <w:top w:val="none" w:sz="0" w:space="0" w:color="auto"/>
        <w:left w:val="none" w:sz="0" w:space="0" w:color="auto"/>
        <w:bottom w:val="none" w:sz="0" w:space="0" w:color="auto"/>
        <w:right w:val="none" w:sz="0" w:space="0" w:color="auto"/>
      </w:divBdr>
    </w:div>
    <w:div w:id="819149019">
      <w:bodyDiv w:val="1"/>
      <w:marLeft w:val="0"/>
      <w:marRight w:val="0"/>
      <w:marTop w:val="0"/>
      <w:marBottom w:val="0"/>
      <w:divBdr>
        <w:top w:val="none" w:sz="0" w:space="0" w:color="auto"/>
        <w:left w:val="none" w:sz="0" w:space="0" w:color="auto"/>
        <w:bottom w:val="none" w:sz="0" w:space="0" w:color="auto"/>
        <w:right w:val="none" w:sz="0" w:space="0" w:color="auto"/>
      </w:divBdr>
    </w:div>
    <w:div w:id="819342760">
      <w:bodyDiv w:val="1"/>
      <w:marLeft w:val="0"/>
      <w:marRight w:val="0"/>
      <w:marTop w:val="0"/>
      <w:marBottom w:val="0"/>
      <w:divBdr>
        <w:top w:val="none" w:sz="0" w:space="0" w:color="auto"/>
        <w:left w:val="none" w:sz="0" w:space="0" w:color="auto"/>
        <w:bottom w:val="none" w:sz="0" w:space="0" w:color="auto"/>
        <w:right w:val="none" w:sz="0" w:space="0" w:color="auto"/>
      </w:divBdr>
    </w:div>
    <w:div w:id="819418970">
      <w:bodyDiv w:val="1"/>
      <w:marLeft w:val="0"/>
      <w:marRight w:val="0"/>
      <w:marTop w:val="0"/>
      <w:marBottom w:val="0"/>
      <w:divBdr>
        <w:top w:val="none" w:sz="0" w:space="0" w:color="auto"/>
        <w:left w:val="none" w:sz="0" w:space="0" w:color="auto"/>
        <w:bottom w:val="none" w:sz="0" w:space="0" w:color="auto"/>
        <w:right w:val="none" w:sz="0" w:space="0" w:color="auto"/>
      </w:divBdr>
    </w:div>
    <w:div w:id="819424691">
      <w:bodyDiv w:val="1"/>
      <w:marLeft w:val="0"/>
      <w:marRight w:val="0"/>
      <w:marTop w:val="0"/>
      <w:marBottom w:val="0"/>
      <w:divBdr>
        <w:top w:val="none" w:sz="0" w:space="0" w:color="auto"/>
        <w:left w:val="none" w:sz="0" w:space="0" w:color="auto"/>
        <w:bottom w:val="none" w:sz="0" w:space="0" w:color="auto"/>
        <w:right w:val="none" w:sz="0" w:space="0" w:color="auto"/>
      </w:divBdr>
    </w:div>
    <w:div w:id="820271147">
      <w:bodyDiv w:val="1"/>
      <w:marLeft w:val="0"/>
      <w:marRight w:val="0"/>
      <w:marTop w:val="0"/>
      <w:marBottom w:val="0"/>
      <w:divBdr>
        <w:top w:val="none" w:sz="0" w:space="0" w:color="auto"/>
        <w:left w:val="none" w:sz="0" w:space="0" w:color="auto"/>
        <w:bottom w:val="none" w:sz="0" w:space="0" w:color="auto"/>
        <w:right w:val="none" w:sz="0" w:space="0" w:color="auto"/>
      </w:divBdr>
    </w:div>
    <w:div w:id="820392013">
      <w:bodyDiv w:val="1"/>
      <w:marLeft w:val="0"/>
      <w:marRight w:val="0"/>
      <w:marTop w:val="0"/>
      <w:marBottom w:val="0"/>
      <w:divBdr>
        <w:top w:val="none" w:sz="0" w:space="0" w:color="auto"/>
        <w:left w:val="none" w:sz="0" w:space="0" w:color="auto"/>
        <w:bottom w:val="none" w:sz="0" w:space="0" w:color="auto"/>
        <w:right w:val="none" w:sz="0" w:space="0" w:color="auto"/>
      </w:divBdr>
    </w:div>
    <w:div w:id="820535675">
      <w:bodyDiv w:val="1"/>
      <w:marLeft w:val="0"/>
      <w:marRight w:val="0"/>
      <w:marTop w:val="0"/>
      <w:marBottom w:val="0"/>
      <w:divBdr>
        <w:top w:val="none" w:sz="0" w:space="0" w:color="auto"/>
        <w:left w:val="none" w:sz="0" w:space="0" w:color="auto"/>
        <w:bottom w:val="none" w:sz="0" w:space="0" w:color="auto"/>
        <w:right w:val="none" w:sz="0" w:space="0" w:color="auto"/>
      </w:divBdr>
    </w:div>
    <w:div w:id="820536196">
      <w:bodyDiv w:val="1"/>
      <w:marLeft w:val="0"/>
      <w:marRight w:val="0"/>
      <w:marTop w:val="0"/>
      <w:marBottom w:val="0"/>
      <w:divBdr>
        <w:top w:val="none" w:sz="0" w:space="0" w:color="auto"/>
        <w:left w:val="none" w:sz="0" w:space="0" w:color="auto"/>
        <w:bottom w:val="none" w:sz="0" w:space="0" w:color="auto"/>
        <w:right w:val="none" w:sz="0" w:space="0" w:color="auto"/>
      </w:divBdr>
    </w:div>
    <w:div w:id="820733988">
      <w:bodyDiv w:val="1"/>
      <w:marLeft w:val="0"/>
      <w:marRight w:val="0"/>
      <w:marTop w:val="0"/>
      <w:marBottom w:val="0"/>
      <w:divBdr>
        <w:top w:val="none" w:sz="0" w:space="0" w:color="auto"/>
        <w:left w:val="none" w:sz="0" w:space="0" w:color="auto"/>
        <w:bottom w:val="none" w:sz="0" w:space="0" w:color="auto"/>
        <w:right w:val="none" w:sz="0" w:space="0" w:color="auto"/>
      </w:divBdr>
    </w:div>
    <w:div w:id="820969737">
      <w:bodyDiv w:val="1"/>
      <w:marLeft w:val="0"/>
      <w:marRight w:val="0"/>
      <w:marTop w:val="0"/>
      <w:marBottom w:val="0"/>
      <w:divBdr>
        <w:top w:val="none" w:sz="0" w:space="0" w:color="auto"/>
        <w:left w:val="none" w:sz="0" w:space="0" w:color="auto"/>
        <w:bottom w:val="none" w:sz="0" w:space="0" w:color="auto"/>
        <w:right w:val="none" w:sz="0" w:space="0" w:color="auto"/>
      </w:divBdr>
    </w:div>
    <w:div w:id="821043852">
      <w:bodyDiv w:val="1"/>
      <w:marLeft w:val="0"/>
      <w:marRight w:val="0"/>
      <w:marTop w:val="0"/>
      <w:marBottom w:val="0"/>
      <w:divBdr>
        <w:top w:val="none" w:sz="0" w:space="0" w:color="auto"/>
        <w:left w:val="none" w:sz="0" w:space="0" w:color="auto"/>
        <w:bottom w:val="none" w:sz="0" w:space="0" w:color="auto"/>
        <w:right w:val="none" w:sz="0" w:space="0" w:color="auto"/>
      </w:divBdr>
    </w:div>
    <w:div w:id="821115489">
      <w:bodyDiv w:val="1"/>
      <w:marLeft w:val="0"/>
      <w:marRight w:val="0"/>
      <w:marTop w:val="0"/>
      <w:marBottom w:val="0"/>
      <w:divBdr>
        <w:top w:val="none" w:sz="0" w:space="0" w:color="auto"/>
        <w:left w:val="none" w:sz="0" w:space="0" w:color="auto"/>
        <w:bottom w:val="none" w:sz="0" w:space="0" w:color="auto"/>
        <w:right w:val="none" w:sz="0" w:space="0" w:color="auto"/>
      </w:divBdr>
    </w:div>
    <w:div w:id="821193214">
      <w:bodyDiv w:val="1"/>
      <w:marLeft w:val="0"/>
      <w:marRight w:val="0"/>
      <w:marTop w:val="0"/>
      <w:marBottom w:val="0"/>
      <w:divBdr>
        <w:top w:val="none" w:sz="0" w:space="0" w:color="auto"/>
        <w:left w:val="none" w:sz="0" w:space="0" w:color="auto"/>
        <w:bottom w:val="none" w:sz="0" w:space="0" w:color="auto"/>
        <w:right w:val="none" w:sz="0" w:space="0" w:color="auto"/>
      </w:divBdr>
    </w:div>
    <w:div w:id="821242424">
      <w:bodyDiv w:val="1"/>
      <w:marLeft w:val="0"/>
      <w:marRight w:val="0"/>
      <w:marTop w:val="0"/>
      <w:marBottom w:val="0"/>
      <w:divBdr>
        <w:top w:val="none" w:sz="0" w:space="0" w:color="auto"/>
        <w:left w:val="none" w:sz="0" w:space="0" w:color="auto"/>
        <w:bottom w:val="none" w:sz="0" w:space="0" w:color="auto"/>
        <w:right w:val="none" w:sz="0" w:space="0" w:color="auto"/>
      </w:divBdr>
    </w:div>
    <w:div w:id="821697800">
      <w:bodyDiv w:val="1"/>
      <w:marLeft w:val="0"/>
      <w:marRight w:val="0"/>
      <w:marTop w:val="0"/>
      <w:marBottom w:val="0"/>
      <w:divBdr>
        <w:top w:val="none" w:sz="0" w:space="0" w:color="auto"/>
        <w:left w:val="none" w:sz="0" w:space="0" w:color="auto"/>
        <w:bottom w:val="none" w:sz="0" w:space="0" w:color="auto"/>
        <w:right w:val="none" w:sz="0" w:space="0" w:color="auto"/>
      </w:divBdr>
    </w:div>
    <w:div w:id="821778894">
      <w:bodyDiv w:val="1"/>
      <w:marLeft w:val="0"/>
      <w:marRight w:val="0"/>
      <w:marTop w:val="0"/>
      <w:marBottom w:val="0"/>
      <w:divBdr>
        <w:top w:val="none" w:sz="0" w:space="0" w:color="auto"/>
        <w:left w:val="none" w:sz="0" w:space="0" w:color="auto"/>
        <w:bottom w:val="none" w:sz="0" w:space="0" w:color="auto"/>
        <w:right w:val="none" w:sz="0" w:space="0" w:color="auto"/>
      </w:divBdr>
    </w:div>
    <w:div w:id="822351682">
      <w:bodyDiv w:val="1"/>
      <w:marLeft w:val="0"/>
      <w:marRight w:val="0"/>
      <w:marTop w:val="0"/>
      <w:marBottom w:val="0"/>
      <w:divBdr>
        <w:top w:val="none" w:sz="0" w:space="0" w:color="auto"/>
        <w:left w:val="none" w:sz="0" w:space="0" w:color="auto"/>
        <w:bottom w:val="none" w:sz="0" w:space="0" w:color="auto"/>
        <w:right w:val="none" w:sz="0" w:space="0" w:color="auto"/>
      </w:divBdr>
    </w:div>
    <w:div w:id="822430696">
      <w:bodyDiv w:val="1"/>
      <w:marLeft w:val="0"/>
      <w:marRight w:val="0"/>
      <w:marTop w:val="0"/>
      <w:marBottom w:val="0"/>
      <w:divBdr>
        <w:top w:val="none" w:sz="0" w:space="0" w:color="auto"/>
        <w:left w:val="none" w:sz="0" w:space="0" w:color="auto"/>
        <w:bottom w:val="none" w:sz="0" w:space="0" w:color="auto"/>
        <w:right w:val="none" w:sz="0" w:space="0" w:color="auto"/>
      </w:divBdr>
    </w:div>
    <w:div w:id="822545200">
      <w:bodyDiv w:val="1"/>
      <w:marLeft w:val="0"/>
      <w:marRight w:val="0"/>
      <w:marTop w:val="0"/>
      <w:marBottom w:val="0"/>
      <w:divBdr>
        <w:top w:val="none" w:sz="0" w:space="0" w:color="auto"/>
        <w:left w:val="none" w:sz="0" w:space="0" w:color="auto"/>
        <w:bottom w:val="none" w:sz="0" w:space="0" w:color="auto"/>
        <w:right w:val="none" w:sz="0" w:space="0" w:color="auto"/>
      </w:divBdr>
    </w:div>
    <w:div w:id="822937403">
      <w:bodyDiv w:val="1"/>
      <w:marLeft w:val="0"/>
      <w:marRight w:val="0"/>
      <w:marTop w:val="0"/>
      <w:marBottom w:val="0"/>
      <w:divBdr>
        <w:top w:val="none" w:sz="0" w:space="0" w:color="auto"/>
        <w:left w:val="none" w:sz="0" w:space="0" w:color="auto"/>
        <w:bottom w:val="none" w:sz="0" w:space="0" w:color="auto"/>
        <w:right w:val="none" w:sz="0" w:space="0" w:color="auto"/>
      </w:divBdr>
    </w:div>
    <w:div w:id="823082417">
      <w:bodyDiv w:val="1"/>
      <w:marLeft w:val="0"/>
      <w:marRight w:val="0"/>
      <w:marTop w:val="0"/>
      <w:marBottom w:val="0"/>
      <w:divBdr>
        <w:top w:val="none" w:sz="0" w:space="0" w:color="auto"/>
        <w:left w:val="none" w:sz="0" w:space="0" w:color="auto"/>
        <w:bottom w:val="none" w:sz="0" w:space="0" w:color="auto"/>
        <w:right w:val="none" w:sz="0" w:space="0" w:color="auto"/>
      </w:divBdr>
    </w:div>
    <w:div w:id="823275799">
      <w:bodyDiv w:val="1"/>
      <w:marLeft w:val="0"/>
      <w:marRight w:val="0"/>
      <w:marTop w:val="0"/>
      <w:marBottom w:val="0"/>
      <w:divBdr>
        <w:top w:val="none" w:sz="0" w:space="0" w:color="auto"/>
        <w:left w:val="none" w:sz="0" w:space="0" w:color="auto"/>
        <w:bottom w:val="none" w:sz="0" w:space="0" w:color="auto"/>
        <w:right w:val="none" w:sz="0" w:space="0" w:color="auto"/>
      </w:divBdr>
    </w:div>
    <w:div w:id="823278638">
      <w:bodyDiv w:val="1"/>
      <w:marLeft w:val="0"/>
      <w:marRight w:val="0"/>
      <w:marTop w:val="0"/>
      <w:marBottom w:val="0"/>
      <w:divBdr>
        <w:top w:val="none" w:sz="0" w:space="0" w:color="auto"/>
        <w:left w:val="none" w:sz="0" w:space="0" w:color="auto"/>
        <w:bottom w:val="none" w:sz="0" w:space="0" w:color="auto"/>
        <w:right w:val="none" w:sz="0" w:space="0" w:color="auto"/>
      </w:divBdr>
    </w:div>
    <w:div w:id="823395995">
      <w:bodyDiv w:val="1"/>
      <w:marLeft w:val="0"/>
      <w:marRight w:val="0"/>
      <w:marTop w:val="0"/>
      <w:marBottom w:val="0"/>
      <w:divBdr>
        <w:top w:val="none" w:sz="0" w:space="0" w:color="auto"/>
        <w:left w:val="none" w:sz="0" w:space="0" w:color="auto"/>
        <w:bottom w:val="none" w:sz="0" w:space="0" w:color="auto"/>
        <w:right w:val="none" w:sz="0" w:space="0" w:color="auto"/>
      </w:divBdr>
    </w:div>
    <w:div w:id="823396348">
      <w:bodyDiv w:val="1"/>
      <w:marLeft w:val="0"/>
      <w:marRight w:val="0"/>
      <w:marTop w:val="0"/>
      <w:marBottom w:val="0"/>
      <w:divBdr>
        <w:top w:val="none" w:sz="0" w:space="0" w:color="auto"/>
        <w:left w:val="none" w:sz="0" w:space="0" w:color="auto"/>
        <w:bottom w:val="none" w:sz="0" w:space="0" w:color="auto"/>
        <w:right w:val="none" w:sz="0" w:space="0" w:color="auto"/>
      </w:divBdr>
    </w:div>
    <w:div w:id="823474599">
      <w:bodyDiv w:val="1"/>
      <w:marLeft w:val="0"/>
      <w:marRight w:val="0"/>
      <w:marTop w:val="0"/>
      <w:marBottom w:val="0"/>
      <w:divBdr>
        <w:top w:val="none" w:sz="0" w:space="0" w:color="auto"/>
        <w:left w:val="none" w:sz="0" w:space="0" w:color="auto"/>
        <w:bottom w:val="none" w:sz="0" w:space="0" w:color="auto"/>
        <w:right w:val="none" w:sz="0" w:space="0" w:color="auto"/>
      </w:divBdr>
    </w:div>
    <w:div w:id="823857839">
      <w:bodyDiv w:val="1"/>
      <w:marLeft w:val="0"/>
      <w:marRight w:val="0"/>
      <w:marTop w:val="0"/>
      <w:marBottom w:val="0"/>
      <w:divBdr>
        <w:top w:val="none" w:sz="0" w:space="0" w:color="auto"/>
        <w:left w:val="none" w:sz="0" w:space="0" w:color="auto"/>
        <w:bottom w:val="none" w:sz="0" w:space="0" w:color="auto"/>
        <w:right w:val="none" w:sz="0" w:space="0" w:color="auto"/>
      </w:divBdr>
    </w:div>
    <w:div w:id="823858710">
      <w:bodyDiv w:val="1"/>
      <w:marLeft w:val="0"/>
      <w:marRight w:val="0"/>
      <w:marTop w:val="0"/>
      <w:marBottom w:val="0"/>
      <w:divBdr>
        <w:top w:val="none" w:sz="0" w:space="0" w:color="auto"/>
        <w:left w:val="none" w:sz="0" w:space="0" w:color="auto"/>
        <w:bottom w:val="none" w:sz="0" w:space="0" w:color="auto"/>
        <w:right w:val="none" w:sz="0" w:space="0" w:color="auto"/>
      </w:divBdr>
    </w:div>
    <w:div w:id="823931591">
      <w:bodyDiv w:val="1"/>
      <w:marLeft w:val="0"/>
      <w:marRight w:val="0"/>
      <w:marTop w:val="0"/>
      <w:marBottom w:val="0"/>
      <w:divBdr>
        <w:top w:val="none" w:sz="0" w:space="0" w:color="auto"/>
        <w:left w:val="none" w:sz="0" w:space="0" w:color="auto"/>
        <w:bottom w:val="none" w:sz="0" w:space="0" w:color="auto"/>
        <w:right w:val="none" w:sz="0" w:space="0" w:color="auto"/>
      </w:divBdr>
    </w:div>
    <w:div w:id="823934817">
      <w:bodyDiv w:val="1"/>
      <w:marLeft w:val="0"/>
      <w:marRight w:val="0"/>
      <w:marTop w:val="0"/>
      <w:marBottom w:val="0"/>
      <w:divBdr>
        <w:top w:val="none" w:sz="0" w:space="0" w:color="auto"/>
        <w:left w:val="none" w:sz="0" w:space="0" w:color="auto"/>
        <w:bottom w:val="none" w:sz="0" w:space="0" w:color="auto"/>
        <w:right w:val="none" w:sz="0" w:space="0" w:color="auto"/>
      </w:divBdr>
    </w:div>
    <w:div w:id="824009960">
      <w:bodyDiv w:val="1"/>
      <w:marLeft w:val="0"/>
      <w:marRight w:val="0"/>
      <w:marTop w:val="0"/>
      <w:marBottom w:val="0"/>
      <w:divBdr>
        <w:top w:val="none" w:sz="0" w:space="0" w:color="auto"/>
        <w:left w:val="none" w:sz="0" w:space="0" w:color="auto"/>
        <w:bottom w:val="none" w:sz="0" w:space="0" w:color="auto"/>
        <w:right w:val="none" w:sz="0" w:space="0" w:color="auto"/>
      </w:divBdr>
    </w:div>
    <w:div w:id="824010416">
      <w:bodyDiv w:val="1"/>
      <w:marLeft w:val="0"/>
      <w:marRight w:val="0"/>
      <w:marTop w:val="0"/>
      <w:marBottom w:val="0"/>
      <w:divBdr>
        <w:top w:val="none" w:sz="0" w:space="0" w:color="auto"/>
        <w:left w:val="none" w:sz="0" w:space="0" w:color="auto"/>
        <w:bottom w:val="none" w:sz="0" w:space="0" w:color="auto"/>
        <w:right w:val="none" w:sz="0" w:space="0" w:color="auto"/>
      </w:divBdr>
    </w:div>
    <w:div w:id="824735227">
      <w:bodyDiv w:val="1"/>
      <w:marLeft w:val="0"/>
      <w:marRight w:val="0"/>
      <w:marTop w:val="0"/>
      <w:marBottom w:val="0"/>
      <w:divBdr>
        <w:top w:val="none" w:sz="0" w:space="0" w:color="auto"/>
        <w:left w:val="none" w:sz="0" w:space="0" w:color="auto"/>
        <w:bottom w:val="none" w:sz="0" w:space="0" w:color="auto"/>
        <w:right w:val="none" w:sz="0" w:space="0" w:color="auto"/>
      </w:divBdr>
    </w:div>
    <w:div w:id="824783041">
      <w:bodyDiv w:val="1"/>
      <w:marLeft w:val="0"/>
      <w:marRight w:val="0"/>
      <w:marTop w:val="0"/>
      <w:marBottom w:val="0"/>
      <w:divBdr>
        <w:top w:val="none" w:sz="0" w:space="0" w:color="auto"/>
        <w:left w:val="none" w:sz="0" w:space="0" w:color="auto"/>
        <w:bottom w:val="none" w:sz="0" w:space="0" w:color="auto"/>
        <w:right w:val="none" w:sz="0" w:space="0" w:color="auto"/>
      </w:divBdr>
    </w:div>
    <w:div w:id="824932244">
      <w:bodyDiv w:val="1"/>
      <w:marLeft w:val="0"/>
      <w:marRight w:val="0"/>
      <w:marTop w:val="0"/>
      <w:marBottom w:val="0"/>
      <w:divBdr>
        <w:top w:val="none" w:sz="0" w:space="0" w:color="auto"/>
        <w:left w:val="none" w:sz="0" w:space="0" w:color="auto"/>
        <w:bottom w:val="none" w:sz="0" w:space="0" w:color="auto"/>
        <w:right w:val="none" w:sz="0" w:space="0" w:color="auto"/>
      </w:divBdr>
    </w:div>
    <w:div w:id="825515143">
      <w:bodyDiv w:val="1"/>
      <w:marLeft w:val="0"/>
      <w:marRight w:val="0"/>
      <w:marTop w:val="0"/>
      <w:marBottom w:val="0"/>
      <w:divBdr>
        <w:top w:val="none" w:sz="0" w:space="0" w:color="auto"/>
        <w:left w:val="none" w:sz="0" w:space="0" w:color="auto"/>
        <w:bottom w:val="none" w:sz="0" w:space="0" w:color="auto"/>
        <w:right w:val="none" w:sz="0" w:space="0" w:color="auto"/>
      </w:divBdr>
    </w:div>
    <w:div w:id="825588799">
      <w:bodyDiv w:val="1"/>
      <w:marLeft w:val="0"/>
      <w:marRight w:val="0"/>
      <w:marTop w:val="0"/>
      <w:marBottom w:val="0"/>
      <w:divBdr>
        <w:top w:val="none" w:sz="0" w:space="0" w:color="auto"/>
        <w:left w:val="none" w:sz="0" w:space="0" w:color="auto"/>
        <w:bottom w:val="none" w:sz="0" w:space="0" w:color="auto"/>
        <w:right w:val="none" w:sz="0" w:space="0" w:color="auto"/>
      </w:divBdr>
    </w:div>
    <w:div w:id="826021819">
      <w:bodyDiv w:val="1"/>
      <w:marLeft w:val="0"/>
      <w:marRight w:val="0"/>
      <w:marTop w:val="0"/>
      <w:marBottom w:val="0"/>
      <w:divBdr>
        <w:top w:val="none" w:sz="0" w:space="0" w:color="auto"/>
        <w:left w:val="none" w:sz="0" w:space="0" w:color="auto"/>
        <w:bottom w:val="none" w:sz="0" w:space="0" w:color="auto"/>
        <w:right w:val="none" w:sz="0" w:space="0" w:color="auto"/>
      </w:divBdr>
    </w:div>
    <w:div w:id="826435378">
      <w:bodyDiv w:val="1"/>
      <w:marLeft w:val="0"/>
      <w:marRight w:val="0"/>
      <w:marTop w:val="0"/>
      <w:marBottom w:val="0"/>
      <w:divBdr>
        <w:top w:val="none" w:sz="0" w:space="0" w:color="auto"/>
        <w:left w:val="none" w:sz="0" w:space="0" w:color="auto"/>
        <w:bottom w:val="none" w:sz="0" w:space="0" w:color="auto"/>
        <w:right w:val="none" w:sz="0" w:space="0" w:color="auto"/>
      </w:divBdr>
    </w:div>
    <w:div w:id="827136020">
      <w:bodyDiv w:val="1"/>
      <w:marLeft w:val="0"/>
      <w:marRight w:val="0"/>
      <w:marTop w:val="0"/>
      <w:marBottom w:val="0"/>
      <w:divBdr>
        <w:top w:val="none" w:sz="0" w:space="0" w:color="auto"/>
        <w:left w:val="none" w:sz="0" w:space="0" w:color="auto"/>
        <w:bottom w:val="none" w:sz="0" w:space="0" w:color="auto"/>
        <w:right w:val="none" w:sz="0" w:space="0" w:color="auto"/>
      </w:divBdr>
    </w:div>
    <w:div w:id="827554159">
      <w:bodyDiv w:val="1"/>
      <w:marLeft w:val="0"/>
      <w:marRight w:val="0"/>
      <w:marTop w:val="0"/>
      <w:marBottom w:val="0"/>
      <w:divBdr>
        <w:top w:val="none" w:sz="0" w:space="0" w:color="auto"/>
        <w:left w:val="none" w:sz="0" w:space="0" w:color="auto"/>
        <w:bottom w:val="none" w:sz="0" w:space="0" w:color="auto"/>
        <w:right w:val="none" w:sz="0" w:space="0" w:color="auto"/>
      </w:divBdr>
    </w:div>
    <w:div w:id="827593624">
      <w:bodyDiv w:val="1"/>
      <w:marLeft w:val="0"/>
      <w:marRight w:val="0"/>
      <w:marTop w:val="0"/>
      <w:marBottom w:val="0"/>
      <w:divBdr>
        <w:top w:val="none" w:sz="0" w:space="0" w:color="auto"/>
        <w:left w:val="none" w:sz="0" w:space="0" w:color="auto"/>
        <w:bottom w:val="none" w:sz="0" w:space="0" w:color="auto"/>
        <w:right w:val="none" w:sz="0" w:space="0" w:color="auto"/>
      </w:divBdr>
    </w:div>
    <w:div w:id="827870411">
      <w:bodyDiv w:val="1"/>
      <w:marLeft w:val="0"/>
      <w:marRight w:val="0"/>
      <w:marTop w:val="0"/>
      <w:marBottom w:val="0"/>
      <w:divBdr>
        <w:top w:val="none" w:sz="0" w:space="0" w:color="auto"/>
        <w:left w:val="none" w:sz="0" w:space="0" w:color="auto"/>
        <w:bottom w:val="none" w:sz="0" w:space="0" w:color="auto"/>
        <w:right w:val="none" w:sz="0" w:space="0" w:color="auto"/>
      </w:divBdr>
    </w:div>
    <w:div w:id="827986487">
      <w:bodyDiv w:val="1"/>
      <w:marLeft w:val="0"/>
      <w:marRight w:val="0"/>
      <w:marTop w:val="0"/>
      <w:marBottom w:val="0"/>
      <w:divBdr>
        <w:top w:val="none" w:sz="0" w:space="0" w:color="auto"/>
        <w:left w:val="none" w:sz="0" w:space="0" w:color="auto"/>
        <w:bottom w:val="none" w:sz="0" w:space="0" w:color="auto"/>
        <w:right w:val="none" w:sz="0" w:space="0" w:color="auto"/>
      </w:divBdr>
    </w:div>
    <w:div w:id="828054725">
      <w:bodyDiv w:val="1"/>
      <w:marLeft w:val="0"/>
      <w:marRight w:val="0"/>
      <w:marTop w:val="0"/>
      <w:marBottom w:val="0"/>
      <w:divBdr>
        <w:top w:val="none" w:sz="0" w:space="0" w:color="auto"/>
        <w:left w:val="none" w:sz="0" w:space="0" w:color="auto"/>
        <w:bottom w:val="none" w:sz="0" w:space="0" w:color="auto"/>
        <w:right w:val="none" w:sz="0" w:space="0" w:color="auto"/>
      </w:divBdr>
    </w:div>
    <w:div w:id="828209489">
      <w:bodyDiv w:val="1"/>
      <w:marLeft w:val="0"/>
      <w:marRight w:val="0"/>
      <w:marTop w:val="0"/>
      <w:marBottom w:val="0"/>
      <w:divBdr>
        <w:top w:val="none" w:sz="0" w:space="0" w:color="auto"/>
        <w:left w:val="none" w:sz="0" w:space="0" w:color="auto"/>
        <w:bottom w:val="none" w:sz="0" w:space="0" w:color="auto"/>
        <w:right w:val="none" w:sz="0" w:space="0" w:color="auto"/>
      </w:divBdr>
    </w:div>
    <w:div w:id="828210157">
      <w:bodyDiv w:val="1"/>
      <w:marLeft w:val="0"/>
      <w:marRight w:val="0"/>
      <w:marTop w:val="0"/>
      <w:marBottom w:val="0"/>
      <w:divBdr>
        <w:top w:val="none" w:sz="0" w:space="0" w:color="auto"/>
        <w:left w:val="none" w:sz="0" w:space="0" w:color="auto"/>
        <w:bottom w:val="none" w:sz="0" w:space="0" w:color="auto"/>
        <w:right w:val="none" w:sz="0" w:space="0" w:color="auto"/>
      </w:divBdr>
    </w:div>
    <w:div w:id="828525053">
      <w:bodyDiv w:val="1"/>
      <w:marLeft w:val="0"/>
      <w:marRight w:val="0"/>
      <w:marTop w:val="0"/>
      <w:marBottom w:val="0"/>
      <w:divBdr>
        <w:top w:val="none" w:sz="0" w:space="0" w:color="auto"/>
        <w:left w:val="none" w:sz="0" w:space="0" w:color="auto"/>
        <w:bottom w:val="none" w:sz="0" w:space="0" w:color="auto"/>
        <w:right w:val="none" w:sz="0" w:space="0" w:color="auto"/>
      </w:divBdr>
    </w:div>
    <w:div w:id="828592486">
      <w:bodyDiv w:val="1"/>
      <w:marLeft w:val="0"/>
      <w:marRight w:val="0"/>
      <w:marTop w:val="0"/>
      <w:marBottom w:val="0"/>
      <w:divBdr>
        <w:top w:val="none" w:sz="0" w:space="0" w:color="auto"/>
        <w:left w:val="none" w:sz="0" w:space="0" w:color="auto"/>
        <w:bottom w:val="none" w:sz="0" w:space="0" w:color="auto"/>
        <w:right w:val="none" w:sz="0" w:space="0" w:color="auto"/>
      </w:divBdr>
    </w:div>
    <w:div w:id="828642237">
      <w:bodyDiv w:val="1"/>
      <w:marLeft w:val="0"/>
      <w:marRight w:val="0"/>
      <w:marTop w:val="0"/>
      <w:marBottom w:val="0"/>
      <w:divBdr>
        <w:top w:val="none" w:sz="0" w:space="0" w:color="auto"/>
        <w:left w:val="none" w:sz="0" w:space="0" w:color="auto"/>
        <w:bottom w:val="none" w:sz="0" w:space="0" w:color="auto"/>
        <w:right w:val="none" w:sz="0" w:space="0" w:color="auto"/>
      </w:divBdr>
    </w:div>
    <w:div w:id="828789005">
      <w:bodyDiv w:val="1"/>
      <w:marLeft w:val="0"/>
      <w:marRight w:val="0"/>
      <w:marTop w:val="0"/>
      <w:marBottom w:val="0"/>
      <w:divBdr>
        <w:top w:val="none" w:sz="0" w:space="0" w:color="auto"/>
        <w:left w:val="none" w:sz="0" w:space="0" w:color="auto"/>
        <w:bottom w:val="none" w:sz="0" w:space="0" w:color="auto"/>
        <w:right w:val="none" w:sz="0" w:space="0" w:color="auto"/>
      </w:divBdr>
    </w:div>
    <w:div w:id="829442898">
      <w:bodyDiv w:val="1"/>
      <w:marLeft w:val="0"/>
      <w:marRight w:val="0"/>
      <w:marTop w:val="0"/>
      <w:marBottom w:val="0"/>
      <w:divBdr>
        <w:top w:val="none" w:sz="0" w:space="0" w:color="auto"/>
        <w:left w:val="none" w:sz="0" w:space="0" w:color="auto"/>
        <w:bottom w:val="none" w:sz="0" w:space="0" w:color="auto"/>
        <w:right w:val="none" w:sz="0" w:space="0" w:color="auto"/>
      </w:divBdr>
    </w:div>
    <w:div w:id="829753714">
      <w:bodyDiv w:val="1"/>
      <w:marLeft w:val="0"/>
      <w:marRight w:val="0"/>
      <w:marTop w:val="0"/>
      <w:marBottom w:val="0"/>
      <w:divBdr>
        <w:top w:val="none" w:sz="0" w:space="0" w:color="auto"/>
        <w:left w:val="none" w:sz="0" w:space="0" w:color="auto"/>
        <w:bottom w:val="none" w:sz="0" w:space="0" w:color="auto"/>
        <w:right w:val="none" w:sz="0" w:space="0" w:color="auto"/>
      </w:divBdr>
    </w:div>
    <w:div w:id="829903021">
      <w:bodyDiv w:val="1"/>
      <w:marLeft w:val="0"/>
      <w:marRight w:val="0"/>
      <w:marTop w:val="0"/>
      <w:marBottom w:val="0"/>
      <w:divBdr>
        <w:top w:val="none" w:sz="0" w:space="0" w:color="auto"/>
        <w:left w:val="none" w:sz="0" w:space="0" w:color="auto"/>
        <w:bottom w:val="none" w:sz="0" w:space="0" w:color="auto"/>
        <w:right w:val="none" w:sz="0" w:space="0" w:color="auto"/>
      </w:divBdr>
    </w:div>
    <w:div w:id="830750729">
      <w:bodyDiv w:val="1"/>
      <w:marLeft w:val="0"/>
      <w:marRight w:val="0"/>
      <w:marTop w:val="0"/>
      <w:marBottom w:val="0"/>
      <w:divBdr>
        <w:top w:val="none" w:sz="0" w:space="0" w:color="auto"/>
        <w:left w:val="none" w:sz="0" w:space="0" w:color="auto"/>
        <w:bottom w:val="none" w:sz="0" w:space="0" w:color="auto"/>
        <w:right w:val="none" w:sz="0" w:space="0" w:color="auto"/>
      </w:divBdr>
    </w:div>
    <w:div w:id="830751498">
      <w:bodyDiv w:val="1"/>
      <w:marLeft w:val="0"/>
      <w:marRight w:val="0"/>
      <w:marTop w:val="0"/>
      <w:marBottom w:val="0"/>
      <w:divBdr>
        <w:top w:val="none" w:sz="0" w:space="0" w:color="auto"/>
        <w:left w:val="none" w:sz="0" w:space="0" w:color="auto"/>
        <w:bottom w:val="none" w:sz="0" w:space="0" w:color="auto"/>
        <w:right w:val="none" w:sz="0" w:space="0" w:color="auto"/>
      </w:divBdr>
    </w:div>
    <w:div w:id="830753575">
      <w:bodyDiv w:val="1"/>
      <w:marLeft w:val="0"/>
      <w:marRight w:val="0"/>
      <w:marTop w:val="0"/>
      <w:marBottom w:val="0"/>
      <w:divBdr>
        <w:top w:val="none" w:sz="0" w:space="0" w:color="auto"/>
        <w:left w:val="none" w:sz="0" w:space="0" w:color="auto"/>
        <w:bottom w:val="none" w:sz="0" w:space="0" w:color="auto"/>
        <w:right w:val="none" w:sz="0" w:space="0" w:color="auto"/>
      </w:divBdr>
    </w:div>
    <w:div w:id="830873274">
      <w:bodyDiv w:val="1"/>
      <w:marLeft w:val="0"/>
      <w:marRight w:val="0"/>
      <w:marTop w:val="0"/>
      <w:marBottom w:val="0"/>
      <w:divBdr>
        <w:top w:val="none" w:sz="0" w:space="0" w:color="auto"/>
        <w:left w:val="none" w:sz="0" w:space="0" w:color="auto"/>
        <w:bottom w:val="none" w:sz="0" w:space="0" w:color="auto"/>
        <w:right w:val="none" w:sz="0" w:space="0" w:color="auto"/>
      </w:divBdr>
    </w:div>
    <w:div w:id="830873703">
      <w:bodyDiv w:val="1"/>
      <w:marLeft w:val="0"/>
      <w:marRight w:val="0"/>
      <w:marTop w:val="0"/>
      <w:marBottom w:val="0"/>
      <w:divBdr>
        <w:top w:val="none" w:sz="0" w:space="0" w:color="auto"/>
        <w:left w:val="none" w:sz="0" w:space="0" w:color="auto"/>
        <w:bottom w:val="none" w:sz="0" w:space="0" w:color="auto"/>
        <w:right w:val="none" w:sz="0" w:space="0" w:color="auto"/>
      </w:divBdr>
    </w:div>
    <w:div w:id="830875604">
      <w:bodyDiv w:val="1"/>
      <w:marLeft w:val="0"/>
      <w:marRight w:val="0"/>
      <w:marTop w:val="0"/>
      <w:marBottom w:val="0"/>
      <w:divBdr>
        <w:top w:val="none" w:sz="0" w:space="0" w:color="auto"/>
        <w:left w:val="none" w:sz="0" w:space="0" w:color="auto"/>
        <w:bottom w:val="none" w:sz="0" w:space="0" w:color="auto"/>
        <w:right w:val="none" w:sz="0" w:space="0" w:color="auto"/>
      </w:divBdr>
    </w:div>
    <w:div w:id="831144884">
      <w:bodyDiv w:val="1"/>
      <w:marLeft w:val="0"/>
      <w:marRight w:val="0"/>
      <w:marTop w:val="0"/>
      <w:marBottom w:val="0"/>
      <w:divBdr>
        <w:top w:val="none" w:sz="0" w:space="0" w:color="auto"/>
        <w:left w:val="none" w:sz="0" w:space="0" w:color="auto"/>
        <w:bottom w:val="none" w:sz="0" w:space="0" w:color="auto"/>
        <w:right w:val="none" w:sz="0" w:space="0" w:color="auto"/>
      </w:divBdr>
    </w:div>
    <w:div w:id="831145904">
      <w:bodyDiv w:val="1"/>
      <w:marLeft w:val="0"/>
      <w:marRight w:val="0"/>
      <w:marTop w:val="0"/>
      <w:marBottom w:val="0"/>
      <w:divBdr>
        <w:top w:val="none" w:sz="0" w:space="0" w:color="auto"/>
        <w:left w:val="none" w:sz="0" w:space="0" w:color="auto"/>
        <w:bottom w:val="none" w:sz="0" w:space="0" w:color="auto"/>
        <w:right w:val="none" w:sz="0" w:space="0" w:color="auto"/>
      </w:divBdr>
    </w:div>
    <w:div w:id="831217134">
      <w:bodyDiv w:val="1"/>
      <w:marLeft w:val="0"/>
      <w:marRight w:val="0"/>
      <w:marTop w:val="0"/>
      <w:marBottom w:val="0"/>
      <w:divBdr>
        <w:top w:val="none" w:sz="0" w:space="0" w:color="auto"/>
        <w:left w:val="none" w:sz="0" w:space="0" w:color="auto"/>
        <w:bottom w:val="none" w:sz="0" w:space="0" w:color="auto"/>
        <w:right w:val="none" w:sz="0" w:space="0" w:color="auto"/>
      </w:divBdr>
    </w:div>
    <w:div w:id="831604765">
      <w:bodyDiv w:val="1"/>
      <w:marLeft w:val="0"/>
      <w:marRight w:val="0"/>
      <w:marTop w:val="0"/>
      <w:marBottom w:val="0"/>
      <w:divBdr>
        <w:top w:val="none" w:sz="0" w:space="0" w:color="auto"/>
        <w:left w:val="none" w:sz="0" w:space="0" w:color="auto"/>
        <w:bottom w:val="none" w:sz="0" w:space="0" w:color="auto"/>
        <w:right w:val="none" w:sz="0" w:space="0" w:color="auto"/>
      </w:divBdr>
    </w:div>
    <w:div w:id="831683053">
      <w:bodyDiv w:val="1"/>
      <w:marLeft w:val="0"/>
      <w:marRight w:val="0"/>
      <w:marTop w:val="0"/>
      <w:marBottom w:val="0"/>
      <w:divBdr>
        <w:top w:val="none" w:sz="0" w:space="0" w:color="auto"/>
        <w:left w:val="none" w:sz="0" w:space="0" w:color="auto"/>
        <w:bottom w:val="none" w:sz="0" w:space="0" w:color="auto"/>
        <w:right w:val="none" w:sz="0" w:space="0" w:color="auto"/>
      </w:divBdr>
    </w:div>
    <w:div w:id="831872081">
      <w:bodyDiv w:val="1"/>
      <w:marLeft w:val="0"/>
      <w:marRight w:val="0"/>
      <w:marTop w:val="0"/>
      <w:marBottom w:val="0"/>
      <w:divBdr>
        <w:top w:val="none" w:sz="0" w:space="0" w:color="auto"/>
        <w:left w:val="none" w:sz="0" w:space="0" w:color="auto"/>
        <w:bottom w:val="none" w:sz="0" w:space="0" w:color="auto"/>
        <w:right w:val="none" w:sz="0" w:space="0" w:color="auto"/>
      </w:divBdr>
    </w:div>
    <w:div w:id="832185528">
      <w:bodyDiv w:val="1"/>
      <w:marLeft w:val="0"/>
      <w:marRight w:val="0"/>
      <w:marTop w:val="0"/>
      <w:marBottom w:val="0"/>
      <w:divBdr>
        <w:top w:val="none" w:sz="0" w:space="0" w:color="auto"/>
        <w:left w:val="none" w:sz="0" w:space="0" w:color="auto"/>
        <w:bottom w:val="none" w:sz="0" w:space="0" w:color="auto"/>
        <w:right w:val="none" w:sz="0" w:space="0" w:color="auto"/>
      </w:divBdr>
    </w:div>
    <w:div w:id="832448001">
      <w:bodyDiv w:val="1"/>
      <w:marLeft w:val="0"/>
      <w:marRight w:val="0"/>
      <w:marTop w:val="0"/>
      <w:marBottom w:val="0"/>
      <w:divBdr>
        <w:top w:val="none" w:sz="0" w:space="0" w:color="auto"/>
        <w:left w:val="none" w:sz="0" w:space="0" w:color="auto"/>
        <w:bottom w:val="none" w:sz="0" w:space="0" w:color="auto"/>
        <w:right w:val="none" w:sz="0" w:space="0" w:color="auto"/>
      </w:divBdr>
    </w:div>
    <w:div w:id="832798541">
      <w:bodyDiv w:val="1"/>
      <w:marLeft w:val="0"/>
      <w:marRight w:val="0"/>
      <w:marTop w:val="0"/>
      <w:marBottom w:val="0"/>
      <w:divBdr>
        <w:top w:val="none" w:sz="0" w:space="0" w:color="auto"/>
        <w:left w:val="none" w:sz="0" w:space="0" w:color="auto"/>
        <w:bottom w:val="none" w:sz="0" w:space="0" w:color="auto"/>
        <w:right w:val="none" w:sz="0" w:space="0" w:color="auto"/>
      </w:divBdr>
    </w:div>
    <w:div w:id="832987237">
      <w:bodyDiv w:val="1"/>
      <w:marLeft w:val="0"/>
      <w:marRight w:val="0"/>
      <w:marTop w:val="0"/>
      <w:marBottom w:val="0"/>
      <w:divBdr>
        <w:top w:val="none" w:sz="0" w:space="0" w:color="auto"/>
        <w:left w:val="none" w:sz="0" w:space="0" w:color="auto"/>
        <w:bottom w:val="none" w:sz="0" w:space="0" w:color="auto"/>
        <w:right w:val="none" w:sz="0" w:space="0" w:color="auto"/>
      </w:divBdr>
    </w:div>
    <w:div w:id="833184722">
      <w:bodyDiv w:val="1"/>
      <w:marLeft w:val="0"/>
      <w:marRight w:val="0"/>
      <w:marTop w:val="0"/>
      <w:marBottom w:val="0"/>
      <w:divBdr>
        <w:top w:val="none" w:sz="0" w:space="0" w:color="auto"/>
        <w:left w:val="none" w:sz="0" w:space="0" w:color="auto"/>
        <w:bottom w:val="none" w:sz="0" w:space="0" w:color="auto"/>
        <w:right w:val="none" w:sz="0" w:space="0" w:color="auto"/>
      </w:divBdr>
    </w:div>
    <w:div w:id="833299749">
      <w:bodyDiv w:val="1"/>
      <w:marLeft w:val="0"/>
      <w:marRight w:val="0"/>
      <w:marTop w:val="0"/>
      <w:marBottom w:val="0"/>
      <w:divBdr>
        <w:top w:val="none" w:sz="0" w:space="0" w:color="auto"/>
        <w:left w:val="none" w:sz="0" w:space="0" w:color="auto"/>
        <w:bottom w:val="none" w:sz="0" w:space="0" w:color="auto"/>
        <w:right w:val="none" w:sz="0" w:space="0" w:color="auto"/>
      </w:divBdr>
    </w:div>
    <w:div w:id="833375552">
      <w:bodyDiv w:val="1"/>
      <w:marLeft w:val="0"/>
      <w:marRight w:val="0"/>
      <w:marTop w:val="0"/>
      <w:marBottom w:val="0"/>
      <w:divBdr>
        <w:top w:val="none" w:sz="0" w:space="0" w:color="auto"/>
        <w:left w:val="none" w:sz="0" w:space="0" w:color="auto"/>
        <w:bottom w:val="none" w:sz="0" w:space="0" w:color="auto"/>
        <w:right w:val="none" w:sz="0" w:space="0" w:color="auto"/>
      </w:divBdr>
    </w:div>
    <w:div w:id="833378252">
      <w:bodyDiv w:val="1"/>
      <w:marLeft w:val="0"/>
      <w:marRight w:val="0"/>
      <w:marTop w:val="0"/>
      <w:marBottom w:val="0"/>
      <w:divBdr>
        <w:top w:val="none" w:sz="0" w:space="0" w:color="auto"/>
        <w:left w:val="none" w:sz="0" w:space="0" w:color="auto"/>
        <w:bottom w:val="none" w:sz="0" w:space="0" w:color="auto"/>
        <w:right w:val="none" w:sz="0" w:space="0" w:color="auto"/>
      </w:divBdr>
    </w:div>
    <w:div w:id="833379874">
      <w:bodyDiv w:val="1"/>
      <w:marLeft w:val="0"/>
      <w:marRight w:val="0"/>
      <w:marTop w:val="0"/>
      <w:marBottom w:val="0"/>
      <w:divBdr>
        <w:top w:val="none" w:sz="0" w:space="0" w:color="auto"/>
        <w:left w:val="none" w:sz="0" w:space="0" w:color="auto"/>
        <w:bottom w:val="none" w:sz="0" w:space="0" w:color="auto"/>
        <w:right w:val="none" w:sz="0" w:space="0" w:color="auto"/>
      </w:divBdr>
    </w:div>
    <w:div w:id="833447741">
      <w:bodyDiv w:val="1"/>
      <w:marLeft w:val="0"/>
      <w:marRight w:val="0"/>
      <w:marTop w:val="0"/>
      <w:marBottom w:val="0"/>
      <w:divBdr>
        <w:top w:val="none" w:sz="0" w:space="0" w:color="auto"/>
        <w:left w:val="none" w:sz="0" w:space="0" w:color="auto"/>
        <w:bottom w:val="none" w:sz="0" w:space="0" w:color="auto"/>
        <w:right w:val="none" w:sz="0" w:space="0" w:color="auto"/>
      </w:divBdr>
    </w:div>
    <w:div w:id="833910202">
      <w:bodyDiv w:val="1"/>
      <w:marLeft w:val="0"/>
      <w:marRight w:val="0"/>
      <w:marTop w:val="0"/>
      <w:marBottom w:val="0"/>
      <w:divBdr>
        <w:top w:val="none" w:sz="0" w:space="0" w:color="auto"/>
        <w:left w:val="none" w:sz="0" w:space="0" w:color="auto"/>
        <w:bottom w:val="none" w:sz="0" w:space="0" w:color="auto"/>
        <w:right w:val="none" w:sz="0" w:space="0" w:color="auto"/>
      </w:divBdr>
    </w:div>
    <w:div w:id="833959610">
      <w:bodyDiv w:val="1"/>
      <w:marLeft w:val="0"/>
      <w:marRight w:val="0"/>
      <w:marTop w:val="0"/>
      <w:marBottom w:val="0"/>
      <w:divBdr>
        <w:top w:val="none" w:sz="0" w:space="0" w:color="auto"/>
        <w:left w:val="none" w:sz="0" w:space="0" w:color="auto"/>
        <w:bottom w:val="none" w:sz="0" w:space="0" w:color="auto"/>
        <w:right w:val="none" w:sz="0" w:space="0" w:color="auto"/>
      </w:divBdr>
    </w:div>
    <w:div w:id="834497460">
      <w:bodyDiv w:val="1"/>
      <w:marLeft w:val="0"/>
      <w:marRight w:val="0"/>
      <w:marTop w:val="0"/>
      <w:marBottom w:val="0"/>
      <w:divBdr>
        <w:top w:val="none" w:sz="0" w:space="0" w:color="auto"/>
        <w:left w:val="none" w:sz="0" w:space="0" w:color="auto"/>
        <w:bottom w:val="none" w:sz="0" w:space="0" w:color="auto"/>
        <w:right w:val="none" w:sz="0" w:space="0" w:color="auto"/>
      </w:divBdr>
    </w:div>
    <w:div w:id="834565062">
      <w:bodyDiv w:val="1"/>
      <w:marLeft w:val="0"/>
      <w:marRight w:val="0"/>
      <w:marTop w:val="0"/>
      <w:marBottom w:val="0"/>
      <w:divBdr>
        <w:top w:val="none" w:sz="0" w:space="0" w:color="auto"/>
        <w:left w:val="none" w:sz="0" w:space="0" w:color="auto"/>
        <w:bottom w:val="none" w:sz="0" w:space="0" w:color="auto"/>
        <w:right w:val="none" w:sz="0" w:space="0" w:color="auto"/>
      </w:divBdr>
    </w:div>
    <w:div w:id="834613495">
      <w:bodyDiv w:val="1"/>
      <w:marLeft w:val="0"/>
      <w:marRight w:val="0"/>
      <w:marTop w:val="0"/>
      <w:marBottom w:val="0"/>
      <w:divBdr>
        <w:top w:val="none" w:sz="0" w:space="0" w:color="auto"/>
        <w:left w:val="none" w:sz="0" w:space="0" w:color="auto"/>
        <w:bottom w:val="none" w:sz="0" w:space="0" w:color="auto"/>
        <w:right w:val="none" w:sz="0" w:space="0" w:color="auto"/>
      </w:divBdr>
    </w:div>
    <w:div w:id="834691178">
      <w:bodyDiv w:val="1"/>
      <w:marLeft w:val="0"/>
      <w:marRight w:val="0"/>
      <w:marTop w:val="0"/>
      <w:marBottom w:val="0"/>
      <w:divBdr>
        <w:top w:val="none" w:sz="0" w:space="0" w:color="auto"/>
        <w:left w:val="none" w:sz="0" w:space="0" w:color="auto"/>
        <w:bottom w:val="none" w:sz="0" w:space="0" w:color="auto"/>
        <w:right w:val="none" w:sz="0" w:space="0" w:color="auto"/>
      </w:divBdr>
    </w:div>
    <w:div w:id="835150717">
      <w:bodyDiv w:val="1"/>
      <w:marLeft w:val="0"/>
      <w:marRight w:val="0"/>
      <w:marTop w:val="0"/>
      <w:marBottom w:val="0"/>
      <w:divBdr>
        <w:top w:val="none" w:sz="0" w:space="0" w:color="auto"/>
        <w:left w:val="none" w:sz="0" w:space="0" w:color="auto"/>
        <w:bottom w:val="none" w:sz="0" w:space="0" w:color="auto"/>
        <w:right w:val="none" w:sz="0" w:space="0" w:color="auto"/>
      </w:divBdr>
    </w:div>
    <w:div w:id="835419406">
      <w:bodyDiv w:val="1"/>
      <w:marLeft w:val="0"/>
      <w:marRight w:val="0"/>
      <w:marTop w:val="0"/>
      <w:marBottom w:val="0"/>
      <w:divBdr>
        <w:top w:val="none" w:sz="0" w:space="0" w:color="auto"/>
        <w:left w:val="none" w:sz="0" w:space="0" w:color="auto"/>
        <w:bottom w:val="none" w:sz="0" w:space="0" w:color="auto"/>
        <w:right w:val="none" w:sz="0" w:space="0" w:color="auto"/>
      </w:divBdr>
    </w:div>
    <w:div w:id="836116890">
      <w:bodyDiv w:val="1"/>
      <w:marLeft w:val="0"/>
      <w:marRight w:val="0"/>
      <w:marTop w:val="0"/>
      <w:marBottom w:val="0"/>
      <w:divBdr>
        <w:top w:val="none" w:sz="0" w:space="0" w:color="auto"/>
        <w:left w:val="none" w:sz="0" w:space="0" w:color="auto"/>
        <w:bottom w:val="none" w:sz="0" w:space="0" w:color="auto"/>
        <w:right w:val="none" w:sz="0" w:space="0" w:color="auto"/>
      </w:divBdr>
    </w:div>
    <w:div w:id="836530688">
      <w:bodyDiv w:val="1"/>
      <w:marLeft w:val="0"/>
      <w:marRight w:val="0"/>
      <w:marTop w:val="0"/>
      <w:marBottom w:val="0"/>
      <w:divBdr>
        <w:top w:val="none" w:sz="0" w:space="0" w:color="auto"/>
        <w:left w:val="none" w:sz="0" w:space="0" w:color="auto"/>
        <w:bottom w:val="none" w:sz="0" w:space="0" w:color="auto"/>
        <w:right w:val="none" w:sz="0" w:space="0" w:color="auto"/>
      </w:divBdr>
    </w:div>
    <w:div w:id="836580345">
      <w:bodyDiv w:val="1"/>
      <w:marLeft w:val="0"/>
      <w:marRight w:val="0"/>
      <w:marTop w:val="0"/>
      <w:marBottom w:val="0"/>
      <w:divBdr>
        <w:top w:val="none" w:sz="0" w:space="0" w:color="auto"/>
        <w:left w:val="none" w:sz="0" w:space="0" w:color="auto"/>
        <w:bottom w:val="none" w:sz="0" w:space="0" w:color="auto"/>
        <w:right w:val="none" w:sz="0" w:space="0" w:color="auto"/>
      </w:divBdr>
    </w:div>
    <w:div w:id="836651680">
      <w:bodyDiv w:val="1"/>
      <w:marLeft w:val="0"/>
      <w:marRight w:val="0"/>
      <w:marTop w:val="0"/>
      <w:marBottom w:val="0"/>
      <w:divBdr>
        <w:top w:val="none" w:sz="0" w:space="0" w:color="auto"/>
        <w:left w:val="none" w:sz="0" w:space="0" w:color="auto"/>
        <w:bottom w:val="none" w:sz="0" w:space="0" w:color="auto"/>
        <w:right w:val="none" w:sz="0" w:space="0" w:color="auto"/>
      </w:divBdr>
    </w:div>
    <w:div w:id="836729394">
      <w:bodyDiv w:val="1"/>
      <w:marLeft w:val="0"/>
      <w:marRight w:val="0"/>
      <w:marTop w:val="0"/>
      <w:marBottom w:val="0"/>
      <w:divBdr>
        <w:top w:val="none" w:sz="0" w:space="0" w:color="auto"/>
        <w:left w:val="none" w:sz="0" w:space="0" w:color="auto"/>
        <w:bottom w:val="none" w:sz="0" w:space="0" w:color="auto"/>
        <w:right w:val="none" w:sz="0" w:space="0" w:color="auto"/>
      </w:divBdr>
    </w:div>
    <w:div w:id="836963767">
      <w:bodyDiv w:val="1"/>
      <w:marLeft w:val="0"/>
      <w:marRight w:val="0"/>
      <w:marTop w:val="0"/>
      <w:marBottom w:val="0"/>
      <w:divBdr>
        <w:top w:val="none" w:sz="0" w:space="0" w:color="auto"/>
        <w:left w:val="none" w:sz="0" w:space="0" w:color="auto"/>
        <w:bottom w:val="none" w:sz="0" w:space="0" w:color="auto"/>
        <w:right w:val="none" w:sz="0" w:space="0" w:color="auto"/>
      </w:divBdr>
    </w:div>
    <w:div w:id="837043936">
      <w:bodyDiv w:val="1"/>
      <w:marLeft w:val="0"/>
      <w:marRight w:val="0"/>
      <w:marTop w:val="0"/>
      <w:marBottom w:val="0"/>
      <w:divBdr>
        <w:top w:val="none" w:sz="0" w:space="0" w:color="auto"/>
        <w:left w:val="none" w:sz="0" w:space="0" w:color="auto"/>
        <w:bottom w:val="none" w:sz="0" w:space="0" w:color="auto"/>
        <w:right w:val="none" w:sz="0" w:space="0" w:color="auto"/>
      </w:divBdr>
    </w:div>
    <w:div w:id="837306276">
      <w:bodyDiv w:val="1"/>
      <w:marLeft w:val="0"/>
      <w:marRight w:val="0"/>
      <w:marTop w:val="0"/>
      <w:marBottom w:val="0"/>
      <w:divBdr>
        <w:top w:val="none" w:sz="0" w:space="0" w:color="auto"/>
        <w:left w:val="none" w:sz="0" w:space="0" w:color="auto"/>
        <w:bottom w:val="none" w:sz="0" w:space="0" w:color="auto"/>
        <w:right w:val="none" w:sz="0" w:space="0" w:color="auto"/>
      </w:divBdr>
    </w:div>
    <w:div w:id="837309356">
      <w:bodyDiv w:val="1"/>
      <w:marLeft w:val="0"/>
      <w:marRight w:val="0"/>
      <w:marTop w:val="0"/>
      <w:marBottom w:val="0"/>
      <w:divBdr>
        <w:top w:val="none" w:sz="0" w:space="0" w:color="auto"/>
        <w:left w:val="none" w:sz="0" w:space="0" w:color="auto"/>
        <w:bottom w:val="none" w:sz="0" w:space="0" w:color="auto"/>
        <w:right w:val="none" w:sz="0" w:space="0" w:color="auto"/>
      </w:divBdr>
    </w:div>
    <w:div w:id="837772886">
      <w:bodyDiv w:val="1"/>
      <w:marLeft w:val="0"/>
      <w:marRight w:val="0"/>
      <w:marTop w:val="0"/>
      <w:marBottom w:val="0"/>
      <w:divBdr>
        <w:top w:val="none" w:sz="0" w:space="0" w:color="auto"/>
        <w:left w:val="none" w:sz="0" w:space="0" w:color="auto"/>
        <w:bottom w:val="none" w:sz="0" w:space="0" w:color="auto"/>
        <w:right w:val="none" w:sz="0" w:space="0" w:color="auto"/>
      </w:divBdr>
    </w:div>
    <w:div w:id="838076772">
      <w:bodyDiv w:val="1"/>
      <w:marLeft w:val="0"/>
      <w:marRight w:val="0"/>
      <w:marTop w:val="0"/>
      <w:marBottom w:val="0"/>
      <w:divBdr>
        <w:top w:val="none" w:sz="0" w:space="0" w:color="auto"/>
        <w:left w:val="none" w:sz="0" w:space="0" w:color="auto"/>
        <w:bottom w:val="none" w:sz="0" w:space="0" w:color="auto"/>
        <w:right w:val="none" w:sz="0" w:space="0" w:color="auto"/>
      </w:divBdr>
    </w:div>
    <w:div w:id="838077701">
      <w:bodyDiv w:val="1"/>
      <w:marLeft w:val="0"/>
      <w:marRight w:val="0"/>
      <w:marTop w:val="0"/>
      <w:marBottom w:val="0"/>
      <w:divBdr>
        <w:top w:val="none" w:sz="0" w:space="0" w:color="auto"/>
        <w:left w:val="none" w:sz="0" w:space="0" w:color="auto"/>
        <w:bottom w:val="none" w:sz="0" w:space="0" w:color="auto"/>
        <w:right w:val="none" w:sz="0" w:space="0" w:color="auto"/>
      </w:divBdr>
    </w:div>
    <w:div w:id="838157490">
      <w:bodyDiv w:val="1"/>
      <w:marLeft w:val="0"/>
      <w:marRight w:val="0"/>
      <w:marTop w:val="0"/>
      <w:marBottom w:val="0"/>
      <w:divBdr>
        <w:top w:val="none" w:sz="0" w:space="0" w:color="auto"/>
        <w:left w:val="none" w:sz="0" w:space="0" w:color="auto"/>
        <w:bottom w:val="none" w:sz="0" w:space="0" w:color="auto"/>
        <w:right w:val="none" w:sz="0" w:space="0" w:color="auto"/>
      </w:divBdr>
    </w:div>
    <w:div w:id="838160208">
      <w:bodyDiv w:val="1"/>
      <w:marLeft w:val="0"/>
      <w:marRight w:val="0"/>
      <w:marTop w:val="0"/>
      <w:marBottom w:val="0"/>
      <w:divBdr>
        <w:top w:val="none" w:sz="0" w:space="0" w:color="auto"/>
        <w:left w:val="none" w:sz="0" w:space="0" w:color="auto"/>
        <w:bottom w:val="none" w:sz="0" w:space="0" w:color="auto"/>
        <w:right w:val="none" w:sz="0" w:space="0" w:color="auto"/>
      </w:divBdr>
    </w:div>
    <w:div w:id="838236686">
      <w:bodyDiv w:val="1"/>
      <w:marLeft w:val="0"/>
      <w:marRight w:val="0"/>
      <w:marTop w:val="0"/>
      <w:marBottom w:val="0"/>
      <w:divBdr>
        <w:top w:val="none" w:sz="0" w:space="0" w:color="auto"/>
        <w:left w:val="none" w:sz="0" w:space="0" w:color="auto"/>
        <w:bottom w:val="none" w:sz="0" w:space="0" w:color="auto"/>
        <w:right w:val="none" w:sz="0" w:space="0" w:color="auto"/>
      </w:divBdr>
    </w:div>
    <w:div w:id="838351085">
      <w:bodyDiv w:val="1"/>
      <w:marLeft w:val="0"/>
      <w:marRight w:val="0"/>
      <w:marTop w:val="0"/>
      <w:marBottom w:val="0"/>
      <w:divBdr>
        <w:top w:val="none" w:sz="0" w:space="0" w:color="auto"/>
        <w:left w:val="none" w:sz="0" w:space="0" w:color="auto"/>
        <w:bottom w:val="none" w:sz="0" w:space="0" w:color="auto"/>
        <w:right w:val="none" w:sz="0" w:space="0" w:color="auto"/>
      </w:divBdr>
    </w:div>
    <w:div w:id="838545940">
      <w:bodyDiv w:val="1"/>
      <w:marLeft w:val="0"/>
      <w:marRight w:val="0"/>
      <w:marTop w:val="0"/>
      <w:marBottom w:val="0"/>
      <w:divBdr>
        <w:top w:val="none" w:sz="0" w:space="0" w:color="auto"/>
        <w:left w:val="none" w:sz="0" w:space="0" w:color="auto"/>
        <w:bottom w:val="none" w:sz="0" w:space="0" w:color="auto"/>
        <w:right w:val="none" w:sz="0" w:space="0" w:color="auto"/>
      </w:divBdr>
    </w:div>
    <w:div w:id="838928805">
      <w:bodyDiv w:val="1"/>
      <w:marLeft w:val="0"/>
      <w:marRight w:val="0"/>
      <w:marTop w:val="0"/>
      <w:marBottom w:val="0"/>
      <w:divBdr>
        <w:top w:val="none" w:sz="0" w:space="0" w:color="auto"/>
        <w:left w:val="none" w:sz="0" w:space="0" w:color="auto"/>
        <w:bottom w:val="none" w:sz="0" w:space="0" w:color="auto"/>
        <w:right w:val="none" w:sz="0" w:space="0" w:color="auto"/>
      </w:divBdr>
    </w:div>
    <w:div w:id="839586515">
      <w:bodyDiv w:val="1"/>
      <w:marLeft w:val="0"/>
      <w:marRight w:val="0"/>
      <w:marTop w:val="0"/>
      <w:marBottom w:val="0"/>
      <w:divBdr>
        <w:top w:val="none" w:sz="0" w:space="0" w:color="auto"/>
        <w:left w:val="none" w:sz="0" w:space="0" w:color="auto"/>
        <w:bottom w:val="none" w:sz="0" w:space="0" w:color="auto"/>
        <w:right w:val="none" w:sz="0" w:space="0" w:color="auto"/>
      </w:divBdr>
    </w:div>
    <w:div w:id="840124838">
      <w:bodyDiv w:val="1"/>
      <w:marLeft w:val="0"/>
      <w:marRight w:val="0"/>
      <w:marTop w:val="0"/>
      <w:marBottom w:val="0"/>
      <w:divBdr>
        <w:top w:val="none" w:sz="0" w:space="0" w:color="auto"/>
        <w:left w:val="none" w:sz="0" w:space="0" w:color="auto"/>
        <w:bottom w:val="none" w:sz="0" w:space="0" w:color="auto"/>
        <w:right w:val="none" w:sz="0" w:space="0" w:color="auto"/>
      </w:divBdr>
    </w:div>
    <w:div w:id="840199811">
      <w:bodyDiv w:val="1"/>
      <w:marLeft w:val="0"/>
      <w:marRight w:val="0"/>
      <w:marTop w:val="0"/>
      <w:marBottom w:val="0"/>
      <w:divBdr>
        <w:top w:val="none" w:sz="0" w:space="0" w:color="auto"/>
        <w:left w:val="none" w:sz="0" w:space="0" w:color="auto"/>
        <w:bottom w:val="none" w:sz="0" w:space="0" w:color="auto"/>
        <w:right w:val="none" w:sz="0" w:space="0" w:color="auto"/>
      </w:divBdr>
    </w:div>
    <w:div w:id="840238734">
      <w:bodyDiv w:val="1"/>
      <w:marLeft w:val="0"/>
      <w:marRight w:val="0"/>
      <w:marTop w:val="0"/>
      <w:marBottom w:val="0"/>
      <w:divBdr>
        <w:top w:val="none" w:sz="0" w:space="0" w:color="auto"/>
        <w:left w:val="none" w:sz="0" w:space="0" w:color="auto"/>
        <w:bottom w:val="none" w:sz="0" w:space="0" w:color="auto"/>
        <w:right w:val="none" w:sz="0" w:space="0" w:color="auto"/>
      </w:divBdr>
    </w:div>
    <w:div w:id="840387814">
      <w:bodyDiv w:val="1"/>
      <w:marLeft w:val="0"/>
      <w:marRight w:val="0"/>
      <w:marTop w:val="0"/>
      <w:marBottom w:val="0"/>
      <w:divBdr>
        <w:top w:val="none" w:sz="0" w:space="0" w:color="auto"/>
        <w:left w:val="none" w:sz="0" w:space="0" w:color="auto"/>
        <w:bottom w:val="none" w:sz="0" w:space="0" w:color="auto"/>
        <w:right w:val="none" w:sz="0" w:space="0" w:color="auto"/>
      </w:divBdr>
    </w:div>
    <w:div w:id="840435775">
      <w:bodyDiv w:val="1"/>
      <w:marLeft w:val="0"/>
      <w:marRight w:val="0"/>
      <w:marTop w:val="0"/>
      <w:marBottom w:val="0"/>
      <w:divBdr>
        <w:top w:val="none" w:sz="0" w:space="0" w:color="auto"/>
        <w:left w:val="none" w:sz="0" w:space="0" w:color="auto"/>
        <w:bottom w:val="none" w:sz="0" w:space="0" w:color="auto"/>
        <w:right w:val="none" w:sz="0" w:space="0" w:color="auto"/>
      </w:divBdr>
    </w:div>
    <w:div w:id="840509444">
      <w:bodyDiv w:val="1"/>
      <w:marLeft w:val="0"/>
      <w:marRight w:val="0"/>
      <w:marTop w:val="0"/>
      <w:marBottom w:val="0"/>
      <w:divBdr>
        <w:top w:val="none" w:sz="0" w:space="0" w:color="auto"/>
        <w:left w:val="none" w:sz="0" w:space="0" w:color="auto"/>
        <w:bottom w:val="none" w:sz="0" w:space="0" w:color="auto"/>
        <w:right w:val="none" w:sz="0" w:space="0" w:color="auto"/>
      </w:divBdr>
    </w:div>
    <w:div w:id="840510686">
      <w:bodyDiv w:val="1"/>
      <w:marLeft w:val="0"/>
      <w:marRight w:val="0"/>
      <w:marTop w:val="0"/>
      <w:marBottom w:val="0"/>
      <w:divBdr>
        <w:top w:val="none" w:sz="0" w:space="0" w:color="auto"/>
        <w:left w:val="none" w:sz="0" w:space="0" w:color="auto"/>
        <w:bottom w:val="none" w:sz="0" w:space="0" w:color="auto"/>
        <w:right w:val="none" w:sz="0" w:space="0" w:color="auto"/>
      </w:divBdr>
    </w:div>
    <w:div w:id="840781355">
      <w:bodyDiv w:val="1"/>
      <w:marLeft w:val="0"/>
      <w:marRight w:val="0"/>
      <w:marTop w:val="0"/>
      <w:marBottom w:val="0"/>
      <w:divBdr>
        <w:top w:val="none" w:sz="0" w:space="0" w:color="auto"/>
        <w:left w:val="none" w:sz="0" w:space="0" w:color="auto"/>
        <w:bottom w:val="none" w:sz="0" w:space="0" w:color="auto"/>
        <w:right w:val="none" w:sz="0" w:space="0" w:color="auto"/>
      </w:divBdr>
    </w:div>
    <w:div w:id="840924685">
      <w:bodyDiv w:val="1"/>
      <w:marLeft w:val="0"/>
      <w:marRight w:val="0"/>
      <w:marTop w:val="0"/>
      <w:marBottom w:val="0"/>
      <w:divBdr>
        <w:top w:val="none" w:sz="0" w:space="0" w:color="auto"/>
        <w:left w:val="none" w:sz="0" w:space="0" w:color="auto"/>
        <w:bottom w:val="none" w:sz="0" w:space="0" w:color="auto"/>
        <w:right w:val="none" w:sz="0" w:space="0" w:color="auto"/>
      </w:divBdr>
    </w:div>
    <w:div w:id="841043679">
      <w:bodyDiv w:val="1"/>
      <w:marLeft w:val="0"/>
      <w:marRight w:val="0"/>
      <w:marTop w:val="0"/>
      <w:marBottom w:val="0"/>
      <w:divBdr>
        <w:top w:val="none" w:sz="0" w:space="0" w:color="auto"/>
        <w:left w:val="none" w:sz="0" w:space="0" w:color="auto"/>
        <w:bottom w:val="none" w:sz="0" w:space="0" w:color="auto"/>
        <w:right w:val="none" w:sz="0" w:space="0" w:color="auto"/>
      </w:divBdr>
    </w:div>
    <w:div w:id="841235508">
      <w:bodyDiv w:val="1"/>
      <w:marLeft w:val="0"/>
      <w:marRight w:val="0"/>
      <w:marTop w:val="0"/>
      <w:marBottom w:val="0"/>
      <w:divBdr>
        <w:top w:val="none" w:sz="0" w:space="0" w:color="auto"/>
        <w:left w:val="none" w:sz="0" w:space="0" w:color="auto"/>
        <w:bottom w:val="none" w:sz="0" w:space="0" w:color="auto"/>
        <w:right w:val="none" w:sz="0" w:space="0" w:color="auto"/>
      </w:divBdr>
    </w:div>
    <w:div w:id="841312048">
      <w:bodyDiv w:val="1"/>
      <w:marLeft w:val="0"/>
      <w:marRight w:val="0"/>
      <w:marTop w:val="0"/>
      <w:marBottom w:val="0"/>
      <w:divBdr>
        <w:top w:val="none" w:sz="0" w:space="0" w:color="auto"/>
        <w:left w:val="none" w:sz="0" w:space="0" w:color="auto"/>
        <w:bottom w:val="none" w:sz="0" w:space="0" w:color="auto"/>
        <w:right w:val="none" w:sz="0" w:space="0" w:color="auto"/>
      </w:divBdr>
    </w:div>
    <w:div w:id="841357222">
      <w:bodyDiv w:val="1"/>
      <w:marLeft w:val="0"/>
      <w:marRight w:val="0"/>
      <w:marTop w:val="0"/>
      <w:marBottom w:val="0"/>
      <w:divBdr>
        <w:top w:val="none" w:sz="0" w:space="0" w:color="auto"/>
        <w:left w:val="none" w:sz="0" w:space="0" w:color="auto"/>
        <w:bottom w:val="none" w:sz="0" w:space="0" w:color="auto"/>
        <w:right w:val="none" w:sz="0" w:space="0" w:color="auto"/>
      </w:divBdr>
    </w:div>
    <w:div w:id="841509667">
      <w:bodyDiv w:val="1"/>
      <w:marLeft w:val="0"/>
      <w:marRight w:val="0"/>
      <w:marTop w:val="0"/>
      <w:marBottom w:val="0"/>
      <w:divBdr>
        <w:top w:val="none" w:sz="0" w:space="0" w:color="auto"/>
        <w:left w:val="none" w:sz="0" w:space="0" w:color="auto"/>
        <w:bottom w:val="none" w:sz="0" w:space="0" w:color="auto"/>
        <w:right w:val="none" w:sz="0" w:space="0" w:color="auto"/>
      </w:divBdr>
    </w:div>
    <w:div w:id="841554428">
      <w:bodyDiv w:val="1"/>
      <w:marLeft w:val="0"/>
      <w:marRight w:val="0"/>
      <w:marTop w:val="0"/>
      <w:marBottom w:val="0"/>
      <w:divBdr>
        <w:top w:val="none" w:sz="0" w:space="0" w:color="auto"/>
        <w:left w:val="none" w:sz="0" w:space="0" w:color="auto"/>
        <w:bottom w:val="none" w:sz="0" w:space="0" w:color="auto"/>
        <w:right w:val="none" w:sz="0" w:space="0" w:color="auto"/>
      </w:divBdr>
    </w:div>
    <w:div w:id="842353211">
      <w:bodyDiv w:val="1"/>
      <w:marLeft w:val="0"/>
      <w:marRight w:val="0"/>
      <w:marTop w:val="0"/>
      <w:marBottom w:val="0"/>
      <w:divBdr>
        <w:top w:val="none" w:sz="0" w:space="0" w:color="auto"/>
        <w:left w:val="none" w:sz="0" w:space="0" w:color="auto"/>
        <w:bottom w:val="none" w:sz="0" w:space="0" w:color="auto"/>
        <w:right w:val="none" w:sz="0" w:space="0" w:color="auto"/>
      </w:divBdr>
    </w:div>
    <w:div w:id="842357438">
      <w:bodyDiv w:val="1"/>
      <w:marLeft w:val="0"/>
      <w:marRight w:val="0"/>
      <w:marTop w:val="0"/>
      <w:marBottom w:val="0"/>
      <w:divBdr>
        <w:top w:val="none" w:sz="0" w:space="0" w:color="auto"/>
        <w:left w:val="none" w:sz="0" w:space="0" w:color="auto"/>
        <w:bottom w:val="none" w:sz="0" w:space="0" w:color="auto"/>
        <w:right w:val="none" w:sz="0" w:space="0" w:color="auto"/>
      </w:divBdr>
    </w:div>
    <w:div w:id="842860930">
      <w:bodyDiv w:val="1"/>
      <w:marLeft w:val="0"/>
      <w:marRight w:val="0"/>
      <w:marTop w:val="0"/>
      <w:marBottom w:val="0"/>
      <w:divBdr>
        <w:top w:val="none" w:sz="0" w:space="0" w:color="auto"/>
        <w:left w:val="none" w:sz="0" w:space="0" w:color="auto"/>
        <w:bottom w:val="none" w:sz="0" w:space="0" w:color="auto"/>
        <w:right w:val="none" w:sz="0" w:space="0" w:color="auto"/>
      </w:divBdr>
    </w:div>
    <w:div w:id="843010299">
      <w:bodyDiv w:val="1"/>
      <w:marLeft w:val="0"/>
      <w:marRight w:val="0"/>
      <w:marTop w:val="0"/>
      <w:marBottom w:val="0"/>
      <w:divBdr>
        <w:top w:val="none" w:sz="0" w:space="0" w:color="auto"/>
        <w:left w:val="none" w:sz="0" w:space="0" w:color="auto"/>
        <w:bottom w:val="none" w:sz="0" w:space="0" w:color="auto"/>
        <w:right w:val="none" w:sz="0" w:space="0" w:color="auto"/>
      </w:divBdr>
    </w:div>
    <w:div w:id="843127778">
      <w:bodyDiv w:val="1"/>
      <w:marLeft w:val="0"/>
      <w:marRight w:val="0"/>
      <w:marTop w:val="0"/>
      <w:marBottom w:val="0"/>
      <w:divBdr>
        <w:top w:val="none" w:sz="0" w:space="0" w:color="auto"/>
        <w:left w:val="none" w:sz="0" w:space="0" w:color="auto"/>
        <w:bottom w:val="none" w:sz="0" w:space="0" w:color="auto"/>
        <w:right w:val="none" w:sz="0" w:space="0" w:color="auto"/>
      </w:divBdr>
    </w:div>
    <w:div w:id="843134515">
      <w:bodyDiv w:val="1"/>
      <w:marLeft w:val="0"/>
      <w:marRight w:val="0"/>
      <w:marTop w:val="0"/>
      <w:marBottom w:val="0"/>
      <w:divBdr>
        <w:top w:val="none" w:sz="0" w:space="0" w:color="auto"/>
        <w:left w:val="none" w:sz="0" w:space="0" w:color="auto"/>
        <w:bottom w:val="none" w:sz="0" w:space="0" w:color="auto"/>
        <w:right w:val="none" w:sz="0" w:space="0" w:color="auto"/>
      </w:divBdr>
    </w:div>
    <w:div w:id="843202001">
      <w:bodyDiv w:val="1"/>
      <w:marLeft w:val="0"/>
      <w:marRight w:val="0"/>
      <w:marTop w:val="0"/>
      <w:marBottom w:val="0"/>
      <w:divBdr>
        <w:top w:val="none" w:sz="0" w:space="0" w:color="auto"/>
        <w:left w:val="none" w:sz="0" w:space="0" w:color="auto"/>
        <w:bottom w:val="none" w:sz="0" w:space="0" w:color="auto"/>
        <w:right w:val="none" w:sz="0" w:space="0" w:color="auto"/>
      </w:divBdr>
    </w:div>
    <w:div w:id="843398490">
      <w:bodyDiv w:val="1"/>
      <w:marLeft w:val="0"/>
      <w:marRight w:val="0"/>
      <w:marTop w:val="0"/>
      <w:marBottom w:val="0"/>
      <w:divBdr>
        <w:top w:val="none" w:sz="0" w:space="0" w:color="auto"/>
        <w:left w:val="none" w:sz="0" w:space="0" w:color="auto"/>
        <w:bottom w:val="none" w:sz="0" w:space="0" w:color="auto"/>
        <w:right w:val="none" w:sz="0" w:space="0" w:color="auto"/>
      </w:divBdr>
    </w:div>
    <w:div w:id="843862631">
      <w:bodyDiv w:val="1"/>
      <w:marLeft w:val="0"/>
      <w:marRight w:val="0"/>
      <w:marTop w:val="0"/>
      <w:marBottom w:val="0"/>
      <w:divBdr>
        <w:top w:val="none" w:sz="0" w:space="0" w:color="auto"/>
        <w:left w:val="none" w:sz="0" w:space="0" w:color="auto"/>
        <w:bottom w:val="none" w:sz="0" w:space="0" w:color="auto"/>
        <w:right w:val="none" w:sz="0" w:space="0" w:color="auto"/>
      </w:divBdr>
    </w:div>
    <w:div w:id="844369421">
      <w:bodyDiv w:val="1"/>
      <w:marLeft w:val="0"/>
      <w:marRight w:val="0"/>
      <w:marTop w:val="0"/>
      <w:marBottom w:val="0"/>
      <w:divBdr>
        <w:top w:val="none" w:sz="0" w:space="0" w:color="auto"/>
        <w:left w:val="none" w:sz="0" w:space="0" w:color="auto"/>
        <w:bottom w:val="none" w:sz="0" w:space="0" w:color="auto"/>
        <w:right w:val="none" w:sz="0" w:space="0" w:color="auto"/>
      </w:divBdr>
    </w:div>
    <w:div w:id="844829873">
      <w:bodyDiv w:val="1"/>
      <w:marLeft w:val="0"/>
      <w:marRight w:val="0"/>
      <w:marTop w:val="0"/>
      <w:marBottom w:val="0"/>
      <w:divBdr>
        <w:top w:val="none" w:sz="0" w:space="0" w:color="auto"/>
        <w:left w:val="none" w:sz="0" w:space="0" w:color="auto"/>
        <w:bottom w:val="none" w:sz="0" w:space="0" w:color="auto"/>
        <w:right w:val="none" w:sz="0" w:space="0" w:color="auto"/>
      </w:divBdr>
    </w:div>
    <w:div w:id="844905631">
      <w:bodyDiv w:val="1"/>
      <w:marLeft w:val="0"/>
      <w:marRight w:val="0"/>
      <w:marTop w:val="0"/>
      <w:marBottom w:val="0"/>
      <w:divBdr>
        <w:top w:val="none" w:sz="0" w:space="0" w:color="auto"/>
        <w:left w:val="none" w:sz="0" w:space="0" w:color="auto"/>
        <w:bottom w:val="none" w:sz="0" w:space="0" w:color="auto"/>
        <w:right w:val="none" w:sz="0" w:space="0" w:color="auto"/>
      </w:divBdr>
    </w:div>
    <w:div w:id="844974546">
      <w:bodyDiv w:val="1"/>
      <w:marLeft w:val="0"/>
      <w:marRight w:val="0"/>
      <w:marTop w:val="0"/>
      <w:marBottom w:val="0"/>
      <w:divBdr>
        <w:top w:val="none" w:sz="0" w:space="0" w:color="auto"/>
        <w:left w:val="none" w:sz="0" w:space="0" w:color="auto"/>
        <w:bottom w:val="none" w:sz="0" w:space="0" w:color="auto"/>
        <w:right w:val="none" w:sz="0" w:space="0" w:color="auto"/>
      </w:divBdr>
    </w:div>
    <w:div w:id="845637009">
      <w:bodyDiv w:val="1"/>
      <w:marLeft w:val="0"/>
      <w:marRight w:val="0"/>
      <w:marTop w:val="0"/>
      <w:marBottom w:val="0"/>
      <w:divBdr>
        <w:top w:val="none" w:sz="0" w:space="0" w:color="auto"/>
        <w:left w:val="none" w:sz="0" w:space="0" w:color="auto"/>
        <w:bottom w:val="none" w:sz="0" w:space="0" w:color="auto"/>
        <w:right w:val="none" w:sz="0" w:space="0" w:color="auto"/>
      </w:divBdr>
    </w:div>
    <w:div w:id="846945769">
      <w:bodyDiv w:val="1"/>
      <w:marLeft w:val="0"/>
      <w:marRight w:val="0"/>
      <w:marTop w:val="0"/>
      <w:marBottom w:val="0"/>
      <w:divBdr>
        <w:top w:val="none" w:sz="0" w:space="0" w:color="auto"/>
        <w:left w:val="none" w:sz="0" w:space="0" w:color="auto"/>
        <w:bottom w:val="none" w:sz="0" w:space="0" w:color="auto"/>
        <w:right w:val="none" w:sz="0" w:space="0" w:color="auto"/>
      </w:divBdr>
    </w:div>
    <w:div w:id="847065365">
      <w:bodyDiv w:val="1"/>
      <w:marLeft w:val="0"/>
      <w:marRight w:val="0"/>
      <w:marTop w:val="0"/>
      <w:marBottom w:val="0"/>
      <w:divBdr>
        <w:top w:val="none" w:sz="0" w:space="0" w:color="auto"/>
        <w:left w:val="none" w:sz="0" w:space="0" w:color="auto"/>
        <w:bottom w:val="none" w:sz="0" w:space="0" w:color="auto"/>
        <w:right w:val="none" w:sz="0" w:space="0" w:color="auto"/>
      </w:divBdr>
    </w:div>
    <w:div w:id="847138107">
      <w:bodyDiv w:val="1"/>
      <w:marLeft w:val="0"/>
      <w:marRight w:val="0"/>
      <w:marTop w:val="0"/>
      <w:marBottom w:val="0"/>
      <w:divBdr>
        <w:top w:val="none" w:sz="0" w:space="0" w:color="auto"/>
        <w:left w:val="none" w:sz="0" w:space="0" w:color="auto"/>
        <w:bottom w:val="none" w:sz="0" w:space="0" w:color="auto"/>
        <w:right w:val="none" w:sz="0" w:space="0" w:color="auto"/>
      </w:divBdr>
    </w:div>
    <w:div w:id="847258891">
      <w:bodyDiv w:val="1"/>
      <w:marLeft w:val="0"/>
      <w:marRight w:val="0"/>
      <w:marTop w:val="0"/>
      <w:marBottom w:val="0"/>
      <w:divBdr>
        <w:top w:val="none" w:sz="0" w:space="0" w:color="auto"/>
        <w:left w:val="none" w:sz="0" w:space="0" w:color="auto"/>
        <w:bottom w:val="none" w:sz="0" w:space="0" w:color="auto"/>
        <w:right w:val="none" w:sz="0" w:space="0" w:color="auto"/>
      </w:divBdr>
    </w:div>
    <w:div w:id="847329767">
      <w:bodyDiv w:val="1"/>
      <w:marLeft w:val="0"/>
      <w:marRight w:val="0"/>
      <w:marTop w:val="0"/>
      <w:marBottom w:val="0"/>
      <w:divBdr>
        <w:top w:val="none" w:sz="0" w:space="0" w:color="auto"/>
        <w:left w:val="none" w:sz="0" w:space="0" w:color="auto"/>
        <w:bottom w:val="none" w:sz="0" w:space="0" w:color="auto"/>
        <w:right w:val="none" w:sz="0" w:space="0" w:color="auto"/>
      </w:divBdr>
    </w:div>
    <w:div w:id="847334575">
      <w:bodyDiv w:val="1"/>
      <w:marLeft w:val="0"/>
      <w:marRight w:val="0"/>
      <w:marTop w:val="0"/>
      <w:marBottom w:val="0"/>
      <w:divBdr>
        <w:top w:val="none" w:sz="0" w:space="0" w:color="auto"/>
        <w:left w:val="none" w:sz="0" w:space="0" w:color="auto"/>
        <w:bottom w:val="none" w:sz="0" w:space="0" w:color="auto"/>
        <w:right w:val="none" w:sz="0" w:space="0" w:color="auto"/>
      </w:divBdr>
    </w:div>
    <w:div w:id="847335201">
      <w:bodyDiv w:val="1"/>
      <w:marLeft w:val="0"/>
      <w:marRight w:val="0"/>
      <w:marTop w:val="0"/>
      <w:marBottom w:val="0"/>
      <w:divBdr>
        <w:top w:val="none" w:sz="0" w:space="0" w:color="auto"/>
        <w:left w:val="none" w:sz="0" w:space="0" w:color="auto"/>
        <w:bottom w:val="none" w:sz="0" w:space="0" w:color="auto"/>
        <w:right w:val="none" w:sz="0" w:space="0" w:color="auto"/>
      </w:divBdr>
    </w:div>
    <w:div w:id="847525160">
      <w:bodyDiv w:val="1"/>
      <w:marLeft w:val="0"/>
      <w:marRight w:val="0"/>
      <w:marTop w:val="0"/>
      <w:marBottom w:val="0"/>
      <w:divBdr>
        <w:top w:val="none" w:sz="0" w:space="0" w:color="auto"/>
        <w:left w:val="none" w:sz="0" w:space="0" w:color="auto"/>
        <w:bottom w:val="none" w:sz="0" w:space="0" w:color="auto"/>
        <w:right w:val="none" w:sz="0" w:space="0" w:color="auto"/>
      </w:divBdr>
    </w:div>
    <w:div w:id="847716302">
      <w:bodyDiv w:val="1"/>
      <w:marLeft w:val="0"/>
      <w:marRight w:val="0"/>
      <w:marTop w:val="0"/>
      <w:marBottom w:val="0"/>
      <w:divBdr>
        <w:top w:val="none" w:sz="0" w:space="0" w:color="auto"/>
        <w:left w:val="none" w:sz="0" w:space="0" w:color="auto"/>
        <w:bottom w:val="none" w:sz="0" w:space="0" w:color="auto"/>
        <w:right w:val="none" w:sz="0" w:space="0" w:color="auto"/>
      </w:divBdr>
    </w:div>
    <w:div w:id="847839370">
      <w:bodyDiv w:val="1"/>
      <w:marLeft w:val="0"/>
      <w:marRight w:val="0"/>
      <w:marTop w:val="0"/>
      <w:marBottom w:val="0"/>
      <w:divBdr>
        <w:top w:val="none" w:sz="0" w:space="0" w:color="auto"/>
        <w:left w:val="none" w:sz="0" w:space="0" w:color="auto"/>
        <w:bottom w:val="none" w:sz="0" w:space="0" w:color="auto"/>
        <w:right w:val="none" w:sz="0" w:space="0" w:color="auto"/>
      </w:divBdr>
    </w:div>
    <w:div w:id="848327584">
      <w:bodyDiv w:val="1"/>
      <w:marLeft w:val="0"/>
      <w:marRight w:val="0"/>
      <w:marTop w:val="0"/>
      <w:marBottom w:val="0"/>
      <w:divBdr>
        <w:top w:val="none" w:sz="0" w:space="0" w:color="auto"/>
        <w:left w:val="none" w:sz="0" w:space="0" w:color="auto"/>
        <w:bottom w:val="none" w:sz="0" w:space="0" w:color="auto"/>
        <w:right w:val="none" w:sz="0" w:space="0" w:color="auto"/>
      </w:divBdr>
    </w:div>
    <w:div w:id="848372381">
      <w:bodyDiv w:val="1"/>
      <w:marLeft w:val="0"/>
      <w:marRight w:val="0"/>
      <w:marTop w:val="0"/>
      <w:marBottom w:val="0"/>
      <w:divBdr>
        <w:top w:val="none" w:sz="0" w:space="0" w:color="auto"/>
        <w:left w:val="none" w:sz="0" w:space="0" w:color="auto"/>
        <w:bottom w:val="none" w:sz="0" w:space="0" w:color="auto"/>
        <w:right w:val="none" w:sz="0" w:space="0" w:color="auto"/>
      </w:divBdr>
    </w:div>
    <w:div w:id="848564386">
      <w:bodyDiv w:val="1"/>
      <w:marLeft w:val="0"/>
      <w:marRight w:val="0"/>
      <w:marTop w:val="0"/>
      <w:marBottom w:val="0"/>
      <w:divBdr>
        <w:top w:val="none" w:sz="0" w:space="0" w:color="auto"/>
        <w:left w:val="none" w:sz="0" w:space="0" w:color="auto"/>
        <w:bottom w:val="none" w:sz="0" w:space="0" w:color="auto"/>
        <w:right w:val="none" w:sz="0" w:space="0" w:color="auto"/>
      </w:divBdr>
    </w:div>
    <w:div w:id="848763744">
      <w:bodyDiv w:val="1"/>
      <w:marLeft w:val="0"/>
      <w:marRight w:val="0"/>
      <w:marTop w:val="0"/>
      <w:marBottom w:val="0"/>
      <w:divBdr>
        <w:top w:val="none" w:sz="0" w:space="0" w:color="auto"/>
        <w:left w:val="none" w:sz="0" w:space="0" w:color="auto"/>
        <w:bottom w:val="none" w:sz="0" w:space="0" w:color="auto"/>
        <w:right w:val="none" w:sz="0" w:space="0" w:color="auto"/>
      </w:divBdr>
    </w:div>
    <w:div w:id="849224945">
      <w:bodyDiv w:val="1"/>
      <w:marLeft w:val="0"/>
      <w:marRight w:val="0"/>
      <w:marTop w:val="0"/>
      <w:marBottom w:val="0"/>
      <w:divBdr>
        <w:top w:val="none" w:sz="0" w:space="0" w:color="auto"/>
        <w:left w:val="none" w:sz="0" w:space="0" w:color="auto"/>
        <w:bottom w:val="none" w:sz="0" w:space="0" w:color="auto"/>
        <w:right w:val="none" w:sz="0" w:space="0" w:color="auto"/>
      </w:divBdr>
    </w:div>
    <w:div w:id="849949610">
      <w:bodyDiv w:val="1"/>
      <w:marLeft w:val="0"/>
      <w:marRight w:val="0"/>
      <w:marTop w:val="0"/>
      <w:marBottom w:val="0"/>
      <w:divBdr>
        <w:top w:val="none" w:sz="0" w:space="0" w:color="auto"/>
        <w:left w:val="none" w:sz="0" w:space="0" w:color="auto"/>
        <w:bottom w:val="none" w:sz="0" w:space="0" w:color="auto"/>
        <w:right w:val="none" w:sz="0" w:space="0" w:color="auto"/>
      </w:divBdr>
    </w:div>
    <w:div w:id="850026076">
      <w:bodyDiv w:val="1"/>
      <w:marLeft w:val="0"/>
      <w:marRight w:val="0"/>
      <w:marTop w:val="0"/>
      <w:marBottom w:val="0"/>
      <w:divBdr>
        <w:top w:val="none" w:sz="0" w:space="0" w:color="auto"/>
        <w:left w:val="none" w:sz="0" w:space="0" w:color="auto"/>
        <w:bottom w:val="none" w:sz="0" w:space="0" w:color="auto"/>
        <w:right w:val="none" w:sz="0" w:space="0" w:color="auto"/>
      </w:divBdr>
    </w:div>
    <w:div w:id="850029950">
      <w:bodyDiv w:val="1"/>
      <w:marLeft w:val="0"/>
      <w:marRight w:val="0"/>
      <w:marTop w:val="0"/>
      <w:marBottom w:val="0"/>
      <w:divBdr>
        <w:top w:val="none" w:sz="0" w:space="0" w:color="auto"/>
        <w:left w:val="none" w:sz="0" w:space="0" w:color="auto"/>
        <w:bottom w:val="none" w:sz="0" w:space="0" w:color="auto"/>
        <w:right w:val="none" w:sz="0" w:space="0" w:color="auto"/>
      </w:divBdr>
    </w:div>
    <w:div w:id="850341891">
      <w:bodyDiv w:val="1"/>
      <w:marLeft w:val="0"/>
      <w:marRight w:val="0"/>
      <w:marTop w:val="0"/>
      <w:marBottom w:val="0"/>
      <w:divBdr>
        <w:top w:val="none" w:sz="0" w:space="0" w:color="auto"/>
        <w:left w:val="none" w:sz="0" w:space="0" w:color="auto"/>
        <w:bottom w:val="none" w:sz="0" w:space="0" w:color="auto"/>
        <w:right w:val="none" w:sz="0" w:space="0" w:color="auto"/>
      </w:divBdr>
    </w:div>
    <w:div w:id="850752568">
      <w:bodyDiv w:val="1"/>
      <w:marLeft w:val="0"/>
      <w:marRight w:val="0"/>
      <w:marTop w:val="0"/>
      <w:marBottom w:val="0"/>
      <w:divBdr>
        <w:top w:val="none" w:sz="0" w:space="0" w:color="auto"/>
        <w:left w:val="none" w:sz="0" w:space="0" w:color="auto"/>
        <w:bottom w:val="none" w:sz="0" w:space="0" w:color="auto"/>
        <w:right w:val="none" w:sz="0" w:space="0" w:color="auto"/>
      </w:divBdr>
    </w:div>
    <w:div w:id="850947038">
      <w:bodyDiv w:val="1"/>
      <w:marLeft w:val="0"/>
      <w:marRight w:val="0"/>
      <w:marTop w:val="0"/>
      <w:marBottom w:val="0"/>
      <w:divBdr>
        <w:top w:val="none" w:sz="0" w:space="0" w:color="auto"/>
        <w:left w:val="none" w:sz="0" w:space="0" w:color="auto"/>
        <w:bottom w:val="none" w:sz="0" w:space="0" w:color="auto"/>
        <w:right w:val="none" w:sz="0" w:space="0" w:color="auto"/>
      </w:divBdr>
    </w:div>
    <w:div w:id="850996398">
      <w:bodyDiv w:val="1"/>
      <w:marLeft w:val="0"/>
      <w:marRight w:val="0"/>
      <w:marTop w:val="0"/>
      <w:marBottom w:val="0"/>
      <w:divBdr>
        <w:top w:val="none" w:sz="0" w:space="0" w:color="auto"/>
        <w:left w:val="none" w:sz="0" w:space="0" w:color="auto"/>
        <w:bottom w:val="none" w:sz="0" w:space="0" w:color="auto"/>
        <w:right w:val="none" w:sz="0" w:space="0" w:color="auto"/>
      </w:divBdr>
    </w:div>
    <w:div w:id="851144322">
      <w:bodyDiv w:val="1"/>
      <w:marLeft w:val="0"/>
      <w:marRight w:val="0"/>
      <w:marTop w:val="0"/>
      <w:marBottom w:val="0"/>
      <w:divBdr>
        <w:top w:val="none" w:sz="0" w:space="0" w:color="auto"/>
        <w:left w:val="none" w:sz="0" w:space="0" w:color="auto"/>
        <w:bottom w:val="none" w:sz="0" w:space="0" w:color="auto"/>
        <w:right w:val="none" w:sz="0" w:space="0" w:color="auto"/>
      </w:divBdr>
    </w:div>
    <w:div w:id="851257643">
      <w:bodyDiv w:val="1"/>
      <w:marLeft w:val="0"/>
      <w:marRight w:val="0"/>
      <w:marTop w:val="0"/>
      <w:marBottom w:val="0"/>
      <w:divBdr>
        <w:top w:val="none" w:sz="0" w:space="0" w:color="auto"/>
        <w:left w:val="none" w:sz="0" w:space="0" w:color="auto"/>
        <w:bottom w:val="none" w:sz="0" w:space="0" w:color="auto"/>
        <w:right w:val="none" w:sz="0" w:space="0" w:color="auto"/>
      </w:divBdr>
    </w:div>
    <w:div w:id="851455721">
      <w:bodyDiv w:val="1"/>
      <w:marLeft w:val="0"/>
      <w:marRight w:val="0"/>
      <w:marTop w:val="0"/>
      <w:marBottom w:val="0"/>
      <w:divBdr>
        <w:top w:val="none" w:sz="0" w:space="0" w:color="auto"/>
        <w:left w:val="none" w:sz="0" w:space="0" w:color="auto"/>
        <w:bottom w:val="none" w:sz="0" w:space="0" w:color="auto"/>
        <w:right w:val="none" w:sz="0" w:space="0" w:color="auto"/>
      </w:divBdr>
    </w:div>
    <w:div w:id="851576184">
      <w:bodyDiv w:val="1"/>
      <w:marLeft w:val="0"/>
      <w:marRight w:val="0"/>
      <w:marTop w:val="0"/>
      <w:marBottom w:val="0"/>
      <w:divBdr>
        <w:top w:val="none" w:sz="0" w:space="0" w:color="auto"/>
        <w:left w:val="none" w:sz="0" w:space="0" w:color="auto"/>
        <w:bottom w:val="none" w:sz="0" w:space="0" w:color="auto"/>
        <w:right w:val="none" w:sz="0" w:space="0" w:color="auto"/>
      </w:divBdr>
    </w:div>
    <w:div w:id="851919922">
      <w:bodyDiv w:val="1"/>
      <w:marLeft w:val="0"/>
      <w:marRight w:val="0"/>
      <w:marTop w:val="0"/>
      <w:marBottom w:val="0"/>
      <w:divBdr>
        <w:top w:val="none" w:sz="0" w:space="0" w:color="auto"/>
        <w:left w:val="none" w:sz="0" w:space="0" w:color="auto"/>
        <w:bottom w:val="none" w:sz="0" w:space="0" w:color="auto"/>
        <w:right w:val="none" w:sz="0" w:space="0" w:color="auto"/>
      </w:divBdr>
    </w:div>
    <w:div w:id="852300469">
      <w:bodyDiv w:val="1"/>
      <w:marLeft w:val="0"/>
      <w:marRight w:val="0"/>
      <w:marTop w:val="0"/>
      <w:marBottom w:val="0"/>
      <w:divBdr>
        <w:top w:val="none" w:sz="0" w:space="0" w:color="auto"/>
        <w:left w:val="none" w:sz="0" w:space="0" w:color="auto"/>
        <w:bottom w:val="none" w:sz="0" w:space="0" w:color="auto"/>
        <w:right w:val="none" w:sz="0" w:space="0" w:color="auto"/>
      </w:divBdr>
    </w:div>
    <w:div w:id="852497834">
      <w:bodyDiv w:val="1"/>
      <w:marLeft w:val="0"/>
      <w:marRight w:val="0"/>
      <w:marTop w:val="0"/>
      <w:marBottom w:val="0"/>
      <w:divBdr>
        <w:top w:val="none" w:sz="0" w:space="0" w:color="auto"/>
        <w:left w:val="none" w:sz="0" w:space="0" w:color="auto"/>
        <w:bottom w:val="none" w:sz="0" w:space="0" w:color="auto"/>
        <w:right w:val="none" w:sz="0" w:space="0" w:color="auto"/>
      </w:divBdr>
    </w:div>
    <w:div w:id="852500116">
      <w:bodyDiv w:val="1"/>
      <w:marLeft w:val="0"/>
      <w:marRight w:val="0"/>
      <w:marTop w:val="0"/>
      <w:marBottom w:val="0"/>
      <w:divBdr>
        <w:top w:val="none" w:sz="0" w:space="0" w:color="auto"/>
        <w:left w:val="none" w:sz="0" w:space="0" w:color="auto"/>
        <w:bottom w:val="none" w:sz="0" w:space="0" w:color="auto"/>
        <w:right w:val="none" w:sz="0" w:space="0" w:color="auto"/>
      </w:divBdr>
    </w:div>
    <w:div w:id="852501740">
      <w:bodyDiv w:val="1"/>
      <w:marLeft w:val="0"/>
      <w:marRight w:val="0"/>
      <w:marTop w:val="0"/>
      <w:marBottom w:val="0"/>
      <w:divBdr>
        <w:top w:val="none" w:sz="0" w:space="0" w:color="auto"/>
        <w:left w:val="none" w:sz="0" w:space="0" w:color="auto"/>
        <w:bottom w:val="none" w:sz="0" w:space="0" w:color="auto"/>
        <w:right w:val="none" w:sz="0" w:space="0" w:color="auto"/>
      </w:divBdr>
    </w:div>
    <w:div w:id="852574907">
      <w:bodyDiv w:val="1"/>
      <w:marLeft w:val="0"/>
      <w:marRight w:val="0"/>
      <w:marTop w:val="0"/>
      <w:marBottom w:val="0"/>
      <w:divBdr>
        <w:top w:val="none" w:sz="0" w:space="0" w:color="auto"/>
        <w:left w:val="none" w:sz="0" w:space="0" w:color="auto"/>
        <w:bottom w:val="none" w:sz="0" w:space="0" w:color="auto"/>
        <w:right w:val="none" w:sz="0" w:space="0" w:color="auto"/>
      </w:divBdr>
    </w:div>
    <w:div w:id="852576310">
      <w:bodyDiv w:val="1"/>
      <w:marLeft w:val="0"/>
      <w:marRight w:val="0"/>
      <w:marTop w:val="0"/>
      <w:marBottom w:val="0"/>
      <w:divBdr>
        <w:top w:val="none" w:sz="0" w:space="0" w:color="auto"/>
        <w:left w:val="none" w:sz="0" w:space="0" w:color="auto"/>
        <w:bottom w:val="none" w:sz="0" w:space="0" w:color="auto"/>
        <w:right w:val="none" w:sz="0" w:space="0" w:color="auto"/>
      </w:divBdr>
    </w:div>
    <w:div w:id="852918095">
      <w:bodyDiv w:val="1"/>
      <w:marLeft w:val="0"/>
      <w:marRight w:val="0"/>
      <w:marTop w:val="0"/>
      <w:marBottom w:val="0"/>
      <w:divBdr>
        <w:top w:val="none" w:sz="0" w:space="0" w:color="auto"/>
        <w:left w:val="none" w:sz="0" w:space="0" w:color="auto"/>
        <w:bottom w:val="none" w:sz="0" w:space="0" w:color="auto"/>
        <w:right w:val="none" w:sz="0" w:space="0" w:color="auto"/>
      </w:divBdr>
    </w:div>
    <w:div w:id="853305243">
      <w:bodyDiv w:val="1"/>
      <w:marLeft w:val="0"/>
      <w:marRight w:val="0"/>
      <w:marTop w:val="0"/>
      <w:marBottom w:val="0"/>
      <w:divBdr>
        <w:top w:val="none" w:sz="0" w:space="0" w:color="auto"/>
        <w:left w:val="none" w:sz="0" w:space="0" w:color="auto"/>
        <w:bottom w:val="none" w:sz="0" w:space="0" w:color="auto"/>
        <w:right w:val="none" w:sz="0" w:space="0" w:color="auto"/>
      </w:divBdr>
    </w:div>
    <w:div w:id="853305266">
      <w:bodyDiv w:val="1"/>
      <w:marLeft w:val="0"/>
      <w:marRight w:val="0"/>
      <w:marTop w:val="0"/>
      <w:marBottom w:val="0"/>
      <w:divBdr>
        <w:top w:val="none" w:sz="0" w:space="0" w:color="auto"/>
        <w:left w:val="none" w:sz="0" w:space="0" w:color="auto"/>
        <w:bottom w:val="none" w:sz="0" w:space="0" w:color="auto"/>
        <w:right w:val="none" w:sz="0" w:space="0" w:color="auto"/>
      </w:divBdr>
    </w:div>
    <w:div w:id="853418941">
      <w:bodyDiv w:val="1"/>
      <w:marLeft w:val="0"/>
      <w:marRight w:val="0"/>
      <w:marTop w:val="0"/>
      <w:marBottom w:val="0"/>
      <w:divBdr>
        <w:top w:val="none" w:sz="0" w:space="0" w:color="auto"/>
        <w:left w:val="none" w:sz="0" w:space="0" w:color="auto"/>
        <w:bottom w:val="none" w:sz="0" w:space="0" w:color="auto"/>
        <w:right w:val="none" w:sz="0" w:space="0" w:color="auto"/>
      </w:divBdr>
    </w:div>
    <w:div w:id="853761736">
      <w:bodyDiv w:val="1"/>
      <w:marLeft w:val="0"/>
      <w:marRight w:val="0"/>
      <w:marTop w:val="0"/>
      <w:marBottom w:val="0"/>
      <w:divBdr>
        <w:top w:val="none" w:sz="0" w:space="0" w:color="auto"/>
        <w:left w:val="none" w:sz="0" w:space="0" w:color="auto"/>
        <w:bottom w:val="none" w:sz="0" w:space="0" w:color="auto"/>
        <w:right w:val="none" w:sz="0" w:space="0" w:color="auto"/>
      </w:divBdr>
    </w:div>
    <w:div w:id="853886333">
      <w:bodyDiv w:val="1"/>
      <w:marLeft w:val="0"/>
      <w:marRight w:val="0"/>
      <w:marTop w:val="0"/>
      <w:marBottom w:val="0"/>
      <w:divBdr>
        <w:top w:val="none" w:sz="0" w:space="0" w:color="auto"/>
        <w:left w:val="none" w:sz="0" w:space="0" w:color="auto"/>
        <w:bottom w:val="none" w:sz="0" w:space="0" w:color="auto"/>
        <w:right w:val="none" w:sz="0" w:space="0" w:color="auto"/>
      </w:divBdr>
    </w:div>
    <w:div w:id="854001923">
      <w:bodyDiv w:val="1"/>
      <w:marLeft w:val="0"/>
      <w:marRight w:val="0"/>
      <w:marTop w:val="0"/>
      <w:marBottom w:val="0"/>
      <w:divBdr>
        <w:top w:val="none" w:sz="0" w:space="0" w:color="auto"/>
        <w:left w:val="none" w:sz="0" w:space="0" w:color="auto"/>
        <w:bottom w:val="none" w:sz="0" w:space="0" w:color="auto"/>
        <w:right w:val="none" w:sz="0" w:space="0" w:color="auto"/>
      </w:divBdr>
    </w:div>
    <w:div w:id="854420206">
      <w:bodyDiv w:val="1"/>
      <w:marLeft w:val="0"/>
      <w:marRight w:val="0"/>
      <w:marTop w:val="0"/>
      <w:marBottom w:val="0"/>
      <w:divBdr>
        <w:top w:val="none" w:sz="0" w:space="0" w:color="auto"/>
        <w:left w:val="none" w:sz="0" w:space="0" w:color="auto"/>
        <w:bottom w:val="none" w:sz="0" w:space="0" w:color="auto"/>
        <w:right w:val="none" w:sz="0" w:space="0" w:color="auto"/>
      </w:divBdr>
    </w:div>
    <w:div w:id="854460744">
      <w:bodyDiv w:val="1"/>
      <w:marLeft w:val="0"/>
      <w:marRight w:val="0"/>
      <w:marTop w:val="0"/>
      <w:marBottom w:val="0"/>
      <w:divBdr>
        <w:top w:val="none" w:sz="0" w:space="0" w:color="auto"/>
        <w:left w:val="none" w:sz="0" w:space="0" w:color="auto"/>
        <w:bottom w:val="none" w:sz="0" w:space="0" w:color="auto"/>
        <w:right w:val="none" w:sz="0" w:space="0" w:color="auto"/>
      </w:divBdr>
    </w:div>
    <w:div w:id="854728842">
      <w:bodyDiv w:val="1"/>
      <w:marLeft w:val="0"/>
      <w:marRight w:val="0"/>
      <w:marTop w:val="0"/>
      <w:marBottom w:val="0"/>
      <w:divBdr>
        <w:top w:val="none" w:sz="0" w:space="0" w:color="auto"/>
        <w:left w:val="none" w:sz="0" w:space="0" w:color="auto"/>
        <w:bottom w:val="none" w:sz="0" w:space="0" w:color="auto"/>
        <w:right w:val="none" w:sz="0" w:space="0" w:color="auto"/>
      </w:divBdr>
    </w:div>
    <w:div w:id="855074496">
      <w:bodyDiv w:val="1"/>
      <w:marLeft w:val="0"/>
      <w:marRight w:val="0"/>
      <w:marTop w:val="0"/>
      <w:marBottom w:val="0"/>
      <w:divBdr>
        <w:top w:val="none" w:sz="0" w:space="0" w:color="auto"/>
        <w:left w:val="none" w:sz="0" w:space="0" w:color="auto"/>
        <w:bottom w:val="none" w:sz="0" w:space="0" w:color="auto"/>
        <w:right w:val="none" w:sz="0" w:space="0" w:color="auto"/>
      </w:divBdr>
    </w:div>
    <w:div w:id="855313091">
      <w:bodyDiv w:val="1"/>
      <w:marLeft w:val="0"/>
      <w:marRight w:val="0"/>
      <w:marTop w:val="0"/>
      <w:marBottom w:val="0"/>
      <w:divBdr>
        <w:top w:val="none" w:sz="0" w:space="0" w:color="auto"/>
        <w:left w:val="none" w:sz="0" w:space="0" w:color="auto"/>
        <w:bottom w:val="none" w:sz="0" w:space="0" w:color="auto"/>
        <w:right w:val="none" w:sz="0" w:space="0" w:color="auto"/>
      </w:divBdr>
    </w:div>
    <w:div w:id="855966234">
      <w:bodyDiv w:val="1"/>
      <w:marLeft w:val="0"/>
      <w:marRight w:val="0"/>
      <w:marTop w:val="0"/>
      <w:marBottom w:val="0"/>
      <w:divBdr>
        <w:top w:val="none" w:sz="0" w:space="0" w:color="auto"/>
        <w:left w:val="none" w:sz="0" w:space="0" w:color="auto"/>
        <w:bottom w:val="none" w:sz="0" w:space="0" w:color="auto"/>
        <w:right w:val="none" w:sz="0" w:space="0" w:color="auto"/>
      </w:divBdr>
    </w:div>
    <w:div w:id="856115670">
      <w:bodyDiv w:val="1"/>
      <w:marLeft w:val="0"/>
      <w:marRight w:val="0"/>
      <w:marTop w:val="0"/>
      <w:marBottom w:val="0"/>
      <w:divBdr>
        <w:top w:val="none" w:sz="0" w:space="0" w:color="auto"/>
        <w:left w:val="none" w:sz="0" w:space="0" w:color="auto"/>
        <w:bottom w:val="none" w:sz="0" w:space="0" w:color="auto"/>
        <w:right w:val="none" w:sz="0" w:space="0" w:color="auto"/>
      </w:divBdr>
    </w:div>
    <w:div w:id="856121758">
      <w:bodyDiv w:val="1"/>
      <w:marLeft w:val="0"/>
      <w:marRight w:val="0"/>
      <w:marTop w:val="0"/>
      <w:marBottom w:val="0"/>
      <w:divBdr>
        <w:top w:val="none" w:sz="0" w:space="0" w:color="auto"/>
        <w:left w:val="none" w:sz="0" w:space="0" w:color="auto"/>
        <w:bottom w:val="none" w:sz="0" w:space="0" w:color="auto"/>
        <w:right w:val="none" w:sz="0" w:space="0" w:color="auto"/>
      </w:divBdr>
    </w:div>
    <w:div w:id="856164657">
      <w:bodyDiv w:val="1"/>
      <w:marLeft w:val="0"/>
      <w:marRight w:val="0"/>
      <w:marTop w:val="0"/>
      <w:marBottom w:val="0"/>
      <w:divBdr>
        <w:top w:val="none" w:sz="0" w:space="0" w:color="auto"/>
        <w:left w:val="none" w:sz="0" w:space="0" w:color="auto"/>
        <w:bottom w:val="none" w:sz="0" w:space="0" w:color="auto"/>
        <w:right w:val="none" w:sz="0" w:space="0" w:color="auto"/>
      </w:divBdr>
    </w:div>
    <w:div w:id="856235148">
      <w:bodyDiv w:val="1"/>
      <w:marLeft w:val="0"/>
      <w:marRight w:val="0"/>
      <w:marTop w:val="0"/>
      <w:marBottom w:val="0"/>
      <w:divBdr>
        <w:top w:val="none" w:sz="0" w:space="0" w:color="auto"/>
        <w:left w:val="none" w:sz="0" w:space="0" w:color="auto"/>
        <w:bottom w:val="none" w:sz="0" w:space="0" w:color="auto"/>
        <w:right w:val="none" w:sz="0" w:space="0" w:color="auto"/>
      </w:divBdr>
    </w:div>
    <w:div w:id="856236193">
      <w:bodyDiv w:val="1"/>
      <w:marLeft w:val="0"/>
      <w:marRight w:val="0"/>
      <w:marTop w:val="0"/>
      <w:marBottom w:val="0"/>
      <w:divBdr>
        <w:top w:val="none" w:sz="0" w:space="0" w:color="auto"/>
        <w:left w:val="none" w:sz="0" w:space="0" w:color="auto"/>
        <w:bottom w:val="none" w:sz="0" w:space="0" w:color="auto"/>
        <w:right w:val="none" w:sz="0" w:space="0" w:color="auto"/>
      </w:divBdr>
    </w:div>
    <w:div w:id="856306295">
      <w:bodyDiv w:val="1"/>
      <w:marLeft w:val="0"/>
      <w:marRight w:val="0"/>
      <w:marTop w:val="0"/>
      <w:marBottom w:val="0"/>
      <w:divBdr>
        <w:top w:val="none" w:sz="0" w:space="0" w:color="auto"/>
        <w:left w:val="none" w:sz="0" w:space="0" w:color="auto"/>
        <w:bottom w:val="none" w:sz="0" w:space="0" w:color="auto"/>
        <w:right w:val="none" w:sz="0" w:space="0" w:color="auto"/>
      </w:divBdr>
    </w:div>
    <w:div w:id="856432104">
      <w:bodyDiv w:val="1"/>
      <w:marLeft w:val="0"/>
      <w:marRight w:val="0"/>
      <w:marTop w:val="0"/>
      <w:marBottom w:val="0"/>
      <w:divBdr>
        <w:top w:val="none" w:sz="0" w:space="0" w:color="auto"/>
        <w:left w:val="none" w:sz="0" w:space="0" w:color="auto"/>
        <w:bottom w:val="none" w:sz="0" w:space="0" w:color="auto"/>
        <w:right w:val="none" w:sz="0" w:space="0" w:color="auto"/>
      </w:divBdr>
    </w:div>
    <w:div w:id="856508812">
      <w:bodyDiv w:val="1"/>
      <w:marLeft w:val="0"/>
      <w:marRight w:val="0"/>
      <w:marTop w:val="0"/>
      <w:marBottom w:val="0"/>
      <w:divBdr>
        <w:top w:val="none" w:sz="0" w:space="0" w:color="auto"/>
        <w:left w:val="none" w:sz="0" w:space="0" w:color="auto"/>
        <w:bottom w:val="none" w:sz="0" w:space="0" w:color="auto"/>
        <w:right w:val="none" w:sz="0" w:space="0" w:color="auto"/>
      </w:divBdr>
    </w:div>
    <w:div w:id="857155006">
      <w:bodyDiv w:val="1"/>
      <w:marLeft w:val="0"/>
      <w:marRight w:val="0"/>
      <w:marTop w:val="0"/>
      <w:marBottom w:val="0"/>
      <w:divBdr>
        <w:top w:val="none" w:sz="0" w:space="0" w:color="auto"/>
        <w:left w:val="none" w:sz="0" w:space="0" w:color="auto"/>
        <w:bottom w:val="none" w:sz="0" w:space="0" w:color="auto"/>
        <w:right w:val="none" w:sz="0" w:space="0" w:color="auto"/>
      </w:divBdr>
    </w:div>
    <w:div w:id="857155940">
      <w:bodyDiv w:val="1"/>
      <w:marLeft w:val="0"/>
      <w:marRight w:val="0"/>
      <w:marTop w:val="0"/>
      <w:marBottom w:val="0"/>
      <w:divBdr>
        <w:top w:val="none" w:sz="0" w:space="0" w:color="auto"/>
        <w:left w:val="none" w:sz="0" w:space="0" w:color="auto"/>
        <w:bottom w:val="none" w:sz="0" w:space="0" w:color="auto"/>
        <w:right w:val="none" w:sz="0" w:space="0" w:color="auto"/>
      </w:divBdr>
    </w:div>
    <w:div w:id="857499640">
      <w:bodyDiv w:val="1"/>
      <w:marLeft w:val="0"/>
      <w:marRight w:val="0"/>
      <w:marTop w:val="0"/>
      <w:marBottom w:val="0"/>
      <w:divBdr>
        <w:top w:val="none" w:sz="0" w:space="0" w:color="auto"/>
        <w:left w:val="none" w:sz="0" w:space="0" w:color="auto"/>
        <w:bottom w:val="none" w:sz="0" w:space="0" w:color="auto"/>
        <w:right w:val="none" w:sz="0" w:space="0" w:color="auto"/>
      </w:divBdr>
    </w:div>
    <w:div w:id="858130426">
      <w:bodyDiv w:val="1"/>
      <w:marLeft w:val="0"/>
      <w:marRight w:val="0"/>
      <w:marTop w:val="0"/>
      <w:marBottom w:val="0"/>
      <w:divBdr>
        <w:top w:val="none" w:sz="0" w:space="0" w:color="auto"/>
        <w:left w:val="none" w:sz="0" w:space="0" w:color="auto"/>
        <w:bottom w:val="none" w:sz="0" w:space="0" w:color="auto"/>
        <w:right w:val="none" w:sz="0" w:space="0" w:color="auto"/>
      </w:divBdr>
    </w:div>
    <w:div w:id="858130600">
      <w:bodyDiv w:val="1"/>
      <w:marLeft w:val="0"/>
      <w:marRight w:val="0"/>
      <w:marTop w:val="0"/>
      <w:marBottom w:val="0"/>
      <w:divBdr>
        <w:top w:val="none" w:sz="0" w:space="0" w:color="auto"/>
        <w:left w:val="none" w:sz="0" w:space="0" w:color="auto"/>
        <w:bottom w:val="none" w:sz="0" w:space="0" w:color="auto"/>
        <w:right w:val="none" w:sz="0" w:space="0" w:color="auto"/>
      </w:divBdr>
    </w:div>
    <w:div w:id="858392034">
      <w:bodyDiv w:val="1"/>
      <w:marLeft w:val="0"/>
      <w:marRight w:val="0"/>
      <w:marTop w:val="0"/>
      <w:marBottom w:val="0"/>
      <w:divBdr>
        <w:top w:val="none" w:sz="0" w:space="0" w:color="auto"/>
        <w:left w:val="none" w:sz="0" w:space="0" w:color="auto"/>
        <w:bottom w:val="none" w:sz="0" w:space="0" w:color="auto"/>
        <w:right w:val="none" w:sz="0" w:space="0" w:color="auto"/>
      </w:divBdr>
    </w:div>
    <w:div w:id="858392470">
      <w:bodyDiv w:val="1"/>
      <w:marLeft w:val="0"/>
      <w:marRight w:val="0"/>
      <w:marTop w:val="0"/>
      <w:marBottom w:val="0"/>
      <w:divBdr>
        <w:top w:val="none" w:sz="0" w:space="0" w:color="auto"/>
        <w:left w:val="none" w:sz="0" w:space="0" w:color="auto"/>
        <w:bottom w:val="none" w:sz="0" w:space="0" w:color="auto"/>
        <w:right w:val="none" w:sz="0" w:space="0" w:color="auto"/>
      </w:divBdr>
    </w:div>
    <w:div w:id="858465726">
      <w:bodyDiv w:val="1"/>
      <w:marLeft w:val="0"/>
      <w:marRight w:val="0"/>
      <w:marTop w:val="0"/>
      <w:marBottom w:val="0"/>
      <w:divBdr>
        <w:top w:val="none" w:sz="0" w:space="0" w:color="auto"/>
        <w:left w:val="none" w:sz="0" w:space="0" w:color="auto"/>
        <w:bottom w:val="none" w:sz="0" w:space="0" w:color="auto"/>
        <w:right w:val="none" w:sz="0" w:space="0" w:color="auto"/>
      </w:divBdr>
    </w:div>
    <w:div w:id="858548253">
      <w:bodyDiv w:val="1"/>
      <w:marLeft w:val="0"/>
      <w:marRight w:val="0"/>
      <w:marTop w:val="0"/>
      <w:marBottom w:val="0"/>
      <w:divBdr>
        <w:top w:val="none" w:sz="0" w:space="0" w:color="auto"/>
        <w:left w:val="none" w:sz="0" w:space="0" w:color="auto"/>
        <w:bottom w:val="none" w:sz="0" w:space="0" w:color="auto"/>
        <w:right w:val="none" w:sz="0" w:space="0" w:color="auto"/>
      </w:divBdr>
    </w:div>
    <w:div w:id="858860581">
      <w:bodyDiv w:val="1"/>
      <w:marLeft w:val="0"/>
      <w:marRight w:val="0"/>
      <w:marTop w:val="0"/>
      <w:marBottom w:val="0"/>
      <w:divBdr>
        <w:top w:val="none" w:sz="0" w:space="0" w:color="auto"/>
        <w:left w:val="none" w:sz="0" w:space="0" w:color="auto"/>
        <w:bottom w:val="none" w:sz="0" w:space="0" w:color="auto"/>
        <w:right w:val="none" w:sz="0" w:space="0" w:color="auto"/>
      </w:divBdr>
    </w:div>
    <w:div w:id="859048458">
      <w:bodyDiv w:val="1"/>
      <w:marLeft w:val="0"/>
      <w:marRight w:val="0"/>
      <w:marTop w:val="0"/>
      <w:marBottom w:val="0"/>
      <w:divBdr>
        <w:top w:val="none" w:sz="0" w:space="0" w:color="auto"/>
        <w:left w:val="none" w:sz="0" w:space="0" w:color="auto"/>
        <w:bottom w:val="none" w:sz="0" w:space="0" w:color="auto"/>
        <w:right w:val="none" w:sz="0" w:space="0" w:color="auto"/>
      </w:divBdr>
    </w:div>
    <w:div w:id="859051968">
      <w:bodyDiv w:val="1"/>
      <w:marLeft w:val="0"/>
      <w:marRight w:val="0"/>
      <w:marTop w:val="0"/>
      <w:marBottom w:val="0"/>
      <w:divBdr>
        <w:top w:val="none" w:sz="0" w:space="0" w:color="auto"/>
        <w:left w:val="none" w:sz="0" w:space="0" w:color="auto"/>
        <w:bottom w:val="none" w:sz="0" w:space="0" w:color="auto"/>
        <w:right w:val="none" w:sz="0" w:space="0" w:color="auto"/>
      </w:divBdr>
    </w:div>
    <w:div w:id="859123716">
      <w:bodyDiv w:val="1"/>
      <w:marLeft w:val="0"/>
      <w:marRight w:val="0"/>
      <w:marTop w:val="0"/>
      <w:marBottom w:val="0"/>
      <w:divBdr>
        <w:top w:val="none" w:sz="0" w:space="0" w:color="auto"/>
        <w:left w:val="none" w:sz="0" w:space="0" w:color="auto"/>
        <w:bottom w:val="none" w:sz="0" w:space="0" w:color="auto"/>
        <w:right w:val="none" w:sz="0" w:space="0" w:color="auto"/>
      </w:divBdr>
    </w:div>
    <w:div w:id="859509373">
      <w:bodyDiv w:val="1"/>
      <w:marLeft w:val="0"/>
      <w:marRight w:val="0"/>
      <w:marTop w:val="0"/>
      <w:marBottom w:val="0"/>
      <w:divBdr>
        <w:top w:val="none" w:sz="0" w:space="0" w:color="auto"/>
        <w:left w:val="none" w:sz="0" w:space="0" w:color="auto"/>
        <w:bottom w:val="none" w:sz="0" w:space="0" w:color="auto"/>
        <w:right w:val="none" w:sz="0" w:space="0" w:color="auto"/>
      </w:divBdr>
    </w:div>
    <w:div w:id="859512139">
      <w:bodyDiv w:val="1"/>
      <w:marLeft w:val="0"/>
      <w:marRight w:val="0"/>
      <w:marTop w:val="0"/>
      <w:marBottom w:val="0"/>
      <w:divBdr>
        <w:top w:val="none" w:sz="0" w:space="0" w:color="auto"/>
        <w:left w:val="none" w:sz="0" w:space="0" w:color="auto"/>
        <w:bottom w:val="none" w:sz="0" w:space="0" w:color="auto"/>
        <w:right w:val="none" w:sz="0" w:space="0" w:color="auto"/>
      </w:divBdr>
    </w:div>
    <w:div w:id="859900810">
      <w:bodyDiv w:val="1"/>
      <w:marLeft w:val="0"/>
      <w:marRight w:val="0"/>
      <w:marTop w:val="0"/>
      <w:marBottom w:val="0"/>
      <w:divBdr>
        <w:top w:val="none" w:sz="0" w:space="0" w:color="auto"/>
        <w:left w:val="none" w:sz="0" w:space="0" w:color="auto"/>
        <w:bottom w:val="none" w:sz="0" w:space="0" w:color="auto"/>
        <w:right w:val="none" w:sz="0" w:space="0" w:color="auto"/>
      </w:divBdr>
    </w:div>
    <w:div w:id="860049113">
      <w:bodyDiv w:val="1"/>
      <w:marLeft w:val="0"/>
      <w:marRight w:val="0"/>
      <w:marTop w:val="0"/>
      <w:marBottom w:val="0"/>
      <w:divBdr>
        <w:top w:val="none" w:sz="0" w:space="0" w:color="auto"/>
        <w:left w:val="none" w:sz="0" w:space="0" w:color="auto"/>
        <w:bottom w:val="none" w:sz="0" w:space="0" w:color="auto"/>
        <w:right w:val="none" w:sz="0" w:space="0" w:color="auto"/>
      </w:divBdr>
    </w:div>
    <w:div w:id="860125639">
      <w:bodyDiv w:val="1"/>
      <w:marLeft w:val="0"/>
      <w:marRight w:val="0"/>
      <w:marTop w:val="0"/>
      <w:marBottom w:val="0"/>
      <w:divBdr>
        <w:top w:val="none" w:sz="0" w:space="0" w:color="auto"/>
        <w:left w:val="none" w:sz="0" w:space="0" w:color="auto"/>
        <w:bottom w:val="none" w:sz="0" w:space="0" w:color="auto"/>
        <w:right w:val="none" w:sz="0" w:space="0" w:color="auto"/>
      </w:divBdr>
    </w:div>
    <w:div w:id="860166567">
      <w:bodyDiv w:val="1"/>
      <w:marLeft w:val="0"/>
      <w:marRight w:val="0"/>
      <w:marTop w:val="0"/>
      <w:marBottom w:val="0"/>
      <w:divBdr>
        <w:top w:val="none" w:sz="0" w:space="0" w:color="auto"/>
        <w:left w:val="none" w:sz="0" w:space="0" w:color="auto"/>
        <w:bottom w:val="none" w:sz="0" w:space="0" w:color="auto"/>
        <w:right w:val="none" w:sz="0" w:space="0" w:color="auto"/>
      </w:divBdr>
    </w:div>
    <w:div w:id="860317194">
      <w:bodyDiv w:val="1"/>
      <w:marLeft w:val="0"/>
      <w:marRight w:val="0"/>
      <w:marTop w:val="0"/>
      <w:marBottom w:val="0"/>
      <w:divBdr>
        <w:top w:val="none" w:sz="0" w:space="0" w:color="auto"/>
        <w:left w:val="none" w:sz="0" w:space="0" w:color="auto"/>
        <w:bottom w:val="none" w:sz="0" w:space="0" w:color="auto"/>
        <w:right w:val="none" w:sz="0" w:space="0" w:color="auto"/>
      </w:divBdr>
    </w:div>
    <w:div w:id="860321602">
      <w:bodyDiv w:val="1"/>
      <w:marLeft w:val="0"/>
      <w:marRight w:val="0"/>
      <w:marTop w:val="0"/>
      <w:marBottom w:val="0"/>
      <w:divBdr>
        <w:top w:val="none" w:sz="0" w:space="0" w:color="auto"/>
        <w:left w:val="none" w:sz="0" w:space="0" w:color="auto"/>
        <w:bottom w:val="none" w:sz="0" w:space="0" w:color="auto"/>
        <w:right w:val="none" w:sz="0" w:space="0" w:color="auto"/>
      </w:divBdr>
    </w:div>
    <w:div w:id="860357826">
      <w:bodyDiv w:val="1"/>
      <w:marLeft w:val="0"/>
      <w:marRight w:val="0"/>
      <w:marTop w:val="0"/>
      <w:marBottom w:val="0"/>
      <w:divBdr>
        <w:top w:val="none" w:sz="0" w:space="0" w:color="auto"/>
        <w:left w:val="none" w:sz="0" w:space="0" w:color="auto"/>
        <w:bottom w:val="none" w:sz="0" w:space="0" w:color="auto"/>
        <w:right w:val="none" w:sz="0" w:space="0" w:color="auto"/>
      </w:divBdr>
    </w:div>
    <w:div w:id="860359167">
      <w:bodyDiv w:val="1"/>
      <w:marLeft w:val="0"/>
      <w:marRight w:val="0"/>
      <w:marTop w:val="0"/>
      <w:marBottom w:val="0"/>
      <w:divBdr>
        <w:top w:val="none" w:sz="0" w:space="0" w:color="auto"/>
        <w:left w:val="none" w:sz="0" w:space="0" w:color="auto"/>
        <w:bottom w:val="none" w:sz="0" w:space="0" w:color="auto"/>
        <w:right w:val="none" w:sz="0" w:space="0" w:color="auto"/>
      </w:divBdr>
    </w:div>
    <w:div w:id="860507617">
      <w:bodyDiv w:val="1"/>
      <w:marLeft w:val="0"/>
      <w:marRight w:val="0"/>
      <w:marTop w:val="0"/>
      <w:marBottom w:val="0"/>
      <w:divBdr>
        <w:top w:val="none" w:sz="0" w:space="0" w:color="auto"/>
        <w:left w:val="none" w:sz="0" w:space="0" w:color="auto"/>
        <w:bottom w:val="none" w:sz="0" w:space="0" w:color="auto"/>
        <w:right w:val="none" w:sz="0" w:space="0" w:color="auto"/>
      </w:divBdr>
    </w:div>
    <w:div w:id="860583575">
      <w:bodyDiv w:val="1"/>
      <w:marLeft w:val="0"/>
      <w:marRight w:val="0"/>
      <w:marTop w:val="0"/>
      <w:marBottom w:val="0"/>
      <w:divBdr>
        <w:top w:val="none" w:sz="0" w:space="0" w:color="auto"/>
        <w:left w:val="none" w:sz="0" w:space="0" w:color="auto"/>
        <w:bottom w:val="none" w:sz="0" w:space="0" w:color="auto"/>
        <w:right w:val="none" w:sz="0" w:space="0" w:color="auto"/>
      </w:divBdr>
    </w:div>
    <w:div w:id="860819718">
      <w:bodyDiv w:val="1"/>
      <w:marLeft w:val="0"/>
      <w:marRight w:val="0"/>
      <w:marTop w:val="0"/>
      <w:marBottom w:val="0"/>
      <w:divBdr>
        <w:top w:val="none" w:sz="0" w:space="0" w:color="auto"/>
        <w:left w:val="none" w:sz="0" w:space="0" w:color="auto"/>
        <w:bottom w:val="none" w:sz="0" w:space="0" w:color="auto"/>
        <w:right w:val="none" w:sz="0" w:space="0" w:color="auto"/>
      </w:divBdr>
    </w:div>
    <w:div w:id="860823961">
      <w:bodyDiv w:val="1"/>
      <w:marLeft w:val="0"/>
      <w:marRight w:val="0"/>
      <w:marTop w:val="0"/>
      <w:marBottom w:val="0"/>
      <w:divBdr>
        <w:top w:val="none" w:sz="0" w:space="0" w:color="auto"/>
        <w:left w:val="none" w:sz="0" w:space="0" w:color="auto"/>
        <w:bottom w:val="none" w:sz="0" w:space="0" w:color="auto"/>
        <w:right w:val="none" w:sz="0" w:space="0" w:color="auto"/>
      </w:divBdr>
    </w:div>
    <w:div w:id="860893823">
      <w:bodyDiv w:val="1"/>
      <w:marLeft w:val="0"/>
      <w:marRight w:val="0"/>
      <w:marTop w:val="0"/>
      <w:marBottom w:val="0"/>
      <w:divBdr>
        <w:top w:val="none" w:sz="0" w:space="0" w:color="auto"/>
        <w:left w:val="none" w:sz="0" w:space="0" w:color="auto"/>
        <w:bottom w:val="none" w:sz="0" w:space="0" w:color="auto"/>
        <w:right w:val="none" w:sz="0" w:space="0" w:color="auto"/>
      </w:divBdr>
    </w:div>
    <w:div w:id="861163345">
      <w:bodyDiv w:val="1"/>
      <w:marLeft w:val="0"/>
      <w:marRight w:val="0"/>
      <w:marTop w:val="0"/>
      <w:marBottom w:val="0"/>
      <w:divBdr>
        <w:top w:val="none" w:sz="0" w:space="0" w:color="auto"/>
        <w:left w:val="none" w:sz="0" w:space="0" w:color="auto"/>
        <w:bottom w:val="none" w:sz="0" w:space="0" w:color="auto"/>
        <w:right w:val="none" w:sz="0" w:space="0" w:color="auto"/>
      </w:divBdr>
    </w:div>
    <w:div w:id="861210908">
      <w:bodyDiv w:val="1"/>
      <w:marLeft w:val="0"/>
      <w:marRight w:val="0"/>
      <w:marTop w:val="0"/>
      <w:marBottom w:val="0"/>
      <w:divBdr>
        <w:top w:val="none" w:sz="0" w:space="0" w:color="auto"/>
        <w:left w:val="none" w:sz="0" w:space="0" w:color="auto"/>
        <w:bottom w:val="none" w:sz="0" w:space="0" w:color="auto"/>
        <w:right w:val="none" w:sz="0" w:space="0" w:color="auto"/>
      </w:divBdr>
    </w:div>
    <w:div w:id="861625789">
      <w:bodyDiv w:val="1"/>
      <w:marLeft w:val="0"/>
      <w:marRight w:val="0"/>
      <w:marTop w:val="0"/>
      <w:marBottom w:val="0"/>
      <w:divBdr>
        <w:top w:val="none" w:sz="0" w:space="0" w:color="auto"/>
        <w:left w:val="none" w:sz="0" w:space="0" w:color="auto"/>
        <w:bottom w:val="none" w:sz="0" w:space="0" w:color="auto"/>
        <w:right w:val="none" w:sz="0" w:space="0" w:color="auto"/>
      </w:divBdr>
    </w:div>
    <w:div w:id="861868789">
      <w:bodyDiv w:val="1"/>
      <w:marLeft w:val="0"/>
      <w:marRight w:val="0"/>
      <w:marTop w:val="0"/>
      <w:marBottom w:val="0"/>
      <w:divBdr>
        <w:top w:val="none" w:sz="0" w:space="0" w:color="auto"/>
        <w:left w:val="none" w:sz="0" w:space="0" w:color="auto"/>
        <w:bottom w:val="none" w:sz="0" w:space="0" w:color="auto"/>
        <w:right w:val="none" w:sz="0" w:space="0" w:color="auto"/>
      </w:divBdr>
    </w:div>
    <w:div w:id="862206111">
      <w:bodyDiv w:val="1"/>
      <w:marLeft w:val="0"/>
      <w:marRight w:val="0"/>
      <w:marTop w:val="0"/>
      <w:marBottom w:val="0"/>
      <w:divBdr>
        <w:top w:val="none" w:sz="0" w:space="0" w:color="auto"/>
        <w:left w:val="none" w:sz="0" w:space="0" w:color="auto"/>
        <w:bottom w:val="none" w:sz="0" w:space="0" w:color="auto"/>
        <w:right w:val="none" w:sz="0" w:space="0" w:color="auto"/>
      </w:divBdr>
    </w:div>
    <w:div w:id="862521866">
      <w:bodyDiv w:val="1"/>
      <w:marLeft w:val="0"/>
      <w:marRight w:val="0"/>
      <w:marTop w:val="0"/>
      <w:marBottom w:val="0"/>
      <w:divBdr>
        <w:top w:val="none" w:sz="0" w:space="0" w:color="auto"/>
        <w:left w:val="none" w:sz="0" w:space="0" w:color="auto"/>
        <w:bottom w:val="none" w:sz="0" w:space="0" w:color="auto"/>
        <w:right w:val="none" w:sz="0" w:space="0" w:color="auto"/>
      </w:divBdr>
    </w:div>
    <w:div w:id="862668076">
      <w:bodyDiv w:val="1"/>
      <w:marLeft w:val="0"/>
      <w:marRight w:val="0"/>
      <w:marTop w:val="0"/>
      <w:marBottom w:val="0"/>
      <w:divBdr>
        <w:top w:val="none" w:sz="0" w:space="0" w:color="auto"/>
        <w:left w:val="none" w:sz="0" w:space="0" w:color="auto"/>
        <w:bottom w:val="none" w:sz="0" w:space="0" w:color="auto"/>
        <w:right w:val="none" w:sz="0" w:space="0" w:color="auto"/>
      </w:divBdr>
    </w:div>
    <w:div w:id="863205262">
      <w:bodyDiv w:val="1"/>
      <w:marLeft w:val="0"/>
      <w:marRight w:val="0"/>
      <w:marTop w:val="0"/>
      <w:marBottom w:val="0"/>
      <w:divBdr>
        <w:top w:val="none" w:sz="0" w:space="0" w:color="auto"/>
        <w:left w:val="none" w:sz="0" w:space="0" w:color="auto"/>
        <w:bottom w:val="none" w:sz="0" w:space="0" w:color="auto"/>
        <w:right w:val="none" w:sz="0" w:space="0" w:color="auto"/>
      </w:divBdr>
    </w:div>
    <w:div w:id="863403519">
      <w:bodyDiv w:val="1"/>
      <w:marLeft w:val="0"/>
      <w:marRight w:val="0"/>
      <w:marTop w:val="0"/>
      <w:marBottom w:val="0"/>
      <w:divBdr>
        <w:top w:val="none" w:sz="0" w:space="0" w:color="auto"/>
        <w:left w:val="none" w:sz="0" w:space="0" w:color="auto"/>
        <w:bottom w:val="none" w:sz="0" w:space="0" w:color="auto"/>
        <w:right w:val="none" w:sz="0" w:space="0" w:color="auto"/>
      </w:divBdr>
    </w:div>
    <w:div w:id="863514563">
      <w:bodyDiv w:val="1"/>
      <w:marLeft w:val="0"/>
      <w:marRight w:val="0"/>
      <w:marTop w:val="0"/>
      <w:marBottom w:val="0"/>
      <w:divBdr>
        <w:top w:val="none" w:sz="0" w:space="0" w:color="auto"/>
        <w:left w:val="none" w:sz="0" w:space="0" w:color="auto"/>
        <w:bottom w:val="none" w:sz="0" w:space="0" w:color="auto"/>
        <w:right w:val="none" w:sz="0" w:space="0" w:color="auto"/>
      </w:divBdr>
    </w:div>
    <w:div w:id="863834568">
      <w:bodyDiv w:val="1"/>
      <w:marLeft w:val="0"/>
      <w:marRight w:val="0"/>
      <w:marTop w:val="0"/>
      <w:marBottom w:val="0"/>
      <w:divBdr>
        <w:top w:val="none" w:sz="0" w:space="0" w:color="auto"/>
        <w:left w:val="none" w:sz="0" w:space="0" w:color="auto"/>
        <w:bottom w:val="none" w:sz="0" w:space="0" w:color="auto"/>
        <w:right w:val="none" w:sz="0" w:space="0" w:color="auto"/>
      </w:divBdr>
    </w:div>
    <w:div w:id="864097713">
      <w:bodyDiv w:val="1"/>
      <w:marLeft w:val="0"/>
      <w:marRight w:val="0"/>
      <w:marTop w:val="0"/>
      <w:marBottom w:val="0"/>
      <w:divBdr>
        <w:top w:val="none" w:sz="0" w:space="0" w:color="auto"/>
        <w:left w:val="none" w:sz="0" w:space="0" w:color="auto"/>
        <w:bottom w:val="none" w:sz="0" w:space="0" w:color="auto"/>
        <w:right w:val="none" w:sz="0" w:space="0" w:color="auto"/>
      </w:divBdr>
    </w:div>
    <w:div w:id="864437968">
      <w:bodyDiv w:val="1"/>
      <w:marLeft w:val="0"/>
      <w:marRight w:val="0"/>
      <w:marTop w:val="0"/>
      <w:marBottom w:val="0"/>
      <w:divBdr>
        <w:top w:val="none" w:sz="0" w:space="0" w:color="auto"/>
        <w:left w:val="none" w:sz="0" w:space="0" w:color="auto"/>
        <w:bottom w:val="none" w:sz="0" w:space="0" w:color="auto"/>
        <w:right w:val="none" w:sz="0" w:space="0" w:color="auto"/>
      </w:divBdr>
    </w:div>
    <w:div w:id="865143821">
      <w:bodyDiv w:val="1"/>
      <w:marLeft w:val="0"/>
      <w:marRight w:val="0"/>
      <w:marTop w:val="0"/>
      <w:marBottom w:val="0"/>
      <w:divBdr>
        <w:top w:val="none" w:sz="0" w:space="0" w:color="auto"/>
        <w:left w:val="none" w:sz="0" w:space="0" w:color="auto"/>
        <w:bottom w:val="none" w:sz="0" w:space="0" w:color="auto"/>
        <w:right w:val="none" w:sz="0" w:space="0" w:color="auto"/>
      </w:divBdr>
    </w:div>
    <w:div w:id="865144531">
      <w:bodyDiv w:val="1"/>
      <w:marLeft w:val="0"/>
      <w:marRight w:val="0"/>
      <w:marTop w:val="0"/>
      <w:marBottom w:val="0"/>
      <w:divBdr>
        <w:top w:val="none" w:sz="0" w:space="0" w:color="auto"/>
        <w:left w:val="none" w:sz="0" w:space="0" w:color="auto"/>
        <w:bottom w:val="none" w:sz="0" w:space="0" w:color="auto"/>
        <w:right w:val="none" w:sz="0" w:space="0" w:color="auto"/>
      </w:divBdr>
    </w:div>
    <w:div w:id="865214054">
      <w:bodyDiv w:val="1"/>
      <w:marLeft w:val="0"/>
      <w:marRight w:val="0"/>
      <w:marTop w:val="0"/>
      <w:marBottom w:val="0"/>
      <w:divBdr>
        <w:top w:val="none" w:sz="0" w:space="0" w:color="auto"/>
        <w:left w:val="none" w:sz="0" w:space="0" w:color="auto"/>
        <w:bottom w:val="none" w:sz="0" w:space="0" w:color="auto"/>
        <w:right w:val="none" w:sz="0" w:space="0" w:color="auto"/>
      </w:divBdr>
    </w:div>
    <w:div w:id="865563753">
      <w:bodyDiv w:val="1"/>
      <w:marLeft w:val="0"/>
      <w:marRight w:val="0"/>
      <w:marTop w:val="0"/>
      <w:marBottom w:val="0"/>
      <w:divBdr>
        <w:top w:val="none" w:sz="0" w:space="0" w:color="auto"/>
        <w:left w:val="none" w:sz="0" w:space="0" w:color="auto"/>
        <w:bottom w:val="none" w:sz="0" w:space="0" w:color="auto"/>
        <w:right w:val="none" w:sz="0" w:space="0" w:color="auto"/>
      </w:divBdr>
    </w:div>
    <w:div w:id="865564346">
      <w:bodyDiv w:val="1"/>
      <w:marLeft w:val="0"/>
      <w:marRight w:val="0"/>
      <w:marTop w:val="0"/>
      <w:marBottom w:val="0"/>
      <w:divBdr>
        <w:top w:val="none" w:sz="0" w:space="0" w:color="auto"/>
        <w:left w:val="none" w:sz="0" w:space="0" w:color="auto"/>
        <w:bottom w:val="none" w:sz="0" w:space="0" w:color="auto"/>
        <w:right w:val="none" w:sz="0" w:space="0" w:color="auto"/>
      </w:divBdr>
    </w:div>
    <w:div w:id="865756025">
      <w:bodyDiv w:val="1"/>
      <w:marLeft w:val="0"/>
      <w:marRight w:val="0"/>
      <w:marTop w:val="0"/>
      <w:marBottom w:val="0"/>
      <w:divBdr>
        <w:top w:val="none" w:sz="0" w:space="0" w:color="auto"/>
        <w:left w:val="none" w:sz="0" w:space="0" w:color="auto"/>
        <w:bottom w:val="none" w:sz="0" w:space="0" w:color="auto"/>
        <w:right w:val="none" w:sz="0" w:space="0" w:color="auto"/>
      </w:divBdr>
    </w:div>
    <w:div w:id="866140151">
      <w:bodyDiv w:val="1"/>
      <w:marLeft w:val="0"/>
      <w:marRight w:val="0"/>
      <w:marTop w:val="0"/>
      <w:marBottom w:val="0"/>
      <w:divBdr>
        <w:top w:val="none" w:sz="0" w:space="0" w:color="auto"/>
        <w:left w:val="none" w:sz="0" w:space="0" w:color="auto"/>
        <w:bottom w:val="none" w:sz="0" w:space="0" w:color="auto"/>
        <w:right w:val="none" w:sz="0" w:space="0" w:color="auto"/>
      </w:divBdr>
    </w:div>
    <w:div w:id="866677762">
      <w:bodyDiv w:val="1"/>
      <w:marLeft w:val="0"/>
      <w:marRight w:val="0"/>
      <w:marTop w:val="0"/>
      <w:marBottom w:val="0"/>
      <w:divBdr>
        <w:top w:val="none" w:sz="0" w:space="0" w:color="auto"/>
        <w:left w:val="none" w:sz="0" w:space="0" w:color="auto"/>
        <w:bottom w:val="none" w:sz="0" w:space="0" w:color="auto"/>
        <w:right w:val="none" w:sz="0" w:space="0" w:color="auto"/>
      </w:divBdr>
    </w:div>
    <w:div w:id="866792258">
      <w:bodyDiv w:val="1"/>
      <w:marLeft w:val="0"/>
      <w:marRight w:val="0"/>
      <w:marTop w:val="0"/>
      <w:marBottom w:val="0"/>
      <w:divBdr>
        <w:top w:val="none" w:sz="0" w:space="0" w:color="auto"/>
        <w:left w:val="none" w:sz="0" w:space="0" w:color="auto"/>
        <w:bottom w:val="none" w:sz="0" w:space="0" w:color="auto"/>
        <w:right w:val="none" w:sz="0" w:space="0" w:color="auto"/>
      </w:divBdr>
    </w:div>
    <w:div w:id="866987649">
      <w:bodyDiv w:val="1"/>
      <w:marLeft w:val="0"/>
      <w:marRight w:val="0"/>
      <w:marTop w:val="0"/>
      <w:marBottom w:val="0"/>
      <w:divBdr>
        <w:top w:val="none" w:sz="0" w:space="0" w:color="auto"/>
        <w:left w:val="none" w:sz="0" w:space="0" w:color="auto"/>
        <w:bottom w:val="none" w:sz="0" w:space="0" w:color="auto"/>
        <w:right w:val="none" w:sz="0" w:space="0" w:color="auto"/>
      </w:divBdr>
    </w:div>
    <w:div w:id="867068279">
      <w:bodyDiv w:val="1"/>
      <w:marLeft w:val="0"/>
      <w:marRight w:val="0"/>
      <w:marTop w:val="0"/>
      <w:marBottom w:val="0"/>
      <w:divBdr>
        <w:top w:val="none" w:sz="0" w:space="0" w:color="auto"/>
        <w:left w:val="none" w:sz="0" w:space="0" w:color="auto"/>
        <w:bottom w:val="none" w:sz="0" w:space="0" w:color="auto"/>
        <w:right w:val="none" w:sz="0" w:space="0" w:color="auto"/>
      </w:divBdr>
    </w:div>
    <w:div w:id="867523212">
      <w:bodyDiv w:val="1"/>
      <w:marLeft w:val="0"/>
      <w:marRight w:val="0"/>
      <w:marTop w:val="0"/>
      <w:marBottom w:val="0"/>
      <w:divBdr>
        <w:top w:val="none" w:sz="0" w:space="0" w:color="auto"/>
        <w:left w:val="none" w:sz="0" w:space="0" w:color="auto"/>
        <w:bottom w:val="none" w:sz="0" w:space="0" w:color="auto"/>
        <w:right w:val="none" w:sz="0" w:space="0" w:color="auto"/>
      </w:divBdr>
    </w:div>
    <w:div w:id="867718236">
      <w:bodyDiv w:val="1"/>
      <w:marLeft w:val="0"/>
      <w:marRight w:val="0"/>
      <w:marTop w:val="0"/>
      <w:marBottom w:val="0"/>
      <w:divBdr>
        <w:top w:val="none" w:sz="0" w:space="0" w:color="auto"/>
        <w:left w:val="none" w:sz="0" w:space="0" w:color="auto"/>
        <w:bottom w:val="none" w:sz="0" w:space="0" w:color="auto"/>
        <w:right w:val="none" w:sz="0" w:space="0" w:color="auto"/>
      </w:divBdr>
    </w:div>
    <w:div w:id="867718545">
      <w:bodyDiv w:val="1"/>
      <w:marLeft w:val="0"/>
      <w:marRight w:val="0"/>
      <w:marTop w:val="0"/>
      <w:marBottom w:val="0"/>
      <w:divBdr>
        <w:top w:val="none" w:sz="0" w:space="0" w:color="auto"/>
        <w:left w:val="none" w:sz="0" w:space="0" w:color="auto"/>
        <w:bottom w:val="none" w:sz="0" w:space="0" w:color="auto"/>
        <w:right w:val="none" w:sz="0" w:space="0" w:color="auto"/>
      </w:divBdr>
    </w:div>
    <w:div w:id="867765301">
      <w:bodyDiv w:val="1"/>
      <w:marLeft w:val="0"/>
      <w:marRight w:val="0"/>
      <w:marTop w:val="0"/>
      <w:marBottom w:val="0"/>
      <w:divBdr>
        <w:top w:val="none" w:sz="0" w:space="0" w:color="auto"/>
        <w:left w:val="none" w:sz="0" w:space="0" w:color="auto"/>
        <w:bottom w:val="none" w:sz="0" w:space="0" w:color="auto"/>
        <w:right w:val="none" w:sz="0" w:space="0" w:color="auto"/>
      </w:divBdr>
    </w:div>
    <w:div w:id="867836825">
      <w:bodyDiv w:val="1"/>
      <w:marLeft w:val="0"/>
      <w:marRight w:val="0"/>
      <w:marTop w:val="0"/>
      <w:marBottom w:val="0"/>
      <w:divBdr>
        <w:top w:val="none" w:sz="0" w:space="0" w:color="auto"/>
        <w:left w:val="none" w:sz="0" w:space="0" w:color="auto"/>
        <w:bottom w:val="none" w:sz="0" w:space="0" w:color="auto"/>
        <w:right w:val="none" w:sz="0" w:space="0" w:color="auto"/>
      </w:divBdr>
    </w:div>
    <w:div w:id="867910254">
      <w:bodyDiv w:val="1"/>
      <w:marLeft w:val="0"/>
      <w:marRight w:val="0"/>
      <w:marTop w:val="0"/>
      <w:marBottom w:val="0"/>
      <w:divBdr>
        <w:top w:val="none" w:sz="0" w:space="0" w:color="auto"/>
        <w:left w:val="none" w:sz="0" w:space="0" w:color="auto"/>
        <w:bottom w:val="none" w:sz="0" w:space="0" w:color="auto"/>
        <w:right w:val="none" w:sz="0" w:space="0" w:color="auto"/>
      </w:divBdr>
    </w:div>
    <w:div w:id="868106744">
      <w:bodyDiv w:val="1"/>
      <w:marLeft w:val="0"/>
      <w:marRight w:val="0"/>
      <w:marTop w:val="0"/>
      <w:marBottom w:val="0"/>
      <w:divBdr>
        <w:top w:val="none" w:sz="0" w:space="0" w:color="auto"/>
        <w:left w:val="none" w:sz="0" w:space="0" w:color="auto"/>
        <w:bottom w:val="none" w:sz="0" w:space="0" w:color="auto"/>
        <w:right w:val="none" w:sz="0" w:space="0" w:color="auto"/>
      </w:divBdr>
    </w:div>
    <w:div w:id="868178421">
      <w:bodyDiv w:val="1"/>
      <w:marLeft w:val="0"/>
      <w:marRight w:val="0"/>
      <w:marTop w:val="0"/>
      <w:marBottom w:val="0"/>
      <w:divBdr>
        <w:top w:val="none" w:sz="0" w:space="0" w:color="auto"/>
        <w:left w:val="none" w:sz="0" w:space="0" w:color="auto"/>
        <w:bottom w:val="none" w:sz="0" w:space="0" w:color="auto"/>
        <w:right w:val="none" w:sz="0" w:space="0" w:color="auto"/>
      </w:divBdr>
    </w:div>
    <w:div w:id="868300151">
      <w:bodyDiv w:val="1"/>
      <w:marLeft w:val="0"/>
      <w:marRight w:val="0"/>
      <w:marTop w:val="0"/>
      <w:marBottom w:val="0"/>
      <w:divBdr>
        <w:top w:val="none" w:sz="0" w:space="0" w:color="auto"/>
        <w:left w:val="none" w:sz="0" w:space="0" w:color="auto"/>
        <w:bottom w:val="none" w:sz="0" w:space="0" w:color="auto"/>
        <w:right w:val="none" w:sz="0" w:space="0" w:color="auto"/>
      </w:divBdr>
    </w:div>
    <w:div w:id="868301888">
      <w:bodyDiv w:val="1"/>
      <w:marLeft w:val="0"/>
      <w:marRight w:val="0"/>
      <w:marTop w:val="0"/>
      <w:marBottom w:val="0"/>
      <w:divBdr>
        <w:top w:val="none" w:sz="0" w:space="0" w:color="auto"/>
        <w:left w:val="none" w:sz="0" w:space="0" w:color="auto"/>
        <w:bottom w:val="none" w:sz="0" w:space="0" w:color="auto"/>
        <w:right w:val="none" w:sz="0" w:space="0" w:color="auto"/>
      </w:divBdr>
    </w:div>
    <w:div w:id="868419291">
      <w:bodyDiv w:val="1"/>
      <w:marLeft w:val="0"/>
      <w:marRight w:val="0"/>
      <w:marTop w:val="0"/>
      <w:marBottom w:val="0"/>
      <w:divBdr>
        <w:top w:val="none" w:sz="0" w:space="0" w:color="auto"/>
        <w:left w:val="none" w:sz="0" w:space="0" w:color="auto"/>
        <w:bottom w:val="none" w:sz="0" w:space="0" w:color="auto"/>
        <w:right w:val="none" w:sz="0" w:space="0" w:color="auto"/>
      </w:divBdr>
    </w:div>
    <w:div w:id="868447300">
      <w:bodyDiv w:val="1"/>
      <w:marLeft w:val="0"/>
      <w:marRight w:val="0"/>
      <w:marTop w:val="0"/>
      <w:marBottom w:val="0"/>
      <w:divBdr>
        <w:top w:val="none" w:sz="0" w:space="0" w:color="auto"/>
        <w:left w:val="none" w:sz="0" w:space="0" w:color="auto"/>
        <w:bottom w:val="none" w:sz="0" w:space="0" w:color="auto"/>
        <w:right w:val="none" w:sz="0" w:space="0" w:color="auto"/>
      </w:divBdr>
    </w:div>
    <w:div w:id="868450106">
      <w:bodyDiv w:val="1"/>
      <w:marLeft w:val="0"/>
      <w:marRight w:val="0"/>
      <w:marTop w:val="0"/>
      <w:marBottom w:val="0"/>
      <w:divBdr>
        <w:top w:val="none" w:sz="0" w:space="0" w:color="auto"/>
        <w:left w:val="none" w:sz="0" w:space="0" w:color="auto"/>
        <w:bottom w:val="none" w:sz="0" w:space="0" w:color="auto"/>
        <w:right w:val="none" w:sz="0" w:space="0" w:color="auto"/>
      </w:divBdr>
    </w:div>
    <w:div w:id="8685686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68689954">
      <w:bodyDiv w:val="1"/>
      <w:marLeft w:val="0"/>
      <w:marRight w:val="0"/>
      <w:marTop w:val="0"/>
      <w:marBottom w:val="0"/>
      <w:divBdr>
        <w:top w:val="none" w:sz="0" w:space="0" w:color="auto"/>
        <w:left w:val="none" w:sz="0" w:space="0" w:color="auto"/>
        <w:bottom w:val="none" w:sz="0" w:space="0" w:color="auto"/>
        <w:right w:val="none" w:sz="0" w:space="0" w:color="auto"/>
      </w:divBdr>
    </w:div>
    <w:div w:id="868877033">
      <w:bodyDiv w:val="1"/>
      <w:marLeft w:val="0"/>
      <w:marRight w:val="0"/>
      <w:marTop w:val="0"/>
      <w:marBottom w:val="0"/>
      <w:divBdr>
        <w:top w:val="none" w:sz="0" w:space="0" w:color="auto"/>
        <w:left w:val="none" w:sz="0" w:space="0" w:color="auto"/>
        <w:bottom w:val="none" w:sz="0" w:space="0" w:color="auto"/>
        <w:right w:val="none" w:sz="0" w:space="0" w:color="auto"/>
      </w:divBdr>
    </w:div>
    <w:div w:id="869034225">
      <w:bodyDiv w:val="1"/>
      <w:marLeft w:val="0"/>
      <w:marRight w:val="0"/>
      <w:marTop w:val="0"/>
      <w:marBottom w:val="0"/>
      <w:divBdr>
        <w:top w:val="none" w:sz="0" w:space="0" w:color="auto"/>
        <w:left w:val="none" w:sz="0" w:space="0" w:color="auto"/>
        <w:bottom w:val="none" w:sz="0" w:space="0" w:color="auto"/>
        <w:right w:val="none" w:sz="0" w:space="0" w:color="auto"/>
      </w:divBdr>
    </w:div>
    <w:div w:id="869149314">
      <w:bodyDiv w:val="1"/>
      <w:marLeft w:val="0"/>
      <w:marRight w:val="0"/>
      <w:marTop w:val="0"/>
      <w:marBottom w:val="0"/>
      <w:divBdr>
        <w:top w:val="none" w:sz="0" w:space="0" w:color="auto"/>
        <w:left w:val="none" w:sz="0" w:space="0" w:color="auto"/>
        <w:bottom w:val="none" w:sz="0" w:space="0" w:color="auto"/>
        <w:right w:val="none" w:sz="0" w:space="0" w:color="auto"/>
      </w:divBdr>
    </w:div>
    <w:div w:id="869412760">
      <w:bodyDiv w:val="1"/>
      <w:marLeft w:val="0"/>
      <w:marRight w:val="0"/>
      <w:marTop w:val="0"/>
      <w:marBottom w:val="0"/>
      <w:divBdr>
        <w:top w:val="none" w:sz="0" w:space="0" w:color="auto"/>
        <w:left w:val="none" w:sz="0" w:space="0" w:color="auto"/>
        <w:bottom w:val="none" w:sz="0" w:space="0" w:color="auto"/>
        <w:right w:val="none" w:sz="0" w:space="0" w:color="auto"/>
      </w:divBdr>
    </w:div>
    <w:div w:id="869494641">
      <w:bodyDiv w:val="1"/>
      <w:marLeft w:val="0"/>
      <w:marRight w:val="0"/>
      <w:marTop w:val="0"/>
      <w:marBottom w:val="0"/>
      <w:divBdr>
        <w:top w:val="none" w:sz="0" w:space="0" w:color="auto"/>
        <w:left w:val="none" w:sz="0" w:space="0" w:color="auto"/>
        <w:bottom w:val="none" w:sz="0" w:space="0" w:color="auto"/>
        <w:right w:val="none" w:sz="0" w:space="0" w:color="auto"/>
      </w:divBdr>
    </w:div>
    <w:div w:id="869609111">
      <w:bodyDiv w:val="1"/>
      <w:marLeft w:val="0"/>
      <w:marRight w:val="0"/>
      <w:marTop w:val="0"/>
      <w:marBottom w:val="0"/>
      <w:divBdr>
        <w:top w:val="none" w:sz="0" w:space="0" w:color="auto"/>
        <w:left w:val="none" w:sz="0" w:space="0" w:color="auto"/>
        <w:bottom w:val="none" w:sz="0" w:space="0" w:color="auto"/>
        <w:right w:val="none" w:sz="0" w:space="0" w:color="auto"/>
      </w:divBdr>
    </w:div>
    <w:div w:id="869760722">
      <w:bodyDiv w:val="1"/>
      <w:marLeft w:val="0"/>
      <w:marRight w:val="0"/>
      <w:marTop w:val="0"/>
      <w:marBottom w:val="0"/>
      <w:divBdr>
        <w:top w:val="none" w:sz="0" w:space="0" w:color="auto"/>
        <w:left w:val="none" w:sz="0" w:space="0" w:color="auto"/>
        <w:bottom w:val="none" w:sz="0" w:space="0" w:color="auto"/>
        <w:right w:val="none" w:sz="0" w:space="0" w:color="auto"/>
      </w:divBdr>
    </w:div>
    <w:div w:id="869951264">
      <w:bodyDiv w:val="1"/>
      <w:marLeft w:val="0"/>
      <w:marRight w:val="0"/>
      <w:marTop w:val="0"/>
      <w:marBottom w:val="0"/>
      <w:divBdr>
        <w:top w:val="none" w:sz="0" w:space="0" w:color="auto"/>
        <w:left w:val="none" w:sz="0" w:space="0" w:color="auto"/>
        <w:bottom w:val="none" w:sz="0" w:space="0" w:color="auto"/>
        <w:right w:val="none" w:sz="0" w:space="0" w:color="auto"/>
      </w:divBdr>
    </w:div>
    <w:div w:id="870066648">
      <w:bodyDiv w:val="1"/>
      <w:marLeft w:val="0"/>
      <w:marRight w:val="0"/>
      <w:marTop w:val="0"/>
      <w:marBottom w:val="0"/>
      <w:divBdr>
        <w:top w:val="none" w:sz="0" w:space="0" w:color="auto"/>
        <w:left w:val="none" w:sz="0" w:space="0" w:color="auto"/>
        <w:bottom w:val="none" w:sz="0" w:space="0" w:color="auto"/>
        <w:right w:val="none" w:sz="0" w:space="0" w:color="auto"/>
      </w:divBdr>
    </w:div>
    <w:div w:id="870074324">
      <w:bodyDiv w:val="1"/>
      <w:marLeft w:val="0"/>
      <w:marRight w:val="0"/>
      <w:marTop w:val="0"/>
      <w:marBottom w:val="0"/>
      <w:divBdr>
        <w:top w:val="none" w:sz="0" w:space="0" w:color="auto"/>
        <w:left w:val="none" w:sz="0" w:space="0" w:color="auto"/>
        <w:bottom w:val="none" w:sz="0" w:space="0" w:color="auto"/>
        <w:right w:val="none" w:sz="0" w:space="0" w:color="auto"/>
      </w:divBdr>
    </w:div>
    <w:div w:id="870189220">
      <w:bodyDiv w:val="1"/>
      <w:marLeft w:val="0"/>
      <w:marRight w:val="0"/>
      <w:marTop w:val="0"/>
      <w:marBottom w:val="0"/>
      <w:divBdr>
        <w:top w:val="none" w:sz="0" w:space="0" w:color="auto"/>
        <w:left w:val="none" w:sz="0" w:space="0" w:color="auto"/>
        <w:bottom w:val="none" w:sz="0" w:space="0" w:color="auto"/>
        <w:right w:val="none" w:sz="0" w:space="0" w:color="auto"/>
      </w:divBdr>
    </w:div>
    <w:div w:id="870219558">
      <w:bodyDiv w:val="1"/>
      <w:marLeft w:val="0"/>
      <w:marRight w:val="0"/>
      <w:marTop w:val="0"/>
      <w:marBottom w:val="0"/>
      <w:divBdr>
        <w:top w:val="none" w:sz="0" w:space="0" w:color="auto"/>
        <w:left w:val="none" w:sz="0" w:space="0" w:color="auto"/>
        <w:bottom w:val="none" w:sz="0" w:space="0" w:color="auto"/>
        <w:right w:val="none" w:sz="0" w:space="0" w:color="auto"/>
      </w:divBdr>
    </w:div>
    <w:div w:id="870605850">
      <w:bodyDiv w:val="1"/>
      <w:marLeft w:val="0"/>
      <w:marRight w:val="0"/>
      <w:marTop w:val="0"/>
      <w:marBottom w:val="0"/>
      <w:divBdr>
        <w:top w:val="none" w:sz="0" w:space="0" w:color="auto"/>
        <w:left w:val="none" w:sz="0" w:space="0" w:color="auto"/>
        <w:bottom w:val="none" w:sz="0" w:space="0" w:color="auto"/>
        <w:right w:val="none" w:sz="0" w:space="0" w:color="auto"/>
      </w:divBdr>
    </w:div>
    <w:div w:id="871646794">
      <w:bodyDiv w:val="1"/>
      <w:marLeft w:val="0"/>
      <w:marRight w:val="0"/>
      <w:marTop w:val="0"/>
      <w:marBottom w:val="0"/>
      <w:divBdr>
        <w:top w:val="none" w:sz="0" w:space="0" w:color="auto"/>
        <w:left w:val="none" w:sz="0" w:space="0" w:color="auto"/>
        <w:bottom w:val="none" w:sz="0" w:space="0" w:color="auto"/>
        <w:right w:val="none" w:sz="0" w:space="0" w:color="auto"/>
      </w:divBdr>
    </w:div>
    <w:div w:id="871646833">
      <w:bodyDiv w:val="1"/>
      <w:marLeft w:val="0"/>
      <w:marRight w:val="0"/>
      <w:marTop w:val="0"/>
      <w:marBottom w:val="0"/>
      <w:divBdr>
        <w:top w:val="none" w:sz="0" w:space="0" w:color="auto"/>
        <w:left w:val="none" w:sz="0" w:space="0" w:color="auto"/>
        <w:bottom w:val="none" w:sz="0" w:space="0" w:color="auto"/>
        <w:right w:val="none" w:sz="0" w:space="0" w:color="auto"/>
      </w:divBdr>
    </w:div>
    <w:div w:id="871695944">
      <w:bodyDiv w:val="1"/>
      <w:marLeft w:val="0"/>
      <w:marRight w:val="0"/>
      <w:marTop w:val="0"/>
      <w:marBottom w:val="0"/>
      <w:divBdr>
        <w:top w:val="none" w:sz="0" w:space="0" w:color="auto"/>
        <w:left w:val="none" w:sz="0" w:space="0" w:color="auto"/>
        <w:bottom w:val="none" w:sz="0" w:space="0" w:color="auto"/>
        <w:right w:val="none" w:sz="0" w:space="0" w:color="auto"/>
      </w:divBdr>
    </w:div>
    <w:div w:id="871773308">
      <w:bodyDiv w:val="1"/>
      <w:marLeft w:val="0"/>
      <w:marRight w:val="0"/>
      <w:marTop w:val="0"/>
      <w:marBottom w:val="0"/>
      <w:divBdr>
        <w:top w:val="none" w:sz="0" w:space="0" w:color="auto"/>
        <w:left w:val="none" w:sz="0" w:space="0" w:color="auto"/>
        <w:bottom w:val="none" w:sz="0" w:space="0" w:color="auto"/>
        <w:right w:val="none" w:sz="0" w:space="0" w:color="auto"/>
      </w:divBdr>
    </w:div>
    <w:div w:id="871842388">
      <w:bodyDiv w:val="1"/>
      <w:marLeft w:val="0"/>
      <w:marRight w:val="0"/>
      <w:marTop w:val="0"/>
      <w:marBottom w:val="0"/>
      <w:divBdr>
        <w:top w:val="none" w:sz="0" w:space="0" w:color="auto"/>
        <w:left w:val="none" w:sz="0" w:space="0" w:color="auto"/>
        <w:bottom w:val="none" w:sz="0" w:space="0" w:color="auto"/>
        <w:right w:val="none" w:sz="0" w:space="0" w:color="auto"/>
      </w:divBdr>
    </w:div>
    <w:div w:id="871919292">
      <w:bodyDiv w:val="1"/>
      <w:marLeft w:val="0"/>
      <w:marRight w:val="0"/>
      <w:marTop w:val="0"/>
      <w:marBottom w:val="0"/>
      <w:divBdr>
        <w:top w:val="none" w:sz="0" w:space="0" w:color="auto"/>
        <w:left w:val="none" w:sz="0" w:space="0" w:color="auto"/>
        <w:bottom w:val="none" w:sz="0" w:space="0" w:color="auto"/>
        <w:right w:val="none" w:sz="0" w:space="0" w:color="auto"/>
      </w:divBdr>
    </w:div>
    <w:div w:id="871961328">
      <w:bodyDiv w:val="1"/>
      <w:marLeft w:val="0"/>
      <w:marRight w:val="0"/>
      <w:marTop w:val="0"/>
      <w:marBottom w:val="0"/>
      <w:divBdr>
        <w:top w:val="none" w:sz="0" w:space="0" w:color="auto"/>
        <w:left w:val="none" w:sz="0" w:space="0" w:color="auto"/>
        <w:bottom w:val="none" w:sz="0" w:space="0" w:color="auto"/>
        <w:right w:val="none" w:sz="0" w:space="0" w:color="auto"/>
      </w:divBdr>
    </w:div>
    <w:div w:id="872233793">
      <w:bodyDiv w:val="1"/>
      <w:marLeft w:val="0"/>
      <w:marRight w:val="0"/>
      <w:marTop w:val="0"/>
      <w:marBottom w:val="0"/>
      <w:divBdr>
        <w:top w:val="none" w:sz="0" w:space="0" w:color="auto"/>
        <w:left w:val="none" w:sz="0" w:space="0" w:color="auto"/>
        <w:bottom w:val="none" w:sz="0" w:space="0" w:color="auto"/>
        <w:right w:val="none" w:sz="0" w:space="0" w:color="auto"/>
      </w:divBdr>
    </w:div>
    <w:div w:id="872573223">
      <w:bodyDiv w:val="1"/>
      <w:marLeft w:val="0"/>
      <w:marRight w:val="0"/>
      <w:marTop w:val="0"/>
      <w:marBottom w:val="0"/>
      <w:divBdr>
        <w:top w:val="none" w:sz="0" w:space="0" w:color="auto"/>
        <w:left w:val="none" w:sz="0" w:space="0" w:color="auto"/>
        <w:bottom w:val="none" w:sz="0" w:space="0" w:color="auto"/>
        <w:right w:val="none" w:sz="0" w:space="0" w:color="auto"/>
      </w:divBdr>
    </w:div>
    <w:div w:id="872615478">
      <w:bodyDiv w:val="1"/>
      <w:marLeft w:val="0"/>
      <w:marRight w:val="0"/>
      <w:marTop w:val="0"/>
      <w:marBottom w:val="0"/>
      <w:divBdr>
        <w:top w:val="none" w:sz="0" w:space="0" w:color="auto"/>
        <w:left w:val="none" w:sz="0" w:space="0" w:color="auto"/>
        <w:bottom w:val="none" w:sz="0" w:space="0" w:color="auto"/>
        <w:right w:val="none" w:sz="0" w:space="0" w:color="auto"/>
      </w:divBdr>
    </w:div>
    <w:div w:id="872688677">
      <w:bodyDiv w:val="1"/>
      <w:marLeft w:val="0"/>
      <w:marRight w:val="0"/>
      <w:marTop w:val="0"/>
      <w:marBottom w:val="0"/>
      <w:divBdr>
        <w:top w:val="none" w:sz="0" w:space="0" w:color="auto"/>
        <w:left w:val="none" w:sz="0" w:space="0" w:color="auto"/>
        <w:bottom w:val="none" w:sz="0" w:space="0" w:color="auto"/>
        <w:right w:val="none" w:sz="0" w:space="0" w:color="auto"/>
      </w:divBdr>
    </w:div>
    <w:div w:id="872889225">
      <w:bodyDiv w:val="1"/>
      <w:marLeft w:val="0"/>
      <w:marRight w:val="0"/>
      <w:marTop w:val="0"/>
      <w:marBottom w:val="0"/>
      <w:divBdr>
        <w:top w:val="none" w:sz="0" w:space="0" w:color="auto"/>
        <w:left w:val="none" w:sz="0" w:space="0" w:color="auto"/>
        <w:bottom w:val="none" w:sz="0" w:space="0" w:color="auto"/>
        <w:right w:val="none" w:sz="0" w:space="0" w:color="auto"/>
      </w:divBdr>
    </w:div>
    <w:div w:id="872961329">
      <w:bodyDiv w:val="1"/>
      <w:marLeft w:val="0"/>
      <w:marRight w:val="0"/>
      <w:marTop w:val="0"/>
      <w:marBottom w:val="0"/>
      <w:divBdr>
        <w:top w:val="none" w:sz="0" w:space="0" w:color="auto"/>
        <w:left w:val="none" w:sz="0" w:space="0" w:color="auto"/>
        <w:bottom w:val="none" w:sz="0" w:space="0" w:color="auto"/>
        <w:right w:val="none" w:sz="0" w:space="0" w:color="auto"/>
      </w:divBdr>
    </w:div>
    <w:div w:id="873470262">
      <w:bodyDiv w:val="1"/>
      <w:marLeft w:val="0"/>
      <w:marRight w:val="0"/>
      <w:marTop w:val="0"/>
      <w:marBottom w:val="0"/>
      <w:divBdr>
        <w:top w:val="none" w:sz="0" w:space="0" w:color="auto"/>
        <w:left w:val="none" w:sz="0" w:space="0" w:color="auto"/>
        <w:bottom w:val="none" w:sz="0" w:space="0" w:color="auto"/>
        <w:right w:val="none" w:sz="0" w:space="0" w:color="auto"/>
      </w:divBdr>
    </w:div>
    <w:div w:id="873735426">
      <w:bodyDiv w:val="1"/>
      <w:marLeft w:val="0"/>
      <w:marRight w:val="0"/>
      <w:marTop w:val="0"/>
      <w:marBottom w:val="0"/>
      <w:divBdr>
        <w:top w:val="none" w:sz="0" w:space="0" w:color="auto"/>
        <w:left w:val="none" w:sz="0" w:space="0" w:color="auto"/>
        <w:bottom w:val="none" w:sz="0" w:space="0" w:color="auto"/>
        <w:right w:val="none" w:sz="0" w:space="0" w:color="auto"/>
      </w:divBdr>
    </w:div>
    <w:div w:id="873930599">
      <w:bodyDiv w:val="1"/>
      <w:marLeft w:val="0"/>
      <w:marRight w:val="0"/>
      <w:marTop w:val="0"/>
      <w:marBottom w:val="0"/>
      <w:divBdr>
        <w:top w:val="none" w:sz="0" w:space="0" w:color="auto"/>
        <w:left w:val="none" w:sz="0" w:space="0" w:color="auto"/>
        <w:bottom w:val="none" w:sz="0" w:space="0" w:color="auto"/>
        <w:right w:val="none" w:sz="0" w:space="0" w:color="auto"/>
      </w:divBdr>
    </w:div>
    <w:div w:id="874073634">
      <w:bodyDiv w:val="1"/>
      <w:marLeft w:val="0"/>
      <w:marRight w:val="0"/>
      <w:marTop w:val="0"/>
      <w:marBottom w:val="0"/>
      <w:divBdr>
        <w:top w:val="none" w:sz="0" w:space="0" w:color="auto"/>
        <w:left w:val="none" w:sz="0" w:space="0" w:color="auto"/>
        <w:bottom w:val="none" w:sz="0" w:space="0" w:color="auto"/>
        <w:right w:val="none" w:sz="0" w:space="0" w:color="auto"/>
      </w:divBdr>
    </w:div>
    <w:div w:id="874151053">
      <w:bodyDiv w:val="1"/>
      <w:marLeft w:val="0"/>
      <w:marRight w:val="0"/>
      <w:marTop w:val="0"/>
      <w:marBottom w:val="0"/>
      <w:divBdr>
        <w:top w:val="none" w:sz="0" w:space="0" w:color="auto"/>
        <w:left w:val="none" w:sz="0" w:space="0" w:color="auto"/>
        <w:bottom w:val="none" w:sz="0" w:space="0" w:color="auto"/>
        <w:right w:val="none" w:sz="0" w:space="0" w:color="auto"/>
      </w:divBdr>
    </w:div>
    <w:div w:id="874191563">
      <w:bodyDiv w:val="1"/>
      <w:marLeft w:val="0"/>
      <w:marRight w:val="0"/>
      <w:marTop w:val="0"/>
      <w:marBottom w:val="0"/>
      <w:divBdr>
        <w:top w:val="none" w:sz="0" w:space="0" w:color="auto"/>
        <w:left w:val="none" w:sz="0" w:space="0" w:color="auto"/>
        <w:bottom w:val="none" w:sz="0" w:space="0" w:color="auto"/>
        <w:right w:val="none" w:sz="0" w:space="0" w:color="auto"/>
      </w:divBdr>
    </w:div>
    <w:div w:id="874193672">
      <w:bodyDiv w:val="1"/>
      <w:marLeft w:val="0"/>
      <w:marRight w:val="0"/>
      <w:marTop w:val="0"/>
      <w:marBottom w:val="0"/>
      <w:divBdr>
        <w:top w:val="none" w:sz="0" w:space="0" w:color="auto"/>
        <w:left w:val="none" w:sz="0" w:space="0" w:color="auto"/>
        <w:bottom w:val="none" w:sz="0" w:space="0" w:color="auto"/>
        <w:right w:val="none" w:sz="0" w:space="0" w:color="auto"/>
      </w:divBdr>
    </w:div>
    <w:div w:id="874778357">
      <w:bodyDiv w:val="1"/>
      <w:marLeft w:val="0"/>
      <w:marRight w:val="0"/>
      <w:marTop w:val="0"/>
      <w:marBottom w:val="0"/>
      <w:divBdr>
        <w:top w:val="none" w:sz="0" w:space="0" w:color="auto"/>
        <w:left w:val="none" w:sz="0" w:space="0" w:color="auto"/>
        <w:bottom w:val="none" w:sz="0" w:space="0" w:color="auto"/>
        <w:right w:val="none" w:sz="0" w:space="0" w:color="auto"/>
      </w:divBdr>
    </w:div>
    <w:div w:id="874850259">
      <w:bodyDiv w:val="1"/>
      <w:marLeft w:val="0"/>
      <w:marRight w:val="0"/>
      <w:marTop w:val="0"/>
      <w:marBottom w:val="0"/>
      <w:divBdr>
        <w:top w:val="none" w:sz="0" w:space="0" w:color="auto"/>
        <w:left w:val="none" w:sz="0" w:space="0" w:color="auto"/>
        <w:bottom w:val="none" w:sz="0" w:space="0" w:color="auto"/>
        <w:right w:val="none" w:sz="0" w:space="0" w:color="auto"/>
      </w:divBdr>
    </w:div>
    <w:div w:id="874927380">
      <w:bodyDiv w:val="1"/>
      <w:marLeft w:val="0"/>
      <w:marRight w:val="0"/>
      <w:marTop w:val="0"/>
      <w:marBottom w:val="0"/>
      <w:divBdr>
        <w:top w:val="none" w:sz="0" w:space="0" w:color="auto"/>
        <w:left w:val="none" w:sz="0" w:space="0" w:color="auto"/>
        <w:bottom w:val="none" w:sz="0" w:space="0" w:color="auto"/>
        <w:right w:val="none" w:sz="0" w:space="0" w:color="auto"/>
      </w:divBdr>
    </w:div>
    <w:div w:id="874999136">
      <w:bodyDiv w:val="1"/>
      <w:marLeft w:val="0"/>
      <w:marRight w:val="0"/>
      <w:marTop w:val="0"/>
      <w:marBottom w:val="0"/>
      <w:divBdr>
        <w:top w:val="none" w:sz="0" w:space="0" w:color="auto"/>
        <w:left w:val="none" w:sz="0" w:space="0" w:color="auto"/>
        <w:bottom w:val="none" w:sz="0" w:space="0" w:color="auto"/>
        <w:right w:val="none" w:sz="0" w:space="0" w:color="auto"/>
      </w:divBdr>
    </w:div>
    <w:div w:id="875121086">
      <w:bodyDiv w:val="1"/>
      <w:marLeft w:val="0"/>
      <w:marRight w:val="0"/>
      <w:marTop w:val="0"/>
      <w:marBottom w:val="0"/>
      <w:divBdr>
        <w:top w:val="none" w:sz="0" w:space="0" w:color="auto"/>
        <w:left w:val="none" w:sz="0" w:space="0" w:color="auto"/>
        <w:bottom w:val="none" w:sz="0" w:space="0" w:color="auto"/>
        <w:right w:val="none" w:sz="0" w:space="0" w:color="auto"/>
      </w:divBdr>
    </w:div>
    <w:div w:id="875503902">
      <w:bodyDiv w:val="1"/>
      <w:marLeft w:val="0"/>
      <w:marRight w:val="0"/>
      <w:marTop w:val="0"/>
      <w:marBottom w:val="0"/>
      <w:divBdr>
        <w:top w:val="none" w:sz="0" w:space="0" w:color="auto"/>
        <w:left w:val="none" w:sz="0" w:space="0" w:color="auto"/>
        <w:bottom w:val="none" w:sz="0" w:space="0" w:color="auto"/>
        <w:right w:val="none" w:sz="0" w:space="0" w:color="auto"/>
      </w:divBdr>
    </w:div>
    <w:div w:id="875656381">
      <w:bodyDiv w:val="1"/>
      <w:marLeft w:val="0"/>
      <w:marRight w:val="0"/>
      <w:marTop w:val="0"/>
      <w:marBottom w:val="0"/>
      <w:divBdr>
        <w:top w:val="none" w:sz="0" w:space="0" w:color="auto"/>
        <w:left w:val="none" w:sz="0" w:space="0" w:color="auto"/>
        <w:bottom w:val="none" w:sz="0" w:space="0" w:color="auto"/>
        <w:right w:val="none" w:sz="0" w:space="0" w:color="auto"/>
      </w:divBdr>
    </w:div>
    <w:div w:id="875658025">
      <w:bodyDiv w:val="1"/>
      <w:marLeft w:val="0"/>
      <w:marRight w:val="0"/>
      <w:marTop w:val="0"/>
      <w:marBottom w:val="0"/>
      <w:divBdr>
        <w:top w:val="none" w:sz="0" w:space="0" w:color="auto"/>
        <w:left w:val="none" w:sz="0" w:space="0" w:color="auto"/>
        <w:bottom w:val="none" w:sz="0" w:space="0" w:color="auto"/>
        <w:right w:val="none" w:sz="0" w:space="0" w:color="auto"/>
      </w:divBdr>
    </w:div>
    <w:div w:id="875699582">
      <w:bodyDiv w:val="1"/>
      <w:marLeft w:val="0"/>
      <w:marRight w:val="0"/>
      <w:marTop w:val="0"/>
      <w:marBottom w:val="0"/>
      <w:divBdr>
        <w:top w:val="none" w:sz="0" w:space="0" w:color="auto"/>
        <w:left w:val="none" w:sz="0" w:space="0" w:color="auto"/>
        <w:bottom w:val="none" w:sz="0" w:space="0" w:color="auto"/>
        <w:right w:val="none" w:sz="0" w:space="0" w:color="auto"/>
      </w:divBdr>
    </w:div>
    <w:div w:id="875774051">
      <w:bodyDiv w:val="1"/>
      <w:marLeft w:val="0"/>
      <w:marRight w:val="0"/>
      <w:marTop w:val="0"/>
      <w:marBottom w:val="0"/>
      <w:divBdr>
        <w:top w:val="none" w:sz="0" w:space="0" w:color="auto"/>
        <w:left w:val="none" w:sz="0" w:space="0" w:color="auto"/>
        <w:bottom w:val="none" w:sz="0" w:space="0" w:color="auto"/>
        <w:right w:val="none" w:sz="0" w:space="0" w:color="auto"/>
      </w:divBdr>
    </w:div>
    <w:div w:id="875966206">
      <w:bodyDiv w:val="1"/>
      <w:marLeft w:val="0"/>
      <w:marRight w:val="0"/>
      <w:marTop w:val="0"/>
      <w:marBottom w:val="0"/>
      <w:divBdr>
        <w:top w:val="none" w:sz="0" w:space="0" w:color="auto"/>
        <w:left w:val="none" w:sz="0" w:space="0" w:color="auto"/>
        <w:bottom w:val="none" w:sz="0" w:space="0" w:color="auto"/>
        <w:right w:val="none" w:sz="0" w:space="0" w:color="auto"/>
      </w:divBdr>
    </w:div>
    <w:div w:id="875969379">
      <w:bodyDiv w:val="1"/>
      <w:marLeft w:val="0"/>
      <w:marRight w:val="0"/>
      <w:marTop w:val="0"/>
      <w:marBottom w:val="0"/>
      <w:divBdr>
        <w:top w:val="none" w:sz="0" w:space="0" w:color="auto"/>
        <w:left w:val="none" w:sz="0" w:space="0" w:color="auto"/>
        <w:bottom w:val="none" w:sz="0" w:space="0" w:color="auto"/>
        <w:right w:val="none" w:sz="0" w:space="0" w:color="auto"/>
      </w:divBdr>
    </w:div>
    <w:div w:id="876161663">
      <w:bodyDiv w:val="1"/>
      <w:marLeft w:val="0"/>
      <w:marRight w:val="0"/>
      <w:marTop w:val="0"/>
      <w:marBottom w:val="0"/>
      <w:divBdr>
        <w:top w:val="none" w:sz="0" w:space="0" w:color="auto"/>
        <w:left w:val="none" w:sz="0" w:space="0" w:color="auto"/>
        <w:bottom w:val="none" w:sz="0" w:space="0" w:color="auto"/>
        <w:right w:val="none" w:sz="0" w:space="0" w:color="auto"/>
      </w:divBdr>
    </w:div>
    <w:div w:id="876284868">
      <w:bodyDiv w:val="1"/>
      <w:marLeft w:val="0"/>
      <w:marRight w:val="0"/>
      <w:marTop w:val="0"/>
      <w:marBottom w:val="0"/>
      <w:divBdr>
        <w:top w:val="none" w:sz="0" w:space="0" w:color="auto"/>
        <w:left w:val="none" w:sz="0" w:space="0" w:color="auto"/>
        <w:bottom w:val="none" w:sz="0" w:space="0" w:color="auto"/>
        <w:right w:val="none" w:sz="0" w:space="0" w:color="auto"/>
      </w:divBdr>
    </w:div>
    <w:div w:id="876351518">
      <w:bodyDiv w:val="1"/>
      <w:marLeft w:val="0"/>
      <w:marRight w:val="0"/>
      <w:marTop w:val="0"/>
      <w:marBottom w:val="0"/>
      <w:divBdr>
        <w:top w:val="none" w:sz="0" w:space="0" w:color="auto"/>
        <w:left w:val="none" w:sz="0" w:space="0" w:color="auto"/>
        <w:bottom w:val="none" w:sz="0" w:space="0" w:color="auto"/>
        <w:right w:val="none" w:sz="0" w:space="0" w:color="auto"/>
      </w:divBdr>
    </w:div>
    <w:div w:id="876435387">
      <w:bodyDiv w:val="1"/>
      <w:marLeft w:val="0"/>
      <w:marRight w:val="0"/>
      <w:marTop w:val="0"/>
      <w:marBottom w:val="0"/>
      <w:divBdr>
        <w:top w:val="none" w:sz="0" w:space="0" w:color="auto"/>
        <w:left w:val="none" w:sz="0" w:space="0" w:color="auto"/>
        <w:bottom w:val="none" w:sz="0" w:space="0" w:color="auto"/>
        <w:right w:val="none" w:sz="0" w:space="0" w:color="auto"/>
      </w:divBdr>
    </w:div>
    <w:div w:id="876703430">
      <w:bodyDiv w:val="1"/>
      <w:marLeft w:val="0"/>
      <w:marRight w:val="0"/>
      <w:marTop w:val="0"/>
      <w:marBottom w:val="0"/>
      <w:divBdr>
        <w:top w:val="none" w:sz="0" w:space="0" w:color="auto"/>
        <w:left w:val="none" w:sz="0" w:space="0" w:color="auto"/>
        <w:bottom w:val="none" w:sz="0" w:space="0" w:color="auto"/>
        <w:right w:val="none" w:sz="0" w:space="0" w:color="auto"/>
      </w:divBdr>
    </w:div>
    <w:div w:id="876742118">
      <w:bodyDiv w:val="1"/>
      <w:marLeft w:val="0"/>
      <w:marRight w:val="0"/>
      <w:marTop w:val="0"/>
      <w:marBottom w:val="0"/>
      <w:divBdr>
        <w:top w:val="none" w:sz="0" w:space="0" w:color="auto"/>
        <w:left w:val="none" w:sz="0" w:space="0" w:color="auto"/>
        <w:bottom w:val="none" w:sz="0" w:space="0" w:color="auto"/>
        <w:right w:val="none" w:sz="0" w:space="0" w:color="auto"/>
      </w:divBdr>
    </w:div>
    <w:div w:id="876743561">
      <w:bodyDiv w:val="1"/>
      <w:marLeft w:val="0"/>
      <w:marRight w:val="0"/>
      <w:marTop w:val="0"/>
      <w:marBottom w:val="0"/>
      <w:divBdr>
        <w:top w:val="none" w:sz="0" w:space="0" w:color="auto"/>
        <w:left w:val="none" w:sz="0" w:space="0" w:color="auto"/>
        <w:bottom w:val="none" w:sz="0" w:space="0" w:color="auto"/>
        <w:right w:val="none" w:sz="0" w:space="0" w:color="auto"/>
      </w:divBdr>
    </w:div>
    <w:div w:id="876813253">
      <w:bodyDiv w:val="1"/>
      <w:marLeft w:val="0"/>
      <w:marRight w:val="0"/>
      <w:marTop w:val="0"/>
      <w:marBottom w:val="0"/>
      <w:divBdr>
        <w:top w:val="none" w:sz="0" w:space="0" w:color="auto"/>
        <w:left w:val="none" w:sz="0" w:space="0" w:color="auto"/>
        <w:bottom w:val="none" w:sz="0" w:space="0" w:color="auto"/>
        <w:right w:val="none" w:sz="0" w:space="0" w:color="auto"/>
      </w:divBdr>
    </w:div>
    <w:div w:id="876821230">
      <w:bodyDiv w:val="1"/>
      <w:marLeft w:val="0"/>
      <w:marRight w:val="0"/>
      <w:marTop w:val="0"/>
      <w:marBottom w:val="0"/>
      <w:divBdr>
        <w:top w:val="none" w:sz="0" w:space="0" w:color="auto"/>
        <w:left w:val="none" w:sz="0" w:space="0" w:color="auto"/>
        <w:bottom w:val="none" w:sz="0" w:space="0" w:color="auto"/>
        <w:right w:val="none" w:sz="0" w:space="0" w:color="auto"/>
      </w:divBdr>
    </w:div>
    <w:div w:id="876896703">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877276521">
      <w:bodyDiv w:val="1"/>
      <w:marLeft w:val="0"/>
      <w:marRight w:val="0"/>
      <w:marTop w:val="0"/>
      <w:marBottom w:val="0"/>
      <w:divBdr>
        <w:top w:val="none" w:sz="0" w:space="0" w:color="auto"/>
        <w:left w:val="none" w:sz="0" w:space="0" w:color="auto"/>
        <w:bottom w:val="none" w:sz="0" w:space="0" w:color="auto"/>
        <w:right w:val="none" w:sz="0" w:space="0" w:color="auto"/>
      </w:divBdr>
    </w:div>
    <w:div w:id="877396654">
      <w:bodyDiv w:val="1"/>
      <w:marLeft w:val="0"/>
      <w:marRight w:val="0"/>
      <w:marTop w:val="0"/>
      <w:marBottom w:val="0"/>
      <w:divBdr>
        <w:top w:val="none" w:sz="0" w:space="0" w:color="auto"/>
        <w:left w:val="none" w:sz="0" w:space="0" w:color="auto"/>
        <w:bottom w:val="none" w:sz="0" w:space="0" w:color="auto"/>
        <w:right w:val="none" w:sz="0" w:space="0" w:color="auto"/>
      </w:divBdr>
    </w:div>
    <w:div w:id="877468957">
      <w:bodyDiv w:val="1"/>
      <w:marLeft w:val="0"/>
      <w:marRight w:val="0"/>
      <w:marTop w:val="0"/>
      <w:marBottom w:val="0"/>
      <w:divBdr>
        <w:top w:val="none" w:sz="0" w:space="0" w:color="auto"/>
        <w:left w:val="none" w:sz="0" w:space="0" w:color="auto"/>
        <w:bottom w:val="none" w:sz="0" w:space="0" w:color="auto"/>
        <w:right w:val="none" w:sz="0" w:space="0" w:color="auto"/>
      </w:divBdr>
    </w:div>
    <w:div w:id="877470041">
      <w:bodyDiv w:val="1"/>
      <w:marLeft w:val="0"/>
      <w:marRight w:val="0"/>
      <w:marTop w:val="0"/>
      <w:marBottom w:val="0"/>
      <w:divBdr>
        <w:top w:val="none" w:sz="0" w:space="0" w:color="auto"/>
        <w:left w:val="none" w:sz="0" w:space="0" w:color="auto"/>
        <w:bottom w:val="none" w:sz="0" w:space="0" w:color="auto"/>
        <w:right w:val="none" w:sz="0" w:space="0" w:color="auto"/>
      </w:divBdr>
    </w:div>
    <w:div w:id="877858675">
      <w:bodyDiv w:val="1"/>
      <w:marLeft w:val="0"/>
      <w:marRight w:val="0"/>
      <w:marTop w:val="0"/>
      <w:marBottom w:val="0"/>
      <w:divBdr>
        <w:top w:val="none" w:sz="0" w:space="0" w:color="auto"/>
        <w:left w:val="none" w:sz="0" w:space="0" w:color="auto"/>
        <w:bottom w:val="none" w:sz="0" w:space="0" w:color="auto"/>
        <w:right w:val="none" w:sz="0" w:space="0" w:color="auto"/>
      </w:divBdr>
    </w:div>
    <w:div w:id="878005657">
      <w:bodyDiv w:val="1"/>
      <w:marLeft w:val="0"/>
      <w:marRight w:val="0"/>
      <w:marTop w:val="0"/>
      <w:marBottom w:val="0"/>
      <w:divBdr>
        <w:top w:val="none" w:sz="0" w:space="0" w:color="auto"/>
        <w:left w:val="none" w:sz="0" w:space="0" w:color="auto"/>
        <w:bottom w:val="none" w:sz="0" w:space="0" w:color="auto"/>
        <w:right w:val="none" w:sz="0" w:space="0" w:color="auto"/>
      </w:divBdr>
    </w:div>
    <w:div w:id="878007837">
      <w:bodyDiv w:val="1"/>
      <w:marLeft w:val="0"/>
      <w:marRight w:val="0"/>
      <w:marTop w:val="0"/>
      <w:marBottom w:val="0"/>
      <w:divBdr>
        <w:top w:val="none" w:sz="0" w:space="0" w:color="auto"/>
        <w:left w:val="none" w:sz="0" w:space="0" w:color="auto"/>
        <w:bottom w:val="none" w:sz="0" w:space="0" w:color="auto"/>
        <w:right w:val="none" w:sz="0" w:space="0" w:color="auto"/>
      </w:divBdr>
    </w:div>
    <w:div w:id="878009641">
      <w:bodyDiv w:val="1"/>
      <w:marLeft w:val="0"/>
      <w:marRight w:val="0"/>
      <w:marTop w:val="0"/>
      <w:marBottom w:val="0"/>
      <w:divBdr>
        <w:top w:val="none" w:sz="0" w:space="0" w:color="auto"/>
        <w:left w:val="none" w:sz="0" w:space="0" w:color="auto"/>
        <w:bottom w:val="none" w:sz="0" w:space="0" w:color="auto"/>
        <w:right w:val="none" w:sz="0" w:space="0" w:color="auto"/>
      </w:divBdr>
    </w:div>
    <w:div w:id="878011647">
      <w:bodyDiv w:val="1"/>
      <w:marLeft w:val="0"/>
      <w:marRight w:val="0"/>
      <w:marTop w:val="0"/>
      <w:marBottom w:val="0"/>
      <w:divBdr>
        <w:top w:val="none" w:sz="0" w:space="0" w:color="auto"/>
        <w:left w:val="none" w:sz="0" w:space="0" w:color="auto"/>
        <w:bottom w:val="none" w:sz="0" w:space="0" w:color="auto"/>
        <w:right w:val="none" w:sz="0" w:space="0" w:color="auto"/>
      </w:divBdr>
    </w:div>
    <w:div w:id="878280178">
      <w:bodyDiv w:val="1"/>
      <w:marLeft w:val="0"/>
      <w:marRight w:val="0"/>
      <w:marTop w:val="0"/>
      <w:marBottom w:val="0"/>
      <w:divBdr>
        <w:top w:val="none" w:sz="0" w:space="0" w:color="auto"/>
        <w:left w:val="none" w:sz="0" w:space="0" w:color="auto"/>
        <w:bottom w:val="none" w:sz="0" w:space="0" w:color="auto"/>
        <w:right w:val="none" w:sz="0" w:space="0" w:color="auto"/>
      </w:divBdr>
    </w:div>
    <w:div w:id="878394374">
      <w:bodyDiv w:val="1"/>
      <w:marLeft w:val="0"/>
      <w:marRight w:val="0"/>
      <w:marTop w:val="0"/>
      <w:marBottom w:val="0"/>
      <w:divBdr>
        <w:top w:val="none" w:sz="0" w:space="0" w:color="auto"/>
        <w:left w:val="none" w:sz="0" w:space="0" w:color="auto"/>
        <w:bottom w:val="none" w:sz="0" w:space="0" w:color="auto"/>
        <w:right w:val="none" w:sz="0" w:space="0" w:color="auto"/>
      </w:divBdr>
    </w:div>
    <w:div w:id="878467342">
      <w:bodyDiv w:val="1"/>
      <w:marLeft w:val="0"/>
      <w:marRight w:val="0"/>
      <w:marTop w:val="0"/>
      <w:marBottom w:val="0"/>
      <w:divBdr>
        <w:top w:val="none" w:sz="0" w:space="0" w:color="auto"/>
        <w:left w:val="none" w:sz="0" w:space="0" w:color="auto"/>
        <w:bottom w:val="none" w:sz="0" w:space="0" w:color="auto"/>
        <w:right w:val="none" w:sz="0" w:space="0" w:color="auto"/>
      </w:divBdr>
    </w:div>
    <w:div w:id="878594446">
      <w:bodyDiv w:val="1"/>
      <w:marLeft w:val="0"/>
      <w:marRight w:val="0"/>
      <w:marTop w:val="0"/>
      <w:marBottom w:val="0"/>
      <w:divBdr>
        <w:top w:val="none" w:sz="0" w:space="0" w:color="auto"/>
        <w:left w:val="none" w:sz="0" w:space="0" w:color="auto"/>
        <w:bottom w:val="none" w:sz="0" w:space="0" w:color="auto"/>
        <w:right w:val="none" w:sz="0" w:space="0" w:color="auto"/>
      </w:divBdr>
    </w:div>
    <w:div w:id="878712704">
      <w:bodyDiv w:val="1"/>
      <w:marLeft w:val="0"/>
      <w:marRight w:val="0"/>
      <w:marTop w:val="0"/>
      <w:marBottom w:val="0"/>
      <w:divBdr>
        <w:top w:val="none" w:sz="0" w:space="0" w:color="auto"/>
        <w:left w:val="none" w:sz="0" w:space="0" w:color="auto"/>
        <w:bottom w:val="none" w:sz="0" w:space="0" w:color="auto"/>
        <w:right w:val="none" w:sz="0" w:space="0" w:color="auto"/>
      </w:divBdr>
    </w:div>
    <w:div w:id="879627075">
      <w:bodyDiv w:val="1"/>
      <w:marLeft w:val="0"/>
      <w:marRight w:val="0"/>
      <w:marTop w:val="0"/>
      <w:marBottom w:val="0"/>
      <w:divBdr>
        <w:top w:val="none" w:sz="0" w:space="0" w:color="auto"/>
        <w:left w:val="none" w:sz="0" w:space="0" w:color="auto"/>
        <w:bottom w:val="none" w:sz="0" w:space="0" w:color="auto"/>
        <w:right w:val="none" w:sz="0" w:space="0" w:color="auto"/>
      </w:divBdr>
    </w:div>
    <w:div w:id="879786197">
      <w:bodyDiv w:val="1"/>
      <w:marLeft w:val="0"/>
      <w:marRight w:val="0"/>
      <w:marTop w:val="0"/>
      <w:marBottom w:val="0"/>
      <w:divBdr>
        <w:top w:val="none" w:sz="0" w:space="0" w:color="auto"/>
        <w:left w:val="none" w:sz="0" w:space="0" w:color="auto"/>
        <w:bottom w:val="none" w:sz="0" w:space="0" w:color="auto"/>
        <w:right w:val="none" w:sz="0" w:space="0" w:color="auto"/>
      </w:divBdr>
    </w:div>
    <w:div w:id="879826674">
      <w:bodyDiv w:val="1"/>
      <w:marLeft w:val="0"/>
      <w:marRight w:val="0"/>
      <w:marTop w:val="0"/>
      <w:marBottom w:val="0"/>
      <w:divBdr>
        <w:top w:val="none" w:sz="0" w:space="0" w:color="auto"/>
        <w:left w:val="none" w:sz="0" w:space="0" w:color="auto"/>
        <w:bottom w:val="none" w:sz="0" w:space="0" w:color="auto"/>
        <w:right w:val="none" w:sz="0" w:space="0" w:color="auto"/>
      </w:divBdr>
    </w:div>
    <w:div w:id="880285562">
      <w:bodyDiv w:val="1"/>
      <w:marLeft w:val="0"/>
      <w:marRight w:val="0"/>
      <w:marTop w:val="0"/>
      <w:marBottom w:val="0"/>
      <w:divBdr>
        <w:top w:val="none" w:sz="0" w:space="0" w:color="auto"/>
        <w:left w:val="none" w:sz="0" w:space="0" w:color="auto"/>
        <w:bottom w:val="none" w:sz="0" w:space="0" w:color="auto"/>
        <w:right w:val="none" w:sz="0" w:space="0" w:color="auto"/>
      </w:divBdr>
    </w:div>
    <w:div w:id="880441463">
      <w:bodyDiv w:val="1"/>
      <w:marLeft w:val="0"/>
      <w:marRight w:val="0"/>
      <w:marTop w:val="0"/>
      <w:marBottom w:val="0"/>
      <w:divBdr>
        <w:top w:val="none" w:sz="0" w:space="0" w:color="auto"/>
        <w:left w:val="none" w:sz="0" w:space="0" w:color="auto"/>
        <w:bottom w:val="none" w:sz="0" w:space="0" w:color="auto"/>
        <w:right w:val="none" w:sz="0" w:space="0" w:color="auto"/>
      </w:divBdr>
    </w:div>
    <w:div w:id="880476842">
      <w:bodyDiv w:val="1"/>
      <w:marLeft w:val="0"/>
      <w:marRight w:val="0"/>
      <w:marTop w:val="0"/>
      <w:marBottom w:val="0"/>
      <w:divBdr>
        <w:top w:val="none" w:sz="0" w:space="0" w:color="auto"/>
        <w:left w:val="none" w:sz="0" w:space="0" w:color="auto"/>
        <w:bottom w:val="none" w:sz="0" w:space="0" w:color="auto"/>
        <w:right w:val="none" w:sz="0" w:space="0" w:color="auto"/>
      </w:divBdr>
    </w:div>
    <w:div w:id="880896937">
      <w:bodyDiv w:val="1"/>
      <w:marLeft w:val="0"/>
      <w:marRight w:val="0"/>
      <w:marTop w:val="0"/>
      <w:marBottom w:val="0"/>
      <w:divBdr>
        <w:top w:val="none" w:sz="0" w:space="0" w:color="auto"/>
        <w:left w:val="none" w:sz="0" w:space="0" w:color="auto"/>
        <w:bottom w:val="none" w:sz="0" w:space="0" w:color="auto"/>
        <w:right w:val="none" w:sz="0" w:space="0" w:color="auto"/>
      </w:divBdr>
    </w:div>
    <w:div w:id="880938688">
      <w:bodyDiv w:val="1"/>
      <w:marLeft w:val="0"/>
      <w:marRight w:val="0"/>
      <w:marTop w:val="0"/>
      <w:marBottom w:val="0"/>
      <w:divBdr>
        <w:top w:val="none" w:sz="0" w:space="0" w:color="auto"/>
        <w:left w:val="none" w:sz="0" w:space="0" w:color="auto"/>
        <w:bottom w:val="none" w:sz="0" w:space="0" w:color="auto"/>
        <w:right w:val="none" w:sz="0" w:space="0" w:color="auto"/>
      </w:divBdr>
    </w:div>
    <w:div w:id="880941415">
      <w:bodyDiv w:val="1"/>
      <w:marLeft w:val="0"/>
      <w:marRight w:val="0"/>
      <w:marTop w:val="0"/>
      <w:marBottom w:val="0"/>
      <w:divBdr>
        <w:top w:val="none" w:sz="0" w:space="0" w:color="auto"/>
        <w:left w:val="none" w:sz="0" w:space="0" w:color="auto"/>
        <w:bottom w:val="none" w:sz="0" w:space="0" w:color="auto"/>
        <w:right w:val="none" w:sz="0" w:space="0" w:color="auto"/>
      </w:divBdr>
    </w:div>
    <w:div w:id="880945472">
      <w:bodyDiv w:val="1"/>
      <w:marLeft w:val="0"/>
      <w:marRight w:val="0"/>
      <w:marTop w:val="0"/>
      <w:marBottom w:val="0"/>
      <w:divBdr>
        <w:top w:val="none" w:sz="0" w:space="0" w:color="auto"/>
        <w:left w:val="none" w:sz="0" w:space="0" w:color="auto"/>
        <w:bottom w:val="none" w:sz="0" w:space="0" w:color="auto"/>
        <w:right w:val="none" w:sz="0" w:space="0" w:color="auto"/>
      </w:divBdr>
    </w:div>
    <w:div w:id="881290977">
      <w:bodyDiv w:val="1"/>
      <w:marLeft w:val="0"/>
      <w:marRight w:val="0"/>
      <w:marTop w:val="0"/>
      <w:marBottom w:val="0"/>
      <w:divBdr>
        <w:top w:val="none" w:sz="0" w:space="0" w:color="auto"/>
        <w:left w:val="none" w:sz="0" w:space="0" w:color="auto"/>
        <w:bottom w:val="none" w:sz="0" w:space="0" w:color="auto"/>
        <w:right w:val="none" w:sz="0" w:space="0" w:color="auto"/>
      </w:divBdr>
    </w:div>
    <w:div w:id="882062378">
      <w:bodyDiv w:val="1"/>
      <w:marLeft w:val="0"/>
      <w:marRight w:val="0"/>
      <w:marTop w:val="0"/>
      <w:marBottom w:val="0"/>
      <w:divBdr>
        <w:top w:val="none" w:sz="0" w:space="0" w:color="auto"/>
        <w:left w:val="none" w:sz="0" w:space="0" w:color="auto"/>
        <w:bottom w:val="none" w:sz="0" w:space="0" w:color="auto"/>
        <w:right w:val="none" w:sz="0" w:space="0" w:color="auto"/>
      </w:divBdr>
    </w:div>
    <w:div w:id="882131051">
      <w:bodyDiv w:val="1"/>
      <w:marLeft w:val="0"/>
      <w:marRight w:val="0"/>
      <w:marTop w:val="0"/>
      <w:marBottom w:val="0"/>
      <w:divBdr>
        <w:top w:val="none" w:sz="0" w:space="0" w:color="auto"/>
        <w:left w:val="none" w:sz="0" w:space="0" w:color="auto"/>
        <w:bottom w:val="none" w:sz="0" w:space="0" w:color="auto"/>
        <w:right w:val="none" w:sz="0" w:space="0" w:color="auto"/>
      </w:divBdr>
    </w:div>
    <w:div w:id="882131857">
      <w:bodyDiv w:val="1"/>
      <w:marLeft w:val="0"/>
      <w:marRight w:val="0"/>
      <w:marTop w:val="0"/>
      <w:marBottom w:val="0"/>
      <w:divBdr>
        <w:top w:val="none" w:sz="0" w:space="0" w:color="auto"/>
        <w:left w:val="none" w:sz="0" w:space="0" w:color="auto"/>
        <w:bottom w:val="none" w:sz="0" w:space="0" w:color="auto"/>
        <w:right w:val="none" w:sz="0" w:space="0" w:color="auto"/>
      </w:divBdr>
    </w:div>
    <w:div w:id="882209300">
      <w:bodyDiv w:val="1"/>
      <w:marLeft w:val="0"/>
      <w:marRight w:val="0"/>
      <w:marTop w:val="0"/>
      <w:marBottom w:val="0"/>
      <w:divBdr>
        <w:top w:val="none" w:sz="0" w:space="0" w:color="auto"/>
        <w:left w:val="none" w:sz="0" w:space="0" w:color="auto"/>
        <w:bottom w:val="none" w:sz="0" w:space="0" w:color="auto"/>
        <w:right w:val="none" w:sz="0" w:space="0" w:color="auto"/>
      </w:divBdr>
    </w:div>
    <w:div w:id="882598683">
      <w:bodyDiv w:val="1"/>
      <w:marLeft w:val="0"/>
      <w:marRight w:val="0"/>
      <w:marTop w:val="0"/>
      <w:marBottom w:val="0"/>
      <w:divBdr>
        <w:top w:val="none" w:sz="0" w:space="0" w:color="auto"/>
        <w:left w:val="none" w:sz="0" w:space="0" w:color="auto"/>
        <w:bottom w:val="none" w:sz="0" w:space="0" w:color="auto"/>
        <w:right w:val="none" w:sz="0" w:space="0" w:color="auto"/>
      </w:divBdr>
    </w:div>
    <w:div w:id="882712276">
      <w:bodyDiv w:val="1"/>
      <w:marLeft w:val="0"/>
      <w:marRight w:val="0"/>
      <w:marTop w:val="0"/>
      <w:marBottom w:val="0"/>
      <w:divBdr>
        <w:top w:val="none" w:sz="0" w:space="0" w:color="auto"/>
        <w:left w:val="none" w:sz="0" w:space="0" w:color="auto"/>
        <w:bottom w:val="none" w:sz="0" w:space="0" w:color="auto"/>
        <w:right w:val="none" w:sz="0" w:space="0" w:color="auto"/>
      </w:divBdr>
    </w:div>
    <w:div w:id="882985060">
      <w:bodyDiv w:val="1"/>
      <w:marLeft w:val="0"/>
      <w:marRight w:val="0"/>
      <w:marTop w:val="0"/>
      <w:marBottom w:val="0"/>
      <w:divBdr>
        <w:top w:val="none" w:sz="0" w:space="0" w:color="auto"/>
        <w:left w:val="none" w:sz="0" w:space="0" w:color="auto"/>
        <w:bottom w:val="none" w:sz="0" w:space="0" w:color="auto"/>
        <w:right w:val="none" w:sz="0" w:space="0" w:color="auto"/>
      </w:divBdr>
    </w:div>
    <w:div w:id="882985973">
      <w:bodyDiv w:val="1"/>
      <w:marLeft w:val="0"/>
      <w:marRight w:val="0"/>
      <w:marTop w:val="0"/>
      <w:marBottom w:val="0"/>
      <w:divBdr>
        <w:top w:val="none" w:sz="0" w:space="0" w:color="auto"/>
        <w:left w:val="none" w:sz="0" w:space="0" w:color="auto"/>
        <w:bottom w:val="none" w:sz="0" w:space="0" w:color="auto"/>
        <w:right w:val="none" w:sz="0" w:space="0" w:color="auto"/>
      </w:divBdr>
    </w:div>
    <w:div w:id="883639917">
      <w:bodyDiv w:val="1"/>
      <w:marLeft w:val="0"/>
      <w:marRight w:val="0"/>
      <w:marTop w:val="0"/>
      <w:marBottom w:val="0"/>
      <w:divBdr>
        <w:top w:val="none" w:sz="0" w:space="0" w:color="auto"/>
        <w:left w:val="none" w:sz="0" w:space="0" w:color="auto"/>
        <w:bottom w:val="none" w:sz="0" w:space="0" w:color="auto"/>
        <w:right w:val="none" w:sz="0" w:space="0" w:color="auto"/>
      </w:divBdr>
    </w:div>
    <w:div w:id="883717035">
      <w:bodyDiv w:val="1"/>
      <w:marLeft w:val="0"/>
      <w:marRight w:val="0"/>
      <w:marTop w:val="0"/>
      <w:marBottom w:val="0"/>
      <w:divBdr>
        <w:top w:val="none" w:sz="0" w:space="0" w:color="auto"/>
        <w:left w:val="none" w:sz="0" w:space="0" w:color="auto"/>
        <w:bottom w:val="none" w:sz="0" w:space="0" w:color="auto"/>
        <w:right w:val="none" w:sz="0" w:space="0" w:color="auto"/>
      </w:divBdr>
    </w:div>
    <w:div w:id="884214367">
      <w:bodyDiv w:val="1"/>
      <w:marLeft w:val="0"/>
      <w:marRight w:val="0"/>
      <w:marTop w:val="0"/>
      <w:marBottom w:val="0"/>
      <w:divBdr>
        <w:top w:val="none" w:sz="0" w:space="0" w:color="auto"/>
        <w:left w:val="none" w:sz="0" w:space="0" w:color="auto"/>
        <w:bottom w:val="none" w:sz="0" w:space="0" w:color="auto"/>
        <w:right w:val="none" w:sz="0" w:space="0" w:color="auto"/>
      </w:divBdr>
    </w:div>
    <w:div w:id="884215237">
      <w:bodyDiv w:val="1"/>
      <w:marLeft w:val="0"/>
      <w:marRight w:val="0"/>
      <w:marTop w:val="0"/>
      <w:marBottom w:val="0"/>
      <w:divBdr>
        <w:top w:val="none" w:sz="0" w:space="0" w:color="auto"/>
        <w:left w:val="none" w:sz="0" w:space="0" w:color="auto"/>
        <w:bottom w:val="none" w:sz="0" w:space="0" w:color="auto"/>
        <w:right w:val="none" w:sz="0" w:space="0" w:color="auto"/>
      </w:divBdr>
    </w:div>
    <w:div w:id="884369210">
      <w:bodyDiv w:val="1"/>
      <w:marLeft w:val="0"/>
      <w:marRight w:val="0"/>
      <w:marTop w:val="0"/>
      <w:marBottom w:val="0"/>
      <w:divBdr>
        <w:top w:val="none" w:sz="0" w:space="0" w:color="auto"/>
        <w:left w:val="none" w:sz="0" w:space="0" w:color="auto"/>
        <w:bottom w:val="none" w:sz="0" w:space="0" w:color="auto"/>
        <w:right w:val="none" w:sz="0" w:space="0" w:color="auto"/>
      </w:divBdr>
    </w:div>
    <w:div w:id="884411847">
      <w:bodyDiv w:val="1"/>
      <w:marLeft w:val="0"/>
      <w:marRight w:val="0"/>
      <w:marTop w:val="0"/>
      <w:marBottom w:val="0"/>
      <w:divBdr>
        <w:top w:val="none" w:sz="0" w:space="0" w:color="auto"/>
        <w:left w:val="none" w:sz="0" w:space="0" w:color="auto"/>
        <w:bottom w:val="none" w:sz="0" w:space="0" w:color="auto"/>
        <w:right w:val="none" w:sz="0" w:space="0" w:color="auto"/>
      </w:divBdr>
    </w:div>
    <w:div w:id="884677581">
      <w:bodyDiv w:val="1"/>
      <w:marLeft w:val="0"/>
      <w:marRight w:val="0"/>
      <w:marTop w:val="0"/>
      <w:marBottom w:val="0"/>
      <w:divBdr>
        <w:top w:val="none" w:sz="0" w:space="0" w:color="auto"/>
        <w:left w:val="none" w:sz="0" w:space="0" w:color="auto"/>
        <w:bottom w:val="none" w:sz="0" w:space="0" w:color="auto"/>
        <w:right w:val="none" w:sz="0" w:space="0" w:color="auto"/>
      </w:divBdr>
    </w:div>
    <w:div w:id="884755274">
      <w:bodyDiv w:val="1"/>
      <w:marLeft w:val="0"/>
      <w:marRight w:val="0"/>
      <w:marTop w:val="0"/>
      <w:marBottom w:val="0"/>
      <w:divBdr>
        <w:top w:val="none" w:sz="0" w:space="0" w:color="auto"/>
        <w:left w:val="none" w:sz="0" w:space="0" w:color="auto"/>
        <w:bottom w:val="none" w:sz="0" w:space="0" w:color="auto"/>
        <w:right w:val="none" w:sz="0" w:space="0" w:color="auto"/>
      </w:divBdr>
    </w:div>
    <w:div w:id="884801889">
      <w:bodyDiv w:val="1"/>
      <w:marLeft w:val="0"/>
      <w:marRight w:val="0"/>
      <w:marTop w:val="0"/>
      <w:marBottom w:val="0"/>
      <w:divBdr>
        <w:top w:val="none" w:sz="0" w:space="0" w:color="auto"/>
        <w:left w:val="none" w:sz="0" w:space="0" w:color="auto"/>
        <w:bottom w:val="none" w:sz="0" w:space="0" w:color="auto"/>
        <w:right w:val="none" w:sz="0" w:space="0" w:color="auto"/>
      </w:divBdr>
    </w:div>
    <w:div w:id="885138693">
      <w:bodyDiv w:val="1"/>
      <w:marLeft w:val="0"/>
      <w:marRight w:val="0"/>
      <w:marTop w:val="0"/>
      <w:marBottom w:val="0"/>
      <w:divBdr>
        <w:top w:val="none" w:sz="0" w:space="0" w:color="auto"/>
        <w:left w:val="none" w:sz="0" w:space="0" w:color="auto"/>
        <w:bottom w:val="none" w:sz="0" w:space="0" w:color="auto"/>
        <w:right w:val="none" w:sz="0" w:space="0" w:color="auto"/>
      </w:divBdr>
    </w:div>
    <w:div w:id="885139830">
      <w:bodyDiv w:val="1"/>
      <w:marLeft w:val="0"/>
      <w:marRight w:val="0"/>
      <w:marTop w:val="0"/>
      <w:marBottom w:val="0"/>
      <w:divBdr>
        <w:top w:val="none" w:sz="0" w:space="0" w:color="auto"/>
        <w:left w:val="none" w:sz="0" w:space="0" w:color="auto"/>
        <w:bottom w:val="none" w:sz="0" w:space="0" w:color="auto"/>
        <w:right w:val="none" w:sz="0" w:space="0" w:color="auto"/>
      </w:divBdr>
    </w:div>
    <w:div w:id="885336225">
      <w:bodyDiv w:val="1"/>
      <w:marLeft w:val="0"/>
      <w:marRight w:val="0"/>
      <w:marTop w:val="0"/>
      <w:marBottom w:val="0"/>
      <w:divBdr>
        <w:top w:val="none" w:sz="0" w:space="0" w:color="auto"/>
        <w:left w:val="none" w:sz="0" w:space="0" w:color="auto"/>
        <w:bottom w:val="none" w:sz="0" w:space="0" w:color="auto"/>
        <w:right w:val="none" w:sz="0" w:space="0" w:color="auto"/>
      </w:divBdr>
    </w:div>
    <w:div w:id="885532565">
      <w:bodyDiv w:val="1"/>
      <w:marLeft w:val="0"/>
      <w:marRight w:val="0"/>
      <w:marTop w:val="0"/>
      <w:marBottom w:val="0"/>
      <w:divBdr>
        <w:top w:val="none" w:sz="0" w:space="0" w:color="auto"/>
        <w:left w:val="none" w:sz="0" w:space="0" w:color="auto"/>
        <w:bottom w:val="none" w:sz="0" w:space="0" w:color="auto"/>
        <w:right w:val="none" w:sz="0" w:space="0" w:color="auto"/>
      </w:divBdr>
    </w:div>
    <w:div w:id="885600695">
      <w:bodyDiv w:val="1"/>
      <w:marLeft w:val="0"/>
      <w:marRight w:val="0"/>
      <w:marTop w:val="0"/>
      <w:marBottom w:val="0"/>
      <w:divBdr>
        <w:top w:val="none" w:sz="0" w:space="0" w:color="auto"/>
        <w:left w:val="none" w:sz="0" w:space="0" w:color="auto"/>
        <w:bottom w:val="none" w:sz="0" w:space="0" w:color="auto"/>
        <w:right w:val="none" w:sz="0" w:space="0" w:color="auto"/>
      </w:divBdr>
    </w:div>
    <w:div w:id="886259607">
      <w:bodyDiv w:val="1"/>
      <w:marLeft w:val="0"/>
      <w:marRight w:val="0"/>
      <w:marTop w:val="0"/>
      <w:marBottom w:val="0"/>
      <w:divBdr>
        <w:top w:val="none" w:sz="0" w:space="0" w:color="auto"/>
        <w:left w:val="none" w:sz="0" w:space="0" w:color="auto"/>
        <w:bottom w:val="none" w:sz="0" w:space="0" w:color="auto"/>
        <w:right w:val="none" w:sz="0" w:space="0" w:color="auto"/>
      </w:divBdr>
    </w:div>
    <w:div w:id="886835636">
      <w:bodyDiv w:val="1"/>
      <w:marLeft w:val="0"/>
      <w:marRight w:val="0"/>
      <w:marTop w:val="0"/>
      <w:marBottom w:val="0"/>
      <w:divBdr>
        <w:top w:val="none" w:sz="0" w:space="0" w:color="auto"/>
        <w:left w:val="none" w:sz="0" w:space="0" w:color="auto"/>
        <w:bottom w:val="none" w:sz="0" w:space="0" w:color="auto"/>
        <w:right w:val="none" w:sz="0" w:space="0" w:color="auto"/>
      </w:divBdr>
    </w:div>
    <w:div w:id="887180817">
      <w:bodyDiv w:val="1"/>
      <w:marLeft w:val="0"/>
      <w:marRight w:val="0"/>
      <w:marTop w:val="0"/>
      <w:marBottom w:val="0"/>
      <w:divBdr>
        <w:top w:val="none" w:sz="0" w:space="0" w:color="auto"/>
        <w:left w:val="none" w:sz="0" w:space="0" w:color="auto"/>
        <w:bottom w:val="none" w:sz="0" w:space="0" w:color="auto"/>
        <w:right w:val="none" w:sz="0" w:space="0" w:color="auto"/>
      </w:divBdr>
    </w:div>
    <w:div w:id="887182724">
      <w:bodyDiv w:val="1"/>
      <w:marLeft w:val="0"/>
      <w:marRight w:val="0"/>
      <w:marTop w:val="0"/>
      <w:marBottom w:val="0"/>
      <w:divBdr>
        <w:top w:val="none" w:sz="0" w:space="0" w:color="auto"/>
        <w:left w:val="none" w:sz="0" w:space="0" w:color="auto"/>
        <w:bottom w:val="none" w:sz="0" w:space="0" w:color="auto"/>
        <w:right w:val="none" w:sz="0" w:space="0" w:color="auto"/>
      </w:divBdr>
    </w:div>
    <w:div w:id="887296945">
      <w:bodyDiv w:val="1"/>
      <w:marLeft w:val="0"/>
      <w:marRight w:val="0"/>
      <w:marTop w:val="0"/>
      <w:marBottom w:val="0"/>
      <w:divBdr>
        <w:top w:val="none" w:sz="0" w:space="0" w:color="auto"/>
        <w:left w:val="none" w:sz="0" w:space="0" w:color="auto"/>
        <w:bottom w:val="none" w:sz="0" w:space="0" w:color="auto"/>
        <w:right w:val="none" w:sz="0" w:space="0" w:color="auto"/>
      </w:divBdr>
    </w:div>
    <w:div w:id="887453674">
      <w:bodyDiv w:val="1"/>
      <w:marLeft w:val="0"/>
      <w:marRight w:val="0"/>
      <w:marTop w:val="0"/>
      <w:marBottom w:val="0"/>
      <w:divBdr>
        <w:top w:val="none" w:sz="0" w:space="0" w:color="auto"/>
        <w:left w:val="none" w:sz="0" w:space="0" w:color="auto"/>
        <w:bottom w:val="none" w:sz="0" w:space="0" w:color="auto"/>
        <w:right w:val="none" w:sz="0" w:space="0" w:color="auto"/>
      </w:divBdr>
    </w:div>
    <w:div w:id="887572470">
      <w:bodyDiv w:val="1"/>
      <w:marLeft w:val="0"/>
      <w:marRight w:val="0"/>
      <w:marTop w:val="0"/>
      <w:marBottom w:val="0"/>
      <w:divBdr>
        <w:top w:val="none" w:sz="0" w:space="0" w:color="auto"/>
        <w:left w:val="none" w:sz="0" w:space="0" w:color="auto"/>
        <w:bottom w:val="none" w:sz="0" w:space="0" w:color="auto"/>
        <w:right w:val="none" w:sz="0" w:space="0" w:color="auto"/>
      </w:divBdr>
    </w:div>
    <w:div w:id="887647234">
      <w:bodyDiv w:val="1"/>
      <w:marLeft w:val="0"/>
      <w:marRight w:val="0"/>
      <w:marTop w:val="0"/>
      <w:marBottom w:val="0"/>
      <w:divBdr>
        <w:top w:val="none" w:sz="0" w:space="0" w:color="auto"/>
        <w:left w:val="none" w:sz="0" w:space="0" w:color="auto"/>
        <w:bottom w:val="none" w:sz="0" w:space="0" w:color="auto"/>
        <w:right w:val="none" w:sz="0" w:space="0" w:color="auto"/>
      </w:divBdr>
    </w:div>
    <w:div w:id="887765043">
      <w:bodyDiv w:val="1"/>
      <w:marLeft w:val="0"/>
      <w:marRight w:val="0"/>
      <w:marTop w:val="0"/>
      <w:marBottom w:val="0"/>
      <w:divBdr>
        <w:top w:val="none" w:sz="0" w:space="0" w:color="auto"/>
        <w:left w:val="none" w:sz="0" w:space="0" w:color="auto"/>
        <w:bottom w:val="none" w:sz="0" w:space="0" w:color="auto"/>
        <w:right w:val="none" w:sz="0" w:space="0" w:color="auto"/>
      </w:divBdr>
    </w:div>
    <w:div w:id="887913011">
      <w:bodyDiv w:val="1"/>
      <w:marLeft w:val="0"/>
      <w:marRight w:val="0"/>
      <w:marTop w:val="0"/>
      <w:marBottom w:val="0"/>
      <w:divBdr>
        <w:top w:val="none" w:sz="0" w:space="0" w:color="auto"/>
        <w:left w:val="none" w:sz="0" w:space="0" w:color="auto"/>
        <w:bottom w:val="none" w:sz="0" w:space="0" w:color="auto"/>
        <w:right w:val="none" w:sz="0" w:space="0" w:color="auto"/>
      </w:divBdr>
    </w:div>
    <w:div w:id="888034019">
      <w:bodyDiv w:val="1"/>
      <w:marLeft w:val="0"/>
      <w:marRight w:val="0"/>
      <w:marTop w:val="0"/>
      <w:marBottom w:val="0"/>
      <w:divBdr>
        <w:top w:val="none" w:sz="0" w:space="0" w:color="auto"/>
        <w:left w:val="none" w:sz="0" w:space="0" w:color="auto"/>
        <w:bottom w:val="none" w:sz="0" w:space="0" w:color="auto"/>
        <w:right w:val="none" w:sz="0" w:space="0" w:color="auto"/>
      </w:divBdr>
    </w:div>
    <w:div w:id="888223215">
      <w:bodyDiv w:val="1"/>
      <w:marLeft w:val="0"/>
      <w:marRight w:val="0"/>
      <w:marTop w:val="0"/>
      <w:marBottom w:val="0"/>
      <w:divBdr>
        <w:top w:val="none" w:sz="0" w:space="0" w:color="auto"/>
        <w:left w:val="none" w:sz="0" w:space="0" w:color="auto"/>
        <w:bottom w:val="none" w:sz="0" w:space="0" w:color="auto"/>
        <w:right w:val="none" w:sz="0" w:space="0" w:color="auto"/>
      </w:divBdr>
    </w:div>
    <w:div w:id="888347261">
      <w:bodyDiv w:val="1"/>
      <w:marLeft w:val="0"/>
      <w:marRight w:val="0"/>
      <w:marTop w:val="0"/>
      <w:marBottom w:val="0"/>
      <w:divBdr>
        <w:top w:val="none" w:sz="0" w:space="0" w:color="auto"/>
        <w:left w:val="none" w:sz="0" w:space="0" w:color="auto"/>
        <w:bottom w:val="none" w:sz="0" w:space="0" w:color="auto"/>
        <w:right w:val="none" w:sz="0" w:space="0" w:color="auto"/>
      </w:divBdr>
    </w:div>
    <w:div w:id="888758386">
      <w:bodyDiv w:val="1"/>
      <w:marLeft w:val="0"/>
      <w:marRight w:val="0"/>
      <w:marTop w:val="0"/>
      <w:marBottom w:val="0"/>
      <w:divBdr>
        <w:top w:val="none" w:sz="0" w:space="0" w:color="auto"/>
        <w:left w:val="none" w:sz="0" w:space="0" w:color="auto"/>
        <w:bottom w:val="none" w:sz="0" w:space="0" w:color="auto"/>
        <w:right w:val="none" w:sz="0" w:space="0" w:color="auto"/>
      </w:divBdr>
    </w:div>
    <w:div w:id="888878175">
      <w:bodyDiv w:val="1"/>
      <w:marLeft w:val="0"/>
      <w:marRight w:val="0"/>
      <w:marTop w:val="0"/>
      <w:marBottom w:val="0"/>
      <w:divBdr>
        <w:top w:val="none" w:sz="0" w:space="0" w:color="auto"/>
        <w:left w:val="none" w:sz="0" w:space="0" w:color="auto"/>
        <w:bottom w:val="none" w:sz="0" w:space="0" w:color="auto"/>
        <w:right w:val="none" w:sz="0" w:space="0" w:color="auto"/>
      </w:divBdr>
    </w:div>
    <w:div w:id="888879545">
      <w:bodyDiv w:val="1"/>
      <w:marLeft w:val="0"/>
      <w:marRight w:val="0"/>
      <w:marTop w:val="0"/>
      <w:marBottom w:val="0"/>
      <w:divBdr>
        <w:top w:val="none" w:sz="0" w:space="0" w:color="auto"/>
        <w:left w:val="none" w:sz="0" w:space="0" w:color="auto"/>
        <w:bottom w:val="none" w:sz="0" w:space="0" w:color="auto"/>
        <w:right w:val="none" w:sz="0" w:space="0" w:color="auto"/>
      </w:divBdr>
    </w:div>
    <w:div w:id="888954986">
      <w:bodyDiv w:val="1"/>
      <w:marLeft w:val="0"/>
      <w:marRight w:val="0"/>
      <w:marTop w:val="0"/>
      <w:marBottom w:val="0"/>
      <w:divBdr>
        <w:top w:val="none" w:sz="0" w:space="0" w:color="auto"/>
        <w:left w:val="none" w:sz="0" w:space="0" w:color="auto"/>
        <w:bottom w:val="none" w:sz="0" w:space="0" w:color="auto"/>
        <w:right w:val="none" w:sz="0" w:space="0" w:color="auto"/>
      </w:divBdr>
    </w:div>
    <w:div w:id="889611798">
      <w:bodyDiv w:val="1"/>
      <w:marLeft w:val="0"/>
      <w:marRight w:val="0"/>
      <w:marTop w:val="0"/>
      <w:marBottom w:val="0"/>
      <w:divBdr>
        <w:top w:val="none" w:sz="0" w:space="0" w:color="auto"/>
        <w:left w:val="none" w:sz="0" w:space="0" w:color="auto"/>
        <w:bottom w:val="none" w:sz="0" w:space="0" w:color="auto"/>
        <w:right w:val="none" w:sz="0" w:space="0" w:color="auto"/>
      </w:divBdr>
    </w:div>
    <w:div w:id="889725921">
      <w:bodyDiv w:val="1"/>
      <w:marLeft w:val="0"/>
      <w:marRight w:val="0"/>
      <w:marTop w:val="0"/>
      <w:marBottom w:val="0"/>
      <w:divBdr>
        <w:top w:val="none" w:sz="0" w:space="0" w:color="auto"/>
        <w:left w:val="none" w:sz="0" w:space="0" w:color="auto"/>
        <w:bottom w:val="none" w:sz="0" w:space="0" w:color="auto"/>
        <w:right w:val="none" w:sz="0" w:space="0" w:color="auto"/>
      </w:divBdr>
    </w:div>
    <w:div w:id="889730356">
      <w:bodyDiv w:val="1"/>
      <w:marLeft w:val="0"/>
      <w:marRight w:val="0"/>
      <w:marTop w:val="0"/>
      <w:marBottom w:val="0"/>
      <w:divBdr>
        <w:top w:val="none" w:sz="0" w:space="0" w:color="auto"/>
        <w:left w:val="none" w:sz="0" w:space="0" w:color="auto"/>
        <w:bottom w:val="none" w:sz="0" w:space="0" w:color="auto"/>
        <w:right w:val="none" w:sz="0" w:space="0" w:color="auto"/>
      </w:divBdr>
    </w:div>
    <w:div w:id="890112771">
      <w:bodyDiv w:val="1"/>
      <w:marLeft w:val="0"/>
      <w:marRight w:val="0"/>
      <w:marTop w:val="0"/>
      <w:marBottom w:val="0"/>
      <w:divBdr>
        <w:top w:val="none" w:sz="0" w:space="0" w:color="auto"/>
        <w:left w:val="none" w:sz="0" w:space="0" w:color="auto"/>
        <w:bottom w:val="none" w:sz="0" w:space="0" w:color="auto"/>
        <w:right w:val="none" w:sz="0" w:space="0" w:color="auto"/>
      </w:divBdr>
    </w:div>
    <w:div w:id="890115337">
      <w:bodyDiv w:val="1"/>
      <w:marLeft w:val="0"/>
      <w:marRight w:val="0"/>
      <w:marTop w:val="0"/>
      <w:marBottom w:val="0"/>
      <w:divBdr>
        <w:top w:val="none" w:sz="0" w:space="0" w:color="auto"/>
        <w:left w:val="none" w:sz="0" w:space="0" w:color="auto"/>
        <w:bottom w:val="none" w:sz="0" w:space="0" w:color="auto"/>
        <w:right w:val="none" w:sz="0" w:space="0" w:color="auto"/>
      </w:divBdr>
    </w:div>
    <w:div w:id="890306840">
      <w:bodyDiv w:val="1"/>
      <w:marLeft w:val="0"/>
      <w:marRight w:val="0"/>
      <w:marTop w:val="0"/>
      <w:marBottom w:val="0"/>
      <w:divBdr>
        <w:top w:val="none" w:sz="0" w:space="0" w:color="auto"/>
        <w:left w:val="none" w:sz="0" w:space="0" w:color="auto"/>
        <w:bottom w:val="none" w:sz="0" w:space="0" w:color="auto"/>
        <w:right w:val="none" w:sz="0" w:space="0" w:color="auto"/>
      </w:divBdr>
    </w:div>
    <w:div w:id="890306846">
      <w:bodyDiv w:val="1"/>
      <w:marLeft w:val="0"/>
      <w:marRight w:val="0"/>
      <w:marTop w:val="0"/>
      <w:marBottom w:val="0"/>
      <w:divBdr>
        <w:top w:val="none" w:sz="0" w:space="0" w:color="auto"/>
        <w:left w:val="none" w:sz="0" w:space="0" w:color="auto"/>
        <w:bottom w:val="none" w:sz="0" w:space="0" w:color="auto"/>
        <w:right w:val="none" w:sz="0" w:space="0" w:color="auto"/>
      </w:divBdr>
    </w:div>
    <w:div w:id="890310618">
      <w:bodyDiv w:val="1"/>
      <w:marLeft w:val="0"/>
      <w:marRight w:val="0"/>
      <w:marTop w:val="0"/>
      <w:marBottom w:val="0"/>
      <w:divBdr>
        <w:top w:val="none" w:sz="0" w:space="0" w:color="auto"/>
        <w:left w:val="none" w:sz="0" w:space="0" w:color="auto"/>
        <w:bottom w:val="none" w:sz="0" w:space="0" w:color="auto"/>
        <w:right w:val="none" w:sz="0" w:space="0" w:color="auto"/>
      </w:divBdr>
    </w:div>
    <w:div w:id="890456342">
      <w:bodyDiv w:val="1"/>
      <w:marLeft w:val="0"/>
      <w:marRight w:val="0"/>
      <w:marTop w:val="0"/>
      <w:marBottom w:val="0"/>
      <w:divBdr>
        <w:top w:val="none" w:sz="0" w:space="0" w:color="auto"/>
        <w:left w:val="none" w:sz="0" w:space="0" w:color="auto"/>
        <w:bottom w:val="none" w:sz="0" w:space="0" w:color="auto"/>
        <w:right w:val="none" w:sz="0" w:space="0" w:color="auto"/>
      </w:divBdr>
    </w:div>
    <w:div w:id="890581534">
      <w:bodyDiv w:val="1"/>
      <w:marLeft w:val="0"/>
      <w:marRight w:val="0"/>
      <w:marTop w:val="0"/>
      <w:marBottom w:val="0"/>
      <w:divBdr>
        <w:top w:val="none" w:sz="0" w:space="0" w:color="auto"/>
        <w:left w:val="none" w:sz="0" w:space="0" w:color="auto"/>
        <w:bottom w:val="none" w:sz="0" w:space="0" w:color="auto"/>
        <w:right w:val="none" w:sz="0" w:space="0" w:color="auto"/>
      </w:divBdr>
    </w:div>
    <w:div w:id="890654381">
      <w:bodyDiv w:val="1"/>
      <w:marLeft w:val="0"/>
      <w:marRight w:val="0"/>
      <w:marTop w:val="0"/>
      <w:marBottom w:val="0"/>
      <w:divBdr>
        <w:top w:val="none" w:sz="0" w:space="0" w:color="auto"/>
        <w:left w:val="none" w:sz="0" w:space="0" w:color="auto"/>
        <w:bottom w:val="none" w:sz="0" w:space="0" w:color="auto"/>
        <w:right w:val="none" w:sz="0" w:space="0" w:color="auto"/>
      </w:divBdr>
    </w:div>
    <w:div w:id="890923844">
      <w:bodyDiv w:val="1"/>
      <w:marLeft w:val="0"/>
      <w:marRight w:val="0"/>
      <w:marTop w:val="0"/>
      <w:marBottom w:val="0"/>
      <w:divBdr>
        <w:top w:val="none" w:sz="0" w:space="0" w:color="auto"/>
        <w:left w:val="none" w:sz="0" w:space="0" w:color="auto"/>
        <w:bottom w:val="none" w:sz="0" w:space="0" w:color="auto"/>
        <w:right w:val="none" w:sz="0" w:space="0" w:color="auto"/>
      </w:divBdr>
    </w:div>
    <w:div w:id="891309249">
      <w:bodyDiv w:val="1"/>
      <w:marLeft w:val="0"/>
      <w:marRight w:val="0"/>
      <w:marTop w:val="0"/>
      <w:marBottom w:val="0"/>
      <w:divBdr>
        <w:top w:val="none" w:sz="0" w:space="0" w:color="auto"/>
        <w:left w:val="none" w:sz="0" w:space="0" w:color="auto"/>
        <w:bottom w:val="none" w:sz="0" w:space="0" w:color="auto"/>
        <w:right w:val="none" w:sz="0" w:space="0" w:color="auto"/>
      </w:divBdr>
    </w:div>
    <w:div w:id="891505326">
      <w:bodyDiv w:val="1"/>
      <w:marLeft w:val="0"/>
      <w:marRight w:val="0"/>
      <w:marTop w:val="0"/>
      <w:marBottom w:val="0"/>
      <w:divBdr>
        <w:top w:val="none" w:sz="0" w:space="0" w:color="auto"/>
        <w:left w:val="none" w:sz="0" w:space="0" w:color="auto"/>
        <w:bottom w:val="none" w:sz="0" w:space="0" w:color="auto"/>
        <w:right w:val="none" w:sz="0" w:space="0" w:color="auto"/>
      </w:divBdr>
    </w:div>
    <w:div w:id="891617530">
      <w:bodyDiv w:val="1"/>
      <w:marLeft w:val="0"/>
      <w:marRight w:val="0"/>
      <w:marTop w:val="0"/>
      <w:marBottom w:val="0"/>
      <w:divBdr>
        <w:top w:val="none" w:sz="0" w:space="0" w:color="auto"/>
        <w:left w:val="none" w:sz="0" w:space="0" w:color="auto"/>
        <w:bottom w:val="none" w:sz="0" w:space="0" w:color="auto"/>
        <w:right w:val="none" w:sz="0" w:space="0" w:color="auto"/>
      </w:divBdr>
    </w:div>
    <w:div w:id="892084268">
      <w:bodyDiv w:val="1"/>
      <w:marLeft w:val="0"/>
      <w:marRight w:val="0"/>
      <w:marTop w:val="0"/>
      <w:marBottom w:val="0"/>
      <w:divBdr>
        <w:top w:val="none" w:sz="0" w:space="0" w:color="auto"/>
        <w:left w:val="none" w:sz="0" w:space="0" w:color="auto"/>
        <w:bottom w:val="none" w:sz="0" w:space="0" w:color="auto"/>
        <w:right w:val="none" w:sz="0" w:space="0" w:color="auto"/>
      </w:divBdr>
    </w:div>
    <w:div w:id="892084721">
      <w:bodyDiv w:val="1"/>
      <w:marLeft w:val="0"/>
      <w:marRight w:val="0"/>
      <w:marTop w:val="0"/>
      <w:marBottom w:val="0"/>
      <w:divBdr>
        <w:top w:val="none" w:sz="0" w:space="0" w:color="auto"/>
        <w:left w:val="none" w:sz="0" w:space="0" w:color="auto"/>
        <w:bottom w:val="none" w:sz="0" w:space="0" w:color="auto"/>
        <w:right w:val="none" w:sz="0" w:space="0" w:color="auto"/>
      </w:divBdr>
    </w:div>
    <w:div w:id="892160935">
      <w:bodyDiv w:val="1"/>
      <w:marLeft w:val="0"/>
      <w:marRight w:val="0"/>
      <w:marTop w:val="0"/>
      <w:marBottom w:val="0"/>
      <w:divBdr>
        <w:top w:val="none" w:sz="0" w:space="0" w:color="auto"/>
        <w:left w:val="none" w:sz="0" w:space="0" w:color="auto"/>
        <w:bottom w:val="none" w:sz="0" w:space="0" w:color="auto"/>
        <w:right w:val="none" w:sz="0" w:space="0" w:color="auto"/>
      </w:divBdr>
    </w:div>
    <w:div w:id="892696511">
      <w:bodyDiv w:val="1"/>
      <w:marLeft w:val="0"/>
      <w:marRight w:val="0"/>
      <w:marTop w:val="0"/>
      <w:marBottom w:val="0"/>
      <w:divBdr>
        <w:top w:val="none" w:sz="0" w:space="0" w:color="auto"/>
        <w:left w:val="none" w:sz="0" w:space="0" w:color="auto"/>
        <w:bottom w:val="none" w:sz="0" w:space="0" w:color="auto"/>
        <w:right w:val="none" w:sz="0" w:space="0" w:color="auto"/>
      </w:divBdr>
    </w:div>
    <w:div w:id="892887525">
      <w:bodyDiv w:val="1"/>
      <w:marLeft w:val="0"/>
      <w:marRight w:val="0"/>
      <w:marTop w:val="0"/>
      <w:marBottom w:val="0"/>
      <w:divBdr>
        <w:top w:val="none" w:sz="0" w:space="0" w:color="auto"/>
        <w:left w:val="none" w:sz="0" w:space="0" w:color="auto"/>
        <w:bottom w:val="none" w:sz="0" w:space="0" w:color="auto"/>
        <w:right w:val="none" w:sz="0" w:space="0" w:color="auto"/>
      </w:divBdr>
    </w:div>
    <w:div w:id="893003082">
      <w:bodyDiv w:val="1"/>
      <w:marLeft w:val="0"/>
      <w:marRight w:val="0"/>
      <w:marTop w:val="0"/>
      <w:marBottom w:val="0"/>
      <w:divBdr>
        <w:top w:val="none" w:sz="0" w:space="0" w:color="auto"/>
        <w:left w:val="none" w:sz="0" w:space="0" w:color="auto"/>
        <w:bottom w:val="none" w:sz="0" w:space="0" w:color="auto"/>
        <w:right w:val="none" w:sz="0" w:space="0" w:color="auto"/>
      </w:divBdr>
    </w:div>
    <w:div w:id="893196086">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270415">
      <w:bodyDiv w:val="1"/>
      <w:marLeft w:val="0"/>
      <w:marRight w:val="0"/>
      <w:marTop w:val="0"/>
      <w:marBottom w:val="0"/>
      <w:divBdr>
        <w:top w:val="none" w:sz="0" w:space="0" w:color="auto"/>
        <w:left w:val="none" w:sz="0" w:space="0" w:color="auto"/>
        <w:bottom w:val="none" w:sz="0" w:space="0" w:color="auto"/>
        <w:right w:val="none" w:sz="0" w:space="0" w:color="auto"/>
      </w:divBdr>
    </w:div>
    <w:div w:id="893547787">
      <w:bodyDiv w:val="1"/>
      <w:marLeft w:val="0"/>
      <w:marRight w:val="0"/>
      <w:marTop w:val="0"/>
      <w:marBottom w:val="0"/>
      <w:divBdr>
        <w:top w:val="none" w:sz="0" w:space="0" w:color="auto"/>
        <w:left w:val="none" w:sz="0" w:space="0" w:color="auto"/>
        <w:bottom w:val="none" w:sz="0" w:space="0" w:color="auto"/>
        <w:right w:val="none" w:sz="0" w:space="0" w:color="auto"/>
      </w:divBdr>
    </w:div>
    <w:div w:id="893781420">
      <w:bodyDiv w:val="1"/>
      <w:marLeft w:val="0"/>
      <w:marRight w:val="0"/>
      <w:marTop w:val="0"/>
      <w:marBottom w:val="0"/>
      <w:divBdr>
        <w:top w:val="none" w:sz="0" w:space="0" w:color="auto"/>
        <w:left w:val="none" w:sz="0" w:space="0" w:color="auto"/>
        <w:bottom w:val="none" w:sz="0" w:space="0" w:color="auto"/>
        <w:right w:val="none" w:sz="0" w:space="0" w:color="auto"/>
      </w:divBdr>
    </w:div>
    <w:div w:id="893812214">
      <w:bodyDiv w:val="1"/>
      <w:marLeft w:val="0"/>
      <w:marRight w:val="0"/>
      <w:marTop w:val="0"/>
      <w:marBottom w:val="0"/>
      <w:divBdr>
        <w:top w:val="none" w:sz="0" w:space="0" w:color="auto"/>
        <w:left w:val="none" w:sz="0" w:space="0" w:color="auto"/>
        <w:bottom w:val="none" w:sz="0" w:space="0" w:color="auto"/>
        <w:right w:val="none" w:sz="0" w:space="0" w:color="auto"/>
      </w:divBdr>
    </w:div>
    <w:div w:id="894004716">
      <w:bodyDiv w:val="1"/>
      <w:marLeft w:val="0"/>
      <w:marRight w:val="0"/>
      <w:marTop w:val="0"/>
      <w:marBottom w:val="0"/>
      <w:divBdr>
        <w:top w:val="none" w:sz="0" w:space="0" w:color="auto"/>
        <w:left w:val="none" w:sz="0" w:space="0" w:color="auto"/>
        <w:bottom w:val="none" w:sz="0" w:space="0" w:color="auto"/>
        <w:right w:val="none" w:sz="0" w:space="0" w:color="auto"/>
      </w:divBdr>
    </w:div>
    <w:div w:id="894269425">
      <w:bodyDiv w:val="1"/>
      <w:marLeft w:val="0"/>
      <w:marRight w:val="0"/>
      <w:marTop w:val="0"/>
      <w:marBottom w:val="0"/>
      <w:divBdr>
        <w:top w:val="none" w:sz="0" w:space="0" w:color="auto"/>
        <w:left w:val="none" w:sz="0" w:space="0" w:color="auto"/>
        <w:bottom w:val="none" w:sz="0" w:space="0" w:color="auto"/>
        <w:right w:val="none" w:sz="0" w:space="0" w:color="auto"/>
      </w:divBdr>
    </w:div>
    <w:div w:id="894781237">
      <w:bodyDiv w:val="1"/>
      <w:marLeft w:val="0"/>
      <w:marRight w:val="0"/>
      <w:marTop w:val="0"/>
      <w:marBottom w:val="0"/>
      <w:divBdr>
        <w:top w:val="none" w:sz="0" w:space="0" w:color="auto"/>
        <w:left w:val="none" w:sz="0" w:space="0" w:color="auto"/>
        <w:bottom w:val="none" w:sz="0" w:space="0" w:color="auto"/>
        <w:right w:val="none" w:sz="0" w:space="0" w:color="auto"/>
      </w:divBdr>
    </w:div>
    <w:div w:id="895238569">
      <w:bodyDiv w:val="1"/>
      <w:marLeft w:val="0"/>
      <w:marRight w:val="0"/>
      <w:marTop w:val="0"/>
      <w:marBottom w:val="0"/>
      <w:divBdr>
        <w:top w:val="none" w:sz="0" w:space="0" w:color="auto"/>
        <w:left w:val="none" w:sz="0" w:space="0" w:color="auto"/>
        <w:bottom w:val="none" w:sz="0" w:space="0" w:color="auto"/>
        <w:right w:val="none" w:sz="0" w:space="0" w:color="auto"/>
      </w:divBdr>
    </w:div>
    <w:div w:id="895897581">
      <w:bodyDiv w:val="1"/>
      <w:marLeft w:val="0"/>
      <w:marRight w:val="0"/>
      <w:marTop w:val="0"/>
      <w:marBottom w:val="0"/>
      <w:divBdr>
        <w:top w:val="none" w:sz="0" w:space="0" w:color="auto"/>
        <w:left w:val="none" w:sz="0" w:space="0" w:color="auto"/>
        <w:bottom w:val="none" w:sz="0" w:space="0" w:color="auto"/>
        <w:right w:val="none" w:sz="0" w:space="0" w:color="auto"/>
      </w:divBdr>
    </w:div>
    <w:div w:id="896010290">
      <w:bodyDiv w:val="1"/>
      <w:marLeft w:val="0"/>
      <w:marRight w:val="0"/>
      <w:marTop w:val="0"/>
      <w:marBottom w:val="0"/>
      <w:divBdr>
        <w:top w:val="none" w:sz="0" w:space="0" w:color="auto"/>
        <w:left w:val="none" w:sz="0" w:space="0" w:color="auto"/>
        <w:bottom w:val="none" w:sz="0" w:space="0" w:color="auto"/>
        <w:right w:val="none" w:sz="0" w:space="0" w:color="auto"/>
      </w:divBdr>
    </w:div>
    <w:div w:id="896011395">
      <w:bodyDiv w:val="1"/>
      <w:marLeft w:val="0"/>
      <w:marRight w:val="0"/>
      <w:marTop w:val="0"/>
      <w:marBottom w:val="0"/>
      <w:divBdr>
        <w:top w:val="none" w:sz="0" w:space="0" w:color="auto"/>
        <w:left w:val="none" w:sz="0" w:space="0" w:color="auto"/>
        <w:bottom w:val="none" w:sz="0" w:space="0" w:color="auto"/>
        <w:right w:val="none" w:sz="0" w:space="0" w:color="auto"/>
      </w:divBdr>
    </w:div>
    <w:div w:id="896208194">
      <w:bodyDiv w:val="1"/>
      <w:marLeft w:val="0"/>
      <w:marRight w:val="0"/>
      <w:marTop w:val="0"/>
      <w:marBottom w:val="0"/>
      <w:divBdr>
        <w:top w:val="none" w:sz="0" w:space="0" w:color="auto"/>
        <w:left w:val="none" w:sz="0" w:space="0" w:color="auto"/>
        <w:bottom w:val="none" w:sz="0" w:space="0" w:color="auto"/>
        <w:right w:val="none" w:sz="0" w:space="0" w:color="auto"/>
      </w:divBdr>
    </w:div>
    <w:div w:id="896236384">
      <w:bodyDiv w:val="1"/>
      <w:marLeft w:val="0"/>
      <w:marRight w:val="0"/>
      <w:marTop w:val="0"/>
      <w:marBottom w:val="0"/>
      <w:divBdr>
        <w:top w:val="none" w:sz="0" w:space="0" w:color="auto"/>
        <w:left w:val="none" w:sz="0" w:space="0" w:color="auto"/>
        <w:bottom w:val="none" w:sz="0" w:space="0" w:color="auto"/>
        <w:right w:val="none" w:sz="0" w:space="0" w:color="auto"/>
      </w:divBdr>
    </w:div>
    <w:div w:id="896432567">
      <w:bodyDiv w:val="1"/>
      <w:marLeft w:val="0"/>
      <w:marRight w:val="0"/>
      <w:marTop w:val="0"/>
      <w:marBottom w:val="0"/>
      <w:divBdr>
        <w:top w:val="none" w:sz="0" w:space="0" w:color="auto"/>
        <w:left w:val="none" w:sz="0" w:space="0" w:color="auto"/>
        <w:bottom w:val="none" w:sz="0" w:space="0" w:color="auto"/>
        <w:right w:val="none" w:sz="0" w:space="0" w:color="auto"/>
      </w:divBdr>
    </w:div>
    <w:div w:id="896739698">
      <w:bodyDiv w:val="1"/>
      <w:marLeft w:val="0"/>
      <w:marRight w:val="0"/>
      <w:marTop w:val="0"/>
      <w:marBottom w:val="0"/>
      <w:divBdr>
        <w:top w:val="none" w:sz="0" w:space="0" w:color="auto"/>
        <w:left w:val="none" w:sz="0" w:space="0" w:color="auto"/>
        <w:bottom w:val="none" w:sz="0" w:space="0" w:color="auto"/>
        <w:right w:val="none" w:sz="0" w:space="0" w:color="auto"/>
      </w:divBdr>
    </w:div>
    <w:div w:id="897083390">
      <w:bodyDiv w:val="1"/>
      <w:marLeft w:val="0"/>
      <w:marRight w:val="0"/>
      <w:marTop w:val="0"/>
      <w:marBottom w:val="0"/>
      <w:divBdr>
        <w:top w:val="none" w:sz="0" w:space="0" w:color="auto"/>
        <w:left w:val="none" w:sz="0" w:space="0" w:color="auto"/>
        <w:bottom w:val="none" w:sz="0" w:space="0" w:color="auto"/>
        <w:right w:val="none" w:sz="0" w:space="0" w:color="auto"/>
      </w:divBdr>
    </w:div>
    <w:div w:id="897087848">
      <w:bodyDiv w:val="1"/>
      <w:marLeft w:val="0"/>
      <w:marRight w:val="0"/>
      <w:marTop w:val="0"/>
      <w:marBottom w:val="0"/>
      <w:divBdr>
        <w:top w:val="none" w:sz="0" w:space="0" w:color="auto"/>
        <w:left w:val="none" w:sz="0" w:space="0" w:color="auto"/>
        <w:bottom w:val="none" w:sz="0" w:space="0" w:color="auto"/>
        <w:right w:val="none" w:sz="0" w:space="0" w:color="auto"/>
      </w:divBdr>
    </w:div>
    <w:div w:id="897089271">
      <w:bodyDiv w:val="1"/>
      <w:marLeft w:val="0"/>
      <w:marRight w:val="0"/>
      <w:marTop w:val="0"/>
      <w:marBottom w:val="0"/>
      <w:divBdr>
        <w:top w:val="none" w:sz="0" w:space="0" w:color="auto"/>
        <w:left w:val="none" w:sz="0" w:space="0" w:color="auto"/>
        <w:bottom w:val="none" w:sz="0" w:space="0" w:color="auto"/>
        <w:right w:val="none" w:sz="0" w:space="0" w:color="auto"/>
      </w:divBdr>
    </w:div>
    <w:div w:id="897132672">
      <w:bodyDiv w:val="1"/>
      <w:marLeft w:val="0"/>
      <w:marRight w:val="0"/>
      <w:marTop w:val="0"/>
      <w:marBottom w:val="0"/>
      <w:divBdr>
        <w:top w:val="none" w:sz="0" w:space="0" w:color="auto"/>
        <w:left w:val="none" w:sz="0" w:space="0" w:color="auto"/>
        <w:bottom w:val="none" w:sz="0" w:space="0" w:color="auto"/>
        <w:right w:val="none" w:sz="0" w:space="0" w:color="auto"/>
      </w:divBdr>
    </w:div>
    <w:div w:id="897403256">
      <w:bodyDiv w:val="1"/>
      <w:marLeft w:val="0"/>
      <w:marRight w:val="0"/>
      <w:marTop w:val="0"/>
      <w:marBottom w:val="0"/>
      <w:divBdr>
        <w:top w:val="none" w:sz="0" w:space="0" w:color="auto"/>
        <w:left w:val="none" w:sz="0" w:space="0" w:color="auto"/>
        <w:bottom w:val="none" w:sz="0" w:space="0" w:color="auto"/>
        <w:right w:val="none" w:sz="0" w:space="0" w:color="auto"/>
      </w:divBdr>
    </w:div>
    <w:div w:id="897517014">
      <w:bodyDiv w:val="1"/>
      <w:marLeft w:val="0"/>
      <w:marRight w:val="0"/>
      <w:marTop w:val="0"/>
      <w:marBottom w:val="0"/>
      <w:divBdr>
        <w:top w:val="none" w:sz="0" w:space="0" w:color="auto"/>
        <w:left w:val="none" w:sz="0" w:space="0" w:color="auto"/>
        <w:bottom w:val="none" w:sz="0" w:space="0" w:color="auto"/>
        <w:right w:val="none" w:sz="0" w:space="0" w:color="auto"/>
      </w:divBdr>
    </w:div>
    <w:div w:id="897668078">
      <w:bodyDiv w:val="1"/>
      <w:marLeft w:val="0"/>
      <w:marRight w:val="0"/>
      <w:marTop w:val="0"/>
      <w:marBottom w:val="0"/>
      <w:divBdr>
        <w:top w:val="none" w:sz="0" w:space="0" w:color="auto"/>
        <w:left w:val="none" w:sz="0" w:space="0" w:color="auto"/>
        <w:bottom w:val="none" w:sz="0" w:space="0" w:color="auto"/>
        <w:right w:val="none" w:sz="0" w:space="0" w:color="auto"/>
      </w:divBdr>
    </w:div>
    <w:div w:id="897978662">
      <w:bodyDiv w:val="1"/>
      <w:marLeft w:val="0"/>
      <w:marRight w:val="0"/>
      <w:marTop w:val="0"/>
      <w:marBottom w:val="0"/>
      <w:divBdr>
        <w:top w:val="none" w:sz="0" w:space="0" w:color="auto"/>
        <w:left w:val="none" w:sz="0" w:space="0" w:color="auto"/>
        <w:bottom w:val="none" w:sz="0" w:space="0" w:color="auto"/>
        <w:right w:val="none" w:sz="0" w:space="0" w:color="auto"/>
      </w:divBdr>
    </w:div>
    <w:div w:id="897981935">
      <w:bodyDiv w:val="1"/>
      <w:marLeft w:val="0"/>
      <w:marRight w:val="0"/>
      <w:marTop w:val="0"/>
      <w:marBottom w:val="0"/>
      <w:divBdr>
        <w:top w:val="none" w:sz="0" w:space="0" w:color="auto"/>
        <w:left w:val="none" w:sz="0" w:space="0" w:color="auto"/>
        <w:bottom w:val="none" w:sz="0" w:space="0" w:color="auto"/>
        <w:right w:val="none" w:sz="0" w:space="0" w:color="auto"/>
      </w:divBdr>
    </w:div>
    <w:div w:id="898176966">
      <w:bodyDiv w:val="1"/>
      <w:marLeft w:val="0"/>
      <w:marRight w:val="0"/>
      <w:marTop w:val="0"/>
      <w:marBottom w:val="0"/>
      <w:divBdr>
        <w:top w:val="none" w:sz="0" w:space="0" w:color="auto"/>
        <w:left w:val="none" w:sz="0" w:space="0" w:color="auto"/>
        <w:bottom w:val="none" w:sz="0" w:space="0" w:color="auto"/>
        <w:right w:val="none" w:sz="0" w:space="0" w:color="auto"/>
      </w:divBdr>
    </w:div>
    <w:div w:id="898328216">
      <w:bodyDiv w:val="1"/>
      <w:marLeft w:val="0"/>
      <w:marRight w:val="0"/>
      <w:marTop w:val="0"/>
      <w:marBottom w:val="0"/>
      <w:divBdr>
        <w:top w:val="none" w:sz="0" w:space="0" w:color="auto"/>
        <w:left w:val="none" w:sz="0" w:space="0" w:color="auto"/>
        <w:bottom w:val="none" w:sz="0" w:space="0" w:color="auto"/>
        <w:right w:val="none" w:sz="0" w:space="0" w:color="auto"/>
      </w:divBdr>
    </w:div>
    <w:div w:id="898519584">
      <w:bodyDiv w:val="1"/>
      <w:marLeft w:val="0"/>
      <w:marRight w:val="0"/>
      <w:marTop w:val="0"/>
      <w:marBottom w:val="0"/>
      <w:divBdr>
        <w:top w:val="none" w:sz="0" w:space="0" w:color="auto"/>
        <w:left w:val="none" w:sz="0" w:space="0" w:color="auto"/>
        <w:bottom w:val="none" w:sz="0" w:space="0" w:color="auto"/>
        <w:right w:val="none" w:sz="0" w:space="0" w:color="auto"/>
      </w:divBdr>
    </w:div>
    <w:div w:id="898596544">
      <w:bodyDiv w:val="1"/>
      <w:marLeft w:val="0"/>
      <w:marRight w:val="0"/>
      <w:marTop w:val="0"/>
      <w:marBottom w:val="0"/>
      <w:divBdr>
        <w:top w:val="none" w:sz="0" w:space="0" w:color="auto"/>
        <w:left w:val="none" w:sz="0" w:space="0" w:color="auto"/>
        <w:bottom w:val="none" w:sz="0" w:space="0" w:color="auto"/>
        <w:right w:val="none" w:sz="0" w:space="0" w:color="auto"/>
      </w:divBdr>
    </w:div>
    <w:div w:id="898711563">
      <w:bodyDiv w:val="1"/>
      <w:marLeft w:val="0"/>
      <w:marRight w:val="0"/>
      <w:marTop w:val="0"/>
      <w:marBottom w:val="0"/>
      <w:divBdr>
        <w:top w:val="none" w:sz="0" w:space="0" w:color="auto"/>
        <w:left w:val="none" w:sz="0" w:space="0" w:color="auto"/>
        <w:bottom w:val="none" w:sz="0" w:space="0" w:color="auto"/>
        <w:right w:val="none" w:sz="0" w:space="0" w:color="auto"/>
      </w:divBdr>
    </w:div>
    <w:div w:id="899096959">
      <w:bodyDiv w:val="1"/>
      <w:marLeft w:val="0"/>
      <w:marRight w:val="0"/>
      <w:marTop w:val="0"/>
      <w:marBottom w:val="0"/>
      <w:divBdr>
        <w:top w:val="none" w:sz="0" w:space="0" w:color="auto"/>
        <w:left w:val="none" w:sz="0" w:space="0" w:color="auto"/>
        <w:bottom w:val="none" w:sz="0" w:space="0" w:color="auto"/>
        <w:right w:val="none" w:sz="0" w:space="0" w:color="auto"/>
      </w:divBdr>
    </w:div>
    <w:div w:id="899242551">
      <w:bodyDiv w:val="1"/>
      <w:marLeft w:val="0"/>
      <w:marRight w:val="0"/>
      <w:marTop w:val="0"/>
      <w:marBottom w:val="0"/>
      <w:divBdr>
        <w:top w:val="none" w:sz="0" w:space="0" w:color="auto"/>
        <w:left w:val="none" w:sz="0" w:space="0" w:color="auto"/>
        <w:bottom w:val="none" w:sz="0" w:space="0" w:color="auto"/>
        <w:right w:val="none" w:sz="0" w:space="0" w:color="auto"/>
      </w:divBdr>
    </w:div>
    <w:div w:id="899513915">
      <w:bodyDiv w:val="1"/>
      <w:marLeft w:val="0"/>
      <w:marRight w:val="0"/>
      <w:marTop w:val="0"/>
      <w:marBottom w:val="0"/>
      <w:divBdr>
        <w:top w:val="none" w:sz="0" w:space="0" w:color="auto"/>
        <w:left w:val="none" w:sz="0" w:space="0" w:color="auto"/>
        <w:bottom w:val="none" w:sz="0" w:space="0" w:color="auto"/>
        <w:right w:val="none" w:sz="0" w:space="0" w:color="auto"/>
      </w:divBdr>
    </w:div>
    <w:div w:id="899562821">
      <w:bodyDiv w:val="1"/>
      <w:marLeft w:val="0"/>
      <w:marRight w:val="0"/>
      <w:marTop w:val="0"/>
      <w:marBottom w:val="0"/>
      <w:divBdr>
        <w:top w:val="none" w:sz="0" w:space="0" w:color="auto"/>
        <w:left w:val="none" w:sz="0" w:space="0" w:color="auto"/>
        <w:bottom w:val="none" w:sz="0" w:space="0" w:color="auto"/>
        <w:right w:val="none" w:sz="0" w:space="0" w:color="auto"/>
      </w:divBdr>
    </w:div>
    <w:div w:id="899708444">
      <w:bodyDiv w:val="1"/>
      <w:marLeft w:val="0"/>
      <w:marRight w:val="0"/>
      <w:marTop w:val="0"/>
      <w:marBottom w:val="0"/>
      <w:divBdr>
        <w:top w:val="none" w:sz="0" w:space="0" w:color="auto"/>
        <w:left w:val="none" w:sz="0" w:space="0" w:color="auto"/>
        <w:bottom w:val="none" w:sz="0" w:space="0" w:color="auto"/>
        <w:right w:val="none" w:sz="0" w:space="0" w:color="auto"/>
      </w:divBdr>
    </w:div>
    <w:div w:id="899710023">
      <w:bodyDiv w:val="1"/>
      <w:marLeft w:val="0"/>
      <w:marRight w:val="0"/>
      <w:marTop w:val="0"/>
      <w:marBottom w:val="0"/>
      <w:divBdr>
        <w:top w:val="none" w:sz="0" w:space="0" w:color="auto"/>
        <w:left w:val="none" w:sz="0" w:space="0" w:color="auto"/>
        <w:bottom w:val="none" w:sz="0" w:space="0" w:color="auto"/>
        <w:right w:val="none" w:sz="0" w:space="0" w:color="auto"/>
      </w:divBdr>
    </w:div>
    <w:div w:id="899822480">
      <w:bodyDiv w:val="1"/>
      <w:marLeft w:val="0"/>
      <w:marRight w:val="0"/>
      <w:marTop w:val="0"/>
      <w:marBottom w:val="0"/>
      <w:divBdr>
        <w:top w:val="none" w:sz="0" w:space="0" w:color="auto"/>
        <w:left w:val="none" w:sz="0" w:space="0" w:color="auto"/>
        <w:bottom w:val="none" w:sz="0" w:space="0" w:color="auto"/>
        <w:right w:val="none" w:sz="0" w:space="0" w:color="auto"/>
      </w:divBdr>
    </w:div>
    <w:div w:id="900139191">
      <w:bodyDiv w:val="1"/>
      <w:marLeft w:val="0"/>
      <w:marRight w:val="0"/>
      <w:marTop w:val="0"/>
      <w:marBottom w:val="0"/>
      <w:divBdr>
        <w:top w:val="none" w:sz="0" w:space="0" w:color="auto"/>
        <w:left w:val="none" w:sz="0" w:space="0" w:color="auto"/>
        <w:bottom w:val="none" w:sz="0" w:space="0" w:color="auto"/>
        <w:right w:val="none" w:sz="0" w:space="0" w:color="auto"/>
      </w:divBdr>
    </w:div>
    <w:div w:id="900292510">
      <w:bodyDiv w:val="1"/>
      <w:marLeft w:val="0"/>
      <w:marRight w:val="0"/>
      <w:marTop w:val="0"/>
      <w:marBottom w:val="0"/>
      <w:divBdr>
        <w:top w:val="none" w:sz="0" w:space="0" w:color="auto"/>
        <w:left w:val="none" w:sz="0" w:space="0" w:color="auto"/>
        <w:bottom w:val="none" w:sz="0" w:space="0" w:color="auto"/>
        <w:right w:val="none" w:sz="0" w:space="0" w:color="auto"/>
      </w:divBdr>
    </w:div>
    <w:div w:id="900293192">
      <w:bodyDiv w:val="1"/>
      <w:marLeft w:val="0"/>
      <w:marRight w:val="0"/>
      <w:marTop w:val="0"/>
      <w:marBottom w:val="0"/>
      <w:divBdr>
        <w:top w:val="none" w:sz="0" w:space="0" w:color="auto"/>
        <w:left w:val="none" w:sz="0" w:space="0" w:color="auto"/>
        <w:bottom w:val="none" w:sz="0" w:space="0" w:color="auto"/>
        <w:right w:val="none" w:sz="0" w:space="0" w:color="auto"/>
      </w:divBdr>
    </w:div>
    <w:div w:id="900409071">
      <w:bodyDiv w:val="1"/>
      <w:marLeft w:val="0"/>
      <w:marRight w:val="0"/>
      <w:marTop w:val="0"/>
      <w:marBottom w:val="0"/>
      <w:divBdr>
        <w:top w:val="none" w:sz="0" w:space="0" w:color="auto"/>
        <w:left w:val="none" w:sz="0" w:space="0" w:color="auto"/>
        <w:bottom w:val="none" w:sz="0" w:space="0" w:color="auto"/>
        <w:right w:val="none" w:sz="0" w:space="0" w:color="auto"/>
      </w:divBdr>
    </w:div>
    <w:div w:id="900671275">
      <w:bodyDiv w:val="1"/>
      <w:marLeft w:val="0"/>
      <w:marRight w:val="0"/>
      <w:marTop w:val="0"/>
      <w:marBottom w:val="0"/>
      <w:divBdr>
        <w:top w:val="none" w:sz="0" w:space="0" w:color="auto"/>
        <w:left w:val="none" w:sz="0" w:space="0" w:color="auto"/>
        <w:bottom w:val="none" w:sz="0" w:space="0" w:color="auto"/>
        <w:right w:val="none" w:sz="0" w:space="0" w:color="auto"/>
      </w:divBdr>
    </w:div>
    <w:div w:id="900679569">
      <w:bodyDiv w:val="1"/>
      <w:marLeft w:val="0"/>
      <w:marRight w:val="0"/>
      <w:marTop w:val="0"/>
      <w:marBottom w:val="0"/>
      <w:divBdr>
        <w:top w:val="none" w:sz="0" w:space="0" w:color="auto"/>
        <w:left w:val="none" w:sz="0" w:space="0" w:color="auto"/>
        <w:bottom w:val="none" w:sz="0" w:space="0" w:color="auto"/>
        <w:right w:val="none" w:sz="0" w:space="0" w:color="auto"/>
      </w:divBdr>
    </w:div>
    <w:div w:id="901141198">
      <w:bodyDiv w:val="1"/>
      <w:marLeft w:val="0"/>
      <w:marRight w:val="0"/>
      <w:marTop w:val="0"/>
      <w:marBottom w:val="0"/>
      <w:divBdr>
        <w:top w:val="none" w:sz="0" w:space="0" w:color="auto"/>
        <w:left w:val="none" w:sz="0" w:space="0" w:color="auto"/>
        <w:bottom w:val="none" w:sz="0" w:space="0" w:color="auto"/>
        <w:right w:val="none" w:sz="0" w:space="0" w:color="auto"/>
      </w:divBdr>
    </w:div>
    <w:div w:id="901603263">
      <w:bodyDiv w:val="1"/>
      <w:marLeft w:val="0"/>
      <w:marRight w:val="0"/>
      <w:marTop w:val="0"/>
      <w:marBottom w:val="0"/>
      <w:divBdr>
        <w:top w:val="none" w:sz="0" w:space="0" w:color="auto"/>
        <w:left w:val="none" w:sz="0" w:space="0" w:color="auto"/>
        <w:bottom w:val="none" w:sz="0" w:space="0" w:color="auto"/>
        <w:right w:val="none" w:sz="0" w:space="0" w:color="auto"/>
      </w:divBdr>
    </w:div>
    <w:div w:id="901714026">
      <w:bodyDiv w:val="1"/>
      <w:marLeft w:val="0"/>
      <w:marRight w:val="0"/>
      <w:marTop w:val="0"/>
      <w:marBottom w:val="0"/>
      <w:divBdr>
        <w:top w:val="none" w:sz="0" w:space="0" w:color="auto"/>
        <w:left w:val="none" w:sz="0" w:space="0" w:color="auto"/>
        <w:bottom w:val="none" w:sz="0" w:space="0" w:color="auto"/>
        <w:right w:val="none" w:sz="0" w:space="0" w:color="auto"/>
      </w:divBdr>
    </w:div>
    <w:div w:id="901791446">
      <w:bodyDiv w:val="1"/>
      <w:marLeft w:val="0"/>
      <w:marRight w:val="0"/>
      <w:marTop w:val="0"/>
      <w:marBottom w:val="0"/>
      <w:divBdr>
        <w:top w:val="none" w:sz="0" w:space="0" w:color="auto"/>
        <w:left w:val="none" w:sz="0" w:space="0" w:color="auto"/>
        <w:bottom w:val="none" w:sz="0" w:space="0" w:color="auto"/>
        <w:right w:val="none" w:sz="0" w:space="0" w:color="auto"/>
      </w:divBdr>
    </w:div>
    <w:div w:id="901985137">
      <w:bodyDiv w:val="1"/>
      <w:marLeft w:val="0"/>
      <w:marRight w:val="0"/>
      <w:marTop w:val="0"/>
      <w:marBottom w:val="0"/>
      <w:divBdr>
        <w:top w:val="none" w:sz="0" w:space="0" w:color="auto"/>
        <w:left w:val="none" w:sz="0" w:space="0" w:color="auto"/>
        <w:bottom w:val="none" w:sz="0" w:space="0" w:color="auto"/>
        <w:right w:val="none" w:sz="0" w:space="0" w:color="auto"/>
      </w:divBdr>
    </w:div>
    <w:div w:id="901989304">
      <w:bodyDiv w:val="1"/>
      <w:marLeft w:val="0"/>
      <w:marRight w:val="0"/>
      <w:marTop w:val="0"/>
      <w:marBottom w:val="0"/>
      <w:divBdr>
        <w:top w:val="none" w:sz="0" w:space="0" w:color="auto"/>
        <w:left w:val="none" w:sz="0" w:space="0" w:color="auto"/>
        <w:bottom w:val="none" w:sz="0" w:space="0" w:color="auto"/>
        <w:right w:val="none" w:sz="0" w:space="0" w:color="auto"/>
      </w:divBdr>
    </w:div>
    <w:div w:id="902134542">
      <w:bodyDiv w:val="1"/>
      <w:marLeft w:val="0"/>
      <w:marRight w:val="0"/>
      <w:marTop w:val="0"/>
      <w:marBottom w:val="0"/>
      <w:divBdr>
        <w:top w:val="none" w:sz="0" w:space="0" w:color="auto"/>
        <w:left w:val="none" w:sz="0" w:space="0" w:color="auto"/>
        <w:bottom w:val="none" w:sz="0" w:space="0" w:color="auto"/>
        <w:right w:val="none" w:sz="0" w:space="0" w:color="auto"/>
      </w:divBdr>
    </w:div>
    <w:div w:id="902328650">
      <w:bodyDiv w:val="1"/>
      <w:marLeft w:val="0"/>
      <w:marRight w:val="0"/>
      <w:marTop w:val="0"/>
      <w:marBottom w:val="0"/>
      <w:divBdr>
        <w:top w:val="none" w:sz="0" w:space="0" w:color="auto"/>
        <w:left w:val="none" w:sz="0" w:space="0" w:color="auto"/>
        <w:bottom w:val="none" w:sz="0" w:space="0" w:color="auto"/>
        <w:right w:val="none" w:sz="0" w:space="0" w:color="auto"/>
      </w:divBdr>
    </w:div>
    <w:div w:id="902330871">
      <w:bodyDiv w:val="1"/>
      <w:marLeft w:val="0"/>
      <w:marRight w:val="0"/>
      <w:marTop w:val="0"/>
      <w:marBottom w:val="0"/>
      <w:divBdr>
        <w:top w:val="none" w:sz="0" w:space="0" w:color="auto"/>
        <w:left w:val="none" w:sz="0" w:space="0" w:color="auto"/>
        <w:bottom w:val="none" w:sz="0" w:space="0" w:color="auto"/>
        <w:right w:val="none" w:sz="0" w:space="0" w:color="auto"/>
      </w:divBdr>
    </w:div>
    <w:div w:id="902564471">
      <w:bodyDiv w:val="1"/>
      <w:marLeft w:val="0"/>
      <w:marRight w:val="0"/>
      <w:marTop w:val="0"/>
      <w:marBottom w:val="0"/>
      <w:divBdr>
        <w:top w:val="none" w:sz="0" w:space="0" w:color="auto"/>
        <w:left w:val="none" w:sz="0" w:space="0" w:color="auto"/>
        <w:bottom w:val="none" w:sz="0" w:space="0" w:color="auto"/>
        <w:right w:val="none" w:sz="0" w:space="0" w:color="auto"/>
      </w:divBdr>
    </w:div>
    <w:div w:id="902833990">
      <w:bodyDiv w:val="1"/>
      <w:marLeft w:val="0"/>
      <w:marRight w:val="0"/>
      <w:marTop w:val="0"/>
      <w:marBottom w:val="0"/>
      <w:divBdr>
        <w:top w:val="none" w:sz="0" w:space="0" w:color="auto"/>
        <w:left w:val="none" w:sz="0" w:space="0" w:color="auto"/>
        <w:bottom w:val="none" w:sz="0" w:space="0" w:color="auto"/>
        <w:right w:val="none" w:sz="0" w:space="0" w:color="auto"/>
      </w:divBdr>
    </w:div>
    <w:div w:id="902955384">
      <w:bodyDiv w:val="1"/>
      <w:marLeft w:val="0"/>
      <w:marRight w:val="0"/>
      <w:marTop w:val="0"/>
      <w:marBottom w:val="0"/>
      <w:divBdr>
        <w:top w:val="none" w:sz="0" w:space="0" w:color="auto"/>
        <w:left w:val="none" w:sz="0" w:space="0" w:color="auto"/>
        <w:bottom w:val="none" w:sz="0" w:space="0" w:color="auto"/>
        <w:right w:val="none" w:sz="0" w:space="0" w:color="auto"/>
      </w:divBdr>
    </w:div>
    <w:div w:id="902982022">
      <w:bodyDiv w:val="1"/>
      <w:marLeft w:val="0"/>
      <w:marRight w:val="0"/>
      <w:marTop w:val="0"/>
      <w:marBottom w:val="0"/>
      <w:divBdr>
        <w:top w:val="none" w:sz="0" w:space="0" w:color="auto"/>
        <w:left w:val="none" w:sz="0" w:space="0" w:color="auto"/>
        <w:bottom w:val="none" w:sz="0" w:space="0" w:color="auto"/>
        <w:right w:val="none" w:sz="0" w:space="0" w:color="auto"/>
      </w:divBdr>
    </w:div>
    <w:div w:id="903560795">
      <w:bodyDiv w:val="1"/>
      <w:marLeft w:val="0"/>
      <w:marRight w:val="0"/>
      <w:marTop w:val="0"/>
      <w:marBottom w:val="0"/>
      <w:divBdr>
        <w:top w:val="none" w:sz="0" w:space="0" w:color="auto"/>
        <w:left w:val="none" w:sz="0" w:space="0" w:color="auto"/>
        <w:bottom w:val="none" w:sz="0" w:space="0" w:color="auto"/>
        <w:right w:val="none" w:sz="0" w:space="0" w:color="auto"/>
      </w:divBdr>
    </w:div>
    <w:div w:id="903562515">
      <w:bodyDiv w:val="1"/>
      <w:marLeft w:val="0"/>
      <w:marRight w:val="0"/>
      <w:marTop w:val="0"/>
      <w:marBottom w:val="0"/>
      <w:divBdr>
        <w:top w:val="none" w:sz="0" w:space="0" w:color="auto"/>
        <w:left w:val="none" w:sz="0" w:space="0" w:color="auto"/>
        <w:bottom w:val="none" w:sz="0" w:space="0" w:color="auto"/>
        <w:right w:val="none" w:sz="0" w:space="0" w:color="auto"/>
      </w:divBdr>
    </w:div>
    <w:div w:id="903873962">
      <w:bodyDiv w:val="1"/>
      <w:marLeft w:val="0"/>
      <w:marRight w:val="0"/>
      <w:marTop w:val="0"/>
      <w:marBottom w:val="0"/>
      <w:divBdr>
        <w:top w:val="none" w:sz="0" w:space="0" w:color="auto"/>
        <w:left w:val="none" w:sz="0" w:space="0" w:color="auto"/>
        <w:bottom w:val="none" w:sz="0" w:space="0" w:color="auto"/>
        <w:right w:val="none" w:sz="0" w:space="0" w:color="auto"/>
      </w:divBdr>
    </w:div>
    <w:div w:id="903878230">
      <w:bodyDiv w:val="1"/>
      <w:marLeft w:val="0"/>
      <w:marRight w:val="0"/>
      <w:marTop w:val="0"/>
      <w:marBottom w:val="0"/>
      <w:divBdr>
        <w:top w:val="none" w:sz="0" w:space="0" w:color="auto"/>
        <w:left w:val="none" w:sz="0" w:space="0" w:color="auto"/>
        <w:bottom w:val="none" w:sz="0" w:space="0" w:color="auto"/>
        <w:right w:val="none" w:sz="0" w:space="0" w:color="auto"/>
      </w:divBdr>
    </w:div>
    <w:div w:id="904072564">
      <w:bodyDiv w:val="1"/>
      <w:marLeft w:val="0"/>
      <w:marRight w:val="0"/>
      <w:marTop w:val="0"/>
      <w:marBottom w:val="0"/>
      <w:divBdr>
        <w:top w:val="none" w:sz="0" w:space="0" w:color="auto"/>
        <w:left w:val="none" w:sz="0" w:space="0" w:color="auto"/>
        <w:bottom w:val="none" w:sz="0" w:space="0" w:color="auto"/>
        <w:right w:val="none" w:sz="0" w:space="0" w:color="auto"/>
      </w:divBdr>
    </w:div>
    <w:div w:id="904685550">
      <w:bodyDiv w:val="1"/>
      <w:marLeft w:val="0"/>
      <w:marRight w:val="0"/>
      <w:marTop w:val="0"/>
      <w:marBottom w:val="0"/>
      <w:divBdr>
        <w:top w:val="none" w:sz="0" w:space="0" w:color="auto"/>
        <w:left w:val="none" w:sz="0" w:space="0" w:color="auto"/>
        <w:bottom w:val="none" w:sz="0" w:space="0" w:color="auto"/>
        <w:right w:val="none" w:sz="0" w:space="0" w:color="auto"/>
      </w:divBdr>
    </w:div>
    <w:div w:id="904801001">
      <w:bodyDiv w:val="1"/>
      <w:marLeft w:val="0"/>
      <w:marRight w:val="0"/>
      <w:marTop w:val="0"/>
      <w:marBottom w:val="0"/>
      <w:divBdr>
        <w:top w:val="none" w:sz="0" w:space="0" w:color="auto"/>
        <w:left w:val="none" w:sz="0" w:space="0" w:color="auto"/>
        <w:bottom w:val="none" w:sz="0" w:space="0" w:color="auto"/>
        <w:right w:val="none" w:sz="0" w:space="0" w:color="auto"/>
      </w:divBdr>
    </w:div>
    <w:div w:id="904874459">
      <w:bodyDiv w:val="1"/>
      <w:marLeft w:val="0"/>
      <w:marRight w:val="0"/>
      <w:marTop w:val="0"/>
      <w:marBottom w:val="0"/>
      <w:divBdr>
        <w:top w:val="none" w:sz="0" w:space="0" w:color="auto"/>
        <w:left w:val="none" w:sz="0" w:space="0" w:color="auto"/>
        <w:bottom w:val="none" w:sz="0" w:space="0" w:color="auto"/>
        <w:right w:val="none" w:sz="0" w:space="0" w:color="auto"/>
      </w:divBdr>
    </w:div>
    <w:div w:id="905191228">
      <w:bodyDiv w:val="1"/>
      <w:marLeft w:val="0"/>
      <w:marRight w:val="0"/>
      <w:marTop w:val="0"/>
      <w:marBottom w:val="0"/>
      <w:divBdr>
        <w:top w:val="none" w:sz="0" w:space="0" w:color="auto"/>
        <w:left w:val="none" w:sz="0" w:space="0" w:color="auto"/>
        <w:bottom w:val="none" w:sz="0" w:space="0" w:color="auto"/>
        <w:right w:val="none" w:sz="0" w:space="0" w:color="auto"/>
      </w:divBdr>
    </w:div>
    <w:div w:id="905338994">
      <w:bodyDiv w:val="1"/>
      <w:marLeft w:val="0"/>
      <w:marRight w:val="0"/>
      <w:marTop w:val="0"/>
      <w:marBottom w:val="0"/>
      <w:divBdr>
        <w:top w:val="none" w:sz="0" w:space="0" w:color="auto"/>
        <w:left w:val="none" w:sz="0" w:space="0" w:color="auto"/>
        <w:bottom w:val="none" w:sz="0" w:space="0" w:color="auto"/>
        <w:right w:val="none" w:sz="0" w:space="0" w:color="auto"/>
      </w:divBdr>
    </w:div>
    <w:div w:id="905607459">
      <w:bodyDiv w:val="1"/>
      <w:marLeft w:val="0"/>
      <w:marRight w:val="0"/>
      <w:marTop w:val="0"/>
      <w:marBottom w:val="0"/>
      <w:divBdr>
        <w:top w:val="none" w:sz="0" w:space="0" w:color="auto"/>
        <w:left w:val="none" w:sz="0" w:space="0" w:color="auto"/>
        <w:bottom w:val="none" w:sz="0" w:space="0" w:color="auto"/>
        <w:right w:val="none" w:sz="0" w:space="0" w:color="auto"/>
      </w:divBdr>
    </w:div>
    <w:div w:id="905796320">
      <w:bodyDiv w:val="1"/>
      <w:marLeft w:val="0"/>
      <w:marRight w:val="0"/>
      <w:marTop w:val="0"/>
      <w:marBottom w:val="0"/>
      <w:divBdr>
        <w:top w:val="none" w:sz="0" w:space="0" w:color="auto"/>
        <w:left w:val="none" w:sz="0" w:space="0" w:color="auto"/>
        <w:bottom w:val="none" w:sz="0" w:space="0" w:color="auto"/>
        <w:right w:val="none" w:sz="0" w:space="0" w:color="auto"/>
      </w:divBdr>
    </w:div>
    <w:div w:id="905802775">
      <w:bodyDiv w:val="1"/>
      <w:marLeft w:val="0"/>
      <w:marRight w:val="0"/>
      <w:marTop w:val="0"/>
      <w:marBottom w:val="0"/>
      <w:divBdr>
        <w:top w:val="none" w:sz="0" w:space="0" w:color="auto"/>
        <w:left w:val="none" w:sz="0" w:space="0" w:color="auto"/>
        <w:bottom w:val="none" w:sz="0" w:space="0" w:color="auto"/>
        <w:right w:val="none" w:sz="0" w:space="0" w:color="auto"/>
      </w:divBdr>
    </w:div>
    <w:div w:id="906114064">
      <w:bodyDiv w:val="1"/>
      <w:marLeft w:val="0"/>
      <w:marRight w:val="0"/>
      <w:marTop w:val="0"/>
      <w:marBottom w:val="0"/>
      <w:divBdr>
        <w:top w:val="none" w:sz="0" w:space="0" w:color="auto"/>
        <w:left w:val="none" w:sz="0" w:space="0" w:color="auto"/>
        <w:bottom w:val="none" w:sz="0" w:space="0" w:color="auto"/>
        <w:right w:val="none" w:sz="0" w:space="0" w:color="auto"/>
      </w:divBdr>
    </w:div>
    <w:div w:id="906257370">
      <w:bodyDiv w:val="1"/>
      <w:marLeft w:val="0"/>
      <w:marRight w:val="0"/>
      <w:marTop w:val="0"/>
      <w:marBottom w:val="0"/>
      <w:divBdr>
        <w:top w:val="none" w:sz="0" w:space="0" w:color="auto"/>
        <w:left w:val="none" w:sz="0" w:space="0" w:color="auto"/>
        <w:bottom w:val="none" w:sz="0" w:space="0" w:color="auto"/>
        <w:right w:val="none" w:sz="0" w:space="0" w:color="auto"/>
      </w:divBdr>
    </w:div>
    <w:div w:id="906302460">
      <w:bodyDiv w:val="1"/>
      <w:marLeft w:val="0"/>
      <w:marRight w:val="0"/>
      <w:marTop w:val="0"/>
      <w:marBottom w:val="0"/>
      <w:divBdr>
        <w:top w:val="none" w:sz="0" w:space="0" w:color="auto"/>
        <w:left w:val="none" w:sz="0" w:space="0" w:color="auto"/>
        <w:bottom w:val="none" w:sz="0" w:space="0" w:color="auto"/>
        <w:right w:val="none" w:sz="0" w:space="0" w:color="auto"/>
      </w:divBdr>
    </w:div>
    <w:div w:id="906303177">
      <w:bodyDiv w:val="1"/>
      <w:marLeft w:val="0"/>
      <w:marRight w:val="0"/>
      <w:marTop w:val="0"/>
      <w:marBottom w:val="0"/>
      <w:divBdr>
        <w:top w:val="none" w:sz="0" w:space="0" w:color="auto"/>
        <w:left w:val="none" w:sz="0" w:space="0" w:color="auto"/>
        <w:bottom w:val="none" w:sz="0" w:space="0" w:color="auto"/>
        <w:right w:val="none" w:sz="0" w:space="0" w:color="auto"/>
      </w:divBdr>
    </w:div>
    <w:div w:id="906379853">
      <w:bodyDiv w:val="1"/>
      <w:marLeft w:val="0"/>
      <w:marRight w:val="0"/>
      <w:marTop w:val="0"/>
      <w:marBottom w:val="0"/>
      <w:divBdr>
        <w:top w:val="none" w:sz="0" w:space="0" w:color="auto"/>
        <w:left w:val="none" w:sz="0" w:space="0" w:color="auto"/>
        <w:bottom w:val="none" w:sz="0" w:space="0" w:color="auto"/>
        <w:right w:val="none" w:sz="0" w:space="0" w:color="auto"/>
      </w:divBdr>
    </w:div>
    <w:div w:id="906502164">
      <w:bodyDiv w:val="1"/>
      <w:marLeft w:val="0"/>
      <w:marRight w:val="0"/>
      <w:marTop w:val="0"/>
      <w:marBottom w:val="0"/>
      <w:divBdr>
        <w:top w:val="none" w:sz="0" w:space="0" w:color="auto"/>
        <w:left w:val="none" w:sz="0" w:space="0" w:color="auto"/>
        <w:bottom w:val="none" w:sz="0" w:space="0" w:color="auto"/>
        <w:right w:val="none" w:sz="0" w:space="0" w:color="auto"/>
      </w:divBdr>
    </w:div>
    <w:div w:id="906764611">
      <w:bodyDiv w:val="1"/>
      <w:marLeft w:val="0"/>
      <w:marRight w:val="0"/>
      <w:marTop w:val="0"/>
      <w:marBottom w:val="0"/>
      <w:divBdr>
        <w:top w:val="none" w:sz="0" w:space="0" w:color="auto"/>
        <w:left w:val="none" w:sz="0" w:space="0" w:color="auto"/>
        <w:bottom w:val="none" w:sz="0" w:space="0" w:color="auto"/>
        <w:right w:val="none" w:sz="0" w:space="0" w:color="auto"/>
      </w:divBdr>
    </w:div>
    <w:div w:id="906769944">
      <w:bodyDiv w:val="1"/>
      <w:marLeft w:val="0"/>
      <w:marRight w:val="0"/>
      <w:marTop w:val="0"/>
      <w:marBottom w:val="0"/>
      <w:divBdr>
        <w:top w:val="none" w:sz="0" w:space="0" w:color="auto"/>
        <w:left w:val="none" w:sz="0" w:space="0" w:color="auto"/>
        <w:bottom w:val="none" w:sz="0" w:space="0" w:color="auto"/>
        <w:right w:val="none" w:sz="0" w:space="0" w:color="auto"/>
      </w:divBdr>
    </w:div>
    <w:div w:id="906958595">
      <w:bodyDiv w:val="1"/>
      <w:marLeft w:val="0"/>
      <w:marRight w:val="0"/>
      <w:marTop w:val="0"/>
      <w:marBottom w:val="0"/>
      <w:divBdr>
        <w:top w:val="none" w:sz="0" w:space="0" w:color="auto"/>
        <w:left w:val="none" w:sz="0" w:space="0" w:color="auto"/>
        <w:bottom w:val="none" w:sz="0" w:space="0" w:color="auto"/>
        <w:right w:val="none" w:sz="0" w:space="0" w:color="auto"/>
      </w:divBdr>
    </w:div>
    <w:div w:id="907230342">
      <w:bodyDiv w:val="1"/>
      <w:marLeft w:val="0"/>
      <w:marRight w:val="0"/>
      <w:marTop w:val="0"/>
      <w:marBottom w:val="0"/>
      <w:divBdr>
        <w:top w:val="none" w:sz="0" w:space="0" w:color="auto"/>
        <w:left w:val="none" w:sz="0" w:space="0" w:color="auto"/>
        <w:bottom w:val="none" w:sz="0" w:space="0" w:color="auto"/>
        <w:right w:val="none" w:sz="0" w:space="0" w:color="auto"/>
      </w:divBdr>
    </w:div>
    <w:div w:id="907574268">
      <w:bodyDiv w:val="1"/>
      <w:marLeft w:val="0"/>
      <w:marRight w:val="0"/>
      <w:marTop w:val="0"/>
      <w:marBottom w:val="0"/>
      <w:divBdr>
        <w:top w:val="none" w:sz="0" w:space="0" w:color="auto"/>
        <w:left w:val="none" w:sz="0" w:space="0" w:color="auto"/>
        <w:bottom w:val="none" w:sz="0" w:space="0" w:color="auto"/>
        <w:right w:val="none" w:sz="0" w:space="0" w:color="auto"/>
      </w:divBdr>
    </w:div>
    <w:div w:id="907690688">
      <w:bodyDiv w:val="1"/>
      <w:marLeft w:val="0"/>
      <w:marRight w:val="0"/>
      <w:marTop w:val="0"/>
      <w:marBottom w:val="0"/>
      <w:divBdr>
        <w:top w:val="none" w:sz="0" w:space="0" w:color="auto"/>
        <w:left w:val="none" w:sz="0" w:space="0" w:color="auto"/>
        <w:bottom w:val="none" w:sz="0" w:space="0" w:color="auto"/>
        <w:right w:val="none" w:sz="0" w:space="0" w:color="auto"/>
      </w:divBdr>
    </w:div>
    <w:div w:id="907808031">
      <w:bodyDiv w:val="1"/>
      <w:marLeft w:val="0"/>
      <w:marRight w:val="0"/>
      <w:marTop w:val="0"/>
      <w:marBottom w:val="0"/>
      <w:divBdr>
        <w:top w:val="none" w:sz="0" w:space="0" w:color="auto"/>
        <w:left w:val="none" w:sz="0" w:space="0" w:color="auto"/>
        <w:bottom w:val="none" w:sz="0" w:space="0" w:color="auto"/>
        <w:right w:val="none" w:sz="0" w:space="0" w:color="auto"/>
      </w:divBdr>
    </w:div>
    <w:div w:id="908152587">
      <w:bodyDiv w:val="1"/>
      <w:marLeft w:val="0"/>
      <w:marRight w:val="0"/>
      <w:marTop w:val="0"/>
      <w:marBottom w:val="0"/>
      <w:divBdr>
        <w:top w:val="none" w:sz="0" w:space="0" w:color="auto"/>
        <w:left w:val="none" w:sz="0" w:space="0" w:color="auto"/>
        <w:bottom w:val="none" w:sz="0" w:space="0" w:color="auto"/>
        <w:right w:val="none" w:sz="0" w:space="0" w:color="auto"/>
      </w:divBdr>
    </w:div>
    <w:div w:id="908225520">
      <w:bodyDiv w:val="1"/>
      <w:marLeft w:val="0"/>
      <w:marRight w:val="0"/>
      <w:marTop w:val="0"/>
      <w:marBottom w:val="0"/>
      <w:divBdr>
        <w:top w:val="none" w:sz="0" w:space="0" w:color="auto"/>
        <w:left w:val="none" w:sz="0" w:space="0" w:color="auto"/>
        <w:bottom w:val="none" w:sz="0" w:space="0" w:color="auto"/>
        <w:right w:val="none" w:sz="0" w:space="0" w:color="auto"/>
      </w:divBdr>
    </w:div>
    <w:div w:id="908345007">
      <w:bodyDiv w:val="1"/>
      <w:marLeft w:val="0"/>
      <w:marRight w:val="0"/>
      <w:marTop w:val="0"/>
      <w:marBottom w:val="0"/>
      <w:divBdr>
        <w:top w:val="none" w:sz="0" w:space="0" w:color="auto"/>
        <w:left w:val="none" w:sz="0" w:space="0" w:color="auto"/>
        <w:bottom w:val="none" w:sz="0" w:space="0" w:color="auto"/>
        <w:right w:val="none" w:sz="0" w:space="0" w:color="auto"/>
      </w:divBdr>
    </w:div>
    <w:div w:id="908347032">
      <w:bodyDiv w:val="1"/>
      <w:marLeft w:val="0"/>
      <w:marRight w:val="0"/>
      <w:marTop w:val="0"/>
      <w:marBottom w:val="0"/>
      <w:divBdr>
        <w:top w:val="none" w:sz="0" w:space="0" w:color="auto"/>
        <w:left w:val="none" w:sz="0" w:space="0" w:color="auto"/>
        <w:bottom w:val="none" w:sz="0" w:space="0" w:color="auto"/>
        <w:right w:val="none" w:sz="0" w:space="0" w:color="auto"/>
      </w:divBdr>
    </w:div>
    <w:div w:id="908610678">
      <w:bodyDiv w:val="1"/>
      <w:marLeft w:val="0"/>
      <w:marRight w:val="0"/>
      <w:marTop w:val="0"/>
      <w:marBottom w:val="0"/>
      <w:divBdr>
        <w:top w:val="none" w:sz="0" w:space="0" w:color="auto"/>
        <w:left w:val="none" w:sz="0" w:space="0" w:color="auto"/>
        <w:bottom w:val="none" w:sz="0" w:space="0" w:color="auto"/>
        <w:right w:val="none" w:sz="0" w:space="0" w:color="auto"/>
      </w:divBdr>
    </w:div>
    <w:div w:id="908688901">
      <w:bodyDiv w:val="1"/>
      <w:marLeft w:val="0"/>
      <w:marRight w:val="0"/>
      <w:marTop w:val="0"/>
      <w:marBottom w:val="0"/>
      <w:divBdr>
        <w:top w:val="none" w:sz="0" w:space="0" w:color="auto"/>
        <w:left w:val="none" w:sz="0" w:space="0" w:color="auto"/>
        <w:bottom w:val="none" w:sz="0" w:space="0" w:color="auto"/>
        <w:right w:val="none" w:sz="0" w:space="0" w:color="auto"/>
      </w:divBdr>
    </w:div>
    <w:div w:id="909576946">
      <w:bodyDiv w:val="1"/>
      <w:marLeft w:val="0"/>
      <w:marRight w:val="0"/>
      <w:marTop w:val="0"/>
      <w:marBottom w:val="0"/>
      <w:divBdr>
        <w:top w:val="none" w:sz="0" w:space="0" w:color="auto"/>
        <w:left w:val="none" w:sz="0" w:space="0" w:color="auto"/>
        <w:bottom w:val="none" w:sz="0" w:space="0" w:color="auto"/>
        <w:right w:val="none" w:sz="0" w:space="0" w:color="auto"/>
      </w:divBdr>
    </w:div>
    <w:div w:id="909923260">
      <w:bodyDiv w:val="1"/>
      <w:marLeft w:val="0"/>
      <w:marRight w:val="0"/>
      <w:marTop w:val="0"/>
      <w:marBottom w:val="0"/>
      <w:divBdr>
        <w:top w:val="none" w:sz="0" w:space="0" w:color="auto"/>
        <w:left w:val="none" w:sz="0" w:space="0" w:color="auto"/>
        <w:bottom w:val="none" w:sz="0" w:space="0" w:color="auto"/>
        <w:right w:val="none" w:sz="0" w:space="0" w:color="auto"/>
      </w:divBdr>
    </w:div>
    <w:div w:id="909970504">
      <w:bodyDiv w:val="1"/>
      <w:marLeft w:val="0"/>
      <w:marRight w:val="0"/>
      <w:marTop w:val="0"/>
      <w:marBottom w:val="0"/>
      <w:divBdr>
        <w:top w:val="none" w:sz="0" w:space="0" w:color="auto"/>
        <w:left w:val="none" w:sz="0" w:space="0" w:color="auto"/>
        <w:bottom w:val="none" w:sz="0" w:space="0" w:color="auto"/>
        <w:right w:val="none" w:sz="0" w:space="0" w:color="auto"/>
      </w:divBdr>
    </w:div>
    <w:div w:id="911113189">
      <w:bodyDiv w:val="1"/>
      <w:marLeft w:val="0"/>
      <w:marRight w:val="0"/>
      <w:marTop w:val="0"/>
      <w:marBottom w:val="0"/>
      <w:divBdr>
        <w:top w:val="none" w:sz="0" w:space="0" w:color="auto"/>
        <w:left w:val="none" w:sz="0" w:space="0" w:color="auto"/>
        <w:bottom w:val="none" w:sz="0" w:space="0" w:color="auto"/>
        <w:right w:val="none" w:sz="0" w:space="0" w:color="auto"/>
      </w:divBdr>
    </w:div>
    <w:div w:id="911156075">
      <w:bodyDiv w:val="1"/>
      <w:marLeft w:val="0"/>
      <w:marRight w:val="0"/>
      <w:marTop w:val="0"/>
      <w:marBottom w:val="0"/>
      <w:divBdr>
        <w:top w:val="none" w:sz="0" w:space="0" w:color="auto"/>
        <w:left w:val="none" w:sz="0" w:space="0" w:color="auto"/>
        <w:bottom w:val="none" w:sz="0" w:space="0" w:color="auto"/>
        <w:right w:val="none" w:sz="0" w:space="0" w:color="auto"/>
      </w:divBdr>
    </w:div>
    <w:div w:id="911624803">
      <w:bodyDiv w:val="1"/>
      <w:marLeft w:val="0"/>
      <w:marRight w:val="0"/>
      <w:marTop w:val="0"/>
      <w:marBottom w:val="0"/>
      <w:divBdr>
        <w:top w:val="none" w:sz="0" w:space="0" w:color="auto"/>
        <w:left w:val="none" w:sz="0" w:space="0" w:color="auto"/>
        <w:bottom w:val="none" w:sz="0" w:space="0" w:color="auto"/>
        <w:right w:val="none" w:sz="0" w:space="0" w:color="auto"/>
      </w:divBdr>
    </w:div>
    <w:div w:id="911888615">
      <w:bodyDiv w:val="1"/>
      <w:marLeft w:val="0"/>
      <w:marRight w:val="0"/>
      <w:marTop w:val="0"/>
      <w:marBottom w:val="0"/>
      <w:divBdr>
        <w:top w:val="none" w:sz="0" w:space="0" w:color="auto"/>
        <w:left w:val="none" w:sz="0" w:space="0" w:color="auto"/>
        <w:bottom w:val="none" w:sz="0" w:space="0" w:color="auto"/>
        <w:right w:val="none" w:sz="0" w:space="0" w:color="auto"/>
      </w:divBdr>
    </w:div>
    <w:div w:id="911964487">
      <w:bodyDiv w:val="1"/>
      <w:marLeft w:val="0"/>
      <w:marRight w:val="0"/>
      <w:marTop w:val="0"/>
      <w:marBottom w:val="0"/>
      <w:divBdr>
        <w:top w:val="none" w:sz="0" w:space="0" w:color="auto"/>
        <w:left w:val="none" w:sz="0" w:space="0" w:color="auto"/>
        <w:bottom w:val="none" w:sz="0" w:space="0" w:color="auto"/>
        <w:right w:val="none" w:sz="0" w:space="0" w:color="auto"/>
      </w:divBdr>
    </w:div>
    <w:div w:id="912157958">
      <w:bodyDiv w:val="1"/>
      <w:marLeft w:val="0"/>
      <w:marRight w:val="0"/>
      <w:marTop w:val="0"/>
      <w:marBottom w:val="0"/>
      <w:divBdr>
        <w:top w:val="none" w:sz="0" w:space="0" w:color="auto"/>
        <w:left w:val="none" w:sz="0" w:space="0" w:color="auto"/>
        <w:bottom w:val="none" w:sz="0" w:space="0" w:color="auto"/>
        <w:right w:val="none" w:sz="0" w:space="0" w:color="auto"/>
      </w:divBdr>
    </w:div>
    <w:div w:id="912349268">
      <w:bodyDiv w:val="1"/>
      <w:marLeft w:val="0"/>
      <w:marRight w:val="0"/>
      <w:marTop w:val="0"/>
      <w:marBottom w:val="0"/>
      <w:divBdr>
        <w:top w:val="none" w:sz="0" w:space="0" w:color="auto"/>
        <w:left w:val="none" w:sz="0" w:space="0" w:color="auto"/>
        <w:bottom w:val="none" w:sz="0" w:space="0" w:color="auto"/>
        <w:right w:val="none" w:sz="0" w:space="0" w:color="auto"/>
      </w:divBdr>
    </w:div>
    <w:div w:id="912472950">
      <w:bodyDiv w:val="1"/>
      <w:marLeft w:val="0"/>
      <w:marRight w:val="0"/>
      <w:marTop w:val="0"/>
      <w:marBottom w:val="0"/>
      <w:divBdr>
        <w:top w:val="none" w:sz="0" w:space="0" w:color="auto"/>
        <w:left w:val="none" w:sz="0" w:space="0" w:color="auto"/>
        <w:bottom w:val="none" w:sz="0" w:space="0" w:color="auto"/>
        <w:right w:val="none" w:sz="0" w:space="0" w:color="auto"/>
      </w:divBdr>
    </w:div>
    <w:div w:id="912739636">
      <w:bodyDiv w:val="1"/>
      <w:marLeft w:val="0"/>
      <w:marRight w:val="0"/>
      <w:marTop w:val="0"/>
      <w:marBottom w:val="0"/>
      <w:divBdr>
        <w:top w:val="none" w:sz="0" w:space="0" w:color="auto"/>
        <w:left w:val="none" w:sz="0" w:space="0" w:color="auto"/>
        <w:bottom w:val="none" w:sz="0" w:space="0" w:color="auto"/>
        <w:right w:val="none" w:sz="0" w:space="0" w:color="auto"/>
      </w:divBdr>
    </w:div>
    <w:div w:id="912809903">
      <w:bodyDiv w:val="1"/>
      <w:marLeft w:val="0"/>
      <w:marRight w:val="0"/>
      <w:marTop w:val="0"/>
      <w:marBottom w:val="0"/>
      <w:divBdr>
        <w:top w:val="none" w:sz="0" w:space="0" w:color="auto"/>
        <w:left w:val="none" w:sz="0" w:space="0" w:color="auto"/>
        <w:bottom w:val="none" w:sz="0" w:space="0" w:color="auto"/>
        <w:right w:val="none" w:sz="0" w:space="0" w:color="auto"/>
      </w:divBdr>
    </w:div>
    <w:div w:id="912852592">
      <w:bodyDiv w:val="1"/>
      <w:marLeft w:val="0"/>
      <w:marRight w:val="0"/>
      <w:marTop w:val="0"/>
      <w:marBottom w:val="0"/>
      <w:divBdr>
        <w:top w:val="none" w:sz="0" w:space="0" w:color="auto"/>
        <w:left w:val="none" w:sz="0" w:space="0" w:color="auto"/>
        <w:bottom w:val="none" w:sz="0" w:space="0" w:color="auto"/>
        <w:right w:val="none" w:sz="0" w:space="0" w:color="auto"/>
      </w:divBdr>
    </w:div>
    <w:div w:id="912931011">
      <w:bodyDiv w:val="1"/>
      <w:marLeft w:val="0"/>
      <w:marRight w:val="0"/>
      <w:marTop w:val="0"/>
      <w:marBottom w:val="0"/>
      <w:divBdr>
        <w:top w:val="none" w:sz="0" w:space="0" w:color="auto"/>
        <w:left w:val="none" w:sz="0" w:space="0" w:color="auto"/>
        <w:bottom w:val="none" w:sz="0" w:space="0" w:color="auto"/>
        <w:right w:val="none" w:sz="0" w:space="0" w:color="auto"/>
      </w:divBdr>
    </w:div>
    <w:div w:id="912931850">
      <w:bodyDiv w:val="1"/>
      <w:marLeft w:val="0"/>
      <w:marRight w:val="0"/>
      <w:marTop w:val="0"/>
      <w:marBottom w:val="0"/>
      <w:divBdr>
        <w:top w:val="none" w:sz="0" w:space="0" w:color="auto"/>
        <w:left w:val="none" w:sz="0" w:space="0" w:color="auto"/>
        <w:bottom w:val="none" w:sz="0" w:space="0" w:color="auto"/>
        <w:right w:val="none" w:sz="0" w:space="0" w:color="auto"/>
      </w:divBdr>
    </w:div>
    <w:div w:id="913011743">
      <w:bodyDiv w:val="1"/>
      <w:marLeft w:val="0"/>
      <w:marRight w:val="0"/>
      <w:marTop w:val="0"/>
      <w:marBottom w:val="0"/>
      <w:divBdr>
        <w:top w:val="none" w:sz="0" w:space="0" w:color="auto"/>
        <w:left w:val="none" w:sz="0" w:space="0" w:color="auto"/>
        <w:bottom w:val="none" w:sz="0" w:space="0" w:color="auto"/>
        <w:right w:val="none" w:sz="0" w:space="0" w:color="auto"/>
      </w:divBdr>
    </w:div>
    <w:div w:id="913051091">
      <w:bodyDiv w:val="1"/>
      <w:marLeft w:val="0"/>
      <w:marRight w:val="0"/>
      <w:marTop w:val="0"/>
      <w:marBottom w:val="0"/>
      <w:divBdr>
        <w:top w:val="none" w:sz="0" w:space="0" w:color="auto"/>
        <w:left w:val="none" w:sz="0" w:space="0" w:color="auto"/>
        <w:bottom w:val="none" w:sz="0" w:space="0" w:color="auto"/>
        <w:right w:val="none" w:sz="0" w:space="0" w:color="auto"/>
      </w:divBdr>
    </w:div>
    <w:div w:id="913322923">
      <w:bodyDiv w:val="1"/>
      <w:marLeft w:val="0"/>
      <w:marRight w:val="0"/>
      <w:marTop w:val="0"/>
      <w:marBottom w:val="0"/>
      <w:divBdr>
        <w:top w:val="none" w:sz="0" w:space="0" w:color="auto"/>
        <w:left w:val="none" w:sz="0" w:space="0" w:color="auto"/>
        <w:bottom w:val="none" w:sz="0" w:space="0" w:color="auto"/>
        <w:right w:val="none" w:sz="0" w:space="0" w:color="auto"/>
      </w:divBdr>
    </w:div>
    <w:div w:id="913590725">
      <w:bodyDiv w:val="1"/>
      <w:marLeft w:val="0"/>
      <w:marRight w:val="0"/>
      <w:marTop w:val="0"/>
      <w:marBottom w:val="0"/>
      <w:divBdr>
        <w:top w:val="none" w:sz="0" w:space="0" w:color="auto"/>
        <w:left w:val="none" w:sz="0" w:space="0" w:color="auto"/>
        <w:bottom w:val="none" w:sz="0" w:space="0" w:color="auto"/>
        <w:right w:val="none" w:sz="0" w:space="0" w:color="auto"/>
      </w:divBdr>
    </w:div>
    <w:div w:id="913661082">
      <w:bodyDiv w:val="1"/>
      <w:marLeft w:val="0"/>
      <w:marRight w:val="0"/>
      <w:marTop w:val="0"/>
      <w:marBottom w:val="0"/>
      <w:divBdr>
        <w:top w:val="none" w:sz="0" w:space="0" w:color="auto"/>
        <w:left w:val="none" w:sz="0" w:space="0" w:color="auto"/>
        <w:bottom w:val="none" w:sz="0" w:space="0" w:color="auto"/>
        <w:right w:val="none" w:sz="0" w:space="0" w:color="auto"/>
      </w:divBdr>
    </w:div>
    <w:div w:id="913705953">
      <w:bodyDiv w:val="1"/>
      <w:marLeft w:val="0"/>
      <w:marRight w:val="0"/>
      <w:marTop w:val="0"/>
      <w:marBottom w:val="0"/>
      <w:divBdr>
        <w:top w:val="none" w:sz="0" w:space="0" w:color="auto"/>
        <w:left w:val="none" w:sz="0" w:space="0" w:color="auto"/>
        <w:bottom w:val="none" w:sz="0" w:space="0" w:color="auto"/>
        <w:right w:val="none" w:sz="0" w:space="0" w:color="auto"/>
      </w:divBdr>
    </w:div>
    <w:div w:id="914362134">
      <w:bodyDiv w:val="1"/>
      <w:marLeft w:val="0"/>
      <w:marRight w:val="0"/>
      <w:marTop w:val="0"/>
      <w:marBottom w:val="0"/>
      <w:divBdr>
        <w:top w:val="none" w:sz="0" w:space="0" w:color="auto"/>
        <w:left w:val="none" w:sz="0" w:space="0" w:color="auto"/>
        <w:bottom w:val="none" w:sz="0" w:space="0" w:color="auto"/>
        <w:right w:val="none" w:sz="0" w:space="0" w:color="auto"/>
      </w:divBdr>
    </w:div>
    <w:div w:id="914432591">
      <w:bodyDiv w:val="1"/>
      <w:marLeft w:val="0"/>
      <w:marRight w:val="0"/>
      <w:marTop w:val="0"/>
      <w:marBottom w:val="0"/>
      <w:divBdr>
        <w:top w:val="none" w:sz="0" w:space="0" w:color="auto"/>
        <w:left w:val="none" w:sz="0" w:space="0" w:color="auto"/>
        <w:bottom w:val="none" w:sz="0" w:space="0" w:color="auto"/>
        <w:right w:val="none" w:sz="0" w:space="0" w:color="auto"/>
      </w:divBdr>
    </w:div>
    <w:div w:id="914777519">
      <w:bodyDiv w:val="1"/>
      <w:marLeft w:val="0"/>
      <w:marRight w:val="0"/>
      <w:marTop w:val="0"/>
      <w:marBottom w:val="0"/>
      <w:divBdr>
        <w:top w:val="none" w:sz="0" w:space="0" w:color="auto"/>
        <w:left w:val="none" w:sz="0" w:space="0" w:color="auto"/>
        <w:bottom w:val="none" w:sz="0" w:space="0" w:color="auto"/>
        <w:right w:val="none" w:sz="0" w:space="0" w:color="auto"/>
      </w:divBdr>
    </w:div>
    <w:div w:id="915473941">
      <w:bodyDiv w:val="1"/>
      <w:marLeft w:val="0"/>
      <w:marRight w:val="0"/>
      <w:marTop w:val="0"/>
      <w:marBottom w:val="0"/>
      <w:divBdr>
        <w:top w:val="none" w:sz="0" w:space="0" w:color="auto"/>
        <w:left w:val="none" w:sz="0" w:space="0" w:color="auto"/>
        <w:bottom w:val="none" w:sz="0" w:space="0" w:color="auto"/>
        <w:right w:val="none" w:sz="0" w:space="0" w:color="auto"/>
      </w:divBdr>
    </w:div>
    <w:div w:id="915624949">
      <w:bodyDiv w:val="1"/>
      <w:marLeft w:val="0"/>
      <w:marRight w:val="0"/>
      <w:marTop w:val="0"/>
      <w:marBottom w:val="0"/>
      <w:divBdr>
        <w:top w:val="none" w:sz="0" w:space="0" w:color="auto"/>
        <w:left w:val="none" w:sz="0" w:space="0" w:color="auto"/>
        <w:bottom w:val="none" w:sz="0" w:space="0" w:color="auto"/>
        <w:right w:val="none" w:sz="0" w:space="0" w:color="auto"/>
      </w:divBdr>
    </w:div>
    <w:div w:id="915869783">
      <w:bodyDiv w:val="1"/>
      <w:marLeft w:val="0"/>
      <w:marRight w:val="0"/>
      <w:marTop w:val="0"/>
      <w:marBottom w:val="0"/>
      <w:divBdr>
        <w:top w:val="none" w:sz="0" w:space="0" w:color="auto"/>
        <w:left w:val="none" w:sz="0" w:space="0" w:color="auto"/>
        <w:bottom w:val="none" w:sz="0" w:space="0" w:color="auto"/>
        <w:right w:val="none" w:sz="0" w:space="0" w:color="auto"/>
      </w:divBdr>
    </w:div>
    <w:div w:id="915895792">
      <w:bodyDiv w:val="1"/>
      <w:marLeft w:val="0"/>
      <w:marRight w:val="0"/>
      <w:marTop w:val="0"/>
      <w:marBottom w:val="0"/>
      <w:divBdr>
        <w:top w:val="none" w:sz="0" w:space="0" w:color="auto"/>
        <w:left w:val="none" w:sz="0" w:space="0" w:color="auto"/>
        <w:bottom w:val="none" w:sz="0" w:space="0" w:color="auto"/>
        <w:right w:val="none" w:sz="0" w:space="0" w:color="auto"/>
      </w:divBdr>
    </w:div>
    <w:div w:id="915937674">
      <w:bodyDiv w:val="1"/>
      <w:marLeft w:val="0"/>
      <w:marRight w:val="0"/>
      <w:marTop w:val="0"/>
      <w:marBottom w:val="0"/>
      <w:divBdr>
        <w:top w:val="none" w:sz="0" w:space="0" w:color="auto"/>
        <w:left w:val="none" w:sz="0" w:space="0" w:color="auto"/>
        <w:bottom w:val="none" w:sz="0" w:space="0" w:color="auto"/>
        <w:right w:val="none" w:sz="0" w:space="0" w:color="auto"/>
      </w:divBdr>
    </w:div>
    <w:div w:id="915943840">
      <w:bodyDiv w:val="1"/>
      <w:marLeft w:val="0"/>
      <w:marRight w:val="0"/>
      <w:marTop w:val="0"/>
      <w:marBottom w:val="0"/>
      <w:divBdr>
        <w:top w:val="none" w:sz="0" w:space="0" w:color="auto"/>
        <w:left w:val="none" w:sz="0" w:space="0" w:color="auto"/>
        <w:bottom w:val="none" w:sz="0" w:space="0" w:color="auto"/>
        <w:right w:val="none" w:sz="0" w:space="0" w:color="auto"/>
      </w:divBdr>
    </w:div>
    <w:div w:id="916088339">
      <w:bodyDiv w:val="1"/>
      <w:marLeft w:val="0"/>
      <w:marRight w:val="0"/>
      <w:marTop w:val="0"/>
      <w:marBottom w:val="0"/>
      <w:divBdr>
        <w:top w:val="none" w:sz="0" w:space="0" w:color="auto"/>
        <w:left w:val="none" w:sz="0" w:space="0" w:color="auto"/>
        <w:bottom w:val="none" w:sz="0" w:space="0" w:color="auto"/>
        <w:right w:val="none" w:sz="0" w:space="0" w:color="auto"/>
      </w:divBdr>
    </w:div>
    <w:div w:id="916211427">
      <w:bodyDiv w:val="1"/>
      <w:marLeft w:val="0"/>
      <w:marRight w:val="0"/>
      <w:marTop w:val="0"/>
      <w:marBottom w:val="0"/>
      <w:divBdr>
        <w:top w:val="none" w:sz="0" w:space="0" w:color="auto"/>
        <w:left w:val="none" w:sz="0" w:space="0" w:color="auto"/>
        <w:bottom w:val="none" w:sz="0" w:space="0" w:color="auto"/>
        <w:right w:val="none" w:sz="0" w:space="0" w:color="auto"/>
      </w:divBdr>
    </w:div>
    <w:div w:id="916326670">
      <w:bodyDiv w:val="1"/>
      <w:marLeft w:val="0"/>
      <w:marRight w:val="0"/>
      <w:marTop w:val="0"/>
      <w:marBottom w:val="0"/>
      <w:divBdr>
        <w:top w:val="none" w:sz="0" w:space="0" w:color="auto"/>
        <w:left w:val="none" w:sz="0" w:space="0" w:color="auto"/>
        <w:bottom w:val="none" w:sz="0" w:space="0" w:color="auto"/>
        <w:right w:val="none" w:sz="0" w:space="0" w:color="auto"/>
      </w:divBdr>
    </w:div>
    <w:div w:id="916791819">
      <w:bodyDiv w:val="1"/>
      <w:marLeft w:val="0"/>
      <w:marRight w:val="0"/>
      <w:marTop w:val="0"/>
      <w:marBottom w:val="0"/>
      <w:divBdr>
        <w:top w:val="none" w:sz="0" w:space="0" w:color="auto"/>
        <w:left w:val="none" w:sz="0" w:space="0" w:color="auto"/>
        <w:bottom w:val="none" w:sz="0" w:space="0" w:color="auto"/>
        <w:right w:val="none" w:sz="0" w:space="0" w:color="auto"/>
      </w:divBdr>
    </w:div>
    <w:div w:id="917400575">
      <w:bodyDiv w:val="1"/>
      <w:marLeft w:val="0"/>
      <w:marRight w:val="0"/>
      <w:marTop w:val="0"/>
      <w:marBottom w:val="0"/>
      <w:divBdr>
        <w:top w:val="none" w:sz="0" w:space="0" w:color="auto"/>
        <w:left w:val="none" w:sz="0" w:space="0" w:color="auto"/>
        <w:bottom w:val="none" w:sz="0" w:space="0" w:color="auto"/>
        <w:right w:val="none" w:sz="0" w:space="0" w:color="auto"/>
      </w:divBdr>
    </w:div>
    <w:div w:id="917599039">
      <w:bodyDiv w:val="1"/>
      <w:marLeft w:val="0"/>
      <w:marRight w:val="0"/>
      <w:marTop w:val="0"/>
      <w:marBottom w:val="0"/>
      <w:divBdr>
        <w:top w:val="none" w:sz="0" w:space="0" w:color="auto"/>
        <w:left w:val="none" w:sz="0" w:space="0" w:color="auto"/>
        <w:bottom w:val="none" w:sz="0" w:space="0" w:color="auto"/>
        <w:right w:val="none" w:sz="0" w:space="0" w:color="auto"/>
      </w:divBdr>
    </w:div>
    <w:div w:id="917635113">
      <w:bodyDiv w:val="1"/>
      <w:marLeft w:val="0"/>
      <w:marRight w:val="0"/>
      <w:marTop w:val="0"/>
      <w:marBottom w:val="0"/>
      <w:divBdr>
        <w:top w:val="none" w:sz="0" w:space="0" w:color="auto"/>
        <w:left w:val="none" w:sz="0" w:space="0" w:color="auto"/>
        <w:bottom w:val="none" w:sz="0" w:space="0" w:color="auto"/>
        <w:right w:val="none" w:sz="0" w:space="0" w:color="auto"/>
      </w:divBdr>
    </w:div>
    <w:div w:id="917910768">
      <w:bodyDiv w:val="1"/>
      <w:marLeft w:val="0"/>
      <w:marRight w:val="0"/>
      <w:marTop w:val="0"/>
      <w:marBottom w:val="0"/>
      <w:divBdr>
        <w:top w:val="none" w:sz="0" w:space="0" w:color="auto"/>
        <w:left w:val="none" w:sz="0" w:space="0" w:color="auto"/>
        <w:bottom w:val="none" w:sz="0" w:space="0" w:color="auto"/>
        <w:right w:val="none" w:sz="0" w:space="0" w:color="auto"/>
      </w:divBdr>
    </w:div>
    <w:div w:id="917985935">
      <w:bodyDiv w:val="1"/>
      <w:marLeft w:val="0"/>
      <w:marRight w:val="0"/>
      <w:marTop w:val="0"/>
      <w:marBottom w:val="0"/>
      <w:divBdr>
        <w:top w:val="none" w:sz="0" w:space="0" w:color="auto"/>
        <w:left w:val="none" w:sz="0" w:space="0" w:color="auto"/>
        <w:bottom w:val="none" w:sz="0" w:space="0" w:color="auto"/>
        <w:right w:val="none" w:sz="0" w:space="0" w:color="auto"/>
      </w:divBdr>
    </w:div>
    <w:div w:id="917986224">
      <w:bodyDiv w:val="1"/>
      <w:marLeft w:val="0"/>
      <w:marRight w:val="0"/>
      <w:marTop w:val="0"/>
      <w:marBottom w:val="0"/>
      <w:divBdr>
        <w:top w:val="none" w:sz="0" w:space="0" w:color="auto"/>
        <w:left w:val="none" w:sz="0" w:space="0" w:color="auto"/>
        <w:bottom w:val="none" w:sz="0" w:space="0" w:color="auto"/>
        <w:right w:val="none" w:sz="0" w:space="0" w:color="auto"/>
      </w:divBdr>
    </w:div>
    <w:div w:id="918053940">
      <w:bodyDiv w:val="1"/>
      <w:marLeft w:val="0"/>
      <w:marRight w:val="0"/>
      <w:marTop w:val="0"/>
      <w:marBottom w:val="0"/>
      <w:divBdr>
        <w:top w:val="none" w:sz="0" w:space="0" w:color="auto"/>
        <w:left w:val="none" w:sz="0" w:space="0" w:color="auto"/>
        <w:bottom w:val="none" w:sz="0" w:space="0" w:color="auto"/>
        <w:right w:val="none" w:sz="0" w:space="0" w:color="auto"/>
      </w:divBdr>
    </w:div>
    <w:div w:id="918177711">
      <w:bodyDiv w:val="1"/>
      <w:marLeft w:val="0"/>
      <w:marRight w:val="0"/>
      <w:marTop w:val="0"/>
      <w:marBottom w:val="0"/>
      <w:divBdr>
        <w:top w:val="none" w:sz="0" w:space="0" w:color="auto"/>
        <w:left w:val="none" w:sz="0" w:space="0" w:color="auto"/>
        <w:bottom w:val="none" w:sz="0" w:space="0" w:color="auto"/>
        <w:right w:val="none" w:sz="0" w:space="0" w:color="auto"/>
      </w:divBdr>
    </w:div>
    <w:div w:id="918364073">
      <w:bodyDiv w:val="1"/>
      <w:marLeft w:val="0"/>
      <w:marRight w:val="0"/>
      <w:marTop w:val="0"/>
      <w:marBottom w:val="0"/>
      <w:divBdr>
        <w:top w:val="none" w:sz="0" w:space="0" w:color="auto"/>
        <w:left w:val="none" w:sz="0" w:space="0" w:color="auto"/>
        <w:bottom w:val="none" w:sz="0" w:space="0" w:color="auto"/>
        <w:right w:val="none" w:sz="0" w:space="0" w:color="auto"/>
      </w:divBdr>
    </w:div>
    <w:div w:id="918559318">
      <w:bodyDiv w:val="1"/>
      <w:marLeft w:val="0"/>
      <w:marRight w:val="0"/>
      <w:marTop w:val="0"/>
      <w:marBottom w:val="0"/>
      <w:divBdr>
        <w:top w:val="none" w:sz="0" w:space="0" w:color="auto"/>
        <w:left w:val="none" w:sz="0" w:space="0" w:color="auto"/>
        <w:bottom w:val="none" w:sz="0" w:space="0" w:color="auto"/>
        <w:right w:val="none" w:sz="0" w:space="0" w:color="auto"/>
      </w:divBdr>
    </w:div>
    <w:div w:id="918828549">
      <w:bodyDiv w:val="1"/>
      <w:marLeft w:val="0"/>
      <w:marRight w:val="0"/>
      <w:marTop w:val="0"/>
      <w:marBottom w:val="0"/>
      <w:divBdr>
        <w:top w:val="none" w:sz="0" w:space="0" w:color="auto"/>
        <w:left w:val="none" w:sz="0" w:space="0" w:color="auto"/>
        <w:bottom w:val="none" w:sz="0" w:space="0" w:color="auto"/>
        <w:right w:val="none" w:sz="0" w:space="0" w:color="auto"/>
      </w:divBdr>
    </w:div>
    <w:div w:id="918902044">
      <w:bodyDiv w:val="1"/>
      <w:marLeft w:val="0"/>
      <w:marRight w:val="0"/>
      <w:marTop w:val="0"/>
      <w:marBottom w:val="0"/>
      <w:divBdr>
        <w:top w:val="none" w:sz="0" w:space="0" w:color="auto"/>
        <w:left w:val="none" w:sz="0" w:space="0" w:color="auto"/>
        <w:bottom w:val="none" w:sz="0" w:space="0" w:color="auto"/>
        <w:right w:val="none" w:sz="0" w:space="0" w:color="auto"/>
      </w:divBdr>
    </w:div>
    <w:div w:id="918947780">
      <w:bodyDiv w:val="1"/>
      <w:marLeft w:val="0"/>
      <w:marRight w:val="0"/>
      <w:marTop w:val="0"/>
      <w:marBottom w:val="0"/>
      <w:divBdr>
        <w:top w:val="none" w:sz="0" w:space="0" w:color="auto"/>
        <w:left w:val="none" w:sz="0" w:space="0" w:color="auto"/>
        <w:bottom w:val="none" w:sz="0" w:space="0" w:color="auto"/>
        <w:right w:val="none" w:sz="0" w:space="0" w:color="auto"/>
      </w:divBdr>
    </w:div>
    <w:div w:id="919025485">
      <w:bodyDiv w:val="1"/>
      <w:marLeft w:val="0"/>
      <w:marRight w:val="0"/>
      <w:marTop w:val="0"/>
      <w:marBottom w:val="0"/>
      <w:divBdr>
        <w:top w:val="none" w:sz="0" w:space="0" w:color="auto"/>
        <w:left w:val="none" w:sz="0" w:space="0" w:color="auto"/>
        <w:bottom w:val="none" w:sz="0" w:space="0" w:color="auto"/>
        <w:right w:val="none" w:sz="0" w:space="0" w:color="auto"/>
      </w:divBdr>
    </w:div>
    <w:div w:id="919170531">
      <w:bodyDiv w:val="1"/>
      <w:marLeft w:val="0"/>
      <w:marRight w:val="0"/>
      <w:marTop w:val="0"/>
      <w:marBottom w:val="0"/>
      <w:divBdr>
        <w:top w:val="none" w:sz="0" w:space="0" w:color="auto"/>
        <w:left w:val="none" w:sz="0" w:space="0" w:color="auto"/>
        <w:bottom w:val="none" w:sz="0" w:space="0" w:color="auto"/>
        <w:right w:val="none" w:sz="0" w:space="0" w:color="auto"/>
      </w:divBdr>
    </w:div>
    <w:div w:id="919484121">
      <w:bodyDiv w:val="1"/>
      <w:marLeft w:val="0"/>
      <w:marRight w:val="0"/>
      <w:marTop w:val="0"/>
      <w:marBottom w:val="0"/>
      <w:divBdr>
        <w:top w:val="none" w:sz="0" w:space="0" w:color="auto"/>
        <w:left w:val="none" w:sz="0" w:space="0" w:color="auto"/>
        <w:bottom w:val="none" w:sz="0" w:space="0" w:color="auto"/>
        <w:right w:val="none" w:sz="0" w:space="0" w:color="auto"/>
      </w:divBdr>
    </w:div>
    <w:div w:id="919487500">
      <w:bodyDiv w:val="1"/>
      <w:marLeft w:val="0"/>
      <w:marRight w:val="0"/>
      <w:marTop w:val="0"/>
      <w:marBottom w:val="0"/>
      <w:divBdr>
        <w:top w:val="none" w:sz="0" w:space="0" w:color="auto"/>
        <w:left w:val="none" w:sz="0" w:space="0" w:color="auto"/>
        <w:bottom w:val="none" w:sz="0" w:space="0" w:color="auto"/>
        <w:right w:val="none" w:sz="0" w:space="0" w:color="auto"/>
      </w:divBdr>
    </w:div>
    <w:div w:id="919826228">
      <w:bodyDiv w:val="1"/>
      <w:marLeft w:val="0"/>
      <w:marRight w:val="0"/>
      <w:marTop w:val="0"/>
      <w:marBottom w:val="0"/>
      <w:divBdr>
        <w:top w:val="none" w:sz="0" w:space="0" w:color="auto"/>
        <w:left w:val="none" w:sz="0" w:space="0" w:color="auto"/>
        <w:bottom w:val="none" w:sz="0" w:space="0" w:color="auto"/>
        <w:right w:val="none" w:sz="0" w:space="0" w:color="auto"/>
      </w:divBdr>
    </w:div>
    <w:div w:id="920018874">
      <w:bodyDiv w:val="1"/>
      <w:marLeft w:val="0"/>
      <w:marRight w:val="0"/>
      <w:marTop w:val="0"/>
      <w:marBottom w:val="0"/>
      <w:divBdr>
        <w:top w:val="none" w:sz="0" w:space="0" w:color="auto"/>
        <w:left w:val="none" w:sz="0" w:space="0" w:color="auto"/>
        <w:bottom w:val="none" w:sz="0" w:space="0" w:color="auto"/>
        <w:right w:val="none" w:sz="0" w:space="0" w:color="auto"/>
      </w:divBdr>
    </w:div>
    <w:div w:id="920021815">
      <w:bodyDiv w:val="1"/>
      <w:marLeft w:val="0"/>
      <w:marRight w:val="0"/>
      <w:marTop w:val="0"/>
      <w:marBottom w:val="0"/>
      <w:divBdr>
        <w:top w:val="none" w:sz="0" w:space="0" w:color="auto"/>
        <w:left w:val="none" w:sz="0" w:space="0" w:color="auto"/>
        <w:bottom w:val="none" w:sz="0" w:space="0" w:color="auto"/>
        <w:right w:val="none" w:sz="0" w:space="0" w:color="auto"/>
      </w:divBdr>
    </w:div>
    <w:div w:id="920214759">
      <w:bodyDiv w:val="1"/>
      <w:marLeft w:val="0"/>
      <w:marRight w:val="0"/>
      <w:marTop w:val="0"/>
      <w:marBottom w:val="0"/>
      <w:divBdr>
        <w:top w:val="none" w:sz="0" w:space="0" w:color="auto"/>
        <w:left w:val="none" w:sz="0" w:space="0" w:color="auto"/>
        <w:bottom w:val="none" w:sz="0" w:space="0" w:color="auto"/>
        <w:right w:val="none" w:sz="0" w:space="0" w:color="auto"/>
      </w:divBdr>
    </w:div>
    <w:div w:id="920408362">
      <w:bodyDiv w:val="1"/>
      <w:marLeft w:val="0"/>
      <w:marRight w:val="0"/>
      <w:marTop w:val="0"/>
      <w:marBottom w:val="0"/>
      <w:divBdr>
        <w:top w:val="none" w:sz="0" w:space="0" w:color="auto"/>
        <w:left w:val="none" w:sz="0" w:space="0" w:color="auto"/>
        <w:bottom w:val="none" w:sz="0" w:space="0" w:color="auto"/>
        <w:right w:val="none" w:sz="0" w:space="0" w:color="auto"/>
      </w:divBdr>
    </w:div>
    <w:div w:id="920483167">
      <w:bodyDiv w:val="1"/>
      <w:marLeft w:val="0"/>
      <w:marRight w:val="0"/>
      <w:marTop w:val="0"/>
      <w:marBottom w:val="0"/>
      <w:divBdr>
        <w:top w:val="none" w:sz="0" w:space="0" w:color="auto"/>
        <w:left w:val="none" w:sz="0" w:space="0" w:color="auto"/>
        <w:bottom w:val="none" w:sz="0" w:space="0" w:color="auto"/>
        <w:right w:val="none" w:sz="0" w:space="0" w:color="auto"/>
      </w:divBdr>
    </w:div>
    <w:div w:id="920522949">
      <w:bodyDiv w:val="1"/>
      <w:marLeft w:val="0"/>
      <w:marRight w:val="0"/>
      <w:marTop w:val="0"/>
      <w:marBottom w:val="0"/>
      <w:divBdr>
        <w:top w:val="none" w:sz="0" w:space="0" w:color="auto"/>
        <w:left w:val="none" w:sz="0" w:space="0" w:color="auto"/>
        <w:bottom w:val="none" w:sz="0" w:space="0" w:color="auto"/>
        <w:right w:val="none" w:sz="0" w:space="0" w:color="auto"/>
      </w:divBdr>
    </w:div>
    <w:div w:id="920799609">
      <w:bodyDiv w:val="1"/>
      <w:marLeft w:val="0"/>
      <w:marRight w:val="0"/>
      <w:marTop w:val="0"/>
      <w:marBottom w:val="0"/>
      <w:divBdr>
        <w:top w:val="none" w:sz="0" w:space="0" w:color="auto"/>
        <w:left w:val="none" w:sz="0" w:space="0" w:color="auto"/>
        <w:bottom w:val="none" w:sz="0" w:space="0" w:color="auto"/>
        <w:right w:val="none" w:sz="0" w:space="0" w:color="auto"/>
      </w:divBdr>
    </w:div>
    <w:div w:id="920942947">
      <w:bodyDiv w:val="1"/>
      <w:marLeft w:val="0"/>
      <w:marRight w:val="0"/>
      <w:marTop w:val="0"/>
      <w:marBottom w:val="0"/>
      <w:divBdr>
        <w:top w:val="none" w:sz="0" w:space="0" w:color="auto"/>
        <w:left w:val="none" w:sz="0" w:space="0" w:color="auto"/>
        <w:bottom w:val="none" w:sz="0" w:space="0" w:color="auto"/>
        <w:right w:val="none" w:sz="0" w:space="0" w:color="auto"/>
      </w:divBdr>
    </w:div>
    <w:div w:id="921067382">
      <w:bodyDiv w:val="1"/>
      <w:marLeft w:val="0"/>
      <w:marRight w:val="0"/>
      <w:marTop w:val="0"/>
      <w:marBottom w:val="0"/>
      <w:divBdr>
        <w:top w:val="none" w:sz="0" w:space="0" w:color="auto"/>
        <w:left w:val="none" w:sz="0" w:space="0" w:color="auto"/>
        <w:bottom w:val="none" w:sz="0" w:space="0" w:color="auto"/>
        <w:right w:val="none" w:sz="0" w:space="0" w:color="auto"/>
      </w:divBdr>
    </w:div>
    <w:div w:id="921258981">
      <w:bodyDiv w:val="1"/>
      <w:marLeft w:val="0"/>
      <w:marRight w:val="0"/>
      <w:marTop w:val="0"/>
      <w:marBottom w:val="0"/>
      <w:divBdr>
        <w:top w:val="none" w:sz="0" w:space="0" w:color="auto"/>
        <w:left w:val="none" w:sz="0" w:space="0" w:color="auto"/>
        <w:bottom w:val="none" w:sz="0" w:space="0" w:color="auto"/>
        <w:right w:val="none" w:sz="0" w:space="0" w:color="auto"/>
      </w:divBdr>
    </w:div>
    <w:div w:id="921370937">
      <w:bodyDiv w:val="1"/>
      <w:marLeft w:val="0"/>
      <w:marRight w:val="0"/>
      <w:marTop w:val="0"/>
      <w:marBottom w:val="0"/>
      <w:divBdr>
        <w:top w:val="none" w:sz="0" w:space="0" w:color="auto"/>
        <w:left w:val="none" w:sz="0" w:space="0" w:color="auto"/>
        <w:bottom w:val="none" w:sz="0" w:space="0" w:color="auto"/>
        <w:right w:val="none" w:sz="0" w:space="0" w:color="auto"/>
      </w:divBdr>
    </w:div>
    <w:div w:id="921763999">
      <w:bodyDiv w:val="1"/>
      <w:marLeft w:val="0"/>
      <w:marRight w:val="0"/>
      <w:marTop w:val="0"/>
      <w:marBottom w:val="0"/>
      <w:divBdr>
        <w:top w:val="none" w:sz="0" w:space="0" w:color="auto"/>
        <w:left w:val="none" w:sz="0" w:space="0" w:color="auto"/>
        <w:bottom w:val="none" w:sz="0" w:space="0" w:color="auto"/>
        <w:right w:val="none" w:sz="0" w:space="0" w:color="auto"/>
      </w:divBdr>
    </w:div>
    <w:div w:id="921913540">
      <w:bodyDiv w:val="1"/>
      <w:marLeft w:val="0"/>
      <w:marRight w:val="0"/>
      <w:marTop w:val="0"/>
      <w:marBottom w:val="0"/>
      <w:divBdr>
        <w:top w:val="none" w:sz="0" w:space="0" w:color="auto"/>
        <w:left w:val="none" w:sz="0" w:space="0" w:color="auto"/>
        <w:bottom w:val="none" w:sz="0" w:space="0" w:color="auto"/>
        <w:right w:val="none" w:sz="0" w:space="0" w:color="auto"/>
      </w:divBdr>
    </w:div>
    <w:div w:id="921914049">
      <w:bodyDiv w:val="1"/>
      <w:marLeft w:val="0"/>
      <w:marRight w:val="0"/>
      <w:marTop w:val="0"/>
      <w:marBottom w:val="0"/>
      <w:divBdr>
        <w:top w:val="none" w:sz="0" w:space="0" w:color="auto"/>
        <w:left w:val="none" w:sz="0" w:space="0" w:color="auto"/>
        <w:bottom w:val="none" w:sz="0" w:space="0" w:color="auto"/>
        <w:right w:val="none" w:sz="0" w:space="0" w:color="auto"/>
      </w:divBdr>
    </w:div>
    <w:div w:id="922109977">
      <w:bodyDiv w:val="1"/>
      <w:marLeft w:val="0"/>
      <w:marRight w:val="0"/>
      <w:marTop w:val="0"/>
      <w:marBottom w:val="0"/>
      <w:divBdr>
        <w:top w:val="none" w:sz="0" w:space="0" w:color="auto"/>
        <w:left w:val="none" w:sz="0" w:space="0" w:color="auto"/>
        <w:bottom w:val="none" w:sz="0" w:space="0" w:color="auto"/>
        <w:right w:val="none" w:sz="0" w:space="0" w:color="auto"/>
      </w:divBdr>
    </w:div>
    <w:div w:id="922563926">
      <w:bodyDiv w:val="1"/>
      <w:marLeft w:val="0"/>
      <w:marRight w:val="0"/>
      <w:marTop w:val="0"/>
      <w:marBottom w:val="0"/>
      <w:divBdr>
        <w:top w:val="none" w:sz="0" w:space="0" w:color="auto"/>
        <w:left w:val="none" w:sz="0" w:space="0" w:color="auto"/>
        <w:bottom w:val="none" w:sz="0" w:space="0" w:color="auto"/>
        <w:right w:val="none" w:sz="0" w:space="0" w:color="auto"/>
      </w:divBdr>
    </w:div>
    <w:div w:id="923105819">
      <w:bodyDiv w:val="1"/>
      <w:marLeft w:val="0"/>
      <w:marRight w:val="0"/>
      <w:marTop w:val="0"/>
      <w:marBottom w:val="0"/>
      <w:divBdr>
        <w:top w:val="none" w:sz="0" w:space="0" w:color="auto"/>
        <w:left w:val="none" w:sz="0" w:space="0" w:color="auto"/>
        <w:bottom w:val="none" w:sz="0" w:space="0" w:color="auto"/>
        <w:right w:val="none" w:sz="0" w:space="0" w:color="auto"/>
      </w:divBdr>
    </w:div>
    <w:div w:id="923339715">
      <w:bodyDiv w:val="1"/>
      <w:marLeft w:val="0"/>
      <w:marRight w:val="0"/>
      <w:marTop w:val="0"/>
      <w:marBottom w:val="0"/>
      <w:divBdr>
        <w:top w:val="none" w:sz="0" w:space="0" w:color="auto"/>
        <w:left w:val="none" w:sz="0" w:space="0" w:color="auto"/>
        <w:bottom w:val="none" w:sz="0" w:space="0" w:color="auto"/>
        <w:right w:val="none" w:sz="0" w:space="0" w:color="auto"/>
      </w:divBdr>
    </w:div>
    <w:div w:id="923415547">
      <w:bodyDiv w:val="1"/>
      <w:marLeft w:val="0"/>
      <w:marRight w:val="0"/>
      <w:marTop w:val="0"/>
      <w:marBottom w:val="0"/>
      <w:divBdr>
        <w:top w:val="none" w:sz="0" w:space="0" w:color="auto"/>
        <w:left w:val="none" w:sz="0" w:space="0" w:color="auto"/>
        <w:bottom w:val="none" w:sz="0" w:space="0" w:color="auto"/>
        <w:right w:val="none" w:sz="0" w:space="0" w:color="auto"/>
      </w:divBdr>
    </w:div>
    <w:div w:id="923493180">
      <w:bodyDiv w:val="1"/>
      <w:marLeft w:val="0"/>
      <w:marRight w:val="0"/>
      <w:marTop w:val="0"/>
      <w:marBottom w:val="0"/>
      <w:divBdr>
        <w:top w:val="none" w:sz="0" w:space="0" w:color="auto"/>
        <w:left w:val="none" w:sz="0" w:space="0" w:color="auto"/>
        <w:bottom w:val="none" w:sz="0" w:space="0" w:color="auto"/>
        <w:right w:val="none" w:sz="0" w:space="0" w:color="auto"/>
      </w:divBdr>
    </w:div>
    <w:div w:id="923537834">
      <w:bodyDiv w:val="1"/>
      <w:marLeft w:val="0"/>
      <w:marRight w:val="0"/>
      <w:marTop w:val="0"/>
      <w:marBottom w:val="0"/>
      <w:divBdr>
        <w:top w:val="none" w:sz="0" w:space="0" w:color="auto"/>
        <w:left w:val="none" w:sz="0" w:space="0" w:color="auto"/>
        <w:bottom w:val="none" w:sz="0" w:space="0" w:color="auto"/>
        <w:right w:val="none" w:sz="0" w:space="0" w:color="auto"/>
      </w:divBdr>
    </w:div>
    <w:div w:id="923538639">
      <w:bodyDiv w:val="1"/>
      <w:marLeft w:val="0"/>
      <w:marRight w:val="0"/>
      <w:marTop w:val="0"/>
      <w:marBottom w:val="0"/>
      <w:divBdr>
        <w:top w:val="none" w:sz="0" w:space="0" w:color="auto"/>
        <w:left w:val="none" w:sz="0" w:space="0" w:color="auto"/>
        <w:bottom w:val="none" w:sz="0" w:space="0" w:color="auto"/>
        <w:right w:val="none" w:sz="0" w:space="0" w:color="auto"/>
      </w:divBdr>
    </w:div>
    <w:div w:id="923607685">
      <w:bodyDiv w:val="1"/>
      <w:marLeft w:val="0"/>
      <w:marRight w:val="0"/>
      <w:marTop w:val="0"/>
      <w:marBottom w:val="0"/>
      <w:divBdr>
        <w:top w:val="none" w:sz="0" w:space="0" w:color="auto"/>
        <w:left w:val="none" w:sz="0" w:space="0" w:color="auto"/>
        <w:bottom w:val="none" w:sz="0" w:space="0" w:color="auto"/>
        <w:right w:val="none" w:sz="0" w:space="0" w:color="auto"/>
      </w:divBdr>
    </w:div>
    <w:div w:id="923608178">
      <w:bodyDiv w:val="1"/>
      <w:marLeft w:val="0"/>
      <w:marRight w:val="0"/>
      <w:marTop w:val="0"/>
      <w:marBottom w:val="0"/>
      <w:divBdr>
        <w:top w:val="none" w:sz="0" w:space="0" w:color="auto"/>
        <w:left w:val="none" w:sz="0" w:space="0" w:color="auto"/>
        <w:bottom w:val="none" w:sz="0" w:space="0" w:color="auto"/>
        <w:right w:val="none" w:sz="0" w:space="0" w:color="auto"/>
      </w:divBdr>
    </w:div>
    <w:div w:id="923611009">
      <w:bodyDiv w:val="1"/>
      <w:marLeft w:val="0"/>
      <w:marRight w:val="0"/>
      <w:marTop w:val="0"/>
      <w:marBottom w:val="0"/>
      <w:divBdr>
        <w:top w:val="none" w:sz="0" w:space="0" w:color="auto"/>
        <w:left w:val="none" w:sz="0" w:space="0" w:color="auto"/>
        <w:bottom w:val="none" w:sz="0" w:space="0" w:color="auto"/>
        <w:right w:val="none" w:sz="0" w:space="0" w:color="auto"/>
      </w:divBdr>
    </w:div>
    <w:div w:id="923613879">
      <w:bodyDiv w:val="1"/>
      <w:marLeft w:val="0"/>
      <w:marRight w:val="0"/>
      <w:marTop w:val="0"/>
      <w:marBottom w:val="0"/>
      <w:divBdr>
        <w:top w:val="none" w:sz="0" w:space="0" w:color="auto"/>
        <w:left w:val="none" w:sz="0" w:space="0" w:color="auto"/>
        <w:bottom w:val="none" w:sz="0" w:space="0" w:color="auto"/>
        <w:right w:val="none" w:sz="0" w:space="0" w:color="auto"/>
      </w:divBdr>
    </w:div>
    <w:div w:id="923806329">
      <w:bodyDiv w:val="1"/>
      <w:marLeft w:val="0"/>
      <w:marRight w:val="0"/>
      <w:marTop w:val="0"/>
      <w:marBottom w:val="0"/>
      <w:divBdr>
        <w:top w:val="none" w:sz="0" w:space="0" w:color="auto"/>
        <w:left w:val="none" w:sz="0" w:space="0" w:color="auto"/>
        <w:bottom w:val="none" w:sz="0" w:space="0" w:color="auto"/>
        <w:right w:val="none" w:sz="0" w:space="0" w:color="auto"/>
      </w:divBdr>
    </w:div>
    <w:div w:id="923997480">
      <w:bodyDiv w:val="1"/>
      <w:marLeft w:val="0"/>
      <w:marRight w:val="0"/>
      <w:marTop w:val="0"/>
      <w:marBottom w:val="0"/>
      <w:divBdr>
        <w:top w:val="none" w:sz="0" w:space="0" w:color="auto"/>
        <w:left w:val="none" w:sz="0" w:space="0" w:color="auto"/>
        <w:bottom w:val="none" w:sz="0" w:space="0" w:color="auto"/>
        <w:right w:val="none" w:sz="0" w:space="0" w:color="auto"/>
      </w:divBdr>
    </w:div>
    <w:div w:id="923999501">
      <w:bodyDiv w:val="1"/>
      <w:marLeft w:val="0"/>
      <w:marRight w:val="0"/>
      <w:marTop w:val="0"/>
      <w:marBottom w:val="0"/>
      <w:divBdr>
        <w:top w:val="none" w:sz="0" w:space="0" w:color="auto"/>
        <w:left w:val="none" w:sz="0" w:space="0" w:color="auto"/>
        <w:bottom w:val="none" w:sz="0" w:space="0" w:color="auto"/>
        <w:right w:val="none" w:sz="0" w:space="0" w:color="auto"/>
      </w:divBdr>
    </w:div>
    <w:div w:id="924145894">
      <w:bodyDiv w:val="1"/>
      <w:marLeft w:val="0"/>
      <w:marRight w:val="0"/>
      <w:marTop w:val="0"/>
      <w:marBottom w:val="0"/>
      <w:divBdr>
        <w:top w:val="none" w:sz="0" w:space="0" w:color="auto"/>
        <w:left w:val="none" w:sz="0" w:space="0" w:color="auto"/>
        <w:bottom w:val="none" w:sz="0" w:space="0" w:color="auto"/>
        <w:right w:val="none" w:sz="0" w:space="0" w:color="auto"/>
      </w:divBdr>
    </w:div>
    <w:div w:id="924385649">
      <w:bodyDiv w:val="1"/>
      <w:marLeft w:val="0"/>
      <w:marRight w:val="0"/>
      <w:marTop w:val="0"/>
      <w:marBottom w:val="0"/>
      <w:divBdr>
        <w:top w:val="none" w:sz="0" w:space="0" w:color="auto"/>
        <w:left w:val="none" w:sz="0" w:space="0" w:color="auto"/>
        <w:bottom w:val="none" w:sz="0" w:space="0" w:color="auto"/>
        <w:right w:val="none" w:sz="0" w:space="0" w:color="auto"/>
      </w:divBdr>
    </w:div>
    <w:div w:id="924533027">
      <w:bodyDiv w:val="1"/>
      <w:marLeft w:val="0"/>
      <w:marRight w:val="0"/>
      <w:marTop w:val="0"/>
      <w:marBottom w:val="0"/>
      <w:divBdr>
        <w:top w:val="none" w:sz="0" w:space="0" w:color="auto"/>
        <w:left w:val="none" w:sz="0" w:space="0" w:color="auto"/>
        <w:bottom w:val="none" w:sz="0" w:space="0" w:color="auto"/>
        <w:right w:val="none" w:sz="0" w:space="0" w:color="auto"/>
      </w:divBdr>
    </w:div>
    <w:div w:id="924801547">
      <w:bodyDiv w:val="1"/>
      <w:marLeft w:val="0"/>
      <w:marRight w:val="0"/>
      <w:marTop w:val="0"/>
      <w:marBottom w:val="0"/>
      <w:divBdr>
        <w:top w:val="none" w:sz="0" w:space="0" w:color="auto"/>
        <w:left w:val="none" w:sz="0" w:space="0" w:color="auto"/>
        <w:bottom w:val="none" w:sz="0" w:space="0" w:color="auto"/>
        <w:right w:val="none" w:sz="0" w:space="0" w:color="auto"/>
      </w:divBdr>
    </w:div>
    <w:div w:id="924803902">
      <w:bodyDiv w:val="1"/>
      <w:marLeft w:val="0"/>
      <w:marRight w:val="0"/>
      <w:marTop w:val="0"/>
      <w:marBottom w:val="0"/>
      <w:divBdr>
        <w:top w:val="none" w:sz="0" w:space="0" w:color="auto"/>
        <w:left w:val="none" w:sz="0" w:space="0" w:color="auto"/>
        <w:bottom w:val="none" w:sz="0" w:space="0" w:color="auto"/>
        <w:right w:val="none" w:sz="0" w:space="0" w:color="auto"/>
      </w:divBdr>
    </w:div>
    <w:div w:id="924804940">
      <w:bodyDiv w:val="1"/>
      <w:marLeft w:val="0"/>
      <w:marRight w:val="0"/>
      <w:marTop w:val="0"/>
      <w:marBottom w:val="0"/>
      <w:divBdr>
        <w:top w:val="none" w:sz="0" w:space="0" w:color="auto"/>
        <w:left w:val="none" w:sz="0" w:space="0" w:color="auto"/>
        <w:bottom w:val="none" w:sz="0" w:space="0" w:color="auto"/>
        <w:right w:val="none" w:sz="0" w:space="0" w:color="auto"/>
      </w:divBdr>
    </w:div>
    <w:div w:id="924921990">
      <w:bodyDiv w:val="1"/>
      <w:marLeft w:val="0"/>
      <w:marRight w:val="0"/>
      <w:marTop w:val="0"/>
      <w:marBottom w:val="0"/>
      <w:divBdr>
        <w:top w:val="none" w:sz="0" w:space="0" w:color="auto"/>
        <w:left w:val="none" w:sz="0" w:space="0" w:color="auto"/>
        <w:bottom w:val="none" w:sz="0" w:space="0" w:color="auto"/>
        <w:right w:val="none" w:sz="0" w:space="0" w:color="auto"/>
      </w:divBdr>
    </w:div>
    <w:div w:id="924923542">
      <w:bodyDiv w:val="1"/>
      <w:marLeft w:val="0"/>
      <w:marRight w:val="0"/>
      <w:marTop w:val="0"/>
      <w:marBottom w:val="0"/>
      <w:divBdr>
        <w:top w:val="none" w:sz="0" w:space="0" w:color="auto"/>
        <w:left w:val="none" w:sz="0" w:space="0" w:color="auto"/>
        <w:bottom w:val="none" w:sz="0" w:space="0" w:color="auto"/>
        <w:right w:val="none" w:sz="0" w:space="0" w:color="auto"/>
      </w:divBdr>
    </w:div>
    <w:div w:id="925260521">
      <w:bodyDiv w:val="1"/>
      <w:marLeft w:val="0"/>
      <w:marRight w:val="0"/>
      <w:marTop w:val="0"/>
      <w:marBottom w:val="0"/>
      <w:divBdr>
        <w:top w:val="none" w:sz="0" w:space="0" w:color="auto"/>
        <w:left w:val="none" w:sz="0" w:space="0" w:color="auto"/>
        <w:bottom w:val="none" w:sz="0" w:space="0" w:color="auto"/>
        <w:right w:val="none" w:sz="0" w:space="0" w:color="auto"/>
      </w:divBdr>
    </w:div>
    <w:div w:id="925383261">
      <w:bodyDiv w:val="1"/>
      <w:marLeft w:val="0"/>
      <w:marRight w:val="0"/>
      <w:marTop w:val="0"/>
      <w:marBottom w:val="0"/>
      <w:divBdr>
        <w:top w:val="none" w:sz="0" w:space="0" w:color="auto"/>
        <w:left w:val="none" w:sz="0" w:space="0" w:color="auto"/>
        <w:bottom w:val="none" w:sz="0" w:space="0" w:color="auto"/>
        <w:right w:val="none" w:sz="0" w:space="0" w:color="auto"/>
      </w:divBdr>
    </w:div>
    <w:div w:id="925846688">
      <w:bodyDiv w:val="1"/>
      <w:marLeft w:val="0"/>
      <w:marRight w:val="0"/>
      <w:marTop w:val="0"/>
      <w:marBottom w:val="0"/>
      <w:divBdr>
        <w:top w:val="none" w:sz="0" w:space="0" w:color="auto"/>
        <w:left w:val="none" w:sz="0" w:space="0" w:color="auto"/>
        <w:bottom w:val="none" w:sz="0" w:space="0" w:color="auto"/>
        <w:right w:val="none" w:sz="0" w:space="0" w:color="auto"/>
      </w:divBdr>
    </w:div>
    <w:div w:id="925849593">
      <w:bodyDiv w:val="1"/>
      <w:marLeft w:val="0"/>
      <w:marRight w:val="0"/>
      <w:marTop w:val="0"/>
      <w:marBottom w:val="0"/>
      <w:divBdr>
        <w:top w:val="none" w:sz="0" w:space="0" w:color="auto"/>
        <w:left w:val="none" w:sz="0" w:space="0" w:color="auto"/>
        <w:bottom w:val="none" w:sz="0" w:space="0" w:color="auto"/>
        <w:right w:val="none" w:sz="0" w:space="0" w:color="auto"/>
      </w:divBdr>
    </w:div>
    <w:div w:id="926155928">
      <w:bodyDiv w:val="1"/>
      <w:marLeft w:val="0"/>
      <w:marRight w:val="0"/>
      <w:marTop w:val="0"/>
      <w:marBottom w:val="0"/>
      <w:divBdr>
        <w:top w:val="none" w:sz="0" w:space="0" w:color="auto"/>
        <w:left w:val="none" w:sz="0" w:space="0" w:color="auto"/>
        <w:bottom w:val="none" w:sz="0" w:space="0" w:color="auto"/>
        <w:right w:val="none" w:sz="0" w:space="0" w:color="auto"/>
      </w:divBdr>
    </w:div>
    <w:div w:id="926306892">
      <w:bodyDiv w:val="1"/>
      <w:marLeft w:val="0"/>
      <w:marRight w:val="0"/>
      <w:marTop w:val="0"/>
      <w:marBottom w:val="0"/>
      <w:divBdr>
        <w:top w:val="none" w:sz="0" w:space="0" w:color="auto"/>
        <w:left w:val="none" w:sz="0" w:space="0" w:color="auto"/>
        <w:bottom w:val="none" w:sz="0" w:space="0" w:color="auto"/>
        <w:right w:val="none" w:sz="0" w:space="0" w:color="auto"/>
      </w:divBdr>
    </w:div>
    <w:div w:id="926307186">
      <w:bodyDiv w:val="1"/>
      <w:marLeft w:val="0"/>
      <w:marRight w:val="0"/>
      <w:marTop w:val="0"/>
      <w:marBottom w:val="0"/>
      <w:divBdr>
        <w:top w:val="none" w:sz="0" w:space="0" w:color="auto"/>
        <w:left w:val="none" w:sz="0" w:space="0" w:color="auto"/>
        <w:bottom w:val="none" w:sz="0" w:space="0" w:color="auto"/>
        <w:right w:val="none" w:sz="0" w:space="0" w:color="auto"/>
      </w:divBdr>
    </w:div>
    <w:div w:id="926310780">
      <w:bodyDiv w:val="1"/>
      <w:marLeft w:val="0"/>
      <w:marRight w:val="0"/>
      <w:marTop w:val="0"/>
      <w:marBottom w:val="0"/>
      <w:divBdr>
        <w:top w:val="none" w:sz="0" w:space="0" w:color="auto"/>
        <w:left w:val="none" w:sz="0" w:space="0" w:color="auto"/>
        <w:bottom w:val="none" w:sz="0" w:space="0" w:color="auto"/>
        <w:right w:val="none" w:sz="0" w:space="0" w:color="auto"/>
      </w:divBdr>
    </w:div>
    <w:div w:id="926842498">
      <w:bodyDiv w:val="1"/>
      <w:marLeft w:val="0"/>
      <w:marRight w:val="0"/>
      <w:marTop w:val="0"/>
      <w:marBottom w:val="0"/>
      <w:divBdr>
        <w:top w:val="none" w:sz="0" w:space="0" w:color="auto"/>
        <w:left w:val="none" w:sz="0" w:space="0" w:color="auto"/>
        <w:bottom w:val="none" w:sz="0" w:space="0" w:color="auto"/>
        <w:right w:val="none" w:sz="0" w:space="0" w:color="auto"/>
      </w:divBdr>
    </w:div>
    <w:div w:id="926886773">
      <w:bodyDiv w:val="1"/>
      <w:marLeft w:val="0"/>
      <w:marRight w:val="0"/>
      <w:marTop w:val="0"/>
      <w:marBottom w:val="0"/>
      <w:divBdr>
        <w:top w:val="none" w:sz="0" w:space="0" w:color="auto"/>
        <w:left w:val="none" w:sz="0" w:space="0" w:color="auto"/>
        <w:bottom w:val="none" w:sz="0" w:space="0" w:color="auto"/>
        <w:right w:val="none" w:sz="0" w:space="0" w:color="auto"/>
      </w:divBdr>
    </w:div>
    <w:div w:id="927007343">
      <w:bodyDiv w:val="1"/>
      <w:marLeft w:val="0"/>
      <w:marRight w:val="0"/>
      <w:marTop w:val="0"/>
      <w:marBottom w:val="0"/>
      <w:divBdr>
        <w:top w:val="none" w:sz="0" w:space="0" w:color="auto"/>
        <w:left w:val="none" w:sz="0" w:space="0" w:color="auto"/>
        <w:bottom w:val="none" w:sz="0" w:space="0" w:color="auto"/>
        <w:right w:val="none" w:sz="0" w:space="0" w:color="auto"/>
      </w:divBdr>
    </w:div>
    <w:div w:id="927076084">
      <w:bodyDiv w:val="1"/>
      <w:marLeft w:val="0"/>
      <w:marRight w:val="0"/>
      <w:marTop w:val="0"/>
      <w:marBottom w:val="0"/>
      <w:divBdr>
        <w:top w:val="none" w:sz="0" w:space="0" w:color="auto"/>
        <w:left w:val="none" w:sz="0" w:space="0" w:color="auto"/>
        <w:bottom w:val="none" w:sz="0" w:space="0" w:color="auto"/>
        <w:right w:val="none" w:sz="0" w:space="0" w:color="auto"/>
      </w:divBdr>
    </w:div>
    <w:div w:id="927152642">
      <w:bodyDiv w:val="1"/>
      <w:marLeft w:val="0"/>
      <w:marRight w:val="0"/>
      <w:marTop w:val="0"/>
      <w:marBottom w:val="0"/>
      <w:divBdr>
        <w:top w:val="none" w:sz="0" w:space="0" w:color="auto"/>
        <w:left w:val="none" w:sz="0" w:space="0" w:color="auto"/>
        <w:bottom w:val="none" w:sz="0" w:space="0" w:color="auto"/>
        <w:right w:val="none" w:sz="0" w:space="0" w:color="auto"/>
      </w:divBdr>
    </w:div>
    <w:div w:id="927228263">
      <w:bodyDiv w:val="1"/>
      <w:marLeft w:val="0"/>
      <w:marRight w:val="0"/>
      <w:marTop w:val="0"/>
      <w:marBottom w:val="0"/>
      <w:divBdr>
        <w:top w:val="none" w:sz="0" w:space="0" w:color="auto"/>
        <w:left w:val="none" w:sz="0" w:space="0" w:color="auto"/>
        <w:bottom w:val="none" w:sz="0" w:space="0" w:color="auto"/>
        <w:right w:val="none" w:sz="0" w:space="0" w:color="auto"/>
      </w:divBdr>
    </w:div>
    <w:div w:id="927420953">
      <w:bodyDiv w:val="1"/>
      <w:marLeft w:val="0"/>
      <w:marRight w:val="0"/>
      <w:marTop w:val="0"/>
      <w:marBottom w:val="0"/>
      <w:divBdr>
        <w:top w:val="none" w:sz="0" w:space="0" w:color="auto"/>
        <w:left w:val="none" w:sz="0" w:space="0" w:color="auto"/>
        <w:bottom w:val="none" w:sz="0" w:space="0" w:color="auto"/>
        <w:right w:val="none" w:sz="0" w:space="0" w:color="auto"/>
      </w:divBdr>
    </w:div>
    <w:div w:id="927423324">
      <w:bodyDiv w:val="1"/>
      <w:marLeft w:val="0"/>
      <w:marRight w:val="0"/>
      <w:marTop w:val="0"/>
      <w:marBottom w:val="0"/>
      <w:divBdr>
        <w:top w:val="none" w:sz="0" w:space="0" w:color="auto"/>
        <w:left w:val="none" w:sz="0" w:space="0" w:color="auto"/>
        <w:bottom w:val="none" w:sz="0" w:space="0" w:color="auto"/>
        <w:right w:val="none" w:sz="0" w:space="0" w:color="auto"/>
      </w:divBdr>
    </w:div>
    <w:div w:id="927620964">
      <w:bodyDiv w:val="1"/>
      <w:marLeft w:val="0"/>
      <w:marRight w:val="0"/>
      <w:marTop w:val="0"/>
      <w:marBottom w:val="0"/>
      <w:divBdr>
        <w:top w:val="none" w:sz="0" w:space="0" w:color="auto"/>
        <w:left w:val="none" w:sz="0" w:space="0" w:color="auto"/>
        <w:bottom w:val="none" w:sz="0" w:space="0" w:color="auto"/>
        <w:right w:val="none" w:sz="0" w:space="0" w:color="auto"/>
      </w:divBdr>
    </w:div>
    <w:div w:id="927811933">
      <w:bodyDiv w:val="1"/>
      <w:marLeft w:val="0"/>
      <w:marRight w:val="0"/>
      <w:marTop w:val="0"/>
      <w:marBottom w:val="0"/>
      <w:divBdr>
        <w:top w:val="none" w:sz="0" w:space="0" w:color="auto"/>
        <w:left w:val="none" w:sz="0" w:space="0" w:color="auto"/>
        <w:bottom w:val="none" w:sz="0" w:space="0" w:color="auto"/>
        <w:right w:val="none" w:sz="0" w:space="0" w:color="auto"/>
      </w:divBdr>
    </w:div>
    <w:div w:id="927884794">
      <w:bodyDiv w:val="1"/>
      <w:marLeft w:val="0"/>
      <w:marRight w:val="0"/>
      <w:marTop w:val="0"/>
      <w:marBottom w:val="0"/>
      <w:divBdr>
        <w:top w:val="none" w:sz="0" w:space="0" w:color="auto"/>
        <w:left w:val="none" w:sz="0" w:space="0" w:color="auto"/>
        <w:bottom w:val="none" w:sz="0" w:space="0" w:color="auto"/>
        <w:right w:val="none" w:sz="0" w:space="0" w:color="auto"/>
      </w:divBdr>
    </w:div>
    <w:div w:id="928083806">
      <w:bodyDiv w:val="1"/>
      <w:marLeft w:val="0"/>
      <w:marRight w:val="0"/>
      <w:marTop w:val="0"/>
      <w:marBottom w:val="0"/>
      <w:divBdr>
        <w:top w:val="none" w:sz="0" w:space="0" w:color="auto"/>
        <w:left w:val="none" w:sz="0" w:space="0" w:color="auto"/>
        <w:bottom w:val="none" w:sz="0" w:space="0" w:color="auto"/>
        <w:right w:val="none" w:sz="0" w:space="0" w:color="auto"/>
      </w:divBdr>
    </w:div>
    <w:div w:id="928344342">
      <w:bodyDiv w:val="1"/>
      <w:marLeft w:val="0"/>
      <w:marRight w:val="0"/>
      <w:marTop w:val="0"/>
      <w:marBottom w:val="0"/>
      <w:divBdr>
        <w:top w:val="none" w:sz="0" w:space="0" w:color="auto"/>
        <w:left w:val="none" w:sz="0" w:space="0" w:color="auto"/>
        <w:bottom w:val="none" w:sz="0" w:space="0" w:color="auto"/>
        <w:right w:val="none" w:sz="0" w:space="0" w:color="auto"/>
      </w:divBdr>
    </w:div>
    <w:div w:id="928462183">
      <w:bodyDiv w:val="1"/>
      <w:marLeft w:val="0"/>
      <w:marRight w:val="0"/>
      <w:marTop w:val="0"/>
      <w:marBottom w:val="0"/>
      <w:divBdr>
        <w:top w:val="none" w:sz="0" w:space="0" w:color="auto"/>
        <w:left w:val="none" w:sz="0" w:space="0" w:color="auto"/>
        <w:bottom w:val="none" w:sz="0" w:space="0" w:color="auto"/>
        <w:right w:val="none" w:sz="0" w:space="0" w:color="auto"/>
      </w:divBdr>
    </w:div>
    <w:div w:id="928581903">
      <w:bodyDiv w:val="1"/>
      <w:marLeft w:val="0"/>
      <w:marRight w:val="0"/>
      <w:marTop w:val="0"/>
      <w:marBottom w:val="0"/>
      <w:divBdr>
        <w:top w:val="none" w:sz="0" w:space="0" w:color="auto"/>
        <w:left w:val="none" w:sz="0" w:space="0" w:color="auto"/>
        <w:bottom w:val="none" w:sz="0" w:space="0" w:color="auto"/>
        <w:right w:val="none" w:sz="0" w:space="0" w:color="auto"/>
      </w:divBdr>
    </w:div>
    <w:div w:id="928581914">
      <w:bodyDiv w:val="1"/>
      <w:marLeft w:val="0"/>
      <w:marRight w:val="0"/>
      <w:marTop w:val="0"/>
      <w:marBottom w:val="0"/>
      <w:divBdr>
        <w:top w:val="none" w:sz="0" w:space="0" w:color="auto"/>
        <w:left w:val="none" w:sz="0" w:space="0" w:color="auto"/>
        <w:bottom w:val="none" w:sz="0" w:space="0" w:color="auto"/>
        <w:right w:val="none" w:sz="0" w:space="0" w:color="auto"/>
      </w:divBdr>
    </w:div>
    <w:div w:id="929855164">
      <w:bodyDiv w:val="1"/>
      <w:marLeft w:val="0"/>
      <w:marRight w:val="0"/>
      <w:marTop w:val="0"/>
      <w:marBottom w:val="0"/>
      <w:divBdr>
        <w:top w:val="none" w:sz="0" w:space="0" w:color="auto"/>
        <w:left w:val="none" w:sz="0" w:space="0" w:color="auto"/>
        <w:bottom w:val="none" w:sz="0" w:space="0" w:color="auto"/>
        <w:right w:val="none" w:sz="0" w:space="0" w:color="auto"/>
      </w:divBdr>
    </w:div>
    <w:div w:id="929891053">
      <w:bodyDiv w:val="1"/>
      <w:marLeft w:val="0"/>
      <w:marRight w:val="0"/>
      <w:marTop w:val="0"/>
      <w:marBottom w:val="0"/>
      <w:divBdr>
        <w:top w:val="none" w:sz="0" w:space="0" w:color="auto"/>
        <w:left w:val="none" w:sz="0" w:space="0" w:color="auto"/>
        <w:bottom w:val="none" w:sz="0" w:space="0" w:color="auto"/>
        <w:right w:val="none" w:sz="0" w:space="0" w:color="auto"/>
      </w:divBdr>
    </w:div>
    <w:div w:id="929896008">
      <w:bodyDiv w:val="1"/>
      <w:marLeft w:val="0"/>
      <w:marRight w:val="0"/>
      <w:marTop w:val="0"/>
      <w:marBottom w:val="0"/>
      <w:divBdr>
        <w:top w:val="none" w:sz="0" w:space="0" w:color="auto"/>
        <w:left w:val="none" w:sz="0" w:space="0" w:color="auto"/>
        <w:bottom w:val="none" w:sz="0" w:space="0" w:color="auto"/>
        <w:right w:val="none" w:sz="0" w:space="0" w:color="auto"/>
      </w:divBdr>
    </w:div>
    <w:div w:id="929971184">
      <w:bodyDiv w:val="1"/>
      <w:marLeft w:val="0"/>
      <w:marRight w:val="0"/>
      <w:marTop w:val="0"/>
      <w:marBottom w:val="0"/>
      <w:divBdr>
        <w:top w:val="none" w:sz="0" w:space="0" w:color="auto"/>
        <w:left w:val="none" w:sz="0" w:space="0" w:color="auto"/>
        <w:bottom w:val="none" w:sz="0" w:space="0" w:color="auto"/>
        <w:right w:val="none" w:sz="0" w:space="0" w:color="auto"/>
      </w:divBdr>
    </w:div>
    <w:div w:id="930043628">
      <w:bodyDiv w:val="1"/>
      <w:marLeft w:val="0"/>
      <w:marRight w:val="0"/>
      <w:marTop w:val="0"/>
      <w:marBottom w:val="0"/>
      <w:divBdr>
        <w:top w:val="none" w:sz="0" w:space="0" w:color="auto"/>
        <w:left w:val="none" w:sz="0" w:space="0" w:color="auto"/>
        <w:bottom w:val="none" w:sz="0" w:space="0" w:color="auto"/>
        <w:right w:val="none" w:sz="0" w:space="0" w:color="auto"/>
      </w:divBdr>
    </w:div>
    <w:div w:id="930044787">
      <w:bodyDiv w:val="1"/>
      <w:marLeft w:val="0"/>
      <w:marRight w:val="0"/>
      <w:marTop w:val="0"/>
      <w:marBottom w:val="0"/>
      <w:divBdr>
        <w:top w:val="none" w:sz="0" w:space="0" w:color="auto"/>
        <w:left w:val="none" w:sz="0" w:space="0" w:color="auto"/>
        <w:bottom w:val="none" w:sz="0" w:space="0" w:color="auto"/>
        <w:right w:val="none" w:sz="0" w:space="0" w:color="auto"/>
      </w:divBdr>
    </w:div>
    <w:div w:id="930047068">
      <w:bodyDiv w:val="1"/>
      <w:marLeft w:val="0"/>
      <w:marRight w:val="0"/>
      <w:marTop w:val="0"/>
      <w:marBottom w:val="0"/>
      <w:divBdr>
        <w:top w:val="none" w:sz="0" w:space="0" w:color="auto"/>
        <w:left w:val="none" w:sz="0" w:space="0" w:color="auto"/>
        <w:bottom w:val="none" w:sz="0" w:space="0" w:color="auto"/>
        <w:right w:val="none" w:sz="0" w:space="0" w:color="auto"/>
      </w:divBdr>
    </w:div>
    <w:div w:id="930090604">
      <w:bodyDiv w:val="1"/>
      <w:marLeft w:val="0"/>
      <w:marRight w:val="0"/>
      <w:marTop w:val="0"/>
      <w:marBottom w:val="0"/>
      <w:divBdr>
        <w:top w:val="none" w:sz="0" w:space="0" w:color="auto"/>
        <w:left w:val="none" w:sz="0" w:space="0" w:color="auto"/>
        <w:bottom w:val="none" w:sz="0" w:space="0" w:color="auto"/>
        <w:right w:val="none" w:sz="0" w:space="0" w:color="auto"/>
      </w:divBdr>
    </w:div>
    <w:div w:id="930234776">
      <w:bodyDiv w:val="1"/>
      <w:marLeft w:val="0"/>
      <w:marRight w:val="0"/>
      <w:marTop w:val="0"/>
      <w:marBottom w:val="0"/>
      <w:divBdr>
        <w:top w:val="none" w:sz="0" w:space="0" w:color="auto"/>
        <w:left w:val="none" w:sz="0" w:space="0" w:color="auto"/>
        <w:bottom w:val="none" w:sz="0" w:space="0" w:color="auto"/>
        <w:right w:val="none" w:sz="0" w:space="0" w:color="auto"/>
      </w:divBdr>
    </w:div>
    <w:div w:id="930235459">
      <w:bodyDiv w:val="1"/>
      <w:marLeft w:val="0"/>
      <w:marRight w:val="0"/>
      <w:marTop w:val="0"/>
      <w:marBottom w:val="0"/>
      <w:divBdr>
        <w:top w:val="none" w:sz="0" w:space="0" w:color="auto"/>
        <w:left w:val="none" w:sz="0" w:space="0" w:color="auto"/>
        <w:bottom w:val="none" w:sz="0" w:space="0" w:color="auto"/>
        <w:right w:val="none" w:sz="0" w:space="0" w:color="auto"/>
      </w:divBdr>
    </w:div>
    <w:div w:id="930352032">
      <w:bodyDiv w:val="1"/>
      <w:marLeft w:val="0"/>
      <w:marRight w:val="0"/>
      <w:marTop w:val="0"/>
      <w:marBottom w:val="0"/>
      <w:divBdr>
        <w:top w:val="none" w:sz="0" w:space="0" w:color="auto"/>
        <w:left w:val="none" w:sz="0" w:space="0" w:color="auto"/>
        <w:bottom w:val="none" w:sz="0" w:space="0" w:color="auto"/>
        <w:right w:val="none" w:sz="0" w:space="0" w:color="auto"/>
      </w:divBdr>
    </w:div>
    <w:div w:id="930550055">
      <w:bodyDiv w:val="1"/>
      <w:marLeft w:val="0"/>
      <w:marRight w:val="0"/>
      <w:marTop w:val="0"/>
      <w:marBottom w:val="0"/>
      <w:divBdr>
        <w:top w:val="none" w:sz="0" w:space="0" w:color="auto"/>
        <w:left w:val="none" w:sz="0" w:space="0" w:color="auto"/>
        <w:bottom w:val="none" w:sz="0" w:space="0" w:color="auto"/>
        <w:right w:val="none" w:sz="0" w:space="0" w:color="auto"/>
      </w:divBdr>
    </w:div>
    <w:div w:id="930818116">
      <w:bodyDiv w:val="1"/>
      <w:marLeft w:val="0"/>
      <w:marRight w:val="0"/>
      <w:marTop w:val="0"/>
      <w:marBottom w:val="0"/>
      <w:divBdr>
        <w:top w:val="none" w:sz="0" w:space="0" w:color="auto"/>
        <w:left w:val="none" w:sz="0" w:space="0" w:color="auto"/>
        <w:bottom w:val="none" w:sz="0" w:space="0" w:color="auto"/>
        <w:right w:val="none" w:sz="0" w:space="0" w:color="auto"/>
      </w:divBdr>
    </w:div>
    <w:div w:id="931820849">
      <w:bodyDiv w:val="1"/>
      <w:marLeft w:val="0"/>
      <w:marRight w:val="0"/>
      <w:marTop w:val="0"/>
      <w:marBottom w:val="0"/>
      <w:divBdr>
        <w:top w:val="none" w:sz="0" w:space="0" w:color="auto"/>
        <w:left w:val="none" w:sz="0" w:space="0" w:color="auto"/>
        <w:bottom w:val="none" w:sz="0" w:space="0" w:color="auto"/>
        <w:right w:val="none" w:sz="0" w:space="0" w:color="auto"/>
      </w:divBdr>
    </w:div>
    <w:div w:id="932013873">
      <w:bodyDiv w:val="1"/>
      <w:marLeft w:val="0"/>
      <w:marRight w:val="0"/>
      <w:marTop w:val="0"/>
      <w:marBottom w:val="0"/>
      <w:divBdr>
        <w:top w:val="none" w:sz="0" w:space="0" w:color="auto"/>
        <w:left w:val="none" w:sz="0" w:space="0" w:color="auto"/>
        <w:bottom w:val="none" w:sz="0" w:space="0" w:color="auto"/>
        <w:right w:val="none" w:sz="0" w:space="0" w:color="auto"/>
      </w:divBdr>
    </w:div>
    <w:div w:id="932280173">
      <w:bodyDiv w:val="1"/>
      <w:marLeft w:val="0"/>
      <w:marRight w:val="0"/>
      <w:marTop w:val="0"/>
      <w:marBottom w:val="0"/>
      <w:divBdr>
        <w:top w:val="none" w:sz="0" w:space="0" w:color="auto"/>
        <w:left w:val="none" w:sz="0" w:space="0" w:color="auto"/>
        <w:bottom w:val="none" w:sz="0" w:space="0" w:color="auto"/>
        <w:right w:val="none" w:sz="0" w:space="0" w:color="auto"/>
      </w:divBdr>
    </w:div>
    <w:div w:id="932318104">
      <w:bodyDiv w:val="1"/>
      <w:marLeft w:val="0"/>
      <w:marRight w:val="0"/>
      <w:marTop w:val="0"/>
      <w:marBottom w:val="0"/>
      <w:divBdr>
        <w:top w:val="none" w:sz="0" w:space="0" w:color="auto"/>
        <w:left w:val="none" w:sz="0" w:space="0" w:color="auto"/>
        <w:bottom w:val="none" w:sz="0" w:space="0" w:color="auto"/>
        <w:right w:val="none" w:sz="0" w:space="0" w:color="auto"/>
      </w:divBdr>
    </w:div>
    <w:div w:id="932856295">
      <w:bodyDiv w:val="1"/>
      <w:marLeft w:val="0"/>
      <w:marRight w:val="0"/>
      <w:marTop w:val="0"/>
      <w:marBottom w:val="0"/>
      <w:divBdr>
        <w:top w:val="none" w:sz="0" w:space="0" w:color="auto"/>
        <w:left w:val="none" w:sz="0" w:space="0" w:color="auto"/>
        <w:bottom w:val="none" w:sz="0" w:space="0" w:color="auto"/>
        <w:right w:val="none" w:sz="0" w:space="0" w:color="auto"/>
      </w:divBdr>
    </w:div>
    <w:div w:id="933128784">
      <w:bodyDiv w:val="1"/>
      <w:marLeft w:val="0"/>
      <w:marRight w:val="0"/>
      <w:marTop w:val="0"/>
      <w:marBottom w:val="0"/>
      <w:divBdr>
        <w:top w:val="none" w:sz="0" w:space="0" w:color="auto"/>
        <w:left w:val="none" w:sz="0" w:space="0" w:color="auto"/>
        <w:bottom w:val="none" w:sz="0" w:space="0" w:color="auto"/>
        <w:right w:val="none" w:sz="0" w:space="0" w:color="auto"/>
      </w:divBdr>
    </w:div>
    <w:div w:id="933171224">
      <w:bodyDiv w:val="1"/>
      <w:marLeft w:val="0"/>
      <w:marRight w:val="0"/>
      <w:marTop w:val="0"/>
      <w:marBottom w:val="0"/>
      <w:divBdr>
        <w:top w:val="none" w:sz="0" w:space="0" w:color="auto"/>
        <w:left w:val="none" w:sz="0" w:space="0" w:color="auto"/>
        <w:bottom w:val="none" w:sz="0" w:space="0" w:color="auto"/>
        <w:right w:val="none" w:sz="0" w:space="0" w:color="auto"/>
      </w:divBdr>
    </w:div>
    <w:div w:id="933518538">
      <w:bodyDiv w:val="1"/>
      <w:marLeft w:val="0"/>
      <w:marRight w:val="0"/>
      <w:marTop w:val="0"/>
      <w:marBottom w:val="0"/>
      <w:divBdr>
        <w:top w:val="none" w:sz="0" w:space="0" w:color="auto"/>
        <w:left w:val="none" w:sz="0" w:space="0" w:color="auto"/>
        <w:bottom w:val="none" w:sz="0" w:space="0" w:color="auto"/>
        <w:right w:val="none" w:sz="0" w:space="0" w:color="auto"/>
      </w:divBdr>
    </w:div>
    <w:div w:id="933703159">
      <w:bodyDiv w:val="1"/>
      <w:marLeft w:val="0"/>
      <w:marRight w:val="0"/>
      <w:marTop w:val="0"/>
      <w:marBottom w:val="0"/>
      <w:divBdr>
        <w:top w:val="none" w:sz="0" w:space="0" w:color="auto"/>
        <w:left w:val="none" w:sz="0" w:space="0" w:color="auto"/>
        <w:bottom w:val="none" w:sz="0" w:space="0" w:color="auto"/>
        <w:right w:val="none" w:sz="0" w:space="0" w:color="auto"/>
      </w:divBdr>
    </w:div>
    <w:div w:id="933778948">
      <w:bodyDiv w:val="1"/>
      <w:marLeft w:val="0"/>
      <w:marRight w:val="0"/>
      <w:marTop w:val="0"/>
      <w:marBottom w:val="0"/>
      <w:divBdr>
        <w:top w:val="none" w:sz="0" w:space="0" w:color="auto"/>
        <w:left w:val="none" w:sz="0" w:space="0" w:color="auto"/>
        <w:bottom w:val="none" w:sz="0" w:space="0" w:color="auto"/>
        <w:right w:val="none" w:sz="0" w:space="0" w:color="auto"/>
      </w:divBdr>
    </w:div>
    <w:div w:id="933780864">
      <w:bodyDiv w:val="1"/>
      <w:marLeft w:val="0"/>
      <w:marRight w:val="0"/>
      <w:marTop w:val="0"/>
      <w:marBottom w:val="0"/>
      <w:divBdr>
        <w:top w:val="none" w:sz="0" w:space="0" w:color="auto"/>
        <w:left w:val="none" w:sz="0" w:space="0" w:color="auto"/>
        <w:bottom w:val="none" w:sz="0" w:space="0" w:color="auto"/>
        <w:right w:val="none" w:sz="0" w:space="0" w:color="auto"/>
      </w:divBdr>
    </w:div>
    <w:div w:id="933904342">
      <w:bodyDiv w:val="1"/>
      <w:marLeft w:val="0"/>
      <w:marRight w:val="0"/>
      <w:marTop w:val="0"/>
      <w:marBottom w:val="0"/>
      <w:divBdr>
        <w:top w:val="none" w:sz="0" w:space="0" w:color="auto"/>
        <w:left w:val="none" w:sz="0" w:space="0" w:color="auto"/>
        <w:bottom w:val="none" w:sz="0" w:space="0" w:color="auto"/>
        <w:right w:val="none" w:sz="0" w:space="0" w:color="auto"/>
      </w:divBdr>
    </w:div>
    <w:div w:id="934021505">
      <w:bodyDiv w:val="1"/>
      <w:marLeft w:val="0"/>
      <w:marRight w:val="0"/>
      <w:marTop w:val="0"/>
      <w:marBottom w:val="0"/>
      <w:divBdr>
        <w:top w:val="none" w:sz="0" w:space="0" w:color="auto"/>
        <w:left w:val="none" w:sz="0" w:space="0" w:color="auto"/>
        <w:bottom w:val="none" w:sz="0" w:space="0" w:color="auto"/>
        <w:right w:val="none" w:sz="0" w:space="0" w:color="auto"/>
      </w:divBdr>
    </w:div>
    <w:div w:id="934090071">
      <w:bodyDiv w:val="1"/>
      <w:marLeft w:val="0"/>
      <w:marRight w:val="0"/>
      <w:marTop w:val="0"/>
      <w:marBottom w:val="0"/>
      <w:divBdr>
        <w:top w:val="none" w:sz="0" w:space="0" w:color="auto"/>
        <w:left w:val="none" w:sz="0" w:space="0" w:color="auto"/>
        <w:bottom w:val="none" w:sz="0" w:space="0" w:color="auto"/>
        <w:right w:val="none" w:sz="0" w:space="0" w:color="auto"/>
      </w:divBdr>
    </w:div>
    <w:div w:id="934172321">
      <w:bodyDiv w:val="1"/>
      <w:marLeft w:val="0"/>
      <w:marRight w:val="0"/>
      <w:marTop w:val="0"/>
      <w:marBottom w:val="0"/>
      <w:divBdr>
        <w:top w:val="none" w:sz="0" w:space="0" w:color="auto"/>
        <w:left w:val="none" w:sz="0" w:space="0" w:color="auto"/>
        <w:bottom w:val="none" w:sz="0" w:space="0" w:color="auto"/>
        <w:right w:val="none" w:sz="0" w:space="0" w:color="auto"/>
      </w:divBdr>
    </w:div>
    <w:div w:id="934284709">
      <w:bodyDiv w:val="1"/>
      <w:marLeft w:val="0"/>
      <w:marRight w:val="0"/>
      <w:marTop w:val="0"/>
      <w:marBottom w:val="0"/>
      <w:divBdr>
        <w:top w:val="none" w:sz="0" w:space="0" w:color="auto"/>
        <w:left w:val="none" w:sz="0" w:space="0" w:color="auto"/>
        <w:bottom w:val="none" w:sz="0" w:space="0" w:color="auto"/>
        <w:right w:val="none" w:sz="0" w:space="0" w:color="auto"/>
      </w:divBdr>
    </w:div>
    <w:div w:id="934361506">
      <w:bodyDiv w:val="1"/>
      <w:marLeft w:val="0"/>
      <w:marRight w:val="0"/>
      <w:marTop w:val="0"/>
      <w:marBottom w:val="0"/>
      <w:divBdr>
        <w:top w:val="none" w:sz="0" w:space="0" w:color="auto"/>
        <w:left w:val="none" w:sz="0" w:space="0" w:color="auto"/>
        <w:bottom w:val="none" w:sz="0" w:space="0" w:color="auto"/>
        <w:right w:val="none" w:sz="0" w:space="0" w:color="auto"/>
      </w:divBdr>
    </w:div>
    <w:div w:id="934704114">
      <w:bodyDiv w:val="1"/>
      <w:marLeft w:val="0"/>
      <w:marRight w:val="0"/>
      <w:marTop w:val="0"/>
      <w:marBottom w:val="0"/>
      <w:divBdr>
        <w:top w:val="none" w:sz="0" w:space="0" w:color="auto"/>
        <w:left w:val="none" w:sz="0" w:space="0" w:color="auto"/>
        <w:bottom w:val="none" w:sz="0" w:space="0" w:color="auto"/>
        <w:right w:val="none" w:sz="0" w:space="0" w:color="auto"/>
      </w:divBdr>
    </w:div>
    <w:div w:id="934751556">
      <w:bodyDiv w:val="1"/>
      <w:marLeft w:val="0"/>
      <w:marRight w:val="0"/>
      <w:marTop w:val="0"/>
      <w:marBottom w:val="0"/>
      <w:divBdr>
        <w:top w:val="none" w:sz="0" w:space="0" w:color="auto"/>
        <w:left w:val="none" w:sz="0" w:space="0" w:color="auto"/>
        <w:bottom w:val="none" w:sz="0" w:space="0" w:color="auto"/>
        <w:right w:val="none" w:sz="0" w:space="0" w:color="auto"/>
      </w:divBdr>
    </w:div>
    <w:div w:id="934826161">
      <w:bodyDiv w:val="1"/>
      <w:marLeft w:val="0"/>
      <w:marRight w:val="0"/>
      <w:marTop w:val="0"/>
      <w:marBottom w:val="0"/>
      <w:divBdr>
        <w:top w:val="none" w:sz="0" w:space="0" w:color="auto"/>
        <w:left w:val="none" w:sz="0" w:space="0" w:color="auto"/>
        <w:bottom w:val="none" w:sz="0" w:space="0" w:color="auto"/>
        <w:right w:val="none" w:sz="0" w:space="0" w:color="auto"/>
      </w:divBdr>
    </w:div>
    <w:div w:id="935091943">
      <w:bodyDiv w:val="1"/>
      <w:marLeft w:val="0"/>
      <w:marRight w:val="0"/>
      <w:marTop w:val="0"/>
      <w:marBottom w:val="0"/>
      <w:divBdr>
        <w:top w:val="none" w:sz="0" w:space="0" w:color="auto"/>
        <w:left w:val="none" w:sz="0" w:space="0" w:color="auto"/>
        <w:bottom w:val="none" w:sz="0" w:space="0" w:color="auto"/>
        <w:right w:val="none" w:sz="0" w:space="0" w:color="auto"/>
      </w:divBdr>
    </w:div>
    <w:div w:id="935136054">
      <w:bodyDiv w:val="1"/>
      <w:marLeft w:val="0"/>
      <w:marRight w:val="0"/>
      <w:marTop w:val="0"/>
      <w:marBottom w:val="0"/>
      <w:divBdr>
        <w:top w:val="none" w:sz="0" w:space="0" w:color="auto"/>
        <w:left w:val="none" w:sz="0" w:space="0" w:color="auto"/>
        <w:bottom w:val="none" w:sz="0" w:space="0" w:color="auto"/>
        <w:right w:val="none" w:sz="0" w:space="0" w:color="auto"/>
      </w:divBdr>
    </w:div>
    <w:div w:id="935401486">
      <w:bodyDiv w:val="1"/>
      <w:marLeft w:val="0"/>
      <w:marRight w:val="0"/>
      <w:marTop w:val="0"/>
      <w:marBottom w:val="0"/>
      <w:divBdr>
        <w:top w:val="none" w:sz="0" w:space="0" w:color="auto"/>
        <w:left w:val="none" w:sz="0" w:space="0" w:color="auto"/>
        <w:bottom w:val="none" w:sz="0" w:space="0" w:color="auto"/>
        <w:right w:val="none" w:sz="0" w:space="0" w:color="auto"/>
      </w:divBdr>
    </w:div>
    <w:div w:id="935672163">
      <w:bodyDiv w:val="1"/>
      <w:marLeft w:val="0"/>
      <w:marRight w:val="0"/>
      <w:marTop w:val="0"/>
      <w:marBottom w:val="0"/>
      <w:divBdr>
        <w:top w:val="none" w:sz="0" w:space="0" w:color="auto"/>
        <w:left w:val="none" w:sz="0" w:space="0" w:color="auto"/>
        <w:bottom w:val="none" w:sz="0" w:space="0" w:color="auto"/>
        <w:right w:val="none" w:sz="0" w:space="0" w:color="auto"/>
      </w:divBdr>
    </w:div>
    <w:div w:id="935864263">
      <w:bodyDiv w:val="1"/>
      <w:marLeft w:val="0"/>
      <w:marRight w:val="0"/>
      <w:marTop w:val="0"/>
      <w:marBottom w:val="0"/>
      <w:divBdr>
        <w:top w:val="none" w:sz="0" w:space="0" w:color="auto"/>
        <w:left w:val="none" w:sz="0" w:space="0" w:color="auto"/>
        <w:bottom w:val="none" w:sz="0" w:space="0" w:color="auto"/>
        <w:right w:val="none" w:sz="0" w:space="0" w:color="auto"/>
      </w:divBdr>
    </w:div>
    <w:div w:id="935869416">
      <w:bodyDiv w:val="1"/>
      <w:marLeft w:val="0"/>
      <w:marRight w:val="0"/>
      <w:marTop w:val="0"/>
      <w:marBottom w:val="0"/>
      <w:divBdr>
        <w:top w:val="none" w:sz="0" w:space="0" w:color="auto"/>
        <w:left w:val="none" w:sz="0" w:space="0" w:color="auto"/>
        <w:bottom w:val="none" w:sz="0" w:space="0" w:color="auto"/>
        <w:right w:val="none" w:sz="0" w:space="0" w:color="auto"/>
      </w:divBdr>
    </w:div>
    <w:div w:id="935942707">
      <w:bodyDiv w:val="1"/>
      <w:marLeft w:val="0"/>
      <w:marRight w:val="0"/>
      <w:marTop w:val="0"/>
      <w:marBottom w:val="0"/>
      <w:divBdr>
        <w:top w:val="none" w:sz="0" w:space="0" w:color="auto"/>
        <w:left w:val="none" w:sz="0" w:space="0" w:color="auto"/>
        <w:bottom w:val="none" w:sz="0" w:space="0" w:color="auto"/>
        <w:right w:val="none" w:sz="0" w:space="0" w:color="auto"/>
      </w:divBdr>
    </w:div>
    <w:div w:id="936059102">
      <w:bodyDiv w:val="1"/>
      <w:marLeft w:val="0"/>
      <w:marRight w:val="0"/>
      <w:marTop w:val="0"/>
      <w:marBottom w:val="0"/>
      <w:divBdr>
        <w:top w:val="none" w:sz="0" w:space="0" w:color="auto"/>
        <w:left w:val="none" w:sz="0" w:space="0" w:color="auto"/>
        <w:bottom w:val="none" w:sz="0" w:space="0" w:color="auto"/>
        <w:right w:val="none" w:sz="0" w:space="0" w:color="auto"/>
      </w:divBdr>
    </w:div>
    <w:div w:id="936255570">
      <w:bodyDiv w:val="1"/>
      <w:marLeft w:val="0"/>
      <w:marRight w:val="0"/>
      <w:marTop w:val="0"/>
      <w:marBottom w:val="0"/>
      <w:divBdr>
        <w:top w:val="none" w:sz="0" w:space="0" w:color="auto"/>
        <w:left w:val="none" w:sz="0" w:space="0" w:color="auto"/>
        <w:bottom w:val="none" w:sz="0" w:space="0" w:color="auto"/>
        <w:right w:val="none" w:sz="0" w:space="0" w:color="auto"/>
      </w:divBdr>
    </w:div>
    <w:div w:id="936446416">
      <w:bodyDiv w:val="1"/>
      <w:marLeft w:val="0"/>
      <w:marRight w:val="0"/>
      <w:marTop w:val="0"/>
      <w:marBottom w:val="0"/>
      <w:divBdr>
        <w:top w:val="none" w:sz="0" w:space="0" w:color="auto"/>
        <w:left w:val="none" w:sz="0" w:space="0" w:color="auto"/>
        <w:bottom w:val="none" w:sz="0" w:space="0" w:color="auto"/>
        <w:right w:val="none" w:sz="0" w:space="0" w:color="auto"/>
      </w:divBdr>
    </w:div>
    <w:div w:id="936525807">
      <w:bodyDiv w:val="1"/>
      <w:marLeft w:val="0"/>
      <w:marRight w:val="0"/>
      <w:marTop w:val="0"/>
      <w:marBottom w:val="0"/>
      <w:divBdr>
        <w:top w:val="none" w:sz="0" w:space="0" w:color="auto"/>
        <w:left w:val="none" w:sz="0" w:space="0" w:color="auto"/>
        <w:bottom w:val="none" w:sz="0" w:space="0" w:color="auto"/>
        <w:right w:val="none" w:sz="0" w:space="0" w:color="auto"/>
      </w:divBdr>
    </w:div>
    <w:div w:id="936906491">
      <w:bodyDiv w:val="1"/>
      <w:marLeft w:val="0"/>
      <w:marRight w:val="0"/>
      <w:marTop w:val="0"/>
      <w:marBottom w:val="0"/>
      <w:divBdr>
        <w:top w:val="none" w:sz="0" w:space="0" w:color="auto"/>
        <w:left w:val="none" w:sz="0" w:space="0" w:color="auto"/>
        <w:bottom w:val="none" w:sz="0" w:space="0" w:color="auto"/>
        <w:right w:val="none" w:sz="0" w:space="0" w:color="auto"/>
      </w:divBdr>
    </w:div>
    <w:div w:id="936907416">
      <w:bodyDiv w:val="1"/>
      <w:marLeft w:val="0"/>
      <w:marRight w:val="0"/>
      <w:marTop w:val="0"/>
      <w:marBottom w:val="0"/>
      <w:divBdr>
        <w:top w:val="none" w:sz="0" w:space="0" w:color="auto"/>
        <w:left w:val="none" w:sz="0" w:space="0" w:color="auto"/>
        <w:bottom w:val="none" w:sz="0" w:space="0" w:color="auto"/>
        <w:right w:val="none" w:sz="0" w:space="0" w:color="auto"/>
      </w:divBdr>
    </w:div>
    <w:div w:id="936983346">
      <w:bodyDiv w:val="1"/>
      <w:marLeft w:val="0"/>
      <w:marRight w:val="0"/>
      <w:marTop w:val="0"/>
      <w:marBottom w:val="0"/>
      <w:divBdr>
        <w:top w:val="none" w:sz="0" w:space="0" w:color="auto"/>
        <w:left w:val="none" w:sz="0" w:space="0" w:color="auto"/>
        <w:bottom w:val="none" w:sz="0" w:space="0" w:color="auto"/>
        <w:right w:val="none" w:sz="0" w:space="0" w:color="auto"/>
      </w:divBdr>
    </w:div>
    <w:div w:id="937102059">
      <w:bodyDiv w:val="1"/>
      <w:marLeft w:val="0"/>
      <w:marRight w:val="0"/>
      <w:marTop w:val="0"/>
      <w:marBottom w:val="0"/>
      <w:divBdr>
        <w:top w:val="none" w:sz="0" w:space="0" w:color="auto"/>
        <w:left w:val="none" w:sz="0" w:space="0" w:color="auto"/>
        <w:bottom w:val="none" w:sz="0" w:space="0" w:color="auto"/>
        <w:right w:val="none" w:sz="0" w:space="0" w:color="auto"/>
      </w:divBdr>
    </w:div>
    <w:div w:id="937173004">
      <w:bodyDiv w:val="1"/>
      <w:marLeft w:val="0"/>
      <w:marRight w:val="0"/>
      <w:marTop w:val="0"/>
      <w:marBottom w:val="0"/>
      <w:divBdr>
        <w:top w:val="none" w:sz="0" w:space="0" w:color="auto"/>
        <w:left w:val="none" w:sz="0" w:space="0" w:color="auto"/>
        <w:bottom w:val="none" w:sz="0" w:space="0" w:color="auto"/>
        <w:right w:val="none" w:sz="0" w:space="0" w:color="auto"/>
      </w:divBdr>
    </w:div>
    <w:div w:id="937296025">
      <w:bodyDiv w:val="1"/>
      <w:marLeft w:val="0"/>
      <w:marRight w:val="0"/>
      <w:marTop w:val="0"/>
      <w:marBottom w:val="0"/>
      <w:divBdr>
        <w:top w:val="none" w:sz="0" w:space="0" w:color="auto"/>
        <w:left w:val="none" w:sz="0" w:space="0" w:color="auto"/>
        <w:bottom w:val="none" w:sz="0" w:space="0" w:color="auto"/>
        <w:right w:val="none" w:sz="0" w:space="0" w:color="auto"/>
      </w:divBdr>
    </w:div>
    <w:div w:id="937450283">
      <w:bodyDiv w:val="1"/>
      <w:marLeft w:val="0"/>
      <w:marRight w:val="0"/>
      <w:marTop w:val="0"/>
      <w:marBottom w:val="0"/>
      <w:divBdr>
        <w:top w:val="none" w:sz="0" w:space="0" w:color="auto"/>
        <w:left w:val="none" w:sz="0" w:space="0" w:color="auto"/>
        <w:bottom w:val="none" w:sz="0" w:space="0" w:color="auto"/>
        <w:right w:val="none" w:sz="0" w:space="0" w:color="auto"/>
      </w:divBdr>
    </w:div>
    <w:div w:id="938101491">
      <w:bodyDiv w:val="1"/>
      <w:marLeft w:val="0"/>
      <w:marRight w:val="0"/>
      <w:marTop w:val="0"/>
      <w:marBottom w:val="0"/>
      <w:divBdr>
        <w:top w:val="none" w:sz="0" w:space="0" w:color="auto"/>
        <w:left w:val="none" w:sz="0" w:space="0" w:color="auto"/>
        <w:bottom w:val="none" w:sz="0" w:space="0" w:color="auto"/>
        <w:right w:val="none" w:sz="0" w:space="0" w:color="auto"/>
      </w:divBdr>
    </w:div>
    <w:div w:id="938104452">
      <w:bodyDiv w:val="1"/>
      <w:marLeft w:val="0"/>
      <w:marRight w:val="0"/>
      <w:marTop w:val="0"/>
      <w:marBottom w:val="0"/>
      <w:divBdr>
        <w:top w:val="none" w:sz="0" w:space="0" w:color="auto"/>
        <w:left w:val="none" w:sz="0" w:space="0" w:color="auto"/>
        <w:bottom w:val="none" w:sz="0" w:space="0" w:color="auto"/>
        <w:right w:val="none" w:sz="0" w:space="0" w:color="auto"/>
      </w:divBdr>
    </w:div>
    <w:div w:id="938179609">
      <w:bodyDiv w:val="1"/>
      <w:marLeft w:val="0"/>
      <w:marRight w:val="0"/>
      <w:marTop w:val="0"/>
      <w:marBottom w:val="0"/>
      <w:divBdr>
        <w:top w:val="none" w:sz="0" w:space="0" w:color="auto"/>
        <w:left w:val="none" w:sz="0" w:space="0" w:color="auto"/>
        <w:bottom w:val="none" w:sz="0" w:space="0" w:color="auto"/>
        <w:right w:val="none" w:sz="0" w:space="0" w:color="auto"/>
      </w:divBdr>
    </w:div>
    <w:div w:id="938679482">
      <w:bodyDiv w:val="1"/>
      <w:marLeft w:val="0"/>
      <w:marRight w:val="0"/>
      <w:marTop w:val="0"/>
      <w:marBottom w:val="0"/>
      <w:divBdr>
        <w:top w:val="none" w:sz="0" w:space="0" w:color="auto"/>
        <w:left w:val="none" w:sz="0" w:space="0" w:color="auto"/>
        <w:bottom w:val="none" w:sz="0" w:space="0" w:color="auto"/>
        <w:right w:val="none" w:sz="0" w:space="0" w:color="auto"/>
      </w:divBdr>
    </w:div>
    <w:div w:id="938680744">
      <w:bodyDiv w:val="1"/>
      <w:marLeft w:val="0"/>
      <w:marRight w:val="0"/>
      <w:marTop w:val="0"/>
      <w:marBottom w:val="0"/>
      <w:divBdr>
        <w:top w:val="none" w:sz="0" w:space="0" w:color="auto"/>
        <w:left w:val="none" w:sz="0" w:space="0" w:color="auto"/>
        <w:bottom w:val="none" w:sz="0" w:space="0" w:color="auto"/>
        <w:right w:val="none" w:sz="0" w:space="0" w:color="auto"/>
      </w:divBdr>
    </w:div>
    <w:div w:id="93875823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39216682">
      <w:bodyDiv w:val="1"/>
      <w:marLeft w:val="0"/>
      <w:marRight w:val="0"/>
      <w:marTop w:val="0"/>
      <w:marBottom w:val="0"/>
      <w:divBdr>
        <w:top w:val="none" w:sz="0" w:space="0" w:color="auto"/>
        <w:left w:val="none" w:sz="0" w:space="0" w:color="auto"/>
        <w:bottom w:val="none" w:sz="0" w:space="0" w:color="auto"/>
        <w:right w:val="none" w:sz="0" w:space="0" w:color="auto"/>
      </w:divBdr>
    </w:div>
    <w:div w:id="939413585">
      <w:bodyDiv w:val="1"/>
      <w:marLeft w:val="0"/>
      <w:marRight w:val="0"/>
      <w:marTop w:val="0"/>
      <w:marBottom w:val="0"/>
      <w:divBdr>
        <w:top w:val="none" w:sz="0" w:space="0" w:color="auto"/>
        <w:left w:val="none" w:sz="0" w:space="0" w:color="auto"/>
        <w:bottom w:val="none" w:sz="0" w:space="0" w:color="auto"/>
        <w:right w:val="none" w:sz="0" w:space="0" w:color="auto"/>
      </w:divBdr>
    </w:div>
    <w:div w:id="939798651">
      <w:bodyDiv w:val="1"/>
      <w:marLeft w:val="0"/>
      <w:marRight w:val="0"/>
      <w:marTop w:val="0"/>
      <w:marBottom w:val="0"/>
      <w:divBdr>
        <w:top w:val="none" w:sz="0" w:space="0" w:color="auto"/>
        <w:left w:val="none" w:sz="0" w:space="0" w:color="auto"/>
        <w:bottom w:val="none" w:sz="0" w:space="0" w:color="auto"/>
        <w:right w:val="none" w:sz="0" w:space="0" w:color="auto"/>
      </w:divBdr>
    </w:div>
    <w:div w:id="939946913">
      <w:bodyDiv w:val="1"/>
      <w:marLeft w:val="0"/>
      <w:marRight w:val="0"/>
      <w:marTop w:val="0"/>
      <w:marBottom w:val="0"/>
      <w:divBdr>
        <w:top w:val="none" w:sz="0" w:space="0" w:color="auto"/>
        <w:left w:val="none" w:sz="0" w:space="0" w:color="auto"/>
        <w:bottom w:val="none" w:sz="0" w:space="0" w:color="auto"/>
        <w:right w:val="none" w:sz="0" w:space="0" w:color="auto"/>
      </w:divBdr>
    </w:div>
    <w:div w:id="940141157">
      <w:bodyDiv w:val="1"/>
      <w:marLeft w:val="0"/>
      <w:marRight w:val="0"/>
      <w:marTop w:val="0"/>
      <w:marBottom w:val="0"/>
      <w:divBdr>
        <w:top w:val="none" w:sz="0" w:space="0" w:color="auto"/>
        <w:left w:val="none" w:sz="0" w:space="0" w:color="auto"/>
        <w:bottom w:val="none" w:sz="0" w:space="0" w:color="auto"/>
        <w:right w:val="none" w:sz="0" w:space="0" w:color="auto"/>
      </w:divBdr>
    </w:div>
    <w:div w:id="940377583">
      <w:bodyDiv w:val="1"/>
      <w:marLeft w:val="0"/>
      <w:marRight w:val="0"/>
      <w:marTop w:val="0"/>
      <w:marBottom w:val="0"/>
      <w:divBdr>
        <w:top w:val="none" w:sz="0" w:space="0" w:color="auto"/>
        <w:left w:val="none" w:sz="0" w:space="0" w:color="auto"/>
        <w:bottom w:val="none" w:sz="0" w:space="0" w:color="auto"/>
        <w:right w:val="none" w:sz="0" w:space="0" w:color="auto"/>
      </w:divBdr>
    </w:div>
    <w:div w:id="940379229">
      <w:bodyDiv w:val="1"/>
      <w:marLeft w:val="0"/>
      <w:marRight w:val="0"/>
      <w:marTop w:val="0"/>
      <w:marBottom w:val="0"/>
      <w:divBdr>
        <w:top w:val="none" w:sz="0" w:space="0" w:color="auto"/>
        <w:left w:val="none" w:sz="0" w:space="0" w:color="auto"/>
        <w:bottom w:val="none" w:sz="0" w:space="0" w:color="auto"/>
        <w:right w:val="none" w:sz="0" w:space="0" w:color="auto"/>
      </w:divBdr>
    </w:div>
    <w:div w:id="941297701">
      <w:bodyDiv w:val="1"/>
      <w:marLeft w:val="0"/>
      <w:marRight w:val="0"/>
      <w:marTop w:val="0"/>
      <w:marBottom w:val="0"/>
      <w:divBdr>
        <w:top w:val="none" w:sz="0" w:space="0" w:color="auto"/>
        <w:left w:val="none" w:sz="0" w:space="0" w:color="auto"/>
        <w:bottom w:val="none" w:sz="0" w:space="0" w:color="auto"/>
        <w:right w:val="none" w:sz="0" w:space="0" w:color="auto"/>
      </w:divBdr>
    </w:div>
    <w:div w:id="941302485">
      <w:bodyDiv w:val="1"/>
      <w:marLeft w:val="0"/>
      <w:marRight w:val="0"/>
      <w:marTop w:val="0"/>
      <w:marBottom w:val="0"/>
      <w:divBdr>
        <w:top w:val="none" w:sz="0" w:space="0" w:color="auto"/>
        <w:left w:val="none" w:sz="0" w:space="0" w:color="auto"/>
        <w:bottom w:val="none" w:sz="0" w:space="0" w:color="auto"/>
        <w:right w:val="none" w:sz="0" w:space="0" w:color="auto"/>
      </w:divBdr>
    </w:div>
    <w:div w:id="941379004">
      <w:bodyDiv w:val="1"/>
      <w:marLeft w:val="0"/>
      <w:marRight w:val="0"/>
      <w:marTop w:val="0"/>
      <w:marBottom w:val="0"/>
      <w:divBdr>
        <w:top w:val="none" w:sz="0" w:space="0" w:color="auto"/>
        <w:left w:val="none" w:sz="0" w:space="0" w:color="auto"/>
        <w:bottom w:val="none" w:sz="0" w:space="0" w:color="auto"/>
        <w:right w:val="none" w:sz="0" w:space="0" w:color="auto"/>
      </w:divBdr>
    </w:div>
    <w:div w:id="941492211">
      <w:bodyDiv w:val="1"/>
      <w:marLeft w:val="0"/>
      <w:marRight w:val="0"/>
      <w:marTop w:val="0"/>
      <w:marBottom w:val="0"/>
      <w:divBdr>
        <w:top w:val="none" w:sz="0" w:space="0" w:color="auto"/>
        <w:left w:val="none" w:sz="0" w:space="0" w:color="auto"/>
        <w:bottom w:val="none" w:sz="0" w:space="0" w:color="auto"/>
        <w:right w:val="none" w:sz="0" w:space="0" w:color="auto"/>
      </w:divBdr>
    </w:div>
    <w:div w:id="941572783">
      <w:bodyDiv w:val="1"/>
      <w:marLeft w:val="0"/>
      <w:marRight w:val="0"/>
      <w:marTop w:val="0"/>
      <w:marBottom w:val="0"/>
      <w:divBdr>
        <w:top w:val="none" w:sz="0" w:space="0" w:color="auto"/>
        <w:left w:val="none" w:sz="0" w:space="0" w:color="auto"/>
        <w:bottom w:val="none" w:sz="0" w:space="0" w:color="auto"/>
        <w:right w:val="none" w:sz="0" w:space="0" w:color="auto"/>
      </w:divBdr>
    </w:div>
    <w:div w:id="941837534">
      <w:bodyDiv w:val="1"/>
      <w:marLeft w:val="0"/>
      <w:marRight w:val="0"/>
      <w:marTop w:val="0"/>
      <w:marBottom w:val="0"/>
      <w:divBdr>
        <w:top w:val="none" w:sz="0" w:space="0" w:color="auto"/>
        <w:left w:val="none" w:sz="0" w:space="0" w:color="auto"/>
        <w:bottom w:val="none" w:sz="0" w:space="0" w:color="auto"/>
        <w:right w:val="none" w:sz="0" w:space="0" w:color="auto"/>
      </w:divBdr>
    </w:div>
    <w:div w:id="942420359">
      <w:bodyDiv w:val="1"/>
      <w:marLeft w:val="0"/>
      <w:marRight w:val="0"/>
      <w:marTop w:val="0"/>
      <w:marBottom w:val="0"/>
      <w:divBdr>
        <w:top w:val="none" w:sz="0" w:space="0" w:color="auto"/>
        <w:left w:val="none" w:sz="0" w:space="0" w:color="auto"/>
        <w:bottom w:val="none" w:sz="0" w:space="0" w:color="auto"/>
        <w:right w:val="none" w:sz="0" w:space="0" w:color="auto"/>
      </w:divBdr>
    </w:div>
    <w:div w:id="942609883">
      <w:bodyDiv w:val="1"/>
      <w:marLeft w:val="0"/>
      <w:marRight w:val="0"/>
      <w:marTop w:val="0"/>
      <w:marBottom w:val="0"/>
      <w:divBdr>
        <w:top w:val="none" w:sz="0" w:space="0" w:color="auto"/>
        <w:left w:val="none" w:sz="0" w:space="0" w:color="auto"/>
        <w:bottom w:val="none" w:sz="0" w:space="0" w:color="auto"/>
        <w:right w:val="none" w:sz="0" w:space="0" w:color="auto"/>
      </w:divBdr>
    </w:div>
    <w:div w:id="943075362">
      <w:bodyDiv w:val="1"/>
      <w:marLeft w:val="0"/>
      <w:marRight w:val="0"/>
      <w:marTop w:val="0"/>
      <w:marBottom w:val="0"/>
      <w:divBdr>
        <w:top w:val="none" w:sz="0" w:space="0" w:color="auto"/>
        <w:left w:val="none" w:sz="0" w:space="0" w:color="auto"/>
        <w:bottom w:val="none" w:sz="0" w:space="0" w:color="auto"/>
        <w:right w:val="none" w:sz="0" w:space="0" w:color="auto"/>
      </w:divBdr>
    </w:div>
    <w:div w:id="943270412">
      <w:bodyDiv w:val="1"/>
      <w:marLeft w:val="0"/>
      <w:marRight w:val="0"/>
      <w:marTop w:val="0"/>
      <w:marBottom w:val="0"/>
      <w:divBdr>
        <w:top w:val="none" w:sz="0" w:space="0" w:color="auto"/>
        <w:left w:val="none" w:sz="0" w:space="0" w:color="auto"/>
        <w:bottom w:val="none" w:sz="0" w:space="0" w:color="auto"/>
        <w:right w:val="none" w:sz="0" w:space="0" w:color="auto"/>
      </w:divBdr>
    </w:div>
    <w:div w:id="943341877">
      <w:bodyDiv w:val="1"/>
      <w:marLeft w:val="0"/>
      <w:marRight w:val="0"/>
      <w:marTop w:val="0"/>
      <w:marBottom w:val="0"/>
      <w:divBdr>
        <w:top w:val="none" w:sz="0" w:space="0" w:color="auto"/>
        <w:left w:val="none" w:sz="0" w:space="0" w:color="auto"/>
        <w:bottom w:val="none" w:sz="0" w:space="0" w:color="auto"/>
        <w:right w:val="none" w:sz="0" w:space="0" w:color="auto"/>
      </w:divBdr>
    </w:div>
    <w:div w:id="943460027">
      <w:bodyDiv w:val="1"/>
      <w:marLeft w:val="0"/>
      <w:marRight w:val="0"/>
      <w:marTop w:val="0"/>
      <w:marBottom w:val="0"/>
      <w:divBdr>
        <w:top w:val="none" w:sz="0" w:space="0" w:color="auto"/>
        <w:left w:val="none" w:sz="0" w:space="0" w:color="auto"/>
        <w:bottom w:val="none" w:sz="0" w:space="0" w:color="auto"/>
        <w:right w:val="none" w:sz="0" w:space="0" w:color="auto"/>
      </w:divBdr>
    </w:div>
    <w:div w:id="943808962">
      <w:bodyDiv w:val="1"/>
      <w:marLeft w:val="0"/>
      <w:marRight w:val="0"/>
      <w:marTop w:val="0"/>
      <w:marBottom w:val="0"/>
      <w:divBdr>
        <w:top w:val="none" w:sz="0" w:space="0" w:color="auto"/>
        <w:left w:val="none" w:sz="0" w:space="0" w:color="auto"/>
        <w:bottom w:val="none" w:sz="0" w:space="0" w:color="auto"/>
        <w:right w:val="none" w:sz="0" w:space="0" w:color="auto"/>
      </w:divBdr>
    </w:div>
    <w:div w:id="943809704">
      <w:bodyDiv w:val="1"/>
      <w:marLeft w:val="0"/>
      <w:marRight w:val="0"/>
      <w:marTop w:val="0"/>
      <w:marBottom w:val="0"/>
      <w:divBdr>
        <w:top w:val="none" w:sz="0" w:space="0" w:color="auto"/>
        <w:left w:val="none" w:sz="0" w:space="0" w:color="auto"/>
        <w:bottom w:val="none" w:sz="0" w:space="0" w:color="auto"/>
        <w:right w:val="none" w:sz="0" w:space="0" w:color="auto"/>
      </w:divBdr>
    </w:div>
    <w:div w:id="944385137">
      <w:bodyDiv w:val="1"/>
      <w:marLeft w:val="0"/>
      <w:marRight w:val="0"/>
      <w:marTop w:val="0"/>
      <w:marBottom w:val="0"/>
      <w:divBdr>
        <w:top w:val="none" w:sz="0" w:space="0" w:color="auto"/>
        <w:left w:val="none" w:sz="0" w:space="0" w:color="auto"/>
        <w:bottom w:val="none" w:sz="0" w:space="0" w:color="auto"/>
        <w:right w:val="none" w:sz="0" w:space="0" w:color="auto"/>
      </w:divBdr>
    </w:div>
    <w:div w:id="944461928">
      <w:bodyDiv w:val="1"/>
      <w:marLeft w:val="0"/>
      <w:marRight w:val="0"/>
      <w:marTop w:val="0"/>
      <w:marBottom w:val="0"/>
      <w:divBdr>
        <w:top w:val="none" w:sz="0" w:space="0" w:color="auto"/>
        <w:left w:val="none" w:sz="0" w:space="0" w:color="auto"/>
        <w:bottom w:val="none" w:sz="0" w:space="0" w:color="auto"/>
        <w:right w:val="none" w:sz="0" w:space="0" w:color="auto"/>
      </w:divBdr>
    </w:div>
    <w:div w:id="944728950">
      <w:bodyDiv w:val="1"/>
      <w:marLeft w:val="0"/>
      <w:marRight w:val="0"/>
      <w:marTop w:val="0"/>
      <w:marBottom w:val="0"/>
      <w:divBdr>
        <w:top w:val="none" w:sz="0" w:space="0" w:color="auto"/>
        <w:left w:val="none" w:sz="0" w:space="0" w:color="auto"/>
        <w:bottom w:val="none" w:sz="0" w:space="0" w:color="auto"/>
        <w:right w:val="none" w:sz="0" w:space="0" w:color="auto"/>
      </w:divBdr>
    </w:div>
    <w:div w:id="945304820">
      <w:bodyDiv w:val="1"/>
      <w:marLeft w:val="0"/>
      <w:marRight w:val="0"/>
      <w:marTop w:val="0"/>
      <w:marBottom w:val="0"/>
      <w:divBdr>
        <w:top w:val="none" w:sz="0" w:space="0" w:color="auto"/>
        <w:left w:val="none" w:sz="0" w:space="0" w:color="auto"/>
        <w:bottom w:val="none" w:sz="0" w:space="0" w:color="auto"/>
        <w:right w:val="none" w:sz="0" w:space="0" w:color="auto"/>
      </w:divBdr>
    </w:div>
    <w:div w:id="945430029">
      <w:bodyDiv w:val="1"/>
      <w:marLeft w:val="0"/>
      <w:marRight w:val="0"/>
      <w:marTop w:val="0"/>
      <w:marBottom w:val="0"/>
      <w:divBdr>
        <w:top w:val="none" w:sz="0" w:space="0" w:color="auto"/>
        <w:left w:val="none" w:sz="0" w:space="0" w:color="auto"/>
        <w:bottom w:val="none" w:sz="0" w:space="0" w:color="auto"/>
        <w:right w:val="none" w:sz="0" w:space="0" w:color="auto"/>
      </w:divBdr>
    </w:div>
    <w:div w:id="945773711">
      <w:bodyDiv w:val="1"/>
      <w:marLeft w:val="0"/>
      <w:marRight w:val="0"/>
      <w:marTop w:val="0"/>
      <w:marBottom w:val="0"/>
      <w:divBdr>
        <w:top w:val="none" w:sz="0" w:space="0" w:color="auto"/>
        <w:left w:val="none" w:sz="0" w:space="0" w:color="auto"/>
        <w:bottom w:val="none" w:sz="0" w:space="0" w:color="auto"/>
        <w:right w:val="none" w:sz="0" w:space="0" w:color="auto"/>
      </w:divBdr>
    </w:div>
    <w:div w:id="945848148">
      <w:bodyDiv w:val="1"/>
      <w:marLeft w:val="0"/>
      <w:marRight w:val="0"/>
      <w:marTop w:val="0"/>
      <w:marBottom w:val="0"/>
      <w:divBdr>
        <w:top w:val="none" w:sz="0" w:space="0" w:color="auto"/>
        <w:left w:val="none" w:sz="0" w:space="0" w:color="auto"/>
        <w:bottom w:val="none" w:sz="0" w:space="0" w:color="auto"/>
        <w:right w:val="none" w:sz="0" w:space="0" w:color="auto"/>
      </w:divBdr>
    </w:div>
    <w:div w:id="946160622">
      <w:bodyDiv w:val="1"/>
      <w:marLeft w:val="0"/>
      <w:marRight w:val="0"/>
      <w:marTop w:val="0"/>
      <w:marBottom w:val="0"/>
      <w:divBdr>
        <w:top w:val="none" w:sz="0" w:space="0" w:color="auto"/>
        <w:left w:val="none" w:sz="0" w:space="0" w:color="auto"/>
        <w:bottom w:val="none" w:sz="0" w:space="0" w:color="auto"/>
        <w:right w:val="none" w:sz="0" w:space="0" w:color="auto"/>
      </w:divBdr>
    </w:div>
    <w:div w:id="946162885">
      <w:bodyDiv w:val="1"/>
      <w:marLeft w:val="0"/>
      <w:marRight w:val="0"/>
      <w:marTop w:val="0"/>
      <w:marBottom w:val="0"/>
      <w:divBdr>
        <w:top w:val="none" w:sz="0" w:space="0" w:color="auto"/>
        <w:left w:val="none" w:sz="0" w:space="0" w:color="auto"/>
        <w:bottom w:val="none" w:sz="0" w:space="0" w:color="auto"/>
        <w:right w:val="none" w:sz="0" w:space="0" w:color="auto"/>
      </w:divBdr>
    </w:div>
    <w:div w:id="946235866">
      <w:bodyDiv w:val="1"/>
      <w:marLeft w:val="0"/>
      <w:marRight w:val="0"/>
      <w:marTop w:val="0"/>
      <w:marBottom w:val="0"/>
      <w:divBdr>
        <w:top w:val="none" w:sz="0" w:space="0" w:color="auto"/>
        <w:left w:val="none" w:sz="0" w:space="0" w:color="auto"/>
        <w:bottom w:val="none" w:sz="0" w:space="0" w:color="auto"/>
        <w:right w:val="none" w:sz="0" w:space="0" w:color="auto"/>
      </w:divBdr>
    </w:div>
    <w:div w:id="946618459">
      <w:bodyDiv w:val="1"/>
      <w:marLeft w:val="0"/>
      <w:marRight w:val="0"/>
      <w:marTop w:val="0"/>
      <w:marBottom w:val="0"/>
      <w:divBdr>
        <w:top w:val="none" w:sz="0" w:space="0" w:color="auto"/>
        <w:left w:val="none" w:sz="0" w:space="0" w:color="auto"/>
        <w:bottom w:val="none" w:sz="0" w:space="0" w:color="auto"/>
        <w:right w:val="none" w:sz="0" w:space="0" w:color="auto"/>
      </w:divBdr>
    </w:div>
    <w:div w:id="946735327">
      <w:bodyDiv w:val="1"/>
      <w:marLeft w:val="0"/>
      <w:marRight w:val="0"/>
      <w:marTop w:val="0"/>
      <w:marBottom w:val="0"/>
      <w:divBdr>
        <w:top w:val="none" w:sz="0" w:space="0" w:color="auto"/>
        <w:left w:val="none" w:sz="0" w:space="0" w:color="auto"/>
        <w:bottom w:val="none" w:sz="0" w:space="0" w:color="auto"/>
        <w:right w:val="none" w:sz="0" w:space="0" w:color="auto"/>
      </w:divBdr>
    </w:div>
    <w:div w:id="946741450">
      <w:bodyDiv w:val="1"/>
      <w:marLeft w:val="0"/>
      <w:marRight w:val="0"/>
      <w:marTop w:val="0"/>
      <w:marBottom w:val="0"/>
      <w:divBdr>
        <w:top w:val="none" w:sz="0" w:space="0" w:color="auto"/>
        <w:left w:val="none" w:sz="0" w:space="0" w:color="auto"/>
        <w:bottom w:val="none" w:sz="0" w:space="0" w:color="auto"/>
        <w:right w:val="none" w:sz="0" w:space="0" w:color="auto"/>
      </w:divBdr>
    </w:div>
    <w:div w:id="946935643">
      <w:bodyDiv w:val="1"/>
      <w:marLeft w:val="0"/>
      <w:marRight w:val="0"/>
      <w:marTop w:val="0"/>
      <w:marBottom w:val="0"/>
      <w:divBdr>
        <w:top w:val="none" w:sz="0" w:space="0" w:color="auto"/>
        <w:left w:val="none" w:sz="0" w:space="0" w:color="auto"/>
        <w:bottom w:val="none" w:sz="0" w:space="0" w:color="auto"/>
        <w:right w:val="none" w:sz="0" w:space="0" w:color="auto"/>
      </w:divBdr>
    </w:div>
    <w:div w:id="947272241">
      <w:bodyDiv w:val="1"/>
      <w:marLeft w:val="0"/>
      <w:marRight w:val="0"/>
      <w:marTop w:val="0"/>
      <w:marBottom w:val="0"/>
      <w:divBdr>
        <w:top w:val="none" w:sz="0" w:space="0" w:color="auto"/>
        <w:left w:val="none" w:sz="0" w:space="0" w:color="auto"/>
        <w:bottom w:val="none" w:sz="0" w:space="0" w:color="auto"/>
        <w:right w:val="none" w:sz="0" w:space="0" w:color="auto"/>
      </w:divBdr>
    </w:div>
    <w:div w:id="947394060">
      <w:bodyDiv w:val="1"/>
      <w:marLeft w:val="0"/>
      <w:marRight w:val="0"/>
      <w:marTop w:val="0"/>
      <w:marBottom w:val="0"/>
      <w:divBdr>
        <w:top w:val="none" w:sz="0" w:space="0" w:color="auto"/>
        <w:left w:val="none" w:sz="0" w:space="0" w:color="auto"/>
        <w:bottom w:val="none" w:sz="0" w:space="0" w:color="auto"/>
        <w:right w:val="none" w:sz="0" w:space="0" w:color="auto"/>
      </w:divBdr>
    </w:div>
    <w:div w:id="947541389">
      <w:bodyDiv w:val="1"/>
      <w:marLeft w:val="0"/>
      <w:marRight w:val="0"/>
      <w:marTop w:val="0"/>
      <w:marBottom w:val="0"/>
      <w:divBdr>
        <w:top w:val="none" w:sz="0" w:space="0" w:color="auto"/>
        <w:left w:val="none" w:sz="0" w:space="0" w:color="auto"/>
        <w:bottom w:val="none" w:sz="0" w:space="0" w:color="auto"/>
        <w:right w:val="none" w:sz="0" w:space="0" w:color="auto"/>
      </w:divBdr>
    </w:div>
    <w:div w:id="947543403">
      <w:bodyDiv w:val="1"/>
      <w:marLeft w:val="0"/>
      <w:marRight w:val="0"/>
      <w:marTop w:val="0"/>
      <w:marBottom w:val="0"/>
      <w:divBdr>
        <w:top w:val="none" w:sz="0" w:space="0" w:color="auto"/>
        <w:left w:val="none" w:sz="0" w:space="0" w:color="auto"/>
        <w:bottom w:val="none" w:sz="0" w:space="0" w:color="auto"/>
        <w:right w:val="none" w:sz="0" w:space="0" w:color="auto"/>
      </w:divBdr>
    </w:div>
    <w:div w:id="947546003">
      <w:bodyDiv w:val="1"/>
      <w:marLeft w:val="0"/>
      <w:marRight w:val="0"/>
      <w:marTop w:val="0"/>
      <w:marBottom w:val="0"/>
      <w:divBdr>
        <w:top w:val="none" w:sz="0" w:space="0" w:color="auto"/>
        <w:left w:val="none" w:sz="0" w:space="0" w:color="auto"/>
        <w:bottom w:val="none" w:sz="0" w:space="0" w:color="auto"/>
        <w:right w:val="none" w:sz="0" w:space="0" w:color="auto"/>
      </w:divBdr>
    </w:div>
    <w:div w:id="947588711">
      <w:bodyDiv w:val="1"/>
      <w:marLeft w:val="0"/>
      <w:marRight w:val="0"/>
      <w:marTop w:val="0"/>
      <w:marBottom w:val="0"/>
      <w:divBdr>
        <w:top w:val="none" w:sz="0" w:space="0" w:color="auto"/>
        <w:left w:val="none" w:sz="0" w:space="0" w:color="auto"/>
        <w:bottom w:val="none" w:sz="0" w:space="0" w:color="auto"/>
        <w:right w:val="none" w:sz="0" w:space="0" w:color="auto"/>
      </w:divBdr>
    </w:div>
    <w:div w:id="947856503">
      <w:bodyDiv w:val="1"/>
      <w:marLeft w:val="0"/>
      <w:marRight w:val="0"/>
      <w:marTop w:val="0"/>
      <w:marBottom w:val="0"/>
      <w:divBdr>
        <w:top w:val="none" w:sz="0" w:space="0" w:color="auto"/>
        <w:left w:val="none" w:sz="0" w:space="0" w:color="auto"/>
        <w:bottom w:val="none" w:sz="0" w:space="0" w:color="auto"/>
        <w:right w:val="none" w:sz="0" w:space="0" w:color="auto"/>
      </w:divBdr>
    </w:div>
    <w:div w:id="948005329">
      <w:bodyDiv w:val="1"/>
      <w:marLeft w:val="0"/>
      <w:marRight w:val="0"/>
      <w:marTop w:val="0"/>
      <w:marBottom w:val="0"/>
      <w:divBdr>
        <w:top w:val="none" w:sz="0" w:space="0" w:color="auto"/>
        <w:left w:val="none" w:sz="0" w:space="0" w:color="auto"/>
        <w:bottom w:val="none" w:sz="0" w:space="0" w:color="auto"/>
        <w:right w:val="none" w:sz="0" w:space="0" w:color="auto"/>
      </w:divBdr>
    </w:div>
    <w:div w:id="948049733">
      <w:bodyDiv w:val="1"/>
      <w:marLeft w:val="0"/>
      <w:marRight w:val="0"/>
      <w:marTop w:val="0"/>
      <w:marBottom w:val="0"/>
      <w:divBdr>
        <w:top w:val="none" w:sz="0" w:space="0" w:color="auto"/>
        <w:left w:val="none" w:sz="0" w:space="0" w:color="auto"/>
        <w:bottom w:val="none" w:sz="0" w:space="0" w:color="auto"/>
        <w:right w:val="none" w:sz="0" w:space="0" w:color="auto"/>
      </w:divBdr>
    </w:div>
    <w:div w:id="948202982">
      <w:bodyDiv w:val="1"/>
      <w:marLeft w:val="0"/>
      <w:marRight w:val="0"/>
      <w:marTop w:val="0"/>
      <w:marBottom w:val="0"/>
      <w:divBdr>
        <w:top w:val="none" w:sz="0" w:space="0" w:color="auto"/>
        <w:left w:val="none" w:sz="0" w:space="0" w:color="auto"/>
        <w:bottom w:val="none" w:sz="0" w:space="0" w:color="auto"/>
        <w:right w:val="none" w:sz="0" w:space="0" w:color="auto"/>
      </w:divBdr>
    </w:div>
    <w:div w:id="948270151">
      <w:bodyDiv w:val="1"/>
      <w:marLeft w:val="0"/>
      <w:marRight w:val="0"/>
      <w:marTop w:val="0"/>
      <w:marBottom w:val="0"/>
      <w:divBdr>
        <w:top w:val="none" w:sz="0" w:space="0" w:color="auto"/>
        <w:left w:val="none" w:sz="0" w:space="0" w:color="auto"/>
        <w:bottom w:val="none" w:sz="0" w:space="0" w:color="auto"/>
        <w:right w:val="none" w:sz="0" w:space="0" w:color="auto"/>
      </w:divBdr>
    </w:div>
    <w:div w:id="948316637">
      <w:bodyDiv w:val="1"/>
      <w:marLeft w:val="0"/>
      <w:marRight w:val="0"/>
      <w:marTop w:val="0"/>
      <w:marBottom w:val="0"/>
      <w:divBdr>
        <w:top w:val="none" w:sz="0" w:space="0" w:color="auto"/>
        <w:left w:val="none" w:sz="0" w:space="0" w:color="auto"/>
        <w:bottom w:val="none" w:sz="0" w:space="0" w:color="auto"/>
        <w:right w:val="none" w:sz="0" w:space="0" w:color="auto"/>
      </w:divBdr>
    </w:div>
    <w:div w:id="948319426">
      <w:bodyDiv w:val="1"/>
      <w:marLeft w:val="0"/>
      <w:marRight w:val="0"/>
      <w:marTop w:val="0"/>
      <w:marBottom w:val="0"/>
      <w:divBdr>
        <w:top w:val="none" w:sz="0" w:space="0" w:color="auto"/>
        <w:left w:val="none" w:sz="0" w:space="0" w:color="auto"/>
        <w:bottom w:val="none" w:sz="0" w:space="0" w:color="auto"/>
        <w:right w:val="none" w:sz="0" w:space="0" w:color="auto"/>
      </w:divBdr>
    </w:div>
    <w:div w:id="948397320">
      <w:bodyDiv w:val="1"/>
      <w:marLeft w:val="0"/>
      <w:marRight w:val="0"/>
      <w:marTop w:val="0"/>
      <w:marBottom w:val="0"/>
      <w:divBdr>
        <w:top w:val="none" w:sz="0" w:space="0" w:color="auto"/>
        <w:left w:val="none" w:sz="0" w:space="0" w:color="auto"/>
        <w:bottom w:val="none" w:sz="0" w:space="0" w:color="auto"/>
        <w:right w:val="none" w:sz="0" w:space="0" w:color="auto"/>
      </w:divBdr>
    </w:div>
    <w:div w:id="948707799">
      <w:bodyDiv w:val="1"/>
      <w:marLeft w:val="0"/>
      <w:marRight w:val="0"/>
      <w:marTop w:val="0"/>
      <w:marBottom w:val="0"/>
      <w:divBdr>
        <w:top w:val="none" w:sz="0" w:space="0" w:color="auto"/>
        <w:left w:val="none" w:sz="0" w:space="0" w:color="auto"/>
        <w:bottom w:val="none" w:sz="0" w:space="0" w:color="auto"/>
        <w:right w:val="none" w:sz="0" w:space="0" w:color="auto"/>
      </w:divBdr>
    </w:div>
    <w:div w:id="948776429">
      <w:bodyDiv w:val="1"/>
      <w:marLeft w:val="0"/>
      <w:marRight w:val="0"/>
      <w:marTop w:val="0"/>
      <w:marBottom w:val="0"/>
      <w:divBdr>
        <w:top w:val="none" w:sz="0" w:space="0" w:color="auto"/>
        <w:left w:val="none" w:sz="0" w:space="0" w:color="auto"/>
        <w:bottom w:val="none" w:sz="0" w:space="0" w:color="auto"/>
        <w:right w:val="none" w:sz="0" w:space="0" w:color="auto"/>
      </w:divBdr>
    </w:div>
    <w:div w:id="948778951">
      <w:bodyDiv w:val="1"/>
      <w:marLeft w:val="0"/>
      <w:marRight w:val="0"/>
      <w:marTop w:val="0"/>
      <w:marBottom w:val="0"/>
      <w:divBdr>
        <w:top w:val="none" w:sz="0" w:space="0" w:color="auto"/>
        <w:left w:val="none" w:sz="0" w:space="0" w:color="auto"/>
        <w:bottom w:val="none" w:sz="0" w:space="0" w:color="auto"/>
        <w:right w:val="none" w:sz="0" w:space="0" w:color="auto"/>
      </w:divBdr>
    </w:div>
    <w:div w:id="948970500">
      <w:bodyDiv w:val="1"/>
      <w:marLeft w:val="0"/>
      <w:marRight w:val="0"/>
      <w:marTop w:val="0"/>
      <w:marBottom w:val="0"/>
      <w:divBdr>
        <w:top w:val="none" w:sz="0" w:space="0" w:color="auto"/>
        <w:left w:val="none" w:sz="0" w:space="0" w:color="auto"/>
        <w:bottom w:val="none" w:sz="0" w:space="0" w:color="auto"/>
        <w:right w:val="none" w:sz="0" w:space="0" w:color="auto"/>
      </w:divBdr>
    </w:div>
    <w:div w:id="948974516">
      <w:bodyDiv w:val="1"/>
      <w:marLeft w:val="0"/>
      <w:marRight w:val="0"/>
      <w:marTop w:val="0"/>
      <w:marBottom w:val="0"/>
      <w:divBdr>
        <w:top w:val="none" w:sz="0" w:space="0" w:color="auto"/>
        <w:left w:val="none" w:sz="0" w:space="0" w:color="auto"/>
        <w:bottom w:val="none" w:sz="0" w:space="0" w:color="auto"/>
        <w:right w:val="none" w:sz="0" w:space="0" w:color="auto"/>
      </w:divBdr>
    </w:div>
    <w:div w:id="949120140">
      <w:bodyDiv w:val="1"/>
      <w:marLeft w:val="0"/>
      <w:marRight w:val="0"/>
      <w:marTop w:val="0"/>
      <w:marBottom w:val="0"/>
      <w:divBdr>
        <w:top w:val="none" w:sz="0" w:space="0" w:color="auto"/>
        <w:left w:val="none" w:sz="0" w:space="0" w:color="auto"/>
        <w:bottom w:val="none" w:sz="0" w:space="0" w:color="auto"/>
        <w:right w:val="none" w:sz="0" w:space="0" w:color="auto"/>
      </w:divBdr>
    </w:div>
    <w:div w:id="949355491">
      <w:bodyDiv w:val="1"/>
      <w:marLeft w:val="0"/>
      <w:marRight w:val="0"/>
      <w:marTop w:val="0"/>
      <w:marBottom w:val="0"/>
      <w:divBdr>
        <w:top w:val="none" w:sz="0" w:space="0" w:color="auto"/>
        <w:left w:val="none" w:sz="0" w:space="0" w:color="auto"/>
        <w:bottom w:val="none" w:sz="0" w:space="0" w:color="auto"/>
        <w:right w:val="none" w:sz="0" w:space="0" w:color="auto"/>
      </w:divBdr>
    </w:div>
    <w:div w:id="949551932">
      <w:bodyDiv w:val="1"/>
      <w:marLeft w:val="0"/>
      <w:marRight w:val="0"/>
      <w:marTop w:val="0"/>
      <w:marBottom w:val="0"/>
      <w:divBdr>
        <w:top w:val="none" w:sz="0" w:space="0" w:color="auto"/>
        <w:left w:val="none" w:sz="0" w:space="0" w:color="auto"/>
        <w:bottom w:val="none" w:sz="0" w:space="0" w:color="auto"/>
        <w:right w:val="none" w:sz="0" w:space="0" w:color="auto"/>
      </w:divBdr>
    </w:div>
    <w:div w:id="949707248">
      <w:bodyDiv w:val="1"/>
      <w:marLeft w:val="0"/>
      <w:marRight w:val="0"/>
      <w:marTop w:val="0"/>
      <w:marBottom w:val="0"/>
      <w:divBdr>
        <w:top w:val="none" w:sz="0" w:space="0" w:color="auto"/>
        <w:left w:val="none" w:sz="0" w:space="0" w:color="auto"/>
        <w:bottom w:val="none" w:sz="0" w:space="0" w:color="auto"/>
        <w:right w:val="none" w:sz="0" w:space="0" w:color="auto"/>
      </w:divBdr>
    </w:div>
    <w:div w:id="949816742">
      <w:bodyDiv w:val="1"/>
      <w:marLeft w:val="0"/>
      <w:marRight w:val="0"/>
      <w:marTop w:val="0"/>
      <w:marBottom w:val="0"/>
      <w:divBdr>
        <w:top w:val="none" w:sz="0" w:space="0" w:color="auto"/>
        <w:left w:val="none" w:sz="0" w:space="0" w:color="auto"/>
        <w:bottom w:val="none" w:sz="0" w:space="0" w:color="auto"/>
        <w:right w:val="none" w:sz="0" w:space="0" w:color="auto"/>
      </w:divBdr>
    </w:div>
    <w:div w:id="950093228">
      <w:bodyDiv w:val="1"/>
      <w:marLeft w:val="0"/>
      <w:marRight w:val="0"/>
      <w:marTop w:val="0"/>
      <w:marBottom w:val="0"/>
      <w:divBdr>
        <w:top w:val="none" w:sz="0" w:space="0" w:color="auto"/>
        <w:left w:val="none" w:sz="0" w:space="0" w:color="auto"/>
        <w:bottom w:val="none" w:sz="0" w:space="0" w:color="auto"/>
        <w:right w:val="none" w:sz="0" w:space="0" w:color="auto"/>
      </w:divBdr>
    </w:div>
    <w:div w:id="950211435">
      <w:bodyDiv w:val="1"/>
      <w:marLeft w:val="0"/>
      <w:marRight w:val="0"/>
      <w:marTop w:val="0"/>
      <w:marBottom w:val="0"/>
      <w:divBdr>
        <w:top w:val="none" w:sz="0" w:space="0" w:color="auto"/>
        <w:left w:val="none" w:sz="0" w:space="0" w:color="auto"/>
        <w:bottom w:val="none" w:sz="0" w:space="0" w:color="auto"/>
        <w:right w:val="none" w:sz="0" w:space="0" w:color="auto"/>
      </w:divBdr>
    </w:div>
    <w:div w:id="95043418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950669569">
      <w:bodyDiv w:val="1"/>
      <w:marLeft w:val="0"/>
      <w:marRight w:val="0"/>
      <w:marTop w:val="0"/>
      <w:marBottom w:val="0"/>
      <w:divBdr>
        <w:top w:val="none" w:sz="0" w:space="0" w:color="auto"/>
        <w:left w:val="none" w:sz="0" w:space="0" w:color="auto"/>
        <w:bottom w:val="none" w:sz="0" w:space="0" w:color="auto"/>
        <w:right w:val="none" w:sz="0" w:space="0" w:color="auto"/>
      </w:divBdr>
    </w:div>
    <w:div w:id="951128032">
      <w:bodyDiv w:val="1"/>
      <w:marLeft w:val="0"/>
      <w:marRight w:val="0"/>
      <w:marTop w:val="0"/>
      <w:marBottom w:val="0"/>
      <w:divBdr>
        <w:top w:val="none" w:sz="0" w:space="0" w:color="auto"/>
        <w:left w:val="none" w:sz="0" w:space="0" w:color="auto"/>
        <w:bottom w:val="none" w:sz="0" w:space="0" w:color="auto"/>
        <w:right w:val="none" w:sz="0" w:space="0" w:color="auto"/>
      </w:divBdr>
    </w:div>
    <w:div w:id="951129667">
      <w:bodyDiv w:val="1"/>
      <w:marLeft w:val="0"/>
      <w:marRight w:val="0"/>
      <w:marTop w:val="0"/>
      <w:marBottom w:val="0"/>
      <w:divBdr>
        <w:top w:val="none" w:sz="0" w:space="0" w:color="auto"/>
        <w:left w:val="none" w:sz="0" w:space="0" w:color="auto"/>
        <w:bottom w:val="none" w:sz="0" w:space="0" w:color="auto"/>
        <w:right w:val="none" w:sz="0" w:space="0" w:color="auto"/>
      </w:divBdr>
    </w:div>
    <w:div w:id="951134294">
      <w:bodyDiv w:val="1"/>
      <w:marLeft w:val="0"/>
      <w:marRight w:val="0"/>
      <w:marTop w:val="0"/>
      <w:marBottom w:val="0"/>
      <w:divBdr>
        <w:top w:val="none" w:sz="0" w:space="0" w:color="auto"/>
        <w:left w:val="none" w:sz="0" w:space="0" w:color="auto"/>
        <w:bottom w:val="none" w:sz="0" w:space="0" w:color="auto"/>
        <w:right w:val="none" w:sz="0" w:space="0" w:color="auto"/>
      </w:divBdr>
    </w:div>
    <w:div w:id="951280713">
      <w:bodyDiv w:val="1"/>
      <w:marLeft w:val="0"/>
      <w:marRight w:val="0"/>
      <w:marTop w:val="0"/>
      <w:marBottom w:val="0"/>
      <w:divBdr>
        <w:top w:val="none" w:sz="0" w:space="0" w:color="auto"/>
        <w:left w:val="none" w:sz="0" w:space="0" w:color="auto"/>
        <w:bottom w:val="none" w:sz="0" w:space="0" w:color="auto"/>
        <w:right w:val="none" w:sz="0" w:space="0" w:color="auto"/>
      </w:divBdr>
    </w:div>
    <w:div w:id="951328324">
      <w:bodyDiv w:val="1"/>
      <w:marLeft w:val="0"/>
      <w:marRight w:val="0"/>
      <w:marTop w:val="0"/>
      <w:marBottom w:val="0"/>
      <w:divBdr>
        <w:top w:val="none" w:sz="0" w:space="0" w:color="auto"/>
        <w:left w:val="none" w:sz="0" w:space="0" w:color="auto"/>
        <w:bottom w:val="none" w:sz="0" w:space="0" w:color="auto"/>
        <w:right w:val="none" w:sz="0" w:space="0" w:color="auto"/>
      </w:divBdr>
    </w:div>
    <w:div w:id="951402742">
      <w:bodyDiv w:val="1"/>
      <w:marLeft w:val="0"/>
      <w:marRight w:val="0"/>
      <w:marTop w:val="0"/>
      <w:marBottom w:val="0"/>
      <w:divBdr>
        <w:top w:val="none" w:sz="0" w:space="0" w:color="auto"/>
        <w:left w:val="none" w:sz="0" w:space="0" w:color="auto"/>
        <w:bottom w:val="none" w:sz="0" w:space="0" w:color="auto"/>
        <w:right w:val="none" w:sz="0" w:space="0" w:color="auto"/>
      </w:divBdr>
    </w:div>
    <w:div w:id="951479420">
      <w:bodyDiv w:val="1"/>
      <w:marLeft w:val="0"/>
      <w:marRight w:val="0"/>
      <w:marTop w:val="0"/>
      <w:marBottom w:val="0"/>
      <w:divBdr>
        <w:top w:val="none" w:sz="0" w:space="0" w:color="auto"/>
        <w:left w:val="none" w:sz="0" w:space="0" w:color="auto"/>
        <w:bottom w:val="none" w:sz="0" w:space="0" w:color="auto"/>
        <w:right w:val="none" w:sz="0" w:space="0" w:color="auto"/>
      </w:divBdr>
    </w:div>
    <w:div w:id="951521400">
      <w:bodyDiv w:val="1"/>
      <w:marLeft w:val="0"/>
      <w:marRight w:val="0"/>
      <w:marTop w:val="0"/>
      <w:marBottom w:val="0"/>
      <w:divBdr>
        <w:top w:val="none" w:sz="0" w:space="0" w:color="auto"/>
        <w:left w:val="none" w:sz="0" w:space="0" w:color="auto"/>
        <w:bottom w:val="none" w:sz="0" w:space="0" w:color="auto"/>
        <w:right w:val="none" w:sz="0" w:space="0" w:color="auto"/>
      </w:divBdr>
    </w:div>
    <w:div w:id="951598248">
      <w:bodyDiv w:val="1"/>
      <w:marLeft w:val="0"/>
      <w:marRight w:val="0"/>
      <w:marTop w:val="0"/>
      <w:marBottom w:val="0"/>
      <w:divBdr>
        <w:top w:val="none" w:sz="0" w:space="0" w:color="auto"/>
        <w:left w:val="none" w:sz="0" w:space="0" w:color="auto"/>
        <w:bottom w:val="none" w:sz="0" w:space="0" w:color="auto"/>
        <w:right w:val="none" w:sz="0" w:space="0" w:color="auto"/>
      </w:divBdr>
    </w:div>
    <w:div w:id="951664117">
      <w:bodyDiv w:val="1"/>
      <w:marLeft w:val="0"/>
      <w:marRight w:val="0"/>
      <w:marTop w:val="0"/>
      <w:marBottom w:val="0"/>
      <w:divBdr>
        <w:top w:val="none" w:sz="0" w:space="0" w:color="auto"/>
        <w:left w:val="none" w:sz="0" w:space="0" w:color="auto"/>
        <w:bottom w:val="none" w:sz="0" w:space="0" w:color="auto"/>
        <w:right w:val="none" w:sz="0" w:space="0" w:color="auto"/>
      </w:divBdr>
    </w:div>
    <w:div w:id="951783654">
      <w:bodyDiv w:val="1"/>
      <w:marLeft w:val="0"/>
      <w:marRight w:val="0"/>
      <w:marTop w:val="0"/>
      <w:marBottom w:val="0"/>
      <w:divBdr>
        <w:top w:val="none" w:sz="0" w:space="0" w:color="auto"/>
        <w:left w:val="none" w:sz="0" w:space="0" w:color="auto"/>
        <w:bottom w:val="none" w:sz="0" w:space="0" w:color="auto"/>
        <w:right w:val="none" w:sz="0" w:space="0" w:color="auto"/>
      </w:divBdr>
    </w:div>
    <w:div w:id="951859298">
      <w:bodyDiv w:val="1"/>
      <w:marLeft w:val="0"/>
      <w:marRight w:val="0"/>
      <w:marTop w:val="0"/>
      <w:marBottom w:val="0"/>
      <w:divBdr>
        <w:top w:val="none" w:sz="0" w:space="0" w:color="auto"/>
        <w:left w:val="none" w:sz="0" w:space="0" w:color="auto"/>
        <w:bottom w:val="none" w:sz="0" w:space="0" w:color="auto"/>
        <w:right w:val="none" w:sz="0" w:space="0" w:color="auto"/>
      </w:divBdr>
    </w:div>
    <w:div w:id="951977737">
      <w:bodyDiv w:val="1"/>
      <w:marLeft w:val="0"/>
      <w:marRight w:val="0"/>
      <w:marTop w:val="0"/>
      <w:marBottom w:val="0"/>
      <w:divBdr>
        <w:top w:val="none" w:sz="0" w:space="0" w:color="auto"/>
        <w:left w:val="none" w:sz="0" w:space="0" w:color="auto"/>
        <w:bottom w:val="none" w:sz="0" w:space="0" w:color="auto"/>
        <w:right w:val="none" w:sz="0" w:space="0" w:color="auto"/>
      </w:divBdr>
    </w:div>
    <w:div w:id="952058328">
      <w:bodyDiv w:val="1"/>
      <w:marLeft w:val="0"/>
      <w:marRight w:val="0"/>
      <w:marTop w:val="0"/>
      <w:marBottom w:val="0"/>
      <w:divBdr>
        <w:top w:val="none" w:sz="0" w:space="0" w:color="auto"/>
        <w:left w:val="none" w:sz="0" w:space="0" w:color="auto"/>
        <w:bottom w:val="none" w:sz="0" w:space="0" w:color="auto"/>
        <w:right w:val="none" w:sz="0" w:space="0" w:color="auto"/>
      </w:divBdr>
    </w:div>
    <w:div w:id="952592426">
      <w:bodyDiv w:val="1"/>
      <w:marLeft w:val="0"/>
      <w:marRight w:val="0"/>
      <w:marTop w:val="0"/>
      <w:marBottom w:val="0"/>
      <w:divBdr>
        <w:top w:val="none" w:sz="0" w:space="0" w:color="auto"/>
        <w:left w:val="none" w:sz="0" w:space="0" w:color="auto"/>
        <w:bottom w:val="none" w:sz="0" w:space="0" w:color="auto"/>
        <w:right w:val="none" w:sz="0" w:space="0" w:color="auto"/>
      </w:divBdr>
    </w:div>
    <w:div w:id="952596690">
      <w:bodyDiv w:val="1"/>
      <w:marLeft w:val="0"/>
      <w:marRight w:val="0"/>
      <w:marTop w:val="0"/>
      <w:marBottom w:val="0"/>
      <w:divBdr>
        <w:top w:val="none" w:sz="0" w:space="0" w:color="auto"/>
        <w:left w:val="none" w:sz="0" w:space="0" w:color="auto"/>
        <w:bottom w:val="none" w:sz="0" w:space="0" w:color="auto"/>
        <w:right w:val="none" w:sz="0" w:space="0" w:color="auto"/>
      </w:divBdr>
    </w:div>
    <w:div w:id="952977290">
      <w:bodyDiv w:val="1"/>
      <w:marLeft w:val="0"/>
      <w:marRight w:val="0"/>
      <w:marTop w:val="0"/>
      <w:marBottom w:val="0"/>
      <w:divBdr>
        <w:top w:val="none" w:sz="0" w:space="0" w:color="auto"/>
        <w:left w:val="none" w:sz="0" w:space="0" w:color="auto"/>
        <w:bottom w:val="none" w:sz="0" w:space="0" w:color="auto"/>
        <w:right w:val="none" w:sz="0" w:space="0" w:color="auto"/>
      </w:divBdr>
    </w:div>
    <w:div w:id="953243201">
      <w:bodyDiv w:val="1"/>
      <w:marLeft w:val="0"/>
      <w:marRight w:val="0"/>
      <w:marTop w:val="0"/>
      <w:marBottom w:val="0"/>
      <w:divBdr>
        <w:top w:val="none" w:sz="0" w:space="0" w:color="auto"/>
        <w:left w:val="none" w:sz="0" w:space="0" w:color="auto"/>
        <w:bottom w:val="none" w:sz="0" w:space="0" w:color="auto"/>
        <w:right w:val="none" w:sz="0" w:space="0" w:color="auto"/>
      </w:divBdr>
    </w:div>
    <w:div w:id="953364522">
      <w:bodyDiv w:val="1"/>
      <w:marLeft w:val="0"/>
      <w:marRight w:val="0"/>
      <w:marTop w:val="0"/>
      <w:marBottom w:val="0"/>
      <w:divBdr>
        <w:top w:val="none" w:sz="0" w:space="0" w:color="auto"/>
        <w:left w:val="none" w:sz="0" w:space="0" w:color="auto"/>
        <w:bottom w:val="none" w:sz="0" w:space="0" w:color="auto"/>
        <w:right w:val="none" w:sz="0" w:space="0" w:color="auto"/>
      </w:divBdr>
    </w:div>
    <w:div w:id="953515135">
      <w:bodyDiv w:val="1"/>
      <w:marLeft w:val="0"/>
      <w:marRight w:val="0"/>
      <w:marTop w:val="0"/>
      <w:marBottom w:val="0"/>
      <w:divBdr>
        <w:top w:val="none" w:sz="0" w:space="0" w:color="auto"/>
        <w:left w:val="none" w:sz="0" w:space="0" w:color="auto"/>
        <w:bottom w:val="none" w:sz="0" w:space="0" w:color="auto"/>
        <w:right w:val="none" w:sz="0" w:space="0" w:color="auto"/>
      </w:divBdr>
    </w:div>
    <w:div w:id="953748237">
      <w:bodyDiv w:val="1"/>
      <w:marLeft w:val="0"/>
      <w:marRight w:val="0"/>
      <w:marTop w:val="0"/>
      <w:marBottom w:val="0"/>
      <w:divBdr>
        <w:top w:val="none" w:sz="0" w:space="0" w:color="auto"/>
        <w:left w:val="none" w:sz="0" w:space="0" w:color="auto"/>
        <w:bottom w:val="none" w:sz="0" w:space="0" w:color="auto"/>
        <w:right w:val="none" w:sz="0" w:space="0" w:color="auto"/>
      </w:divBdr>
    </w:div>
    <w:div w:id="953750169">
      <w:bodyDiv w:val="1"/>
      <w:marLeft w:val="0"/>
      <w:marRight w:val="0"/>
      <w:marTop w:val="0"/>
      <w:marBottom w:val="0"/>
      <w:divBdr>
        <w:top w:val="none" w:sz="0" w:space="0" w:color="auto"/>
        <w:left w:val="none" w:sz="0" w:space="0" w:color="auto"/>
        <w:bottom w:val="none" w:sz="0" w:space="0" w:color="auto"/>
        <w:right w:val="none" w:sz="0" w:space="0" w:color="auto"/>
      </w:divBdr>
    </w:div>
    <w:div w:id="953751536">
      <w:bodyDiv w:val="1"/>
      <w:marLeft w:val="0"/>
      <w:marRight w:val="0"/>
      <w:marTop w:val="0"/>
      <w:marBottom w:val="0"/>
      <w:divBdr>
        <w:top w:val="none" w:sz="0" w:space="0" w:color="auto"/>
        <w:left w:val="none" w:sz="0" w:space="0" w:color="auto"/>
        <w:bottom w:val="none" w:sz="0" w:space="0" w:color="auto"/>
        <w:right w:val="none" w:sz="0" w:space="0" w:color="auto"/>
      </w:divBdr>
    </w:div>
    <w:div w:id="954019307">
      <w:bodyDiv w:val="1"/>
      <w:marLeft w:val="0"/>
      <w:marRight w:val="0"/>
      <w:marTop w:val="0"/>
      <w:marBottom w:val="0"/>
      <w:divBdr>
        <w:top w:val="none" w:sz="0" w:space="0" w:color="auto"/>
        <w:left w:val="none" w:sz="0" w:space="0" w:color="auto"/>
        <w:bottom w:val="none" w:sz="0" w:space="0" w:color="auto"/>
        <w:right w:val="none" w:sz="0" w:space="0" w:color="auto"/>
      </w:divBdr>
    </w:div>
    <w:div w:id="954214630">
      <w:bodyDiv w:val="1"/>
      <w:marLeft w:val="0"/>
      <w:marRight w:val="0"/>
      <w:marTop w:val="0"/>
      <w:marBottom w:val="0"/>
      <w:divBdr>
        <w:top w:val="none" w:sz="0" w:space="0" w:color="auto"/>
        <w:left w:val="none" w:sz="0" w:space="0" w:color="auto"/>
        <w:bottom w:val="none" w:sz="0" w:space="0" w:color="auto"/>
        <w:right w:val="none" w:sz="0" w:space="0" w:color="auto"/>
      </w:divBdr>
    </w:div>
    <w:div w:id="954286281">
      <w:bodyDiv w:val="1"/>
      <w:marLeft w:val="0"/>
      <w:marRight w:val="0"/>
      <w:marTop w:val="0"/>
      <w:marBottom w:val="0"/>
      <w:divBdr>
        <w:top w:val="none" w:sz="0" w:space="0" w:color="auto"/>
        <w:left w:val="none" w:sz="0" w:space="0" w:color="auto"/>
        <w:bottom w:val="none" w:sz="0" w:space="0" w:color="auto"/>
        <w:right w:val="none" w:sz="0" w:space="0" w:color="auto"/>
      </w:divBdr>
    </w:div>
    <w:div w:id="954479643">
      <w:bodyDiv w:val="1"/>
      <w:marLeft w:val="0"/>
      <w:marRight w:val="0"/>
      <w:marTop w:val="0"/>
      <w:marBottom w:val="0"/>
      <w:divBdr>
        <w:top w:val="none" w:sz="0" w:space="0" w:color="auto"/>
        <w:left w:val="none" w:sz="0" w:space="0" w:color="auto"/>
        <w:bottom w:val="none" w:sz="0" w:space="0" w:color="auto"/>
        <w:right w:val="none" w:sz="0" w:space="0" w:color="auto"/>
      </w:divBdr>
    </w:div>
    <w:div w:id="954487398">
      <w:bodyDiv w:val="1"/>
      <w:marLeft w:val="0"/>
      <w:marRight w:val="0"/>
      <w:marTop w:val="0"/>
      <w:marBottom w:val="0"/>
      <w:divBdr>
        <w:top w:val="none" w:sz="0" w:space="0" w:color="auto"/>
        <w:left w:val="none" w:sz="0" w:space="0" w:color="auto"/>
        <w:bottom w:val="none" w:sz="0" w:space="0" w:color="auto"/>
        <w:right w:val="none" w:sz="0" w:space="0" w:color="auto"/>
      </w:divBdr>
    </w:div>
    <w:div w:id="954680211">
      <w:bodyDiv w:val="1"/>
      <w:marLeft w:val="0"/>
      <w:marRight w:val="0"/>
      <w:marTop w:val="0"/>
      <w:marBottom w:val="0"/>
      <w:divBdr>
        <w:top w:val="none" w:sz="0" w:space="0" w:color="auto"/>
        <w:left w:val="none" w:sz="0" w:space="0" w:color="auto"/>
        <w:bottom w:val="none" w:sz="0" w:space="0" w:color="auto"/>
        <w:right w:val="none" w:sz="0" w:space="0" w:color="auto"/>
      </w:divBdr>
    </w:div>
    <w:div w:id="954991219">
      <w:bodyDiv w:val="1"/>
      <w:marLeft w:val="0"/>
      <w:marRight w:val="0"/>
      <w:marTop w:val="0"/>
      <w:marBottom w:val="0"/>
      <w:divBdr>
        <w:top w:val="none" w:sz="0" w:space="0" w:color="auto"/>
        <w:left w:val="none" w:sz="0" w:space="0" w:color="auto"/>
        <w:bottom w:val="none" w:sz="0" w:space="0" w:color="auto"/>
        <w:right w:val="none" w:sz="0" w:space="0" w:color="auto"/>
      </w:divBdr>
    </w:div>
    <w:div w:id="955218473">
      <w:bodyDiv w:val="1"/>
      <w:marLeft w:val="0"/>
      <w:marRight w:val="0"/>
      <w:marTop w:val="0"/>
      <w:marBottom w:val="0"/>
      <w:divBdr>
        <w:top w:val="none" w:sz="0" w:space="0" w:color="auto"/>
        <w:left w:val="none" w:sz="0" w:space="0" w:color="auto"/>
        <w:bottom w:val="none" w:sz="0" w:space="0" w:color="auto"/>
        <w:right w:val="none" w:sz="0" w:space="0" w:color="auto"/>
      </w:divBdr>
    </w:div>
    <w:div w:id="955327784">
      <w:bodyDiv w:val="1"/>
      <w:marLeft w:val="0"/>
      <w:marRight w:val="0"/>
      <w:marTop w:val="0"/>
      <w:marBottom w:val="0"/>
      <w:divBdr>
        <w:top w:val="none" w:sz="0" w:space="0" w:color="auto"/>
        <w:left w:val="none" w:sz="0" w:space="0" w:color="auto"/>
        <w:bottom w:val="none" w:sz="0" w:space="0" w:color="auto"/>
        <w:right w:val="none" w:sz="0" w:space="0" w:color="auto"/>
      </w:divBdr>
    </w:div>
    <w:div w:id="955717586">
      <w:bodyDiv w:val="1"/>
      <w:marLeft w:val="0"/>
      <w:marRight w:val="0"/>
      <w:marTop w:val="0"/>
      <w:marBottom w:val="0"/>
      <w:divBdr>
        <w:top w:val="none" w:sz="0" w:space="0" w:color="auto"/>
        <w:left w:val="none" w:sz="0" w:space="0" w:color="auto"/>
        <w:bottom w:val="none" w:sz="0" w:space="0" w:color="auto"/>
        <w:right w:val="none" w:sz="0" w:space="0" w:color="auto"/>
      </w:divBdr>
    </w:div>
    <w:div w:id="955791833">
      <w:bodyDiv w:val="1"/>
      <w:marLeft w:val="0"/>
      <w:marRight w:val="0"/>
      <w:marTop w:val="0"/>
      <w:marBottom w:val="0"/>
      <w:divBdr>
        <w:top w:val="none" w:sz="0" w:space="0" w:color="auto"/>
        <w:left w:val="none" w:sz="0" w:space="0" w:color="auto"/>
        <w:bottom w:val="none" w:sz="0" w:space="0" w:color="auto"/>
        <w:right w:val="none" w:sz="0" w:space="0" w:color="auto"/>
      </w:divBdr>
    </w:div>
    <w:div w:id="956064795">
      <w:bodyDiv w:val="1"/>
      <w:marLeft w:val="0"/>
      <w:marRight w:val="0"/>
      <w:marTop w:val="0"/>
      <w:marBottom w:val="0"/>
      <w:divBdr>
        <w:top w:val="none" w:sz="0" w:space="0" w:color="auto"/>
        <w:left w:val="none" w:sz="0" w:space="0" w:color="auto"/>
        <w:bottom w:val="none" w:sz="0" w:space="0" w:color="auto"/>
        <w:right w:val="none" w:sz="0" w:space="0" w:color="auto"/>
      </w:divBdr>
    </w:div>
    <w:div w:id="956446318">
      <w:bodyDiv w:val="1"/>
      <w:marLeft w:val="0"/>
      <w:marRight w:val="0"/>
      <w:marTop w:val="0"/>
      <w:marBottom w:val="0"/>
      <w:divBdr>
        <w:top w:val="none" w:sz="0" w:space="0" w:color="auto"/>
        <w:left w:val="none" w:sz="0" w:space="0" w:color="auto"/>
        <w:bottom w:val="none" w:sz="0" w:space="0" w:color="auto"/>
        <w:right w:val="none" w:sz="0" w:space="0" w:color="auto"/>
      </w:divBdr>
    </w:div>
    <w:div w:id="956519945">
      <w:bodyDiv w:val="1"/>
      <w:marLeft w:val="0"/>
      <w:marRight w:val="0"/>
      <w:marTop w:val="0"/>
      <w:marBottom w:val="0"/>
      <w:divBdr>
        <w:top w:val="none" w:sz="0" w:space="0" w:color="auto"/>
        <w:left w:val="none" w:sz="0" w:space="0" w:color="auto"/>
        <w:bottom w:val="none" w:sz="0" w:space="0" w:color="auto"/>
        <w:right w:val="none" w:sz="0" w:space="0" w:color="auto"/>
      </w:divBdr>
    </w:div>
    <w:div w:id="956570874">
      <w:bodyDiv w:val="1"/>
      <w:marLeft w:val="0"/>
      <w:marRight w:val="0"/>
      <w:marTop w:val="0"/>
      <w:marBottom w:val="0"/>
      <w:divBdr>
        <w:top w:val="none" w:sz="0" w:space="0" w:color="auto"/>
        <w:left w:val="none" w:sz="0" w:space="0" w:color="auto"/>
        <w:bottom w:val="none" w:sz="0" w:space="0" w:color="auto"/>
        <w:right w:val="none" w:sz="0" w:space="0" w:color="auto"/>
      </w:divBdr>
    </w:div>
    <w:div w:id="956763978">
      <w:bodyDiv w:val="1"/>
      <w:marLeft w:val="0"/>
      <w:marRight w:val="0"/>
      <w:marTop w:val="0"/>
      <w:marBottom w:val="0"/>
      <w:divBdr>
        <w:top w:val="none" w:sz="0" w:space="0" w:color="auto"/>
        <w:left w:val="none" w:sz="0" w:space="0" w:color="auto"/>
        <w:bottom w:val="none" w:sz="0" w:space="0" w:color="auto"/>
        <w:right w:val="none" w:sz="0" w:space="0" w:color="auto"/>
      </w:divBdr>
    </w:div>
    <w:div w:id="956792001">
      <w:bodyDiv w:val="1"/>
      <w:marLeft w:val="0"/>
      <w:marRight w:val="0"/>
      <w:marTop w:val="0"/>
      <w:marBottom w:val="0"/>
      <w:divBdr>
        <w:top w:val="none" w:sz="0" w:space="0" w:color="auto"/>
        <w:left w:val="none" w:sz="0" w:space="0" w:color="auto"/>
        <w:bottom w:val="none" w:sz="0" w:space="0" w:color="auto"/>
        <w:right w:val="none" w:sz="0" w:space="0" w:color="auto"/>
      </w:divBdr>
    </w:div>
    <w:div w:id="957031451">
      <w:bodyDiv w:val="1"/>
      <w:marLeft w:val="0"/>
      <w:marRight w:val="0"/>
      <w:marTop w:val="0"/>
      <w:marBottom w:val="0"/>
      <w:divBdr>
        <w:top w:val="none" w:sz="0" w:space="0" w:color="auto"/>
        <w:left w:val="none" w:sz="0" w:space="0" w:color="auto"/>
        <w:bottom w:val="none" w:sz="0" w:space="0" w:color="auto"/>
        <w:right w:val="none" w:sz="0" w:space="0" w:color="auto"/>
      </w:divBdr>
    </w:div>
    <w:div w:id="957487769">
      <w:bodyDiv w:val="1"/>
      <w:marLeft w:val="0"/>
      <w:marRight w:val="0"/>
      <w:marTop w:val="0"/>
      <w:marBottom w:val="0"/>
      <w:divBdr>
        <w:top w:val="none" w:sz="0" w:space="0" w:color="auto"/>
        <w:left w:val="none" w:sz="0" w:space="0" w:color="auto"/>
        <w:bottom w:val="none" w:sz="0" w:space="0" w:color="auto"/>
        <w:right w:val="none" w:sz="0" w:space="0" w:color="auto"/>
      </w:divBdr>
    </w:div>
    <w:div w:id="957492227">
      <w:bodyDiv w:val="1"/>
      <w:marLeft w:val="0"/>
      <w:marRight w:val="0"/>
      <w:marTop w:val="0"/>
      <w:marBottom w:val="0"/>
      <w:divBdr>
        <w:top w:val="none" w:sz="0" w:space="0" w:color="auto"/>
        <w:left w:val="none" w:sz="0" w:space="0" w:color="auto"/>
        <w:bottom w:val="none" w:sz="0" w:space="0" w:color="auto"/>
        <w:right w:val="none" w:sz="0" w:space="0" w:color="auto"/>
      </w:divBdr>
    </w:div>
    <w:div w:id="957641058">
      <w:bodyDiv w:val="1"/>
      <w:marLeft w:val="0"/>
      <w:marRight w:val="0"/>
      <w:marTop w:val="0"/>
      <w:marBottom w:val="0"/>
      <w:divBdr>
        <w:top w:val="none" w:sz="0" w:space="0" w:color="auto"/>
        <w:left w:val="none" w:sz="0" w:space="0" w:color="auto"/>
        <w:bottom w:val="none" w:sz="0" w:space="0" w:color="auto"/>
        <w:right w:val="none" w:sz="0" w:space="0" w:color="auto"/>
      </w:divBdr>
    </w:div>
    <w:div w:id="957680725">
      <w:bodyDiv w:val="1"/>
      <w:marLeft w:val="0"/>
      <w:marRight w:val="0"/>
      <w:marTop w:val="0"/>
      <w:marBottom w:val="0"/>
      <w:divBdr>
        <w:top w:val="none" w:sz="0" w:space="0" w:color="auto"/>
        <w:left w:val="none" w:sz="0" w:space="0" w:color="auto"/>
        <w:bottom w:val="none" w:sz="0" w:space="0" w:color="auto"/>
        <w:right w:val="none" w:sz="0" w:space="0" w:color="auto"/>
      </w:divBdr>
    </w:div>
    <w:div w:id="957760946">
      <w:bodyDiv w:val="1"/>
      <w:marLeft w:val="0"/>
      <w:marRight w:val="0"/>
      <w:marTop w:val="0"/>
      <w:marBottom w:val="0"/>
      <w:divBdr>
        <w:top w:val="none" w:sz="0" w:space="0" w:color="auto"/>
        <w:left w:val="none" w:sz="0" w:space="0" w:color="auto"/>
        <w:bottom w:val="none" w:sz="0" w:space="0" w:color="auto"/>
        <w:right w:val="none" w:sz="0" w:space="0" w:color="auto"/>
      </w:divBdr>
    </w:div>
    <w:div w:id="958023722">
      <w:bodyDiv w:val="1"/>
      <w:marLeft w:val="0"/>
      <w:marRight w:val="0"/>
      <w:marTop w:val="0"/>
      <w:marBottom w:val="0"/>
      <w:divBdr>
        <w:top w:val="none" w:sz="0" w:space="0" w:color="auto"/>
        <w:left w:val="none" w:sz="0" w:space="0" w:color="auto"/>
        <w:bottom w:val="none" w:sz="0" w:space="0" w:color="auto"/>
        <w:right w:val="none" w:sz="0" w:space="0" w:color="auto"/>
      </w:divBdr>
    </w:div>
    <w:div w:id="958531153">
      <w:bodyDiv w:val="1"/>
      <w:marLeft w:val="0"/>
      <w:marRight w:val="0"/>
      <w:marTop w:val="0"/>
      <w:marBottom w:val="0"/>
      <w:divBdr>
        <w:top w:val="none" w:sz="0" w:space="0" w:color="auto"/>
        <w:left w:val="none" w:sz="0" w:space="0" w:color="auto"/>
        <w:bottom w:val="none" w:sz="0" w:space="0" w:color="auto"/>
        <w:right w:val="none" w:sz="0" w:space="0" w:color="auto"/>
      </w:divBdr>
    </w:div>
    <w:div w:id="958531406">
      <w:bodyDiv w:val="1"/>
      <w:marLeft w:val="0"/>
      <w:marRight w:val="0"/>
      <w:marTop w:val="0"/>
      <w:marBottom w:val="0"/>
      <w:divBdr>
        <w:top w:val="none" w:sz="0" w:space="0" w:color="auto"/>
        <w:left w:val="none" w:sz="0" w:space="0" w:color="auto"/>
        <w:bottom w:val="none" w:sz="0" w:space="0" w:color="auto"/>
        <w:right w:val="none" w:sz="0" w:space="0" w:color="auto"/>
      </w:divBdr>
    </w:div>
    <w:div w:id="958610587">
      <w:bodyDiv w:val="1"/>
      <w:marLeft w:val="0"/>
      <w:marRight w:val="0"/>
      <w:marTop w:val="0"/>
      <w:marBottom w:val="0"/>
      <w:divBdr>
        <w:top w:val="none" w:sz="0" w:space="0" w:color="auto"/>
        <w:left w:val="none" w:sz="0" w:space="0" w:color="auto"/>
        <w:bottom w:val="none" w:sz="0" w:space="0" w:color="auto"/>
        <w:right w:val="none" w:sz="0" w:space="0" w:color="auto"/>
      </w:divBdr>
    </w:div>
    <w:div w:id="958872359">
      <w:bodyDiv w:val="1"/>
      <w:marLeft w:val="0"/>
      <w:marRight w:val="0"/>
      <w:marTop w:val="0"/>
      <w:marBottom w:val="0"/>
      <w:divBdr>
        <w:top w:val="none" w:sz="0" w:space="0" w:color="auto"/>
        <w:left w:val="none" w:sz="0" w:space="0" w:color="auto"/>
        <w:bottom w:val="none" w:sz="0" w:space="0" w:color="auto"/>
        <w:right w:val="none" w:sz="0" w:space="0" w:color="auto"/>
      </w:divBdr>
    </w:div>
    <w:div w:id="958998161">
      <w:bodyDiv w:val="1"/>
      <w:marLeft w:val="0"/>
      <w:marRight w:val="0"/>
      <w:marTop w:val="0"/>
      <w:marBottom w:val="0"/>
      <w:divBdr>
        <w:top w:val="none" w:sz="0" w:space="0" w:color="auto"/>
        <w:left w:val="none" w:sz="0" w:space="0" w:color="auto"/>
        <w:bottom w:val="none" w:sz="0" w:space="0" w:color="auto"/>
        <w:right w:val="none" w:sz="0" w:space="0" w:color="auto"/>
      </w:divBdr>
    </w:div>
    <w:div w:id="959068345">
      <w:bodyDiv w:val="1"/>
      <w:marLeft w:val="0"/>
      <w:marRight w:val="0"/>
      <w:marTop w:val="0"/>
      <w:marBottom w:val="0"/>
      <w:divBdr>
        <w:top w:val="none" w:sz="0" w:space="0" w:color="auto"/>
        <w:left w:val="none" w:sz="0" w:space="0" w:color="auto"/>
        <w:bottom w:val="none" w:sz="0" w:space="0" w:color="auto"/>
        <w:right w:val="none" w:sz="0" w:space="0" w:color="auto"/>
      </w:divBdr>
    </w:div>
    <w:div w:id="959335709">
      <w:bodyDiv w:val="1"/>
      <w:marLeft w:val="0"/>
      <w:marRight w:val="0"/>
      <w:marTop w:val="0"/>
      <w:marBottom w:val="0"/>
      <w:divBdr>
        <w:top w:val="none" w:sz="0" w:space="0" w:color="auto"/>
        <w:left w:val="none" w:sz="0" w:space="0" w:color="auto"/>
        <w:bottom w:val="none" w:sz="0" w:space="0" w:color="auto"/>
        <w:right w:val="none" w:sz="0" w:space="0" w:color="auto"/>
      </w:divBdr>
    </w:div>
    <w:div w:id="959341051">
      <w:bodyDiv w:val="1"/>
      <w:marLeft w:val="0"/>
      <w:marRight w:val="0"/>
      <w:marTop w:val="0"/>
      <w:marBottom w:val="0"/>
      <w:divBdr>
        <w:top w:val="none" w:sz="0" w:space="0" w:color="auto"/>
        <w:left w:val="none" w:sz="0" w:space="0" w:color="auto"/>
        <w:bottom w:val="none" w:sz="0" w:space="0" w:color="auto"/>
        <w:right w:val="none" w:sz="0" w:space="0" w:color="auto"/>
      </w:divBdr>
    </w:div>
    <w:div w:id="959608378">
      <w:bodyDiv w:val="1"/>
      <w:marLeft w:val="0"/>
      <w:marRight w:val="0"/>
      <w:marTop w:val="0"/>
      <w:marBottom w:val="0"/>
      <w:divBdr>
        <w:top w:val="none" w:sz="0" w:space="0" w:color="auto"/>
        <w:left w:val="none" w:sz="0" w:space="0" w:color="auto"/>
        <w:bottom w:val="none" w:sz="0" w:space="0" w:color="auto"/>
        <w:right w:val="none" w:sz="0" w:space="0" w:color="auto"/>
      </w:divBdr>
    </w:div>
    <w:div w:id="959841899">
      <w:bodyDiv w:val="1"/>
      <w:marLeft w:val="0"/>
      <w:marRight w:val="0"/>
      <w:marTop w:val="0"/>
      <w:marBottom w:val="0"/>
      <w:divBdr>
        <w:top w:val="none" w:sz="0" w:space="0" w:color="auto"/>
        <w:left w:val="none" w:sz="0" w:space="0" w:color="auto"/>
        <w:bottom w:val="none" w:sz="0" w:space="0" w:color="auto"/>
        <w:right w:val="none" w:sz="0" w:space="0" w:color="auto"/>
      </w:divBdr>
    </w:div>
    <w:div w:id="959843364">
      <w:bodyDiv w:val="1"/>
      <w:marLeft w:val="0"/>
      <w:marRight w:val="0"/>
      <w:marTop w:val="0"/>
      <w:marBottom w:val="0"/>
      <w:divBdr>
        <w:top w:val="none" w:sz="0" w:space="0" w:color="auto"/>
        <w:left w:val="none" w:sz="0" w:space="0" w:color="auto"/>
        <w:bottom w:val="none" w:sz="0" w:space="0" w:color="auto"/>
        <w:right w:val="none" w:sz="0" w:space="0" w:color="auto"/>
      </w:divBdr>
    </w:div>
    <w:div w:id="960039952">
      <w:bodyDiv w:val="1"/>
      <w:marLeft w:val="0"/>
      <w:marRight w:val="0"/>
      <w:marTop w:val="0"/>
      <w:marBottom w:val="0"/>
      <w:divBdr>
        <w:top w:val="none" w:sz="0" w:space="0" w:color="auto"/>
        <w:left w:val="none" w:sz="0" w:space="0" w:color="auto"/>
        <w:bottom w:val="none" w:sz="0" w:space="0" w:color="auto"/>
        <w:right w:val="none" w:sz="0" w:space="0" w:color="auto"/>
      </w:divBdr>
    </w:div>
    <w:div w:id="960113514">
      <w:bodyDiv w:val="1"/>
      <w:marLeft w:val="0"/>
      <w:marRight w:val="0"/>
      <w:marTop w:val="0"/>
      <w:marBottom w:val="0"/>
      <w:divBdr>
        <w:top w:val="none" w:sz="0" w:space="0" w:color="auto"/>
        <w:left w:val="none" w:sz="0" w:space="0" w:color="auto"/>
        <w:bottom w:val="none" w:sz="0" w:space="0" w:color="auto"/>
        <w:right w:val="none" w:sz="0" w:space="0" w:color="auto"/>
      </w:divBdr>
    </w:div>
    <w:div w:id="960183085">
      <w:bodyDiv w:val="1"/>
      <w:marLeft w:val="0"/>
      <w:marRight w:val="0"/>
      <w:marTop w:val="0"/>
      <w:marBottom w:val="0"/>
      <w:divBdr>
        <w:top w:val="none" w:sz="0" w:space="0" w:color="auto"/>
        <w:left w:val="none" w:sz="0" w:space="0" w:color="auto"/>
        <w:bottom w:val="none" w:sz="0" w:space="0" w:color="auto"/>
        <w:right w:val="none" w:sz="0" w:space="0" w:color="auto"/>
      </w:divBdr>
    </w:div>
    <w:div w:id="960188747">
      <w:bodyDiv w:val="1"/>
      <w:marLeft w:val="0"/>
      <w:marRight w:val="0"/>
      <w:marTop w:val="0"/>
      <w:marBottom w:val="0"/>
      <w:divBdr>
        <w:top w:val="none" w:sz="0" w:space="0" w:color="auto"/>
        <w:left w:val="none" w:sz="0" w:space="0" w:color="auto"/>
        <w:bottom w:val="none" w:sz="0" w:space="0" w:color="auto"/>
        <w:right w:val="none" w:sz="0" w:space="0" w:color="auto"/>
      </w:divBdr>
    </w:div>
    <w:div w:id="960889221">
      <w:bodyDiv w:val="1"/>
      <w:marLeft w:val="0"/>
      <w:marRight w:val="0"/>
      <w:marTop w:val="0"/>
      <w:marBottom w:val="0"/>
      <w:divBdr>
        <w:top w:val="none" w:sz="0" w:space="0" w:color="auto"/>
        <w:left w:val="none" w:sz="0" w:space="0" w:color="auto"/>
        <w:bottom w:val="none" w:sz="0" w:space="0" w:color="auto"/>
        <w:right w:val="none" w:sz="0" w:space="0" w:color="auto"/>
      </w:divBdr>
    </w:div>
    <w:div w:id="961040526">
      <w:bodyDiv w:val="1"/>
      <w:marLeft w:val="0"/>
      <w:marRight w:val="0"/>
      <w:marTop w:val="0"/>
      <w:marBottom w:val="0"/>
      <w:divBdr>
        <w:top w:val="none" w:sz="0" w:space="0" w:color="auto"/>
        <w:left w:val="none" w:sz="0" w:space="0" w:color="auto"/>
        <w:bottom w:val="none" w:sz="0" w:space="0" w:color="auto"/>
        <w:right w:val="none" w:sz="0" w:space="0" w:color="auto"/>
      </w:divBdr>
    </w:div>
    <w:div w:id="961112627">
      <w:bodyDiv w:val="1"/>
      <w:marLeft w:val="0"/>
      <w:marRight w:val="0"/>
      <w:marTop w:val="0"/>
      <w:marBottom w:val="0"/>
      <w:divBdr>
        <w:top w:val="none" w:sz="0" w:space="0" w:color="auto"/>
        <w:left w:val="none" w:sz="0" w:space="0" w:color="auto"/>
        <w:bottom w:val="none" w:sz="0" w:space="0" w:color="auto"/>
        <w:right w:val="none" w:sz="0" w:space="0" w:color="auto"/>
      </w:divBdr>
    </w:div>
    <w:div w:id="961152879">
      <w:bodyDiv w:val="1"/>
      <w:marLeft w:val="0"/>
      <w:marRight w:val="0"/>
      <w:marTop w:val="0"/>
      <w:marBottom w:val="0"/>
      <w:divBdr>
        <w:top w:val="none" w:sz="0" w:space="0" w:color="auto"/>
        <w:left w:val="none" w:sz="0" w:space="0" w:color="auto"/>
        <w:bottom w:val="none" w:sz="0" w:space="0" w:color="auto"/>
        <w:right w:val="none" w:sz="0" w:space="0" w:color="auto"/>
      </w:divBdr>
    </w:div>
    <w:div w:id="961227848">
      <w:bodyDiv w:val="1"/>
      <w:marLeft w:val="0"/>
      <w:marRight w:val="0"/>
      <w:marTop w:val="0"/>
      <w:marBottom w:val="0"/>
      <w:divBdr>
        <w:top w:val="none" w:sz="0" w:space="0" w:color="auto"/>
        <w:left w:val="none" w:sz="0" w:space="0" w:color="auto"/>
        <w:bottom w:val="none" w:sz="0" w:space="0" w:color="auto"/>
        <w:right w:val="none" w:sz="0" w:space="0" w:color="auto"/>
      </w:divBdr>
    </w:div>
    <w:div w:id="961424283">
      <w:bodyDiv w:val="1"/>
      <w:marLeft w:val="0"/>
      <w:marRight w:val="0"/>
      <w:marTop w:val="0"/>
      <w:marBottom w:val="0"/>
      <w:divBdr>
        <w:top w:val="none" w:sz="0" w:space="0" w:color="auto"/>
        <w:left w:val="none" w:sz="0" w:space="0" w:color="auto"/>
        <w:bottom w:val="none" w:sz="0" w:space="0" w:color="auto"/>
        <w:right w:val="none" w:sz="0" w:space="0" w:color="auto"/>
      </w:divBdr>
    </w:div>
    <w:div w:id="961956883">
      <w:bodyDiv w:val="1"/>
      <w:marLeft w:val="0"/>
      <w:marRight w:val="0"/>
      <w:marTop w:val="0"/>
      <w:marBottom w:val="0"/>
      <w:divBdr>
        <w:top w:val="none" w:sz="0" w:space="0" w:color="auto"/>
        <w:left w:val="none" w:sz="0" w:space="0" w:color="auto"/>
        <w:bottom w:val="none" w:sz="0" w:space="0" w:color="auto"/>
        <w:right w:val="none" w:sz="0" w:space="0" w:color="auto"/>
      </w:divBdr>
    </w:div>
    <w:div w:id="961960788">
      <w:bodyDiv w:val="1"/>
      <w:marLeft w:val="0"/>
      <w:marRight w:val="0"/>
      <w:marTop w:val="0"/>
      <w:marBottom w:val="0"/>
      <w:divBdr>
        <w:top w:val="none" w:sz="0" w:space="0" w:color="auto"/>
        <w:left w:val="none" w:sz="0" w:space="0" w:color="auto"/>
        <w:bottom w:val="none" w:sz="0" w:space="0" w:color="auto"/>
        <w:right w:val="none" w:sz="0" w:space="0" w:color="auto"/>
      </w:divBdr>
    </w:div>
    <w:div w:id="962157033">
      <w:bodyDiv w:val="1"/>
      <w:marLeft w:val="0"/>
      <w:marRight w:val="0"/>
      <w:marTop w:val="0"/>
      <w:marBottom w:val="0"/>
      <w:divBdr>
        <w:top w:val="none" w:sz="0" w:space="0" w:color="auto"/>
        <w:left w:val="none" w:sz="0" w:space="0" w:color="auto"/>
        <w:bottom w:val="none" w:sz="0" w:space="0" w:color="auto"/>
        <w:right w:val="none" w:sz="0" w:space="0" w:color="auto"/>
      </w:divBdr>
    </w:div>
    <w:div w:id="962270062">
      <w:bodyDiv w:val="1"/>
      <w:marLeft w:val="0"/>
      <w:marRight w:val="0"/>
      <w:marTop w:val="0"/>
      <w:marBottom w:val="0"/>
      <w:divBdr>
        <w:top w:val="none" w:sz="0" w:space="0" w:color="auto"/>
        <w:left w:val="none" w:sz="0" w:space="0" w:color="auto"/>
        <w:bottom w:val="none" w:sz="0" w:space="0" w:color="auto"/>
        <w:right w:val="none" w:sz="0" w:space="0" w:color="auto"/>
      </w:divBdr>
    </w:div>
    <w:div w:id="962462291">
      <w:bodyDiv w:val="1"/>
      <w:marLeft w:val="0"/>
      <w:marRight w:val="0"/>
      <w:marTop w:val="0"/>
      <w:marBottom w:val="0"/>
      <w:divBdr>
        <w:top w:val="none" w:sz="0" w:space="0" w:color="auto"/>
        <w:left w:val="none" w:sz="0" w:space="0" w:color="auto"/>
        <w:bottom w:val="none" w:sz="0" w:space="0" w:color="auto"/>
        <w:right w:val="none" w:sz="0" w:space="0" w:color="auto"/>
      </w:divBdr>
    </w:div>
    <w:div w:id="962466555">
      <w:bodyDiv w:val="1"/>
      <w:marLeft w:val="0"/>
      <w:marRight w:val="0"/>
      <w:marTop w:val="0"/>
      <w:marBottom w:val="0"/>
      <w:divBdr>
        <w:top w:val="none" w:sz="0" w:space="0" w:color="auto"/>
        <w:left w:val="none" w:sz="0" w:space="0" w:color="auto"/>
        <w:bottom w:val="none" w:sz="0" w:space="0" w:color="auto"/>
        <w:right w:val="none" w:sz="0" w:space="0" w:color="auto"/>
      </w:divBdr>
    </w:div>
    <w:div w:id="962729021">
      <w:bodyDiv w:val="1"/>
      <w:marLeft w:val="0"/>
      <w:marRight w:val="0"/>
      <w:marTop w:val="0"/>
      <w:marBottom w:val="0"/>
      <w:divBdr>
        <w:top w:val="none" w:sz="0" w:space="0" w:color="auto"/>
        <w:left w:val="none" w:sz="0" w:space="0" w:color="auto"/>
        <w:bottom w:val="none" w:sz="0" w:space="0" w:color="auto"/>
        <w:right w:val="none" w:sz="0" w:space="0" w:color="auto"/>
      </w:divBdr>
    </w:div>
    <w:div w:id="962733397">
      <w:bodyDiv w:val="1"/>
      <w:marLeft w:val="0"/>
      <w:marRight w:val="0"/>
      <w:marTop w:val="0"/>
      <w:marBottom w:val="0"/>
      <w:divBdr>
        <w:top w:val="none" w:sz="0" w:space="0" w:color="auto"/>
        <w:left w:val="none" w:sz="0" w:space="0" w:color="auto"/>
        <w:bottom w:val="none" w:sz="0" w:space="0" w:color="auto"/>
        <w:right w:val="none" w:sz="0" w:space="0" w:color="auto"/>
      </w:divBdr>
    </w:div>
    <w:div w:id="962737812">
      <w:bodyDiv w:val="1"/>
      <w:marLeft w:val="0"/>
      <w:marRight w:val="0"/>
      <w:marTop w:val="0"/>
      <w:marBottom w:val="0"/>
      <w:divBdr>
        <w:top w:val="none" w:sz="0" w:space="0" w:color="auto"/>
        <w:left w:val="none" w:sz="0" w:space="0" w:color="auto"/>
        <w:bottom w:val="none" w:sz="0" w:space="0" w:color="auto"/>
        <w:right w:val="none" w:sz="0" w:space="0" w:color="auto"/>
      </w:divBdr>
    </w:div>
    <w:div w:id="962880752">
      <w:bodyDiv w:val="1"/>
      <w:marLeft w:val="0"/>
      <w:marRight w:val="0"/>
      <w:marTop w:val="0"/>
      <w:marBottom w:val="0"/>
      <w:divBdr>
        <w:top w:val="none" w:sz="0" w:space="0" w:color="auto"/>
        <w:left w:val="none" w:sz="0" w:space="0" w:color="auto"/>
        <w:bottom w:val="none" w:sz="0" w:space="0" w:color="auto"/>
        <w:right w:val="none" w:sz="0" w:space="0" w:color="auto"/>
      </w:divBdr>
    </w:div>
    <w:div w:id="963117132">
      <w:bodyDiv w:val="1"/>
      <w:marLeft w:val="0"/>
      <w:marRight w:val="0"/>
      <w:marTop w:val="0"/>
      <w:marBottom w:val="0"/>
      <w:divBdr>
        <w:top w:val="none" w:sz="0" w:space="0" w:color="auto"/>
        <w:left w:val="none" w:sz="0" w:space="0" w:color="auto"/>
        <w:bottom w:val="none" w:sz="0" w:space="0" w:color="auto"/>
        <w:right w:val="none" w:sz="0" w:space="0" w:color="auto"/>
      </w:divBdr>
    </w:div>
    <w:div w:id="963389982">
      <w:bodyDiv w:val="1"/>
      <w:marLeft w:val="0"/>
      <w:marRight w:val="0"/>
      <w:marTop w:val="0"/>
      <w:marBottom w:val="0"/>
      <w:divBdr>
        <w:top w:val="none" w:sz="0" w:space="0" w:color="auto"/>
        <w:left w:val="none" w:sz="0" w:space="0" w:color="auto"/>
        <w:bottom w:val="none" w:sz="0" w:space="0" w:color="auto"/>
        <w:right w:val="none" w:sz="0" w:space="0" w:color="auto"/>
      </w:divBdr>
    </w:div>
    <w:div w:id="963461064">
      <w:bodyDiv w:val="1"/>
      <w:marLeft w:val="0"/>
      <w:marRight w:val="0"/>
      <w:marTop w:val="0"/>
      <w:marBottom w:val="0"/>
      <w:divBdr>
        <w:top w:val="none" w:sz="0" w:space="0" w:color="auto"/>
        <w:left w:val="none" w:sz="0" w:space="0" w:color="auto"/>
        <w:bottom w:val="none" w:sz="0" w:space="0" w:color="auto"/>
        <w:right w:val="none" w:sz="0" w:space="0" w:color="auto"/>
      </w:divBdr>
    </w:div>
    <w:div w:id="963659462">
      <w:bodyDiv w:val="1"/>
      <w:marLeft w:val="0"/>
      <w:marRight w:val="0"/>
      <w:marTop w:val="0"/>
      <w:marBottom w:val="0"/>
      <w:divBdr>
        <w:top w:val="none" w:sz="0" w:space="0" w:color="auto"/>
        <w:left w:val="none" w:sz="0" w:space="0" w:color="auto"/>
        <w:bottom w:val="none" w:sz="0" w:space="0" w:color="auto"/>
        <w:right w:val="none" w:sz="0" w:space="0" w:color="auto"/>
      </w:divBdr>
    </w:div>
    <w:div w:id="964001387">
      <w:bodyDiv w:val="1"/>
      <w:marLeft w:val="0"/>
      <w:marRight w:val="0"/>
      <w:marTop w:val="0"/>
      <w:marBottom w:val="0"/>
      <w:divBdr>
        <w:top w:val="none" w:sz="0" w:space="0" w:color="auto"/>
        <w:left w:val="none" w:sz="0" w:space="0" w:color="auto"/>
        <w:bottom w:val="none" w:sz="0" w:space="0" w:color="auto"/>
        <w:right w:val="none" w:sz="0" w:space="0" w:color="auto"/>
      </w:divBdr>
    </w:div>
    <w:div w:id="964117804">
      <w:bodyDiv w:val="1"/>
      <w:marLeft w:val="0"/>
      <w:marRight w:val="0"/>
      <w:marTop w:val="0"/>
      <w:marBottom w:val="0"/>
      <w:divBdr>
        <w:top w:val="none" w:sz="0" w:space="0" w:color="auto"/>
        <w:left w:val="none" w:sz="0" w:space="0" w:color="auto"/>
        <w:bottom w:val="none" w:sz="0" w:space="0" w:color="auto"/>
        <w:right w:val="none" w:sz="0" w:space="0" w:color="auto"/>
      </w:divBdr>
    </w:div>
    <w:div w:id="964194673">
      <w:bodyDiv w:val="1"/>
      <w:marLeft w:val="0"/>
      <w:marRight w:val="0"/>
      <w:marTop w:val="0"/>
      <w:marBottom w:val="0"/>
      <w:divBdr>
        <w:top w:val="none" w:sz="0" w:space="0" w:color="auto"/>
        <w:left w:val="none" w:sz="0" w:space="0" w:color="auto"/>
        <w:bottom w:val="none" w:sz="0" w:space="0" w:color="auto"/>
        <w:right w:val="none" w:sz="0" w:space="0" w:color="auto"/>
      </w:divBdr>
    </w:div>
    <w:div w:id="964312127">
      <w:bodyDiv w:val="1"/>
      <w:marLeft w:val="0"/>
      <w:marRight w:val="0"/>
      <w:marTop w:val="0"/>
      <w:marBottom w:val="0"/>
      <w:divBdr>
        <w:top w:val="none" w:sz="0" w:space="0" w:color="auto"/>
        <w:left w:val="none" w:sz="0" w:space="0" w:color="auto"/>
        <w:bottom w:val="none" w:sz="0" w:space="0" w:color="auto"/>
        <w:right w:val="none" w:sz="0" w:space="0" w:color="auto"/>
      </w:divBdr>
    </w:div>
    <w:div w:id="964651797">
      <w:bodyDiv w:val="1"/>
      <w:marLeft w:val="0"/>
      <w:marRight w:val="0"/>
      <w:marTop w:val="0"/>
      <w:marBottom w:val="0"/>
      <w:divBdr>
        <w:top w:val="none" w:sz="0" w:space="0" w:color="auto"/>
        <w:left w:val="none" w:sz="0" w:space="0" w:color="auto"/>
        <w:bottom w:val="none" w:sz="0" w:space="0" w:color="auto"/>
        <w:right w:val="none" w:sz="0" w:space="0" w:color="auto"/>
      </w:divBdr>
    </w:div>
    <w:div w:id="964778485">
      <w:bodyDiv w:val="1"/>
      <w:marLeft w:val="0"/>
      <w:marRight w:val="0"/>
      <w:marTop w:val="0"/>
      <w:marBottom w:val="0"/>
      <w:divBdr>
        <w:top w:val="none" w:sz="0" w:space="0" w:color="auto"/>
        <w:left w:val="none" w:sz="0" w:space="0" w:color="auto"/>
        <w:bottom w:val="none" w:sz="0" w:space="0" w:color="auto"/>
        <w:right w:val="none" w:sz="0" w:space="0" w:color="auto"/>
      </w:divBdr>
    </w:div>
    <w:div w:id="964887627">
      <w:bodyDiv w:val="1"/>
      <w:marLeft w:val="0"/>
      <w:marRight w:val="0"/>
      <w:marTop w:val="0"/>
      <w:marBottom w:val="0"/>
      <w:divBdr>
        <w:top w:val="none" w:sz="0" w:space="0" w:color="auto"/>
        <w:left w:val="none" w:sz="0" w:space="0" w:color="auto"/>
        <w:bottom w:val="none" w:sz="0" w:space="0" w:color="auto"/>
        <w:right w:val="none" w:sz="0" w:space="0" w:color="auto"/>
      </w:divBdr>
    </w:div>
    <w:div w:id="964893429">
      <w:bodyDiv w:val="1"/>
      <w:marLeft w:val="0"/>
      <w:marRight w:val="0"/>
      <w:marTop w:val="0"/>
      <w:marBottom w:val="0"/>
      <w:divBdr>
        <w:top w:val="none" w:sz="0" w:space="0" w:color="auto"/>
        <w:left w:val="none" w:sz="0" w:space="0" w:color="auto"/>
        <w:bottom w:val="none" w:sz="0" w:space="0" w:color="auto"/>
        <w:right w:val="none" w:sz="0" w:space="0" w:color="auto"/>
      </w:divBdr>
    </w:div>
    <w:div w:id="964896611">
      <w:bodyDiv w:val="1"/>
      <w:marLeft w:val="0"/>
      <w:marRight w:val="0"/>
      <w:marTop w:val="0"/>
      <w:marBottom w:val="0"/>
      <w:divBdr>
        <w:top w:val="none" w:sz="0" w:space="0" w:color="auto"/>
        <w:left w:val="none" w:sz="0" w:space="0" w:color="auto"/>
        <w:bottom w:val="none" w:sz="0" w:space="0" w:color="auto"/>
        <w:right w:val="none" w:sz="0" w:space="0" w:color="auto"/>
      </w:divBdr>
    </w:div>
    <w:div w:id="964896845">
      <w:bodyDiv w:val="1"/>
      <w:marLeft w:val="0"/>
      <w:marRight w:val="0"/>
      <w:marTop w:val="0"/>
      <w:marBottom w:val="0"/>
      <w:divBdr>
        <w:top w:val="none" w:sz="0" w:space="0" w:color="auto"/>
        <w:left w:val="none" w:sz="0" w:space="0" w:color="auto"/>
        <w:bottom w:val="none" w:sz="0" w:space="0" w:color="auto"/>
        <w:right w:val="none" w:sz="0" w:space="0" w:color="auto"/>
      </w:divBdr>
    </w:div>
    <w:div w:id="964964907">
      <w:bodyDiv w:val="1"/>
      <w:marLeft w:val="0"/>
      <w:marRight w:val="0"/>
      <w:marTop w:val="0"/>
      <w:marBottom w:val="0"/>
      <w:divBdr>
        <w:top w:val="none" w:sz="0" w:space="0" w:color="auto"/>
        <w:left w:val="none" w:sz="0" w:space="0" w:color="auto"/>
        <w:bottom w:val="none" w:sz="0" w:space="0" w:color="auto"/>
        <w:right w:val="none" w:sz="0" w:space="0" w:color="auto"/>
      </w:divBdr>
    </w:div>
    <w:div w:id="965431759">
      <w:bodyDiv w:val="1"/>
      <w:marLeft w:val="0"/>
      <w:marRight w:val="0"/>
      <w:marTop w:val="0"/>
      <w:marBottom w:val="0"/>
      <w:divBdr>
        <w:top w:val="none" w:sz="0" w:space="0" w:color="auto"/>
        <w:left w:val="none" w:sz="0" w:space="0" w:color="auto"/>
        <w:bottom w:val="none" w:sz="0" w:space="0" w:color="auto"/>
        <w:right w:val="none" w:sz="0" w:space="0" w:color="auto"/>
      </w:divBdr>
    </w:div>
    <w:div w:id="965500742">
      <w:bodyDiv w:val="1"/>
      <w:marLeft w:val="0"/>
      <w:marRight w:val="0"/>
      <w:marTop w:val="0"/>
      <w:marBottom w:val="0"/>
      <w:divBdr>
        <w:top w:val="none" w:sz="0" w:space="0" w:color="auto"/>
        <w:left w:val="none" w:sz="0" w:space="0" w:color="auto"/>
        <w:bottom w:val="none" w:sz="0" w:space="0" w:color="auto"/>
        <w:right w:val="none" w:sz="0" w:space="0" w:color="auto"/>
      </w:divBdr>
    </w:div>
    <w:div w:id="966542099">
      <w:bodyDiv w:val="1"/>
      <w:marLeft w:val="0"/>
      <w:marRight w:val="0"/>
      <w:marTop w:val="0"/>
      <w:marBottom w:val="0"/>
      <w:divBdr>
        <w:top w:val="none" w:sz="0" w:space="0" w:color="auto"/>
        <w:left w:val="none" w:sz="0" w:space="0" w:color="auto"/>
        <w:bottom w:val="none" w:sz="0" w:space="0" w:color="auto"/>
        <w:right w:val="none" w:sz="0" w:space="0" w:color="auto"/>
      </w:divBdr>
    </w:div>
    <w:div w:id="966859821">
      <w:bodyDiv w:val="1"/>
      <w:marLeft w:val="0"/>
      <w:marRight w:val="0"/>
      <w:marTop w:val="0"/>
      <w:marBottom w:val="0"/>
      <w:divBdr>
        <w:top w:val="none" w:sz="0" w:space="0" w:color="auto"/>
        <w:left w:val="none" w:sz="0" w:space="0" w:color="auto"/>
        <w:bottom w:val="none" w:sz="0" w:space="0" w:color="auto"/>
        <w:right w:val="none" w:sz="0" w:space="0" w:color="auto"/>
      </w:divBdr>
    </w:div>
    <w:div w:id="967080774">
      <w:bodyDiv w:val="1"/>
      <w:marLeft w:val="0"/>
      <w:marRight w:val="0"/>
      <w:marTop w:val="0"/>
      <w:marBottom w:val="0"/>
      <w:divBdr>
        <w:top w:val="none" w:sz="0" w:space="0" w:color="auto"/>
        <w:left w:val="none" w:sz="0" w:space="0" w:color="auto"/>
        <w:bottom w:val="none" w:sz="0" w:space="0" w:color="auto"/>
        <w:right w:val="none" w:sz="0" w:space="0" w:color="auto"/>
      </w:divBdr>
    </w:div>
    <w:div w:id="967131472">
      <w:bodyDiv w:val="1"/>
      <w:marLeft w:val="0"/>
      <w:marRight w:val="0"/>
      <w:marTop w:val="0"/>
      <w:marBottom w:val="0"/>
      <w:divBdr>
        <w:top w:val="none" w:sz="0" w:space="0" w:color="auto"/>
        <w:left w:val="none" w:sz="0" w:space="0" w:color="auto"/>
        <w:bottom w:val="none" w:sz="0" w:space="0" w:color="auto"/>
        <w:right w:val="none" w:sz="0" w:space="0" w:color="auto"/>
      </w:divBdr>
    </w:div>
    <w:div w:id="967318085">
      <w:bodyDiv w:val="1"/>
      <w:marLeft w:val="0"/>
      <w:marRight w:val="0"/>
      <w:marTop w:val="0"/>
      <w:marBottom w:val="0"/>
      <w:divBdr>
        <w:top w:val="none" w:sz="0" w:space="0" w:color="auto"/>
        <w:left w:val="none" w:sz="0" w:space="0" w:color="auto"/>
        <w:bottom w:val="none" w:sz="0" w:space="0" w:color="auto"/>
        <w:right w:val="none" w:sz="0" w:space="0" w:color="auto"/>
      </w:divBdr>
    </w:div>
    <w:div w:id="967321736">
      <w:bodyDiv w:val="1"/>
      <w:marLeft w:val="0"/>
      <w:marRight w:val="0"/>
      <w:marTop w:val="0"/>
      <w:marBottom w:val="0"/>
      <w:divBdr>
        <w:top w:val="none" w:sz="0" w:space="0" w:color="auto"/>
        <w:left w:val="none" w:sz="0" w:space="0" w:color="auto"/>
        <w:bottom w:val="none" w:sz="0" w:space="0" w:color="auto"/>
        <w:right w:val="none" w:sz="0" w:space="0" w:color="auto"/>
      </w:divBdr>
    </w:div>
    <w:div w:id="967470068">
      <w:bodyDiv w:val="1"/>
      <w:marLeft w:val="0"/>
      <w:marRight w:val="0"/>
      <w:marTop w:val="0"/>
      <w:marBottom w:val="0"/>
      <w:divBdr>
        <w:top w:val="none" w:sz="0" w:space="0" w:color="auto"/>
        <w:left w:val="none" w:sz="0" w:space="0" w:color="auto"/>
        <w:bottom w:val="none" w:sz="0" w:space="0" w:color="auto"/>
        <w:right w:val="none" w:sz="0" w:space="0" w:color="auto"/>
      </w:divBdr>
    </w:div>
    <w:div w:id="967782572">
      <w:bodyDiv w:val="1"/>
      <w:marLeft w:val="0"/>
      <w:marRight w:val="0"/>
      <w:marTop w:val="0"/>
      <w:marBottom w:val="0"/>
      <w:divBdr>
        <w:top w:val="none" w:sz="0" w:space="0" w:color="auto"/>
        <w:left w:val="none" w:sz="0" w:space="0" w:color="auto"/>
        <w:bottom w:val="none" w:sz="0" w:space="0" w:color="auto"/>
        <w:right w:val="none" w:sz="0" w:space="0" w:color="auto"/>
      </w:divBdr>
    </w:div>
    <w:div w:id="967784257">
      <w:bodyDiv w:val="1"/>
      <w:marLeft w:val="0"/>
      <w:marRight w:val="0"/>
      <w:marTop w:val="0"/>
      <w:marBottom w:val="0"/>
      <w:divBdr>
        <w:top w:val="none" w:sz="0" w:space="0" w:color="auto"/>
        <w:left w:val="none" w:sz="0" w:space="0" w:color="auto"/>
        <w:bottom w:val="none" w:sz="0" w:space="0" w:color="auto"/>
        <w:right w:val="none" w:sz="0" w:space="0" w:color="auto"/>
      </w:divBdr>
    </w:div>
    <w:div w:id="967785938">
      <w:bodyDiv w:val="1"/>
      <w:marLeft w:val="0"/>
      <w:marRight w:val="0"/>
      <w:marTop w:val="0"/>
      <w:marBottom w:val="0"/>
      <w:divBdr>
        <w:top w:val="none" w:sz="0" w:space="0" w:color="auto"/>
        <w:left w:val="none" w:sz="0" w:space="0" w:color="auto"/>
        <w:bottom w:val="none" w:sz="0" w:space="0" w:color="auto"/>
        <w:right w:val="none" w:sz="0" w:space="0" w:color="auto"/>
      </w:divBdr>
    </w:div>
    <w:div w:id="967786187">
      <w:bodyDiv w:val="1"/>
      <w:marLeft w:val="0"/>
      <w:marRight w:val="0"/>
      <w:marTop w:val="0"/>
      <w:marBottom w:val="0"/>
      <w:divBdr>
        <w:top w:val="none" w:sz="0" w:space="0" w:color="auto"/>
        <w:left w:val="none" w:sz="0" w:space="0" w:color="auto"/>
        <w:bottom w:val="none" w:sz="0" w:space="0" w:color="auto"/>
        <w:right w:val="none" w:sz="0" w:space="0" w:color="auto"/>
      </w:divBdr>
    </w:div>
    <w:div w:id="967928345">
      <w:bodyDiv w:val="1"/>
      <w:marLeft w:val="0"/>
      <w:marRight w:val="0"/>
      <w:marTop w:val="0"/>
      <w:marBottom w:val="0"/>
      <w:divBdr>
        <w:top w:val="none" w:sz="0" w:space="0" w:color="auto"/>
        <w:left w:val="none" w:sz="0" w:space="0" w:color="auto"/>
        <w:bottom w:val="none" w:sz="0" w:space="0" w:color="auto"/>
        <w:right w:val="none" w:sz="0" w:space="0" w:color="auto"/>
      </w:divBdr>
    </w:div>
    <w:div w:id="968167048">
      <w:bodyDiv w:val="1"/>
      <w:marLeft w:val="0"/>
      <w:marRight w:val="0"/>
      <w:marTop w:val="0"/>
      <w:marBottom w:val="0"/>
      <w:divBdr>
        <w:top w:val="none" w:sz="0" w:space="0" w:color="auto"/>
        <w:left w:val="none" w:sz="0" w:space="0" w:color="auto"/>
        <w:bottom w:val="none" w:sz="0" w:space="0" w:color="auto"/>
        <w:right w:val="none" w:sz="0" w:space="0" w:color="auto"/>
      </w:divBdr>
    </w:div>
    <w:div w:id="968243234">
      <w:bodyDiv w:val="1"/>
      <w:marLeft w:val="0"/>
      <w:marRight w:val="0"/>
      <w:marTop w:val="0"/>
      <w:marBottom w:val="0"/>
      <w:divBdr>
        <w:top w:val="none" w:sz="0" w:space="0" w:color="auto"/>
        <w:left w:val="none" w:sz="0" w:space="0" w:color="auto"/>
        <w:bottom w:val="none" w:sz="0" w:space="0" w:color="auto"/>
        <w:right w:val="none" w:sz="0" w:space="0" w:color="auto"/>
      </w:divBdr>
    </w:div>
    <w:div w:id="968360415">
      <w:bodyDiv w:val="1"/>
      <w:marLeft w:val="0"/>
      <w:marRight w:val="0"/>
      <w:marTop w:val="0"/>
      <w:marBottom w:val="0"/>
      <w:divBdr>
        <w:top w:val="none" w:sz="0" w:space="0" w:color="auto"/>
        <w:left w:val="none" w:sz="0" w:space="0" w:color="auto"/>
        <w:bottom w:val="none" w:sz="0" w:space="0" w:color="auto"/>
        <w:right w:val="none" w:sz="0" w:space="0" w:color="auto"/>
      </w:divBdr>
    </w:div>
    <w:div w:id="968706959">
      <w:bodyDiv w:val="1"/>
      <w:marLeft w:val="0"/>
      <w:marRight w:val="0"/>
      <w:marTop w:val="0"/>
      <w:marBottom w:val="0"/>
      <w:divBdr>
        <w:top w:val="none" w:sz="0" w:space="0" w:color="auto"/>
        <w:left w:val="none" w:sz="0" w:space="0" w:color="auto"/>
        <w:bottom w:val="none" w:sz="0" w:space="0" w:color="auto"/>
        <w:right w:val="none" w:sz="0" w:space="0" w:color="auto"/>
      </w:divBdr>
    </w:div>
    <w:div w:id="968902703">
      <w:bodyDiv w:val="1"/>
      <w:marLeft w:val="0"/>
      <w:marRight w:val="0"/>
      <w:marTop w:val="0"/>
      <w:marBottom w:val="0"/>
      <w:divBdr>
        <w:top w:val="none" w:sz="0" w:space="0" w:color="auto"/>
        <w:left w:val="none" w:sz="0" w:space="0" w:color="auto"/>
        <w:bottom w:val="none" w:sz="0" w:space="0" w:color="auto"/>
        <w:right w:val="none" w:sz="0" w:space="0" w:color="auto"/>
      </w:divBdr>
    </w:div>
    <w:div w:id="968903633">
      <w:bodyDiv w:val="1"/>
      <w:marLeft w:val="0"/>
      <w:marRight w:val="0"/>
      <w:marTop w:val="0"/>
      <w:marBottom w:val="0"/>
      <w:divBdr>
        <w:top w:val="none" w:sz="0" w:space="0" w:color="auto"/>
        <w:left w:val="none" w:sz="0" w:space="0" w:color="auto"/>
        <w:bottom w:val="none" w:sz="0" w:space="0" w:color="auto"/>
        <w:right w:val="none" w:sz="0" w:space="0" w:color="auto"/>
      </w:divBdr>
    </w:div>
    <w:div w:id="969627034">
      <w:bodyDiv w:val="1"/>
      <w:marLeft w:val="0"/>
      <w:marRight w:val="0"/>
      <w:marTop w:val="0"/>
      <w:marBottom w:val="0"/>
      <w:divBdr>
        <w:top w:val="none" w:sz="0" w:space="0" w:color="auto"/>
        <w:left w:val="none" w:sz="0" w:space="0" w:color="auto"/>
        <w:bottom w:val="none" w:sz="0" w:space="0" w:color="auto"/>
        <w:right w:val="none" w:sz="0" w:space="0" w:color="auto"/>
      </w:divBdr>
    </w:div>
    <w:div w:id="970130580">
      <w:bodyDiv w:val="1"/>
      <w:marLeft w:val="0"/>
      <w:marRight w:val="0"/>
      <w:marTop w:val="0"/>
      <w:marBottom w:val="0"/>
      <w:divBdr>
        <w:top w:val="none" w:sz="0" w:space="0" w:color="auto"/>
        <w:left w:val="none" w:sz="0" w:space="0" w:color="auto"/>
        <w:bottom w:val="none" w:sz="0" w:space="0" w:color="auto"/>
        <w:right w:val="none" w:sz="0" w:space="0" w:color="auto"/>
      </w:divBdr>
    </w:div>
    <w:div w:id="970598837">
      <w:bodyDiv w:val="1"/>
      <w:marLeft w:val="0"/>
      <w:marRight w:val="0"/>
      <w:marTop w:val="0"/>
      <w:marBottom w:val="0"/>
      <w:divBdr>
        <w:top w:val="none" w:sz="0" w:space="0" w:color="auto"/>
        <w:left w:val="none" w:sz="0" w:space="0" w:color="auto"/>
        <w:bottom w:val="none" w:sz="0" w:space="0" w:color="auto"/>
        <w:right w:val="none" w:sz="0" w:space="0" w:color="auto"/>
      </w:divBdr>
    </w:div>
    <w:div w:id="970748437">
      <w:bodyDiv w:val="1"/>
      <w:marLeft w:val="0"/>
      <w:marRight w:val="0"/>
      <w:marTop w:val="0"/>
      <w:marBottom w:val="0"/>
      <w:divBdr>
        <w:top w:val="none" w:sz="0" w:space="0" w:color="auto"/>
        <w:left w:val="none" w:sz="0" w:space="0" w:color="auto"/>
        <w:bottom w:val="none" w:sz="0" w:space="0" w:color="auto"/>
        <w:right w:val="none" w:sz="0" w:space="0" w:color="auto"/>
      </w:divBdr>
    </w:div>
    <w:div w:id="970789949">
      <w:bodyDiv w:val="1"/>
      <w:marLeft w:val="0"/>
      <w:marRight w:val="0"/>
      <w:marTop w:val="0"/>
      <w:marBottom w:val="0"/>
      <w:divBdr>
        <w:top w:val="none" w:sz="0" w:space="0" w:color="auto"/>
        <w:left w:val="none" w:sz="0" w:space="0" w:color="auto"/>
        <w:bottom w:val="none" w:sz="0" w:space="0" w:color="auto"/>
        <w:right w:val="none" w:sz="0" w:space="0" w:color="auto"/>
      </w:divBdr>
    </w:div>
    <w:div w:id="970861372">
      <w:bodyDiv w:val="1"/>
      <w:marLeft w:val="0"/>
      <w:marRight w:val="0"/>
      <w:marTop w:val="0"/>
      <w:marBottom w:val="0"/>
      <w:divBdr>
        <w:top w:val="none" w:sz="0" w:space="0" w:color="auto"/>
        <w:left w:val="none" w:sz="0" w:space="0" w:color="auto"/>
        <w:bottom w:val="none" w:sz="0" w:space="0" w:color="auto"/>
        <w:right w:val="none" w:sz="0" w:space="0" w:color="auto"/>
      </w:divBdr>
    </w:div>
    <w:div w:id="971331451">
      <w:bodyDiv w:val="1"/>
      <w:marLeft w:val="0"/>
      <w:marRight w:val="0"/>
      <w:marTop w:val="0"/>
      <w:marBottom w:val="0"/>
      <w:divBdr>
        <w:top w:val="none" w:sz="0" w:space="0" w:color="auto"/>
        <w:left w:val="none" w:sz="0" w:space="0" w:color="auto"/>
        <w:bottom w:val="none" w:sz="0" w:space="0" w:color="auto"/>
        <w:right w:val="none" w:sz="0" w:space="0" w:color="auto"/>
      </w:divBdr>
    </w:div>
    <w:div w:id="971398889">
      <w:bodyDiv w:val="1"/>
      <w:marLeft w:val="0"/>
      <w:marRight w:val="0"/>
      <w:marTop w:val="0"/>
      <w:marBottom w:val="0"/>
      <w:divBdr>
        <w:top w:val="none" w:sz="0" w:space="0" w:color="auto"/>
        <w:left w:val="none" w:sz="0" w:space="0" w:color="auto"/>
        <w:bottom w:val="none" w:sz="0" w:space="0" w:color="auto"/>
        <w:right w:val="none" w:sz="0" w:space="0" w:color="auto"/>
      </w:divBdr>
    </w:div>
    <w:div w:id="971445942">
      <w:bodyDiv w:val="1"/>
      <w:marLeft w:val="0"/>
      <w:marRight w:val="0"/>
      <w:marTop w:val="0"/>
      <w:marBottom w:val="0"/>
      <w:divBdr>
        <w:top w:val="none" w:sz="0" w:space="0" w:color="auto"/>
        <w:left w:val="none" w:sz="0" w:space="0" w:color="auto"/>
        <w:bottom w:val="none" w:sz="0" w:space="0" w:color="auto"/>
        <w:right w:val="none" w:sz="0" w:space="0" w:color="auto"/>
      </w:divBdr>
    </w:div>
    <w:div w:id="971592707">
      <w:bodyDiv w:val="1"/>
      <w:marLeft w:val="0"/>
      <w:marRight w:val="0"/>
      <w:marTop w:val="0"/>
      <w:marBottom w:val="0"/>
      <w:divBdr>
        <w:top w:val="none" w:sz="0" w:space="0" w:color="auto"/>
        <w:left w:val="none" w:sz="0" w:space="0" w:color="auto"/>
        <w:bottom w:val="none" w:sz="0" w:space="0" w:color="auto"/>
        <w:right w:val="none" w:sz="0" w:space="0" w:color="auto"/>
      </w:divBdr>
    </w:div>
    <w:div w:id="971596852">
      <w:bodyDiv w:val="1"/>
      <w:marLeft w:val="0"/>
      <w:marRight w:val="0"/>
      <w:marTop w:val="0"/>
      <w:marBottom w:val="0"/>
      <w:divBdr>
        <w:top w:val="none" w:sz="0" w:space="0" w:color="auto"/>
        <w:left w:val="none" w:sz="0" w:space="0" w:color="auto"/>
        <w:bottom w:val="none" w:sz="0" w:space="0" w:color="auto"/>
        <w:right w:val="none" w:sz="0" w:space="0" w:color="auto"/>
      </w:divBdr>
    </w:div>
    <w:div w:id="972102014">
      <w:bodyDiv w:val="1"/>
      <w:marLeft w:val="0"/>
      <w:marRight w:val="0"/>
      <w:marTop w:val="0"/>
      <w:marBottom w:val="0"/>
      <w:divBdr>
        <w:top w:val="none" w:sz="0" w:space="0" w:color="auto"/>
        <w:left w:val="none" w:sz="0" w:space="0" w:color="auto"/>
        <w:bottom w:val="none" w:sz="0" w:space="0" w:color="auto"/>
        <w:right w:val="none" w:sz="0" w:space="0" w:color="auto"/>
      </w:divBdr>
    </w:div>
    <w:div w:id="972104144">
      <w:bodyDiv w:val="1"/>
      <w:marLeft w:val="0"/>
      <w:marRight w:val="0"/>
      <w:marTop w:val="0"/>
      <w:marBottom w:val="0"/>
      <w:divBdr>
        <w:top w:val="none" w:sz="0" w:space="0" w:color="auto"/>
        <w:left w:val="none" w:sz="0" w:space="0" w:color="auto"/>
        <w:bottom w:val="none" w:sz="0" w:space="0" w:color="auto"/>
        <w:right w:val="none" w:sz="0" w:space="0" w:color="auto"/>
      </w:divBdr>
    </w:div>
    <w:div w:id="972177961">
      <w:bodyDiv w:val="1"/>
      <w:marLeft w:val="0"/>
      <w:marRight w:val="0"/>
      <w:marTop w:val="0"/>
      <w:marBottom w:val="0"/>
      <w:divBdr>
        <w:top w:val="none" w:sz="0" w:space="0" w:color="auto"/>
        <w:left w:val="none" w:sz="0" w:space="0" w:color="auto"/>
        <w:bottom w:val="none" w:sz="0" w:space="0" w:color="auto"/>
        <w:right w:val="none" w:sz="0" w:space="0" w:color="auto"/>
      </w:divBdr>
    </w:div>
    <w:div w:id="972178022">
      <w:bodyDiv w:val="1"/>
      <w:marLeft w:val="0"/>
      <w:marRight w:val="0"/>
      <w:marTop w:val="0"/>
      <w:marBottom w:val="0"/>
      <w:divBdr>
        <w:top w:val="none" w:sz="0" w:space="0" w:color="auto"/>
        <w:left w:val="none" w:sz="0" w:space="0" w:color="auto"/>
        <w:bottom w:val="none" w:sz="0" w:space="0" w:color="auto"/>
        <w:right w:val="none" w:sz="0" w:space="0" w:color="auto"/>
      </w:divBdr>
    </w:div>
    <w:div w:id="972637435">
      <w:bodyDiv w:val="1"/>
      <w:marLeft w:val="0"/>
      <w:marRight w:val="0"/>
      <w:marTop w:val="0"/>
      <w:marBottom w:val="0"/>
      <w:divBdr>
        <w:top w:val="none" w:sz="0" w:space="0" w:color="auto"/>
        <w:left w:val="none" w:sz="0" w:space="0" w:color="auto"/>
        <w:bottom w:val="none" w:sz="0" w:space="0" w:color="auto"/>
        <w:right w:val="none" w:sz="0" w:space="0" w:color="auto"/>
      </w:divBdr>
    </w:div>
    <w:div w:id="973023348">
      <w:bodyDiv w:val="1"/>
      <w:marLeft w:val="0"/>
      <w:marRight w:val="0"/>
      <w:marTop w:val="0"/>
      <w:marBottom w:val="0"/>
      <w:divBdr>
        <w:top w:val="none" w:sz="0" w:space="0" w:color="auto"/>
        <w:left w:val="none" w:sz="0" w:space="0" w:color="auto"/>
        <w:bottom w:val="none" w:sz="0" w:space="0" w:color="auto"/>
        <w:right w:val="none" w:sz="0" w:space="0" w:color="auto"/>
      </w:divBdr>
    </w:div>
    <w:div w:id="973830386">
      <w:bodyDiv w:val="1"/>
      <w:marLeft w:val="0"/>
      <w:marRight w:val="0"/>
      <w:marTop w:val="0"/>
      <w:marBottom w:val="0"/>
      <w:divBdr>
        <w:top w:val="none" w:sz="0" w:space="0" w:color="auto"/>
        <w:left w:val="none" w:sz="0" w:space="0" w:color="auto"/>
        <w:bottom w:val="none" w:sz="0" w:space="0" w:color="auto"/>
        <w:right w:val="none" w:sz="0" w:space="0" w:color="auto"/>
      </w:divBdr>
    </w:div>
    <w:div w:id="974021746">
      <w:bodyDiv w:val="1"/>
      <w:marLeft w:val="0"/>
      <w:marRight w:val="0"/>
      <w:marTop w:val="0"/>
      <w:marBottom w:val="0"/>
      <w:divBdr>
        <w:top w:val="none" w:sz="0" w:space="0" w:color="auto"/>
        <w:left w:val="none" w:sz="0" w:space="0" w:color="auto"/>
        <w:bottom w:val="none" w:sz="0" w:space="0" w:color="auto"/>
        <w:right w:val="none" w:sz="0" w:space="0" w:color="auto"/>
      </w:divBdr>
    </w:div>
    <w:div w:id="974025674">
      <w:bodyDiv w:val="1"/>
      <w:marLeft w:val="0"/>
      <w:marRight w:val="0"/>
      <w:marTop w:val="0"/>
      <w:marBottom w:val="0"/>
      <w:divBdr>
        <w:top w:val="none" w:sz="0" w:space="0" w:color="auto"/>
        <w:left w:val="none" w:sz="0" w:space="0" w:color="auto"/>
        <w:bottom w:val="none" w:sz="0" w:space="0" w:color="auto"/>
        <w:right w:val="none" w:sz="0" w:space="0" w:color="auto"/>
      </w:divBdr>
    </w:div>
    <w:div w:id="974214566">
      <w:bodyDiv w:val="1"/>
      <w:marLeft w:val="0"/>
      <w:marRight w:val="0"/>
      <w:marTop w:val="0"/>
      <w:marBottom w:val="0"/>
      <w:divBdr>
        <w:top w:val="none" w:sz="0" w:space="0" w:color="auto"/>
        <w:left w:val="none" w:sz="0" w:space="0" w:color="auto"/>
        <w:bottom w:val="none" w:sz="0" w:space="0" w:color="auto"/>
        <w:right w:val="none" w:sz="0" w:space="0" w:color="auto"/>
      </w:divBdr>
    </w:div>
    <w:div w:id="974260932">
      <w:bodyDiv w:val="1"/>
      <w:marLeft w:val="0"/>
      <w:marRight w:val="0"/>
      <w:marTop w:val="0"/>
      <w:marBottom w:val="0"/>
      <w:divBdr>
        <w:top w:val="none" w:sz="0" w:space="0" w:color="auto"/>
        <w:left w:val="none" w:sz="0" w:space="0" w:color="auto"/>
        <w:bottom w:val="none" w:sz="0" w:space="0" w:color="auto"/>
        <w:right w:val="none" w:sz="0" w:space="0" w:color="auto"/>
      </w:divBdr>
    </w:div>
    <w:div w:id="974335247">
      <w:bodyDiv w:val="1"/>
      <w:marLeft w:val="0"/>
      <w:marRight w:val="0"/>
      <w:marTop w:val="0"/>
      <w:marBottom w:val="0"/>
      <w:divBdr>
        <w:top w:val="none" w:sz="0" w:space="0" w:color="auto"/>
        <w:left w:val="none" w:sz="0" w:space="0" w:color="auto"/>
        <w:bottom w:val="none" w:sz="0" w:space="0" w:color="auto"/>
        <w:right w:val="none" w:sz="0" w:space="0" w:color="auto"/>
      </w:divBdr>
    </w:div>
    <w:div w:id="974792810">
      <w:bodyDiv w:val="1"/>
      <w:marLeft w:val="0"/>
      <w:marRight w:val="0"/>
      <w:marTop w:val="0"/>
      <w:marBottom w:val="0"/>
      <w:divBdr>
        <w:top w:val="none" w:sz="0" w:space="0" w:color="auto"/>
        <w:left w:val="none" w:sz="0" w:space="0" w:color="auto"/>
        <w:bottom w:val="none" w:sz="0" w:space="0" w:color="auto"/>
        <w:right w:val="none" w:sz="0" w:space="0" w:color="auto"/>
      </w:divBdr>
    </w:div>
    <w:div w:id="974916572">
      <w:bodyDiv w:val="1"/>
      <w:marLeft w:val="0"/>
      <w:marRight w:val="0"/>
      <w:marTop w:val="0"/>
      <w:marBottom w:val="0"/>
      <w:divBdr>
        <w:top w:val="none" w:sz="0" w:space="0" w:color="auto"/>
        <w:left w:val="none" w:sz="0" w:space="0" w:color="auto"/>
        <w:bottom w:val="none" w:sz="0" w:space="0" w:color="auto"/>
        <w:right w:val="none" w:sz="0" w:space="0" w:color="auto"/>
      </w:divBdr>
    </w:div>
    <w:div w:id="975257475">
      <w:bodyDiv w:val="1"/>
      <w:marLeft w:val="0"/>
      <w:marRight w:val="0"/>
      <w:marTop w:val="0"/>
      <w:marBottom w:val="0"/>
      <w:divBdr>
        <w:top w:val="none" w:sz="0" w:space="0" w:color="auto"/>
        <w:left w:val="none" w:sz="0" w:space="0" w:color="auto"/>
        <w:bottom w:val="none" w:sz="0" w:space="0" w:color="auto"/>
        <w:right w:val="none" w:sz="0" w:space="0" w:color="auto"/>
      </w:divBdr>
    </w:div>
    <w:div w:id="975377664">
      <w:bodyDiv w:val="1"/>
      <w:marLeft w:val="0"/>
      <w:marRight w:val="0"/>
      <w:marTop w:val="0"/>
      <w:marBottom w:val="0"/>
      <w:divBdr>
        <w:top w:val="none" w:sz="0" w:space="0" w:color="auto"/>
        <w:left w:val="none" w:sz="0" w:space="0" w:color="auto"/>
        <w:bottom w:val="none" w:sz="0" w:space="0" w:color="auto"/>
        <w:right w:val="none" w:sz="0" w:space="0" w:color="auto"/>
      </w:divBdr>
    </w:div>
    <w:div w:id="975454991">
      <w:bodyDiv w:val="1"/>
      <w:marLeft w:val="0"/>
      <w:marRight w:val="0"/>
      <w:marTop w:val="0"/>
      <w:marBottom w:val="0"/>
      <w:divBdr>
        <w:top w:val="none" w:sz="0" w:space="0" w:color="auto"/>
        <w:left w:val="none" w:sz="0" w:space="0" w:color="auto"/>
        <w:bottom w:val="none" w:sz="0" w:space="0" w:color="auto"/>
        <w:right w:val="none" w:sz="0" w:space="0" w:color="auto"/>
      </w:divBdr>
    </w:div>
    <w:div w:id="975600832">
      <w:bodyDiv w:val="1"/>
      <w:marLeft w:val="0"/>
      <w:marRight w:val="0"/>
      <w:marTop w:val="0"/>
      <w:marBottom w:val="0"/>
      <w:divBdr>
        <w:top w:val="none" w:sz="0" w:space="0" w:color="auto"/>
        <w:left w:val="none" w:sz="0" w:space="0" w:color="auto"/>
        <w:bottom w:val="none" w:sz="0" w:space="0" w:color="auto"/>
        <w:right w:val="none" w:sz="0" w:space="0" w:color="auto"/>
      </w:divBdr>
    </w:div>
    <w:div w:id="975600847">
      <w:bodyDiv w:val="1"/>
      <w:marLeft w:val="0"/>
      <w:marRight w:val="0"/>
      <w:marTop w:val="0"/>
      <w:marBottom w:val="0"/>
      <w:divBdr>
        <w:top w:val="none" w:sz="0" w:space="0" w:color="auto"/>
        <w:left w:val="none" w:sz="0" w:space="0" w:color="auto"/>
        <w:bottom w:val="none" w:sz="0" w:space="0" w:color="auto"/>
        <w:right w:val="none" w:sz="0" w:space="0" w:color="auto"/>
      </w:divBdr>
    </w:div>
    <w:div w:id="975765894">
      <w:bodyDiv w:val="1"/>
      <w:marLeft w:val="0"/>
      <w:marRight w:val="0"/>
      <w:marTop w:val="0"/>
      <w:marBottom w:val="0"/>
      <w:divBdr>
        <w:top w:val="none" w:sz="0" w:space="0" w:color="auto"/>
        <w:left w:val="none" w:sz="0" w:space="0" w:color="auto"/>
        <w:bottom w:val="none" w:sz="0" w:space="0" w:color="auto"/>
        <w:right w:val="none" w:sz="0" w:space="0" w:color="auto"/>
      </w:divBdr>
    </w:div>
    <w:div w:id="975913579">
      <w:bodyDiv w:val="1"/>
      <w:marLeft w:val="0"/>
      <w:marRight w:val="0"/>
      <w:marTop w:val="0"/>
      <w:marBottom w:val="0"/>
      <w:divBdr>
        <w:top w:val="none" w:sz="0" w:space="0" w:color="auto"/>
        <w:left w:val="none" w:sz="0" w:space="0" w:color="auto"/>
        <w:bottom w:val="none" w:sz="0" w:space="0" w:color="auto"/>
        <w:right w:val="none" w:sz="0" w:space="0" w:color="auto"/>
      </w:divBdr>
    </w:div>
    <w:div w:id="976034956">
      <w:bodyDiv w:val="1"/>
      <w:marLeft w:val="0"/>
      <w:marRight w:val="0"/>
      <w:marTop w:val="0"/>
      <w:marBottom w:val="0"/>
      <w:divBdr>
        <w:top w:val="none" w:sz="0" w:space="0" w:color="auto"/>
        <w:left w:val="none" w:sz="0" w:space="0" w:color="auto"/>
        <w:bottom w:val="none" w:sz="0" w:space="0" w:color="auto"/>
        <w:right w:val="none" w:sz="0" w:space="0" w:color="auto"/>
      </w:divBdr>
    </w:div>
    <w:div w:id="976298565">
      <w:bodyDiv w:val="1"/>
      <w:marLeft w:val="0"/>
      <w:marRight w:val="0"/>
      <w:marTop w:val="0"/>
      <w:marBottom w:val="0"/>
      <w:divBdr>
        <w:top w:val="none" w:sz="0" w:space="0" w:color="auto"/>
        <w:left w:val="none" w:sz="0" w:space="0" w:color="auto"/>
        <w:bottom w:val="none" w:sz="0" w:space="0" w:color="auto"/>
        <w:right w:val="none" w:sz="0" w:space="0" w:color="auto"/>
      </w:divBdr>
    </w:div>
    <w:div w:id="976493774">
      <w:bodyDiv w:val="1"/>
      <w:marLeft w:val="0"/>
      <w:marRight w:val="0"/>
      <w:marTop w:val="0"/>
      <w:marBottom w:val="0"/>
      <w:divBdr>
        <w:top w:val="none" w:sz="0" w:space="0" w:color="auto"/>
        <w:left w:val="none" w:sz="0" w:space="0" w:color="auto"/>
        <w:bottom w:val="none" w:sz="0" w:space="0" w:color="auto"/>
        <w:right w:val="none" w:sz="0" w:space="0" w:color="auto"/>
      </w:divBdr>
    </w:div>
    <w:div w:id="976687967">
      <w:bodyDiv w:val="1"/>
      <w:marLeft w:val="0"/>
      <w:marRight w:val="0"/>
      <w:marTop w:val="0"/>
      <w:marBottom w:val="0"/>
      <w:divBdr>
        <w:top w:val="none" w:sz="0" w:space="0" w:color="auto"/>
        <w:left w:val="none" w:sz="0" w:space="0" w:color="auto"/>
        <w:bottom w:val="none" w:sz="0" w:space="0" w:color="auto"/>
        <w:right w:val="none" w:sz="0" w:space="0" w:color="auto"/>
      </w:divBdr>
    </w:div>
    <w:div w:id="976689389">
      <w:bodyDiv w:val="1"/>
      <w:marLeft w:val="0"/>
      <w:marRight w:val="0"/>
      <w:marTop w:val="0"/>
      <w:marBottom w:val="0"/>
      <w:divBdr>
        <w:top w:val="none" w:sz="0" w:space="0" w:color="auto"/>
        <w:left w:val="none" w:sz="0" w:space="0" w:color="auto"/>
        <w:bottom w:val="none" w:sz="0" w:space="0" w:color="auto"/>
        <w:right w:val="none" w:sz="0" w:space="0" w:color="auto"/>
      </w:divBdr>
    </w:div>
    <w:div w:id="976691128">
      <w:bodyDiv w:val="1"/>
      <w:marLeft w:val="0"/>
      <w:marRight w:val="0"/>
      <w:marTop w:val="0"/>
      <w:marBottom w:val="0"/>
      <w:divBdr>
        <w:top w:val="none" w:sz="0" w:space="0" w:color="auto"/>
        <w:left w:val="none" w:sz="0" w:space="0" w:color="auto"/>
        <w:bottom w:val="none" w:sz="0" w:space="0" w:color="auto"/>
        <w:right w:val="none" w:sz="0" w:space="0" w:color="auto"/>
      </w:divBdr>
    </w:div>
    <w:div w:id="976959441">
      <w:bodyDiv w:val="1"/>
      <w:marLeft w:val="0"/>
      <w:marRight w:val="0"/>
      <w:marTop w:val="0"/>
      <w:marBottom w:val="0"/>
      <w:divBdr>
        <w:top w:val="none" w:sz="0" w:space="0" w:color="auto"/>
        <w:left w:val="none" w:sz="0" w:space="0" w:color="auto"/>
        <w:bottom w:val="none" w:sz="0" w:space="0" w:color="auto"/>
        <w:right w:val="none" w:sz="0" w:space="0" w:color="auto"/>
      </w:divBdr>
    </w:div>
    <w:div w:id="977221350">
      <w:bodyDiv w:val="1"/>
      <w:marLeft w:val="0"/>
      <w:marRight w:val="0"/>
      <w:marTop w:val="0"/>
      <w:marBottom w:val="0"/>
      <w:divBdr>
        <w:top w:val="none" w:sz="0" w:space="0" w:color="auto"/>
        <w:left w:val="none" w:sz="0" w:space="0" w:color="auto"/>
        <w:bottom w:val="none" w:sz="0" w:space="0" w:color="auto"/>
        <w:right w:val="none" w:sz="0" w:space="0" w:color="auto"/>
      </w:divBdr>
    </w:div>
    <w:div w:id="977493714">
      <w:bodyDiv w:val="1"/>
      <w:marLeft w:val="0"/>
      <w:marRight w:val="0"/>
      <w:marTop w:val="0"/>
      <w:marBottom w:val="0"/>
      <w:divBdr>
        <w:top w:val="none" w:sz="0" w:space="0" w:color="auto"/>
        <w:left w:val="none" w:sz="0" w:space="0" w:color="auto"/>
        <w:bottom w:val="none" w:sz="0" w:space="0" w:color="auto"/>
        <w:right w:val="none" w:sz="0" w:space="0" w:color="auto"/>
      </w:divBdr>
    </w:div>
    <w:div w:id="977615000">
      <w:bodyDiv w:val="1"/>
      <w:marLeft w:val="0"/>
      <w:marRight w:val="0"/>
      <w:marTop w:val="0"/>
      <w:marBottom w:val="0"/>
      <w:divBdr>
        <w:top w:val="none" w:sz="0" w:space="0" w:color="auto"/>
        <w:left w:val="none" w:sz="0" w:space="0" w:color="auto"/>
        <w:bottom w:val="none" w:sz="0" w:space="0" w:color="auto"/>
        <w:right w:val="none" w:sz="0" w:space="0" w:color="auto"/>
      </w:divBdr>
    </w:div>
    <w:div w:id="977953811">
      <w:bodyDiv w:val="1"/>
      <w:marLeft w:val="0"/>
      <w:marRight w:val="0"/>
      <w:marTop w:val="0"/>
      <w:marBottom w:val="0"/>
      <w:divBdr>
        <w:top w:val="none" w:sz="0" w:space="0" w:color="auto"/>
        <w:left w:val="none" w:sz="0" w:space="0" w:color="auto"/>
        <w:bottom w:val="none" w:sz="0" w:space="0" w:color="auto"/>
        <w:right w:val="none" w:sz="0" w:space="0" w:color="auto"/>
      </w:divBdr>
    </w:div>
    <w:div w:id="978068790">
      <w:bodyDiv w:val="1"/>
      <w:marLeft w:val="0"/>
      <w:marRight w:val="0"/>
      <w:marTop w:val="0"/>
      <w:marBottom w:val="0"/>
      <w:divBdr>
        <w:top w:val="none" w:sz="0" w:space="0" w:color="auto"/>
        <w:left w:val="none" w:sz="0" w:space="0" w:color="auto"/>
        <w:bottom w:val="none" w:sz="0" w:space="0" w:color="auto"/>
        <w:right w:val="none" w:sz="0" w:space="0" w:color="auto"/>
      </w:divBdr>
    </w:div>
    <w:div w:id="978218857">
      <w:bodyDiv w:val="1"/>
      <w:marLeft w:val="0"/>
      <w:marRight w:val="0"/>
      <w:marTop w:val="0"/>
      <w:marBottom w:val="0"/>
      <w:divBdr>
        <w:top w:val="none" w:sz="0" w:space="0" w:color="auto"/>
        <w:left w:val="none" w:sz="0" w:space="0" w:color="auto"/>
        <w:bottom w:val="none" w:sz="0" w:space="0" w:color="auto"/>
        <w:right w:val="none" w:sz="0" w:space="0" w:color="auto"/>
      </w:divBdr>
    </w:div>
    <w:div w:id="978222328">
      <w:bodyDiv w:val="1"/>
      <w:marLeft w:val="0"/>
      <w:marRight w:val="0"/>
      <w:marTop w:val="0"/>
      <w:marBottom w:val="0"/>
      <w:divBdr>
        <w:top w:val="none" w:sz="0" w:space="0" w:color="auto"/>
        <w:left w:val="none" w:sz="0" w:space="0" w:color="auto"/>
        <w:bottom w:val="none" w:sz="0" w:space="0" w:color="auto"/>
        <w:right w:val="none" w:sz="0" w:space="0" w:color="auto"/>
      </w:divBdr>
    </w:div>
    <w:div w:id="978343766">
      <w:bodyDiv w:val="1"/>
      <w:marLeft w:val="0"/>
      <w:marRight w:val="0"/>
      <w:marTop w:val="0"/>
      <w:marBottom w:val="0"/>
      <w:divBdr>
        <w:top w:val="none" w:sz="0" w:space="0" w:color="auto"/>
        <w:left w:val="none" w:sz="0" w:space="0" w:color="auto"/>
        <w:bottom w:val="none" w:sz="0" w:space="0" w:color="auto"/>
        <w:right w:val="none" w:sz="0" w:space="0" w:color="auto"/>
      </w:divBdr>
    </w:div>
    <w:div w:id="978457890">
      <w:bodyDiv w:val="1"/>
      <w:marLeft w:val="0"/>
      <w:marRight w:val="0"/>
      <w:marTop w:val="0"/>
      <w:marBottom w:val="0"/>
      <w:divBdr>
        <w:top w:val="none" w:sz="0" w:space="0" w:color="auto"/>
        <w:left w:val="none" w:sz="0" w:space="0" w:color="auto"/>
        <w:bottom w:val="none" w:sz="0" w:space="0" w:color="auto"/>
        <w:right w:val="none" w:sz="0" w:space="0" w:color="auto"/>
      </w:divBdr>
    </w:div>
    <w:div w:id="978461469">
      <w:bodyDiv w:val="1"/>
      <w:marLeft w:val="0"/>
      <w:marRight w:val="0"/>
      <w:marTop w:val="0"/>
      <w:marBottom w:val="0"/>
      <w:divBdr>
        <w:top w:val="none" w:sz="0" w:space="0" w:color="auto"/>
        <w:left w:val="none" w:sz="0" w:space="0" w:color="auto"/>
        <w:bottom w:val="none" w:sz="0" w:space="0" w:color="auto"/>
        <w:right w:val="none" w:sz="0" w:space="0" w:color="auto"/>
      </w:divBdr>
    </w:div>
    <w:div w:id="978535474">
      <w:bodyDiv w:val="1"/>
      <w:marLeft w:val="0"/>
      <w:marRight w:val="0"/>
      <w:marTop w:val="0"/>
      <w:marBottom w:val="0"/>
      <w:divBdr>
        <w:top w:val="none" w:sz="0" w:space="0" w:color="auto"/>
        <w:left w:val="none" w:sz="0" w:space="0" w:color="auto"/>
        <w:bottom w:val="none" w:sz="0" w:space="0" w:color="auto"/>
        <w:right w:val="none" w:sz="0" w:space="0" w:color="auto"/>
      </w:divBdr>
    </w:div>
    <w:div w:id="978656202">
      <w:bodyDiv w:val="1"/>
      <w:marLeft w:val="0"/>
      <w:marRight w:val="0"/>
      <w:marTop w:val="0"/>
      <w:marBottom w:val="0"/>
      <w:divBdr>
        <w:top w:val="none" w:sz="0" w:space="0" w:color="auto"/>
        <w:left w:val="none" w:sz="0" w:space="0" w:color="auto"/>
        <w:bottom w:val="none" w:sz="0" w:space="0" w:color="auto"/>
        <w:right w:val="none" w:sz="0" w:space="0" w:color="auto"/>
      </w:divBdr>
    </w:div>
    <w:div w:id="978724526">
      <w:bodyDiv w:val="1"/>
      <w:marLeft w:val="0"/>
      <w:marRight w:val="0"/>
      <w:marTop w:val="0"/>
      <w:marBottom w:val="0"/>
      <w:divBdr>
        <w:top w:val="none" w:sz="0" w:space="0" w:color="auto"/>
        <w:left w:val="none" w:sz="0" w:space="0" w:color="auto"/>
        <w:bottom w:val="none" w:sz="0" w:space="0" w:color="auto"/>
        <w:right w:val="none" w:sz="0" w:space="0" w:color="auto"/>
      </w:divBdr>
    </w:div>
    <w:div w:id="979308747">
      <w:bodyDiv w:val="1"/>
      <w:marLeft w:val="0"/>
      <w:marRight w:val="0"/>
      <w:marTop w:val="0"/>
      <w:marBottom w:val="0"/>
      <w:divBdr>
        <w:top w:val="none" w:sz="0" w:space="0" w:color="auto"/>
        <w:left w:val="none" w:sz="0" w:space="0" w:color="auto"/>
        <w:bottom w:val="none" w:sz="0" w:space="0" w:color="auto"/>
        <w:right w:val="none" w:sz="0" w:space="0" w:color="auto"/>
      </w:divBdr>
    </w:div>
    <w:div w:id="979460175">
      <w:bodyDiv w:val="1"/>
      <w:marLeft w:val="0"/>
      <w:marRight w:val="0"/>
      <w:marTop w:val="0"/>
      <w:marBottom w:val="0"/>
      <w:divBdr>
        <w:top w:val="none" w:sz="0" w:space="0" w:color="auto"/>
        <w:left w:val="none" w:sz="0" w:space="0" w:color="auto"/>
        <w:bottom w:val="none" w:sz="0" w:space="0" w:color="auto"/>
        <w:right w:val="none" w:sz="0" w:space="0" w:color="auto"/>
      </w:divBdr>
    </w:div>
    <w:div w:id="979655930">
      <w:bodyDiv w:val="1"/>
      <w:marLeft w:val="0"/>
      <w:marRight w:val="0"/>
      <w:marTop w:val="0"/>
      <w:marBottom w:val="0"/>
      <w:divBdr>
        <w:top w:val="none" w:sz="0" w:space="0" w:color="auto"/>
        <w:left w:val="none" w:sz="0" w:space="0" w:color="auto"/>
        <w:bottom w:val="none" w:sz="0" w:space="0" w:color="auto"/>
        <w:right w:val="none" w:sz="0" w:space="0" w:color="auto"/>
      </w:divBdr>
    </w:div>
    <w:div w:id="979843813">
      <w:bodyDiv w:val="1"/>
      <w:marLeft w:val="0"/>
      <w:marRight w:val="0"/>
      <w:marTop w:val="0"/>
      <w:marBottom w:val="0"/>
      <w:divBdr>
        <w:top w:val="none" w:sz="0" w:space="0" w:color="auto"/>
        <w:left w:val="none" w:sz="0" w:space="0" w:color="auto"/>
        <w:bottom w:val="none" w:sz="0" w:space="0" w:color="auto"/>
        <w:right w:val="none" w:sz="0" w:space="0" w:color="auto"/>
      </w:divBdr>
    </w:div>
    <w:div w:id="979918801">
      <w:bodyDiv w:val="1"/>
      <w:marLeft w:val="0"/>
      <w:marRight w:val="0"/>
      <w:marTop w:val="0"/>
      <w:marBottom w:val="0"/>
      <w:divBdr>
        <w:top w:val="none" w:sz="0" w:space="0" w:color="auto"/>
        <w:left w:val="none" w:sz="0" w:space="0" w:color="auto"/>
        <w:bottom w:val="none" w:sz="0" w:space="0" w:color="auto"/>
        <w:right w:val="none" w:sz="0" w:space="0" w:color="auto"/>
      </w:divBdr>
    </w:div>
    <w:div w:id="979925525">
      <w:bodyDiv w:val="1"/>
      <w:marLeft w:val="0"/>
      <w:marRight w:val="0"/>
      <w:marTop w:val="0"/>
      <w:marBottom w:val="0"/>
      <w:divBdr>
        <w:top w:val="none" w:sz="0" w:space="0" w:color="auto"/>
        <w:left w:val="none" w:sz="0" w:space="0" w:color="auto"/>
        <w:bottom w:val="none" w:sz="0" w:space="0" w:color="auto"/>
        <w:right w:val="none" w:sz="0" w:space="0" w:color="auto"/>
      </w:divBdr>
    </w:div>
    <w:div w:id="980501025">
      <w:bodyDiv w:val="1"/>
      <w:marLeft w:val="0"/>
      <w:marRight w:val="0"/>
      <w:marTop w:val="0"/>
      <w:marBottom w:val="0"/>
      <w:divBdr>
        <w:top w:val="none" w:sz="0" w:space="0" w:color="auto"/>
        <w:left w:val="none" w:sz="0" w:space="0" w:color="auto"/>
        <w:bottom w:val="none" w:sz="0" w:space="0" w:color="auto"/>
        <w:right w:val="none" w:sz="0" w:space="0" w:color="auto"/>
      </w:divBdr>
    </w:div>
    <w:div w:id="980695493">
      <w:bodyDiv w:val="1"/>
      <w:marLeft w:val="0"/>
      <w:marRight w:val="0"/>
      <w:marTop w:val="0"/>
      <w:marBottom w:val="0"/>
      <w:divBdr>
        <w:top w:val="none" w:sz="0" w:space="0" w:color="auto"/>
        <w:left w:val="none" w:sz="0" w:space="0" w:color="auto"/>
        <w:bottom w:val="none" w:sz="0" w:space="0" w:color="auto"/>
        <w:right w:val="none" w:sz="0" w:space="0" w:color="auto"/>
      </w:divBdr>
    </w:div>
    <w:div w:id="980697506">
      <w:bodyDiv w:val="1"/>
      <w:marLeft w:val="0"/>
      <w:marRight w:val="0"/>
      <w:marTop w:val="0"/>
      <w:marBottom w:val="0"/>
      <w:divBdr>
        <w:top w:val="none" w:sz="0" w:space="0" w:color="auto"/>
        <w:left w:val="none" w:sz="0" w:space="0" w:color="auto"/>
        <w:bottom w:val="none" w:sz="0" w:space="0" w:color="auto"/>
        <w:right w:val="none" w:sz="0" w:space="0" w:color="auto"/>
      </w:divBdr>
    </w:div>
    <w:div w:id="980966089">
      <w:bodyDiv w:val="1"/>
      <w:marLeft w:val="0"/>
      <w:marRight w:val="0"/>
      <w:marTop w:val="0"/>
      <w:marBottom w:val="0"/>
      <w:divBdr>
        <w:top w:val="none" w:sz="0" w:space="0" w:color="auto"/>
        <w:left w:val="none" w:sz="0" w:space="0" w:color="auto"/>
        <w:bottom w:val="none" w:sz="0" w:space="0" w:color="auto"/>
        <w:right w:val="none" w:sz="0" w:space="0" w:color="auto"/>
      </w:divBdr>
    </w:div>
    <w:div w:id="981469424">
      <w:bodyDiv w:val="1"/>
      <w:marLeft w:val="0"/>
      <w:marRight w:val="0"/>
      <w:marTop w:val="0"/>
      <w:marBottom w:val="0"/>
      <w:divBdr>
        <w:top w:val="none" w:sz="0" w:space="0" w:color="auto"/>
        <w:left w:val="none" w:sz="0" w:space="0" w:color="auto"/>
        <w:bottom w:val="none" w:sz="0" w:space="0" w:color="auto"/>
        <w:right w:val="none" w:sz="0" w:space="0" w:color="auto"/>
      </w:divBdr>
    </w:div>
    <w:div w:id="982197579">
      <w:bodyDiv w:val="1"/>
      <w:marLeft w:val="0"/>
      <w:marRight w:val="0"/>
      <w:marTop w:val="0"/>
      <w:marBottom w:val="0"/>
      <w:divBdr>
        <w:top w:val="none" w:sz="0" w:space="0" w:color="auto"/>
        <w:left w:val="none" w:sz="0" w:space="0" w:color="auto"/>
        <w:bottom w:val="none" w:sz="0" w:space="0" w:color="auto"/>
        <w:right w:val="none" w:sz="0" w:space="0" w:color="auto"/>
      </w:divBdr>
    </w:div>
    <w:div w:id="982277177">
      <w:bodyDiv w:val="1"/>
      <w:marLeft w:val="0"/>
      <w:marRight w:val="0"/>
      <w:marTop w:val="0"/>
      <w:marBottom w:val="0"/>
      <w:divBdr>
        <w:top w:val="none" w:sz="0" w:space="0" w:color="auto"/>
        <w:left w:val="none" w:sz="0" w:space="0" w:color="auto"/>
        <w:bottom w:val="none" w:sz="0" w:space="0" w:color="auto"/>
        <w:right w:val="none" w:sz="0" w:space="0" w:color="auto"/>
      </w:divBdr>
    </w:div>
    <w:div w:id="982544352">
      <w:bodyDiv w:val="1"/>
      <w:marLeft w:val="0"/>
      <w:marRight w:val="0"/>
      <w:marTop w:val="0"/>
      <w:marBottom w:val="0"/>
      <w:divBdr>
        <w:top w:val="none" w:sz="0" w:space="0" w:color="auto"/>
        <w:left w:val="none" w:sz="0" w:space="0" w:color="auto"/>
        <w:bottom w:val="none" w:sz="0" w:space="0" w:color="auto"/>
        <w:right w:val="none" w:sz="0" w:space="0" w:color="auto"/>
      </w:divBdr>
    </w:div>
    <w:div w:id="982731947">
      <w:bodyDiv w:val="1"/>
      <w:marLeft w:val="0"/>
      <w:marRight w:val="0"/>
      <w:marTop w:val="0"/>
      <w:marBottom w:val="0"/>
      <w:divBdr>
        <w:top w:val="none" w:sz="0" w:space="0" w:color="auto"/>
        <w:left w:val="none" w:sz="0" w:space="0" w:color="auto"/>
        <w:bottom w:val="none" w:sz="0" w:space="0" w:color="auto"/>
        <w:right w:val="none" w:sz="0" w:space="0" w:color="auto"/>
      </w:divBdr>
    </w:div>
    <w:div w:id="982931041">
      <w:bodyDiv w:val="1"/>
      <w:marLeft w:val="0"/>
      <w:marRight w:val="0"/>
      <w:marTop w:val="0"/>
      <w:marBottom w:val="0"/>
      <w:divBdr>
        <w:top w:val="none" w:sz="0" w:space="0" w:color="auto"/>
        <w:left w:val="none" w:sz="0" w:space="0" w:color="auto"/>
        <w:bottom w:val="none" w:sz="0" w:space="0" w:color="auto"/>
        <w:right w:val="none" w:sz="0" w:space="0" w:color="auto"/>
      </w:divBdr>
    </w:div>
    <w:div w:id="983697230">
      <w:bodyDiv w:val="1"/>
      <w:marLeft w:val="0"/>
      <w:marRight w:val="0"/>
      <w:marTop w:val="0"/>
      <w:marBottom w:val="0"/>
      <w:divBdr>
        <w:top w:val="none" w:sz="0" w:space="0" w:color="auto"/>
        <w:left w:val="none" w:sz="0" w:space="0" w:color="auto"/>
        <w:bottom w:val="none" w:sz="0" w:space="0" w:color="auto"/>
        <w:right w:val="none" w:sz="0" w:space="0" w:color="auto"/>
      </w:divBdr>
    </w:div>
    <w:div w:id="983967327">
      <w:bodyDiv w:val="1"/>
      <w:marLeft w:val="0"/>
      <w:marRight w:val="0"/>
      <w:marTop w:val="0"/>
      <w:marBottom w:val="0"/>
      <w:divBdr>
        <w:top w:val="none" w:sz="0" w:space="0" w:color="auto"/>
        <w:left w:val="none" w:sz="0" w:space="0" w:color="auto"/>
        <w:bottom w:val="none" w:sz="0" w:space="0" w:color="auto"/>
        <w:right w:val="none" w:sz="0" w:space="0" w:color="auto"/>
      </w:divBdr>
    </w:div>
    <w:div w:id="984504464">
      <w:bodyDiv w:val="1"/>
      <w:marLeft w:val="0"/>
      <w:marRight w:val="0"/>
      <w:marTop w:val="0"/>
      <w:marBottom w:val="0"/>
      <w:divBdr>
        <w:top w:val="none" w:sz="0" w:space="0" w:color="auto"/>
        <w:left w:val="none" w:sz="0" w:space="0" w:color="auto"/>
        <w:bottom w:val="none" w:sz="0" w:space="0" w:color="auto"/>
        <w:right w:val="none" w:sz="0" w:space="0" w:color="auto"/>
      </w:divBdr>
    </w:div>
    <w:div w:id="984968357">
      <w:bodyDiv w:val="1"/>
      <w:marLeft w:val="0"/>
      <w:marRight w:val="0"/>
      <w:marTop w:val="0"/>
      <w:marBottom w:val="0"/>
      <w:divBdr>
        <w:top w:val="none" w:sz="0" w:space="0" w:color="auto"/>
        <w:left w:val="none" w:sz="0" w:space="0" w:color="auto"/>
        <w:bottom w:val="none" w:sz="0" w:space="0" w:color="auto"/>
        <w:right w:val="none" w:sz="0" w:space="0" w:color="auto"/>
      </w:divBdr>
    </w:div>
    <w:div w:id="985086815">
      <w:bodyDiv w:val="1"/>
      <w:marLeft w:val="0"/>
      <w:marRight w:val="0"/>
      <w:marTop w:val="0"/>
      <w:marBottom w:val="0"/>
      <w:divBdr>
        <w:top w:val="none" w:sz="0" w:space="0" w:color="auto"/>
        <w:left w:val="none" w:sz="0" w:space="0" w:color="auto"/>
        <w:bottom w:val="none" w:sz="0" w:space="0" w:color="auto"/>
        <w:right w:val="none" w:sz="0" w:space="0" w:color="auto"/>
      </w:divBdr>
    </w:div>
    <w:div w:id="985209870">
      <w:bodyDiv w:val="1"/>
      <w:marLeft w:val="0"/>
      <w:marRight w:val="0"/>
      <w:marTop w:val="0"/>
      <w:marBottom w:val="0"/>
      <w:divBdr>
        <w:top w:val="none" w:sz="0" w:space="0" w:color="auto"/>
        <w:left w:val="none" w:sz="0" w:space="0" w:color="auto"/>
        <w:bottom w:val="none" w:sz="0" w:space="0" w:color="auto"/>
        <w:right w:val="none" w:sz="0" w:space="0" w:color="auto"/>
      </w:divBdr>
    </w:div>
    <w:div w:id="985472359">
      <w:bodyDiv w:val="1"/>
      <w:marLeft w:val="0"/>
      <w:marRight w:val="0"/>
      <w:marTop w:val="0"/>
      <w:marBottom w:val="0"/>
      <w:divBdr>
        <w:top w:val="none" w:sz="0" w:space="0" w:color="auto"/>
        <w:left w:val="none" w:sz="0" w:space="0" w:color="auto"/>
        <w:bottom w:val="none" w:sz="0" w:space="0" w:color="auto"/>
        <w:right w:val="none" w:sz="0" w:space="0" w:color="auto"/>
      </w:divBdr>
    </w:div>
    <w:div w:id="985474903">
      <w:bodyDiv w:val="1"/>
      <w:marLeft w:val="0"/>
      <w:marRight w:val="0"/>
      <w:marTop w:val="0"/>
      <w:marBottom w:val="0"/>
      <w:divBdr>
        <w:top w:val="none" w:sz="0" w:space="0" w:color="auto"/>
        <w:left w:val="none" w:sz="0" w:space="0" w:color="auto"/>
        <w:bottom w:val="none" w:sz="0" w:space="0" w:color="auto"/>
        <w:right w:val="none" w:sz="0" w:space="0" w:color="auto"/>
      </w:divBdr>
    </w:div>
    <w:div w:id="985741748">
      <w:bodyDiv w:val="1"/>
      <w:marLeft w:val="0"/>
      <w:marRight w:val="0"/>
      <w:marTop w:val="0"/>
      <w:marBottom w:val="0"/>
      <w:divBdr>
        <w:top w:val="none" w:sz="0" w:space="0" w:color="auto"/>
        <w:left w:val="none" w:sz="0" w:space="0" w:color="auto"/>
        <w:bottom w:val="none" w:sz="0" w:space="0" w:color="auto"/>
        <w:right w:val="none" w:sz="0" w:space="0" w:color="auto"/>
      </w:divBdr>
    </w:div>
    <w:div w:id="985859527">
      <w:bodyDiv w:val="1"/>
      <w:marLeft w:val="0"/>
      <w:marRight w:val="0"/>
      <w:marTop w:val="0"/>
      <w:marBottom w:val="0"/>
      <w:divBdr>
        <w:top w:val="none" w:sz="0" w:space="0" w:color="auto"/>
        <w:left w:val="none" w:sz="0" w:space="0" w:color="auto"/>
        <w:bottom w:val="none" w:sz="0" w:space="0" w:color="auto"/>
        <w:right w:val="none" w:sz="0" w:space="0" w:color="auto"/>
      </w:divBdr>
    </w:div>
    <w:div w:id="986007570">
      <w:bodyDiv w:val="1"/>
      <w:marLeft w:val="0"/>
      <w:marRight w:val="0"/>
      <w:marTop w:val="0"/>
      <w:marBottom w:val="0"/>
      <w:divBdr>
        <w:top w:val="none" w:sz="0" w:space="0" w:color="auto"/>
        <w:left w:val="none" w:sz="0" w:space="0" w:color="auto"/>
        <w:bottom w:val="none" w:sz="0" w:space="0" w:color="auto"/>
        <w:right w:val="none" w:sz="0" w:space="0" w:color="auto"/>
      </w:divBdr>
    </w:div>
    <w:div w:id="986014094">
      <w:bodyDiv w:val="1"/>
      <w:marLeft w:val="0"/>
      <w:marRight w:val="0"/>
      <w:marTop w:val="0"/>
      <w:marBottom w:val="0"/>
      <w:divBdr>
        <w:top w:val="none" w:sz="0" w:space="0" w:color="auto"/>
        <w:left w:val="none" w:sz="0" w:space="0" w:color="auto"/>
        <w:bottom w:val="none" w:sz="0" w:space="0" w:color="auto"/>
        <w:right w:val="none" w:sz="0" w:space="0" w:color="auto"/>
      </w:divBdr>
    </w:div>
    <w:div w:id="986130049">
      <w:bodyDiv w:val="1"/>
      <w:marLeft w:val="0"/>
      <w:marRight w:val="0"/>
      <w:marTop w:val="0"/>
      <w:marBottom w:val="0"/>
      <w:divBdr>
        <w:top w:val="none" w:sz="0" w:space="0" w:color="auto"/>
        <w:left w:val="none" w:sz="0" w:space="0" w:color="auto"/>
        <w:bottom w:val="none" w:sz="0" w:space="0" w:color="auto"/>
        <w:right w:val="none" w:sz="0" w:space="0" w:color="auto"/>
      </w:divBdr>
    </w:div>
    <w:div w:id="986130254">
      <w:bodyDiv w:val="1"/>
      <w:marLeft w:val="0"/>
      <w:marRight w:val="0"/>
      <w:marTop w:val="0"/>
      <w:marBottom w:val="0"/>
      <w:divBdr>
        <w:top w:val="none" w:sz="0" w:space="0" w:color="auto"/>
        <w:left w:val="none" w:sz="0" w:space="0" w:color="auto"/>
        <w:bottom w:val="none" w:sz="0" w:space="0" w:color="auto"/>
        <w:right w:val="none" w:sz="0" w:space="0" w:color="auto"/>
      </w:divBdr>
    </w:div>
    <w:div w:id="986395259">
      <w:bodyDiv w:val="1"/>
      <w:marLeft w:val="0"/>
      <w:marRight w:val="0"/>
      <w:marTop w:val="0"/>
      <w:marBottom w:val="0"/>
      <w:divBdr>
        <w:top w:val="none" w:sz="0" w:space="0" w:color="auto"/>
        <w:left w:val="none" w:sz="0" w:space="0" w:color="auto"/>
        <w:bottom w:val="none" w:sz="0" w:space="0" w:color="auto"/>
        <w:right w:val="none" w:sz="0" w:space="0" w:color="auto"/>
      </w:divBdr>
    </w:div>
    <w:div w:id="986592957">
      <w:bodyDiv w:val="1"/>
      <w:marLeft w:val="0"/>
      <w:marRight w:val="0"/>
      <w:marTop w:val="0"/>
      <w:marBottom w:val="0"/>
      <w:divBdr>
        <w:top w:val="none" w:sz="0" w:space="0" w:color="auto"/>
        <w:left w:val="none" w:sz="0" w:space="0" w:color="auto"/>
        <w:bottom w:val="none" w:sz="0" w:space="0" w:color="auto"/>
        <w:right w:val="none" w:sz="0" w:space="0" w:color="auto"/>
      </w:divBdr>
    </w:div>
    <w:div w:id="986907286">
      <w:bodyDiv w:val="1"/>
      <w:marLeft w:val="0"/>
      <w:marRight w:val="0"/>
      <w:marTop w:val="0"/>
      <w:marBottom w:val="0"/>
      <w:divBdr>
        <w:top w:val="none" w:sz="0" w:space="0" w:color="auto"/>
        <w:left w:val="none" w:sz="0" w:space="0" w:color="auto"/>
        <w:bottom w:val="none" w:sz="0" w:space="0" w:color="auto"/>
        <w:right w:val="none" w:sz="0" w:space="0" w:color="auto"/>
      </w:divBdr>
    </w:div>
    <w:div w:id="987172342">
      <w:bodyDiv w:val="1"/>
      <w:marLeft w:val="0"/>
      <w:marRight w:val="0"/>
      <w:marTop w:val="0"/>
      <w:marBottom w:val="0"/>
      <w:divBdr>
        <w:top w:val="none" w:sz="0" w:space="0" w:color="auto"/>
        <w:left w:val="none" w:sz="0" w:space="0" w:color="auto"/>
        <w:bottom w:val="none" w:sz="0" w:space="0" w:color="auto"/>
        <w:right w:val="none" w:sz="0" w:space="0" w:color="auto"/>
      </w:divBdr>
    </w:div>
    <w:div w:id="987318883">
      <w:bodyDiv w:val="1"/>
      <w:marLeft w:val="0"/>
      <w:marRight w:val="0"/>
      <w:marTop w:val="0"/>
      <w:marBottom w:val="0"/>
      <w:divBdr>
        <w:top w:val="none" w:sz="0" w:space="0" w:color="auto"/>
        <w:left w:val="none" w:sz="0" w:space="0" w:color="auto"/>
        <w:bottom w:val="none" w:sz="0" w:space="0" w:color="auto"/>
        <w:right w:val="none" w:sz="0" w:space="0" w:color="auto"/>
      </w:divBdr>
    </w:div>
    <w:div w:id="987444318">
      <w:bodyDiv w:val="1"/>
      <w:marLeft w:val="0"/>
      <w:marRight w:val="0"/>
      <w:marTop w:val="0"/>
      <w:marBottom w:val="0"/>
      <w:divBdr>
        <w:top w:val="none" w:sz="0" w:space="0" w:color="auto"/>
        <w:left w:val="none" w:sz="0" w:space="0" w:color="auto"/>
        <w:bottom w:val="none" w:sz="0" w:space="0" w:color="auto"/>
        <w:right w:val="none" w:sz="0" w:space="0" w:color="auto"/>
      </w:divBdr>
    </w:div>
    <w:div w:id="988291032">
      <w:bodyDiv w:val="1"/>
      <w:marLeft w:val="0"/>
      <w:marRight w:val="0"/>
      <w:marTop w:val="0"/>
      <w:marBottom w:val="0"/>
      <w:divBdr>
        <w:top w:val="none" w:sz="0" w:space="0" w:color="auto"/>
        <w:left w:val="none" w:sz="0" w:space="0" w:color="auto"/>
        <w:bottom w:val="none" w:sz="0" w:space="0" w:color="auto"/>
        <w:right w:val="none" w:sz="0" w:space="0" w:color="auto"/>
      </w:divBdr>
    </w:div>
    <w:div w:id="988437463">
      <w:bodyDiv w:val="1"/>
      <w:marLeft w:val="0"/>
      <w:marRight w:val="0"/>
      <w:marTop w:val="0"/>
      <w:marBottom w:val="0"/>
      <w:divBdr>
        <w:top w:val="none" w:sz="0" w:space="0" w:color="auto"/>
        <w:left w:val="none" w:sz="0" w:space="0" w:color="auto"/>
        <w:bottom w:val="none" w:sz="0" w:space="0" w:color="auto"/>
        <w:right w:val="none" w:sz="0" w:space="0" w:color="auto"/>
      </w:divBdr>
    </w:div>
    <w:div w:id="989287075">
      <w:bodyDiv w:val="1"/>
      <w:marLeft w:val="0"/>
      <w:marRight w:val="0"/>
      <w:marTop w:val="0"/>
      <w:marBottom w:val="0"/>
      <w:divBdr>
        <w:top w:val="none" w:sz="0" w:space="0" w:color="auto"/>
        <w:left w:val="none" w:sz="0" w:space="0" w:color="auto"/>
        <w:bottom w:val="none" w:sz="0" w:space="0" w:color="auto"/>
        <w:right w:val="none" w:sz="0" w:space="0" w:color="auto"/>
      </w:divBdr>
    </w:div>
    <w:div w:id="989358321">
      <w:bodyDiv w:val="1"/>
      <w:marLeft w:val="0"/>
      <w:marRight w:val="0"/>
      <w:marTop w:val="0"/>
      <w:marBottom w:val="0"/>
      <w:divBdr>
        <w:top w:val="none" w:sz="0" w:space="0" w:color="auto"/>
        <w:left w:val="none" w:sz="0" w:space="0" w:color="auto"/>
        <w:bottom w:val="none" w:sz="0" w:space="0" w:color="auto"/>
        <w:right w:val="none" w:sz="0" w:space="0" w:color="auto"/>
      </w:divBdr>
    </w:div>
    <w:div w:id="989557294">
      <w:bodyDiv w:val="1"/>
      <w:marLeft w:val="0"/>
      <w:marRight w:val="0"/>
      <w:marTop w:val="0"/>
      <w:marBottom w:val="0"/>
      <w:divBdr>
        <w:top w:val="none" w:sz="0" w:space="0" w:color="auto"/>
        <w:left w:val="none" w:sz="0" w:space="0" w:color="auto"/>
        <w:bottom w:val="none" w:sz="0" w:space="0" w:color="auto"/>
        <w:right w:val="none" w:sz="0" w:space="0" w:color="auto"/>
      </w:divBdr>
    </w:div>
    <w:div w:id="989821459">
      <w:bodyDiv w:val="1"/>
      <w:marLeft w:val="0"/>
      <w:marRight w:val="0"/>
      <w:marTop w:val="0"/>
      <w:marBottom w:val="0"/>
      <w:divBdr>
        <w:top w:val="none" w:sz="0" w:space="0" w:color="auto"/>
        <w:left w:val="none" w:sz="0" w:space="0" w:color="auto"/>
        <w:bottom w:val="none" w:sz="0" w:space="0" w:color="auto"/>
        <w:right w:val="none" w:sz="0" w:space="0" w:color="auto"/>
      </w:divBdr>
    </w:div>
    <w:div w:id="990061612">
      <w:bodyDiv w:val="1"/>
      <w:marLeft w:val="0"/>
      <w:marRight w:val="0"/>
      <w:marTop w:val="0"/>
      <w:marBottom w:val="0"/>
      <w:divBdr>
        <w:top w:val="none" w:sz="0" w:space="0" w:color="auto"/>
        <w:left w:val="none" w:sz="0" w:space="0" w:color="auto"/>
        <w:bottom w:val="none" w:sz="0" w:space="0" w:color="auto"/>
        <w:right w:val="none" w:sz="0" w:space="0" w:color="auto"/>
      </w:divBdr>
    </w:div>
    <w:div w:id="990139521">
      <w:bodyDiv w:val="1"/>
      <w:marLeft w:val="0"/>
      <w:marRight w:val="0"/>
      <w:marTop w:val="0"/>
      <w:marBottom w:val="0"/>
      <w:divBdr>
        <w:top w:val="none" w:sz="0" w:space="0" w:color="auto"/>
        <w:left w:val="none" w:sz="0" w:space="0" w:color="auto"/>
        <w:bottom w:val="none" w:sz="0" w:space="0" w:color="auto"/>
        <w:right w:val="none" w:sz="0" w:space="0" w:color="auto"/>
      </w:divBdr>
    </w:div>
    <w:div w:id="990213141">
      <w:bodyDiv w:val="1"/>
      <w:marLeft w:val="0"/>
      <w:marRight w:val="0"/>
      <w:marTop w:val="0"/>
      <w:marBottom w:val="0"/>
      <w:divBdr>
        <w:top w:val="none" w:sz="0" w:space="0" w:color="auto"/>
        <w:left w:val="none" w:sz="0" w:space="0" w:color="auto"/>
        <w:bottom w:val="none" w:sz="0" w:space="0" w:color="auto"/>
        <w:right w:val="none" w:sz="0" w:space="0" w:color="auto"/>
      </w:divBdr>
    </w:div>
    <w:div w:id="990718505">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0909574">
      <w:bodyDiv w:val="1"/>
      <w:marLeft w:val="0"/>
      <w:marRight w:val="0"/>
      <w:marTop w:val="0"/>
      <w:marBottom w:val="0"/>
      <w:divBdr>
        <w:top w:val="none" w:sz="0" w:space="0" w:color="auto"/>
        <w:left w:val="none" w:sz="0" w:space="0" w:color="auto"/>
        <w:bottom w:val="none" w:sz="0" w:space="0" w:color="auto"/>
        <w:right w:val="none" w:sz="0" w:space="0" w:color="auto"/>
      </w:divBdr>
    </w:div>
    <w:div w:id="990988708">
      <w:bodyDiv w:val="1"/>
      <w:marLeft w:val="0"/>
      <w:marRight w:val="0"/>
      <w:marTop w:val="0"/>
      <w:marBottom w:val="0"/>
      <w:divBdr>
        <w:top w:val="none" w:sz="0" w:space="0" w:color="auto"/>
        <w:left w:val="none" w:sz="0" w:space="0" w:color="auto"/>
        <w:bottom w:val="none" w:sz="0" w:space="0" w:color="auto"/>
        <w:right w:val="none" w:sz="0" w:space="0" w:color="auto"/>
      </w:divBdr>
    </w:div>
    <w:div w:id="991368352">
      <w:bodyDiv w:val="1"/>
      <w:marLeft w:val="0"/>
      <w:marRight w:val="0"/>
      <w:marTop w:val="0"/>
      <w:marBottom w:val="0"/>
      <w:divBdr>
        <w:top w:val="none" w:sz="0" w:space="0" w:color="auto"/>
        <w:left w:val="none" w:sz="0" w:space="0" w:color="auto"/>
        <w:bottom w:val="none" w:sz="0" w:space="0" w:color="auto"/>
        <w:right w:val="none" w:sz="0" w:space="0" w:color="auto"/>
      </w:divBdr>
    </w:div>
    <w:div w:id="991637288">
      <w:bodyDiv w:val="1"/>
      <w:marLeft w:val="0"/>
      <w:marRight w:val="0"/>
      <w:marTop w:val="0"/>
      <w:marBottom w:val="0"/>
      <w:divBdr>
        <w:top w:val="none" w:sz="0" w:space="0" w:color="auto"/>
        <w:left w:val="none" w:sz="0" w:space="0" w:color="auto"/>
        <w:bottom w:val="none" w:sz="0" w:space="0" w:color="auto"/>
        <w:right w:val="none" w:sz="0" w:space="0" w:color="auto"/>
      </w:divBdr>
    </w:div>
    <w:div w:id="991713060">
      <w:bodyDiv w:val="1"/>
      <w:marLeft w:val="0"/>
      <w:marRight w:val="0"/>
      <w:marTop w:val="0"/>
      <w:marBottom w:val="0"/>
      <w:divBdr>
        <w:top w:val="none" w:sz="0" w:space="0" w:color="auto"/>
        <w:left w:val="none" w:sz="0" w:space="0" w:color="auto"/>
        <w:bottom w:val="none" w:sz="0" w:space="0" w:color="auto"/>
        <w:right w:val="none" w:sz="0" w:space="0" w:color="auto"/>
      </w:divBdr>
    </w:div>
    <w:div w:id="992100551">
      <w:bodyDiv w:val="1"/>
      <w:marLeft w:val="0"/>
      <w:marRight w:val="0"/>
      <w:marTop w:val="0"/>
      <w:marBottom w:val="0"/>
      <w:divBdr>
        <w:top w:val="none" w:sz="0" w:space="0" w:color="auto"/>
        <w:left w:val="none" w:sz="0" w:space="0" w:color="auto"/>
        <w:bottom w:val="none" w:sz="0" w:space="0" w:color="auto"/>
        <w:right w:val="none" w:sz="0" w:space="0" w:color="auto"/>
      </w:divBdr>
    </w:div>
    <w:div w:id="992181020">
      <w:bodyDiv w:val="1"/>
      <w:marLeft w:val="0"/>
      <w:marRight w:val="0"/>
      <w:marTop w:val="0"/>
      <w:marBottom w:val="0"/>
      <w:divBdr>
        <w:top w:val="none" w:sz="0" w:space="0" w:color="auto"/>
        <w:left w:val="none" w:sz="0" w:space="0" w:color="auto"/>
        <w:bottom w:val="none" w:sz="0" w:space="0" w:color="auto"/>
        <w:right w:val="none" w:sz="0" w:space="0" w:color="auto"/>
      </w:divBdr>
    </w:div>
    <w:div w:id="992216114">
      <w:bodyDiv w:val="1"/>
      <w:marLeft w:val="0"/>
      <w:marRight w:val="0"/>
      <w:marTop w:val="0"/>
      <w:marBottom w:val="0"/>
      <w:divBdr>
        <w:top w:val="none" w:sz="0" w:space="0" w:color="auto"/>
        <w:left w:val="none" w:sz="0" w:space="0" w:color="auto"/>
        <w:bottom w:val="none" w:sz="0" w:space="0" w:color="auto"/>
        <w:right w:val="none" w:sz="0" w:space="0" w:color="auto"/>
      </w:divBdr>
    </w:div>
    <w:div w:id="992294775">
      <w:bodyDiv w:val="1"/>
      <w:marLeft w:val="0"/>
      <w:marRight w:val="0"/>
      <w:marTop w:val="0"/>
      <w:marBottom w:val="0"/>
      <w:divBdr>
        <w:top w:val="none" w:sz="0" w:space="0" w:color="auto"/>
        <w:left w:val="none" w:sz="0" w:space="0" w:color="auto"/>
        <w:bottom w:val="none" w:sz="0" w:space="0" w:color="auto"/>
        <w:right w:val="none" w:sz="0" w:space="0" w:color="auto"/>
      </w:divBdr>
    </w:div>
    <w:div w:id="992374455">
      <w:bodyDiv w:val="1"/>
      <w:marLeft w:val="0"/>
      <w:marRight w:val="0"/>
      <w:marTop w:val="0"/>
      <w:marBottom w:val="0"/>
      <w:divBdr>
        <w:top w:val="none" w:sz="0" w:space="0" w:color="auto"/>
        <w:left w:val="none" w:sz="0" w:space="0" w:color="auto"/>
        <w:bottom w:val="none" w:sz="0" w:space="0" w:color="auto"/>
        <w:right w:val="none" w:sz="0" w:space="0" w:color="auto"/>
      </w:divBdr>
    </w:div>
    <w:div w:id="992485953">
      <w:bodyDiv w:val="1"/>
      <w:marLeft w:val="0"/>
      <w:marRight w:val="0"/>
      <w:marTop w:val="0"/>
      <w:marBottom w:val="0"/>
      <w:divBdr>
        <w:top w:val="none" w:sz="0" w:space="0" w:color="auto"/>
        <w:left w:val="none" w:sz="0" w:space="0" w:color="auto"/>
        <w:bottom w:val="none" w:sz="0" w:space="0" w:color="auto"/>
        <w:right w:val="none" w:sz="0" w:space="0" w:color="auto"/>
      </w:divBdr>
    </w:div>
    <w:div w:id="992636595">
      <w:bodyDiv w:val="1"/>
      <w:marLeft w:val="0"/>
      <w:marRight w:val="0"/>
      <w:marTop w:val="0"/>
      <w:marBottom w:val="0"/>
      <w:divBdr>
        <w:top w:val="none" w:sz="0" w:space="0" w:color="auto"/>
        <w:left w:val="none" w:sz="0" w:space="0" w:color="auto"/>
        <w:bottom w:val="none" w:sz="0" w:space="0" w:color="auto"/>
        <w:right w:val="none" w:sz="0" w:space="0" w:color="auto"/>
      </w:divBdr>
    </w:div>
    <w:div w:id="993068979">
      <w:bodyDiv w:val="1"/>
      <w:marLeft w:val="0"/>
      <w:marRight w:val="0"/>
      <w:marTop w:val="0"/>
      <w:marBottom w:val="0"/>
      <w:divBdr>
        <w:top w:val="none" w:sz="0" w:space="0" w:color="auto"/>
        <w:left w:val="none" w:sz="0" w:space="0" w:color="auto"/>
        <w:bottom w:val="none" w:sz="0" w:space="0" w:color="auto"/>
        <w:right w:val="none" w:sz="0" w:space="0" w:color="auto"/>
      </w:divBdr>
    </w:div>
    <w:div w:id="993139670">
      <w:bodyDiv w:val="1"/>
      <w:marLeft w:val="0"/>
      <w:marRight w:val="0"/>
      <w:marTop w:val="0"/>
      <w:marBottom w:val="0"/>
      <w:divBdr>
        <w:top w:val="none" w:sz="0" w:space="0" w:color="auto"/>
        <w:left w:val="none" w:sz="0" w:space="0" w:color="auto"/>
        <w:bottom w:val="none" w:sz="0" w:space="0" w:color="auto"/>
        <w:right w:val="none" w:sz="0" w:space="0" w:color="auto"/>
      </w:divBdr>
    </w:div>
    <w:div w:id="993140657">
      <w:bodyDiv w:val="1"/>
      <w:marLeft w:val="0"/>
      <w:marRight w:val="0"/>
      <w:marTop w:val="0"/>
      <w:marBottom w:val="0"/>
      <w:divBdr>
        <w:top w:val="none" w:sz="0" w:space="0" w:color="auto"/>
        <w:left w:val="none" w:sz="0" w:space="0" w:color="auto"/>
        <w:bottom w:val="none" w:sz="0" w:space="0" w:color="auto"/>
        <w:right w:val="none" w:sz="0" w:space="0" w:color="auto"/>
      </w:divBdr>
    </w:div>
    <w:div w:id="993529293">
      <w:bodyDiv w:val="1"/>
      <w:marLeft w:val="0"/>
      <w:marRight w:val="0"/>
      <w:marTop w:val="0"/>
      <w:marBottom w:val="0"/>
      <w:divBdr>
        <w:top w:val="none" w:sz="0" w:space="0" w:color="auto"/>
        <w:left w:val="none" w:sz="0" w:space="0" w:color="auto"/>
        <w:bottom w:val="none" w:sz="0" w:space="0" w:color="auto"/>
        <w:right w:val="none" w:sz="0" w:space="0" w:color="auto"/>
      </w:divBdr>
    </w:div>
    <w:div w:id="993608576">
      <w:bodyDiv w:val="1"/>
      <w:marLeft w:val="0"/>
      <w:marRight w:val="0"/>
      <w:marTop w:val="0"/>
      <w:marBottom w:val="0"/>
      <w:divBdr>
        <w:top w:val="none" w:sz="0" w:space="0" w:color="auto"/>
        <w:left w:val="none" w:sz="0" w:space="0" w:color="auto"/>
        <w:bottom w:val="none" w:sz="0" w:space="0" w:color="auto"/>
        <w:right w:val="none" w:sz="0" w:space="0" w:color="auto"/>
      </w:divBdr>
    </w:div>
    <w:div w:id="993727325">
      <w:bodyDiv w:val="1"/>
      <w:marLeft w:val="0"/>
      <w:marRight w:val="0"/>
      <w:marTop w:val="0"/>
      <w:marBottom w:val="0"/>
      <w:divBdr>
        <w:top w:val="none" w:sz="0" w:space="0" w:color="auto"/>
        <w:left w:val="none" w:sz="0" w:space="0" w:color="auto"/>
        <w:bottom w:val="none" w:sz="0" w:space="0" w:color="auto"/>
        <w:right w:val="none" w:sz="0" w:space="0" w:color="auto"/>
      </w:divBdr>
    </w:div>
    <w:div w:id="993727660">
      <w:bodyDiv w:val="1"/>
      <w:marLeft w:val="0"/>
      <w:marRight w:val="0"/>
      <w:marTop w:val="0"/>
      <w:marBottom w:val="0"/>
      <w:divBdr>
        <w:top w:val="none" w:sz="0" w:space="0" w:color="auto"/>
        <w:left w:val="none" w:sz="0" w:space="0" w:color="auto"/>
        <w:bottom w:val="none" w:sz="0" w:space="0" w:color="auto"/>
        <w:right w:val="none" w:sz="0" w:space="0" w:color="auto"/>
      </w:divBdr>
    </w:div>
    <w:div w:id="993754400">
      <w:bodyDiv w:val="1"/>
      <w:marLeft w:val="0"/>
      <w:marRight w:val="0"/>
      <w:marTop w:val="0"/>
      <w:marBottom w:val="0"/>
      <w:divBdr>
        <w:top w:val="none" w:sz="0" w:space="0" w:color="auto"/>
        <w:left w:val="none" w:sz="0" w:space="0" w:color="auto"/>
        <w:bottom w:val="none" w:sz="0" w:space="0" w:color="auto"/>
        <w:right w:val="none" w:sz="0" w:space="0" w:color="auto"/>
      </w:divBdr>
    </w:div>
    <w:div w:id="993950028">
      <w:bodyDiv w:val="1"/>
      <w:marLeft w:val="0"/>
      <w:marRight w:val="0"/>
      <w:marTop w:val="0"/>
      <w:marBottom w:val="0"/>
      <w:divBdr>
        <w:top w:val="none" w:sz="0" w:space="0" w:color="auto"/>
        <w:left w:val="none" w:sz="0" w:space="0" w:color="auto"/>
        <w:bottom w:val="none" w:sz="0" w:space="0" w:color="auto"/>
        <w:right w:val="none" w:sz="0" w:space="0" w:color="auto"/>
      </w:divBdr>
    </w:div>
    <w:div w:id="994795951">
      <w:bodyDiv w:val="1"/>
      <w:marLeft w:val="0"/>
      <w:marRight w:val="0"/>
      <w:marTop w:val="0"/>
      <w:marBottom w:val="0"/>
      <w:divBdr>
        <w:top w:val="none" w:sz="0" w:space="0" w:color="auto"/>
        <w:left w:val="none" w:sz="0" w:space="0" w:color="auto"/>
        <w:bottom w:val="none" w:sz="0" w:space="0" w:color="auto"/>
        <w:right w:val="none" w:sz="0" w:space="0" w:color="auto"/>
      </w:divBdr>
    </w:div>
    <w:div w:id="994801264">
      <w:bodyDiv w:val="1"/>
      <w:marLeft w:val="0"/>
      <w:marRight w:val="0"/>
      <w:marTop w:val="0"/>
      <w:marBottom w:val="0"/>
      <w:divBdr>
        <w:top w:val="none" w:sz="0" w:space="0" w:color="auto"/>
        <w:left w:val="none" w:sz="0" w:space="0" w:color="auto"/>
        <w:bottom w:val="none" w:sz="0" w:space="0" w:color="auto"/>
        <w:right w:val="none" w:sz="0" w:space="0" w:color="auto"/>
      </w:divBdr>
    </w:div>
    <w:div w:id="994837517">
      <w:bodyDiv w:val="1"/>
      <w:marLeft w:val="0"/>
      <w:marRight w:val="0"/>
      <w:marTop w:val="0"/>
      <w:marBottom w:val="0"/>
      <w:divBdr>
        <w:top w:val="none" w:sz="0" w:space="0" w:color="auto"/>
        <w:left w:val="none" w:sz="0" w:space="0" w:color="auto"/>
        <w:bottom w:val="none" w:sz="0" w:space="0" w:color="auto"/>
        <w:right w:val="none" w:sz="0" w:space="0" w:color="auto"/>
      </w:divBdr>
    </w:div>
    <w:div w:id="994918387">
      <w:bodyDiv w:val="1"/>
      <w:marLeft w:val="0"/>
      <w:marRight w:val="0"/>
      <w:marTop w:val="0"/>
      <w:marBottom w:val="0"/>
      <w:divBdr>
        <w:top w:val="none" w:sz="0" w:space="0" w:color="auto"/>
        <w:left w:val="none" w:sz="0" w:space="0" w:color="auto"/>
        <w:bottom w:val="none" w:sz="0" w:space="0" w:color="auto"/>
        <w:right w:val="none" w:sz="0" w:space="0" w:color="auto"/>
      </w:divBdr>
    </w:div>
    <w:div w:id="994919243">
      <w:bodyDiv w:val="1"/>
      <w:marLeft w:val="0"/>
      <w:marRight w:val="0"/>
      <w:marTop w:val="0"/>
      <w:marBottom w:val="0"/>
      <w:divBdr>
        <w:top w:val="none" w:sz="0" w:space="0" w:color="auto"/>
        <w:left w:val="none" w:sz="0" w:space="0" w:color="auto"/>
        <w:bottom w:val="none" w:sz="0" w:space="0" w:color="auto"/>
        <w:right w:val="none" w:sz="0" w:space="0" w:color="auto"/>
      </w:divBdr>
    </w:div>
    <w:div w:id="994992480">
      <w:bodyDiv w:val="1"/>
      <w:marLeft w:val="0"/>
      <w:marRight w:val="0"/>
      <w:marTop w:val="0"/>
      <w:marBottom w:val="0"/>
      <w:divBdr>
        <w:top w:val="none" w:sz="0" w:space="0" w:color="auto"/>
        <w:left w:val="none" w:sz="0" w:space="0" w:color="auto"/>
        <w:bottom w:val="none" w:sz="0" w:space="0" w:color="auto"/>
        <w:right w:val="none" w:sz="0" w:space="0" w:color="auto"/>
      </w:divBdr>
    </w:div>
    <w:div w:id="995260685">
      <w:bodyDiv w:val="1"/>
      <w:marLeft w:val="0"/>
      <w:marRight w:val="0"/>
      <w:marTop w:val="0"/>
      <w:marBottom w:val="0"/>
      <w:divBdr>
        <w:top w:val="none" w:sz="0" w:space="0" w:color="auto"/>
        <w:left w:val="none" w:sz="0" w:space="0" w:color="auto"/>
        <w:bottom w:val="none" w:sz="0" w:space="0" w:color="auto"/>
        <w:right w:val="none" w:sz="0" w:space="0" w:color="auto"/>
      </w:divBdr>
    </w:div>
    <w:div w:id="995299298">
      <w:bodyDiv w:val="1"/>
      <w:marLeft w:val="0"/>
      <w:marRight w:val="0"/>
      <w:marTop w:val="0"/>
      <w:marBottom w:val="0"/>
      <w:divBdr>
        <w:top w:val="none" w:sz="0" w:space="0" w:color="auto"/>
        <w:left w:val="none" w:sz="0" w:space="0" w:color="auto"/>
        <w:bottom w:val="none" w:sz="0" w:space="0" w:color="auto"/>
        <w:right w:val="none" w:sz="0" w:space="0" w:color="auto"/>
      </w:divBdr>
    </w:div>
    <w:div w:id="995452212">
      <w:bodyDiv w:val="1"/>
      <w:marLeft w:val="0"/>
      <w:marRight w:val="0"/>
      <w:marTop w:val="0"/>
      <w:marBottom w:val="0"/>
      <w:divBdr>
        <w:top w:val="none" w:sz="0" w:space="0" w:color="auto"/>
        <w:left w:val="none" w:sz="0" w:space="0" w:color="auto"/>
        <w:bottom w:val="none" w:sz="0" w:space="0" w:color="auto"/>
        <w:right w:val="none" w:sz="0" w:space="0" w:color="auto"/>
      </w:divBdr>
    </w:div>
    <w:div w:id="995760540">
      <w:bodyDiv w:val="1"/>
      <w:marLeft w:val="0"/>
      <w:marRight w:val="0"/>
      <w:marTop w:val="0"/>
      <w:marBottom w:val="0"/>
      <w:divBdr>
        <w:top w:val="none" w:sz="0" w:space="0" w:color="auto"/>
        <w:left w:val="none" w:sz="0" w:space="0" w:color="auto"/>
        <w:bottom w:val="none" w:sz="0" w:space="0" w:color="auto"/>
        <w:right w:val="none" w:sz="0" w:space="0" w:color="auto"/>
      </w:divBdr>
    </w:div>
    <w:div w:id="996112682">
      <w:bodyDiv w:val="1"/>
      <w:marLeft w:val="0"/>
      <w:marRight w:val="0"/>
      <w:marTop w:val="0"/>
      <w:marBottom w:val="0"/>
      <w:divBdr>
        <w:top w:val="none" w:sz="0" w:space="0" w:color="auto"/>
        <w:left w:val="none" w:sz="0" w:space="0" w:color="auto"/>
        <w:bottom w:val="none" w:sz="0" w:space="0" w:color="auto"/>
        <w:right w:val="none" w:sz="0" w:space="0" w:color="auto"/>
      </w:divBdr>
    </w:div>
    <w:div w:id="996148432">
      <w:bodyDiv w:val="1"/>
      <w:marLeft w:val="0"/>
      <w:marRight w:val="0"/>
      <w:marTop w:val="0"/>
      <w:marBottom w:val="0"/>
      <w:divBdr>
        <w:top w:val="none" w:sz="0" w:space="0" w:color="auto"/>
        <w:left w:val="none" w:sz="0" w:space="0" w:color="auto"/>
        <w:bottom w:val="none" w:sz="0" w:space="0" w:color="auto"/>
        <w:right w:val="none" w:sz="0" w:space="0" w:color="auto"/>
      </w:divBdr>
    </w:div>
    <w:div w:id="996303747">
      <w:bodyDiv w:val="1"/>
      <w:marLeft w:val="0"/>
      <w:marRight w:val="0"/>
      <w:marTop w:val="0"/>
      <w:marBottom w:val="0"/>
      <w:divBdr>
        <w:top w:val="none" w:sz="0" w:space="0" w:color="auto"/>
        <w:left w:val="none" w:sz="0" w:space="0" w:color="auto"/>
        <w:bottom w:val="none" w:sz="0" w:space="0" w:color="auto"/>
        <w:right w:val="none" w:sz="0" w:space="0" w:color="auto"/>
      </w:divBdr>
    </w:div>
    <w:div w:id="996373375">
      <w:bodyDiv w:val="1"/>
      <w:marLeft w:val="0"/>
      <w:marRight w:val="0"/>
      <w:marTop w:val="0"/>
      <w:marBottom w:val="0"/>
      <w:divBdr>
        <w:top w:val="none" w:sz="0" w:space="0" w:color="auto"/>
        <w:left w:val="none" w:sz="0" w:space="0" w:color="auto"/>
        <w:bottom w:val="none" w:sz="0" w:space="0" w:color="auto"/>
        <w:right w:val="none" w:sz="0" w:space="0" w:color="auto"/>
      </w:divBdr>
    </w:div>
    <w:div w:id="996424151">
      <w:bodyDiv w:val="1"/>
      <w:marLeft w:val="0"/>
      <w:marRight w:val="0"/>
      <w:marTop w:val="0"/>
      <w:marBottom w:val="0"/>
      <w:divBdr>
        <w:top w:val="none" w:sz="0" w:space="0" w:color="auto"/>
        <w:left w:val="none" w:sz="0" w:space="0" w:color="auto"/>
        <w:bottom w:val="none" w:sz="0" w:space="0" w:color="auto"/>
        <w:right w:val="none" w:sz="0" w:space="0" w:color="auto"/>
      </w:divBdr>
    </w:div>
    <w:div w:id="996763391">
      <w:bodyDiv w:val="1"/>
      <w:marLeft w:val="0"/>
      <w:marRight w:val="0"/>
      <w:marTop w:val="0"/>
      <w:marBottom w:val="0"/>
      <w:divBdr>
        <w:top w:val="none" w:sz="0" w:space="0" w:color="auto"/>
        <w:left w:val="none" w:sz="0" w:space="0" w:color="auto"/>
        <w:bottom w:val="none" w:sz="0" w:space="0" w:color="auto"/>
        <w:right w:val="none" w:sz="0" w:space="0" w:color="auto"/>
      </w:divBdr>
    </w:div>
    <w:div w:id="996768305">
      <w:bodyDiv w:val="1"/>
      <w:marLeft w:val="0"/>
      <w:marRight w:val="0"/>
      <w:marTop w:val="0"/>
      <w:marBottom w:val="0"/>
      <w:divBdr>
        <w:top w:val="none" w:sz="0" w:space="0" w:color="auto"/>
        <w:left w:val="none" w:sz="0" w:space="0" w:color="auto"/>
        <w:bottom w:val="none" w:sz="0" w:space="0" w:color="auto"/>
        <w:right w:val="none" w:sz="0" w:space="0" w:color="auto"/>
      </w:divBdr>
    </w:div>
    <w:div w:id="997030077">
      <w:bodyDiv w:val="1"/>
      <w:marLeft w:val="0"/>
      <w:marRight w:val="0"/>
      <w:marTop w:val="0"/>
      <w:marBottom w:val="0"/>
      <w:divBdr>
        <w:top w:val="none" w:sz="0" w:space="0" w:color="auto"/>
        <w:left w:val="none" w:sz="0" w:space="0" w:color="auto"/>
        <w:bottom w:val="none" w:sz="0" w:space="0" w:color="auto"/>
        <w:right w:val="none" w:sz="0" w:space="0" w:color="auto"/>
      </w:divBdr>
    </w:div>
    <w:div w:id="997537362">
      <w:bodyDiv w:val="1"/>
      <w:marLeft w:val="0"/>
      <w:marRight w:val="0"/>
      <w:marTop w:val="0"/>
      <w:marBottom w:val="0"/>
      <w:divBdr>
        <w:top w:val="none" w:sz="0" w:space="0" w:color="auto"/>
        <w:left w:val="none" w:sz="0" w:space="0" w:color="auto"/>
        <w:bottom w:val="none" w:sz="0" w:space="0" w:color="auto"/>
        <w:right w:val="none" w:sz="0" w:space="0" w:color="auto"/>
      </w:divBdr>
    </w:div>
    <w:div w:id="997617940">
      <w:bodyDiv w:val="1"/>
      <w:marLeft w:val="0"/>
      <w:marRight w:val="0"/>
      <w:marTop w:val="0"/>
      <w:marBottom w:val="0"/>
      <w:divBdr>
        <w:top w:val="none" w:sz="0" w:space="0" w:color="auto"/>
        <w:left w:val="none" w:sz="0" w:space="0" w:color="auto"/>
        <w:bottom w:val="none" w:sz="0" w:space="0" w:color="auto"/>
        <w:right w:val="none" w:sz="0" w:space="0" w:color="auto"/>
      </w:divBdr>
    </w:div>
    <w:div w:id="997882171">
      <w:bodyDiv w:val="1"/>
      <w:marLeft w:val="0"/>
      <w:marRight w:val="0"/>
      <w:marTop w:val="0"/>
      <w:marBottom w:val="0"/>
      <w:divBdr>
        <w:top w:val="none" w:sz="0" w:space="0" w:color="auto"/>
        <w:left w:val="none" w:sz="0" w:space="0" w:color="auto"/>
        <w:bottom w:val="none" w:sz="0" w:space="0" w:color="auto"/>
        <w:right w:val="none" w:sz="0" w:space="0" w:color="auto"/>
      </w:divBdr>
    </w:div>
    <w:div w:id="998266190">
      <w:bodyDiv w:val="1"/>
      <w:marLeft w:val="0"/>
      <w:marRight w:val="0"/>
      <w:marTop w:val="0"/>
      <w:marBottom w:val="0"/>
      <w:divBdr>
        <w:top w:val="none" w:sz="0" w:space="0" w:color="auto"/>
        <w:left w:val="none" w:sz="0" w:space="0" w:color="auto"/>
        <w:bottom w:val="none" w:sz="0" w:space="0" w:color="auto"/>
        <w:right w:val="none" w:sz="0" w:space="0" w:color="auto"/>
      </w:divBdr>
    </w:div>
    <w:div w:id="998579883">
      <w:bodyDiv w:val="1"/>
      <w:marLeft w:val="0"/>
      <w:marRight w:val="0"/>
      <w:marTop w:val="0"/>
      <w:marBottom w:val="0"/>
      <w:divBdr>
        <w:top w:val="none" w:sz="0" w:space="0" w:color="auto"/>
        <w:left w:val="none" w:sz="0" w:space="0" w:color="auto"/>
        <w:bottom w:val="none" w:sz="0" w:space="0" w:color="auto"/>
        <w:right w:val="none" w:sz="0" w:space="0" w:color="auto"/>
      </w:divBdr>
    </w:div>
    <w:div w:id="998920791">
      <w:bodyDiv w:val="1"/>
      <w:marLeft w:val="0"/>
      <w:marRight w:val="0"/>
      <w:marTop w:val="0"/>
      <w:marBottom w:val="0"/>
      <w:divBdr>
        <w:top w:val="none" w:sz="0" w:space="0" w:color="auto"/>
        <w:left w:val="none" w:sz="0" w:space="0" w:color="auto"/>
        <w:bottom w:val="none" w:sz="0" w:space="0" w:color="auto"/>
        <w:right w:val="none" w:sz="0" w:space="0" w:color="auto"/>
      </w:divBdr>
    </w:div>
    <w:div w:id="999380821">
      <w:bodyDiv w:val="1"/>
      <w:marLeft w:val="0"/>
      <w:marRight w:val="0"/>
      <w:marTop w:val="0"/>
      <w:marBottom w:val="0"/>
      <w:divBdr>
        <w:top w:val="none" w:sz="0" w:space="0" w:color="auto"/>
        <w:left w:val="none" w:sz="0" w:space="0" w:color="auto"/>
        <w:bottom w:val="none" w:sz="0" w:space="0" w:color="auto"/>
        <w:right w:val="none" w:sz="0" w:space="0" w:color="auto"/>
      </w:divBdr>
    </w:div>
    <w:div w:id="999427229">
      <w:bodyDiv w:val="1"/>
      <w:marLeft w:val="0"/>
      <w:marRight w:val="0"/>
      <w:marTop w:val="0"/>
      <w:marBottom w:val="0"/>
      <w:divBdr>
        <w:top w:val="none" w:sz="0" w:space="0" w:color="auto"/>
        <w:left w:val="none" w:sz="0" w:space="0" w:color="auto"/>
        <w:bottom w:val="none" w:sz="0" w:space="0" w:color="auto"/>
        <w:right w:val="none" w:sz="0" w:space="0" w:color="auto"/>
      </w:divBdr>
    </w:div>
    <w:div w:id="999432839">
      <w:bodyDiv w:val="1"/>
      <w:marLeft w:val="0"/>
      <w:marRight w:val="0"/>
      <w:marTop w:val="0"/>
      <w:marBottom w:val="0"/>
      <w:divBdr>
        <w:top w:val="none" w:sz="0" w:space="0" w:color="auto"/>
        <w:left w:val="none" w:sz="0" w:space="0" w:color="auto"/>
        <w:bottom w:val="none" w:sz="0" w:space="0" w:color="auto"/>
        <w:right w:val="none" w:sz="0" w:space="0" w:color="auto"/>
      </w:divBdr>
    </w:div>
    <w:div w:id="1000043344">
      <w:bodyDiv w:val="1"/>
      <w:marLeft w:val="0"/>
      <w:marRight w:val="0"/>
      <w:marTop w:val="0"/>
      <w:marBottom w:val="0"/>
      <w:divBdr>
        <w:top w:val="none" w:sz="0" w:space="0" w:color="auto"/>
        <w:left w:val="none" w:sz="0" w:space="0" w:color="auto"/>
        <w:bottom w:val="none" w:sz="0" w:space="0" w:color="auto"/>
        <w:right w:val="none" w:sz="0" w:space="0" w:color="auto"/>
      </w:divBdr>
    </w:div>
    <w:div w:id="1000111498">
      <w:bodyDiv w:val="1"/>
      <w:marLeft w:val="0"/>
      <w:marRight w:val="0"/>
      <w:marTop w:val="0"/>
      <w:marBottom w:val="0"/>
      <w:divBdr>
        <w:top w:val="none" w:sz="0" w:space="0" w:color="auto"/>
        <w:left w:val="none" w:sz="0" w:space="0" w:color="auto"/>
        <w:bottom w:val="none" w:sz="0" w:space="0" w:color="auto"/>
        <w:right w:val="none" w:sz="0" w:space="0" w:color="auto"/>
      </w:divBdr>
    </w:div>
    <w:div w:id="1000154826">
      <w:bodyDiv w:val="1"/>
      <w:marLeft w:val="0"/>
      <w:marRight w:val="0"/>
      <w:marTop w:val="0"/>
      <w:marBottom w:val="0"/>
      <w:divBdr>
        <w:top w:val="none" w:sz="0" w:space="0" w:color="auto"/>
        <w:left w:val="none" w:sz="0" w:space="0" w:color="auto"/>
        <w:bottom w:val="none" w:sz="0" w:space="0" w:color="auto"/>
        <w:right w:val="none" w:sz="0" w:space="0" w:color="auto"/>
      </w:divBdr>
    </w:div>
    <w:div w:id="1000158455">
      <w:bodyDiv w:val="1"/>
      <w:marLeft w:val="0"/>
      <w:marRight w:val="0"/>
      <w:marTop w:val="0"/>
      <w:marBottom w:val="0"/>
      <w:divBdr>
        <w:top w:val="none" w:sz="0" w:space="0" w:color="auto"/>
        <w:left w:val="none" w:sz="0" w:space="0" w:color="auto"/>
        <w:bottom w:val="none" w:sz="0" w:space="0" w:color="auto"/>
        <w:right w:val="none" w:sz="0" w:space="0" w:color="auto"/>
      </w:divBdr>
    </w:div>
    <w:div w:id="1000350656">
      <w:bodyDiv w:val="1"/>
      <w:marLeft w:val="0"/>
      <w:marRight w:val="0"/>
      <w:marTop w:val="0"/>
      <w:marBottom w:val="0"/>
      <w:divBdr>
        <w:top w:val="none" w:sz="0" w:space="0" w:color="auto"/>
        <w:left w:val="none" w:sz="0" w:space="0" w:color="auto"/>
        <w:bottom w:val="none" w:sz="0" w:space="0" w:color="auto"/>
        <w:right w:val="none" w:sz="0" w:space="0" w:color="auto"/>
      </w:divBdr>
    </w:div>
    <w:div w:id="1000617284">
      <w:bodyDiv w:val="1"/>
      <w:marLeft w:val="0"/>
      <w:marRight w:val="0"/>
      <w:marTop w:val="0"/>
      <w:marBottom w:val="0"/>
      <w:divBdr>
        <w:top w:val="none" w:sz="0" w:space="0" w:color="auto"/>
        <w:left w:val="none" w:sz="0" w:space="0" w:color="auto"/>
        <w:bottom w:val="none" w:sz="0" w:space="0" w:color="auto"/>
        <w:right w:val="none" w:sz="0" w:space="0" w:color="auto"/>
      </w:divBdr>
    </w:div>
    <w:div w:id="1000699802">
      <w:bodyDiv w:val="1"/>
      <w:marLeft w:val="0"/>
      <w:marRight w:val="0"/>
      <w:marTop w:val="0"/>
      <w:marBottom w:val="0"/>
      <w:divBdr>
        <w:top w:val="none" w:sz="0" w:space="0" w:color="auto"/>
        <w:left w:val="none" w:sz="0" w:space="0" w:color="auto"/>
        <w:bottom w:val="none" w:sz="0" w:space="0" w:color="auto"/>
        <w:right w:val="none" w:sz="0" w:space="0" w:color="auto"/>
      </w:divBdr>
    </w:div>
    <w:div w:id="1000736112">
      <w:bodyDiv w:val="1"/>
      <w:marLeft w:val="0"/>
      <w:marRight w:val="0"/>
      <w:marTop w:val="0"/>
      <w:marBottom w:val="0"/>
      <w:divBdr>
        <w:top w:val="none" w:sz="0" w:space="0" w:color="auto"/>
        <w:left w:val="none" w:sz="0" w:space="0" w:color="auto"/>
        <w:bottom w:val="none" w:sz="0" w:space="0" w:color="auto"/>
        <w:right w:val="none" w:sz="0" w:space="0" w:color="auto"/>
      </w:divBdr>
    </w:div>
    <w:div w:id="1000743255">
      <w:bodyDiv w:val="1"/>
      <w:marLeft w:val="0"/>
      <w:marRight w:val="0"/>
      <w:marTop w:val="0"/>
      <w:marBottom w:val="0"/>
      <w:divBdr>
        <w:top w:val="none" w:sz="0" w:space="0" w:color="auto"/>
        <w:left w:val="none" w:sz="0" w:space="0" w:color="auto"/>
        <w:bottom w:val="none" w:sz="0" w:space="0" w:color="auto"/>
        <w:right w:val="none" w:sz="0" w:space="0" w:color="auto"/>
      </w:divBdr>
    </w:div>
    <w:div w:id="1000815402">
      <w:bodyDiv w:val="1"/>
      <w:marLeft w:val="0"/>
      <w:marRight w:val="0"/>
      <w:marTop w:val="0"/>
      <w:marBottom w:val="0"/>
      <w:divBdr>
        <w:top w:val="none" w:sz="0" w:space="0" w:color="auto"/>
        <w:left w:val="none" w:sz="0" w:space="0" w:color="auto"/>
        <w:bottom w:val="none" w:sz="0" w:space="0" w:color="auto"/>
        <w:right w:val="none" w:sz="0" w:space="0" w:color="auto"/>
      </w:divBdr>
    </w:div>
    <w:div w:id="1000936300">
      <w:bodyDiv w:val="1"/>
      <w:marLeft w:val="0"/>
      <w:marRight w:val="0"/>
      <w:marTop w:val="0"/>
      <w:marBottom w:val="0"/>
      <w:divBdr>
        <w:top w:val="none" w:sz="0" w:space="0" w:color="auto"/>
        <w:left w:val="none" w:sz="0" w:space="0" w:color="auto"/>
        <w:bottom w:val="none" w:sz="0" w:space="0" w:color="auto"/>
        <w:right w:val="none" w:sz="0" w:space="0" w:color="auto"/>
      </w:divBdr>
    </w:div>
    <w:div w:id="1001129835">
      <w:bodyDiv w:val="1"/>
      <w:marLeft w:val="0"/>
      <w:marRight w:val="0"/>
      <w:marTop w:val="0"/>
      <w:marBottom w:val="0"/>
      <w:divBdr>
        <w:top w:val="none" w:sz="0" w:space="0" w:color="auto"/>
        <w:left w:val="none" w:sz="0" w:space="0" w:color="auto"/>
        <w:bottom w:val="none" w:sz="0" w:space="0" w:color="auto"/>
        <w:right w:val="none" w:sz="0" w:space="0" w:color="auto"/>
      </w:divBdr>
    </w:div>
    <w:div w:id="1001202399">
      <w:bodyDiv w:val="1"/>
      <w:marLeft w:val="0"/>
      <w:marRight w:val="0"/>
      <w:marTop w:val="0"/>
      <w:marBottom w:val="0"/>
      <w:divBdr>
        <w:top w:val="none" w:sz="0" w:space="0" w:color="auto"/>
        <w:left w:val="none" w:sz="0" w:space="0" w:color="auto"/>
        <w:bottom w:val="none" w:sz="0" w:space="0" w:color="auto"/>
        <w:right w:val="none" w:sz="0" w:space="0" w:color="auto"/>
      </w:divBdr>
    </w:div>
    <w:div w:id="1001348295">
      <w:bodyDiv w:val="1"/>
      <w:marLeft w:val="0"/>
      <w:marRight w:val="0"/>
      <w:marTop w:val="0"/>
      <w:marBottom w:val="0"/>
      <w:divBdr>
        <w:top w:val="none" w:sz="0" w:space="0" w:color="auto"/>
        <w:left w:val="none" w:sz="0" w:space="0" w:color="auto"/>
        <w:bottom w:val="none" w:sz="0" w:space="0" w:color="auto"/>
        <w:right w:val="none" w:sz="0" w:space="0" w:color="auto"/>
      </w:divBdr>
    </w:div>
    <w:div w:id="1001352778">
      <w:bodyDiv w:val="1"/>
      <w:marLeft w:val="0"/>
      <w:marRight w:val="0"/>
      <w:marTop w:val="0"/>
      <w:marBottom w:val="0"/>
      <w:divBdr>
        <w:top w:val="none" w:sz="0" w:space="0" w:color="auto"/>
        <w:left w:val="none" w:sz="0" w:space="0" w:color="auto"/>
        <w:bottom w:val="none" w:sz="0" w:space="0" w:color="auto"/>
        <w:right w:val="none" w:sz="0" w:space="0" w:color="auto"/>
      </w:divBdr>
    </w:div>
    <w:div w:id="1001353371">
      <w:bodyDiv w:val="1"/>
      <w:marLeft w:val="0"/>
      <w:marRight w:val="0"/>
      <w:marTop w:val="0"/>
      <w:marBottom w:val="0"/>
      <w:divBdr>
        <w:top w:val="none" w:sz="0" w:space="0" w:color="auto"/>
        <w:left w:val="none" w:sz="0" w:space="0" w:color="auto"/>
        <w:bottom w:val="none" w:sz="0" w:space="0" w:color="auto"/>
        <w:right w:val="none" w:sz="0" w:space="0" w:color="auto"/>
      </w:divBdr>
    </w:div>
    <w:div w:id="1001548113">
      <w:bodyDiv w:val="1"/>
      <w:marLeft w:val="0"/>
      <w:marRight w:val="0"/>
      <w:marTop w:val="0"/>
      <w:marBottom w:val="0"/>
      <w:divBdr>
        <w:top w:val="none" w:sz="0" w:space="0" w:color="auto"/>
        <w:left w:val="none" w:sz="0" w:space="0" w:color="auto"/>
        <w:bottom w:val="none" w:sz="0" w:space="0" w:color="auto"/>
        <w:right w:val="none" w:sz="0" w:space="0" w:color="auto"/>
      </w:divBdr>
    </w:div>
    <w:div w:id="1001660356">
      <w:bodyDiv w:val="1"/>
      <w:marLeft w:val="0"/>
      <w:marRight w:val="0"/>
      <w:marTop w:val="0"/>
      <w:marBottom w:val="0"/>
      <w:divBdr>
        <w:top w:val="none" w:sz="0" w:space="0" w:color="auto"/>
        <w:left w:val="none" w:sz="0" w:space="0" w:color="auto"/>
        <w:bottom w:val="none" w:sz="0" w:space="0" w:color="auto"/>
        <w:right w:val="none" w:sz="0" w:space="0" w:color="auto"/>
      </w:divBdr>
    </w:div>
    <w:div w:id="1001935124">
      <w:bodyDiv w:val="1"/>
      <w:marLeft w:val="0"/>
      <w:marRight w:val="0"/>
      <w:marTop w:val="0"/>
      <w:marBottom w:val="0"/>
      <w:divBdr>
        <w:top w:val="none" w:sz="0" w:space="0" w:color="auto"/>
        <w:left w:val="none" w:sz="0" w:space="0" w:color="auto"/>
        <w:bottom w:val="none" w:sz="0" w:space="0" w:color="auto"/>
        <w:right w:val="none" w:sz="0" w:space="0" w:color="auto"/>
      </w:divBdr>
    </w:div>
    <w:div w:id="1002273364">
      <w:bodyDiv w:val="1"/>
      <w:marLeft w:val="0"/>
      <w:marRight w:val="0"/>
      <w:marTop w:val="0"/>
      <w:marBottom w:val="0"/>
      <w:divBdr>
        <w:top w:val="none" w:sz="0" w:space="0" w:color="auto"/>
        <w:left w:val="none" w:sz="0" w:space="0" w:color="auto"/>
        <w:bottom w:val="none" w:sz="0" w:space="0" w:color="auto"/>
        <w:right w:val="none" w:sz="0" w:space="0" w:color="auto"/>
      </w:divBdr>
    </w:div>
    <w:div w:id="1002512780">
      <w:bodyDiv w:val="1"/>
      <w:marLeft w:val="0"/>
      <w:marRight w:val="0"/>
      <w:marTop w:val="0"/>
      <w:marBottom w:val="0"/>
      <w:divBdr>
        <w:top w:val="none" w:sz="0" w:space="0" w:color="auto"/>
        <w:left w:val="none" w:sz="0" w:space="0" w:color="auto"/>
        <w:bottom w:val="none" w:sz="0" w:space="0" w:color="auto"/>
        <w:right w:val="none" w:sz="0" w:space="0" w:color="auto"/>
      </w:divBdr>
    </w:div>
    <w:div w:id="1002587098">
      <w:bodyDiv w:val="1"/>
      <w:marLeft w:val="0"/>
      <w:marRight w:val="0"/>
      <w:marTop w:val="0"/>
      <w:marBottom w:val="0"/>
      <w:divBdr>
        <w:top w:val="none" w:sz="0" w:space="0" w:color="auto"/>
        <w:left w:val="none" w:sz="0" w:space="0" w:color="auto"/>
        <w:bottom w:val="none" w:sz="0" w:space="0" w:color="auto"/>
        <w:right w:val="none" w:sz="0" w:space="0" w:color="auto"/>
      </w:divBdr>
    </w:div>
    <w:div w:id="1003316057">
      <w:bodyDiv w:val="1"/>
      <w:marLeft w:val="0"/>
      <w:marRight w:val="0"/>
      <w:marTop w:val="0"/>
      <w:marBottom w:val="0"/>
      <w:divBdr>
        <w:top w:val="none" w:sz="0" w:space="0" w:color="auto"/>
        <w:left w:val="none" w:sz="0" w:space="0" w:color="auto"/>
        <w:bottom w:val="none" w:sz="0" w:space="0" w:color="auto"/>
        <w:right w:val="none" w:sz="0" w:space="0" w:color="auto"/>
      </w:divBdr>
    </w:div>
    <w:div w:id="1003359989">
      <w:bodyDiv w:val="1"/>
      <w:marLeft w:val="0"/>
      <w:marRight w:val="0"/>
      <w:marTop w:val="0"/>
      <w:marBottom w:val="0"/>
      <w:divBdr>
        <w:top w:val="none" w:sz="0" w:space="0" w:color="auto"/>
        <w:left w:val="none" w:sz="0" w:space="0" w:color="auto"/>
        <w:bottom w:val="none" w:sz="0" w:space="0" w:color="auto"/>
        <w:right w:val="none" w:sz="0" w:space="0" w:color="auto"/>
      </w:divBdr>
    </w:div>
    <w:div w:id="1003362661">
      <w:bodyDiv w:val="1"/>
      <w:marLeft w:val="0"/>
      <w:marRight w:val="0"/>
      <w:marTop w:val="0"/>
      <w:marBottom w:val="0"/>
      <w:divBdr>
        <w:top w:val="none" w:sz="0" w:space="0" w:color="auto"/>
        <w:left w:val="none" w:sz="0" w:space="0" w:color="auto"/>
        <w:bottom w:val="none" w:sz="0" w:space="0" w:color="auto"/>
        <w:right w:val="none" w:sz="0" w:space="0" w:color="auto"/>
      </w:divBdr>
    </w:div>
    <w:div w:id="1003819564">
      <w:bodyDiv w:val="1"/>
      <w:marLeft w:val="0"/>
      <w:marRight w:val="0"/>
      <w:marTop w:val="0"/>
      <w:marBottom w:val="0"/>
      <w:divBdr>
        <w:top w:val="none" w:sz="0" w:space="0" w:color="auto"/>
        <w:left w:val="none" w:sz="0" w:space="0" w:color="auto"/>
        <w:bottom w:val="none" w:sz="0" w:space="0" w:color="auto"/>
        <w:right w:val="none" w:sz="0" w:space="0" w:color="auto"/>
      </w:divBdr>
    </w:div>
    <w:div w:id="1003967901">
      <w:bodyDiv w:val="1"/>
      <w:marLeft w:val="0"/>
      <w:marRight w:val="0"/>
      <w:marTop w:val="0"/>
      <w:marBottom w:val="0"/>
      <w:divBdr>
        <w:top w:val="none" w:sz="0" w:space="0" w:color="auto"/>
        <w:left w:val="none" w:sz="0" w:space="0" w:color="auto"/>
        <w:bottom w:val="none" w:sz="0" w:space="0" w:color="auto"/>
        <w:right w:val="none" w:sz="0" w:space="0" w:color="auto"/>
      </w:divBdr>
    </w:div>
    <w:div w:id="1004012202">
      <w:bodyDiv w:val="1"/>
      <w:marLeft w:val="0"/>
      <w:marRight w:val="0"/>
      <w:marTop w:val="0"/>
      <w:marBottom w:val="0"/>
      <w:divBdr>
        <w:top w:val="none" w:sz="0" w:space="0" w:color="auto"/>
        <w:left w:val="none" w:sz="0" w:space="0" w:color="auto"/>
        <w:bottom w:val="none" w:sz="0" w:space="0" w:color="auto"/>
        <w:right w:val="none" w:sz="0" w:space="0" w:color="auto"/>
      </w:divBdr>
    </w:div>
    <w:div w:id="1004472917">
      <w:bodyDiv w:val="1"/>
      <w:marLeft w:val="0"/>
      <w:marRight w:val="0"/>
      <w:marTop w:val="0"/>
      <w:marBottom w:val="0"/>
      <w:divBdr>
        <w:top w:val="none" w:sz="0" w:space="0" w:color="auto"/>
        <w:left w:val="none" w:sz="0" w:space="0" w:color="auto"/>
        <w:bottom w:val="none" w:sz="0" w:space="0" w:color="auto"/>
        <w:right w:val="none" w:sz="0" w:space="0" w:color="auto"/>
      </w:divBdr>
    </w:div>
    <w:div w:id="1004820862">
      <w:bodyDiv w:val="1"/>
      <w:marLeft w:val="0"/>
      <w:marRight w:val="0"/>
      <w:marTop w:val="0"/>
      <w:marBottom w:val="0"/>
      <w:divBdr>
        <w:top w:val="none" w:sz="0" w:space="0" w:color="auto"/>
        <w:left w:val="none" w:sz="0" w:space="0" w:color="auto"/>
        <w:bottom w:val="none" w:sz="0" w:space="0" w:color="auto"/>
        <w:right w:val="none" w:sz="0" w:space="0" w:color="auto"/>
      </w:divBdr>
    </w:div>
    <w:div w:id="1004821836">
      <w:bodyDiv w:val="1"/>
      <w:marLeft w:val="0"/>
      <w:marRight w:val="0"/>
      <w:marTop w:val="0"/>
      <w:marBottom w:val="0"/>
      <w:divBdr>
        <w:top w:val="none" w:sz="0" w:space="0" w:color="auto"/>
        <w:left w:val="none" w:sz="0" w:space="0" w:color="auto"/>
        <w:bottom w:val="none" w:sz="0" w:space="0" w:color="auto"/>
        <w:right w:val="none" w:sz="0" w:space="0" w:color="auto"/>
      </w:divBdr>
    </w:div>
    <w:div w:id="1004892898">
      <w:bodyDiv w:val="1"/>
      <w:marLeft w:val="0"/>
      <w:marRight w:val="0"/>
      <w:marTop w:val="0"/>
      <w:marBottom w:val="0"/>
      <w:divBdr>
        <w:top w:val="none" w:sz="0" w:space="0" w:color="auto"/>
        <w:left w:val="none" w:sz="0" w:space="0" w:color="auto"/>
        <w:bottom w:val="none" w:sz="0" w:space="0" w:color="auto"/>
        <w:right w:val="none" w:sz="0" w:space="0" w:color="auto"/>
      </w:divBdr>
    </w:div>
    <w:div w:id="1005278825">
      <w:bodyDiv w:val="1"/>
      <w:marLeft w:val="0"/>
      <w:marRight w:val="0"/>
      <w:marTop w:val="0"/>
      <w:marBottom w:val="0"/>
      <w:divBdr>
        <w:top w:val="none" w:sz="0" w:space="0" w:color="auto"/>
        <w:left w:val="none" w:sz="0" w:space="0" w:color="auto"/>
        <w:bottom w:val="none" w:sz="0" w:space="0" w:color="auto"/>
        <w:right w:val="none" w:sz="0" w:space="0" w:color="auto"/>
      </w:divBdr>
    </w:div>
    <w:div w:id="1005547537">
      <w:bodyDiv w:val="1"/>
      <w:marLeft w:val="0"/>
      <w:marRight w:val="0"/>
      <w:marTop w:val="0"/>
      <w:marBottom w:val="0"/>
      <w:divBdr>
        <w:top w:val="none" w:sz="0" w:space="0" w:color="auto"/>
        <w:left w:val="none" w:sz="0" w:space="0" w:color="auto"/>
        <w:bottom w:val="none" w:sz="0" w:space="0" w:color="auto"/>
        <w:right w:val="none" w:sz="0" w:space="0" w:color="auto"/>
      </w:divBdr>
    </w:div>
    <w:div w:id="1006126717">
      <w:bodyDiv w:val="1"/>
      <w:marLeft w:val="0"/>
      <w:marRight w:val="0"/>
      <w:marTop w:val="0"/>
      <w:marBottom w:val="0"/>
      <w:divBdr>
        <w:top w:val="none" w:sz="0" w:space="0" w:color="auto"/>
        <w:left w:val="none" w:sz="0" w:space="0" w:color="auto"/>
        <w:bottom w:val="none" w:sz="0" w:space="0" w:color="auto"/>
        <w:right w:val="none" w:sz="0" w:space="0" w:color="auto"/>
      </w:divBdr>
    </w:div>
    <w:div w:id="1006514103">
      <w:bodyDiv w:val="1"/>
      <w:marLeft w:val="0"/>
      <w:marRight w:val="0"/>
      <w:marTop w:val="0"/>
      <w:marBottom w:val="0"/>
      <w:divBdr>
        <w:top w:val="none" w:sz="0" w:space="0" w:color="auto"/>
        <w:left w:val="none" w:sz="0" w:space="0" w:color="auto"/>
        <w:bottom w:val="none" w:sz="0" w:space="0" w:color="auto"/>
        <w:right w:val="none" w:sz="0" w:space="0" w:color="auto"/>
      </w:divBdr>
    </w:div>
    <w:div w:id="1006593891">
      <w:bodyDiv w:val="1"/>
      <w:marLeft w:val="0"/>
      <w:marRight w:val="0"/>
      <w:marTop w:val="0"/>
      <w:marBottom w:val="0"/>
      <w:divBdr>
        <w:top w:val="none" w:sz="0" w:space="0" w:color="auto"/>
        <w:left w:val="none" w:sz="0" w:space="0" w:color="auto"/>
        <w:bottom w:val="none" w:sz="0" w:space="0" w:color="auto"/>
        <w:right w:val="none" w:sz="0" w:space="0" w:color="auto"/>
      </w:divBdr>
    </w:div>
    <w:div w:id="1006635672">
      <w:bodyDiv w:val="1"/>
      <w:marLeft w:val="0"/>
      <w:marRight w:val="0"/>
      <w:marTop w:val="0"/>
      <w:marBottom w:val="0"/>
      <w:divBdr>
        <w:top w:val="none" w:sz="0" w:space="0" w:color="auto"/>
        <w:left w:val="none" w:sz="0" w:space="0" w:color="auto"/>
        <w:bottom w:val="none" w:sz="0" w:space="0" w:color="auto"/>
        <w:right w:val="none" w:sz="0" w:space="0" w:color="auto"/>
      </w:divBdr>
    </w:div>
    <w:div w:id="1006665546">
      <w:bodyDiv w:val="1"/>
      <w:marLeft w:val="0"/>
      <w:marRight w:val="0"/>
      <w:marTop w:val="0"/>
      <w:marBottom w:val="0"/>
      <w:divBdr>
        <w:top w:val="none" w:sz="0" w:space="0" w:color="auto"/>
        <w:left w:val="none" w:sz="0" w:space="0" w:color="auto"/>
        <w:bottom w:val="none" w:sz="0" w:space="0" w:color="auto"/>
        <w:right w:val="none" w:sz="0" w:space="0" w:color="auto"/>
      </w:divBdr>
    </w:div>
    <w:div w:id="1006975303">
      <w:bodyDiv w:val="1"/>
      <w:marLeft w:val="0"/>
      <w:marRight w:val="0"/>
      <w:marTop w:val="0"/>
      <w:marBottom w:val="0"/>
      <w:divBdr>
        <w:top w:val="none" w:sz="0" w:space="0" w:color="auto"/>
        <w:left w:val="none" w:sz="0" w:space="0" w:color="auto"/>
        <w:bottom w:val="none" w:sz="0" w:space="0" w:color="auto"/>
        <w:right w:val="none" w:sz="0" w:space="0" w:color="auto"/>
      </w:divBdr>
    </w:div>
    <w:div w:id="1007058747">
      <w:bodyDiv w:val="1"/>
      <w:marLeft w:val="0"/>
      <w:marRight w:val="0"/>
      <w:marTop w:val="0"/>
      <w:marBottom w:val="0"/>
      <w:divBdr>
        <w:top w:val="none" w:sz="0" w:space="0" w:color="auto"/>
        <w:left w:val="none" w:sz="0" w:space="0" w:color="auto"/>
        <w:bottom w:val="none" w:sz="0" w:space="0" w:color="auto"/>
        <w:right w:val="none" w:sz="0" w:space="0" w:color="auto"/>
      </w:divBdr>
    </w:div>
    <w:div w:id="1007289973">
      <w:bodyDiv w:val="1"/>
      <w:marLeft w:val="0"/>
      <w:marRight w:val="0"/>
      <w:marTop w:val="0"/>
      <w:marBottom w:val="0"/>
      <w:divBdr>
        <w:top w:val="none" w:sz="0" w:space="0" w:color="auto"/>
        <w:left w:val="none" w:sz="0" w:space="0" w:color="auto"/>
        <w:bottom w:val="none" w:sz="0" w:space="0" w:color="auto"/>
        <w:right w:val="none" w:sz="0" w:space="0" w:color="auto"/>
      </w:divBdr>
    </w:div>
    <w:div w:id="1007370401">
      <w:bodyDiv w:val="1"/>
      <w:marLeft w:val="0"/>
      <w:marRight w:val="0"/>
      <w:marTop w:val="0"/>
      <w:marBottom w:val="0"/>
      <w:divBdr>
        <w:top w:val="none" w:sz="0" w:space="0" w:color="auto"/>
        <w:left w:val="none" w:sz="0" w:space="0" w:color="auto"/>
        <w:bottom w:val="none" w:sz="0" w:space="0" w:color="auto"/>
        <w:right w:val="none" w:sz="0" w:space="0" w:color="auto"/>
      </w:divBdr>
    </w:div>
    <w:div w:id="1007563964">
      <w:bodyDiv w:val="1"/>
      <w:marLeft w:val="0"/>
      <w:marRight w:val="0"/>
      <w:marTop w:val="0"/>
      <w:marBottom w:val="0"/>
      <w:divBdr>
        <w:top w:val="none" w:sz="0" w:space="0" w:color="auto"/>
        <w:left w:val="none" w:sz="0" w:space="0" w:color="auto"/>
        <w:bottom w:val="none" w:sz="0" w:space="0" w:color="auto"/>
        <w:right w:val="none" w:sz="0" w:space="0" w:color="auto"/>
      </w:divBdr>
    </w:div>
    <w:div w:id="1007564170">
      <w:bodyDiv w:val="1"/>
      <w:marLeft w:val="0"/>
      <w:marRight w:val="0"/>
      <w:marTop w:val="0"/>
      <w:marBottom w:val="0"/>
      <w:divBdr>
        <w:top w:val="none" w:sz="0" w:space="0" w:color="auto"/>
        <w:left w:val="none" w:sz="0" w:space="0" w:color="auto"/>
        <w:bottom w:val="none" w:sz="0" w:space="0" w:color="auto"/>
        <w:right w:val="none" w:sz="0" w:space="0" w:color="auto"/>
      </w:divBdr>
    </w:div>
    <w:div w:id="1007631673">
      <w:bodyDiv w:val="1"/>
      <w:marLeft w:val="0"/>
      <w:marRight w:val="0"/>
      <w:marTop w:val="0"/>
      <w:marBottom w:val="0"/>
      <w:divBdr>
        <w:top w:val="none" w:sz="0" w:space="0" w:color="auto"/>
        <w:left w:val="none" w:sz="0" w:space="0" w:color="auto"/>
        <w:bottom w:val="none" w:sz="0" w:space="0" w:color="auto"/>
        <w:right w:val="none" w:sz="0" w:space="0" w:color="auto"/>
      </w:divBdr>
    </w:div>
    <w:div w:id="1007637939">
      <w:bodyDiv w:val="1"/>
      <w:marLeft w:val="0"/>
      <w:marRight w:val="0"/>
      <w:marTop w:val="0"/>
      <w:marBottom w:val="0"/>
      <w:divBdr>
        <w:top w:val="none" w:sz="0" w:space="0" w:color="auto"/>
        <w:left w:val="none" w:sz="0" w:space="0" w:color="auto"/>
        <w:bottom w:val="none" w:sz="0" w:space="0" w:color="auto"/>
        <w:right w:val="none" w:sz="0" w:space="0" w:color="auto"/>
      </w:divBdr>
    </w:div>
    <w:div w:id="1008168456">
      <w:bodyDiv w:val="1"/>
      <w:marLeft w:val="0"/>
      <w:marRight w:val="0"/>
      <w:marTop w:val="0"/>
      <w:marBottom w:val="0"/>
      <w:divBdr>
        <w:top w:val="none" w:sz="0" w:space="0" w:color="auto"/>
        <w:left w:val="none" w:sz="0" w:space="0" w:color="auto"/>
        <w:bottom w:val="none" w:sz="0" w:space="0" w:color="auto"/>
        <w:right w:val="none" w:sz="0" w:space="0" w:color="auto"/>
      </w:divBdr>
    </w:div>
    <w:div w:id="1008172784">
      <w:bodyDiv w:val="1"/>
      <w:marLeft w:val="0"/>
      <w:marRight w:val="0"/>
      <w:marTop w:val="0"/>
      <w:marBottom w:val="0"/>
      <w:divBdr>
        <w:top w:val="none" w:sz="0" w:space="0" w:color="auto"/>
        <w:left w:val="none" w:sz="0" w:space="0" w:color="auto"/>
        <w:bottom w:val="none" w:sz="0" w:space="0" w:color="auto"/>
        <w:right w:val="none" w:sz="0" w:space="0" w:color="auto"/>
      </w:divBdr>
    </w:div>
    <w:div w:id="1008216211">
      <w:bodyDiv w:val="1"/>
      <w:marLeft w:val="0"/>
      <w:marRight w:val="0"/>
      <w:marTop w:val="0"/>
      <w:marBottom w:val="0"/>
      <w:divBdr>
        <w:top w:val="none" w:sz="0" w:space="0" w:color="auto"/>
        <w:left w:val="none" w:sz="0" w:space="0" w:color="auto"/>
        <w:bottom w:val="none" w:sz="0" w:space="0" w:color="auto"/>
        <w:right w:val="none" w:sz="0" w:space="0" w:color="auto"/>
      </w:divBdr>
    </w:div>
    <w:div w:id="1008677364">
      <w:bodyDiv w:val="1"/>
      <w:marLeft w:val="0"/>
      <w:marRight w:val="0"/>
      <w:marTop w:val="0"/>
      <w:marBottom w:val="0"/>
      <w:divBdr>
        <w:top w:val="none" w:sz="0" w:space="0" w:color="auto"/>
        <w:left w:val="none" w:sz="0" w:space="0" w:color="auto"/>
        <w:bottom w:val="none" w:sz="0" w:space="0" w:color="auto"/>
        <w:right w:val="none" w:sz="0" w:space="0" w:color="auto"/>
      </w:divBdr>
    </w:div>
    <w:div w:id="1009455018">
      <w:bodyDiv w:val="1"/>
      <w:marLeft w:val="0"/>
      <w:marRight w:val="0"/>
      <w:marTop w:val="0"/>
      <w:marBottom w:val="0"/>
      <w:divBdr>
        <w:top w:val="none" w:sz="0" w:space="0" w:color="auto"/>
        <w:left w:val="none" w:sz="0" w:space="0" w:color="auto"/>
        <w:bottom w:val="none" w:sz="0" w:space="0" w:color="auto"/>
        <w:right w:val="none" w:sz="0" w:space="0" w:color="auto"/>
      </w:divBdr>
    </w:div>
    <w:div w:id="1009528813">
      <w:bodyDiv w:val="1"/>
      <w:marLeft w:val="0"/>
      <w:marRight w:val="0"/>
      <w:marTop w:val="0"/>
      <w:marBottom w:val="0"/>
      <w:divBdr>
        <w:top w:val="none" w:sz="0" w:space="0" w:color="auto"/>
        <w:left w:val="none" w:sz="0" w:space="0" w:color="auto"/>
        <w:bottom w:val="none" w:sz="0" w:space="0" w:color="auto"/>
        <w:right w:val="none" w:sz="0" w:space="0" w:color="auto"/>
      </w:divBdr>
    </w:div>
    <w:div w:id="1009721213">
      <w:bodyDiv w:val="1"/>
      <w:marLeft w:val="0"/>
      <w:marRight w:val="0"/>
      <w:marTop w:val="0"/>
      <w:marBottom w:val="0"/>
      <w:divBdr>
        <w:top w:val="none" w:sz="0" w:space="0" w:color="auto"/>
        <w:left w:val="none" w:sz="0" w:space="0" w:color="auto"/>
        <w:bottom w:val="none" w:sz="0" w:space="0" w:color="auto"/>
        <w:right w:val="none" w:sz="0" w:space="0" w:color="auto"/>
      </w:divBdr>
    </w:div>
    <w:div w:id="1009721624">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10066257">
      <w:bodyDiv w:val="1"/>
      <w:marLeft w:val="0"/>
      <w:marRight w:val="0"/>
      <w:marTop w:val="0"/>
      <w:marBottom w:val="0"/>
      <w:divBdr>
        <w:top w:val="none" w:sz="0" w:space="0" w:color="auto"/>
        <w:left w:val="none" w:sz="0" w:space="0" w:color="auto"/>
        <w:bottom w:val="none" w:sz="0" w:space="0" w:color="auto"/>
        <w:right w:val="none" w:sz="0" w:space="0" w:color="auto"/>
      </w:divBdr>
    </w:div>
    <w:div w:id="1010251638">
      <w:bodyDiv w:val="1"/>
      <w:marLeft w:val="0"/>
      <w:marRight w:val="0"/>
      <w:marTop w:val="0"/>
      <w:marBottom w:val="0"/>
      <w:divBdr>
        <w:top w:val="none" w:sz="0" w:space="0" w:color="auto"/>
        <w:left w:val="none" w:sz="0" w:space="0" w:color="auto"/>
        <w:bottom w:val="none" w:sz="0" w:space="0" w:color="auto"/>
        <w:right w:val="none" w:sz="0" w:space="0" w:color="auto"/>
      </w:divBdr>
    </w:div>
    <w:div w:id="1010370211">
      <w:bodyDiv w:val="1"/>
      <w:marLeft w:val="0"/>
      <w:marRight w:val="0"/>
      <w:marTop w:val="0"/>
      <w:marBottom w:val="0"/>
      <w:divBdr>
        <w:top w:val="none" w:sz="0" w:space="0" w:color="auto"/>
        <w:left w:val="none" w:sz="0" w:space="0" w:color="auto"/>
        <w:bottom w:val="none" w:sz="0" w:space="0" w:color="auto"/>
        <w:right w:val="none" w:sz="0" w:space="0" w:color="auto"/>
      </w:divBdr>
    </w:div>
    <w:div w:id="1010372104">
      <w:bodyDiv w:val="1"/>
      <w:marLeft w:val="0"/>
      <w:marRight w:val="0"/>
      <w:marTop w:val="0"/>
      <w:marBottom w:val="0"/>
      <w:divBdr>
        <w:top w:val="none" w:sz="0" w:space="0" w:color="auto"/>
        <w:left w:val="none" w:sz="0" w:space="0" w:color="auto"/>
        <w:bottom w:val="none" w:sz="0" w:space="0" w:color="auto"/>
        <w:right w:val="none" w:sz="0" w:space="0" w:color="auto"/>
      </w:divBdr>
    </w:div>
    <w:div w:id="1010567082">
      <w:bodyDiv w:val="1"/>
      <w:marLeft w:val="0"/>
      <w:marRight w:val="0"/>
      <w:marTop w:val="0"/>
      <w:marBottom w:val="0"/>
      <w:divBdr>
        <w:top w:val="none" w:sz="0" w:space="0" w:color="auto"/>
        <w:left w:val="none" w:sz="0" w:space="0" w:color="auto"/>
        <w:bottom w:val="none" w:sz="0" w:space="0" w:color="auto"/>
        <w:right w:val="none" w:sz="0" w:space="0" w:color="auto"/>
      </w:divBdr>
    </w:div>
    <w:div w:id="1010723120">
      <w:bodyDiv w:val="1"/>
      <w:marLeft w:val="0"/>
      <w:marRight w:val="0"/>
      <w:marTop w:val="0"/>
      <w:marBottom w:val="0"/>
      <w:divBdr>
        <w:top w:val="none" w:sz="0" w:space="0" w:color="auto"/>
        <w:left w:val="none" w:sz="0" w:space="0" w:color="auto"/>
        <w:bottom w:val="none" w:sz="0" w:space="0" w:color="auto"/>
        <w:right w:val="none" w:sz="0" w:space="0" w:color="auto"/>
      </w:divBdr>
    </w:div>
    <w:div w:id="1010834451">
      <w:bodyDiv w:val="1"/>
      <w:marLeft w:val="0"/>
      <w:marRight w:val="0"/>
      <w:marTop w:val="0"/>
      <w:marBottom w:val="0"/>
      <w:divBdr>
        <w:top w:val="none" w:sz="0" w:space="0" w:color="auto"/>
        <w:left w:val="none" w:sz="0" w:space="0" w:color="auto"/>
        <w:bottom w:val="none" w:sz="0" w:space="0" w:color="auto"/>
        <w:right w:val="none" w:sz="0" w:space="0" w:color="auto"/>
      </w:divBdr>
    </w:div>
    <w:div w:id="1011027813">
      <w:bodyDiv w:val="1"/>
      <w:marLeft w:val="0"/>
      <w:marRight w:val="0"/>
      <w:marTop w:val="0"/>
      <w:marBottom w:val="0"/>
      <w:divBdr>
        <w:top w:val="none" w:sz="0" w:space="0" w:color="auto"/>
        <w:left w:val="none" w:sz="0" w:space="0" w:color="auto"/>
        <w:bottom w:val="none" w:sz="0" w:space="0" w:color="auto"/>
        <w:right w:val="none" w:sz="0" w:space="0" w:color="auto"/>
      </w:divBdr>
    </w:div>
    <w:div w:id="1011032316">
      <w:bodyDiv w:val="1"/>
      <w:marLeft w:val="0"/>
      <w:marRight w:val="0"/>
      <w:marTop w:val="0"/>
      <w:marBottom w:val="0"/>
      <w:divBdr>
        <w:top w:val="none" w:sz="0" w:space="0" w:color="auto"/>
        <w:left w:val="none" w:sz="0" w:space="0" w:color="auto"/>
        <w:bottom w:val="none" w:sz="0" w:space="0" w:color="auto"/>
        <w:right w:val="none" w:sz="0" w:space="0" w:color="auto"/>
      </w:divBdr>
    </w:div>
    <w:div w:id="1011103495">
      <w:bodyDiv w:val="1"/>
      <w:marLeft w:val="0"/>
      <w:marRight w:val="0"/>
      <w:marTop w:val="0"/>
      <w:marBottom w:val="0"/>
      <w:divBdr>
        <w:top w:val="none" w:sz="0" w:space="0" w:color="auto"/>
        <w:left w:val="none" w:sz="0" w:space="0" w:color="auto"/>
        <w:bottom w:val="none" w:sz="0" w:space="0" w:color="auto"/>
        <w:right w:val="none" w:sz="0" w:space="0" w:color="auto"/>
      </w:divBdr>
    </w:div>
    <w:div w:id="1011183662">
      <w:bodyDiv w:val="1"/>
      <w:marLeft w:val="0"/>
      <w:marRight w:val="0"/>
      <w:marTop w:val="0"/>
      <w:marBottom w:val="0"/>
      <w:divBdr>
        <w:top w:val="none" w:sz="0" w:space="0" w:color="auto"/>
        <w:left w:val="none" w:sz="0" w:space="0" w:color="auto"/>
        <w:bottom w:val="none" w:sz="0" w:space="0" w:color="auto"/>
        <w:right w:val="none" w:sz="0" w:space="0" w:color="auto"/>
      </w:divBdr>
    </w:div>
    <w:div w:id="1011445770">
      <w:bodyDiv w:val="1"/>
      <w:marLeft w:val="0"/>
      <w:marRight w:val="0"/>
      <w:marTop w:val="0"/>
      <w:marBottom w:val="0"/>
      <w:divBdr>
        <w:top w:val="none" w:sz="0" w:space="0" w:color="auto"/>
        <w:left w:val="none" w:sz="0" w:space="0" w:color="auto"/>
        <w:bottom w:val="none" w:sz="0" w:space="0" w:color="auto"/>
        <w:right w:val="none" w:sz="0" w:space="0" w:color="auto"/>
      </w:divBdr>
    </w:div>
    <w:div w:id="1011637794">
      <w:bodyDiv w:val="1"/>
      <w:marLeft w:val="0"/>
      <w:marRight w:val="0"/>
      <w:marTop w:val="0"/>
      <w:marBottom w:val="0"/>
      <w:divBdr>
        <w:top w:val="none" w:sz="0" w:space="0" w:color="auto"/>
        <w:left w:val="none" w:sz="0" w:space="0" w:color="auto"/>
        <w:bottom w:val="none" w:sz="0" w:space="0" w:color="auto"/>
        <w:right w:val="none" w:sz="0" w:space="0" w:color="auto"/>
      </w:divBdr>
    </w:div>
    <w:div w:id="1012149074">
      <w:bodyDiv w:val="1"/>
      <w:marLeft w:val="0"/>
      <w:marRight w:val="0"/>
      <w:marTop w:val="0"/>
      <w:marBottom w:val="0"/>
      <w:divBdr>
        <w:top w:val="none" w:sz="0" w:space="0" w:color="auto"/>
        <w:left w:val="none" w:sz="0" w:space="0" w:color="auto"/>
        <w:bottom w:val="none" w:sz="0" w:space="0" w:color="auto"/>
        <w:right w:val="none" w:sz="0" w:space="0" w:color="auto"/>
      </w:divBdr>
    </w:div>
    <w:div w:id="1012687031">
      <w:bodyDiv w:val="1"/>
      <w:marLeft w:val="0"/>
      <w:marRight w:val="0"/>
      <w:marTop w:val="0"/>
      <w:marBottom w:val="0"/>
      <w:divBdr>
        <w:top w:val="none" w:sz="0" w:space="0" w:color="auto"/>
        <w:left w:val="none" w:sz="0" w:space="0" w:color="auto"/>
        <w:bottom w:val="none" w:sz="0" w:space="0" w:color="auto"/>
        <w:right w:val="none" w:sz="0" w:space="0" w:color="auto"/>
      </w:divBdr>
    </w:div>
    <w:div w:id="1012799846">
      <w:bodyDiv w:val="1"/>
      <w:marLeft w:val="0"/>
      <w:marRight w:val="0"/>
      <w:marTop w:val="0"/>
      <w:marBottom w:val="0"/>
      <w:divBdr>
        <w:top w:val="none" w:sz="0" w:space="0" w:color="auto"/>
        <w:left w:val="none" w:sz="0" w:space="0" w:color="auto"/>
        <w:bottom w:val="none" w:sz="0" w:space="0" w:color="auto"/>
        <w:right w:val="none" w:sz="0" w:space="0" w:color="auto"/>
      </w:divBdr>
    </w:div>
    <w:div w:id="1012806072">
      <w:bodyDiv w:val="1"/>
      <w:marLeft w:val="0"/>
      <w:marRight w:val="0"/>
      <w:marTop w:val="0"/>
      <w:marBottom w:val="0"/>
      <w:divBdr>
        <w:top w:val="none" w:sz="0" w:space="0" w:color="auto"/>
        <w:left w:val="none" w:sz="0" w:space="0" w:color="auto"/>
        <w:bottom w:val="none" w:sz="0" w:space="0" w:color="auto"/>
        <w:right w:val="none" w:sz="0" w:space="0" w:color="auto"/>
      </w:divBdr>
    </w:div>
    <w:div w:id="1013150238">
      <w:bodyDiv w:val="1"/>
      <w:marLeft w:val="0"/>
      <w:marRight w:val="0"/>
      <w:marTop w:val="0"/>
      <w:marBottom w:val="0"/>
      <w:divBdr>
        <w:top w:val="none" w:sz="0" w:space="0" w:color="auto"/>
        <w:left w:val="none" w:sz="0" w:space="0" w:color="auto"/>
        <w:bottom w:val="none" w:sz="0" w:space="0" w:color="auto"/>
        <w:right w:val="none" w:sz="0" w:space="0" w:color="auto"/>
      </w:divBdr>
    </w:div>
    <w:div w:id="1013386543">
      <w:bodyDiv w:val="1"/>
      <w:marLeft w:val="0"/>
      <w:marRight w:val="0"/>
      <w:marTop w:val="0"/>
      <w:marBottom w:val="0"/>
      <w:divBdr>
        <w:top w:val="none" w:sz="0" w:space="0" w:color="auto"/>
        <w:left w:val="none" w:sz="0" w:space="0" w:color="auto"/>
        <w:bottom w:val="none" w:sz="0" w:space="0" w:color="auto"/>
        <w:right w:val="none" w:sz="0" w:space="0" w:color="auto"/>
      </w:divBdr>
    </w:div>
    <w:div w:id="1013412247">
      <w:bodyDiv w:val="1"/>
      <w:marLeft w:val="0"/>
      <w:marRight w:val="0"/>
      <w:marTop w:val="0"/>
      <w:marBottom w:val="0"/>
      <w:divBdr>
        <w:top w:val="none" w:sz="0" w:space="0" w:color="auto"/>
        <w:left w:val="none" w:sz="0" w:space="0" w:color="auto"/>
        <w:bottom w:val="none" w:sz="0" w:space="0" w:color="auto"/>
        <w:right w:val="none" w:sz="0" w:space="0" w:color="auto"/>
      </w:divBdr>
    </w:div>
    <w:div w:id="1013724817">
      <w:bodyDiv w:val="1"/>
      <w:marLeft w:val="0"/>
      <w:marRight w:val="0"/>
      <w:marTop w:val="0"/>
      <w:marBottom w:val="0"/>
      <w:divBdr>
        <w:top w:val="none" w:sz="0" w:space="0" w:color="auto"/>
        <w:left w:val="none" w:sz="0" w:space="0" w:color="auto"/>
        <w:bottom w:val="none" w:sz="0" w:space="0" w:color="auto"/>
        <w:right w:val="none" w:sz="0" w:space="0" w:color="auto"/>
      </w:divBdr>
    </w:div>
    <w:div w:id="1013992206">
      <w:bodyDiv w:val="1"/>
      <w:marLeft w:val="0"/>
      <w:marRight w:val="0"/>
      <w:marTop w:val="0"/>
      <w:marBottom w:val="0"/>
      <w:divBdr>
        <w:top w:val="none" w:sz="0" w:space="0" w:color="auto"/>
        <w:left w:val="none" w:sz="0" w:space="0" w:color="auto"/>
        <w:bottom w:val="none" w:sz="0" w:space="0" w:color="auto"/>
        <w:right w:val="none" w:sz="0" w:space="0" w:color="auto"/>
      </w:divBdr>
    </w:div>
    <w:div w:id="1014260993">
      <w:bodyDiv w:val="1"/>
      <w:marLeft w:val="0"/>
      <w:marRight w:val="0"/>
      <w:marTop w:val="0"/>
      <w:marBottom w:val="0"/>
      <w:divBdr>
        <w:top w:val="none" w:sz="0" w:space="0" w:color="auto"/>
        <w:left w:val="none" w:sz="0" w:space="0" w:color="auto"/>
        <w:bottom w:val="none" w:sz="0" w:space="0" w:color="auto"/>
        <w:right w:val="none" w:sz="0" w:space="0" w:color="auto"/>
      </w:divBdr>
    </w:div>
    <w:div w:id="1014461426">
      <w:bodyDiv w:val="1"/>
      <w:marLeft w:val="0"/>
      <w:marRight w:val="0"/>
      <w:marTop w:val="0"/>
      <w:marBottom w:val="0"/>
      <w:divBdr>
        <w:top w:val="none" w:sz="0" w:space="0" w:color="auto"/>
        <w:left w:val="none" w:sz="0" w:space="0" w:color="auto"/>
        <w:bottom w:val="none" w:sz="0" w:space="0" w:color="auto"/>
        <w:right w:val="none" w:sz="0" w:space="0" w:color="auto"/>
      </w:divBdr>
    </w:div>
    <w:div w:id="1014649928">
      <w:bodyDiv w:val="1"/>
      <w:marLeft w:val="0"/>
      <w:marRight w:val="0"/>
      <w:marTop w:val="0"/>
      <w:marBottom w:val="0"/>
      <w:divBdr>
        <w:top w:val="none" w:sz="0" w:space="0" w:color="auto"/>
        <w:left w:val="none" w:sz="0" w:space="0" w:color="auto"/>
        <w:bottom w:val="none" w:sz="0" w:space="0" w:color="auto"/>
        <w:right w:val="none" w:sz="0" w:space="0" w:color="auto"/>
      </w:divBdr>
    </w:div>
    <w:div w:id="1014654640">
      <w:bodyDiv w:val="1"/>
      <w:marLeft w:val="0"/>
      <w:marRight w:val="0"/>
      <w:marTop w:val="0"/>
      <w:marBottom w:val="0"/>
      <w:divBdr>
        <w:top w:val="none" w:sz="0" w:space="0" w:color="auto"/>
        <w:left w:val="none" w:sz="0" w:space="0" w:color="auto"/>
        <w:bottom w:val="none" w:sz="0" w:space="0" w:color="auto"/>
        <w:right w:val="none" w:sz="0" w:space="0" w:color="auto"/>
      </w:divBdr>
    </w:div>
    <w:div w:id="1014725414">
      <w:bodyDiv w:val="1"/>
      <w:marLeft w:val="0"/>
      <w:marRight w:val="0"/>
      <w:marTop w:val="0"/>
      <w:marBottom w:val="0"/>
      <w:divBdr>
        <w:top w:val="none" w:sz="0" w:space="0" w:color="auto"/>
        <w:left w:val="none" w:sz="0" w:space="0" w:color="auto"/>
        <w:bottom w:val="none" w:sz="0" w:space="0" w:color="auto"/>
        <w:right w:val="none" w:sz="0" w:space="0" w:color="auto"/>
      </w:divBdr>
    </w:div>
    <w:div w:id="1015036863">
      <w:bodyDiv w:val="1"/>
      <w:marLeft w:val="0"/>
      <w:marRight w:val="0"/>
      <w:marTop w:val="0"/>
      <w:marBottom w:val="0"/>
      <w:divBdr>
        <w:top w:val="none" w:sz="0" w:space="0" w:color="auto"/>
        <w:left w:val="none" w:sz="0" w:space="0" w:color="auto"/>
        <w:bottom w:val="none" w:sz="0" w:space="0" w:color="auto"/>
        <w:right w:val="none" w:sz="0" w:space="0" w:color="auto"/>
      </w:divBdr>
    </w:div>
    <w:div w:id="1015038411">
      <w:bodyDiv w:val="1"/>
      <w:marLeft w:val="0"/>
      <w:marRight w:val="0"/>
      <w:marTop w:val="0"/>
      <w:marBottom w:val="0"/>
      <w:divBdr>
        <w:top w:val="none" w:sz="0" w:space="0" w:color="auto"/>
        <w:left w:val="none" w:sz="0" w:space="0" w:color="auto"/>
        <w:bottom w:val="none" w:sz="0" w:space="0" w:color="auto"/>
        <w:right w:val="none" w:sz="0" w:space="0" w:color="auto"/>
      </w:divBdr>
    </w:div>
    <w:div w:id="1015159015">
      <w:bodyDiv w:val="1"/>
      <w:marLeft w:val="0"/>
      <w:marRight w:val="0"/>
      <w:marTop w:val="0"/>
      <w:marBottom w:val="0"/>
      <w:divBdr>
        <w:top w:val="none" w:sz="0" w:space="0" w:color="auto"/>
        <w:left w:val="none" w:sz="0" w:space="0" w:color="auto"/>
        <w:bottom w:val="none" w:sz="0" w:space="0" w:color="auto"/>
        <w:right w:val="none" w:sz="0" w:space="0" w:color="auto"/>
      </w:divBdr>
    </w:div>
    <w:div w:id="1015302427">
      <w:bodyDiv w:val="1"/>
      <w:marLeft w:val="0"/>
      <w:marRight w:val="0"/>
      <w:marTop w:val="0"/>
      <w:marBottom w:val="0"/>
      <w:divBdr>
        <w:top w:val="none" w:sz="0" w:space="0" w:color="auto"/>
        <w:left w:val="none" w:sz="0" w:space="0" w:color="auto"/>
        <w:bottom w:val="none" w:sz="0" w:space="0" w:color="auto"/>
        <w:right w:val="none" w:sz="0" w:space="0" w:color="auto"/>
      </w:divBdr>
    </w:div>
    <w:div w:id="1015569963">
      <w:bodyDiv w:val="1"/>
      <w:marLeft w:val="0"/>
      <w:marRight w:val="0"/>
      <w:marTop w:val="0"/>
      <w:marBottom w:val="0"/>
      <w:divBdr>
        <w:top w:val="none" w:sz="0" w:space="0" w:color="auto"/>
        <w:left w:val="none" w:sz="0" w:space="0" w:color="auto"/>
        <w:bottom w:val="none" w:sz="0" w:space="0" w:color="auto"/>
        <w:right w:val="none" w:sz="0" w:space="0" w:color="auto"/>
      </w:divBdr>
    </w:div>
    <w:div w:id="1015576555">
      <w:bodyDiv w:val="1"/>
      <w:marLeft w:val="0"/>
      <w:marRight w:val="0"/>
      <w:marTop w:val="0"/>
      <w:marBottom w:val="0"/>
      <w:divBdr>
        <w:top w:val="none" w:sz="0" w:space="0" w:color="auto"/>
        <w:left w:val="none" w:sz="0" w:space="0" w:color="auto"/>
        <w:bottom w:val="none" w:sz="0" w:space="0" w:color="auto"/>
        <w:right w:val="none" w:sz="0" w:space="0" w:color="auto"/>
      </w:divBdr>
    </w:div>
    <w:div w:id="1015618002">
      <w:bodyDiv w:val="1"/>
      <w:marLeft w:val="0"/>
      <w:marRight w:val="0"/>
      <w:marTop w:val="0"/>
      <w:marBottom w:val="0"/>
      <w:divBdr>
        <w:top w:val="none" w:sz="0" w:space="0" w:color="auto"/>
        <w:left w:val="none" w:sz="0" w:space="0" w:color="auto"/>
        <w:bottom w:val="none" w:sz="0" w:space="0" w:color="auto"/>
        <w:right w:val="none" w:sz="0" w:space="0" w:color="auto"/>
      </w:divBdr>
    </w:div>
    <w:div w:id="1015620778">
      <w:bodyDiv w:val="1"/>
      <w:marLeft w:val="0"/>
      <w:marRight w:val="0"/>
      <w:marTop w:val="0"/>
      <w:marBottom w:val="0"/>
      <w:divBdr>
        <w:top w:val="none" w:sz="0" w:space="0" w:color="auto"/>
        <w:left w:val="none" w:sz="0" w:space="0" w:color="auto"/>
        <w:bottom w:val="none" w:sz="0" w:space="0" w:color="auto"/>
        <w:right w:val="none" w:sz="0" w:space="0" w:color="auto"/>
      </w:divBdr>
    </w:div>
    <w:div w:id="1015688951">
      <w:bodyDiv w:val="1"/>
      <w:marLeft w:val="0"/>
      <w:marRight w:val="0"/>
      <w:marTop w:val="0"/>
      <w:marBottom w:val="0"/>
      <w:divBdr>
        <w:top w:val="none" w:sz="0" w:space="0" w:color="auto"/>
        <w:left w:val="none" w:sz="0" w:space="0" w:color="auto"/>
        <w:bottom w:val="none" w:sz="0" w:space="0" w:color="auto"/>
        <w:right w:val="none" w:sz="0" w:space="0" w:color="auto"/>
      </w:divBdr>
    </w:div>
    <w:div w:id="1016074060">
      <w:bodyDiv w:val="1"/>
      <w:marLeft w:val="0"/>
      <w:marRight w:val="0"/>
      <w:marTop w:val="0"/>
      <w:marBottom w:val="0"/>
      <w:divBdr>
        <w:top w:val="none" w:sz="0" w:space="0" w:color="auto"/>
        <w:left w:val="none" w:sz="0" w:space="0" w:color="auto"/>
        <w:bottom w:val="none" w:sz="0" w:space="0" w:color="auto"/>
        <w:right w:val="none" w:sz="0" w:space="0" w:color="auto"/>
      </w:divBdr>
    </w:div>
    <w:div w:id="1016230283">
      <w:bodyDiv w:val="1"/>
      <w:marLeft w:val="0"/>
      <w:marRight w:val="0"/>
      <w:marTop w:val="0"/>
      <w:marBottom w:val="0"/>
      <w:divBdr>
        <w:top w:val="none" w:sz="0" w:space="0" w:color="auto"/>
        <w:left w:val="none" w:sz="0" w:space="0" w:color="auto"/>
        <w:bottom w:val="none" w:sz="0" w:space="0" w:color="auto"/>
        <w:right w:val="none" w:sz="0" w:space="0" w:color="auto"/>
      </w:divBdr>
    </w:div>
    <w:div w:id="1016343746">
      <w:bodyDiv w:val="1"/>
      <w:marLeft w:val="0"/>
      <w:marRight w:val="0"/>
      <w:marTop w:val="0"/>
      <w:marBottom w:val="0"/>
      <w:divBdr>
        <w:top w:val="none" w:sz="0" w:space="0" w:color="auto"/>
        <w:left w:val="none" w:sz="0" w:space="0" w:color="auto"/>
        <w:bottom w:val="none" w:sz="0" w:space="0" w:color="auto"/>
        <w:right w:val="none" w:sz="0" w:space="0" w:color="auto"/>
      </w:divBdr>
    </w:div>
    <w:div w:id="1016495711">
      <w:bodyDiv w:val="1"/>
      <w:marLeft w:val="0"/>
      <w:marRight w:val="0"/>
      <w:marTop w:val="0"/>
      <w:marBottom w:val="0"/>
      <w:divBdr>
        <w:top w:val="none" w:sz="0" w:space="0" w:color="auto"/>
        <w:left w:val="none" w:sz="0" w:space="0" w:color="auto"/>
        <w:bottom w:val="none" w:sz="0" w:space="0" w:color="auto"/>
        <w:right w:val="none" w:sz="0" w:space="0" w:color="auto"/>
      </w:divBdr>
    </w:div>
    <w:div w:id="1016691055">
      <w:bodyDiv w:val="1"/>
      <w:marLeft w:val="0"/>
      <w:marRight w:val="0"/>
      <w:marTop w:val="0"/>
      <w:marBottom w:val="0"/>
      <w:divBdr>
        <w:top w:val="none" w:sz="0" w:space="0" w:color="auto"/>
        <w:left w:val="none" w:sz="0" w:space="0" w:color="auto"/>
        <w:bottom w:val="none" w:sz="0" w:space="0" w:color="auto"/>
        <w:right w:val="none" w:sz="0" w:space="0" w:color="auto"/>
      </w:divBdr>
    </w:div>
    <w:div w:id="1017193648">
      <w:bodyDiv w:val="1"/>
      <w:marLeft w:val="0"/>
      <w:marRight w:val="0"/>
      <w:marTop w:val="0"/>
      <w:marBottom w:val="0"/>
      <w:divBdr>
        <w:top w:val="none" w:sz="0" w:space="0" w:color="auto"/>
        <w:left w:val="none" w:sz="0" w:space="0" w:color="auto"/>
        <w:bottom w:val="none" w:sz="0" w:space="0" w:color="auto"/>
        <w:right w:val="none" w:sz="0" w:space="0" w:color="auto"/>
      </w:divBdr>
    </w:div>
    <w:div w:id="1017385548">
      <w:bodyDiv w:val="1"/>
      <w:marLeft w:val="0"/>
      <w:marRight w:val="0"/>
      <w:marTop w:val="0"/>
      <w:marBottom w:val="0"/>
      <w:divBdr>
        <w:top w:val="none" w:sz="0" w:space="0" w:color="auto"/>
        <w:left w:val="none" w:sz="0" w:space="0" w:color="auto"/>
        <w:bottom w:val="none" w:sz="0" w:space="0" w:color="auto"/>
        <w:right w:val="none" w:sz="0" w:space="0" w:color="auto"/>
      </w:divBdr>
    </w:div>
    <w:div w:id="1017579664">
      <w:bodyDiv w:val="1"/>
      <w:marLeft w:val="0"/>
      <w:marRight w:val="0"/>
      <w:marTop w:val="0"/>
      <w:marBottom w:val="0"/>
      <w:divBdr>
        <w:top w:val="none" w:sz="0" w:space="0" w:color="auto"/>
        <w:left w:val="none" w:sz="0" w:space="0" w:color="auto"/>
        <w:bottom w:val="none" w:sz="0" w:space="0" w:color="auto"/>
        <w:right w:val="none" w:sz="0" w:space="0" w:color="auto"/>
      </w:divBdr>
    </w:div>
    <w:div w:id="1018001868">
      <w:bodyDiv w:val="1"/>
      <w:marLeft w:val="0"/>
      <w:marRight w:val="0"/>
      <w:marTop w:val="0"/>
      <w:marBottom w:val="0"/>
      <w:divBdr>
        <w:top w:val="none" w:sz="0" w:space="0" w:color="auto"/>
        <w:left w:val="none" w:sz="0" w:space="0" w:color="auto"/>
        <w:bottom w:val="none" w:sz="0" w:space="0" w:color="auto"/>
        <w:right w:val="none" w:sz="0" w:space="0" w:color="auto"/>
      </w:divBdr>
    </w:div>
    <w:div w:id="1018001902">
      <w:bodyDiv w:val="1"/>
      <w:marLeft w:val="0"/>
      <w:marRight w:val="0"/>
      <w:marTop w:val="0"/>
      <w:marBottom w:val="0"/>
      <w:divBdr>
        <w:top w:val="none" w:sz="0" w:space="0" w:color="auto"/>
        <w:left w:val="none" w:sz="0" w:space="0" w:color="auto"/>
        <w:bottom w:val="none" w:sz="0" w:space="0" w:color="auto"/>
        <w:right w:val="none" w:sz="0" w:space="0" w:color="auto"/>
      </w:divBdr>
    </w:div>
    <w:div w:id="1018653381">
      <w:bodyDiv w:val="1"/>
      <w:marLeft w:val="0"/>
      <w:marRight w:val="0"/>
      <w:marTop w:val="0"/>
      <w:marBottom w:val="0"/>
      <w:divBdr>
        <w:top w:val="none" w:sz="0" w:space="0" w:color="auto"/>
        <w:left w:val="none" w:sz="0" w:space="0" w:color="auto"/>
        <w:bottom w:val="none" w:sz="0" w:space="0" w:color="auto"/>
        <w:right w:val="none" w:sz="0" w:space="0" w:color="auto"/>
      </w:divBdr>
    </w:div>
    <w:div w:id="1018895506">
      <w:bodyDiv w:val="1"/>
      <w:marLeft w:val="0"/>
      <w:marRight w:val="0"/>
      <w:marTop w:val="0"/>
      <w:marBottom w:val="0"/>
      <w:divBdr>
        <w:top w:val="none" w:sz="0" w:space="0" w:color="auto"/>
        <w:left w:val="none" w:sz="0" w:space="0" w:color="auto"/>
        <w:bottom w:val="none" w:sz="0" w:space="0" w:color="auto"/>
        <w:right w:val="none" w:sz="0" w:space="0" w:color="auto"/>
      </w:divBdr>
    </w:div>
    <w:div w:id="1018969353">
      <w:bodyDiv w:val="1"/>
      <w:marLeft w:val="0"/>
      <w:marRight w:val="0"/>
      <w:marTop w:val="0"/>
      <w:marBottom w:val="0"/>
      <w:divBdr>
        <w:top w:val="none" w:sz="0" w:space="0" w:color="auto"/>
        <w:left w:val="none" w:sz="0" w:space="0" w:color="auto"/>
        <w:bottom w:val="none" w:sz="0" w:space="0" w:color="auto"/>
        <w:right w:val="none" w:sz="0" w:space="0" w:color="auto"/>
      </w:divBdr>
    </w:div>
    <w:div w:id="1019084846">
      <w:bodyDiv w:val="1"/>
      <w:marLeft w:val="0"/>
      <w:marRight w:val="0"/>
      <w:marTop w:val="0"/>
      <w:marBottom w:val="0"/>
      <w:divBdr>
        <w:top w:val="none" w:sz="0" w:space="0" w:color="auto"/>
        <w:left w:val="none" w:sz="0" w:space="0" w:color="auto"/>
        <w:bottom w:val="none" w:sz="0" w:space="0" w:color="auto"/>
        <w:right w:val="none" w:sz="0" w:space="0" w:color="auto"/>
      </w:divBdr>
    </w:div>
    <w:div w:id="1019356488">
      <w:bodyDiv w:val="1"/>
      <w:marLeft w:val="0"/>
      <w:marRight w:val="0"/>
      <w:marTop w:val="0"/>
      <w:marBottom w:val="0"/>
      <w:divBdr>
        <w:top w:val="none" w:sz="0" w:space="0" w:color="auto"/>
        <w:left w:val="none" w:sz="0" w:space="0" w:color="auto"/>
        <w:bottom w:val="none" w:sz="0" w:space="0" w:color="auto"/>
        <w:right w:val="none" w:sz="0" w:space="0" w:color="auto"/>
      </w:divBdr>
    </w:div>
    <w:div w:id="1019429850">
      <w:bodyDiv w:val="1"/>
      <w:marLeft w:val="0"/>
      <w:marRight w:val="0"/>
      <w:marTop w:val="0"/>
      <w:marBottom w:val="0"/>
      <w:divBdr>
        <w:top w:val="none" w:sz="0" w:space="0" w:color="auto"/>
        <w:left w:val="none" w:sz="0" w:space="0" w:color="auto"/>
        <w:bottom w:val="none" w:sz="0" w:space="0" w:color="auto"/>
        <w:right w:val="none" w:sz="0" w:space="0" w:color="auto"/>
      </w:divBdr>
    </w:div>
    <w:div w:id="1019430850">
      <w:bodyDiv w:val="1"/>
      <w:marLeft w:val="0"/>
      <w:marRight w:val="0"/>
      <w:marTop w:val="0"/>
      <w:marBottom w:val="0"/>
      <w:divBdr>
        <w:top w:val="none" w:sz="0" w:space="0" w:color="auto"/>
        <w:left w:val="none" w:sz="0" w:space="0" w:color="auto"/>
        <w:bottom w:val="none" w:sz="0" w:space="0" w:color="auto"/>
        <w:right w:val="none" w:sz="0" w:space="0" w:color="auto"/>
      </w:divBdr>
    </w:div>
    <w:div w:id="1019500870">
      <w:bodyDiv w:val="1"/>
      <w:marLeft w:val="0"/>
      <w:marRight w:val="0"/>
      <w:marTop w:val="0"/>
      <w:marBottom w:val="0"/>
      <w:divBdr>
        <w:top w:val="none" w:sz="0" w:space="0" w:color="auto"/>
        <w:left w:val="none" w:sz="0" w:space="0" w:color="auto"/>
        <w:bottom w:val="none" w:sz="0" w:space="0" w:color="auto"/>
        <w:right w:val="none" w:sz="0" w:space="0" w:color="auto"/>
      </w:divBdr>
    </w:div>
    <w:div w:id="1019769937">
      <w:bodyDiv w:val="1"/>
      <w:marLeft w:val="0"/>
      <w:marRight w:val="0"/>
      <w:marTop w:val="0"/>
      <w:marBottom w:val="0"/>
      <w:divBdr>
        <w:top w:val="none" w:sz="0" w:space="0" w:color="auto"/>
        <w:left w:val="none" w:sz="0" w:space="0" w:color="auto"/>
        <w:bottom w:val="none" w:sz="0" w:space="0" w:color="auto"/>
        <w:right w:val="none" w:sz="0" w:space="0" w:color="auto"/>
      </w:divBdr>
    </w:div>
    <w:div w:id="1019896919">
      <w:bodyDiv w:val="1"/>
      <w:marLeft w:val="0"/>
      <w:marRight w:val="0"/>
      <w:marTop w:val="0"/>
      <w:marBottom w:val="0"/>
      <w:divBdr>
        <w:top w:val="none" w:sz="0" w:space="0" w:color="auto"/>
        <w:left w:val="none" w:sz="0" w:space="0" w:color="auto"/>
        <w:bottom w:val="none" w:sz="0" w:space="0" w:color="auto"/>
        <w:right w:val="none" w:sz="0" w:space="0" w:color="auto"/>
      </w:divBdr>
    </w:div>
    <w:div w:id="1020160112">
      <w:bodyDiv w:val="1"/>
      <w:marLeft w:val="0"/>
      <w:marRight w:val="0"/>
      <w:marTop w:val="0"/>
      <w:marBottom w:val="0"/>
      <w:divBdr>
        <w:top w:val="none" w:sz="0" w:space="0" w:color="auto"/>
        <w:left w:val="none" w:sz="0" w:space="0" w:color="auto"/>
        <w:bottom w:val="none" w:sz="0" w:space="0" w:color="auto"/>
        <w:right w:val="none" w:sz="0" w:space="0" w:color="auto"/>
      </w:divBdr>
    </w:div>
    <w:div w:id="1020231475">
      <w:bodyDiv w:val="1"/>
      <w:marLeft w:val="0"/>
      <w:marRight w:val="0"/>
      <w:marTop w:val="0"/>
      <w:marBottom w:val="0"/>
      <w:divBdr>
        <w:top w:val="none" w:sz="0" w:space="0" w:color="auto"/>
        <w:left w:val="none" w:sz="0" w:space="0" w:color="auto"/>
        <w:bottom w:val="none" w:sz="0" w:space="0" w:color="auto"/>
        <w:right w:val="none" w:sz="0" w:space="0" w:color="auto"/>
      </w:divBdr>
    </w:div>
    <w:div w:id="1020545851">
      <w:bodyDiv w:val="1"/>
      <w:marLeft w:val="0"/>
      <w:marRight w:val="0"/>
      <w:marTop w:val="0"/>
      <w:marBottom w:val="0"/>
      <w:divBdr>
        <w:top w:val="none" w:sz="0" w:space="0" w:color="auto"/>
        <w:left w:val="none" w:sz="0" w:space="0" w:color="auto"/>
        <w:bottom w:val="none" w:sz="0" w:space="0" w:color="auto"/>
        <w:right w:val="none" w:sz="0" w:space="0" w:color="auto"/>
      </w:divBdr>
    </w:div>
    <w:div w:id="1020662089">
      <w:bodyDiv w:val="1"/>
      <w:marLeft w:val="0"/>
      <w:marRight w:val="0"/>
      <w:marTop w:val="0"/>
      <w:marBottom w:val="0"/>
      <w:divBdr>
        <w:top w:val="none" w:sz="0" w:space="0" w:color="auto"/>
        <w:left w:val="none" w:sz="0" w:space="0" w:color="auto"/>
        <w:bottom w:val="none" w:sz="0" w:space="0" w:color="auto"/>
        <w:right w:val="none" w:sz="0" w:space="0" w:color="auto"/>
      </w:divBdr>
    </w:div>
    <w:div w:id="1020739845">
      <w:bodyDiv w:val="1"/>
      <w:marLeft w:val="0"/>
      <w:marRight w:val="0"/>
      <w:marTop w:val="0"/>
      <w:marBottom w:val="0"/>
      <w:divBdr>
        <w:top w:val="none" w:sz="0" w:space="0" w:color="auto"/>
        <w:left w:val="none" w:sz="0" w:space="0" w:color="auto"/>
        <w:bottom w:val="none" w:sz="0" w:space="0" w:color="auto"/>
        <w:right w:val="none" w:sz="0" w:space="0" w:color="auto"/>
      </w:divBdr>
    </w:div>
    <w:div w:id="1020817110">
      <w:bodyDiv w:val="1"/>
      <w:marLeft w:val="0"/>
      <w:marRight w:val="0"/>
      <w:marTop w:val="0"/>
      <w:marBottom w:val="0"/>
      <w:divBdr>
        <w:top w:val="none" w:sz="0" w:space="0" w:color="auto"/>
        <w:left w:val="none" w:sz="0" w:space="0" w:color="auto"/>
        <w:bottom w:val="none" w:sz="0" w:space="0" w:color="auto"/>
        <w:right w:val="none" w:sz="0" w:space="0" w:color="auto"/>
      </w:divBdr>
    </w:div>
    <w:div w:id="1020931766">
      <w:bodyDiv w:val="1"/>
      <w:marLeft w:val="0"/>
      <w:marRight w:val="0"/>
      <w:marTop w:val="0"/>
      <w:marBottom w:val="0"/>
      <w:divBdr>
        <w:top w:val="none" w:sz="0" w:space="0" w:color="auto"/>
        <w:left w:val="none" w:sz="0" w:space="0" w:color="auto"/>
        <w:bottom w:val="none" w:sz="0" w:space="0" w:color="auto"/>
        <w:right w:val="none" w:sz="0" w:space="0" w:color="auto"/>
      </w:divBdr>
    </w:div>
    <w:div w:id="1021007389">
      <w:bodyDiv w:val="1"/>
      <w:marLeft w:val="0"/>
      <w:marRight w:val="0"/>
      <w:marTop w:val="0"/>
      <w:marBottom w:val="0"/>
      <w:divBdr>
        <w:top w:val="none" w:sz="0" w:space="0" w:color="auto"/>
        <w:left w:val="none" w:sz="0" w:space="0" w:color="auto"/>
        <w:bottom w:val="none" w:sz="0" w:space="0" w:color="auto"/>
        <w:right w:val="none" w:sz="0" w:space="0" w:color="auto"/>
      </w:divBdr>
    </w:div>
    <w:div w:id="1021273269">
      <w:bodyDiv w:val="1"/>
      <w:marLeft w:val="0"/>
      <w:marRight w:val="0"/>
      <w:marTop w:val="0"/>
      <w:marBottom w:val="0"/>
      <w:divBdr>
        <w:top w:val="none" w:sz="0" w:space="0" w:color="auto"/>
        <w:left w:val="none" w:sz="0" w:space="0" w:color="auto"/>
        <w:bottom w:val="none" w:sz="0" w:space="0" w:color="auto"/>
        <w:right w:val="none" w:sz="0" w:space="0" w:color="auto"/>
      </w:divBdr>
    </w:div>
    <w:div w:id="1021472245">
      <w:bodyDiv w:val="1"/>
      <w:marLeft w:val="0"/>
      <w:marRight w:val="0"/>
      <w:marTop w:val="0"/>
      <w:marBottom w:val="0"/>
      <w:divBdr>
        <w:top w:val="none" w:sz="0" w:space="0" w:color="auto"/>
        <w:left w:val="none" w:sz="0" w:space="0" w:color="auto"/>
        <w:bottom w:val="none" w:sz="0" w:space="0" w:color="auto"/>
        <w:right w:val="none" w:sz="0" w:space="0" w:color="auto"/>
      </w:divBdr>
    </w:div>
    <w:div w:id="1021666192">
      <w:bodyDiv w:val="1"/>
      <w:marLeft w:val="0"/>
      <w:marRight w:val="0"/>
      <w:marTop w:val="0"/>
      <w:marBottom w:val="0"/>
      <w:divBdr>
        <w:top w:val="none" w:sz="0" w:space="0" w:color="auto"/>
        <w:left w:val="none" w:sz="0" w:space="0" w:color="auto"/>
        <w:bottom w:val="none" w:sz="0" w:space="0" w:color="auto"/>
        <w:right w:val="none" w:sz="0" w:space="0" w:color="auto"/>
      </w:divBdr>
    </w:div>
    <w:div w:id="1021738913">
      <w:bodyDiv w:val="1"/>
      <w:marLeft w:val="0"/>
      <w:marRight w:val="0"/>
      <w:marTop w:val="0"/>
      <w:marBottom w:val="0"/>
      <w:divBdr>
        <w:top w:val="none" w:sz="0" w:space="0" w:color="auto"/>
        <w:left w:val="none" w:sz="0" w:space="0" w:color="auto"/>
        <w:bottom w:val="none" w:sz="0" w:space="0" w:color="auto"/>
        <w:right w:val="none" w:sz="0" w:space="0" w:color="auto"/>
      </w:divBdr>
    </w:div>
    <w:div w:id="1021976550">
      <w:bodyDiv w:val="1"/>
      <w:marLeft w:val="0"/>
      <w:marRight w:val="0"/>
      <w:marTop w:val="0"/>
      <w:marBottom w:val="0"/>
      <w:divBdr>
        <w:top w:val="none" w:sz="0" w:space="0" w:color="auto"/>
        <w:left w:val="none" w:sz="0" w:space="0" w:color="auto"/>
        <w:bottom w:val="none" w:sz="0" w:space="0" w:color="auto"/>
        <w:right w:val="none" w:sz="0" w:space="0" w:color="auto"/>
      </w:divBdr>
    </w:div>
    <w:div w:id="1022167402">
      <w:bodyDiv w:val="1"/>
      <w:marLeft w:val="0"/>
      <w:marRight w:val="0"/>
      <w:marTop w:val="0"/>
      <w:marBottom w:val="0"/>
      <w:divBdr>
        <w:top w:val="none" w:sz="0" w:space="0" w:color="auto"/>
        <w:left w:val="none" w:sz="0" w:space="0" w:color="auto"/>
        <w:bottom w:val="none" w:sz="0" w:space="0" w:color="auto"/>
        <w:right w:val="none" w:sz="0" w:space="0" w:color="auto"/>
      </w:divBdr>
    </w:div>
    <w:div w:id="1022197494">
      <w:bodyDiv w:val="1"/>
      <w:marLeft w:val="0"/>
      <w:marRight w:val="0"/>
      <w:marTop w:val="0"/>
      <w:marBottom w:val="0"/>
      <w:divBdr>
        <w:top w:val="none" w:sz="0" w:space="0" w:color="auto"/>
        <w:left w:val="none" w:sz="0" w:space="0" w:color="auto"/>
        <w:bottom w:val="none" w:sz="0" w:space="0" w:color="auto"/>
        <w:right w:val="none" w:sz="0" w:space="0" w:color="auto"/>
      </w:divBdr>
    </w:div>
    <w:div w:id="1022316611">
      <w:bodyDiv w:val="1"/>
      <w:marLeft w:val="0"/>
      <w:marRight w:val="0"/>
      <w:marTop w:val="0"/>
      <w:marBottom w:val="0"/>
      <w:divBdr>
        <w:top w:val="none" w:sz="0" w:space="0" w:color="auto"/>
        <w:left w:val="none" w:sz="0" w:space="0" w:color="auto"/>
        <w:bottom w:val="none" w:sz="0" w:space="0" w:color="auto"/>
        <w:right w:val="none" w:sz="0" w:space="0" w:color="auto"/>
      </w:divBdr>
    </w:div>
    <w:div w:id="1022363059">
      <w:bodyDiv w:val="1"/>
      <w:marLeft w:val="0"/>
      <w:marRight w:val="0"/>
      <w:marTop w:val="0"/>
      <w:marBottom w:val="0"/>
      <w:divBdr>
        <w:top w:val="none" w:sz="0" w:space="0" w:color="auto"/>
        <w:left w:val="none" w:sz="0" w:space="0" w:color="auto"/>
        <w:bottom w:val="none" w:sz="0" w:space="0" w:color="auto"/>
        <w:right w:val="none" w:sz="0" w:space="0" w:color="auto"/>
      </w:divBdr>
    </w:div>
    <w:div w:id="1022777258">
      <w:bodyDiv w:val="1"/>
      <w:marLeft w:val="0"/>
      <w:marRight w:val="0"/>
      <w:marTop w:val="0"/>
      <w:marBottom w:val="0"/>
      <w:divBdr>
        <w:top w:val="none" w:sz="0" w:space="0" w:color="auto"/>
        <w:left w:val="none" w:sz="0" w:space="0" w:color="auto"/>
        <w:bottom w:val="none" w:sz="0" w:space="0" w:color="auto"/>
        <w:right w:val="none" w:sz="0" w:space="0" w:color="auto"/>
      </w:divBdr>
    </w:div>
    <w:div w:id="1023284998">
      <w:bodyDiv w:val="1"/>
      <w:marLeft w:val="0"/>
      <w:marRight w:val="0"/>
      <w:marTop w:val="0"/>
      <w:marBottom w:val="0"/>
      <w:divBdr>
        <w:top w:val="none" w:sz="0" w:space="0" w:color="auto"/>
        <w:left w:val="none" w:sz="0" w:space="0" w:color="auto"/>
        <w:bottom w:val="none" w:sz="0" w:space="0" w:color="auto"/>
        <w:right w:val="none" w:sz="0" w:space="0" w:color="auto"/>
      </w:divBdr>
    </w:div>
    <w:div w:id="1023822631">
      <w:bodyDiv w:val="1"/>
      <w:marLeft w:val="0"/>
      <w:marRight w:val="0"/>
      <w:marTop w:val="0"/>
      <w:marBottom w:val="0"/>
      <w:divBdr>
        <w:top w:val="none" w:sz="0" w:space="0" w:color="auto"/>
        <w:left w:val="none" w:sz="0" w:space="0" w:color="auto"/>
        <w:bottom w:val="none" w:sz="0" w:space="0" w:color="auto"/>
        <w:right w:val="none" w:sz="0" w:space="0" w:color="auto"/>
      </w:divBdr>
    </w:div>
    <w:div w:id="1023823208">
      <w:bodyDiv w:val="1"/>
      <w:marLeft w:val="0"/>
      <w:marRight w:val="0"/>
      <w:marTop w:val="0"/>
      <w:marBottom w:val="0"/>
      <w:divBdr>
        <w:top w:val="none" w:sz="0" w:space="0" w:color="auto"/>
        <w:left w:val="none" w:sz="0" w:space="0" w:color="auto"/>
        <w:bottom w:val="none" w:sz="0" w:space="0" w:color="auto"/>
        <w:right w:val="none" w:sz="0" w:space="0" w:color="auto"/>
      </w:divBdr>
    </w:div>
    <w:div w:id="1023938114">
      <w:bodyDiv w:val="1"/>
      <w:marLeft w:val="0"/>
      <w:marRight w:val="0"/>
      <w:marTop w:val="0"/>
      <w:marBottom w:val="0"/>
      <w:divBdr>
        <w:top w:val="none" w:sz="0" w:space="0" w:color="auto"/>
        <w:left w:val="none" w:sz="0" w:space="0" w:color="auto"/>
        <w:bottom w:val="none" w:sz="0" w:space="0" w:color="auto"/>
        <w:right w:val="none" w:sz="0" w:space="0" w:color="auto"/>
      </w:divBdr>
    </w:div>
    <w:div w:id="1024012254">
      <w:bodyDiv w:val="1"/>
      <w:marLeft w:val="0"/>
      <w:marRight w:val="0"/>
      <w:marTop w:val="0"/>
      <w:marBottom w:val="0"/>
      <w:divBdr>
        <w:top w:val="none" w:sz="0" w:space="0" w:color="auto"/>
        <w:left w:val="none" w:sz="0" w:space="0" w:color="auto"/>
        <w:bottom w:val="none" w:sz="0" w:space="0" w:color="auto"/>
        <w:right w:val="none" w:sz="0" w:space="0" w:color="auto"/>
      </w:divBdr>
    </w:div>
    <w:div w:id="1024206749">
      <w:bodyDiv w:val="1"/>
      <w:marLeft w:val="0"/>
      <w:marRight w:val="0"/>
      <w:marTop w:val="0"/>
      <w:marBottom w:val="0"/>
      <w:divBdr>
        <w:top w:val="none" w:sz="0" w:space="0" w:color="auto"/>
        <w:left w:val="none" w:sz="0" w:space="0" w:color="auto"/>
        <w:bottom w:val="none" w:sz="0" w:space="0" w:color="auto"/>
        <w:right w:val="none" w:sz="0" w:space="0" w:color="auto"/>
      </w:divBdr>
    </w:div>
    <w:div w:id="1024210034">
      <w:bodyDiv w:val="1"/>
      <w:marLeft w:val="0"/>
      <w:marRight w:val="0"/>
      <w:marTop w:val="0"/>
      <w:marBottom w:val="0"/>
      <w:divBdr>
        <w:top w:val="none" w:sz="0" w:space="0" w:color="auto"/>
        <w:left w:val="none" w:sz="0" w:space="0" w:color="auto"/>
        <w:bottom w:val="none" w:sz="0" w:space="0" w:color="auto"/>
        <w:right w:val="none" w:sz="0" w:space="0" w:color="auto"/>
      </w:divBdr>
    </w:div>
    <w:div w:id="1024475907">
      <w:bodyDiv w:val="1"/>
      <w:marLeft w:val="0"/>
      <w:marRight w:val="0"/>
      <w:marTop w:val="0"/>
      <w:marBottom w:val="0"/>
      <w:divBdr>
        <w:top w:val="none" w:sz="0" w:space="0" w:color="auto"/>
        <w:left w:val="none" w:sz="0" w:space="0" w:color="auto"/>
        <w:bottom w:val="none" w:sz="0" w:space="0" w:color="auto"/>
        <w:right w:val="none" w:sz="0" w:space="0" w:color="auto"/>
      </w:divBdr>
    </w:div>
    <w:div w:id="1024596413">
      <w:bodyDiv w:val="1"/>
      <w:marLeft w:val="0"/>
      <w:marRight w:val="0"/>
      <w:marTop w:val="0"/>
      <w:marBottom w:val="0"/>
      <w:divBdr>
        <w:top w:val="none" w:sz="0" w:space="0" w:color="auto"/>
        <w:left w:val="none" w:sz="0" w:space="0" w:color="auto"/>
        <w:bottom w:val="none" w:sz="0" w:space="0" w:color="auto"/>
        <w:right w:val="none" w:sz="0" w:space="0" w:color="auto"/>
      </w:divBdr>
    </w:div>
    <w:div w:id="1024673107">
      <w:bodyDiv w:val="1"/>
      <w:marLeft w:val="0"/>
      <w:marRight w:val="0"/>
      <w:marTop w:val="0"/>
      <w:marBottom w:val="0"/>
      <w:divBdr>
        <w:top w:val="none" w:sz="0" w:space="0" w:color="auto"/>
        <w:left w:val="none" w:sz="0" w:space="0" w:color="auto"/>
        <w:bottom w:val="none" w:sz="0" w:space="0" w:color="auto"/>
        <w:right w:val="none" w:sz="0" w:space="0" w:color="auto"/>
      </w:divBdr>
    </w:div>
    <w:div w:id="1025132517">
      <w:bodyDiv w:val="1"/>
      <w:marLeft w:val="0"/>
      <w:marRight w:val="0"/>
      <w:marTop w:val="0"/>
      <w:marBottom w:val="0"/>
      <w:divBdr>
        <w:top w:val="none" w:sz="0" w:space="0" w:color="auto"/>
        <w:left w:val="none" w:sz="0" w:space="0" w:color="auto"/>
        <w:bottom w:val="none" w:sz="0" w:space="0" w:color="auto"/>
        <w:right w:val="none" w:sz="0" w:space="0" w:color="auto"/>
      </w:divBdr>
    </w:div>
    <w:div w:id="1025210616">
      <w:bodyDiv w:val="1"/>
      <w:marLeft w:val="0"/>
      <w:marRight w:val="0"/>
      <w:marTop w:val="0"/>
      <w:marBottom w:val="0"/>
      <w:divBdr>
        <w:top w:val="none" w:sz="0" w:space="0" w:color="auto"/>
        <w:left w:val="none" w:sz="0" w:space="0" w:color="auto"/>
        <w:bottom w:val="none" w:sz="0" w:space="0" w:color="auto"/>
        <w:right w:val="none" w:sz="0" w:space="0" w:color="auto"/>
      </w:divBdr>
    </w:div>
    <w:div w:id="1025248694">
      <w:bodyDiv w:val="1"/>
      <w:marLeft w:val="0"/>
      <w:marRight w:val="0"/>
      <w:marTop w:val="0"/>
      <w:marBottom w:val="0"/>
      <w:divBdr>
        <w:top w:val="none" w:sz="0" w:space="0" w:color="auto"/>
        <w:left w:val="none" w:sz="0" w:space="0" w:color="auto"/>
        <w:bottom w:val="none" w:sz="0" w:space="0" w:color="auto"/>
        <w:right w:val="none" w:sz="0" w:space="0" w:color="auto"/>
      </w:divBdr>
    </w:div>
    <w:div w:id="1025327560">
      <w:bodyDiv w:val="1"/>
      <w:marLeft w:val="0"/>
      <w:marRight w:val="0"/>
      <w:marTop w:val="0"/>
      <w:marBottom w:val="0"/>
      <w:divBdr>
        <w:top w:val="none" w:sz="0" w:space="0" w:color="auto"/>
        <w:left w:val="none" w:sz="0" w:space="0" w:color="auto"/>
        <w:bottom w:val="none" w:sz="0" w:space="0" w:color="auto"/>
        <w:right w:val="none" w:sz="0" w:space="0" w:color="auto"/>
      </w:divBdr>
    </w:div>
    <w:div w:id="1025449309">
      <w:bodyDiv w:val="1"/>
      <w:marLeft w:val="0"/>
      <w:marRight w:val="0"/>
      <w:marTop w:val="0"/>
      <w:marBottom w:val="0"/>
      <w:divBdr>
        <w:top w:val="none" w:sz="0" w:space="0" w:color="auto"/>
        <w:left w:val="none" w:sz="0" w:space="0" w:color="auto"/>
        <w:bottom w:val="none" w:sz="0" w:space="0" w:color="auto"/>
        <w:right w:val="none" w:sz="0" w:space="0" w:color="auto"/>
      </w:divBdr>
    </w:div>
    <w:div w:id="1025523154">
      <w:bodyDiv w:val="1"/>
      <w:marLeft w:val="0"/>
      <w:marRight w:val="0"/>
      <w:marTop w:val="0"/>
      <w:marBottom w:val="0"/>
      <w:divBdr>
        <w:top w:val="none" w:sz="0" w:space="0" w:color="auto"/>
        <w:left w:val="none" w:sz="0" w:space="0" w:color="auto"/>
        <w:bottom w:val="none" w:sz="0" w:space="0" w:color="auto"/>
        <w:right w:val="none" w:sz="0" w:space="0" w:color="auto"/>
      </w:divBdr>
    </w:div>
    <w:div w:id="1025711997">
      <w:bodyDiv w:val="1"/>
      <w:marLeft w:val="0"/>
      <w:marRight w:val="0"/>
      <w:marTop w:val="0"/>
      <w:marBottom w:val="0"/>
      <w:divBdr>
        <w:top w:val="none" w:sz="0" w:space="0" w:color="auto"/>
        <w:left w:val="none" w:sz="0" w:space="0" w:color="auto"/>
        <w:bottom w:val="none" w:sz="0" w:space="0" w:color="auto"/>
        <w:right w:val="none" w:sz="0" w:space="0" w:color="auto"/>
      </w:divBdr>
    </w:div>
    <w:div w:id="1025912401">
      <w:bodyDiv w:val="1"/>
      <w:marLeft w:val="0"/>
      <w:marRight w:val="0"/>
      <w:marTop w:val="0"/>
      <w:marBottom w:val="0"/>
      <w:divBdr>
        <w:top w:val="none" w:sz="0" w:space="0" w:color="auto"/>
        <w:left w:val="none" w:sz="0" w:space="0" w:color="auto"/>
        <w:bottom w:val="none" w:sz="0" w:space="0" w:color="auto"/>
        <w:right w:val="none" w:sz="0" w:space="0" w:color="auto"/>
      </w:divBdr>
    </w:div>
    <w:div w:id="1026102175">
      <w:bodyDiv w:val="1"/>
      <w:marLeft w:val="0"/>
      <w:marRight w:val="0"/>
      <w:marTop w:val="0"/>
      <w:marBottom w:val="0"/>
      <w:divBdr>
        <w:top w:val="none" w:sz="0" w:space="0" w:color="auto"/>
        <w:left w:val="none" w:sz="0" w:space="0" w:color="auto"/>
        <w:bottom w:val="none" w:sz="0" w:space="0" w:color="auto"/>
        <w:right w:val="none" w:sz="0" w:space="0" w:color="auto"/>
      </w:divBdr>
    </w:div>
    <w:div w:id="1026296115">
      <w:bodyDiv w:val="1"/>
      <w:marLeft w:val="0"/>
      <w:marRight w:val="0"/>
      <w:marTop w:val="0"/>
      <w:marBottom w:val="0"/>
      <w:divBdr>
        <w:top w:val="none" w:sz="0" w:space="0" w:color="auto"/>
        <w:left w:val="none" w:sz="0" w:space="0" w:color="auto"/>
        <w:bottom w:val="none" w:sz="0" w:space="0" w:color="auto"/>
        <w:right w:val="none" w:sz="0" w:space="0" w:color="auto"/>
      </w:divBdr>
    </w:div>
    <w:div w:id="1026440854">
      <w:bodyDiv w:val="1"/>
      <w:marLeft w:val="0"/>
      <w:marRight w:val="0"/>
      <w:marTop w:val="0"/>
      <w:marBottom w:val="0"/>
      <w:divBdr>
        <w:top w:val="none" w:sz="0" w:space="0" w:color="auto"/>
        <w:left w:val="none" w:sz="0" w:space="0" w:color="auto"/>
        <w:bottom w:val="none" w:sz="0" w:space="0" w:color="auto"/>
        <w:right w:val="none" w:sz="0" w:space="0" w:color="auto"/>
      </w:divBdr>
    </w:div>
    <w:div w:id="1026515682">
      <w:bodyDiv w:val="1"/>
      <w:marLeft w:val="0"/>
      <w:marRight w:val="0"/>
      <w:marTop w:val="0"/>
      <w:marBottom w:val="0"/>
      <w:divBdr>
        <w:top w:val="none" w:sz="0" w:space="0" w:color="auto"/>
        <w:left w:val="none" w:sz="0" w:space="0" w:color="auto"/>
        <w:bottom w:val="none" w:sz="0" w:space="0" w:color="auto"/>
        <w:right w:val="none" w:sz="0" w:space="0" w:color="auto"/>
      </w:divBdr>
    </w:div>
    <w:div w:id="1026902895">
      <w:bodyDiv w:val="1"/>
      <w:marLeft w:val="0"/>
      <w:marRight w:val="0"/>
      <w:marTop w:val="0"/>
      <w:marBottom w:val="0"/>
      <w:divBdr>
        <w:top w:val="none" w:sz="0" w:space="0" w:color="auto"/>
        <w:left w:val="none" w:sz="0" w:space="0" w:color="auto"/>
        <w:bottom w:val="none" w:sz="0" w:space="0" w:color="auto"/>
        <w:right w:val="none" w:sz="0" w:space="0" w:color="auto"/>
      </w:divBdr>
    </w:div>
    <w:div w:id="1026977820">
      <w:bodyDiv w:val="1"/>
      <w:marLeft w:val="0"/>
      <w:marRight w:val="0"/>
      <w:marTop w:val="0"/>
      <w:marBottom w:val="0"/>
      <w:divBdr>
        <w:top w:val="none" w:sz="0" w:space="0" w:color="auto"/>
        <w:left w:val="none" w:sz="0" w:space="0" w:color="auto"/>
        <w:bottom w:val="none" w:sz="0" w:space="0" w:color="auto"/>
        <w:right w:val="none" w:sz="0" w:space="0" w:color="auto"/>
      </w:divBdr>
    </w:div>
    <w:div w:id="1027028715">
      <w:bodyDiv w:val="1"/>
      <w:marLeft w:val="0"/>
      <w:marRight w:val="0"/>
      <w:marTop w:val="0"/>
      <w:marBottom w:val="0"/>
      <w:divBdr>
        <w:top w:val="none" w:sz="0" w:space="0" w:color="auto"/>
        <w:left w:val="none" w:sz="0" w:space="0" w:color="auto"/>
        <w:bottom w:val="none" w:sz="0" w:space="0" w:color="auto"/>
        <w:right w:val="none" w:sz="0" w:space="0" w:color="auto"/>
      </w:divBdr>
    </w:div>
    <w:div w:id="1027173881">
      <w:bodyDiv w:val="1"/>
      <w:marLeft w:val="0"/>
      <w:marRight w:val="0"/>
      <w:marTop w:val="0"/>
      <w:marBottom w:val="0"/>
      <w:divBdr>
        <w:top w:val="none" w:sz="0" w:space="0" w:color="auto"/>
        <w:left w:val="none" w:sz="0" w:space="0" w:color="auto"/>
        <w:bottom w:val="none" w:sz="0" w:space="0" w:color="auto"/>
        <w:right w:val="none" w:sz="0" w:space="0" w:color="auto"/>
      </w:divBdr>
    </w:div>
    <w:div w:id="1027559887">
      <w:bodyDiv w:val="1"/>
      <w:marLeft w:val="0"/>
      <w:marRight w:val="0"/>
      <w:marTop w:val="0"/>
      <w:marBottom w:val="0"/>
      <w:divBdr>
        <w:top w:val="none" w:sz="0" w:space="0" w:color="auto"/>
        <w:left w:val="none" w:sz="0" w:space="0" w:color="auto"/>
        <w:bottom w:val="none" w:sz="0" w:space="0" w:color="auto"/>
        <w:right w:val="none" w:sz="0" w:space="0" w:color="auto"/>
      </w:divBdr>
    </w:div>
    <w:div w:id="1027827155">
      <w:bodyDiv w:val="1"/>
      <w:marLeft w:val="0"/>
      <w:marRight w:val="0"/>
      <w:marTop w:val="0"/>
      <w:marBottom w:val="0"/>
      <w:divBdr>
        <w:top w:val="none" w:sz="0" w:space="0" w:color="auto"/>
        <w:left w:val="none" w:sz="0" w:space="0" w:color="auto"/>
        <w:bottom w:val="none" w:sz="0" w:space="0" w:color="auto"/>
        <w:right w:val="none" w:sz="0" w:space="0" w:color="auto"/>
      </w:divBdr>
    </w:div>
    <w:div w:id="1027833750">
      <w:bodyDiv w:val="1"/>
      <w:marLeft w:val="0"/>
      <w:marRight w:val="0"/>
      <w:marTop w:val="0"/>
      <w:marBottom w:val="0"/>
      <w:divBdr>
        <w:top w:val="none" w:sz="0" w:space="0" w:color="auto"/>
        <w:left w:val="none" w:sz="0" w:space="0" w:color="auto"/>
        <w:bottom w:val="none" w:sz="0" w:space="0" w:color="auto"/>
        <w:right w:val="none" w:sz="0" w:space="0" w:color="auto"/>
      </w:divBdr>
    </w:div>
    <w:div w:id="1027876337">
      <w:bodyDiv w:val="1"/>
      <w:marLeft w:val="0"/>
      <w:marRight w:val="0"/>
      <w:marTop w:val="0"/>
      <w:marBottom w:val="0"/>
      <w:divBdr>
        <w:top w:val="none" w:sz="0" w:space="0" w:color="auto"/>
        <w:left w:val="none" w:sz="0" w:space="0" w:color="auto"/>
        <w:bottom w:val="none" w:sz="0" w:space="0" w:color="auto"/>
        <w:right w:val="none" w:sz="0" w:space="0" w:color="auto"/>
      </w:divBdr>
    </w:div>
    <w:div w:id="1027878115">
      <w:bodyDiv w:val="1"/>
      <w:marLeft w:val="0"/>
      <w:marRight w:val="0"/>
      <w:marTop w:val="0"/>
      <w:marBottom w:val="0"/>
      <w:divBdr>
        <w:top w:val="none" w:sz="0" w:space="0" w:color="auto"/>
        <w:left w:val="none" w:sz="0" w:space="0" w:color="auto"/>
        <w:bottom w:val="none" w:sz="0" w:space="0" w:color="auto"/>
        <w:right w:val="none" w:sz="0" w:space="0" w:color="auto"/>
      </w:divBdr>
    </w:div>
    <w:div w:id="1028411301">
      <w:bodyDiv w:val="1"/>
      <w:marLeft w:val="0"/>
      <w:marRight w:val="0"/>
      <w:marTop w:val="0"/>
      <w:marBottom w:val="0"/>
      <w:divBdr>
        <w:top w:val="none" w:sz="0" w:space="0" w:color="auto"/>
        <w:left w:val="none" w:sz="0" w:space="0" w:color="auto"/>
        <w:bottom w:val="none" w:sz="0" w:space="0" w:color="auto"/>
        <w:right w:val="none" w:sz="0" w:space="0" w:color="auto"/>
      </w:divBdr>
    </w:div>
    <w:div w:id="1028526306">
      <w:bodyDiv w:val="1"/>
      <w:marLeft w:val="0"/>
      <w:marRight w:val="0"/>
      <w:marTop w:val="0"/>
      <w:marBottom w:val="0"/>
      <w:divBdr>
        <w:top w:val="none" w:sz="0" w:space="0" w:color="auto"/>
        <w:left w:val="none" w:sz="0" w:space="0" w:color="auto"/>
        <w:bottom w:val="none" w:sz="0" w:space="0" w:color="auto"/>
        <w:right w:val="none" w:sz="0" w:space="0" w:color="auto"/>
      </w:divBdr>
    </w:div>
    <w:div w:id="1029139542">
      <w:bodyDiv w:val="1"/>
      <w:marLeft w:val="0"/>
      <w:marRight w:val="0"/>
      <w:marTop w:val="0"/>
      <w:marBottom w:val="0"/>
      <w:divBdr>
        <w:top w:val="none" w:sz="0" w:space="0" w:color="auto"/>
        <w:left w:val="none" w:sz="0" w:space="0" w:color="auto"/>
        <w:bottom w:val="none" w:sz="0" w:space="0" w:color="auto"/>
        <w:right w:val="none" w:sz="0" w:space="0" w:color="auto"/>
      </w:divBdr>
    </w:div>
    <w:div w:id="1029260970">
      <w:bodyDiv w:val="1"/>
      <w:marLeft w:val="0"/>
      <w:marRight w:val="0"/>
      <w:marTop w:val="0"/>
      <w:marBottom w:val="0"/>
      <w:divBdr>
        <w:top w:val="none" w:sz="0" w:space="0" w:color="auto"/>
        <w:left w:val="none" w:sz="0" w:space="0" w:color="auto"/>
        <w:bottom w:val="none" w:sz="0" w:space="0" w:color="auto"/>
        <w:right w:val="none" w:sz="0" w:space="0" w:color="auto"/>
      </w:divBdr>
    </w:div>
    <w:div w:id="1030034817">
      <w:bodyDiv w:val="1"/>
      <w:marLeft w:val="0"/>
      <w:marRight w:val="0"/>
      <w:marTop w:val="0"/>
      <w:marBottom w:val="0"/>
      <w:divBdr>
        <w:top w:val="none" w:sz="0" w:space="0" w:color="auto"/>
        <w:left w:val="none" w:sz="0" w:space="0" w:color="auto"/>
        <w:bottom w:val="none" w:sz="0" w:space="0" w:color="auto"/>
        <w:right w:val="none" w:sz="0" w:space="0" w:color="auto"/>
      </w:divBdr>
    </w:div>
    <w:div w:id="1030108250">
      <w:bodyDiv w:val="1"/>
      <w:marLeft w:val="0"/>
      <w:marRight w:val="0"/>
      <w:marTop w:val="0"/>
      <w:marBottom w:val="0"/>
      <w:divBdr>
        <w:top w:val="none" w:sz="0" w:space="0" w:color="auto"/>
        <w:left w:val="none" w:sz="0" w:space="0" w:color="auto"/>
        <w:bottom w:val="none" w:sz="0" w:space="0" w:color="auto"/>
        <w:right w:val="none" w:sz="0" w:space="0" w:color="auto"/>
      </w:divBdr>
    </w:div>
    <w:div w:id="1030453307">
      <w:bodyDiv w:val="1"/>
      <w:marLeft w:val="0"/>
      <w:marRight w:val="0"/>
      <w:marTop w:val="0"/>
      <w:marBottom w:val="0"/>
      <w:divBdr>
        <w:top w:val="none" w:sz="0" w:space="0" w:color="auto"/>
        <w:left w:val="none" w:sz="0" w:space="0" w:color="auto"/>
        <w:bottom w:val="none" w:sz="0" w:space="0" w:color="auto"/>
        <w:right w:val="none" w:sz="0" w:space="0" w:color="auto"/>
      </w:divBdr>
    </w:div>
    <w:div w:id="1030454285">
      <w:bodyDiv w:val="1"/>
      <w:marLeft w:val="0"/>
      <w:marRight w:val="0"/>
      <w:marTop w:val="0"/>
      <w:marBottom w:val="0"/>
      <w:divBdr>
        <w:top w:val="none" w:sz="0" w:space="0" w:color="auto"/>
        <w:left w:val="none" w:sz="0" w:space="0" w:color="auto"/>
        <w:bottom w:val="none" w:sz="0" w:space="0" w:color="auto"/>
        <w:right w:val="none" w:sz="0" w:space="0" w:color="auto"/>
      </w:divBdr>
    </w:div>
    <w:div w:id="1030493257">
      <w:bodyDiv w:val="1"/>
      <w:marLeft w:val="0"/>
      <w:marRight w:val="0"/>
      <w:marTop w:val="0"/>
      <w:marBottom w:val="0"/>
      <w:divBdr>
        <w:top w:val="none" w:sz="0" w:space="0" w:color="auto"/>
        <w:left w:val="none" w:sz="0" w:space="0" w:color="auto"/>
        <w:bottom w:val="none" w:sz="0" w:space="0" w:color="auto"/>
        <w:right w:val="none" w:sz="0" w:space="0" w:color="auto"/>
      </w:divBdr>
    </w:div>
    <w:div w:id="1030766943">
      <w:bodyDiv w:val="1"/>
      <w:marLeft w:val="0"/>
      <w:marRight w:val="0"/>
      <w:marTop w:val="0"/>
      <w:marBottom w:val="0"/>
      <w:divBdr>
        <w:top w:val="none" w:sz="0" w:space="0" w:color="auto"/>
        <w:left w:val="none" w:sz="0" w:space="0" w:color="auto"/>
        <w:bottom w:val="none" w:sz="0" w:space="0" w:color="auto"/>
        <w:right w:val="none" w:sz="0" w:space="0" w:color="auto"/>
      </w:divBdr>
    </w:div>
    <w:div w:id="1030911905">
      <w:bodyDiv w:val="1"/>
      <w:marLeft w:val="0"/>
      <w:marRight w:val="0"/>
      <w:marTop w:val="0"/>
      <w:marBottom w:val="0"/>
      <w:divBdr>
        <w:top w:val="none" w:sz="0" w:space="0" w:color="auto"/>
        <w:left w:val="none" w:sz="0" w:space="0" w:color="auto"/>
        <w:bottom w:val="none" w:sz="0" w:space="0" w:color="auto"/>
        <w:right w:val="none" w:sz="0" w:space="0" w:color="auto"/>
      </w:divBdr>
    </w:div>
    <w:div w:id="1031225472">
      <w:bodyDiv w:val="1"/>
      <w:marLeft w:val="0"/>
      <w:marRight w:val="0"/>
      <w:marTop w:val="0"/>
      <w:marBottom w:val="0"/>
      <w:divBdr>
        <w:top w:val="none" w:sz="0" w:space="0" w:color="auto"/>
        <w:left w:val="none" w:sz="0" w:space="0" w:color="auto"/>
        <w:bottom w:val="none" w:sz="0" w:space="0" w:color="auto"/>
        <w:right w:val="none" w:sz="0" w:space="0" w:color="auto"/>
      </w:divBdr>
    </w:div>
    <w:div w:id="1031492480">
      <w:bodyDiv w:val="1"/>
      <w:marLeft w:val="0"/>
      <w:marRight w:val="0"/>
      <w:marTop w:val="0"/>
      <w:marBottom w:val="0"/>
      <w:divBdr>
        <w:top w:val="none" w:sz="0" w:space="0" w:color="auto"/>
        <w:left w:val="none" w:sz="0" w:space="0" w:color="auto"/>
        <w:bottom w:val="none" w:sz="0" w:space="0" w:color="auto"/>
        <w:right w:val="none" w:sz="0" w:space="0" w:color="auto"/>
      </w:divBdr>
    </w:div>
    <w:div w:id="1031496215">
      <w:bodyDiv w:val="1"/>
      <w:marLeft w:val="0"/>
      <w:marRight w:val="0"/>
      <w:marTop w:val="0"/>
      <w:marBottom w:val="0"/>
      <w:divBdr>
        <w:top w:val="none" w:sz="0" w:space="0" w:color="auto"/>
        <w:left w:val="none" w:sz="0" w:space="0" w:color="auto"/>
        <w:bottom w:val="none" w:sz="0" w:space="0" w:color="auto"/>
        <w:right w:val="none" w:sz="0" w:space="0" w:color="auto"/>
      </w:divBdr>
    </w:div>
    <w:div w:id="1032075004">
      <w:bodyDiv w:val="1"/>
      <w:marLeft w:val="0"/>
      <w:marRight w:val="0"/>
      <w:marTop w:val="0"/>
      <w:marBottom w:val="0"/>
      <w:divBdr>
        <w:top w:val="none" w:sz="0" w:space="0" w:color="auto"/>
        <w:left w:val="none" w:sz="0" w:space="0" w:color="auto"/>
        <w:bottom w:val="none" w:sz="0" w:space="0" w:color="auto"/>
        <w:right w:val="none" w:sz="0" w:space="0" w:color="auto"/>
      </w:divBdr>
    </w:div>
    <w:div w:id="1032346283">
      <w:bodyDiv w:val="1"/>
      <w:marLeft w:val="0"/>
      <w:marRight w:val="0"/>
      <w:marTop w:val="0"/>
      <w:marBottom w:val="0"/>
      <w:divBdr>
        <w:top w:val="none" w:sz="0" w:space="0" w:color="auto"/>
        <w:left w:val="none" w:sz="0" w:space="0" w:color="auto"/>
        <w:bottom w:val="none" w:sz="0" w:space="0" w:color="auto"/>
        <w:right w:val="none" w:sz="0" w:space="0" w:color="auto"/>
      </w:divBdr>
    </w:div>
    <w:div w:id="1032536095">
      <w:bodyDiv w:val="1"/>
      <w:marLeft w:val="0"/>
      <w:marRight w:val="0"/>
      <w:marTop w:val="0"/>
      <w:marBottom w:val="0"/>
      <w:divBdr>
        <w:top w:val="none" w:sz="0" w:space="0" w:color="auto"/>
        <w:left w:val="none" w:sz="0" w:space="0" w:color="auto"/>
        <w:bottom w:val="none" w:sz="0" w:space="0" w:color="auto"/>
        <w:right w:val="none" w:sz="0" w:space="0" w:color="auto"/>
      </w:divBdr>
    </w:div>
    <w:div w:id="1032920003">
      <w:bodyDiv w:val="1"/>
      <w:marLeft w:val="0"/>
      <w:marRight w:val="0"/>
      <w:marTop w:val="0"/>
      <w:marBottom w:val="0"/>
      <w:divBdr>
        <w:top w:val="none" w:sz="0" w:space="0" w:color="auto"/>
        <w:left w:val="none" w:sz="0" w:space="0" w:color="auto"/>
        <w:bottom w:val="none" w:sz="0" w:space="0" w:color="auto"/>
        <w:right w:val="none" w:sz="0" w:space="0" w:color="auto"/>
      </w:divBdr>
    </w:div>
    <w:div w:id="1033267805">
      <w:bodyDiv w:val="1"/>
      <w:marLeft w:val="0"/>
      <w:marRight w:val="0"/>
      <w:marTop w:val="0"/>
      <w:marBottom w:val="0"/>
      <w:divBdr>
        <w:top w:val="none" w:sz="0" w:space="0" w:color="auto"/>
        <w:left w:val="none" w:sz="0" w:space="0" w:color="auto"/>
        <w:bottom w:val="none" w:sz="0" w:space="0" w:color="auto"/>
        <w:right w:val="none" w:sz="0" w:space="0" w:color="auto"/>
      </w:divBdr>
    </w:div>
    <w:div w:id="1033454767">
      <w:bodyDiv w:val="1"/>
      <w:marLeft w:val="0"/>
      <w:marRight w:val="0"/>
      <w:marTop w:val="0"/>
      <w:marBottom w:val="0"/>
      <w:divBdr>
        <w:top w:val="none" w:sz="0" w:space="0" w:color="auto"/>
        <w:left w:val="none" w:sz="0" w:space="0" w:color="auto"/>
        <w:bottom w:val="none" w:sz="0" w:space="0" w:color="auto"/>
        <w:right w:val="none" w:sz="0" w:space="0" w:color="auto"/>
      </w:divBdr>
    </w:div>
    <w:div w:id="1033504221">
      <w:bodyDiv w:val="1"/>
      <w:marLeft w:val="0"/>
      <w:marRight w:val="0"/>
      <w:marTop w:val="0"/>
      <w:marBottom w:val="0"/>
      <w:divBdr>
        <w:top w:val="none" w:sz="0" w:space="0" w:color="auto"/>
        <w:left w:val="none" w:sz="0" w:space="0" w:color="auto"/>
        <w:bottom w:val="none" w:sz="0" w:space="0" w:color="auto"/>
        <w:right w:val="none" w:sz="0" w:space="0" w:color="auto"/>
      </w:divBdr>
    </w:div>
    <w:div w:id="1033921430">
      <w:bodyDiv w:val="1"/>
      <w:marLeft w:val="0"/>
      <w:marRight w:val="0"/>
      <w:marTop w:val="0"/>
      <w:marBottom w:val="0"/>
      <w:divBdr>
        <w:top w:val="none" w:sz="0" w:space="0" w:color="auto"/>
        <w:left w:val="none" w:sz="0" w:space="0" w:color="auto"/>
        <w:bottom w:val="none" w:sz="0" w:space="0" w:color="auto"/>
        <w:right w:val="none" w:sz="0" w:space="0" w:color="auto"/>
      </w:divBdr>
    </w:div>
    <w:div w:id="1033924633">
      <w:bodyDiv w:val="1"/>
      <w:marLeft w:val="0"/>
      <w:marRight w:val="0"/>
      <w:marTop w:val="0"/>
      <w:marBottom w:val="0"/>
      <w:divBdr>
        <w:top w:val="none" w:sz="0" w:space="0" w:color="auto"/>
        <w:left w:val="none" w:sz="0" w:space="0" w:color="auto"/>
        <w:bottom w:val="none" w:sz="0" w:space="0" w:color="auto"/>
        <w:right w:val="none" w:sz="0" w:space="0" w:color="auto"/>
      </w:divBdr>
    </w:div>
    <w:div w:id="1033925189">
      <w:bodyDiv w:val="1"/>
      <w:marLeft w:val="0"/>
      <w:marRight w:val="0"/>
      <w:marTop w:val="0"/>
      <w:marBottom w:val="0"/>
      <w:divBdr>
        <w:top w:val="none" w:sz="0" w:space="0" w:color="auto"/>
        <w:left w:val="none" w:sz="0" w:space="0" w:color="auto"/>
        <w:bottom w:val="none" w:sz="0" w:space="0" w:color="auto"/>
        <w:right w:val="none" w:sz="0" w:space="0" w:color="auto"/>
      </w:divBdr>
    </w:div>
    <w:div w:id="1034110843">
      <w:bodyDiv w:val="1"/>
      <w:marLeft w:val="0"/>
      <w:marRight w:val="0"/>
      <w:marTop w:val="0"/>
      <w:marBottom w:val="0"/>
      <w:divBdr>
        <w:top w:val="none" w:sz="0" w:space="0" w:color="auto"/>
        <w:left w:val="none" w:sz="0" w:space="0" w:color="auto"/>
        <w:bottom w:val="none" w:sz="0" w:space="0" w:color="auto"/>
        <w:right w:val="none" w:sz="0" w:space="0" w:color="auto"/>
      </w:divBdr>
    </w:div>
    <w:div w:id="1034307684">
      <w:bodyDiv w:val="1"/>
      <w:marLeft w:val="0"/>
      <w:marRight w:val="0"/>
      <w:marTop w:val="0"/>
      <w:marBottom w:val="0"/>
      <w:divBdr>
        <w:top w:val="none" w:sz="0" w:space="0" w:color="auto"/>
        <w:left w:val="none" w:sz="0" w:space="0" w:color="auto"/>
        <w:bottom w:val="none" w:sz="0" w:space="0" w:color="auto"/>
        <w:right w:val="none" w:sz="0" w:space="0" w:color="auto"/>
      </w:divBdr>
    </w:div>
    <w:div w:id="1034620651">
      <w:bodyDiv w:val="1"/>
      <w:marLeft w:val="0"/>
      <w:marRight w:val="0"/>
      <w:marTop w:val="0"/>
      <w:marBottom w:val="0"/>
      <w:divBdr>
        <w:top w:val="none" w:sz="0" w:space="0" w:color="auto"/>
        <w:left w:val="none" w:sz="0" w:space="0" w:color="auto"/>
        <w:bottom w:val="none" w:sz="0" w:space="0" w:color="auto"/>
        <w:right w:val="none" w:sz="0" w:space="0" w:color="auto"/>
      </w:divBdr>
    </w:div>
    <w:div w:id="1034623788">
      <w:bodyDiv w:val="1"/>
      <w:marLeft w:val="0"/>
      <w:marRight w:val="0"/>
      <w:marTop w:val="0"/>
      <w:marBottom w:val="0"/>
      <w:divBdr>
        <w:top w:val="none" w:sz="0" w:space="0" w:color="auto"/>
        <w:left w:val="none" w:sz="0" w:space="0" w:color="auto"/>
        <w:bottom w:val="none" w:sz="0" w:space="0" w:color="auto"/>
        <w:right w:val="none" w:sz="0" w:space="0" w:color="auto"/>
      </w:divBdr>
    </w:div>
    <w:div w:id="1034766460">
      <w:bodyDiv w:val="1"/>
      <w:marLeft w:val="0"/>
      <w:marRight w:val="0"/>
      <w:marTop w:val="0"/>
      <w:marBottom w:val="0"/>
      <w:divBdr>
        <w:top w:val="none" w:sz="0" w:space="0" w:color="auto"/>
        <w:left w:val="none" w:sz="0" w:space="0" w:color="auto"/>
        <w:bottom w:val="none" w:sz="0" w:space="0" w:color="auto"/>
        <w:right w:val="none" w:sz="0" w:space="0" w:color="auto"/>
      </w:divBdr>
    </w:div>
    <w:div w:id="1034772552">
      <w:bodyDiv w:val="1"/>
      <w:marLeft w:val="0"/>
      <w:marRight w:val="0"/>
      <w:marTop w:val="0"/>
      <w:marBottom w:val="0"/>
      <w:divBdr>
        <w:top w:val="none" w:sz="0" w:space="0" w:color="auto"/>
        <w:left w:val="none" w:sz="0" w:space="0" w:color="auto"/>
        <w:bottom w:val="none" w:sz="0" w:space="0" w:color="auto"/>
        <w:right w:val="none" w:sz="0" w:space="0" w:color="auto"/>
      </w:divBdr>
    </w:div>
    <w:div w:id="1034890405">
      <w:bodyDiv w:val="1"/>
      <w:marLeft w:val="0"/>
      <w:marRight w:val="0"/>
      <w:marTop w:val="0"/>
      <w:marBottom w:val="0"/>
      <w:divBdr>
        <w:top w:val="none" w:sz="0" w:space="0" w:color="auto"/>
        <w:left w:val="none" w:sz="0" w:space="0" w:color="auto"/>
        <w:bottom w:val="none" w:sz="0" w:space="0" w:color="auto"/>
        <w:right w:val="none" w:sz="0" w:space="0" w:color="auto"/>
      </w:divBdr>
    </w:div>
    <w:div w:id="1034965344">
      <w:bodyDiv w:val="1"/>
      <w:marLeft w:val="0"/>
      <w:marRight w:val="0"/>
      <w:marTop w:val="0"/>
      <w:marBottom w:val="0"/>
      <w:divBdr>
        <w:top w:val="none" w:sz="0" w:space="0" w:color="auto"/>
        <w:left w:val="none" w:sz="0" w:space="0" w:color="auto"/>
        <w:bottom w:val="none" w:sz="0" w:space="0" w:color="auto"/>
        <w:right w:val="none" w:sz="0" w:space="0" w:color="auto"/>
      </w:divBdr>
    </w:div>
    <w:div w:id="1035546288">
      <w:bodyDiv w:val="1"/>
      <w:marLeft w:val="0"/>
      <w:marRight w:val="0"/>
      <w:marTop w:val="0"/>
      <w:marBottom w:val="0"/>
      <w:divBdr>
        <w:top w:val="none" w:sz="0" w:space="0" w:color="auto"/>
        <w:left w:val="none" w:sz="0" w:space="0" w:color="auto"/>
        <w:bottom w:val="none" w:sz="0" w:space="0" w:color="auto"/>
        <w:right w:val="none" w:sz="0" w:space="0" w:color="auto"/>
      </w:divBdr>
    </w:div>
    <w:div w:id="1035689166">
      <w:bodyDiv w:val="1"/>
      <w:marLeft w:val="0"/>
      <w:marRight w:val="0"/>
      <w:marTop w:val="0"/>
      <w:marBottom w:val="0"/>
      <w:divBdr>
        <w:top w:val="none" w:sz="0" w:space="0" w:color="auto"/>
        <w:left w:val="none" w:sz="0" w:space="0" w:color="auto"/>
        <w:bottom w:val="none" w:sz="0" w:space="0" w:color="auto"/>
        <w:right w:val="none" w:sz="0" w:space="0" w:color="auto"/>
      </w:divBdr>
    </w:div>
    <w:div w:id="1035740068">
      <w:bodyDiv w:val="1"/>
      <w:marLeft w:val="0"/>
      <w:marRight w:val="0"/>
      <w:marTop w:val="0"/>
      <w:marBottom w:val="0"/>
      <w:divBdr>
        <w:top w:val="none" w:sz="0" w:space="0" w:color="auto"/>
        <w:left w:val="none" w:sz="0" w:space="0" w:color="auto"/>
        <w:bottom w:val="none" w:sz="0" w:space="0" w:color="auto"/>
        <w:right w:val="none" w:sz="0" w:space="0" w:color="auto"/>
      </w:divBdr>
    </w:div>
    <w:div w:id="1036124840">
      <w:bodyDiv w:val="1"/>
      <w:marLeft w:val="0"/>
      <w:marRight w:val="0"/>
      <w:marTop w:val="0"/>
      <w:marBottom w:val="0"/>
      <w:divBdr>
        <w:top w:val="none" w:sz="0" w:space="0" w:color="auto"/>
        <w:left w:val="none" w:sz="0" w:space="0" w:color="auto"/>
        <w:bottom w:val="none" w:sz="0" w:space="0" w:color="auto"/>
        <w:right w:val="none" w:sz="0" w:space="0" w:color="auto"/>
      </w:divBdr>
    </w:div>
    <w:div w:id="1036270073">
      <w:bodyDiv w:val="1"/>
      <w:marLeft w:val="0"/>
      <w:marRight w:val="0"/>
      <w:marTop w:val="0"/>
      <w:marBottom w:val="0"/>
      <w:divBdr>
        <w:top w:val="none" w:sz="0" w:space="0" w:color="auto"/>
        <w:left w:val="none" w:sz="0" w:space="0" w:color="auto"/>
        <w:bottom w:val="none" w:sz="0" w:space="0" w:color="auto"/>
        <w:right w:val="none" w:sz="0" w:space="0" w:color="auto"/>
      </w:divBdr>
    </w:div>
    <w:div w:id="1036348305">
      <w:bodyDiv w:val="1"/>
      <w:marLeft w:val="0"/>
      <w:marRight w:val="0"/>
      <w:marTop w:val="0"/>
      <w:marBottom w:val="0"/>
      <w:divBdr>
        <w:top w:val="none" w:sz="0" w:space="0" w:color="auto"/>
        <w:left w:val="none" w:sz="0" w:space="0" w:color="auto"/>
        <w:bottom w:val="none" w:sz="0" w:space="0" w:color="auto"/>
        <w:right w:val="none" w:sz="0" w:space="0" w:color="auto"/>
      </w:divBdr>
    </w:div>
    <w:div w:id="1036470965">
      <w:bodyDiv w:val="1"/>
      <w:marLeft w:val="0"/>
      <w:marRight w:val="0"/>
      <w:marTop w:val="0"/>
      <w:marBottom w:val="0"/>
      <w:divBdr>
        <w:top w:val="none" w:sz="0" w:space="0" w:color="auto"/>
        <w:left w:val="none" w:sz="0" w:space="0" w:color="auto"/>
        <w:bottom w:val="none" w:sz="0" w:space="0" w:color="auto"/>
        <w:right w:val="none" w:sz="0" w:space="0" w:color="auto"/>
      </w:divBdr>
    </w:div>
    <w:div w:id="1036538981">
      <w:bodyDiv w:val="1"/>
      <w:marLeft w:val="0"/>
      <w:marRight w:val="0"/>
      <w:marTop w:val="0"/>
      <w:marBottom w:val="0"/>
      <w:divBdr>
        <w:top w:val="none" w:sz="0" w:space="0" w:color="auto"/>
        <w:left w:val="none" w:sz="0" w:space="0" w:color="auto"/>
        <w:bottom w:val="none" w:sz="0" w:space="0" w:color="auto"/>
        <w:right w:val="none" w:sz="0" w:space="0" w:color="auto"/>
      </w:divBdr>
    </w:div>
    <w:div w:id="1036541677">
      <w:bodyDiv w:val="1"/>
      <w:marLeft w:val="0"/>
      <w:marRight w:val="0"/>
      <w:marTop w:val="0"/>
      <w:marBottom w:val="0"/>
      <w:divBdr>
        <w:top w:val="none" w:sz="0" w:space="0" w:color="auto"/>
        <w:left w:val="none" w:sz="0" w:space="0" w:color="auto"/>
        <w:bottom w:val="none" w:sz="0" w:space="0" w:color="auto"/>
        <w:right w:val="none" w:sz="0" w:space="0" w:color="auto"/>
      </w:divBdr>
    </w:div>
    <w:div w:id="1036659616">
      <w:bodyDiv w:val="1"/>
      <w:marLeft w:val="0"/>
      <w:marRight w:val="0"/>
      <w:marTop w:val="0"/>
      <w:marBottom w:val="0"/>
      <w:divBdr>
        <w:top w:val="none" w:sz="0" w:space="0" w:color="auto"/>
        <w:left w:val="none" w:sz="0" w:space="0" w:color="auto"/>
        <w:bottom w:val="none" w:sz="0" w:space="0" w:color="auto"/>
        <w:right w:val="none" w:sz="0" w:space="0" w:color="auto"/>
      </w:divBdr>
    </w:div>
    <w:div w:id="1037046991">
      <w:bodyDiv w:val="1"/>
      <w:marLeft w:val="0"/>
      <w:marRight w:val="0"/>
      <w:marTop w:val="0"/>
      <w:marBottom w:val="0"/>
      <w:divBdr>
        <w:top w:val="none" w:sz="0" w:space="0" w:color="auto"/>
        <w:left w:val="none" w:sz="0" w:space="0" w:color="auto"/>
        <w:bottom w:val="none" w:sz="0" w:space="0" w:color="auto"/>
        <w:right w:val="none" w:sz="0" w:space="0" w:color="auto"/>
      </w:divBdr>
    </w:div>
    <w:div w:id="1037119944">
      <w:bodyDiv w:val="1"/>
      <w:marLeft w:val="0"/>
      <w:marRight w:val="0"/>
      <w:marTop w:val="0"/>
      <w:marBottom w:val="0"/>
      <w:divBdr>
        <w:top w:val="none" w:sz="0" w:space="0" w:color="auto"/>
        <w:left w:val="none" w:sz="0" w:space="0" w:color="auto"/>
        <w:bottom w:val="none" w:sz="0" w:space="0" w:color="auto"/>
        <w:right w:val="none" w:sz="0" w:space="0" w:color="auto"/>
      </w:divBdr>
    </w:div>
    <w:div w:id="1037436892">
      <w:bodyDiv w:val="1"/>
      <w:marLeft w:val="0"/>
      <w:marRight w:val="0"/>
      <w:marTop w:val="0"/>
      <w:marBottom w:val="0"/>
      <w:divBdr>
        <w:top w:val="none" w:sz="0" w:space="0" w:color="auto"/>
        <w:left w:val="none" w:sz="0" w:space="0" w:color="auto"/>
        <w:bottom w:val="none" w:sz="0" w:space="0" w:color="auto"/>
        <w:right w:val="none" w:sz="0" w:space="0" w:color="auto"/>
      </w:divBdr>
    </w:div>
    <w:div w:id="1037465617">
      <w:bodyDiv w:val="1"/>
      <w:marLeft w:val="0"/>
      <w:marRight w:val="0"/>
      <w:marTop w:val="0"/>
      <w:marBottom w:val="0"/>
      <w:divBdr>
        <w:top w:val="none" w:sz="0" w:space="0" w:color="auto"/>
        <w:left w:val="none" w:sz="0" w:space="0" w:color="auto"/>
        <w:bottom w:val="none" w:sz="0" w:space="0" w:color="auto"/>
        <w:right w:val="none" w:sz="0" w:space="0" w:color="auto"/>
      </w:divBdr>
    </w:div>
    <w:div w:id="1037466326">
      <w:bodyDiv w:val="1"/>
      <w:marLeft w:val="0"/>
      <w:marRight w:val="0"/>
      <w:marTop w:val="0"/>
      <w:marBottom w:val="0"/>
      <w:divBdr>
        <w:top w:val="none" w:sz="0" w:space="0" w:color="auto"/>
        <w:left w:val="none" w:sz="0" w:space="0" w:color="auto"/>
        <w:bottom w:val="none" w:sz="0" w:space="0" w:color="auto"/>
        <w:right w:val="none" w:sz="0" w:space="0" w:color="auto"/>
      </w:divBdr>
    </w:div>
    <w:div w:id="1037509924">
      <w:bodyDiv w:val="1"/>
      <w:marLeft w:val="0"/>
      <w:marRight w:val="0"/>
      <w:marTop w:val="0"/>
      <w:marBottom w:val="0"/>
      <w:divBdr>
        <w:top w:val="none" w:sz="0" w:space="0" w:color="auto"/>
        <w:left w:val="none" w:sz="0" w:space="0" w:color="auto"/>
        <w:bottom w:val="none" w:sz="0" w:space="0" w:color="auto"/>
        <w:right w:val="none" w:sz="0" w:space="0" w:color="auto"/>
      </w:divBdr>
    </w:div>
    <w:div w:id="1037582609">
      <w:bodyDiv w:val="1"/>
      <w:marLeft w:val="0"/>
      <w:marRight w:val="0"/>
      <w:marTop w:val="0"/>
      <w:marBottom w:val="0"/>
      <w:divBdr>
        <w:top w:val="none" w:sz="0" w:space="0" w:color="auto"/>
        <w:left w:val="none" w:sz="0" w:space="0" w:color="auto"/>
        <w:bottom w:val="none" w:sz="0" w:space="0" w:color="auto"/>
        <w:right w:val="none" w:sz="0" w:space="0" w:color="auto"/>
      </w:divBdr>
    </w:div>
    <w:div w:id="1037659778">
      <w:bodyDiv w:val="1"/>
      <w:marLeft w:val="0"/>
      <w:marRight w:val="0"/>
      <w:marTop w:val="0"/>
      <w:marBottom w:val="0"/>
      <w:divBdr>
        <w:top w:val="none" w:sz="0" w:space="0" w:color="auto"/>
        <w:left w:val="none" w:sz="0" w:space="0" w:color="auto"/>
        <w:bottom w:val="none" w:sz="0" w:space="0" w:color="auto"/>
        <w:right w:val="none" w:sz="0" w:space="0" w:color="auto"/>
      </w:divBdr>
    </w:div>
    <w:div w:id="1037850855">
      <w:bodyDiv w:val="1"/>
      <w:marLeft w:val="0"/>
      <w:marRight w:val="0"/>
      <w:marTop w:val="0"/>
      <w:marBottom w:val="0"/>
      <w:divBdr>
        <w:top w:val="none" w:sz="0" w:space="0" w:color="auto"/>
        <w:left w:val="none" w:sz="0" w:space="0" w:color="auto"/>
        <w:bottom w:val="none" w:sz="0" w:space="0" w:color="auto"/>
        <w:right w:val="none" w:sz="0" w:space="0" w:color="auto"/>
      </w:divBdr>
    </w:div>
    <w:div w:id="1037895822">
      <w:bodyDiv w:val="1"/>
      <w:marLeft w:val="0"/>
      <w:marRight w:val="0"/>
      <w:marTop w:val="0"/>
      <w:marBottom w:val="0"/>
      <w:divBdr>
        <w:top w:val="none" w:sz="0" w:space="0" w:color="auto"/>
        <w:left w:val="none" w:sz="0" w:space="0" w:color="auto"/>
        <w:bottom w:val="none" w:sz="0" w:space="0" w:color="auto"/>
        <w:right w:val="none" w:sz="0" w:space="0" w:color="auto"/>
      </w:divBdr>
    </w:div>
    <w:div w:id="1038286975">
      <w:bodyDiv w:val="1"/>
      <w:marLeft w:val="0"/>
      <w:marRight w:val="0"/>
      <w:marTop w:val="0"/>
      <w:marBottom w:val="0"/>
      <w:divBdr>
        <w:top w:val="none" w:sz="0" w:space="0" w:color="auto"/>
        <w:left w:val="none" w:sz="0" w:space="0" w:color="auto"/>
        <w:bottom w:val="none" w:sz="0" w:space="0" w:color="auto"/>
        <w:right w:val="none" w:sz="0" w:space="0" w:color="auto"/>
      </w:divBdr>
    </w:div>
    <w:div w:id="1038354481">
      <w:bodyDiv w:val="1"/>
      <w:marLeft w:val="0"/>
      <w:marRight w:val="0"/>
      <w:marTop w:val="0"/>
      <w:marBottom w:val="0"/>
      <w:divBdr>
        <w:top w:val="none" w:sz="0" w:space="0" w:color="auto"/>
        <w:left w:val="none" w:sz="0" w:space="0" w:color="auto"/>
        <w:bottom w:val="none" w:sz="0" w:space="0" w:color="auto"/>
        <w:right w:val="none" w:sz="0" w:space="0" w:color="auto"/>
      </w:divBdr>
    </w:div>
    <w:div w:id="1038817121">
      <w:bodyDiv w:val="1"/>
      <w:marLeft w:val="0"/>
      <w:marRight w:val="0"/>
      <w:marTop w:val="0"/>
      <w:marBottom w:val="0"/>
      <w:divBdr>
        <w:top w:val="none" w:sz="0" w:space="0" w:color="auto"/>
        <w:left w:val="none" w:sz="0" w:space="0" w:color="auto"/>
        <w:bottom w:val="none" w:sz="0" w:space="0" w:color="auto"/>
        <w:right w:val="none" w:sz="0" w:space="0" w:color="auto"/>
      </w:divBdr>
    </w:div>
    <w:div w:id="1038892492">
      <w:bodyDiv w:val="1"/>
      <w:marLeft w:val="0"/>
      <w:marRight w:val="0"/>
      <w:marTop w:val="0"/>
      <w:marBottom w:val="0"/>
      <w:divBdr>
        <w:top w:val="none" w:sz="0" w:space="0" w:color="auto"/>
        <w:left w:val="none" w:sz="0" w:space="0" w:color="auto"/>
        <w:bottom w:val="none" w:sz="0" w:space="0" w:color="auto"/>
        <w:right w:val="none" w:sz="0" w:space="0" w:color="auto"/>
      </w:divBdr>
    </w:div>
    <w:div w:id="1039008312">
      <w:bodyDiv w:val="1"/>
      <w:marLeft w:val="0"/>
      <w:marRight w:val="0"/>
      <w:marTop w:val="0"/>
      <w:marBottom w:val="0"/>
      <w:divBdr>
        <w:top w:val="none" w:sz="0" w:space="0" w:color="auto"/>
        <w:left w:val="none" w:sz="0" w:space="0" w:color="auto"/>
        <w:bottom w:val="none" w:sz="0" w:space="0" w:color="auto"/>
        <w:right w:val="none" w:sz="0" w:space="0" w:color="auto"/>
      </w:divBdr>
    </w:div>
    <w:div w:id="1039089274">
      <w:bodyDiv w:val="1"/>
      <w:marLeft w:val="0"/>
      <w:marRight w:val="0"/>
      <w:marTop w:val="0"/>
      <w:marBottom w:val="0"/>
      <w:divBdr>
        <w:top w:val="none" w:sz="0" w:space="0" w:color="auto"/>
        <w:left w:val="none" w:sz="0" w:space="0" w:color="auto"/>
        <w:bottom w:val="none" w:sz="0" w:space="0" w:color="auto"/>
        <w:right w:val="none" w:sz="0" w:space="0" w:color="auto"/>
      </w:divBdr>
    </w:div>
    <w:div w:id="1039356454">
      <w:bodyDiv w:val="1"/>
      <w:marLeft w:val="0"/>
      <w:marRight w:val="0"/>
      <w:marTop w:val="0"/>
      <w:marBottom w:val="0"/>
      <w:divBdr>
        <w:top w:val="none" w:sz="0" w:space="0" w:color="auto"/>
        <w:left w:val="none" w:sz="0" w:space="0" w:color="auto"/>
        <w:bottom w:val="none" w:sz="0" w:space="0" w:color="auto"/>
        <w:right w:val="none" w:sz="0" w:space="0" w:color="auto"/>
      </w:divBdr>
    </w:div>
    <w:div w:id="1039403975">
      <w:bodyDiv w:val="1"/>
      <w:marLeft w:val="0"/>
      <w:marRight w:val="0"/>
      <w:marTop w:val="0"/>
      <w:marBottom w:val="0"/>
      <w:divBdr>
        <w:top w:val="none" w:sz="0" w:space="0" w:color="auto"/>
        <w:left w:val="none" w:sz="0" w:space="0" w:color="auto"/>
        <w:bottom w:val="none" w:sz="0" w:space="0" w:color="auto"/>
        <w:right w:val="none" w:sz="0" w:space="0" w:color="auto"/>
      </w:divBdr>
    </w:div>
    <w:div w:id="1039432787">
      <w:bodyDiv w:val="1"/>
      <w:marLeft w:val="0"/>
      <w:marRight w:val="0"/>
      <w:marTop w:val="0"/>
      <w:marBottom w:val="0"/>
      <w:divBdr>
        <w:top w:val="none" w:sz="0" w:space="0" w:color="auto"/>
        <w:left w:val="none" w:sz="0" w:space="0" w:color="auto"/>
        <w:bottom w:val="none" w:sz="0" w:space="0" w:color="auto"/>
        <w:right w:val="none" w:sz="0" w:space="0" w:color="auto"/>
      </w:divBdr>
    </w:div>
    <w:div w:id="1040589211">
      <w:bodyDiv w:val="1"/>
      <w:marLeft w:val="0"/>
      <w:marRight w:val="0"/>
      <w:marTop w:val="0"/>
      <w:marBottom w:val="0"/>
      <w:divBdr>
        <w:top w:val="none" w:sz="0" w:space="0" w:color="auto"/>
        <w:left w:val="none" w:sz="0" w:space="0" w:color="auto"/>
        <w:bottom w:val="none" w:sz="0" w:space="0" w:color="auto"/>
        <w:right w:val="none" w:sz="0" w:space="0" w:color="auto"/>
      </w:divBdr>
    </w:div>
    <w:div w:id="1040663877">
      <w:bodyDiv w:val="1"/>
      <w:marLeft w:val="0"/>
      <w:marRight w:val="0"/>
      <w:marTop w:val="0"/>
      <w:marBottom w:val="0"/>
      <w:divBdr>
        <w:top w:val="none" w:sz="0" w:space="0" w:color="auto"/>
        <w:left w:val="none" w:sz="0" w:space="0" w:color="auto"/>
        <w:bottom w:val="none" w:sz="0" w:space="0" w:color="auto"/>
        <w:right w:val="none" w:sz="0" w:space="0" w:color="auto"/>
      </w:divBdr>
    </w:div>
    <w:div w:id="1040669714">
      <w:bodyDiv w:val="1"/>
      <w:marLeft w:val="0"/>
      <w:marRight w:val="0"/>
      <w:marTop w:val="0"/>
      <w:marBottom w:val="0"/>
      <w:divBdr>
        <w:top w:val="none" w:sz="0" w:space="0" w:color="auto"/>
        <w:left w:val="none" w:sz="0" w:space="0" w:color="auto"/>
        <w:bottom w:val="none" w:sz="0" w:space="0" w:color="auto"/>
        <w:right w:val="none" w:sz="0" w:space="0" w:color="auto"/>
      </w:divBdr>
    </w:div>
    <w:div w:id="1041173951">
      <w:bodyDiv w:val="1"/>
      <w:marLeft w:val="0"/>
      <w:marRight w:val="0"/>
      <w:marTop w:val="0"/>
      <w:marBottom w:val="0"/>
      <w:divBdr>
        <w:top w:val="none" w:sz="0" w:space="0" w:color="auto"/>
        <w:left w:val="none" w:sz="0" w:space="0" w:color="auto"/>
        <w:bottom w:val="none" w:sz="0" w:space="0" w:color="auto"/>
        <w:right w:val="none" w:sz="0" w:space="0" w:color="auto"/>
      </w:divBdr>
    </w:div>
    <w:div w:id="1041247663">
      <w:bodyDiv w:val="1"/>
      <w:marLeft w:val="0"/>
      <w:marRight w:val="0"/>
      <w:marTop w:val="0"/>
      <w:marBottom w:val="0"/>
      <w:divBdr>
        <w:top w:val="none" w:sz="0" w:space="0" w:color="auto"/>
        <w:left w:val="none" w:sz="0" w:space="0" w:color="auto"/>
        <w:bottom w:val="none" w:sz="0" w:space="0" w:color="auto"/>
        <w:right w:val="none" w:sz="0" w:space="0" w:color="auto"/>
      </w:divBdr>
    </w:div>
    <w:div w:id="1041438752">
      <w:bodyDiv w:val="1"/>
      <w:marLeft w:val="0"/>
      <w:marRight w:val="0"/>
      <w:marTop w:val="0"/>
      <w:marBottom w:val="0"/>
      <w:divBdr>
        <w:top w:val="none" w:sz="0" w:space="0" w:color="auto"/>
        <w:left w:val="none" w:sz="0" w:space="0" w:color="auto"/>
        <w:bottom w:val="none" w:sz="0" w:space="0" w:color="auto"/>
        <w:right w:val="none" w:sz="0" w:space="0" w:color="auto"/>
      </w:divBdr>
    </w:div>
    <w:div w:id="1041780880">
      <w:bodyDiv w:val="1"/>
      <w:marLeft w:val="0"/>
      <w:marRight w:val="0"/>
      <w:marTop w:val="0"/>
      <w:marBottom w:val="0"/>
      <w:divBdr>
        <w:top w:val="none" w:sz="0" w:space="0" w:color="auto"/>
        <w:left w:val="none" w:sz="0" w:space="0" w:color="auto"/>
        <w:bottom w:val="none" w:sz="0" w:space="0" w:color="auto"/>
        <w:right w:val="none" w:sz="0" w:space="0" w:color="auto"/>
      </w:divBdr>
    </w:div>
    <w:div w:id="1041782401">
      <w:bodyDiv w:val="1"/>
      <w:marLeft w:val="0"/>
      <w:marRight w:val="0"/>
      <w:marTop w:val="0"/>
      <w:marBottom w:val="0"/>
      <w:divBdr>
        <w:top w:val="none" w:sz="0" w:space="0" w:color="auto"/>
        <w:left w:val="none" w:sz="0" w:space="0" w:color="auto"/>
        <w:bottom w:val="none" w:sz="0" w:space="0" w:color="auto"/>
        <w:right w:val="none" w:sz="0" w:space="0" w:color="auto"/>
      </w:divBdr>
    </w:div>
    <w:div w:id="1041897928">
      <w:bodyDiv w:val="1"/>
      <w:marLeft w:val="0"/>
      <w:marRight w:val="0"/>
      <w:marTop w:val="0"/>
      <w:marBottom w:val="0"/>
      <w:divBdr>
        <w:top w:val="none" w:sz="0" w:space="0" w:color="auto"/>
        <w:left w:val="none" w:sz="0" w:space="0" w:color="auto"/>
        <w:bottom w:val="none" w:sz="0" w:space="0" w:color="auto"/>
        <w:right w:val="none" w:sz="0" w:space="0" w:color="auto"/>
      </w:divBdr>
    </w:div>
    <w:div w:id="1042247189">
      <w:bodyDiv w:val="1"/>
      <w:marLeft w:val="0"/>
      <w:marRight w:val="0"/>
      <w:marTop w:val="0"/>
      <w:marBottom w:val="0"/>
      <w:divBdr>
        <w:top w:val="none" w:sz="0" w:space="0" w:color="auto"/>
        <w:left w:val="none" w:sz="0" w:space="0" w:color="auto"/>
        <w:bottom w:val="none" w:sz="0" w:space="0" w:color="auto"/>
        <w:right w:val="none" w:sz="0" w:space="0" w:color="auto"/>
      </w:divBdr>
    </w:div>
    <w:div w:id="1042291962">
      <w:bodyDiv w:val="1"/>
      <w:marLeft w:val="0"/>
      <w:marRight w:val="0"/>
      <w:marTop w:val="0"/>
      <w:marBottom w:val="0"/>
      <w:divBdr>
        <w:top w:val="none" w:sz="0" w:space="0" w:color="auto"/>
        <w:left w:val="none" w:sz="0" w:space="0" w:color="auto"/>
        <w:bottom w:val="none" w:sz="0" w:space="0" w:color="auto"/>
        <w:right w:val="none" w:sz="0" w:space="0" w:color="auto"/>
      </w:divBdr>
    </w:div>
    <w:div w:id="1042293809">
      <w:bodyDiv w:val="1"/>
      <w:marLeft w:val="0"/>
      <w:marRight w:val="0"/>
      <w:marTop w:val="0"/>
      <w:marBottom w:val="0"/>
      <w:divBdr>
        <w:top w:val="none" w:sz="0" w:space="0" w:color="auto"/>
        <w:left w:val="none" w:sz="0" w:space="0" w:color="auto"/>
        <w:bottom w:val="none" w:sz="0" w:space="0" w:color="auto"/>
        <w:right w:val="none" w:sz="0" w:space="0" w:color="auto"/>
      </w:divBdr>
    </w:div>
    <w:div w:id="1042366890">
      <w:bodyDiv w:val="1"/>
      <w:marLeft w:val="0"/>
      <w:marRight w:val="0"/>
      <w:marTop w:val="0"/>
      <w:marBottom w:val="0"/>
      <w:divBdr>
        <w:top w:val="none" w:sz="0" w:space="0" w:color="auto"/>
        <w:left w:val="none" w:sz="0" w:space="0" w:color="auto"/>
        <w:bottom w:val="none" w:sz="0" w:space="0" w:color="auto"/>
        <w:right w:val="none" w:sz="0" w:space="0" w:color="auto"/>
      </w:divBdr>
    </w:div>
    <w:div w:id="1042905061">
      <w:bodyDiv w:val="1"/>
      <w:marLeft w:val="0"/>
      <w:marRight w:val="0"/>
      <w:marTop w:val="0"/>
      <w:marBottom w:val="0"/>
      <w:divBdr>
        <w:top w:val="none" w:sz="0" w:space="0" w:color="auto"/>
        <w:left w:val="none" w:sz="0" w:space="0" w:color="auto"/>
        <w:bottom w:val="none" w:sz="0" w:space="0" w:color="auto"/>
        <w:right w:val="none" w:sz="0" w:space="0" w:color="auto"/>
      </w:divBdr>
    </w:div>
    <w:div w:id="1043166919">
      <w:bodyDiv w:val="1"/>
      <w:marLeft w:val="0"/>
      <w:marRight w:val="0"/>
      <w:marTop w:val="0"/>
      <w:marBottom w:val="0"/>
      <w:divBdr>
        <w:top w:val="none" w:sz="0" w:space="0" w:color="auto"/>
        <w:left w:val="none" w:sz="0" w:space="0" w:color="auto"/>
        <w:bottom w:val="none" w:sz="0" w:space="0" w:color="auto"/>
        <w:right w:val="none" w:sz="0" w:space="0" w:color="auto"/>
      </w:divBdr>
    </w:div>
    <w:div w:id="1043214044">
      <w:bodyDiv w:val="1"/>
      <w:marLeft w:val="0"/>
      <w:marRight w:val="0"/>
      <w:marTop w:val="0"/>
      <w:marBottom w:val="0"/>
      <w:divBdr>
        <w:top w:val="none" w:sz="0" w:space="0" w:color="auto"/>
        <w:left w:val="none" w:sz="0" w:space="0" w:color="auto"/>
        <w:bottom w:val="none" w:sz="0" w:space="0" w:color="auto"/>
        <w:right w:val="none" w:sz="0" w:space="0" w:color="auto"/>
      </w:divBdr>
    </w:div>
    <w:div w:id="1043604221">
      <w:bodyDiv w:val="1"/>
      <w:marLeft w:val="0"/>
      <w:marRight w:val="0"/>
      <w:marTop w:val="0"/>
      <w:marBottom w:val="0"/>
      <w:divBdr>
        <w:top w:val="none" w:sz="0" w:space="0" w:color="auto"/>
        <w:left w:val="none" w:sz="0" w:space="0" w:color="auto"/>
        <w:bottom w:val="none" w:sz="0" w:space="0" w:color="auto"/>
        <w:right w:val="none" w:sz="0" w:space="0" w:color="auto"/>
      </w:divBdr>
    </w:div>
    <w:div w:id="1043749937">
      <w:bodyDiv w:val="1"/>
      <w:marLeft w:val="0"/>
      <w:marRight w:val="0"/>
      <w:marTop w:val="0"/>
      <w:marBottom w:val="0"/>
      <w:divBdr>
        <w:top w:val="none" w:sz="0" w:space="0" w:color="auto"/>
        <w:left w:val="none" w:sz="0" w:space="0" w:color="auto"/>
        <w:bottom w:val="none" w:sz="0" w:space="0" w:color="auto"/>
        <w:right w:val="none" w:sz="0" w:space="0" w:color="auto"/>
      </w:divBdr>
    </w:div>
    <w:div w:id="1043944091">
      <w:bodyDiv w:val="1"/>
      <w:marLeft w:val="0"/>
      <w:marRight w:val="0"/>
      <w:marTop w:val="0"/>
      <w:marBottom w:val="0"/>
      <w:divBdr>
        <w:top w:val="none" w:sz="0" w:space="0" w:color="auto"/>
        <w:left w:val="none" w:sz="0" w:space="0" w:color="auto"/>
        <w:bottom w:val="none" w:sz="0" w:space="0" w:color="auto"/>
        <w:right w:val="none" w:sz="0" w:space="0" w:color="auto"/>
      </w:divBdr>
    </w:div>
    <w:div w:id="1044335018">
      <w:bodyDiv w:val="1"/>
      <w:marLeft w:val="0"/>
      <w:marRight w:val="0"/>
      <w:marTop w:val="0"/>
      <w:marBottom w:val="0"/>
      <w:divBdr>
        <w:top w:val="none" w:sz="0" w:space="0" w:color="auto"/>
        <w:left w:val="none" w:sz="0" w:space="0" w:color="auto"/>
        <w:bottom w:val="none" w:sz="0" w:space="0" w:color="auto"/>
        <w:right w:val="none" w:sz="0" w:space="0" w:color="auto"/>
      </w:divBdr>
    </w:div>
    <w:div w:id="1044401439">
      <w:bodyDiv w:val="1"/>
      <w:marLeft w:val="0"/>
      <w:marRight w:val="0"/>
      <w:marTop w:val="0"/>
      <w:marBottom w:val="0"/>
      <w:divBdr>
        <w:top w:val="none" w:sz="0" w:space="0" w:color="auto"/>
        <w:left w:val="none" w:sz="0" w:space="0" w:color="auto"/>
        <w:bottom w:val="none" w:sz="0" w:space="0" w:color="auto"/>
        <w:right w:val="none" w:sz="0" w:space="0" w:color="auto"/>
      </w:divBdr>
    </w:div>
    <w:div w:id="1044449837">
      <w:bodyDiv w:val="1"/>
      <w:marLeft w:val="0"/>
      <w:marRight w:val="0"/>
      <w:marTop w:val="0"/>
      <w:marBottom w:val="0"/>
      <w:divBdr>
        <w:top w:val="none" w:sz="0" w:space="0" w:color="auto"/>
        <w:left w:val="none" w:sz="0" w:space="0" w:color="auto"/>
        <w:bottom w:val="none" w:sz="0" w:space="0" w:color="auto"/>
        <w:right w:val="none" w:sz="0" w:space="0" w:color="auto"/>
      </w:divBdr>
    </w:div>
    <w:div w:id="1044794005">
      <w:bodyDiv w:val="1"/>
      <w:marLeft w:val="0"/>
      <w:marRight w:val="0"/>
      <w:marTop w:val="0"/>
      <w:marBottom w:val="0"/>
      <w:divBdr>
        <w:top w:val="none" w:sz="0" w:space="0" w:color="auto"/>
        <w:left w:val="none" w:sz="0" w:space="0" w:color="auto"/>
        <w:bottom w:val="none" w:sz="0" w:space="0" w:color="auto"/>
        <w:right w:val="none" w:sz="0" w:space="0" w:color="auto"/>
      </w:divBdr>
    </w:div>
    <w:div w:id="1044865894">
      <w:bodyDiv w:val="1"/>
      <w:marLeft w:val="0"/>
      <w:marRight w:val="0"/>
      <w:marTop w:val="0"/>
      <w:marBottom w:val="0"/>
      <w:divBdr>
        <w:top w:val="none" w:sz="0" w:space="0" w:color="auto"/>
        <w:left w:val="none" w:sz="0" w:space="0" w:color="auto"/>
        <w:bottom w:val="none" w:sz="0" w:space="0" w:color="auto"/>
        <w:right w:val="none" w:sz="0" w:space="0" w:color="auto"/>
      </w:divBdr>
    </w:div>
    <w:div w:id="1044871206">
      <w:bodyDiv w:val="1"/>
      <w:marLeft w:val="0"/>
      <w:marRight w:val="0"/>
      <w:marTop w:val="0"/>
      <w:marBottom w:val="0"/>
      <w:divBdr>
        <w:top w:val="none" w:sz="0" w:space="0" w:color="auto"/>
        <w:left w:val="none" w:sz="0" w:space="0" w:color="auto"/>
        <w:bottom w:val="none" w:sz="0" w:space="0" w:color="auto"/>
        <w:right w:val="none" w:sz="0" w:space="0" w:color="auto"/>
      </w:divBdr>
    </w:div>
    <w:div w:id="1045833191">
      <w:bodyDiv w:val="1"/>
      <w:marLeft w:val="0"/>
      <w:marRight w:val="0"/>
      <w:marTop w:val="0"/>
      <w:marBottom w:val="0"/>
      <w:divBdr>
        <w:top w:val="none" w:sz="0" w:space="0" w:color="auto"/>
        <w:left w:val="none" w:sz="0" w:space="0" w:color="auto"/>
        <w:bottom w:val="none" w:sz="0" w:space="0" w:color="auto"/>
        <w:right w:val="none" w:sz="0" w:space="0" w:color="auto"/>
      </w:divBdr>
    </w:div>
    <w:div w:id="1046442091">
      <w:bodyDiv w:val="1"/>
      <w:marLeft w:val="0"/>
      <w:marRight w:val="0"/>
      <w:marTop w:val="0"/>
      <w:marBottom w:val="0"/>
      <w:divBdr>
        <w:top w:val="none" w:sz="0" w:space="0" w:color="auto"/>
        <w:left w:val="none" w:sz="0" w:space="0" w:color="auto"/>
        <w:bottom w:val="none" w:sz="0" w:space="0" w:color="auto"/>
        <w:right w:val="none" w:sz="0" w:space="0" w:color="auto"/>
      </w:divBdr>
    </w:div>
    <w:div w:id="1046610123">
      <w:bodyDiv w:val="1"/>
      <w:marLeft w:val="0"/>
      <w:marRight w:val="0"/>
      <w:marTop w:val="0"/>
      <w:marBottom w:val="0"/>
      <w:divBdr>
        <w:top w:val="none" w:sz="0" w:space="0" w:color="auto"/>
        <w:left w:val="none" w:sz="0" w:space="0" w:color="auto"/>
        <w:bottom w:val="none" w:sz="0" w:space="0" w:color="auto"/>
        <w:right w:val="none" w:sz="0" w:space="0" w:color="auto"/>
      </w:divBdr>
    </w:div>
    <w:div w:id="1046832781">
      <w:bodyDiv w:val="1"/>
      <w:marLeft w:val="0"/>
      <w:marRight w:val="0"/>
      <w:marTop w:val="0"/>
      <w:marBottom w:val="0"/>
      <w:divBdr>
        <w:top w:val="none" w:sz="0" w:space="0" w:color="auto"/>
        <w:left w:val="none" w:sz="0" w:space="0" w:color="auto"/>
        <w:bottom w:val="none" w:sz="0" w:space="0" w:color="auto"/>
        <w:right w:val="none" w:sz="0" w:space="0" w:color="auto"/>
      </w:divBdr>
    </w:div>
    <w:div w:id="1046872837">
      <w:bodyDiv w:val="1"/>
      <w:marLeft w:val="0"/>
      <w:marRight w:val="0"/>
      <w:marTop w:val="0"/>
      <w:marBottom w:val="0"/>
      <w:divBdr>
        <w:top w:val="none" w:sz="0" w:space="0" w:color="auto"/>
        <w:left w:val="none" w:sz="0" w:space="0" w:color="auto"/>
        <w:bottom w:val="none" w:sz="0" w:space="0" w:color="auto"/>
        <w:right w:val="none" w:sz="0" w:space="0" w:color="auto"/>
      </w:divBdr>
    </w:div>
    <w:div w:id="1046949879">
      <w:bodyDiv w:val="1"/>
      <w:marLeft w:val="0"/>
      <w:marRight w:val="0"/>
      <w:marTop w:val="0"/>
      <w:marBottom w:val="0"/>
      <w:divBdr>
        <w:top w:val="none" w:sz="0" w:space="0" w:color="auto"/>
        <w:left w:val="none" w:sz="0" w:space="0" w:color="auto"/>
        <w:bottom w:val="none" w:sz="0" w:space="0" w:color="auto"/>
        <w:right w:val="none" w:sz="0" w:space="0" w:color="auto"/>
      </w:divBdr>
    </w:div>
    <w:div w:id="1047340711">
      <w:bodyDiv w:val="1"/>
      <w:marLeft w:val="0"/>
      <w:marRight w:val="0"/>
      <w:marTop w:val="0"/>
      <w:marBottom w:val="0"/>
      <w:divBdr>
        <w:top w:val="none" w:sz="0" w:space="0" w:color="auto"/>
        <w:left w:val="none" w:sz="0" w:space="0" w:color="auto"/>
        <w:bottom w:val="none" w:sz="0" w:space="0" w:color="auto"/>
        <w:right w:val="none" w:sz="0" w:space="0" w:color="auto"/>
      </w:divBdr>
    </w:div>
    <w:div w:id="1047528816">
      <w:bodyDiv w:val="1"/>
      <w:marLeft w:val="0"/>
      <w:marRight w:val="0"/>
      <w:marTop w:val="0"/>
      <w:marBottom w:val="0"/>
      <w:divBdr>
        <w:top w:val="none" w:sz="0" w:space="0" w:color="auto"/>
        <w:left w:val="none" w:sz="0" w:space="0" w:color="auto"/>
        <w:bottom w:val="none" w:sz="0" w:space="0" w:color="auto"/>
        <w:right w:val="none" w:sz="0" w:space="0" w:color="auto"/>
      </w:divBdr>
    </w:div>
    <w:div w:id="1047611432">
      <w:bodyDiv w:val="1"/>
      <w:marLeft w:val="0"/>
      <w:marRight w:val="0"/>
      <w:marTop w:val="0"/>
      <w:marBottom w:val="0"/>
      <w:divBdr>
        <w:top w:val="none" w:sz="0" w:space="0" w:color="auto"/>
        <w:left w:val="none" w:sz="0" w:space="0" w:color="auto"/>
        <w:bottom w:val="none" w:sz="0" w:space="0" w:color="auto"/>
        <w:right w:val="none" w:sz="0" w:space="0" w:color="auto"/>
      </w:divBdr>
    </w:div>
    <w:div w:id="1047796570">
      <w:bodyDiv w:val="1"/>
      <w:marLeft w:val="0"/>
      <w:marRight w:val="0"/>
      <w:marTop w:val="0"/>
      <w:marBottom w:val="0"/>
      <w:divBdr>
        <w:top w:val="none" w:sz="0" w:space="0" w:color="auto"/>
        <w:left w:val="none" w:sz="0" w:space="0" w:color="auto"/>
        <w:bottom w:val="none" w:sz="0" w:space="0" w:color="auto"/>
        <w:right w:val="none" w:sz="0" w:space="0" w:color="auto"/>
      </w:divBdr>
    </w:div>
    <w:div w:id="1048147762">
      <w:bodyDiv w:val="1"/>
      <w:marLeft w:val="0"/>
      <w:marRight w:val="0"/>
      <w:marTop w:val="0"/>
      <w:marBottom w:val="0"/>
      <w:divBdr>
        <w:top w:val="none" w:sz="0" w:space="0" w:color="auto"/>
        <w:left w:val="none" w:sz="0" w:space="0" w:color="auto"/>
        <w:bottom w:val="none" w:sz="0" w:space="0" w:color="auto"/>
        <w:right w:val="none" w:sz="0" w:space="0" w:color="auto"/>
      </w:divBdr>
    </w:div>
    <w:div w:id="1048183709">
      <w:bodyDiv w:val="1"/>
      <w:marLeft w:val="0"/>
      <w:marRight w:val="0"/>
      <w:marTop w:val="0"/>
      <w:marBottom w:val="0"/>
      <w:divBdr>
        <w:top w:val="none" w:sz="0" w:space="0" w:color="auto"/>
        <w:left w:val="none" w:sz="0" w:space="0" w:color="auto"/>
        <w:bottom w:val="none" w:sz="0" w:space="0" w:color="auto"/>
        <w:right w:val="none" w:sz="0" w:space="0" w:color="auto"/>
      </w:divBdr>
    </w:div>
    <w:div w:id="1048384691">
      <w:bodyDiv w:val="1"/>
      <w:marLeft w:val="0"/>
      <w:marRight w:val="0"/>
      <w:marTop w:val="0"/>
      <w:marBottom w:val="0"/>
      <w:divBdr>
        <w:top w:val="none" w:sz="0" w:space="0" w:color="auto"/>
        <w:left w:val="none" w:sz="0" w:space="0" w:color="auto"/>
        <w:bottom w:val="none" w:sz="0" w:space="0" w:color="auto"/>
        <w:right w:val="none" w:sz="0" w:space="0" w:color="auto"/>
      </w:divBdr>
    </w:div>
    <w:div w:id="1048452820">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
    <w:div w:id="1048458628">
      <w:bodyDiv w:val="1"/>
      <w:marLeft w:val="0"/>
      <w:marRight w:val="0"/>
      <w:marTop w:val="0"/>
      <w:marBottom w:val="0"/>
      <w:divBdr>
        <w:top w:val="none" w:sz="0" w:space="0" w:color="auto"/>
        <w:left w:val="none" w:sz="0" w:space="0" w:color="auto"/>
        <w:bottom w:val="none" w:sz="0" w:space="0" w:color="auto"/>
        <w:right w:val="none" w:sz="0" w:space="0" w:color="auto"/>
      </w:divBdr>
    </w:div>
    <w:div w:id="1048994001">
      <w:bodyDiv w:val="1"/>
      <w:marLeft w:val="0"/>
      <w:marRight w:val="0"/>
      <w:marTop w:val="0"/>
      <w:marBottom w:val="0"/>
      <w:divBdr>
        <w:top w:val="none" w:sz="0" w:space="0" w:color="auto"/>
        <w:left w:val="none" w:sz="0" w:space="0" w:color="auto"/>
        <w:bottom w:val="none" w:sz="0" w:space="0" w:color="auto"/>
        <w:right w:val="none" w:sz="0" w:space="0" w:color="auto"/>
      </w:divBdr>
    </w:div>
    <w:div w:id="1048995822">
      <w:bodyDiv w:val="1"/>
      <w:marLeft w:val="0"/>
      <w:marRight w:val="0"/>
      <w:marTop w:val="0"/>
      <w:marBottom w:val="0"/>
      <w:divBdr>
        <w:top w:val="none" w:sz="0" w:space="0" w:color="auto"/>
        <w:left w:val="none" w:sz="0" w:space="0" w:color="auto"/>
        <w:bottom w:val="none" w:sz="0" w:space="0" w:color="auto"/>
        <w:right w:val="none" w:sz="0" w:space="0" w:color="auto"/>
      </w:divBdr>
    </w:div>
    <w:div w:id="1049184297">
      <w:bodyDiv w:val="1"/>
      <w:marLeft w:val="0"/>
      <w:marRight w:val="0"/>
      <w:marTop w:val="0"/>
      <w:marBottom w:val="0"/>
      <w:divBdr>
        <w:top w:val="none" w:sz="0" w:space="0" w:color="auto"/>
        <w:left w:val="none" w:sz="0" w:space="0" w:color="auto"/>
        <w:bottom w:val="none" w:sz="0" w:space="0" w:color="auto"/>
        <w:right w:val="none" w:sz="0" w:space="0" w:color="auto"/>
      </w:divBdr>
    </w:div>
    <w:div w:id="1049568056">
      <w:bodyDiv w:val="1"/>
      <w:marLeft w:val="0"/>
      <w:marRight w:val="0"/>
      <w:marTop w:val="0"/>
      <w:marBottom w:val="0"/>
      <w:divBdr>
        <w:top w:val="none" w:sz="0" w:space="0" w:color="auto"/>
        <w:left w:val="none" w:sz="0" w:space="0" w:color="auto"/>
        <w:bottom w:val="none" w:sz="0" w:space="0" w:color="auto"/>
        <w:right w:val="none" w:sz="0" w:space="0" w:color="auto"/>
      </w:divBdr>
    </w:div>
    <w:div w:id="1049568820">
      <w:bodyDiv w:val="1"/>
      <w:marLeft w:val="0"/>
      <w:marRight w:val="0"/>
      <w:marTop w:val="0"/>
      <w:marBottom w:val="0"/>
      <w:divBdr>
        <w:top w:val="none" w:sz="0" w:space="0" w:color="auto"/>
        <w:left w:val="none" w:sz="0" w:space="0" w:color="auto"/>
        <w:bottom w:val="none" w:sz="0" w:space="0" w:color="auto"/>
        <w:right w:val="none" w:sz="0" w:space="0" w:color="auto"/>
      </w:divBdr>
    </w:div>
    <w:div w:id="1049761727">
      <w:bodyDiv w:val="1"/>
      <w:marLeft w:val="0"/>
      <w:marRight w:val="0"/>
      <w:marTop w:val="0"/>
      <w:marBottom w:val="0"/>
      <w:divBdr>
        <w:top w:val="none" w:sz="0" w:space="0" w:color="auto"/>
        <w:left w:val="none" w:sz="0" w:space="0" w:color="auto"/>
        <w:bottom w:val="none" w:sz="0" w:space="0" w:color="auto"/>
        <w:right w:val="none" w:sz="0" w:space="0" w:color="auto"/>
      </w:divBdr>
    </w:div>
    <w:div w:id="1049769350">
      <w:bodyDiv w:val="1"/>
      <w:marLeft w:val="0"/>
      <w:marRight w:val="0"/>
      <w:marTop w:val="0"/>
      <w:marBottom w:val="0"/>
      <w:divBdr>
        <w:top w:val="none" w:sz="0" w:space="0" w:color="auto"/>
        <w:left w:val="none" w:sz="0" w:space="0" w:color="auto"/>
        <w:bottom w:val="none" w:sz="0" w:space="0" w:color="auto"/>
        <w:right w:val="none" w:sz="0" w:space="0" w:color="auto"/>
      </w:divBdr>
    </w:div>
    <w:div w:id="1049888725">
      <w:bodyDiv w:val="1"/>
      <w:marLeft w:val="0"/>
      <w:marRight w:val="0"/>
      <w:marTop w:val="0"/>
      <w:marBottom w:val="0"/>
      <w:divBdr>
        <w:top w:val="none" w:sz="0" w:space="0" w:color="auto"/>
        <w:left w:val="none" w:sz="0" w:space="0" w:color="auto"/>
        <w:bottom w:val="none" w:sz="0" w:space="0" w:color="auto"/>
        <w:right w:val="none" w:sz="0" w:space="0" w:color="auto"/>
      </w:divBdr>
    </w:div>
    <w:div w:id="1049914051">
      <w:bodyDiv w:val="1"/>
      <w:marLeft w:val="0"/>
      <w:marRight w:val="0"/>
      <w:marTop w:val="0"/>
      <w:marBottom w:val="0"/>
      <w:divBdr>
        <w:top w:val="none" w:sz="0" w:space="0" w:color="auto"/>
        <w:left w:val="none" w:sz="0" w:space="0" w:color="auto"/>
        <w:bottom w:val="none" w:sz="0" w:space="0" w:color="auto"/>
        <w:right w:val="none" w:sz="0" w:space="0" w:color="auto"/>
      </w:divBdr>
    </w:div>
    <w:div w:id="1050107111">
      <w:bodyDiv w:val="1"/>
      <w:marLeft w:val="0"/>
      <w:marRight w:val="0"/>
      <w:marTop w:val="0"/>
      <w:marBottom w:val="0"/>
      <w:divBdr>
        <w:top w:val="none" w:sz="0" w:space="0" w:color="auto"/>
        <w:left w:val="none" w:sz="0" w:space="0" w:color="auto"/>
        <w:bottom w:val="none" w:sz="0" w:space="0" w:color="auto"/>
        <w:right w:val="none" w:sz="0" w:space="0" w:color="auto"/>
      </w:divBdr>
    </w:div>
    <w:div w:id="1050543071">
      <w:bodyDiv w:val="1"/>
      <w:marLeft w:val="0"/>
      <w:marRight w:val="0"/>
      <w:marTop w:val="0"/>
      <w:marBottom w:val="0"/>
      <w:divBdr>
        <w:top w:val="none" w:sz="0" w:space="0" w:color="auto"/>
        <w:left w:val="none" w:sz="0" w:space="0" w:color="auto"/>
        <w:bottom w:val="none" w:sz="0" w:space="0" w:color="auto"/>
        <w:right w:val="none" w:sz="0" w:space="0" w:color="auto"/>
      </w:divBdr>
    </w:div>
    <w:div w:id="1050694067">
      <w:bodyDiv w:val="1"/>
      <w:marLeft w:val="0"/>
      <w:marRight w:val="0"/>
      <w:marTop w:val="0"/>
      <w:marBottom w:val="0"/>
      <w:divBdr>
        <w:top w:val="none" w:sz="0" w:space="0" w:color="auto"/>
        <w:left w:val="none" w:sz="0" w:space="0" w:color="auto"/>
        <w:bottom w:val="none" w:sz="0" w:space="0" w:color="auto"/>
        <w:right w:val="none" w:sz="0" w:space="0" w:color="auto"/>
      </w:divBdr>
    </w:div>
    <w:div w:id="1051029066">
      <w:bodyDiv w:val="1"/>
      <w:marLeft w:val="0"/>
      <w:marRight w:val="0"/>
      <w:marTop w:val="0"/>
      <w:marBottom w:val="0"/>
      <w:divBdr>
        <w:top w:val="none" w:sz="0" w:space="0" w:color="auto"/>
        <w:left w:val="none" w:sz="0" w:space="0" w:color="auto"/>
        <w:bottom w:val="none" w:sz="0" w:space="0" w:color="auto"/>
        <w:right w:val="none" w:sz="0" w:space="0" w:color="auto"/>
      </w:divBdr>
    </w:div>
    <w:div w:id="1051030716">
      <w:bodyDiv w:val="1"/>
      <w:marLeft w:val="0"/>
      <w:marRight w:val="0"/>
      <w:marTop w:val="0"/>
      <w:marBottom w:val="0"/>
      <w:divBdr>
        <w:top w:val="none" w:sz="0" w:space="0" w:color="auto"/>
        <w:left w:val="none" w:sz="0" w:space="0" w:color="auto"/>
        <w:bottom w:val="none" w:sz="0" w:space="0" w:color="auto"/>
        <w:right w:val="none" w:sz="0" w:space="0" w:color="auto"/>
      </w:divBdr>
    </w:div>
    <w:div w:id="1051267211">
      <w:bodyDiv w:val="1"/>
      <w:marLeft w:val="0"/>
      <w:marRight w:val="0"/>
      <w:marTop w:val="0"/>
      <w:marBottom w:val="0"/>
      <w:divBdr>
        <w:top w:val="none" w:sz="0" w:space="0" w:color="auto"/>
        <w:left w:val="none" w:sz="0" w:space="0" w:color="auto"/>
        <w:bottom w:val="none" w:sz="0" w:space="0" w:color="auto"/>
        <w:right w:val="none" w:sz="0" w:space="0" w:color="auto"/>
      </w:divBdr>
    </w:div>
    <w:div w:id="1051274243">
      <w:bodyDiv w:val="1"/>
      <w:marLeft w:val="0"/>
      <w:marRight w:val="0"/>
      <w:marTop w:val="0"/>
      <w:marBottom w:val="0"/>
      <w:divBdr>
        <w:top w:val="none" w:sz="0" w:space="0" w:color="auto"/>
        <w:left w:val="none" w:sz="0" w:space="0" w:color="auto"/>
        <w:bottom w:val="none" w:sz="0" w:space="0" w:color="auto"/>
        <w:right w:val="none" w:sz="0" w:space="0" w:color="auto"/>
      </w:divBdr>
    </w:div>
    <w:div w:id="1051853639">
      <w:bodyDiv w:val="1"/>
      <w:marLeft w:val="0"/>
      <w:marRight w:val="0"/>
      <w:marTop w:val="0"/>
      <w:marBottom w:val="0"/>
      <w:divBdr>
        <w:top w:val="none" w:sz="0" w:space="0" w:color="auto"/>
        <w:left w:val="none" w:sz="0" w:space="0" w:color="auto"/>
        <w:bottom w:val="none" w:sz="0" w:space="0" w:color="auto"/>
        <w:right w:val="none" w:sz="0" w:space="0" w:color="auto"/>
      </w:divBdr>
    </w:div>
    <w:div w:id="1052079342">
      <w:bodyDiv w:val="1"/>
      <w:marLeft w:val="0"/>
      <w:marRight w:val="0"/>
      <w:marTop w:val="0"/>
      <w:marBottom w:val="0"/>
      <w:divBdr>
        <w:top w:val="none" w:sz="0" w:space="0" w:color="auto"/>
        <w:left w:val="none" w:sz="0" w:space="0" w:color="auto"/>
        <w:bottom w:val="none" w:sz="0" w:space="0" w:color="auto"/>
        <w:right w:val="none" w:sz="0" w:space="0" w:color="auto"/>
      </w:divBdr>
    </w:div>
    <w:div w:id="1052273047">
      <w:bodyDiv w:val="1"/>
      <w:marLeft w:val="0"/>
      <w:marRight w:val="0"/>
      <w:marTop w:val="0"/>
      <w:marBottom w:val="0"/>
      <w:divBdr>
        <w:top w:val="none" w:sz="0" w:space="0" w:color="auto"/>
        <w:left w:val="none" w:sz="0" w:space="0" w:color="auto"/>
        <w:bottom w:val="none" w:sz="0" w:space="0" w:color="auto"/>
        <w:right w:val="none" w:sz="0" w:space="0" w:color="auto"/>
      </w:divBdr>
    </w:div>
    <w:div w:id="1052536942">
      <w:bodyDiv w:val="1"/>
      <w:marLeft w:val="0"/>
      <w:marRight w:val="0"/>
      <w:marTop w:val="0"/>
      <w:marBottom w:val="0"/>
      <w:divBdr>
        <w:top w:val="none" w:sz="0" w:space="0" w:color="auto"/>
        <w:left w:val="none" w:sz="0" w:space="0" w:color="auto"/>
        <w:bottom w:val="none" w:sz="0" w:space="0" w:color="auto"/>
        <w:right w:val="none" w:sz="0" w:space="0" w:color="auto"/>
      </w:divBdr>
    </w:div>
    <w:div w:id="1052998340">
      <w:bodyDiv w:val="1"/>
      <w:marLeft w:val="0"/>
      <w:marRight w:val="0"/>
      <w:marTop w:val="0"/>
      <w:marBottom w:val="0"/>
      <w:divBdr>
        <w:top w:val="none" w:sz="0" w:space="0" w:color="auto"/>
        <w:left w:val="none" w:sz="0" w:space="0" w:color="auto"/>
        <w:bottom w:val="none" w:sz="0" w:space="0" w:color="auto"/>
        <w:right w:val="none" w:sz="0" w:space="0" w:color="auto"/>
      </w:divBdr>
    </w:div>
    <w:div w:id="1053037855">
      <w:bodyDiv w:val="1"/>
      <w:marLeft w:val="0"/>
      <w:marRight w:val="0"/>
      <w:marTop w:val="0"/>
      <w:marBottom w:val="0"/>
      <w:divBdr>
        <w:top w:val="none" w:sz="0" w:space="0" w:color="auto"/>
        <w:left w:val="none" w:sz="0" w:space="0" w:color="auto"/>
        <w:bottom w:val="none" w:sz="0" w:space="0" w:color="auto"/>
        <w:right w:val="none" w:sz="0" w:space="0" w:color="auto"/>
      </w:divBdr>
    </w:div>
    <w:div w:id="1053113083">
      <w:bodyDiv w:val="1"/>
      <w:marLeft w:val="0"/>
      <w:marRight w:val="0"/>
      <w:marTop w:val="0"/>
      <w:marBottom w:val="0"/>
      <w:divBdr>
        <w:top w:val="none" w:sz="0" w:space="0" w:color="auto"/>
        <w:left w:val="none" w:sz="0" w:space="0" w:color="auto"/>
        <w:bottom w:val="none" w:sz="0" w:space="0" w:color="auto"/>
        <w:right w:val="none" w:sz="0" w:space="0" w:color="auto"/>
      </w:divBdr>
    </w:div>
    <w:div w:id="1053191672">
      <w:bodyDiv w:val="1"/>
      <w:marLeft w:val="0"/>
      <w:marRight w:val="0"/>
      <w:marTop w:val="0"/>
      <w:marBottom w:val="0"/>
      <w:divBdr>
        <w:top w:val="none" w:sz="0" w:space="0" w:color="auto"/>
        <w:left w:val="none" w:sz="0" w:space="0" w:color="auto"/>
        <w:bottom w:val="none" w:sz="0" w:space="0" w:color="auto"/>
        <w:right w:val="none" w:sz="0" w:space="0" w:color="auto"/>
      </w:divBdr>
    </w:div>
    <w:div w:id="1053307615">
      <w:bodyDiv w:val="1"/>
      <w:marLeft w:val="0"/>
      <w:marRight w:val="0"/>
      <w:marTop w:val="0"/>
      <w:marBottom w:val="0"/>
      <w:divBdr>
        <w:top w:val="none" w:sz="0" w:space="0" w:color="auto"/>
        <w:left w:val="none" w:sz="0" w:space="0" w:color="auto"/>
        <w:bottom w:val="none" w:sz="0" w:space="0" w:color="auto"/>
        <w:right w:val="none" w:sz="0" w:space="0" w:color="auto"/>
      </w:divBdr>
    </w:div>
    <w:div w:id="1053970155">
      <w:bodyDiv w:val="1"/>
      <w:marLeft w:val="0"/>
      <w:marRight w:val="0"/>
      <w:marTop w:val="0"/>
      <w:marBottom w:val="0"/>
      <w:divBdr>
        <w:top w:val="none" w:sz="0" w:space="0" w:color="auto"/>
        <w:left w:val="none" w:sz="0" w:space="0" w:color="auto"/>
        <w:bottom w:val="none" w:sz="0" w:space="0" w:color="auto"/>
        <w:right w:val="none" w:sz="0" w:space="0" w:color="auto"/>
      </w:divBdr>
    </w:div>
    <w:div w:id="1054348945">
      <w:bodyDiv w:val="1"/>
      <w:marLeft w:val="0"/>
      <w:marRight w:val="0"/>
      <w:marTop w:val="0"/>
      <w:marBottom w:val="0"/>
      <w:divBdr>
        <w:top w:val="none" w:sz="0" w:space="0" w:color="auto"/>
        <w:left w:val="none" w:sz="0" w:space="0" w:color="auto"/>
        <w:bottom w:val="none" w:sz="0" w:space="0" w:color="auto"/>
        <w:right w:val="none" w:sz="0" w:space="0" w:color="auto"/>
      </w:divBdr>
    </w:div>
    <w:div w:id="1054427123">
      <w:bodyDiv w:val="1"/>
      <w:marLeft w:val="0"/>
      <w:marRight w:val="0"/>
      <w:marTop w:val="0"/>
      <w:marBottom w:val="0"/>
      <w:divBdr>
        <w:top w:val="none" w:sz="0" w:space="0" w:color="auto"/>
        <w:left w:val="none" w:sz="0" w:space="0" w:color="auto"/>
        <w:bottom w:val="none" w:sz="0" w:space="0" w:color="auto"/>
        <w:right w:val="none" w:sz="0" w:space="0" w:color="auto"/>
      </w:divBdr>
    </w:div>
    <w:div w:id="1054427763">
      <w:bodyDiv w:val="1"/>
      <w:marLeft w:val="0"/>
      <w:marRight w:val="0"/>
      <w:marTop w:val="0"/>
      <w:marBottom w:val="0"/>
      <w:divBdr>
        <w:top w:val="none" w:sz="0" w:space="0" w:color="auto"/>
        <w:left w:val="none" w:sz="0" w:space="0" w:color="auto"/>
        <w:bottom w:val="none" w:sz="0" w:space="0" w:color="auto"/>
        <w:right w:val="none" w:sz="0" w:space="0" w:color="auto"/>
      </w:divBdr>
    </w:div>
    <w:div w:id="1054432635">
      <w:bodyDiv w:val="1"/>
      <w:marLeft w:val="0"/>
      <w:marRight w:val="0"/>
      <w:marTop w:val="0"/>
      <w:marBottom w:val="0"/>
      <w:divBdr>
        <w:top w:val="none" w:sz="0" w:space="0" w:color="auto"/>
        <w:left w:val="none" w:sz="0" w:space="0" w:color="auto"/>
        <w:bottom w:val="none" w:sz="0" w:space="0" w:color="auto"/>
        <w:right w:val="none" w:sz="0" w:space="0" w:color="auto"/>
      </w:divBdr>
    </w:div>
    <w:div w:id="1054541326">
      <w:bodyDiv w:val="1"/>
      <w:marLeft w:val="0"/>
      <w:marRight w:val="0"/>
      <w:marTop w:val="0"/>
      <w:marBottom w:val="0"/>
      <w:divBdr>
        <w:top w:val="none" w:sz="0" w:space="0" w:color="auto"/>
        <w:left w:val="none" w:sz="0" w:space="0" w:color="auto"/>
        <w:bottom w:val="none" w:sz="0" w:space="0" w:color="auto"/>
        <w:right w:val="none" w:sz="0" w:space="0" w:color="auto"/>
      </w:divBdr>
    </w:div>
    <w:div w:id="1055079088">
      <w:bodyDiv w:val="1"/>
      <w:marLeft w:val="0"/>
      <w:marRight w:val="0"/>
      <w:marTop w:val="0"/>
      <w:marBottom w:val="0"/>
      <w:divBdr>
        <w:top w:val="none" w:sz="0" w:space="0" w:color="auto"/>
        <w:left w:val="none" w:sz="0" w:space="0" w:color="auto"/>
        <w:bottom w:val="none" w:sz="0" w:space="0" w:color="auto"/>
        <w:right w:val="none" w:sz="0" w:space="0" w:color="auto"/>
      </w:divBdr>
    </w:div>
    <w:div w:id="1055160815">
      <w:bodyDiv w:val="1"/>
      <w:marLeft w:val="0"/>
      <w:marRight w:val="0"/>
      <w:marTop w:val="0"/>
      <w:marBottom w:val="0"/>
      <w:divBdr>
        <w:top w:val="none" w:sz="0" w:space="0" w:color="auto"/>
        <w:left w:val="none" w:sz="0" w:space="0" w:color="auto"/>
        <w:bottom w:val="none" w:sz="0" w:space="0" w:color="auto"/>
        <w:right w:val="none" w:sz="0" w:space="0" w:color="auto"/>
      </w:divBdr>
    </w:div>
    <w:div w:id="1055272963">
      <w:bodyDiv w:val="1"/>
      <w:marLeft w:val="0"/>
      <w:marRight w:val="0"/>
      <w:marTop w:val="0"/>
      <w:marBottom w:val="0"/>
      <w:divBdr>
        <w:top w:val="none" w:sz="0" w:space="0" w:color="auto"/>
        <w:left w:val="none" w:sz="0" w:space="0" w:color="auto"/>
        <w:bottom w:val="none" w:sz="0" w:space="0" w:color="auto"/>
        <w:right w:val="none" w:sz="0" w:space="0" w:color="auto"/>
      </w:divBdr>
    </w:div>
    <w:div w:id="1055278652">
      <w:bodyDiv w:val="1"/>
      <w:marLeft w:val="0"/>
      <w:marRight w:val="0"/>
      <w:marTop w:val="0"/>
      <w:marBottom w:val="0"/>
      <w:divBdr>
        <w:top w:val="none" w:sz="0" w:space="0" w:color="auto"/>
        <w:left w:val="none" w:sz="0" w:space="0" w:color="auto"/>
        <w:bottom w:val="none" w:sz="0" w:space="0" w:color="auto"/>
        <w:right w:val="none" w:sz="0" w:space="0" w:color="auto"/>
      </w:divBdr>
    </w:div>
    <w:div w:id="1055279469">
      <w:bodyDiv w:val="1"/>
      <w:marLeft w:val="0"/>
      <w:marRight w:val="0"/>
      <w:marTop w:val="0"/>
      <w:marBottom w:val="0"/>
      <w:divBdr>
        <w:top w:val="none" w:sz="0" w:space="0" w:color="auto"/>
        <w:left w:val="none" w:sz="0" w:space="0" w:color="auto"/>
        <w:bottom w:val="none" w:sz="0" w:space="0" w:color="auto"/>
        <w:right w:val="none" w:sz="0" w:space="0" w:color="auto"/>
      </w:divBdr>
    </w:div>
    <w:div w:id="1055816055">
      <w:bodyDiv w:val="1"/>
      <w:marLeft w:val="0"/>
      <w:marRight w:val="0"/>
      <w:marTop w:val="0"/>
      <w:marBottom w:val="0"/>
      <w:divBdr>
        <w:top w:val="none" w:sz="0" w:space="0" w:color="auto"/>
        <w:left w:val="none" w:sz="0" w:space="0" w:color="auto"/>
        <w:bottom w:val="none" w:sz="0" w:space="0" w:color="auto"/>
        <w:right w:val="none" w:sz="0" w:space="0" w:color="auto"/>
      </w:divBdr>
    </w:div>
    <w:div w:id="1055817383">
      <w:bodyDiv w:val="1"/>
      <w:marLeft w:val="0"/>
      <w:marRight w:val="0"/>
      <w:marTop w:val="0"/>
      <w:marBottom w:val="0"/>
      <w:divBdr>
        <w:top w:val="none" w:sz="0" w:space="0" w:color="auto"/>
        <w:left w:val="none" w:sz="0" w:space="0" w:color="auto"/>
        <w:bottom w:val="none" w:sz="0" w:space="0" w:color="auto"/>
        <w:right w:val="none" w:sz="0" w:space="0" w:color="auto"/>
      </w:divBdr>
    </w:div>
    <w:div w:id="1056127448">
      <w:bodyDiv w:val="1"/>
      <w:marLeft w:val="0"/>
      <w:marRight w:val="0"/>
      <w:marTop w:val="0"/>
      <w:marBottom w:val="0"/>
      <w:divBdr>
        <w:top w:val="none" w:sz="0" w:space="0" w:color="auto"/>
        <w:left w:val="none" w:sz="0" w:space="0" w:color="auto"/>
        <w:bottom w:val="none" w:sz="0" w:space="0" w:color="auto"/>
        <w:right w:val="none" w:sz="0" w:space="0" w:color="auto"/>
      </w:divBdr>
    </w:div>
    <w:div w:id="1056203892">
      <w:bodyDiv w:val="1"/>
      <w:marLeft w:val="0"/>
      <w:marRight w:val="0"/>
      <w:marTop w:val="0"/>
      <w:marBottom w:val="0"/>
      <w:divBdr>
        <w:top w:val="none" w:sz="0" w:space="0" w:color="auto"/>
        <w:left w:val="none" w:sz="0" w:space="0" w:color="auto"/>
        <w:bottom w:val="none" w:sz="0" w:space="0" w:color="auto"/>
        <w:right w:val="none" w:sz="0" w:space="0" w:color="auto"/>
      </w:divBdr>
    </w:div>
    <w:div w:id="1056272243">
      <w:bodyDiv w:val="1"/>
      <w:marLeft w:val="0"/>
      <w:marRight w:val="0"/>
      <w:marTop w:val="0"/>
      <w:marBottom w:val="0"/>
      <w:divBdr>
        <w:top w:val="none" w:sz="0" w:space="0" w:color="auto"/>
        <w:left w:val="none" w:sz="0" w:space="0" w:color="auto"/>
        <w:bottom w:val="none" w:sz="0" w:space="0" w:color="auto"/>
        <w:right w:val="none" w:sz="0" w:space="0" w:color="auto"/>
      </w:divBdr>
    </w:div>
    <w:div w:id="1056389392">
      <w:bodyDiv w:val="1"/>
      <w:marLeft w:val="0"/>
      <w:marRight w:val="0"/>
      <w:marTop w:val="0"/>
      <w:marBottom w:val="0"/>
      <w:divBdr>
        <w:top w:val="none" w:sz="0" w:space="0" w:color="auto"/>
        <w:left w:val="none" w:sz="0" w:space="0" w:color="auto"/>
        <w:bottom w:val="none" w:sz="0" w:space="0" w:color="auto"/>
        <w:right w:val="none" w:sz="0" w:space="0" w:color="auto"/>
      </w:divBdr>
    </w:div>
    <w:div w:id="1056468490">
      <w:bodyDiv w:val="1"/>
      <w:marLeft w:val="0"/>
      <w:marRight w:val="0"/>
      <w:marTop w:val="0"/>
      <w:marBottom w:val="0"/>
      <w:divBdr>
        <w:top w:val="none" w:sz="0" w:space="0" w:color="auto"/>
        <w:left w:val="none" w:sz="0" w:space="0" w:color="auto"/>
        <w:bottom w:val="none" w:sz="0" w:space="0" w:color="auto"/>
        <w:right w:val="none" w:sz="0" w:space="0" w:color="auto"/>
      </w:divBdr>
    </w:div>
    <w:div w:id="1056665689">
      <w:bodyDiv w:val="1"/>
      <w:marLeft w:val="0"/>
      <w:marRight w:val="0"/>
      <w:marTop w:val="0"/>
      <w:marBottom w:val="0"/>
      <w:divBdr>
        <w:top w:val="none" w:sz="0" w:space="0" w:color="auto"/>
        <w:left w:val="none" w:sz="0" w:space="0" w:color="auto"/>
        <w:bottom w:val="none" w:sz="0" w:space="0" w:color="auto"/>
        <w:right w:val="none" w:sz="0" w:space="0" w:color="auto"/>
      </w:divBdr>
    </w:div>
    <w:div w:id="1056926866">
      <w:bodyDiv w:val="1"/>
      <w:marLeft w:val="0"/>
      <w:marRight w:val="0"/>
      <w:marTop w:val="0"/>
      <w:marBottom w:val="0"/>
      <w:divBdr>
        <w:top w:val="none" w:sz="0" w:space="0" w:color="auto"/>
        <w:left w:val="none" w:sz="0" w:space="0" w:color="auto"/>
        <w:bottom w:val="none" w:sz="0" w:space="0" w:color="auto"/>
        <w:right w:val="none" w:sz="0" w:space="0" w:color="auto"/>
      </w:divBdr>
    </w:div>
    <w:div w:id="1056973621">
      <w:bodyDiv w:val="1"/>
      <w:marLeft w:val="0"/>
      <w:marRight w:val="0"/>
      <w:marTop w:val="0"/>
      <w:marBottom w:val="0"/>
      <w:divBdr>
        <w:top w:val="none" w:sz="0" w:space="0" w:color="auto"/>
        <w:left w:val="none" w:sz="0" w:space="0" w:color="auto"/>
        <w:bottom w:val="none" w:sz="0" w:space="0" w:color="auto"/>
        <w:right w:val="none" w:sz="0" w:space="0" w:color="auto"/>
      </w:divBdr>
    </w:div>
    <w:div w:id="1057096668">
      <w:bodyDiv w:val="1"/>
      <w:marLeft w:val="0"/>
      <w:marRight w:val="0"/>
      <w:marTop w:val="0"/>
      <w:marBottom w:val="0"/>
      <w:divBdr>
        <w:top w:val="none" w:sz="0" w:space="0" w:color="auto"/>
        <w:left w:val="none" w:sz="0" w:space="0" w:color="auto"/>
        <w:bottom w:val="none" w:sz="0" w:space="0" w:color="auto"/>
        <w:right w:val="none" w:sz="0" w:space="0" w:color="auto"/>
      </w:divBdr>
    </w:div>
    <w:div w:id="1057240031">
      <w:bodyDiv w:val="1"/>
      <w:marLeft w:val="0"/>
      <w:marRight w:val="0"/>
      <w:marTop w:val="0"/>
      <w:marBottom w:val="0"/>
      <w:divBdr>
        <w:top w:val="none" w:sz="0" w:space="0" w:color="auto"/>
        <w:left w:val="none" w:sz="0" w:space="0" w:color="auto"/>
        <w:bottom w:val="none" w:sz="0" w:space="0" w:color="auto"/>
        <w:right w:val="none" w:sz="0" w:space="0" w:color="auto"/>
      </w:divBdr>
    </w:div>
    <w:div w:id="1057318281">
      <w:bodyDiv w:val="1"/>
      <w:marLeft w:val="0"/>
      <w:marRight w:val="0"/>
      <w:marTop w:val="0"/>
      <w:marBottom w:val="0"/>
      <w:divBdr>
        <w:top w:val="none" w:sz="0" w:space="0" w:color="auto"/>
        <w:left w:val="none" w:sz="0" w:space="0" w:color="auto"/>
        <w:bottom w:val="none" w:sz="0" w:space="0" w:color="auto"/>
        <w:right w:val="none" w:sz="0" w:space="0" w:color="auto"/>
      </w:divBdr>
    </w:div>
    <w:div w:id="1057435715">
      <w:bodyDiv w:val="1"/>
      <w:marLeft w:val="0"/>
      <w:marRight w:val="0"/>
      <w:marTop w:val="0"/>
      <w:marBottom w:val="0"/>
      <w:divBdr>
        <w:top w:val="none" w:sz="0" w:space="0" w:color="auto"/>
        <w:left w:val="none" w:sz="0" w:space="0" w:color="auto"/>
        <w:bottom w:val="none" w:sz="0" w:space="0" w:color="auto"/>
        <w:right w:val="none" w:sz="0" w:space="0" w:color="auto"/>
      </w:divBdr>
    </w:div>
    <w:div w:id="1057512113">
      <w:bodyDiv w:val="1"/>
      <w:marLeft w:val="0"/>
      <w:marRight w:val="0"/>
      <w:marTop w:val="0"/>
      <w:marBottom w:val="0"/>
      <w:divBdr>
        <w:top w:val="none" w:sz="0" w:space="0" w:color="auto"/>
        <w:left w:val="none" w:sz="0" w:space="0" w:color="auto"/>
        <w:bottom w:val="none" w:sz="0" w:space="0" w:color="auto"/>
        <w:right w:val="none" w:sz="0" w:space="0" w:color="auto"/>
      </w:divBdr>
    </w:div>
    <w:div w:id="1057893859">
      <w:bodyDiv w:val="1"/>
      <w:marLeft w:val="0"/>
      <w:marRight w:val="0"/>
      <w:marTop w:val="0"/>
      <w:marBottom w:val="0"/>
      <w:divBdr>
        <w:top w:val="none" w:sz="0" w:space="0" w:color="auto"/>
        <w:left w:val="none" w:sz="0" w:space="0" w:color="auto"/>
        <w:bottom w:val="none" w:sz="0" w:space="0" w:color="auto"/>
        <w:right w:val="none" w:sz="0" w:space="0" w:color="auto"/>
      </w:divBdr>
    </w:div>
    <w:div w:id="1058477641">
      <w:bodyDiv w:val="1"/>
      <w:marLeft w:val="0"/>
      <w:marRight w:val="0"/>
      <w:marTop w:val="0"/>
      <w:marBottom w:val="0"/>
      <w:divBdr>
        <w:top w:val="none" w:sz="0" w:space="0" w:color="auto"/>
        <w:left w:val="none" w:sz="0" w:space="0" w:color="auto"/>
        <w:bottom w:val="none" w:sz="0" w:space="0" w:color="auto"/>
        <w:right w:val="none" w:sz="0" w:space="0" w:color="auto"/>
      </w:divBdr>
    </w:div>
    <w:div w:id="1058554964">
      <w:bodyDiv w:val="1"/>
      <w:marLeft w:val="0"/>
      <w:marRight w:val="0"/>
      <w:marTop w:val="0"/>
      <w:marBottom w:val="0"/>
      <w:divBdr>
        <w:top w:val="none" w:sz="0" w:space="0" w:color="auto"/>
        <w:left w:val="none" w:sz="0" w:space="0" w:color="auto"/>
        <w:bottom w:val="none" w:sz="0" w:space="0" w:color="auto"/>
        <w:right w:val="none" w:sz="0" w:space="0" w:color="auto"/>
      </w:divBdr>
    </w:div>
    <w:div w:id="1058626776">
      <w:bodyDiv w:val="1"/>
      <w:marLeft w:val="0"/>
      <w:marRight w:val="0"/>
      <w:marTop w:val="0"/>
      <w:marBottom w:val="0"/>
      <w:divBdr>
        <w:top w:val="none" w:sz="0" w:space="0" w:color="auto"/>
        <w:left w:val="none" w:sz="0" w:space="0" w:color="auto"/>
        <w:bottom w:val="none" w:sz="0" w:space="0" w:color="auto"/>
        <w:right w:val="none" w:sz="0" w:space="0" w:color="auto"/>
      </w:divBdr>
    </w:div>
    <w:div w:id="1058817217">
      <w:bodyDiv w:val="1"/>
      <w:marLeft w:val="0"/>
      <w:marRight w:val="0"/>
      <w:marTop w:val="0"/>
      <w:marBottom w:val="0"/>
      <w:divBdr>
        <w:top w:val="none" w:sz="0" w:space="0" w:color="auto"/>
        <w:left w:val="none" w:sz="0" w:space="0" w:color="auto"/>
        <w:bottom w:val="none" w:sz="0" w:space="0" w:color="auto"/>
        <w:right w:val="none" w:sz="0" w:space="0" w:color="auto"/>
      </w:divBdr>
    </w:div>
    <w:div w:id="1058937137">
      <w:bodyDiv w:val="1"/>
      <w:marLeft w:val="0"/>
      <w:marRight w:val="0"/>
      <w:marTop w:val="0"/>
      <w:marBottom w:val="0"/>
      <w:divBdr>
        <w:top w:val="none" w:sz="0" w:space="0" w:color="auto"/>
        <w:left w:val="none" w:sz="0" w:space="0" w:color="auto"/>
        <w:bottom w:val="none" w:sz="0" w:space="0" w:color="auto"/>
        <w:right w:val="none" w:sz="0" w:space="0" w:color="auto"/>
      </w:divBdr>
    </w:div>
    <w:div w:id="1059128316">
      <w:bodyDiv w:val="1"/>
      <w:marLeft w:val="0"/>
      <w:marRight w:val="0"/>
      <w:marTop w:val="0"/>
      <w:marBottom w:val="0"/>
      <w:divBdr>
        <w:top w:val="none" w:sz="0" w:space="0" w:color="auto"/>
        <w:left w:val="none" w:sz="0" w:space="0" w:color="auto"/>
        <w:bottom w:val="none" w:sz="0" w:space="0" w:color="auto"/>
        <w:right w:val="none" w:sz="0" w:space="0" w:color="auto"/>
      </w:divBdr>
    </w:div>
    <w:div w:id="1059279592">
      <w:bodyDiv w:val="1"/>
      <w:marLeft w:val="0"/>
      <w:marRight w:val="0"/>
      <w:marTop w:val="0"/>
      <w:marBottom w:val="0"/>
      <w:divBdr>
        <w:top w:val="none" w:sz="0" w:space="0" w:color="auto"/>
        <w:left w:val="none" w:sz="0" w:space="0" w:color="auto"/>
        <w:bottom w:val="none" w:sz="0" w:space="0" w:color="auto"/>
        <w:right w:val="none" w:sz="0" w:space="0" w:color="auto"/>
      </w:divBdr>
    </w:div>
    <w:div w:id="1059282258">
      <w:bodyDiv w:val="1"/>
      <w:marLeft w:val="0"/>
      <w:marRight w:val="0"/>
      <w:marTop w:val="0"/>
      <w:marBottom w:val="0"/>
      <w:divBdr>
        <w:top w:val="none" w:sz="0" w:space="0" w:color="auto"/>
        <w:left w:val="none" w:sz="0" w:space="0" w:color="auto"/>
        <w:bottom w:val="none" w:sz="0" w:space="0" w:color="auto"/>
        <w:right w:val="none" w:sz="0" w:space="0" w:color="auto"/>
      </w:divBdr>
    </w:div>
    <w:div w:id="1059284951">
      <w:bodyDiv w:val="1"/>
      <w:marLeft w:val="0"/>
      <w:marRight w:val="0"/>
      <w:marTop w:val="0"/>
      <w:marBottom w:val="0"/>
      <w:divBdr>
        <w:top w:val="none" w:sz="0" w:space="0" w:color="auto"/>
        <w:left w:val="none" w:sz="0" w:space="0" w:color="auto"/>
        <w:bottom w:val="none" w:sz="0" w:space="0" w:color="auto"/>
        <w:right w:val="none" w:sz="0" w:space="0" w:color="auto"/>
      </w:divBdr>
    </w:div>
    <w:div w:id="1059668633">
      <w:bodyDiv w:val="1"/>
      <w:marLeft w:val="0"/>
      <w:marRight w:val="0"/>
      <w:marTop w:val="0"/>
      <w:marBottom w:val="0"/>
      <w:divBdr>
        <w:top w:val="none" w:sz="0" w:space="0" w:color="auto"/>
        <w:left w:val="none" w:sz="0" w:space="0" w:color="auto"/>
        <w:bottom w:val="none" w:sz="0" w:space="0" w:color="auto"/>
        <w:right w:val="none" w:sz="0" w:space="0" w:color="auto"/>
      </w:divBdr>
    </w:div>
    <w:div w:id="1060011260">
      <w:bodyDiv w:val="1"/>
      <w:marLeft w:val="0"/>
      <w:marRight w:val="0"/>
      <w:marTop w:val="0"/>
      <w:marBottom w:val="0"/>
      <w:divBdr>
        <w:top w:val="none" w:sz="0" w:space="0" w:color="auto"/>
        <w:left w:val="none" w:sz="0" w:space="0" w:color="auto"/>
        <w:bottom w:val="none" w:sz="0" w:space="0" w:color="auto"/>
        <w:right w:val="none" w:sz="0" w:space="0" w:color="auto"/>
      </w:divBdr>
    </w:div>
    <w:div w:id="1060397162">
      <w:bodyDiv w:val="1"/>
      <w:marLeft w:val="0"/>
      <w:marRight w:val="0"/>
      <w:marTop w:val="0"/>
      <w:marBottom w:val="0"/>
      <w:divBdr>
        <w:top w:val="none" w:sz="0" w:space="0" w:color="auto"/>
        <w:left w:val="none" w:sz="0" w:space="0" w:color="auto"/>
        <w:bottom w:val="none" w:sz="0" w:space="0" w:color="auto"/>
        <w:right w:val="none" w:sz="0" w:space="0" w:color="auto"/>
      </w:divBdr>
    </w:div>
    <w:div w:id="1060593943">
      <w:bodyDiv w:val="1"/>
      <w:marLeft w:val="0"/>
      <w:marRight w:val="0"/>
      <w:marTop w:val="0"/>
      <w:marBottom w:val="0"/>
      <w:divBdr>
        <w:top w:val="none" w:sz="0" w:space="0" w:color="auto"/>
        <w:left w:val="none" w:sz="0" w:space="0" w:color="auto"/>
        <w:bottom w:val="none" w:sz="0" w:space="0" w:color="auto"/>
        <w:right w:val="none" w:sz="0" w:space="0" w:color="auto"/>
      </w:divBdr>
    </w:div>
    <w:div w:id="1060708060">
      <w:bodyDiv w:val="1"/>
      <w:marLeft w:val="0"/>
      <w:marRight w:val="0"/>
      <w:marTop w:val="0"/>
      <w:marBottom w:val="0"/>
      <w:divBdr>
        <w:top w:val="none" w:sz="0" w:space="0" w:color="auto"/>
        <w:left w:val="none" w:sz="0" w:space="0" w:color="auto"/>
        <w:bottom w:val="none" w:sz="0" w:space="0" w:color="auto"/>
        <w:right w:val="none" w:sz="0" w:space="0" w:color="auto"/>
      </w:divBdr>
    </w:div>
    <w:div w:id="1060861112">
      <w:bodyDiv w:val="1"/>
      <w:marLeft w:val="0"/>
      <w:marRight w:val="0"/>
      <w:marTop w:val="0"/>
      <w:marBottom w:val="0"/>
      <w:divBdr>
        <w:top w:val="none" w:sz="0" w:space="0" w:color="auto"/>
        <w:left w:val="none" w:sz="0" w:space="0" w:color="auto"/>
        <w:bottom w:val="none" w:sz="0" w:space="0" w:color="auto"/>
        <w:right w:val="none" w:sz="0" w:space="0" w:color="auto"/>
      </w:divBdr>
    </w:div>
    <w:div w:id="1060909763">
      <w:bodyDiv w:val="1"/>
      <w:marLeft w:val="0"/>
      <w:marRight w:val="0"/>
      <w:marTop w:val="0"/>
      <w:marBottom w:val="0"/>
      <w:divBdr>
        <w:top w:val="none" w:sz="0" w:space="0" w:color="auto"/>
        <w:left w:val="none" w:sz="0" w:space="0" w:color="auto"/>
        <w:bottom w:val="none" w:sz="0" w:space="0" w:color="auto"/>
        <w:right w:val="none" w:sz="0" w:space="0" w:color="auto"/>
      </w:divBdr>
    </w:div>
    <w:div w:id="1061253807">
      <w:bodyDiv w:val="1"/>
      <w:marLeft w:val="0"/>
      <w:marRight w:val="0"/>
      <w:marTop w:val="0"/>
      <w:marBottom w:val="0"/>
      <w:divBdr>
        <w:top w:val="none" w:sz="0" w:space="0" w:color="auto"/>
        <w:left w:val="none" w:sz="0" w:space="0" w:color="auto"/>
        <w:bottom w:val="none" w:sz="0" w:space="0" w:color="auto"/>
        <w:right w:val="none" w:sz="0" w:space="0" w:color="auto"/>
      </w:divBdr>
    </w:div>
    <w:div w:id="1061446803">
      <w:bodyDiv w:val="1"/>
      <w:marLeft w:val="0"/>
      <w:marRight w:val="0"/>
      <w:marTop w:val="0"/>
      <w:marBottom w:val="0"/>
      <w:divBdr>
        <w:top w:val="none" w:sz="0" w:space="0" w:color="auto"/>
        <w:left w:val="none" w:sz="0" w:space="0" w:color="auto"/>
        <w:bottom w:val="none" w:sz="0" w:space="0" w:color="auto"/>
        <w:right w:val="none" w:sz="0" w:space="0" w:color="auto"/>
      </w:divBdr>
    </w:div>
    <w:div w:id="1061556984">
      <w:bodyDiv w:val="1"/>
      <w:marLeft w:val="0"/>
      <w:marRight w:val="0"/>
      <w:marTop w:val="0"/>
      <w:marBottom w:val="0"/>
      <w:divBdr>
        <w:top w:val="none" w:sz="0" w:space="0" w:color="auto"/>
        <w:left w:val="none" w:sz="0" w:space="0" w:color="auto"/>
        <w:bottom w:val="none" w:sz="0" w:space="0" w:color="auto"/>
        <w:right w:val="none" w:sz="0" w:space="0" w:color="auto"/>
      </w:divBdr>
    </w:div>
    <w:div w:id="1061831683">
      <w:bodyDiv w:val="1"/>
      <w:marLeft w:val="0"/>
      <w:marRight w:val="0"/>
      <w:marTop w:val="0"/>
      <w:marBottom w:val="0"/>
      <w:divBdr>
        <w:top w:val="none" w:sz="0" w:space="0" w:color="auto"/>
        <w:left w:val="none" w:sz="0" w:space="0" w:color="auto"/>
        <w:bottom w:val="none" w:sz="0" w:space="0" w:color="auto"/>
        <w:right w:val="none" w:sz="0" w:space="0" w:color="auto"/>
      </w:divBdr>
    </w:div>
    <w:div w:id="1062095133">
      <w:bodyDiv w:val="1"/>
      <w:marLeft w:val="0"/>
      <w:marRight w:val="0"/>
      <w:marTop w:val="0"/>
      <w:marBottom w:val="0"/>
      <w:divBdr>
        <w:top w:val="none" w:sz="0" w:space="0" w:color="auto"/>
        <w:left w:val="none" w:sz="0" w:space="0" w:color="auto"/>
        <w:bottom w:val="none" w:sz="0" w:space="0" w:color="auto"/>
        <w:right w:val="none" w:sz="0" w:space="0" w:color="auto"/>
      </w:divBdr>
    </w:div>
    <w:div w:id="1062096348">
      <w:bodyDiv w:val="1"/>
      <w:marLeft w:val="0"/>
      <w:marRight w:val="0"/>
      <w:marTop w:val="0"/>
      <w:marBottom w:val="0"/>
      <w:divBdr>
        <w:top w:val="none" w:sz="0" w:space="0" w:color="auto"/>
        <w:left w:val="none" w:sz="0" w:space="0" w:color="auto"/>
        <w:bottom w:val="none" w:sz="0" w:space="0" w:color="auto"/>
        <w:right w:val="none" w:sz="0" w:space="0" w:color="auto"/>
      </w:divBdr>
    </w:div>
    <w:div w:id="1062097965">
      <w:bodyDiv w:val="1"/>
      <w:marLeft w:val="0"/>
      <w:marRight w:val="0"/>
      <w:marTop w:val="0"/>
      <w:marBottom w:val="0"/>
      <w:divBdr>
        <w:top w:val="none" w:sz="0" w:space="0" w:color="auto"/>
        <w:left w:val="none" w:sz="0" w:space="0" w:color="auto"/>
        <w:bottom w:val="none" w:sz="0" w:space="0" w:color="auto"/>
        <w:right w:val="none" w:sz="0" w:space="0" w:color="auto"/>
      </w:divBdr>
    </w:div>
    <w:div w:id="1062487491">
      <w:bodyDiv w:val="1"/>
      <w:marLeft w:val="0"/>
      <w:marRight w:val="0"/>
      <w:marTop w:val="0"/>
      <w:marBottom w:val="0"/>
      <w:divBdr>
        <w:top w:val="none" w:sz="0" w:space="0" w:color="auto"/>
        <w:left w:val="none" w:sz="0" w:space="0" w:color="auto"/>
        <w:bottom w:val="none" w:sz="0" w:space="0" w:color="auto"/>
        <w:right w:val="none" w:sz="0" w:space="0" w:color="auto"/>
      </w:divBdr>
    </w:div>
    <w:div w:id="1062563345">
      <w:bodyDiv w:val="1"/>
      <w:marLeft w:val="0"/>
      <w:marRight w:val="0"/>
      <w:marTop w:val="0"/>
      <w:marBottom w:val="0"/>
      <w:divBdr>
        <w:top w:val="none" w:sz="0" w:space="0" w:color="auto"/>
        <w:left w:val="none" w:sz="0" w:space="0" w:color="auto"/>
        <w:bottom w:val="none" w:sz="0" w:space="0" w:color="auto"/>
        <w:right w:val="none" w:sz="0" w:space="0" w:color="auto"/>
      </w:divBdr>
    </w:div>
    <w:div w:id="1062601095">
      <w:bodyDiv w:val="1"/>
      <w:marLeft w:val="0"/>
      <w:marRight w:val="0"/>
      <w:marTop w:val="0"/>
      <w:marBottom w:val="0"/>
      <w:divBdr>
        <w:top w:val="none" w:sz="0" w:space="0" w:color="auto"/>
        <w:left w:val="none" w:sz="0" w:space="0" w:color="auto"/>
        <w:bottom w:val="none" w:sz="0" w:space="0" w:color="auto"/>
        <w:right w:val="none" w:sz="0" w:space="0" w:color="auto"/>
      </w:divBdr>
    </w:div>
    <w:div w:id="1062675036">
      <w:bodyDiv w:val="1"/>
      <w:marLeft w:val="0"/>
      <w:marRight w:val="0"/>
      <w:marTop w:val="0"/>
      <w:marBottom w:val="0"/>
      <w:divBdr>
        <w:top w:val="none" w:sz="0" w:space="0" w:color="auto"/>
        <w:left w:val="none" w:sz="0" w:space="0" w:color="auto"/>
        <w:bottom w:val="none" w:sz="0" w:space="0" w:color="auto"/>
        <w:right w:val="none" w:sz="0" w:space="0" w:color="auto"/>
      </w:divBdr>
    </w:div>
    <w:div w:id="1062799334">
      <w:bodyDiv w:val="1"/>
      <w:marLeft w:val="0"/>
      <w:marRight w:val="0"/>
      <w:marTop w:val="0"/>
      <w:marBottom w:val="0"/>
      <w:divBdr>
        <w:top w:val="none" w:sz="0" w:space="0" w:color="auto"/>
        <w:left w:val="none" w:sz="0" w:space="0" w:color="auto"/>
        <w:bottom w:val="none" w:sz="0" w:space="0" w:color="auto"/>
        <w:right w:val="none" w:sz="0" w:space="0" w:color="auto"/>
      </w:divBdr>
    </w:div>
    <w:div w:id="1063218390">
      <w:bodyDiv w:val="1"/>
      <w:marLeft w:val="0"/>
      <w:marRight w:val="0"/>
      <w:marTop w:val="0"/>
      <w:marBottom w:val="0"/>
      <w:divBdr>
        <w:top w:val="none" w:sz="0" w:space="0" w:color="auto"/>
        <w:left w:val="none" w:sz="0" w:space="0" w:color="auto"/>
        <w:bottom w:val="none" w:sz="0" w:space="0" w:color="auto"/>
        <w:right w:val="none" w:sz="0" w:space="0" w:color="auto"/>
      </w:divBdr>
    </w:div>
    <w:div w:id="1063261855">
      <w:bodyDiv w:val="1"/>
      <w:marLeft w:val="0"/>
      <w:marRight w:val="0"/>
      <w:marTop w:val="0"/>
      <w:marBottom w:val="0"/>
      <w:divBdr>
        <w:top w:val="none" w:sz="0" w:space="0" w:color="auto"/>
        <w:left w:val="none" w:sz="0" w:space="0" w:color="auto"/>
        <w:bottom w:val="none" w:sz="0" w:space="0" w:color="auto"/>
        <w:right w:val="none" w:sz="0" w:space="0" w:color="auto"/>
      </w:divBdr>
    </w:div>
    <w:div w:id="1063409642">
      <w:bodyDiv w:val="1"/>
      <w:marLeft w:val="0"/>
      <w:marRight w:val="0"/>
      <w:marTop w:val="0"/>
      <w:marBottom w:val="0"/>
      <w:divBdr>
        <w:top w:val="none" w:sz="0" w:space="0" w:color="auto"/>
        <w:left w:val="none" w:sz="0" w:space="0" w:color="auto"/>
        <w:bottom w:val="none" w:sz="0" w:space="0" w:color="auto"/>
        <w:right w:val="none" w:sz="0" w:space="0" w:color="auto"/>
      </w:divBdr>
    </w:div>
    <w:div w:id="1063452925">
      <w:bodyDiv w:val="1"/>
      <w:marLeft w:val="0"/>
      <w:marRight w:val="0"/>
      <w:marTop w:val="0"/>
      <w:marBottom w:val="0"/>
      <w:divBdr>
        <w:top w:val="none" w:sz="0" w:space="0" w:color="auto"/>
        <w:left w:val="none" w:sz="0" w:space="0" w:color="auto"/>
        <w:bottom w:val="none" w:sz="0" w:space="0" w:color="auto"/>
        <w:right w:val="none" w:sz="0" w:space="0" w:color="auto"/>
      </w:divBdr>
    </w:div>
    <w:div w:id="1063672515">
      <w:bodyDiv w:val="1"/>
      <w:marLeft w:val="0"/>
      <w:marRight w:val="0"/>
      <w:marTop w:val="0"/>
      <w:marBottom w:val="0"/>
      <w:divBdr>
        <w:top w:val="none" w:sz="0" w:space="0" w:color="auto"/>
        <w:left w:val="none" w:sz="0" w:space="0" w:color="auto"/>
        <w:bottom w:val="none" w:sz="0" w:space="0" w:color="auto"/>
        <w:right w:val="none" w:sz="0" w:space="0" w:color="auto"/>
      </w:divBdr>
    </w:div>
    <w:div w:id="1063720246">
      <w:bodyDiv w:val="1"/>
      <w:marLeft w:val="0"/>
      <w:marRight w:val="0"/>
      <w:marTop w:val="0"/>
      <w:marBottom w:val="0"/>
      <w:divBdr>
        <w:top w:val="none" w:sz="0" w:space="0" w:color="auto"/>
        <w:left w:val="none" w:sz="0" w:space="0" w:color="auto"/>
        <w:bottom w:val="none" w:sz="0" w:space="0" w:color="auto"/>
        <w:right w:val="none" w:sz="0" w:space="0" w:color="auto"/>
      </w:divBdr>
    </w:div>
    <w:div w:id="1063796877">
      <w:bodyDiv w:val="1"/>
      <w:marLeft w:val="0"/>
      <w:marRight w:val="0"/>
      <w:marTop w:val="0"/>
      <w:marBottom w:val="0"/>
      <w:divBdr>
        <w:top w:val="none" w:sz="0" w:space="0" w:color="auto"/>
        <w:left w:val="none" w:sz="0" w:space="0" w:color="auto"/>
        <w:bottom w:val="none" w:sz="0" w:space="0" w:color="auto"/>
        <w:right w:val="none" w:sz="0" w:space="0" w:color="auto"/>
      </w:divBdr>
    </w:div>
    <w:div w:id="1063911994">
      <w:bodyDiv w:val="1"/>
      <w:marLeft w:val="0"/>
      <w:marRight w:val="0"/>
      <w:marTop w:val="0"/>
      <w:marBottom w:val="0"/>
      <w:divBdr>
        <w:top w:val="none" w:sz="0" w:space="0" w:color="auto"/>
        <w:left w:val="none" w:sz="0" w:space="0" w:color="auto"/>
        <w:bottom w:val="none" w:sz="0" w:space="0" w:color="auto"/>
        <w:right w:val="none" w:sz="0" w:space="0" w:color="auto"/>
      </w:divBdr>
    </w:div>
    <w:div w:id="1063941703">
      <w:bodyDiv w:val="1"/>
      <w:marLeft w:val="0"/>
      <w:marRight w:val="0"/>
      <w:marTop w:val="0"/>
      <w:marBottom w:val="0"/>
      <w:divBdr>
        <w:top w:val="none" w:sz="0" w:space="0" w:color="auto"/>
        <w:left w:val="none" w:sz="0" w:space="0" w:color="auto"/>
        <w:bottom w:val="none" w:sz="0" w:space="0" w:color="auto"/>
        <w:right w:val="none" w:sz="0" w:space="0" w:color="auto"/>
      </w:divBdr>
    </w:div>
    <w:div w:id="1063984088">
      <w:bodyDiv w:val="1"/>
      <w:marLeft w:val="0"/>
      <w:marRight w:val="0"/>
      <w:marTop w:val="0"/>
      <w:marBottom w:val="0"/>
      <w:divBdr>
        <w:top w:val="none" w:sz="0" w:space="0" w:color="auto"/>
        <w:left w:val="none" w:sz="0" w:space="0" w:color="auto"/>
        <w:bottom w:val="none" w:sz="0" w:space="0" w:color="auto"/>
        <w:right w:val="none" w:sz="0" w:space="0" w:color="auto"/>
      </w:divBdr>
    </w:div>
    <w:div w:id="1064059079">
      <w:bodyDiv w:val="1"/>
      <w:marLeft w:val="0"/>
      <w:marRight w:val="0"/>
      <w:marTop w:val="0"/>
      <w:marBottom w:val="0"/>
      <w:divBdr>
        <w:top w:val="none" w:sz="0" w:space="0" w:color="auto"/>
        <w:left w:val="none" w:sz="0" w:space="0" w:color="auto"/>
        <w:bottom w:val="none" w:sz="0" w:space="0" w:color="auto"/>
        <w:right w:val="none" w:sz="0" w:space="0" w:color="auto"/>
      </w:divBdr>
    </w:div>
    <w:div w:id="1064110186">
      <w:bodyDiv w:val="1"/>
      <w:marLeft w:val="0"/>
      <w:marRight w:val="0"/>
      <w:marTop w:val="0"/>
      <w:marBottom w:val="0"/>
      <w:divBdr>
        <w:top w:val="none" w:sz="0" w:space="0" w:color="auto"/>
        <w:left w:val="none" w:sz="0" w:space="0" w:color="auto"/>
        <w:bottom w:val="none" w:sz="0" w:space="0" w:color="auto"/>
        <w:right w:val="none" w:sz="0" w:space="0" w:color="auto"/>
      </w:divBdr>
    </w:div>
    <w:div w:id="1064261682">
      <w:bodyDiv w:val="1"/>
      <w:marLeft w:val="0"/>
      <w:marRight w:val="0"/>
      <w:marTop w:val="0"/>
      <w:marBottom w:val="0"/>
      <w:divBdr>
        <w:top w:val="none" w:sz="0" w:space="0" w:color="auto"/>
        <w:left w:val="none" w:sz="0" w:space="0" w:color="auto"/>
        <w:bottom w:val="none" w:sz="0" w:space="0" w:color="auto"/>
        <w:right w:val="none" w:sz="0" w:space="0" w:color="auto"/>
      </w:divBdr>
    </w:div>
    <w:div w:id="1064334912">
      <w:bodyDiv w:val="1"/>
      <w:marLeft w:val="0"/>
      <w:marRight w:val="0"/>
      <w:marTop w:val="0"/>
      <w:marBottom w:val="0"/>
      <w:divBdr>
        <w:top w:val="none" w:sz="0" w:space="0" w:color="auto"/>
        <w:left w:val="none" w:sz="0" w:space="0" w:color="auto"/>
        <w:bottom w:val="none" w:sz="0" w:space="0" w:color="auto"/>
        <w:right w:val="none" w:sz="0" w:space="0" w:color="auto"/>
      </w:divBdr>
    </w:div>
    <w:div w:id="1064641133">
      <w:bodyDiv w:val="1"/>
      <w:marLeft w:val="0"/>
      <w:marRight w:val="0"/>
      <w:marTop w:val="0"/>
      <w:marBottom w:val="0"/>
      <w:divBdr>
        <w:top w:val="none" w:sz="0" w:space="0" w:color="auto"/>
        <w:left w:val="none" w:sz="0" w:space="0" w:color="auto"/>
        <w:bottom w:val="none" w:sz="0" w:space="0" w:color="auto"/>
        <w:right w:val="none" w:sz="0" w:space="0" w:color="auto"/>
      </w:divBdr>
    </w:div>
    <w:div w:id="1064722300">
      <w:bodyDiv w:val="1"/>
      <w:marLeft w:val="0"/>
      <w:marRight w:val="0"/>
      <w:marTop w:val="0"/>
      <w:marBottom w:val="0"/>
      <w:divBdr>
        <w:top w:val="none" w:sz="0" w:space="0" w:color="auto"/>
        <w:left w:val="none" w:sz="0" w:space="0" w:color="auto"/>
        <w:bottom w:val="none" w:sz="0" w:space="0" w:color="auto"/>
        <w:right w:val="none" w:sz="0" w:space="0" w:color="auto"/>
      </w:divBdr>
    </w:div>
    <w:div w:id="1064794221">
      <w:bodyDiv w:val="1"/>
      <w:marLeft w:val="0"/>
      <w:marRight w:val="0"/>
      <w:marTop w:val="0"/>
      <w:marBottom w:val="0"/>
      <w:divBdr>
        <w:top w:val="none" w:sz="0" w:space="0" w:color="auto"/>
        <w:left w:val="none" w:sz="0" w:space="0" w:color="auto"/>
        <w:bottom w:val="none" w:sz="0" w:space="0" w:color="auto"/>
        <w:right w:val="none" w:sz="0" w:space="0" w:color="auto"/>
      </w:divBdr>
    </w:div>
    <w:div w:id="1065032439">
      <w:bodyDiv w:val="1"/>
      <w:marLeft w:val="0"/>
      <w:marRight w:val="0"/>
      <w:marTop w:val="0"/>
      <w:marBottom w:val="0"/>
      <w:divBdr>
        <w:top w:val="none" w:sz="0" w:space="0" w:color="auto"/>
        <w:left w:val="none" w:sz="0" w:space="0" w:color="auto"/>
        <w:bottom w:val="none" w:sz="0" w:space="0" w:color="auto"/>
        <w:right w:val="none" w:sz="0" w:space="0" w:color="auto"/>
      </w:divBdr>
    </w:div>
    <w:div w:id="1065223972">
      <w:bodyDiv w:val="1"/>
      <w:marLeft w:val="0"/>
      <w:marRight w:val="0"/>
      <w:marTop w:val="0"/>
      <w:marBottom w:val="0"/>
      <w:divBdr>
        <w:top w:val="none" w:sz="0" w:space="0" w:color="auto"/>
        <w:left w:val="none" w:sz="0" w:space="0" w:color="auto"/>
        <w:bottom w:val="none" w:sz="0" w:space="0" w:color="auto"/>
        <w:right w:val="none" w:sz="0" w:space="0" w:color="auto"/>
      </w:divBdr>
    </w:div>
    <w:div w:id="1065378003">
      <w:bodyDiv w:val="1"/>
      <w:marLeft w:val="0"/>
      <w:marRight w:val="0"/>
      <w:marTop w:val="0"/>
      <w:marBottom w:val="0"/>
      <w:divBdr>
        <w:top w:val="none" w:sz="0" w:space="0" w:color="auto"/>
        <w:left w:val="none" w:sz="0" w:space="0" w:color="auto"/>
        <w:bottom w:val="none" w:sz="0" w:space="0" w:color="auto"/>
        <w:right w:val="none" w:sz="0" w:space="0" w:color="auto"/>
      </w:divBdr>
    </w:div>
    <w:div w:id="1065446199">
      <w:bodyDiv w:val="1"/>
      <w:marLeft w:val="0"/>
      <w:marRight w:val="0"/>
      <w:marTop w:val="0"/>
      <w:marBottom w:val="0"/>
      <w:divBdr>
        <w:top w:val="none" w:sz="0" w:space="0" w:color="auto"/>
        <w:left w:val="none" w:sz="0" w:space="0" w:color="auto"/>
        <w:bottom w:val="none" w:sz="0" w:space="0" w:color="auto"/>
        <w:right w:val="none" w:sz="0" w:space="0" w:color="auto"/>
      </w:divBdr>
    </w:div>
    <w:div w:id="1065449059">
      <w:bodyDiv w:val="1"/>
      <w:marLeft w:val="0"/>
      <w:marRight w:val="0"/>
      <w:marTop w:val="0"/>
      <w:marBottom w:val="0"/>
      <w:divBdr>
        <w:top w:val="none" w:sz="0" w:space="0" w:color="auto"/>
        <w:left w:val="none" w:sz="0" w:space="0" w:color="auto"/>
        <w:bottom w:val="none" w:sz="0" w:space="0" w:color="auto"/>
        <w:right w:val="none" w:sz="0" w:space="0" w:color="auto"/>
      </w:divBdr>
    </w:div>
    <w:div w:id="1065449837">
      <w:bodyDiv w:val="1"/>
      <w:marLeft w:val="0"/>
      <w:marRight w:val="0"/>
      <w:marTop w:val="0"/>
      <w:marBottom w:val="0"/>
      <w:divBdr>
        <w:top w:val="none" w:sz="0" w:space="0" w:color="auto"/>
        <w:left w:val="none" w:sz="0" w:space="0" w:color="auto"/>
        <w:bottom w:val="none" w:sz="0" w:space="0" w:color="auto"/>
        <w:right w:val="none" w:sz="0" w:space="0" w:color="auto"/>
      </w:divBdr>
    </w:div>
    <w:div w:id="1065645682">
      <w:bodyDiv w:val="1"/>
      <w:marLeft w:val="0"/>
      <w:marRight w:val="0"/>
      <w:marTop w:val="0"/>
      <w:marBottom w:val="0"/>
      <w:divBdr>
        <w:top w:val="none" w:sz="0" w:space="0" w:color="auto"/>
        <w:left w:val="none" w:sz="0" w:space="0" w:color="auto"/>
        <w:bottom w:val="none" w:sz="0" w:space="0" w:color="auto"/>
        <w:right w:val="none" w:sz="0" w:space="0" w:color="auto"/>
      </w:divBdr>
    </w:div>
    <w:div w:id="1066149057">
      <w:bodyDiv w:val="1"/>
      <w:marLeft w:val="0"/>
      <w:marRight w:val="0"/>
      <w:marTop w:val="0"/>
      <w:marBottom w:val="0"/>
      <w:divBdr>
        <w:top w:val="none" w:sz="0" w:space="0" w:color="auto"/>
        <w:left w:val="none" w:sz="0" w:space="0" w:color="auto"/>
        <w:bottom w:val="none" w:sz="0" w:space="0" w:color="auto"/>
        <w:right w:val="none" w:sz="0" w:space="0" w:color="auto"/>
      </w:divBdr>
    </w:div>
    <w:div w:id="1066297019">
      <w:bodyDiv w:val="1"/>
      <w:marLeft w:val="0"/>
      <w:marRight w:val="0"/>
      <w:marTop w:val="0"/>
      <w:marBottom w:val="0"/>
      <w:divBdr>
        <w:top w:val="none" w:sz="0" w:space="0" w:color="auto"/>
        <w:left w:val="none" w:sz="0" w:space="0" w:color="auto"/>
        <w:bottom w:val="none" w:sz="0" w:space="0" w:color="auto"/>
        <w:right w:val="none" w:sz="0" w:space="0" w:color="auto"/>
      </w:divBdr>
    </w:div>
    <w:div w:id="1066339215">
      <w:bodyDiv w:val="1"/>
      <w:marLeft w:val="0"/>
      <w:marRight w:val="0"/>
      <w:marTop w:val="0"/>
      <w:marBottom w:val="0"/>
      <w:divBdr>
        <w:top w:val="none" w:sz="0" w:space="0" w:color="auto"/>
        <w:left w:val="none" w:sz="0" w:space="0" w:color="auto"/>
        <w:bottom w:val="none" w:sz="0" w:space="0" w:color="auto"/>
        <w:right w:val="none" w:sz="0" w:space="0" w:color="auto"/>
      </w:divBdr>
    </w:div>
    <w:div w:id="1066536376">
      <w:bodyDiv w:val="1"/>
      <w:marLeft w:val="0"/>
      <w:marRight w:val="0"/>
      <w:marTop w:val="0"/>
      <w:marBottom w:val="0"/>
      <w:divBdr>
        <w:top w:val="none" w:sz="0" w:space="0" w:color="auto"/>
        <w:left w:val="none" w:sz="0" w:space="0" w:color="auto"/>
        <w:bottom w:val="none" w:sz="0" w:space="0" w:color="auto"/>
        <w:right w:val="none" w:sz="0" w:space="0" w:color="auto"/>
      </w:divBdr>
    </w:div>
    <w:div w:id="1066756789">
      <w:bodyDiv w:val="1"/>
      <w:marLeft w:val="0"/>
      <w:marRight w:val="0"/>
      <w:marTop w:val="0"/>
      <w:marBottom w:val="0"/>
      <w:divBdr>
        <w:top w:val="none" w:sz="0" w:space="0" w:color="auto"/>
        <w:left w:val="none" w:sz="0" w:space="0" w:color="auto"/>
        <w:bottom w:val="none" w:sz="0" w:space="0" w:color="auto"/>
        <w:right w:val="none" w:sz="0" w:space="0" w:color="auto"/>
      </w:divBdr>
    </w:div>
    <w:div w:id="1066757143">
      <w:bodyDiv w:val="1"/>
      <w:marLeft w:val="0"/>
      <w:marRight w:val="0"/>
      <w:marTop w:val="0"/>
      <w:marBottom w:val="0"/>
      <w:divBdr>
        <w:top w:val="none" w:sz="0" w:space="0" w:color="auto"/>
        <w:left w:val="none" w:sz="0" w:space="0" w:color="auto"/>
        <w:bottom w:val="none" w:sz="0" w:space="0" w:color="auto"/>
        <w:right w:val="none" w:sz="0" w:space="0" w:color="auto"/>
      </w:divBdr>
    </w:div>
    <w:div w:id="1067191308">
      <w:bodyDiv w:val="1"/>
      <w:marLeft w:val="0"/>
      <w:marRight w:val="0"/>
      <w:marTop w:val="0"/>
      <w:marBottom w:val="0"/>
      <w:divBdr>
        <w:top w:val="none" w:sz="0" w:space="0" w:color="auto"/>
        <w:left w:val="none" w:sz="0" w:space="0" w:color="auto"/>
        <w:bottom w:val="none" w:sz="0" w:space="0" w:color="auto"/>
        <w:right w:val="none" w:sz="0" w:space="0" w:color="auto"/>
      </w:divBdr>
    </w:div>
    <w:div w:id="1067262136">
      <w:bodyDiv w:val="1"/>
      <w:marLeft w:val="0"/>
      <w:marRight w:val="0"/>
      <w:marTop w:val="0"/>
      <w:marBottom w:val="0"/>
      <w:divBdr>
        <w:top w:val="none" w:sz="0" w:space="0" w:color="auto"/>
        <w:left w:val="none" w:sz="0" w:space="0" w:color="auto"/>
        <w:bottom w:val="none" w:sz="0" w:space="0" w:color="auto"/>
        <w:right w:val="none" w:sz="0" w:space="0" w:color="auto"/>
      </w:divBdr>
    </w:div>
    <w:div w:id="1067336918">
      <w:bodyDiv w:val="1"/>
      <w:marLeft w:val="0"/>
      <w:marRight w:val="0"/>
      <w:marTop w:val="0"/>
      <w:marBottom w:val="0"/>
      <w:divBdr>
        <w:top w:val="none" w:sz="0" w:space="0" w:color="auto"/>
        <w:left w:val="none" w:sz="0" w:space="0" w:color="auto"/>
        <w:bottom w:val="none" w:sz="0" w:space="0" w:color="auto"/>
        <w:right w:val="none" w:sz="0" w:space="0" w:color="auto"/>
      </w:divBdr>
    </w:div>
    <w:div w:id="1067386984">
      <w:bodyDiv w:val="1"/>
      <w:marLeft w:val="0"/>
      <w:marRight w:val="0"/>
      <w:marTop w:val="0"/>
      <w:marBottom w:val="0"/>
      <w:divBdr>
        <w:top w:val="none" w:sz="0" w:space="0" w:color="auto"/>
        <w:left w:val="none" w:sz="0" w:space="0" w:color="auto"/>
        <w:bottom w:val="none" w:sz="0" w:space="0" w:color="auto"/>
        <w:right w:val="none" w:sz="0" w:space="0" w:color="auto"/>
      </w:divBdr>
    </w:div>
    <w:div w:id="1067387453">
      <w:bodyDiv w:val="1"/>
      <w:marLeft w:val="0"/>
      <w:marRight w:val="0"/>
      <w:marTop w:val="0"/>
      <w:marBottom w:val="0"/>
      <w:divBdr>
        <w:top w:val="none" w:sz="0" w:space="0" w:color="auto"/>
        <w:left w:val="none" w:sz="0" w:space="0" w:color="auto"/>
        <w:bottom w:val="none" w:sz="0" w:space="0" w:color="auto"/>
        <w:right w:val="none" w:sz="0" w:space="0" w:color="auto"/>
      </w:divBdr>
    </w:div>
    <w:div w:id="1067415794">
      <w:bodyDiv w:val="1"/>
      <w:marLeft w:val="0"/>
      <w:marRight w:val="0"/>
      <w:marTop w:val="0"/>
      <w:marBottom w:val="0"/>
      <w:divBdr>
        <w:top w:val="none" w:sz="0" w:space="0" w:color="auto"/>
        <w:left w:val="none" w:sz="0" w:space="0" w:color="auto"/>
        <w:bottom w:val="none" w:sz="0" w:space="0" w:color="auto"/>
        <w:right w:val="none" w:sz="0" w:space="0" w:color="auto"/>
      </w:divBdr>
    </w:div>
    <w:div w:id="1067806467">
      <w:bodyDiv w:val="1"/>
      <w:marLeft w:val="0"/>
      <w:marRight w:val="0"/>
      <w:marTop w:val="0"/>
      <w:marBottom w:val="0"/>
      <w:divBdr>
        <w:top w:val="none" w:sz="0" w:space="0" w:color="auto"/>
        <w:left w:val="none" w:sz="0" w:space="0" w:color="auto"/>
        <w:bottom w:val="none" w:sz="0" w:space="0" w:color="auto"/>
        <w:right w:val="none" w:sz="0" w:space="0" w:color="auto"/>
      </w:divBdr>
    </w:div>
    <w:div w:id="1067874078">
      <w:bodyDiv w:val="1"/>
      <w:marLeft w:val="0"/>
      <w:marRight w:val="0"/>
      <w:marTop w:val="0"/>
      <w:marBottom w:val="0"/>
      <w:divBdr>
        <w:top w:val="none" w:sz="0" w:space="0" w:color="auto"/>
        <w:left w:val="none" w:sz="0" w:space="0" w:color="auto"/>
        <w:bottom w:val="none" w:sz="0" w:space="0" w:color="auto"/>
        <w:right w:val="none" w:sz="0" w:space="0" w:color="auto"/>
      </w:divBdr>
    </w:div>
    <w:div w:id="1067996488">
      <w:bodyDiv w:val="1"/>
      <w:marLeft w:val="0"/>
      <w:marRight w:val="0"/>
      <w:marTop w:val="0"/>
      <w:marBottom w:val="0"/>
      <w:divBdr>
        <w:top w:val="none" w:sz="0" w:space="0" w:color="auto"/>
        <w:left w:val="none" w:sz="0" w:space="0" w:color="auto"/>
        <w:bottom w:val="none" w:sz="0" w:space="0" w:color="auto"/>
        <w:right w:val="none" w:sz="0" w:space="0" w:color="auto"/>
      </w:divBdr>
    </w:div>
    <w:div w:id="1068071532">
      <w:bodyDiv w:val="1"/>
      <w:marLeft w:val="0"/>
      <w:marRight w:val="0"/>
      <w:marTop w:val="0"/>
      <w:marBottom w:val="0"/>
      <w:divBdr>
        <w:top w:val="none" w:sz="0" w:space="0" w:color="auto"/>
        <w:left w:val="none" w:sz="0" w:space="0" w:color="auto"/>
        <w:bottom w:val="none" w:sz="0" w:space="0" w:color="auto"/>
        <w:right w:val="none" w:sz="0" w:space="0" w:color="auto"/>
      </w:divBdr>
    </w:div>
    <w:div w:id="1068072662">
      <w:bodyDiv w:val="1"/>
      <w:marLeft w:val="0"/>
      <w:marRight w:val="0"/>
      <w:marTop w:val="0"/>
      <w:marBottom w:val="0"/>
      <w:divBdr>
        <w:top w:val="none" w:sz="0" w:space="0" w:color="auto"/>
        <w:left w:val="none" w:sz="0" w:space="0" w:color="auto"/>
        <w:bottom w:val="none" w:sz="0" w:space="0" w:color="auto"/>
        <w:right w:val="none" w:sz="0" w:space="0" w:color="auto"/>
      </w:divBdr>
    </w:div>
    <w:div w:id="1068267309">
      <w:bodyDiv w:val="1"/>
      <w:marLeft w:val="0"/>
      <w:marRight w:val="0"/>
      <w:marTop w:val="0"/>
      <w:marBottom w:val="0"/>
      <w:divBdr>
        <w:top w:val="none" w:sz="0" w:space="0" w:color="auto"/>
        <w:left w:val="none" w:sz="0" w:space="0" w:color="auto"/>
        <w:bottom w:val="none" w:sz="0" w:space="0" w:color="auto"/>
        <w:right w:val="none" w:sz="0" w:space="0" w:color="auto"/>
      </w:divBdr>
    </w:div>
    <w:div w:id="1068455962">
      <w:bodyDiv w:val="1"/>
      <w:marLeft w:val="0"/>
      <w:marRight w:val="0"/>
      <w:marTop w:val="0"/>
      <w:marBottom w:val="0"/>
      <w:divBdr>
        <w:top w:val="none" w:sz="0" w:space="0" w:color="auto"/>
        <w:left w:val="none" w:sz="0" w:space="0" w:color="auto"/>
        <w:bottom w:val="none" w:sz="0" w:space="0" w:color="auto"/>
        <w:right w:val="none" w:sz="0" w:space="0" w:color="auto"/>
      </w:divBdr>
    </w:div>
    <w:div w:id="1068920971">
      <w:bodyDiv w:val="1"/>
      <w:marLeft w:val="0"/>
      <w:marRight w:val="0"/>
      <w:marTop w:val="0"/>
      <w:marBottom w:val="0"/>
      <w:divBdr>
        <w:top w:val="none" w:sz="0" w:space="0" w:color="auto"/>
        <w:left w:val="none" w:sz="0" w:space="0" w:color="auto"/>
        <w:bottom w:val="none" w:sz="0" w:space="0" w:color="auto"/>
        <w:right w:val="none" w:sz="0" w:space="0" w:color="auto"/>
      </w:divBdr>
    </w:div>
    <w:div w:id="1068959949">
      <w:bodyDiv w:val="1"/>
      <w:marLeft w:val="0"/>
      <w:marRight w:val="0"/>
      <w:marTop w:val="0"/>
      <w:marBottom w:val="0"/>
      <w:divBdr>
        <w:top w:val="none" w:sz="0" w:space="0" w:color="auto"/>
        <w:left w:val="none" w:sz="0" w:space="0" w:color="auto"/>
        <w:bottom w:val="none" w:sz="0" w:space="0" w:color="auto"/>
        <w:right w:val="none" w:sz="0" w:space="0" w:color="auto"/>
      </w:divBdr>
    </w:div>
    <w:div w:id="1069034004">
      <w:bodyDiv w:val="1"/>
      <w:marLeft w:val="0"/>
      <w:marRight w:val="0"/>
      <w:marTop w:val="0"/>
      <w:marBottom w:val="0"/>
      <w:divBdr>
        <w:top w:val="none" w:sz="0" w:space="0" w:color="auto"/>
        <w:left w:val="none" w:sz="0" w:space="0" w:color="auto"/>
        <w:bottom w:val="none" w:sz="0" w:space="0" w:color="auto"/>
        <w:right w:val="none" w:sz="0" w:space="0" w:color="auto"/>
      </w:divBdr>
    </w:div>
    <w:div w:id="1069113722">
      <w:bodyDiv w:val="1"/>
      <w:marLeft w:val="0"/>
      <w:marRight w:val="0"/>
      <w:marTop w:val="0"/>
      <w:marBottom w:val="0"/>
      <w:divBdr>
        <w:top w:val="none" w:sz="0" w:space="0" w:color="auto"/>
        <w:left w:val="none" w:sz="0" w:space="0" w:color="auto"/>
        <w:bottom w:val="none" w:sz="0" w:space="0" w:color="auto"/>
        <w:right w:val="none" w:sz="0" w:space="0" w:color="auto"/>
      </w:divBdr>
    </w:div>
    <w:div w:id="1069695190">
      <w:bodyDiv w:val="1"/>
      <w:marLeft w:val="0"/>
      <w:marRight w:val="0"/>
      <w:marTop w:val="0"/>
      <w:marBottom w:val="0"/>
      <w:divBdr>
        <w:top w:val="none" w:sz="0" w:space="0" w:color="auto"/>
        <w:left w:val="none" w:sz="0" w:space="0" w:color="auto"/>
        <w:bottom w:val="none" w:sz="0" w:space="0" w:color="auto"/>
        <w:right w:val="none" w:sz="0" w:space="0" w:color="auto"/>
      </w:divBdr>
    </w:div>
    <w:div w:id="1069764356">
      <w:bodyDiv w:val="1"/>
      <w:marLeft w:val="0"/>
      <w:marRight w:val="0"/>
      <w:marTop w:val="0"/>
      <w:marBottom w:val="0"/>
      <w:divBdr>
        <w:top w:val="none" w:sz="0" w:space="0" w:color="auto"/>
        <w:left w:val="none" w:sz="0" w:space="0" w:color="auto"/>
        <w:bottom w:val="none" w:sz="0" w:space="0" w:color="auto"/>
        <w:right w:val="none" w:sz="0" w:space="0" w:color="auto"/>
      </w:divBdr>
    </w:div>
    <w:div w:id="1069771024">
      <w:bodyDiv w:val="1"/>
      <w:marLeft w:val="0"/>
      <w:marRight w:val="0"/>
      <w:marTop w:val="0"/>
      <w:marBottom w:val="0"/>
      <w:divBdr>
        <w:top w:val="none" w:sz="0" w:space="0" w:color="auto"/>
        <w:left w:val="none" w:sz="0" w:space="0" w:color="auto"/>
        <w:bottom w:val="none" w:sz="0" w:space="0" w:color="auto"/>
        <w:right w:val="none" w:sz="0" w:space="0" w:color="auto"/>
      </w:divBdr>
    </w:div>
    <w:div w:id="1070233101">
      <w:bodyDiv w:val="1"/>
      <w:marLeft w:val="0"/>
      <w:marRight w:val="0"/>
      <w:marTop w:val="0"/>
      <w:marBottom w:val="0"/>
      <w:divBdr>
        <w:top w:val="none" w:sz="0" w:space="0" w:color="auto"/>
        <w:left w:val="none" w:sz="0" w:space="0" w:color="auto"/>
        <w:bottom w:val="none" w:sz="0" w:space="0" w:color="auto"/>
        <w:right w:val="none" w:sz="0" w:space="0" w:color="auto"/>
      </w:divBdr>
    </w:div>
    <w:div w:id="1070810215">
      <w:bodyDiv w:val="1"/>
      <w:marLeft w:val="0"/>
      <w:marRight w:val="0"/>
      <w:marTop w:val="0"/>
      <w:marBottom w:val="0"/>
      <w:divBdr>
        <w:top w:val="none" w:sz="0" w:space="0" w:color="auto"/>
        <w:left w:val="none" w:sz="0" w:space="0" w:color="auto"/>
        <w:bottom w:val="none" w:sz="0" w:space="0" w:color="auto"/>
        <w:right w:val="none" w:sz="0" w:space="0" w:color="auto"/>
      </w:divBdr>
    </w:div>
    <w:div w:id="1070931633">
      <w:bodyDiv w:val="1"/>
      <w:marLeft w:val="0"/>
      <w:marRight w:val="0"/>
      <w:marTop w:val="0"/>
      <w:marBottom w:val="0"/>
      <w:divBdr>
        <w:top w:val="none" w:sz="0" w:space="0" w:color="auto"/>
        <w:left w:val="none" w:sz="0" w:space="0" w:color="auto"/>
        <w:bottom w:val="none" w:sz="0" w:space="0" w:color="auto"/>
        <w:right w:val="none" w:sz="0" w:space="0" w:color="auto"/>
      </w:divBdr>
    </w:div>
    <w:div w:id="1071074245">
      <w:bodyDiv w:val="1"/>
      <w:marLeft w:val="0"/>
      <w:marRight w:val="0"/>
      <w:marTop w:val="0"/>
      <w:marBottom w:val="0"/>
      <w:divBdr>
        <w:top w:val="none" w:sz="0" w:space="0" w:color="auto"/>
        <w:left w:val="none" w:sz="0" w:space="0" w:color="auto"/>
        <w:bottom w:val="none" w:sz="0" w:space="0" w:color="auto"/>
        <w:right w:val="none" w:sz="0" w:space="0" w:color="auto"/>
      </w:divBdr>
    </w:div>
    <w:div w:id="1071079018">
      <w:bodyDiv w:val="1"/>
      <w:marLeft w:val="0"/>
      <w:marRight w:val="0"/>
      <w:marTop w:val="0"/>
      <w:marBottom w:val="0"/>
      <w:divBdr>
        <w:top w:val="none" w:sz="0" w:space="0" w:color="auto"/>
        <w:left w:val="none" w:sz="0" w:space="0" w:color="auto"/>
        <w:bottom w:val="none" w:sz="0" w:space="0" w:color="auto"/>
        <w:right w:val="none" w:sz="0" w:space="0" w:color="auto"/>
      </w:divBdr>
    </w:div>
    <w:div w:id="1071345071">
      <w:bodyDiv w:val="1"/>
      <w:marLeft w:val="0"/>
      <w:marRight w:val="0"/>
      <w:marTop w:val="0"/>
      <w:marBottom w:val="0"/>
      <w:divBdr>
        <w:top w:val="none" w:sz="0" w:space="0" w:color="auto"/>
        <w:left w:val="none" w:sz="0" w:space="0" w:color="auto"/>
        <w:bottom w:val="none" w:sz="0" w:space="0" w:color="auto"/>
        <w:right w:val="none" w:sz="0" w:space="0" w:color="auto"/>
      </w:divBdr>
    </w:div>
    <w:div w:id="1071660035">
      <w:bodyDiv w:val="1"/>
      <w:marLeft w:val="0"/>
      <w:marRight w:val="0"/>
      <w:marTop w:val="0"/>
      <w:marBottom w:val="0"/>
      <w:divBdr>
        <w:top w:val="none" w:sz="0" w:space="0" w:color="auto"/>
        <w:left w:val="none" w:sz="0" w:space="0" w:color="auto"/>
        <w:bottom w:val="none" w:sz="0" w:space="0" w:color="auto"/>
        <w:right w:val="none" w:sz="0" w:space="0" w:color="auto"/>
      </w:divBdr>
    </w:div>
    <w:div w:id="1071731107">
      <w:bodyDiv w:val="1"/>
      <w:marLeft w:val="0"/>
      <w:marRight w:val="0"/>
      <w:marTop w:val="0"/>
      <w:marBottom w:val="0"/>
      <w:divBdr>
        <w:top w:val="none" w:sz="0" w:space="0" w:color="auto"/>
        <w:left w:val="none" w:sz="0" w:space="0" w:color="auto"/>
        <w:bottom w:val="none" w:sz="0" w:space="0" w:color="auto"/>
        <w:right w:val="none" w:sz="0" w:space="0" w:color="auto"/>
      </w:divBdr>
    </w:div>
    <w:div w:id="1071804757">
      <w:bodyDiv w:val="1"/>
      <w:marLeft w:val="0"/>
      <w:marRight w:val="0"/>
      <w:marTop w:val="0"/>
      <w:marBottom w:val="0"/>
      <w:divBdr>
        <w:top w:val="none" w:sz="0" w:space="0" w:color="auto"/>
        <w:left w:val="none" w:sz="0" w:space="0" w:color="auto"/>
        <w:bottom w:val="none" w:sz="0" w:space="0" w:color="auto"/>
        <w:right w:val="none" w:sz="0" w:space="0" w:color="auto"/>
      </w:divBdr>
    </w:div>
    <w:div w:id="1071848083">
      <w:bodyDiv w:val="1"/>
      <w:marLeft w:val="0"/>
      <w:marRight w:val="0"/>
      <w:marTop w:val="0"/>
      <w:marBottom w:val="0"/>
      <w:divBdr>
        <w:top w:val="none" w:sz="0" w:space="0" w:color="auto"/>
        <w:left w:val="none" w:sz="0" w:space="0" w:color="auto"/>
        <w:bottom w:val="none" w:sz="0" w:space="0" w:color="auto"/>
        <w:right w:val="none" w:sz="0" w:space="0" w:color="auto"/>
      </w:divBdr>
    </w:div>
    <w:div w:id="1071853754">
      <w:bodyDiv w:val="1"/>
      <w:marLeft w:val="0"/>
      <w:marRight w:val="0"/>
      <w:marTop w:val="0"/>
      <w:marBottom w:val="0"/>
      <w:divBdr>
        <w:top w:val="none" w:sz="0" w:space="0" w:color="auto"/>
        <w:left w:val="none" w:sz="0" w:space="0" w:color="auto"/>
        <w:bottom w:val="none" w:sz="0" w:space="0" w:color="auto"/>
        <w:right w:val="none" w:sz="0" w:space="0" w:color="auto"/>
      </w:divBdr>
    </w:div>
    <w:div w:id="1072119016">
      <w:bodyDiv w:val="1"/>
      <w:marLeft w:val="0"/>
      <w:marRight w:val="0"/>
      <w:marTop w:val="0"/>
      <w:marBottom w:val="0"/>
      <w:divBdr>
        <w:top w:val="none" w:sz="0" w:space="0" w:color="auto"/>
        <w:left w:val="none" w:sz="0" w:space="0" w:color="auto"/>
        <w:bottom w:val="none" w:sz="0" w:space="0" w:color="auto"/>
        <w:right w:val="none" w:sz="0" w:space="0" w:color="auto"/>
      </w:divBdr>
    </w:div>
    <w:div w:id="1072318132">
      <w:bodyDiv w:val="1"/>
      <w:marLeft w:val="0"/>
      <w:marRight w:val="0"/>
      <w:marTop w:val="0"/>
      <w:marBottom w:val="0"/>
      <w:divBdr>
        <w:top w:val="none" w:sz="0" w:space="0" w:color="auto"/>
        <w:left w:val="none" w:sz="0" w:space="0" w:color="auto"/>
        <w:bottom w:val="none" w:sz="0" w:space="0" w:color="auto"/>
        <w:right w:val="none" w:sz="0" w:space="0" w:color="auto"/>
      </w:divBdr>
    </w:div>
    <w:div w:id="1072385512">
      <w:bodyDiv w:val="1"/>
      <w:marLeft w:val="0"/>
      <w:marRight w:val="0"/>
      <w:marTop w:val="0"/>
      <w:marBottom w:val="0"/>
      <w:divBdr>
        <w:top w:val="none" w:sz="0" w:space="0" w:color="auto"/>
        <w:left w:val="none" w:sz="0" w:space="0" w:color="auto"/>
        <w:bottom w:val="none" w:sz="0" w:space="0" w:color="auto"/>
        <w:right w:val="none" w:sz="0" w:space="0" w:color="auto"/>
      </w:divBdr>
    </w:div>
    <w:div w:id="1072577576">
      <w:bodyDiv w:val="1"/>
      <w:marLeft w:val="0"/>
      <w:marRight w:val="0"/>
      <w:marTop w:val="0"/>
      <w:marBottom w:val="0"/>
      <w:divBdr>
        <w:top w:val="none" w:sz="0" w:space="0" w:color="auto"/>
        <w:left w:val="none" w:sz="0" w:space="0" w:color="auto"/>
        <w:bottom w:val="none" w:sz="0" w:space="0" w:color="auto"/>
        <w:right w:val="none" w:sz="0" w:space="0" w:color="auto"/>
      </w:divBdr>
    </w:div>
    <w:div w:id="1072579497">
      <w:bodyDiv w:val="1"/>
      <w:marLeft w:val="0"/>
      <w:marRight w:val="0"/>
      <w:marTop w:val="0"/>
      <w:marBottom w:val="0"/>
      <w:divBdr>
        <w:top w:val="none" w:sz="0" w:space="0" w:color="auto"/>
        <w:left w:val="none" w:sz="0" w:space="0" w:color="auto"/>
        <w:bottom w:val="none" w:sz="0" w:space="0" w:color="auto"/>
        <w:right w:val="none" w:sz="0" w:space="0" w:color="auto"/>
      </w:divBdr>
    </w:div>
    <w:div w:id="1072585445">
      <w:bodyDiv w:val="1"/>
      <w:marLeft w:val="0"/>
      <w:marRight w:val="0"/>
      <w:marTop w:val="0"/>
      <w:marBottom w:val="0"/>
      <w:divBdr>
        <w:top w:val="none" w:sz="0" w:space="0" w:color="auto"/>
        <w:left w:val="none" w:sz="0" w:space="0" w:color="auto"/>
        <w:bottom w:val="none" w:sz="0" w:space="0" w:color="auto"/>
        <w:right w:val="none" w:sz="0" w:space="0" w:color="auto"/>
      </w:divBdr>
    </w:div>
    <w:div w:id="1072629499">
      <w:bodyDiv w:val="1"/>
      <w:marLeft w:val="0"/>
      <w:marRight w:val="0"/>
      <w:marTop w:val="0"/>
      <w:marBottom w:val="0"/>
      <w:divBdr>
        <w:top w:val="none" w:sz="0" w:space="0" w:color="auto"/>
        <w:left w:val="none" w:sz="0" w:space="0" w:color="auto"/>
        <w:bottom w:val="none" w:sz="0" w:space="0" w:color="auto"/>
        <w:right w:val="none" w:sz="0" w:space="0" w:color="auto"/>
      </w:divBdr>
    </w:div>
    <w:div w:id="1072697921">
      <w:bodyDiv w:val="1"/>
      <w:marLeft w:val="0"/>
      <w:marRight w:val="0"/>
      <w:marTop w:val="0"/>
      <w:marBottom w:val="0"/>
      <w:divBdr>
        <w:top w:val="none" w:sz="0" w:space="0" w:color="auto"/>
        <w:left w:val="none" w:sz="0" w:space="0" w:color="auto"/>
        <w:bottom w:val="none" w:sz="0" w:space="0" w:color="auto"/>
        <w:right w:val="none" w:sz="0" w:space="0" w:color="auto"/>
      </w:divBdr>
    </w:div>
    <w:div w:id="1073157654">
      <w:bodyDiv w:val="1"/>
      <w:marLeft w:val="0"/>
      <w:marRight w:val="0"/>
      <w:marTop w:val="0"/>
      <w:marBottom w:val="0"/>
      <w:divBdr>
        <w:top w:val="none" w:sz="0" w:space="0" w:color="auto"/>
        <w:left w:val="none" w:sz="0" w:space="0" w:color="auto"/>
        <w:bottom w:val="none" w:sz="0" w:space="0" w:color="auto"/>
        <w:right w:val="none" w:sz="0" w:space="0" w:color="auto"/>
      </w:divBdr>
    </w:div>
    <w:div w:id="1073504285">
      <w:bodyDiv w:val="1"/>
      <w:marLeft w:val="0"/>
      <w:marRight w:val="0"/>
      <w:marTop w:val="0"/>
      <w:marBottom w:val="0"/>
      <w:divBdr>
        <w:top w:val="none" w:sz="0" w:space="0" w:color="auto"/>
        <w:left w:val="none" w:sz="0" w:space="0" w:color="auto"/>
        <w:bottom w:val="none" w:sz="0" w:space="0" w:color="auto"/>
        <w:right w:val="none" w:sz="0" w:space="0" w:color="auto"/>
      </w:divBdr>
    </w:div>
    <w:div w:id="1073505810">
      <w:bodyDiv w:val="1"/>
      <w:marLeft w:val="0"/>
      <w:marRight w:val="0"/>
      <w:marTop w:val="0"/>
      <w:marBottom w:val="0"/>
      <w:divBdr>
        <w:top w:val="none" w:sz="0" w:space="0" w:color="auto"/>
        <w:left w:val="none" w:sz="0" w:space="0" w:color="auto"/>
        <w:bottom w:val="none" w:sz="0" w:space="0" w:color="auto"/>
        <w:right w:val="none" w:sz="0" w:space="0" w:color="auto"/>
      </w:divBdr>
    </w:div>
    <w:div w:id="1073509938">
      <w:bodyDiv w:val="1"/>
      <w:marLeft w:val="0"/>
      <w:marRight w:val="0"/>
      <w:marTop w:val="0"/>
      <w:marBottom w:val="0"/>
      <w:divBdr>
        <w:top w:val="none" w:sz="0" w:space="0" w:color="auto"/>
        <w:left w:val="none" w:sz="0" w:space="0" w:color="auto"/>
        <w:bottom w:val="none" w:sz="0" w:space="0" w:color="auto"/>
        <w:right w:val="none" w:sz="0" w:space="0" w:color="auto"/>
      </w:divBdr>
    </w:div>
    <w:div w:id="1073742211">
      <w:bodyDiv w:val="1"/>
      <w:marLeft w:val="0"/>
      <w:marRight w:val="0"/>
      <w:marTop w:val="0"/>
      <w:marBottom w:val="0"/>
      <w:divBdr>
        <w:top w:val="none" w:sz="0" w:space="0" w:color="auto"/>
        <w:left w:val="none" w:sz="0" w:space="0" w:color="auto"/>
        <w:bottom w:val="none" w:sz="0" w:space="0" w:color="auto"/>
        <w:right w:val="none" w:sz="0" w:space="0" w:color="auto"/>
      </w:divBdr>
    </w:div>
    <w:div w:id="1073818941">
      <w:bodyDiv w:val="1"/>
      <w:marLeft w:val="0"/>
      <w:marRight w:val="0"/>
      <w:marTop w:val="0"/>
      <w:marBottom w:val="0"/>
      <w:divBdr>
        <w:top w:val="none" w:sz="0" w:space="0" w:color="auto"/>
        <w:left w:val="none" w:sz="0" w:space="0" w:color="auto"/>
        <w:bottom w:val="none" w:sz="0" w:space="0" w:color="auto"/>
        <w:right w:val="none" w:sz="0" w:space="0" w:color="auto"/>
      </w:divBdr>
    </w:div>
    <w:div w:id="1073965747">
      <w:bodyDiv w:val="1"/>
      <w:marLeft w:val="0"/>
      <w:marRight w:val="0"/>
      <w:marTop w:val="0"/>
      <w:marBottom w:val="0"/>
      <w:divBdr>
        <w:top w:val="none" w:sz="0" w:space="0" w:color="auto"/>
        <w:left w:val="none" w:sz="0" w:space="0" w:color="auto"/>
        <w:bottom w:val="none" w:sz="0" w:space="0" w:color="auto"/>
        <w:right w:val="none" w:sz="0" w:space="0" w:color="auto"/>
      </w:divBdr>
    </w:div>
    <w:div w:id="1074090295">
      <w:bodyDiv w:val="1"/>
      <w:marLeft w:val="0"/>
      <w:marRight w:val="0"/>
      <w:marTop w:val="0"/>
      <w:marBottom w:val="0"/>
      <w:divBdr>
        <w:top w:val="none" w:sz="0" w:space="0" w:color="auto"/>
        <w:left w:val="none" w:sz="0" w:space="0" w:color="auto"/>
        <w:bottom w:val="none" w:sz="0" w:space="0" w:color="auto"/>
        <w:right w:val="none" w:sz="0" w:space="0" w:color="auto"/>
      </w:divBdr>
    </w:div>
    <w:div w:id="1075084229">
      <w:bodyDiv w:val="1"/>
      <w:marLeft w:val="0"/>
      <w:marRight w:val="0"/>
      <w:marTop w:val="0"/>
      <w:marBottom w:val="0"/>
      <w:divBdr>
        <w:top w:val="none" w:sz="0" w:space="0" w:color="auto"/>
        <w:left w:val="none" w:sz="0" w:space="0" w:color="auto"/>
        <w:bottom w:val="none" w:sz="0" w:space="0" w:color="auto"/>
        <w:right w:val="none" w:sz="0" w:space="0" w:color="auto"/>
      </w:divBdr>
    </w:div>
    <w:div w:id="1075401219">
      <w:bodyDiv w:val="1"/>
      <w:marLeft w:val="0"/>
      <w:marRight w:val="0"/>
      <w:marTop w:val="0"/>
      <w:marBottom w:val="0"/>
      <w:divBdr>
        <w:top w:val="none" w:sz="0" w:space="0" w:color="auto"/>
        <w:left w:val="none" w:sz="0" w:space="0" w:color="auto"/>
        <w:bottom w:val="none" w:sz="0" w:space="0" w:color="auto"/>
        <w:right w:val="none" w:sz="0" w:space="0" w:color="auto"/>
      </w:divBdr>
    </w:div>
    <w:div w:id="1075905653">
      <w:bodyDiv w:val="1"/>
      <w:marLeft w:val="0"/>
      <w:marRight w:val="0"/>
      <w:marTop w:val="0"/>
      <w:marBottom w:val="0"/>
      <w:divBdr>
        <w:top w:val="none" w:sz="0" w:space="0" w:color="auto"/>
        <w:left w:val="none" w:sz="0" w:space="0" w:color="auto"/>
        <w:bottom w:val="none" w:sz="0" w:space="0" w:color="auto"/>
        <w:right w:val="none" w:sz="0" w:space="0" w:color="auto"/>
      </w:divBdr>
    </w:div>
    <w:div w:id="1075929904">
      <w:bodyDiv w:val="1"/>
      <w:marLeft w:val="0"/>
      <w:marRight w:val="0"/>
      <w:marTop w:val="0"/>
      <w:marBottom w:val="0"/>
      <w:divBdr>
        <w:top w:val="none" w:sz="0" w:space="0" w:color="auto"/>
        <w:left w:val="none" w:sz="0" w:space="0" w:color="auto"/>
        <w:bottom w:val="none" w:sz="0" w:space="0" w:color="auto"/>
        <w:right w:val="none" w:sz="0" w:space="0" w:color="auto"/>
      </w:divBdr>
    </w:div>
    <w:div w:id="1076127851">
      <w:bodyDiv w:val="1"/>
      <w:marLeft w:val="0"/>
      <w:marRight w:val="0"/>
      <w:marTop w:val="0"/>
      <w:marBottom w:val="0"/>
      <w:divBdr>
        <w:top w:val="none" w:sz="0" w:space="0" w:color="auto"/>
        <w:left w:val="none" w:sz="0" w:space="0" w:color="auto"/>
        <w:bottom w:val="none" w:sz="0" w:space="0" w:color="auto"/>
        <w:right w:val="none" w:sz="0" w:space="0" w:color="auto"/>
      </w:divBdr>
    </w:div>
    <w:div w:id="1076168110">
      <w:bodyDiv w:val="1"/>
      <w:marLeft w:val="0"/>
      <w:marRight w:val="0"/>
      <w:marTop w:val="0"/>
      <w:marBottom w:val="0"/>
      <w:divBdr>
        <w:top w:val="none" w:sz="0" w:space="0" w:color="auto"/>
        <w:left w:val="none" w:sz="0" w:space="0" w:color="auto"/>
        <w:bottom w:val="none" w:sz="0" w:space="0" w:color="auto"/>
        <w:right w:val="none" w:sz="0" w:space="0" w:color="auto"/>
      </w:divBdr>
    </w:div>
    <w:div w:id="1076241604">
      <w:bodyDiv w:val="1"/>
      <w:marLeft w:val="0"/>
      <w:marRight w:val="0"/>
      <w:marTop w:val="0"/>
      <w:marBottom w:val="0"/>
      <w:divBdr>
        <w:top w:val="none" w:sz="0" w:space="0" w:color="auto"/>
        <w:left w:val="none" w:sz="0" w:space="0" w:color="auto"/>
        <w:bottom w:val="none" w:sz="0" w:space="0" w:color="auto"/>
        <w:right w:val="none" w:sz="0" w:space="0" w:color="auto"/>
      </w:divBdr>
    </w:div>
    <w:div w:id="1076249399">
      <w:bodyDiv w:val="1"/>
      <w:marLeft w:val="0"/>
      <w:marRight w:val="0"/>
      <w:marTop w:val="0"/>
      <w:marBottom w:val="0"/>
      <w:divBdr>
        <w:top w:val="none" w:sz="0" w:space="0" w:color="auto"/>
        <w:left w:val="none" w:sz="0" w:space="0" w:color="auto"/>
        <w:bottom w:val="none" w:sz="0" w:space="0" w:color="auto"/>
        <w:right w:val="none" w:sz="0" w:space="0" w:color="auto"/>
      </w:divBdr>
    </w:div>
    <w:div w:id="1076322699">
      <w:bodyDiv w:val="1"/>
      <w:marLeft w:val="0"/>
      <w:marRight w:val="0"/>
      <w:marTop w:val="0"/>
      <w:marBottom w:val="0"/>
      <w:divBdr>
        <w:top w:val="none" w:sz="0" w:space="0" w:color="auto"/>
        <w:left w:val="none" w:sz="0" w:space="0" w:color="auto"/>
        <w:bottom w:val="none" w:sz="0" w:space="0" w:color="auto"/>
        <w:right w:val="none" w:sz="0" w:space="0" w:color="auto"/>
      </w:divBdr>
    </w:div>
    <w:div w:id="1076322886">
      <w:bodyDiv w:val="1"/>
      <w:marLeft w:val="0"/>
      <w:marRight w:val="0"/>
      <w:marTop w:val="0"/>
      <w:marBottom w:val="0"/>
      <w:divBdr>
        <w:top w:val="none" w:sz="0" w:space="0" w:color="auto"/>
        <w:left w:val="none" w:sz="0" w:space="0" w:color="auto"/>
        <w:bottom w:val="none" w:sz="0" w:space="0" w:color="auto"/>
        <w:right w:val="none" w:sz="0" w:space="0" w:color="auto"/>
      </w:divBdr>
    </w:div>
    <w:div w:id="1076590711">
      <w:bodyDiv w:val="1"/>
      <w:marLeft w:val="0"/>
      <w:marRight w:val="0"/>
      <w:marTop w:val="0"/>
      <w:marBottom w:val="0"/>
      <w:divBdr>
        <w:top w:val="none" w:sz="0" w:space="0" w:color="auto"/>
        <w:left w:val="none" w:sz="0" w:space="0" w:color="auto"/>
        <w:bottom w:val="none" w:sz="0" w:space="0" w:color="auto"/>
        <w:right w:val="none" w:sz="0" w:space="0" w:color="auto"/>
      </w:divBdr>
    </w:div>
    <w:div w:id="1077241266">
      <w:bodyDiv w:val="1"/>
      <w:marLeft w:val="0"/>
      <w:marRight w:val="0"/>
      <w:marTop w:val="0"/>
      <w:marBottom w:val="0"/>
      <w:divBdr>
        <w:top w:val="none" w:sz="0" w:space="0" w:color="auto"/>
        <w:left w:val="none" w:sz="0" w:space="0" w:color="auto"/>
        <w:bottom w:val="none" w:sz="0" w:space="0" w:color="auto"/>
        <w:right w:val="none" w:sz="0" w:space="0" w:color="auto"/>
      </w:divBdr>
    </w:div>
    <w:div w:id="1077483419">
      <w:bodyDiv w:val="1"/>
      <w:marLeft w:val="0"/>
      <w:marRight w:val="0"/>
      <w:marTop w:val="0"/>
      <w:marBottom w:val="0"/>
      <w:divBdr>
        <w:top w:val="none" w:sz="0" w:space="0" w:color="auto"/>
        <w:left w:val="none" w:sz="0" w:space="0" w:color="auto"/>
        <w:bottom w:val="none" w:sz="0" w:space="0" w:color="auto"/>
        <w:right w:val="none" w:sz="0" w:space="0" w:color="auto"/>
      </w:divBdr>
    </w:div>
    <w:div w:id="1078021029">
      <w:bodyDiv w:val="1"/>
      <w:marLeft w:val="0"/>
      <w:marRight w:val="0"/>
      <w:marTop w:val="0"/>
      <w:marBottom w:val="0"/>
      <w:divBdr>
        <w:top w:val="none" w:sz="0" w:space="0" w:color="auto"/>
        <w:left w:val="none" w:sz="0" w:space="0" w:color="auto"/>
        <w:bottom w:val="none" w:sz="0" w:space="0" w:color="auto"/>
        <w:right w:val="none" w:sz="0" w:space="0" w:color="auto"/>
      </w:divBdr>
    </w:div>
    <w:div w:id="1078093669">
      <w:bodyDiv w:val="1"/>
      <w:marLeft w:val="0"/>
      <w:marRight w:val="0"/>
      <w:marTop w:val="0"/>
      <w:marBottom w:val="0"/>
      <w:divBdr>
        <w:top w:val="none" w:sz="0" w:space="0" w:color="auto"/>
        <w:left w:val="none" w:sz="0" w:space="0" w:color="auto"/>
        <w:bottom w:val="none" w:sz="0" w:space="0" w:color="auto"/>
        <w:right w:val="none" w:sz="0" w:space="0" w:color="auto"/>
      </w:divBdr>
    </w:div>
    <w:div w:id="1078211088">
      <w:bodyDiv w:val="1"/>
      <w:marLeft w:val="0"/>
      <w:marRight w:val="0"/>
      <w:marTop w:val="0"/>
      <w:marBottom w:val="0"/>
      <w:divBdr>
        <w:top w:val="none" w:sz="0" w:space="0" w:color="auto"/>
        <w:left w:val="none" w:sz="0" w:space="0" w:color="auto"/>
        <w:bottom w:val="none" w:sz="0" w:space="0" w:color="auto"/>
        <w:right w:val="none" w:sz="0" w:space="0" w:color="auto"/>
      </w:divBdr>
    </w:div>
    <w:div w:id="1078289130">
      <w:bodyDiv w:val="1"/>
      <w:marLeft w:val="0"/>
      <w:marRight w:val="0"/>
      <w:marTop w:val="0"/>
      <w:marBottom w:val="0"/>
      <w:divBdr>
        <w:top w:val="none" w:sz="0" w:space="0" w:color="auto"/>
        <w:left w:val="none" w:sz="0" w:space="0" w:color="auto"/>
        <w:bottom w:val="none" w:sz="0" w:space="0" w:color="auto"/>
        <w:right w:val="none" w:sz="0" w:space="0" w:color="auto"/>
      </w:divBdr>
    </w:div>
    <w:div w:id="1078599404">
      <w:bodyDiv w:val="1"/>
      <w:marLeft w:val="0"/>
      <w:marRight w:val="0"/>
      <w:marTop w:val="0"/>
      <w:marBottom w:val="0"/>
      <w:divBdr>
        <w:top w:val="none" w:sz="0" w:space="0" w:color="auto"/>
        <w:left w:val="none" w:sz="0" w:space="0" w:color="auto"/>
        <w:bottom w:val="none" w:sz="0" w:space="0" w:color="auto"/>
        <w:right w:val="none" w:sz="0" w:space="0" w:color="auto"/>
      </w:divBdr>
    </w:div>
    <w:div w:id="1078939408">
      <w:bodyDiv w:val="1"/>
      <w:marLeft w:val="0"/>
      <w:marRight w:val="0"/>
      <w:marTop w:val="0"/>
      <w:marBottom w:val="0"/>
      <w:divBdr>
        <w:top w:val="none" w:sz="0" w:space="0" w:color="auto"/>
        <w:left w:val="none" w:sz="0" w:space="0" w:color="auto"/>
        <w:bottom w:val="none" w:sz="0" w:space="0" w:color="auto"/>
        <w:right w:val="none" w:sz="0" w:space="0" w:color="auto"/>
      </w:divBdr>
    </w:div>
    <w:div w:id="1078944969">
      <w:bodyDiv w:val="1"/>
      <w:marLeft w:val="0"/>
      <w:marRight w:val="0"/>
      <w:marTop w:val="0"/>
      <w:marBottom w:val="0"/>
      <w:divBdr>
        <w:top w:val="none" w:sz="0" w:space="0" w:color="auto"/>
        <w:left w:val="none" w:sz="0" w:space="0" w:color="auto"/>
        <w:bottom w:val="none" w:sz="0" w:space="0" w:color="auto"/>
        <w:right w:val="none" w:sz="0" w:space="0" w:color="auto"/>
      </w:divBdr>
    </w:div>
    <w:div w:id="1079016804">
      <w:bodyDiv w:val="1"/>
      <w:marLeft w:val="0"/>
      <w:marRight w:val="0"/>
      <w:marTop w:val="0"/>
      <w:marBottom w:val="0"/>
      <w:divBdr>
        <w:top w:val="none" w:sz="0" w:space="0" w:color="auto"/>
        <w:left w:val="none" w:sz="0" w:space="0" w:color="auto"/>
        <w:bottom w:val="none" w:sz="0" w:space="0" w:color="auto"/>
        <w:right w:val="none" w:sz="0" w:space="0" w:color="auto"/>
      </w:divBdr>
    </w:div>
    <w:div w:id="1079714132">
      <w:bodyDiv w:val="1"/>
      <w:marLeft w:val="0"/>
      <w:marRight w:val="0"/>
      <w:marTop w:val="0"/>
      <w:marBottom w:val="0"/>
      <w:divBdr>
        <w:top w:val="none" w:sz="0" w:space="0" w:color="auto"/>
        <w:left w:val="none" w:sz="0" w:space="0" w:color="auto"/>
        <w:bottom w:val="none" w:sz="0" w:space="0" w:color="auto"/>
        <w:right w:val="none" w:sz="0" w:space="0" w:color="auto"/>
      </w:divBdr>
    </w:div>
    <w:div w:id="1079787945">
      <w:bodyDiv w:val="1"/>
      <w:marLeft w:val="0"/>
      <w:marRight w:val="0"/>
      <w:marTop w:val="0"/>
      <w:marBottom w:val="0"/>
      <w:divBdr>
        <w:top w:val="none" w:sz="0" w:space="0" w:color="auto"/>
        <w:left w:val="none" w:sz="0" w:space="0" w:color="auto"/>
        <w:bottom w:val="none" w:sz="0" w:space="0" w:color="auto"/>
        <w:right w:val="none" w:sz="0" w:space="0" w:color="auto"/>
      </w:divBdr>
    </w:div>
    <w:div w:id="1079861546">
      <w:bodyDiv w:val="1"/>
      <w:marLeft w:val="0"/>
      <w:marRight w:val="0"/>
      <w:marTop w:val="0"/>
      <w:marBottom w:val="0"/>
      <w:divBdr>
        <w:top w:val="none" w:sz="0" w:space="0" w:color="auto"/>
        <w:left w:val="none" w:sz="0" w:space="0" w:color="auto"/>
        <w:bottom w:val="none" w:sz="0" w:space="0" w:color="auto"/>
        <w:right w:val="none" w:sz="0" w:space="0" w:color="auto"/>
      </w:divBdr>
    </w:div>
    <w:div w:id="1079865558">
      <w:bodyDiv w:val="1"/>
      <w:marLeft w:val="0"/>
      <w:marRight w:val="0"/>
      <w:marTop w:val="0"/>
      <w:marBottom w:val="0"/>
      <w:divBdr>
        <w:top w:val="none" w:sz="0" w:space="0" w:color="auto"/>
        <w:left w:val="none" w:sz="0" w:space="0" w:color="auto"/>
        <w:bottom w:val="none" w:sz="0" w:space="0" w:color="auto"/>
        <w:right w:val="none" w:sz="0" w:space="0" w:color="auto"/>
      </w:divBdr>
    </w:div>
    <w:div w:id="1080761216">
      <w:bodyDiv w:val="1"/>
      <w:marLeft w:val="0"/>
      <w:marRight w:val="0"/>
      <w:marTop w:val="0"/>
      <w:marBottom w:val="0"/>
      <w:divBdr>
        <w:top w:val="none" w:sz="0" w:space="0" w:color="auto"/>
        <w:left w:val="none" w:sz="0" w:space="0" w:color="auto"/>
        <w:bottom w:val="none" w:sz="0" w:space="0" w:color="auto"/>
        <w:right w:val="none" w:sz="0" w:space="0" w:color="auto"/>
      </w:divBdr>
    </w:div>
    <w:div w:id="1080953666">
      <w:bodyDiv w:val="1"/>
      <w:marLeft w:val="0"/>
      <w:marRight w:val="0"/>
      <w:marTop w:val="0"/>
      <w:marBottom w:val="0"/>
      <w:divBdr>
        <w:top w:val="none" w:sz="0" w:space="0" w:color="auto"/>
        <w:left w:val="none" w:sz="0" w:space="0" w:color="auto"/>
        <w:bottom w:val="none" w:sz="0" w:space="0" w:color="auto"/>
        <w:right w:val="none" w:sz="0" w:space="0" w:color="auto"/>
      </w:divBdr>
    </w:div>
    <w:div w:id="1081179739">
      <w:bodyDiv w:val="1"/>
      <w:marLeft w:val="0"/>
      <w:marRight w:val="0"/>
      <w:marTop w:val="0"/>
      <w:marBottom w:val="0"/>
      <w:divBdr>
        <w:top w:val="none" w:sz="0" w:space="0" w:color="auto"/>
        <w:left w:val="none" w:sz="0" w:space="0" w:color="auto"/>
        <w:bottom w:val="none" w:sz="0" w:space="0" w:color="auto"/>
        <w:right w:val="none" w:sz="0" w:space="0" w:color="auto"/>
      </w:divBdr>
    </w:div>
    <w:div w:id="1081298794">
      <w:bodyDiv w:val="1"/>
      <w:marLeft w:val="0"/>
      <w:marRight w:val="0"/>
      <w:marTop w:val="0"/>
      <w:marBottom w:val="0"/>
      <w:divBdr>
        <w:top w:val="none" w:sz="0" w:space="0" w:color="auto"/>
        <w:left w:val="none" w:sz="0" w:space="0" w:color="auto"/>
        <w:bottom w:val="none" w:sz="0" w:space="0" w:color="auto"/>
        <w:right w:val="none" w:sz="0" w:space="0" w:color="auto"/>
      </w:divBdr>
    </w:div>
    <w:div w:id="1081373656">
      <w:bodyDiv w:val="1"/>
      <w:marLeft w:val="0"/>
      <w:marRight w:val="0"/>
      <w:marTop w:val="0"/>
      <w:marBottom w:val="0"/>
      <w:divBdr>
        <w:top w:val="none" w:sz="0" w:space="0" w:color="auto"/>
        <w:left w:val="none" w:sz="0" w:space="0" w:color="auto"/>
        <w:bottom w:val="none" w:sz="0" w:space="0" w:color="auto"/>
        <w:right w:val="none" w:sz="0" w:space="0" w:color="auto"/>
      </w:divBdr>
    </w:div>
    <w:div w:id="1081482942">
      <w:bodyDiv w:val="1"/>
      <w:marLeft w:val="0"/>
      <w:marRight w:val="0"/>
      <w:marTop w:val="0"/>
      <w:marBottom w:val="0"/>
      <w:divBdr>
        <w:top w:val="none" w:sz="0" w:space="0" w:color="auto"/>
        <w:left w:val="none" w:sz="0" w:space="0" w:color="auto"/>
        <w:bottom w:val="none" w:sz="0" w:space="0" w:color="auto"/>
        <w:right w:val="none" w:sz="0" w:space="0" w:color="auto"/>
      </w:divBdr>
    </w:div>
    <w:div w:id="1081485047">
      <w:bodyDiv w:val="1"/>
      <w:marLeft w:val="0"/>
      <w:marRight w:val="0"/>
      <w:marTop w:val="0"/>
      <w:marBottom w:val="0"/>
      <w:divBdr>
        <w:top w:val="none" w:sz="0" w:space="0" w:color="auto"/>
        <w:left w:val="none" w:sz="0" w:space="0" w:color="auto"/>
        <w:bottom w:val="none" w:sz="0" w:space="0" w:color="auto"/>
        <w:right w:val="none" w:sz="0" w:space="0" w:color="auto"/>
      </w:divBdr>
    </w:div>
    <w:div w:id="1081676279">
      <w:bodyDiv w:val="1"/>
      <w:marLeft w:val="0"/>
      <w:marRight w:val="0"/>
      <w:marTop w:val="0"/>
      <w:marBottom w:val="0"/>
      <w:divBdr>
        <w:top w:val="none" w:sz="0" w:space="0" w:color="auto"/>
        <w:left w:val="none" w:sz="0" w:space="0" w:color="auto"/>
        <w:bottom w:val="none" w:sz="0" w:space="0" w:color="auto"/>
        <w:right w:val="none" w:sz="0" w:space="0" w:color="auto"/>
      </w:divBdr>
    </w:div>
    <w:div w:id="1081826966">
      <w:bodyDiv w:val="1"/>
      <w:marLeft w:val="0"/>
      <w:marRight w:val="0"/>
      <w:marTop w:val="0"/>
      <w:marBottom w:val="0"/>
      <w:divBdr>
        <w:top w:val="none" w:sz="0" w:space="0" w:color="auto"/>
        <w:left w:val="none" w:sz="0" w:space="0" w:color="auto"/>
        <w:bottom w:val="none" w:sz="0" w:space="0" w:color="auto"/>
        <w:right w:val="none" w:sz="0" w:space="0" w:color="auto"/>
      </w:divBdr>
    </w:div>
    <w:div w:id="1082483350">
      <w:bodyDiv w:val="1"/>
      <w:marLeft w:val="0"/>
      <w:marRight w:val="0"/>
      <w:marTop w:val="0"/>
      <w:marBottom w:val="0"/>
      <w:divBdr>
        <w:top w:val="none" w:sz="0" w:space="0" w:color="auto"/>
        <w:left w:val="none" w:sz="0" w:space="0" w:color="auto"/>
        <w:bottom w:val="none" w:sz="0" w:space="0" w:color="auto"/>
        <w:right w:val="none" w:sz="0" w:space="0" w:color="auto"/>
      </w:divBdr>
    </w:div>
    <w:div w:id="1082486374">
      <w:bodyDiv w:val="1"/>
      <w:marLeft w:val="0"/>
      <w:marRight w:val="0"/>
      <w:marTop w:val="0"/>
      <w:marBottom w:val="0"/>
      <w:divBdr>
        <w:top w:val="none" w:sz="0" w:space="0" w:color="auto"/>
        <w:left w:val="none" w:sz="0" w:space="0" w:color="auto"/>
        <w:bottom w:val="none" w:sz="0" w:space="0" w:color="auto"/>
        <w:right w:val="none" w:sz="0" w:space="0" w:color="auto"/>
      </w:divBdr>
    </w:div>
    <w:div w:id="1082524774">
      <w:bodyDiv w:val="1"/>
      <w:marLeft w:val="0"/>
      <w:marRight w:val="0"/>
      <w:marTop w:val="0"/>
      <w:marBottom w:val="0"/>
      <w:divBdr>
        <w:top w:val="none" w:sz="0" w:space="0" w:color="auto"/>
        <w:left w:val="none" w:sz="0" w:space="0" w:color="auto"/>
        <w:bottom w:val="none" w:sz="0" w:space="0" w:color="auto"/>
        <w:right w:val="none" w:sz="0" w:space="0" w:color="auto"/>
      </w:divBdr>
    </w:div>
    <w:div w:id="1082987515">
      <w:bodyDiv w:val="1"/>
      <w:marLeft w:val="0"/>
      <w:marRight w:val="0"/>
      <w:marTop w:val="0"/>
      <w:marBottom w:val="0"/>
      <w:divBdr>
        <w:top w:val="none" w:sz="0" w:space="0" w:color="auto"/>
        <w:left w:val="none" w:sz="0" w:space="0" w:color="auto"/>
        <w:bottom w:val="none" w:sz="0" w:space="0" w:color="auto"/>
        <w:right w:val="none" w:sz="0" w:space="0" w:color="auto"/>
      </w:divBdr>
    </w:div>
    <w:div w:id="1082994265">
      <w:bodyDiv w:val="1"/>
      <w:marLeft w:val="0"/>
      <w:marRight w:val="0"/>
      <w:marTop w:val="0"/>
      <w:marBottom w:val="0"/>
      <w:divBdr>
        <w:top w:val="none" w:sz="0" w:space="0" w:color="auto"/>
        <w:left w:val="none" w:sz="0" w:space="0" w:color="auto"/>
        <w:bottom w:val="none" w:sz="0" w:space="0" w:color="auto"/>
        <w:right w:val="none" w:sz="0" w:space="0" w:color="auto"/>
      </w:divBdr>
    </w:div>
    <w:div w:id="1083182804">
      <w:bodyDiv w:val="1"/>
      <w:marLeft w:val="0"/>
      <w:marRight w:val="0"/>
      <w:marTop w:val="0"/>
      <w:marBottom w:val="0"/>
      <w:divBdr>
        <w:top w:val="none" w:sz="0" w:space="0" w:color="auto"/>
        <w:left w:val="none" w:sz="0" w:space="0" w:color="auto"/>
        <w:bottom w:val="none" w:sz="0" w:space="0" w:color="auto"/>
        <w:right w:val="none" w:sz="0" w:space="0" w:color="auto"/>
      </w:divBdr>
    </w:div>
    <w:div w:id="1083525086">
      <w:bodyDiv w:val="1"/>
      <w:marLeft w:val="0"/>
      <w:marRight w:val="0"/>
      <w:marTop w:val="0"/>
      <w:marBottom w:val="0"/>
      <w:divBdr>
        <w:top w:val="none" w:sz="0" w:space="0" w:color="auto"/>
        <w:left w:val="none" w:sz="0" w:space="0" w:color="auto"/>
        <w:bottom w:val="none" w:sz="0" w:space="0" w:color="auto"/>
        <w:right w:val="none" w:sz="0" w:space="0" w:color="auto"/>
      </w:divBdr>
    </w:div>
    <w:div w:id="1083992333">
      <w:bodyDiv w:val="1"/>
      <w:marLeft w:val="0"/>
      <w:marRight w:val="0"/>
      <w:marTop w:val="0"/>
      <w:marBottom w:val="0"/>
      <w:divBdr>
        <w:top w:val="none" w:sz="0" w:space="0" w:color="auto"/>
        <w:left w:val="none" w:sz="0" w:space="0" w:color="auto"/>
        <w:bottom w:val="none" w:sz="0" w:space="0" w:color="auto"/>
        <w:right w:val="none" w:sz="0" w:space="0" w:color="auto"/>
      </w:divBdr>
    </w:div>
    <w:div w:id="1084036860">
      <w:bodyDiv w:val="1"/>
      <w:marLeft w:val="0"/>
      <w:marRight w:val="0"/>
      <w:marTop w:val="0"/>
      <w:marBottom w:val="0"/>
      <w:divBdr>
        <w:top w:val="none" w:sz="0" w:space="0" w:color="auto"/>
        <w:left w:val="none" w:sz="0" w:space="0" w:color="auto"/>
        <w:bottom w:val="none" w:sz="0" w:space="0" w:color="auto"/>
        <w:right w:val="none" w:sz="0" w:space="0" w:color="auto"/>
      </w:divBdr>
    </w:div>
    <w:div w:id="1084380156">
      <w:bodyDiv w:val="1"/>
      <w:marLeft w:val="0"/>
      <w:marRight w:val="0"/>
      <w:marTop w:val="0"/>
      <w:marBottom w:val="0"/>
      <w:divBdr>
        <w:top w:val="none" w:sz="0" w:space="0" w:color="auto"/>
        <w:left w:val="none" w:sz="0" w:space="0" w:color="auto"/>
        <w:bottom w:val="none" w:sz="0" w:space="0" w:color="auto"/>
        <w:right w:val="none" w:sz="0" w:space="0" w:color="auto"/>
      </w:divBdr>
    </w:div>
    <w:div w:id="1084567475">
      <w:bodyDiv w:val="1"/>
      <w:marLeft w:val="0"/>
      <w:marRight w:val="0"/>
      <w:marTop w:val="0"/>
      <w:marBottom w:val="0"/>
      <w:divBdr>
        <w:top w:val="none" w:sz="0" w:space="0" w:color="auto"/>
        <w:left w:val="none" w:sz="0" w:space="0" w:color="auto"/>
        <w:bottom w:val="none" w:sz="0" w:space="0" w:color="auto"/>
        <w:right w:val="none" w:sz="0" w:space="0" w:color="auto"/>
      </w:divBdr>
    </w:div>
    <w:div w:id="1084642588">
      <w:bodyDiv w:val="1"/>
      <w:marLeft w:val="0"/>
      <w:marRight w:val="0"/>
      <w:marTop w:val="0"/>
      <w:marBottom w:val="0"/>
      <w:divBdr>
        <w:top w:val="none" w:sz="0" w:space="0" w:color="auto"/>
        <w:left w:val="none" w:sz="0" w:space="0" w:color="auto"/>
        <w:bottom w:val="none" w:sz="0" w:space="0" w:color="auto"/>
        <w:right w:val="none" w:sz="0" w:space="0" w:color="auto"/>
      </w:divBdr>
    </w:div>
    <w:div w:id="1084764307">
      <w:bodyDiv w:val="1"/>
      <w:marLeft w:val="0"/>
      <w:marRight w:val="0"/>
      <w:marTop w:val="0"/>
      <w:marBottom w:val="0"/>
      <w:divBdr>
        <w:top w:val="none" w:sz="0" w:space="0" w:color="auto"/>
        <w:left w:val="none" w:sz="0" w:space="0" w:color="auto"/>
        <w:bottom w:val="none" w:sz="0" w:space="0" w:color="auto"/>
        <w:right w:val="none" w:sz="0" w:space="0" w:color="auto"/>
      </w:divBdr>
    </w:div>
    <w:div w:id="1084953908">
      <w:bodyDiv w:val="1"/>
      <w:marLeft w:val="0"/>
      <w:marRight w:val="0"/>
      <w:marTop w:val="0"/>
      <w:marBottom w:val="0"/>
      <w:divBdr>
        <w:top w:val="none" w:sz="0" w:space="0" w:color="auto"/>
        <w:left w:val="none" w:sz="0" w:space="0" w:color="auto"/>
        <w:bottom w:val="none" w:sz="0" w:space="0" w:color="auto"/>
        <w:right w:val="none" w:sz="0" w:space="0" w:color="auto"/>
      </w:divBdr>
    </w:div>
    <w:div w:id="1085106980">
      <w:bodyDiv w:val="1"/>
      <w:marLeft w:val="0"/>
      <w:marRight w:val="0"/>
      <w:marTop w:val="0"/>
      <w:marBottom w:val="0"/>
      <w:divBdr>
        <w:top w:val="none" w:sz="0" w:space="0" w:color="auto"/>
        <w:left w:val="none" w:sz="0" w:space="0" w:color="auto"/>
        <w:bottom w:val="none" w:sz="0" w:space="0" w:color="auto"/>
        <w:right w:val="none" w:sz="0" w:space="0" w:color="auto"/>
      </w:divBdr>
    </w:div>
    <w:div w:id="1085299908">
      <w:bodyDiv w:val="1"/>
      <w:marLeft w:val="0"/>
      <w:marRight w:val="0"/>
      <w:marTop w:val="0"/>
      <w:marBottom w:val="0"/>
      <w:divBdr>
        <w:top w:val="none" w:sz="0" w:space="0" w:color="auto"/>
        <w:left w:val="none" w:sz="0" w:space="0" w:color="auto"/>
        <w:bottom w:val="none" w:sz="0" w:space="0" w:color="auto"/>
        <w:right w:val="none" w:sz="0" w:space="0" w:color="auto"/>
      </w:divBdr>
    </w:div>
    <w:div w:id="1085569084">
      <w:bodyDiv w:val="1"/>
      <w:marLeft w:val="0"/>
      <w:marRight w:val="0"/>
      <w:marTop w:val="0"/>
      <w:marBottom w:val="0"/>
      <w:divBdr>
        <w:top w:val="none" w:sz="0" w:space="0" w:color="auto"/>
        <w:left w:val="none" w:sz="0" w:space="0" w:color="auto"/>
        <w:bottom w:val="none" w:sz="0" w:space="0" w:color="auto"/>
        <w:right w:val="none" w:sz="0" w:space="0" w:color="auto"/>
      </w:divBdr>
    </w:div>
    <w:div w:id="1086028604">
      <w:bodyDiv w:val="1"/>
      <w:marLeft w:val="0"/>
      <w:marRight w:val="0"/>
      <w:marTop w:val="0"/>
      <w:marBottom w:val="0"/>
      <w:divBdr>
        <w:top w:val="none" w:sz="0" w:space="0" w:color="auto"/>
        <w:left w:val="none" w:sz="0" w:space="0" w:color="auto"/>
        <w:bottom w:val="none" w:sz="0" w:space="0" w:color="auto"/>
        <w:right w:val="none" w:sz="0" w:space="0" w:color="auto"/>
      </w:divBdr>
    </w:div>
    <w:div w:id="1086071851">
      <w:bodyDiv w:val="1"/>
      <w:marLeft w:val="0"/>
      <w:marRight w:val="0"/>
      <w:marTop w:val="0"/>
      <w:marBottom w:val="0"/>
      <w:divBdr>
        <w:top w:val="none" w:sz="0" w:space="0" w:color="auto"/>
        <w:left w:val="none" w:sz="0" w:space="0" w:color="auto"/>
        <w:bottom w:val="none" w:sz="0" w:space="0" w:color="auto"/>
        <w:right w:val="none" w:sz="0" w:space="0" w:color="auto"/>
      </w:divBdr>
    </w:div>
    <w:div w:id="1086271568">
      <w:bodyDiv w:val="1"/>
      <w:marLeft w:val="0"/>
      <w:marRight w:val="0"/>
      <w:marTop w:val="0"/>
      <w:marBottom w:val="0"/>
      <w:divBdr>
        <w:top w:val="none" w:sz="0" w:space="0" w:color="auto"/>
        <w:left w:val="none" w:sz="0" w:space="0" w:color="auto"/>
        <w:bottom w:val="none" w:sz="0" w:space="0" w:color="auto"/>
        <w:right w:val="none" w:sz="0" w:space="0" w:color="auto"/>
      </w:divBdr>
    </w:div>
    <w:div w:id="1086272119">
      <w:bodyDiv w:val="1"/>
      <w:marLeft w:val="0"/>
      <w:marRight w:val="0"/>
      <w:marTop w:val="0"/>
      <w:marBottom w:val="0"/>
      <w:divBdr>
        <w:top w:val="none" w:sz="0" w:space="0" w:color="auto"/>
        <w:left w:val="none" w:sz="0" w:space="0" w:color="auto"/>
        <w:bottom w:val="none" w:sz="0" w:space="0" w:color="auto"/>
        <w:right w:val="none" w:sz="0" w:space="0" w:color="auto"/>
      </w:divBdr>
    </w:div>
    <w:div w:id="1086345949">
      <w:bodyDiv w:val="1"/>
      <w:marLeft w:val="0"/>
      <w:marRight w:val="0"/>
      <w:marTop w:val="0"/>
      <w:marBottom w:val="0"/>
      <w:divBdr>
        <w:top w:val="none" w:sz="0" w:space="0" w:color="auto"/>
        <w:left w:val="none" w:sz="0" w:space="0" w:color="auto"/>
        <w:bottom w:val="none" w:sz="0" w:space="0" w:color="auto"/>
        <w:right w:val="none" w:sz="0" w:space="0" w:color="auto"/>
      </w:divBdr>
    </w:div>
    <w:div w:id="1086615363">
      <w:bodyDiv w:val="1"/>
      <w:marLeft w:val="0"/>
      <w:marRight w:val="0"/>
      <w:marTop w:val="0"/>
      <w:marBottom w:val="0"/>
      <w:divBdr>
        <w:top w:val="none" w:sz="0" w:space="0" w:color="auto"/>
        <w:left w:val="none" w:sz="0" w:space="0" w:color="auto"/>
        <w:bottom w:val="none" w:sz="0" w:space="0" w:color="auto"/>
        <w:right w:val="none" w:sz="0" w:space="0" w:color="auto"/>
      </w:divBdr>
    </w:div>
    <w:div w:id="1086925171">
      <w:bodyDiv w:val="1"/>
      <w:marLeft w:val="0"/>
      <w:marRight w:val="0"/>
      <w:marTop w:val="0"/>
      <w:marBottom w:val="0"/>
      <w:divBdr>
        <w:top w:val="none" w:sz="0" w:space="0" w:color="auto"/>
        <w:left w:val="none" w:sz="0" w:space="0" w:color="auto"/>
        <w:bottom w:val="none" w:sz="0" w:space="0" w:color="auto"/>
        <w:right w:val="none" w:sz="0" w:space="0" w:color="auto"/>
      </w:divBdr>
    </w:div>
    <w:div w:id="1087112142">
      <w:bodyDiv w:val="1"/>
      <w:marLeft w:val="0"/>
      <w:marRight w:val="0"/>
      <w:marTop w:val="0"/>
      <w:marBottom w:val="0"/>
      <w:divBdr>
        <w:top w:val="none" w:sz="0" w:space="0" w:color="auto"/>
        <w:left w:val="none" w:sz="0" w:space="0" w:color="auto"/>
        <w:bottom w:val="none" w:sz="0" w:space="0" w:color="auto"/>
        <w:right w:val="none" w:sz="0" w:space="0" w:color="auto"/>
      </w:divBdr>
    </w:div>
    <w:div w:id="1087186763">
      <w:bodyDiv w:val="1"/>
      <w:marLeft w:val="0"/>
      <w:marRight w:val="0"/>
      <w:marTop w:val="0"/>
      <w:marBottom w:val="0"/>
      <w:divBdr>
        <w:top w:val="none" w:sz="0" w:space="0" w:color="auto"/>
        <w:left w:val="none" w:sz="0" w:space="0" w:color="auto"/>
        <w:bottom w:val="none" w:sz="0" w:space="0" w:color="auto"/>
        <w:right w:val="none" w:sz="0" w:space="0" w:color="auto"/>
      </w:divBdr>
    </w:div>
    <w:div w:id="1087340048">
      <w:bodyDiv w:val="1"/>
      <w:marLeft w:val="0"/>
      <w:marRight w:val="0"/>
      <w:marTop w:val="0"/>
      <w:marBottom w:val="0"/>
      <w:divBdr>
        <w:top w:val="none" w:sz="0" w:space="0" w:color="auto"/>
        <w:left w:val="none" w:sz="0" w:space="0" w:color="auto"/>
        <w:bottom w:val="none" w:sz="0" w:space="0" w:color="auto"/>
        <w:right w:val="none" w:sz="0" w:space="0" w:color="auto"/>
      </w:divBdr>
    </w:div>
    <w:div w:id="1087506501">
      <w:bodyDiv w:val="1"/>
      <w:marLeft w:val="0"/>
      <w:marRight w:val="0"/>
      <w:marTop w:val="0"/>
      <w:marBottom w:val="0"/>
      <w:divBdr>
        <w:top w:val="none" w:sz="0" w:space="0" w:color="auto"/>
        <w:left w:val="none" w:sz="0" w:space="0" w:color="auto"/>
        <w:bottom w:val="none" w:sz="0" w:space="0" w:color="auto"/>
        <w:right w:val="none" w:sz="0" w:space="0" w:color="auto"/>
      </w:divBdr>
    </w:div>
    <w:div w:id="1087655686">
      <w:bodyDiv w:val="1"/>
      <w:marLeft w:val="0"/>
      <w:marRight w:val="0"/>
      <w:marTop w:val="0"/>
      <w:marBottom w:val="0"/>
      <w:divBdr>
        <w:top w:val="none" w:sz="0" w:space="0" w:color="auto"/>
        <w:left w:val="none" w:sz="0" w:space="0" w:color="auto"/>
        <w:bottom w:val="none" w:sz="0" w:space="0" w:color="auto"/>
        <w:right w:val="none" w:sz="0" w:space="0" w:color="auto"/>
      </w:divBdr>
    </w:div>
    <w:div w:id="1087770477">
      <w:bodyDiv w:val="1"/>
      <w:marLeft w:val="0"/>
      <w:marRight w:val="0"/>
      <w:marTop w:val="0"/>
      <w:marBottom w:val="0"/>
      <w:divBdr>
        <w:top w:val="none" w:sz="0" w:space="0" w:color="auto"/>
        <w:left w:val="none" w:sz="0" w:space="0" w:color="auto"/>
        <w:bottom w:val="none" w:sz="0" w:space="0" w:color="auto"/>
        <w:right w:val="none" w:sz="0" w:space="0" w:color="auto"/>
      </w:divBdr>
    </w:div>
    <w:div w:id="1087920237">
      <w:bodyDiv w:val="1"/>
      <w:marLeft w:val="0"/>
      <w:marRight w:val="0"/>
      <w:marTop w:val="0"/>
      <w:marBottom w:val="0"/>
      <w:divBdr>
        <w:top w:val="none" w:sz="0" w:space="0" w:color="auto"/>
        <w:left w:val="none" w:sz="0" w:space="0" w:color="auto"/>
        <w:bottom w:val="none" w:sz="0" w:space="0" w:color="auto"/>
        <w:right w:val="none" w:sz="0" w:space="0" w:color="auto"/>
      </w:divBdr>
    </w:div>
    <w:div w:id="1087923032">
      <w:bodyDiv w:val="1"/>
      <w:marLeft w:val="0"/>
      <w:marRight w:val="0"/>
      <w:marTop w:val="0"/>
      <w:marBottom w:val="0"/>
      <w:divBdr>
        <w:top w:val="none" w:sz="0" w:space="0" w:color="auto"/>
        <w:left w:val="none" w:sz="0" w:space="0" w:color="auto"/>
        <w:bottom w:val="none" w:sz="0" w:space="0" w:color="auto"/>
        <w:right w:val="none" w:sz="0" w:space="0" w:color="auto"/>
      </w:divBdr>
    </w:div>
    <w:div w:id="1087993931">
      <w:bodyDiv w:val="1"/>
      <w:marLeft w:val="0"/>
      <w:marRight w:val="0"/>
      <w:marTop w:val="0"/>
      <w:marBottom w:val="0"/>
      <w:divBdr>
        <w:top w:val="none" w:sz="0" w:space="0" w:color="auto"/>
        <w:left w:val="none" w:sz="0" w:space="0" w:color="auto"/>
        <w:bottom w:val="none" w:sz="0" w:space="0" w:color="auto"/>
        <w:right w:val="none" w:sz="0" w:space="0" w:color="auto"/>
      </w:divBdr>
    </w:div>
    <w:div w:id="1088160506">
      <w:bodyDiv w:val="1"/>
      <w:marLeft w:val="0"/>
      <w:marRight w:val="0"/>
      <w:marTop w:val="0"/>
      <w:marBottom w:val="0"/>
      <w:divBdr>
        <w:top w:val="none" w:sz="0" w:space="0" w:color="auto"/>
        <w:left w:val="none" w:sz="0" w:space="0" w:color="auto"/>
        <w:bottom w:val="none" w:sz="0" w:space="0" w:color="auto"/>
        <w:right w:val="none" w:sz="0" w:space="0" w:color="auto"/>
      </w:divBdr>
    </w:div>
    <w:div w:id="1088576942">
      <w:bodyDiv w:val="1"/>
      <w:marLeft w:val="0"/>
      <w:marRight w:val="0"/>
      <w:marTop w:val="0"/>
      <w:marBottom w:val="0"/>
      <w:divBdr>
        <w:top w:val="none" w:sz="0" w:space="0" w:color="auto"/>
        <w:left w:val="none" w:sz="0" w:space="0" w:color="auto"/>
        <w:bottom w:val="none" w:sz="0" w:space="0" w:color="auto"/>
        <w:right w:val="none" w:sz="0" w:space="0" w:color="auto"/>
      </w:divBdr>
    </w:div>
    <w:div w:id="1089502106">
      <w:bodyDiv w:val="1"/>
      <w:marLeft w:val="0"/>
      <w:marRight w:val="0"/>
      <w:marTop w:val="0"/>
      <w:marBottom w:val="0"/>
      <w:divBdr>
        <w:top w:val="none" w:sz="0" w:space="0" w:color="auto"/>
        <w:left w:val="none" w:sz="0" w:space="0" w:color="auto"/>
        <w:bottom w:val="none" w:sz="0" w:space="0" w:color="auto"/>
        <w:right w:val="none" w:sz="0" w:space="0" w:color="auto"/>
      </w:divBdr>
    </w:div>
    <w:div w:id="1090128791">
      <w:bodyDiv w:val="1"/>
      <w:marLeft w:val="0"/>
      <w:marRight w:val="0"/>
      <w:marTop w:val="0"/>
      <w:marBottom w:val="0"/>
      <w:divBdr>
        <w:top w:val="none" w:sz="0" w:space="0" w:color="auto"/>
        <w:left w:val="none" w:sz="0" w:space="0" w:color="auto"/>
        <w:bottom w:val="none" w:sz="0" w:space="0" w:color="auto"/>
        <w:right w:val="none" w:sz="0" w:space="0" w:color="auto"/>
      </w:divBdr>
    </w:div>
    <w:div w:id="1090197651">
      <w:bodyDiv w:val="1"/>
      <w:marLeft w:val="0"/>
      <w:marRight w:val="0"/>
      <w:marTop w:val="0"/>
      <w:marBottom w:val="0"/>
      <w:divBdr>
        <w:top w:val="none" w:sz="0" w:space="0" w:color="auto"/>
        <w:left w:val="none" w:sz="0" w:space="0" w:color="auto"/>
        <w:bottom w:val="none" w:sz="0" w:space="0" w:color="auto"/>
        <w:right w:val="none" w:sz="0" w:space="0" w:color="auto"/>
      </w:divBdr>
    </w:div>
    <w:div w:id="1090199102">
      <w:bodyDiv w:val="1"/>
      <w:marLeft w:val="0"/>
      <w:marRight w:val="0"/>
      <w:marTop w:val="0"/>
      <w:marBottom w:val="0"/>
      <w:divBdr>
        <w:top w:val="none" w:sz="0" w:space="0" w:color="auto"/>
        <w:left w:val="none" w:sz="0" w:space="0" w:color="auto"/>
        <w:bottom w:val="none" w:sz="0" w:space="0" w:color="auto"/>
        <w:right w:val="none" w:sz="0" w:space="0" w:color="auto"/>
      </w:divBdr>
    </w:div>
    <w:div w:id="1090353593">
      <w:bodyDiv w:val="1"/>
      <w:marLeft w:val="0"/>
      <w:marRight w:val="0"/>
      <w:marTop w:val="0"/>
      <w:marBottom w:val="0"/>
      <w:divBdr>
        <w:top w:val="none" w:sz="0" w:space="0" w:color="auto"/>
        <w:left w:val="none" w:sz="0" w:space="0" w:color="auto"/>
        <w:bottom w:val="none" w:sz="0" w:space="0" w:color="auto"/>
        <w:right w:val="none" w:sz="0" w:space="0" w:color="auto"/>
      </w:divBdr>
    </w:div>
    <w:div w:id="1090420518">
      <w:bodyDiv w:val="1"/>
      <w:marLeft w:val="0"/>
      <w:marRight w:val="0"/>
      <w:marTop w:val="0"/>
      <w:marBottom w:val="0"/>
      <w:divBdr>
        <w:top w:val="none" w:sz="0" w:space="0" w:color="auto"/>
        <w:left w:val="none" w:sz="0" w:space="0" w:color="auto"/>
        <w:bottom w:val="none" w:sz="0" w:space="0" w:color="auto"/>
        <w:right w:val="none" w:sz="0" w:space="0" w:color="auto"/>
      </w:divBdr>
    </w:div>
    <w:div w:id="1090851248">
      <w:bodyDiv w:val="1"/>
      <w:marLeft w:val="0"/>
      <w:marRight w:val="0"/>
      <w:marTop w:val="0"/>
      <w:marBottom w:val="0"/>
      <w:divBdr>
        <w:top w:val="none" w:sz="0" w:space="0" w:color="auto"/>
        <w:left w:val="none" w:sz="0" w:space="0" w:color="auto"/>
        <w:bottom w:val="none" w:sz="0" w:space="0" w:color="auto"/>
        <w:right w:val="none" w:sz="0" w:space="0" w:color="auto"/>
      </w:divBdr>
    </w:div>
    <w:div w:id="1091007359">
      <w:bodyDiv w:val="1"/>
      <w:marLeft w:val="0"/>
      <w:marRight w:val="0"/>
      <w:marTop w:val="0"/>
      <w:marBottom w:val="0"/>
      <w:divBdr>
        <w:top w:val="none" w:sz="0" w:space="0" w:color="auto"/>
        <w:left w:val="none" w:sz="0" w:space="0" w:color="auto"/>
        <w:bottom w:val="none" w:sz="0" w:space="0" w:color="auto"/>
        <w:right w:val="none" w:sz="0" w:space="0" w:color="auto"/>
      </w:divBdr>
    </w:div>
    <w:div w:id="1091199618">
      <w:bodyDiv w:val="1"/>
      <w:marLeft w:val="0"/>
      <w:marRight w:val="0"/>
      <w:marTop w:val="0"/>
      <w:marBottom w:val="0"/>
      <w:divBdr>
        <w:top w:val="none" w:sz="0" w:space="0" w:color="auto"/>
        <w:left w:val="none" w:sz="0" w:space="0" w:color="auto"/>
        <w:bottom w:val="none" w:sz="0" w:space="0" w:color="auto"/>
        <w:right w:val="none" w:sz="0" w:space="0" w:color="auto"/>
      </w:divBdr>
    </w:div>
    <w:div w:id="1091244457">
      <w:bodyDiv w:val="1"/>
      <w:marLeft w:val="0"/>
      <w:marRight w:val="0"/>
      <w:marTop w:val="0"/>
      <w:marBottom w:val="0"/>
      <w:divBdr>
        <w:top w:val="none" w:sz="0" w:space="0" w:color="auto"/>
        <w:left w:val="none" w:sz="0" w:space="0" w:color="auto"/>
        <w:bottom w:val="none" w:sz="0" w:space="0" w:color="auto"/>
        <w:right w:val="none" w:sz="0" w:space="0" w:color="auto"/>
      </w:divBdr>
    </w:div>
    <w:div w:id="1091387307">
      <w:bodyDiv w:val="1"/>
      <w:marLeft w:val="0"/>
      <w:marRight w:val="0"/>
      <w:marTop w:val="0"/>
      <w:marBottom w:val="0"/>
      <w:divBdr>
        <w:top w:val="none" w:sz="0" w:space="0" w:color="auto"/>
        <w:left w:val="none" w:sz="0" w:space="0" w:color="auto"/>
        <w:bottom w:val="none" w:sz="0" w:space="0" w:color="auto"/>
        <w:right w:val="none" w:sz="0" w:space="0" w:color="auto"/>
      </w:divBdr>
    </w:div>
    <w:div w:id="1091387541">
      <w:bodyDiv w:val="1"/>
      <w:marLeft w:val="0"/>
      <w:marRight w:val="0"/>
      <w:marTop w:val="0"/>
      <w:marBottom w:val="0"/>
      <w:divBdr>
        <w:top w:val="none" w:sz="0" w:space="0" w:color="auto"/>
        <w:left w:val="none" w:sz="0" w:space="0" w:color="auto"/>
        <w:bottom w:val="none" w:sz="0" w:space="0" w:color="auto"/>
        <w:right w:val="none" w:sz="0" w:space="0" w:color="auto"/>
      </w:divBdr>
    </w:div>
    <w:div w:id="1091513421">
      <w:bodyDiv w:val="1"/>
      <w:marLeft w:val="0"/>
      <w:marRight w:val="0"/>
      <w:marTop w:val="0"/>
      <w:marBottom w:val="0"/>
      <w:divBdr>
        <w:top w:val="none" w:sz="0" w:space="0" w:color="auto"/>
        <w:left w:val="none" w:sz="0" w:space="0" w:color="auto"/>
        <w:bottom w:val="none" w:sz="0" w:space="0" w:color="auto"/>
        <w:right w:val="none" w:sz="0" w:space="0" w:color="auto"/>
      </w:divBdr>
    </w:div>
    <w:div w:id="1091513891">
      <w:bodyDiv w:val="1"/>
      <w:marLeft w:val="0"/>
      <w:marRight w:val="0"/>
      <w:marTop w:val="0"/>
      <w:marBottom w:val="0"/>
      <w:divBdr>
        <w:top w:val="none" w:sz="0" w:space="0" w:color="auto"/>
        <w:left w:val="none" w:sz="0" w:space="0" w:color="auto"/>
        <w:bottom w:val="none" w:sz="0" w:space="0" w:color="auto"/>
        <w:right w:val="none" w:sz="0" w:space="0" w:color="auto"/>
      </w:divBdr>
    </w:div>
    <w:div w:id="1091665139">
      <w:bodyDiv w:val="1"/>
      <w:marLeft w:val="0"/>
      <w:marRight w:val="0"/>
      <w:marTop w:val="0"/>
      <w:marBottom w:val="0"/>
      <w:divBdr>
        <w:top w:val="none" w:sz="0" w:space="0" w:color="auto"/>
        <w:left w:val="none" w:sz="0" w:space="0" w:color="auto"/>
        <w:bottom w:val="none" w:sz="0" w:space="0" w:color="auto"/>
        <w:right w:val="none" w:sz="0" w:space="0" w:color="auto"/>
      </w:divBdr>
    </w:div>
    <w:div w:id="1091971951">
      <w:bodyDiv w:val="1"/>
      <w:marLeft w:val="0"/>
      <w:marRight w:val="0"/>
      <w:marTop w:val="0"/>
      <w:marBottom w:val="0"/>
      <w:divBdr>
        <w:top w:val="none" w:sz="0" w:space="0" w:color="auto"/>
        <w:left w:val="none" w:sz="0" w:space="0" w:color="auto"/>
        <w:bottom w:val="none" w:sz="0" w:space="0" w:color="auto"/>
        <w:right w:val="none" w:sz="0" w:space="0" w:color="auto"/>
      </w:divBdr>
    </w:div>
    <w:div w:id="1092120040">
      <w:bodyDiv w:val="1"/>
      <w:marLeft w:val="0"/>
      <w:marRight w:val="0"/>
      <w:marTop w:val="0"/>
      <w:marBottom w:val="0"/>
      <w:divBdr>
        <w:top w:val="none" w:sz="0" w:space="0" w:color="auto"/>
        <w:left w:val="none" w:sz="0" w:space="0" w:color="auto"/>
        <w:bottom w:val="none" w:sz="0" w:space="0" w:color="auto"/>
        <w:right w:val="none" w:sz="0" w:space="0" w:color="auto"/>
      </w:divBdr>
    </w:div>
    <w:div w:id="1092244394">
      <w:bodyDiv w:val="1"/>
      <w:marLeft w:val="0"/>
      <w:marRight w:val="0"/>
      <w:marTop w:val="0"/>
      <w:marBottom w:val="0"/>
      <w:divBdr>
        <w:top w:val="none" w:sz="0" w:space="0" w:color="auto"/>
        <w:left w:val="none" w:sz="0" w:space="0" w:color="auto"/>
        <w:bottom w:val="none" w:sz="0" w:space="0" w:color="auto"/>
        <w:right w:val="none" w:sz="0" w:space="0" w:color="auto"/>
      </w:divBdr>
    </w:div>
    <w:div w:id="1092551130">
      <w:bodyDiv w:val="1"/>
      <w:marLeft w:val="0"/>
      <w:marRight w:val="0"/>
      <w:marTop w:val="0"/>
      <w:marBottom w:val="0"/>
      <w:divBdr>
        <w:top w:val="none" w:sz="0" w:space="0" w:color="auto"/>
        <w:left w:val="none" w:sz="0" w:space="0" w:color="auto"/>
        <w:bottom w:val="none" w:sz="0" w:space="0" w:color="auto"/>
        <w:right w:val="none" w:sz="0" w:space="0" w:color="auto"/>
      </w:divBdr>
    </w:div>
    <w:div w:id="1092551564">
      <w:bodyDiv w:val="1"/>
      <w:marLeft w:val="0"/>
      <w:marRight w:val="0"/>
      <w:marTop w:val="0"/>
      <w:marBottom w:val="0"/>
      <w:divBdr>
        <w:top w:val="none" w:sz="0" w:space="0" w:color="auto"/>
        <w:left w:val="none" w:sz="0" w:space="0" w:color="auto"/>
        <w:bottom w:val="none" w:sz="0" w:space="0" w:color="auto"/>
        <w:right w:val="none" w:sz="0" w:space="0" w:color="auto"/>
      </w:divBdr>
    </w:div>
    <w:div w:id="1092623693">
      <w:bodyDiv w:val="1"/>
      <w:marLeft w:val="0"/>
      <w:marRight w:val="0"/>
      <w:marTop w:val="0"/>
      <w:marBottom w:val="0"/>
      <w:divBdr>
        <w:top w:val="none" w:sz="0" w:space="0" w:color="auto"/>
        <w:left w:val="none" w:sz="0" w:space="0" w:color="auto"/>
        <w:bottom w:val="none" w:sz="0" w:space="0" w:color="auto"/>
        <w:right w:val="none" w:sz="0" w:space="0" w:color="auto"/>
      </w:divBdr>
    </w:div>
    <w:div w:id="1092630420">
      <w:bodyDiv w:val="1"/>
      <w:marLeft w:val="0"/>
      <w:marRight w:val="0"/>
      <w:marTop w:val="0"/>
      <w:marBottom w:val="0"/>
      <w:divBdr>
        <w:top w:val="none" w:sz="0" w:space="0" w:color="auto"/>
        <w:left w:val="none" w:sz="0" w:space="0" w:color="auto"/>
        <w:bottom w:val="none" w:sz="0" w:space="0" w:color="auto"/>
        <w:right w:val="none" w:sz="0" w:space="0" w:color="auto"/>
      </w:divBdr>
    </w:div>
    <w:div w:id="1093087934">
      <w:bodyDiv w:val="1"/>
      <w:marLeft w:val="0"/>
      <w:marRight w:val="0"/>
      <w:marTop w:val="0"/>
      <w:marBottom w:val="0"/>
      <w:divBdr>
        <w:top w:val="none" w:sz="0" w:space="0" w:color="auto"/>
        <w:left w:val="none" w:sz="0" w:space="0" w:color="auto"/>
        <w:bottom w:val="none" w:sz="0" w:space="0" w:color="auto"/>
        <w:right w:val="none" w:sz="0" w:space="0" w:color="auto"/>
      </w:divBdr>
    </w:div>
    <w:div w:id="1093167618">
      <w:bodyDiv w:val="1"/>
      <w:marLeft w:val="0"/>
      <w:marRight w:val="0"/>
      <w:marTop w:val="0"/>
      <w:marBottom w:val="0"/>
      <w:divBdr>
        <w:top w:val="none" w:sz="0" w:space="0" w:color="auto"/>
        <w:left w:val="none" w:sz="0" w:space="0" w:color="auto"/>
        <w:bottom w:val="none" w:sz="0" w:space="0" w:color="auto"/>
        <w:right w:val="none" w:sz="0" w:space="0" w:color="auto"/>
      </w:divBdr>
    </w:div>
    <w:div w:id="1093211186">
      <w:bodyDiv w:val="1"/>
      <w:marLeft w:val="0"/>
      <w:marRight w:val="0"/>
      <w:marTop w:val="0"/>
      <w:marBottom w:val="0"/>
      <w:divBdr>
        <w:top w:val="none" w:sz="0" w:space="0" w:color="auto"/>
        <w:left w:val="none" w:sz="0" w:space="0" w:color="auto"/>
        <w:bottom w:val="none" w:sz="0" w:space="0" w:color="auto"/>
        <w:right w:val="none" w:sz="0" w:space="0" w:color="auto"/>
      </w:divBdr>
    </w:div>
    <w:div w:id="1093546150">
      <w:bodyDiv w:val="1"/>
      <w:marLeft w:val="0"/>
      <w:marRight w:val="0"/>
      <w:marTop w:val="0"/>
      <w:marBottom w:val="0"/>
      <w:divBdr>
        <w:top w:val="none" w:sz="0" w:space="0" w:color="auto"/>
        <w:left w:val="none" w:sz="0" w:space="0" w:color="auto"/>
        <w:bottom w:val="none" w:sz="0" w:space="0" w:color="auto"/>
        <w:right w:val="none" w:sz="0" w:space="0" w:color="auto"/>
      </w:divBdr>
    </w:div>
    <w:div w:id="1093627245">
      <w:bodyDiv w:val="1"/>
      <w:marLeft w:val="0"/>
      <w:marRight w:val="0"/>
      <w:marTop w:val="0"/>
      <w:marBottom w:val="0"/>
      <w:divBdr>
        <w:top w:val="none" w:sz="0" w:space="0" w:color="auto"/>
        <w:left w:val="none" w:sz="0" w:space="0" w:color="auto"/>
        <w:bottom w:val="none" w:sz="0" w:space="0" w:color="auto"/>
        <w:right w:val="none" w:sz="0" w:space="0" w:color="auto"/>
      </w:divBdr>
    </w:div>
    <w:div w:id="1093630268">
      <w:bodyDiv w:val="1"/>
      <w:marLeft w:val="0"/>
      <w:marRight w:val="0"/>
      <w:marTop w:val="0"/>
      <w:marBottom w:val="0"/>
      <w:divBdr>
        <w:top w:val="none" w:sz="0" w:space="0" w:color="auto"/>
        <w:left w:val="none" w:sz="0" w:space="0" w:color="auto"/>
        <w:bottom w:val="none" w:sz="0" w:space="0" w:color="auto"/>
        <w:right w:val="none" w:sz="0" w:space="0" w:color="auto"/>
      </w:divBdr>
    </w:div>
    <w:div w:id="1094084544">
      <w:bodyDiv w:val="1"/>
      <w:marLeft w:val="0"/>
      <w:marRight w:val="0"/>
      <w:marTop w:val="0"/>
      <w:marBottom w:val="0"/>
      <w:divBdr>
        <w:top w:val="none" w:sz="0" w:space="0" w:color="auto"/>
        <w:left w:val="none" w:sz="0" w:space="0" w:color="auto"/>
        <w:bottom w:val="none" w:sz="0" w:space="0" w:color="auto"/>
        <w:right w:val="none" w:sz="0" w:space="0" w:color="auto"/>
      </w:divBdr>
    </w:div>
    <w:div w:id="1094204378">
      <w:bodyDiv w:val="1"/>
      <w:marLeft w:val="0"/>
      <w:marRight w:val="0"/>
      <w:marTop w:val="0"/>
      <w:marBottom w:val="0"/>
      <w:divBdr>
        <w:top w:val="none" w:sz="0" w:space="0" w:color="auto"/>
        <w:left w:val="none" w:sz="0" w:space="0" w:color="auto"/>
        <w:bottom w:val="none" w:sz="0" w:space="0" w:color="auto"/>
        <w:right w:val="none" w:sz="0" w:space="0" w:color="auto"/>
      </w:divBdr>
    </w:div>
    <w:div w:id="1094205668">
      <w:bodyDiv w:val="1"/>
      <w:marLeft w:val="0"/>
      <w:marRight w:val="0"/>
      <w:marTop w:val="0"/>
      <w:marBottom w:val="0"/>
      <w:divBdr>
        <w:top w:val="none" w:sz="0" w:space="0" w:color="auto"/>
        <w:left w:val="none" w:sz="0" w:space="0" w:color="auto"/>
        <w:bottom w:val="none" w:sz="0" w:space="0" w:color="auto"/>
        <w:right w:val="none" w:sz="0" w:space="0" w:color="auto"/>
      </w:divBdr>
    </w:div>
    <w:div w:id="1094862759">
      <w:bodyDiv w:val="1"/>
      <w:marLeft w:val="0"/>
      <w:marRight w:val="0"/>
      <w:marTop w:val="0"/>
      <w:marBottom w:val="0"/>
      <w:divBdr>
        <w:top w:val="none" w:sz="0" w:space="0" w:color="auto"/>
        <w:left w:val="none" w:sz="0" w:space="0" w:color="auto"/>
        <w:bottom w:val="none" w:sz="0" w:space="0" w:color="auto"/>
        <w:right w:val="none" w:sz="0" w:space="0" w:color="auto"/>
      </w:divBdr>
    </w:div>
    <w:div w:id="1094938782">
      <w:bodyDiv w:val="1"/>
      <w:marLeft w:val="0"/>
      <w:marRight w:val="0"/>
      <w:marTop w:val="0"/>
      <w:marBottom w:val="0"/>
      <w:divBdr>
        <w:top w:val="none" w:sz="0" w:space="0" w:color="auto"/>
        <w:left w:val="none" w:sz="0" w:space="0" w:color="auto"/>
        <w:bottom w:val="none" w:sz="0" w:space="0" w:color="auto"/>
        <w:right w:val="none" w:sz="0" w:space="0" w:color="auto"/>
      </w:divBdr>
    </w:div>
    <w:div w:id="1095248026">
      <w:bodyDiv w:val="1"/>
      <w:marLeft w:val="0"/>
      <w:marRight w:val="0"/>
      <w:marTop w:val="0"/>
      <w:marBottom w:val="0"/>
      <w:divBdr>
        <w:top w:val="none" w:sz="0" w:space="0" w:color="auto"/>
        <w:left w:val="none" w:sz="0" w:space="0" w:color="auto"/>
        <w:bottom w:val="none" w:sz="0" w:space="0" w:color="auto"/>
        <w:right w:val="none" w:sz="0" w:space="0" w:color="auto"/>
      </w:divBdr>
    </w:div>
    <w:div w:id="1095395336">
      <w:bodyDiv w:val="1"/>
      <w:marLeft w:val="0"/>
      <w:marRight w:val="0"/>
      <w:marTop w:val="0"/>
      <w:marBottom w:val="0"/>
      <w:divBdr>
        <w:top w:val="none" w:sz="0" w:space="0" w:color="auto"/>
        <w:left w:val="none" w:sz="0" w:space="0" w:color="auto"/>
        <w:bottom w:val="none" w:sz="0" w:space="0" w:color="auto"/>
        <w:right w:val="none" w:sz="0" w:space="0" w:color="auto"/>
      </w:divBdr>
    </w:div>
    <w:div w:id="1095781321">
      <w:bodyDiv w:val="1"/>
      <w:marLeft w:val="0"/>
      <w:marRight w:val="0"/>
      <w:marTop w:val="0"/>
      <w:marBottom w:val="0"/>
      <w:divBdr>
        <w:top w:val="none" w:sz="0" w:space="0" w:color="auto"/>
        <w:left w:val="none" w:sz="0" w:space="0" w:color="auto"/>
        <w:bottom w:val="none" w:sz="0" w:space="0" w:color="auto"/>
        <w:right w:val="none" w:sz="0" w:space="0" w:color="auto"/>
      </w:divBdr>
    </w:div>
    <w:div w:id="1095828334">
      <w:bodyDiv w:val="1"/>
      <w:marLeft w:val="0"/>
      <w:marRight w:val="0"/>
      <w:marTop w:val="0"/>
      <w:marBottom w:val="0"/>
      <w:divBdr>
        <w:top w:val="none" w:sz="0" w:space="0" w:color="auto"/>
        <w:left w:val="none" w:sz="0" w:space="0" w:color="auto"/>
        <w:bottom w:val="none" w:sz="0" w:space="0" w:color="auto"/>
        <w:right w:val="none" w:sz="0" w:space="0" w:color="auto"/>
      </w:divBdr>
    </w:div>
    <w:div w:id="1095903458">
      <w:bodyDiv w:val="1"/>
      <w:marLeft w:val="0"/>
      <w:marRight w:val="0"/>
      <w:marTop w:val="0"/>
      <w:marBottom w:val="0"/>
      <w:divBdr>
        <w:top w:val="none" w:sz="0" w:space="0" w:color="auto"/>
        <w:left w:val="none" w:sz="0" w:space="0" w:color="auto"/>
        <w:bottom w:val="none" w:sz="0" w:space="0" w:color="auto"/>
        <w:right w:val="none" w:sz="0" w:space="0" w:color="auto"/>
      </w:divBdr>
    </w:div>
    <w:div w:id="1095982518">
      <w:bodyDiv w:val="1"/>
      <w:marLeft w:val="0"/>
      <w:marRight w:val="0"/>
      <w:marTop w:val="0"/>
      <w:marBottom w:val="0"/>
      <w:divBdr>
        <w:top w:val="none" w:sz="0" w:space="0" w:color="auto"/>
        <w:left w:val="none" w:sz="0" w:space="0" w:color="auto"/>
        <w:bottom w:val="none" w:sz="0" w:space="0" w:color="auto"/>
        <w:right w:val="none" w:sz="0" w:space="0" w:color="auto"/>
      </w:divBdr>
    </w:div>
    <w:div w:id="1096055096">
      <w:bodyDiv w:val="1"/>
      <w:marLeft w:val="0"/>
      <w:marRight w:val="0"/>
      <w:marTop w:val="0"/>
      <w:marBottom w:val="0"/>
      <w:divBdr>
        <w:top w:val="none" w:sz="0" w:space="0" w:color="auto"/>
        <w:left w:val="none" w:sz="0" w:space="0" w:color="auto"/>
        <w:bottom w:val="none" w:sz="0" w:space="0" w:color="auto"/>
        <w:right w:val="none" w:sz="0" w:space="0" w:color="auto"/>
      </w:divBdr>
    </w:div>
    <w:div w:id="1096095314">
      <w:bodyDiv w:val="1"/>
      <w:marLeft w:val="0"/>
      <w:marRight w:val="0"/>
      <w:marTop w:val="0"/>
      <w:marBottom w:val="0"/>
      <w:divBdr>
        <w:top w:val="none" w:sz="0" w:space="0" w:color="auto"/>
        <w:left w:val="none" w:sz="0" w:space="0" w:color="auto"/>
        <w:bottom w:val="none" w:sz="0" w:space="0" w:color="auto"/>
        <w:right w:val="none" w:sz="0" w:space="0" w:color="auto"/>
      </w:divBdr>
    </w:div>
    <w:div w:id="1096362467">
      <w:bodyDiv w:val="1"/>
      <w:marLeft w:val="0"/>
      <w:marRight w:val="0"/>
      <w:marTop w:val="0"/>
      <w:marBottom w:val="0"/>
      <w:divBdr>
        <w:top w:val="none" w:sz="0" w:space="0" w:color="auto"/>
        <w:left w:val="none" w:sz="0" w:space="0" w:color="auto"/>
        <w:bottom w:val="none" w:sz="0" w:space="0" w:color="auto"/>
        <w:right w:val="none" w:sz="0" w:space="0" w:color="auto"/>
      </w:divBdr>
    </w:div>
    <w:div w:id="1096749740">
      <w:bodyDiv w:val="1"/>
      <w:marLeft w:val="0"/>
      <w:marRight w:val="0"/>
      <w:marTop w:val="0"/>
      <w:marBottom w:val="0"/>
      <w:divBdr>
        <w:top w:val="none" w:sz="0" w:space="0" w:color="auto"/>
        <w:left w:val="none" w:sz="0" w:space="0" w:color="auto"/>
        <w:bottom w:val="none" w:sz="0" w:space="0" w:color="auto"/>
        <w:right w:val="none" w:sz="0" w:space="0" w:color="auto"/>
      </w:divBdr>
    </w:div>
    <w:div w:id="1097747565">
      <w:bodyDiv w:val="1"/>
      <w:marLeft w:val="0"/>
      <w:marRight w:val="0"/>
      <w:marTop w:val="0"/>
      <w:marBottom w:val="0"/>
      <w:divBdr>
        <w:top w:val="none" w:sz="0" w:space="0" w:color="auto"/>
        <w:left w:val="none" w:sz="0" w:space="0" w:color="auto"/>
        <w:bottom w:val="none" w:sz="0" w:space="0" w:color="auto"/>
        <w:right w:val="none" w:sz="0" w:space="0" w:color="auto"/>
      </w:divBdr>
    </w:div>
    <w:div w:id="1097748417">
      <w:bodyDiv w:val="1"/>
      <w:marLeft w:val="0"/>
      <w:marRight w:val="0"/>
      <w:marTop w:val="0"/>
      <w:marBottom w:val="0"/>
      <w:divBdr>
        <w:top w:val="none" w:sz="0" w:space="0" w:color="auto"/>
        <w:left w:val="none" w:sz="0" w:space="0" w:color="auto"/>
        <w:bottom w:val="none" w:sz="0" w:space="0" w:color="auto"/>
        <w:right w:val="none" w:sz="0" w:space="0" w:color="auto"/>
      </w:divBdr>
    </w:div>
    <w:div w:id="1097751247">
      <w:bodyDiv w:val="1"/>
      <w:marLeft w:val="0"/>
      <w:marRight w:val="0"/>
      <w:marTop w:val="0"/>
      <w:marBottom w:val="0"/>
      <w:divBdr>
        <w:top w:val="none" w:sz="0" w:space="0" w:color="auto"/>
        <w:left w:val="none" w:sz="0" w:space="0" w:color="auto"/>
        <w:bottom w:val="none" w:sz="0" w:space="0" w:color="auto"/>
        <w:right w:val="none" w:sz="0" w:space="0" w:color="auto"/>
      </w:divBdr>
    </w:div>
    <w:div w:id="1098022860">
      <w:bodyDiv w:val="1"/>
      <w:marLeft w:val="0"/>
      <w:marRight w:val="0"/>
      <w:marTop w:val="0"/>
      <w:marBottom w:val="0"/>
      <w:divBdr>
        <w:top w:val="none" w:sz="0" w:space="0" w:color="auto"/>
        <w:left w:val="none" w:sz="0" w:space="0" w:color="auto"/>
        <w:bottom w:val="none" w:sz="0" w:space="0" w:color="auto"/>
        <w:right w:val="none" w:sz="0" w:space="0" w:color="auto"/>
      </w:divBdr>
    </w:div>
    <w:div w:id="1098520254">
      <w:bodyDiv w:val="1"/>
      <w:marLeft w:val="0"/>
      <w:marRight w:val="0"/>
      <w:marTop w:val="0"/>
      <w:marBottom w:val="0"/>
      <w:divBdr>
        <w:top w:val="none" w:sz="0" w:space="0" w:color="auto"/>
        <w:left w:val="none" w:sz="0" w:space="0" w:color="auto"/>
        <w:bottom w:val="none" w:sz="0" w:space="0" w:color="auto"/>
        <w:right w:val="none" w:sz="0" w:space="0" w:color="auto"/>
      </w:divBdr>
    </w:div>
    <w:div w:id="1098871304">
      <w:bodyDiv w:val="1"/>
      <w:marLeft w:val="0"/>
      <w:marRight w:val="0"/>
      <w:marTop w:val="0"/>
      <w:marBottom w:val="0"/>
      <w:divBdr>
        <w:top w:val="none" w:sz="0" w:space="0" w:color="auto"/>
        <w:left w:val="none" w:sz="0" w:space="0" w:color="auto"/>
        <w:bottom w:val="none" w:sz="0" w:space="0" w:color="auto"/>
        <w:right w:val="none" w:sz="0" w:space="0" w:color="auto"/>
      </w:divBdr>
    </w:div>
    <w:div w:id="1098983625">
      <w:bodyDiv w:val="1"/>
      <w:marLeft w:val="0"/>
      <w:marRight w:val="0"/>
      <w:marTop w:val="0"/>
      <w:marBottom w:val="0"/>
      <w:divBdr>
        <w:top w:val="none" w:sz="0" w:space="0" w:color="auto"/>
        <w:left w:val="none" w:sz="0" w:space="0" w:color="auto"/>
        <w:bottom w:val="none" w:sz="0" w:space="0" w:color="auto"/>
        <w:right w:val="none" w:sz="0" w:space="0" w:color="auto"/>
      </w:divBdr>
    </w:div>
    <w:div w:id="1099107931">
      <w:bodyDiv w:val="1"/>
      <w:marLeft w:val="0"/>
      <w:marRight w:val="0"/>
      <w:marTop w:val="0"/>
      <w:marBottom w:val="0"/>
      <w:divBdr>
        <w:top w:val="none" w:sz="0" w:space="0" w:color="auto"/>
        <w:left w:val="none" w:sz="0" w:space="0" w:color="auto"/>
        <w:bottom w:val="none" w:sz="0" w:space="0" w:color="auto"/>
        <w:right w:val="none" w:sz="0" w:space="0" w:color="auto"/>
      </w:divBdr>
    </w:div>
    <w:div w:id="1099176806">
      <w:bodyDiv w:val="1"/>
      <w:marLeft w:val="0"/>
      <w:marRight w:val="0"/>
      <w:marTop w:val="0"/>
      <w:marBottom w:val="0"/>
      <w:divBdr>
        <w:top w:val="none" w:sz="0" w:space="0" w:color="auto"/>
        <w:left w:val="none" w:sz="0" w:space="0" w:color="auto"/>
        <w:bottom w:val="none" w:sz="0" w:space="0" w:color="auto"/>
        <w:right w:val="none" w:sz="0" w:space="0" w:color="auto"/>
      </w:divBdr>
    </w:div>
    <w:div w:id="1099527828">
      <w:bodyDiv w:val="1"/>
      <w:marLeft w:val="0"/>
      <w:marRight w:val="0"/>
      <w:marTop w:val="0"/>
      <w:marBottom w:val="0"/>
      <w:divBdr>
        <w:top w:val="none" w:sz="0" w:space="0" w:color="auto"/>
        <w:left w:val="none" w:sz="0" w:space="0" w:color="auto"/>
        <w:bottom w:val="none" w:sz="0" w:space="0" w:color="auto"/>
        <w:right w:val="none" w:sz="0" w:space="0" w:color="auto"/>
      </w:divBdr>
    </w:div>
    <w:div w:id="1099638274">
      <w:bodyDiv w:val="1"/>
      <w:marLeft w:val="0"/>
      <w:marRight w:val="0"/>
      <w:marTop w:val="0"/>
      <w:marBottom w:val="0"/>
      <w:divBdr>
        <w:top w:val="none" w:sz="0" w:space="0" w:color="auto"/>
        <w:left w:val="none" w:sz="0" w:space="0" w:color="auto"/>
        <w:bottom w:val="none" w:sz="0" w:space="0" w:color="auto"/>
        <w:right w:val="none" w:sz="0" w:space="0" w:color="auto"/>
      </w:divBdr>
    </w:div>
    <w:div w:id="1099956271">
      <w:bodyDiv w:val="1"/>
      <w:marLeft w:val="0"/>
      <w:marRight w:val="0"/>
      <w:marTop w:val="0"/>
      <w:marBottom w:val="0"/>
      <w:divBdr>
        <w:top w:val="none" w:sz="0" w:space="0" w:color="auto"/>
        <w:left w:val="none" w:sz="0" w:space="0" w:color="auto"/>
        <w:bottom w:val="none" w:sz="0" w:space="0" w:color="auto"/>
        <w:right w:val="none" w:sz="0" w:space="0" w:color="auto"/>
      </w:divBdr>
    </w:div>
    <w:div w:id="1100367429">
      <w:bodyDiv w:val="1"/>
      <w:marLeft w:val="0"/>
      <w:marRight w:val="0"/>
      <w:marTop w:val="0"/>
      <w:marBottom w:val="0"/>
      <w:divBdr>
        <w:top w:val="none" w:sz="0" w:space="0" w:color="auto"/>
        <w:left w:val="none" w:sz="0" w:space="0" w:color="auto"/>
        <w:bottom w:val="none" w:sz="0" w:space="0" w:color="auto"/>
        <w:right w:val="none" w:sz="0" w:space="0" w:color="auto"/>
      </w:divBdr>
    </w:div>
    <w:div w:id="1100444408">
      <w:bodyDiv w:val="1"/>
      <w:marLeft w:val="0"/>
      <w:marRight w:val="0"/>
      <w:marTop w:val="0"/>
      <w:marBottom w:val="0"/>
      <w:divBdr>
        <w:top w:val="none" w:sz="0" w:space="0" w:color="auto"/>
        <w:left w:val="none" w:sz="0" w:space="0" w:color="auto"/>
        <w:bottom w:val="none" w:sz="0" w:space="0" w:color="auto"/>
        <w:right w:val="none" w:sz="0" w:space="0" w:color="auto"/>
      </w:divBdr>
    </w:div>
    <w:div w:id="1100641276">
      <w:bodyDiv w:val="1"/>
      <w:marLeft w:val="0"/>
      <w:marRight w:val="0"/>
      <w:marTop w:val="0"/>
      <w:marBottom w:val="0"/>
      <w:divBdr>
        <w:top w:val="none" w:sz="0" w:space="0" w:color="auto"/>
        <w:left w:val="none" w:sz="0" w:space="0" w:color="auto"/>
        <w:bottom w:val="none" w:sz="0" w:space="0" w:color="auto"/>
        <w:right w:val="none" w:sz="0" w:space="0" w:color="auto"/>
      </w:divBdr>
    </w:div>
    <w:div w:id="1100947637">
      <w:bodyDiv w:val="1"/>
      <w:marLeft w:val="0"/>
      <w:marRight w:val="0"/>
      <w:marTop w:val="0"/>
      <w:marBottom w:val="0"/>
      <w:divBdr>
        <w:top w:val="none" w:sz="0" w:space="0" w:color="auto"/>
        <w:left w:val="none" w:sz="0" w:space="0" w:color="auto"/>
        <w:bottom w:val="none" w:sz="0" w:space="0" w:color="auto"/>
        <w:right w:val="none" w:sz="0" w:space="0" w:color="auto"/>
      </w:divBdr>
    </w:div>
    <w:div w:id="1100954814">
      <w:bodyDiv w:val="1"/>
      <w:marLeft w:val="0"/>
      <w:marRight w:val="0"/>
      <w:marTop w:val="0"/>
      <w:marBottom w:val="0"/>
      <w:divBdr>
        <w:top w:val="none" w:sz="0" w:space="0" w:color="auto"/>
        <w:left w:val="none" w:sz="0" w:space="0" w:color="auto"/>
        <w:bottom w:val="none" w:sz="0" w:space="0" w:color="auto"/>
        <w:right w:val="none" w:sz="0" w:space="0" w:color="auto"/>
      </w:divBdr>
    </w:div>
    <w:div w:id="1101073820">
      <w:bodyDiv w:val="1"/>
      <w:marLeft w:val="0"/>
      <w:marRight w:val="0"/>
      <w:marTop w:val="0"/>
      <w:marBottom w:val="0"/>
      <w:divBdr>
        <w:top w:val="none" w:sz="0" w:space="0" w:color="auto"/>
        <w:left w:val="none" w:sz="0" w:space="0" w:color="auto"/>
        <w:bottom w:val="none" w:sz="0" w:space="0" w:color="auto"/>
        <w:right w:val="none" w:sz="0" w:space="0" w:color="auto"/>
      </w:divBdr>
    </w:div>
    <w:div w:id="1101334098">
      <w:bodyDiv w:val="1"/>
      <w:marLeft w:val="0"/>
      <w:marRight w:val="0"/>
      <w:marTop w:val="0"/>
      <w:marBottom w:val="0"/>
      <w:divBdr>
        <w:top w:val="none" w:sz="0" w:space="0" w:color="auto"/>
        <w:left w:val="none" w:sz="0" w:space="0" w:color="auto"/>
        <w:bottom w:val="none" w:sz="0" w:space="0" w:color="auto"/>
        <w:right w:val="none" w:sz="0" w:space="0" w:color="auto"/>
      </w:divBdr>
    </w:div>
    <w:div w:id="1101877330">
      <w:bodyDiv w:val="1"/>
      <w:marLeft w:val="0"/>
      <w:marRight w:val="0"/>
      <w:marTop w:val="0"/>
      <w:marBottom w:val="0"/>
      <w:divBdr>
        <w:top w:val="none" w:sz="0" w:space="0" w:color="auto"/>
        <w:left w:val="none" w:sz="0" w:space="0" w:color="auto"/>
        <w:bottom w:val="none" w:sz="0" w:space="0" w:color="auto"/>
        <w:right w:val="none" w:sz="0" w:space="0" w:color="auto"/>
      </w:divBdr>
    </w:div>
    <w:div w:id="1102064938">
      <w:bodyDiv w:val="1"/>
      <w:marLeft w:val="0"/>
      <w:marRight w:val="0"/>
      <w:marTop w:val="0"/>
      <w:marBottom w:val="0"/>
      <w:divBdr>
        <w:top w:val="none" w:sz="0" w:space="0" w:color="auto"/>
        <w:left w:val="none" w:sz="0" w:space="0" w:color="auto"/>
        <w:bottom w:val="none" w:sz="0" w:space="0" w:color="auto"/>
        <w:right w:val="none" w:sz="0" w:space="0" w:color="auto"/>
      </w:divBdr>
    </w:div>
    <w:div w:id="1102145982">
      <w:bodyDiv w:val="1"/>
      <w:marLeft w:val="0"/>
      <w:marRight w:val="0"/>
      <w:marTop w:val="0"/>
      <w:marBottom w:val="0"/>
      <w:divBdr>
        <w:top w:val="none" w:sz="0" w:space="0" w:color="auto"/>
        <w:left w:val="none" w:sz="0" w:space="0" w:color="auto"/>
        <w:bottom w:val="none" w:sz="0" w:space="0" w:color="auto"/>
        <w:right w:val="none" w:sz="0" w:space="0" w:color="auto"/>
      </w:divBdr>
    </w:div>
    <w:div w:id="1102190726">
      <w:bodyDiv w:val="1"/>
      <w:marLeft w:val="0"/>
      <w:marRight w:val="0"/>
      <w:marTop w:val="0"/>
      <w:marBottom w:val="0"/>
      <w:divBdr>
        <w:top w:val="none" w:sz="0" w:space="0" w:color="auto"/>
        <w:left w:val="none" w:sz="0" w:space="0" w:color="auto"/>
        <w:bottom w:val="none" w:sz="0" w:space="0" w:color="auto"/>
        <w:right w:val="none" w:sz="0" w:space="0" w:color="auto"/>
      </w:divBdr>
    </w:div>
    <w:div w:id="1102265551">
      <w:bodyDiv w:val="1"/>
      <w:marLeft w:val="0"/>
      <w:marRight w:val="0"/>
      <w:marTop w:val="0"/>
      <w:marBottom w:val="0"/>
      <w:divBdr>
        <w:top w:val="none" w:sz="0" w:space="0" w:color="auto"/>
        <w:left w:val="none" w:sz="0" w:space="0" w:color="auto"/>
        <w:bottom w:val="none" w:sz="0" w:space="0" w:color="auto"/>
        <w:right w:val="none" w:sz="0" w:space="0" w:color="auto"/>
      </w:divBdr>
    </w:div>
    <w:div w:id="1102532760">
      <w:bodyDiv w:val="1"/>
      <w:marLeft w:val="0"/>
      <w:marRight w:val="0"/>
      <w:marTop w:val="0"/>
      <w:marBottom w:val="0"/>
      <w:divBdr>
        <w:top w:val="none" w:sz="0" w:space="0" w:color="auto"/>
        <w:left w:val="none" w:sz="0" w:space="0" w:color="auto"/>
        <w:bottom w:val="none" w:sz="0" w:space="0" w:color="auto"/>
        <w:right w:val="none" w:sz="0" w:space="0" w:color="auto"/>
      </w:divBdr>
    </w:div>
    <w:div w:id="1102872422">
      <w:bodyDiv w:val="1"/>
      <w:marLeft w:val="0"/>
      <w:marRight w:val="0"/>
      <w:marTop w:val="0"/>
      <w:marBottom w:val="0"/>
      <w:divBdr>
        <w:top w:val="none" w:sz="0" w:space="0" w:color="auto"/>
        <w:left w:val="none" w:sz="0" w:space="0" w:color="auto"/>
        <w:bottom w:val="none" w:sz="0" w:space="0" w:color="auto"/>
        <w:right w:val="none" w:sz="0" w:space="0" w:color="auto"/>
      </w:divBdr>
    </w:div>
    <w:div w:id="1102988656">
      <w:bodyDiv w:val="1"/>
      <w:marLeft w:val="0"/>
      <w:marRight w:val="0"/>
      <w:marTop w:val="0"/>
      <w:marBottom w:val="0"/>
      <w:divBdr>
        <w:top w:val="none" w:sz="0" w:space="0" w:color="auto"/>
        <w:left w:val="none" w:sz="0" w:space="0" w:color="auto"/>
        <w:bottom w:val="none" w:sz="0" w:space="0" w:color="auto"/>
        <w:right w:val="none" w:sz="0" w:space="0" w:color="auto"/>
      </w:divBdr>
    </w:div>
    <w:div w:id="1103067076">
      <w:bodyDiv w:val="1"/>
      <w:marLeft w:val="0"/>
      <w:marRight w:val="0"/>
      <w:marTop w:val="0"/>
      <w:marBottom w:val="0"/>
      <w:divBdr>
        <w:top w:val="none" w:sz="0" w:space="0" w:color="auto"/>
        <w:left w:val="none" w:sz="0" w:space="0" w:color="auto"/>
        <w:bottom w:val="none" w:sz="0" w:space="0" w:color="auto"/>
        <w:right w:val="none" w:sz="0" w:space="0" w:color="auto"/>
      </w:divBdr>
    </w:div>
    <w:div w:id="1103455424">
      <w:bodyDiv w:val="1"/>
      <w:marLeft w:val="0"/>
      <w:marRight w:val="0"/>
      <w:marTop w:val="0"/>
      <w:marBottom w:val="0"/>
      <w:divBdr>
        <w:top w:val="none" w:sz="0" w:space="0" w:color="auto"/>
        <w:left w:val="none" w:sz="0" w:space="0" w:color="auto"/>
        <w:bottom w:val="none" w:sz="0" w:space="0" w:color="auto"/>
        <w:right w:val="none" w:sz="0" w:space="0" w:color="auto"/>
      </w:divBdr>
    </w:div>
    <w:div w:id="1103455746">
      <w:bodyDiv w:val="1"/>
      <w:marLeft w:val="0"/>
      <w:marRight w:val="0"/>
      <w:marTop w:val="0"/>
      <w:marBottom w:val="0"/>
      <w:divBdr>
        <w:top w:val="none" w:sz="0" w:space="0" w:color="auto"/>
        <w:left w:val="none" w:sz="0" w:space="0" w:color="auto"/>
        <w:bottom w:val="none" w:sz="0" w:space="0" w:color="auto"/>
        <w:right w:val="none" w:sz="0" w:space="0" w:color="auto"/>
      </w:divBdr>
    </w:div>
    <w:div w:id="1103498702">
      <w:bodyDiv w:val="1"/>
      <w:marLeft w:val="0"/>
      <w:marRight w:val="0"/>
      <w:marTop w:val="0"/>
      <w:marBottom w:val="0"/>
      <w:divBdr>
        <w:top w:val="none" w:sz="0" w:space="0" w:color="auto"/>
        <w:left w:val="none" w:sz="0" w:space="0" w:color="auto"/>
        <w:bottom w:val="none" w:sz="0" w:space="0" w:color="auto"/>
        <w:right w:val="none" w:sz="0" w:space="0" w:color="auto"/>
      </w:divBdr>
    </w:div>
    <w:div w:id="1103763788">
      <w:bodyDiv w:val="1"/>
      <w:marLeft w:val="0"/>
      <w:marRight w:val="0"/>
      <w:marTop w:val="0"/>
      <w:marBottom w:val="0"/>
      <w:divBdr>
        <w:top w:val="none" w:sz="0" w:space="0" w:color="auto"/>
        <w:left w:val="none" w:sz="0" w:space="0" w:color="auto"/>
        <w:bottom w:val="none" w:sz="0" w:space="0" w:color="auto"/>
        <w:right w:val="none" w:sz="0" w:space="0" w:color="auto"/>
      </w:divBdr>
    </w:div>
    <w:div w:id="1104308271">
      <w:bodyDiv w:val="1"/>
      <w:marLeft w:val="0"/>
      <w:marRight w:val="0"/>
      <w:marTop w:val="0"/>
      <w:marBottom w:val="0"/>
      <w:divBdr>
        <w:top w:val="none" w:sz="0" w:space="0" w:color="auto"/>
        <w:left w:val="none" w:sz="0" w:space="0" w:color="auto"/>
        <w:bottom w:val="none" w:sz="0" w:space="0" w:color="auto"/>
        <w:right w:val="none" w:sz="0" w:space="0" w:color="auto"/>
      </w:divBdr>
    </w:div>
    <w:div w:id="1104690726">
      <w:bodyDiv w:val="1"/>
      <w:marLeft w:val="0"/>
      <w:marRight w:val="0"/>
      <w:marTop w:val="0"/>
      <w:marBottom w:val="0"/>
      <w:divBdr>
        <w:top w:val="none" w:sz="0" w:space="0" w:color="auto"/>
        <w:left w:val="none" w:sz="0" w:space="0" w:color="auto"/>
        <w:bottom w:val="none" w:sz="0" w:space="0" w:color="auto"/>
        <w:right w:val="none" w:sz="0" w:space="0" w:color="auto"/>
      </w:divBdr>
    </w:div>
    <w:div w:id="1104836802">
      <w:bodyDiv w:val="1"/>
      <w:marLeft w:val="0"/>
      <w:marRight w:val="0"/>
      <w:marTop w:val="0"/>
      <w:marBottom w:val="0"/>
      <w:divBdr>
        <w:top w:val="none" w:sz="0" w:space="0" w:color="auto"/>
        <w:left w:val="none" w:sz="0" w:space="0" w:color="auto"/>
        <w:bottom w:val="none" w:sz="0" w:space="0" w:color="auto"/>
        <w:right w:val="none" w:sz="0" w:space="0" w:color="auto"/>
      </w:divBdr>
    </w:div>
    <w:div w:id="1104881210">
      <w:bodyDiv w:val="1"/>
      <w:marLeft w:val="0"/>
      <w:marRight w:val="0"/>
      <w:marTop w:val="0"/>
      <w:marBottom w:val="0"/>
      <w:divBdr>
        <w:top w:val="none" w:sz="0" w:space="0" w:color="auto"/>
        <w:left w:val="none" w:sz="0" w:space="0" w:color="auto"/>
        <w:bottom w:val="none" w:sz="0" w:space="0" w:color="auto"/>
        <w:right w:val="none" w:sz="0" w:space="0" w:color="auto"/>
      </w:divBdr>
    </w:div>
    <w:div w:id="1105073951">
      <w:bodyDiv w:val="1"/>
      <w:marLeft w:val="0"/>
      <w:marRight w:val="0"/>
      <w:marTop w:val="0"/>
      <w:marBottom w:val="0"/>
      <w:divBdr>
        <w:top w:val="none" w:sz="0" w:space="0" w:color="auto"/>
        <w:left w:val="none" w:sz="0" w:space="0" w:color="auto"/>
        <w:bottom w:val="none" w:sz="0" w:space="0" w:color="auto"/>
        <w:right w:val="none" w:sz="0" w:space="0" w:color="auto"/>
      </w:divBdr>
    </w:div>
    <w:div w:id="1105229004">
      <w:bodyDiv w:val="1"/>
      <w:marLeft w:val="0"/>
      <w:marRight w:val="0"/>
      <w:marTop w:val="0"/>
      <w:marBottom w:val="0"/>
      <w:divBdr>
        <w:top w:val="none" w:sz="0" w:space="0" w:color="auto"/>
        <w:left w:val="none" w:sz="0" w:space="0" w:color="auto"/>
        <w:bottom w:val="none" w:sz="0" w:space="0" w:color="auto"/>
        <w:right w:val="none" w:sz="0" w:space="0" w:color="auto"/>
      </w:divBdr>
    </w:div>
    <w:div w:id="1105231463">
      <w:bodyDiv w:val="1"/>
      <w:marLeft w:val="0"/>
      <w:marRight w:val="0"/>
      <w:marTop w:val="0"/>
      <w:marBottom w:val="0"/>
      <w:divBdr>
        <w:top w:val="none" w:sz="0" w:space="0" w:color="auto"/>
        <w:left w:val="none" w:sz="0" w:space="0" w:color="auto"/>
        <w:bottom w:val="none" w:sz="0" w:space="0" w:color="auto"/>
        <w:right w:val="none" w:sz="0" w:space="0" w:color="auto"/>
      </w:divBdr>
    </w:div>
    <w:div w:id="1105729888">
      <w:bodyDiv w:val="1"/>
      <w:marLeft w:val="0"/>
      <w:marRight w:val="0"/>
      <w:marTop w:val="0"/>
      <w:marBottom w:val="0"/>
      <w:divBdr>
        <w:top w:val="none" w:sz="0" w:space="0" w:color="auto"/>
        <w:left w:val="none" w:sz="0" w:space="0" w:color="auto"/>
        <w:bottom w:val="none" w:sz="0" w:space="0" w:color="auto"/>
        <w:right w:val="none" w:sz="0" w:space="0" w:color="auto"/>
      </w:divBdr>
    </w:div>
    <w:div w:id="1105732394">
      <w:bodyDiv w:val="1"/>
      <w:marLeft w:val="0"/>
      <w:marRight w:val="0"/>
      <w:marTop w:val="0"/>
      <w:marBottom w:val="0"/>
      <w:divBdr>
        <w:top w:val="none" w:sz="0" w:space="0" w:color="auto"/>
        <w:left w:val="none" w:sz="0" w:space="0" w:color="auto"/>
        <w:bottom w:val="none" w:sz="0" w:space="0" w:color="auto"/>
        <w:right w:val="none" w:sz="0" w:space="0" w:color="auto"/>
      </w:divBdr>
    </w:div>
    <w:div w:id="1105886434">
      <w:bodyDiv w:val="1"/>
      <w:marLeft w:val="0"/>
      <w:marRight w:val="0"/>
      <w:marTop w:val="0"/>
      <w:marBottom w:val="0"/>
      <w:divBdr>
        <w:top w:val="none" w:sz="0" w:space="0" w:color="auto"/>
        <w:left w:val="none" w:sz="0" w:space="0" w:color="auto"/>
        <w:bottom w:val="none" w:sz="0" w:space="0" w:color="auto"/>
        <w:right w:val="none" w:sz="0" w:space="0" w:color="auto"/>
      </w:divBdr>
    </w:div>
    <w:div w:id="1105997306">
      <w:bodyDiv w:val="1"/>
      <w:marLeft w:val="0"/>
      <w:marRight w:val="0"/>
      <w:marTop w:val="0"/>
      <w:marBottom w:val="0"/>
      <w:divBdr>
        <w:top w:val="none" w:sz="0" w:space="0" w:color="auto"/>
        <w:left w:val="none" w:sz="0" w:space="0" w:color="auto"/>
        <w:bottom w:val="none" w:sz="0" w:space="0" w:color="auto"/>
        <w:right w:val="none" w:sz="0" w:space="0" w:color="auto"/>
      </w:divBdr>
    </w:div>
    <w:div w:id="1106004025">
      <w:bodyDiv w:val="1"/>
      <w:marLeft w:val="0"/>
      <w:marRight w:val="0"/>
      <w:marTop w:val="0"/>
      <w:marBottom w:val="0"/>
      <w:divBdr>
        <w:top w:val="none" w:sz="0" w:space="0" w:color="auto"/>
        <w:left w:val="none" w:sz="0" w:space="0" w:color="auto"/>
        <w:bottom w:val="none" w:sz="0" w:space="0" w:color="auto"/>
        <w:right w:val="none" w:sz="0" w:space="0" w:color="auto"/>
      </w:divBdr>
    </w:div>
    <w:div w:id="1106076036">
      <w:bodyDiv w:val="1"/>
      <w:marLeft w:val="0"/>
      <w:marRight w:val="0"/>
      <w:marTop w:val="0"/>
      <w:marBottom w:val="0"/>
      <w:divBdr>
        <w:top w:val="none" w:sz="0" w:space="0" w:color="auto"/>
        <w:left w:val="none" w:sz="0" w:space="0" w:color="auto"/>
        <w:bottom w:val="none" w:sz="0" w:space="0" w:color="auto"/>
        <w:right w:val="none" w:sz="0" w:space="0" w:color="auto"/>
      </w:divBdr>
    </w:div>
    <w:div w:id="1106383405">
      <w:bodyDiv w:val="1"/>
      <w:marLeft w:val="0"/>
      <w:marRight w:val="0"/>
      <w:marTop w:val="0"/>
      <w:marBottom w:val="0"/>
      <w:divBdr>
        <w:top w:val="none" w:sz="0" w:space="0" w:color="auto"/>
        <w:left w:val="none" w:sz="0" w:space="0" w:color="auto"/>
        <w:bottom w:val="none" w:sz="0" w:space="0" w:color="auto"/>
        <w:right w:val="none" w:sz="0" w:space="0" w:color="auto"/>
      </w:divBdr>
    </w:div>
    <w:div w:id="1106652706">
      <w:bodyDiv w:val="1"/>
      <w:marLeft w:val="0"/>
      <w:marRight w:val="0"/>
      <w:marTop w:val="0"/>
      <w:marBottom w:val="0"/>
      <w:divBdr>
        <w:top w:val="none" w:sz="0" w:space="0" w:color="auto"/>
        <w:left w:val="none" w:sz="0" w:space="0" w:color="auto"/>
        <w:bottom w:val="none" w:sz="0" w:space="0" w:color="auto"/>
        <w:right w:val="none" w:sz="0" w:space="0" w:color="auto"/>
      </w:divBdr>
    </w:div>
    <w:div w:id="1106660458">
      <w:bodyDiv w:val="1"/>
      <w:marLeft w:val="0"/>
      <w:marRight w:val="0"/>
      <w:marTop w:val="0"/>
      <w:marBottom w:val="0"/>
      <w:divBdr>
        <w:top w:val="none" w:sz="0" w:space="0" w:color="auto"/>
        <w:left w:val="none" w:sz="0" w:space="0" w:color="auto"/>
        <w:bottom w:val="none" w:sz="0" w:space="0" w:color="auto"/>
        <w:right w:val="none" w:sz="0" w:space="0" w:color="auto"/>
      </w:divBdr>
    </w:div>
    <w:div w:id="1106729459">
      <w:bodyDiv w:val="1"/>
      <w:marLeft w:val="0"/>
      <w:marRight w:val="0"/>
      <w:marTop w:val="0"/>
      <w:marBottom w:val="0"/>
      <w:divBdr>
        <w:top w:val="none" w:sz="0" w:space="0" w:color="auto"/>
        <w:left w:val="none" w:sz="0" w:space="0" w:color="auto"/>
        <w:bottom w:val="none" w:sz="0" w:space="0" w:color="auto"/>
        <w:right w:val="none" w:sz="0" w:space="0" w:color="auto"/>
      </w:divBdr>
    </w:div>
    <w:div w:id="1107121042">
      <w:bodyDiv w:val="1"/>
      <w:marLeft w:val="0"/>
      <w:marRight w:val="0"/>
      <w:marTop w:val="0"/>
      <w:marBottom w:val="0"/>
      <w:divBdr>
        <w:top w:val="none" w:sz="0" w:space="0" w:color="auto"/>
        <w:left w:val="none" w:sz="0" w:space="0" w:color="auto"/>
        <w:bottom w:val="none" w:sz="0" w:space="0" w:color="auto"/>
        <w:right w:val="none" w:sz="0" w:space="0" w:color="auto"/>
      </w:divBdr>
    </w:div>
    <w:div w:id="1107384569">
      <w:bodyDiv w:val="1"/>
      <w:marLeft w:val="0"/>
      <w:marRight w:val="0"/>
      <w:marTop w:val="0"/>
      <w:marBottom w:val="0"/>
      <w:divBdr>
        <w:top w:val="none" w:sz="0" w:space="0" w:color="auto"/>
        <w:left w:val="none" w:sz="0" w:space="0" w:color="auto"/>
        <w:bottom w:val="none" w:sz="0" w:space="0" w:color="auto"/>
        <w:right w:val="none" w:sz="0" w:space="0" w:color="auto"/>
      </w:divBdr>
    </w:div>
    <w:div w:id="1107385614">
      <w:bodyDiv w:val="1"/>
      <w:marLeft w:val="0"/>
      <w:marRight w:val="0"/>
      <w:marTop w:val="0"/>
      <w:marBottom w:val="0"/>
      <w:divBdr>
        <w:top w:val="none" w:sz="0" w:space="0" w:color="auto"/>
        <w:left w:val="none" w:sz="0" w:space="0" w:color="auto"/>
        <w:bottom w:val="none" w:sz="0" w:space="0" w:color="auto"/>
        <w:right w:val="none" w:sz="0" w:space="0" w:color="auto"/>
      </w:divBdr>
    </w:div>
    <w:div w:id="1107502697">
      <w:bodyDiv w:val="1"/>
      <w:marLeft w:val="0"/>
      <w:marRight w:val="0"/>
      <w:marTop w:val="0"/>
      <w:marBottom w:val="0"/>
      <w:divBdr>
        <w:top w:val="none" w:sz="0" w:space="0" w:color="auto"/>
        <w:left w:val="none" w:sz="0" w:space="0" w:color="auto"/>
        <w:bottom w:val="none" w:sz="0" w:space="0" w:color="auto"/>
        <w:right w:val="none" w:sz="0" w:space="0" w:color="auto"/>
      </w:divBdr>
    </w:div>
    <w:div w:id="1107962808">
      <w:bodyDiv w:val="1"/>
      <w:marLeft w:val="0"/>
      <w:marRight w:val="0"/>
      <w:marTop w:val="0"/>
      <w:marBottom w:val="0"/>
      <w:divBdr>
        <w:top w:val="none" w:sz="0" w:space="0" w:color="auto"/>
        <w:left w:val="none" w:sz="0" w:space="0" w:color="auto"/>
        <w:bottom w:val="none" w:sz="0" w:space="0" w:color="auto"/>
        <w:right w:val="none" w:sz="0" w:space="0" w:color="auto"/>
      </w:divBdr>
    </w:div>
    <w:div w:id="1107963720">
      <w:bodyDiv w:val="1"/>
      <w:marLeft w:val="0"/>
      <w:marRight w:val="0"/>
      <w:marTop w:val="0"/>
      <w:marBottom w:val="0"/>
      <w:divBdr>
        <w:top w:val="none" w:sz="0" w:space="0" w:color="auto"/>
        <w:left w:val="none" w:sz="0" w:space="0" w:color="auto"/>
        <w:bottom w:val="none" w:sz="0" w:space="0" w:color="auto"/>
        <w:right w:val="none" w:sz="0" w:space="0" w:color="auto"/>
      </w:divBdr>
    </w:div>
    <w:div w:id="1108086933">
      <w:bodyDiv w:val="1"/>
      <w:marLeft w:val="0"/>
      <w:marRight w:val="0"/>
      <w:marTop w:val="0"/>
      <w:marBottom w:val="0"/>
      <w:divBdr>
        <w:top w:val="none" w:sz="0" w:space="0" w:color="auto"/>
        <w:left w:val="none" w:sz="0" w:space="0" w:color="auto"/>
        <w:bottom w:val="none" w:sz="0" w:space="0" w:color="auto"/>
        <w:right w:val="none" w:sz="0" w:space="0" w:color="auto"/>
      </w:divBdr>
    </w:div>
    <w:div w:id="1108164056">
      <w:bodyDiv w:val="1"/>
      <w:marLeft w:val="0"/>
      <w:marRight w:val="0"/>
      <w:marTop w:val="0"/>
      <w:marBottom w:val="0"/>
      <w:divBdr>
        <w:top w:val="none" w:sz="0" w:space="0" w:color="auto"/>
        <w:left w:val="none" w:sz="0" w:space="0" w:color="auto"/>
        <w:bottom w:val="none" w:sz="0" w:space="0" w:color="auto"/>
        <w:right w:val="none" w:sz="0" w:space="0" w:color="auto"/>
      </w:divBdr>
    </w:div>
    <w:div w:id="1108542284">
      <w:bodyDiv w:val="1"/>
      <w:marLeft w:val="0"/>
      <w:marRight w:val="0"/>
      <w:marTop w:val="0"/>
      <w:marBottom w:val="0"/>
      <w:divBdr>
        <w:top w:val="none" w:sz="0" w:space="0" w:color="auto"/>
        <w:left w:val="none" w:sz="0" w:space="0" w:color="auto"/>
        <w:bottom w:val="none" w:sz="0" w:space="0" w:color="auto"/>
        <w:right w:val="none" w:sz="0" w:space="0" w:color="auto"/>
      </w:divBdr>
    </w:div>
    <w:div w:id="1108549132">
      <w:bodyDiv w:val="1"/>
      <w:marLeft w:val="0"/>
      <w:marRight w:val="0"/>
      <w:marTop w:val="0"/>
      <w:marBottom w:val="0"/>
      <w:divBdr>
        <w:top w:val="none" w:sz="0" w:space="0" w:color="auto"/>
        <w:left w:val="none" w:sz="0" w:space="0" w:color="auto"/>
        <w:bottom w:val="none" w:sz="0" w:space="0" w:color="auto"/>
        <w:right w:val="none" w:sz="0" w:space="0" w:color="auto"/>
      </w:divBdr>
    </w:div>
    <w:div w:id="1108620294">
      <w:bodyDiv w:val="1"/>
      <w:marLeft w:val="0"/>
      <w:marRight w:val="0"/>
      <w:marTop w:val="0"/>
      <w:marBottom w:val="0"/>
      <w:divBdr>
        <w:top w:val="none" w:sz="0" w:space="0" w:color="auto"/>
        <w:left w:val="none" w:sz="0" w:space="0" w:color="auto"/>
        <w:bottom w:val="none" w:sz="0" w:space="0" w:color="auto"/>
        <w:right w:val="none" w:sz="0" w:space="0" w:color="auto"/>
      </w:divBdr>
    </w:div>
    <w:div w:id="1108620978">
      <w:bodyDiv w:val="1"/>
      <w:marLeft w:val="0"/>
      <w:marRight w:val="0"/>
      <w:marTop w:val="0"/>
      <w:marBottom w:val="0"/>
      <w:divBdr>
        <w:top w:val="none" w:sz="0" w:space="0" w:color="auto"/>
        <w:left w:val="none" w:sz="0" w:space="0" w:color="auto"/>
        <w:bottom w:val="none" w:sz="0" w:space="0" w:color="auto"/>
        <w:right w:val="none" w:sz="0" w:space="0" w:color="auto"/>
      </w:divBdr>
    </w:div>
    <w:div w:id="1108744939">
      <w:bodyDiv w:val="1"/>
      <w:marLeft w:val="0"/>
      <w:marRight w:val="0"/>
      <w:marTop w:val="0"/>
      <w:marBottom w:val="0"/>
      <w:divBdr>
        <w:top w:val="none" w:sz="0" w:space="0" w:color="auto"/>
        <w:left w:val="none" w:sz="0" w:space="0" w:color="auto"/>
        <w:bottom w:val="none" w:sz="0" w:space="0" w:color="auto"/>
        <w:right w:val="none" w:sz="0" w:space="0" w:color="auto"/>
      </w:divBdr>
    </w:div>
    <w:div w:id="1109204752">
      <w:bodyDiv w:val="1"/>
      <w:marLeft w:val="0"/>
      <w:marRight w:val="0"/>
      <w:marTop w:val="0"/>
      <w:marBottom w:val="0"/>
      <w:divBdr>
        <w:top w:val="none" w:sz="0" w:space="0" w:color="auto"/>
        <w:left w:val="none" w:sz="0" w:space="0" w:color="auto"/>
        <w:bottom w:val="none" w:sz="0" w:space="0" w:color="auto"/>
        <w:right w:val="none" w:sz="0" w:space="0" w:color="auto"/>
      </w:divBdr>
    </w:div>
    <w:div w:id="1109467640">
      <w:bodyDiv w:val="1"/>
      <w:marLeft w:val="0"/>
      <w:marRight w:val="0"/>
      <w:marTop w:val="0"/>
      <w:marBottom w:val="0"/>
      <w:divBdr>
        <w:top w:val="none" w:sz="0" w:space="0" w:color="auto"/>
        <w:left w:val="none" w:sz="0" w:space="0" w:color="auto"/>
        <w:bottom w:val="none" w:sz="0" w:space="0" w:color="auto"/>
        <w:right w:val="none" w:sz="0" w:space="0" w:color="auto"/>
      </w:divBdr>
    </w:div>
    <w:div w:id="1109472720">
      <w:bodyDiv w:val="1"/>
      <w:marLeft w:val="0"/>
      <w:marRight w:val="0"/>
      <w:marTop w:val="0"/>
      <w:marBottom w:val="0"/>
      <w:divBdr>
        <w:top w:val="none" w:sz="0" w:space="0" w:color="auto"/>
        <w:left w:val="none" w:sz="0" w:space="0" w:color="auto"/>
        <w:bottom w:val="none" w:sz="0" w:space="0" w:color="auto"/>
        <w:right w:val="none" w:sz="0" w:space="0" w:color="auto"/>
      </w:divBdr>
    </w:div>
    <w:div w:id="1109543068">
      <w:bodyDiv w:val="1"/>
      <w:marLeft w:val="0"/>
      <w:marRight w:val="0"/>
      <w:marTop w:val="0"/>
      <w:marBottom w:val="0"/>
      <w:divBdr>
        <w:top w:val="none" w:sz="0" w:space="0" w:color="auto"/>
        <w:left w:val="none" w:sz="0" w:space="0" w:color="auto"/>
        <w:bottom w:val="none" w:sz="0" w:space="0" w:color="auto"/>
        <w:right w:val="none" w:sz="0" w:space="0" w:color="auto"/>
      </w:divBdr>
    </w:div>
    <w:div w:id="1109546971">
      <w:bodyDiv w:val="1"/>
      <w:marLeft w:val="0"/>
      <w:marRight w:val="0"/>
      <w:marTop w:val="0"/>
      <w:marBottom w:val="0"/>
      <w:divBdr>
        <w:top w:val="none" w:sz="0" w:space="0" w:color="auto"/>
        <w:left w:val="none" w:sz="0" w:space="0" w:color="auto"/>
        <w:bottom w:val="none" w:sz="0" w:space="0" w:color="auto"/>
        <w:right w:val="none" w:sz="0" w:space="0" w:color="auto"/>
      </w:divBdr>
    </w:div>
    <w:div w:id="1109859715">
      <w:bodyDiv w:val="1"/>
      <w:marLeft w:val="0"/>
      <w:marRight w:val="0"/>
      <w:marTop w:val="0"/>
      <w:marBottom w:val="0"/>
      <w:divBdr>
        <w:top w:val="none" w:sz="0" w:space="0" w:color="auto"/>
        <w:left w:val="none" w:sz="0" w:space="0" w:color="auto"/>
        <w:bottom w:val="none" w:sz="0" w:space="0" w:color="auto"/>
        <w:right w:val="none" w:sz="0" w:space="0" w:color="auto"/>
      </w:divBdr>
    </w:div>
    <w:div w:id="1110322443">
      <w:bodyDiv w:val="1"/>
      <w:marLeft w:val="0"/>
      <w:marRight w:val="0"/>
      <w:marTop w:val="0"/>
      <w:marBottom w:val="0"/>
      <w:divBdr>
        <w:top w:val="none" w:sz="0" w:space="0" w:color="auto"/>
        <w:left w:val="none" w:sz="0" w:space="0" w:color="auto"/>
        <w:bottom w:val="none" w:sz="0" w:space="0" w:color="auto"/>
        <w:right w:val="none" w:sz="0" w:space="0" w:color="auto"/>
      </w:divBdr>
    </w:div>
    <w:div w:id="1110591598">
      <w:bodyDiv w:val="1"/>
      <w:marLeft w:val="0"/>
      <w:marRight w:val="0"/>
      <w:marTop w:val="0"/>
      <w:marBottom w:val="0"/>
      <w:divBdr>
        <w:top w:val="none" w:sz="0" w:space="0" w:color="auto"/>
        <w:left w:val="none" w:sz="0" w:space="0" w:color="auto"/>
        <w:bottom w:val="none" w:sz="0" w:space="0" w:color="auto"/>
        <w:right w:val="none" w:sz="0" w:space="0" w:color="auto"/>
      </w:divBdr>
    </w:div>
    <w:div w:id="1110658978">
      <w:bodyDiv w:val="1"/>
      <w:marLeft w:val="0"/>
      <w:marRight w:val="0"/>
      <w:marTop w:val="0"/>
      <w:marBottom w:val="0"/>
      <w:divBdr>
        <w:top w:val="none" w:sz="0" w:space="0" w:color="auto"/>
        <w:left w:val="none" w:sz="0" w:space="0" w:color="auto"/>
        <w:bottom w:val="none" w:sz="0" w:space="0" w:color="auto"/>
        <w:right w:val="none" w:sz="0" w:space="0" w:color="auto"/>
      </w:divBdr>
    </w:div>
    <w:div w:id="1110706273">
      <w:bodyDiv w:val="1"/>
      <w:marLeft w:val="0"/>
      <w:marRight w:val="0"/>
      <w:marTop w:val="0"/>
      <w:marBottom w:val="0"/>
      <w:divBdr>
        <w:top w:val="none" w:sz="0" w:space="0" w:color="auto"/>
        <w:left w:val="none" w:sz="0" w:space="0" w:color="auto"/>
        <w:bottom w:val="none" w:sz="0" w:space="0" w:color="auto"/>
        <w:right w:val="none" w:sz="0" w:space="0" w:color="auto"/>
      </w:divBdr>
    </w:div>
    <w:div w:id="1110931131">
      <w:bodyDiv w:val="1"/>
      <w:marLeft w:val="0"/>
      <w:marRight w:val="0"/>
      <w:marTop w:val="0"/>
      <w:marBottom w:val="0"/>
      <w:divBdr>
        <w:top w:val="none" w:sz="0" w:space="0" w:color="auto"/>
        <w:left w:val="none" w:sz="0" w:space="0" w:color="auto"/>
        <w:bottom w:val="none" w:sz="0" w:space="0" w:color="auto"/>
        <w:right w:val="none" w:sz="0" w:space="0" w:color="auto"/>
      </w:divBdr>
    </w:div>
    <w:div w:id="1110972103">
      <w:bodyDiv w:val="1"/>
      <w:marLeft w:val="0"/>
      <w:marRight w:val="0"/>
      <w:marTop w:val="0"/>
      <w:marBottom w:val="0"/>
      <w:divBdr>
        <w:top w:val="none" w:sz="0" w:space="0" w:color="auto"/>
        <w:left w:val="none" w:sz="0" w:space="0" w:color="auto"/>
        <w:bottom w:val="none" w:sz="0" w:space="0" w:color="auto"/>
        <w:right w:val="none" w:sz="0" w:space="0" w:color="auto"/>
      </w:divBdr>
    </w:div>
    <w:div w:id="1110973707">
      <w:bodyDiv w:val="1"/>
      <w:marLeft w:val="0"/>
      <w:marRight w:val="0"/>
      <w:marTop w:val="0"/>
      <w:marBottom w:val="0"/>
      <w:divBdr>
        <w:top w:val="none" w:sz="0" w:space="0" w:color="auto"/>
        <w:left w:val="none" w:sz="0" w:space="0" w:color="auto"/>
        <w:bottom w:val="none" w:sz="0" w:space="0" w:color="auto"/>
        <w:right w:val="none" w:sz="0" w:space="0" w:color="auto"/>
      </w:divBdr>
    </w:div>
    <w:div w:id="1110976004">
      <w:bodyDiv w:val="1"/>
      <w:marLeft w:val="0"/>
      <w:marRight w:val="0"/>
      <w:marTop w:val="0"/>
      <w:marBottom w:val="0"/>
      <w:divBdr>
        <w:top w:val="none" w:sz="0" w:space="0" w:color="auto"/>
        <w:left w:val="none" w:sz="0" w:space="0" w:color="auto"/>
        <w:bottom w:val="none" w:sz="0" w:space="0" w:color="auto"/>
        <w:right w:val="none" w:sz="0" w:space="0" w:color="auto"/>
      </w:divBdr>
    </w:div>
    <w:div w:id="1111053740">
      <w:bodyDiv w:val="1"/>
      <w:marLeft w:val="0"/>
      <w:marRight w:val="0"/>
      <w:marTop w:val="0"/>
      <w:marBottom w:val="0"/>
      <w:divBdr>
        <w:top w:val="none" w:sz="0" w:space="0" w:color="auto"/>
        <w:left w:val="none" w:sz="0" w:space="0" w:color="auto"/>
        <w:bottom w:val="none" w:sz="0" w:space="0" w:color="auto"/>
        <w:right w:val="none" w:sz="0" w:space="0" w:color="auto"/>
      </w:divBdr>
    </w:div>
    <w:div w:id="1111323259">
      <w:bodyDiv w:val="1"/>
      <w:marLeft w:val="0"/>
      <w:marRight w:val="0"/>
      <w:marTop w:val="0"/>
      <w:marBottom w:val="0"/>
      <w:divBdr>
        <w:top w:val="none" w:sz="0" w:space="0" w:color="auto"/>
        <w:left w:val="none" w:sz="0" w:space="0" w:color="auto"/>
        <w:bottom w:val="none" w:sz="0" w:space="0" w:color="auto"/>
        <w:right w:val="none" w:sz="0" w:space="0" w:color="auto"/>
      </w:divBdr>
    </w:div>
    <w:div w:id="1111441209">
      <w:bodyDiv w:val="1"/>
      <w:marLeft w:val="0"/>
      <w:marRight w:val="0"/>
      <w:marTop w:val="0"/>
      <w:marBottom w:val="0"/>
      <w:divBdr>
        <w:top w:val="none" w:sz="0" w:space="0" w:color="auto"/>
        <w:left w:val="none" w:sz="0" w:space="0" w:color="auto"/>
        <w:bottom w:val="none" w:sz="0" w:space="0" w:color="auto"/>
        <w:right w:val="none" w:sz="0" w:space="0" w:color="auto"/>
      </w:divBdr>
    </w:div>
    <w:div w:id="1111634004">
      <w:bodyDiv w:val="1"/>
      <w:marLeft w:val="0"/>
      <w:marRight w:val="0"/>
      <w:marTop w:val="0"/>
      <w:marBottom w:val="0"/>
      <w:divBdr>
        <w:top w:val="none" w:sz="0" w:space="0" w:color="auto"/>
        <w:left w:val="none" w:sz="0" w:space="0" w:color="auto"/>
        <w:bottom w:val="none" w:sz="0" w:space="0" w:color="auto"/>
        <w:right w:val="none" w:sz="0" w:space="0" w:color="auto"/>
      </w:divBdr>
    </w:div>
    <w:div w:id="1111825424">
      <w:bodyDiv w:val="1"/>
      <w:marLeft w:val="0"/>
      <w:marRight w:val="0"/>
      <w:marTop w:val="0"/>
      <w:marBottom w:val="0"/>
      <w:divBdr>
        <w:top w:val="none" w:sz="0" w:space="0" w:color="auto"/>
        <w:left w:val="none" w:sz="0" w:space="0" w:color="auto"/>
        <w:bottom w:val="none" w:sz="0" w:space="0" w:color="auto"/>
        <w:right w:val="none" w:sz="0" w:space="0" w:color="auto"/>
      </w:divBdr>
    </w:div>
    <w:div w:id="1111978163">
      <w:bodyDiv w:val="1"/>
      <w:marLeft w:val="0"/>
      <w:marRight w:val="0"/>
      <w:marTop w:val="0"/>
      <w:marBottom w:val="0"/>
      <w:divBdr>
        <w:top w:val="none" w:sz="0" w:space="0" w:color="auto"/>
        <w:left w:val="none" w:sz="0" w:space="0" w:color="auto"/>
        <w:bottom w:val="none" w:sz="0" w:space="0" w:color="auto"/>
        <w:right w:val="none" w:sz="0" w:space="0" w:color="auto"/>
      </w:divBdr>
    </w:div>
    <w:div w:id="1112365210">
      <w:bodyDiv w:val="1"/>
      <w:marLeft w:val="0"/>
      <w:marRight w:val="0"/>
      <w:marTop w:val="0"/>
      <w:marBottom w:val="0"/>
      <w:divBdr>
        <w:top w:val="none" w:sz="0" w:space="0" w:color="auto"/>
        <w:left w:val="none" w:sz="0" w:space="0" w:color="auto"/>
        <w:bottom w:val="none" w:sz="0" w:space="0" w:color="auto"/>
        <w:right w:val="none" w:sz="0" w:space="0" w:color="auto"/>
      </w:divBdr>
    </w:div>
    <w:div w:id="1112365299">
      <w:bodyDiv w:val="1"/>
      <w:marLeft w:val="0"/>
      <w:marRight w:val="0"/>
      <w:marTop w:val="0"/>
      <w:marBottom w:val="0"/>
      <w:divBdr>
        <w:top w:val="none" w:sz="0" w:space="0" w:color="auto"/>
        <w:left w:val="none" w:sz="0" w:space="0" w:color="auto"/>
        <w:bottom w:val="none" w:sz="0" w:space="0" w:color="auto"/>
        <w:right w:val="none" w:sz="0" w:space="0" w:color="auto"/>
      </w:divBdr>
    </w:div>
    <w:div w:id="1112553734">
      <w:bodyDiv w:val="1"/>
      <w:marLeft w:val="0"/>
      <w:marRight w:val="0"/>
      <w:marTop w:val="0"/>
      <w:marBottom w:val="0"/>
      <w:divBdr>
        <w:top w:val="none" w:sz="0" w:space="0" w:color="auto"/>
        <w:left w:val="none" w:sz="0" w:space="0" w:color="auto"/>
        <w:bottom w:val="none" w:sz="0" w:space="0" w:color="auto"/>
        <w:right w:val="none" w:sz="0" w:space="0" w:color="auto"/>
      </w:divBdr>
    </w:div>
    <w:div w:id="1112702341">
      <w:bodyDiv w:val="1"/>
      <w:marLeft w:val="0"/>
      <w:marRight w:val="0"/>
      <w:marTop w:val="0"/>
      <w:marBottom w:val="0"/>
      <w:divBdr>
        <w:top w:val="none" w:sz="0" w:space="0" w:color="auto"/>
        <w:left w:val="none" w:sz="0" w:space="0" w:color="auto"/>
        <w:bottom w:val="none" w:sz="0" w:space="0" w:color="auto"/>
        <w:right w:val="none" w:sz="0" w:space="0" w:color="auto"/>
      </w:divBdr>
    </w:div>
    <w:div w:id="1113018078">
      <w:bodyDiv w:val="1"/>
      <w:marLeft w:val="0"/>
      <w:marRight w:val="0"/>
      <w:marTop w:val="0"/>
      <w:marBottom w:val="0"/>
      <w:divBdr>
        <w:top w:val="none" w:sz="0" w:space="0" w:color="auto"/>
        <w:left w:val="none" w:sz="0" w:space="0" w:color="auto"/>
        <w:bottom w:val="none" w:sz="0" w:space="0" w:color="auto"/>
        <w:right w:val="none" w:sz="0" w:space="0" w:color="auto"/>
      </w:divBdr>
    </w:div>
    <w:div w:id="1113357857">
      <w:bodyDiv w:val="1"/>
      <w:marLeft w:val="0"/>
      <w:marRight w:val="0"/>
      <w:marTop w:val="0"/>
      <w:marBottom w:val="0"/>
      <w:divBdr>
        <w:top w:val="none" w:sz="0" w:space="0" w:color="auto"/>
        <w:left w:val="none" w:sz="0" w:space="0" w:color="auto"/>
        <w:bottom w:val="none" w:sz="0" w:space="0" w:color="auto"/>
        <w:right w:val="none" w:sz="0" w:space="0" w:color="auto"/>
      </w:divBdr>
    </w:div>
    <w:div w:id="1113402885">
      <w:bodyDiv w:val="1"/>
      <w:marLeft w:val="0"/>
      <w:marRight w:val="0"/>
      <w:marTop w:val="0"/>
      <w:marBottom w:val="0"/>
      <w:divBdr>
        <w:top w:val="none" w:sz="0" w:space="0" w:color="auto"/>
        <w:left w:val="none" w:sz="0" w:space="0" w:color="auto"/>
        <w:bottom w:val="none" w:sz="0" w:space="0" w:color="auto"/>
        <w:right w:val="none" w:sz="0" w:space="0" w:color="auto"/>
      </w:divBdr>
    </w:div>
    <w:div w:id="1113550103">
      <w:bodyDiv w:val="1"/>
      <w:marLeft w:val="0"/>
      <w:marRight w:val="0"/>
      <w:marTop w:val="0"/>
      <w:marBottom w:val="0"/>
      <w:divBdr>
        <w:top w:val="none" w:sz="0" w:space="0" w:color="auto"/>
        <w:left w:val="none" w:sz="0" w:space="0" w:color="auto"/>
        <w:bottom w:val="none" w:sz="0" w:space="0" w:color="auto"/>
        <w:right w:val="none" w:sz="0" w:space="0" w:color="auto"/>
      </w:divBdr>
    </w:div>
    <w:div w:id="1113669054">
      <w:bodyDiv w:val="1"/>
      <w:marLeft w:val="0"/>
      <w:marRight w:val="0"/>
      <w:marTop w:val="0"/>
      <w:marBottom w:val="0"/>
      <w:divBdr>
        <w:top w:val="none" w:sz="0" w:space="0" w:color="auto"/>
        <w:left w:val="none" w:sz="0" w:space="0" w:color="auto"/>
        <w:bottom w:val="none" w:sz="0" w:space="0" w:color="auto"/>
        <w:right w:val="none" w:sz="0" w:space="0" w:color="auto"/>
      </w:divBdr>
    </w:div>
    <w:div w:id="1113935196">
      <w:bodyDiv w:val="1"/>
      <w:marLeft w:val="0"/>
      <w:marRight w:val="0"/>
      <w:marTop w:val="0"/>
      <w:marBottom w:val="0"/>
      <w:divBdr>
        <w:top w:val="none" w:sz="0" w:space="0" w:color="auto"/>
        <w:left w:val="none" w:sz="0" w:space="0" w:color="auto"/>
        <w:bottom w:val="none" w:sz="0" w:space="0" w:color="auto"/>
        <w:right w:val="none" w:sz="0" w:space="0" w:color="auto"/>
      </w:divBdr>
    </w:div>
    <w:div w:id="1114638370">
      <w:bodyDiv w:val="1"/>
      <w:marLeft w:val="0"/>
      <w:marRight w:val="0"/>
      <w:marTop w:val="0"/>
      <w:marBottom w:val="0"/>
      <w:divBdr>
        <w:top w:val="none" w:sz="0" w:space="0" w:color="auto"/>
        <w:left w:val="none" w:sz="0" w:space="0" w:color="auto"/>
        <w:bottom w:val="none" w:sz="0" w:space="0" w:color="auto"/>
        <w:right w:val="none" w:sz="0" w:space="0" w:color="auto"/>
      </w:divBdr>
    </w:div>
    <w:div w:id="1114641693">
      <w:bodyDiv w:val="1"/>
      <w:marLeft w:val="0"/>
      <w:marRight w:val="0"/>
      <w:marTop w:val="0"/>
      <w:marBottom w:val="0"/>
      <w:divBdr>
        <w:top w:val="none" w:sz="0" w:space="0" w:color="auto"/>
        <w:left w:val="none" w:sz="0" w:space="0" w:color="auto"/>
        <w:bottom w:val="none" w:sz="0" w:space="0" w:color="auto"/>
        <w:right w:val="none" w:sz="0" w:space="0" w:color="auto"/>
      </w:divBdr>
    </w:div>
    <w:div w:id="1114715640">
      <w:bodyDiv w:val="1"/>
      <w:marLeft w:val="0"/>
      <w:marRight w:val="0"/>
      <w:marTop w:val="0"/>
      <w:marBottom w:val="0"/>
      <w:divBdr>
        <w:top w:val="none" w:sz="0" w:space="0" w:color="auto"/>
        <w:left w:val="none" w:sz="0" w:space="0" w:color="auto"/>
        <w:bottom w:val="none" w:sz="0" w:space="0" w:color="auto"/>
        <w:right w:val="none" w:sz="0" w:space="0" w:color="auto"/>
      </w:divBdr>
    </w:div>
    <w:div w:id="1114834947">
      <w:bodyDiv w:val="1"/>
      <w:marLeft w:val="0"/>
      <w:marRight w:val="0"/>
      <w:marTop w:val="0"/>
      <w:marBottom w:val="0"/>
      <w:divBdr>
        <w:top w:val="none" w:sz="0" w:space="0" w:color="auto"/>
        <w:left w:val="none" w:sz="0" w:space="0" w:color="auto"/>
        <w:bottom w:val="none" w:sz="0" w:space="0" w:color="auto"/>
        <w:right w:val="none" w:sz="0" w:space="0" w:color="auto"/>
      </w:divBdr>
    </w:div>
    <w:div w:id="1115103850">
      <w:bodyDiv w:val="1"/>
      <w:marLeft w:val="0"/>
      <w:marRight w:val="0"/>
      <w:marTop w:val="0"/>
      <w:marBottom w:val="0"/>
      <w:divBdr>
        <w:top w:val="none" w:sz="0" w:space="0" w:color="auto"/>
        <w:left w:val="none" w:sz="0" w:space="0" w:color="auto"/>
        <w:bottom w:val="none" w:sz="0" w:space="0" w:color="auto"/>
        <w:right w:val="none" w:sz="0" w:space="0" w:color="auto"/>
      </w:divBdr>
    </w:div>
    <w:div w:id="1115636879">
      <w:bodyDiv w:val="1"/>
      <w:marLeft w:val="0"/>
      <w:marRight w:val="0"/>
      <w:marTop w:val="0"/>
      <w:marBottom w:val="0"/>
      <w:divBdr>
        <w:top w:val="none" w:sz="0" w:space="0" w:color="auto"/>
        <w:left w:val="none" w:sz="0" w:space="0" w:color="auto"/>
        <w:bottom w:val="none" w:sz="0" w:space="0" w:color="auto"/>
        <w:right w:val="none" w:sz="0" w:space="0" w:color="auto"/>
      </w:divBdr>
    </w:div>
    <w:div w:id="1115952766">
      <w:bodyDiv w:val="1"/>
      <w:marLeft w:val="0"/>
      <w:marRight w:val="0"/>
      <w:marTop w:val="0"/>
      <w:marBottom w:val="0"/>
      <w:divBdr>
        <w:top w:val="none" w:sz="0" w:space="0" w:color="auto"/>
        <w:left w:val="none" w:sz="0" w:space="0" w:color="auto"/>
        <w:bottom w:val="none" w:sz="0" w:space="0" w:color="auto"/>
        <w:right w:val="none" w:sz="0" w:space="0" w:color="auto"/>
      </w:divBdr>
    </w:div>
    <w:div w:id="1116099318">
      <w:bodyDiv w:val="1"/>
      <w:marLeft w:val="0"/>
      <w:marRight w:val="0"/>
      <w:marTop w:val="0"/>
      <w:marBottom w:val="0"/>
      <w:divBdr>
        <w:top w:val="none" w:sz="0" w:space="0" w:color="auto"/>
        <w:left w:val="none" w:sz="0" w:space="0" w:color="auto"/>
        <w:bottom w:val="none" w:sz="0" w:space="0" w:color="auto"/>
        <w:right w:val="none" w:sz="0" w:space="0" w:color="auto"/>
      </w:divBdr>
    </w:div>
    <w:div w:id="1116214261">
      <w:bodyDiv w:val="1"/>
      <w:marLeft w:val="0"/>
      <w:marRight w:val="0"/>
      <w:marTop w:val="0"/>
      <w:marBottom w:val="0"/>
      <w:divBdr>
        <w:top w:val="none" w:sz="0" w:space="0" w:color="auto"/>
        <w:left w:val="none" w:sz="0" w:space="0" w:color="auto"/>
        <w:bottom w:val="none" w:sz="0" w:space="0" w:color="auto"/>
        <w:right w:val="none" w:sz="0" w:space="0" w:color="auto"/>
      </w:divBdr>
    </w:div>
    <w:div w:id="1116633582">
      <w:bodyDiv w:val="1"/>
      <w:marLeft w:val="0"/>
      <w:marRight w:val="0"/>
      <w:marTop w:val="0"/>
      <w:marBottom w:val="0"/>
      <w:divBdr>
        <w:top w:val="none" w:sz="0" w:space="0" w:color="auto"/>
        <w:left w:val="none" w:sz="0" w:space="0" w:color="auto"/>
        <w:bottom w:val="none" w:sz="0" w:space="0" w:color="auto"/>
        <w:right w:val="none" w:sz="0" w:space="0" w:color="auto"/>
      </w:divBdr>
    </w:div>
    <w:div w:id="1117023194">
      <w:bodyDiv w:val="1"/>
      <w:marLeft w:val="0"/>
      <w:marRight w:val="0"/>
      <w:marTop w:val="0"/>
      <w:marBottom w:val="0"/>
      <w:divBdr>
        <w:top w:val="none" w:sz="0" w:space="0" w:color="auto"/>
        <w:left w:val="none" w:sz="0" w:space="0" w:color="auto"/>
        <w:bottom w:val="none" w:sz="0" w:space="0" w:color="auto"/>
        <w:right w:val="none" w:sz="0" w:space="0" w:color="auto"/>
      </w:divBdr>
    </w:div>
    <w:div w:id="1117528932">
      <w:bodyDiv w:val="1"/>
      <w:marLeft w:val="0"/>
      <w:marRight w:val="0"/>
      <w:marTop w:val="0"/>
      <w:marBottom w:val="0"/>
      <w:divBdr>
        <w:top w:val="none" w:sz="0" w:space="0" w:color="auto"/>
        <w:left w:val="none" w:sz="0" w:space="0" w:color="auto"/>
        <w:bottom w:val="none" w:sz="0" w:space="0" w:color="auto"/>
        <w:right w:val="none" w:sz="0" w:space="0" w:color="auto"/>
      </w:divBdr>
    </w:div>
    <w:div w:id="1117724660">
      <w:bodyDiv w:val="1"/>
      <w:marLeft w:val="0"/>
      <w:marRight w:val="0"/>
      <w:marTop w:val="0"/>
      <w:marBottom w:val="0"/>
      <w:divBdr>
        <w:top w:val="none" w:sz="0" w:space="0" w:color="auto"/>
        <w:left w:val="none" w:sz="0" w:space="0" w:color="auto"/>
        <w:bottom w:val="none" w:sz="0" w:space="0" w:color="auto"/>
        <w:right w:val="none" w:sz="0" w:space="0" w:color="auto"/>
      </w:divBdr>
    </w:div>
    <w:div w:id="1117872533">
      <w:bodyDiv w:val="1"/>
      <w:marLeft w:val="0"/>
      <w:marRight w:val="0"/>
      <w:marTop w:val="0"/>
      <w:marBottom w:val="0"/>
      <w:divBdr>
        <w:top w:val="none" w:sz="0" w:space="0" w:color="auto"/>
        <w:left w:val="none" w:sz="0" w:space="0" w:color="auto"/>
        <w:bottom w:val="none" w:sz="0" w:space="0" w:color="auto"/>
        <w:right w:val="none" w:sz="0" w:space="0" w:color="auto"/>
      </w:divBdr>
    </w:div>
    <w:div w:id="1117874271">
      <w:bodyDiv w:val="1"/>
      <w:marLeft w:val="0"/>
      <w:marRight w:val="0"/>
      <w:marTop w:val="0"/>
      <w:marBottom w:val="0"/>
      <w:divBdr>
        <w:top w:val="none" w:sz="0" w:space="0" w:color="auto"/>
        <w:left w:val="none" w:sz="0" w:space="0" w:color="auto"/>
        <w:bottom w:val="none" w:sz="0" w:space="0" w:color="auto"/>
        <w:right w:val="none" w:sz="0" w:space="0" w:color="auto"/>
      </w:divBdr>
    </w:div>
    <w:div w:id="1118139837">
      <w:bodyDiv w:val="1"/>
      <w:marLeft w:val="0"/>
      <w:marRight w:val="0"/>
      <w:marTop w:val="0"/>
      <w:marBottom w:val="0"/>
      <w:divBdr>
        <w:top w:val="none" w:sz="0" w:space="0" w:color="auto"/>
        <w:left w:val="none" w:sz="0" w:space="0" w:color="auto"/>
        <w:bottom w:val="none" w:sz="0" w:space="0" w:color="auto"/>
        <w:right w:val="none" w:sz="0" w:space="0" w:color="auto"/>
      </w:divBdr>
    </w:div>
    <w:div w:id="1118140041">
      <w:bodyDiv w:val="1"/>
      <w:marLeft w:val="0"/>
      <w:marRight w:val="0"/>
      <w:marTop w:val="0"/>
      <w:marBottom w:val="0"/>
      <w:divBdr>
        <w:top w:val="none" w:sz="0" w:space="0" w:color="auto"/>
        <w:left w:val="none" w:sz="0" w:space="0" w:color="auto"/>
        <w:bottom w:val="none" w:sz="0" w:space="0" w:color="auto"/>
        <w:right w:val="none" w:sz="0" w:space="0" w:color="auto"/>
      </w:divBdr>
    </w:div>
    <w:div w:id="1118255944">
      <w:bodyDiv w:val="1"/>
      <w:marLeft w:val="0"/>
      <w:marRight w:val="0"/>
      <w:marTop w:val="0"/>
      <w:marBottom w:val="0"/>
      <w:divBdr>
        <w:top w:val="none" w:sz="0" w:space="0" w:color="auto"/>
        <w:left w:val="none" w:sz="0" w:space="0" w:color="auto"/>
        <w:bottom w:val="none" w:sz="0" w:space="0" w:color="auto"/>
        <w:right w:val="none" w:sz="0" w:space="0" w:color="auto"/>
      </w:divBdr>
    </w:div>
    <w:div w:id="1118377108">
      <w:bodyDiv w:val="1"/>
      <w:marLeft w:val="0"/>
      <w:marRight w:val="0"/>
      <w:marTop w:val="0"/>
      <w:marBottom w:val="0"/>
      <w:divBdr>
        <w:top w:val="none" w:sz="0" w:space="0" w:color="auto"/>
        <w:left w:val="none" w:sz="0" w:space="0" w:color="auto"/>
        <w:bottom w:val="none" w:sz="0" w:space="0" w:color="auto"/>
        <w:right w:val="none" w:sz="0" w:space="0" w:color="auto"/>
      </w:divBdr>
    </w:div>
    <w:div w:id="1118449399">
      <w:bodyDiv w:val="1"/>
      <w:marLeft w:val="0"/>
      <w:marRight w:val="0"/>
      <w:marTop w:val="0"/>
      <w:marBottom w:val="0"/>
      <w:divBdr>
        <w:top w:val="none" w:sz="0" w:space="0" w:color="auto"/>
        <w:left w:val="none" w:sz="0" w:space="0" w:color="auto"/>
        <w:bottom w:val="none" w:sz="0" w:space="0" w:color="auto"/>
        <w:right w:val="none" w:sz="0" w:space="0" w:color="auto"/>
      </w:divBdr>
    </w:div>
    <w:div w:id="1118526091">
      <w:bodyDiv w:val="1"/>
      <w:marLeft w:val="0"/>
      <w:marRight w:val="0"/>
      <w:marTop w:val="0"/>
      <w:marBottom w:val="0"/>
      <w:divBdr>
        <w:top w:val="none" w:sz="0" w:space="0" w:color="auto"/>
        <w:left w:val="none" w:sz="0" w:space="0" w:color="auto"/>
        <w:bottom w:val="none" w:sz="0" w:space="0" w:color="auto"/>
        <w:right w:val="none" w:sz="0" w:space="0" w:color="auto"/>
      </w:divBdr>
    </w:div>
    <w:div w:id="1118569172">
      <w:bodyDiv w:val="1"/>
      <w:marLeft w:val="0"/>
      <w:marRight w:val="0"/>
      <w:marTop w:val="0"/>
      <w:marBottom w:val="0"/>
      <w:divBdr>
        <w:top w:val="none" w:sz="0" w:space="0" w:color="auto"/>
        <w:left w:val="none" w:sz="0" w:space="0" w:color="auto"/>
        <w:bottom w:val="none" w:sz="0" w:space="0" w:color="auto"/>
        <w:right w:val="none" w:sz="0" w:space="0" w:color="auto"/>
      </w:divBdr>
    </w:div>
    <w:div w:id="1119105672">
      <w:bodyDiv w:val="1"/>
      <w:marLeft w:val="0"/>
      <w:marRight w:val="0"/>
      <w:marTop w:val="0"/>
      <w:marBottom w:val="0"/>
      <w:divBdr>
        <w:top w:val="none" w:sz="0" w:space="0" w:color="auto"/>
        <w:left w:val="none" w:sz="0" w:space="0" w:color="auto"/>
        <w:bottom w:val="none" w:sz="0" w:space="0" w:color="auto"/>
        <w:right w:val="none" w:sz="0" w:space="0" w:color="auto"/>
      </w:divBdr>
    </w:div>
    <w:div w:id="1119110347">
      <w:bodyDiv w:val="1"/>
      <w:marLeft w:val="0"/>
      <w:marRight w:val="0"/>
      <w:marTop w:val="0"/>
      <w:marBottom w:val="0"/>
      <w:divBdr>
        <w:top w:val="none" w:sz="0" w:space="0" w:color="auto"/>
        <w:left w:val="none" w:sz="0" w:space="0" w:color="auto"/>
        <w:bottom w:val="none" w:sz="0" w:space="0" w:color="auto"/>
        <w:right w:val="none" w:sz="0" w:space="0" w:color="auto"/>
      </w:divBdr>
    </w:div>
    <w:div w:id="1119714709">
      <w:bodyDiv w:val="1"/>
      <w:marLeft w:val="0"/>
      <w:marRight w:val="0"/>
      <w:marTop w:val="0"/>
      <w:marBottom w:val="0"/>
      <w:divBdr>
        <w:top w:val="none" w:sz="0" w:space="0" w:color="auto"/>
        <w:left w:val="none" w:sz="0" w:space="0" w:color="auto"/>
        <w:bottom w:val="none" w:sz="0" w:space="0" w:color="auto"/>
        <w:right w:val="none" w:sz="0" w:space="0" w:color="auto"/>
      </w:divBdr>
    </w:div>
    <w:div w:id="1119841632">
      <w:bodyDiv w:val="1"/>
      <w:marLeft w:val="0"/>
      <w:marRight w:val="0"/>
      <w:marTop w:val="0"/>
      <w:marBottom w:val="0"/>
      <w:divBdr>
        <w:top w:val="none" w:sz="0" w:space="0" w:color="auto"/>
        <w:left w:val="none" w:sz="0" w:space="0" w:color="auto"/>
        <w:bottom w:val="none" w:sz="0" w:space="0" w:color="auto"/>
        <w:right w:val="none" w:sz="0" w:space="0" w:color="auto"/>
      </w:divBdr>
    </w:div>
    <w:div w:id="1119952515">
      <w:bodyDiv w:val="1"/>
      <w:marLeft w:val="0"/>
      <w:marRight w:val="0"/>
      <w:marTop w:val="0"/>
      <w:marBottom w:val="0"/>
      <w:divBdr>
        <w:top w:val="none" w:sz="0" w:space="0" w:color="auto"/>
        <w:left w:val="none" w:sz="0" w:space="0" w:color="auto"/>
        <w:bottom w:val="none" w:sz="0" w:space="0" w:color="auto"/>
        <w:right w:val="none" w:sz="0" w:space="0" w:color="auto"/>
      </w:divBdr>
    </w:div>
    <w:div w:id="1119956603">
      <w:bodyDiv w:val="1"/>
      <w:marLeft w:val="0"/>
      <w:marRight w:val="0"/>
      <w:marTop w:val="0"/>
      <w:marBottom w:val="0"/>
      <w:divBdr>
        <w:top w:val="none" w:sz="0" w:space="0" w:color="auto"/>
        <w:left w:val="none" w:sz="0" w:space="0" w:color="auto"/>
        <w:bottom w:val="none" w:sz="0" w:space="0" w:color="auto"/>
        <w:right w:val="none" w:sz="0" w:space="0" w:color="auto"/>
      </w:divBdr>
    </w:div>
    <w:div w:id="1120227224">
      <w:bodyDiv w:val="1"/>
      <w:marLeft w:val="0"/>
      <w:marRight w:val="0"/>
      <w:marTop w:val="0"/>
      <w:marBottom w:val="0"/>
      <w:divBdr>
        <w:top w:val="none" w:sz="0" w:space="0" w:color="auto"/>
        <w:left w:val="none" w:sz="0" w:space="0" w:color="auto"/>
        <w:bottom w:val="none" w:sz="0" w:space="0" w:color="auto"/>
        <w:right w:val="none" w:sz="0" w:space="0" w:color="auto"/>
      </w:divBdr>
    </w:div>
    <w:div w:id="1120491433">
      <w:bodyDiv w:val="1"/>
      <w:marLeft w:val="0"/>
      <w:marRight w:val="0"/>
      <w:marTop w:val="0"/>
      <w:marBottom w:val="0"/>
      <w:divBdr>
        <w:top w:val="none" w:sz="0" w:space="0" w:color="auto"/>
        <w:left w:val="none" w:sz="0" w:space="0" w:color="auto"/>
        <w:bottom w:val="none" w:sz="0" w:space="0" w:color="auto"/>
        <w:right w:val="none" w:sz="0" w:space="0" w:color="auto"/>
      </w:divBdr>
    </w:div>
    <w:div w:id="1120496544">
      <w:bodyDiv w:val="1"/>
      <w:marLeft w:val="0"/>
      <w:marRight w:val="0"/>
      <w:marTop w:val="0"/>
      <w:marBottom w:val="0"/>
      <w:divBdr>
        <w:top w:val="none" w:sz="0" w:space="0" w:color="auto"/>
        <w:left w:val="none" w:sz="0" w:space="0" w:color="auto"/>
        <w:bottom w:val="none" w:sz="0" w:space="0" w:color="auto"/>
        <w:right w:val="none" w:sz="0" w:space="0" w:color="auto"/>
      </w:divBdr>
    </w:div>
    <w:div w:id="1120534564">
      <w:bodyDiv w:val="1"/>
      <w:marLeft w:val="0"/>
      <w:marRight w:val="0"/>
      <w:marTop w:val="0"/>
      <w:marBottom w:val="0"/>
      <w:divBdr>
        <w:top w:val="none" w:sz="0" w:space="0" w:color="auto"/>
        <w:left w:val="none" w:sz="0" w:space="0" w:color="auto"/>
        <w:bottom w:val="none" w:sz="0" w:space="0" w:color="auto"/>
        <w:right w:val="none" w:sz="0" w:space="0" w:color="auto"/>
      </w:divBdr>
    </w:div>
    <w:div w:id="1120799827">
      <w:bodyDiv w:val="1"/>
      <w:marLeft w:val="0"/>
      <w:marRight w:val="0"/>
      <w:marTop w:val="0"/>
      <w:marBottom w:val="0"/>
      <w:divBdr>
        <w:top w:val="none" w:sz="0" w:space="0" w:color="auto"/>
        <w:left w:val="none" w:sz="0" w:space="0" w:color="auto"/>
        <w:bottom w:val="none" w:sz="0" w:space="0" w:color="auto"/>
        <w:right w:val="none" w:sz="0" w:space="0" w:color="auto"/>
      </w:divBdr>
    </w:div>
    <w:div w:id="1121074937">
      <w:bodyDiv w:val="1"/>
      <w:marLeft w:val="0"/>
      <w:marRight w:val="0"/>
      <w:marTop w:val="0"/>
      <w:marBottom w:val="0"/>
      <w:divBdr>
        <w:top w:val="none" w:sz="0" w:space="0" w:color="auto"/>
        <w:left w:val="none" w:sz="0" w:space="0" w:color="auto"/>
        <w:bottom w:val="none" w:sz="0" w:space="0" w:color="auto"/>
        <w:right w:val="none" w:sz="0" w:space="0" w:color="auto"/>
      </w:divBdr>
    </w:div>
    <w:div w:id="1121260878">
      <w:bodyDiv w:val="1"/>
      <w:marLeft w:val="0"/>
      <w:marRight w:val="0"/>
      <w:marTop w:val="0"/>
      <w:marBottom w:val="0"/>
      <w:divBdr>
        <w:top w:val="none" w:sz="0" w:space="0" w:color="auto"/>
        <w:left w:val="none" w:sz="0" w:space="0" w:color="auto"/>
        <w:bottom w:val="none" w:sz="0" w:space="0" w:color="auto"/>
        <w:right w:val="none" w:sz="0" w:space="0" w:color="auto"/>
      </w:divBdr>
    </w:div>
    <w:div w:id="1121261854">
      <w:bodyDiv w:val="1"/>
      <w:marLeft w:val="0"/>
      <w:marRight w:val="0"/>
      <w:marTop w:val="0"/>
      <w:marBottom w:val="0"/>
      <w:divBdr>
        <w:top w:val="none" w:sz="0" w:space="0" w:color="auto"/>
        <w:left w:val="none" w:sz="0" w:space="0" w:color="auto"/>
        <w:bottom w:val="none" w:sz="0" w:space="0" w:color="auto"/>
        <w:right w:val="none" w:sz="0" w:space="0" w:color="auto"/>
      </w:divBdr>
    </w:div>
    <w:div w:id="1121269672">
      <w:bodyDiv w:val="1"/>
      <w:marLeft w:val="0"/>
      <w:marRight w:val="0"/>
      <w:marTop w:val="0"/>
      <w:marBottom w:val="0"/>
      <w:divBdr>
        <w:top w:val="none" w:sz="0" w:space="0" w:color="auto"/>
        <w:left w:val="none" w:sz="0" w:space="0" w:color="auto"/>
        <w:bottom w:val="none" w:sz="0" w:space="0" w:color="auto"/>
        <w:right w:val="none" w:sz="0" w:space="0" w:color="auto"/>
      </w:divBdr>
    </w:div>
    <w:div w:id="1121652109">
      <w:bodyDiv w:val="1"/>
      <w:marLeft w:val="0"/>
      <w:marRight w:val="0"/>
      <w:marTop w:val="0"/>
      <w:marBottom w:val="0"/>
      <w:divBdr>
        <w:top w:val="none" w:sz="0" w:space="0" w:color="auto"/>
        <w:left w:val="none" w:sz="0" w:space="0" w:color="auto"/>
        <w:bottom w:val="none" w:sz="0" w:space="0" w:color="auto"/>
        <w:right w:val="none" w:sz="0" w:space="0" w:color="auto"/>
      </w:divBdr>
    </w:div>
    <w:div w:id="1121798431">
      <w:bodyDiv w:val="1"/>
      <w:marLeft w:val="0"/>
      <w:marRight w:val="0"/>
      <w:marTop w:val="0"/>
      <w:marBottom w:val="0"/>
      <w:divBdr>
        <w:top w:val="none" w:sz="0" w:space="0" w:color="auto"/>
        <w:left w:val="none" w:sz="0" w:space="0" w:color="auto"/>
        <w:bottom w:val="none" w:sz="0" w:space="0" w:color="auto"/>
        <w:right w:val="none" w:sz="0" w:space="0" w:color="auto"/>
      </w:divBdr>
    </w:div>
    <w:div w:id="1121805027">
      <w:bodyDiv w:val="1"/>
      <w:marLeft w:val="0"/>
      <w:marRight w:val="0"/>
      <w:marTop w:val="0"/>
      <w:marBottom w:val="0"/>
      <w:divBdr>
        <w:top w:val="none" w:sz="0" w:space="0" w:color="auto"/>
        <w:left w:val="none" w:sz="0" w:space="0" w:color="auto"/>
        <w:bottom w:val="none" w:sz="0" w:space="0" w:color="auto"/>
        <w:right w:val="none" w:sz="0" w:space="0" w:color="auto"/>
      </w:divBdr>
    </w:div>
    <w:div w:id="1121991731">
      <w:bodyDiv w:val="1"/>
      <w:marLeft w:val="0"/>
      <w:marRight w:val="0"/>
      <w:marTop w:val="0"/>
      <w:marBottom w:val="0"/>
      <w:divBdr>
        <w:top w:val="none" w:sz="0" w:space="0" w:color="auto"/>
        <w:left w:val="none" w:sz="0" w:space="0" w:color="auto"/>
        <w:bottom w:val="none" w:sz="0" w:space="0" w:color="auto"/>
        <w:right w:val="none" w:sz="0" w:space="0" w:color="auto"/>
      </w:divBdr>
    </w:div>
    <w:div w:id="1122073389">
      <w:bodyDiv w:val="1"/>
      <w:marLeft w:val="0"/>
      <w:marRight w:val="0"/>
      <w:marTop w:val="0"/>
      <w:marBottom w:val="0"/>
      <w:divBdr>
        <w:top w:val="none" w:sz="0" w:space="0" w:color="auto"/>
        <w:left w:val="none" w:sz="0" w:space="0" w:color="auto"/>
        <w:bottom w:val="none" w:sz="0" w:space="0" w:color="auto"/>
        <w:right w:val="none" w:sz="0" w:space="0" w:color="auto"/>
      </w:divBdr>
    </w:div>
    <w:div w:id="1122113185">
      <w:bodyDiv w:val="1"/>
      <w:marLeft w:val="0"/>
      <w:marRight w:val="0"/>
      <w:marTop w:val="0"/>
      <w:marBottom w:val="0"/>
      <w:divBdr>
        <w:top w:val="none" w:sz="0" w:space="0" w:color="auto"/>
        <w:left w:val="none" w:sz="0" w:space="0" w:color="auto"/>
        <w:bottom w:val="none" w:sz="0" w:space="0" w:color="auto"/>
        <w:right w:val="none" w:sz="0" w:space="0" w:color="auto"/>
      </w:divBdr>
    </w:div>
    <w:div w:id="1122118073">
      <w:bodyDiv w:val="1"/>
      <w:marLeft w:val="0"/>
      <w:marRight w:val="0"/>
      <w:marTop w:val="0"/>
      <w:marBottom w:val="0"/>
      <w:divBdr>
        <w:top w:val="none" w:sz="0" w:space="0" w:color="auto"/>
        <w:left w:val="none" w:sz="0" w:space="0" w:color="auto"/>
        <w:bottom w:val="none" w:sz="0" w:space="0" w:color="auto"/>
        <w:right w:val="none" w:sz="0" w:space="0" w:color="auto"/>
      </w:divBdr>
    </w:div>
    <w:div w:id="1122194212">
      <w:bodyDiv w:val="1"/>
      <w:marLeft w:val="0"/>
      <w:marRight w:val="0"/>
      <w:marTop w:val="0"/>
      <w:marBottom w:val="0"/>
      <w:divBdr>
        <w:top w:val="none" w:sz="0" w:space="0" w:color="auto"/>
        <w:left w:val="none" w:sz="0" w:space="0" w:color="auto"/>
        <w:bottom w:val="none" w:sz="0" w:space="0" w:color="auto"/>
        <w:right w:val="none" w:sz="0" w:space="0" w:color="auto"/>
      </w:divBdr>
    </w:div>
    <w:div w:id="1122578893">
      <w:bodyDiv w:val="1"/>
      <w:marLeft w:val="0"/>
      <w:marRight w:val="0"/>
      <w:marTop w:val="0"/>
      <w:marBottom w:val="0"/>
      <w:divBdr>
        <w:top w:val="none" w:sz="0" w:space="0" w:color="auto"/>
        <w:left w:val="none" w:sz="0" w:space="0" w:color="auto"/>
        <w:bottom w:val="none" w:sz="0" w:space="0" w:color="auto"/>
        <w:right w:val="none" w:sz="0" w:space="0" w:color="auto"/>
      </w:divBdr>
    </w:div>
    <w:div w:id="1122651554">
      <w:bodyDiv w:val="1"/>
      <w:marLeft w:val="0"/>
      <w:marRight w:val="0"/>
      <w:marTop w:val="0"/>
      <w:marBottom w:val="0"/>
      <w:divBdr>
        <w:top w:val="none" w:sz="0" w:space="0" w:color="auto"/>
        <w:left w:val="none" w:sz="0" w:space="0" w:color="auto"/>
        <w:bottom w:val="none" w:sz="0" w:space="0" w:color="auto"/>
        <w:right w:val="none" w:sz="0" w:space="0" w:color="auto"/>
      </w:divBdr>
    </w:div>
    <w:div w:id="1123227506">
      <w:bodyDiv w:val="1"/>
      <w:marLeft w:val="0"/>
      <w:marRight w:val="0"/>
      <w:marTop w:val="0"/>
      <w:marBottom w:val="0"/>
      <w:divBdr>
        <w:top w:val="none" w:sz="0" w:space="0" w:color="auto"/>
        <w:left w:val="none" w:sz="0" w:space="0" w:color="auto"/>
        <w:bottom w:val="none" w:sz="0" w:space="0" w:color="auto"/>
        <w:right w:val="none" w:sz="0" w:space="0" w:color="auto"/>
      </w:divBdr>
    </w:div>
    <w:div w:id="1123305226">
      <w:bodyDiv w:val="1"/>
      <w:marLeft w:val="0"/>
      <w:marRight w:val="0"/>
      <w:marTop w:val="0"/>
      <w:marBottom w:val="0"/>
      <w:divBdr>
        <w:top w:val="none" w:sz="0" w:space="0" w:color="auto"/>
        <w:left w:val="none" w:sz="0" w:space="0" w:color="auto"/>
        <w:bottom w:val="none" w:sz="0" w:space="0" w:color="auto"/>
        <w:right w:val="none" w:sz="0" w:space="0" w:color="auto"/>
      </w:divBdr>
    </w:div>
    <w:div w:id="1123384735">
      <w:bodyDiv w:val="1"/>
      <w:marLeft w:val="0"/>
      <w:marRight w:val="0"/>
      <w:marTop w:val="0"/>
      <w:marBottom w:val="0"/>
      <w:divBdr>
        <w:top w:val="none" w:sz="0" w:space="0" w:color="auto"/>
        <w:left w:val="none" w:sz="0" w:space="0" w:color="auto"/>
        <w:bottom w:val="none" w:sz="0" w:space="0" w:color="auto"/>
        <w:right w:val="none" w:sz="0" w:space="0" w:color="auto"/>
      </w:divBdr>
    </w:div>
    <w:div w:id="1123813154">
      <w:bodyDiv w:val="1"/>
      <w:marLeft w:val="0"/>
      <w:marRight w:val="0"/>
      <w:marTop w:val="0"/>
      <w:marBottom w:val="0"/>
      <w:divBdr>
        <w:top w:val="none" w:sz="0" w:space="0" w:color="auto"/>
        <w:left w:val="none" w:sz="0" w:space="0" w:color="auto"/>
        <w:bottom w:val="none" w:sz="0" w:space="0" w:color="auto"/>
        <w:right w:val="none" w:sz="0" w:space="0" w:color="auto"/>
      </w:divBdr>
    </w:div>
    <w:div w:id="1123882416">
      <w:bodyDiv w:val="1"/>
      <w:marLeft w:val="0"/>
      <w:marRight w:val="0"/>
      <w:marTop w:val="0"/>
      <w:marBottom w:val="0"/>
      <w:divBdr>
        <w:top w:val="none" w:sz="0" w:space="0" w:color="auto"/>
        <w:left w:val="none" w:sz="0" w:space="0" w:color="auto"/>
        <w:bottom w:val="none" w:sz="0" w:space="0" w:color="auto"/>
        <w:right w:val="none" w:sz="0" w:space="0" w:color="auto"/>
      </w:divBdr>
    </w:div>
    <w:div w:id="1123884494">
      <w:bodyDiv w:val="1"/>
      <w:marLeft w:val="0"/>
      <w:marRight w:val="0"/>
      <w:marTop w:val="0"/>
      <w:marBottom w:val="0"/>
      <w:divBdr>
        <w:top w:val="none" w:sz="0" w:space="0" w:color="auto"/>
        <w:left w:val="none" w:sz="0" w:space="0" w:color="auto"/>
        <w:bottom w:val="none" w:sz="0" w:space="0" w:color="auto"/>
        <w:right w:val="none" w:sz="0" w:space="0" w:color="auto"/>
      </w:divBdr>
    </w:div>
    <w:div w:id="1124276548">
      <w:bodyDiv w:val="1"/>
      <w:marLeft w:val="0"/>
      <w:marRight w:val="0"/>
      <w:marTop w:val="0"/>
      <w:marBottom w:val="0"/>
      <w:divBdr>
        <w:top w:val="none" w:sz="0" w:space="0" w:color="auto"/>
        <w:left w:val="none" w:sz="0" w:space="0" w:color="auto"/>
        <w:bottom w:val="none" w:sz="0" w:space="0" w:color="auto"/>
        <w:right w:val="none" w:sz="0" w:space="0" w:color="auto"/>
      </w:divBdr>
    </w:div>
    <w:div w:id="1124499062">
      <w:bodyDiv w:val="1"/>
      <w:marLeft w:val="0"/>
      <w:marRight w:val="0"/>
      <w:marTop w:val="0"/>
      <w:marBottom w:val="0"/>
      <w:divBdr>
        <w:top w:val="none" w:sz="0" w:space="0" w:color="auto"/>
        <w:left w:val="none" w:sz="0" w:space="0" w:color="auto"/>
        <w:bottom w:val="none" w:sz="0" w:space="0" w:color="auto"/>
        <w:right w:val="none" w:sz="0" w:space="0" w:color="auto"/>
      </w:divBdr>
    </w:div>
    <w:div w:id="1124537403">
      <w:bodyDiv w:val="1"/>
      <w:marLeft w:val="0"/>
      <w:marRight w:val="0"/>
      <w:marTop w:val="0"/>
      <w:marBottom w:val="0"/>
      <w:divBdr>
        <w:top w:val="none" w:sz="0" w:space="0" w:color="auto"/>
        <w:left w:val="none" w:sz="0" w:space="0" w:color="auto"/>
        <w:bottom w:val="none" w:sz="0" w:space="0" w:color="auto"/>
        <w:right w:val="none" w:sz="0" w:space="0" w:color="auto"/>
      </w:divBdr>
    </w:div>
    <w:div w:id="1124732426">
      <w:bodyDiv w:val="1"/>
      <w:marLeft w:val="0"/>
      <w:marRight w:val="0"/>
      <w:marTop w:val="0"/>
      <w:marBottom w:val="0"/>
      <w:divBdr>
        <w:top w:val="none" w:sz="0" w:space="0" w:color="auto"/>
        <w:left w:val="none" w:sz="0" w:space="0" w:color="auto"/>
        <w:bottom w:val="none" w:sz="0" w:space="0" w:color="auto"/>
        <w:right w:val="none" w:sz="0" w:space="0" w:color="auto"/>
      </w:divBdr>
    </w:div>
    <w:div w:id="1124888988">
      <w:bodyDiv w:val="1"/>
      <w:marLeft w:val="0"/>
      <w:marRight w:val="0"/>
      <w:marTop w:val="0"/>
      <w:marBottom w:val="0"/>
      <w:divBdr>
        <w:top w:val="none" w:sz="0" w:space="0" w:color="auto"/>
        <w:left w:val="none" w:sz="0" w:space="0" w:color="auto"/>
        <w:bottom w:val="none" w:sz="0" w:space="0" w:color="auto"/>
        <w:right w:val="none" w:sz="0" w:space="0" w:color="auto"/>
      </w:divBdr>
    </w:div>
    <w:div w:id="1124999454">
      <w:bodyDiv w:val="1"/>
      <w:marLeft w:val="0"/>
      <w:marRight w:val="0"/>
      <w:marTop w:val="0"/>
      <w:marBottom w:val="0"/>
      <w:divBdr>
        <w:top w:val="none" w:sz="0" w:space="0" w:color="auto"/>
        <w:left w:val="none" w:sz="0" w:space="0" w:color="auto"/>
        <w:bottom w:val="none" w:sz="0" w:space="0" w:color="auto"/>
        <w:right w:val="none" w:sz="0" w:space="0" w:color="auto"/>
      </w:divBdr>
    </w:div>
    <w:div w:id="1125346841">
      <w:bodyDiv w:val="1"/>
      <w:marLeft w:val="0"/>
      <w:marRight w:val="0"/>
      <w:marTop w:val="0"/>
      <w:marBottom w:val="0"/>
      <w:divBdr>
        <w:top w:val="none" w:sz="0" w:space="0" w:color="auto"/>
        <w:left w:val="none" w:sz="0" w:space="0" w:color="auto"/>
        <w:bottom w:val="none" w:sz="0" w:space="0" w:color="auto"/>
        <w:right w:val="none" w:sz="0" w:space="0" w:color="auto"/>
      </w:divBdr>
    </w:div>
    <w:div w:id="1125466864">
      <w:bodyDiv w:val="1"/>
      <w:marLeft w:val="0"/>
      <w:marRight w:val="0"/>
      <w:marTop w:val="0"/>
      <w:marBottom w:val="0"/>
      <w:divBdr>
        <w:top w:val="none" w:sz="0" w:space="0" w:color="auto"/>
        <w:left w:val="none" w:sz="0" w:space="0" w:color="auto"/>
        <w:bottom w:val="none" w:sz="0" w:space="0" w:color="auto"/>
        <w:right w:val="none" w:sz="0" w:space="0" w:color="auto"/>
      </w:divBdr>
    </w:div>
    <w:div w:id="1125856554">
      <w:bodyDiv w:val="1"/>
      <w:marLeft w:val="0"/>
      <w:marRight w:val="0"/>
      <w:marTop w:val="0"/>
      <w:marBottom w:val="0"/>
      <w:divBdr>
        <w:top w:val="none" w:sz="0" w:space="0" w:color="auto"/>
        <w:left w:val="none" w:sz="0" w:space="0" w:color="auto"/>
        <w:bottom w:val="none" w:sz="0" w:space="0" w:color="auto"/>
        <w:right w:val="none" w:sz="0" w:space="0" w:color="auto"/>
      </w:divBdr>
    </w:div>
    <w:div w:id="1125974487">
      <w:bodyDiv w:val="1"/>
      <w:marLeft w:val="0"/>
      <w:marRight w:val="0"/>
      <w:marTop w:val="0"/>
      <w:marBottom w:val="0"/>
      <w:divBdr>
        <w:top w:val="none" w:sz="0" w:space="0" w:color="auto"/>
        <w:left w:val="none" w:sz="0" w:space="0" w:color="auto"/>
        <w:bottom w:val="none" w:sz="0" w:space="0" w:color="auto"/>
        <w:right w:val="none" w:sz="0" w:space="0" w:color="auto"/>
      </w:divBdr>
    </w:div>
    <w:div w:id="1126050660">
      <w:bodyDiv w:val="1"/>
      <w:marLeft w:val="0"/>
      <w:marRight w:val="0"/>
      <w:marTop w:val="0"/>
      <w:marBottom w:val="0"/>
      <w:divBdr>
        <w:top w:val="none" w:sz="0" w:space="0" w:color="auto"/>
        <w:left w:val="none" w:sz="0" w:space="0" w:color="auto"/>
        <w:bottom w:val="none" w:sz="0" w:space="0" w:color="auto"/>
        <w:right w:val="none" w:sz="0" w:space="0" w:color="auto"/>
      </w:divBdr>
    </w:div>
    <w:div w:id="1126313295">
      <w:bodyDiv w:val="1"/>
      <w:marLeft w:val="0"/>
      <w:marRight w:val="0"/>
      <w:marTop w:val="0"/>
      <w:marBottom w:val="0"/>
      <w:divBdr>
        <w:top w:val="none" w:sz="0" w:space="0" w:color="auto"/>
        <w:left w:val="none" w:sz="0" w:space="0" w:color="auto"/>
        <w:bottom w:val="none" w:sz="0" w:space="0" w:color="auto"/>
        <w:right w:val="none" w:sz="0" w:space="0" w:color="auto"/>
      </w:divBdr>
    </w:div>
    <w:div w:id="1126465295">
      <w:bodyDiv w:val="1"/>
      <w:marLeft w:val="0"/>
      <w:marRight w:val="0"/>
      <w:marTop w:val="0"/>
      <w:marBottom w:val="0"/>
      <w:divBdr>
        <w:top w:val="none" w:sz="0" w:space="0" w:color="auto"/>
        <w:left w:val="none" w:sz="0" w:space="0" w:color="auto"/>
        <w:bottom w:val="none" w:sz="0" w:space="0" w:color="auto"/>
        <w:right w:val="none" w:sz="0" w:space="0" w:color="auto"/>
      </w:divBdr>
    </w:div>
    <w:div w:id="1126697261">
      <w:bodyDiv w:val="1"/>
      <w:marLeft w:val="0"/>
      <w:marRight w:val="0"/>
      <w:marTop w:val="0"/>
      <w:marBottom w:val="0"/>
      <w:divBdr>
        <w:top w:val="none" w:sz="0" w:space="0" w:color="auto"/>
        <w:left w:val="none" w:sz="0" w:space="0" w:color="auto"/>
        <w:bottom w:val="none" w:sz="0" w:space="0" w:color="auto"/>
        <w:right w:val="none" w:sz="0" w:space="0" w:color="auto"/>
      </w:divBdr>
    </w:div>
    <w:div w:id="1126697498">
      <w:bodyDiv w:val="1"/>
      <w:marLeft w:val="0"/>
      <w:marRight w:val="0"/>
      <w:marTop w:val="0"/>
      <w:marBottom w:val="0"/>
      <w:divBdr>
        <w:top w:val="none" w:sz="0" w:space="0" w:color="auto"/>
        <w:left w:val="none" w:sz="0" w:space="0" w:color="auto"/>
        <w:bottom w:val="none" w:sz="0" w:space="0" w:color="auto"/>
        <w:right w:val="none" w:sz="0" w:space="0" w:color="auto"/>
      </w:divBdr>
    </w:div>
    <w:div w:id="1126705716">
      <w:bodyDiv w:val="1"/>
      <w:marLeft w:val="0"/>
      <w:marRight w:val="0"/>
      <w:marTop w:val="0"/>
      <w:marBottom w:val="0"/>
      <w:divBdr>
        <w:top w:val="none" w:sz="0" w:space="0" w:color="auto"/>
        <w:left w:val="none" w:sz="0" w:space="0" w:color="auto"/>
        <w:bottom w:val="none" w:sz="0" w:space="0" w:color="auto"/>
        <w:right w:val="none" w:sz="0" w:space="0" w:color="auto"/>
      </w:divBdr>
    </w:div>
    <w:div w:id="1126775311">
      <w:bodyDiv w:val="1"/>
      <w:marLeft w:val="0"/>
      <w:marRight w:val="0"/>
      <w:marTop w:val="0"/>
      <w:marBottom w:val="0"/>
      <w:divBdr>
        <w:top w:val="none" w:sz="0" w:space="0" w:color="auto"/>
        <w:left w:val="none" w:sz="0" w:space="0" w:color="auto"/>
        <w:bottom w:val="none" w:sz="0" w:space="0" w:color="auto"/>
        <w:right w:val="none" w:sz="0" w:space="0" w:color="auto"/>
      </w:divBdr>
    </w:div>
    <w:div w:id="1126896321">
      <w:bodyDiv w:val="1"/>
      <w:marLeft w:val="0"/>
      <w:marRight w:val="0"/>
      <w:marTop w:val="0"/>
      <w:marBottom w:val="0"/>
      <w:divBdr>
        <w:top w:val="none" w:sz="0" w:space="0" w:color="auto"/>
        <w:left w:val="none" w:sz="0" w:space="0" w:color="auto"/>
        <w:bottom w:val="none" w:sz="0" w:space="0" w:color="auto"/>
        <w:right w:val="none" w:sz="0" w:space="0" w:color="auto"/>
      </w:divBdr>
    </w:div>
    <w:div w:id="1126971239">
      <w:bodyDiv w:val="1"/>
      <w:marLeft w:val="0"/>
      <w:marRight w:val="0"/>
      <w:marTop w:val="0"/>
      <w:marBottom w:val="0"/>
      <w:divBdr>
        <w:top w:val="none" w:sz="0" w:space="0" w:color="auto"/>
        <w:left w:val="none" w:sz="0" w:space="0" w:color="auto"/>
        <w:bottom w:val="none" w:sz="0" w:space="0" w:color="auto"/>
        <w:right w:val="none" w:sz="0" w:space="0" w:color="auto"/>
      </w:divBdr>
    </w:div>
    <w:div w:id="1126973917">
      <w:bodyDiv w:val="1"/>
      <w:marLeft w:val="0"/>
      <w:marRight w:val="0"/>
      <w:marTop w:val="0"/>
      <w:marBottom w:val="0"/>
      <w:divBdr>
        <w:top w:val="none" w:sz="0" w:space="0" w:color="auto"/>
        <w:left w:val="none" w:sz="0" w:space="0" w:color="auto"/>
        <w:bottom w:val="none" w:sz="0" w:space="0" w:color="auto"/>
        <w:right w:val="none" w:sz="0" w:space="0" w:color="auto"/>
      </w:divBdr>
    </w:div>
    <w:div w:id="1127044370">
      <w:bodyDiv w:val="1"/>
      <w:marLeft w:val="0"/>
      <w:marRight w:val="0"/>
      <w:marTop w:val="0"/>
      <w:marBottom w:val="0"/>
      <w:divBdr>
        <w:top w:val="none" w:sz="0" w:space="0" w:color="auto"/>
        <w:left w:val="none" w:sz="0" w:space="0" w:color="auto"/>
        <w:bottom w:val="none" w:sz="0" w:space="0" w:color="auto"/>
        <w:right w:val="none" w:sz="0" w:space="0" w:color="auto"/>
      </w:divBdr>
    </w:div>
    <w:div w:id="1127547710">
      <w:bodyDiv w:val="1"/>
      <w:marLeft w:val="0"/>
      <w:marRight w:val="0"/>
      <w:marTop w:val="0"/>
      <w:marBottom w:val="0"/>
      <w:divBdr>
        <w:top w:val="none" w:sz="0" w:space="0" w:color="auto"/>
        <w:left w:val="none" w:sz="0" w:space="0" w:color="auto"/>
        <w:bottom w:val="none" w:sz="0" w:space="0" w:color="auto"/>
        <w:right w:val="none" w:sz="0" w:space="0" w:color="auto"/>
      </w:divBdr>
    </w:div>
    <w:div w:id="1127771164">
      <w:bodyDiv w:val="1"/>
      <w:marLeft w:val="0"/>
      <w:marRight w:val="0"/>
      <w:marTop w:val="0"/>
      <w:marBottom w:val="0"/>
      <w:divBdr>
        <w:top w:val="none" w:sz="0" w:space="0" w:color="auto"/>
        <w:left w:val="none" w:sz="0" w:space="0" w:color="auto"/>
        <w:bottom w:val="none" w:sz="0" w:space="0" w:color="auto"/>
        <w:right w:val="none" w:sz="0" w:space="0" w:color="auto"/>
      </w:divBdr>
    </w:div>
    <w:div w:id="1127820789">
      <w:bodyDiv w:val="1"/>
      <w:marLeft w:val="0"/>
      <w:marRight w:val="0"/>
      <w:marTop w:val="0"/>
      <w:marBottom w:val="0"/>
      <w:divBdr>
        <w:top w:val="none" w:sz="0" w:space="0" w:color="auto"/>
        <w:left w:val="none" w:sz="0" w:space="0" w:color="auto"/>
        <w:bottom w:val="none" w:sz="0" w:space="0" w:color="auto"/>
        <w:right w:val="none" w:sz="0" w:space="0" w:color="auto"/>
      </w:divBdr>
    </w:div>
    <w:div w:id="1127940674">
      <w:bodyDiv w:val="1"/>
      <w:marLeft w:val="0"/>
      <w:marRight w:val="0"/>
      <w:marTop w:val="0"/>
      <w:marBottom w:val="0"/>
      <w:divBdr>
        <w:top w:val="none" w:sz="0" w:space="0" w:color="auto"/>
        <w:left w:val="none" w:sz="0" w:space="0" w:color="auto"/>
        <w:bottom w:val="none" w:sz="0" w:space="0" w:color="auto"/>
        <w:right w:val="none" w:sz="0" w:space="0" w:color="auto"/>
      </w:divBdr>
    </w:div>
    <w:div w:id="1127965672">
      <w:bodyDiv w:val="1"/>
      <w:marLeft w:val="0"/>
      <w:marRight w:val="0"/>
      <w:marTop w:val="0"/>
      <w:marBottom w:val="0"/>
      <w:divBdr>
        <w:top w:val="none" w:sz="0" w:space="0" w:color="auto"/>
        <w:left w:val="none" w:sz="0" w:space="0" w:color="auto"/>
        <w:bottom w:val="none" w:sz="0" w:space="0" w:color="auto"/>
        <w:right w:val="none" w:sz="0" w:space="0" w:color="auto"/>
      </w:divBdr>
    </w:div>
    <w:div w:id="1127970806">
      <w:bodyDiv w:val="1"/>
      <w:marLeft w:val="0"/>
      <w:marRight w:val="0"/>
      <w:marTop w:val="0"/>
      <w:marBottom w:val="0"/>
      <w:divBdr>
        <w:top w:val="none" w:sz="0" w:space="0" w:color="auto"/>
        <w:left w:val="none" w:sz="0" w:space="0" w:color="auto"/>
        <w:bottom w:val="none" w:sz="0" w:space="0" w:color="auto"/>
        <w:right w:val="none" w:sz="0" w:space="0" w:color="auto"/>
      </w:divBdr>
    </w:div>
    <w:div w:id="1128278425">
      <w:bodyDiv w:val="1"/>
      <w:marLeft w:val="0"/>
      <w:marRight w:val="0"/>
      <w:marTop w:val="0"/>
      <w:marBottom w:val="0"/>
      <w:divBdr>
        <w:top w:val="none" w:sz="0" w:space="0" w:color="auto"/>
        <w:left w:val="none" w:sz="0" w:space="0" w:color="auto"/>
        <w:bottom w:val="none" w:sz="0" w:space="0" w:color="auto"/>
        <w:right w:val="none" w:sz="0" w:space="0" w:color="auto"/>
      </w:divBdr>
    </w:div>
    <w:div w:id="1128279325">
      <w:bodyDiv w:val="1"/>
      <w:marLeft w:val="0"/>
      <w:marRight w:val="0"/>
      <w:marTop w:val="0"/>
      <w:marBottom w:val="0"/>
      <w:divBdr>
        <w:top w:val="none" w:sz="0" w:space="0" w:color="auto"/>
        <w:left w:val="none" w:sz="0" w:space="0" w:color="auto"/>
        <w:bottom w:val="none" w:sz="0" w:space="0" w:color="auto"/>
        <w:right w:val="none" w:sz="0" w:space="0" w:color="auto"/>
      </w:divBdr>
    </w:div>
    <w:div w:id="1128428632">
      <w:bodyDiv w:val="1"/>
      <w:marLeft w:val="0"/>
      <w:marRight w:val="0"/>
      <w:marTop w:val="0"/>
      <w:marBottom w:val="0"/>
      <w:divBdr>
        <w:top w:val="none" w:sz="0" w:space="0" w:color="auto"/>
        <w:left w:val="none" w:sz="0" w:space="0" w:color="auto"/>
        <w:bottom w:val="none" w:sz="0" w:space="0" w:color="auto"/>
        <w:right w:val="none" w:sz="0" w:space="0" w:color="auto"/>
      </w:divBdr>
    </w:div>
    <w:div w:id="1128627413">
      <w:bodyDiv w:val="1"/>
      <w:marLeft w:val="0"/>
      <w:marRight w:val="0"/>
      <w:marTop w:val="0"/>
      <w:marBottom w:val="0"/>
      <w:divBdr>
        <w:top w:val="none" w:sz="0" w:space="0" w:color="auto"/>
        <w:left w:val="none" w:sz="0" w:space="0" w:color="auto"/>
        <w:bottom w:val="none" w:sz="0" w:space="0" w:color="auto"/>
        <w:right w:val="none" w:sz="0" w:space="0" w:color="auto"/>
      </w:divBdr>
    </w:div>
    <w:div w:id="1129011900">
      <w:bodyDiv w:val="1"/>
      <w:marLeft w:val="0"/>
      <w:marRight w:val="0"/>
      <w:marTop w:val="0"/>
      <w:marBottom w:val="0"/>
      <w:divBdr>
        <w:top w:val="none" w:sz="0" w:space="0" w:color="auto"/>
        <w:left w:val="none" w:sz="0" w:space="0" w:color="auto"/>
        <w:bottom w:val="none" w:sz="0" w:space="0" w:color="auto"/>
        <w:right w:val="none" w:sz="0" w:space="0" w:color="auto"/>
      </w:divBdr>
    </w:div>
    <w:div w:id="1129125638">
      <w:bodyDiv w:val="1"/>
      <w:marLeft w:val="0"/>
      <w:marRight w:val="0"/>
      <w:marTop w:val="0"/>
      <w:marBottom w:val="0"/>
      <w:divBdr>
        <w:top w:val="none" w:sz="0" w:space="0" w:color="auto"/>
        <w:left w:val="none" w:sz="0" w:space="0" w:color="auto"/>
        <w:bottom w:val="none" w:sz="0" w:space="0" w:color="auto"/>
        <w:right w:val="none" w:sz="0" w:space="0" w:color="auto"/>
      </w:divBdr>
    </w:div>
    <w:div w:id="1129132796">
      <w:bodyDiv w:val="1"/>
      <w:marLeft w:val="0"/>
      <w:marRight w:val="0"/>
      <w:marTop w:val="0"/>
      <w:marBottom w:val="0"/>
      <w:divBdr>
        <w:top w:val="none" w:sz="0" w:space="0" w:color="auto"/>
        <w:left w:val="none" w:sz="0" w:space="0" w:color="auto"/>
        <w:bottom w:val="none" w:sz="0" w:space="0" w:color="auto"/>
        <w:right w:val="none" w:sz="0" w:space="0" w:color="auto"/>
      </w:divBdr>
    </w:div>
    <w:div w:id="1130172960">
      <w:bodyDiv w:val="1"/>
      <w:marLeft w:val="0"/>
      <w:marRight w:val="0"/>
      <w:marTop w:val="0"/>
      <w:marBottom w:val="0"/>
      <w:divBdr>
        <w:top w:val="none" w:sz="0" w:space="0" w:color="auto"/>
        <w:left w:val="none" w:sz="0" w:space="0" w:color="auto"/>
        <w:bottom w:val="none" w:sz="0" w:space="0" w:color="auto"/>
        <w:right w:val="none" w:sz="0" w:space="0" w:color="auto"/>
      </w:divBdr>
    </w:div>
    <w:div w:id="1130248259">
      <w:bodyDiv w:val="1"/>
      <w:marLeft w:val="0"/>
      <w:marRight w:val="0"/>
      <w:marTop w:val="0"/>
      <w:marBottom w:val="0"/>
      <w:divBdr>
        <w:top w:val="none" w:sz="0" w:space="0" w:color="auto"/>
        <w:left w:val="none" w:sz="0" w:space="0" w:color="auto"/>
        <w:bottom w:val="none" w:sz="0" w:space="0" w:color="auto"/>
        <w:right w:val="none" w:sz="0" w:space="0" w:color="auto"/>
      </w:divBdr>
    </w:div>
    <w:div w:id="1130325164">
      <w:bodyDiv w:val="1"/>
      <w:marLeft w:val="0"/>
      <w:marRight w:val="0"/>
      <w:marTop w:val="0"/>
      <w:marBottom w:val="0"/>
      <w:divBdr>
        <w:top w:val="none" w:sz="0" w:space="0" w:color="auto"/>
        <w:left w:val="none" w:sz="0" w:space="0" w:color="auto"/>
        <w:bottom w:val="none" w:sz="0" w:space="0" w:color="auto"/>
        <w:right w:val="none" w:sz="0" w:space="0" w:color="auto"/>
      </w:divBdr>
    </w:div>
    <w:div w:id="1130440081">
      <w:bodyDiv w:val="1"/>
      <w:marLeft w:val="0"/>
      <w:marRight w:val="0"/>
      <w:marTop w:val="0"/>
      <w:marBottom w:val="0"/>
      <w:divBdr>
        <w:top w:val="none" w:sz="0" w:space="0" w:color="auto"/>
        <w:left w:val="none" w:sz="0" w:space="0" w:color="auto"/>
        <w:bottom w:val="none" w:sz="0" w:space="0" w:color="auto"/>
        <w:right w:val="none" w:sz="0" w:space="0" w:color="auto"/>
      </w:divBdr>
    </w:div>
    <w:div w:id="1130441297">
      <w:bodyDiv w:val="1"/>
      <w:marLeft w:val="0"/>
      <w:marRight w:val="0"/>
      <w:marTop w:val="0"/>
      <w:marBottom w:val="0"/>
      <w:divBdr>
        <w:top w:val="none" w:sz="0" w:space="0" w:color="auto"/>
        <w:left w:val="none" w:sz="0" w:space="0" w:color="auto"/>
        <w:bottom w:val="none" w:sz="0" w:space="0" w:color="auto"/>
        <w:right w:val="none" w:sz="0" w:space="0" w:color="auto"/>
      </w:divBdr>
    </w:div>
    <w:div w:id="1130899616">
      <w:bodyDiv w:val="1"/>
      <w:marLeft w:val="0"/>
      <w:marRight w:val="0"/>
      <w:marTop w:val="0"/>
      <w:marBottom w:val="0"/>
      <w:divBdr>
        <w:top w:val="none" w:sz="0" w:space="0" w:color="auto"/>
        <w:left w:val="none" w:sz="0" w:space="0" w:color="auto"/>
        <w:bottom w:val="none" w:sz="0" w:space="0" w:color="auto"/>
        <w:right w:val="none" w:sz="0" w:space="0" w:color="auto"/>
      </w:divBdr>
    </w:div>
    <w:div w:id="1130903122">
      <w:bodyDiv w:val="1"/>
      <w:marLeft w:val="0"/>
      <w:marRight w:val="0"/>
      <w:marTop w:val="0"/>
      <w:marBottom w:val="0"/>
      <w:divBdr>
        <w:top w:val="none" w:sz="0" w:space="0" w:color="auto"/>
        <w:left w:val="none" w:sz="0" w:space="0" w:color="auto"/>
        <w:bottom w:val="none" w:sz="0" w:space="0" w:color="auto"/>
        <w:right w:val="none" w:sz="0" w:space="0" w:color="auto"/>
      </w:divBdr>
    </w:div>
    <w:div w:id="1130973904">
      <w:bodyDiv w:val="1"/>
      <w:marLeft w:val="0"/>
      <w:marRight w:val="0"/>
      <w:marTop w:val="0"/>
      <w:marBottom w:val="0"/>
      <w:divBdr>
        <w:top w:val="none" w:sz="0" w:space="0" w:color="auto"/>
        <w:left w:val="none" w:sz="0" w:space="0" w:color="auto"/>
        <w:bottom w:val="none" w:sz="0" w:space="0" w:color="auto"/>
        <w:right w:val="none" w:sz="0" w:space="0" w:color="auto"/>
      </w:divBdr>
    </w:div>
    <w:div w:id="1131168270">
      <w:bodyDiv w:val="1"/>
      <w:marLeft w:val="0"/>
      <w:marRight w:val="0"/>
      <w:marTop w:val="0"/>
      <w:marBottom w:val="0"/>
      <w:divBdr>
        <w:top w:val="none" w:sz="0" w:space="0" w:color="auto"/>
        <w:left w:val="none" w:sz="0" w:space="0" w:color="auto"/>
        <w:bottom w:val="none" w:sz="0" w:space="0" w:color="auto"/>
        <w:right w:val="none" w:sz="0" w:space="0" w:color="auto"/>
      </w:divBdr>
    </w:div>
    <w:div w:id="1131284533">
      <w:bodyDiv w:val="1"/>
      <w:marLeft w:val="0"/>
      <w:marRight w:val="0"/>
      <w:marTop w:val="0"/>
      <w:marBottom w:val="0"/>
      <w:divBdr>
        <w:top w:val="none" w:sz="0" w:space="0" w:color="auto"/>
        <w:left w:val="none" w:sz="0" w:space="0" w:color="auto"/>
        <w:bottom w:val="none" w:sz="0" w:space="0" w:color="auto"/>
        <w:right w:val="none" w:sz="0" w:space="0" w:color="auto"/>
      </w:divBdr>
    </w:div>
    <w:div w:id="1131364369">
      <w:bodyDiv w:val="1"/>
      <w:marLeft w:val="0"/>
      <w:marRight w:val="0"/>
      <w:marTop w:val="0"/>
      <w:marBottom w:val="0"/>
      <w:divBdr>
        <w:top w:val="none" w:sz="0" w:space="0" w:color="auto"/>
        <w:left w:val="none" w:sz="0" w:space="0" w:color="auto"/>
        <w:bottom w:val="none" w:sz="0" w:space="0" w:color="auto"/>
        <w:right w:val="none" w:sz="0" w:space="0" w:color="auto"/>
      </w:divBdr>
    </w:div>
    <w:div w:id="1131556859">
      <w:bodyDiv w:val="1"/>
      <w:marLeft w:val="0"/>
      <w:marRight w:val="0"/>
      <w:marTop w:val="0"/>
      <w:marBottom w:val="0"/>
      <w:divBdr>
        <w:top w:val="none" w:sz="0" w:space="0" w:color="auto"/>
        <w:left w:val="none" w:sz="0" w:space="0" w:color="auto"/>
        <w:bottom w:val="none" w:sz="0" w:space="0" w:color="auto"/>
        <w:right w:val="none" w:sz="0" w:space="0" w:color="auto"/>
      </w:divBdr>
    </w:div>
    <w:div w:id="1131627458">
      <w:bodyDiv w:val="1"/>
      <w:marLeft w:val="0"/>
      <w:marRight w:val="0"/>
      <w:marTop w:val="0"/>
      <w:marBottom w:val="0"/>
      <w:divBdr>
        <w:top w:val="none" w:sz="0" w:space="0" w:color="auto"/>
        <w:left w:val="none" w:sz="0" w:space="0" w:color="auto"/>
        <w:bottom w:val="none" w:sz="0" w:space="0" w:color="auto"/>
        <w:right w:val="none" w:sz="0" w:space="0" w:color="auto"/>
      </w:divBdr>
    </w:div>
    <w:div w:id="1131703304">
      <w:bodyDiv w:val="1"/>
      <w:marLeft w:val="0"/>
      <w:marRight w:val="0"/>
      <w:marTop w:val="0"/>
      <w:marBottom w:val="0"/>
      <w:divBdr>
        <w:top w:val="none" w:sz="0" w:space="0" w:color="auto"/>
        <w:left w:val="none" w:sz="0" w:space="0" w:color="auto"/>
        <w:bottom w:val="none" w:sz="0" w:space="0" w:color="auto"/>
        <w:right w:val="none" w:sz="0" w:space="0" w:color="auto"/>
      </w:divBdr>
    </w:div>
    <w:div w:id="1131824496">
      <w:bodyDiv w:val="1"/>
      <w:marLeft w:val="0"/>
      <w:marRight w:val="0"/>
      <w:marTop w:val="0"/>
      <w:marBottom w:val="0"/>
      <w:divBdr>
        <w:top w:val="none" w:sz="0" w:space="0" w:color="auto"/>
        <w:left w:val="none" w:sz="0" w:space="0" w:color="auto"/>
        <w:bottom w:val="none" w:sz="0" w:space="0" w:color="auto"/>
        <w:right w:val="none" w:sz="0" w:space="0" w:color="auto"/>
      </w:divBdr>
    </w:div>
    <w:div w:id="1131900628">
      <w:bodyDiv w:val="1"/>
      <w:marLeft w:val="0"/>
      <w:marRight w:val="0"/>
      <w:marTop w:val="0"/>
      <w:marBottom w:val="0"/>
      <w:divBdr>
        <w:top w:val="none" w:sz="0" w:space="0" w:color="auto"/>
        <w:left w:val="none" w:sz="0" w:space="0" w:color="auto"/>
        <w:bottom w:val="none" w:sz="0" w:space="0" w:color="auto"/>
        <w:right w:val="none" w:sz="0" w:space="0" w:color="auto"/>
      </w:divBdr>
    </w:div>
    <w:div w:id="1131941049">
      <w:bodyDiv w:val="1"/>
      <w:marLeft w:val="0"/>
      <w:marRight w:val="0"/>
      <w:marTop w:val="0"/>
      <w:marBottom w:val="0"/>
      <w:divBdr>
        <w:top w:val="none" w:sz="0" w:space="0" w:color="auto"/>
        <w:left w:val="none" w:sz="0" w:space="0" w:color="auto"/>
        <w:bottom w:val="none" w:sz="0" w:space="0" w:color="auto"/>
        <w:right w:val="none" w:sz="0" w:space="0" w:color="auto"/>
      </w:divBdr>
    </w:div>
    <w:div w:id="1132138540">
      <w:bodyDiv w:val="1"/>
      <w:marLeft w:val="0"/>
      <w:marRight w:val="0"/>
      <w:marTop w:val="0"/>
      <w:marBottom w:val="0"/>
      <w:divBdr>
        <w:top w:val="none" w:sz="0" w:space="0" w:color="auto"/>
        <w:left w:val="none" w:sz="0" w:space="0" w:color="auto"/>
        <w:bottom w:val="none" w:sz="0" w:space="0" w:color="auto"/>
        <w:right w:val="none" w:sz="0" w:space="0" w:color="auto"/>
      </w:divBdr>
    </w:div>
    <w:div w:id="1132357921">
      <w:bodyDiv w:val="1"/>
      <w:marLeft w:val="0"/>
      <w:marRight w:val="0"/>
      <w:marTop w:val="0"/>
      <w:marBottom w:val="0"/>
      <w:divBdr>
        <w:top w:val="none" w:sz="0" w:space="0" w:color="auto"/>
        <w:left w:val="none" w:sz="0" w:space="0" w:color="auto"/>
        <w:bottom w:val="none" w:sz="0" w:space="0" w:color="auto"/>
        <w:right w:val="none" w:sz="0" w:space="0" w:color="auto"/>
      </w:divBdr>
    </w:div>
    <w:div w:id="1132866650">
      <w:bodyDiv w:val="1"/>
      <w:marLeft w:val="0"/>
      <w:marRight w:val="0"/>
      <w:marTop w:val="0"/>
      <w:marBottom w:val="0"/>
      <w:divBdr>
        <w:top w:val="none" w:sz="0" w:space="0" w:color="auto"/>
        <w:left w:val="none" w:sz="0" w:space="0" w:color="auto"/>
        <w:bottom w:val="none" w:sz="0" w:space="0" w:color="auto"/>
        <w:right w:val="none" w:sz="0" w:space="0" w:color="auto"/>
      </w:divBdr>
    </w:div>
    <w:div w:id="1133063235">
      <w:bodyDiv w:val="1"/>
      <w:marLeft w:val="0"/>
      <w:marRight w:val="0"/>
      <w:marTop w:val="0"/>
      <w:marBottom w:val="0"/>
      <w:divBdr>
        <w:top w:val="none" w:sz="0" w:space="0" w:color="auto"/>
        <w:left w:val="none" w:sz="0" w:space="0" w:color="auto"/>
        <w:bottom w:val="none" w:sz="0" w:space="0" w:color="auto"/>
        <w:right w:val="none" w:sz="0" w:space="0" w:color="auto"/>
      </w:divBdr>
    </w:div>
    <w:div w:id="1133136051">
      <w:bodyDiv w:val="1"/>
      <w:marLeft w:val="0"/>
      <w:marRight w:val="0"/>
      <w:marTop w:val="0"/>
      <w:marBottom w:val="0"/>
      <w:divBdr>
        <w:top w:val="none" w:sz="0" w:space="0" w:color="auto"/>
        <w:left w:val="none" w:sz="0" w:space="0" w:color="auto"/>
        <w:bottom w:val="none" w:sz="0" w:space="0" w:color="auto"/>
        <w:right w:val="none" w:sz="0" w:space="0" w:color="auto"/>
      </w:divBdr>
    </w:div>
    <w:div w:id="1133208351">
      <w:bodyDiv w:val="1"/>
      <w:marLeft w:val="0"/>
      <w:marRight w:val="0"/>
      <w:marTop w:val="0"/>
      <w:marBottom w:val="0"/>
      <w:divBdr>
        <w:top w:val="none" w:sz="0" w:space="0" w:color="auto"/>
        <w:left w:val="none" w:sz="0" w:space="0" w:color="auto"/>
        <w:bottom w:val="none" w:sz="0" w:space="0" w:color="auto"/>
        <w:right w:val="none" w:sz="0" w:space="0" w:color="auto"/>
      </w:divBdr>
    </w:div>
    <w:div w:id="1133254873">
      <w:bodyDiv w:val="1"/>
      <w:marLeft w:val="0"/>
      <w:marRight w:val="0"/>
      <w:marTop w:val="0"/>
      <w:marBottom w:val="0"/>
      <w:divBdr>
        <w:top w:val="none" w:sz="0" w:space="0" w:color="auto"/>
        <w:left w:val="none" w:sz="0" w:space="0" w:color="auto"/>
        <w:bottom w:val="none" w:sz="0" w:space="0" w:color="auto"/>
        <w:right w:val="none" w:sz="0" w:space="0" w:color="auto"/>
      </w:divBdr>
    </w:div>
    <w:div w:id="1133593467">
      <w:bodyDiv w:val="1"/>
      <w:marLeft w:val="0"/>
      <w:marRight w:val="0"/>
      <w:marTop w:val="0"/>
      <w:marBottom w:val="0"/>
      <w:divBdr>
        <w:top w:val="none" w:sz="0" w:space="0" w:color="auto"/>
        <w:left w:val="none" w:sz="0" w:space="0" w:color="auto"/>
        <w:bottom w:val="none" w:sz="0" w:space="0" w:color="auto"/>
        <w:right w:val="none" w:sz="0" w:space="0" w:color="auto"/>
      </w:divBdr>
    </w:div>
    <w:div w:id="1133597349">
      <w:bodyDiv w:val="1"/>
      <w:marLeft w:val="0"/>
      <w:marRight w:val="0"/>
      <w:marTop w:val="0"/>
      <w:marBottom w:val="0"/>
      <w:divBdr>
        <w:top w:val="none" w:sz="0" w:space="0" w:color="auto"/>
        <w:left w:val="none" w:sz="0" w:space="0" w:color="auto"/>
        <w:bottom w:val="none" w:sz="0" w:space="0" w:color="auto"/>
        <w:right w:val="none" w:sz="0" w:space="0" w:color="auto"/>
      </w:divBdr>
    </w:div>
    <w:div w:id="1133718899">
      <w:bodyDiv w:val="1"/>
      <w:marLeft w:val="0"/>
      <w:marRight w:val="0"/>
      <w:marTop w:val="0"/>
      <w:marBottom w:val="0"/>
      <w:divBdr>
        <w:top w:val="none" w:sz="0" w:space="0" w:color="auto"/>
        <w:left w:val="none" w:sz="0" w:space="0" w:color="auto"/>
        <w:bottom w:val="none" w:sz="0" w:space="0" w:color="auto"/>
        <w:right w:val="none" w:sz="0" w:space="0" w:color="auto"/>
      </w:divBdr>
    </w:div>
    <w:div w:id="1133864853">
      <w:bodyDiv w:val="1"/>
      <w:marLeft w:val="0"/>
      <w:marRight w:val="0"/>
      <w:marTop w:val="0"/>
      <w:marBottom w:val="0"/>
      <w:divBdr>
        <w:top w:val="none" w:sz="0" w:space="0" w:color="auto"/>
        <w:left w:val="none" w:sz="0" w:space="0" w:color="auto"/>
        <w:bottom w:val="none" w:sz="0" w:space="0" w:color="auto"/>
        <w:right w:val="none" w:sz="0" w:space="0" w:color="auto"/>
      </w:divBdr>
    </w:div>
    <w:div w:id="1133907046">
      <w:bodyDiv w:val="1"/>
      <w:marLeft w:val="0"/>
      <w:marRight w:val="0"/>
      <w:marTop w:val="0"/>
      <w:marBottom w:val="0"/>
      <w:divBdr>
        <w:top w:val="none" w:sz="0" w:space="0" w:color="auto"/>
        <w:left w:val="none" w:sz="0" w:space="0" w:color="auto"/>
        <w:bottom w:val="none" w:sz="0" w:space="0" w:color="auto"/>
        <w:right w:val="none" w:sz="0" w:space="0" w:color="auto"/>
      </w:divBdr>
    </w:div>
    <w:div w:id="1134063671">
      <w:bodyDiv w:val="1"/>
      <w:marLeft w:val="0"/>
      <w:marRight w:val="0"/>
      <w:marTop w:val="0"/>
      <w:marBottom w:val="0"/>
      <w:divBdr>
        <w:top w:val="none" w:sz="0" w:space="0" w:color="auto"/>
        <w:left w:val="none" w:sz="0" w:space="0" w:color="auto"/>
        <w:bottom w:val="none" w:sz="0" w:space="0" w:color="auto"/>
        <w:right w:val="none" w:sz="0" w:space="0" w:color="auto"/>
      </w:divBdr>
    </w:div>
    <w:div w:id="1134329109">
      <w:bodyDiv w:val="1"/>
      <w:marLeft w:val="0"/>
      <w:marRight w:val="0"/>
      <w:marTop w:val="0"/>
      <w:marBottom w:val="0"/>
      <w:divBdr>
        <w:top w:val="none" w:sz="0" w:space="0" w:color="auto"/>
        <w:left w:val="none" w:sz="0" w:space="0" w:color="auto"/>
        <w:bottom w:val="none" w:sz="0" w:space="0" w:color="auto"/>
        <w:right w:val="none" w:sz="0" w:space="0" w:color="auto"/>
      </w:divBdr>
    </w:div>
    <w:div w:id="1134368133">
      <w:bodyDiv w:val="1"/>
      <w:marLeft w:val="0"/>
      <w:marRight w:val="0"/>
      <w:marTop w:val="0"/>
      <w:marBottom w:val="0"/>
      <w:divBdr>
        <w:top w:val="none" w:sz="0" w:space="0" w:color="auto"/>
        <w:left w:val="none" w:sz="0" w:space="0" w:color="auto"/>
        <w:bottom w:val="none" w:sz="0" w:space="0" w:color="auto"/>
        <w:right w:val="none" w:sz="0" w:space="0" w:color="auto"/>
      </w:divBdr>
    </w:div>
    <w:div w:id="1134447768">
      <w:bodyDiv w:val="1"/>
      <w:marLeft w:val="0"/>
      <w:marRight w:val="0"/>
      <w:marTop w:val="0"/>
      <w:marBottom w:val="0"/>
      <w:divBdr>
        <w:top w:val="none" w:sz="0" w:space="0" w:color="auto"/>
        <w:left w:val="none" w:sz="0" w:space="0" w:color="auto"/>
        <w:bottom w:val="none" w:sz="0" w:space="0" w:color="auto"/>
        <w:right w:val="none" w:sz="0" w:space="0" w:color="auto"/>
      </w:divBdr>
    </w:div>
    <w:div w:id="1134905098">
      <w:bodyDiv w:val="1"/>
      <w:marLeft w:val="0"/>
      <w:marRight w:val="0"/>
      <w:marTop w:val="0"/>
      <w:marBottom w:val="0"/>
      <w:divBdr>
        <w:top w:val="none" w:sz="0" w:space="0" w:color="auto"/>
        <w:left w:val="none" w:sz="0" w:space="0" w:color="auto"/>
        <w:bottom w:val="none" w:sz="0" w:space="0" w:color="auto"/>
        <w:right w:val="none" w:sz="0" w:space="0" w:color="auto"/>
      </w:divBdr>
    </w:div>
    <w:div w:id="1135368198">
      <w:bodyDiv w:val="1"/>
      <w:marLeft w:val="0"/>
      <w:marRight w:val="0"/>
      <w:marTop w:val="0"/>
      <w:marBottom w:val="0"/>
      <w:divBdr>
        <w:top w:val="none" w:sz="0" w:space="0" w:color="auto"/>
        <w:left w:val="none" w:sz="0" w:space="0" w:color="auto"/>
        <w:bottom w:val="none" w:sz="0" w:space="0" w:color="auto"/>
        <w:right w:val="none" w:sz="0" w:space="0" w:color="auto"/>
      </w:divBdr>
    </w:div>
    <w:div w:id="1135635585">
      <w:bodyDiv w:val="1"/>
      <w:marLeft w:val="0"/>
      <w:marRight w:val="0"/>
      <w:marTop w:val="0"/>
      <w:marBottom w:val="0"/>
      <w:divBdr>
        <w:top w:val="none" w:sz="0" w:space="0" w:color="auto"/>
        <w:left w:val="none" w:sz="0" w:space="0" w:color="auto"/>
        <w:bottom w:val="none" w:sz="0" w:space="0" w:color="auto"/>
        <w:right w:val="none" w:sz="0" w:space="0" w:color="auto"/>
      </w:divBdr>
    </w:div>
    <w:div w:id="1135681255">
      <w:bodyDiv w:val="1"/>
      <w:marLeft w:val="0"/>
      <w:marRight w:val="0"/>
      <w:marTop w:val="0"/>
      <w:marBottom w:val="0"/>
      <w:divBdr>
        <w:top w:val="none" w:sz="0" w:space="0" w:color="auto"/>
        <w:left w:val="none" w:sz="0" w:space="0" w:color="auto"/>
        <w:bottom w:val="none" w:sz="0" w:space="0" w:color="auto"/>
        <w:right w:val="none" w:sz="0" w:space="0" w:color="auto"/>
      </w:divBdr>
    </w:div>
    <w:div w:id="1135758566">
      <w:bodyDiv w:val="1"/>
      <w:marLeft w:val="0"/>
      <w:marRight w:val="0"/>
      <w:marTop w:val="0"/>
      <w:marBottom w:val="0"/>
      <w:divBdr>
        <w:top w:val="none" w:sz="0" w:space="0" w:color="auto"/>
        <w:left w:val="none" w:sz="0" w:space="0" w:color="auto"/>
        <w:bottom w:val="none" w:sz="0" w:space="0" w:color="auto"/>
        <w:right w:val="none" w:sz="0" w:space="0" w:color="auto"/>
      </w:divBdr>
    </w:div>
    <w:div w:id="1136072204">
      <w:bodyDiv w:val="1"/>
      <w:marLeft w:val="0"/>
      <w:marRight w:val="0"/>
      <w:marTop w:val="0"/>
      <w:marBottom w:val="0"/>
      <w:divBdr>
        <w:top w:val="none" w:sz="0" w:space="0" w:color="auto"/>
        <w:left w:val="none" w:sz="0" w:space="0" w:color="auto"/>
        <w:bottom w:val="none" w:sz="0" w:space="0" w:color="auto"/>
        <w:right w:val="none" w:sz="0" w:space="0" w:color="auto"/>
      </w:divBdr>
    </w:div>
    <w:div w:id="1136096239">
      <w:bodyDiv w:val="1"/>
      <w:marLeft w:val="0"/>
      <w:marRight w:val="0"/>
      <w:marTop w:val="0"/>
      <w:marBottom w:val="0"/>
      <w:divBdr>
        <w:top w:val="none" w:sz="0" w:space="0" w:color="auto"/>
        <w:left w:val="none" w:sz="0" w:space="0" w:color="auto"/>
        <w:bottom w:val="none" w:sz="0" w:space="0" w:color="auto"/>
        <w:right w:val="none" w:sz="0" w:space="0" w:color="auto"/>
      </w:divBdr>
    </w:div>
    <w:div w:id="1136528415">
      <w:bodyDiv w:val="1"/>
      <w:marLeft w:val="0"/>
      <w:marRight w:val="0"/>
      <w:marTop w:val="0"/>
      <w:marBottom w:val="0"/>
      <w:divBdr>
        <w:top w:val="none" w:sz="0" w:space="0" w:color="auto"/>
        <w:left w:val="none" w:sz="0" w:space="0" w:color="auto"/>
        <w:bottom w:val="none" w:sz="0" w:space="0" w:color="auto"/>
        <w:right w:val="none" w:sz="0" w:space="0" w:color="auto"/>
      </w:divBdr>
    </w:div>
    <w:div w:id="1136601298">
      <w:bodyDiv w:val="1"/>
      <w:marLeft w:val="0"/>
      <w:marRight w:val="0"/>
      <w:marTop w:val="0"/>
      <w:marBottom w:val="0"/>
      <w:divBdr>
        <w:top w:val="none" w:sz="0" w:space="0" w:color="auto"/>
        <w:left w:val="none" w:sz="0" w:space="0" w:color="auto"/>
        <w:bottom w:val="none" w:sz="0" w:space="0" w:color="auto"/>
        <w:right w:val="none" w:sz="0" w:space="0" w:color="auto"/>
      </w:divBdr>
    </w:div>
    <w:div w:id="1136869319">
      <w:bodyDiv w:val="1"/>
      <w:marLeft w:val="0"/>
      <w:marRight w:val="0"/>
      <w:marTop w:val="0"/>
      <w:marBottom w:val="0"/>
      <w:divBdr>
        <w:top w:val="none" w:sz="0" w:space="0" w:color="auto"/>
        <w:left w:val="none" w:sz="0" w:space="0" w:color="auto"/>
        <w:bottom w:val="none" w:sz="0" w:space="0" w:color="auto"/>
        <w:right w:val="none" w:sz="0" w:space="0" w:color="auto"/>
      </w:divBdr>
    </w:div>
    <w:div w:id="1136950776">
      <w:bodyDiv w:val="1"/>
      <w:marLeft w:val="0"/>
      <w:marRight w:val="0"/>
      <w:marTop w:val="0"/>
      <w:marBottom w:val="0"/>
      <w:divBdr>
        <w:top w:val="none" w:sz="0" w:space="0" w:color="auto"/>
        <w:left w:val="none" w:sz="0" w:space="0" w:color="auto"/>
        <w:bottom w:val="none" w:sz="0" w:space="0" w:color="auto"/>
        <w:right w:val="none" w:sz="0" w:space="0" w:color="auto"/>
      </w:divBdr>
    </w:div>
    <w:div w:id="1137146467">
      <w:bodyDiv w:val="1"/>
      <w:marLeft w:val="0"/>
      <w:marRight w:val="0"/>
      <w:marTop w:val="0"/>
      <w:marBottom w:val="0"/>
      <w:divBdr>
        <w:top w:val="none" w:sz="0" w:space="0" w:color="auto"/>
        <w:left w:val="none" w:sz="0" w:space="0" w:color="auto"/>
        <w:bottom w:val="none" w:sz="0" w:space="0" w:color="auto"/>
        <w:right w:val="none" w:sz="0" w:space="0" w:color="auto"/>
      </w:divBdr>
    </w:div>
    <w:div w:id="1137182831">
      <w:bodyDiv w:val="1"/>
      <w:marLeft w:val="0"/>
      <w:marRight w:val="0"/>
      <w:marTop w:val="0"/>
      <w:marBottom w:val="0"/>
      <w:divBdr>
        <w:top w:val="none" w:sz="0" w:space="0" w:color="auto"/>
        <w:left w:val="none" w:sz="0" w:space="0" w:color="auto"/>
        <w:bottom w:val="none" w:sz="0" w:space="0" w:color="auto"/>
        <w:right w:val="none" w:sz="0" w:space="0" w:color="auto"/>
      </w:divBdr>
    </w:div>
    <w:div w:id="1137525402">
      <w:bodyDiv w:val="1"/>
      <w:marLeft w:val="0"/>
      <w:marRight w:val="0"/>
      <w:marTop w:val="0"/>
      <w:marBottom w:val="0"/>
      <w:divBdr>
        <w:top w:val="none" w:sz="0" w:space="0" w:color="auto"/>
        <w:left w:val="none" w:sz="0" w:space="0" w:color="auto"/>
        <w:bottom w:val="none" w:sz="0" w:space="0" w:color="auto"/>
        <w:right w:val="none" w:sz="0" w:space="0" w:color="auto"/>
      </w:divBdr>
    </w:div>
    <w:div w:id="1137527182">
      <w:bodyDiv w:val="1"/>
      <w:marLeft w:val="0"/>
      <w:marRight w:val="0"/>
      <w:marTop w:val="0"/>
      <w:marBottom w:val="0"/>
      <w:divBdr>
        <w:top w:val="none" w:sz="0" w:space="0" w:color="auto"/>
        <w:left w:val="none" w:sz="0" w:space="0" w:color="auto"/>
        <w:bottom w:val="none" w:sz="0" w:space="0" w:color="auto"/>
        <w:right w:val="none" w:sz="0" w:space="0" w:color="auto"/>
      </w:divBdr>
    </w:div>
    <w:div w:id="1137605277">
      <w:bodyDiv w:val="1"/>
      <w:marLeft w:val="0"/>
      <w:marRight w:val="0"/>
      <w:marTop w:val="0"/>
      <w:marBottom w:val="0"/>
      <w:divBdr>
        <w:top w:val="none" w:sz="0" w:space="0" w:color="auto"/>
        <w:left w:val="none" w:sz="0" w:space="0" w:color="auto"/>
        <w:bottom w:val="none" w:sz="0" w:space="0" w:color="auto"/>
        <w:right w:val="none" w:sz="0" w:space="0" w:color="auto"/>
      </w:divBdr>
    </w:div>
    <w:div w:id="1137643625">
      <w:bodyDiv w:val="1"/>
      <w:marLeft w:val="0"/>
      <w:marRight w:val="0"/>
      <w:marTop w:val="0"/>
      <w:marBottom w:val="0"/>
      <w:divBdr>
        <w:top w:val="none" w:sz="0" w:space="0" w:color="auto"/>
        <w:left w:val="none" w:sz="0" w:space="0" w:color="auto"/>
        <w:bottom w:val="none" w:sz="0" w:space="0" w:color="auto"/>
        <w:right w:val="none" w:sz="0" w:space="0" w:color="auto"/>
      </w:divBdr>
    </w:div>
    <w:div w:id="1137845315">
      <w:bodyDiv w:val="1"/>
      <w:marLeft w:val="0"/>
      <w:marRight w:val="0"/>
      <w:marTop w:val="0"/>
      <w:marBottom w:val="0"/>
      <w:divBdr>
        <w:top w:val="none" w:sz="0" w:space="0" w:color="auto"/>
        <w:left w:val="none" w:sz="0" w:space="0" w:color="auto"/>
        <w:bottom w:val="none" w:sz="0" w:space="0" w:color="auto"/>
        <w:right w:val="none" w:sz="0" w:space="0" w:color="auto"/>
      </w:divBdr>
    </w:div>
    <w:div w:id="1138230824">
      <w:bodyDiv w:val="1"/>
      <w:marLeft w:val="0"/>
      <w:marRight w:val="0"/>
      <w:marTop w:val="0"/>
      <w:marBottom w:val="0"/>
      <w:divBdr>
        <w:top w:val="none" w:sz="0" w:space="0" w:color="auto"/>
        <w:left w:val="none" w:sz="0" w:space="0" w:color="auto"/>
        <w:bottom w:val="none" w:sz="0" w:space="0" w:color="auto"/>
        <w:right w:val="none" w:sz="0" w:space="0" w:color="auto"/>
      </w:divBdr>
    </w:div>
    <w:div w:id="1138305266">
      <w:bodyDiv w:val="1"/>
      <w:marLeft w:val="0"/>
      <w:marRight w:val="0"/>
      <w:marTop w:val="0"/>
      <w:marBottom w:val="0"/>
      <w:divBdr>
        <w:top w:val="none" w:sz="0" w:space="0" w:color="auto"/>
        <w:left w:val="none" w:sz="0" w:space="0" w:color="auto"/>
        <w:bottom w:val="none" w:sz="0" w:space="0" w:color="auto"/>
        <w:right w:val="none" w:sz="0" w:space="0" w:color="auto"/>
      </w:divBdr>
    </w:div>
    <w:div w:id="1138453089">
      <w:bodyDiv w:val="1"/>
      <w:marLeft w:val="0"/>
      <w:marRight w:val="0"/>
      <w:marTop w:val="0"/>
      <w:marBottom w:val="0"/>
      <w:divBdr>
        <w:top w:val="none" w:sz="0" w:space="0" w:color="auto"/>
        <w:left w:val="none" w:sz="0" w:space="0" w:color="auto"/>
        <w:bottom w:val="none" w:sz="0" w:space="0" w:color="auto"/>
        <w:right w:val="none" w:sz="0" w:space="0" w:color="auto"/>
      </w:divBdr>
    </w:div>
    <w:div w:id="1139227403">
      <w:bodyDiv w:val="1"/>
      <w:marLeft w:val="0"/>
      <w:marRight w:val="0"/>
      <w:marTop w:val="0"/>
      <w:marBottom w:val="0"/>
      <w:divBdr>
        <w:top w:val="none" w:sz="0" w:space="0" w:color="auto"/>
        <w:left w:val="none" w:sz="0" w:space="0" w:color="auto"/>
        <w:bottom w:val="none" w:sz="0" w:space="0" w:color="auto"/>
        <w:right w:val="none" w:sz="0" w:space="0" w:color="auto"/>
      </w:divBdr>
    </w:div>
    <w:div w:id="1139609959">
      <w:bodyDiv w:val="1"/>
      <w:marLeft w:val="0"/>
      <w:marRight w:val="0"/>
      <w:marTop w:val="0"/>
      <w:marBottom w:val="0"/>
      <w:divBdr>
        <w:top w:val="none" w:sz="0" w:space="0" w:color="auto"/>
        <w:left w:val="none" w:sz="0" w:space="0" w:color="auto"/>
        <w:bottom w:val="none" w:sz="0" w:space="0" w:color="auto"/>
        <w:right w:val="none" w:sz="0" w:space="0" w:color="auto"/>
      </w:divBdr>
    </w:div>
    <w:div w:id="1140030057">
      <w:bodyDiv w:val="1"/>
      <w:marLeft w:val="0"/>
      <w:marRight w:val="0"/>
      <w:marTop w:val="0"/>
      <w:marBottom w:val="0"/>
      <w:divBdr>
        <w:top w:val="none" w:sz="0" w:space="0" w:color="auto"/>
        <w:left w:val="none" w:sz="0" w:space="0" w:color="auto"/>
        <w:bottom w:val="none" w:sz="0" w:space="0" w:color="auto"/>
        <w:right w:val="none" w:sz="0" w:space="0" w:color="auto"/>
      </w:divBdr>
    </w:div>
    <w:div w:id="1140075599">
      <w:bodyDiv w:val="1"/>
      <w:marLeft w:val="0"/>
      <w:marRight w:val="0"/>
      <w:marTop w:val="0"/>
      <w:marBottom w:val="0"/>
      <w:divBdr>
        <w:top w:val="none" w:sz="0" w:space="0" w:color="auto"/>
        <w:left w:val="none" w:sz="0" w:space="0" w:color="auto"/>
        <w:bottom w:val="none" w:sz="0" w:space="0" w:color="auto"/>
        <w:right w:val="none" w:sz="0" w:space="0" w:color="auto"/>
      </w:divBdr>
    </w:div>
    <w:div w:id="1140075789">
      <w:bodyDiv w:val="1"/>
      <w:marLeft w:val="0"/>
      <w:marRight w:val="0"/>
      <w:marTop w:val="0"/>
      <w:marBottom w:val="0"/>
      <w:divBdr>
        <w:top w:val="none" w:sz="0" w:space="0" w:color="auto"/>
        <w:left w:val="none" w:sz="0" w:space="0" w:color="auto"/>
        <w:bottom w:val="none" w:sz="0" w:space="0" w:color="auto"/>
        <w:right w:val="none" w:sz="0" w:space="0" w:color="auto"/>
      </w:divBdr>
    </w:div>
    <w:div w:id="1140076236">
      <w:bodyDiv w:val="1"/>
      <w:marLeft w:val="0"/>
      <w:marRight w:val="0"/>
      <w:marTop w:val="0"/>
      <w:marBottom w:val="0"/>
      <w:divBdr>
        <w:top w:val="none" w:sz="0" w:space="0" w:color="auto"/>
        <w:left w:val="none" w:sz="0" w:space="0" w:color="auto"/>
        <w:bottom w:val="none" w:sz="0" w:space="0" w:color="auto"/>
        <w:right w:val="none" w:sz="0" w:space="0" w:color="auto"/>
      </w:divBdr>
    </w:div>
    <w:div w:id="1140196545">
      <w:bodyDiv w:val="1"/>
      <w:marLeft w:val="0"/>
      <w:marRight w:val="0"/>
      <w:marTop w:val="0"/>
      <w:marBottom w:val="0"/>
      <w:divBdr>
        <w:top w:val="none" w:sz="0" w:space="0" w:color="auto"/>
        <w:left w:val="none" w:sz="0" w:space="0" w:color="auto"/>
        <w:bottom w:val="none" w:sz="0" w:space="0" w:color="auto"/>
        <w:right w:val="none" w:sz="0" w:space="0" w:color="auto"/>
      </w:divBdr>
    </w:div>
    <w:div w:id="1140421912">
      <w:bodyDiv w:val="1"/>
      <w:marLeft w:val="0"/>
      <w:marRight w:val="0"/>
      <w:marTop w:val="0"/>
      <w:marBottom w:val="0"/>
      <w:divBdr>
        <w:top w:val="none" w:sz="0" w:space="0" w:color="auto"/>
        <w:left w:val="none" w:sz="0" w:space="0" w:color="auto"/>
        <w:bottom w:val="none" w:sz="0" w:space="0" w:color="auto"/>
        <w:right w:val="none" w:sz="0" w:space="0" w:color="auto"/>
      </w:divBdr>
    </w:div>
    <w:div w:id="1140730553">
      <w:bodyDiv w:val="1"/>
      <w:marLeft w:val="0"/>
      <w:marRight w:val="0"/>
      <w:marTop w:val="0"/>
      <w:marBottom w:val="0"/>
      <w:divBdr>
        <w:top w:val="none" w:sz="0" w:space="0" w:color="auto"/>
        <w:left w:val="none" w:sz="0" w:space="0" w:color="auto"/>
        <w:bottom w:val="none" w:sz="0" w:space="0" w:color="auto"/>
        <w:right w:val="none" w:sz="0" w:space="0" w:color="auto"/>
      </w:divBdr>
    </w:div>
    <w:div w:id="1140804357">
      <w:bodyDiv w:val="1"/>
      <w:marLeft w:val="0"/>
      <w:marRight w:val="0"/>
      <w:marTop w:val="0"/>
      <w:marBottom w:val="0"/>
      <w:divBdr>
        <w:top w:val="none" w:sz="0" w:space="0" w:color="auto"/>
        <w:left w:val="none" w:sz="0" w:space="0" w:color="auto"/>
        <w:bottom w:val="none" w:sz="0" w:space="0" w:color="auto"/>
        <w:right w:val="none" w:sz="0" w:space="0" w:color="auto"/>
      </w:divBdr>
    </w:div>
    <w:div w:id="1141002029">
      <w:bodyDiv w:val="1"/>
      <w:marLeft w:val="0"/>
      <w:marRight w:val="0"/>
      <w:marTop w:val="0"/>
      <w:marBottom w:val="0"/>
      <w:divBdr>
        <w:top w:val="none" w:sz="0" w:space="0" w:color="auto"/>
        <w:left w:val="none" w:sz="0" w:space="0" w:color="auto"/>
        <w:bottom w:val="none" w:sz="0" w:space="0" w:color="auto"/>
        <w:right w:val="none" w:sz="0" w:space="0" w:color="auto"/>
      </w:divBdr>
    </w:div>
    <w:div w:id="1141003306">
      <w:bodyDiv w:val="1"/>
      <w:marLeft w:val="0"/>
      <w:marRight w:val="0"/>
      <w:marTop w:val="0"/>
      <w:marBottom w:val="0"/>
      <w:divBdr>
        <w:top w:val="none" w:sz="0" w:space="0" w:color="auto"/>
        <w:left w:val="none" w:sz="0" w:space="0" w:color="auto"/>
        <w:bottom w:val="none" w:sz="0" w:space="0" w:color="auto"/>
        <w:right w:val="none" w:sz="0" w:space="0" w:color="auto"/>
      </w:divBdr>
    </w:div>
    <w:div w:id="1141269495">
      <w:bodyDiv w:val="1"/>
      <w:marLeft w:val="0"/>
      <w:marRight w:val="0"/>
      <w:marTop w:val="0"/>
      <w:marBottom w:val="0"/>
      <w:divBdr>
        <w:top w:val="none" w:sz="0" w:space="0" w:color="auto"/>
        <w:left w:val="none" w:sz="0" w:space="0" w:color="auto"/>
        <w:bottom w:val="none" w:sz="0" w:space="0" w:color="auto"/>
        <w:right w:val="none" w:sz="0" w:space="0" w:color="auto"/>
      </w:divBdr>
    </w:div>
    <w:div w:id="1141507255">
      <w:bodyDiv w:val="1"/>
      <w:marLeft w:val="0"/>
      <w:marRight w:val="0"/>
      <w:marTop w:val="0"/>
      <w:marBottom w:val="0"/>
      <w:divBdr>
        <w:top w:val="none" w:sz="0" w:space="0" w:color="auto"/>
        <w:left w:val="none" w:sz="0" w:space="0" w:color="auto"/>
        <w:bottom w:val="none" w:sz="0" w:space="0" w:color="auto"/>
        <w:right w:val="none" w:sz="0" w:space="0" w:color="auto"/>
      </w:divBdr>
    </w:div>
    <w:div w:id="1141507678">
      <w:bodyDiv w:val="1"/>
      <w:marLeft w:val="0"/>
      <w:marRight w:val="0"/>
      <w:marTop w:val="0"/>
      <w:marBottom w:val="0"/>
      <w:divBdr>
        <w:top w:val="none" w:sz="0" w:space="0" w:color="auto"/>
        <w:left w:val="none" w:sz="0" w:space="0" w:color="auto"/>
        <w:bottom w:val="none" w:sz="0" w:space="0" w:color="auto"/>
        <w:right w:val="none" w:sz="0" w:space="0" w:color="auto"/>
      </w:divBdr>
    </w:div>
    <w:div w:id="1141574046">
      <w:bodyDiv w:val="1"/>
      <w:marLeft w:val="0"/>
      <w:marRight w:val="0"/>
      <w:marTop w:val="0"/>
      <w:marBottom w:val="0"/>
      <w:divBdr>
        <w:top w:val="none" w:sz="0" w:space="0" w:color="auto"/>
        <w:left w:val="none" w:sz="0" w:space="0" w:color="auto"/>
        <w:bottom w:val="none" w:sz="0" w:space="0" w:color="auto"/>
        <w:right w:val="none" w:sz="0" w:space="0" w:color="auto"/>
      </w:divBdr>
    </w:div>
    <w:div w:id="1141655804">
      <w:bodyDiv w:val="1"/>
      <w:marLeft w:val="0"/>
      <w:marRight w:val="0"/>
      <w:marTop w:val="0"/>
      <w:marBottom w:val="0"/>
      <w:divBdr>
        <w:top w:val="none" w:sz="0" w:space="0" w:color="auto"/>
        <w:left w:val="none" w:sz="0" w:space="0" w:color="auto"/>
        <w:bottom w:val="none" w:sz="0" w:space="0" w:color="auto"/>
        <w:right w:val="none" w:sz="0" w:space="0" w:color="auto"/>
      </w:divBdr>
    </w:div>
    <w:div w:id="1141729290">
      <w:bodyDiv w:val="1"/>
      <w:marLeft w:val="0"/>
      <w:marRight w:val="0"/>
      <w:marTop w:val="0"/>
      <w:marBottom w:val="0"/>
      <w:divBdr>
        <w:top w:val="none" w:sz="0" w:space="0" w:color="auto"/>
        <w:left w:val="none" w:sz="0" w:space="0" w:color="auto"/>
        <w:bottom w:val="none" w:sz="0" w:space="0" w:color="auto"/>
        <w:right w:val="none" w:sz="0" w:space="0" w:color="auto"/>
      </w:divBdr>
    </w:div>
    <w:div w:id="1141848303">
      <w:bodyDiv w:val="1"/>
      <w:marLeft w:val="0"/>
      <w:marRight w:val="0"/>
      <w:marTop w:val="0"/>
      <w:marBottom w:val="0"/>
      <w:divBdr>
        <w:top w:val="none" w:sz="0" w:space="0" w:color="auto"/>
        <w:left w:val="none" w:sz="0" w:space="0" w:color="auto"/>
        <w:bottom w:val="none" w:sz="0" w:space="0" w:color="auto"/>
        <w:right w:val="none" w:sz="0" w:space="0" w:color="auto"/>
      </w:divBdr>
    </w:div>
    <w:div w:id="1142036057">
      <w:bodyDiv w:val="1"/>
      <w:marLeft w:val="0"/>
      <w:marRight w:val="0"/>
      <w:marTop w:val="0"/>
      <w:marBottom w:val="0"/>
      <w:divBdr>
        <w:top w:val="none" w:sz="0" w:space="0" w:color="auto"/>
        <w:left w:val="none" w:sz="0" w:space="0" w:color="auto"/>
        <w:bottom w:val="none" w:sz="0" w:space="0" w:color="auto"/>
        <w:right w:val="none" w:sz="0" w:space="0" w:color="auto"/>
      </w:divBdr>
    </w:div>
    <w:div w:id="1142499143">
      <w:bodyDiv w:val="1"/>
      <w:marLeft w:val="0"/>
      <w:marRight w:val="0"/>
      <w:marTop w:val="0"/>
      <w:marBottom w:val="0"/>
      <w:divBdr>
        <w:top w:val="none" w:sz="0" w:space="0" w:color="auto"/>
        <w:left w:val="none" w:sz="0" w:space="0" w:color="auto"/>
        <w:bottom w:val="none" w:sz="0" w:space="0" w:color="auto"/>
        <w:right w:val="none" w:sz="0" w:space="0" w:color="auto"/>
      </w:divBdr>
    </w:div>
    <w:div w:id="1142504873">
      <w:bodyDiv w:val="1"/>
      <w:marLeft w:val="0"/>
      <w:marRight w:val="0"/>
      <w:marTop w:val="0"/>
      <w:marBottom w:val="0"/>
      <w:divBdr>
        <w:top w:val="none" w:sz="0" w:space="0" w:color="auto"/>
        <w:left w:val="none" w:sz="0" w:space="0" w:color="auto"/>
        <w:bottom w:val="none" w:sz="0" w:space="0" w:color="auto"/>
        <w:right w:val="none" w:sz="0" w:space="0" w:color="auto"/>
      </w:divBdr>
    </w:div>
    <w:div w:id="1142625291">
      <w:bodyDiv w:val="1"/>
      <w:marLeft w:val="0"/>
      <w:marRight w:val="0"/>
      <w:marTop w:val="0"/>
      <w:marBottom w:val="0"/>
      <w:divBdr>
        <w:top w:val="none" w:sz="0" w:space="0" w:color="auto"/>
        <w:left w:val="none" w:sz="0" w:space="0" w:color="auto"/>
        <w:bottom w:val="none" w:sz="0" w:space="0" w:color="auto"/>
        <w:right w:val="none" w:sz="0" w:space="0" w:color="auto"/>
      </w:divBdr>
    </w:div>
    <w:div w:id="1142650146">
      <w:bodyDiv w:val="1"/>
      <w:marLeft w:val="0"/>
      <w:marRight w:val="0"/>
      <w:marTop w:val="0"/>
      <w:marBottom w:val="0"/>
      <w:divBdr>
        <w:top w:val="none" w:sz="0" w:space="0" w:color="auto"/>
        <w:left w:val="none" w:sz="0" w:space="0" w:color="auto"/>
        <w:bottom w:val="none" w:sz="0" w:space="0" w:color="auto"/>
        <w:right w:val="none" w:sz="0" w:space="0" w:color="auto"/>
      </w:divBdr>
    </w:div>
    <w:div w:id="1142694201">
      <w:bodyDiv w:val="1"/>
      <w:marLeft w:val="0"/>
      <w:marRight w:val="0"/>
      <w:marTop w:val="0"/>
      <w:marBottom w:val="0"/>
      <w:divBdr>
        <w:top w:val="none" w:sz="0" w:space="0" w:color="auto"/>
        <w:left w:val="none" w:sz="0" w:space="0" w:color="auto"/>
        <w:bottom w:val="none" w:sz="0" w:space="0" w:color="auto"/>
        <w:right w:val="none" w:sz="0" w:space="0" w:color="auto"/>
      </w:divBdr>
    </w:div>
    <w:div w:id="1142889849">
      <w:bodyDiv w:val="1"/>
      <w:marLeft w:val="0"/>
      <w:marRight w:val="0"/>
      <w:marTop w:val="0"/>
      <w:marBottom w:val="0"/>
      <w:divBdr>
        <w:top w:val="none" w:sz="0" w:space="0" w:color="auto"/>
        <w:left w:val="none" w:sz="0" w:space="0" w:color="auto"/>
        <w:bottom w:val="none" w:sz="0" w:space="0" w:color="auto"/>
        <w:right w:val="none" w:sz="0" w:space="0" w:color="auto"/>
      </w:divBdr>
    </w:div>
    <w:div w:id="1143277993">
      <w:bodyDiv w:val="1"/>
      <w:marLeft w:val="0"/>
      <w:marRight w:val="0"/>
      <w:marTop w:val="0"/>
      <w:marBottom w:val="0"/>
      <w:divBdr>
        <w:top w:val="none" w:sz="0" w:space="0" w:color="auto"/>
        <w:left w:val="none" w:sz="0" w:space="0" w:color="auto"/>
        <w:bottom w:val="none" w:sz="0" w:space="0" w:color="auto"/>
        <w:right w:val="none" w:sz="0" w:space="0" w:color="auto"/>
      </w:divBdr>
    </w:div>
    <w:div w:id="1143499643">
      <w:bodyDiv w:val="1"/>
      <w:marLeft w:val="0"/>
      <w:marRight w:val="0"/>
      <w:marTop w:val="0"/>
      <w:marBottom w:val="0"/>
      <w:divBdr>
        <w:top w:val="none" w:sz="0" w:space="0" w:color="auto"/>
        <w:left w:val="none" w:sz="0" w:space="0" w:color="auto"/>
        <w:bottom w:val="none" w:sz="0" w:space="0" w:color="auto"/>
        <w:right w:val="none" w:sz="0" w:space="0" w:color="auto"/>
      </w:divBdr>
    </w:div>
    <w:div w:id="1143616238">
      <w:bodyDiv w:val="1"/>
      <w:marLeft w:val="0"/>
      <w:marRight w:val="0"/>
      <w:marTop w:val="0"/>
      <w:marBottom w:val="0"/>
      <w:divBdr>
        <w:top w:val="none" w:sz="0" w:space="0" w:color="auto"/>
        <w:left w:val="none" w:sz="0" w:space="0" w:color="auto"/>
        <w:bottom w:val="none" w:sz="0" w:space="0" w:color="auto"/>
        <w:right w:val="none" w:sz="0" w:space="0" w:color="auto"/>
      </w:divBdr>
    </w:div>
    <w:div w:id="1143697881">
      <w:bodyDiv w:val="1"/>
      <w:marLeft w:val="0"/>
      <w:marRight w:val="0"/>
      <w:marTop w:val="0"/>
      <w:marBottom w:val="0"/>
      <w:divBdr>
        <w:top w:val="none" w:sz="0" w:space="0" w:color="auto"/>
        <w:left w:val="none" w:sz="0" w:space="0" w:color="auto"/>
        <w:bottom w:val="none" w:sz="0" w:space="0" w:color="auto"/>
        <w:right w:val="none" w:sz="0" w:space="0" w:color="auto"/>
      </w:divBdr>
    </w:div>
    <w:div w:id="1143884778">
      <w:bodyDiv w:val="1"/>
      <w:marLeft w:val="0"/>
      <w:marRight w:val="0"/>
      <w:marTop w:val="0"/>
      <w:marBottom w:val="0"/>
      <w:divBdr>
        <w:top w:val="none" w:sz="0" w:space="0" w:color="auto"/>
        <w:left w:val="none" w:sz="0" w:space="0" w:color="auto"/>
        <w:bottom w:val="none" w:sz="0" w:space="0" w:color="auto"/>
        <w:right w:val="none" w:sz="0" w:space="0" w:color="auto"/>
      </w:divBdr>
    </w:div>
    <w:div w:id="1143934792">
      <w:bodyDiv w:val="1"/>
      <w:marLeft w:val="0"/>
      <w:marRight w:val="0"/>
      <w:marTop w:val="0"/>
      <w:marBottom w:val="0"/>
      <w:divBdr>
        <w:top w:val="none" w:sz="0" w:space="0" w:color="auto"/>
        <w:left w:val="none" w:sz="0" w:space="0" w:color="auto"/>
        <w:bottom w:val="none" w:sz="0" w:space="0" w:color="auto"/>
        <w:right w:val="none" w:sz="0" w:space="0" w:color="auto"/>
      </w:divBdr>
    </w:div>
    <w:div w:id="1144077554">
      <w:bodyDiv w:val="1"/>
      <w:marLeft w:val="0"/>
      <w:marRight w:val="0"/>
      <w:marTop w:val="0"/>
      <w:marBottom w:val="0"/>
      <w:divBdr>
        <w:top w:val="none" w:sz="0" w:space="0" w:color="auto"/>
        <w:left w:val="none" w:sz="0" w:space="0" w:color="auto"/>
        <w:bottom w:val="none" w:sz="0" w:space="0" w:color="auto"/>
        <w:right w:val="none" w:sz="0" w:space="0" w:color="auto"/>
      </w:divBdr>
    </w:div>
    <w:div w:id="1144200249">
      <w:bodyDiv w:val="1"/>
      <w:marLeft w:val="0"/>
      <w:marRight w:val="0"/>
      <w:marTop w:val="0"/>
      <w:marBottom w:val="0"/>
      <w:divBdr>
        <w:top w:val="none" w:sz="0" w:space="0" w:color="auto"/>
        <w:left w:val="none" w:sz="0" w:space="0" w:color="auto"/>
        <w:bottom w:val="none" w:sz="0" w:space="0" w:color="auto"/>
        <w:right w:val="none" w:sz="0" w:space="0" w:color="auto"/>
      </w:divBdr>
    </w:div>
    <w:div w:id="1144346651">
      <w:bodyDiv w:val="1"/>
      <w:marLeft w:val="0"/>
      <w:marRight w:val="0"/>
      <w:marTop w:val="0"/>
      <w:marBottom w:val="0"/>
      <w:divBdr>
        <w:top w:val="none" w:sz="0" w:space="0" w:color="auto"/>
        <w:left w:val="none" w:sz="0" w:space="0" w:color="auto"/>
        <w:bottom w:val="none" w:sz="0" w:space="0" w:color="auto"/>
        <w:right w:val="none" w:sz="0" w:space="0" w:color="auto"/>
      </w:divBdr>
    </w:div>
    <w:div w:id="1144349507">
      <w:bodyDiv w:val="1"/>
      <w:marLeft w:val="0"/>
      <w:marRight w:val="0"/>
      <w:marTop w:val="0"/>
      <w:marBottom w:val="0"/>
      <w:divBdr>
        <w:top w:val="none" w:sz="0" w:space="0" w:color="auto"/>
        <w:left w:val="none" w:sz="0" w:space="0" w:color="auto"/>
        <w:bottom w:val="none" w:sz="0" w:space="0" w:color="auto"/>
        <w:right w:val="none" w:sz="0" w:space="0" w:color="auto"/>
      </w:divBdr>
    </w:div>
    <w:div w:id="1144352390">
      <w:bodyDiv w:val="1"/>
      <w:marLeft w:val="0"/>
      <w:marRight w:val="0"/>
      <w:marTop w:val="0"/>
      <w:marBottom w:val="0"/>
      <w:divBdr>
        <w:top w:val="none" w:sz="0" w:space="0" w:color="auto"/>
        <w:left w:val="none" w:sz="0" w:space="0" w:color="auto"/>
        <w:bottom w:val="none" w:sz="0" w:space="0" w:color="auto"/>
        <w:right w:val="none" w:sz="0" w:space="0" w:color="auto"/>
      </w:divBdr>
    </w:div>
    <w:div w:id="1144352711">
      <w:bodyDiv w:val="1"/>
      <w:marLeft w:val="0"/>
      <w:marRight w:val="0"/>
      <w:marTop w:val="0"/>
      <w:marBottom w:val="0"/>
      <w:divBdr>
        <w:top w:val="none" w:sz="0" w:space="0" w:color="auto"/>
        <w:left w:val="none" w:sz="0" w:space="0" w:color="auto"/>
        <w:bottom w:val="none" w:sz="0" w:space="0" w:color="auto"/>
        <w:right w:val="none" w:sz="0" w:space="0" w:color="auto"/>
      </w:divBdr>
    </w:div>
    <w:div w:id="1144395846">
      <w:bodyDiv w:val="1"/>
      <w:marLeft w:val="0"/>
      <w:marRight w:val="0"/>
      <w:marTop w:val="0"/>
      <w:marBottom w:val="0"/>
      <w:divBdr>
        <w:top w:val="none" w:sz="0" w:space="0" w:color="auto"/>
        <w:left w:val="none" w:sz="0" w:space="0" w:color="auto"/>
        <w:bottom w:val="none" w:sz="0" w:space="0" w:color="auto"/>
        <w:right w:val="none" w:sz="0" w:space="0" w:color="auto"/>
      </w:divBdr>
    </w:div>
    <w:div w:id="1144464658">
      <w:bodyDiv w:val="1"/>
      <w:marLeft w:val="0"/>
      <w:marRight w:val="0"/>
      <w:marTop w:val="0"/>
      <w:marBottom w:val="0"/>
      <w:divBdr>
        <w:top w:val="none" w:sz="0" w:space="0" w:color="auto"/>
        <w:left w:val="none" w:sz="0" w:space="0" w:color="auto"/>
        <w:bottom w:val="none" w:sz="0" w:space="0" w:color="auto"/>
        <w:right w:val="none" w:sz="0" w:space="0" w:color="auto"/>
      </w:divBdr>
    </w:div>
    <w:div w:id="1144465002">
      <w:bodyDiv w:val="1"/>
      <w:marLeft w:val="0"/>
      <w:marRight w:val="0"/>
      <w:marTop w:val="0"/>
      <w:marBottom w:val="0"/>
      <w:divBdr>
        <w:top w:val="none" w:sz="0" w:space="0" w:color="auto"/>
        <w:left w:val="none" w:sz="0" w:space="0" w:color="auto"/>
        <w:bottom w:val="none" w:sz="0" w:space="0" w:color="auto"/>
        <w:right w:val="none" w:sz="0" w:space="0" w:color="auto"/>
      </w:divBdr>
    </w:div>
    <w:div w:id="1144465752">
      <w:bodyDiv w:val="1"/>
      <w:marLeft w:val="0"/>
      <w:marRight w:val="0"/>
      <w:marTop w:val="0"/>
      <w:marBottom w:val="0"/>
      <w:divBdr>
        <w:top w:val="none" w:sz="0" w:space="0" w:color="auto"/>
        <w:left w:val="none" w:sz="0" w:space="0" w:color="auto"/>
        <w:bottom w:val="none" w:sz="0" w:space="0" w:color="auto"/>
        <w:right w:val="none" w:sz="0" w:space="0" w:color="auto"/>
      </w:divBdr>
    </w:div>
    <w:div w:id="1144471590">
      <w:bodyDiv w:val="1"/>
      <w:marLeft w:val="0"/>
      <w:marRight w:val="0"/>
      <w:marTop w:val="0"/>
      <w:marBottom w:val="0"/>
      <w:divBdr>
        <w:top w:val="none" w:sz="0" w:space="0" w:color="auto"/>
        <w:left w:val="none" w:sz="0" w:space="0" w:color="auto"/>
        <w:bottom w:val="none" w:sz="0" w:space="0" w:color="auto"/>
        <w:right w:val="none" w:sz="0" w:space="0" w:color="auto"/>
      </w:divBdr>
    </w:div>
    <w:div w:id="1144591496">
      <w:bodyDiv w:val="1"/>
      <w:marLeft w:val="0"/>
      <w:marRight w:val="0"/>
      <w:marTop w:val="0"/>
      <w:marBottom w:val="0"/>
      <w:divBdr>
        <w:top w:val="none" w:sz="0" w:space="0" w:color="auto"/>
        <w:left w:val="none" w:sz="0" w:space="0" w:color="auto"/>
        <w:bottom w:val="none" w:sz="0" w:space="0" w:color="auto"/>
        <w:right w:val="none" w:sz="0" w:space="0" w:color="auto"/>
      </w:divBdr>
    </w:div>
    <w:div w:id="1145391700">
      <w:bodyDiv w:val="1"/>
      <w:marLeft w:val="0"/>
      <w:marRight w:val="0"/>
      <w:marTop w:val="0"/>
      <w:marBottom w:val="0"/>
      <w:divBdr>
        <w:top w:val="none" w:sz="0" w:space="0" w:color="auto"/>
        <w:left w:val="none" w:sz="0" w:space="0" w:color="auto"/>
        <w:bottom w:val="none" w:sz="0" w:space="0" w:color="auto"/>
        <w:right w:val="none" w:sz="0" w:space="0" w:color="auto"/>
      </w:divBdr>
    </w:div>
    <w:div w:id="1145968547">
      <w:bodyDiv w:val="1"/>
      <w:marLeft w:val="0"/>
      <w:marRight w:val="0"/>
      <w:marTop w:val="0"/>
      <w:marBottom w:val="0"/>
      <w:divBdr>
        <w:top w:val="none" w:sz="0" w:space="0" w:color="auto"/>
        <w:left w:val="none" w:sz="0" w:space="0" w:color="auto"/>
        <w:bottom w:val="none" w:sz="0" w:space="0" w:color="auto"/>
        <w:right w:val="none" w:sz="0" w:space="0" w:color="auto"/>
      </w:divBdr>
    </w:div>
    <w:div w:id="1146052058">
      <w:bodyDiv w:val="1"/>
      <w:marLeft w:val="0"/>
      <w:marRight w:val="0"/>
      <w:marTop w:val="0"/>
      <w:marBottom w:val="0"/>
      <w:divBdr>
        <w:top w:val="none" w:sz="0" w:space="0" w:color="auto"/>
        <w:left w:val="none" w:sz="0" w:space="0" w:color="auto"/>
        <w:bottom w:val="none" w:sz="0" w:space="0" w:color="auto"/>
        <w:right w:val="none" w:sz="0" w:space="0" w:color="auto"/>
      </w:divBdr>
    </w:div>
    <w:div w:id="1146168804">
      <w:bodyDiv w:val="1"/>
      <w:marLeft w:val="0"/>
      <w:marRight w:val="0"/>
      <w:marTop w:val="0"/>
      <w:marBottom w:val="0"/>
      <w:divBdr>
        <w:top w:val="none" w:sz="0" w:space="0" w:color="auto"/>
        <w:left w:val="none" w:sz="0" w:space="0" w:color="auto"/>
        <w:bottom w:val="none" w:sz="0" w:space="0" w:color="auto"/>
        <w:right w:val="none" w:sz="0" w:space="0" w:color="auto"/>
      </w:divBdr>
    </w:div>
    <w:div w:id="1146239975">
      <w:bodyDiv w:val="1"/>
      <w:marLeft w:val="0"/>
      <w:marRight w:val="0"/>
      <w:marTop w:val="0"/>
      <w:marBottom w:val="0"/>
      <w:divBdr>
        <w:top w:val="none" w:sz="0" w:space="0" w:color="auto"/>
        <w:left w:val="none" w:sz="0" w:space="0" w:color="auto"/>
        <w:bottom w:val="none" w:sz="0" w:space="0" w:color="auto"/>
        <w:right w:val="none" w:sz="0" w:space="0" w:color="auto"/>
      </w:divBdr>
    </w:div>
    <w:div w:id="1146242171">
      <w:bodyDiv w:val="1"/>
      <w:marLeft w:val="0"/>
      <w:marRight w:val="0"/>
      <w:marTop w:val="0"/>
      <w:marBottom w:val="0"/>
      <w:divBdr>
        <w:top w:val="none" w:sz="0" w:space="0" w:color="auto"/>
        <w:left w:val="none" w:sz="0" w:space="0" w:color="auto"/>
        <w:bottom w:val="none" w:sz="0" w:space="0" w:color="auto"/>
        <w:right w:val="none" w:sz="0" w:space="0" w:color="auto"/>
      </w:divBdr>
    </w:div>
    <w:div w:id="1146320972">
      <w:bodyDiv w:val="1"/>
      <w:marLeft w:val="0"/>
      <w:marRight w:val="0"/>
      <w:marTop w:val="0"/>
      <w:marBottom w:val="0"/>
      <w:divBdr>
        <w:top w:val="none" w:sz="0" w:space="0" w:color="auto"/>
        <w:left w:val="none" w:sz="0" w:space="0" w:color="auto"/>
        <w:bottom w:val="none" w:sz="0" w:space="0" w:color="auto"/>
        <w:right w:val="none" w:sz="0" w:space="0" w:color="auto"/>
      </w:divBdr>
    </w:div>
    <w:div w:id="1146774696">
      <w:bodyDiv w:val="1"/>
      <w:marLeft w:val="0"/>
      <w:marRight w:val="0"/>
      <w:marTop w:val="0"/>
      <w:marBottom w:val="0"/>
      <w:divBdr>
        <w:top w:val="none" w:sz="0" w:space="0" w:color="auto"/>
        <w:left w:val="none" w:sz="0" w:space="0" w:color="auto"/>
        <w:bottom w:val="none" w:sz="0" w:space="0" w:color="auto"/>
        <w:right w:val="none" w:sz="0" w:space="0" w:color="auto"/>
      </w:divBdr>
    </w:div>
    <w:div w:id="1147356570">
      <w:bodyDiv w:val="1"/>
      <w:marLeft w:val="0"/>
      <w:marRight w:val="0"/>
      <w:marTop w:val="0"/>
      <w:marBottom w:val="0"/>
      <w:divBdr>
        <w:top w:val="none" w:sz="0" w:space="0" w:color="auto"/>
        <w:left w:val="none" w:sz="0" w:space="0" w:color="auto"/>
        <w:bottom w:val="none" w:sz="0" w:space="0" w:color="auto"/>
        <w:right w:val="none" w:sz="0" w:space="0" w:color="auto"/>
      </w:divBdr>
    </w:div>
    <w:div w:id="1147744984">
      <w:bodyDiv w:val="1"/>
      <w:marLeft w:val="0"/>
      <w:marRight w:val="0"/>
      <w:marTop w:val="0"/>
      <w:marBottom w:val="0"/>
      <w:divBdr>
        <w:top w:val="none" w:sz="0" w:space="0" w:color="auto"/>
        <w:left w:val="none" w:sz="0" w:space="0" w:color="auto"/>
        <w:bottom w:val="none" w:sz="0" w:space="0" w:color="auto"/>
        <w:right w:val="none" w:sz="0" w:space="0" w:color="auto"/>
      </w:divBdr>
    </w:div>
    <w:div w:id="1147816681">
      <w:bodyDiv w:val="1"/>
      <w:marLeft w:val="0"/>
      <w:marRight w:val="0"/>
      <w:marTop w:val="0"/>
      <w:marBottom w:val="0"/>
      <w:divBdr>
        <w:top w:val="none" w:sz="0" w:space="0" w:color="auto"/>
        <w:left w:val="none" w:sz="0" w:space="0" w:color="auto"/>
        <w:bottom w:val="none" w:sz="0" w:space="0" w:color="auto"/>
        <w:right w:val="none" w:sz="0" w:space="0" w:color="auto"/>
      </w:divBdr>
    </w:div>
    <w:div w:id="1147823989">
      <w:bodyDiv w:val="1"/>
      <w:marLeft w:val="0"/>
      <w:marRight w:val="0"/>
      <w:marTop w:val="0"/>
      <w:marBottom w:val="0"/>
      <w:divBdr>
        <w:top w:val="none" w:sz="0" w:space="0" w:color="auto"/>
        <w:left w:val="none" w:sz="0" w:space="0" w:color="auto"/>
        <w:bottom w:val="none" w:sz="0" w:space="0" w:color="auto"/>
        <w:right w:val="none" w:sz="0" w:space="0" w:color="auto"/>
      </w:divBdr>
    </w:div>
    <w:div w:id="1147895447">
      <w:bodyDiv w:val="1"/>
      <w:marLeft w:val="0"/>
      <w:marRight w:val="0"/>
      <w:marTop w:val="0"/>
      <w:marBottom w:val="0"/>
      <w:divBdr>
        <w:top w:val="none" w:sz="0" w:space="0" w:color="auto"/>
        <w:left w:val="none" w:sz="0" w:space="0" w:color="auto"/>
        <w:bottom w:val="none" w:sz="0" w:space="0" w:color="auto"/>
        <w:right w:val="none" w:sz="0" w:space="0" w:color="auto"/>
      </w:divBdr>
    </w:div>
    <w:div w:id="1147935817">
      <w:bodyDiv w:val="1"/>
      <w:marLeft w:val="0"/>
      <w:marRight w:val="0"/>
      <w:marTop w:val="0"/>
      <w:marBottom w:val="0"/>
      <w:divBdr>
        <w:top w:val="none" w:sz="0" w:space="0" w:color="auto"/>
        <w:left w:val="none" w:sz="0" w:space="0" w:color="auto"/>
        <w:bottom w:val="none" w:sz="0" w:space="0" w:color="auto"/>
        <w:right w:val="none" w:sz="0" w:space="0" w:color="auto"/>
      </w:divBdr>
    </w:div>
    <w:div w:id="1148086462">
      <w:bodyDiv w:val="1"/>
      <w:marLeft w:val="0"/>
      <w:marRight w:val="0"/>
      <w:marTop w:val="0"/>
      <w:marBottom w:val="0"/>
      <w:divBdr>
        <w:top w:val="none" w:sz="0" w:space="0" w:color="auto"/>
        <w:left w:val="none" w:sz="0" w:space="0" w:color="auto"/>
        <w:bottom w:val="none" w:sz="0" w:space="0" w:color="auto"/>
        <w:right w:val="none" w:sz="0" w:space="0" w:color="auto"/>
      </w:divBdr>
    </w:div>
    <w:div w:id="1148280730">
      <w:bodyDiv w:val="1"/>
      <w:marLeft w:val="0"/>
      <w:marRight w:val="0"/>
      <w:marTop w:val="0"/>
      <w:marBottom w:val="0"/>
      <w:divBdr>
        <w:top w:val="none" w:sz="0" w:space="0" w:color="auto"/>
        <w:left w:val="none" w:sz="0" w:space="0" w:color="auto"/>
        <w:bottom w:val="none" w:sz="0" w:space="0" w:color="auto"/>
        <w:right w:val="none" w:sz="0" w:space="0" w:color="auto"/>
      </w:divBdr>
    </w:div>
    <w:div w:id="1148595193">
      <w:bodyDiv w:val="1"/>
      <w:marLeft w:val="0"/>
      <w:marRight w:val="0"/>
      <w:marTop w:val="0"/>
      <w:marBottom w:val="0"/>
      <w:divBdr>
        <w:top w:val="none" w:sz="0" w:space="0" w:color="auto"/>
        <w:left w:val="none" w:sz="0" w:space="0" w:color="auto"/>
        <w:bottom w:val="none" w:sz="0" w:space="0" w:color="auto"/>
        <w:right w:val="none" w:sz="0" w:space="0" w:color="auto"/>
      </w:divBdr>
    </w:div>
    <w:div w:id="1148859949">
      <w:bodyDiv w:val="1"/>
      <w:marLeft w:val="0"/>
      <w:marRight w:val="0"/>
      <w:marTop w:val="0"/>
      <w:marBottom w:val="0"/>
      <w:divBdr>
        <w:top w:val="none" w:sz="0" w:space="0" w:color="auto"/>
        <w:left w:val="none" w:sz="0" w:space="0" w:color="auto"/>
        <w:bottom w:val="none" w:sz="0" w:space="0" w:color="auto"/>
        <w:right w:val="none" w:sz="0" w:space="0" w:color="auto"/>
      </w:divBdr>
    </w:div>
    <w:div w:id="1148866331">
      <w:bodyDiv w:val="1"/>
      <w:marLeft w:val="0"/>
      <w:marRight w:val="0"/>
      <w:marTop w:val="0"/>
      <w:marBottom w:val="0"/>
      <w:divBdr>
        <w:top w:val="none" w:sz="0" w:space="0" w:color="auto"/>
        <w:left w:val="none" w:sz="0" w:space="0" w:color="auto"/>
        <w:bottom w:val="none" w:sz="0" w:space="0" w:color="auto"/>
        <w:right w:val="none" w:sz="0" w:space="0" w:color="auto"/>
      </w:divBdr>
    </w:div>
    <w:div w:id="1148981299">
      <w:bodyDiv w:val="1"/>
      <w:marLeft w:val="0"/>
      <w:marRight w:val="0"/>
      <w:marTop w:val="0"/>
      <w:marBottom w:val="0"/>
      <w:divBdr>
        <w:top w:val="none" w:sz="0" w:space="0" w:color="auto"/>
        <w:left w:val="none" w:sz="0" w:space="0" w:color="auto"/>
        <w:bottom w:val="none" w:sz="0" w:space="0" w:color="auto"/>
        <w:right w:val="none" w:sz="0" w:space="0" w:color="auto"/>
      </w:divBdr>
    </w:div>
    <w:div w:id="1149319447">
      <w:bodyDiv w:val="1"/>
      <w:marLeft w:val="0"/>
      <w:marRight w:val="0"/>
      <w:marTop w:val="0"/>
      <w:marBottom w:val="0"/>
      <w:divBdr>
        <w:top w:val="none" w:sz="0" w:space="0" w:color="auto"/>
        <w:left w:val="none" w:sz="0" w:space="0" w:color="auto"/>
        <w:bottom w:val="none" w:sz="0" w:space="0" w:color="auto"/>
        <w:right w:val="none" w:sz="0" w:space="0" w:color="auto"/>
      </w:divBdr>
    </w:div>
    <w:div w:id="1149322892">
      <w:bodyDiv w:val="1"/>
      <w:marLeft w:val="0"/>
      <w:marRight w:val="0"/>
      <w:marTop w:val="0"/>
      <w:marBottom w:val="0"/>
      <w:divBdr>
        <w:top w:val="none" w:sz="0" w:space="0" w:color="auto"/>
        <w:left w:val="none" w:sz="0" w:space="0" w:color="auto"/>
        <w:bottom w:val="none" w:sz="0" w:space="0" w:color="auto"/>
        <w:right w:val="none" w:sz="0" w:space="0" w:color="auto"/>
      </w:divBdr>
    </w:div>
    <w:div w:id="1149442544">
      <w:bodyDiv w:val="1"/>
      <w:marLeft w:val="0"/>
      <w:marRight w:val="0"/>
      <w:marTop w:val="0"/>
      <w:marBottom w:val="0"/>
      <w:divBdr>
        <w:top w:val="none" w:sz="0" w:space="0" w:color="auto"/>
        <w:left w:val="none" w:sz="0" w:space="0" w:color="auto"/>
        <w:bottom w:val="none" w:sz="0" w:space="0" w:color="auto"/>
        <w:right w:val="none" w:sz="0" w:space="0" w:color="auto"/>
      </w:divBdr>
    </w:div>
    <w:div w:id="1149444024">
      <w:bodyDiv w:val="1"/>
      <w:marLeft w:val="0"/>
      <w:marRight w:val="0"/>
      <w:marTop w:val="0"/>
      <w:marBottom w:val="0"/>
      <w:divBdr>
        <w:top w:val="none" w:sz="0" w:space="0" w:color="auto"/>
        <w:left w:val="none" w:sz="0" w:space="0" w:color="auto"/>
        <w:bottom w:val="none" w:sz="0" w:space="0" w:color="auto"/>
        <w:right w:val="none" w:sz="0" w:space="0" w:color="auto"/>
      </w:divBdr>
    </w:div>
    <w:div w:id="1149593172">
      <w:bodyDiv w:val="1"/>
      <w:marLeft w:val="0"/>
      <w:marRight w:val="0"/>
      <w:marTop w:val="0"/>
      <w:marBottom w:val="0"/>
      <w:divBdr>
        <w:top w:val="none" w:sz="0" w:space="0" w:color="auto"/>
        <w:left w:val="none" w:sz="0" w:space="0" w:color="auto"/>
        <w:bottom w:val="none" w:sz="0" w:space="0" w:color="auto"/>
        <w:right w:val="none" w:sz="0" w:space="0" w:color="auto"/>
      </w:divBdr>
    </w:div>
    <w:div w:id="1149782347">
      <w:bodyDiv w:val="1"/>
      <w:marLeft w:val="0"/>
      <w:marRight w:val="0"/>
      <w:marTop w:val="0"/>
      <w:marBottom w:val="0"/>
      <w:divBdr>
        <w:top w:val="none" w:sz="0" w:space="0" w:color="auto"/>
        <w:left w:val="none" w:sz="0" w:space="0" w:color="auto"/>
        <w:bottom w:val="none" w:sz="0" w:space="0" w:color="auto"/>
        <w:right w:val="none" w:sz="0" w:space="0" w:color="auto"/>
      </w:divBdr>
    </w:div>
    <w:div w:id="1150440901">
      <w:bodyDiv w:val="1"/>
      <w:marLeft w:val="0"/>
      <w:marRight w:val="0"/>
      <w:marTop w:val="0"/>
      <w:marBottom w:val="0"/>
      <w:divBdr>
        <w:top w:val="none" w:sz="0" w:space="0" w:color="auto"/>
        <w:left w:val="none" w:sz="0" w:space="0" w:color="auto"/>
        <w:bottom w:val="none" w:sz="0" w:space="0" w:color="auto"/>
        <w:right w:val="none" w:sz="0" w:space="0" w:color="auto"/>
      </w:divBdr>
    </w:div>
    <w:div w:id="1150827736">
      <w:bodyDiv w:val="1"/>
      <w:marLeft w:val="0"/>
      <w:marRight w:val="0"/>
      <w:marTop w:val="0"/>
      <w:marBottom w:val="0"/>
      <w:divBdr>
        <w:top w:val="none" w:sz="0" w:space="0" w:color="auto"/>
        <w:left w:val="none" w:sz="0" w:space="0" w:color="auto"/>
        <w:bottom w:val="none" w:sz="0" w:space="0" w:color="auto"/>
        <w:right w:val="none" w:sz="0" w:space="0" w:color="auto"/>
      </w:divBdr>
    </w:div>
    <w:div w:id="1150898884">
      <w:bodyDiv w:val="1"/>
      <w:marLeft w:val="0"/>
      <w:marRight w:val="0"/>
      <w:marTop w:val="0"/>
      <w:marBottom w:val="0"/>
      <w:divBdr>
        <w:top w:val="none" w:sz="0" w:space="0" w:color="auto"/>
        <w:left w:val="none" w:sz="0" w:space="0" w:color="auto"/>
        <w:bottom w:val="none" w:sz="0" w:space="0" w:color="auto"/>
        <w:right w:val="none" w:sz="0" w:space="0" w:color="auto"/>
      </w:divBdr>
    </w:div>
    <w:div w:id="1151140487">
      <w:bodyDiv w:val="1"/>
      <w:marLeft w:val="0"/>
      <w:marRight w:val="0"/>
      <w:marTop w:val="0"/>
      <w:marBottom w:val="0"/>
      <w:divBdr>
        <w:top w:val="none" w:sz="0" w:space="0" w:color="auto"/>
        <w:left w:val="none" w:sz="0" w:space="0" w:color="auto"/>
        <w:bottom w:val="none" w:sz="0" w:space="0" w:color="auto"/>
        <w:right w:val="none" w:sz="0" w:space="0" w:color="auto"/>
      </w:divBdr>
    </w:div>
    <w:div w:id="1151286257">
      <w:bodyDiv w:val="1"/>
      <w:marLeft w:val="0"/>
      <w:marRight w:val="0"/>
      <w:marTop w:val="0"/>
      <w:marBottom w:val="0"/>
      <w:divBdr>
        <w:top w:val="none" w:sz="0" w:space="0" w:color="auto"/>
        <w:left w:val="none" w:sz="0" w:space="0" w:color="auto"/>
        <w:bottom w:val="none" w:sz="0" w:space="0" w:color="auto"/>
        <w:right w:val="none" w:sz="0" w:space="0" w:color="auto"/>
      </w:divBdr>
    </w:div>
    <w:div w:id="1151294585">
      <w:bodyDiv w:val="1"/>
      <w:marLeft w:val="0"/>
      <w:marRight w:val="0"/>
      <w:marTop w:val="0"/>
      <w:marBottom w:val="0"/>
      <w:divBdr>
        <w:top w:val="none" w:sz="0" w:space="0" w:color="auto"/>
        <w:left w:val="none" w:sz="0" w:space="0" w:color="auto"/>
        <w:bottom w:val="none" w:sz="0" w:space="0" w:color="auto"/>
        <w:right w:val="none" w:sz="0" w:space="0" w:color="auto"/>
      </w:divBdr>
    </w:div>
    <w:div w:id="1151629658">
      <w:bodyDiv w:val="1"/>
      <w:marLeft w:val="0"/>
      <w:marRight w:val="0"/>
      <w:marTop w:val="0"/>
      <w:marBottom w:val="0"/>
      <w:divBdr>
        <w:top w:val="none" w:sz="0" w:space="0" w:color="auto"/>
        <w:left w:val="none" w:sz="0" w:space="0" w:color="auto"/>
        <w:bottom w:val="none" w:sz="0" w:space="0" w:color="auto"/>
        <w:right w:val="none" w:sz="0" w:space="0" w:color="auto"/>
      </w:divBdr>
    </w:div>
    <w:div w:id="1151749523">
      <w:bodyDiv w:val="1"/>
      <w:marLeft w:val="0"/>
      <w:marRight w:val="0"/>
      <w:marTop w:val="0"/>
      <w:marBottom w:val="0"/>
      <w:divBdr>
        <w:top w:val="none" w:sz="0" w:space="0" w:color="auto"/>
        <w:left w:val="none" w:sz="0" w:space="0" w:color="auto"/>
        <w:bottom w:val="none" w:sz="0" w:space="0" w:color="auto"/>
        <w:right w:val="none" w:sz="0" w:space="0" w:color="auto"/>
      </w:divBdr>
    </w:div>
    <w:div w:id="1152018655">
      <w:bodyDiv w:val="1"/>
      <w:marLeft w:val="0"/>
      <w:marRight w:val="0"/>
      <w:marTop w:val="0"/>
      <w:marBottom w:val="0"/>
      <w:divBdr>
        <w:top w:val="none" w:sz="0" w:space="0" w:color="auto"/>
        <w:left w:val="none" w:sz="0" w:space="0" w:color="auto"/>
        <w:bottom w:val="none" w:sz="0" w:space="0" w:color="auto"/>
        <w:right w:val="none" w:sz="0" w:space="0" w:color="auto"/>
      </w:divBdr>
    </w:div>
    <w:div w:id="1152452770">
      <w:bodyDiv w:val="1"/>
      <w:marLeft w:val="0"/>
      <w:marRight w:val="0"/>
      <w:marTop w:val="0"/>
      <w:marBottom w:val="0"/>
      <w:divBdr>
        <w:top w:val="none" w:sz="0" w:space="0" w:color="auto"/>
        <w:left w:val="none" w:sz="0" w:space="0" w:color="auto"/>
        <w:bottom w:val="none" w:sz="0" w:space="0" w:color="auto"/>
        <w:right w:val="none" w:sz="0" w:space="0" w:color="auto"/>
      </w:divBdr>
    </w:div>
    <w:div w:id="1152604315">
      <w:bodyDiv w:val="1"/>
      <w:marLeft w:val="0"/>
      <w:marRight w:val="0"/>
      <w:marTop w:val="0"/>
      <w:marBottom w:val="0"/>
      <w:divBdr>
        <w:top w:val="none" w:sz="0" w:space="0" w:color="auto"/>
        <w:left w:val="none" w:sz="0" w:space="0" w:color="auto"/>
        <w:bottom w:val="none" w:sz="0" w:space="0" w:color="auto"/>
        <w:right w:val="none" w:sz="0" w:space="0" w:color="auto"/>
      </w:divBdr>
    </w:div>
    <w:div w:id="1153065660">
      <w:bodyDiv w:val="1"/>
      <w:marLeft w:val="0"/>
      <w:marRight w:val="0"/>
      <w:marTop w:val="0"/>
      <w:marBottom w:val="0"/>
      <w:divBdr>
        <w:top w:val="none" w:sz="0" w:space="0" w:color="auto"/>
        <w:left w:val="none" w:sz="0" w:space="0" w:color="auto"/>
        <w:bottom w:val="none" w:sz="0" w:space="0" w:color="auto"/>
        <w:right w:val="none" w:sz="0" w:space="0" w:color="auto"/>
      </w:divBdr>
    </w:div>
    <w:div w:id="1153571198">
      <w:bodyDiv w:val="1"/>
      <w:marLeft w:val="0"/>
      <w:marRight w:val="0"/>
      <w:marTop w:val="0"/>
      <w:marBottom w:val="0"/>
      <w:divBdr>
        <w:top w:val="none" w:sz="0" w:space="0" w:color="auto"/>
        <w:left w:val="none" w:sz="0" w:space="0" w:color="auto"/>
        <w:bottom w:val="none" w:sz="0" w:space="0" w:color="auto"/>
        <w:right w:val="none" w:sz="0" w:space="0" w:color="auto"/>
      </w:divBdr>
    </w:div>
    <w:div w:id="1154029080">
      <w:bodyDiv w:val="1"/>
      <w:marLeft w:val="0"/>
      <w:marRight w:val="0"/>
      <w:marTop w:val="0"/>
      <w:marBottom w:val="0"/>
      <w:divBdr>
        <w:top w:val="none" w:sz="0" w:space="0" w:color="auto"/>
        <w:left w:val="none" w:sz="0" w:space="0" w:color="auto"/>
        <w:bottom w:val="none" w:sz="0" w:space="0" w:color="auto"/>
        <w:right w:val="none" w:sz="0" w:space="0" w:color="auto"/>
      </w:divBdr>
    </w:div>
    <w:div w:id="1154032142">
      <w:bodyDiv w:val="1"/>
      <w:marLeft w:val="0"/>
      <w:marRight w:val="0"/>
      <w:marTop w:val="0"/>
      <w:marBottom w:val="0"/>
      <w:divBdr>
        <w:top w:val="none" w:sz="0" w:space="0" w:color="auto"/>
        <w:left w:val="none" w:sz="0" w:space="0" w:color="auto"/>
        <w:bottom w:val="none" w:sz="0" w:space="0" w:color="auto"/>
        <w:right w:val="none" w:sz="0" w:space="0" w:color="auto"/>
      </w:divBdr>
    </w:div>
    <w:div w:id="1154681214">
      <w:bodyDiv w:val="1"/>
      <w:marLeft w:val="0"/>
      <w:marRight w:val="0"/>
      <w:marTop w:val="0"/>
      <w:marBottom w:val="0"/>
      <w:divBdr>
        <w:top w:val="none" w:sz="0" w:space="0" w:color="auto"/>
        <w:left w:val="none" w:sz="0" w:space="0" w:color="auto"/>
        <w:bottom w:val="none" w:sz="0" w:space="0" w:color="auto"/>
        <w:right w:val="none" w:sz="0" w:space="0" w:color="auto"/>
      </w:divBdr>
    </w:div>
    <w:div w:id="1154831758">
      <w:bodyDiv w:val="1"/>
      <w:marLeft w:val="0"/>
      <w:marRight w:val="0"/>
      <w:marTop w:val="0"/>
      <w:marBottom w:val="0"/>
      <w:divBdr>
        <w:top w:val="none" w:sz="0" w:space="0" w:color="auto"/>
        <w:left w:val="none" w:sz="0" w:space="0" w:color="auto"/>
        <w:bottom w:val="none" w:sz="0" w:space="0" w:color="auto"/>
        <w:right w:val="none" w:sz="0" w:space="0" w:color="auto"/>
      </w:divBdr>
    </w:div>
    <w:div w:id="1154905774">
      <w:bodyDiv w:val="1"/>
      <w:marLeft w:val="0"/>
      <w:marRight w:val="0"/>
      <w:marTop w:val="0"/>
      <w:marBottom w:val="0"/>
      <w:divBdr>
        <w:top w:val="none" w:sz="0" w:space="0" w:color="auto"/>
        <w:left w:val="none" w:sz="0" w:space="0" w:color="auto"/>
        <w:bottom w:val="none" w:sz="0" w:space="0" w:color="auto"/>
        <w:right w:val="none" w:sz="0" w:space="0" w:color="auto"/>
      </w:divBdr>
    </w:div>
    <w:div w:id="1154948916">
      <w:bodyDiv w:val="1"/>
      <w:marLeft w:val="0"/>
      <w:marRight w:val="0"/>
      <w:marTop w:val="0"/>
      <w:marBottom w:val="0"/>
      <w:divBdr>
        <w:top w:val="none" w:sz="0" w:space="0" w:color="auto"/>
        <w:left w:val="none" w:sz="0" w:space="0" w:color="auto"/>
        <w:bottom w:val="none" w:sz="0" w:space="0" w:color="auto"/>
        <w:right w:val="none" w:sz="0" w:space="0" w:color="auto"/>
      </w:divBdr>
    </w:div>
    <w:div w:id="1155679096">
      <w:bodyDiv w:val="1"/>
      <w:marLeft w:val="0"/>
      <w:marRight w:val="0"/>
      <w:marTop w:val="0"/>
      <w:marBottom w:val="0"/>
      <w:divBdr>
        <w:top w:val="none" w:sz="0" w:space="0" w:color="auto"/>
        <w:left w:val="none" w:sz="0" w:space="0" w:color="auto"/>
        <w:bottom w:val="none" w:sz="0" w:space="0" w:color="auto"/>
        <w:right w:val="none" w:sz="0" w:space="0" w:color="auto"/>
      </w:divBdr>
    </w:div>
    <w:div w:id="1155954485">
      <w:bodyDiv w:val="1"/>
      <w:marLeft w:val="0"/>
      <w:marRight w:val="0"/>
      <w:marTop w:val="0"/>
      <w:marBottom w:val="0"/>
      <w:divBdr>
        <w:top w:val="none" w:sz="0" w:space="0" w:color="auto"/>
        <w:left w:val="none" w:sz="0" w:space="0" w:color="auto"/>
        <w:bottom w:val="none" w:sz="0" w:space="0" w:color="auto"/>
        <w:right w:val="none" w:sz="0" w:space="0" w:color="auto"/>
      </w:divBdr>
    </w:div>
    <w:div w:id="1156218443">
      <w:bodyDiv w:val="1"/>
      <w:marLeft w:val="0"/>
      <w:marRight w:val="0"/>
      <w:marTop w:val="0"/>
      <w:marBottom w:val="0"/>
      <w:divBdr>
        <w:top w:val="none" w:sz="0" w:space="0" w:color="auto"/>
        <w:left w:val="none" w:sz="0" w:space="0" w:color="auto"/>
        <w:bottom w:val="none" w:sz="0" w:space="0" w:color="auto"/>
        <w:right w:val="none" w:sz="0" w:space="0" w:color="auto"/>
      </w:divBdr>
    </w:div>
    <w:div w:id="1156339550">
      <w:bodyDiv w:val="1"/>
      <w:marLeft w:val="0"/>
      <w:marRight w:val="0"/>
      <w:marTop w:val="0"/>
      <w:marBottom w:val="0"/>
      <w:divBdr>
        <w:top w:val="none" w:sz="0" w:space="0" w:color="auto"/>
        <w:left w:val="none" w:sz="0" w:space="0" w:color="auto"/>
        <w:bottom w:val="none" w:sz="0" w:space="0" w:color="auto"/>
        <w:right w:val="none" w:sz="0" w:space="0" w:color="auto"/>
      </w:divBdr>
    </w:div>
    <w:div w:id="1156409786">
      <w:bodyDiv w:val="1"/>
      <w:marLeft w:val="0"/>
      <w:marRight w:val="0"/>
      <w:marTop w:val="0"/>
      <w:marBottom w:val="0"/>
      <w:divBdr>
        <w:top w:val="none" w:sz="0" w:space="0" w:color="auto"/>
        <w:left w:val="none" w:sz="0" w:space="0" w:color="auto"/>
        <w:bottom w:val="none" w:sz="0" w:space="0" w:color="auto"/>
        <w:right w:val="none" w:sz="0" w:space="0" w:color="auto"/>
      </w:divBdr>
    </w:div>
    <w:div w:id="1156604170">
      <w:bodyDiv w:val="1"/>
      <w:marLeft w:val="0"/>
      <w:marRight w:val="0"/>
      <w:marTop w:val="0"/>
      <w:marBottom w:val="0"/>
      <w:divBdr>
        <w:top w:val="none" w:sz="0" w:space="0" w:color="auto"/>
        <w:left w:val="none" w:sz="0" w:space="0" w:color="auto"/>
        <w:bottom w:val="none" w:sz="0" w:space="0" w:color="auto"/>
        <w:right w:val="none" w:sz="0" w:space="0" w:color="auto"/>
      </w:divBdr>
    </w:div>
    <w:div w:id="1156652826">
      <w:bodyDiv w:val="1"/>
      <w:marLeft w:val="0"/>
      <w:marRight w:val="0"/>
      <w:marTop w:val="0"/>
      <w:marBottom w:val="0"/>
      <w:divBdr>
        <w:top w:val="none" w:sz="0" w:space="0" w:color="auto"/>
        <w:left w:val="none" w:sz="0" w:space="0" w:color="auto"/>
        <w:bottom w:val="none" w:sz="0" w:space="0" w:color="auto"/>
        <w:right w:val="none" w:sz="0" w:space="0" w:color="auto"/>
      </w:divBdr>
    </w:div>
    <w:div w:id="1156801556">
      <w:bodyDiv w:val="1"/>
      <w:marLeft w:val="0"/>
      <w:marRight w:val="0"/>
      <w:marTop w:val="0"/>
      <w:marBottom w:val="0"/>
      <w:divBdr>
        <w:top w:val="none" w:sz="0" w:space="0" w:color="auto"/>
        <w:left w:val="none" w:sz="0" w:space="0" w:color="auto"/>
        <w:bottom w:val="none" w:sz="0" w:space="0" w:color="auto"/>
        <w:right w:val="none" w:sz="0" w:space="0" w:color="auto"/>
      </w:divBdr>
    </w:div>
    <w:div w:id="1156917984">
      <w:bodyDiv w:val="1"/>
      <w:marLeft w:val="0"/>
      <w:marRight w:val="0"/>
      <w:marTop w:val="0"/>
      <w:marBottom w:val="0"/>
      <w:divBdr>
        <w:top w:val="none" w:sz="0" w:space="0" w:color="auto"/>
        <w:left w:val="none" w:sz="0" w:space="0" w:color="auto"/>
        <w:bottom w:val="none" w:sz="0" w:space="0" w:color="auto"/>
        <w:right w:val="none" w:sz="0" w:space="0" w:color="auto"/>
      </w:divBdr>
    </w:div>
    <w:div w:id="1156993789">
      <w:bodyDiv w:val="1"/>
      <w:marLeft w:val="0"/>
      <w:marRight w:val="0"/>
      <w:marTop w:val="0"/>
      <w:marBottom w:val="0"/>
      <w:divBdr>
        <w:top w:val="none" w:sz="0" w:space="0" w:color="auto"/>
        <w:left w:val="none" w:sz="0" w:space="0" w:color="auto"/>
        <w:bottom w:val="none" w:sz="0" w:space="0" w:color="auto"/>
        <w:right w:val="none" w:sz="0" w:space="0" w:color="auto"/>
      </w:divBdr>
    </w:div>
    <w:div w:id="1156994195">
      <w:bodyDiv w:val="1"/>
      <w:marLeft w:val="0"/>
      <w:marRight w:val="0"/>
      <w:marTop w:val="0"/>
      <w:marBottom w:val="0"/>
      <w:divBdr>
        <w:top w:val="none" w:sz="0" w:space="0" w:color="auto"/>
        <w:left w:val="none" w:sz="0" w:space="0" w:color="auto"/>
        <w:bottom w:val="none" w:sz="0" w:space="0" w:color="auto"/>
        <w:right w:val="none" w:sz="0" w:space="0" w:color="auto"/>
      </w:divBdr>
    </w:div>
    <w:div w:id="1157038223">
      <w:bodyDiv w:val="1"/>
      <w:marLeft w:val="0"/>
      <w:marRight w:val="0"/>
      <w:marTop w:val="0"/>
      <w:marBottom w:val="0"/>
      <w:divBdr>
        <w:top w:val="none" w:sz="0" w:space="0" w:color="auto"/>
        <w:left w:val="none" w:sz="0" w:space="0" w:color="auto"/>
        <w:bottom w:val="none" w:sz="0" w:space="0" w:color="auto"/>
        <w:right w:val="none" w:sz="0" w:space="0" w:color="auto"/>
      </w:divBdr>
    </w:div>
    <w:div w:id="1157112495">
      <w:bodyDiv w:val="1"/>
      <w:marLeft w:val="0"/>
      <w:marRight w:val="0"/>
      <w:marTop w:val="0"/>
      <w:marBottom w:val="0"/>
      <w:divBdr>
        <w:top w:val="none" w:sz="0" w:space="0" w:color="auto"/>
        <w:left w:val="none" w:sz="0" w:space="0" w:color="auto"/>
        <w:bottom w:val="none" w:sz="0" w:space="0" w:color="auto"/>
        <w:right w:val="none" w:sz="0" w:space="0" w:color="auto"/>
      </w:divBdr>
    </w:div>
    <w:div w:id="1157839847">
      <w:bodyDiv w:val="1"/>
      <w:marLeft w:val="0"/>
      <w:marRight w:val="0"/>
      <w:marTop w:val="0"/>
      <w:marBottom w:val="0"/>
      <w:divBdr>
        <w:top w:val="none" w:sz="0" w:space="0" w:color="auto"/>
        <w:left w:val="none" w:sz="0" w:space="0" w:color="auto"/>
        <w:bottom w:val="none" w:sz="0" w:space="0" w:color="auto"/>
        <w:right w:val="none" w:sz="0" w:space="0" w:color="auto"/>
      </w:divBdr>
    </w:div>
    <w:div w:id="1157920198">
      <w:bodyDiv w:val="1"/>
      <w:marLeft w:val="0"/>
      <w:marRight w:val="0"/>
      <w:marTop w:val="0"/>
      <w:marBottom w:val="0"/>
      <w:divBdr>
        <w:top w:val="none" w:sz="0" w:space="0" w:color="auto"/>
        <w:left w:val="none" w:sz="0" w:space="0" w:color="auto"/>
        <w:bottom w:val="none" w:sz="0" w:space="0" w:color="auto"/>
        <w:right w:val="none" w:sz="0" w:space="0" w:color="auto"/>
      </w:divBdr>
    </w:div>
    <w:div w:id="1158307593">
      <w:bodyDiv w:val="1"/>
      <w:marLeft w:val="0"/>
      <w:marRight w:val="0"/>
      <w:marTop w:val="0"/>
      <w:marBottom w:val="0"/>
      <w:divBdr>
        <w:top w:val="none" w:sz="0" w:space="0" w:color="auto"/>
        <w:left w:val="none" w:sz="0" w:space="0" w:color="auto"/>
        <w:bottom w:val="none" w:sz="0" w:space="0" w:color="auto"/>
        <w:right w:val="none" w:sz="0" w:space="0" w:color="auto"/>
      </w:divBdr>
    </w:div>
    <w:div w:id="1158351530">
      <w:bodyDiv w:val="1"/>
      <w:marLeft w:val="0"/>
      <w:marRight w:val="0"/>
      <w:marTop w:val="0"/>
      <w:marBottom w:val="0"/>
      <w:divBdr>
        <w:top w:val="none" w:sz="0" w:space="0" w:color="auto"/>
        <w:left w:val="none" w:sz="0" w:space="0" w:color="auto"/>
        <w:bottom w:val="none" w:sz="0" w:space="0" w:color="auto"/>
        <w:right w:val="none" w:sz="0" w:space="0" w:color="auto"/>
      </w:divBdr>
    </w:div>
    <w:div w:id="1158576526">
      <w:bodyDiv w:val="1"/>
      <w:marLeft w:val="0"/>
      <w:marRight w:val="0"/>
      <w:marTop w:val="0"/>
      <w:marBottom w:val="0"/>
      <w:divBdr>
        <w:top w:val="none" w:sz="0" w:space="0" w:color="auto"/>
        <w:left w:val="none" w:sz="0" w:space="0" w:color="auto"/>
        <w:bottom w:val="none" w:sz="0" w:space="0" w:color="auto"/>
        <w:right w:val="none" w:sz="0" w:space="0" w:color="auto"/>
      </w:divBdr>
    </w:div>
    <w:div w:id="1158762965">
      <w:bodyDiv w:val="1"/>
      <w:marLeft w:val="0"/>
      <w:marRight w:val="0"/>
      <w:marTop w:val="0"/>
      <w:marBottom w:val="0"/>
      <w:divBdr>
        <w:top w:val="none" w:sz="0" w:space="0" w:color="auto"/>
        <w:left w:val="none" w:sz="0" w:space="0" w:color="auto"/>
        <w:bottom w:val="none" w:sz="0" w:space="0" w:color="auto"/>
        <w:right w:val="none" w:sz="0" w:space="0" w:color="auto"/>
      </w:divBdr>
    </w:div>
    <w:div w:id="1158811933">
      <w:bodyDiv w:val="1"/>
      <w:marLeft w:val="0"/>
      <w:marRight w:val="0"/>
      <w:marTop w:val="0"/>
      <w:marBottom w:val="0"/>
      <w:divBdr>
        <w:top w:val="none" w:sz="0" w:space="0" w:color="auto"/>
        <w:left w:val="none" w:sz="0" w:space="0" w:color="auto"/>
        <w:bottom w:val="none" w:sz="0" w:space="0" w:color="auto"/>
        <w:right w:val="none" w:sz="0" w:space="0" w:color="auto"/>
      </w:divBdr>
    </w:div>
    <w:div w:id="1158955056">
      <w:bodyDiv w:val="1"/>
      <w:marLeft w:val="0"/>
      <w:marRight w:val="0"/>
      <w:marTop w:val="0"/>
      <w:marBottom w:val="0"/>
      <w:divBdr>
        <w:top w:val="none" w:sz="0" w:space="0" w:color="auto"/>
        <w:left w:val="none" w:sz="0" w:space="0" w:color="auto"/>
        <w:bottom w:val="none" w:sz="0" w:space="0" w:color="auto"/>
        <w:right w:val="none" w:sz="0" w:space="0" w:color="auto"/>
      </w:divBdr>
    </w:div>
    <w:div w:id="1159156679">
      <w:bodyDiv w:val="1"/>
      <w:marLeft w:val="0"/>
      <w:marRight w:val="0"/>
      <w:marTop w:val="0"/>
      <w:marBottom w:val="0"/>
      <w:divBdr>
        <w:top w:val="none" w:sz="0" w:space="0" w:color="auto"/>
        <w:left w:val="none" w:sz="0" w:space="0" w:color="auto"/>
        <w:bottom w:val="none" w:sz="0" w:space="0" w:color="auto"/>
        <w:right w:val="none" w:sz="0" w:space="0" w:color="auto"/>
      </w:divBdr>
    </w:div>
    <w:div w:id="1159230029">
      <w:bodyDiv w:val="1"/>
      <w:marLeft w:val="0"/>
      <w:marRight w:val="0"/>
      <w:marTop w:val="0"/>
      <w:marBottom w:val="0"/>
      <w:divBdr>
        <w:top w:val="none" w:sz="0" w:space="0" w:color="auto"/>
        <w:left w:val="none" w:sz="0" w:space="0" w:color="auto"/>
        <w:bottom w:val="none" w:sz="0" w:space="0" w:color="auto"/>
        <w:right w:val="none" w:sz="0" w:space="0" w:color="auto"/>
      </w:divBdr>
    </w:div>
    <w:div w:id="1159535693">
      <w:bodyDiv w:val="1"/>
      <w:marLeft w:val="0"/>
      <w:marRight w:val="0"/>
      <w:marTop w:val="0"/>
      <w:marBottom w:val="0"/>
      <w:divBdr>
        <w:top w:val="none" w:sz="0" w:space="0" w:color="auto"/>
        <w:left w:val="none" w:sz="0" w:space="0" w:color="auto"/>
        <w:bottom w:val="none" w:sz="0" w:space="0" w:color="auto"/>
        <w:right w:val="none" w:sz="0" w:space="0" w:color="auto"/>
      </w:divBdr>
    </w:div>
    <w:div w:id="1159536905">
      <w:bodyDiv w:val="1"/>
      <w:marLeft w:val="0"/>
      <w:marRight w:val="0"/>
      <w:marTop w:val="0"/>
      <w:marBottom w:val="0"/>
      <w:divBdr>
        <w:top w:val="none" w:sz="0" w:space="0" w:color="auto"/>
        <w:left w:val="none" w:sz="0" w:space="0" w:color="auto"/>
        <w:bottom w:val="none" w:sz="0" w:space="0" w:color="auto"/>
        <w:right w:val="none" w:sz="0" w:space="0" w:color="auto"/>
      </w:divBdr>
    </w:div>
    <w:div w:id="1159538391">
      <w:bodyDiv w:val="1"/>
      <w:marLeft w:val="0"/>
      <w:marRight w:val="0"/>
      <w:marTop w:val="0"/>
      <w:marBottom w:val="0"/>
      <w:divBdr>
        <w:top w:val="none" w:sz="0" w:space="0" w:color="auto"/>
        <w:left w:val="none" w:sz="0" w:space="0" w:color="auto"/>
        <w:bottom w:val="none" w:sz="0" w:space="0" w:color="auto"/>
        <w:right w:val="none" w:sz="0" w:space="0" w:color="auto"/>
      </w:divBdr>
    </w:div>
    <w:div w:id="1159538537">
      <w:bodyDiv w:val="1"/>
      <w:marLeft w:val="0"/>
      <w:marRight w:val="0"/>
      <w:marTop w:val="0"/>
      <w:marBottom w:val="0"/>
      <w:divBdr>
        <w:top w:val="none" w:sz="0" w:space="0" w:color="auto"/>
        <w:left w:val="none" w:sz="0" w:space="0" w:color="auto"/>
        <w:bottom w:val="none" w:sz="0" w:space="0" w:color="auto"/>
        <w:right w:val="none" w:sz="0" w:space="0" w:color="auto"/>
      </w:divBdr>
    </w:div>
    <w:div w:id="1159612721">
      <w:bodyDiv w:val="1"/>
      <w:marLeft w:val="0"/>
      <w:marRight w:val="0"/>
      <w:marTop w:val="0"/>
      <w:marBottom w:val="0"/>
      <w:divBdr>
        <w:top w:val="none" w:sz="0" w:space="0" w:color="auto"/>
        <w:left w:val="none" w:sz="0" w:space="0" w:color="auto"/>
        <w:bottom w:val="none" w:sz="0" w:space="0" w:color="auto"/>
        <w:right w:val="none" w:sz="0" w:space="0" w:color="auto"/>
      </w:divBdr>
    </w:div>
    <w:div w:id="1159880540">
      <w:bodyDiv w:val="1"/>
      <w:marLeft w:val="0"/>
      <w:marRight w:val="0"/>
      <w:marTop w:val="0"/>
      <w:marBottom w:val="0"/>
      <w:divBdr>
        <w:top w:val="none" w:sz="0" w:space="0" w:color="auto"/>
        <w:left w:val="none" w:sz="0" w:space="0" w:color="auto"/>
        <w:bottom w:val="none" w:sz="0" w:space="0" w:color="auto"/>
        <w:right w:val="none" w:sz="0" w:space="0" w:color="auto"/>
      </w:divBdr>
    </w:div>
    <w:div w:id="1160003409">
      <w:bodyDiv w:val="1"/>
      <w:marLeft w:val="0"/>
      <w:marRight w:val="0"/>
      <w:marTop w:val="0"/>
      <w:marBottom w:val="0"/>
      <w:divBdr>
        <w:top w:val="none" w:sz="0" w:space="0" w:color="auto"/>
        <w:left w:val="none" w:sz="0" w:space="0" w:color="auto"/>
        <w:bottom w:val="none" w:sz="0" w:space="0" w:color="auto"/>
        <w:right w:val="none" w:sz="0" w:space="0" w:color="auto"/>
      </w:divBdr>
    </w:div>
    <w:div w:id="1160074540">
      <w:bodyDiv w:val="1"/>
      <w:marLeft w:val="0"/>
      <w:marRight w:val="0"/>
      <w:marTop w:val="0"/>
      <w:marBottom w:val="0"/>
      <w:divBdr>
        <w:top w:val="none" w:sz="0" w:space="0" w:color="auto"/>
        <w:left w:val="none" w:sz="0" w:space="0" w:color="auto"/>
        <w:bottom w:val="none" w:sz="0" w:space="0" w:color="auto"/>
        <w:right w:val="none" w:sz="0" w:space="0" w:color="auto"/>
      </w:divBdr>
    </w:div>
    <w:div w:id="1160081150">
      <w:bodyDiv w:val="1"/>
      <w:marLeft w:val="0"/>
      <w:marRight w:val="0"/>
      <w:marTop w:val="0"/>
      <w:marBottom w:val="0"/>
      <w:divBdr>
        <w:top w:val="none" w:sz="0" w:space="0" w:color="auto"/>
        <w:left w:val="none" w:sz="0" w:space="0" w:color="auto"/>
        <w:bottom w:val="none" w:sz="0" w:space="0" w:color="auto"/>
        <w:right w:val="none" w:sz="0" w:space="0" w:color="auto"/>
      </w:divBdr>
    </w:div>
    <w:div w:id="1160192371">
      <w:bodyDiv w:val="1"/>
      <w:marLeft w:val="0"/>
      <w:marRight w:val="0"/>
      <w:marTop w:val="0"/>
      <w:marBottom w:val="0"/>
      <w:divBdr>
        <w:top w:val="none" w:sz="0" w:space="0" w:color="auto"/>
        <w:left w:val="none" w:sz="0" w:space="0" w:color="auto"/>
        <w:bottom w:val="none" w:sz="0" w:space="0" w:color="auto"/>
        <w:right w:val="none" w:sz="0" w:space="0" w:color="auto"/>
      </w:divBdr>
    </w:div>
    <w:div w:id="1160581252">
      <w:bodyDiv w:val="1"/>
      <w:marLeft w:val="0"/>
      <w:marRight w:val="0"/>
      <w:marTop w:val="0"/>
      <w:marBottom w:val="0"/>
      <w:divBdr>
        <w:top w:val="none" w:sz="0" w:space="0" w:color="auto"/>
        <w:left w:val="none" w:sz="0" w:space="0" w:color="auto"/>
        <w:bottom w:val="none" w:sz="0" w:space="0" w:color="auto"/>
        <w:right w:val="none" w:sz="0" w:space="0" w:color="auto"/>
      </w:divBdr>
    </w:div>
    <w:div w:id="1160729341">
      <w:bodyDiv w:val="1"/>
      <w:marLeft w:val="0"/>
      <w:marRight w:val="0"/>
      <w:marTop w:val="0"/>
      <w:marBottom w:val="0"/>
      <w:divBdr>
        <w:top w:val="none" w:sz="0" w:space="0" w:color="auto"/>
        <w:left w:val="none" w:sz="0" w:space="0" w:color="auto"/>
        <w:bottom w:val="none" w:sz="0" w:space="0" w:color="auto"/>
        <w:right w:val="none" w:sz="0" w:space="0" w:color="auto"/>
      </w:divBdr>
    </w:div>
    <w:div w:id="1160736925">
      <w:bodyDiv w:val="1"/>
      <w:marLeft w:val="0"/>
      <w:marRight w:val="0"/>
      <w:marTop w:val="0"/>
      <w:marBottom w:val="0"/>
      <w:divBdr>
        <w:top w:val="none" w:sz="0" w:space="0" w:color="auto"/>
        <w:left w:val="none" w:sz="0" w:space="0" w:color="auto"/>
        <w:bottom w:val="none" w:sz="0" w:space="0" w:color="auto"/>
        <w:right w:val="none" w:sz="0" w:space="0" w:color="auto"/>
      </w:divBdr>
    </w:div>
    <w:div w:id="1161121843">
      <w:bodyDiv w:val="1"/>
      <w:marLeft w:val="0"/>
      <w:marRight w:val="0"/>
      <w:marTop w:val="0"/>
      <w:marBottom w:val="0"/>
      <w:divBdr>
        <w:top w:val="none" w:sz="0" w:space="0" w:color="auto"/>
        <w:left w:val="none" w:sz="0" w:space="0" w:color="auto"/>
        <w:bottom w:val="none" w:sz="0" w:space="0" w:color="auto"/>
        <w:right w:val="none" w:sz="0" w:space="0" w:color="auto"/>
      </w:divBdr>
    </w:div>
    <w:div w:id="1161239493">
      <w:bodyDiv w:val="1"/>
      <w:marLeft w:val="0"/>
      <w:marRight w:val="0"/>
      <w:marTop w:val="0"/>
      <w:marBottom w:val="0"/>
      <w:divBdr>
        <w:top w:val="none" w:sz="0" w:space="0" w:color="auto"/>
        <w:left w:val="none" w:sz="0" w:space="0" w:color="auto"/>
        <w:bottom w:val="none" w:sz="0" w:space="0" w:color="auto"/>
        <w:right w:val="none" w:sz="0" w:space="0" w:color="auto"/>
      </w:divBdr>
    </w:div>
    <w:div w:id="1161316799">
      <w:bodyDiv w:val="1"/>
      <w:marLeft w:val="0"/>
      <w:marRight w:val="0"/>
      <w:marTop w:val="0"/>
      <w:marBottom w:val="0"/>
      <w:divBdr>
        <w:top w:val="none" w:sz="0" w:space="0" w:color="auto"/>
        <w:left w:val="none" w:sz="0" w:space="0" w:color="auto"/>
        <w:bottom w:val="none" w:sz="0" w:space="0" w:color="auto"/>
        <w:right w:val="none" w:sz="0" w:space="0" w:color="auto"/>
      </w:divBdr>
    </w:div>
    <w:div w:id="1161583231">
      <w:bodyDiv w:val="1"/>
      <w:marLeft w:val="0"/>
      <w:marRight w:val="0"/>
      <w:marTop w:val="0"/>
      <w:marBottom w:val="0"/>
      <w:divBdr>
        <w:top w:val="none" w:sz="0" w:space="0" w:color="auto"/>
        <w:left w:val="none" w:sz="0" w:space="0" w:color="auto"/>
        <w:bottom w:val="none" w:sz="0" w:space="0" w:color="auto"/>
        <w:right w:val="none" w:sz="0" w:space="0" w:color="auto"/>
      </w:divBdr>
    </w:div>
    <w:div w:id="1161920355">
      <w:bodyDiv w:val="1"/>
      <w:marLeft w:val="0"/>
      <w:marRight w:val="0"/>
      <w:marTop w:val="0"/>
      <w:marBottom w:val="0"/>
      <w:divBdr>
        <w:top w:val="none" w:sz="0" w:space="0" w:color="auto"/>
        <w:left w:val="none" w:sz="0" w:space="0" w:color="auto"/>
        <w:bottom w:val="none" w:sz="0" w:space="0" w:color="auto"/>
        <w:right w:val="none" w:sz="0" w:space="0" w:color="auto"/>
      </w:divBdr>
    </w:div>
    <w:div w:id="1162040764">
      <w:bodyDiv w:val="1"/>
      <w:marLeft w:val="0"/>
      <w:marRight w:val="0"/>
      <w:marTop w:val="0"/>
      <w:marBottom w:val="0"/>
      <w:divBdr>
        <w:top w:val="none" w:sz="0" w:space="0" w:color="auto"/>
        <w:left w:val="none" w:sz="0" w:space="0" w:color="auto"/>
        <w:bottom w:val="none" w:sz="0" w:space="0" w:color="auto"/>
        <w:right w:val="none" w:sz="0" w:space="0" w:color="auto"/>
      </w:divBdr>
    </w:div>
    <w:div w:id="1162045055">
      <w:bodyDiv w:val="1"/>
      <w:marLeft w:val="0"/>
      <w:marRight w:val="0"/>
      <w:marTop w:val="0"/>
      <w:marBottom w:val="0"/>
      <w:divBdr>
        <w:top w:val="none" w:sz="0" w:space="0" w:color="auto"/>
        <w:left w:val="none" w:sz="0" w:space="0" w:color="auto"/>
        <w:bottom w:val="none" w:sz="0" w:space="0" w:color="auto"/>
        <w:right w:val="none" w:sz="0" w:space="0" w:color="auto"/>
      </w:divBdr>
    </w:div>
    <w:div w:id="1162114874">
      <w:bodyDiv w:val="1"/>
      <w:marLeft w:val="0"/>
      <w:marRight w:val="0"/>
      <w:marTop w:val="0"/>
      <w:marBottom w:val="0"/>
      <w:divBdr>
        <w:top w:val="none" w:sz="0" w:space="0" w:color="auto"/>
        <w:left w:val="none" w:sz="0" w:space="0" w:color="auto"/>
        <w:bottom w:val="none" w:sz="0" w:space="0" w:color="auto"/>
        <w:right w:val="none" w:sz="0" w:space="0" w:color="auto"/>
      </w:divBdr>
    </w:div>
    <w:div w:id="1162231810">
      <w:bodyDiv w:val="1"/>
      <w:marLeft w:val="0"/>
      <w:marRight w:val="0"/>
      <w:marTop w:val="0"/>
      <w:marBottom w:val="0"/>
      <w:divBdr>
        <w:top w:val="none" w:sz="0" w:space="0" w:color="auto"/>
        <w:left w:val="none" w:sz="0" w:space="0" w:color="auto"/>
        <w:bottom w:val="none" w:sz="0" w:space="0" w:color="auto"/>
        <w:right w:val="none" w:sz="0" w:space="0" w:color="auto"/>
      </w:divBdr>
    </w:div>
    <w:div w:id="1162238422">
      <w:bodyDiv w:val="1"/>
      <w:marLeft w:val="0"/>
      <w:marRight w:val="0"/>
      <w:marTop w:val="0"/>
      <w:marBottom w:val="0"/>
      <w:divBdr>
        <w:top w:val="none" w:sz="0" w:space="0" w:color="auto"/>
        <w:left w:val="none" w:sz="0" w:space="0" w:color="auto"/>
        <w:bottom w:val="none" w:sz="0" w:space="0" w:color="auto"/>
        <w:right w:val="none" w:sz="0" w:space="0" w:color="auto"/>
      </w:divBdr>
    </w:div>
    <w:div w:id="1162358386">
      <w:bodyDiv w:val="1"/>
      <w:marLeft w:val="0"/>
      <w:marRight w:val="0"/>
      <w:marTop w:val="0"/>
      <w:marBottom w:val="0"/>
      <w:divBdr>
        <w:top w:val="none" w:sz="0" w:space="0" w:color="auto"/>
        <w:left w:val="none" w:sz="0" w:space="0" w:color="auto"/>
        <w:bottom w:val="none" w:sz="0" w:space="0" w:color="auto"/>
        <w:right w:val="none" w:sz="0" w:space="0" w:color="auto"/>
      </w:divBdr>
    </w:div>
    <w:div w:id="1162433511">
      <w:bodyDiv w:val="1"/>
      <w:marLeft w:val="0"/>
      <w:marRight w:val="0"/>
      <w:marTop w:val="0"/>
      <w:marBottom w:val="0"/>
      <w:divBdr>
        <w:top w:val="none" w:sz="0" w:space="0" w:color="auto"/>
        <w:left w:val="none" w:sz="0" w:space="0" w:color="auto"/>
        <w:bottom w:val="none" w:sz="0" w:space="0" w:color="auto"/>
        <w:right w:val="none" w:sz="0" w:space="0" w:color="auto"/>
      </w:divBdr>
    </w:div>
    <w:div w:id="1162625823">
      <w:bodyDiv w:val="1"/>
      <w:marLeft w:val="0"/>
      <w:marRight w:val="0"/>
      <w:marTop w:val="0"/>
      <w:marBottom w:val="0"/>
      <w:divBdr>
        <w:top w:val="none" w:sz="0" w:space="0" w:color="auto"/>
        <w:left w:val="none" w:sz="0" w:space="0" w:color="auto"/>
        <w:bottom w:val="none" w:sz="0" w:space="0" w:color="auto"/>
        <w:right w:val="none" w:sz="0" w:space="0" w:color="auto"/>
      </w:divBdr>
    </w:div>
    <w:div w:id="1162815837">
      <w:bodyDiv w:val="1"/>
      <w:marLeft w:val="0"/>
      <w:marRight w:val="0"/>
      <w:marTop w:val="0"/>
      <w:marBottom w:val="0"/>
      <w:divBdr>
        <w:top w:val="none" w:sz="0" w:space="0" w:color="auto"/>
        <w:left w:val="none" w:sz="0" w:space="0" w:color="auto"/>
        <w:bottom w:val="none" w:sz="0" w:space="0" w:color="auto"/>
        <w:right w:val="none" w:sz="0" w:space="0" w:color="auto"/>
      </w:divBdr>
    </w:div>
    <w:div w:id="1163009390">
      <w:bodyDiv w:val="1"/>
      <w:marLeft w:val="0"/>
      <w:marRight w:val="0"/>
      <w:marTop w:val="0"/>
      <w:marBottom w:val="0"/>
      <w:divBdr>
        <w:top w:val="none" w:sz="0" w:space="0" w:color="auto"/>
        <w:left w:val="none" w:sz="0" w:space="0" w:color="auto"/>
        <w:bottom w:val="none" w:sz="0" w:space="0" w:color="auto"/>
        <w:right w:val="none" w:sz="0" w:space="0" w:color="auto"/>
      </w:divBdr>
    </w:div>
    <w:div w:id="1163162059">
      <w:bodyDiv w:val="1"/>
      <w:marLeft w:val="0"/>
      <w:marRight w:val="0"/>
      <w:marTop w:val="0"/>
      <w:marBottom w:val="0"/>
      <w:divBdr>
        <w:top w:val="none" w:sz="0" w:space="0" w:color="auto"/>
        <w:left w:val="none" w:sz="0" w:space="0" w:color="auto"/>
        <w:bottom w:val="none" w:sz="0" w:space="0" w:color="auto"/>
        <w:right w:val="none" w:sz="0" w:space="0" w:color="auto"/>
      </w:divBdr>
    </w:div>
    <w:div w:id="1164053625">
      <w:bodyDiv w:val="1"/>
      <w:marLeft w:val="0"/>
      <w:marRight w:val="0"/>
      <w:marTop w:val="0"/>
      <w:marBottom w:val="0"/>
      <w:divBdr>
        <w:top w:val="none" w:sz="0" w:space="0" w:color="auto"/>
        <w:left w:val="none" w:sz="0" w:space="0" w:color="auto"/>
        <w:bottom w:val="none" w:sz="0" w:space="0" w:color="auto"/>
        <w:right w:val="none" w:sz="0" w:space="0" w:color="auto"/>
      </w:divBdr>
    </w:div>
    <w:div w:id="1164200135">
      <w:bodyDiv w:val="1"/>
      <w:marLeft w:val="0"/>
      <w:marRight w:val="0"/>
      <w:marTop w:val="0"/>
      <w:marBottom w:val="0"/>
      <w:divBdr>
        <w:top w:val="none" w:sz="0" w:space="0" w:color="auto"/>
        <w:left w:val="none" w:sz="0" w:space="0" w:color="auto"/>
        <w:bottom w:val="none" w:sz="0" w:space="0" w:color="auto"/>
        <w:right w:val="none" w:sz="0" w:space="0" w:color="auto"/>
      </w:divBdr>
    </w:div>
    <w:div w:id="1164859907">
      <w:bodyDiv w:val="1"/>
      <w:marLeft w:val="0"/>
      <w:marRight w:val="0"/>
      <w:marTop w:val="0"/>
      <w:marBottom w:val="0"/>
      <w:divBdr>
        <w:top w:val="none" w:sz="0" w:space="0" w:color="auto"/>
        <w:left w:val="none" w:sz="0" w:space="0" w:color="auto"/>
        <w:bottom w:val="none" w:sz="0" w:space="0" w:color="auto"/>
        <w:right w:val="none" w:sz="0" w:space="0" w:color="auto"/>
      </w:divBdr>
    </w:div>
    <w:div w:id="1164975378">
      <w:bodyDiv w:val="1"/>
      <w:marLeft w:val="0"/>
      <w:marRight w:val="0"/>
      <w:marTop w:val="0"/>
      <w:marBottom w:val="0"/>
      <w:divBdr>
        <w:top w:val="none" w:sz="0" w:space="0" w:color="auto"/>
        <w:left w:val="none" w:sz="0" w:space="0" w:color="auto"/>
        <w:bottom w:val="none" w:sz="0" w:space="0" w:color="auto"/>
        <w:right w:val="none" w:sz="0" w:space="0" w:color="auto"/>
      </w:divBdr>
    </w:div>
    <w:div w:id="1164976760">
      <w:bodyDiv w:val="1"/>
      <w:marLeft w:val="0"/>
      <w:marRight w:val="0"/>
      <w:marTop w:val="0"/>
      <w:marBottom w:val="0"/>
      <w:divBdr>
        <w:top w:val="none" w:sz="0" w:space="0" w:color="auto"/>
        <w:left w:val="none" w:sz="0" w:space="0" w:color="auto"/>
        <w:bottom w:val="none" w:sz="0" w:space="0" w:color="auto"/>
        <w:right w:val="none" w:sz="0" w:space="0" w:color="auto"/>
      </w:divBdr>
    </w:div>
    <w:div w:id="1165053847">
      <w:bodyDiv w:val="1"/>
      <w:marLeft w:val="0"/>
      <w:marRight w:val="0"/>
      <w:marTop w:val="0"/>
      <w:marBottom w:val="0"/>
      <w:divBdr>
        <w:top w:val="none" w:sz="0" w:space="0" w:color="auto"/>
        <w:left w:val="none" w:sz="0" w:space="0" w:color="auto"/>
        <w:bottom w:val="none" w:sz="0" w:space="0" w:color="auto"/>
        <w:right w:val="none" w:sz="0" w:space="0" w:color="auto"/>
      </w:divBdr>
    </w:div>
    <w:div w:id="1165124900">
      <w:bodyDiv w:val="1"/>
      <w:marLeft w:val="0"/>
      <w:marRight w:val="0"/>
      <w:marTop w:val="0"/>
      <w:marBottom w:val="0"/>
      <w:divBdr>
        <w:top w:val="none" w:sz="0" w:space="0" w:color="auto"/>
        <w:left w:val="none" w:sz="0" w:space="0" w:color="auto"/>
        <w:bottom w:val="none" w:sz="0" w:space="0" w:color="auto"/>
        <w:right w:val="none" w:sz="0" w:space="0" w:color="auto"/>
      </w:divBdr>
    </w:div>
    <w:div w:id="1165314692">
      <w:bodyDiv w:val="1"/>
      <w:marLeft w:val="0"/>
      <w:marRight w:val="0"/>
      <w:marTop w:val="0"/>
      <w:marBottom w:val="0"/>
      <w:divBdr>
        <w:top w:val="none" w:sz="0" w:space="0" w:color="auto"/>
        <w:left w:val="none" w:sz="0" w:space="0" w:color="auto"/>
        <w:bottom w:val="none" w:sz="0" w:space="0" w:color="auto"/>
        <w:right w:val="none" w:sz="0" w:space="0" w:color="auto"/>
      </w:divBdr>
    </w:div>
    <w:div w:id="1165366227">
      <w:bodyDiv w:val="1"/>
      <w:marLeft w:val="0"/>
      <w:marRight w:val="0"/>
      <w:marTop w:val="0"/>
      <w:marBottom w:val="0"/>
      <w:divBdr>
        <w:top w:val="none" w:sz="0" w:space="0" w:color="auto"/>
        <w:left w:val="none" w:sz="0" w:space="0" w:color="auto"/>
        <w:bottom w:val="none" w:sz="0" w:space="0" w:color="auto"/>
        <w:right w:val="none" w:sz="0" w:space="0" w:color="auto"/>
      </w:divBdr>
    </w:div>
    <w:div w:id="1165587993">
      <w:bodyDiv w:val="1"/>
      <w:marLeft w:val="0"/>
      <w:marRight w:val="0"/>
      <w:marTop w:val="0"/>
      <w:marBottom w:val="0"/>
      <w:divBdr>
        <w:top w:val="none" w:sz="0" w:space="0" w:color="auto"/>
        <w:left w:val="none" w:sz="0" w:space="0" w:color="auto"/>
        <w:bottom w:val="none" w:sz="0" w:space="0" w:color="auto"/>
        <w:right w:val="none" w:sz="0" w:space="0" w:color="auto"/>
      </w:divBdr>
    </w:div>
    <w:div w:id="1165972340">
      <w:bodyDiv w:val="1"/>
      <w:marLeft w:val="0"/>
      <w:marRight w:val="0"/>
      <w:marTop w:val="0"/>
      <w:marBottom w:val="0"/>
      <w:divBdr>
        <w:top w:val="none" w:sz="0" w:space="0" w:color="auto"/>
        <w:left w:val="none" w:sz="0" w:space="0" w:color="auto"/>
        <w:bottom w:val="none" w:sz="0" w:space="0" w:color="auto"/>
        <w:right w:val="none" w:sz="0" w:space="0" w:color="auto"/>
      </w:divBdr>
    </w:div>
    <w:div w:id="1166096873">
      <w:bodyDiv w:val="1"/>
      <w:marLeft w:val="0"/>
      <w:marRight w:val="0"/>
      <w:marTop w:val="0"/>
      <w:marBottom w:val="0"/>
      <w:divBdr>
        <w:top w:val="none" w:sz="0" w:space="0" w:color="auto"/>
        <w:left w:val="none" w:sz="0" w:space="0" w:color="auto"/>
        <w:bottom w:val="none" w:sz="0" w:space="0" w:color="auto"/>
        <w:right w:val="none" w:sz="0" w:space="0" w:color="auto"/>
      </w:divBdr>
    </w:div>
    <w:div w:id="1166479988">
      <w:bodyDiv w:val="1"/>
      <w:marLeft w:val="0"/>
      <w:marRight w:val="0"/>
      <w:marTop w:val="0"/>
      <w:marBottom w:val="0"/>
      <w:divBdr>
        <w:top w:val="none" w:sz="0" w:space="0" w:color="auto"/>
        <w:left w:val="none" w:sz="0" w:space="0" w:color="auto"/>
        <w:bottom w:val="none" w:sz="0" w:space="0" w:color="auto"/>
        <w:right w:val="none" w:sz="0" w:space="0" w:color="auto"/>
      </w:divBdr>
    </w:div>
    <w:div w:id="1166748656">
      <w:bodyDiv w:val="1"/>
      <w:marLeft w:val="0"/>
      <w:marRight w:val="0"/>
      <w:marTop w:val="0"/>
      <w:marBottom w:val="0"/>
      <w:divBdr>
        <w:top w:val="none" w:sz="0" w:space="0" w:color="auto"/>
        <w:left w:val="none" w:sz="0" w:space="0" w:color="auto"/>
        <w:bottom w:val="none" w:sz="0" w:space="0" w:color="auto"/>
        <w:right w:val="none" w:sz="0" w:space="0" w:color="auto"/>
      </w:divBdr>
    </w:div>
    <w:div w:id="1166825681">
      <w:bodyDiv w:val="1"/>
      <w:marLeft w:val="0"/>
      <w:marRight w:val="0"/>
      <w:marTop w:val="0"/>
      <w:marBottom w:val="0"/>
      <w:divBdr>
        <w:top w:val="none" w:sz="0" w:space="0" w:color="auto"/>
        <w:left w:val="none" w:sz="0" w:space="0" w:color="auto"/>
        <w:bottom w:val="none" w:sz="0" w:space="0" w:color="auto"/>
        <w:right w:val="none" w:sz="0" w:space="0" w:color="auto"/>
      </w:divBdr>
    </w:div>
    <w:div w:id="1166942530">
      <w:bodyDiv w:val="1"/>
      <w:marLeft w:val="0"/>
      <w:marRight w:val="0"/>
      <w:marTop w:val="0"/>
      <w:marBottom w:val="0"/>
      <w:divBdr>
        <w:top w:val="none" w:sz="0" w:space="0" w:color="auto"/>
        <w:left w:val="none" w:sz="0" w:space="0" w:color="auto"/>
        <w:bottom w:val="none" w:sz="0" w:space="0" w:color="auto"/>
        <w:right w:val="none" w:sz="0" w:space="0" w:color="auto"/>
      </w:divBdr>
    </w:div>
    <w:div w:id="1167091462">
      <w:bodyDiv w:val="1"/>
      <w:marLeft w:val="0"/>
      <w:marRight w:val="0"/>
      <w:marTop w:val="0"/>
      <w:marBottom w:val="0"/>
      <w:divBdr>
        <w:top w:val="none" w:sz="0" w:space="0" w:color="auto"/>
        <w:left w:val="none" w:sz="0" w:space="0" w:color="auto"/>
        <w:bottom w:val="none" w:sz="0" w:space="0" w:color="auto"/>
        <w:right w:val="none" w:sz="0" w:space="0" w:color="auto"/>
      </w:divBdr>
    </w:div>
    <w:div w:id="1167555597">
      <w:bodyDiv w:val="1"/>
      <w:marLeft w:val="0"/>
      <w:marRight w:val="0"/>
      <w:marTop w:val="0"/>
      <w:marBottom w:val="0"/>
      <w:divBdr>
        <w:top w:val="none" w:sz="0" w:space="0" w:color="auto"/>
        <w:left w:val="none" w:sz="0" w:space="0" w:color="auto"/>
        <w:bottom w:val="none" w:sz="0" w:space="0" w:color="auto"/>
        <w:right w:val="none" w:sz="0" w:space="0" w:color="auto"/>
      </w:divBdr>
    </w:div>
    <w:div w:id="1168400043">
      <w:bodyDiv w:val="1"/>
      <w:marLeft w:val="0"/>
      <w:marRight w:val="0"/>
      <w:marTop w:val="0"/>
      <w:marBottom w:val="0"/>
      <w:divBdr>
        <w:top w:val="none" w:sz="0" w:space="0" w:color="auto"/>
        <w:left w:val="none" w:sz="0" w:space="0" w:color="auto"/>
        <w:bottom w:val="none" w:sz="0" w:space="0" w:color="auto"/>
        <w:right w:val="none" w:sz="0" w:space="0" w:color="auto"/>
      </w:divBdr>
    </w:div>
    <w:div w:id="1168404930">
      <w:bodyDiv w:val="1"/>
      <w:marLeft w:val="0"/>
      <w:marRight w:val="0"/>
      <w:marTop w:val="0"/>
      <w:marBottom w:val="0"/>
      <w:divBdr>
        <w:top w:val="none" w:sz="0" w:space="0" w:color="auto"/>
        <w:left w:val="none" w:sz="0" w:space="0" w:color="auto"/>
        <w:bottom w:val="none" w:sz="0" w:space="0" w:color="auto"/>
        <w:right w:val="none" w:sz="0" w:space="0" w:color="auto"/>
      </w:divBdr>
    </w:div>
    <w:div w:id="1168405371">
      <w:bodyDiv w:val="1"/>
      <w:marLeft w:val="0"/>
      <w:marRight w:val="0"/>
      <w:marTop w:val="0"/>
      <w:marBottom w:val="0"/>
      <w:divBdr>
        <w:top w:val="none" w:sz="0" w:space="0" w:color="auto"/>
        <w:left w:val="none" w:sz="0" w:space="0" w:color="auto"/>
        <w:bottom w:val="none" w:sz="0" w:space="0" w:color="auto"/>
        <w:right w:val="none" w:sz="0" w:space="0" w:color="auto"/>
      </w:divBdr>
    </w:div>
    <w:div w:id="1168594426">
      <w:bodyDiv w:val="1"/>
      <w:marLeft w:val="0"/>
      <w:marRight w:val="0"/>
      <w:marTop w:val="0"/>
      <w:marBottom w:val="0"/>
      <w:divBdr>
        <w:top w:val="none" w:sz="0" w:space="0" w:color="auto"/>
        <w:left w:val="none" w:sz="0" w:space="0" w:color="auto"/>
        <w:bottom w:val="none" w:sz="0" w:space="0" w:color="auto"/>
        <w:right w:val="none" w:sz="0" w:space="0" w:color="auto"/>
      </w:divBdr>
    </w:div>
    <w:div w:id="1168788770">
      <w:bodyDiv w:val="1"/>
      <w:marLeft w:val="0"/>
      <w:marRight w:val="0"/>
      <w:marTop w:val="0"/>
      <w:marBottom w:val="0"/>
      <w:divBdr>
        <w:top w:val="none" w:sz="0" w:space="0" w:color="auto"/>
        <w:left w:val="none" w:sz="0" w:space="0" w:color="auto"/>
        <w:bottom w:val="none" w:sz="0" w:space="0" w:color="auto"/>
        <w:right w:val="none" w:sz="0" w:space="0" w:color="auto"/>
      </w:divBdr>
    </w:div>
    <w:div w:id="1168792882">
      <w:bodyDiv w:val="1"/>
      <w:marLeft w:val="0"/>
      <w:marRight w:val="0"/>
      <w:marTop w:val="0"/>
      <w:marBottom w:val="0"/>
      <w:divBdr>
        <w:top w:val="none" w:sz="0" w:space="0" w:color="auto"/>
        <w:left w:val="none" w:sz="0" w:space="0" w:color="auto"/>
        <w:bottom w:val="none" w:sz="0" w:space="0" w:color="auto"/>
        <w:right w:val="none" w:sz="0" w:space="0" w:color="auto"/>
      </w:divBdr>
    </w:div>
    <w:div w:id="1168862202">
      <w:bodyDiv w:val="1"/>
      <w:marLeft w:val="0"/>
      <w:marRight w:val="0"/>
      <w:marTop w:val="0"/>
      <w:marBottom w:val="0"/>
      <w:divBdr>
        <w:top w:val="none" w:sz="0" w:space="0" w:color="auto"/>
        <w:left w:val="none" w:sz="0" w:space="0" w:color="auto"/>
        <w:bottom w:val="none" w:sz="0" w:space="0" w:color="auto"/>
        <w:right w:val="none" w:sz="0" w:space="0" w:color="auto"/>
      </w:divBdr>
    </w:div>
    <w:div w:id="1169249338">
      <w:bodyDiv w:val="1"/>
      <w:marLeft w:val="0"/>
      <w:marRight w:val="0"/>
      <w:marTop w:val="0"/>
      <w:marBottom w:val="0"/>
      <w:divBdr>
        <w:top w:val="none" w:sz="0" w:space="0" w:color="auto"/>
        <w:left w:val="none" w:sz="0" w:space="0" w:color="auto"/>
        <w:bottom w:val="none" w:sz="0" w:space="0" w:color="auto"/>
        <w:right w:val="none" w:sz="0" w:space="0" w:color="auto"/>
      </w:divBdr>
    </w:div>
    <w:div w:id="1169297127">
      <w:bodyDiv w:val="1"/>
      <w:marLeft w:val="0"/>
      <w:marRight w:val="0"/>
      <w:marTop w:val="0"/>
      <w:marBottom w:val="0"/>
      <w:divBdr>
        <w:top w:val="none" w:sz="0" w:space="0" w:color="auto"/>
        <w:left w:val="none" w:sz="0" w:space="0" w:color="auto"/>
        <w:bottom w:val="none" w:sz="0" w:space="0" w:color="auto"/>
        <w:right w:val="none" w:sz="0" w:space="0" w:color="auto"/>
      </w:divBdr>
    </w:div>
    <w:div w:id="1169445440">
      <w:bodyDiv w:val="1"/>
      <w:marLeft w:val="0"/>
      <w:marRight w:val="0"/>
      <w:marTop w:val="0"/>
      <w:marBottom w:val="0"/>
      <w:divBdr>
        <w:top w:val="none" w:sz="0" w:space="0" w:color="auto"/>
        <w:left w:val="none" w:sz="0" w:space="0" w:color="auto"/>
        <w:bottom w:val="none" w:sz="0" w:space="0" w:color="auto"/>
        <w:right w:val="none" w:sz="0" w:space="0" w:color="auto"/>
      </w:divBdr>
    </w:div>
    <w:div w:id="1169517964">
      <w:bodyDiv w:val="1"/>
      <w:marLeft w:val="0"/>
      <w:marRight w:val="0"/>
      <w:marTop w:val="0"/>
      <w:marBottom w:val="0"/>
      <w:divBdr>
        <w:top w:val="none" w:sz="0" w:space="0" w:color="auto"/>
        <w:left w:val="none" w:sz="0" w:space="0" w:color="auto"/>
        <w:bottom w:val="none" w:sz="0" w:space="0" w:color="auto"/>
        <w:right w:val="none" w:sz="0" w:space="0" w:color="auto"/>
      </w:divBdr>
    </w:div>
    <w:div w:id="1169521181">
      <w:bodyDiv w:val="1"/>
      <w:marLeft w:val="0"/>
      <w:marRight w:val="0"/>
      <w:marTop w:val="0"/>
      <w:marBottom w:val="0"/>
      <w:divBdr>
        <w:top w:val="none" w:sz="0" w:space="0" w:color="auto"/>
        <w:left w:val="none" w:sz="0" w:space="0" w:color="auto"/>
        <w:bottom w:val="none" w:sz="0" w:space="0" w:color="auto"/>
        <w:right w:val="none" w:sz="0" w:space="0" w:color="auto"/>
      </w:divBdr>
    </w:div>
    <w:div w:id="1169566444">
      <w:bodyDiv w:val="1"/>
      <w:marLeft w:val="0"/>
      <w:marRight w:val="0"/>
      <w:marTop w:val="0"/>
      <w:marBottom w:val="0"/>
      <w:divBdr>
        <w:top w:val="none" w:sz="0" w:space="0" w:color="auto"/>
        <w:left w:val="none" w:sz="0" w:space="0" w:color="auto"/>
        <w:bottom w:val="none" w:sz="0" w:space="0" w:color="auto"/>
        <w:right w:val="none" w:sz="0" w:space="0" w:color="auto"/>
      </w:divBdr>
    </w:div>
    <w:div w:id="1169639488">
      <w:bodyDiv w:val="1"/>
      <w:marLeft w:val="0"/>
      <w:marRight w:val="0"/>
      <w:marTop w:val="0"/>
      <w:marBottom w:val="0"/>
      <w:divBdr>
        <w:top w:val="none" w:sz="0" w:space="0" w:color="auto"/>
        <w:left w:val="none" w:sz="0" w:space="0" w:color="auto"/>
        <w:bottom w:val="none" w:sz="0" w:space="0" w:color="auto"/>
        <w:right w:val="none" w:sz="0" w:space="0" w:color="auto"/>
      </w:divBdr>
    </w:div>
    <w:div w:id="1169758264">
      <w:bodyDiv w:val="1"/>
      <w:marLeft w:val="0"/>
      <w:marRight w:val="0"/>
      <w:marTop w:val="0"/>
      <w:marBottom w:val="0"/>
      <w:divBdr>
        <w:top w:val="none" w:sz="0" w:space="0" w:color="auto"/>
        <w:left w:val="none" w:sz="0" w:space="0" w:color="auto"/>
        <w:bottom w:val="none" w:sz="0" w:space="0" w:color="auto"/>
        <w:right w:val="none" w:sz="0" w:space="0" w:color="auto"/>
      </w:divBdr>
    </w:div>
    <w:div w:id="1169759369">
      <w:bodyDiv w:val="1"/>
      <w:marLeft w:val="0"/>
      <w:marRight w:val="0"/>
      <w:marTop w:val="0"/>
      <w:marBottom w:val="0"/>
      <w:divBdr>
        <w:top w:val="none" w:sz="0" w:space="0" w:color="auto"/>
        <w:left w:val="none" w:sz="0" w:space="0" w:color="auto"/>
        <w:bottom w:val="none" w:sz="0" w:space="0" w:color="auto"/>
        <w:right w:val="none" w:sz="0" w:space="0" w:color="auto"/>
      </w:divBdr>
    </w:div>
    <w:div w:id="1169783609">
      <w:bodyDiv w:val="1"/>
      <w:marLeft w:val="0"/>
      <w:marRight w:val="0"/>
      <w:marTop w:val="0"/>
      <w:marBottom w:val="0"/>
      <w:divBdr>
        <w:top w:val="none" w:sz="0" w:space="0" w:color="auto"/>
        <w:left w:val="none" w:sz="0" w:space="0" w:color="auto"/>
        <w:bottom w:val="none" w:sz="0" w:space="0" w:color="auto"/>
        <w:right w:val="none" w:sz="0" w:space="0" w:color="auto"/>
      </w:divBdr>
    </w:div>
    <w:div w:id="1170103639">
      <w:bodyDiv w:val="1"/>
      <w:marLeft w:val="0"/>
      <w:marRight w:val="0"/>
      <w:marTop w:val="0"/>
      <w:marBottom w:val="0"/>
      <w:divBdr>
        <w:top w:val="none" w:sz="0" w:space="0" w:color="auto"/>
        <w:left w:val="none" w:sz="0" w:space="0" w:color="auto"/>
        <w:bottom w:val="none" w:sz="0" w:space="0" w:color="auto"/>
        <w:right w:val="none" w:sz="0" w:space="0" w:color="auto"/>
      </w:divBdr>
    </w:div>
    <w:div w:id="1170213202">
      <w:bodyDiv w:val="1"/>
      <w:marLeft w:val="0"/>
      <w:marRight w:val="0"/>
      <w:marTop w:val="0"/>
      <w:marBottom w:val="0"/>
      <w:divBdr>
        <w:top w:val="none" w:sz="0" w:space="0" w:color="auto"/>
        <w:left w:val="none" w:sz="0" w:space="0" w:color="auto"/>
        <w:bottom w:val="none" w:sz="0" w:space="0" w:color="auto"/>
        <w:right w:val="none" w:sz="0" w:space="0" w:color="auto"/>
      </w:divBdr>
    </w:div>
    <w:div w:id="1170566033">
      <w:bodyDiv w:val="1"/>
      <w:marLeft w:val="0"/>
      <w:marRight w:val="0"/>
      <w:marTop w:val="0"/>
      <w:marBottom w:val="0"/>
      <w:divBdr>
        <w:top w:val="none" w:sz="0" w:space="0" w:color="auto"/>
        <w:left w:val="none" w:sz="0" w:space="0" w:color="auto"/>
        <w:bottom w:val="none" w:sz="0" w:space="0" w:color="auto"/>
        <w:right w:val="none" w:sz="0" w:space="0" w:color="auto"/>
      </w:divBdr>
    </w:div>
    <w:div w:id="1170829229">
      <w:bodyDiv w:val="1"/>
      <w:marLeft w:val="0"/>
      <w:marRight w:val="0"/>
      <w:marTop w:val="0"/>
      <w:marBottom w:val="0"/>
      <w:divBdr>
        <w:top w:val="none" w:sz="0" w:space="0" w:color="auto"/>
        <w:left w:val="none" w:sz="0" w:space="0" w:color="auto"/>
        <w:bottom w:val="none" w:sz="0" w:space="0" w:color="auto"/>
        <w:right w:val="none" w:sz="0" w:space="0" w:color="auto"/>
      </w:divBdr>
    </w:div>
    <w:div w:id="1170951888">
      <w:bodyDiv w:val="1"/>
      <w:marLeft w:val="0"/>
      <w:marRight w:val="0"/>
      <w:marTop w:val="0"/>
      <w:marBottom w:val="0"/>
      <w:divBdr>
        <w:top w:val="none" w:sz="0" w:space="0" w:color="auto"/>
        <w:left w:val="none" w:sz="0" w:space="0" w:color="auto"/>
        <w:bottom w:val="none" w:sz="0" w:space="0" w:color="auto"/>
        <w:right w:val="none" w:sz="0" w:space="0" w:color="auto"/>
      </w:divBdr>
    </w:div>
    <w:div w:id="1171215287">
      <w:bodyDiv w:val="1"/>
      <w:marLeft w:val="0"/>
      <w:marRight w:val="0"/>
      <w:marTop w:val="0"/>
      <w:marBottom w:val="0"/>
      <w:divBdr>
        <w:top w:val="none" w:sz="0" w:space="0" w:color="auto"/>
        <w:left w:val="none" w:sz="0" w:space="0" w:color="auto"/>
        <w:bottom w:val="none" w:sz="0" w:space="0" w:color="auto"/>
        <w:right w:val="none" w:sz="0" w:space="0" w:color="auto"/>
      </w:divBdr>
    </w:div>
    <w:div w:id="1171599894">
      <w:bodyDiv w:val="1"/>
      <w:marLeft w:val="0"/>
      <w:marRight w:val="0"/>
      <w:marTop w:val="0"/>
      <w:marBottom w:val="0"/>
      <w:divBdr>
        <w:top w:val="none" w:sz="0" w:space="0" w:color="auto"/>
        <w:left w:val="none" w:sz="0" w:space="0" w:color="auto"/>
        <w:bottom w:val="none" w:sz="0" w:space="0" w:color="auto"/>
        <w:right w:val="none" w:sz="0" w:space="0" w:color="auto"/>
      </w:divBdr>
    </w:div>
    <w:div w:id="1171795080">
      <w:bodyDiv w:val="1"/>
      <w:marLeft w:val="0"/>
      <w:marRight w:val="0"/>
      <w:marTop w:val="0"/>
      <w:marBottom w:val="0"/>
      <w:divBdr>
        <w:top w:val="none" w:sz="0" w:space="0" w:color="auto"/>
        <w:left w:val="none" w:sz="0" w:space="0" w:color="auto"/>
        <w:bottom w:val="none" w:sz="0" w:space="0" w:color="auto"/>
        <w:right w:val="none" w:sz="0" w:space="0" w:color="auto"/>
      </w:divBdr>
    </w:div>
    <w:div w:id="1172453284">
      <w:bodyDiv w:val="1"/>
      <w:marLeft w:val="0"/>
      <w:marRight w:val="0"/>
      <w:marTop w:val="0"/>
      <w:marBottom w:val="0"/>
      <w:divBdr>
        <w:top w:val="none" w:sz="0" w:space="0" w:color="auto"/>
        <w:left w:val="none" w:sz="0" w:space="0" w:color="auto"/>
        <w:bottom w:val="none" w:sz="0" w:space="0" w:color="auto"/>
        <w:right w:val="none" w:sz="0" w:space="0" w:color="auto"/>
      </w:divBdr>
    </w:div>
    <w:div w:id="1172526203">
      <w:bodyDiv w:val="1"/>
      <w:marLeft w:val="0"/>
      <w:marRight w:val="0"/>
      <w:marTop w:val="0"/>
      <w:marBottom w:val="0"/>
      <w:divBdr>
        <w:top w:val="none" w:sz="0" w:space="0" w:color="auto"/>
        <w:left w:val="none" w:sz="0" w:space="0" w:color="auto"/>
        <w:bottom w:val="none" w:sz="0" w:space="0" w:color="auto"/>
        <w:right w:val="none" w:sz="0" w:space="0" w:color="auto"/>
      </w:divBdr>
    </w:div>
    <w:div w:id="1172528858">
      <w:bodyDiv w:val="1"/>
      <w:marLeft w:val="0"/>
      <w:marRight w:val="0"/>
      <w:marTop w:val="0"/>
      <w:marBottom w:val="0"/>
      <w:divBdr>
        <w:top w:val="none" w:sz="0" w:space="0" w:color="auto"/>
        <w:left w:val="none" w:sz="0" w:space="0" w:color="auto"/>
        <w:bottom w:val="none" w:sz="0" w:space="0" w:color="auto"/>
        <w:right w:val="none" w:sz="0" w:space="0" w:color="auto"/>
      </w:divBdr>
    </w:div>
    <w:div w:id="1172571504">
      <w:bodyDiv w:val="1"/>
      <w:marLeft w:val="0"/>
      <w:marRight w:val="0"/>
      <w:marTop w:val="0"/>
      <w:marBottom w:val="0"/>
      <w:divBdr>
        <w:top w:val="none" w:sz="0" w:space="0" w:color="auto"/>
        <w:left w:val="none" w:sz="0" w:space="0" w:color="auto"/>
        <w:bottom w:val="none" w:sz="0" w:space="0" w:color="auto"/>
        <w:right w:val="none" w:sz="0" w:space="0" w:color="auto"/>
      </w:divBdr>
    </w:div>
    <w:div w:id="1172572165">
      <w:bodyDiv w:val="1"/>
      <w:marLeft w:val="0"/>
      <w:marRight w:val="0"/>
      <w:marTop w:val="0"/>
      <w:marBottom w:val="0"/>
      <w:divBdr>
        <w:top w:val="none" w:sz="0" w:space="0" w:color="auto"/>
        <w:left w:val="none" w:sz="0" w:space="0" w:color="auto"/>
        <w:bottom w:val="none" w:sz="0" w:space="0" w:color="auto"/>
        <w:right w:val="none" w:sz="0" w:space="0" w:color="auto"/>
      </w:divBdr>
    </w:div>
    <w:div w:id="1173029400">
      <w:bodyDiv w:val="1"/>
      <w:marLeft w:val="0"/>
      <w:marRight w:val="0"/>
      <w:marTop w:val="0"/>
      <w:marBottom w:val="0"/>
      <w:divBdr>
        <w:top w:val="none" w:sz="0" w:space="0" w:color="auto"/>
        <w:left w:val="none" w:sz="0" w:space="0" w:color="auto"/>
        <w:bottom w:val="none" w:sz="0" w:space="0" w:color="auto"/>
        <w:right w:val="none" w:sz="0" w:space="0" w:color="auto"/>
      </w:divBdr>
    </w:div>
    <w:div w:id="1173035457">
      <w:bodyDiv w:val="1"/>
      <w:marLeft w:val="0"/>
      <w:marRight w:val="0"/>
      <w:marTop w:val="0"/>
      <w:marBottom w:val="0"/>
      <w:divBdr>
        <w:top w:val="none" w:sz="0" w:space="0" w:color="auto"/>
        <w:left w:val="none" w:sz="0" w:space="0" w:color="auto"/>
        <w:bottom w:val="none" w:sz="0" w:space="0" w:color="auto"/>
        <w:right w:val="none" w:sz="0" w:space="0" w:color="auto"/>
      </w:divBdr>
    </w:div>
    <w:div w:id="117311063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453781">
      <w:bodyDiv w:val="1"/>
      <w:marLeft w:val="0"/>
      <w:marRight w:val="0"/>
      <w:marTop w:val="0"/>
      <w:marBottom w:val="0"/>
      <w:divBdr>
        <w:top w:val="none" w:sz="0" w:space="0" w:color="auto"/>
        <w:left w:val="none" w:sz="0" w:space="0" w:color="auto"/>
        <w:bottom w:val="none" w:sz="0" w:space="0" w:color="auto"/>
        <w:right w:val="none" w:sz="0" w:space="0" w:color="auto"/>
      </w:divBdr>
    </w:div>
    <w:div w:id="1173564627">
      <w:bodyDiv w:val="1"/>
      <w:marLeft w:val="0"/>
      <w:marRight w:val="0"/>
      <w:marTop w:val="0"/>
      <w:marBottom w:val="0"/>
      <w:divBdr>
        <w:top w:val="none" w:sz="0" w:space="0" w:color="auto"/>
        <w:left w:val="none" w:sz="0" w:space="0" w:color="auto"/>
        <w:bottom w:val="none" w:sz="0" w:space="0" w:color="auto"/>
        <w:right w:val="none" w:sz="0" w:space="0" w:color="auto"/>
      </w:divBdr>
    </w:div>
    <w:div w:id="1173568299">
      <w:bodyDiv w:val="1"/>
      <w:marLeft w:val="0"/>
      <w:marRight w:val="0"/>
      <w:marTop w:val="0"/>
      <w:marBottom w:val="0"/>
      <w:divBdr>
        <w:top w:val="none" w:sz="0" w:space="0" w:color="auto"/>
        <w:left w:val="none" w:sz="0" w:space="0" w:color="auto"/>
        <w:bottom w:val="none" w:sz="0" w:space="0" w:color="auto"/>
        <w:right w:val="none" w:sz="0" w:space="0" w:color="auto"/>
      </w:divBdr>
    </w:div>
    <w:div w:id="1173689537">
      <w:bodyDiv w:val="1"/>
      <w:marLeft w:val="0"/>
      <w:marRight w:val="0"/>
      <w:marTop w:val="0"/>
      <w:marBottom w:val="0"/>
      <w:divBdr>
        <w:top w:val="none" w:sz="0" w:space="0" w:color="auto"/>
        <w:left w:val="none" w:sz="0" w:space="0" w:color="auto"/>
        <w:bottom w:val="none" w:sz="0" w:space="0" w:color="auto"/>
        <w:right w:val="none" w:sz="0" w:space="0" w:color="auto"/>
      </w:divBdr>
    </w:div>
    <w:div w:id="1173762077">
      <w:bodyDiv w:val="1"/>
      <w:marLeft w:val="0"/>
      <w:marRight w:val="0"/>
      <w:marTop w:val="0"/>
      <w:marBottom w:val="0"/>
      <w:divBdr>
        <w:top w:val="none" w:sz="0" w:space="0" w:color="auto"/>
        <w:left w:val="none" w:sz="0" w:space="0" w:color="auto"/>
        <w:bottom w:val="none" w:sz="0" w:space="0" w:color="auto"/>
        <w:right w:val="none" w:sz="0" w:space="0" w:color="auto"/>
      </w:divBdr>
    </w:div>
    <w:div w:id="1173842077">
      <w:bodyDiv w:val="1"/>
      <w:marLeft w:val="0"/>
      <w:marRight w:val="0"/>
      <w:marTop w:val="0"/>
      <w:marBottom w:val="0"/>
      <w:divBdr>
        <w:top w:val="none" w:sz="0" w:space="0" w:color="auto"/>
        <w:left w:val="none" w:sz="0" w:space="0" w:color="auto"/>
        <w:bottom w:val="none" w:sz="0" w:space="0" w:color="auto"/>
        <w:right w:val="none" w:sz="0" w:space="0" w:color="auto"/>
      </w:divBdr>
    </w:div>
    <w:div w:id="1173912017">
      <w:bodyDiv w:val="1"/>
      <w:marLeft w:val="0"/>
      <w:marRight w:val="0"/>
      <w:marTop w:val="0"/>
      <w:marBottom w:val="0"/>
      <w:divBdr>
        <w:top w:val="none" w:sz="0" w:space="0" w:color="auto"/>
        <w:left w:val="none" w:sz="0" w:space="0" w:color="auto"/>
        <w:bottom w:val="none" w:sz="0" w:space="0" w:color="auto"/>
        <w:right w:val="none" w:sz="0" w:space="0" w:color="auto"/>
      </w:divBdr>
    </w:div>
    <w:div w:id="1174106076">
      <w:bodyDiv w:val="1"/>
      <w:marLeft w:val="0"/>
      <w:marRight w:val="0"/>
      <w:marTop w:val="0"/>
      <w:marBottom w:val="0"/>
      <w:divBdr>
        <w:top w:val="none" w:sz="0" w:space="0" w:color="auto"/>
        <w:left w:val="none" w:sz="0" w:space="0" w:color="auto"/>
        <w:bottom w:val="none" w:sz="0" w:space="0" w:color="auto"/>
        <w:right w:val="none" w:sz="0" w:space="0" w:color="auto"/>
      </w:divBdr>
    </w:div>
    <w:div w:id="1174343103">
      <w:bodyDiv w:val="1"/>
      <w:marLeft w:val="0"/>
      <w:marRight w:val="0"/>
      <w:marTop w:val="0"/>
      <w:marBottom w:val="0"/>
      <w:divBdr>
        <w:top w:val="none" w:sz="0" w:space="0" w:color="auto"/>
        <w:left w:val="none" w:sz="0" w:space="0" w:color="auto"/>
        <w:bottom w:val="none" w:sz="0" w:space="0" w:color="auto"/>
        <w:right w:val="none" w:sz="0" w:space="0" w:color="auto"/>
      </w:divBdr>
    </w:div>
    <w:div w:id="1174488876">
      <w:bodyDiv w:val="1"/>
      <w:marLeft w:val="0"/>
      <w:marRight w:val="0"/>
      <w:marTop w:val="0"/>
      <w:marBottom w:val="0"/>
      <w:divBdr>
        <w:top w:val="none" w:sz="0" w:space="0" w:color="auto"/>
        <w:left w:val="none" w:sz="0" w:space="0" w:color="auto"/>
        <w:bottom w:val="none" w:sz="0" w:space="0" w:color="auto"/>
        <w:right w:val="none" w:sz="0" w:space="0" w:color="auto"/>
      </w:divBdr>
    </w:div>
    <w:div w:id="1174611425">
      <w:bodyDiv w:val="1"/>
      <w:marLeft w:val="0"/>
      <w:marRight w:val="0"/>
      <w:marTop w:val="0"/>
      <w:marBottom w:val="0"/>
      <w:divBdr>
        <w:top w:val="none" w:sz="0" w:space="0" w:color="auto"/>
        <w:left w:val="none" w:sz="0" w:space="0" w:color="auto"/>
        <w:bottom w:val="none" w:sz="0" w:space="0" w:color="auto"/>
        <w:right w:val="none" w:sz="0" w:space="0" w:color="auto"/>
      </w:divBdr>
    </w:div>
    <w:div w:id="1174611791">
      <w:bodyDiv w:val="1"/>
      <w:marLeft w:val="0"/>
      <w:marRight w:val="0"/>
      <w:marTop w:val="0"/>
      <w:marBottom w:val="0"/>
      <w:divBdr>
        <w:top w:val="none" w:sz="0" w:space="0" w:color="auto"/>
        <w:left w:val="none" w:sz="0" w:space="0" w:color="auto"/>
        <w:bottom w:val="none" w:sz="0" w:space="0" w:color="auto"/>
        <w:right w:val="none" w:sz="0" w:space="0" w:color="auto"/>
      </w:divBdr>
    </w:div>
    <w:div w:id="1174954888">
      <w:bodyDiv w:val="1"/>
      <w:marLeft w:val="0"/>
      <w:marRight w:val="0"/>
      <w:marTop w:val="0"/>
      <w:marBottom w:val="0"/>
      <w:divBdr>
        <w:top w:val="none" w:sz="0" w:space="0" w:color="auto"/>
        <w:left w:val="none" w:sz="0" w:space="0" w:color="auto"/>
        <w:bottom w:val="none" w:sz="0" w:space="0" w:color="auto"/>
        <w:right w:val="none" w:sz="0" w:space="0" w:color="auto"/>
      </w:divBdr>
    </w:div>
    <w:div w:id="1175150452">
      <w:bodyDiv w:val="1"/>
      <w:marLeft w:val="0"/>
      <w:marRight w:val="0"/>
      <w:marTop w:val="0"/>
      <w:marBottom w:val="0"/>
      <w:divBdr>
        <w:top w:val="none" w:sz="0" w:space="0" w:color="auto"/>
        <w:left w:val="none" w:sz="0" w:space="0" w:color="auto"/>
        <w:bottom w:val="none" w:sz="0" w:space="0" w:color="auto"/>
        <w:right w:val="none" w:sz="0" w:space="0" w:color="auto"/>
      </w:divBdr>
    </w:div>
    <w:div w:id="1175268819">
      <w:bodyDiv w:val="1"/>
      <w:marLeft w:val="0"/>
      <w:marRight w:val="0"/>
      <w:marTop w:val="0"/>
      <w:marBottom w:val="0"/>
      <w:divBdr>
        <w:top w:val="none" w:sz="0" w:space="0" w:color="auto"/>
        <w:left w:val="none" w:sz="0" w:space="0" w:color="auto"/>
        <w:bottom w:val="none" w:sz="0" w:space="0" w:color="auto"/>
        <w:right w:val="none" w:sz="0" w:space="0" w:color="auto"/>
      </w:divBdr>
    </w:div>
    <w:div w:id="1175344846">
      <w:bodyDiv w:val="1"/>
      <w:marLeft w:val="0"/>
      <w:marRight w:val="0"/>
      <w:marTop w:val="0"/>
      <w:marBottom w:val="0"/>
      <w:divBdr>
        <w:top w:val="none" w:sz="0" w:space="0" w:color="auto"/>
        <w:left w:val="none" w:sz="0" w:space="0" w:color="auto"/>
        <w:bottom w:val="none" w:sz="0" w:space="0" w:color="auto"/>
        <w:right w:val="none" w:sz="0" w:space="0" w:color="auto"/>
      </w:divBdr>
    </w:div>
    <w:div w:id="1175416259">
      <w:bodyDiv w:val="1"/>
      <w:marLeft w:val="0"/>
      <w:marRight w:val="0"/>
      <w:marTop w:val="0"/>
      <w:marBottom w:val="0"/>
      <w:divBdr>
        <w:top w:val="none" w:sz="0" w:space="0" w:color="auto"/>
        <w:left w:val="none" w:sz="0" w:space="0" w:color="auto"/>
        <w:bottom w:val="none" w:sz="0" w:space="0" w:color="auto"/>
        <w:right w:val="none" w:sz="0" w:space="0" w:color="auto"/>
      </w:divBdr>
    </w:div>
    <w:div w:id="1175537286">
      <w:bodyDiv w:val="1"/>
      <w:marLeft w:val="0"/>
      <w:marRight w:val="0"/>
      <w:marTop w:val="0"/>
      <w:marBottom w:val="0"/>
      <w:divBdr>
        <w:top w:val="none" w:sz="0" w:space="0" w:color="auto"/>
        <w:left w:val="none" w:sz="0" w:space="0" w:color="auto"/>
        <w:bottom w:val="none" w:sz="0" w:space="0" w:color="auto"/>
        <w:right w:val="none" w:sz="0" w:space="0" w:color="auto"/>
      </w:divBdr>
    </w:div>
    <w:div w:id="1175803986">
      <w:bodyDiv w:val="1"/>
      <w:marLeft w:val="0"/>
      <w:marRight w:val="0"/>
      <w:marTop w:val="0"/>
      <w:marBottom w:val="0"/>
      <w:divBdr>
        <w:top w:val="none" w:sz="0" w:space="0" w:color="auto"/>
        <w:left w:val="none" w:sz="0" w:space="0" w:color="auto"/>
        <w:bottom w:val="none" w:sz="0" w:space="0" w:color="auto"/>
        <w:right w:val="none" w:sz="0" w:space="0" w:color="auto"/>
      </w:divBdr>
    </w:div>
    <w:div w:id="1176000007">
      <w:bodyDiv w:val="1"/>
      <w:marLeft w:val="0"/>
      <w:marRight w:val="0"/>
      <w:marTop w:val="0"/>
      <w:marBottom w:val="0"/>
      <w:divBdr>
        <w:top w:val="none" w:sz="0" w:space="0" w:color="auto"/>
        <w:left w:val="none" w:sz="0" w:space="0" w:color="auto"/>
        <w:bottom w:val="none" w:sz="0" w:space="0" w:color="auto"/>
        <w:right w:val="none" w:sz="0" w:space="0" w:color="auto"/>
      </w:divBdr>
    </w:div>
    <w:div w:id="1176187828">
      <w:bodyDiv w:val="1"/>
      <w:marLeft w:val="0"/>
      <w:marRight w:val="0"/>
      <w:marTop w:val="0"/>
      <w:marBottom w:val="0"/>
      <w:divBdr>
        <w:top w:val="none" w:sz="0" w:space="0" w:color="auto"/>
        <w:left w:val="none" w:sz="0" w:space="0" w:color="auto"/>
        <w:bottom w:val="none" w:sz="0" w:space="0" w:color="auto"/>
        <w:right w:val="none" w:sz="0" w:space="0" w:color="auto"/>
      </w:divBdr>
    </w:div>
    <w:div w:id="1176457857">
      <w:bodyDiv w:val="1"/>
      <w:marLeft w:val="0"/>
      <w:marRight w:val="0"/>
      <w:marTop w:val="0"/>
      <w:marBottom w:val="0"/>
      <w:divBdr>
        <w:top w:val="none" w:sz="0" w:space="0" w:color="auto"/>
        <w:left w:val="none" w:sz="0" w:space="0" w:color="auto"/>
        <w:bottom w:val="none" w:sz="0" w:space="0" w:color="auto"/>
        <w:right w:val="none" w:sz="0" w:space="0" w:color="auto"/>
      </w:divBdr>
    </w:div>
    <w:div w:id="1176652303">
      <w:bodyDiv w:val="1"/>
      <w:marLeft w:val="0"/>
      <w:marRight w:val="0"/>
      <w:marTop w:val="0"/>
      <w:marBottom w:val="0"/>
      <w:divBdr>
        <w:top w:val="none" w:sz="0" w:space="0" w:color="auto"/>
        <w:left w:val="none" w:sz="0" w:space="0" w:color="auto"/>
        <w:bottom w:val="none" w:sz="0" w:space="0" w:color="auto"/>
        <w:right w:val="none" w:sz="0" w:space="0" w:color="auto"/>
      </w:divBdr>
    </w:div>
    <w:div w:id="1176653808">
      <w:bodyDiv w:val="1"/>
      <w:marLeft w:val="0"/>
      <w:marRight w:val="0"/>
      <w:marTop w:val="0"/>
      <w:marBottom w:val="0"/>
      <w:divBdr>
        <w:top w:val="none" w:sz="0" w:space="0" w:color="auto"/>
        <w:left w:val="none" w:sz="0" w:space="0" w:color="auto"/>
        <w:bottom w:val="none" w:sz="0" w:space="0" w:color="auto"/>
        <w:right w:val="none" w:sz="0" w:space="0" w:color="auto"/>
      </w:divBdr>
    </w:div>
    <w:div w:id="1176727045">
      <w:bodyDiv w:val="1"/>
      <w:marLeft w:val="0"/>
      <w:marRight w:val="0"/>
      <w:marTop w:val="0"/>
      <w:marBottom w:val="0"/>
      <w:divBdr>
        <w:top w:val="none" w:sz="0" w:space="0" w:color="auto"/>
        <w:left w:val="none" w:sz="0" w:space="0" w:color="auto"/>
        <w:bottom w:val="none" w:sz="0" w:space="0" w:color="auto"/>
        <w:right w:val="none" w:sz="0" w:space="0" w:color="auto"/>
      </w:divBdr>
    </w:div>
    <w:div w:id="1176765364">
      <w:bodyDiv w:val="1"/>
      <w:marLeft w:val="0"/>
      <w:marRight w:val="0"/>
      <w:marTop w:val="0"/>
      <w:marBottom w:val="0"/>
      <w:divBdr>
        <w:top w:val="none" w:sz="0" w:space="0" w:color="auto"/>
        <w:left w:val="none" w:sz="0" w:space="0" w:color="auto"/>
        <w:bottom w:val="none" w:sz="0" w:space="0" w:color="auto"/>
        <w:right w:val="none" w:sz="0" w:space="0" w:color="auto"/>
      </w:divBdr>
    </w:div>
    <w:div w:id="1176769818">
      <w:bodyDiv w:val="1"/>
      <w:marLeft w:val="0"/>
      <w:marRight w:val="0"/>
      <w:marTop w:val="0"/>
      <w:marBottom w:val="0"/>
      <w:divBdr>
        <w:top w:val="none" w:sz="0" w:space="0" w:color="auto"/>
        <w:left w:val="none" w:sz="0" w:space="0" w:color="auto"/>
        <w:bottom w:val="none" w:sz="0" w:space="0" w:color="auto"/>
        <w:right w:val="none" w:sz="0" w:space="0" w:color="auto"/>
      </w:divBdr>
    </w:div>
    <w:div w:id="1176916686">
      <w:bodyDiv w:val="1"/>
      <w:marLeft w:val="0"/>
      <w:marRight w:val="0"/>
      <w:marTop w:val="0"/>
      <w:marBottom w:val="0"/>
      <w:divBdr>
        <w:top w:val="none" w:sz="0" w:space="0" w:color="auto"/>
        <w:left w:val="none" w:sz="0" w:space="0" w:color="auto"/>
        <w:bottom w:val="none" w:sz="0" w:space="0" w:color="auto"/>
        <w:right w:val="none" w:sz="0" w:space="0" w:color="auto"/>
      </w:divBdr>
    </w:div>
    <w:div w:id="1177110775">
      <w:bodyDiv w:val="1"/>
      <w:marLeft w:val="0"/>
      <w:marRight w:val="0"/>
      <w:marTop w:val="0"/>
      <w:marBottom w:val="0"/>
      <w:divBdr>
        <w:top w:val="none" w:sz="0" w:space="0" w:color="auto"/>
        <w:left w:val="none" w:sz="0" w:space="0" w:color="auto"/>
        <w:bottom w:val="none" w:sz="0" w:space="0" w:color="auto"/>
        <w:right w:val="none" w:sz="0" w:space="0" w:color="auto"/>
      </w:divBdr>
    </w:div>
    <w:div w:id="1177232275">
      <w:bodyDiv w:val="1"/>
      <w:marLeft w:val="0"/>
      <w:marRight w:val="0"/>
      <w:marTop w:val="0"/>
      <w:marBottom w:val="0"/>
      <w:divBdr>
        <w:top w:val="none" w:sz="0" w:space="0" w:color="auto"/>
        <w:left w:val="none" w:sz="0" w:space="0" w:color="auto"/>
        <w:bottom w:val="none" w:sz="0" w:space="0" w:color="auto"/>
        <w:right w:val="none" w:sz="0" w:space="0" w:color="auto"/>
      </w:divBdr>
    </w:div>
    <w:div w:id="1177960972">
      <w:bodyDiv w:val="1"/>
      <w:marLeft w:val="0"/>
      <w:marRight w:val="0"/>
      <w:marTop w:val="0"/>
      <w:marBottom w:val="0"/>
      <w:divBdr>
        <w:top w:val="none" w:sz="0" w:space="0" w:color="auto"/>
        <w:left w:val="none" w:sz="0" w:space="0" w:color="auto"/>
        <w:bottom w:val="none" w:sz="0" w:space="0" w:color="auto"/>
        <w:right w:val="none" w:sz="0" w:space="0" w:color="auto"/>
      </w:divBdr>
    </w:div>
    <w:div w:id="1178033572">
      <w:bodyDiv w:val="1"/>
      <w:marLeft w:val="0"/>
      <w:marRight w:val="0"/>
      <w:marTop w:val="0"/>
      <w:marBottom w:val="0"/>
      <w:divBdr>
        <w:top w:val="none" w:sz="0" w:space="0" w:color="auto"/>
        <w:left w:val="none" w:sz="0" w:space="0" w:color="auto"/>
        <w:bottom w:val="none" w:sz="0" w:space="0" w:color="auto"/>
        <w:right w:val="none" w:sz="0" w:space="0" w:color="auto"/>
      </w:divBdr>
    </w:div>
    <w:div w:id="1178076820">
      <w:bodyDiv w:val="1"/>
      <w:marLeft w:val="0"/>
      <w:marRight w:val="0"/>
      <w:marTop w:val="0"/>
      <w:marBottom w:val="0"/>
      <w:divBdr>
        <w:top w:val="none" w:sz="0" w:space="0" w:color="auto"/>
        <w:left w:val="none" w:sz="0" w:space="0" w:color="auto"/>
        <w:bottom w:val="none" w:sz="0" w:space="0" w:color="auto"/>
        <w:right w:val="none" w:sz="0" w:space="0" w:color="auto"/>
      </w:divBdr>
    </w:div>
    <w:div w:id="1178160175">
      <w:bodyDiv w:val="1"/>
      <w:marLeft w:val="0"/>
      <w:marRight w:val="0"/>
      <w:marTop w:val="0"/>
      <w:marBottom w:val="0"/>
      <w:divBdr>
        <w:top w:val="none" w:sz="0" w:space="0" w:color="auto"/>
        <w:left w:val="none" w:sz="0" w:space="0" w:color="auto"/>
        <w:bottom w:val="none" w:sz="0" w:space="0" w:color="auto"/>
        <w:right w:val="none" w:sz="0" w:space="0" w:color="auto"/>
      </w:divBdr>
    </w:div>
    <w:div w:id="1178735946">
      <w:bodyDiv w:val="1"/>
      <w:marLeft w:val="0"/>
      <w:marRight w:val="0"/>
      <w:marTop w:val="0"/>
      <w:marBottom w:val="0"/>
      <w:divBdr>
        <w:top w:val="none" w:sz="0" w:space="0" w:color="auto"/>
        <w:left w:val="none" w:sz="0" w:space="0" w:color="auto"/>
        <w:bottom w:val="none" w:sz="0" w:space="0" w:color="auto"/>
        <w:right w:val="none" w:sz="0" w:space="0" w:color="auto"/>
      </w:divBdr>
    </w:div>
    <w:div w:id="1179270484">
      <w:bodyDiv w:val="1"/>
      <w:marLeft w:val="0"/>
      <w:marRight w:val="0"/>
      <w:marTop w:val="0"/>
      <w:marBottom w:val="0"/>
      <w:divBdr>
        <w:top w:val="none" w:sz="0" w:space="0" w:color="auto"/>
        <w:left w:val="none" w:sz="0" w:space="0" w:color="auto"/>
        <w:bottom w:val="none" w:sz="0" w:space="0" w:color="auto"/>
        <w:right w:val="none" w:sz="0" w:space="0" w:color="auto"/>
      </w:divBdr>
    </w:div>
    <w:div w:id="1179272668">
      <w:bodyDiv w:val="1"/>
      <w:marLeft w:val="0"/>
      <w:marRight w:val="0"/>
      <w:marTop w:val="0"/>
      <w:marBottom w:val="0"/>
      <w:divBdr>
        <w:top w:val="none" w:sz="0" w:space="0" w:color="auto"/>
        <w:left w:val="none" w:sz="0" w:space="0" w:color="auto"/>
        <w:bottom w:val="none" w:sz="0" w:space="0" w:color="auto"/>
        <w:right w:val="none" w:sz="0" w:space="0" w:color="auto"/>
      </w:divBdr>
    </w:div>
    <w:div w:id="1179347343">
      <w:bodyDiv w:val="1"/>
      <w:marLeft w:val="0"/>
      <w:marRight w:val="0"/>
      <w:marTop w:val="0"/>
      <w:marBottom w:val="0"/>
      <w:divBdr>
        <w:top w:val="none" w:sz="0" w:space="0" w:color="auto"/>
        <w:left w:val="none" w:sz="0" w:space="0" w:color="auto"/>
        <w:bottom w:val="none" w:sz="0" w:space="0" w:color="auto"/>
        <w:right w:val="none" w:sz="0" w:space="0" w:color="auto"/>
      </w:divBdr>
    </w:div>
    <w:div w:id="1179543974">
      <w:bodyDiv w:val="1"/>
      <w:marLeft w:val="0"/>
      <w:marRight w:val="0"/>
      <w:marTop w:val="0"/>
      <w:marBottom w:val="0"/>
      <w:divBdr>
        <w:top w:val="none" w:sz="0" w:space="0" w:color="auto"/>
        <w:left w:val="none" w:sz="0" w:space="0" w:color="auto"/>
        <w:bottom w:val="none" w:sz="0" w:space="0" w:color="auto"/>
        <w:right w:val="none" w:sz="0" w:space="0" w:color="auto"/>
      </w:divBdr>
    </w:div>
    <w:div w:id="1179657036">
      <w:bodyDiv w:val="1"/>
      <w:marLeft w:val="0"/>
      <w:marRight w:val="0"/>
      <w:marTop w:val="0"/>
      <w:marBottom w:val="0"/>
      <w:divBdr>
        <w:top w:val="none" w:sz="0" w:space="0" w:color="auto"/>
        <w:left w:val="none" w:sz="0" w:space="0" w:color="auto"/>
        <w:bottom w:val="none" w:sz="0" w:space="0" w:color="auto"/>
        <w:right w:val="none" w:sz="0" w:space="0" w:color="auto"/>
      </w:divBdr>
    </w:div>
    <w:div w:id="1179808877">
      <w:bodyDiv w:val="1"/>
      <w:marLeft w:val="0"/>
      <w:marRight w:val="0"/>
      <w:marTop w:val="0"/>
      <w:marBottom w:val="0"/>
      <w:divBdr>
        <w:top w:val="none" w:sz="0" w:space="0" w:color="auto"/>
        <w:left w:val="none" w:sz="0" w:space="0" w:color="auto"/>
        <w:bottom w:val="none" w:sz="0" w:space="0" w:color="auto"/>
        <w:right w:val="none" w:sz="0" w:space="0" w:color="auto"/>
      </w:divBdr>
    </w:div>
    <w:div w:id="1180051237">
      <w:bodyDiv w:val="1"/>
      <w:marLeft w:val="0"/>
      <w:marRight w:val="0"/>
      <w:marTop w:val="0"/>
      <w:marBottom w:val="0"/>
      <w:divBdr>
        <w:top w:val="none" w:sz="0" w:space="0" w:color="auto"/>
        <w:left w:val="none" w:sz="0" w:space="0" w:color="auto"/>
        <w:bottom w:val="none" w:sz="0" w:space="0" w:color="auto"/>
        <w:right w:val="none" w:sz="0" w:space="0" w:color="auto"/>
      </w:divBdr>
    </w:div>
    <w:div w:id="1180121069">
      <w:bodyDiv w:val="1"/>
      <w:marLeft w:val="0"/>
      <w:marRight w:val="0"/>
      <w:marTop w:val="0"/>
      <w:marBottom w:val="0"/>
      <w:divBdr>
        <w:top w:val="none" w:sz="0" w:space="0" w:color="auto"/>
        <w:left w:val="none" w:sz="0" w:space="0" w:color="auto"/>
        <w:bottom w:val="none" w:sz="0" w:space="0" w:color="auto"/>
        <w:right w:val="none" w:sz="0" w:space="0" w:color="auto"/>
      </w:divBdr>
    </w:div>
    <w:div w:id="1180121159">
      <w:bodyDiv w:val="1"/>
      <w:marLeft w:val="0"/>
      <w:marRight w:val="0"/>
      <w:marTop w:val="0"/>
      <w:marBottom w:val="0"/>
      <w:divBdr>
        <w:top w:val="none" w:sz="0" w:space="0" w:color="auto"/>
        <w:left w:val="none" w:sz="0" w:space="0" w:color="auto"/>
        <w:bottom w:val="none" w:sz="0" w:space="0" w:color="auto"/>
        <w:right w:val="none" w:sz="0" w:space="0" w:color="auto"/>
      </w:divBdr>
    </w:div>
    <w:div w:id="1180437989">
      <w:bodyDiv w:val="1"/>
      <w:marLeft w:val="0"/>
      <w:marRight w:val="0"/>
      <w:marTop w:val="0"/>
      <w:marBottom w:val="0"/>
      <w:divBdr>
        <w:top w:val="none" w:sz="0" w:space="0" w:color="auto"/>
        <w:left w:val="none" w:sz="0" w:space="0" w:color="auto"/>
        <w:bottom w:val="none" w:sz="0" w:space="0" w:color="auto"/>
        <w:right w:val="none" w:sz="0" w:space="0" w:color="auto"/>
      </w:divBdr>
    </w:div>
    <w:div w:id="1180508830">
      <w:bodyDiv w:val="1"/>
      <w:marLeft w:val="0"/>
      <w:marRight w:val="0"/>
      <w:marTop w:val="0"/>
      <w:marBottom w:val="0"/>
      <w:divBdr>
        <w:top w:val="none" w:sz="0" w:space="0" w:color="auto"/>
        <w:left w:val="none" w:sz="0" w:space="0" w:color="auto"/>
        <w:bottom w:val="none" w:sz="0" w:space="0" w:color="auto"/>
        <w:right w:val="none" w:sz="0" w:space="0" w:color="auto"/>
      </w:divBdr>
    </w:div>
    <w:div w:id="1180512015">
      <w:bodyDiv w:val="1"/>
      <w:marLeft w:val="0"/>
      <w:marRight w:val="0"/>
      <w:marTop w:val="0"/>
      <w:marBottom w:val="0"/>
      <w:divBdr>
        <w:top w:val="none" w:sz="0" w:space="0" w:color="auto"/>
        <w:left w:val="none" w:sz="0" w:space="0" w:color="auto"/>
        <w:bottom w:val="none" w:sz="0" w:space="0" w:color="auto"/>
        <w:right w:val="none" w:sz="0" w:space="0" w:color="auto"/>
      </w:divBdr>
    </w:div>
    <w:div w:id="1180655299">
      <w:bodyDiv w:val="1"/>
      <w:marLeft w:val="0"/>
      <w:marRight w:val="0"/>
      <w:marTop w:val="0"/>
      <w:marBottom w:val="0"/>
      <w:divBdr>
        <w:top w:val="none" w:sz="0" w:space="0" w:color="auto"/>
        <w:left w:val="none" w:sz="0" w:space="0" w:color="auto"/>
        <w:bottom w:val="none" w:sz="0" w:space="0" w:color="auto"/>
        <w:right w:val="none" w:sz="0" w:space="0" w:color="auto"/>
      </w:divBdr>
    </w:div>
    <w:div w:id="1180856170">
      <w:bodyDiv w:val="1"/>
      <w:marLeft w:val="0"/>
      <w:marRight w:val="0"/>
      <w:marTop w:val="0"/>
      <w:marBottom w:val="0"/>
      <w:divBdr>
        <w:top w:val="none" w:sz="0" w:space="0" w:color="auto"/>
        <w:left w:val="none" w:sz="0" w:space="0" w:color="auto"/>
        <w:bottom w:val="none" w:sz="0" w:space="0" w:color="auto"/>
        <w:right w:val="none" w:sz="0" w:space="0" w:color="auto"/>
      </w:divBdr>
    </w:div>
    <w:div w:id="1180966078">
      <w:bodyDiv w:val="1"/>
      <w:marLeft w:val="0"/>
      <w:marRight w:val="0"/>
      <w:marTop w:val="0"/>
      <w:marBottom w:val="0"/>
      <w:divBdr>
        <w:top w:val="none" w:sz="0" w:space="0" w:color="auto"/>
        <w:left w:val="none" w:sz="0" w:space="0" w:color="auto"/>
        <w:bottom w:val="none" w:sz="0" w:space="0" w:color="auto"/>
        <w:right w:val="none" w:sz="0" w:space="0" w:color="auto"/>
      </w:divBdr>
    </w:div>
    <w:div w:id="1181091689">
      <w:bodyDiv w:val="1"/>
      <w:marLeft w:val="0"/>
      <w:marRight w:val="0"/>
      <w:marTop w:val="0"/>
      <w:marBottom w:val="0"/>
      <w:divBdr>
        <w:top w:val="none" w:sz="0" w:space="0" w:color="auto"/>
        <w:left w:val="none" w:sz="0" w:space="0" w:color="auto"/>
        <w:bottom w:val="none" w:sz="0" w:space="0" w:color="auto"/>
        <w:right w:val="none" w:sz="0" w:space="0" w:color="auto"/>
      </w:divBdr>
    </w:div>
    <w:div w:id="1181119651">
      <w:bodyDiv w:val="1"/>
      <w:marLeft w:val="0"/>
      <w:marRight w:val="0"/>
      <w:marTop w:val="0"/>
      <w:marBottom w:val="0"/>
      <w:divBdr>
        <w:top w:val="none" w:sz="0" w:space="0" w:color="auto"/>
        <w:left w:val="none" w:sz="0" w:space="0" w:color="auto"/>
        <w:bottom w:val="none" w:sz="0" w:space="0" w:color="auto"/>
        <w:right w:val="none" w:sz="0" w:space="0" w:color="auto"/>
      </w:divBdr>
    </w:div>
    <w:div w:id="1181159634">
      <w:bodyDiv w:val="1"/>
      <w:marLeft w:val="0"/>
      <w:marRight w:val="0"/>
      <w:marTop w:val="0"/>
      <w:marBottom w:val="0"/>
      <w:divBdr>
        <w:top w:val="none" w:sz="0" w:space="0" w:color="auto"/>
        <w:left w:val="none" w:sz="0" w:space="0" w:color="auto"/>
        <w:bottom w:val="none" w:sz="0" w:space="0" w:color="auto"/>
        <w:right w:val="none" w:sz="0" w:space="0" w:color="auto"/>
      </w:divBdr>
    </w:div>
    <w:div w:id="1181434628">
      <w:bodyDiv w:val="1"/>
      <w:marLeft w:val="0"/>
      <w:marRight w:val="0"/>
      <w:marTop w:val="0"/>
      <w:marBottom w:val="0"/>
      <w:divBdr>
        <w:top w:val="none" w:sz="0" w:space="0" w:color="auto"/>
        <w:left w:val="none" w:sz="0" w:space="0" w:color="auto"/>
        <w:bottom w:val="none" w:sz="0" w:space="0" w:color="auto"/>
        <w:right w:val="none" w:sz="0" w:space="0" w:color="auto"/>
      </w:divBdr>
    </w:div>
    <w:div w:id="1181630153">
      <w:bodyDiv w:val="1"/>
      <w:marLeft w:val="0"/>
      <w:marRight w:val="0"/>
      <w:marTop w:val="0"/>
      <w:marBottom w:val="0"/>
      <w:divBdr>
        <w:top w:val="none" w:sz="0" w:space="0" w:color="auto"/>
        <w:left w:val="none" w:sz="0" w:space="0" w:color="auto"/>
        <w:bottom w:val="none" w:sz="0" w:space="0" w:color="auto"/>
        <w:right w:val="none" w:sz="0" w:space="0" w:color="auto"/>
      </w:divBdr>
    </w:div>
    <w:div w:id="1181892668">
      <w:bodyDiv w:val="1"/>
      <w:marLeft w:val="0"/>
      <w:marRight w:val="0"/>
      <w:marTop w:val="0"/>
      <w:marBottom w:val="0"/>
      <w:divBdr>
        <w:top w:val="none" w:sz="0" w:space="0" w:color="auto"/>
        <w:left w:val="none" w:sz="0" w:space="0" w:color="auto"/>
        <w:bottom w:val="none" w:sz="0" w:space="0" w:color="auto"/>
        <w:right w:val="none" w:sz="0" w:space="0" w:color="auto"/>
      </w:divBdr>
    </w:div>
    <w:div w:id="1182092121">
      <w:bodyDiv w:val="1"/>
      <w:marLeft w:val="0"/>
      <w:marRight w:val="0"/>
      <w:marTop w:val="0"/>
      <w:marBottom w:val="0"/>
      <w:divBdr>
        <w:top w:val="none" w:sz="0" w:space="0" w:color="auto"/>
        <w:left w:val="none" w:sz="0" w:space="0" w:color="auto"/>
        <w:bottom w:val="none" w:sz="0" w:space="0" w:color="auto"/>
        <w:right w:val="none" w:sz="0" w:space="0" w:color="auto"/>
      </w:divBdr>
    </w:div>
    <w:div w:id="1182281395">
      <w:bodyDiv w:val="1"/>
      <w:marLeft w:val="0"/>
      <w:marRight w:val="0"/>
      <w:marTop w:val="0"/>
      <w:marBottom w:val="0"/>
      <w:divBdr>
        <w:top w:val="none" w:sz="0" w:space="0" w:color="auto"/>
        <w:left w:val="none" w:sz="0" w:space="0" w:color="auto"/>
        <w:bottom w:val="none" w:sz="0" w:space="0" w:color="auto"/>
        <w:right w:val="none" w:sz="0" w:space="0" w:color="auto"/>
      </w:divBdr>
    </w:div>
    <w:div w:id="1182401020">
      <w:bodyDiv w:val="1"/>
      <w:marLeft w:val="0"/>
      <w:marRight w:val="0"/>
      <w:marTop w:val="0"/>
      <w:marBottom w:val="0"/>
      <w:divBdr>
        <w:top w:val="none" w:sz="0" w:space="0" w:color="auto"/>
        <w:left w:val="none" w:sz="0" w:space="0" w:color="auto"/>
        <w:bottom w:val="none" w:sz="0" w:space="0" w:color="auto"/>
        <w:right w:val="none" w:sz="0" w:space="0" w:color="auto"/>
      </w:divBdr>
    </w:div>
    <w:div w:id="1182628761">
      <w:bodyDiv w:val="1"/>
      <w:marLeft w:val="0"/>
      <w:marRight w:val="0"/>
      <w:marTop w:val="0"/>
      <w:marBottom w:val="0"/>
      <w:divBdr>
        <w:top w:val="none" w:sz="0" w:space="0" w:color="auto"/>
        <w:left w:val="none" w:sz="0" w:space="0" w:color="auto"/>
        <w:bottom w:val="none" w:sz="0" w:space="0" w:color="auto"/>
        <w:right w:val="none" w:sz="0" w:space="0" w:color="auto"/>
      </w:divBdr>
    </w:div>
    <w:div w:id="1182747449">
      <w:bodyDiv w:val="1"/>
      <w:marLeft w:val="0"/>
      <w:marRight w:val="0"/>
      <w:marTop w:val="0"/>
      <w:marBottom w:val="0"/>
      <w:divBdr>
        <w:top w:val="none" w:sz="0" w:space="0" w:color="auto"/>
        <w:left w:val="none" w:sz="0" w:space="0" w:color="auto"/>
        <w:bottom w:val="none" w:sz="0" w:space="0" w:color="auto"/>
        <w:right w:val="none" w:sz="0" w:space="0" w:color="auto"/>
      </w:divBdr>
    </w:div>
    <w:div w:id="1183132877">
      <w:bodyDiv w:val="1"/>
      <w:marLeft w:val="0"/>
      <w:marRight w:val="0"/>
      <w:marTop w:val="0"/>
      <w:marBottom w:val="0"/>
      <w:divBdr>
        <w:top w:val="none" w:sz="0" w:space="0" w:color="auto"/>
        <w:left w:val="none" w:sz="0" w:space="0" w:color="auto"/>
        <w:bottom w:val="none" w:sz="0" w:space="0" w:color="auto"/>
        <w:right w:val="none" w:sz="0" w:space="0" w:color="auto"/>
      </w:divBdr>
    </w:div>
    <w:div w:id="1183277501">
      <w:bodyDiv w:val="1"/>
      <w:marLeft w:val="0"/>
      <w:marRight w:val="0"/>
      <w:marTop w:val="0"/>
      <w:marBottom w:val="0"/>
      <w:divBdr>
        <w:top w:val="none" w:sz="0" w:space="0" w:color="auto"/>
        <w:left w:val="none" w:sz="0" w:space="0" w:color="auto"/>
        <w:bottom w:val="none" w:sz="0" w:space="0" w:color="auto"/>
        <w:right w:val="none" w:sz="0" w:space="0" w:color="auto"/>
      </w:divBdr>
    </w:div>
    <w:div w:id="1183319395">
      <w:bodyDiv w:val="1"/>
      <w:marLeft w:val="0"/>
      <w:marRight w:val="0"/>
      <w:marTop w:val="0"/>
      <w:marBottom w:val="0"/>
      <w:divBdr>
        <w:top w:val="none" w:sz="0" w:space="0" w:color="auto"/>
        <w:left w:val="none" w:sz="0" w:space="0" w:color="auto"/>
        <w:bottom w:val="none" w:sz="0" w:space="0" w:color="auto"/>
        <w:right w:val="none" w:sz="0" w:space="0" w:color="auto"/>
      </w:divBdr>
    </w:div>
    <w:div w:id="1183393683">
      <w:bodyDiv w:val="1"/>
      <w:marLeft w:val="0"/>
      <w:marRight w:val="0"/>
      <w:marTop w:val="0"/>
      <w:marBottom w:val="0"/>
      <w:divBdr>
        <w:top w:val="none" w:sz="0" w:space="0" w:color="auto"/>
        <w:left w:val="none" w:sz="0" w:space="0" w:color="auto"/>
        <w:bottom w:val="none" w:sz="0" w:space="0" w:color="auto"/>
        <w:right w:val="none" w:sz="0" w:space="0" w:color="auto"/>
      </w:divBdr>
    </w:div>
    <w:div w:id="1183394608">
      <w:bodyDiv w:val="1"/>
      <w:marLeft w:val="0"/>
      <w:marRight w:val="0"/>
      <w:marTop w:val="0"/>
      <w:marBottom w:val="0"/>
      <w:divBdr>
        <w:top w:val="none" w:sz="0" w:space="0" w:color="auto"/>
        <w:left w:val="none" w:sz="0" w:space="0" w:color="auto"/>
        <w:bottom w:val="none" w:sz="0" w:space="0" w:color="auto"/>
        <w:right w:val="none" w:sz="0" w:space="0" w:color="auto"/>
      </w:divBdr>
    </w:div>
    <w:div w:id="1183664325">
      <w:bodyDiv w:val="1"/>
      <w:marLeft w:val="0"/>
      <w:marRight w:val="0"/>
      <w:marTop w:val="0"/>
      <w:marBottom w:val="0"/>
      <w:divBdr>
        <w:top w:val="none" w:sz="0" w:space="0" w:color="auto"/>
        <w:left w:val="none" w:sz="0" w:space="0" w:color="auto"/>
        <w:bottom w:val="none" w:sz="0" w:space="0" w:color="auto"/>
        <w:right w:val="none" w:sz="0" w:space="0" w:color="auto"/>
      </w:divBdr>
    </w:div>
    <w:div w:id="1183859324">
      <w:bodyDiv w:val="1"/>
      <w:marLeft w:val="0"/>
      <w:marRight w:val="0"/>
      <w:marTop w:val="0"/>
      <w:marBottom w:val="0"/>
      <w:divBdr>
        <w:top w:val="none" w:sz="0" w:space="0" w:color="auto"/>
        <w:left w:val="none" w:sz="0" w:space="0" w:color="auto"/>
        <w:bottom w:val="none" w:sz="0" w:space="0" w:color="auto"/>
        <w:right w:val="none" w:sz="0" w:space="0" w:color="auto"/>
      </w:divBdr>
    </w:div>
    <w:div w:id="1184435296">
      <w:bodyDiv w:val="1"/>
      <w:marLeft w:val="0"/>
      <w:marRight w:val="0"/>
      <w:marTop w:val="0"/>
      <w:marBottom w:val="0"/>
      <w:divBdr>
        <w:top w:val="none" w:sz="0" w:space="0" w:color="auto"/>
        <w:left w:val="none" w:sz="0" w:space="0" w:color="auto"/>
        <w:bottom w:val="none" w:sz="0" w:space="0" w:color="auto"/>
        <w:right w:val="none" w:sz="0" w:space="0" w:color="auto"/>
      </w:divBdr>
    </w:div>
    <w:div w:id="1184975989">
      <w:bodyDiv w:val="1"/>
      <w:marLeft w:val="0"/>
      <w:marRight w:val="0"/>
      <w:marTop w:val="0"/>
      <w:marBottom w:val="0"/>
      <w:divBdr>
        <w:top w:val="none" w:sz="0" w:space="0" w:color="auto"/>
        <w:left w:val="none" w:sz="0" w:space="0" w:color="auto"/>
        <w:bottom w:val="none" w:sz="0" w:space="0" w:color="auto"/>
        <w:right w:val="none" w:sz="0" w:space="0" w:color="auto"/>
      </w:divBdr>
    </w:div>
    <w:div w:id="1185286962">
      <w:bodyDiv w:val="1"/>
      <w:marLeft w:val="0"/>
      <w:marRight w:val="0"/>
      <w:marTop w:val="0"/>
      <w:marBottom w:val="0"/>
      <w:divBdr>
        <w:top w:val="none" w:sz="0" w:space="0" w:color="auto"/>
        <w:left w:val="none" w:sz="0" w:space="0" w:color="auto"/>
        <w:bottom w:val="none" w:sz="0" w:space="0" w:color="auto"/>
        <w:right w:val="none" w:sz="0" w:space="0" w:color="auto"/>
      </w:divBdr>
    </w:div>
    <w:div w:id="1185511315">
      <w:bodyDiv w:val="1"/>
      <w:marLeft w:val="0"/>
      <w:marRight w:val="0"/>
      <w:marTop w:val="0"/>
      <w:marBottom w:val="0"/>
      <w:divBdr>
        <w:top w:val="none" w:sz="0" w:space="0" w:color="auto"/>
        <w:left w:val="none" w:sz="0" w:space="0" w:color="auto"/>
        <w:bottom w:val="none" w:sz="0" w:space="0" w:color="auto"/>
        <w:right w:val="none" w:sz="0" w:space="0" w:color="auto"/>
      </w:divBdr>
    </w:div>
    <w:div w:id="1185901572">
      <w:bodyDiv w:val="1"/>
      <w:marLeft w:val="0"/>
      <w:marRight w:val="0"/>
      <w:marTop w:val="0"/>
      <w:marBottom w:val="0"/>
      <w:divBdr>
        <w:top w:val="none" w:sz="0" w:space="0" w:color="auto"/>
        <w:left w:val="none" w:sz="0" w:space="0" w:color="auto"/>
        <w:bottom w:val="none" w:sz="0" w:space="0" w:color="auto"/>
        <w:right w:val="none" w:sz="0" w:space="0" w:color="auto"/>
      </w:divBdr>
    </w:div>
    <w:div w:id="1185939710">
      <w:bodyDiv w:val="1"/>
      <w:marLeft w:val="0"/>
      <w:marRight w:val="0"/>
      <w:marTop w:val="0"/>
      <w:marBottom w:val="0"/>
      <w:divBdr>
        <w:top w:val="none" w:sz="0" w:space="0" w:color="auto"/>
        <w:left w:val="none" w:sz="0" w:space="0" w:color="auto"/>
        <w:bottom w:val="none" w:sz="0" w:space="0" w:color="auto"/>
        <w:right w:val="none" w:sz="0" w:space="0" w:color="auto"/>
      </w:divBdr>
    </w:div>
    <w:div w:id="1186018702">
      <w:bodyDiv w:val="1"/>
      <w:marLeft w:val="0"/>
      <w:marRight w:val="0"/>
      <w:marTop w:val="0"/>
      <w:marBottom w:val="0"/>
      <w:divBdr>
        <w:top w:val="none" w:sz="0" w:space="0" w:color="auto"/>
        <w:left w:val="none" w:sz="0" w:space="0" w:color="auto"/>
        <w:bottom w:val="none" w:sz="0" w:space="0" w:color="auto"/>
        <w:right w:val="none" w:sz="0" w:space="0" w:color="auto"/>
      </w:divBdr>
    </w:div>
    <w:div w:id="1186166361">
      <w:bodyDiv w:val="1"/>
      <w:marLeft w:val="0"/>
      <w:marRight w:val="0"/>
      <w:marTop w:val="0"/>
      <w:marBottom w:val="0"/>
      <w:divBdr>
        <w:top w:val="none" w:sz="0" w:space="0" w:color="auto"/>
        <w:left w:val="none" w:sz="0" w:space="0" w:color="auto"/>
        <w:bottom w:val="none" w:sz="0" w:space="0" w:color="auto"/>
        <w:right w:val="none" w:sz="0" w:space="0" w:color="auto"/>
      </w:divBdr>
    </w:div>
    <w:div w:id="1186478383">
      <w:bodyDiv w:val="1"/>
      <w:marLeft w:val="0"/>
      <w:marRight w:val="0"/>
      <w:marTop w:val="0"/>
      <w:marBottom w:val="0"/>
      <w:divBdr>
        <w:top w:val="none" w:sz="0" w:space="0" w:color="auto"/>
        <w:left w:val="none" w:sz="0" w:space="0" w:color="auto"/>
        <w:bottom w:val="none" w:sz="0" w:space="0" w:color="auto"/>
        <w:right w:val="none" w:sz="0" w:space="0" w:color="auto"/>
      </w:divBdr>
    </w:div>
    <w:div w:id="1186597228">
      <w:bodyDiv w:val="1"/>
      <w:marLeft w:val="0"/>
      <w:marRight w:val="0"/>
      <w:marTop w:val="0"/>
      <w:marBottom w:val="0"/>
      <w:divBdr>
        <w:top w:val="none" w:sz="0" w:space="0" w:color="auto"/>
        <w:left w:val="none" w:sz="0" w:space="0" w:color="auto"/>
        <w:bottom w:val="none" w:sz="0" w:space="0" w:color="auto"/>
        <w:right w:val="none" w:sz="0" w:space="0" w:color="auto"/>
      </w:divBdr>
    </w:div>
    <w:div w:id="1186602276">
      <w:bodyDiv w:val="1"/>
      <w:marLeft w:val="0"/>
      <w:marRight w:val="0"/>
      <w:marTop w:val="0"/>
      <w:marBottom w:val="0"/>
      <w:divBdr>
        <w:top w:val="none" w:sz="0" w:space="0" w:color="auto"/>
        <w:left w:val="none" w:sz="0" w:space="0" w:color="auto"/>
        <w:bottom w:val="none" w:sz="0" w:space="0" w:color="auto"/>
        <w:right w:val="none" w:sz="0" w:space="0" w:color="auto"/>
      </w:divBdr>
    </w:div>
    <w:div w:id="1186602378">
      <w:bodyDiv w:val="1"/>
      <w:marLeft w:val="0"/>
      <w:marRight w:val="0"/>
      <w:marTop w:val="0"/>
      <w:marBottom w:val="0"/>
      <w:divBdr>
        <w:top w:val="none" w:sz="0" w:space="0" w:color="auto"/>
        <w:left w:val="none" w:sz="0" w:space="0" w:color="auto"/>
        <w:bottom w:val="none" w:sz="0" w:space="0" w:color="auto"/>
        <w:right w:val="none" w:sz="0" w:space="0" w:color="auto"/>
      </w:divBdr>
    </w:div>
    <w:div w:id="1186747656">
      <w:bodyDiv w:val="1"/>
      <w:marLeft w:val="0"/>
      <w:marRight w:val="0"/>
      <w:marTop w:val="0"/>
      <w:marBottom w:val="0"/>
      <w:divBdr>
        <w:top w:val="none" w:sz="0" w:space="0" w:color="auto"/>
        <w:left w:val="none" w:sz="0" w:space="0" w:color="auto"/>
        <w:bottom w:val="none" w:sz="0" w:space="0" w:color="auto"/>
        <w:right w:val="none" w:sz="0" w:space="0" w:color="auto"/>
      </w:divBdr>
    </w:div>
    <w:div w:id="1186868067">
      <w:bodyDiv w:val="1"/>
      <w:marLeft w:val="0"/>
      <w:marRight w:val="0"/>
      <w:marTop w:val="0"/>
      <w:marBottom w:val="0"/>
      <w:divBdr>
        <w:top w:val="none" w:sz="0" w:space="0" w:color="auto"/>
        <w:left w:val="none" w:sz="0" w:space="0" w:color="auto"/>
        <w:bottom w:val="none" w:sz="0" w:space="0" w:color="auto"/>
        <w:right w:val="none" w:sz="0" w:space="0" w:color="auto"/>
      </w:divBdr>
    </w:div>
    <w:div w:id="1186990252">
      <w:bodyDiv w:val="1"/>
      <w:marLeft w:val="0"/>
      <w:marRight w:val="0"/>
      <w:marTop w:val="0"/>
      <w:marBottom w:val="0"/>
      <w:divBdr>
        <w:top w:val="none" w:sz="0" w:space="0" w:color="auto"/>
        <w:left w:val="none" w:sz="0" w:space="0" w:color="auto"/>
        <w:bottom w:val="none" w:sz="0" w:space="0" w:color="auto"/>
        <w:right w:val="none" w:sz="0" w:space="0" w:color="auto"/>
      </w:divBdr>
    </w:div>
    <w:div w:id="1187325821">
      <w:bodyDiv w:val="1"/>
      <w:marLeft w:val="0"/>
      <w:marRight w:val="0"/>
      <w:marTop w:val="0"/>
      <w:marBottom w:val="0"/>
      <w:divBdr>
        <w:top w:val="none" w:sz="0" w:space="0" w:color="auto"/>
        <w:left w:val="none" w:sz="0" w:space="0" w:color="auto"/>
        <w:bottom w:val="none" w:sz="0" w:space="0" w:color="auto"/>
        <w:right w:val="none" w:sz="0" w:space="0" w:color="auto"/>
      </w:divBdr>
    </w:div>
    <w:div w:id="1187326334">
      <w:bodyDiv w:val="1"/>
      <w:marLeft w:val="0"/>
      <w:marRight w:val="0"/>
      <w:marTop w:val="0"/>
      <w:marBottom w:val="0"/>
      <w:divBdr>
        <w:top w:val="none" w:sz="0" w:space="0" w:color="auto"/>
        <w:left w:val="none" w:sz="0" w:space="0" w:color="auto"/>
        <w:bottom w:val="none" w:sz="0" w:space="0" w:color="auto"/>
        <w:right w:val="none" w:sz="0" w:space="0" w:color="auto"/>
      </w:divBdr>
    </w:div>
    <w:div w:id="1187525945">
      <w:bodyDiv w:val="1"/>
      <w:marLeft w:val="0"/>
      <w:marRight w:val="0"/>
      <w:marTop w:val="0"/>
      <w:marBottom w:val="0"/>
      <w:divBdr>
        <w:top w:val="none" w:sz="0" w:space="0" w:color="auto"/>
        <w:left w:val="none" w:sz="0" w:space="0" w:color="auto"/>
        <w:bottom w:val="none" w:sz="0" w:space="0" w:color="auto"/>
        <w:right w:val="none" w:sz="0" w:space="0" w:color="auto"/>
      </w:divBdr>
    </w:div>
    <w:div w:id="1187909610">
      <w:bodyDiv w:val="1"/>
      <w:marLeft w:val="0"/>
      <w:marRight w:val="0"/>
      <w:marTop w:val="0"/>
      <w:marBottom w:val="0"/>
      <w:divBdr>
        <w:top w:val="none" w:sz="0" w:space="0" w:color="auto"/>
        <w:left w:val="none" w:sz="0" w:space="0" w:color="auto"/>
        <w:bottom w:val="none" w:sz="0" w:space="0" w:color="auto"/>
        <w:right w:val="none" w:sz="0" w:space="0" w:color="auto"/>
      </w:divBdr>
    </w:div>
    <w:div w:id="1187989221">
      <w:bodyDiv w:val="1"/>
      <w:marLeft w:val="0"/>
      <w:marRight w:val="0"/>
      <w:marTop w:val="0"/>
      <w:marBottom w:val="0"/>
      <w:divBdr>
        <w:top w:val="none" w:sz="0" w:space="0" w:color="auto"/>
        <w:left w:val="none" w:sz="0" w:space="0" w:color="auto"/>
        <w:bottom w:val="none" w:sz="0" w:space="0" w:color="auto"/>
        <w:right w:val="none" w:sz="0" w:space="0" w:color="auto"/>
      </w:divBdr>
    </w:div>
    <w:div w:id="1188062664">
      <w:bodyDiv w:val="1"/>
      <w:marLeft w:val="0"/>
      <w:marRight w:val="0"/>
      <w:marTop w:val="0"/>
      <w:marBottom w:val="0"/>
      <w:divBdr>
        <w:top w:val="none" w:sz="0" w:space="0" w:color="auto"/>
        <w:left w:val="none" w:sz="0" w:space="0" w:color="auto"/>
        <w:bottom w:val="none" w:sz="0" w:space="0" w:color="auto"/>
        <w:right w:val="none" w:sz="0" w:space="0" w:color="auto"/>
      </w:divBdr>
    </w:div>
    <w:div w:id="1188105817">
      <w:bodyDiv w:val="1"/>
      <w:marLeft w:val="0"/>
      <w:marRight w:val="0"/>
      <w:marTop w:val="0"/>
      <w:marBottom w:val="0"/>
      <w:divBdr>
        <w:top w:val="none" w:sz="0" w:space="0" w:color="auto"/>
        <w:left w:val="none" w:sz="0" w:space="0" w:color="auto"/>
        <w:bottom w:val="none" w:sz="0" w:space="0" w:color="auto"/>
        <w:right w:val="none" w:sz="0" w:space="0" w:color="auto"/>
      </w:divBdr>
    </w:div>
    <w:div w:id="1188249607">
      <w:bodyDiv w:val="1"/>
      <w:marLeft w:val="0"/>
      <w:marRight w:val="0"/>
      <w:marTop w:val="0"/>
      <w:marBottom w:val="0"/>
      <w:divBdr>
        <w:top w:val="none" w:sz="0" w:space="0" w:color="auto"/>
        <w:left w:val="none" w:sz="0" w:space="0" w:color="auto"/>
        <w:bottom w:val="none" w:sz="0" w:space="0" w:color="auto"/>
        <w:right w:val="none" w:sz="0" w:space="0" w:color="auto"/>
      </w:divBdr>
    </w:div>
    <w:div w:id="1188326349">
      <w:bodyDiv w:val="1"/>
      <w:marLeft w:val="0"/>
      <w:marRight w:val="0"/>
      <w:marTop w:val="0"/>
      <w:marBottom w:val="0"/>
      <w:divBdr>
        <w:top w:val="none" w:sz="0" w:space="0" w:color="auto"/>
        <w:left w:val="none" w:sz="0" w:space="0" w:color="auto"/>
        <w:bottom w:val="none" w:sz="0" w:space="0" w:color="auto"/>
        <w:right w:val="none" w:sz="0" w:space="0" w:color="auto"/>
      </w:divBdr>
    </w:div>
    <w:div w:id="1188447839">
      <w:bodyDiv w:val="1"/>
      <w:marLeft w:val="0"/>
      <w:marRight w:val="0"/>
      <w:marTop w:val="0"/>
      <w:marBottom w:val="0"/>
      <w:divBdr>
        <w:top w:val="none" w:sz="0" w:space="0" w:color="auto"/>
        <w:left w:val="none" w:sz="0" w:space="0" w:color="auto"/>
        <w:bottom w:val="none" w:sz="0" w:space="0" w:color="auto"/>
        <w:right w:val="none" w:sz="0" w:space="0" w:color="auto"/>
      </w:divBdr>
    </w:div>
    <w:div w:id="1188520692">
      <w:bodyDiv w:val="1"/>
      <w:marLeft w:val="0"/>
      <w:marRight w:val="0"/>
      <w:marTop w:val="0"/>
      <w:marBottom w:val="0"/>
      <w:divBdr>
        <w:top w:val="none" w:sz="0" w:space="0" w:color="auto"/>
        <w:left w:val="none" w:sz="0" w:space="0" w:color="auto"/>
        <w:bottom w:val="none" w:sz="0" w:space="0" w:color="auto"/>
        <w:right w:val="none" w:sz="0" w:space="0" w:color="auto"/>
      </w:divBdr>
    </w:div>
    <w:div w:id="1188830269">
      <w:bodyDiv w:val="1"/>
      <w:marLeft w:val="0"/>
      <w:marRight w:val="0"/>
      <w:marTop w:val="0"/>
      <w:marBottom w:val="0"/>
      <w:divBdr>
        <w:top w:val="none" w:sz="0" w:space="0" w:color="auto"/>
        <w:left w:val="none" w:sz="0" w:space="0" w:color="auto"/>
        <w:bottom w:val="none" w:sz="0" w:space="0" w:color="auto"/>
        <w:right w:val="none" w:sz="0" w:space="0" w:color="auto"/>
      </w:divBdr>
    </w:div>
    <w:div w:id="1188831939">
      <w:bodyDiv w:val="1"/>
      <w:marLeft w:val="0"/>
      <w:marRight w:val="0"/>
      <w:marTop w:val="0"/>
      <w:marBottom w:val="0"/>
      <w:divBdr>
        <w:top w:val="none" w:sz="0" w:space="0" w:color="auto"/>
        <w:left w:val="none" w:sz="0" w:space="0" w:color="auto"/>
        <w:bottom w:val="none" w:sz="0" w:space="0" w:color="auto"/>
        <w:right w:val="none" w:sz="0" w:space="0" w:color="auto"/>
      </w:divBdr>
    </w:div>
    <w:div w:id="1188834805">
      <w:bodyDiv w:val="1"/>
      <w:marLeft w:val="0"/>
      <w:marRight w:val="0"/>
      <w:marTop w:val="0"/>
      <w:marBottom w:val="0"/>
      <w:divBdr>
        <w:top w:val="none" w:sz="0" w:space="0" w:color="auto"/>
        <w:left w:val="none" w:sz="0" w:space="0" w:color="auto"/>
        <w:bottom w:val="none" w:sz="0" w:space="0" w:color="auto"/>
        <w:right w:val="none" w:sz="0" w:space="0" w:color="auto"/>
      </w:divBdr>
    </w:div>
    <w:div w:id="1189029256">
      <w:bodyDiv w:val="1"/>
      <w:marLeft w:val="0"/>
      <w:marRight w:val="0"/>
      <w:marTop w:val="0"/>
      <w:marBottom w:val="0"/>
      <w:divBdr>
        <w:top w:val="none" w:sz="0" w:space="0" w:color="auto"/>
        <w:left w:val="none" w:sz="0" w:space="0" w:color="auto"/>
        <w:bottom w:val="none" w:sz="0" w:space="0" w:color="auto"/>
        <w:right w:val="none" w:sz="0" w:space="0" w:color="auto"/>
      </w:divBdr>
    </w:div>
    <w:div w:id="1189569073">
      <w:bodyDiv w:val="1"/>
      <w:marLeft w:val="0"/>
      <w:marRight w:val="0"/>
      <w:marTop w:val="0"/>
      <w:marBottom w:val="0"/>
      <w:divBdr>
        <w:top w:val="none" w:sz="0" w:space="0" w:color="auto"/>
        <w:left w:val="none" w:sz="0" w:space="0" w:color="auto"/>
        <w:bottom w:val="none" w:sz="0" w:space="0" w:color="auto"/>
        <w:right w:val="none" w:sz="0" w:space="0" w:color="auto"/>
      </w:divBdr>
    </w:div>
    <w:div w:id="1190028358">
      <w:bodyDiv w:val="1"/>
      <w:marLeft w:val="0"/>
      <w:marRight w:val="0"/>
      <w:marTop w:val="0"/>
      <w:marBottom w:val="0"/>
      <w:divBdr>
        <w:top w:val="none" w:sz="0" w:space="0" w:color="auto"/>
        <w:left w:val="none" w:sz="0" w:space="0" w:color="auto"/>
        <w:bottom w:val="none" w:sz="0" w:space="0" w:color="auto"/>
        <w:right w:val="none" w:sz="0" w:space="0" w:color="auto"/>
      </w:divBdr>
    </w:div>
    <w:div w:id="1190072689">
      <w:bodyDiv w:val="1"/>
      <w:marLeft w:val="0"/>
      <w:marRight w:val="0"/>
      <w:marTop w:val="0"/>
      <w:marBottom w:val="0"/>
      <w:divBdr>
        <w:top w:val="none" w:sz="0" w:space="0" w:color="auto"/>
        <w:left w:val="none" w:sz="0" w:space="0" w:color="auto"/>
        <w:bottom w:val="none" w:sz="0" w:space="0" w:color="auto"/>
        <w:right w:val="none" w:sz="0" w:space="0" w:color="auto"/>
      </w:divBdr>
    </w:div>
    <w:div w:id="1190140285">
      <w:bodyDiv w:val="1"/>
      <w:marLeft w:val="0"/>
      <w:marRight w:val="0"/>
      <w:marTop w:val="0"/>
      <w:marBottom w:val="0"/>
      <w:divBdr>
        <w:top w:val="none" w:sz="0" w:space="0" w:color="auto"/>
        <w:left w:val="none" w:sz="0" w:space="0" w:color="auto"/>
        <w:bottom w:val="none" w:sz="0" w:space="0" w:color="auto"/>
        <w:right w:val="none" w:sz="0" w:space="0" w:color="auto"/>
      </w:divBdr>
    </w:div>
    <w:div w:id="1190610323">
      <w:bodyDiv w:val="1"/>
      <w:marLeft w:val="0"/>
      <w:marRight w:val="0"/>
      <w:marTop w:val="0"/>
      <w:marBottom w:val="0"/>
      <w:divBdr>
        <w:top w:val="none" w:sz="0" w:space="0" w:color="auto"/>
        <w:left w:val="none" w:sz="0" w:space="0" w:color="auto"/>
        <w:bottom w:val="none" w:sz="0" w:space="0" w:color="auto"/>
        <w:right w:val="none" w:sz="0" w:space="0" w:color="auto"/>
      </w:divBdr>
    </w:div>
    <w:div w:id="1190798541">
      <w:bodyDiv w:val="1"/>
      <w:marLeft w:val="0"/>
      <w:marRight w:val="0"/>
      <w:marTop w:val="0"/>
      <w:marBottom w:val="0"/>
      <w:divBdr>
        <w:top w:val="none" w:sz="0" w:space="0" w:color="auto"/>
        <w:left w:val="none" w:sz="0" w:space="0" w:color="auto"/>
        <w:bottom w:val="none" w:sz="0" w:space="0" w:color="auto"/>
        <w:right w:val="none" w:sz="0" w:space="0" w:color="auto"/>
      </w:divBdr>
    </w:div>
    <w:div w:id="1190803452">
      <w:bodyDiv w:val="1"/>
      <w:marLeft w:val="0"/>
      <w:marRight w:val="0"/>
      <w:marTop w:val="0"/>
      <w:marBottom w:val="0"/>
      <w:divBdr>
        <w:top w:val="none" w:sz="0" w:space="0" w:color="auto"/>
        <w:left w:val="none" w:sz="0" w:space="0" w:color="auto"/>
        <w:bottom w:val="none" w:sz="0" w:space="0" w:color="auto"/>
        <w:right w:val="none" w:sz="0" w:space="0" w:color="auto"/>
      </w:divBdr>
    </w:div>
    <w:div w:id="1190874090">
      <w:bodyDiv w:val="1"/>
      <w:marLeft w:val="0"/>
      <w:marRight w:val="0"/>
      <w:marTop w:val="0"/>
      <w:marBottom w:val="0"/>
      <w:divBdr>
        <w:top w:val="none" w:sz="0" w:space="0" w:color="auto"/>
        <w:left w:val="none" w:sz="0" w:space="0" w:color="auto"/>
        <w:bottom w:val="none" w:sz="0" w:space="0" w:color="auto"/>
        <w:right w:val="none" w:sz="0" w:space="0" w:color="auto"/>
      </w:divBdr>
    </w:div>
    <w:div w:id="1190877615">
      <w:bodyDiv w:val="1"/>
      <w:marLeft w:val="0"/>
      <w:marRight w:val="0"/>
      <w:marTop w:val="0"/>
      <w:marBottom w:val="0"/>
      <w:divBdr>
        <w:top w:val="none" w:sz="0" w:space="0" w:color="auto"/>
        <w:left w:val="none" w:sz="0" w:space="0" w:color="auto"/>
        <w:bottom w:val="none" w:sz="0" w:space="0" w:color="auto"/>
        <w:right w:val="none" w:sz="0" w:space="0" w:color="auto"/>
      </w:divBdr>
    </w:div>
    <w:div w:id="1190948698">
      <w:bodyDiv w:val="1"/>
      <w:marLeft w:val="0"/>
      <w:marRight w:val="0"/>
      <w:marTop w:val="0"/>
      <w:marBottom w:val="0"/>
      <w:divBdr>
        <w:top w:val="none" w:sz="0" w:space="0" w:color="auto"/>
        <w:left w:val="none" w:sz="0" w:space="0" w:color="auto"/>
        <w:bottom w:val="none" w:sz="0" w:space="0" w:color="auto"/>
        <w:right w:val="none" w:sz="0" w:space="0" w:color="auto"/>
      </w:divBdr>
    </w:div>
    <w:div w:id="1191261135">
      <w:bodyDiv w:val="1"/>
      <w:marLeft w:val="0"/>
      <w:marRight w:val="0"/>
      <w:marTop w:val="0"/>
      <w:marBottom w:val="0"/>
      <w:divBdr>
        <w:top w:val="none" w:sz="0" w:space="0" w:color="auto"/>
        <w:left w:val="none" w:sz="0" w:space="0" w:color="auto"/>
        <w:bottom w:val="none" w:sz="0" w:space="0" w:color="auto"/>
        <w:right w:val="none" w:sz="0" w:space="0" w:color="auto"/>
      </w:divBdr>
    </w:div>
    <w:div w:id="1191378963">
      <w:bodyDiv w:val="1"/>
      <w:marLeft w:val="0"/>
      <w:marRight w:val="0"/>
      <w:marTop w:val="0"/>
      <w:marBottom w:val="0"/>
      <w:divBdr>
        <w:top w:val="none" w:sz="0" w:space="0" w:color="auto"/>
        <w:left w:val="none" w:sz="0" w:space="0" w:color="auto"/>
        <w:bottom w:val="none" w:sz="0" w:space="0" w:color="auto"/>
        <w:right w:val="none" w:sz="0" w:space="0" w:color="auto"/>
      </w:divBdr>
    </w:div>
    <w:div w:id="1191794324">
      <w:bodyDiv w:val="1"/>
      <w:marLeft w:val="0"/>
      <w:marRight w:val="0"/>
      <w:marTop w:val="0"/>
      <w:marBottom w:val="0"/>
      <w:divBdr>
        <w:top w:val="none" w:sz="0" w:space="0" w:color="auto"/>
        <w:left w:val="none" w:sz="0" w:space="0" w:color="auto"/>
        <w:bottom w:val="none" w:sz="0" w:space="0" w:color="auto"/>
        <w:right w:val="none" w:sz="0" w:space="0" w:color="auto"/>
      </w:divBdr>
    </w:div>
    <w:div w:id="1191845007">
      <w:bodyDiv w:val="1"/>
      <w:marLeft w:val="0"/>
      <w:marRight w:val="0"/>
      <w:marTop w:val="0"/>
      <w:marBottom w:val="0"/>
      <w:divBdr>
        <w:top w:val="none" w:sz="0" w:space="0" w:color="auto"/>
        <w:left w:val="none" w:sz="0" w:space="0" w:color="auto"/>
        <w:bottom w:val="none" w:sz="0" w:space="0" w:color="auto"/>
        <w:right w:val="none" w:sz="0" w:space="0" w:color="auto"/>
      </w:divBdr>
    </w:div>
    <w:div w:id="1192186988">
      <w:bodyDiv w:val="1"/>
      <w:marLeft w:val="0"/>
      <w:marRight w:val="0"/>
      <w:marTop w:val="0"/>
      <w:marBottom w:val="0"/>
      <w:divBdr>
        <w:top w:val="none" w:sz="0" w:space="0" w:color="auto"/>
        <w:left w:val="none" w:sz="0" w:space="0" w:color="auto"/>
        <w:bottom w:val="none" w:sz="0" w:space="0" w:color="auto"/>
        <w:right w:val="none" w:sz="0" w:space="0" w:color="auto"/>
      </w:divBdr>
    </w:div>
    <w:div w:id="1192719107">
      <w:bodyDiv w:val="1"/>
      <w:marLeft w:val="0"/>
      <w:marRight w:val="0"/>
      <w:marTop w:val="0"/>
      <w:marBottom w:val="0"/>
      <w:divBdr>
        <w:top w:val="none" w:sz="0" w:space="0" w:color="auto"/>
        <w:left w:val="none" w:sz="0" w:space="0" w:color="auto"/>
        <w:bottom w:val="none" w:sz="0" w:space="0" w:color="auto"/>
        <w:right w:val="none" w:sz="0" w:space="0" w:color="auto"/>
      </w:divBdr>
    </w:div>
    <w:div w:id="1193301673">
      <w:bodyDiv w:val="1"/>
      <w:marLeft w:val="0"/>
      <w:marRight w:val="0"/>
      <w:marTop w:val="0"/>
      <w:marBottom w:val="0"/>
      <w:divBdr>
        <w:top w:val="none" w:sz="0" w:space="0" w:color="auto"/>
        <w:left w:val="none" w:sz="0" w:space="0" w:color="auto"/>
        <w:bottom w:val="none" w:sz="0" w:space="0" w:color="auto"/>
        <w:right w:val="none" w:sz="0" w:space="0" w:color="auto"/>
      </w:divBdr>
    </w:div>
    <w:div w:id="1193421750">
      <w:bodyDiv w:val="1"/>
      <w:marLeft w:val="0"/>
      <w:marRight w:val="0"/>
      <w:marTop w:val="0"/>
      <w:marBottom w:val="0"/>
      <w:divBdr>
        <w:top w:val="none" w:sz="0" w:space="0" w:color="auto"/>
        <w:left w:val="none" w:sz="0" w:space="0" w:color="auto"/>
        <w:bottom w:val="none" w:sz="0" w:space="0" w:color="auto"/>
        <w:right w:val="none" w:sz="0" w:space="0" w:color="auto"/>
      </w:divBdr>
    </w:div>
    <w:div w:id="1193617015">
      <w:bodyDiv w:val="1"/>
      <w:marLeft w:val="0"/>
      <w:marRight w:val="0"/>
      <w:marTop w:val="0"/>
      <w:marBottom w:val="0"/>
      <w:divBdr>
        <w:top w:val="none" w:sz="0" w:space="0" w:color="auto"/>
        <w:left w:val="none" w:sz="0" w:space="0" w:color="auto"/>
        <w:bottom w:val="none" w:sz="0" w:space="0" w:color="auto"/>
        <w:right w:val="none" w:sz="0" w:space="0" w:color="auto"/>
      </w:divBdr>
    </w:div>
    <w:div w:id="1193808978">
      <w:bodyDiv w:val="1"/>
      <w:marLeft w:val="0"/>
      <w:marRight w:val="0"/>
      <w:marTop w:val="0"/>
      <w:marBottom w:val="0"/>
      <w:divBdr>
        <w:top w:val="none" w:sz="0" w:space="0" w:color="auto"/>
        <w:left w:val="none" w:sz="0" w:space="0" w:color="auto"/>
        <w:bottom w:val="none" w:sz="0" w:space="0" w:color="auto"/>
        <w:right w:val="none" w:sz="0" w:space="0" w:color="auto"/>
      </w:divBdr>
    </w:div>
    <w:div w:id="1193882672">
      <w:bodyDiv w:val="1"/>
      <w:marLeft w:val="0"/>
      <w:marRight w:val="0"/>
      <w:marTop w:val="0"/>
      <w:marBottom w:val="0"/>
      <w:divBdr>
        <w:top w:val="none" w:sz="0" w:space="0" w:color="auto"/>
        <w:left w:val="none" w:sz="0" w:space="0" w:color="auto"/>
        <w:bottom w:val="none" w:sz="0" w:space="0" w:color="auto"/>
        <w:right w:val="none" w:sz="0" w:space="0" w:color="auto"/>
      </w:divBdr>
    </w:div>
    <w:div w:id="1193957265">
      <w:bodyDiv w:val="1"/>
      <w:marLeft w:val="0"/>
      <w:marRight w:val="0"/>
      <w:marTop w:val="0"/>
      <w:marBottom w:val="0"/>
      <w:divBdr>
        <w:top w:val="none" w:sz="0" w:space="0" w:color="auto"/>
        <w:left w:val="none" w:sz="0" w:space="0" w:color="auto"/>
        <w:bottom w:val="none" w:sz="0" w:space="0" w:color="auto"/>
        <w:right w:val="none" w:sz="0" w:space="0" w:color="auto"/>
      </w:divBdr>
    </w:div>
    <w:div w:id="1194076108">
      <w:bodyDiv w:val="1"/>
      <w:marLeft w:val="0"/>
      <w:marRight w:val="0"/>
      <w:marTop w:val="0"/>
      <w:marBottom w:val="0"/>
      <w:divBdr>
        <w:top w:val="none" w:sz="0" w:space="0" w:color="auto"/>
        <w:left w:val="none" w:sz="0" w:space="0" w:color="auto"/>
        <w:bottom w:val="none" w:sz="0" w:space="0" w:color="auto"/>
        <w:right w:val="none" w:sz="0" w:space="0" w:color="auto"/>
      </w:divBdr>
    </w:div>
    <w:div w:id="1194153711">
      <w:bodyDiv w:val="1"/>
      <w:marLeft w:val="0"/>
      <w:marRight w:val="0"/>
      <w:marTop w:val="0"/>
      <w:marBottom w:val="0"/>
      <w:divBdr>
        <w:top w:val="none" w:sz="0" w:space="0" w:color="auto"/>
        <w:left w:val="none" w:sz="0" w:space="0" w:color="auto"/>
        <w:bottom w:val="none" w:sz="0" w:space="0" w:color="auto"/>
        <w:right w:val="none" w:sz="0" w:space="0" w:color="auto"/>
      </w:divBdr>
    </w:div>
    <w:div w:id="1194264929">
      <w:bodyDiv w:val="1"/>
      <w:marLeft w:val="0"/>
      <w:marRight w:val="0"/>
      <w:marTop w:val="0"/>
      <w:marBottom w:val="0"/>
      <w:divBdr>
        <w:top w:val="none" w:sz="0" w:space="0" w:color="auto"/>
        <w:left w:val="none" w:sz="0" w:space="0" w:color="auto"/>
        <w:bottom w:val="none" w:sz="0" w:space="0" w:color="auto"/>
        <w:right w:val="none" w:sz="0" w:space="0" w:color="auto"/>
      </w:divBdr>
    </w:div>
    <w:div w:id="1194422078">
      <w:bodyDiv w:val="1"/>
      <w:marLeft w:val="0"/>
      <w:marRight w:val="0"/>
      <w:marTop w:val="0"/>
      <w:marBottom w:val="0"/>
      <w:divBdr>
        <w:top w:val="none" w:sz="0" w:space="0" w:color="auto"/>
        <w:left w:val="none" w:sz="0" w:space="0" w:color="auto"/>
        <w:bottom w:val="none" w:sz="0" w:space="0" w:color="auto"/>
        <w:right w:val="none" w:sz="0" w:space="0" w:color="auto"/>
      </w:divBdr>
    </w:div>
    <w:div w:id="1194539723">
      <w:bodyDiv w:val="1"/>
      <w:marLeft w:val="0"/>
      <w:marRight w:val="0"/>
      <w:marTop w:val="0"/>
      <w:marBottom w:val="0"/>
      <w:divBdr>
        <w:top w:val="none" w:sz="0" w:space="0" w:color="auto"/>
        <w:left w:val="none" w:sz="0" w:space="0" w:color="auto"/>
        <w:bottom w:val="none" w:sz="0" w:space="0" w:color="auto"/>
        <w:right w:val="none" w:sz="0" w:space="0" w:color="auto"/>
      </w:divBdr>
    </w:div>
    <w:div w:id="1194727923">
      <w:bodyDiv w:val="1"/>
      <w:marLeft w:val="0"/>
      <w:marRight w:val="0"/>
      <w:marTop w:val="0"/>
      <w:marBottom w:val="0"/>
      <w:divBdr>
        <w:top w:val="none" w:sz="0" w:space="0" w:color="auto"/>
        <w:left w:val="none" w:sz="0" w:space="0" w:color="auto"/>
        <w:bottom w:val="none" w:sz="0" w:space="0" w:color="auto"/>
        <w:right w:val="none" w:sz="0" w:space="0" w:color="auto"/>
      </w:divBdr>
    </w:div>
    <w:div w:id="1194730661">
      <w:bodyDiv w:val="1"/>
      <w:marLeft w:val="0"/>
      <w:marRight w:val="0"/>
      <w:marTop w:val="0"/>
      <w:marBottom w:val="0"/>
      <w:divBdr>
        <w:top w:val="none" w:sz="0" w:space="0" w:color="auto"/>
        <w:left w:val="none" w:sz="0" w:space="0" w:color="auto"/>
        <w:bottom w:val="none" w:sz="0" w:space="0" w:color="auto"/>
        <w:right w:val="none" w:sz="0" w:space="0" w:color="auto"/>
      </w:divBdr>
    </w:div>
    <w:div w:id="1194733742">
      <w:bodyDiv w:val="1"/>
      <w:marLeft w:val="0"/>
      <w:marRight w:val="0"/>
      <w:marTop w:val="0"/>
      <w:marBottom w:val="0"/>
      <w:divBdr>
        <w:top w:val="none" w:sz="0" w:space="0" w:color="auto"/>
        <w:left w:val="none" w:sz="0" w:space="0" w:color="auto"/>
        <w:bottom w:val="none" w:sz="0" w:space="0" w:color="auto"/>
        <w:right w:val="none" w:sz="0" w:space="0" w:color="auto"/>
      </w:divBdr>
    </w:div>
    <w:div w:id="1194884681">
      <w:bodyDiv w:val="1"/>
      <w:marLeft w:val="0"/>
      <w:marRight w:val="0"/>
      <w:marTop w:val="0"/>
      <w:marBottom w:val="0"/>
      <w:divBdr>
        <w:top w:val="none" w:sz="0" w:space="0" w:color="auto"/>
        <w:left w:val="none" w:sz="0" w:space="0" w:color="auto"/>
        <w:bottom w:val="none" w:sz="0" w:space="0" w:color="auto"/>
        <w:right w:val="none" w:sz="0" w:space="0" w:color="auto"/>
      </w:divBdr>
    </w:div>
    <w:div w:id="1194927591">
      <w:bodyDiv w:val="1"/>
      <w:marLeft w:val="0"/>
      <w:marRight w:val="0"/>
      <w:marTop w:val="0"/>
      <w:marBottom w:val="0"/>
      <w:divBdr>
        <w:top w:val="none" w:sz="0" w:space="0" w:color="auto"/>
        <w:left w:val="none" w:sz="0" w:space="0" w:color="auto"/>
        <w:bottom w:val="none" w:sz="0" w:space="0" w:color="auto"/>
        <w:right w:val="none" w:sz="0" w:space="0" w:color="auto"/>
      </w:divBdr>
    </w:div>
    <w:div w:id="1195508649">
      <w:bodyDiv w:val="1"/>
      <w:marLeft w:val="0"/>
      <w:marRight w:val="0"/>
      <w:marTop w:val="0"/>
      <w:marBottom w:val="0"/>
      <w:divBdr>
        <w:top w:val="none" w:sz="0" w:space="0" w:color="auto"/>
        <w:left w:val="none" w:sz="0" w:space="0" w:color="auto"/>
        <w:bottom w:val="none" w:sz="0" w:space="0" w:color="auto"/>
        <w:right w:val="none" w:sz="0" w:space="0" w:color="auto"/>
      </w:divBdr>
    </w:div>
    <w:div w:id="1195581821">
      <w:bodyDiv w:val="1"/>
      <w:marLeft w:val="0"/>
      <w:marRight w:val="0"/>
      <w:marTop w:val="0"/>
      <w:marBottom w:val="0"/>
      <w:divBdr>
        <w:top w:val="none" w:sz="0" w:space="0" w:color="auto"/>
        <w:left w:val="none" w:sz="0" w:space="0" w:color="auto"/>
        <w:bottom w:val="none" w:sz="0" w:space="0" w:color="auto"/>
        <w:right w:val="none" w:sz="0" w:space="0" w:color="auto"/>
      </w:divBdr>
    </w:div>
    <w:div w:id="1195655434">
      <w:bodyDiv w:val="1"/>
      <w:marLeft w:val="0"/>
      <w:marRight w:val="0"/>
      <w:marTop w:val="0"/>
      <w:marBottom w:val="0"/>
      <w:divBdr>
        <w:top w:val="none" w:sz="0" w:space="0" w:color="auto"/>
        <w:left w:val="none" w:sz="0" w:space="0" w:color="auto"/>
        <w:bottom w:val="none" w:sz="0" w:space="0" w:color="auto"/>
        <w:right w:val="none" w:sz="0" w:space="0" w:color="auto"/>
      </w:divBdr>
    </w:div>
    <w:div w:id="1196427539">
      <w:bodyDiv w:val="1"/>
      <w:marLeft w:val="0"/>
      <w:marRight w:val="0"/>
      <w:marTop w:val="0"/>
      <w:marBottom w:val="0"/>
      <w:divBdr>
        <w:top w:val="none" w:sz="0" w:space="0" w:color="auto"/>
        <w:left w:val="none" w:sz="0" w:space="0" w:color="auto"/>
        <w:bottom w:val="none" w:sz="0" w:space="0" w:color="auto"/>
        <w:right w:val="none" w:sz="0" w:space="0" w:color="auto"/>
      </w:divBdr>
    </w:div>
    <w:div w:id="1196506178">
      <w:bodyDiv w:val="1"/>
      <w:marLeft w:val="0"/>
      <w:marRight w:val="0"/>
      <w:marTop w:val="0"/>
      <w:marBottom w:val="0"/>
      <w:divBdr>
        <w:top w:val="none" w:sz="0" w:space="0" w:color="auto"/>
        <w:left w:val="none" w:sz="0" w:space="0" w:color="auto"/>
        <w:bottom w:val="none" w:sz="0" w:space="0" w:color="auto"/>
        <w:right w:val="none" w:sz="0" w:space="0" w:color="auto"/>
      </w:divBdr>
    </w:div>
    <w:div w:id="1196698925">
      <w:bodyDiv w:val="1"/>
      <w:marLeft w:val="0"/>
      <w:marRight w:val="0"/>
      <w:marTop w:val="0"/>
      <w:marBottom w:val="0"/>
      <w:divBdr>
        <w:top w:val="none" w:sz="0" w:space="0" w:color="auto"/>
        <w:left w:val="none" w:sz="0" w:space="0" w:color="auto"/>
        <w:bottom w:val="none" w:sz="0" w:space="0" w:color="auto"/>
        <w:right w:val="none" w:sz="0" w:space="0" w:color="auto"/>
      </w:divBdr>
    </w:div>
    <w:div w:id="1196773240">
      <w:bodyDiv w:val="1"/>
      <w:marLeft w:val="0"/>
      <w:marRight w:val="0"/>
      <w:marTop w:val="0"/>
      <w:marBottom w:val="0"/>
      <w:divBdr>
        <w:top w:val="none" w:sz="0" w:space="0" w:color="auto"/>
        <w:left w:val="none" w:sz="0" w:space="0" w:color="auto"/>
        <w:bottom w:val="none" w:sz="0" w:space="0" w:color="auto"/>
        <w:right w:val="none" w:sz="0" w:space="0" w:color="auto"/>
      </w:divBdr>
    </w:div>
    <w:div w:id="1196961969">
      <w:bodyDiv w:val="1"/>
      <w:marLeft w:val="0"/>
      <w:marRight w:val="0"/>
      <w:marTop w:val="0"/>
      <w:marBottom w:val="0"/>
      <w:divBdr>
        <w:top w:val="none" w:sz="0" w:space="0" w:color="auto"/>
        <w:left w:val="none" w:sz="0" w:space="0" w:color="auto"/>
        <w:bottom w:val="none" w:sz="0" w:space="0" w:color="auto"/>
        <w:right w:val="none" w:sz="0" w:space="0" w:color="auto"/>
      </w:divBdr>
    </w:div>
    <w:div w:id="1197038475">
      <w:bodyDiv w:val="1"/>
      <w:marLeft w:val="0"/>
      <w:marRight w:val="0"/>
      <w:marTop w:val="0"/>
      <w:marBottom w:val="0"/>
      <w:divBdr>
        <w:top w:val="none" w:sz="0" w:space="0" w:color="auto"/>
        <w:left w:val="none" w:sz="0" w:space="0" w:color="auto"/>
        <w:bottom w:val="none" w:sz="0" w:space="0" w:color="auto"/>
        <w:right w:val="none" w:sz="0" w:space="0" w:color="auto"/>
      </w:divBdr>
    </w:div>
    <w:div w:id="1197087792">
      <w:bodyDiv w:val="1"/>
      <w:marLeft w:val="0"/>
      <w:marRight w:val="0"/>
      <w:marTop w:val="0"/>
      <w:marBottom w:val="0"/>
      <w:divBdr>
        <w:top w:val="none" w:sz="0" w:space="0" w:color="auto"/>
        <w:left w:val="none" w:sz="0" w:space="0" w:color="auto"/>
        <w:bottom w:val="none" w:sz="0" w:space="0" w:color="auto"/>
        <w:right w:val="none" w:sz="0" w:space="0" w:color="auto"/>
      </w:divBdr>
    </w:div>
    <w:div w:id="1197163501">
      <w:bodyDiv w:val="1"/>
      <w:marLeft w:val="0"/>
      <w:marRight w:val="0"/>
      <w:marTop w:val="0"/>
      <w:marBottom w:val="0"/>
      <w:divBdr>
        <w:top w:val="none" w:sz="0" w:space="0" w:color="auto"/>
        <w:left w:val="none" w:sz="0" w:space="0" w:color="auto"/>
        <w:bottom w:val="none" w:sz="0" w:space="0" w:color="auto"/>
        <w:right w:val="none" w:sz="0" w:space="0" w:color="auto"/>
      </w:divBdr>
    </w:div>
    <w:div w:id="1197231443">
      <w:bodyDiv w:val="1"/>
      <w:marLeft w:val="0"/>
      <w:marRight w:val="0"/>
      <w:marTop w:val="0"/>
      <w:marBottom w:val="0"/>
      <w:divBdr>
        <w:top w:val="none" w:sz="0" w:space="0" w:color="auto"/>
        <w:left w:val="none" w:sz="0" w:space="0" w:color="auto"/>
        <w:bottom w:val="none" w:sz="0" w:space="0" w:color="auto"/>
        <w:right w:val="none" w:sz="0" w:space="0" w:color="auto"/>
      </w:divBdr>
    </w:div>
    <w:div w:id="1197501960">
      <w:bodyDiv w:val="1"/>
      <w:marLeft w:val="0"/>
      <w:marRight w:val="0"/>
      <w:marTop w:val="0"/>
      <w:marBottom w:val="0"/>
      <w:divBdr>
        <w:top w:val="none" w:sz="0" w:space="0" w:color="auto"/>
        <w:left w:val="none" w:sz="0" w:space="0" w:color="auto"/>
        <w:bottom w:val="none" w:sz="0" w:space="0" w:color="auto"/>
        <w:right w:val="none" w:sz="0" w:space="0" w:color="auto"/>
      </w:divBdr>
    </w:div>
    <w:div w:id="1197624266">
      <w:bodyDiv w:val="1"/>
      <w:marLeft w:val="0"/>
      <w:marRight w:val="0"/>
      <w:marTop w:val="0"/>
      <w:marBottom w:val="0"/>
      <w:divBdr>
        <w:top w:val="none" w:sz="0" w:space="0" w:color="auto"/>
        <w:left w:val="none" w:sz="0" w:space="0" w:color="auto"/>
        <w:bottom w:val="none" w:sz="0" w:space="0" w:color="auto"/>
        <w:right w:val="none" w:sz="0" w:space="0" w:color="auto"/>
      </w:divBdr>
    </w:div>
    <w:div w:id="1197700644">
      <w:bodyDiv w:val="1"/>
      <w:marLeft w:val="0"/>
      <w:marRight w:val="0"/>
      <w:marTop w:val="0"/>
      <w:marBottom w:val="0"/>
      <w:divBdr>
        <w:top w:val="none" w:sz="0" w:space="0" w:color="auto"/>
        <w:left w:val="none" w:sz="0" w:space="0" w:color="auto"/>
        <w:bottom w:val="none" w:sz="0" w:space="0" w:color="auto"/>
        <w:right w:val="none" w:sz="0" w:space="0" w:color="auto"/>
      </w:divBdr>
    </w:div>
    <w:div w:id="1197737635">
      <w:bodyDiv w:val="1"/>
      <w:marLeft w:val="0"/>
      <w:marRight w:val="0"/>
      <w:marTop w:val="0"/>
      <w:marBottom w:val="0"/>
      <w:divBdr>
        <w:top w:val="none" w:sz="0" w:space="0" w:color="auto"/>
        <w:left w:val="none" w:sz="0" w:space="0" w:color="auto"/>
        <w:bottom w:val="none" w:sz="0" w:space="0" w:color="auto"/>
        <w:right w:val="none" w:sz="0" w:space="0" w:color="auto"/>
      </w:divBdr>
    </w:div>
    <w:div w:id="1197888832">
      <w:bodyDiv w:val="1"/>
      <w:marLeft w:val="0"/>
      <w:marRight w:val="0"/>
      <w:marTop w:val="0"/>
      <w:marBottom w:val="0"/>
      <w:divBdr>
        <w:top w:val="none" w:sz="0" w:space="0" w:color="auto"/>
        <w:left w:val="none" w:sz="0" w:space="0" w:color="auto"/>
        <w:bottom w:val="none" w:sz="0" w:space="0" w:color="auto"/>
        <w:right w:val="none" w:sz="0" w:space="0" w:color="auto"/>
      </w:divBdr>
    </w:div>
    <w:div w:id="1197936324">
      <w:bodyDiv w:val="1"/>
      <w:marLeft w:val="0"/>
      <w:marRight w:val="0"/>
      <w:marTop w:val="0"/>
      <w:marBottom w:val="0"/>
      <w:divBdr>
        <w:top w:val="none" w:sz="0" w:space="0" w:color="auto"/>
        <w:left w:val="none" w:sz="0" w:space="0" w:color="auto"/>
        <w:bottom w:val="none" w:sz="0" w:space="0" w:color="auto"/>
        <w:right w:val="none" w:sz="0" w:space="0" w:color="auto"/>
      </w:divBdr>
    </w:div>
    <w:div w:id="1198153801">
      <w:bodyDiv w:val="1"/>
      <w:marLeft w:val="0"/>
      <w:marRight w:val="0"/>
      <w:marTop w:val="0"/>
      <w:marBottom w:val="0"/>
      <w:divBdr>
        <w:top w:val="none" w:sz="0" w:space="0" w:color="auto"/>
        <w:left w:val="none" w:sz="0" w:space="0" w:color="auto"/>
        <w:bottom w:val="none" w:sz="0" w:space="0" w:color="auto"/>
        <w:right w:val="none" w:sz="0" w:space="0" w:color="auto"/>
      </w:divBdr>
    </w:div>
    <w:div w:id="1198159745">
      <w:bodyDiv w:val="1"/>
      <w:marLeft w:val="0"/>
      <w:marRight w:val="0"/>
      <w:marTop w:val="0"/>
      <w:marBottom w:val="0"/>
      <w:divBdr>
        <w:top w:val="none" w:sz="0" w:space="0" w:color="auto"/>
        <w:left w:val="none" w:sz="0" w:space="0" w:color="auto"/>
        <w:bottom w:val="none" w:sz="0" w:space="0" w:color="auto"/>
        <w:right w:val="none" w:sz="0" w:space="0" w:color="auto"/>
      </w:divBdr>
    </w:div>
    <w:div w:id="1198474143">
      <w:bodyDiv w:val="1"/>
      <w:marLeft w:val="0"/>
      <w:marRight w:val="0"/>
      <w:marTop w:val="0"/>
      <w:marBottom w:val="0"/>
      <w:divBdr>
        <w:top w:val="none" w:sz="0" w:space="0" w:color="auto"/>
        <w:left w:val="none" w:sz="0" w:space="0" w:color="auto"/>
        <w:bottom w:val="none" w:sz="0" w:space="0" w:color="auto"/>
        <w:right w:val="none" w:sz="0" w:space="0" w:color="auto"/>
      </w:divBdr>
    </w:div>
    <w:div w:id="1198619194">
      <w:bodyDiv w:val="1"/>
      <w:marLeft w:val="0"/>
      <w:marRight w:val="0"/>
      <w:marTop w:val="0"/>
      <w:marBottom w:val="0"/>
      <w:divBdr>
        <w:top w:val="none" w:sz="0" w:space="0" w:color="auto"/>
        <w:left w:val="none" w:sz="0" w:space="0" w:color="auto"/>
        <w:bottom w:val="none" w:sz="0" w:space="0" w:color="auto"/>
        <w:right w:val="none" w:sz="0" w:space="0" w:color="auto"/>
      </w:divBdr>
    </w:div>
    <w:div w:id="1198665379">
      <w:bodyDiv w:val="1"/>
      <w:marLeft w:val="0"/>
      <w:marRight w:val="0"/>
      <w:marTop w:val="0"/>
      <w:marBottom w:val="0"/>
      <w:divBdr>
        <w:top w:val="none" w:sz="0" w:space="0" w:color="auto"/>
        <w:left w:val="none" w:sz="0" w:space="0" w:color="auto"/>
        <w:bottom w:val="none" w:sz="0" w:space="0" w:color="auto"/>
        <w:right w:val="none" w:sz="0" w:space="0" w:color="auto"/>
      </w:divBdr>
    </w:div>
    <w:div w:id="1198812689">
      <w:bodyDiv w:val="1"/>
      <w:marLeft w:val="0"/>
      <w:marRight w:val="0"/>
      <w:marTop w:val="0"/>
      <w:marBottom w:val="0"/>
      <w:divBdr>
        <w:top w:val="none" w:sz="0" w:space="0" w:color="auto"/>
        <w:left w:val="none" w:sz="0" w:space="0" w:color="auto"/>
        <w:bottom w:val="none" w:sz="0" w:space="0" w:color="auto"/>
        <w:right w:val="none" w:sz="0" w:space="0" w:color="auto"/>
      </w:divBdr>
    </w:div>
    <w:div w:id="1199009985">
      <w:bodyDiv w:val="1"/>
      <w:marLeft w:val="0"/>
      <w:marRight w:val="0"/>
      <w:marTop w:val="0"/>
      <w:marBottom w:val="0"/>
      <w:divBdr>
        <w:top w:val="none" w:sz="0" w:space="0" w:color="auto"/>
        <w:left w:val="none" w:sz="0" w:space="0" w:color="auto"/>
        <w:bottom w:val="none" w:sz="0" w:space="0" w:color="auto"/>
        <w:right w:val="none" w:sz="0" w:space="0" w:color="auto"/>
      </w:divBdr>
    </w:div>
    <w:div w:id="1199048400">
      <w:bodyDiv w:val="1"/>
      <w:marLeft w:val="0"/>
      <w:marRight w:val="0"/>
      <w:marTop w:val="0"/>
      <w:marBottom w:val="0"/>
      <w:divBdr>
        <w:top w:val="none" w:sz="0" w:space="0" w:color="auto"/>
        <w:left w:val="none" w:sz="0" w:space="0" w:color="auto"/>
        <w:bottom w:val="none" w:sz="0" w:space="0" w:color="auto"/>
        <w:right w:val="none" w:sz="0" w:space="0" w:color="auto"/>
      </w:divBdr>
    </w:div>
    <w:div w:id="1199195104">
      <w:bodyDiv w:val="1"/>
      <w:marLeft w:val="0"/>
      <w:marRight w:val="0"/>
      <w:marTop w:val="0"/>
      <w:marBottom w:val="0"/>
      <w:divBdr>
        <w:top w:val="none" w:sz="0" w:space="0" w:color="auto"/>
        <w:left w:val="none" w:sz="0" w:space="0" w:color="auto"/>
        <w:bottom w:val="none" w:sz="0" w:space="0" w:color="auto"/>
        <w:right w:val="none" w:sz="0" w:space="0" w:color="auto"/>
      </w:divBdr>
    </w:div>
    <w:div w:id="1199507951">
      <w:bodyDiv w:val="1"/>
      <w:marLeft w:val="0"/>
      <w:marRight w:val="0"/>
      <w:marTop w:val="0"/>
      <w:marBottom w:val="0"/>
      <w:divBdr>
        <w:top w:val="none" w:sz="0" w:space="0" w:color="auto"/>
        <w:left w:val="none" w:sz="0" w:space="0" w:color="auto"/>
        <w:bottom w:val="none" w:sz="0" w:space="0" w:color="auto"/>
        <w:right w:val="none" w:sz="0" w:space="0" w:color="auto"/>
      </w:divBdr>
    </w:div>
    <w:div w:id="1199588984">
      <w:bodyDiv w:val="1"/>
      <w:marLeft w:val="0"/>
      <w:marRight w:val="0"/>
      <w:marTop w:val="0"/>
      <w:marBottom w:val="0"/>
      <w:divBdr>
        <w:top w:val="none" w:sz="0" w:space="0" w:color="auto"/>
        <w:left w:val="none" w:sz="0" w:space="0" w:color="auto"/>
        <w:bottom w:val="none" w:sz="0" w:space="0" w:color="auto"/>
        <w:right w:val="none" w:sz="0" w:space="0" w:color="auto"/>
      </w:divBdr>
    </w:div>
    <w:div w:id="1199734218">
      <w:bodyDiv w:val="1"/>
      <w:marLeft w:val="0"/>
      <w:marRight w:val="0"/>
      <w:marTop w:val="0"/>
      <w:marBottom w:val="0"/>
      <w:divBdr>
        <w:top w:val="none" w:sz="0" w:space="0" w:color="auto"/>
        <w:left w:val="none" w:sz="0" w:space="0" w:color="auto"/>
        <w:bottom w:val="none" w:sz="0" w:space="0" w:color="auto"/>
        <w:right w:val="none" w:sz="0" w:space="0" w:color="auto"/>
      </w:divBdr>
    </w:div>
    <w:div w:id="1199783808">
      <w:bodyDiv w:val="1"/>
      <w:marLeft w:val="0"/>
      <w:marRight w:val="0"/>
      <w:marTop w:val="0"/>
      <w:marBottom w:val="0"/>
      <w:divBdr>
        <w:top w:val="none" w:sz="0" w:space="0" w:color="auto"/>
        <w:left w:val="none" w:sz="0" w:space="0" w:color="auto"/>
        <w:bottom w:val="none" w:sz="0" w:space="0" w:color="auto"/>
        <w:right w:val="none" w:sz="0" w:space="0" w:color="auto"/>
      </w:divBdr>
    </w:div>
    <w:div w:id="1200046166">
      <w:bodyDiv w:val="1"/>
      <w:marLeft w:val="0"/>
      <w:marRight w:val="0"/>
      <w:marTop w:val="0"/>
      <w:marBottom w:val="0"/>
      <w:divBdr>
        <w:top w:val="none" w:sz="0" w:space="0" w:color="auto"/>
        <w:left w:val="none" w:sz="0" w:space="0" w:color="auto"/>
        <w:bottom w:val="none" w:sz="0" w:space="0" w:color="auto"/>
        <w:right w:val="none" w:sz="0" w:space="0" w:color="auto"/>
      </w:divBdr>
    </w:div>
    <w:div w:id="1200703242">
      <w:bodyDiv w:val="1"/>
      <w:marLeft w:val="0"/>
      <w:marRight w:val="0"/>
      <w:marTop w:val="0"/>
      <w:marBottom w:val="0"/>
      <w:divBdr>
        <w:top w:val="none" w:sz="0" w:space="0" w:color="auto"/>
        <w:left w:val="none" w:sz="0" w:space="0" w:color="auto"/>
        <w:bottom w:val="none" w:sz="0" w:space="0" w:color="auto"/>
        <w:right w:val="none" w:sz="0" w:space="0" w:color="auto"/>
      </w:divBdr>
    </w:div>
    <w:div w:id="1201042964">
      <w:bodyDiv w:val="1"/>
      <w:marLeft w:val="0"/>
      <w:marRight w:val="0"/>
      <w:marTop w:val="0"/>
      <w:marBottom w:val="0"/>
      <w:divBdr>
        <w:top w:val="none" w:sz="0" w:space="0" w:color="auto"/>
        <w:left w:val="none" w:sz="0" w:space="0" w:color="auto"/>
        <w:bottom w:val="none" w:sz="0" w:space="0" w:color="auto"/>
        <w:right w:val="none" w:sz="0" w:space="0" w:color="auto"/>
      </w:divBdr>
    </w:div>
    <w:div w:id="1201473397">
      <w:bodyDiv w:val="1"/>
      <w:marLeft w:val="0"/>
      <w:marRight w:val="0"/>
      <w:marTop w:val="0"/>
      <w:marBottom w:val="0"/>
      <w:divBdr>
        <w:top w:val="none" w:sz="0" w:space="0" w:color="auto"/>
        <w:left w:val="none" w:sz="0" w:space="0" w:color="auto"/>
        <w:bottom w:val="none" w:sz="0" w:space="0" w:color="auto"/>
        <w:right w:val="none" w:sz="0" w:space="0" w:color="auto"/>
      </w:divBdr>
    </w:div>
    <w:div w:id="1201822850">
      <w:bodyDiv w:val="1"/>
      <w:marLeft w:val="0"/>
      <w:marRight w:val="0"/>
      <w:marTop w:val="0"/>
      <w:marBottom w:val="0"/>
      <w:divBdr>
        <w:top w:val="none" w:sz="0" w:space="0" w:color="auto"/>
        <w:left w:val="none" w:sz="0" w:space="0" w:color="auto"/>
        <w:bottom w:val="none" w:sz="0" w:space="0" w:color="auto"/>
        <w:right w:val="none" w:sz="0" w:space="0" w:color="auto"/>
      </w:divBdr>
    </w:div>
    <w:div w:id="1201936614">
      <w:bodyDiv w:val="1"/>
      <w:marLeft w:val="0"/>
      <w:marRight w:val="0"/>
      <w:marTop w:val="0"/>
      <w:marBottom w:val="0"/>
      <w:divBdr>
        <w:top w:val="none" w:sz="0" w:space="0" w:color="auto"/>
        <w:left w:val="none" w:sz="0" w:space="0" w:color="auto"/>
        <w:bottom w:val="none" w:sz="0" w:space="0" w:color="auto"/>
        <w:right w:val="none" w:sz="0" w:space="0" w:color="auto"/>
      </w:divBdr>
    </w:div>
    <w:div w:id="1202010960">
      <w:bodyDiv w:val="1"/>
      <w:marLeft w:val="0"/>
      <w:marRight w:val="0"/>
      <w:marTop w:val="0"/>
      <w:marBottom w:val="0"/>
      <w:divBdr>
        <w:top w:val="none" w:sz="0" w:space="0" w:color="auto"/>
        <w:left w:val="none" w:sz="0" w:space="0" w:color="auto"/>
        <w:bottom w:val="none" w:sz="0" w:space="0" w:color="auto"/>
        <w:right w:val="none" w:sz="0" w:space="0" w:color="auto"/>
      </w:divBdr>
    </w:div>
    <w:div w:id="1202278908">
      <w:bodyDiv w:val="1"/>
      <w:marLeft w:val="0"/>
      <w:marRight w:val="0"/>
      <w:marTop w:val="0"/>
      <w:marBottom w:val="0"/>
      <w:divBdr>
        <w:top w:val="none" w:sz="0" w:space="0" w:color="auto"/>
        <w:left w:val="none" w:sz="0" w:space="0" w:color="auto"/>
        <w:bottom w:val="none" w:sz="0" w:space="0" w:color="auto"/>
        <w:right w:val="none" w:sz="0" w:space="0" w:color="auto"/>
      </w:divBdr>
    </w:div>
    <w:div w:id="1202287199">
      <w:bodyDiv w:val="1"/>
      <w:marLeft w:val="0"/>
      <w:marRight w:val="0"/>
      <w:marTop w:val="0"/>
      <w:marBottom w:val="0"/>
      <w:divBdr>
        <w:top w:val="none" w:sz="0" w:space="0" w:color="auto"/>
        <w:left w:val="none" w:sz="0" w:space="0" w:color="auto"/>
        <w:bottom w:val="none" w:sz="0" w:space="0" w:color="auto"/>
        <w:right w:val="none" w:sz="0" w:space="0" w:color="auto"/>
      </w:divBdr>
    </w:div>
    <w:div w:id="1202325655">
      <w:bodyDiv w:val="1"/>
      <w:marLeft w:val="0"/>
      <w:marRight w:val="0"/>
      <w:marTop w:val="0"/>
      <w:marBottom w:val="0"/>
      <w:divBdr>
        <w:top w:val="none" w:sz="0" w:space="0" w:color="auto"/>
        <w:left w:val="none" w:sz="0" w:space="0" w:color="auto"/>
        <w:bottom w:val="none" w:sz="0" w:space="0" w:color="auto"/>
        <w:right w:val="none" w:sz="0" w:space="0" w:color="auto"/>
      </w:divBdr>
    </w:div>
    <w:div w:id="1202548183">
      <w:bodyDiv w:val="1"/>
      <w:marLeft w:val="0"/>
      <w:marRight w:val="0"/>
      <w:marTop w:val="0"/>
      <w:marBottom w:val="0"/>
      <w:divBdr>
        <w:top w:val="none" w:sz="0" w:space="0" w:color="auto"/>
        <w:left w:val="none" w:sz="0" w:space="0" w:color="auto"/>
        <w:bottom w:val="none" w:sz="0" w:space="0" w:color="auto"/>
        <w:right w:val="none" w:sz="0" w:space="0" w:color="auto"/>
      </w:divBdr>
    </w:div>
    <w:div w:id="1203058310">
      <w:bodyDiv w:val="1"/>
      <w:marLeft w:val="0"/>
      <w:marRight w:val="0"/>
      <w:marTop w:val="0"/>
      <w:marBottom w:val="0"/>
      <w:divBdr>
        <w:top w:val="none" w:sz="0" w:space="0" w:color="auto"/>
        <w:left w:val="none" w:sz="0" w:space="0" w:color="auto"/>
        <w:bottom w:val="none" w:sz="0" w:space="0" w:color="auto"/>
        <w:right w:val="none" w:sz="0" w:space="0" w:color="auto"/>
      </w:divBdr>
    </w:div>
    <w:div w:id="1203059553">
      <w:bodyDiv w:val="1"/>
      <w:marLeft w:val="0"/>
      <w:marRight w:val="0"/>
      <w:marTop w:val="0"/>
      <w:marBottom w:val="0"/>
      <w:divBdr>
        <w:top w:val="none" w:sz="0" w:space="0" w:color="auto"/>
        <w:left w:val="none" w:sz="0" w:space="0" w:color="auto"/>
        <w:bottom w:val="none" w:sz="0" w:space="0" w:color="auto"/>
        <w:right w:val="none" w:sz="0" w:space="0" w:color="auto"/>
      </w:divBdr>
    </w:div>
    <w:div w:id="1203253674">
      <w:bodyDiv w:val="1"/>
      <w:marLeft w:val="0"/>
      <w:marRight w:val="0"/>
      <w:marTop w:val="0"/>
      <w:marBottom w:val="0"/>
      <w:divBdr>
        <w:top w:val="none" w:sz="0" w:space="0" w:color="auto"/>
        <w:left w:val="none" w:sz="0" w:space="0" w:color="auto"/>
        <w:bottom w:val="none" w:sz="0" w:space="0" w:color="auto"/>
        <w:right w:val="none" w:sz="0" w:space="0" w:color="auto"/>
      </w:divBdr>
    </w:div>
    <w:div w:id="1203327387">
      <w:bodyDiv w:val="1"/>
      <w:marLeft w:val="0"/>
      <w:marRight w:val="0"/>
      <w:marTop w:val="0"/>
      <w:marBottom w:val="0"/>
      <w:divBdr>
        <w:top w:val="none" w:sz="0" w:space="0" w:color="auto"/>
        <w:left w:val="none" w:sz="0" w:space="0" w:color="auto"/>
        <w:bottom w:val="none" w:sz="0" w:space="0" w:color="auto"/>
        <w:right w:val="none" w:sz="0" w:space="0" w:color="auto"/>
      </w:divBdr>
    </w:div>
    <w:div w:id="1203443028">
      <w:bodyDiv w:val="1"/>
      <w:marLeft w:val="0"/>
      <w:marRight w:val="0"/>
      <w:marTop w:val="0"/>
      <w:marBottom w:val="0"/>
      <w:divBdr>
        <w:top w:val="none" w:sz="0" w:space="0" w:color="auto"/>
        <w:left w:val="none" w:sz="0" w:space="0" w:color="auto"/>
        <w:bottom w:val="none" w:sz="0" w:space="0" w:color="auto"/>
        <w:right w:val="none" w:sz="0" w:space="0" w:color="auto"/>
      </w:divBdr>
    </w:div>
    <w:div w:id="1203514146">
      <w:bodyDiv w:val="1"/>
      <w:marLeft w:val="0"/>
      <w:marRight w:val="0"/>
      <w:marTop w:val="0"/>
      <w:marBottom w:val="0"/>
      <w:divBdr>
        <w:top w:val="none" w:sz="0" w:space="0" w:color="auto"/>
        <w:left w:val="none" w:sz="0" w:space="0" w:color="auto"/>
        <w:bottom w:val="none" w:sz="0" w:space="0" w:color="auto"/>
        <w:right w:val="none" w:sz="0" w:space="0" w:color="auto"/>
      </w:divBdr>
    </w:div>
    <w:div w:id="1203596447">
      <w:bodyDiv w:val="1"/>
      <w:marLeft w:val="0"/>
      <w:marRight w:val="0"/>
      <w:marTop w:val="0"/>
      <w:marBottom w:val="0"/>
      <w:divBdr>
        <w:top w:val="none" w:sz="0" w:space="0" w:color="auto"/>
        <w:left w:val="none" w:sz="0" w:space="0" w:color="auto"/>
        <w:bottom w:val="none" w:sz="0" w:space="0" w:color="auto"/>
        <w:right w:val="none" w:sz="0" w:space="0" w:color="auto"/>
      </w:divBdr>
    </w:div>
    <w:div w:id="1203785531">
      <w:bodyDiv w:val="1"/>
      <w:marLeft w:val="0"/>
      <w:marRight w:val="0"/>
      <w:marTop w:val="0"/>
      <w:marBottom w:val="0"/>
      <w:divBdr>
        <w:top w:val="none" w:sz="0" w:space="0" w:color="auto"/>
        <w:left w:val="none" w:sz="0" w:space="0" w:color="auto"/>
        <w:bottom w:val="none" w:sz="0" w:space="0" w:color="auto"/>
        <w:right w:val="none" w:sz="0" w:space="0" w:color="auto"/>
      </w:divBdr>
    </w:div>
    <w:div w:id="1203785964">
      <w:bodyDiv w:val="1"/>
      <w:marLeft w:val="0"/>
      <w:marRight w:val="0"/>
      <w:marTop w:val="0"/>
      <w:marBottom w:val="0"/>
      <w:divBdr>
        <w:top w:val="none" w:sz="0" w:space="0" w:color="auto"/>
        <w:left w:val="none" w:sz="0" w:space="0" w:color="auto"/>
        <w:bottom w:val="none" w:sz="0" w:space="0" w:color="auto"/>
        <w:right w:val="none" w:sz="0" w:space="0" w:color="auto"/>
      </w:divBdr>
    </w:div>
    <w:div w:id="1204176009">
      <w:bodyDiv w:val="1"/>
      <w:marLeft w:val="0"/>
      <w:marRight w:val="0"/>
      <w:marTop w:val="0"/>
      <w:marBottom w:val="0"/>
      <w:divBdr>
        <w:top w:val="none" w:sz="0" w:space="0" w:color="auto"/>
        <w:left w:val="none" w:sz="0" w:space="0" w:color="auto"/>
        <w:bottom w:val="none" w:sz="0" w:space="0" w:color="auto"/>
        <w:right w:val="none" w:sz="0" w:space="0" w:color="auto"/>
      </w:divBdr>
    </w:div>
    <w:div w:id="1204750299">
      <w:bodyDiv w:val="1"/>
      <w:marLeft w:val="0"/>
      <w:marRight w:val="0"/>
      <w:marTop w:val="0"/>
      <w:marBottom w:val="0"/>
      <w:divBdr>
        <w:top w:val="none" w:sz="0" w:space="0" w:color="auto"/>
        <w:left w:val="none" w:sz="0" w:space="0" w:color="auto"/>
        <w:bottom w:val="none" w:sz="0" w:space="0" w:color="auto"/>
        <w:right w:val="none" w:sz="0" w:space="0" w:color="auto"/>
      </w:divBdr>
    </w:div>
    <w:div w:id="1204757781">
      <w:bodyDiv w:val="1"/>
      <w:marLeft w:val="0"/>
      <w:marRight w:val="0"/>
      <w:marTop w:val="0"/>
      <w:marBottom w:val="0"/>
      <w:divBdr>
        <w:top w:val="none" w:sz="0" w:space="0" w:color="auto"/>
        <w:left w:val="none" w:sz="0" w:space="0" w:color="auto"/>
        <w:bottom w:val="none" w:sz="0" w:space="0" w:color="auto"/>
        <w:right w:val="none" w:sz="0" w:space="0" w:color="auto"/>
      </w:divBdr>
    </w:div>
    <w:div w:id="1204825308">
      <w:bodyDiv w:val="1"/>
      <w:marLeft w:val="0"/>
      <w:marRight w:val="0"/>
      <w:marTop w:val="0"/>
      <w:marBottom w:val="0"/>
      <w:divBdr>
        <w:top w:val="none" w:sz="0" w:space="0" w:color="auto"/>
        <w:left w:val="none" w:sz="0" w:space="0" w:color="auto"/>
        <w:bottom w:val="none" w:sz="0" w:space="0" w:color="auto"/>
        <w:right w:val="none" w:sz="0" w:space="0" w:color="auto"/>
      </w:divBdr>
    </w:div>
    <w:div w:id="1206019407">
      <w:bodyDiv w:val="1"/>
      <w:marLeft w:val="0"/>
      <w:marRight w:val="0"/>
      <w:marTop w:val="0"/>
      <w:marBottom w:val="0"/>
      <w:divBdr>
        <w:top w:val="none" w:sz="0" w:space="0" w:color="auto"/>
        <w:left w:val="none" w:sz="0" w:space="0" w:color="auto"/>
        <w:bottom w:val="none" w:sz="0" w:space="0" w:color="auto"/>
        <w:right w:val="none" w:sz="0" w:space="0" w:color="auto"/>
      </w:divBdr>
    </w:div>
    <w:div w:id="1206068291">
      <w:bodyDiv w:val="1"/>
      <w:marLeft w:val="0"/>
      <w:marRight w:val="0"/>
      <w:marTop w:val="0"/>
      <w:marBottom w:val="0"/>
      <w:divBdr>
        <w:top w:val="none" w:sz="0" w:space="0" w:color="auto"/>
        <w:left w:val="none" w:sz="0" w:space="0" w:color="auto"/>
        <w:bottom w:val="none" w:sz="0" w:space="0" w:color="auto"/>
        <w:right w:val="none" w:sz="0" w:space="0" w:color="auto"/>
      </w:divBdr>
    </w:div>
    <w:div w:id="1206405539">
      <w:bodyDiv w:val="1"/>
      <w:marLeft w:val="0"/>
      <w:marRight w:val="0"/>
      <w:marTop w:val="0"/>
      <w:marBottom w:val="0"/>
      <w:divBdr>
        <w:top w:val="none" w:sz="0" w:space="0" w:color="auto"/>
        <w:left w:val="none" w:sz="0" w:space="0" w:color="auto"/>
        <w:bottom w:val="none" w:sz="0" w:space="0" w:color="auto"/>
        <w:right w:val="none" w:sz="0" w:space="0" w:color="auto"/>
      </w:divBdr>
    </w:div>
    <w:div w:id="1206521306">
      <w:bodyDiv w:val="1"/>
      <w:marLeft w:val="0"/>
      <w:marRight w:val="0"/>
      <w:marTop w:val="0"/>
      <w:marBottom w:val="0"/>
      <w:divBdr>
        <w:top w:val="none" w:sz="0" w:space="0" w:color="auto"/>
        <w:left w:val="none" w:sz="0" w:space="0" w:color="auto"/>
        <w:bottom w:val="none" w:sz="0" w:space="0" w:color="auto"/>
        <w:right w:val="none" w:sz="0" w:space="0" w:color="auto"/>
      </w:divBdr>
    </w:div>
    <w:div w:id="1206599922">
      <w:bodyDiv w:val="1"/>
      <w:marLeft w:val="0"/>
      <w:marRight w:val="0"/>
      <w:marTop w:val="0"/>
      <w:marBottom w:val="0"/>
      <w:divBdr>
        <w:top w:val="none" w:sz="0" w:space="0" w:color="auto"/>
        <w:left w:val="none" w:sz="0" w:space="0" w:color="auto"/>
        <w:bottom w:val="none" w:sz="0" w:space="0" w:color="auto"/>
        <w:right w:val="none" w:sz="0" w:space="0" w:color="auto"/>
      </w:divBdr>
    </w:div>
    <w:div w:id="1206983255">
      <w:bodyDiv w:val="1"/>
      <w:marLeft w:val="0"/>
      <w:marRight w:val="0"/>
      <w:marTop w:val="0"/>
      <w:marBottom w:val="0"/>
      <w:divBdr>
        <w:top w:val="none" w:sz="0" w:space="0" w:color="auto"/>
        <w:left w:val="none" w:sz="0" w:space="0" w:color="auto"/>
        <w:bottom w:val="none" w:sz="0" w:space="0" w:color="auto"/>
        <w:right w:val="none" w:sz="0" w:space="0" w:color="auto"/>
      </w:divBdr>
    </w:div>
    <w:div w:id="1207059129">
      <w:bodyDiv w:val="1"/>
      <w:marLeft w:val="0"/>
      <w:marRight w:val="0"/>
      <w:marTop w:val="0"/>
      <w:marBottom w:val="0"/>
      <w:divBdr>
        <w:top w:val="none" w:sz="0" w:space="0" w:color="auto"/>
        <w:left w:val="none" w:sz="0" w:space="0" w:color="auto"/>
        <w:bottom w:val="none" w:sz="0" w:space="0" w:color="auto"/>
        <w:right w:val="none" w:sz="0" w:space="0" w:color="auto"/>
      </w:divBdr>
    </w:div>
    <w:div w:id="1207520909">
      <w:bodyDiv w:val="1"/>
      <w:marLeft w:val="0"/>
      <w:marRight w:val="0"/>
      <w:marTop w:val="0"/>
      <w:marBottom w:val="0"/>
      <w:divBdr>
        <w:top w:val="none" w:sz="0" w:space="0" w:color="auto"/>
        <w:left w:val="none" w:sz="0" w:space="0" w:color="auto"/>
        <w:bottom w:val="none" w:sz="0" w:space="0" w:color="auto"/>
        <w:right w:val="none" w:sz="0" w:space="0" w:color="auto"/>
      </w:divBdr>
    </w:div>
    <w:div w:id="1207596692">
      <w:bodyDiv w:val="1"/>
      <w:marLeft w:val="0"/>
      <w:marRight w:val="0"/>
      <w:marTop w:val="0"/>
      <w:marBottom w:val="0"/>
      <w:divBdr>
        <w:top w:val="none" w:sz="0" w:space="0" w:color="auto"/>
        <w:left w:val="none" w:sz="0" w:space="0" w:color="auto"/>
        <w:bottom w:val="none" w:sz="0" w:space="0" w:color="auto"/>
        <w:right w:val="none" w:sz="0" w:space="0" w:color="auto"/>
      </w:divBdr>
    </w:div>
    <w:div w:id="1207764569">
      <w:bodyDiv w:val="1"/>
      <w:marLeft w:val="0"/>
      <w:marRight w:val="0"/>
      <w:marTop w:val="0"/>
      <w:marBottom w:val="0"/>
      <w:divBdr>
        <w:top w:val="none" w:sz="0" w:space="0" w:color="auto"/>
        <w:left w:val="none" w:sz="0" w:space="0" w:color="auto"/>
        <w:bottom w:val="none" w:sz="0" w:space="0" w:color="auto"/>
        <w:right w:val="none" w:sz="0" w:space="0" w:color="auto"/>
      </w:divBdr>
    </w:div>
    <w:div w:id="1207838558">
      <w:bodyDiv w:val="1"/>
      <w:marLeft w:val="0"/>
      <w:marRight w:val="0"/>
      <w:marTop w:val="0"/>
      <w:marBottom w:val="0"/>
      <w:divBdr>
        <w:top w:val="none" w:sz="0" w:space="0" w:color="auto"/>
        <w:left w:val="none" w:sz="0" w:space="0" w:color="auto"/>
        <w:bottom w:val="none" w:sz="0" w:space="0" w:color="auto"/>
        <w:right w:val="none" w:sz="0" w:space="0" w:color="auto"/>
      </w:divBdr>
    </w:div>
    <w:div w:id="1208025712">
      <w:bodyDiv w:val="1"/>
      <w:marLeft w:val="0"/>
      <w:marRight w:val="0"/>
      <w:marTop w:val="0"/>
      <w:marBottom w:val="0"/>
      <w:divBdr>
        <w:top w:val="none" w:sz="0" w:space="0" w:color="auto"/>
        <w:left w:val="none" w:sz="0" w:space="0" w:color="auto"/>
        <w:bottom w:val="none" w:sz="0" w:space="0" w:color="auto"/>
        <w:right w:val="none" w:sz="0" w:space="0" w:color="auto"/>
      </w:divBdr>
    </w:div>
    <w:div w:id="1208033328">
      <w:bodyDiv w:val="1"/>
      <w:marLeft w:val="0"/>
      <w:marRight w:val="0"/>
      <w:marTop w:val="0"/>
      <w:marBottom w:val="0"/>
      <w:divBdr>
        <w:top w:val="none" w:sz="0" w:space="0" w:color="auto"/>
        <w:left w:val="none" w:sz="0" w:space="0" w:color="auto"/>
        <w:bottom w:val="none" w:sz="0" w:space="0" w:color="auto"/>
        <w:right w:val="none" w:sz="0" w:space="0" w:color="auto"/>
      </w:divBdr>
    </w:div>
    <w:div w:id="1208033472">
      <w:bodyDiv w:val="1"/>
      <w:marLeft w:val="0"/>
      <w:marRight w:val="0"/>
      <w:marTop w:val="0"/>
      <w:marBottom w:val="0"/>
      <w:divBdr>
        <w:top w:val="none" w:sz="0" w:space="0" w:color="auto"/>
        <w:left w:val="none" w:sz="0" w:space="0" w:color="auto"/>
        <w:bottom w:val="none" w:sz="0" w:space="0" w:color="auto"/>
        <w:right w:val="none" w:sz="0" w:space="0" w:color="auto"/>
      </w:divBdr>
    </w:div>
    <w:div w:id="1208376981">
      <w:bodyDiv w:val="1"/>
      <w:marLeft w:val="0"/>
      <w:marRight w:val="0"/>
      <w:marTop w:val="0"/>
      <w:marBottom w:val="0"/>
      <w:divBdr>
        <w:top w:val="none" w:sz="0" w:space="0" w:color="auto"/>
        <w:left w:val="none" w:sz="0" w:space="0" w:color="auto"/>
        <w:bottom w:val="none" w:sz="0" w:space="0" w:color="auto"/>
        <w:right w:val="none" w:sz="0" w:space="0" w:color="auto"/>
      </w:divBdr>
    </w:div>
    <w:div w:id="1208950028">
      <w:bodyDiv w:val="1"/>
      <w:marLeft w:val="0"/>
      <w:marRight w:val="0"/>
      <w:marTop w:val="0"/>
      <w:marBottom w:val="0"/>
      <w:divBdr>
        <w:top w:val="none" w:sz="0" w:space="0" w:color="auto"/>
        <w:left w:val="none" w:sz="0" w:space="0" w:color="auto"/>
        <w:bottom w:val="none" w:sz="0" w:space="0" w:color="auto"/>
        <w:right w:val="none" w:sz="0" w:space="0" w:color="auto"/>
      </w:divBdr>
    </w:div>
    <w:div w:id="1209027667">
      <w:bodyDiv w:val="1"/>
      <w:marLeft w:val="0"/>
      <w:marRight w:val="0"/>
      <w:marTop w:val="0"/>
      <w:marBottom w:val="0"/>
      <w:divBdr>
        <w:top w:val="none" w:sz="0" w:space="0" w:color="auto"/>
        <w:left w:val="none" w:sz="0" w:space="0" w:color="auto"/>
        <w:bottom w:val="none" w:sz="0" w:space="0" w:color="auto"/>
        <w:right w:val="none" w:sz="0" w:space="0" w:color="auto"/>
      </w:divBdr>
    </w:div>
    <w:div w:id="1209417982">
      <w:bodyDiv w:val="1"/>
      <w:marLeft w:val="0"/>
      <w:marRight w:val="0"/>
      <w:marTop w:val="0"/>
      <w:marBottom w:val="0"/>
      <w:divBdr>
        <w:top w:val="none" w:sz="0" w:space="0" w:color="auto"/>
        <w:left w:val="none" w:sz="0" w:space="0" w:color="auto"/>
        <w:bottom w:val="none" w:sz="0" w:space="0" w:color="auto"/>
        <w:right w:val="none" w:sz="0" w:space="0" w:color="auto"/>
      </w:divBdr>
    </w:div>
    <w:div w:id="1209487310">
      <w:bodyDiv w:val="1"/>
      <w:marLeft w:val="0"/>
      <w:marRight w:val="0"/>
      <w:marTop w:val="0"/>
      <w:marBottom w:val="0"/>
      <w:divBdr>
        <w:top w:val="none" w:sz="0" w:space="0" w:color="auto"/>
        <w:left w:val="none" w:sz="0" w:space="0" w:color="auto"/>
        <w:bottom w:val="none" w:sz="0" w:space="0" w:color="auto"/>
        <w:right w:val="none" w:sz="0" w:space="0" w:color="auto"/>
      </w:divBdr>
    </w:div>
    <w:div w:id="1210341079">
      <w:bodyDiv w:val="1"/>
      <w:marLeft w:val="0"/>
      <w:marRight w:val="0"/>
      <w:marTop w:val="0"/>
      <w:marBottom w:val="0"/>
      <w:divBdr>
        <w:top w:val="none" w:sz="0" w:space="0" w:color="auto"/>
        <w:left w:val="none" w:sz="0" w:space="0" w:color="auto"/>
        <w:bottom w:val="none" w:sz="0" w:space="0" w:color="auto"/>
        <w:right w:val="none" w:sz="0" w:space="0" w:color="auto"/>
      </w:divBdr>
    </w:div>
    <w:div w:id="1210606632">
      <w:bodyDiv w:val="1"/>
      <w:marLeft w:val="0"/>
      <w:marRight w:val="0"/>
      <w:marTop w:val="0"/>
      <w:marBottom w:val="0"/>
      <w:divBdr>
        <w:top w:val="none" w:sz="0" w:space="0" w:color="auto"/>
        <w:left w:val="none" w:sz="0" w:space="0" w:color="auto"/>
        <w:bottom w:val="none" w:sz="0" w:space="0" w:color="auto"/>
        <w:right w:val="none" w:sz="0" w:space="0" w:color="auto"/>
      </w:divBdr>
    </w:div>
    <w:div w:id="1210725254">
      <w:bodyDiv w:val="1"/>
      <w:marLeft w:val="0"/>
      <w:marRight w:val="0"/>
      <w:marTop w:val="0"/>
      <w:marBottom w:val="0"/>
      <w:divBdr>
        <w:top w:val="none" w:sz="0" w:space="0" w:color="auto"/>
        <w:left w:val="none" w:sz="0" w:space="0" w:color="auto"/>
        <w:bottom w:val="none" w:sz="0" w:space="0" w:color="auto"/>
        <w:right w:val="none" w:sz="0" w:space="0" w:color="auto"/>
      </w:divBdr>
    </w:div>
    <w:div w:id="1210998509">
      <w:bodyDiv w:val="1"/>
      <w:marLeft w:val="0"/>
      <w:marRight w:val="0"/>
      <w:marTop w:val="0"/>
      <w:marBottom w:val="0"/>
      <w:divBdr>
        <w:top w:val="none" w:sz="0" w:space="0" w:color="auto"/>
        <w:left w:val="none" w:sz="0" w:space="0" w:color="auto"/>
        <w:bottom w:val="none" w:sz="0" w:space="0" w:color="auto"/>
        <w:right w:val="none" w:sz="0" w:space="0" w:color="auto"/>
      </w:divBdr>
    </w:div>
    <w:div w:id="1211039817">
      <w:bodyDiv w:val="1"/>
      <w:marLeft w:val="0"/>
      <w:marRight w:val="0"/>
      <w:marTop w:val="0"/>
      <w:marBottom w:val="0"/>
      <w:divBdr>
        <w:top w:val="none" w:sz="0" w:space="0" w:color="auto"/>
        <w:left w:val="none" w:sz="0" w:space="0" w:color="auto"/>
        <w:bottom w:val="none" w:sz="0" w:space="0" w:color="auto"/>
        <w:right w:val="none" w:sz="0" w:space="0" w:color="auto"/>
      </w:divBdr>
    </w:div>
    <w:div w:id="1211116465">
      <w:bodyDiv w:val="1"/>
      <w:marLeft w:val="0"/>
      <w:marRight w:val="0"/>
      <w:marTop w:val="0"/>
      <w:marBottom w:val="0"/>
      <w:divBdr>
        <w:top w:val="none" w:sz="0" w:space="0" w:color="auto"/>
        <w:left w:val="none" w:sz="0" w:space="0" w:color="auto"/>
        <w:bottom w:val="none" w:sz="0" w:space="0" w:color="auto"/>
        <w:right w:val="none" w:sz="0" w:space="0" w:color="auto"/>
      </w:divBdr>
    </w:div>
    <w:div w:id="1211302344">
      <w:bodyDiv w:val="1"/>
      <w:marLeft w:val="0"/>
      <w:marRight w:val="0"/>
      <w:marTop w:val="0"/>
      <w:marBottom w:val="0"/>
      <w:divBdr>
        <w:top w:val="none" w:sz="0" w:space="0" w:color="auto"/>
        <w:left w:val="none" w:sz="0" w:space="0" w:color="auto"/>
        <w:bottom w:val="none" w:sz="0" w:space="0" w:color="auto"/>
        <w:right w:val="none" w:sz="0" w:space="0" w:color="auto"/>
      </w:divBdr>
    </w:div>
    <w:div w:id="1211310753">
      <w:bodyDiv w:val="1"/>
      <w:marLeft w:val="0"/>
      <w:marRight w:val="0"/>
      <w:marTop w:val="0"/>
      <w:marBottom w:val="0"/>
      <w:divBdr>
        <w:top w:val="none" w:sz="0" w:space="0" w:color="auto"/>
        <w:left w:val="none" w:sz="0" w:space="0" w:color="auto"/>
        <w:bottom w:val="none" w:sz="0" w:space="0" w:color="auto"/>
        <w:right w:val="none" w:sz="0" w:space="0" w:color="auto"/>
      </w:divBdr>
    </w:div>
    <w:div w:id="1211572833">
      <w:bodyDiv w:val="1"/>
      <w:marLeft w:val="0"/>
      <w:marRight w:val="0"/>
      <w:marTop w:val="0"/>
      <w:marBottom w:val="0"/>
      <w:divBdr>
        <w:top w:val="none" w:sz="0" w:space="0" w:color="auto"/>
        <w:left w:val="none" w:sz="0" w:space="0" w:color="auto"/>
        <w:bottom w:val="none" w:sz="0" w:space="0" w:color="auto"/>
        <w:right w:val="none" w:sz="0" w:space="0" w:color="auto"/>
      </w:divBdr>
    </w:div>
    <w:div w:id="1211579583">
      <w:bodyDiv w:val="1"/>
      <w:marLeft w:val="0"/>
      <w:marRight w:val="0"/>
      <w:marTop w:val="0"/>
      <w:marBottom w:val="0"/>
      <w:divBdr>
        <w:top w:val="none" w:sz="0" w:space="0" w:color="auto"/>
        <w:left w:val="none" w:sz="0" w:space="0" w:color="auto"/>
        <w:bottom w:val="none" w:sz="0" w:space="0" w:color="auto"/>
        <w:right w:val="none" w:sz="0" w:space="0" w:color="auto"/>
      </w:divBdr>
    </w:div>
    <w:div w:id="1211646771">
      <w:bodyDiv w:val="1"/>
      <w:marLeft w:val="0"/>
      <w:marRight w:val="0"/>
      <w:marTop w:val="0"/>
      <w:marBottom w:val="0"/>
      <w:divBdr>
        <w:top w:val="none" w:sz="0" w:space="0" w:color="auto"/>
        <w:left w:val="none" w:sz="0" w:space="0" w:color="auto"/>
        <w:bottom w:val="none" w:sz="0" w:space="0" w:color="auto"/>
        <w:right w:val="none" w:sz="0" w:space="0" w:color="auto"/>
      </w:divBdr>
    </w:div>
    <w:div w:id="1211843538">
      <w:bodyDiv w:val="1"/>
      <w:marLeft w:val="0"/>
      <w:marRight w:val="0"/>
      <w:marTop w:val="0"/>
      <w:marBottom w:val="0"/>
      <w:divBdr>
        <w:top w:val="none" w:sz="0" w:space="0" w:color="auto"/>
        <w:left w:val="none" w:sz="0" w:space="0" w:color="auto"/>
        <w:bottom w:val="none" w:sz="0" w:space="0" w:color="auto"/>
        <w:right w:val="none" w:sz="0" w:space="0" w:color="auto"/>
      </w:divBdr>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
    <w:div w:id="1212308476">
      <w:bodyDiv w:val="1"/>
      <w:marLeft w:val="0"/>
      <w:marRight w:val="0"/>
      <w:marTop w:val="0"/>
      <w:marBottom w:val="0"/>
      <w:divBdr>
        <w:top w:val="none" w:sz="0" w:space="0" w:color="auto"/>
        <w:left w:val="none" w:sz="0" w:space="0" w:color="auto"/>
        <w:bottom w:val="none" w:sz="0" w:space="0" w:color="auto"/>
        <w:right w:val="none" w:sz="0" w:space="0" w:color="auto"/>
      </w:divBdr>
    </w:div>
    <w:div w:id="1212309746">
      <w:bodyDiv w:val="1"/>
      <w:marLeft w:val="0"/>
      <w:marRight w:val="0"/>
      <w:marTop w:val="0"/>
      <w:marBottom w:val="0"/>
      <w:divBdr>
        <w:top w:val="none" w:sz="0" w:space="0" w:color="auto"/>
        <w:left w:val="none" w:sz="0" w:space="0" w:color="auto"/>
        <w:bottom w:val="none" w:sz="0" w:space="0" w:color="auto"/>
        <w:right w:val="none" w:sz="0" w:space="0" w:color="auto"/>
      </w:divBdr>
    </w:div>
    <w:div w:id="1212421815">
      <w:bodyDiv w:val="1"/>
      <w:marLeft w:val="0"/>
      <w:marRight w:val="0"/>
      <w:marTop w:val="0"/>
      <w:marBottom w:val="0"/>
      <w:divBdr>
        <w:top w:val="none" w:sz="0" w:space="0" w:color="auto"/>
        <w:left w:val="none" w:sz="0" w:space="0" w:color="auto"/>
        <w:bottom w:val="none" w:sz="0" w:space="0" w:color="auto"/>
        <w:right w:val="none" w:sz="0" w:space="0" w:color="auto"/>
      </w:divBdr>
    </w:div>
    <w:div w:id="1212615235">
      <w:bodyDiv w:val="1"/>
      <w:marLeft w:val="0"/>
      <w:marRight w:val="0"/>
      <w:marTop w:val="0"/>
      <w:marBottom w:val="0"/>
      <w:divBdr>
        <w:top w:val="none" w:sz="0" w:space="0" w:color="auto"/>
        <w:left w:val="none" w:sz="0" w:space="0" w:color="auto"/>
        <w:bottom w:val="none" w:sz="0" w:space="0" w:color="auto"/>
        <w:right w:val="none" w:sz="0" w:space="0" w:color="auto"/>
      </w:divBdr>
    </w:div>
    <w:div w:id="1212838925">
      <w:bodyDiv w:val="1"/>
      <w:marLeft w:val="0"/>
      <w:marRight w:val="0"/>
      <w:marTop w:val="0"/>
      <w:marBottom w:val="0"/>
      <w:divBdr>
        <w:top w:val="none" w:sz="0" w:space="0" w:color="auto"/>
        <w:left w:val="none" w:sz="0" w:space="0" w:color="auto"/>
        <w:bottom w:val="none" w:sz="0" w:space="0" w:color="auto"/>
        <w:right w:val="none" w:sz="0" w:space="0" w:color="auto"/>
      </w:divBdr>
    </w:div>
    <w:div w:id="1212963803">
      <w:bodyDiv w:val="1"/>
      <w:marLeft w:val="0"/>
      <w:marRight w:val="0"/>
      <w:marTop w:val="0"/>
      <w:marBottom w:val="0"/>
      <w:divBdr>
        <w:top w:val="none" w:sz="0" w:space="0" w:color="auto"/>
        <w:left w:val="none" w:sz="0" w:space="0" w:color="auto"/>
        <w:bottom w:val="none" w:sz="0" w:space="0" w:color="auto"/>
        <w:right w:val="none" w:sz="0" w:space="0" w:color="auto"/>
      </w:divBdr>
    </w:div>
    <w:div w:id="1213077117">
      <w:bodyDiv w:val="1"/>
      <w:marLeft w:val="0"/>
      <w:marRight w:val="0"/>
      <w:marTop w:val="0"/>
      <w:marBottom w:val="0"/>
      <w:divBdr>
        <w:top w:val="none" w:sz="0" w:space="0" w:color="auto"/>
        <w:left w:val="none" w:sz="0" w:space="0" w:color="auto"/>
        <w:bottom w:val="none" w:sz="0" w:space="0" w:color="auto"/>
        <w:right w:val="none" w:sz="0" w:space="0" w:color="auto"/>
      </w:divBdr>
    </w:div>
    <w:div w:id="1213082620">
      <w:bodyDiv w:val="1"/>
      <w:marLeft w:val="0"/>
      <w:marRight w:val="0"/>
      <w:marTop w:val="0"/>
      <w:marBottom w:val="0"/>
      <w:divBdr>
        <w:top w:val="none" w:sz="0" w:space="0" w:color="auto"/>
        <w:left w:val="none" w:sz="0" w:space="0" w:color="auto"/>
        <w:bottom w:val="none" w:sz="0" w:space="0" w:color="auto"/>
        <w:right w:val="none" w:sz="0" w:space="0" w:color="auto"/>
      </w:divBdr>
    </w:div>
    <w:div w:id="1213153346">
      <w:bodyDiv w:val="1"/>
      <w:marLeft w:val="0"/>
      <w:marRight w:val="0"/>
      <w:marTop w:val="0"/>
      <w:marBottom w:val="0"/>
      <w:divBdr>
        <w:top w:val="none" w:sz="0" w:space="0" w:color="auto"/>
        <w:left w:val="none" w:sz="0" w:space="0" w:color="auto"/>
        <w:bottom w:val="none" w:sz="0" w:space="0" w:color="auto"/>
        <w:right w:val="none" w:sz="0" w:space="0" w:color="auto"/>
      </w:divBdr>
    </w:div>
    <w:div w:id="1213225839">
      <w:bodyDiv w:val="1"/>
      <w:marLeft w:val="0"/>
      <w:marRight w:val="0"/>
      <w:marTop w:val="0"/>
      <w:marBottom w:val="0"/>
      <w:divBdr>
        <w:top w:val="none" w:sz="0" w:space="0" w:color="auto"/>
        <w:left w:val="none" w:sz="0" w:space="0" w:color="auto"/>
        <w:bottom w:val="none" w:sz="0" w:space="0" w:color="auto"/>
        <w:right w:val="none" w:sz="0" w:space="0" w:color="auto"/>
      </w:divBdr>
    </w:div>
    <w:div w:id="1213344610">
      <w:bodyDiv w:val="1"/>
      <w:marLeft w:val="0"/>
      <w:marRight w:val="0"/>
      <w:marTop w:val="0"/>
      <w:marBottom w:val="0"/>
      <w:divBdr>
        <w:top w:val="none" w:sz="0" w:space="0" w:color="auto"/>
        <w:left w:val="none" w:sz="0" w:space="0" w:color="auto"/>
        <w:bottom w:val="none" w:sz="0" w:space="0" w:color="auto"/>
        <w:right w:val="none" w:sz="0" w:space="0" w:color="auto"/>
      </w:divBdr>
    </w:div>
    <w:div w:id="1213888968">
      <w:bodyDiv w:val="1"/>
      <w:marLeft w:val="0"/>
      <w:marRight w:val="0"/>
      <w:marTop w:val="0"/>
      <w:marBottom w:val="0"/>
      <w:divBdr>
        <w:top w:val="none" w:sz="0" w:space="0" w:color="auto"/>
        <w:left w:val="none" w:sz="0" w:space="0" w:color="auto"/>
        <w:bottom w:val="none" w:sz="0" w:space="0" w:color="auto"/>
        <w:right w:val="none" w:sz="0" w:space="0" w:color="auto"/>
      </w:divBdr>
    </w:div>
    <w:div w:id="1213931498">
      <w:bodyDiv w:val="1"/>
      <w:marLeft w:val="0"/>
      <w:marRight w:val="0"/>
      <w:marTop w:val="0"/>
      <w:marBottom w:val="0"/>
      <w:divBdr>
        <w:top w:val="none" w:sz="0" w:space="0" w:color="auto"/>
        <w:left w:val="none" w:sz="0" w:space="0" w:color="auto"/>
        <w:bottom w:val="none" w:sz="0" w:space="0" w:color="auto"/>
        <w:right w:val="none" w:sz="0" w:space="0" w:color="auto"/>
      </w:divBdr>
    </w:div>
    <w:div w:id="1213998644">
      <w:bodyDiv w:val="1"/>
      <w:marLeft w:val="0"/>
      <w:marRight w:val="0"/>
      <w:marTop w:val="0"/>
      <w:marBottom w:val="0"/>
      <w:divBdr>
        <w:top w:val="none" w:sz="0" w:space="0" w:color="auto"/>
        <w:left w:val="none" w:sz="0" w:space="0" w:color="auto"/>
        <w:bottom w:val="none" w:sz="0" w:space="0" w:color="auto"/>
        <w:right w:val="none" w:sz="0" w:space="0" w:color="auto"/>
      </w:divBdr>
    </w:div>
    <w:div w:id="1214121219">
      <w:bodyDiv w:val="1"/>
      <w:marLeft w:val="0"/>
      <w:marRight w:val="0"/>
      <w:marTop w:val="0"/>
      <w:marBottom w:val="0"/>
      <w:divBdr>
        <w:top w:val="none" w:sz="0" w:space="0" w:color="auto"/>
        <w:left w:val="none" w:sz="0" w:space="0" w:color="auto"/>
        <w:bottom w:val="none" w:sz="0" w:space="0" w:color="auto"/>
        <w:right w:val="none" w:sz="0" w:space="0" w:color="auto"/>
      </w:divBdr>
    </w:div>
    <w:div w:id="1214273110">
      <w:bodyDiv w:val="1"/>
      <w:marLeft w:val="0"/>
      <w:marRight w:val="0"/>
      <w:marTop w:val="0"/>
      <w:marBottom w:val="0"/>
      <w:divBdr>
        <w:top w:val="none" w:sz="0" w:space="0" w:color="auto"/>
        <w:left w:val="none" w:sz="0" w:space="0" w:color="auto"/>
        <w:bottom w:val="none" w:sz="0" w:space="0" w:color="auto"/>
        <w:right w:val="none" w:sz="0" w:space="0" w:color="auto"/>
      </w:divBdr>
    </w:div>
    <w:div w:id="1214317110">
      <w:bodyDiv w:val="1"/>
      <w:marLeft w:val="0"/>
      <w:marRight w:val="0"/>
      <w:marTop w:val="0"/>
      <w:marBottom w:val="0"/>
      <w:divBdr>
        <w:top w:val="none" w:sz="0" w:space="0" w:color="auto"/>
        <w:left w:val="none" w:sz="0" w:space="0" w:color="auto"/>
        <w:bottom w:val="none" w:sz="0" w:space="0" w:color="auto"/>
        <w:right w:val="none" w:sz="0" w:space="0" w:color="auto"/>
      </w:divBdr>
    </w:div>
    <w:div w:id="1214580805">
      <w:bodyDiv w:val="1"/>
      <w:marLeft w:val="0"/>
      <w:marRight w:val="0"/>
      <w:marTop w:val="0"/>
      <w:marBottom w:val="0"/>
      <w:divBdr>
        <w:top w:val="none" w:sz="0" w:space="0" w:color="auto"/>
        <w:left w:val="none" w:sz="0" w:space="0" w:color="auto"/>
        <w:bottom w:val="none" w:sz="0" w:space="0" w:color="auto"/>
        <w:right w:val="none" w:sz="0" w:space="0" w:color="auto"/>
      </w:divBdr>
    </w:div>
    <w:div w:id="1214777438">
      <w:bodyDiv w:val="1"/>
      <w:marLeft w:val="0"/>
      <w:marRight w:val="0"/>
      <w:marTop w:val="0"/>
      <w:marBottom w:val="0"/>
      <w:divBdr>
        <w:top w:val="none" w:sz="0" w:space="0" w:color="auto"/>
        <w:left w:val="none" w:sz="0" w:space="0" w:color="auto"/>
        <w:bottom w:val="none" w:sz="0" w:space="0" w:color="auto"/>
        <w:right w:val="none" w:sz="0" w:space="0" w:color="auto"/>
      </w:divBdr>
    </w:div>
    <w:div w:id="1214972461">
      <w:bodyDiv w:val="1"/>
      <w:marLeft w:val="0"/>
      <w:marRight w:val="0"/>
      <w:marTop w:val="0"/>
      <w:marBottom w:val="0"/>
      <w:divBdr>
        <w:top w:val="none" w:sz="0" w:space="0" w:color="auto"/>
        <w:left w:val="none" w:sz="0" w:space="0" w:color="auto"/>
        <w:bottom w:val="none" w:sz="0" w:space="0" w:color="auto"/>
        <w:right w:val="none" w:sz="0" w:space="0" w:color="auto"/>
      </w:divBdr>
    </w:div>
    <w:div w:id="1215192782">
      <w:bodyDiv w:val="1"/>
      <w:marLeft w:val="0"/>
      <w:marRight w:val="0"/>
      <w:marTop w:val="0"/>
      <w:marBottom w:val="0"/>
      <w:divBdr>
        <w:top w:val="none" w:sz="0" w:space="0" w:color="auto"/>
        <w:left w:val="none" w:sz="0" w:space="0" w:color="auto"/>
        <w:bottom w:val="none" w:sz="0" w:space="0" w:color="auto"/>
        <w:right w:val="none" w:sz="0" w:space="0" w:color="auto"/>
      </w:divBdr>
    </w:div>
    <w:div w:id="1215195583">
      <w:bodyDiv w:val="1"/>
      <w:marLeft w:val="0"/>
      <w:marRight w:val="0"/>
      <w:marTop w:val="0"/>
      <w:marBottom w:val="0"/>
      <w:divBdr>
        <w:top w:val="none" w:sz="0" w:space="0" w:color="auto"/>
        <w:left w:val="none" w:sz="0" w:space="0" w:color="auto"/>
        <w:bottom w:val="none" w:sz="0" w:space="0" w:color="auto"/>
        <w:right w:val="none" w:sz="0" w:space="0" w:color="auto"/>
      </w:divBdr>
    </w:div>
    <w:div w:id="1215384493">
      <w:bodyDiv w:val="1"/>
      <w:marLeft w:val="0"/>
      <w:marRight w:val="0"/>
      <w:marTop w:val="0"/>
      <w:marBottom w:val="0"/>
      <w:divBdr>
        <w:top w:val="none" w:sz="0" w:space="0" w:color="auto"/>
        <w:left w:val="none" w:sz="0" w:space="0" w:color="auto"/>
        <w:bottom w:val="none" w:sz="0" w:space="0" w:color="auto"/>
        <w:right w:val="none" w:sz="0" w:space="0" w:color="auto"/>
      </w:divBdr>
    </w:div>
    <w:div w:id="1215584394">
      <w:bodyDiv w:val="1"/>
      <w:marLeft w:val="0"/>
      <w:marRight w:val="0"/>
      <w:marTop w:val="0"/>
      <w:marBottom w:val="0"/>
      <w:divBdr>
        <w:top w:val="none" w:sz="0" w:space="0" w:color="auto"/>
        <w:left w:val="none" w:sz="0" w:space="0" w:color="auto"/>
        <w:bottom w:val="none" w:sz="0" w:space="0" w:color="auto"/>
        <w:right w:val="none" w:sz="0" w:space="0" w:color="auto"/>
      </w:divBdr>
    </w:div>
    <w:div w:id="1215659913">
      <w:bodyDiv w:val="1"/>
      <w:marLeft w:val="0"/>
      <w:marRight w:val="0"/>
      <w:marTop w:val="0"/>
      <w:marBottom w:val="0"/>
      <w:divBdr>
        <w:top w:val="none" w:sz="0" w:space="0" w:color="auto"/>
        <w:left w:val="none" w:sz="0" w:space="0" w:color="auto"/>
        <w:bottom w:val="none" w:sz="0" w:space="0" w:color="auto"/>
        <w:right w:val="none" w:sz="0" w:space="0" w:color="auto"/>
      </w:divBdr>
    </w:div>
    <w:div w:id="1215703364">
      <w:bodyDiv w:val="1"/>
      <w:marLeft w:val="0"/>
      <w:marRight w:val="0"/>
      <w:marTop w:val="0"/>
      <w:marBottom w:val="0"/>
      <w:divBdr>
        <w:top w:val="none" w:sz="0" w:space="0" w:color="auto"/>
        <w:left w:val="none" w:sz="0" w:space="0" w:color="auto"/>
        <w:bottom w:val="none" w:sz="0" w:space="0" w:color="auto"/>
        <w:right w:val="none" w:sz="0" w:space="0" w:color="auto"/>
      </w:divBdr>
    </w:div>
    <w:div w:id="1216115379">
      <w:bodyDiv w:val="1"/>
      <w:marLeft w:val="0"/>
      <w:marRight w:val="0"/>
      <w:marTop w:val="0"/>
      <w:marBottom w:val="0"/>
      <w:divBdr>
        <w:top w:val="none" w:sz="0" w:space="0" w:color="auto"/>
        <w:left w:val="none" w:sz="0" w:space="0" w:color="auto"/>
        <w:bottom w:val="none" w:sz="0" w:space="0" w:color="auto"/>
        <w:right w:val="none" w:sz="0" w:space="0" w:color="auto"/>
      </w:divBdr>
    </w:div>
    <w:div w:id="1216162638">
      <w:bodyDiv w:val="1"/>
      <w:marLeft w:val="0"/>
      <w:marRight w:val="0"/>
      <w:marTop w:val="0"/>
      <w:marBottom w:val="0"/>
      <w:divBdr>
        <w:top w:val="none" w:sz="0" w:space="0" w:color="auto"/>
        <w:left w:val="none" w:sz="0" w:space="0" w:color="auto"/>
        <w:bottom w:val="none" w:sz="0" w:space="0" w:color="auto"/>
        <w:right w:val="none" w:sz="0" w:space="0" w:color="auto"/>
      </w:divBdr>
    </w:div>
    <w:div w:id="1216163484">
      <w:bodyDiv w:val="1"/>
      <w:marLeft w:val="0"/>
      <w:marRight w:val="0"/>
      <w:marTop w:val="0"/>
      <w:marBottom w:val="0"/>
      <w:divBdr>
        <w:top w:val="none" w:sz="0" w:space="0" w:color="auto"/>
        <w:left w:val="none" w:sz="0" w:space="0" w:color="auto"/>
        <w:bottom w:val="none" w:sz="0" w:space="0" w:color="auto"/>
        <w:right w:val="none" w:sz="0" w:space="0" w:color="auto"/>
      </w:divBdr>
    </w:div>
    <w:div w:id="1216166468">
      <w:bodyDiv w:val="1"/>
      <w:marLeft w:val="0"/>
      <w:marRight w:val="0"/>
      <w:marTop w:val="0"/>
      <w:marBottom w:val="0"/>
      <w:divBdr>
        <w:top w:val="none" w:sz="0" w:space="0" w:color="auto"/>
        <w:left w:val="none" w:sz="0" w:space="0" w:color="auto"/>
        <w:bottom w:val="none" w:sz="0" w:space="0" w:color="auto"/>
        <w:right w:val="none" w:sz="0" w:space="0" w:color="auto"/>
      </w:divBdr>
    </w:div>
    <w:div w:id="1216501843">
      <w:bodyDiv w:val="1"/>
      <w:marLeft w:val="0"/>
      <w:marRight w:val="0"/>
      <w:marTop w:val="0"/>
      <w:marBottom w:val="0"/>
      <w:divBdr>
        <w:top w:val="none" w:sz="0" w:space="0" w:color="auto"/>
        <w:left w:val="none" w:sz="0" w:space="0" w:color="auto"/>
        <w:bottom w:val="none" w:sz="0" w:space="0" w:color="auto"/>
        <w:right w:val="none" w:sz="0" w:space="0" w:color="auto"/>
      </w:divBdr>
    </w:div>
    <w:div w:id="1216551967">
      <w:bodyDiv w:val="1"/>
      <w:marLeft w:val="0"/>
      <w:marRight w:val="0"/>
      <w:marTop w:val="0"/>
      <w:marBottom w:val="0"/>
      <w:divBdr>
        <w:top w:val="none" w:sz="0" w:space="0" w:color="auto"/>
        <w:left w:val="none" w:sz="0" w:space="0" w:color="auto"/>
        <w:bottom w:val="none" w:sz="0" w:space="0" w:color="auto"/>
        <w:right w:val="none" w:sz="0" w:space="0" w:color="auto"/>
      </w:divBdr>
    </w:div>
    <w:div w:id="1216624128">
      <w:bodyDiv w:val="1"/>
      <w:marLeft w:val="0"/>
      <w:marRight w:val="0"/>
      <w:marTop w:val="0"/>
      <w:marBottom w:val="0"/>
      <w:divBdr>
        <w:top w:val="none" w:sz="0" w:space="0" w:color="auto"/>
        <w:left w:val="none" w:sz="0" w:space="0" w:color="auto"/>
        <w:bottom w:val="none" w:sz="0" w:space="0" w:color="auto"/>
        <w:right w:val="none" w:sz="0" w:space="0" w:color="auto"/>
      </w:divBdr>
    </w:div>
    <w:div w:id="1216770536">
      <w:bodyDiv w:val="1"/>
      <w:marLeft w:val="0"/>
      <w:marRight w:val="0"/>
      <w:marTop w:val="0"/>
      <w:marBottom w:val="0"/>
      <w:divBdr>
        <w:top w:val="none" w:sz="0" w:space="0" w:color="auto"/>
        <w:left w:val="none" w:sz="0" w:space="0" w:color="auto"/>
        <w:bottom w:val="none" w:sz="0" w:space="0" w:color="auto"/>
        <w:right w:val="none" w:sz="0" w:space="0" w:color="auto"/>
      </w:divBdr>
    </w:div>
    <w:div w:id="1216814180">
      <w:bodyDiv w:val="1"/>
      <w:marLeft w:val="0"/>
      <w:marRight w:val="0"/>
      <w:marTop w:val="0"/>
      <w:marBottom w:val="0"/>
      <w:divBdr>
        <w:top w:val="none" w:sz="0" w:space="0" w:color="auto"/>
        <w:left w:val="none" w:sz="0" w:space="0" w:color="auto"/>
        <w:bottom w:val="none" w:sz="0" w:space="0" w:color="auto"/>
        <w:right w:val="none" w:sz="0" w:space="0" w:color="auto"/>
      </w:divBdr>
    </w:div>
    <w:div w:id="1217007186">
      <w:bodyDiv w:val="1"/>
      <w:marLeft w:val="0"/>
      <w:marRight w:val="0"/>
      <w:marTop w:val="0"/>
      <w:marBottom w:val="0"/>
      <w:divBdr>
        <w:top w:val="none" w:sz="0" w:space="0" w:color="auto"/>
        <w:left w:val="none" w:sz="0" w:space="0" w:color="auto"/>
        <w:bottom w:val="none" w:sz="0" w:space="0" w:color="auto"/>
        <w:right w:val="none" w:sz="0" w:space="0" w:color="auto"/>
      </w:divBdr>
    </w:div>
    <w:div w:id="1217085519">
      <w:bodyDiv w:val="1"/>
      <w:marLeft w:val="0"/>
      <w:marRight w:val="0"/>
      <w:marTop w:val="0"/>
      <w:marBottom w:val="0"/>
      <w:divBdr>
        <w:top w:val="none" w:sz="0" w:space="0" w:color="auto"/>
        <w:left w:val="none" w:sz="0" w:space="0" w:color="auto"/>
        <w:bottom w:val="none" w:sz="0" w:space="0" w:color="auto"/>
        <w:right w:val="none" w:sz="0" w:space="0" w:color="auto"/>
      </w:divBdr>
    </w:div>
    <w:div w:id="1217548130">
      <w:bodyDiv w:val="1"/>
      <w:marLeft w:val="0"/>
      <w:marRight w:val="0"/>
      <w:marTop w:val="0"/>
      <w:marBottom w:val="0"/>
      <w:divBdr>
        <w:top w:val="none" w:sz="0" w:space="0" w:color="auto"/>
        <w:left w:val="none" w:sz="0" w:space="0" w:color="auto"/>
        <w:bottom w:val="none" w:sz="0" w:space="0" w:color="auto"/>
        <w:right w:val="none" w:sz="0" w:space="0" w:color="auto"/>
      </w:divBdr>
    </w:div>
    <w:div w:id="1217818450">
      <w:bodyDiv w:val="1"/>
      <w:marLeft w:val="0"/>
      <w:marRight w:val="0"/>
      <w:marTop w:val="0"/>
      <w:marBottom w:val="0"/>
      <w:divBdr>
        <w:top w:val="none" w:sz="0" w:space="0" w:color="auto"/>
        <w:left w:val="none" w:sz="0" w:space="0" w:color="auto"/>
        <w:bottom w:val="none" w:sz="0" w:space="0" w:color="auto"/>
        <w:right w:val="none" w:sz="0" w:space="0" w:color="auto"/>
      </w:divBdr>
    </w:div>
    <w:div w:id="1217819828">
      <w:bodyDiv w:val="1"/>
      <w:marLeft w:val="0"/>
      <w:marRight w:val="0"/>
      <w:marTop w:val="0"/>
      <w:marBottom w:val="0"/>
      <w:divBdr>
        <w:top w:val="none" w:sz="0" w:space="0" w:color="auto"/>
        <w:left w:val="none" w:sz="0" w:space="0" w:color="auto"/>
        <w:bottom w:val="none" w:sz="0" w:space="0" w:color="auto"/>
        <w:right w:val="none" w:sz="0" w:space="0" w:color="auto"/>
      </w:divBdr>
    </w:div>
    <w:div w:id="1218081531">
      <w:bodyDiv w:val="1"/>
      <w:marLeft w:val="0"/>
      <w:marRight w:val="0"/>
      <w:marTop w:val="0"/>
      <w:marBottom w:val="0"/>
      <w:divBdr>
        <w:top w:val="none" w:sz="0" w:space="0" w:color="auto"/>
        <w:left w:val="none" w:sz="0" w:space="0" w:color="auto"/>
        <w:bottom w:val="none" w:sz="0" w:space="0" w:color="auto"/>
        <w:right w:val="none" w:sz="0" w:space="0" w:color="auto"/>
      </w:divBdr>
    </w:div>
    <w:div w:id="1218273491">
      <w:bodyDiv w:val="1"/>
      <w:marLeft w:val="0"/>
      <w:marRight w:val="0"/>
      <w:marTop w:val="0"/>
      <w:marBottom w:val="0"/>
      <w:divBdr>
        <w:top w:val="none" w:sz="0" w:space="0" w:color="auto"/>
        <w:left w:val="none" w:sz="0" w:space="0" w:color="auto"/>
        <w:bottom w:val="none" w:sz="0" w:space="0" w:color="auto"/>
        <w:right w:val="none" w:sz="0" w:space="0" w:color="auto"/>
      </w:divBdr>
    </w:div>
    <w:div w:id="1218320400">
      <w:bodyDiv w:val="1"/>
      <w:marLeft w:val="0"/>
      <w:marRight w:val="0"/>
      <w:marTop w:val="0"/>
      <w:marBottom w:val="0"/>
      <w:divBdr>
        <w:top w:val="none" w:sz="0" w:space="0" w:color="auto"/>
        <w:left w:val="none" w:sz="0" w:space="0" w:color="auto"/>
        <w:bottom w:val="none" w:sz="0" w:space="0" w:color="auto"/>
        <w:right w:val="none" w:sz="0" w:space="0" w:color="auto"/>
      </w:divBdr>
    </w:div>
    <w:div w:id="1218511195">
      <w:bodyDiv w:val="1"/>
      <w:marLeft w:val="0"/>
      <w:marRight w:val="0"/>
      <w:marTop w:val="0"/>
      <w:marBottom w:val="0"/>
      <w:divBdr>
        <w:top w:val="none" w:sz="0" w:space="0" w:color="auto"/>
        <w:left w:val="none" w:sz="0" w:space="0" w:color="auto"/>
        <w:bottom w:val="none" w:sz="0" w:space="0" w:color="auto"/>
        <w:right w:val="none" w:sz="0" w:space="0" w:color="auto"/>
      </w:divBdr>
    </w:div>
    <w:div w:id="1218518697">
      <w:bodyDiv w:val="1"/>
      <w:marLeft w:val="0"/>
      <w:marRight w:val="0"/>
      <w:marTop w:val="0"/>
      <w:marBottom w:val="0"/>
      <w:divBdr>
        <w:top w:val="none" w:sz="0" w:space="0" w:color="auto"/>
        <w:left w:val="none" w:sz="0" w:space="0" w:color="auto"/>
        <w:bottom w:val="none" w:sz="0" w:space="0" w:color="auto"/>
        <w:right w:val="none" w:sz="0" w:space="0" w:color="auto"/>
      </w:divBdr>
    </w:div>
    <w:div w:id="1218862210">
      <w:bodyDiv w:val="1"/>
      <w:marLeft w:val="0"/>
      <w:marRight w:val="0"/>
      <w:marTop w:val="0"/>
      <w:marBottom w:val="0"/>
      <w:divBdr>
        <w:top w:val="none" w:sz="0" w:space="0" w:color="auto"/>
        <w:left w:val="none" w:sz="0" w:space="0" w:color="auto"/>
        <w:bottom w:val="none" w:sz="0" w:space="0" w:color="auto"/>
        <w:right w:val="none" w:sz="0" w:space="0" w:color="auto"/>
      </w:divBdr>
    </w:div>
    <w:div w:id="1218979450">
      <w:bodyDiv w:val="1"/>
      <w:marLeft w:val="0"/>
      <w:marRight w:val="0"/>
      <w:marTop w:val="0"/>
      <w:marBottom w:val="0"/>
      <w:divBdr>
        <w:top w:val="none" w:sz="0" w:space="0" w:color="auto"/>
        <w:left w:val="none" w:sz="0" w:space="0" w:color="auto"/>
        <w:bottom w:val="none" w:sz="0" w:space="0" w:color="auto"/>
        <w:right w:val="none" w:sz="0" w:space="0" w:color="auto"/>
      </w:divBdr>
    </w:div>
    <w:div w:id="1219126437">
      <w:bodyDiv w:val="1"/>
      <w:marLeft w:val="0"/>
      <w:marRight w:val="0"/>
      <w:marTop w:val="0"/>
      <w:marBottom w:val="0"/>
      <w:divBdr>
        <w:top w:val="none" w:sz="0" w:space="0" w:color="auto"/>
        <w:left w:val="none" w:sz="0" w:space="0" w:color="auto"/>
        <w:bottom w:val="none" w:sz="0" w:space="0" w:color="auto"/>
        <w:right w:val="none" w:sz="0" w:space="0" w:color="auto"/>
      </w:divBdr>
    </w:div>
    <w:div w:id="1219197984">
      <w:bodyDiv w:val="1"/>
      <w:marLeft w:val="0"/>
      <w:marRight w:val="0"/>
      <w:marTop w:val="0"/>
      <w:marBottom w:val="0"/>
      <w:divBdr>
        <w:top w:val="none" w:sz="0" w:space="0" w:color="auto"/>
        <w:left w:val="none" w:sz="0" w:space="0" w:color="auto"/>
        <w:bottom w:val="none" w:sz="0" w:space="0" w:color="auto"/>
        <w:right w:val="none" w:sz="0" w:space="0" w:color="auto"/>
      </w:divBdr>
    </w:div>
    <w:div w:id="1219244677">
      <w:bodyDiv w:val="1"/>
      <w:marLeft w:val="0"/>
      <w:marRight w:val="0"/>
      <w:marTop w:val="0"/>
      <w:marBottom w:val="0"/>
      <w:divBdr>
        <w:top w:val="none" w:sz="0" w:space="0" w:color="auto"/>
        <w:left w:val="none" w:sz="0" w:space="0" w:color="auto"/>
        <w:bottom w:val="none" w:sz="0" w:space="0" w:color="auto"/>
        <w:right w:val="none" w:sz="0" w:space="0" w:color="auto"/>
      </w:divBdr>
    </w:div>
    <w:div w:id="1219362898">
      <w:bodyDiv w:val="1"/>
      <w:marLeft w:val="0"/>
      <w:marRight w:val="0"/>
      <w:marTop w:val="0"/>
      <w:marBottom w:val="0"/>
      <w:divBdr>
        <w:top w:val="none" w:sz="0" w:space="0" w:color="auto"/>
        <w:left w:val="none" w:sz="0" w:space="0" w:color="auto"/>
        <w:bottom w:val="none" w:sz="0" w:space="0" w:color="auto"/>
        <w:right w:val="none" w:sz="0" w:space="0" w:color="auto"/>
      </w:divBdr>
    </w:div>
    <w:div w:id="1219509795">
      <w:bodyDiv w:val="1"/>
      <w:marLeft w:val="0"/>
      <w:marRight w:val="0"/>
      <w:marTop w:val="0"/>
      <w:marBottom w:val="0"/>
      <w:divBdr>
        <w:top w:val="none" w:sz="0" w:space="0" w:color="auto"/>
        <w:left w:val="none" w:sz="0" w:space="0" w:color="auto"/>
        <w:bottom w:val="none" w:sz="0" w:space="0" w:color="auto"/>
        <w:right w:val="none" w:sz="0" w:space="0" w:color="auto"/>
      </w:divBdr>
    </w:div>
    <w:div w:id="1219590788">
      <w:bodyDiv w:val="1"/>
      <w:marLeft w:val="0"/>
      <w:marRight w:val="0"/>
      <w:marTop w:val="0"/>
      <w:marBottom w:val="0"/>
      <w:divBdr>
        <w:top w:val="none" w:sz="0" w:space="0" w:color="auto"/>
        <w:left w:val="none" w:sz="0" w:space="0" w:color="auto"/>
        <w:bottom w:val="none" w:sz="0" w:space="0" w:color="auto"/>
        <w:right w:val="none" w:sz="0" w:space="0" w:color="auto"/>
      </w:divBdr>
    </w:div>
    <w:div w:id="1219634742">
      <w:bodyDiv w:val="1"/>
      <w:marLeft w:val="0"/>
      <w:marRight w:val="0"/>
      <w:marTop w:val="0"/>
      <w:marBottom w:val="0"/>
      <w:divBdr>
        <w:top w:val="none" w:sz="0" w:space="0" w:color="auto"/>
        <w:left w:val="none" w:sz="0" w:space="0" w:color="auto"/>
        <w:bottom w:val="none" w:sz="0" w:space="0" w:color="auto"/>
        <w:right w:val="none" w:sz="0" w:space="0" w:color="auto"/>
      </w:divBdr>
    </w:div>
    <w:div w:id="1219708890">
      <w:bodyDiv w:val="1"/>
      <w:marLeft w:val="0"/>
      <w:marRight w:val="0"/>
      <w:marTop w:val="0"/>
      <w:marBottom w:val="0"/>
      <w:divBdr>
        <w:top w:val="none" w:sz="0" w:space="0" w:color="auto"/>
        <w:left w:val="none" w:sz="0" w:space="0" w:color="auto"/>
        <w:bottom w:val="none" w:sz="0" w:space="0" w:color="auto"/>
        <w:right w:val="none" w:sz="0" w:space="0" w:color="auto"/>
      </w:divBdr>
    </w:div>
    <w:div w:id="1219899207">
      <w:bodyDiv w:val="1"/>
      <w:marLeft w:val="0"/>
      <w:marRight w:val="0"/>
      <w:marTop w:val="0"/>
      <w:marBottom w:val="0"/>
      <w:divBdr>
        <w:top w:val="none" w:sz="0" w:space="0" w:color="auto"/>
        <w:left w:val="none" w:sz="0" w:space="0" w:color="auto"/>
        <w:bottom w:val="none" w:sz="0" w:space="0" w:color="auto"/>
        <w:right w:val="none" w:sz="0" w:space="0" w:color="auto"/>
      </w:divBdr>
    </w:div>
    <w:div w:id="1219900059">
      <w:bodyDiv w:val="1"/>
      <w:marLeft w:val="0"/>
      <w:marRight w:val="0"/>
      <w:marTop w:val="0"/>
      <w:marBottom w:val="0"/>
      <w:divBdr>
        <w:top w:val="none" w:sz="0" w:space="0" w:color="auto"/>
        <w:left w:val="none" w:sz="0" w:space="0" w:color="auto"/>
        <w:bottom w:val="none" w:sz="0" w:space="0" w:color="auto"/>
        <w:right w:val="none" w:sz="0" w:space="0" w:color="auto"/>
      </w:divBdr>
    </w:div>
    <w:div w:id="1220048538">
      <w:bodyDiv w:val="1"/>
      <w:marLeft w:val="0"/>
      <w:marRight w:val="0"/>
      <w:marTop w:val="0"/>
      <w:marBottom w:val="0"/>
      <w:divBdr>
        <w:top w:val="none" w:sz="0" w:space="0" w:color="auto"/>
        <w:left w:val="none" w:sz="0" w:space="0" w:color="auto"/>
        <w:bottom w:val="none" w:sz="0" w:space="0" w:color="auto"/>
        <w:right w:val="none" w:sz="0" w:space="0" w:color="auto"/>
      </w:divBdr>
    </w:div>
    <w:div w:id="1220677994">
      <w:bodyDiv w:val="1"/>
      <w:marLeft w:val="0"/>
      <w:marRight w:val="0"/>
      <w:marTop w:val="0"/>
      <w:marBottom w:val="0"/>
      <w:divBdr>
        <w:top w:val="none" w:sz="0" w:space="0" w:color="auto"/>
        <w:left w:val="none" w:sz="0" w:space="0" w:color="auto"/>
        <w:bottom w:val="none" w:sz="0" w:space="0" w:color="auto"/>
        <w:right w:val="none" w:sz="0" w:space="0" w:color="auto"/>
      </w:divBdr>
    </w:div>
    <w:div w:id="1220705478">
      <w:bodyDiv w:val="1"/>
      <w:marLeft w:val="0"/>
      <w:marRight w:val="0"/>
      <w:marTop w:val="0"/>
      <w:marBottom w:val="0"/>
      <w:divBdr>
        <w:top w:val="none" w:sz="0" w:space="0" w:color="auto"/>
        <w:left w:val="none" w:sz="0" w:space="0" w:color="auto"/>
        <w:bottom w:val="none" w:sz="0" w:space="0" w:color="auto"/>
        <w:right w:val="none" w:sz="0" w:space="0" w:color="auto"/>
      </w:divBdr>
    </w:div>
    <w:div w:id="1220824936">
      <w:bodyDiv w:val="1"/>
      <w:marLeft w:val="0"/>
      <w:marRight w:val="0"/>
      <w:marTop w:val="0"/>
      <w:marBottom w:val="0"/>
      <w:divBdr>
        <w:top w:val="none" w:sz="0" w:space="0" w:color="auto"/>
        <w:left w:val="none" w:sz="0" w:space="0" w:color="auto"/>
        <w:bottom w:val="none" w:sz="0" w:space="0" w:color="auto"/>
        <w:right w:val="none" w:sz="0" w:space="0" w:color="auto"/>
      </w:divBdr>
    </w:div>
    <w:div w:id="1220938991">
      <w:bodyDiv w:val="1"/>
      <w:marLeft w:val="0"/>
      <w:marRight w:val="0"/>
      <w:marTop w:val="0"/>
      <w:marBottom w:val="0"/>
      <w:divBdr>
        <w:top w:val="none" w:sz="0" w:space="0" w:color="auto"/>
        <w:left w:val="none" w:sz="0" w:space="0" w:color="auto"/>
        <w:bottom w:val="none" w:sz="0" w:space="0" w:color="auto"/>
        <w:right w:val="none" w:sz="0" w:space="0" w:color="auto"/>
      </w:divBdr>
    </w:div>
    <w:div w:id="1221550233">
      <w:bodyDiv w:val="1"/>
      <w:marLeft w:val="0"/>
      <w:marRight w:val="0"/>
      <w:marTop w:val="0"/>
      <w:marBottom w:val="0"/>
      <w:divBdr>
        <w:top w:val="none" w:sz="0" w:space="0" w:color="auto"/>
        <w:left w:val="none" w:sz="0" w:space="0" w:color="auto"/>
        <w:bottom w:val="none" w:sz="0" w:space="0" w:color="auto"/>
        <w:right w:val="none" w:sz="0" w:space="0" w:color="auto"/>
      </w:divBdr>
    </w:div>
    <w:div w:id="1221936578">
      <w:bodyDiv w:val="1"/>
      <w:marLeft w:val="0"/>
      <w:marRight w:val="0"/>
      <w:marTop w:val="0"/>
      <w:marBottom w:val="0"/>
      <w:divBdr>
        <w:top w:val="none" w:sz="0" w:space="0" w:color="auto"/>
        <w:left w:val="none" w:sz="0" w:space="0" w:color="auto"/>
        <w:bottom w:val="none" w:sz="0" w:space="0" w:color="auto"/>
        <w:right w:val="none" w:sz="0" w:space="0" w:color="auto"/>
      </w:divBdr>
    </w:div>
    <w:div w:id="1222060319">
      <w:bodyDiv w:val="1"/>
      <w:marLeft w:val="0"/>
      <w:marRight w:val="0"/>
      <w:marTop w:val="0"/>
      <w:marBottom w:val="0"/>
      <w:divBdr>
        <w:top w:val="none" w:sz="0" w:space="0" w:color="auto"/>
        <w:left w:val="none" w:sz="0" w:space="0" w:color="auto"/>
        <w:bottom w:val="none" w:sz="0" w:space="0" w:color="auto"/>
        <w:right w:val="none" w:sz="0" w:space="0" w:color="auto"/>
      </w:divBdr>
    </w:div>
    <w:div w:id="1222137370">
      <w:bodyDiv w:val="1"/>
      <w:marLeft w:val="0"/>
      <w:marRight w:val="0"/>
      <w:marTop w:val="0"/>
      <w:marBottom w:val="0"/>
      <w:divBdr>
        <w:top w:val="none" w:sz="0" w:space="0" w:color="auto"/>
        <w:left w:val="none" w:sz="0" w:space="0" w:color="auto"/>
        <w:bottom w:val="none" w:sz="0" w:space="0" w:color="auto"/>
        <w:right w:val="none" w:sz="0" w:space="0" w:color="auto"/>
      </w:divBdr>
    </w:div>
    <w:div w:id="1222517428">
      <w:bodyDiv w:val="1"/>
      <w:marLeft w:val="0"/>
      <w:marRight w:val="0"/>
      <w:marTop w:val="0"/>
      <w:marBottom w:val="0"/>
      <w:divBdr>
        <w:top w:val="none" w:sz="0" w:space="0" w:color="auto"/>
        <w:left w:val="none" w:sz="0" w:space="0" w:color="auto"/>
        <w:bottom w:val="none" w:sz="0" w:space="0" w:color="auto"/>
        <w:right w:val="none" w:sz="0" w:space="0" w:color="auto"/>
      </w:divBdr>
    </w:div>
    <w:div w:id="1222519659">
      <w:bodyDiv w:val="1"/>
      <w:marLeft w:val="0"/>
      <w:marRight w:val="0"/>
      <w:marTop w:val="0"/>
      <w:marBottom w:val="0"/>
      <w:divBdr>
        <w:top w:val="none" w:sz="0" w:space="0" w:color="auto"/>
        <w:left w:val="none" w:sz="0" w:space="0" w:color="auto"/>
        <w:bottom w:val="none" w:sz="0" w:space="0" w:color="auto"/>
        <w:right w:val="none" w:sz="0" w:space="0" w:color="auto"/>
      </w:divBdr>
    </w:div>
    <w:div w:id="1223130426">
      <w:bodyDiv w:val="1"/>
      <w:marLeft w:val="0"/>
      <w:marRight w:val="0"/>
      <w:marTop w:val="0"/>
      <w:marBottom w:val="0"/>
      <w:divBdr>
        <w:top w:val="none" w:sz="0" w:space="0" w:color="auto"/>
        <w:left w:val="none" w:sz="0" w:space="0" w:color="auto"/>
        <w:bottom w:val="none" w:sz="0" w:space="0" w:color="auto"/>
        <w:right w:val="none" w:sz="0" w:space="0" w:color="auto"/>
      </w:divBdr>
    </w:div>
    <w:div w:id="1223369513">
      <w:bodyDiv w:val="1"/>
      <w:marLeft w:val="0"/>
      <w:marRight w:val="0"/>
      <w:marTop w:val="0"/>
      <w:marBottom w:val="0"/>
      <w:divBdr>
        <w:top w:val="none" w:sz="0" w:space="0" w:color="auto"/>
        <w:left w:val="none" w:sz="0" w:space="0" w:color="auto"/>
        <w:bottom w:val="none" w:sz="0" w:space="0" w:color="auto"/>
        <w:right w:val="none" w:sz="0" w:space="0" w:color="auto"/>
      </w:divBdr>
    </w:div>
    <w:div w:id="1223562022">
      <w:bodyDiv w:val="1"/>
      <w:marLeft w:val="0"/>
      <w:marRight w:val="0"/>
      <w:marTop w:val="0"/>
      <w:marBottom w:val="0"/>
      <w:divBdr>
        <w:top w:val="none" w:sz="0" w:space="0" w:color="auto"/>
        <w:left w:val="none" w:sz="0" w:space="0" w:color="auto"/>
        <w:bottom w:val="none" w:sz="0" w:space="0" w:color="auto"/>
        <w:right w:val="none" w:sz="0" w:space="0" w:color="auto"/>
      </w:divBdr>
    </w:div>
    <w:div w:id="1223566375">
      <w:bodyDiv w:val="1"/>
      <w:marLeft w:val="0"/>
      <w:marRight w:val="0"/>
      <w:marTop w:val="0"/>
      <w:marBottom w:val="0"/>
      <w:divBdr>
        <w:top w:val="none" w:sz="0" w:space="0" w:color="auto"/>
        <w:left w:val="none" w:sz="0" w:space="0" w:color="auto"/>
        <w:bottom w:val="none" w:sz="0" w:space="0" w:color="auto"/>
        <w:right w:val="none" w:sz="0" w:space="0" w:color="auto"/>
      </w:divBdr>
    </w:div>
    <w:div w:id="1223754123">
      <w:bodyDiv w:val="1"/>
      <w:marLeft w:val="0"/>
      <w:marRight w:val="0"/>
      <w:marTop w:val="0"/>
      <w:marBottom w:val="0"/>
      <w:divBdr>
        <w:top w:val="none" w:sz="0" w:space="0" w:color="auto"/>
        <w:left w:val="none" w:sz="0" w:space="0" w:color="auto"/>
        <w:bottom w:val="none" w:sz="0" w:space="0" w:color="auto"/>
        <w:right w:val="none" w:sz="0" w:space="0" w:color="auto"/>
      </w:divBdr>
    </w:div>
    <w:div w:id="1223977729">
      <w:bodyDiv w:val="1"/>
      <w:marLeft w:val="0"/>
      <w:marRight w:val="0"/>
      <w:marTop w:val="0"/>
      <w:marBottom w:val="0"/>
      <w:divBdr>
        <w:top w:val="none" w:sz="0" w:space="0" w:color="auto"/>
        <w:left w:val="none" w:sz="0" w:space="0" w:color="auto"/>
        <w:bottom w:val="none" w:sz="0" w:space="0" w:color="auto"/>
        <w:right w:val="none" w:sz="0" w:space="0" w:color="auto"/>
      </w:divBdr>
    </w:div>
    <w:div w:id="1223980654">
      <w:bodyDiv w:val="1"/>
      <w:marLeft w:val="0"/>
      <w:marRight w:val="0"/>
      <w:marTop w:val="0"/>
      <w:marBottom w:val="0"/>
      <w:divBdr>
        <w:top w:val="none" w:sz="0" w:space="0" w:color="auto"/>
        <w:left w:val="none" w:sz="0" w:space="0" w:color="auto"/>
        <w:bottom w:val="none" w:sz="0" w:space="0" w:color="auto"/>
        <w:right w:val="none" w:sz="0" w:space="0" w:color="auto"/>
      </w:divBdr>
    </w:div>
    <w:div w:id="1223981810">
      <w:bodyDiv w:val="1"/>
      <w:marLeft w:val="0"/>
      <w:marRight w:val="0"/>
      <w:marTop w:val="0"/>
      <w:marBottom w:val="0"/>
      <w:divBdr>
        <w:top w:val="none" w:sz="0" w:space="0" w:color="auto"/>
        <w:left w:val="none" w:sz="0" w:space="0" w:color="auto"/>
        <w:bottom w:val="none" w:sz="0" w:space="0" w:color="auto"/>
        <w:right w:val="none" w:sz="0" w:space="0" w:color="auto"/>
      </w:divBdr>
    </w:div>
    <w:div w:id="1224027373">
      <w:bodyDiv w:val="1"/>
      <w:marLeft w:val="0"/>
      <w:marRight w:val="0"/>
      <w:marTop w:val="0"/>
      <w:marBottom w:val="0"/>
      <w:divBdr>
        <w:top w:val="none" w:sz="0" w:space="0" w:color="auto"/>
        <w:left w:val="none" w:sz="0" w:space="0" w:color="auto"/>
        <w:bottom w:val="none" w:sz="0" w:space="0" w:color="auto"/>
        <w:right w:val="none" w:sz="0" w:space="0" w:color="auto"/>
      </w:divBdr>
    </w:div>
    <w:div w:id="1224029476">
      <w:bodyDiv w:val="1"/>
      <w:marLeft w:val="0"/>
      <w:marRight w:val="0"/>
      <w:marTop w:val="0"/>
      <w:marBottom w:val="0"/>
      <w:divBdr>
        <w:top w:val="none" w:sz="0" w:space="0" w:color="auto"/>
        <w:left w:val="none" w:sz="0" w:space="0" w:color="auto"/>
        <w:bottom w:val="none" w:sz="0" w:space="0" w:color="auto"/>
        <w:right w:val="none" w:sz="0" w:space="0" w:color="auto"/>
      </w:divBdr>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
    <w:div w:id="1224297294">
      <w:bodyDiv w:val="1"/>
      <w:marLeft w:val="0"/>
      <w:marRight w:val="0"/>
      <w:marTop w:val="0"/>
      <w:marBottom w:val="0"/>
      <w:divBdr>
        <w:top w:val="none" w:sz="0" w:space="0" w:color="auto"/>
        <w:left w:val="none" w:sz="0" w:space="0" w:color="auto"/>
        <w:bottom w:val="none" w:sz="0" w:space="0" w:color="auto"/>
        <w:right w:val="none" w:sz="0" w:space="0" w:color="auto"/>
      </w:divBdr>
    </w:div>
    <w:div w:id="1225023601">
      <w:bodyDiv w:val="1"/>
      <w:marLeft w:val="0"/>
      <w:marRight w:val="0"/>
      <w:marTop w:val="0"/>
      <w:marBottom w:val="0"/>
      <w:divBdr>
        <w:top w:val="none" w:sz="0" w:space="0" w:color="auto"/>
        <w:left w:val="none" w:sz="0" w:space="0" w:color="auto"/>
        <w:bottom w:val="none" w:sz="0" w:space="0" w:color="auto"/>
        <w:right w:val="none" w:sz="0" w:space="0" w:color="auto"/>
      </w:divBdr>
    </w:div>
    <w:div w:id="1225263935">
      <w:bodyDiv w:val="1"/>
      <w:marLeft w:val="0"/>
      <w:marRight w:val="0"/>
      <w:marTop w:val="0"/>
      <w:marBottom w:val="0"/>
      <w:divBdr>
        <w:top w:val="none" w:sz="0" w:space="0" w:color="auto"/>
        <w:left w:val="none" w:sz="0" w:space="0" w:color="auto"/>
        <w:bottom w:val="none" w:sz="0" w:space="0" w:color="auto"/>
        <w:right w:val="none" w:sz="0" w:space="0" w:color="auto"/>
      </w:divBdr>
    </w:div>
    <w:div w:id="1225490123">
      <w:bodyDiv w:val="1"/>
      <w:marLeft w:val="0"/>
      <w:marRight w:val="0"/>
      <w:marTop w:val="0"/>
      <w:marBottom w:val="0"/>
      <w:divBdr>
        <w:top w:val="none" w:sz="0" w:space="0" w:color="auto"/>
        <w:left w:val="none" w:sz="0" w:space="0" w:color="auto"/>
        <w:bottom w:val="none" w:sz="0" w:space="0" w:color="auto"/>
        <w:right w:val="none" w:sz="0" w:space="0" w:color="auto"/>
      </w:divBdr>
    </w:div>
    <w:div w:id="1225527378">
      <w:bodyDiv w:val="1"/>
      <w:marLeft w:val="0"/>
      <w:marRight w:val="0"/>
      <w:marTop w:val="0"/>
      <w:marBottom w:val="0"/>
      <w:divBdr>
        <w:top w:val="none" w:sz="0" w:space="0" w:color="auto"/>
        <w:left w:val="none" w:sz="0" w:space="0" w:color="auto"/>
        <w:bottom w:val="none" w:sz="0" w:space="0" w:color="auto"/>
        <w:right w:val="none" w:sz="0" w:space="0" w:color="auto"/>
      </w:divBdr>
    </w:div>
    <w:div w:id="1225530442">
      <w:bodyDiv w:val="1"/>
      <w:marLeft w:val="0"/>
      <w:marRight w:val="0"/>
      <w:marTop w:val="0"/>
      <w:marBottom w:val="0"/>
      <w:divBdr>
        <w:top w:val="none" w:sz="0" w:space="0" w:color="auto"/>
        <w:left w:val="none" w:sz="0" w:space="0" w:color="auto"/>
        <w:bottom w:val="none" w:sz="0" w:space="0" w:color="auto"/>
        <w:right w:val="none" w:sz="0" w:space="0" w:color="auto"/>
      </w:divBdr>
    </w:div>
    <w:div w:id="1225873980">
      <w:bodyDiv w:val="1"/>
      <w:marLeft w:val="0"/>
      <w:marRight w:val="0"/>
      <w:marTop w:val="0"/>
      <w:marBottom w:val="0"/>
      <w:divBdr>
        <w:top w:val="none" w:sz="0" w:space="0" w:color="auto"/>
        <w:left w:val="none" w:sz="0" w:space="0" w:color="auto"/>
        <w:bottom w:val="none" w:sz="0" w:space="0" w:color="auto"/>
        <w:right w:val="none" w:sz="0" w:space="0" w:color="auto"/>
      </w:divBdr>
    </w:div>
    <w:div w:id="1225874080">
      <w:bodyDiv w:val="1"/>
      <w:marLeft w:val="0"/>
      <w:marRight w:val="0"/>
      <w:marTop w:val="0"/>
      <w:marBottom w:val="0"/>
      <w:divBdr>
        <w:top w:val="none" w:sz="0" w:space="0" w:color="auto"/>
        <w:left w:val="none" w:sz="0" w:space="0" w:color="auto"/>
        <w:bottom w:val="none" w:sz="0" w:space="0" w:color="auto"/>
        <w:right w:val="none" w:sz="0" w:space="0" w:color="auto"/>
      </w:divBdr>
    </w:div>
    <w:div w:id="1225944432">
      <w:bodyDiv w:val="1"/>
      <w:marLeft w:val="0"/>
      <w:marRight w:val="0"/>
      <w:marTop w:val="0"/>
      <w:marBottom w:val="0"/>
      <w:divBdr>
        <w:top w:val="none" w:sz="0" w:space="0" w:color="auto"/>
        <w:left w:val="none" w:sz="0" w:space="0" w:color="auto"/>
        <w:bottom w:val="none" w:sz="0" w:space="0" w:color="auto"/>
        <w:right w:val="none" w:sz="0" w:space="0" w:color="auto"/>
      </w:divBdr>
    </w:div>
    <w:div w:id="1225947191">
      <w:bodyDiv w:val="1"/>
      <w:marLeft w:val="0"/>
      <w:marRight w:val="0"/>
      <w:marTop w:val="0"/>
      <w:marBottom w:val="0"/>
      <w:divBdr>
        <w:top w:val="none" w:sz="0" w:space="0" w:color="auto"/>
        <w:left w:val="none" w:sz="0" w:space="0" w:color="auto"/>
        <w:bottom w:val="none" w:sz="0" w:space="0" w:color="auto"/>
        <w:right w:val="none" w:sz="0" w:space="0" w:color="auto"/>
      </w:divBdr>
    </w:div>
    <w:div w:id="1226063033">
      <w:bodyDiv w:val="1"/>
      <w:marLeft w:val="0"/>
      <w:marRight w:val="0"/>
      <w:marTop w:val="0"/>
      <w:marBottom w:val="0"/>
      <w:divBdr>
        <w:top w:val="none" w:sz="0" w:space="0" w:color="auto"/>
        <w:left w:val="none" w:sz="0" w:space="0" w:color="auto"/>
        <w:bottom w:val="none" w:sz="0" w:space="0" w:color="auto"/>
        <w:right w:val="none" w:sz="0" w:space="0" w:color="auto"/>
      </w:divBdr>
    </w:div>
    <w:div w:id="1226070198">
      <w:bodyDiv w:val="1"/>
      <w:marLeft w:val="0"/>
      <w:marRight w:val="0"/>
      <w:marTop w:val="0"/>
      <w:marBottom w:val="0"/>
      <w:divBdr>
        <w:top w:val="none" w:sz="0" w:space="0" w:color="auto"/>
        <w:left w:val="none" w:sz="0" w:space="0" w:color="auto"/>
        <w:bottom w:val="none" w:sz="0" w:space="0" w:color="auto"/>
        <w:right w:val="none" w:sz="0" w:space="0" w:color="auto"/>
      </w:divBdr>
    </w:div>
    <w:div w:id="1226793049">
      <w:bodyDiv w:val="1"/>
      <w:marLeft w:val="0"/>
      <w:marRight w:val="0"/>
      <w:marTop w:val="0"/>
      <w:marBottom w:val="0"/>
      <w:divBdr>
        <w:top w:val="none" w:sz="0" w:space="0" w:color="auto"/>
        <w:left w:val="none" w:sz="0" w:space="0" w:color="auto"/>
        <w:bottom w:val="none" w:sz="0" w:space="0" w:color="auto"/>
        <w:right w:val="none" w:sz="0" w:space="0" w:color="auto"/>
      </w:divBdr>
    </w:div>
    <w:div w:id="1226915077">
      <w:bodyDiv w:val="1"/>
      <w:marLeft w:val="0"/>
      <w:marRight w:val="0"/>
      <w:marTop w:val="0"/>
      <w:marBottom w:val="0"/>
      <w:divBdr>
        <w:top w:val="none" w:sz="0" w:space="0" w:color="auto"/>
        <w:left w:val="none" w:sz="0" w:space="0" w:color="auto"/>
        <w:bottom w:val="none" w:sz="0" w:space="0" w:color="auto"/>
        <w:right w:val="none" w:sz="0" w:space="0" w:color="auto"/>
      </w:divBdr>
    </w:div>
    <w:div w:id="1227376043">
      <w:bodyDiv w:val="1"/>
      <w:marLeft w:val="0"/>
      <w:marRight w:val="0"/>
      <w:marTop w:val="0"/>
      <w:marBottom w:val="0"/>
      <w:divBdr>
        <w:top w:val="none" w:sz="0" w:space="0" w:color="auto"/>
        <w:left w:val="none" w:sz="0" w:space="0" w:color="auto"/>
        <w:bottom w:val="none" w:sz="0" w:space="0" w:color="auto"/>
        <w:right w:val="none" w:sz="0" w:space="0" w:color="auto"/>
      </w:divBdr>
    </w:div>
    <w:div w:id="1227640644">
      <w:bodyDiv w:val="1"/>
      <w:marLeft w:val="0"/>
      <w:marRight w:val="0"/>
      <w:marTop w:val="0"/>
      <w:marBottom w:val="0"/>
      <w:divBdr>
        <w:top w:val="none" w:sz="0" w:space="0" w:color="auto"/>
        <w:left w:val="none" w:sz="0" w:space="0" w:color="auto"/>
        <w:bottom w:val="none" w:sz="0" w:space="0" w:color="auto"/>
        <w:right w:val="none" w:sz="0" w:space="0" w:color="auto"/>
      </w:divBdr>
    </w:div>
    <w:div w:id="1227640915">
      <w:bodyDiv w:val="1"/>
      <w:marLeft w:val="0"/>
      <w:marRight w:val="0"/>
      <w:marTop w:val="0"/>
      <w:marBottom w:val="0"/>
      <w:divBdr>
        <w:top w:val="none" w:sz="0" w:space="0" w:color="auto"/>
        <w:left w:val="none" w:sz="0" w:space="0" w:color="auto"/>
        <w:bottom w:val="none" w:sz="0" w:space="0" w:color="auto"/>
        <w:right w:val="none" w:sz="0" w:space="0" w:color="auto"/>
      </w:divBdr>
    </w:div>
    <w:div w:id="1227715990">
      <w:bodyDiv w:val="1"/>
      <w:marLeft w:val="0"/>
      <w:marRight w:val="0"/>
      <w:marTop w:val="0"/>
      <w:marBottom w:val="0"/>
      <w:divBdr>
        <w:top w:val="none" w:sz="0" w:space="0" w:color="auto"/>
        <w:left w:val="none" w:sz="0" w:space="0" w:color="auto"/>
        <w:bottom w:val="none" w:sz="0" w:space="0" w:color="auto"/>
        <w:right w:val="none" w:sz="0" w:space="0" w:color="auto"/>
      </w:divBdr>
    </w:div>
    <w:div w:id="1227763426">
      <w:bodyDiv w:val="1"/>
      <w:marLeft w:val="0"/>
      <w:marRight w:val="0"/>
      <w:marTop w:val="0"/>
      <w:marBottom w:val="0"/>
      <w:divBdr>
        <w:top w:val="none" w:sz="0" w:space="0" w:color="auto"/>
        <w:left w:val="none" w:sz="0" w:space="0" w:color="auto"/>
        <w:bottom w:val="none" w:sz="0" w:space="0" w:color="auto"/>
        <w:right w:val="none" w:sz="0" w:space="0" w:color="auto"/>
      </w:divBdr>
    </w:div>
    <w:div w:id="1227953219">
      <w:bodyDiv w:val="1"/>
      <w:marLeft w:val="0"/>
      <w:marRight w:val="0"/>
      <w:marTop w:val="0"/>
      <w:marBottom w:val="0"/>
      <w:divBdr>
        <w:top w:val="none" w:sz="0" w:space="0" w:color="auto"/>
        <w:left w:val="none" w:sz="0" w:space="0" w:color="auto"/>
        <w:bottom w:val="none" w:sz="0" w:space="0" w:color="auto"/>
        <w:right w:val="none" w:sz="0" w:space="0" w:color="auto"/>
      </w:divBdr>
    </w:div>
    <w:div w:id="1227954005">
      <w:bodyDiv w:val="1"/>
      <w:marLeft w:val="0"/>
      <w:marRight w:val="0"/>
      <w:marTop w:val="0"/>
      <w:marBottom w:val="0"/>
      <w:divBdr>
        <w:top w:val="none" w:sz="0" w:space="0" w:color="auto"/>
        <w:left w:val="none" w:sz="0" w:space="0" w:color="auto"/>
        <w:bottom w:val="none" w:sz="0" w:space="0" w:color="auto"/>
        <w:right w:val="none" w:sz="0" w:space="0" w:color="auto"/>
      </w:divBdr>
    </w:div>
    <w:div w:id="1228342830">
      <w:bodyDiv w:val="1"/>
      <w:marLeft w:val="0"/>
      <w:marRight w:val="0"/>
      <w:marTop w:val="0"/>
      <w:marBottom w:val="0"/>
      <w:divBdr>
        <w:top w:val="none" w:sz="0" w:space="0" w:color="auto"/>
        <w:left w:val="none" w:sz="0" w:space="0" w:color="auto"/>
        <w:bottom w:val="none" w:sz="0" w:space="0" w:color="auto"/>
        <w:right w:val="none" w:sz="0" w:space="0" w:color="auto"/>
      </w:divBdr>
    </w:div>
    <w:div w:id="1228421679">
      <w:bodyDiv w:val="1"/>
      <w:marLeft w:val="0"/>
      <w:marRight w:val="0"/>
      <w:marTop w:val="0"/>
      <w:marBottom w:val="0"/>
      <w:divBdr>
        <w:top w:val="none" w:sz="0" w:space="0" w:color="auto"/>
        <w:left w:val="none" w:sz="0" w:space="0" w:color="auto"/>
        <w:bottom w:val="none" w:sz="0" w:space="0" w:color="auto"/>
        <w:right w:val="none" w:sz="0" w:space="0" w:color="auto"/>
      </w:divBdr>
    </w:div>
    <w:div w:id="1228615007">
      <w:bodyDiv w:val="1"/>
      <w:marLeft w:val="0"/>
      <w:marRight w:val="0"/>
      <w:marTop w:val="0"/>
      <w:marBottom w:val="0"/>
      <w:divBdr>
        <w:top w:val="none" w:sz="0" w:space="0" w:color="auto"/>
        <w:left w:val="none" w:sz="0" w:space="0" w:color="auto"/>
        <w:bottom w:val="none" w:sz="0" w:space="0" w:color="auto"/>
        <w:right w:val="none" w:sz="0" w:space="0" w:color="auto"/>
      </w:divBdr>
    </w:div>
    <w:div w:id="1228876530">
      <w:bodyDiv w:val="1"/>
      <w:marLeft w:val="0"/>
      <w:marRight w:val="0"/>
      <w:marTop w:val="0"/>
      <w:marBottom w:val="0"/>
      <w:divBdr>
        <w:top w:val="none" w:sz="0" w:space="0" w:color="auto"/>
        <w:left w:val="none" w:sz="0" w:space="0" w:color="auto"/>
        <w:bottom w:val="none" w:sz="0" w:space="0" w:color="auto"/>
        <w:right w:val="none" w:sz="0" w:space="0" w:color="auto"/>
      </w:divBdr>
    </w:div>
    <w:div w:id="1229338310">
      <w:bodyDiv w:val="1"/>
      <w:marLeft w:val="0"/>
      <w:marRight w:val="0"/>
      <w:marTop w:val="0"/>
      <w:marBottom w:val="0"/>
      <w:divBdr>
        <w:top w:val="none" w:sz="0" w:space="0" w:color="auto"/>
        <w:left w:val="none" w:sz="0" w:space="0" w:color="auto"/>
        <w:bottom w:val="none" w:sz="0" w:space="0" w:color="auto"/>
        <w:right w:val="none" w:sz="0" w:space="0" w:color="auto"/>
      </w:divBdr>
    </w:div>
    <w:div w:id="1229340386">
      <w:bodyDiv w:val="1"/>
      <w:marLeft w:val="0"/>
      <w:marRight w:val="0"/>
      <w:marTop w:val="0"/>
      <w:marBottom w:val="0"/>
      <w:divBdr>
        <w:top w:val="none" w:sz="0" w:space="0" w:color="auto"/>
        <w:left w:val="none" w:sz="0" w:space="0" w:color="auto"/>
        <w:bottom w:val="none" w:sz="0" w:space="0" w:color="auto"/>
        <w:right w:val="none" w:sz="0" w:space="0" w:color="auto"/>
      </w:divBdr>
    </w:div>
    <w:div w:id="1229608130">
      <w:bodyDiv w:val="1"/>
      <w:marLeft w:val="0"/>
      <w:marRight w:val="0"/>
      <w:marTop w:val="0"/>
      <w:marBottom w:val="0"/>
      <w:divBdr>
        <w:top w:val="none" w:sz="0" w:space="0" w:color="auto"/>
        <w:left w:val="none" w:sz="0" w:space="0" w:color="auto"/>
        <w:bottom w:val="none" w:sz="0" w:space="0" w:color="auto"/>
        <w:right w:val="none" w:sz="0" w:space="0" w:color="auto"/>
      </w:divBdr>
    </w:div>
    <w:div w:id="1229801502">
      <w:bodyDiv w:val="1"/>
      <w:marLeft w:val="0"/>
      <w:marRight w:val="0"/>
      <w:marTop w:val="0"/>
      <w:marBottom w:val="0"/>
      <w:divBdr>
        <w:top w:val="none" w:sz="0" w:space="0" w:color="auto"/>
        <w:left w:val="none" w:sz="0" w:space="0" w:color="auto"/>
        <w:bottom w:val="none" w:sz="0" w:space="0" w:color="auto"/>
        <w:right w:val="none" w:sz="0" w:space="0" w:color="auto"/>
      </w:divBdr>
    </w:div>
    <w:div w:id="1230076713">
      <w:bodyDiv w:val="1"/>
      <w:marLeft w:val="0"/>
      <w:marRight w:val="0"/>
      <w:marTop w:val="0"/>
      <w:marBottom w:val="0"/>
      <w:divBdr>
        <w:top w:val="none" w:sz="0" w:space="0" w:color="auto"/>
        <w:left w:val="none" w:sz="0" w:space="0" w:color="auto"/>
        <w:bottom w:val="none" w:sz="0" w:space="0" w:color="auto"/>
        <w:right w:val="none" w:sz="0" w:space="0" w:color="auto"/>
      </w:divBdr>
    </w:div>
    <w:div w:id="1230118939">
      <w:bodyDiv w:val="1"/>
      <w:marLeft w:val="0"/>
      <w:marRight w:val="0"/>
      <w:marTop w:val="0"/>
      <w:marBottom w:val="0"/>
      <w:divBdr>
        <w:top w:val="none" w:sz="0" w:space="0" w:color="auto"/>
        <w:left w:val="none" w:sz="0" w:space="0" w:color="auto"/>
        <w:bottom w:val="none" w:sz="0" w:space="0" w:color="auto"/>
        <w:right w:val="none" w:sz="0" w:space="0" w:color="auto"/>
      </w:divBdr>
    </w:div>
    <w:div w:id="1230192495">
      <w:bodyDiv w:val="1"/>
      <w:marLeft w:val="0"/>
      <w:marRight w:val="0"/>
      <w:marTop w:val="0"/>
      <w:marBottom w:val="0"/>
      <w:divBdr>
        <w:top w:val="none" w:sz="0" w:space="0" w:color="auto"/>
        <w:left w:val="none" w:sz="0" w:space="0" w:color="auto"/>
        <w:bottom w:val="none" w:sz="0" w:space="0" w:color="auto"/>
        <w:right w:val="none" w:sz="0" w:space="0" w:color="auto"/>
      </w:divBdr>
    </w:div>
    <w:div w:id="1230311745">
      <w:bodyDiv w:val="1"/>
      <w:marLeft w:val="0"/>
      <w:marRight w:val="0"/>
      <w:marTop w:val="0"/>
      <w:marBottom w:val="0"/>
      <w:divBdr>
        <w:top w:val="none" w:sz="0" w:space="0" w:color="auto"/>
        <w:left w:val="none" w:sz="0" w:space="0" w:color="auto"/>
        <w:bottom w:val="none" w:sz="0" w:space="0" w:color="auto"/>
        <w:right w:val="none" w:sz="0" w:space="0" w:color="auto"/>
      </w:divBdr>
    </w:div>
    <w:div w:id="1230580466">
      <w:bodyDiv w:val="1"/>
      <w:marLeft w:val="0"/>
      <w:marRight w:val="0"/>
      <w:marTop w:val="0"/>
      <w:marBottom w:val="0"/>
      <w:divBdr>
        <w:top w:val="none" w:sz="0" w:space="0" w:color="auto"/>
        <w:left w:val="none" w:sz="0" w:space="0" w:color="auto"/>
        <w:bottom w:val="none" w:sz="0" w:space="0" w:color="auto"/>
        <w:right w:val="none" w:sz="0" w:space="0" w:color="auto"/>
      </w:divBdr>
    </w:div>
    <w:div w:id="1230651655">
      <w:bodyDiv w:val="1"/>
      <w:marLeft w:val="0"/>
      <w:marRight w:val="0"/>
      <w:marTop w:val="0"/>
      <w:marBottom w:val="0"/>
      <w:divBdr>
        <w:top w:val="none" w:sz="0" w:space="0" w:color="auto"/>
        <w:left w:val="none" w:sz="0" w:space="0" w:color="auto"/>
        <w:bottom w:val="none" w:sz="0" w:space="0" w:color="auto"/>
        <w:right w:val="none" w:sz="0" w:space="0" w:color="auto"/>
      </w:divBdr>
    </w:div>
    <w:div w:id="1230922592">
      <w:bodyDiv w:val="1"/>
      <w:marLeft w:val="0"/>
      <w:marRight w:val="0"/>
      <w:marTop w:val="0"/>
      <w:marBottom w:val="0"/>
      <w:divBdr>
        <w:top w:val="none" w:sz="0" w:space="0" w:color="auto"/>
        <w:left w:val="none" w:sz="0" w:space="0" w:color="auto"/>
        <w:bottom w:val="none" w:sz="0" w:space="0" w:color="auto"/>
        <w:right w:val="none" w:sz="0" w:space="0" w:color="auto"/>
      </w:divBdr>
    </w:div>
    <w:div w:id="1231041778">
      <w:bodyDiv w:val="1"/>
      <w:marLeft w:val="0"/>
      <w:marRight w:val="0"/>
      <w:marTop w:val="0"/>
      <w:marBottom w:val="0"/>
      <w:divBdr>
        <w:top w:val="none" w:sz="0" w:space="0" w:color="auto"/>
        <w:left w:val="none" w:sz="0" w:space="0" w:color="auto"/>
        <w:bottom w:val="none" w:sz="0" w:space="0" w:color="auto"/>
        <w:right w:val="none" w:sz="0" w:space="0" w:color="auto"/>
      </w:divBdr>
    </w:div>
    <w:div w:id="1231117135">
      <w:bodyDiv w:val="1"/>
      <w:marLeft w:val="0"/>
      <w:marRight w:val="0"/>
      <w:marTop w:val="0"/>
      <w:marBottom w:val="0"/>
      <w:divBdr>
        <w:top w:val="none" w:sz="0" w:space="0" w:color="auto"/>
        <w:left w:val="none" w:sz="0" w:space="0" w:color="auto"/>
        <w:bottom w:val="none" w:sz="0" w:space="0" w:color="auto"/>
        <w:right w:val="none" w:sz="0" w:space="0" w:color="auto"/>
      </w:divBdr>
    </w:div>
    <w:div w:id="1231421639">
      <w:bodyDiv w:val="1"/>
      <w:marLeft w:val="0"/>
      <w:marRight w:val="0"/>
      <w:marTop w:val="0"/>
      <w:marBottom w:val="0"/>
      <w:divBdr>
        <w:top w:val="none" w:sz="0" w:space="0" w:color="auto"/>
        <w:left w:val="none" w:sz="0" w:space="0" w:color="auto"/>
        <w:bottom w:val="none" w:sz="0" w:space="0" w:color="auto"/>
        <w:right w:val="none" w:sz="0" w:space="0" w:color="auto"/>
      </w:divBdr>
    </w:div>
    <w:div w:id="1231423502">
      <w:bodyDiv w:val="1"/>
      <w:marLeft w:val="0"/>
      <w:marRight w:val="0"/>
      <w:marTop w:val="0"/>
      <w:marBottom w:val="0"/>
      <w:divBdr>
        <w:top w:val="none" w:sz="0" w:space="0" w:color="auto"/>
        <w:left w:val="none" w:sz="0" w:space="0" w:color="auto"/>
        <w:bottom w:val="none" w:sz="0" w:space="0" w:color="auto"/>
        <w:right w:val="none" w:sz="0" w:space="0" w:color="auto"/>
      </w:divBdr>
    </w:div>
    <w:div w:id="1232236322">
      <w:bodyDiv w:val="1"/>
      <w:marLeft w:val="0"/>
      <w:marRight w:val="0"/>
      <w:marTop w:val="0"/>
      <w:marBottom w:val="0"/>
      <w:divBdr>
        <w:top w:val="none" w:sz="0" w:space="0" w:color="auto"/>
        <w:left w:val="none" w:sz="0" w:space="0" w:color="auto"/>
        <w:bottom w:val="none" w:sz="0" w:space="0" w:color="auto"/>
        <w:right w:val="none" w:sz="0" w:space="0" w:color="auto"/>
      </w:divBdr>
    </w:div>
    <w:div w:id="1232306046">
      <w:bodyDiv w:val="1"/>
      <w:marLeft w:val="0"/>
      <w:marRight w:val="0"/>
      <w:marTop w:val="0"/>
      <w:marBottom w:val="0"/>
      <w:divBdr>
        <w:top w:val="none" w:sz="0" w:space="0" w:color="auto"/>
        <w:left w:val="none" w:sz="0" w:space="0" w:color="auto"/>
        <w:bottom w:val="none" w:sz="0" w:space="0" w:color="auto"/>
        <w:right w:val="none" w:sz="0" w:space="0" w:color="auto"/>
      </w:divBdr>
    </w:div>
    <w:div w:id="1232354564">
      <w:bodyDiv w:val="1"/>
      <w:marLeft w:val="0"/>
      <w:marRight w:val="0"/>
      <w:marTop w:val="0"/>
      <w:marBottom w:val="0"/>
      <w:divBdr>
        <w:top w:val="none" w:sz="0" w:space="0" w:color="auto"/>
        <w:left w:val="none" w:sz="0" w:space="0" w:color="auto"/>
        <w:bottom w:val="none" w:sz="0" w:space="0" w:color="auto"/>
        <w:right w:val="none" w:sz="0" w:space="0" w:color="auto"/>
      </w:divBdr>
    </w:div>
    <w:div w:id="1232499288">
      <w:bodyDiv w:val="1"/>
      <w:marLeft w:val="0"/>
      <w:marRight w:val="0"/>
      <w:marTop w:val="0"/>
      <w:marBottom w:val="0"/>
      <w:divBdr>
        <w:top w:val="none" w:sz="0" w:space="0" w:color="auto"/>
        <w:left w:val="none" w:sz="0" w:space="0" w:color="auto"/>
        <w:bottom w:val="none" w:sz="0" w:space="0" w:color="auto"/>
        <w:right w:val="none" w:sz="0" w:space="0" w:color="auto"/>
      </w:divBdr>
    </w:div>
    <w:div w:id="1232810462">
      <w:bodyDiv w:val="1"/>
      <w:marLeft w:val="0"/>
      <w:marRight w:val="0"/>
      <w:marTop w:val="0"/>
      <w:marBottom w:val="0"/>
      <w:divBdr>
        <w:top w:val="none" w:sz="0" w:space="0" w:color="auto"/>
        <w:left w:val="none" w:sz="0" w:space="0" w:color="auto"/>
        <w:bottom w:val="none" w:sz="0" w:space="0" w:color="auto"/>
        <w:right w:val="none" w:sz="0" w:space="0" w:color="auto"/>
      </w:divBdr>
    </w:div>
    <w:div w:id="1233008698">
      <w:bodyDiv w:val="1"/>
      <w:marLeft w:val="0"/>
      <w:marRight w:val="0"/>
      <w:marTop w:val="0"/>
      <w:marBottom w:val="0"/>
      <w:divBdr>
        <w:top w:val="none" w:sz="0" w:space="0" w:color="auto"/>
        <w:left w:val="none" w:sz="0" w:space="0" w:color="auto"/>
        <w:bottom w:val="none" w:sz="0" w:space="0" w:color="auto"/>
        <w:right w:val="none" w:sz="0" w:space="0" w:color="auto"/>
      </w:divBdr>
    </w:div>
    <w:div w:id="1233200854">
      <w:bodyDiv w:val="1"/>
      <w:marLeft w:val="0"/>
      <w:marRight w:val="0"/>
      <w:marTop w:val="0"/>
      <w:marBottom w:val="0"/>
      <w:divBdr>
        <w:top w:val="none" w:sz="0" w:space="0" w:color="auto"/>
        <w:left w:val="none" w:sz="0" w:space="0" w:color="auto"/>
        <w:bottom w:val="none" w:sz="0" w:space="0" w:color="auto"/>
        <w:right w:val="none" w:sz="0" w:space="0" w:color="auto"/>
      </w:divBdr>
    </w:div>
    <w:div w:id="1233394482">
      <w:bodyDiv w:val="1"/>
      <w:marLeft w:val="0"/>
      <w:marRight w:val="0"/>
      <w:marTop w:val="0"/>
      <w:marBottom w:val="0"/>
      <w:divBdr>
        <w:top w:val="none" w:sz="0" w:space="0" w:color="auto"/>
        <w:left w:val="none" w:sz="0" w:space="0" w:color="auto"/>
        <w:bottom w:val="none" w:sz="0" w:space="0" w:color="auto"/>
        <w:right w:val="none" w:sz="0" w:space="0" w:color="auto"/>
      </w:divBdr>
    </w:div>
    <w:div w:id="1233467990">
      <w:bodyDiv w:val="1"/>
      <w:marLeft w:val="0"/>
      <w:marRight w:val="0"/>
      <w:marTop w:val="0"/>
      <w:marBottom w:val="0"/>
      <w:divBdr>
        <w:top w:val="none" w:sz="0" w:space="0" w:color="auto"/>
        <w:left w:val="none" w:sz="0" w:space="0" w:color="auto"/>
        <w:bottom w:val="none" w:sz="0" w:space="0" w:color="auto"/>
        <w:right w:val="none" w:sz="0" w:space="0" w:color="auto"/>
      </w:divBdr>
    </w:div>
    <w:div w:id="1233470685">
      <w:bodyDiv w:val="1"/>
      <w:marLeft w:val="0"/>
      <w:marRight w:val="0"/>
      <w:marTop w:val="0"/>
      <w:marBottom w:val="0"/>
      <w:divBdr>
        <w:top w:val="none" w:sz="0" w:space="0" w:color="auto"/>
        <w:left w:val="none" w:sz="0" w:space="0" w:color="auto"/>
        <w:bottom w:val="none" w:sz="0" w:space="0" w:color="auto"/>
        <w:right w:val="none" w:sz="0" w:space="0" w:color="auto"/>
      </w:divBdr>
    </w:div>
    <w:div w:id="1233541092">
      <w:bodyDiv w:val="1"/>
      <w:marLeft w:val="0"/>
      <w:marRight w:val="0"/>
      <w:marTop w:val="0"/>
      <w:marBottom w:val="0"/>
      <w:divBdr>
        <w:top w:val="none" w:sz="0" w:space="0" w:color="auto"/>
        <w:left w:val="none" w:sz="0" w:space="0" w:color="auto"/>
        <w:bottom w:val="none" w:sz="0" w:space="0" w:color="auto"/>
        <w:right w:val="none" w:sz="0" w:space="0" w:color="auto"/>
      </w:divBdr>
    </w:div>
    <w:div w:id="1233737229">
      <w:bodyDiv w:val="1"/>
      <w:marLeft w:val="0"/>
      <w:marRight w:val="0"/>
      <w:marTop w:val="0"/>
      <w:marBottom w:val="0"/>
      <w:divBdr>
        <w:top w:val="none" w:sz="0" w:space="0" w:color="auto"/>
        <w:left w:val="none" w:sz="0" w:space="0" w:color="auto"/>
        <w:bottom w:val="none" w:sz="0" w:space="0" w:color="auto"/>
        <w:right w:val="none" w:sz="0" w:space="0" w:color="auto"/>
      </w:divBdr>
    </w:div>
    <w:div w:id="1233851858">
      <w:bodyDiv w:val="1"/>
      <w:marLeft w:val="0"/>
      <w:marRight w:val="0"/>
      <w:marTop w:val="0"/>
      <w:marBottom w:val="0"/>
      <w:divBdr>
        <w:top w:val="none" w:sz="0" w:space="0" w:color="auto"/>
        <w:left w:val="none" w:sz="0" w:space="0" w:color="auto"/>
        <w:bottom w:val="none" w:sz="0" w:space="0" w:color="auto"/>
        <w:right w:val="none" w:sz="0" w:space="0" w:color="auto"/>
      </w:divBdr>
    </w:div>
    <w:div w:id="1234200791">
      <w:bodyDiv w:val="1"/>
      <w:marLeft w:val="0"/>
      <w:marRight w:val="0"/>
      <w:marTop w:val="0"/>
      <w:marBottom w:val="0"/>
      <w:divBdr>
        <w:top w:val="none" w:sz="0" w:space="0" w:color="auto"/>
        <w:left w:val="none" w:sz="0" w:space="0" w:color="auto"/>
        <w:bottom w:val="none" w:sz="0" w:space="0" w:color="auto"/>
        <w:right w:val="none" w:sz="0" w:space="0" w:color="auto"/>
      </w:divBdr>
    </w:div>
    <w:div w:id="1234314751">
      <w:bodyDiv w:val="1"/>
      <w:marLeft w:val="0"/>
      <w:marRight w:val="0"/>
      <w:marTop w:val="0"/>
      <w:marBottom w:val="0"/>
      <w:divBdr>
        <w:top w:val="none" w:sz="0" w:space="0" w:color="auto"/>
        <w:left w:val="none" w:sz="0" w:space="0" w:color="auto"/>
        <w:bottom w:val="none" w:sz="0" w:space="0" w:color="auto"/>
        <w:right w:val="none" w:sz="0" w:space="0" w:color="auto"/>
      </w:divBdr>
    </w:div>
    <w:div w:id="1234507641">
      <w:bodyDiv w:val="1"/>
      <w:marLeft w:val="0"/>
      <w:marRight w:val="0"/>
      <w:marTop w:val="0"/>
      <w:marBottom w:val="0"/>
      <w:divBdr>
        <w:top w:val="none" w:sz="0" w:space="0" w:color="auto"/>
        <w:left w:val="none" w:sz="0" w:space="0" w:color="auto"/>
        <w:bottom w:val="none" w:sz="0" w:space="0" w:color="auto"/>
        <w:right w:val="none" w:sz="0" w:space="0" w:color="auto"/>
      </w:divBdr>
    </w:div>
    <w:div w:id="1234510312">
      <w:bodyDiv w:val="1"/>
      <w:marLeft w:val="0"/>
      <w:marRight w:val="0"/>
      <w:marTop w:val="0"/>
      <w:marBottom w:val="0"/>
      <w:divBdr>
        <w:top w:val="none" w:sz="0" w:space="0" w:color="auto"/>
        <w:left w:val="none" w:sz="0" w:space="0" w:color="auto"/>
        <w:bottom w:val="none" w:sz="0" w:space="0" w:color="auto"/>
        <w:right w:val="none" w:sz="0" w:space="0" w:color="auto"/>
      </w:divBdr>
    </w:div>
    <w:div w:id="1234588914">
      <w:bodyDiv w:val="1"/>
      <w:marLeft w:val="0"/>
      <w:marRight w:val="0"/>
      <w:marTop w:val="0"/>
      <w:marBottom w:val="0"/>
      <w:divBdr>
        <w:top w:val="none" w:sz="0" w:space="0" w:color="auto"/>
        <w:left w:val="none" w:sz="0" w:space="0" w:color="auto"/>
        <w:bottom w:val="none" w:sz="0" w:space="0" w:color="auto"/>
        <w:right w:val="none" w:sz="0" w:space="0" w:color="auto"/>
      </w:divBdr>
    </w:div>
    <w:div w:id="1234655056">
      <w:bodyDiv w:val="1"/>
      <w:marLeft w:val="0"/>
      <w:marRight w:val="0"/>
      <w:marTop w:val="0"/>
      <w:marBottom w:val="0"/>
      <w:divBdr>
        <w:top w:val="none" w:sz="0" w:space="0" w:color="auto"/>
        <w:left w:val="none" w:sz="0" w:space="0" w:color="auto"/>
        <w:bottom w:val="none" w:sz="0" w:space="0" w:color="auto"/>
        <w:right w:val="none" w:sz="0" w:space="0" w:color="auto"/>
      </w:divBdr>
    </w:div>
    <w:div w:id="1234659662">
      <w:bodyDiv w:val="1"/>
      <w:marLeft w:val="0"/>
      <w:marRight w:val="0"/>
      <w:marTop w:val="0"/>
      <w:marBottom w:val="0"/>
      <w:divBdr>
        <w:top w:val="none" w:sz="0" w:space="0" w:color="auto"/>
        <w:left w:val="none" w:sz="0" w:space="0" w:color="auto"/>
        <w:bottom w:val="none" w:sz="0" w:space="0" w:color="auto"/>
        <w:right w:val="none" w:sz="0" w:space="0" w:color="auto"/>
      </w:divBdr>
    </w:div>
    <w:div w:id="1234659705">
      <w:bodyDiv w:val="1"/>
      <w:marLeft w:val="0"/>
      <w:marRight w:val="0"/>
      <w:marTop w:val="0"/>
      <w:marBottom w:val="0"/>
      <w:divBdr>
        <w:top w:val="none" w:sz="0" w:space="0" w:color="auto"/>
        <w:left w:val="none" w:sz="0" w:space="0" w:color="auto"/>
        <w:bottom w:val="none" w:sz="0" w:space="0" w:color="auto"/>
        <w:right w:val="none" w:sz="0" w:space="0" w:color="auto"/>
      </w:divBdr>
    </w:div>
    <w:div w:id="1234974505">
      <w:bodyDiv w:val="1"/>
      <w:marLeft w:val="0"/>
      <w:marRight w:val="0"/>
      <w:marTop w:val="0"/>
      <w:marBottom w:val="0"/>
      <w:divBdr>
        <w:top w:val="none" w:sz="0" w:space="0" w:color="auto"/>
        <w:left w:val="none" w:sz="0" w:space="0" w:color="auto"/>
        <w:bottom w:val="none" w:sz="0" w:space="0" w:color="auto"/>
        <w:right w:val="none" w:sz="0" w:space="0" w:color="auto"/>
      </w:divBdr>
    </w:div>
    <w:div w:id="1235166633">
      <w:bodyDiv w:val="1"/>
      <w:marLeft w:val="0"/>
      <w:marRight w:val="0"/>
      <w:marTop w:val="0"/>
      <w:marBottom w:val="0"/>
      <w:divBdr>
        <w:top w:val="none" w:sz="0" w:space="0" w:color="auto"/>
        <w:left w:val="none" w:sz="0" w:space="0" w:color="auto"/>
        <w:bottom w:val="none" w:sz="0" w:space="0" w:color="auto"/>
        <w:right w:val="none" w:sz="0" w:space="0" w:color="auto"/>
      </w:divBdr>
    </w:div>
    <w:div w:id="1235360182">
      <w:bodyDiv w:val="1"/>
      <w:marLeft w:val="0"/>
      <w:marRight w:val="0"/>
      <w:marTop w:val="0"/>
      <w:marBottom w:val="0"/>
      <w:divBdr>
        <w:top w:val="none" w:sz="0" w:space="0" w:color="auto"/>
        <w:left w:val="none" w:sz="0" w:space="0" w:color="auto"/>
        <w:bottom w:val="none" w:sz="0" w:space="0" w:color="auto"/>
        <w:right w:val="none" w:sz="0" w:space="0" w:color="auto"/>
      </w:divBdr>
    </w:div>
    <w:div w:id="1235899234">
      <w:bodyDiv w:val="1"/>
      <w:marLeft w:val="0"/>
      <w:marRight w:val="0"/>
      <w:marTop w:val="0"/>
      <w:marBottom w:val="0"/>
      <w:divBdr>
        <w:top w:val="none" w:sz="0" w:space="0" w:color="auto"/>
        <w:left w:val="none" w:sz="0" w:space="0" w:color="auto"/>
        <w:bottom w:val="none" w:sz="0" w:space="0" w:color="auto"/>
        <w:right w:val="none" w:sz="0" w:space="0" w:color="auto"/>
      </w:divBdr>
    </w:div>
    <w:div w:id="1236009331">
      <w:bodyDiv w:val="1"/>
      <w:marLeft w:val="0"/>
      <w:marRight w:val="0"/>
      <w:marTop w:val="0"/>
      <w:marBottom w:val="0"/>
      <w:divBdr>
        <w:top w:val="none" w:sz="0" w:space="0" w:color="auto"/>
        <w:left w:val="none" w:sz="0" w:space="0" w:color="auto"/>
        <w:bottom w:val="none" w:sz="0" w:space="0" w:color="auto"/>
        <w:right w:val="none" w:sz="0" w:space="0" w:color="auto"/>
      </w:divBdr>
    </w:div>
    <w:div w:id="1236209644">
      <w:bodyDiv w:val="1"/>
      <w:marLeft w:val="0"/>
      <w:marRight w:val="0"/>
      <w:marTop w:val="0"/>
      <w:marBottom w:val="0"/>
      <w:divBdr>
        <w:top w:val="none" w:sz="0" w:space="0" w:color="auto"/>
        <w:left w:val="none" w:sz="0" w:space="0" w:color="auto"/>
        <w:bottom w:val="none" w:sz="0" w:space="0" w:color="auto"/>
        <w:right w:val="none" w:sz="0" w:space="0" w:color="auto"/>
      </w:divBdr>
    </w:div>
    <w:div w:id="1236359582">
      <w:bodyDiv w:val="1"/>
      <w:marLeft w:val="0"/>
      <w:marRight w:val="0"/>
      <w:marTop w:val="0"/>
      <w:marBottom w:val="0"/>
      <w:divBdr>
        <w:top w:val="none" w:sz="0" w:space="0" w:color="auto"/>
        <w:left w:val="none" w:sz="0" w:space="0" w:color="auto"/>
        <w:bottom w:val="none" w:sz="0" w:space="0" w:color="auto"/>
        <w:right w:val="none" w:sz="0" w:space="0" w:color="auto"/>
      </w:divBdr>
    </w:div>
    <w:div w:id="1236548159">
      <w:bodyDiv w:val="1"/>
      <w:marLeft w:val="0"/>
      <w:marRight w:val="0"/>
      <w:marTop w:val="0"/>
      <w:marBottom w:val="0"/>
      <w:divBdr>
        <w:top w:val="none" w:sz="0" w:space="0" w:color="auto"/>
        <w:left w:val="none" w:sz="0" w:space="0" w:color="auto"/>
        <w:bottom w:val="none" w:sz="0" w:space="0" w:color="auto"/>
        <w:right w:val="none" w:sz="0" w:space="0" w:color="auto"/>
      </w:divBdr>
    </w:div>
    <w:div w:id="1236621149">
      <w:bodyDiv w:val="1"/>
      <w:marLeft w:val="0"/>
      <w:marRight w:val="0"/>
      <w:marTop w:val="0"/>
      <w:marBottom w:val="0"/>
      <w:divBdr>
        <w:top w:val="none" w:sz="0" w:space="0" w:color="auto"/>
        <w:left w:val="none" w:sz="0" w:space="0" w:color="auto"/>
        <w:bottom w:val="none" w:sz="0" w:space="0" w:color="auto"/>
        <w:right w:val="none" w:sz="0" w:space="0" w:color="auto"/>
      </w:divBdr>
    </w:div>
    <w:div w:id="1236621980">
      <w:bodyDiv w:val="1"/>
      <w:marLeft w:val="0"/>
      <w:marRight w:val="0"/>
      <w:marTop w:val="0"/>
      <w:marBottom w:val="0"/>
      <w:divBdr>
        <w:top w:val="none" w:sz="0" w:space="0" w:color="auto"/>
        <w:left w:val="none" w:sz="0" w:space="0" w:color="auto"/>
        <w:bottom w:val="none" w:sz="0" w:space="0" w:color="auto"/>
        <w:right w:val="none" w:sz="0" w:space="0" w:color="auto"/>
      </w:divBdr>
    </w:div>
    <w:div w:id="1236821126">
      <w:bodyDiv w:val="1"/>
      <w:marLeft w:val="0"/>
      <w:marRight w:val="0"/>
      <w:marTop w:val="0"/>
      <w:marBottom w:val="0"/>
      <w:divBdr>
        <w:top w:val="none" w:sz="0" w:space="0" w:color="auto"/>
        <w:left w:val="none" w:sz="0" w:space="0" w:color="auto"/>
        <w:bottom w:val="none" w:sz="0" w:space="0" w:color="auto"/>
        <w:right w:val="none" w:sz="0" w:space="0" w:color="auto"/>
      </w:divBdr>
    </w:div>
    <w:div w:id="1236933151">
      <w:bodyDiv w:val="1"/>
      <w:marLeft w:val="0"/>
      <w:marRight w:val="0"/>
      <w:marTop w:val="0"/>
      <w:marBottom w:val="0"/>
      <w:divBdr>
        <w:top w:val="none" w:sz="0" w:space="0" w:color="auto"/>
        <w:left w:val="none" w:sz="0" w:space="0" w:color="auto"/>
        <w:bottom w:val="none" w:sz="0" w:space="0" w:color="auto"/>
        <w:right w:val="none" w:sz="0" w:space="0" w:color="auto"/>
      </w:divBdr>
    </w:div>
    <w:div w:id="1237472867">
      <w:bodyDiv w:val="1"/>
      <w:marLeft w:val="0"/>
      <w:marRight w:val="0"/>
      <w:marTop w:val="0"/>
      <w:marBottom w:val="0"/>
      <w:divBdr>
        <w:top w:val="none" w:sz="0" w:space="0" w:color="auto"/>
        <w:left w:val="none" w:sz="0" w:space="0" w:color="auto"/>
        <w:bottom w:val="none" w:sz="0" w:space="0" w:color="auto"/>
        <w:right w:val="none" w:sz="0" w:space="0" w:color="auto"/>
      </w:divBdr>
    </w:div>
    <w:div w:id="1237545185">
      <w:bodyDiv w:val="1"/>
      <w:marLeft w:val="0"/>
      <w:marRight w:val="0"/>
      <w:marTop w:val="0"/>
      <w:marBottom w:val="0"/>
      <w:divBdr>
        <w:top w:val="none" w:sz="0" w:space="0" w:color="auto"/>
        <w:left w:val="none" w:sz="0" w:space="0" w:color="auto"/>
        <w:bottom w:val="none" w:sz="0" w:space="0" w:color="auto"/>
        <w:right w:val="none" w:sz="0" w:space="0" w:color="auto"/>
      </w:divBdr>
    </w:div>
    <w:div w:id="1237671670">
      <w:bodyDiv w:val="1"/>
      <w:marLeft w:val="0"/>
      <w:marRight w:val="0"/>
      <w:marTop w:val="0"/>
      <w:marBottom w:val="0"/>
      <w:divBdr>
        <w:top w:val="none" w:sz="0" w:space="0" w:color="auto"/>
        <w:left w:val="none" w:sz="0" w:space="0" w:color="auto"/>
        <w:bottom w:val="none" w:sz="0" w:space="0" w:color="auto"/>
        <w:right w:val="none" w:sz="0" w:space="0" w:color="auto"/>
      </w:divBdr>
    </w:div>
    <w:div w:id="1237714129">
      <w:bodyDiv w:val="1"/>
      <w:marLeft w:val="0"/>
      <w:marRight w:val="0"/>
      <w:marTop w:val="0"/>
      <w:marBottom w:val="0"/>
      <w:divBdr>
        <w:top w:val="none" w:sz="0" w:space="0" w:color="auto"/>
        <w:left w:val="none" w:sz="0" w:space="0" w:color="auto"/>
        <w:bottom w:val="none" w:sz="0" w:space="0" w:color="auto"/>
        <w:right w:val="none" w:sz="0" w:space="0" w:color="auto"/>
      </w:divBdr>
    </w:div>
    <w:div w:id="1237940501">
      <w:bodyDiv w:val="1"/>
      <w:marLeft w:val="0"/>
      <w:marRight w:val="0"/>
      <w:marTop w:val="0"/>
      <w:marBottom w:val="0"/>
      <w:divBdr>
        <w:top w:val="none" w:sz="0" w:space="0" w:color="auto"/>
        <w:left w:val="none" w:sz="0" w:space="0" w:color="auto"/>
        <w:bottom w:val="none" w:sz="0" w:space="0" w:color="auto"/>
        <w:right w:val="none" w:sz="0" w:space="0" w:color="auto"/>
      </w:divBdr>
    </w:div>
    <w:div w:id="1237979874">
      <w:bodyDiv w:val="1"/>
      <w:marLeft w:val="0"/>
      <w:marRight w:val="0"/>
      <w:marTop w:val="0"/>
      <w:marBottom w:val="0"/>
      <w:divBdr>
        <w:top w:val="none" w:sz="0" w:space="0" w:color="auto"/>
        <w:left w:val="none" w:sz="0" w:space="0" w:color="auto"/>
        <w:bottom w:val="none" w:sz="0" w:space="0" w:color="auto"/>
        <w:right w:val="none" w:sz="0" w:space="0" w:color="auto"/>
      </w:divBdr>
    </w:div>
    <w:div w:id="1238052291">
      <w:bodyDiv w:val="1"/>
      <w:marLeft w:val="0"/>
      <w:marRight w:val="0"/>
      <w:marTop w:val="0"/>
      <w:marBottom w:val="0"/>
      <w:divBdr>
        <w:top w:val="none" w:sz="0" w:space="0" w:color="auto"/>
        <w:left w:val="none" w:sz="0" w:space="0" w:color="auto"/>
        <w:bottom w:val="none" w:sz="0" w:space="0" w:color="auto"/>
        <w:right w:val="none" w:sz="0" w:space="0" w:color="auto"/>
      </w:divBdr>
    </w:div>
    <w:div w:id="1238249937">
      <w:bodyDiv w:val="1"/>
      <w:marLeft w:val="0"/>
      <w:marRight w:val="0"/>
      <w:marTop w:val="0"/>
      <w:marBottom w:val="0"/>
      <w:divBdr>
        <w:top w:val="none" w:sz="0" w:space="0" w:color="auto"/>
        <w:left w:val="none" w:sz="0" w:space="0" w:color="auto"/>
        <w:bottom w:val="none" w:sz="0" w:space="0" w:color="auto"/>
        <w:right w:val="none" w:sz="0" w:space="0" w:color="auto"/>
      </w:divBdr>
    </w:div>
    <w:div w:id="1239025554">
      <w:bodyDiv w:val="1"/>
      <w:marLeft w:val="0"/>
      <w:marRight w:val="0"/>
      <w:marTop w:val="0"/>
      <w:marBottom w:val="0"/>
      <w:divBdr>
        <w:top w:val="none" w:sz="0" w:space="0" w:color="auto"/>
        <w:left w:val="none" w:sz="0" w:space="0" w:color="auto"/>
        <w:bottom w:val="none" w:sz="0" w:space="0" w:color="auto"/>
        <w:right w:val="none" w:sz="0" w:space="0" w:color="auto"/>
      </w:divBdr>
    </w:div>
    <w:div w:id="1239170189">
      <w:bodyDiv w:val="1"/>
      <w:marLeft w:val="0"/>
      <w:marRight w:val="0"/>
      <w:marTop w:val="0"/>
      <w:marBottom w:val="0"/>
      <w:divBdr>
        <w:top w:val="none" w:sz="0" w:space="0" w:color="auto"/>
        <w:left w:val="none" w:sz="0" w:space="0" w:color="auto"/>
        <w:bottom w:val="none" w:sz="0" w:space="0" w:color="auto"/>
        <w:right w:val="none" w:sz="0" w:space="0" w:color="auto"/>
      </w:divBdr>
    </w:div>
    <w:div w:id="1239290201">
      <w:bodyDiv w:val="1"/>
      <w:marLeft w:val="0"/>
      <w:marRight w:val="0"/>
      <w:marTop w:val="0"/>
      <w:marBottom w:val="0"/>
      <w:divBdr>
        <w:top w:val="none" w:sz="0" w:space="0" w:color="auto"/>
        <w:left w:val="none" w:sz="0" w:space="0" w:color="auto"/>
        <w:bottom w:val="none" w:sz="0" w:space="0" w:color="auto"/>
        <w:right w:val="none" w:sz="0" w:space="0" w:color="auto"/>
      </w:divBdr>
    </w:div>
    <w:div w:id="1239440568">
      <w:bodyDiv w:val="1"/>
      <w:marLeft w:val="0"/>
      <w:marRight w:val="0"/>
      <w:marTop w:val="0"/>
      <w:marBottom w:val="0"/>
      <w:divBdr>
        <w:top w:val="none" w:sz="0" w:space="0" w:color="auto"/>
        <w:left w:val="none" w:sz="0" w:space="0" w:color="auto"/>
        <w:bottom w:val="none" w:sz="0" w:space="0" w:color="auto"/>
        <w:right w:val="none" w:sz="0" w:space="0" w:color="auto"/>
      </w:divBdr>
    </w:div>
    <w:div w:id="1239443063">
      <w:bodyDiv w:val="1"/>
      <w:marLeft w:val="0"/>
      <w:marRight w:val="0"/>
      <w:marTop w:val="0"/>
      <w:marBottom w:val="0"/>
      <w:divBdr>
        <w:top w:val="none" w:sz="0" w:space="0" w:color="auto"/>
        <w:left w:val="none" w:sz="0" w:space="0" w:color="auto"/>
        <w:bottom w:val="none" w:sz="0" w:space="0" w:color="auto"/>
        <w:right w:val="none" w:sz="0" w:space="0" w:color="auto"/>
      </w:divBdr>
    </w:div>
    <w:div w:id="1239485597">
      <w:bodyDiv w:val="1"/>
      <w:marLeft w:val="0"/>
      <w:marRight w:val="0"/>
      <w:marTop w:val="0"/>
      <w:marBottom w:val="0"/>
      <w:divBdr>
        <w:top w:val="none" w:sz="0" w:space="0" w:color="auto"/>
        <w:left w:val="none" w:sz="0" w:space="0" w:color="auto"/>
        <w:bottom w:val="none" w:sz="0" w:space="0" w:color="auto"/>
        <w:right w:val="none" w:sz="0" w:space="0" w:color="auto"/>
      </w:divBdr>
    </w:div>
    <w:div w:id="1239707239">
      <w:bodyDiv w:val="1"/>
      <w:marLeft w:val="0"/>
      <w:marRight w:val="0"/>
      <w:marTop w:val="0"/>
      <w:marBottom w:val="0"/>
      <w:divBdr>
        <w:top w:val="none" w:sz="0" w:space="0" w:color="auto"/>
        <w:left w:val="none" w:sz="0" w:space="0" w:color="auto"/>
        <w:bottom w:val="none" w:sz="0" w:space="0" w:color="auto"/>
        <w:right w:val="none" w:sz="0" w:space="0" w:color="auto"/>
      </w:divBdr>
    </w:div>
    <w:div w:id="1239830231">
      <w:bodyDiv w:val="1"/>
      <w:marLeft w:val="0"/>
      <w:marRight w:val="0"/>
      <w:marTop w:val="0"/>
      <w:marBottom w:val="0"/>
      <w:divBdr>
        <w:top w:val="none" w:sz="0" w:space="0" w:color="auto"/>
        <w:left w:val="none" w:sz="0" w:space="0" w:color="auto"/>
        <w:bottom w:val="none" w:sz="0" w:space="0" w:color="auto"/>
        <w:right w:val="none" w:sz="0" w:space="0" w:color="auto"/>
      </w:divBdr>
    </w:div>
    <w:div w:id="1239947865">
      <w:bodyDiv w:val="1"/>
      <w:marLeft w:val="0"/>
      <w:marRight w:val="0"/>
      <w:marTop w:val="0"/>
      <w:marBottom w:val="0"/>
      <w:divBdr>
        <w:top w:val="none" w:sz="0" w:space="0" w:color="auto"/>
        <w:left w:val="none" w:sz="0" w:space="0" w:color="auto"/>
        <w:bottom w:val="none" w:sz="0" w:space="0" w:color="auto"/>
        <w:right w:val="none" w:sz="0" w:space="0" w:color="auto"/>
      </w:divBdr>
    </w:div>
    <w:div w:id="1240599754">
      <w:bodyDiv w:val="1"/>
      <w:marLeft w:val="0"/>
      <w:marRight w:val="0"/>
      <w:marTop w:val="0"/>
      <w:marBottom w:val="0"/>
      <w:divBdr>
        <w:top w:val="none" w:sz="0" w:space="0" w:color="auto"/>
        <w:left w:val="none" w:sz="0" w:space="0" w:color="auto"/>
        <w:bottom w:val="none" w:sz="0" w:space="0" w:color="auto"/>
        <w:right w:val="none" w:sz="0" w:space="0" w:color="auto"/>
      </w:divBdr>
    </w:div>
    <w:div w:id="1240601653">
      <w:bodyDiv w:val="1"/>
      <w:marLeft w:val="0"/>
      <w:marRight w:val="0"/>
      <w:marTop w:val="0"/>
      <w:marBottom w:val="0"/>
      <w:divBdr>
        <w:top w:val="none" w:sz="0" w:space="0" w:color="auto"/>
        <w:left w:val="none" w:sz="0" w:space="0" w:color="auto"/>
        <w:bottom w:val="none" w:sz="0" w:space="0" w:color="auto"/>
        <w:right w:val="none" w:sz="0" w:space="0" w:color="auto"/>
      </w:divBdr>
    </w:div>
    <w:div w:id="1240747000">
      <w:bodyDiv w:val="1"/>
      <w:marLeft w:val="0"/>
      <w:marRight w:val="0"/>
      <w:marTop w:val="0"/>
      <w:marBottom w:val="0"/>
      <w:divBdr>
        <w:top w:val="none" w:sz="0" w:space="0" w:color="auto"/>
        <w:left w:val="none" w:sz="0" w:space="0" w:color="auto"/>
        <w:bottom w:val="none" w:sz="0" w:space="0" w:color="auto"/>
        <w:right w:val="none" w:sz="0" w:space="0" w:color="auto"/>
      </w:divBdr>
    </w:div>
    <w:div w:id="1240749784">
      <w:bodyDiv w:val="1"/>
      <w:marLeft w:val="0"/>
      <w:marRight w:val="0"/>
      <w:marTop w:val="0"/>
      <w:marBottom w:val="0"/>
      <w:divBdr>
        <w:top w:val="none" w:sz="0" w:space="0" w:color="auto"/>
        <w:left w:val="none" w:sz="0" w:space="0" w:color="auto"/>
        <w:bottom w:val="none" w:sz="0" w:space="0" w:color="auto"/>
        <w:right w:val="none" w:sz="0" w:space="0" w:color="auto"/>
      </w:divBdr>
    </w:div>
    <w:div w:id="1240795231">
      <w:bodyDiv w:val="1"/>
      <w:marLeft w:val="0"/>
      <w:marRight w:val="0"/>
      <w:marTop w:val="0"/>
      <w:marBottom w:val="0"/>
      <w:divBdr>
        <w:top w:val="none" w:sz="0" w:space="0" w:color="auto"/>
        <w:left w:val="none" w:sz="0" w:space="0" w:color="auto"/>
        <w:bottom w:val="none" w:sz="0" w:space="0" w:color="auto"/>
        <w:right w:val="none" w:sz="0" w:space="0" w:color="auto"/>
      </w:divBdr>
    </w:div>
    <w:div w:id="1241058320">
      <w:bodyDiv w:val="1"/>
      <w:marLeft w:val="0"/>
      <w:marRight w:val="0"/>
      <w:marTop w:val="0"/>
      <w:marBottom w:val="0"/>
      <w:divBdr>
        <w:top w:val="none" w:sz="0" w:space="0" w:color="auto"/>
        <w:left w:val="none" w:sz="0" w:space="0" w:color="auto"/>
        <w:bottom w:val="none" w:sz="0" w:space="0" w:color="auto"/>
        <w:right w:val="none" w:sz="0" w:space="0" w:color="auto"/>
      </w:divBdr>
    </w:div>
    <w:div w:id="1241255149">
      <w:bodyDiv w:val="1"/>
      <w:marLeft w:val="0"/>
      <w:marRight w:val="0"/>
      <w:marTop w:val="0"/>
      <w:marBottom w:val="0"/>
      <w:divBdr>
        <w:top w:val="none" w:sz="0" w:space="0" w:color="auto"/>
        <w:left w:val="none" w:sz="0" w:space="0" w:color="auto"/>
        <w:bottom w:val="none" w:sz="0" w:space="0" w:color="auto"/>
        <w:right w:val="none" w:sz="0" w:space="0" w:color="auto"/>
      </w:divBdr>
    </w:div>
    <w:div w:id="1241645437">
      <w:bodyDiv w:val="1"/>
      <w:marLeft w:val="0"/>
      <w:marRight w:val="0"/>
      <w:marTop w:val="0"/>
      <w:marBottom w:val="0"/>
      <w:divBdr>
        <w:top w:val="none" w:sz="0" w:space="0" w:color="auto"/>
        <w:left w:val="none" w:sz="0" w:space="0" w:color="auto"/>
        <w:bottom w:val="none" w:sz="0" w:space="0" w:color="auto"/>
        <w:right w:val="none" w:sz="0" w:space="0" w:color="auto"/>
      </w:divBdr>
    </w:div>
    <w:div w:id="1241871055">
      <w:bodyDiv w:val="1"/>
      <w:marLeft w:val="0"/>
      <w:marRight w:val="0"/>
      <w:marTop w:val="0"/>
      <w:marBottom w:val="0"/>
      <w:divBdr>
        <w:top w:val="none" w:sz="0" w:space="0" w:color="auto"/>
        <w:left w:val="none" w:sz="0" w:space="0" w:color="auto"/>
        <w:bottom w:val="none" w:sz="0" w:space="0" w:color="auto"/>
        <w:right w:val="none" w:sz="0" w:space="0" w:color="auto"/>
      </w:divBdr>
    </w:div>
    <w:div w:id="1241871366">
      <w:bodyDiv w:val="1"/>
      <w:marLeft w:val="0"/>
      <w:marRight w:val="0"/>
      <w:marTop w:val="0"/>
      <w:marBottom w:val="0"/>
      <w:divBdr>
        <w:top w:val="none" w:sz="0" w:space="0" w:color="auto"/>
        <w:left w:val="none" w:sz="0" w:space="0" w:color="auto"/>
        <w:bottom w:val="none" w:sz="0" w:space="0" w:color="auto"/>
        <w:right w:val="none" w:sz="0" w:space="0" w:color="auto"/>
      </w:divBdr>
    </w:div>
    <w:div w:id="1241981508">
      <w:bodyDiv w:val="1"/>
      <w:marLeft w:val="0"/>
      <w:marRight w:val="0"/>
      <w:marTop w:val="0"/>
      <w:marBottom w:val="0"/>
      <w:divBdr>
        <w:top w:val="none" w:sz="0" w:space="0" w:color="auto"/>
        <w:left w:val="none" w:sz="0" w:space="0" w:color="auto"/>
        <w:bottom w:val="none" w:sz="0" w:space="0" w:color="auto"/>
        <w:right w:val="none" w:sz="0" w:space="0" w:color="auto"/>
      </w:divBdr>
    </w:div>
    <w:div w:id="1242327697">
      <w:bodyDiv w:val="1"/>
      <w:marLeft w:val="0"/>
      <w:marRight w:val="0"/>
      <w:marTop w:val="0"/>
      <w:marBottom w:val="0"/>
      <w:divBdr>
        <w:top w:val="none" w:sz="0" w:space="0" w:color="auto"/>
        <w:left w:val="none" w:sz="0" w:space="0" w:color="auto"/>
        <w:bottom w:val="none" w:sz="0" w:space="0" w:color="auto"/>
        <w:right w:val="none" w:sz="0" w:space="0" w:color="auto"/>
      </w:divBdr>
    </w:div>
    <w:div w:id="1242328512">
      <w:bodyDiv w:val="1"/>
      <w:marLeft w:val="0"/>
      <w:marRight w:val="0"/>
      <w:marTop w:val="0"/>
      <w:marBottom w:val="0"/>
      <w:divBdr>
        <w:top w:val="none" w:sz="0" w:space="0" w:color="auto"/>
        <w:left w:val="none" w:sz="0" w:space="0" w:color="auto"/>
        <w:bottom w:val="none" w:sz="0" w:space="0" w:color="auto"/>
        <w:right w:val="none" w:sz="0" w:space="0" w:color="auto"/>
      </w:divBdr>
    </w:div>
    <w:div w:id="1242450471">
      <w:bodyDiv w:val="1"/>
      <w:marLeft w:val="0"/>
      <w:marRight w:val="0"/>
      <w:marTop w:val="0"/>
      <w:marBottom w:val="0"/>
      <w:divBdr>
        <w:top w:val="none" w:sz="0" w:space="0" w:color="auto"/>
        <w:left w:val="none" w:sz="0" w:space="0" w:color="auto"/>
        <w:bottom w:val="none" w:sz="0" w:space="0" w:color="auto"/>
        <w:right w:val="none" w:sz="0" w:space="0" w:color="auto"/>
      </w:divBdr>
    </w:div>
    <w:div w:id="1242717911">
      <w:bodyDiv w:val="1"/>
      <w:marLeft w:val="0"/>
      <w:marRight w:val="0"/>
      <w:marTop w:val="0"/>
      <w:marBottom w:val="0"/>
      <w:divBdr>
        <w:top w:val="none" w:sz="0" w:space="0" w:color="auto"/>
        <w:left w:val="none" w:sz="0" w:space="0" w:color="auto"/>
        <w:bottom w:val="none" w:sz="0" w:space="0" w:color="auto"/>
        <w:right w:val="none" w:sz="0" w:space="0" w:color="auto"/>
      </w:divBdr>
    </w:div>
    <w:div w:id="1242830246">
      <w:bodyDiv w:val="1"/>
      <w:marLeft w:val="0"/>
      <w:marRight w:val="0"/>
      <w:marTop w:val="0"/>
      <w:marBottom w:val="0"/>
      <w:divBdr>
        <w:top w:val="none" w:sz="0" w:space="0" w:color="auto"/>
        <w:left w:val="none" w:sz="0" w:space="0" w:color="auto"/>
        <w:bottom w:val="none" w:sz="0" w:space="0" w:color="auto"/>
        <w:right w:val="none" w:sz="0" w:space="0" w:color="auto"/>
      </w:divBdr>
    </w:div>
    <w:div w:id="1243025121">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179968">
      <w:bodyDiv w:val="1"/>
      <w:marLeft w:val="0"/>
      <w:marRight w:val="0"/>
      <w:marTop w:val="0"/>
      <w:marBottom w:val="0"/>
      <w:divBdr>
        <w:top w:val="none" w:sz="0" w:space="0" w:color="auto"/>
        <w:left w:val="none" w:sz="0" w:space="0" w:color="auto"/>
        <w:bottom w:val="none" w:sz="0" w:space="0" w:color="auto"/>
        <w:right w:val="none" w:sz="0" w:space="0" w:color="auto"/>
      </w:divBdr>
    </w:div>
    <w:div w:id="1243494156">
      <w:bodyDiv w:val="1"/>
      <w:marLeft w:val="0"/>
      <w:marRight w:val="0"/>
      <w:marTop w:val="0"/>
      <w:marBottom w:val="0"/>
      <w:divBdr>
        <w:top w:val="none" w:sz="0" w:space="0" w:color="auto"/>
        <w:left w:val="none" w:sz="0" w:space="0" w:color="auto"/>
        <w:bottom w:val="none" w:sz="0" w:space="0" w:color="auto"/>
        <w:right w:val="none" w:sz="0" w:space="0" w:color="auto"/>
      </w:divBdr>
    </w:div>
    <w:div w:id="1243567144">
      <w:bodyDiv w:val="1"/>
      <w:marLeft w:val="0"/>
      <w:marRight w:val="0"/>
      <w:marTop w:val="0"/>
      <w:marBottom w:val="0"/>
      <w:divBdr>
        <w:top w:val="none" w:sz="0" w:space="0" w:color="auto"/>
        <w:left w:val="none" w:sz="0" w:space="0" w:color="auto"/>
        <w:bottom w:val="none" w:sz="0" w:space="0" w:color="auto"/>
        <w:right w:val="none" w:sz="0" w:space="0" w:color="auto"/>
      </w:divBdr>
    </w:div>
    <w:div w:id="1243678263">
      <w:bodyDiv w:val="1"/>
      <w:marLeft w:val="0"/>
      <w:marRight w:val="0"/>
      <w:marTop w:val="0"/>
      <w:marBottom w:val="0"/>
      <w:divBdr>
        <w:top w:val="none" w:sz="0" w:space="0" w:color="auto"/>
        <w:left w:val="none" w:sz="0" w:space="0" w:color="auto"/>
        <w:bottom w:val="none" w:sz="0" w:space="0" w:color="auto"/>
        <w:right w:val="none" w:sz="0" w:space="0" w:color="auto"/>
      </w:divBdr>
    </w:div>
    <w:div w:id="1244418416">
      <w:bodyDiv w:val="1"/>
      <w:marLeft w:val="0"/>
      <w:marRight w:val="0"/>
      <w:marTop w:val="0"/>
      <w:marBottom w:val="0"/>
      <w:divBdr>
        <w:top w:val="none" w:sz="0" w:space="0" w:color="auto"/>
        <w:left w:val="none" w:sz="0" w:space="0" w:color="auto"/>
        <w:bottom w:val="none" w:sz="0" w:space="0" w:color="auto"/>
        <w:right w:val="none" w:sz="0" w:space="0" w:color="auto"/>
      </w:divBdr>
    </w:div>
    <w:div w:id="1244492583">
      <w:bodyDiv w:val="1"/>
      <w:marLeft w:val="0"/>
      <w:marRight w:val="0"/>
      <w:marTop w:val="0"/>
      <w:marBottom w:val="0"/>
      <w:divBdr>
        <w:top w:val="none" w:sz="0" w:space="0" w:color="auto"/>
        <w:left w:val="none" w:sz="0" w:space="0" w:color="auto"/>
        <w:bottom w:val="none" w:sz="0" w:space="0" w:color="auto"/>
        <w:right w:val="none" w:sz="0" w:space="0" w:color="auto"/>
      </w:divBdr>
    </w:div>
    <w:div w:id="1244606714">
      <w:bodyDiv w:val="1"/>
      <w:marLeft w:val="0"/>
      <w:marRight w:val="0"/>
      <w:marTop w:val="0"/>
      <w:marBottom w:val="0"/>
      <w:divBdr>
        <w:top w:val="none" w:sz="0" w:space="0" w:color="auto"/>
        <w:left w:val="none" w:sz="0" w:space="0" w:color="auto"/>
        <w:bottom w:val="none" w:sz="0" w:space="0" w:color="auto"/>
        <w:right w:val="none" w:sz="0" w:space="0" w:color="auto"/>
      </w:divBdr>
    </w:div>
    <w:div w:id="1244870767">
      <w:bodyDiv w:val="1"/>
      <w:marLeft w:val="0"/>
      <w:marRight w:val="0"/>
      <w:marTop w:val="0"/>
      <w:marBottom w:val="0"/>
      <w:divBdr>
        <w:top w:val="none" w:sz="0" w:space="0" w:color="auto"/>
        <w:left w:val="none" w:sz="0" w:space="0" w:color="auto"/>
        <w:bottom w:val="none" w:sz="0" w:space="0" w:color="auto"/>
        <w:right w:val="none" w:sz="0" w:space="0" w:color="auto"/>
      </w:divBdr>
    </w:div>
    <w:div w:id="1244874692">
      <w:bodyDiv w:val="1"/>
      <w:marLeft w:val="0"/>
      <w:marRight w:val="0"/>
      <w:marTop w:val="0"/>
      <w:marBottom w:val="0"/>
      <w:divBdr>
        <w:top w:val="none" w:sz="0" w:space="0" w:color="auto"/>
        <w:left w:val="none" w:sz="0" w:space="0" w:color="auto"/>
        <w:bottom w:val="none" w:sz="0" w:space="0" w:color="auto"/>
        <w:right w:val="none" w:sz="0" w:space="0" w:color="auto"/>
      </w:divBdr>
    </w:div>
    <w:div w:id="1244875122">
      <w:bodyDiv w:val="1"/>
      <w:marLeft w:val="0"/>
      <w:marRight w:val="0"/>
      <w:marTop w:val="0"/>
      <w:marBottom w:val="0"/>
      <w:divBdr>
        <w:top w:val="none" w:sz="0" w:space="0" w:color="auto"/>
        <w:left w:val="none" w:sz="0" w:space="0" w:color="auto"/>
        <w:bottom w:val="none" w:sz="0" w:space="0" w:color="auto"/>
        <w:right w:val="none" w:sz="0" w:space="0" w:color="auto"/>
      </w:divBdr>
    </w:div>
    <w:div w:id="1244922390">
      <w:bodyDiv w:val="1"/>
      <w:marLeft w:val="0"/>
      <w:marRight w:val="0"/>
      <w:marTop w:val="0"/>
      <w:marBottom w:val="0"/>
      <w:divBdr>
        <w:top w:val="none" w:sz="0" w:space="0" w:color="auto"/>
        <w:left w:val="none" w:sz="0" w:space="0" w:color="auto"/>
        <w:bottom w:val="none" w:sz="0" w:space="0" w:color="auto"/>
        <w:right w:val="none" w:sz="0" w:space="0" w:color="auto"/>
      </w:divBdr>
    </w:div>
    <w:div w:id="1245068308">
      <w:bodyDiv w:val="1"/>
      <w:marLeft w:val="0"/>
      <w:marRight w:val="0"/>
      <w:marTop w:val="0"/>
      <w:marBottom w:val="0"/>
      <w:divBdr>
        <w:top w:val="none" w:sz="0" w:space="0" w:color="auto"/>
        <w:left w:val="none" w:sz="0" w:space="0" w:color="auto"/>
        <w:bottom w:val="none" w:sz="0" w:space="0" w:color="auto"/>
        <w:right w:val="none" w:sz="0" w:space="0" w:color="auto"/>
      </w:divBdr>
    </w:div>
    <w:div w:id="1245411891">
      <w:bodyDiv w:val="1"/>
      <w:marLeft w:val="0"/>
      <w:marRight w:val="0"/>
      <w:marTop w:val="0"/>
      <w:marBottom w:val="0"/>
      <w:divBdr>
        <w:top w:val="none" w:sz="0" w:space="0" w:color="auto"/>
        <w:left w:val="none" w:sz="0" w:space="0" w:color="auto"/>
        <w:bottom w:val="none" w:sz="0" w:space="0" w:color="auto"/>
        <w:right w:val="none" w:sz="0" w:space="0" w:color="auto"/>
      </w:divBdr>
    </w:div>
    <w:div w:id="1245411892">
      <w:bodyDiv w:val="1"/>
      <w:marLeft w:val="0"/>
      <w:marRight w:val="0"/>
      <w:marTop w:val="0"/>
      <w:marBottom w:val="0"/>
      <w:divBdr>
        <w:top w:val="none" w:sz="0" w:space="0" w:color="auto"/>
        <w:left w:val="none" w:sz="0" w:space="0" w:color="auto"/>
        <w:bottom w:val="none" w:sz="0" w:space="0" w:color="auto"/>
        <w:right w:val="none" w:sz="0" w:space="0" w:color="auto"/>
      </w:divBdr>
    </w:div>
    <w:div w:id="1245721144">
      <w:bodyDiv w:val="1"/>
      <w:marLeft w:val="0"/>
      <w:marRight w:val="0"/>
      <w:marTop w:val="0"/>
      <w:marBottom w:val="0"/>
      <w:divBdr>
        <w:top w:val="none" w:sz="0" w:space="0" w:color="auto"/>
        <w:left w:val="none" w:sz="0" w:space="0" w:color="auto"/>
        <w:bottom w:val="none" w:sz="0" w:space="0" w:color="auto"/>
        <w:right w:val="none" w:sz="0" w:space="0" w:color="auto"/>
      </w:divBdr>
    </w:div>
    <w:div w:id="1245872100">
      <w:bodyDiv w:val="1"/>
      <w:marLeft w:val="0"/>
      <w:marRight w:val="0"/>
      <w:marTop w:val="0"/>
      <w:marBottom w:val="0"/>
      <w:divBdr>
        <w:top w:val="none" w:sz="0" w:space="0" w:color="auto"/>
        <w:left w:val="none" w:sz="0" w:space="0" w:color="auto"/>
        <w:bottom w:val="none" w:sz="0" w:space="0" w:color="auto"/>
        <w:right w:val="none" w:sz="0" w:space="0" w:color="auto"/>
      </w:divBdr>
    </w:div>
    <w:div w:id="1245922127">
      <w:bodyDiv w:val="1"/>
      <w:marLeft w:val="0"/>
      <w:marRight w:val="0"/>
      <w:marTop w:val="0"/>
      <w:marBottom w:val="0"/>
      <w:divBdr>
        <w:top w:val="none" w:sz="0" w:space="0" w:color="auto"/>
        <w:left w:val="none" w:sz="0" w:space="0" w:color="auto"/>
        <w:bottom w:val="none" w:sz="0" w:space="0" w:color="auto"/>
        <w:right w:val="none" w:sz="0" w:space="0" w:color="auto"/>
      </w:divBdr>
    </w:div>
    <w:div w:id="1246066947">
      <w:bodyDiv w:val="1"/>
      <w:marLeft w:val="0"/>
      <w:marRight w:val="0"/>
      <w:marTop w:val="0"/>
      <w:marBottom w:val="0"/>
      <w:divBdr>
        <w:top w:val="none" w:sz="0" w:space="0" w:color="auto"/>
        <w:left w:val="none" w:sz="0" w:space="0" w:color="auto"/>
        <w:bottom w:val="none" w:sz="0" w:space="0" w:color="auto"/>
        <w:right w:val="none" w:sz="0" w:space="0" w:color="auto"/>
      </w:divBdr>
    </w:div>
    <w:div w:id="1246575709">
      <w:bodyDiv w:val="1"/>
      <w:marLeft w:val="0"/>
      <w:marRight w:val="0"/>
      <w:marTop w:val="0"/>
      <w:marBottom w:val="0"/>
      <w:divBdr>
        <w:top w:val="none" w:sz="0" w:space="0" w:color="auto"/>
        <w:left w:val="none" w:sz="0" w:space="0" w:color="auto"/>
        <w:bottom w:val="none" w:sz="0" w:space="0" w:color="auto"/>
        <w:right w:val="none" w:sz="0" w:space="0" w:color="auto"/>
      </w:divBdr>
    </w:div>
    <w:div w:id="1246648484">
      <w:bodyDiv w:val="1"/>
      <w:marLeft w:val="0"/>
      <w:marRight w:val="0"/>
      <w:marTop w:val="0"/>
      <w:marBottom w:val="0"/>
      <w:divBdr>
        <w:top w:val="none" w:sz="0" w:space="0" w:color="auto"/>
        <w:left w:val="none" w:sz="0" w:space="0" w:color="auto"/>
        <w:bottom w:val="none" w:sz="0" w:space="0" w:color="auto"/>
        <w:right w:val="none" w:sz="0" w:space="0" w:color="auto"/>
      </w:divBdr>
    </w:div>
    <w:div w:id="1246915851">
      <w:bodyDiv w:val="1"/>
      <w:marLeft w:val="0"/>
      <w:marRight w:val="0"/>
      <w:marTop w:val="0"/>
      <w:marBottom w:val="0"/>
      <w:divBdr>
        <w:top w:val="none" w:sz="0" w:space="0" w:color="auto"/>
        <w:left w:val="none" w:sz="0" w:space="0" w:color="auto"/>
        <w:bottom w:val="none" w:sz="0" w:space="0" w:color="auto"/>
        <w:right w:val="none" w:sz="0" w:space="0" w:color="auto"/>
      </w:divBdr>
    </w:div>
    <w:div w:id="1247152552">
      <w:bodyDiv w:val="1"/>
      <w:marLeft w:val="0"/>
      <w:marRight w:val="0"/>
      <w:marTop w:val="0"/>
      <w:marBottom w:val="0"/>
      <w:divBdr>
        <w:top w:val="none" w:sz="0" w:space="0" w:color="auto"/>
        <w:left w:val="none" w:sz="0" w:space="0" w:color="auto"/>
        <w:bottom w:val="none" w:sz="0" w:space="0" w:color="auto"/>
        <w:right w:val="none" w:sz="0" w:space="0" w:color="auto"/>
      </w:divBdr>
    </w:div>
    <w:div w:id="1247154575">
      <w:bodyDiv w:val="1"/>
      <w:marLeft w:val="0"/>
      <w:marRight w:val="0"/>
      <w:marTop w:val="0"/>
      <w:marBottom w:val="0"/>
      <w:divBdr>
        <w:top w:val="none" w:sz="0" w:space="0" w:color="auto"/>
        <w:left w:val="none" w:sz="0" w:space="0" w:color="auto"/>
        <w:bottom w:val="none" w:sz="0" w:space="0" w:color="auto"/>
        <w:right w:val="none" w:sz="0" w:space="0" w:color="auto"/>
      </w:divBdr>
    </w:div>
    <w:div w:id="1247182095">
      <w:bodyDiv w:val="1"/>
      <w:marLeft w:val="0"/>
      <w:marRight w:val="0"/>
      <w:marTop w:val="0"/>
      <w:marBottom w:val="0"/>
      <w:divBdr>
        <w:top w:val="none" w:sz="0" w:space="0" w:color="auto"/>
        <w:left w:val="none" w:sz="0" w:space="0" w:color="auto"/>
        <w:bottom w:val="none" w:sz="0" w:space="0" w:color="auto"/>
        <w:right w:val="none" w:sz="0" w:space="0" w:color="auto"/>
      </w:divBdr>
    </w:div>
    <w:div w:id="1247299641">
      <w:bodyDiv w:val="1"/>
      <w:marLeft w:val="0"/>
      <w:marRight w:val="0"/>
      <w:marTop w:val="0"/>
      <w:marBottom w:val="0"/>
      <w:divBdr>
        <w:top w:val="none" w:sz="0" w:space="0" w:color="auto"/>
        <w:left w:val="none" w:sz="0" w:space="0" w:color="auto"/>
        <w:bottom w:val="none" w:sz="0" w:space="0" w:color="auto"/>
        <w:right w:val="none" w:sz="0" w:space="0" w:color="auto"/>
      </w:divBdr>
    </w:div>
    <w:div w:id="1247301609">
      <w:bodyDiv w:val="1"/>
      <w:marLeft w:val="0"/>
      <w:marRight w:val="0"/>
      <w:marTop w:val="0"/>
      <w:marBottom w:val="0"/>
      <w:divBdr>
        <w:top w:val="none" w:sz="0" w:space="0" w:color="auto"/>
        <w:left w:val="none" w:sz="0" w:space="0" w:color="auto"/>
        <w:bottom w:val="none" w:sz="0" w:space="0" w:color="auto"/>
        <w:right w:val="none" w:sz="0" w:space="0" w:color="auto"/>
      </w:divBdr>
    </w:div>
    <w:div w:id="1247349973">
      <w:bodyDiv w:val="1"/>
      <w:marLeft w:val="0"/>
      <w:marRight w:val="0"/>
      <w:marTop w:val="0"/>
      <w:marBottom w:val="0"/>
      <w:divBdr>
        <w:top w:val="none" w:sz="0" w:space="0" w:color="auto"/>
        <w:left w:val="none" w:sz="0" w:space="0" w:color="auto"/>
        <w:bottom w:val="none" w:sz="0" w:space="0" w:color="auto"/>
        <w:right w:val="none" w:sz="0" w:space="0" w:color="auto"/>
      </w:divBdr>
    </w:div>
    <w:div w:id="1247378182">
      <w:bodyDiv w:val="1"/>
      <w:marLeft w:val="0"/>
      <w:marRight w:val="0"/>
      <w:marTop w:val="0"/>
      <w:marBottom w:val="0"/>
      <w:divBdr>
        <w:top w:val="none" w:sz="0" w:space="0" w:color="auto"/>
        <w:left w:val="none" w:sz="0" w:space="0" w:color="auto"/>
        <w:bottom w:val="none" w:sz="0" w:space="0" w:color="auto"/>
        <w:right w:val="none" w:sz="0" w:space="0" w:color="auto"/>
      </w:divBdr>
    </w:div>
    <w:div w:id="1247493672">
      <w:bodyDiv w:val="1"/>
      <w:marLeft w:val="0"/>
      <w:marRight w:val="0"/>
      <w:marTop w:val="0"/>
      <w:marBottom w:val="0"/>
      <w:divBdr>
        <w:top w:val="none" w:sz="0" w:space="0" w:color="auto"/>
        <w:left w:val="none" w:sz="0" w:space="0" w:color="auto"/>
        <w:bottom w:val="none" w:sz="0" w:space="0" w:color="auto"/>
        <w:right w:val="none" w:sz="0" w:space="0" w:color="auto"/>
      </w:divBdr>
    </w:div>
    <w:div w:id="1248155142">
      <w:bodyDiv w:val="1"/>
      <w:marLeft w:val="0"/>
      <w:marRight w:val="0"/>
      <w:marTop w:val="0"/>
      <w:marBottom w:val="0"/>
      <w:divBdr>
        <w:top w:val="none" w:sz="0" w:space="0" w:color="auto"/>
        <w:left w:val="none" w:sz="0" w:space="0" w:color="auto"/>
        <w:bottom w:val="none" w:sz="0" w:space="0" w:color="auto"/>
        <w:right w:val="none" w:sz="0" w:space="0" w:color="auto"/>
      </w:divBdr>
    </w:div>
    <w:div w:id="1248417980">
      <w:bodyDiv w:val="1"/>
      <w:marLeft w:val="0"/>
      <w:marRight w:val="0"/>
      <w:marTop w:val="0"/>
      <w:marBottom w:val="0"/>
      <w:divBdr>
        <w:top w:val="none" w:sz="0" w:space="0" w:color="auto"/>
        <w:left w:val="none" w:sz="0" w:space="0" w:color="auto"/>
        <w:bottom w:val="none" w:sz="0" w:space="0" w:color="auto"/>
        <w:right w:val="none" w:sz="0" w:space="0" w:color="auto"/>
      </w:divBdr>
    </w:div>
    <w:div w:id="1248461004">
      <w:bodyDiv w:val="1"/>
      <w:marLeft w:val="0"/>
      <w:marRight w:val="0"/>
      <w:marTop w:val="0"/>
      <w:marBottom w:val="0"/>
      <w:divBdr>
        <w:top w:val="none" w:sz="0" w:space="0" w:color="auto"/>
        <w:left w:val="none" w:sz="0" w:space="0" w:color="auto"/>
        <w:bottom w:val="none" w:sz="0" w:space="0" w:color="auto"/>
        <w:right w:val="none" w:sz="0" w:space="0" w:color="auto"/>
      </w:divBdr>
    </w:div>
    <w:div w:id="1248609729">
      <w:bodyDiv w:val="1"/>
      <w:marLeft w:val="0"/>
      <w:marRight w:val="0"/>
      <w:marTop w:val="0"/>
      <w:marBottom w:val="0"/>
      <w:divBdr>
        <w:top w:val="none" w:sz="0" w:space="0" w:color="auto"/>
        <w:left w:val="none" w:sz="0" w:space="0" w:color="auto"/>
        <w:bottom w:val="none" w:sz="0" w:space="0" w:color="auto"/>
        <w:right w:val="none" w:sz="0" w:space="0" w:color="auto"/>
      </w:divBdr>
    </w:div>
    <w:div w:id="1248804912">
      <w:bodyDiv w:val="1"/>
      <w:marLeft w:val="0"/>
      <w:marRight w:val="0"/>
      <w:marTop w:val="0"/>
      <w:marBottom w:val="0"/>
      <w:divBdr>
        <w:top w:val="none" w:sz="0" w:space="0" w:color="auto"/>
        <w:left w:val="none" w:sz="0" w:space="0" w:color="auto"/>
        <w:bottom w:val="none" w:sz="0" w:space="0" w:color="auto"/>
        <w:right w:val="none" w:sz="0" w:space="0" w:color="auto"/>
      </w:divBdr>
    </w:div>
    <w:div w:id="1249072331">
      <w:bodyDiv w:val="1"/>
      <w:marLeft w:val="0"/>
      <w:marRight w:val="0"/>
      <w:marTop w:val="0"/>
      <w:marBottom w:val="0"/>
      <w:divBdr>
        <w:top w:val="none" w:sz="0" w:space="0" w:color="auto"/>
        <w:left w:val="none" w:sz="0" w:space="0" w:color="auto"/>
        <w:bottom w:val="none" w:sz="0" w:space="0" w:color="auto"/>
        <w:right w:val="none" w:sz="0" w:space="0" w:color="auto"/>
      </w:divBdr>
    </w:div>
    <w:div w:id="1249776544">
      <w:bodyDiv w:val="1"/>
      <w:marLeft w:val="0"/>
      <w:marRight w:val="0"/>
      <w:marTop w:val="0"/>
      <w:marBottom w:val="0"/>
      <w:divBdr>
        <w:top w:val="none" w:sz="0" w:space="0" w:color="auto"/>
        <w:left w:val="none" w:sz="0" w:space="0" w:color="auto"/>
        <w:bottom w:val="none" w:sz="0" w:space="0" w:color="auto"/>
        <w:right w:val="none" w:sz="0" w:space="0" w:color="auto"/>
      </w:divBdr>
    </w:div>
    <w:div w:id="1249776652">
      <w:bodyDiv w:val="1"/>
      <w:marLeft w:val="0"/>
      <w:marRight w:val="0"/>
      <w:marTop w:val="0"/>
      <w:marBottom w:val="0"/>
      <w:divBdr>
        <w:top w:val="none" w:sz="0" w:space="0" w:color="auto"/>
        <w:left w:val="none" w:sz="0" w:space="0" w:color="auto"/>
        <w:bottom w:val="none" w:sz="0" w:space="0" w:color="auto"/>
        <w:right w:val="none" w:sz="0" w:space="0" w:color="auto"/>
      </w:divBdr>
    </w:div>
    <w:div w:id="1249850607">
      <w:bodyDiv w:val="1"/>
      <w:marLeft w:val="0"/>
      <w:marRight w:val="0"/>
      <w:marTop w:val="0"/>
      <w:marBottom w:val="0"/>
      <w:divBdr>
        <w:top w:val="none" w:sz="0" w:space="0" w:color="auto"/>
        <w:left w:val="none" w:sz="0" w:space="0" w:color="auto"/>
        <w:bottom w:val="none" w:sz="0" w:space="0" w:color="auto"/>
        <w:right w:val="none" w:sz="0" w:space="0" w:color="auto"/>
      </w:divBdr>
    </w:div>
    <w:div w:id="1250045798">
      <w:bodyDiv w:val="1"/>
      <w:marLeft w:val="0"/>
      <w:marRight w:val="0"/>
      <w:marTop w:val="0"/>
      <w:marBottom w:val="0"/>
      <w:divBdr>
        <w:top w:val="none" w:sz="0" w:space="0" w:color="auto"/>
        <w:left w:val="none" w:sz="0" w:space="0" w:color="auto"/>
        <w:bottom w:val="none" w:sz="0" w:space="0" w:color="auto"/>
        <w:right w:val="none" w:sz="0" w:space="0" w:color="auto"/>
      </w:divBdr>
    </w:div>
    <w:div w:id="1250306106">
      <w:bodyDiv w:val="1"/>
      <w:marLeft w:val="0"/>
      <w:marRight w:val="0"/>
      <w:marTop w:val="0"/>
      <w:marBottom w:val="0"/>
      <w:divBdr>
        <w:top w:val="none" w:sz="0" w:space="0" w:color="auto"/>
        <w:left w:val="none" w:sz="0" w:space="0" w:color="auto"/>
        <w:bottom w:val="none" w:sz="0" w:space="0" w:color="auto"/>
        <w:right w:val="none" w:sz="0" w:space="0" w:color="auto"/>
      </w:divBdr>
    </w:div>
    <w:div w:id="1251042931">
      <w:bodyDiv w:val="1"/>
      <w:marLeft w:val="0"/>
      <w:marRight w:val="0"/>
      <w:marTop w:val="0"/>
      <w:marBottom w:val="0"/>
      <w:divBdr>
        <w:top w:val="none" w:sz="0" w:space="0" w:color="auto"/>
        <w:left w:val="none" w:sz="0" w:space="0" w:color="auto"/>
        <w:bottom w:val="none" w:sz="0" w:space="0" w:color="auto"/>
        <w:right w:val="none" w:sz="0" w:space="0" w:color="auto"/>
      </w:divBdr>
    </w:div>
    <w:div w:id="1251617530">
      <w:bodyDiv w:val="1"/>
      <w:marLeft w:val="0"/>
      <w:marRight w:val="0"/>
      <w:marTop w:val="0"/>
      <w:marBottom w:val="0"/>
      <w:divBdr>
        <w:top w:val="none" w:sz="0" w:space="0" w:color="auto"/>
        <w:left w:val="none" w:sz="0" w:space="0" w:color="auto"/>
        <w:bottom w:val="none" w:sz="0" w:space="0" w:color="auto"/>
        <w:right w:val="none" w:sz="0" w:space="0" w:color="auto"/>
      </w:divBdr>
    </w:div>
    <w:div w:id="1251698008">
      <w:bodyDiv w:val="1"/>
      <w:marLeft w:val="0"/>
      <w:marRight w:val="0"/>
      <w:marTop w:val="0"/>
      <w:marBottom w:val="0"/>
      <w:divBdr>
        <w:top w:val="none" w:sz="0" w:space="0" w:color="auto"/>
        <w:left w:val="none" w:sz="0" w:space="0" w:color="auto"/>
        <w:bottom w:val="none" w:sz="0" w:space="0" w:color="auto"/>
        <w:right w:val="none" w:sz="0" w:space="0" w:color="auto"/>
      </w:divBdr>
    </w:div>
    <w:div w:id="1252010478">
      <w:bodyDiv w:val="1"/>
      <w:marLeft w:val="0"/>
      <w:marRight w:val="0"/>
      <w:marTop w:val="0"/>
      <w:marBottom w:val="0"/>
      <w:divBdr>
        <w:top w:val="none" w:sz="0" w:space="0" w:color="auto"/>
        <w:left w:val="none" w:sz="0" w:space="0" w:color="auto"/>
        <w:bottom w:val="none" w:sz="0" w:space="0" w:color="auto"/>
        <w:right w:val="none" w:sz="0" w:space="0" w:color="auto"/>
      </w:divBdr>
    </w:div>
    <w:div w:id="1252201790">
      <w:bodyDiv w:val="1"/>
      <w:marLeft w:val="0"/>
      <w:marRight w:val="0"/>
      <w:marTop w:val="0"/>
      <w:marBottom w:val="0"/>
      <w:divBdr>
        <w:top w:val="none" w:sz="0" w:space="0" w:color="auto"/>
        <w:left w:val="none" w:sz="0" w:space="0" w:color="auto"/>
        <w:bottom w:val="none" w:sz="0" w:space="0" w:color="auto"/>
        <w:right w:val="none" w:sz="0" w:space="0" w:color="auto"/>
      </w:divBdr>
    </w:div>
    <w:div w:id="1252354958">
      <w:bodyDiv w:val="1"/>
      <w:marLeft w:val="0"/>
      <w:marRight w:val="0"/>
      <w:marTop w:val="0"/>
      <w:marBottom w:val="0"/>
      <w:divBdr>
        <w:top w:val="none" w:sz="0" w:space="0" w:color="auto"/>
        <w:left w:val="none" w:sz="0" w:space="0" w:color="auto"/>
        <w:bottom w:val="none" w:sz="0" w:space="0" w:color="auto"/>
        <w:right w:val="none" w:sz="0" w:space="0" w:color="auto"/>
      </w:divBdr>
    </w:div>
    <w:div w:id="1252934524">
      <w:bodyDiv w:val="1"/>
      <w:marLeft w:val="0"/>
      <w:marRight w:val="0"/>
      <w:marTop w:val="0"/>
      <w:marBottom w:val="0"/>
      <w:divBdr>
        <w:top w:val="none" w:sz="0" w:space="0" w:color="auto"/>
        <w:left w:val="none" w:sz="0" w:space="0" w:color="auto"/>
        <w:bottom w:val="none" w:sz="0" w:space="0" w:color="auto"/>
        <w:right w:val="none" w:sz="0" w:space="0" w:color="auto"/>
      </w:divBdr>
    </w:div>
    <w:div w:id="1253201785">
      <w:bodyDiv w:val="1"/>
      <w:marLeft w:val="0"/>
      <w:marRight w:val="0"/>
      <w:marTop w:val="0"/>
      <w:marBottom w:val="0"/>
      <w:divBdr>
        <w:top w:val="none" w:sz="0" w:space="0" w:color="auto"/>
        <w:left w:val="none" w:sz="0" w:space="0" w:color="auto"/>
        <w:bottom w:val="none" w:sz="0" w:space="0" w:color="auto"/>
        <w:right w:val="none" w:sz="0" w:space="0" w:color="auto"/>
      </w:divBdr>
    </w:div>
    <w:div w:id="1253319186">
      <w:bodyDiv w:val="1"/>
      <w:marLeft w:val="0"/>
      <w:marRight w:val="0"/>
      <w:marTop w:val="0"/>
      <w:marBottom w:val="0"/>
      <w:divBdr>
        <w:top w:val="none" w:sz="0" w:space="0" w:color="auto"/>
        <w:left w:val="none" w:sz="0" w:space="0" w:color="auto"/>
        <w:bottom w:val="none" w:sz="0" w:space="0" w:color="auto"/>
        <w:right w:val="none" w:sz="0" w:space="0" w:color="auto"/>
      </w:divBdr>
    </w:div>
    <w:div w:id="1253666739">
      <w:bodyDiv w:val="1"/>
      <w:marLeft w:val="0"/>
      <w:marRight w:val="0"/>
      <w:marTop w:val="0"/>
      <w:marBottom w:val="0"/>
      <w:divBdr>
        <w:top w:val="none" w:sz="0" w:space="0" w:color="auto"/>
        <w:left w:val="none" w:sz="0" w:space="0" w:color="auto"/>
        <w:bottom w:val="none" w:sz="0" w:space="0" w:color="auto"/>
        <w:right w:val="none" w:sz="0" w:space="0" w:color="auto"/>
      </w:divBdr>
    </w:div>
    <w:div w:id="1253776904">
      <w:bodyDiv w:val="1"/>
      <w:marLeft w:val="0"/>
      <w:marRight w:val="0"/>
      <w:marTop w:val="0"/>
      <w:marBottom w:val="0"/>
      <w:divBdr>
        <w:top w:val="none" w:sz="0" w:space="0" w:color="auto"/>
        <w:left w:val="none" w:sz="0" w:space="0" w:color="auto"/>
        <w:bottom w:val="none" w:sz="0" w:space="0" w:color="auto"/>
        <w:right w:val="none" w:sz="0" w:space="0" w:color="auto"/>
      </w:divBdr>
    </w:div>
    <w:div w:id="1253779679">
      <w:bodyDiv w:val="1"/>
      <w:marLeft w:val="0"/>
      <w:marRight w:val="0"/>
      <w:marTop w:val="0"/>
      <w:marBottom w:val="0"/>
      <w:divBdr>
        <w:top w:val="none" w:sz="0" w:space="0" w:color="auto"/>
        <w:left w:val="none" w:sz="0" w:space="0" w:color="auto"/>
        <w:bottom w:val="none" w:sz="0" w:space="0" w:color="auto"/>
        <w:right w:val="none" w:sz="0" w:space="0" w:color="auto"/>
      </w:divBdr>
    </w:div>
    <w:div w:id="1253929606">
      <w:bodyDiv w:val="1"/>
      <w:marLeft w:val="0"/>
      <w:marRight w:val="0"/>
      <w:marTop w:val="0"/>
      <w:marBottom w:val="0"/>
      <w:divBdr>
        <w:top w:val="none" w:sz="0" w:space="0" w:color="auto"/>
        <w:left w:val="none" w:sz="0" w:space="0" w:color="auto"/>
        <w:bottom w:val="none" w:sz="0" w:space="0" w:color="auto"/>
        <w:right w:val="none" w:sz="0" w:space="0" w:color="auto"/>
      </w:divBdr>
    </w:div>
    <w:div w:id="1253930751">
      <w:bodyDiv w:val="1"/>
      <w:marLeft w:val="0"/>
      <w:marRight w:val="0"/>
      <w:marTop w:val="0"/>
      <w:marBottom w:val="0"/>
      <w:divBdr>
        <w:top w:val="none" w:sz="0" w:space="0" w:color="auto"/>
        <w:left w:val="none" w:sz="0" w:space="0" w:color="auto"/>
        <w:bottom w:val="none" w:sz="0" w:space="0" w:color="auto"/>
        <w:right w:val="none" w:sz="0" w:space="0" w:color="auto"/>
      </w:divBdr>
    </w:div>
    <w:div w:id="1254238647">
      <w:bodyDiv w:val="1"/>
      <w:marLeft w:val="0"/>
      <w:marRight w:val="0"/>
      <w:marTop w:val="0"/>
      <w:marBottom w:val="0"/>
      <w:divBdr>
        <w:top w:val="none" w:sz="0" w:space="0" w:color="auto"/>
        <w:left w:val="none" w:sz="0" w:space="0" w:color="auto"/>
        <w:bottom w:val="none" w:sz="0" w:space="0" w:color="auto"/>
        <w:right w:val="none" w:sz="0" w:space="0" w:color="auto"/>
      </w:divBdr>
    </w:div>
    <w:div w:id="1254246021">
      <w:bodyDiv w:val="1"/>
      <w:marLeft w:val="0"/>
      <w:marRight w:val="0"/>
      <w:marTop w:val="0"/>
      <w:marBottom w:val="0"/>
      <w:divBdr>
        <w:top w:val="none" w:sz="0" w:space="0" w:color="auto"/>
        <w:left w:val="none" w:sz="0" w:space="0" w:color="auto"/>
        <w:bottom w:val="none" w:sz="0" w:space="0" w:color="auto"/>
        <w:right w:val="none" w:sz="0" w:space="0" w:color="auto"/>
      </w:divBdr>
    </w:div>
    <w:div w:id="1254389812">
      <w:bodyDiv w:val="1"/>
      <w:marLeft w:val="0"/>
      <w:marRight w:val="0"/>
      <w:marTop w:val="0"/>
      <w:marBottom w:val="0"/>
      <w:divBdr>
        <w:top w:val="none" w:sz="0" w:space="0" w:color="auto"/>
        <w:left w:val="none" w:sz="0" w:space="0" w:color="auto"/>
        <w:bottom w:val="none" w:sz="0" w:space="0" w:color="auto"/>
        <w:right w:val="none" w:sz="0" w:space="0" w:color="auto"/>
      </w:divBdr>
    </w:div>
    <w:div w:id="1254706494">
      <w:bodyDiv w:val="1"/>
      <w:marLeft w:val="0"/>
      <w:marRight w:val="0"/>
      <w:marTop w:val="0"/>
      <w:marBottom w:val="0"/>
      <w:divBdr>
        <w:top w:val="none" w:sz="0" w:space="0" w:color="auto"/>
        <w:left w:val="none" w:sz="0" w:space="0" w:color="auto"/>
        <w:bottom w:val="none" w:sz="0" w:space="0" w:color="auto"/>
        <w:right w:val="none" w:sz="0" w:space="0" w:color="auto"/>
      </w:divBdr>
    </w:div>
    <w:div w:id="1254707531">
      <w:bodyDiv w:val="1"/>
      <w:marLeft w:val="0"/>
      <w:marRight w:val="0"/>
      <w:marTop w:val="0"/>
      <w:marBottom w:val="0"/>
      <w:divBdr>
        <w:top w:val="none" w:sz="0" w:space="0" w:color="auto"/>
        <w:left w:val="none" w:sz="0" w:space="0" w:color="auto"/>
        <w:bottom w:val="none" w:sz="0" w:space="0" w:color="auto"/>
        <w:right w:val="none" w:sz="0" w:space="0" w:color="auto"/>
      </w:divBdr>
    </w:div>
    <w:div w:id="1254971484">
      <w:bodyDiv w:val="1"/>
      <w:marLeft w:val="0"/>
      <w:marRight w:val="0"/>
      <w:marTop w:val="0"/>
      <w:marBottom w:val="0"/>
      <w:divBdr>
        <w:top w:val="none" w:sz="0" w:space="0" w:color="auto"/>
        <w:left w:val="none" w:sz="0" w:space="0" w:color="auto"/>
        <w:bottom w:val="none" w:sz="0" w:space="0" w:color="auto"/>
        <w:right w:val="none" w:sz="0" w:space="0" w:color="auto"/>
      </w:divBdr>
    </w:div>
    <w:div w:id="1255284973">
      <w:bodyDiv w:val="1"/>
      <w:marLeft w:val="0"/>
      <w:marRight w:val="0"/>
      <w:marTop w:val="0"/>
      <w:marBottom w:val="0"/>
      <w:divBdr>
        <w:top w:val="none" w:sz="0" w:space="0" w:color="auto"/>
        <w:left w:val="none" w:sz="0" w:space="0" w:color="auto"/>
        <w:bottom w:val="none" w:sz="0" w:space="0" w:color="auto"/>
        <w:right w:val="none" w:sz="0" w:space="0" w:color="auto"/>
      </w:divBdr>
    </w:div>
    <w:div w:id="1255476433">
      <w:bodyDiv w:val="1"/>
      <w:marLeft w:val="0"/>
      <w:marRight w:val="0"/>
      <w:marTop w:val="0"/>
      <w:marBottom w:val="0"/>
      <w:divBdr>
        <w:top w:val="none" w:sz="0" w:space="0" w:color="auto"/>
        <w:left w:val="none" w:sz="0" w:space="0" w:color="auto"/>
        <w:bottom w:val="none" w:sz="0" w:space="0" w:color="auto"/>
        <w:right w:val="none" w:sz="0" w:space="0" w:color="auto"/>
      </w:divBdr>
    </w:div>
    <w:div w:id="1255625660">
      <w:bodyDiv w:val="1"/>
      <w:marLeft w:val="0"/>
      <w:marRight w:val="0"/>
      <w:marTop w:val="0"/>
      <w:marBottom w:val="0"/>
      <w:divBdr>
        <w:top w:val="none" w:sz="0" w:space="0" w:color="auto"/>
        <w:left w:val="none" w:sz="0" w:space="0" w:color="auto"/>
        <w:bottom w:val="none" w:sz="0" w:space="0" w:color="auto"/>
        <w:right w:val="none" w:sz="0" w:space="0" w:color="auto"/>
      </w:divBdr>
    </w:div>
    <w:div w:id="1255626423">
      <w:bodyDiv w:val="1"/>
      <w:marLeft w:val="0"/>
      <w:marRight w:val="0"/>
      <w:marTop w:val="0"/>
      <w:marBottom w:val="0"/>
      <w:divBdr>
        <w:top w:val="none" w:sz="0" w:space="0" w:color="auto"/>
        <w:left w:val="none" w:sz="0" w:space="0" w:color="auto"/>
        <w:bottom w:val="none" w:sz="0" w:space="0" w:color="auto"/>
        <w:right w:val="none" w:sz="0" w:space="0" w:color="auto"/>
      </w:divBdr>
    </w:div>
    <w:div w:id="1255631173">
      <w:bodyDiv w:val="1"/>
      <w:marLeft w:val="0"/>
      <w:marRight w:val="0"/>
      <w:marTop w:val="0"/>
      <w:marBottom w:val="0"/>
      <w:divBdr>
        <w:top w:val="none" w:sz="0" w:space="0" w:color="auto"/>
        <w:left w:val="none" w:sz="0" w:space="0" w:color="auto"/>
        <w:bottom w:val="none" w:sz="0" w:space="0" w:color="auto"/>
        <w:right w:val="none" w:sz="0" w:space="0" w:color="auto"/>
      </w:divBdr>
    </w:div>
    <w:div w:id="1256129393">
      <w:bodyDiv w:val="1"/>
      <w:marLeft w:val="0"/>
      <w:marRight w:val="0"/>
      <w:marTop w:val="0"/>
      <w:marBottom w:val="0"/>
      <w:divBdr>
        <w:top w:val="none" w:sz="0" w:space="0" w:color="auto"/>
        <w:left w:val="none" w:sz="0" w:space="0" w:color="auto"/>
        <w:bottom w:val="none" w:sz="0" w:space="0" w:color="auto"/>
        <w:right w:val="none" w:sz="0" w:space="0" w:color="auto"/>
      </w:divBdr>
    </w:div>
    <w:div w:id="1256131528">
      <w:bodyDiv w:val="1"/>
      <w:marLeft w:val="0"/>
      <w:marRight w:val="0"/>
      <w:marTop w:val="0"/>
      <w:marBottom w:val="0"/>
      <w:divBdr>
        <w:top w:val="none" w:sz="0" w:space="0" w:color="auto"/>
        <w:left w:val="none" w:sz="0" w:space="0" w:color="auto"/>
        <w:bottom w:val="none" w:sz="0" w:space="0" w:color="auto"/>
        <w:right w:val="none" w:sz="0" w:space="0" w:color="auto"/>
      </w:divBdr>
    </w:div>
    <w:div w:id="1256328337">
      <w:bodyDiv w:val="1"/>
      <w:marLeft w:val="0"/>
      <w:marRight w:val="0"/>
      <w:marTop w:val="0"/>
      <w:marBottom w:val="0"/>
      <w:divBdr>
        <w:top w:val="none" w:sz="0" w:space="0" w:color="auto"/>
        <w:left w:val="none" w:sz="0" w:space="0" w:color="auto"/>
        <w:bottom w:val="none" w:sz="0" w:space="0" w:color="auto"/>
        <w:right w:val="none" w:sz="0" w:space="0" w:color="auto"/>
      </w:divBdr>
    </w:div>
    <w:div w:id="1256356908">
      <w:bodyDiv w:val="1"/>
      <w:marLeft w:val="0"/>
      <w:marRight w:val="0"/>
      <w:marTop w:val="0"/>
      <w:marBottom w:val="0"/>
      <w:divBdr>
        <w:top w:val="none" w:sz="0" w:space="0" w:color="auto"/>
        <w:left w:val="none" w:sz="0" w:space="0" w:color="auto"/>
        <w:bottom w:val="none" w:sz="0" w:space="0" w:color="auto"/>
        <w:right w:val="none" w:sz="0" w:space="0" w:color="auto"/>
      </w:divBdr>
    </w:div>
    <w:div w:id="1256786953">
      <w:bodyDiv w:val="1"/>
      <w:marLeft w:val="0"/>
      <w:marRight w:val="0"/>
      <w:marTop w:val="0"/>
      <w:marBottom w:val="0"/>
      <w:divBdr>
        <w:top w:val="none" w:sz="0" w:space="0" w:color="auto"/>
        <w:left w:val="none" w:sz="0" w:space="0" w:color="auto"/>
        <w:bottom w:val="none" w:sz="0" w:space="0" w:color="auto"/>
        <w:right w:val="none" w:sz="0" w:space="0" w:color="auto"/>
      </w:divBdr>
    </w:div>
    <w:div w:id="1256866580">
      <w:bodyDiv w:val="1"/>
      <w:marLeft w:val="0"/>
      <w:marRight w:val="0"/>
      <w:marTop w:val="0"/>
      <w:marBottom w:val="0"/>
      <w:divBdr>
        <w:top w:val="none" w:sz="0" w:space="0" w:color="auto"/>
        <w:left w:val="none" w:sz="0" w:space="0" w:color="auto"/>
        <w:bottom w:val="none" w:sz="0" w:space="0" w:color="auto"/>
        <w:right w:val="none" w:sz="0" w:space="0" w:color="auto"/>
      </w:divBdr>
    </w:div>
    <w:div w:id="1257324672">
      <w:bodyDiv w:val="1"/>
      <w:marLeft w:val="0"/>
      <w:marRight w:val="0"/>
      <w:marTop w:val="0"/>
      <w:marBottom w:val="0"/>
      <w:divBdr>
        <w:top w:val="none" w:sz="0" w:space="0" w:color="auto"/>
        <w:left w:val="none" w:sz="0" w:space="0" w:color="auto"/>
        <w:bottom w:val="none" w:sz="0" w:space="0" w:color="auto"/>
        <w:right w:val="none" w:sz="0" w:space="0" w:color="auto"/>
      </w:divBdr>
    </w:div>
    <w:div w:id="1257441935">
      <w:bodyDiv w:val="1"/>
      <w:marLeft w:val="0"/>
      <w:marRight w:val="0"/>
      <w:marTop w:val="0"/>
      <w:marBottom w:val="0"/>
      <w:divBdr>
        <w:top w:val="none" w:sz="0" w:space="0" w:color="auto"/>
        <w:left w:val="none" w:sz="0" w:space="0" w:color="auto"/>
        <w:bottom w:val="none" w:sz="0" w:space="0" w:color="auto"/>
        <w:right w:val="none" w:sz="0" w:space="0" w:color="auto"/>
      </w:divBdr>
    </w:div>
    <w:div w:id="1257590573">
      <w:bodyDiv w:val="1"/>
      <w:marLeft w:val="0"/>
      <w:marRight w:val="0"/>
      <w:marTop w:val="0"/>
      <w:marBottom w:val="0"/>
      <w:divBdr>
        <w:top w:val="none" w:sz="0" w:space="0" w:color="auto"/>
        <w:left w:val="none" w:sz="0" w:space="0" w:color="auto"/>
        <w:bottom w:val="none" w:sz="0" w:space="0" w:color="auto"/>
        <w:right w:val="none" w:sz="0" w:space="0" w:color="auto"/>
      </w:divBdr>
    </w:div>
    <w:div w:id="1257714651">
      <w:bodyDiv w:val="1"/>
      <w:marLeft w:val="0"/>
      <w:marRight w:val="0"/>
      <w:marTop w:val="0"/>
      <w:marBottom w:val="0"/>
      <w:divBdr>
        <w:top w:val="none" w:sz="0" w:space="0" w:color="auto"/>
        <w:left w:val="none" w:sz="0" w:space="0" w:color="auto"/>
        <w:bottom w:val="none" w:sz="0" w:space="0" w:color="auto"/>
        <w:right w:val="none" w:sz="0" w:space="0" w:color="auto"/>
      </w:divBdr>
    </w:div>
    <w:div w:id="1257978950">
      <w:bodyDiv w:val="1"/>
      <w:marLeft w:val="0"/>
      <w:marRight w:val="0"/>
      <w:marTop w:val="0"/>
      <w:marBottom w:val="0"/>
      <w:divBdr>
        <w:top w:val="none" w:sz="0" w:space="0" w:color="auto"/>
        <w:left w:val="none" w:sz="0" w:space="0" w:color="auto"/>
        <w:bottom w:val="none" w:sz="0" w:space="0" w:color="auto"/>
        <w:right w:val="none" w:sz="0" w:space="0" w:color="auto"/>
      </w:divBdr>
    </w:div>
    <w:div w:id="1257980022">
      <w:bodyDiv w:val="1"/>
      <w:marLeft w:val="0"/>
      <w:marRight w:val="0"/>
      <w:marTop w:val="0"/>
      <w:marBottom w:val="0"/>
      <w:divBdr>
        <w:top w:val="none" w:sz="0" w:space="0" w:color="auto"/>
        <w:left w:val="none" w:sz="0" w:space="0" w:color="auto"/>
        <w:bottom w:val="none" w:sz="0" w:space="0" w:color="auto"/>
        <w:right w:val="none" w:sz="0" w:space="0" w:color="auto"/>
      </w:divBdr>
    </w:div>
    <w:div w:id="1258057057">
      <w:bodyDiv w:val="1"/>
      <w:marLeft w:val="0"/>
      <w:marRight w:val="0"/>
      <w:marTop w:val="0"/>
      <w:marBottom w:val="0"/>
      <w:divBdr>
        <w:top w:val="none" w:sz="0" w:space="0" w:color="auto"/>
        <w:left w:val="none" w:sz="0" w:space="0" w:color="auto"/>
        <w:bottom w:val="none" w:sz="0" w:space="0" w:color="auto"/>
        <w:right w:val="none" w:sz="0" w:space="0" w:color="auto"/>
      </w:divBdr>
    </w:div>
    <w:div w:id="1258443864">
      <w:bodyDiv w:val="1"/>
      <w:marLeft w:val="0"/>
      <w:marRight w:val="0"/>
      <w:marTop w:val="0"/>
      <w:marBottom w:val="0"/>
      <w:divBdr>
        <w:top w:val="none" w:sz="0" w:space="0" w:color="auto"/>
        <w:left w:val="none" w:sz="0" w:space="0" w:color="auto"/>
        <w:bottom w:val="none" w:sz="0" w:space="0" w:color="auto"/>
        <w:right w:val="none" w:sz="0" w:space="0" w:color="auto"/>
      </w:divBdr>
    </w:div>
    <w:div w:id="1258640438">
      <w:bodyDiv w:val="1"/>
      <w:marLeft w:val="0"/>
      <w:marRight w:val="0"/>
      <w:marTop w:val="0"/>
      <w:marBottom w:val="0"/>
      <w:divBdr>
        <w:top w:val="none" w:sz="0" w:space="0" w:color="auto"/>
        <w:left w:val="none" w:sz="0" w:space="0" w:color="auto"/>
        <w:bottom w:val="none" w:sz="0" w:space="0" w:color="auto"/>
        <w:right w:val="none" w:sz="0" w:space="0" w:color="auto"/>
      </w:divBdr>
    </w:div>
    <w:div w:id="1258711150">
      <w:bodyDiv w:val="1"/>
      <w:marLeft w:val="0"/>
      <w:marRight w:val="0"/>
      <w:marTop w:val="0"/>
      <w:marBottom w:val="0"/>
      <w:divBdr>
        <w:top w:val="none" w:sz="0" w:space="0" w:color="auto"/>
        <w:left w:val="none" w:sz="0" w:space="0" w:color="auto"/>
        <w:bottom w:val="none" w:sz="0" w:space="0" w:color="auto"/>
        <w:right w:val="none" w:sz="0" w:space="0" w:color="auto"/>
      </w:divBdr>
    </w:div>
    <w:div w:id="1258782167">
      <w:bodyDiv w:val="1"/>
      <w:marLeft w:val="0"/>
      <w:marRight w:val="0"/>
      <w:marTop w:val="0"/>
      <w:marBottom w:val="0"/>
      <w:divBdr>
        <w:top w:val="none" w:sz="0" w:space="0" w:color="auto"/>
        <w:left w:val="none" w:sz="0" w:space="0" w:color="auto"/>
        <w:bottom w:val="none" w:sz="0" w:space="0" w:color="auto"/>
        <w:right w:val="none" w:sz="0" w:space="0" w:color="auto"/>
      </w:divBdr>
    </w:div>
    <w:div w:id="1258782171">
      <w:bodyDiv w:val="1"/>
      <w:marLeft w:val="0"/>
      <w:marRight w:val="0"/>
      <w:marTop w:val="0"/>
      <w:marBottom w:val="0"/>
      <w:divBdr>
        <w:top w:val="none" w:sz="0" w:space="0" w:color="auto"/>
        <w:left w:val="none" w:sz="0" w:space="0" w:color="auto"/>
        <w:bottom w:val="none" w:sz="0" w:space="0" w:color="auto"/>
        <w:right w:val="none" w:sz="0" w:space="0" w:color="auto"/>
      </w:divBdr>
    </w:div>
    <w:div w:id="1258829196">
      <w:bodyDiv w:val="1"/>
      <w:marLeft w:val="0"/>
      <w:marRight w:val="0"/>
      <w:marTop w:val="0"/>
      <w:marBottom w:val="0"/>
      <w:divBdr>
        <w:top w:val="none" w:sz="0" w:space="0" w:color="auto"/>
        <w:left w:val="none" w:sz="0" w:space="0" w:color="auto"/>
        <w:bottom w:val="none" w:sz="0" w:space="0" w:color="auto"/>
        <w:right w:val="none" w:sz="0" w:space="0" w:color="auto"/>
      </w:divBdr>
    </w:div>
    <w:div w:id="1258901891">
      <w:bodyDiv w:val="1"/>
      <w:marLeft w:val="0"/>
      <w:marRight w:val="0"/>
      <w:marTop w:val="0"/>
      <w:marBottom w:val="0"/>
      <w:divBdr>
        <w:top w:val="none" w:sz="0" w:space="0" w:color="auto"/>
        <w:left w:val="none" w:sz="0" w:space="0" w:color="auto"/>
        <w:bottom w:val="none" w:sz="0" w:space="0" w:color="auto"/>
        <w:right w:val="none" w:sz="0" w:space="0" w:color="auto"/>
      </w:divBdr>
    </w:div>
    <w:div w:id="1259605686">
      <w:bodyDiv w:val="1"/>
      <w:marLeft w:val="0"/>
      <w:marRight w:val="0"/>
      <w:marTop w:val="0"/>
      <w:marBottom w:val="0"/>
      <w:divBdr>
        <w:top w:val="none" w:sz="0" w:space="0" w:color="auto"/>
        <w:left w:val="none" w:sz="0" w:space="0" w:color="auto"/>
        <w:bottom w:val="none" w:sz="0" w:space="0" w:color="auto"/>
        <w:right w:val="none" w:sz="0" w:space="0" w:color="auto"/>
      </w:divBdr>
    </w:div>
    <w:div w:id="1259606765">
      <w:bodyDiv w:val="1"/>
      <w:marLeft w:val="0"/>
      <w:marRight w:val="0"/>
      <w:marTop w:val="0"/>
      <w:marBottom w:val="0"/>
      <w:divBdr>
        <w:top w:val="none" w:sz="0" w:space="0" w:color="auto"/>
        <w:left w:val="none" w:sz="0" w:space="0" w:color="auto"/>
        <w:bottom w:val="none" w:sz="0" w:space="0" w:color="auto"/>
        <w:right w:val="none" w:sz="0" w:space="0" w:color="auto"/>
      </w:divBdr>
    </w:div>
    <w:div w:id="1259679879">
      <w:bodyDiv w:val="1"/>
      <w:marLeft w:val="0"/>
      <w:marRight w:val="0"/>
      <w:marTop w:val="0"/>
      <w:marBottom w:val="0"/>
      <w:divBdr>
        <w:top w:val="none" w:sz="0" w:space="0" w:color="auto"/>
        <w:left w:val="none" w:sz="0" w:space="0" w:color="auto"/>
        <w:bottom w:val="none" w:sz="0" w:space="0" w:color="auto"/>
        <w:right w:val="none" w:sz="0" w:space="0" w:color="auto"/>
      </w:divBdr>
    </w:div>
    <w:div w:id="1259755823">
      <w:bodyDiv w:val="1"/>
      <w:marLeft w:val="0"/>
      <w:marRight w:val="0"/>
      <w:marTop w:val="0"/>
      <w:marBottom w:val="0"/>
      <w:divBdr>
        <w:top w:val="none" w:sz="0" w:space="0" w:color="auto"/>
        <w:left w:val="none" w:sz="0" w:space="0" w:color="auto"/>
        <w:bottom w:val="none" w:sz="0" w:space="0" w:color="auto"/>
        <w:right w:val="none" w:sz="0" w:space="0" w:color="auto"/>
      </w:divBdr>
    </w:div>
    <w:div w:id="1259871941">
      <w:bodyDiv w:val="1"/>
      <w:marLeft w:val="0"/>
      <w:marRight w:val="0"/>
      <w:marTop w:val="0"/>
      <w:marBottom w:val="0"/>
      <w:divBdr>
        <w:top w:val="none" w:sz="0" w:space="0" w:color="auto"/>
        <w:left w:val="none" w:sz="0" w:space="0" w:color="auto"/>
        <w:bottom w:val="none" w:sz="0" w:space="0" w:color="auto"/>
        <w:right w:val="none" w:sz="0" w:space="0" w:color="auto"/>
      </w:divBdr>
    </w:div>
    <w:div w:id="1260142402">
      <w:bodyDiv w:val="1"/>
      <w:marLeft w:val="0"/>
      <w:marRight w:val="0"/>
      <w:marTop w:val="0"/>
      <w:marBottom w:val="0"/>
      <w:divBdr>
        <w:top w:val="none" w:sz="0" w:space="0" w:color="auto"/>
        <w:left w:val="none" w:sz="0" w:space="0" w:color="auto"/>
        <w:bottom w:val="none" w:sz="0" w:space="0" w:color="auto"/>
        <w:right w:val="none" w:sz="0" w:space="0" w:color="auto"/>
      </w:divBdr>
    </w:div>
    <w:div w:id="1260217162">
      <w:bodyDiv w:val="1"/>
      <w:marLeft w:val="0"/>
      <w:marRight w:val="0"/>
      <w:marTop w:val="0"/>
      <w:marBottom w:val="0"/>
      <w:divBdr>
        <w:top w:val="none" w:sz="0" w:space="0" w:color="auto"/>
        <w:left w:val="none" w:sz="0" w:space="0" w:color="auto"/>
        <w:bottom w:val="none" w:sz="0" w:space="0" w:color="auto"/>
        <w:right w:val="none" w:sz="0" w:space="0" w:color="auto"/>
      </w:divBdr>
    </w:div>
    <w:div w:id="1260483190">
      <w:bodyDiv w:val="1"/>
      <w:marLeft w:val="0"/>
      <w:marRight w:val="0"/>
      <w:marTop w:val="0"/>
      <w:marBottom w:val="0"/>
      <w:divBdr>
        <w:top w:val="none" w:sz="0" w:space="0" w:color="auto"/>
        <w:left w:val="none" w:sz="0" w:space="0" w:color="auto"/>
        <w:bottom w:val="none" w:sz="0" w:space="0" w:color="auto"/>
        <w:right w:val="none" w:sz="0" w:space="0" w:color="auto"/>
      </w:divBdr>
    </w:div>
    <w:div w:id="1260522840">
      <w:bodyDiv w:val="1"/>
      <w:marLeft w:val="0"/>
      <w:marRight w:val="0"/>
      <w:marTop w:val="0"/>
      <w:marBottom w:val="0"/>
      <w:divBdr>
        <w:top w:val="none" w:sz="0" w:space="0" w:color="auto"/>
        <w:left w:val="none" w:sz="0" w:space="0" w:color="auto"/>
        <w:bottom w:val="none" w:sz="0" w:space="0" w:color="auto"/>
        <w:right w:val="none" w:sz="0" w:space="0" w:color="auto"/>
      </w:divBdr>
    </w:div>
    <w:div w:id="1260792520">
      <w:bodyDiv w:val="1"/>
      <w:marLeft w:val="0"/>
      <w:marRight w:val="0"/>
      <w:marTop w:val="0"/>
      <w:marBottom w:val="0"/>
      <w:divBdr>
        <w:top w:val="none" w:sz="0" w:space="0" w:color="auto"/>
        <w:left w:val="none" w:sz="0" w:space="0" w:color="auto"/>
        <w:bottom w:val="none" w:sz="0" w:space="0" w:color="auto"/>
        <w:right w:val="none" w:sz="0" w:space="0" w:color="auto"/>
      </w:divBdr>
    </w:div>
    <w:div w:id="1260794194">
      <w:bodyDiv w:val="1"/>
      <w:marLeft w:val="0"/>
      <w:marRight w:val="0"/>
      <w:marTop w:val="0"/>
      <w:marBottom w:val="0"/>
      <w:divBdr>
        <w:top w:val="none" w:sz="0" w:space="0" w:color="auto"/>
        <w:left w:val="none" w:sz="0" w:space="0" w:color="auto"/>
        <w:bottom w:val="none" w:sz="0" w:space="0" w:color="auto"/>
        <w:right w:val="none" w:sz="0" w:space="0" w:color="auto"/>
      </w:divBdr>
    </w:div>
    <w:div w:id="1260871897">
      <w:bodyDiv w:val="1"/>
      <w:marLeft w:val="0"/>
      <w:marRight w:val="0"/>
      <w:marTop w:val="0"/>
      <w:marBottom w:val="0"/>
      <w:divBdr>
        <w:top w:val="none" w:sz="0" w:space="0" w:color="auto"/>
        <w:left w:val="none" w:sz="0" w:space="0" w:color="auto"/>
        <w:bottom w:val="none" w:sz="0" w:space="0" w:color="auto"/>
        <w:right w:val="none" w:sz="0" w:space="0" w:color="auto"/>
      </w:divBdr>
    </w:div>
    <w:div w:id="1260986593">
      <w:bodyDiv w:val="1"/>
      <w:marLeft w:val="0"/>
      <w:marRight w:val="0"/>
      <w:marTop w:val="0"/>
      <w:marBottom w:val="0"/>
      <w:divBdr>
        <w:top w:val="none" w:sz="0" w:space="0" w:color="auto"/>
        <w:left w:val="none" w:sz="0" w:space="0" w:color="auto"/>
        <w:bottom w:val="none" w:sz="0" w:space="0" w:color="auto"/>
        <w:right w:val="none" w:sz="0" w:space="0" w:color="auto"/>
      </w:divBdr>
    </w:div>
    <w:div w:id="1261179038">
      <w:bodyDiv w:val="1"/>
      <w:marLeft w:val="0"/>
      <w:marRight w:val="0"/>
      <w:marTop w:val="0"/>
      <w:marBottom w:val="0"/>
      <w:divBdr>
        <w:top w:val="none" w:sz="0" w:space="0" w:color="auto"/>
        <w:left w:val="none" w:sz="0" w:space="0" w:color="auto"/>
        <w:bottom w:val="none" w:sz="0" w:space="0" w:color="auto"/>
        <w:right w:val="none" w:sz="0" w:space="0" w:color="auto"/>
      </w:divBdr>
    </w:div>
    <w:div w:id="1261186472">
      <w:bodyDiv w:val="1"/>
      <w:marLeft w:val="0"/>
      <w:marRight w:val="0"/>
      <w:marTop w:val="0"/>
      <w:marBottom w:val="0"/>
      <w:divBdr>
        <w:top w:val="none" w:sz="0" w:space="0" w:color="auto"/>
        <w:left w:val="none" w:sz="0" w:space="0" w:color="auto"/>
        <w:bottom w:val="none" w:sz="0" w:space="0" w:color="auto"/>
        <w:right w:val="none" w:sz="0" w:space="0" w:color="auto"/>
      </w:divBdr>
    </w:div>
    <w:div w:id="1261376263">
      <w:bodyDiv w:val="1"/>
      <w:marLeft w:val="0"/>
      <w:marRight w:val="0"/>
      <w:marTop w:val="0"/>
      <w:marBottom w:val="0"/>
      <w:divBdr>
        <w:top w:val="none" w:sz="0" w:space="0" w:color="auto"/>
        <w:left w:val="none" w:sz="0" w:space="0" w:color="auto"/>
        <w:bottom w:val="none" w:sz="0" w:space="0" w:color="auto"/>
        <w:right w:val="none" w:sz="0" w:space="0" w:color="auto"/>
      </w:divBdr>
    </w:div>
    <w:div w:id="1261450622">
      <w:bodyDiv w:val="1"/>
      <w:marLeft w:val="0"/>
      <w:marRight w:val="0"/>
      <w:marTop w:val="0"/>
      <w:marBottom w:val="0"/>
      <w:divBdr>
        <w:top w:val="none" w:sz="0" w:space="0" w:color="auto"/>
        <w:left w:val="none" w:sz="0" w:space="0" w:color="auto"/>
        <w:bottom w:val="none" w:sz="0" w:space="0" w:color="auto"/>
        <w:right w:val="none" w:sz="0" w:space="0" w:color="auto"/>
      </w:divBdr>
    </w:div>
    <w:div w:id="1261644000">
      <w:bodyDiv w:val="1"/>
      <w:marLeft w:val="0"/>
      <w:marRight w:val="0"/>
      <w:marTop w:val="0"/>
      <w:marBottom w:val="0"/>
      <w:divBdr>
        <w:top w:val="none" w:sz="0" w:space="0" w:color="auto"/>
        <w:left w:val="none" w:sz="0" w:space="0" w:color="auto"/>
        <w:bottom w:val="none" w:sz="0" w:space="0" w:color="auto"/>
        <w:right w:val="none" w:sz="0" w:space="0" w:color="auto"/>
      </w:divBdr>
    </w:div>
    <w:div w:id="1261833763">
      <w:bodyDiv w:val="1"/>
      <w:marLeft w:val="0"/>
      <w:marRight w:val="0"/>
      <w:marTop w:val="0"/>
      <w:marBottom w:val="0"/>
      <w:divBdr>
        <w:top w:val="none" w:sz="0" w:space="0" w:color="auto"/>
        <w:left w:val="none" w:sz="0" w:space="0" w:color="auto"/>
        <w:bottom w:val="none" w:sz="0" w:space="0" w:color="auto"/>
        <w:right w:val="none" w:sz="0" w:space="0" w:color="auto"/>
      </w:divBdr>
    </w:div>
    <w:div w:id="1261836457">
      <w:bodyDiv w:val="1"/>
      <w:marLeft w:val="0"/>
      <w:marRight w:val="0"/>
      <w:marTop w:val="0"/>
      <w:marBottom w:val="0"/>
      <w:divBdr>
        <w:top w:val="none" w:sz="0" w:space="0" w:color="auto"/>
        <w:left w:val="none" w:sz="0" w:space="0" w:color="auto"/>
        <w:bottom w:val="none" w:sz="0" w:space="0" w:color="auto"/>
        <w:right w:val="none" w:sz="0" w:space="0" w:color="auto"/>
      </w:divBdr>
    </w:div>
    <w:div w:id="1261913861">
      <w:bodyDiv w:val="1"/>
      <w:marLeft w:val="0"/>
      <w:marRight w:val="0"/>
      <w:marTop w:val="0"/>
      <w:marBottom w:val="0"/>
      <w:divBdr>
        <w:top w:val="none" w:sz="0" w:space="0" w:color="auto"/>
        <w:left w:val="none" w:sz="0" w:space="0" w:color="auto"/>
        <w:bottom w:val="none" w:sz="0" w:space="0" w:color="auto"/>
        <w:right w:val="none" w:sz="0" w:space="0" w:color="auto"/>
      </w:divBdr>
    </w:div>
    <w:div w:id="1262184556">
      <w:bodyDiv w:val="1"/>
      <w:marLeft w:val="0"/>
      <w:marRight w:val="0"/>
      <w:marTop w:val="0"/>
      <w:marBottom w:val="0"/>
      <w:divBdr>
        <w:top w:val="none" w:sz="0" w:space="0" w:color="auto"/>
        <w:left w:val="none" w:sz="0" w:space="0" w:color="auto"/>
        <w:bottom w:val="none" w:sz="0" w:space="0" w:color="auto"/>
        <w:right w:val="none" w:sz="0" w:space="0" w:color="auto"/>
      </w:divBdr>
    </w:div>
    <w:div w:id="1262377369">
      <w:bodyDiv w:val="1"/>
      <w:marLeft w:val="0"/>
      <w:marRight w:val="0"/>
      <w:marTop w:val="0"/>
      <w:marBottom w:val="0"/>
      <w:divBdr>
        <w:top w:val="none" w:sz="0" w:space="0" w:color="auto"/>
        <w:left w:val="none" w:sz="0" w:space="0" w:color="auto"/>
        <w:bottom w:val="none" w:sz="0" w:space="0" w:color="auto"/>
        <w:right w:val="none" w:sz="0" w:space="0" w:color="auto"/>
      </w:divBdr>
    </w:div>
    <w:div w:id="1262449830">
      <w:bodyDiv w:val="1"/>
      <w:marLeft w:val="0"/>
      <w:marRight w:val="0"/>
      <w:marTop w:val="0"/>
      <w:marBottom w:val="0"/>
      <w:divBdr>
        <w:top w:val="none" w:sz="0" w:space="0" w:color="auto"/>
        <w:left w:val="none" w:sz="0" w:space="0" w:color="auto"/>
        <w:bottom w:val="none" w:sz="0" w:space="0" w:color="auto"/>
        <w:right w:val="none" w:sz="0" w:space="0" w:color="auto"/>
      </w:divBdr>
    </w:div>
    <w:div w:id="1262569763">
      <w:bodyDiv w:val="1"/>
      <w:marLeft w:val="0"/>
      <w:marRight w:val="0"/>
      <w:marTop w:val="0"/>
      <w:marBottom w:val="0"/>
      <w:divBdr>
        <w:top w:val="none" w:sz="0" w:space="0" w:color="auto"/>
        <w:left w:val="none" w:sz="0" w:space="0" w:color="auto"/>
        <w:bottom w:val="none" w:sz="0" w:space="0" w:color="auto"/>
        <w:right w:val="none" w:sz="0" w:space="0" w:color="auto"/>
      </w:divBdr>
    </w:div>
    <w:div w:id="1262572189">
      <w:bodyDiv w:val="1"/>
      <w:marLeft w:val="0"/>
      <w:marRight w:val="0"/>
      <w:marTop w:val="0"/>
      <w:marBottom w:val="0"/>
      <w:divBdr>
        <w:top w:val="none" w:sz="0" w:space="0" w:color="auto"/>
        <w:left w:val="none" w:sz="0" w:space="0" w:color="auto"/>
        <w:bottom w:val="none" w:sz="0" w:space="0" w:color="auto"/>
        <w:right w:val="none" w:sz="0" w:space="0" w:color="auto"/>
      </w:divBdr>
    </w:div>
    <w:div w:id="1262879135">
      <w:bodyDiv w:val="1"/>
      <w:marLeft w:val="0"/>
      <w:marRight w:val="0"/>
      <w:marTop w:val="0"/>
      <w:marBottom w:val="0"/>
      <w:divBdr>
        <w:top w:val="none" w:sz="0" w:space="0" w:color="auto"/>
        <w:left w:val="none" w:sz="0" w:space="0" w:color="auto"/>
        <w:bottom w:val="none" w:sz="0" w:space="0" w:color="auto"/>
        <w:right w:val="none" w:sz="0" w:space="0" w:color="auto"/>
      </w:divBdr>
    </w:div>
    <w:div w:id="1263103334">
      <w:bodyDiv w:val="1"/>
      <w:marLeft w:val="0"/>
      <w:marRight w:val="0"/>
      <w:marTop w:val="0"/>
      <w:marBottom w:val="0"/>
      <w:divBdr>
        <w:top w:val="none" w:sz="0" w:space="0" w:color="auto"/>
        <w:left w:val="none" w:sz="0" w:space="0" w:color="auto"/>
        <w:bottom w:val="none" w:sz="0" w:space="0" w:color="auto"/>
        <w:right w:val="none" w:sz="0" w:space="0" w:color="auto"/>
      </w:divBdr>
    </w:div>
    <w:div w:id="1263148201">
      <w:bodyDiv w:val="1"/>
      <w:marLeft w:val="0"/>
      <w:marRight w:val="0"/>
      <w:marTop w:val="0"/>
      <w:marBottom w:val="0"/>
      <w:divBdr>
        <w:top w:val="none" w:sz="0" w:space="0" w:color="auto"/>
        <w:left w:val="none" w:sz="0" w:space="0" w:color="auto"/>
        <w:bottom w:val="none" w:sz="0" w:space="0" w:color="auto"/>
        <w:right w:val="none" w:sz="0" w:space="0" w:color="auto"/>
      </w:divBdr>
    </w:div>
    <w:div w:id="1263218442">
      <w:bodyDiv w:val="1"/>
      <w:marLeft w:val="0"/>
      <w:marRight w:val="0"/>
      <w:marTop w:val="0"/>
      <w:marBottom w:val="0"/>
      <w:divBdr>
        <w:top w:val="none" w:sz="0" w:space="0" w:color="auto"/>
        <w:left w:val="none" w:sz="0" w:space="0" w:color="auto"/>
        <w:bottom w:val="none" w:sz="0" w:space="0" w:color="auto"/>
        <w:right w:val="none" w:sz="0" w:space="0" w:color="auto"/>
      </w:divBdr>
    </w:div>
    <w:div w:id="1263535875">
      <w:bodyDiv w:val="1"/>
      <w:marLeft w:val="0"/>
      <w:marRight w:val="0"/>
      <w:marTop w:val="0"/>
      <w:marBottom w:val="0"/>
      <w:divBdr>
        <w:top w:val="none" w:sz="0" w:space="0" w:color="auto"/>
        <w:left w:val="none" w:sz="0" w:space="0" w:color="auto"/>
        <w:bottom w:val="none" w:sz="0" w:space="0" w:color="auto"/>
        <w:right w:val="none" w:sz="0" w:space="0" w:color="auto"/>
      </w:divBdr>
    </w:div>
    <w:div w:id="1263563197">
      <w:bodyDiv w:val="1"/>
      <w:marLeft w:val="0"/>
      <w:marRight w:val="0"/>
      <w:marTop w:val="0"/>
      <w:marBottom w:val="0"/>
      <w:divBdr>
        <w:top w:val="none" w:sz="0" w:space="0" w:color="auto"/>
        <w:left w:val="none" w:sz="0" w:space="0" w:color="auto"/>
        <w:bottom w:val="none" w:sz="0" w:space="0" w:color="auto"/>
        <w:right w:val="none" w:sz="0" w:space="0" w:color="auto"/>
      </w:divBdr>
    </w:div>
    <w:div w:id="1263686876">
      <w:bodyDiv w:val="1"/>
      <w:marLeft w:val="0"/>
      <w:marRight w:val="0"/>
      <w:marTop w:val="0"/>
      <w:marBottom w:val="0"/>
      <w:divBdr>
        <w:top w:val="none" w:sz="0" w:space="0" w:color="auto"/>
        <w:left w:val="none" w:sz="0" w:space="0" w:color="auto"/>
        <w:bottom w:val="none" w:sz="0" w:space="0" w:color="auto"/>
        <w:right w:val="none" w:sz="0" w:space="0" w:color="auto"/>
      </w:divBdr>
    </w:div>
    <w:div w:id="1263759377">
      <w:bodyDiv w:val="1"/>
      <w:marLeft w:val="0"/>
      <w:marRight w:val="0"/>
      <w:marTop w:val="0"/>
      <w:marBottom w:val="0"/>
      <w:divBdr>
        <w:top w:val="none" w:sz="0" w:space="0" w:color="auto"/>
        <w:left w:val="none" w:sz="0" w:space="0" w:color="auto"/>
        <w:bottom w:val="none" w:sz="0" w:space="0" w:color="auto"/>
        <w:right w:val="none" w:sz="0" w:space="0" w:color="auto"/>
      </w:divBdr>
    </w:div>
    <w:div w:id="1263800846">
      <w:bodyDiv w:val="1"/>
      <w:marLeft w:val="0"/>
      <w:marRight w:val="0"/>
      <w:marTop w:val="0"/>
      <w:marBottom w:val="0"/>
      <w:divBdr>
        <w:top w:val="none" w:sz="0" w:space="0" w:color="auto"/>
        <w:left w:val="none" w:sz="0" w:space="0" w:color="auto"/>
        <w:bottom w:val="none" w:sz="0" w:space="0" w:color="auto"/>
        <w:right w:val="none" w:sz="0" w:space="0" w:color="auto"/>
      </w:divBdr>
    </w:div>
    <w:div w:id="1263806698">
      <w:bodyDiv w:val="1"/>
      <w:marLeft w:val="0"/>
      <w:marRight w:val="0"/>
      <w:marTop w:val="0"/>
      <w:marBottom w:val="0"/>
      <w:divBdr>
        <w:top w:val="none" w:sz="0" w:space="0" w:color="auto"/>
        <w:left w:val="none" w:sz="0" w:space="0" w:color="auto"/>
        <w:bottom w:val="none" w:sz="0" w:space="0" w:color="auto"/>
        <w:right w:val="none" w:sz="0" w:space="0" w:color="auto"/>
      </w:divBdr>
    </w:div>
    <w:div w:id="1264146177">
      <w:bodyDiv w:val="1"/>
      <w:marLeft w:val="0"/>
      <w:marRight w:val="0"/>
      <w:marTop w:val="0"/>
      <w:marBottom w:val="0"/>
      <w:divBdr>
        <w:top w:val="none" w:sz="0" w:space="0" w:color="auto"/>
        <w:left w:val="none" w:sz="0" w:space="0" w:color="auto"/>
        <w:bottom w:val="none" w:sz="0" w:space="0" w:color="auto"/>
        <w:right w:val="none" w:sz="0" w:space="0" w:color="auto"/>
      </w:divBdr>
    </w:div>
    <w:div w:id="1264148554">
      <w:bodyDiv w:val="1"/>
      <w:marLeft w:val="0"/>
      <w:marRight w:val="0"/>
      <w:marTop w:val="0"/>
      <w:marBottom w:val="0"/>
      <w:divBdr>
        <w:top w:val="none" w:sz="0" w:space="0" w:color="auto"/>
        <w:left w:val="none" w:sz="0" w:space="0" w:color="auto"/>
        <w:bottom w:val="none" w:sz="0" w:space="0" w:color="auto"/>
        <w:right w:val="none" w:sz="0" w:space="0" w:color="auto"/>
      </w:divBdr>
    </w:div>
    <w:div w:id="1264917123">
      <w:bodyDiv w:val="1"/>
      <w:marLeft w:val="0"/>
      <w:marRight w:val="0"/>
      <w:marTop w:val="0"/>
      <w:marBottom w:val="0"/>
      <w:divBdr>
        <w:top w:val="none" w:sz="0" w:space="0" w:color="auto"/>
        <w:left w:val="none" w:sz="0" w:space="0" w:color="auto"/>
        <w:bottom w:val="none" w:sz="0" w:space="0" w:color="auto"/>
        <w:right w:val="none" w:sz="0" w:space="0" w:color="auto"/>
      </w:divBdr>
    </w:div>
    <w:div w:id="1265066667">
      <w:bodyDiv w:val="1"/>
      <w:marLeft w:val="0"/>
      <w:marRight w:val="0"/>
      <w:marTop w:val="0"/>
      <w:marBottom w:val="0"/>
      <w:divBdr>
        <w:top w:val="none" w:sz="0" w:space="0" w:color="auto"/>
        <w:left w:val="none" w:sz="0" w:space="0" w:color="auto"/>
        <w:bottom w:val="none" w:sz="0" w:space="0" w:color="auto"/>
        <w:right w:val="none" w:sz="0" w:space="0" w:color="auto"/>
      </w:divBdr>
    </w:div>
    <w:div w:id="1265307106">
      <w:bodyDiv w:val="1"/>
      <w:marLeft w:val="0"/>
      <w:marRight w:val="0"/>
      <w:marTop w:val="0"/>
      <w:marBottom w:val="0"/>
      <w:divBdr>
        <w:top w:val="none" w:sz="0" w:space="0" w:color="auto"/>
        <w:left w:val="none" w:sz="0" w:space="0" w:color="auto"/>
        <w:bottom w:val="none" w:sz="0" w:space="0" w:color="auto"/>
        <w:right w:val="none" w:sz="0" w:space="0" w:color="auto"/>
      </w:divBdr>
    </w:div>
    <w:div w:id="1265385969">
      <w:bodyDiv w:val="1"/>
      <w:marLeft w:val="0"/>
      <w:marRight w:val="0"/>
      <w:marTop w:val="0"/>
      <w:marBottom w:val="0"/>
      <w:divBdr>
        <w:top w:val="none" w:sz="0" w:space="0" w:color="auto"/>
        <w:left w:val="none" w:sz="0" w:space="0" w:color="auto"/>
        <w:bottom w:val="none" w:sz="0" w:space="0" w:color="auto"/>
        <w:right w:val="none" w:sz="0" w:space="0" w:color="auto"/>
      </w:divBdr>
    </w:div>
    <w:div w:id="1265460928">
      <w:bodyDiv w:val="1"/>
      <w:marLeft w:val="0"/>
      <w:marRight w:val="0"/>
      <w:marTop w:val="0"/>
      <w:marBottom w:val="0"/>
      <w:divBdr>
        <w:top w:val="none" w:sz="0" w:space="0" w:color="auto"/>
        <w:left w:val="none" w:sz="0" w:space="0" w:color="auto"/>
        <w:bottom w:val="none" w:sz="0" w:space="0" w:color="auto"/>
        <w:right w:val="none" w:sz="0" w:space="0" w:color="auto"/>
      </w:divBdr>
    </w:div>
    <w:div w:id="1265529383">
      <w:bodyDiv w:val="1"/>
      <w:marLeft w:val="0"/>
      <w:marRight w:val="0"/>
      <w:marTop w:val="0"/>
      <w:marBottom w:val="0"/>
      <w:divBdr>
        <w:top w:val="none" w:sz="0" w:space="0" w:color="auto"/>
        <w:left w:val="none" w:sz="0" w:space="0" w:color="auto"/>
        <w:bottom w:val="none" w:sz="0" w:space="0" w:color="auto"/>
        <w:right w:val="none" w:sz="0" w:space="0" w:color="auto"/>
      </w:divBdr>
    </w:div>
    <w:div w:id="1265572891">
      <w:bodyDiv w:val="1"/>
      <w:marLeft w:val="0"/>
      <w:marRight w:val="0"/>
      <w:marTop w:val="0"/>
      <w:marBottom w:val="0"/>
      <w:divBdr>
        <w:top w:val="none" w:sz="0" w:space="0" w:color="auto"/>
        <w:left w:val="none" w:sz="0" w:space="0" w:color="auto"/>
        <w:bottom w:val="none" w:sz="0" w:space="0" w:color="auto"/>
        <w:right w:val="none" w:sz="0" w:space="0" w:color="auto"/>
      </w:divBdr>
    </w:div>
    <w:div w:id="1265648632">
      <w:bodyDiv w:val="1"/>
      <w:marLeft w:val="0"/>
      <w:marRight w:val="0"/>
      <w:marTop w:val="0"/>
      <w:marBottom w:val="0"/>
      <w:divBdr>
        <w:top w:val="none" w:sz="0" w:space="0" w:color="auto"/>
        <w:left w:val="none" w:sz="0" w:space="0" w:color="auto"/>
        <w:bottom w:val="none" w:sz="0" w:space="0" w:color="auto"/>
        <w:right w:val="none" w:sz="0" w:space="0" w:color="auto"/>
      </w:divBdr>
    </w:div>
    <w:div w:id="1265649347">
      <w:bodyDiv w:val="1"/>
      <w:marLeft w:val="0"/>
      <w:marRight w:val="0"/>
      <w:marTop w:val="0"/>
      <w:marBottom w:val="0"/>
      <w:divBdr>
        <w:top w:val="none" w:sz="0" w:space="0" w:color="auto"/>
        <w:left w:val="none" w:sz="0" w:space="0" w:color="auto"/>
        <w:bottom w:val="none" w:sz="0" w:space="0" w:color="auto"/>
        <w:right w:val="none" w:sz="0" w:space="0" w:color="auto"/>
      </w:divBdr>
    </w:div>
    <w:div w:id="1265723205">
      <w:bodyDiv w:val="1"/>
      <w:marLeft w:val="0"/>
      <w:marRight w:val="0"/>
      <w:marTop w:val="0"/>
      <w:marBottom w:val="0"/>
      <w:divBdr>
        <w:top w:val="none" w:sz="0" w:space="0" w:color="auto"/>
        <w:left w:val="none" w:sz="0" w:space="0" w:color="auto"/>
        <w:bottom w:val="none" w:sz="0" w:space="0" w:color="auto"/>
        <w:right w:val="none" w:sz="0" w:space="0" w:color="auto"/>
      </w:divBdr>
    </w:div>
    <w:div w:id="1265841399">
      <w:bodyDiv w:val="1"/>
      <w:marLeft w:val="0"/>
      <w:marRight w:val="0"/>
      <w:marTop w:val="0"/>
      <w:marBottom w:val="0"/>
      <w:divBdr>
        <w:top w:val="none" w:sz="0" w:space="0" w:color="auto"/>
        <w:left w:val="none" w:sz="0" w:space="0" w:color="auto"/>
        <w:bottom w:val="none" w:sz="0" w:space="0" w:color="auto"/>
        <w:right w:val="none" w:sz="0" w:space="0" w:color="auto"/>
      </w:divBdr>
    </w:div>
    <w:div w:id="1265843386">
      <w:bodyDiv w:val="1"/>
      <w:marLeft w:val="0"/>
      <w:marRight w:val="0"/>
      <w:marTop w:val="0"/>
      <w:marBottom w:val="0"/>
      <w:divBdr>
        <w:top w:val="none" w:sz="0" w:space="0" w:color="auto"/>
        <w:left w:val="none" w:sz="0" w:space="0" w:color="auto"/>
        <w:bottom w:val="none" w:sz="0" w:space="0" w:color="auto"/>
        <w:right w:val="none" w:sz="0" w:space="0" w:color="auto"/>
      </w:divBdr>
    </w:div>
    <w:div w:id="1265848379">
      <w:bodyDiv w:val="1"/>
      <w:marLeft w:val="0"/>
      <w:marRight w:val="0"/>
      <w:marTop w:val="0"/>
      <w:marBottom w:val="0"/>
      <w:divBdr>
        <w:top w:val="none" w:sz="0" w:space="0" w:color="auto"/>
        <w:left w:val="none" w:sz="0" w:space="0" w:color="auto"/>
        <w:bottom w:val="none" w:sz="0" w:space="0" w:color="auto"/>
        <w:right w:val="none" w:sz="0" w:space="0" w:color="auto"/>
      </w:divBdr>
    </w:div>
    <w:div w:id="1265921315">
      <w:bodyDiv w:val="1"/>
      <w:marLeft w:val="0"/>
      <w:marRight w:val="0"/>
      <w:marTop w:val="0"/>
      <w:marBottom w:val="0"/>
      <w:divBdr>
        <w:top w:val="none" w:sz="0" w:space="0" w:color="auto"/>
        <w:left w:val="none" w:sz="0" w:space="0" w:color="auto"/>
        <w:bottom w:val="none" w:sz="0" w:space="0" w:color="auto"/>
        <w:right w:val="none" w:sz="0" w:space="0" w:color="auto"/>
      </w:divBdr>
    </w:div>
    <w:div w:id="1265959359">
      <w:bodyDiv w:val="1"/>
      <w:marLeft w:val="0"/>
      <w:marRight w:val="0"/>
      <w:marTop w:val="0"/>
      <w:marBottom w:val="0"/>
      <w:divBdr>
        <w:top w:val="none" w:sz="0" w:space="0" w:color="auto"/>
        <w:left w:val="none" w:sz="0" w:space="0" w:color="auto"/>
        <w:bottom w:val="none" w:sz="0" w:space="0" w:color="auto"/>
        <w:right w:val="none" w:sz="0" w:space="0" w:color="auto"/>
      </w:divBdr>
    </w:div>
    <w:div w:id="1266038926">
      <w:bodyDiv w:val="1"/>
      <w:marLeft w:val="0"/>
      <w:marRight w:val="0"/>
      <w:marTop w:val="0"/>
      <w:marBottom w:val="0"/>
      <w:divBdr>
        <w:top w:val="none" w:sz="0" w:space="0" w:color="auto"/>
        <w:left w:val="none" w:sz="0" w:space="0" w:color="auto"/>
        <w:bottom w:val="none" w:sz="0" w:space="0" w:color="auto"/>
        <w:right w:val="none" w:sz="0" w:space="0" w:color="auto"/>
      </w:divBdr>
    </w:div>
    <w:div w:id="1266039531">
      <w:bodyDiv w:val="1"/>
      <w:marLeft w:val="0"/>
      <w:marRight w:val="0"/>
      <w:marTop w:val="0"/>
      <w:marBottom w:val="0"/>
      <w:divBdr>
        <w:top w:val="none" w:sz="0" w:space="0" w:color="auto"/>
        <w:left w:val="none" w:sz="0" w:space="0" w:color="auto"/>
        <w:bottom w:val="none" w:sz="0" w:space="0" w:color="auto"/>
        <w:right w:val="none" w:sz="0" w:space="0" w:color="auto"/>
      </w:divBdr>
    </w:div>
    <w:div w:id="1266114151">
      <w:bodyDiv w:val="1"/>
      <w:marLeft w:val="0"/>
      <w:marRight w:val="0"/>
      <w:marTop w:val="0"/>
      <w:marBottom w:val="0"/>
      <w:divBdr>
        <w:top w:val="none" w:sz="0" w:space="0" w:color="auto"/>
        <w:left w:val="none" w:sz="0" w:space="0" w:color="auto"/>
        <w:bottom w:val="none" w:sz="0" w:space="0" w:color="auto"/>
        <w:right w:val="none" w:sz="0" w:space="0" w:color="auto"/>
      </w:divBdr>
    </w:div>
    <w:div w:id="1266305781">
      <w:bodyDiv w:val="1"/>
      <w:marLeft w:val="0"/>
      <w:marRight w:val="0"/>
      <w:marTop w:val="0"/>
      <w:marBottom w:val="0"/>
      <w:divBdr>
        <w:top w:val="none" w:sz="0" w:space="0" w:color="auto"/>
        <w:left w:val="none" w:sz="0" w:space="0" w:color="auto"/>
        <w:bottom w:val="none" w:sz="0" w:space="0" w:color="auto"/>
        <w:right w:val="none" w:sz="0" w:space="0" w:color="auto"/>
      </w:divBdr>
    </w:div>
    <w:div w:id="1266843385">
      <w:bodyDiv w:val="1"/>
      <w:marLeft w:val="0"/>
      <w:marRight w:val="0"/>
      <w:marTop w:val="0"/>
      <w:marBottom w:val="0"/>
      <w:divBdr>
        <w:top w:val="none" w:sz="0" w:space="0" w:color="auto"/>
        <w:left w:val="none" w:sz="0" w:space="0" w:color="auto"/>
        <w:bottom w:val="none" w:sz="0" w:space="0" w:color="auto"/>
        <w:right w:val="none" w:sz="0" w:space="0" w:color="auto"/>
      </w:divBdr>
    </w:div>
    <w:div w:id="1267036454">
      <w:bodyDiv w:val="1"/>
      <w:marLeft w:val="0"/>
      <w:marRight w:val="0"/>
      <w:marTop w:val="0"/>
      <w:marBottom w:val="0"/>
      <w:divBdr>
        <w:top w:val="none" w:sz="0" w:space="0" w:color="auto"/>
        <w:left w:val="none" w:sz="0" w:space="0" w:color="auto"/>
        <w:bottom w:val="none" w:sz="0" w:space="0" w:color="auto"/>
        <w:right w:val="none" w:sz="0" w:space="0" w:color="auto"/>
      </w:divBdr>
    </w:div>
    <w:div w:id="1267153711">
      <w:bodyDiv w:val="1"/>
      <w:marLeft w:val="0"/>
      <w:marRight w:val="0"/>
      <w:marTop w:val="0"/>
      <w:marBottom w:val="0"/>
      <w:divBdr>
        <w:top w:val="none" w:sz="0" w:space="0" w:color="auto"/>
        <w:left w:val="none" w:sz="0" w:space="0" w:color="auto"/>
        <w:bottom w:val="none" w:sz="0" w:space="0" w:color="auto"/>
        <w:right w:val="none" w:sz="0" w:space="0" w:color="auto"/>
      </w:divBdr>
    </w:div>
    <w:div w:id="1267158960">
      <w:bodyDiv w:val="1"/>
      <w:marLeft w:val="0"/>
      <w:marRight w:val="0"/>
      <w:marTop w:val="0"/>
      <w:marBottom w:val="0"/>
      <w:divBdr>
        <w:top w:val="none" w:sz="0" w:space="0" w:color="auto"/>
        <w:left w:val="none" w:sz="0" w:space="0" w:color="auto"/>
        <w:bottom w:val="none" w:sz="0" w:space="0" w:color="auto"/>
        <w:right w:val="none" w:sz="0" w:space="0" w:color="auto"/>
      </w:divBdr>
    </w:div>
    <w:div w:id="1267228333">
      <w:bodyDiv w:val="1"/>
      <w:marLeft w:val="0"/>
      <w:marRight w:val="0"/>
      <w:marTop w:val="0"/>
      <w:marBottom w:val="0"/>
      <w:divBdr>
        <w:top w:val="none" w:sz="0" w:space="0" w:color="auto"/>
        <w:left w:val="none" w:sz="0" w:space="0" w:color="auto"/>
        <w:bottom w:val="none" w:sz="0" w:space="0" w:color="auto"/>
        <w:right w:val="none" w:sz="0" w:space="0" w:color="auto"/>
      </w:divBdr>
    </w:div>
    <w:div w:id="1267301358">
      <w:bodyDiv w:val="1"/>
      <w:marLeft w:val="0"/>
      <w:marRight w:val="0"/>
      <w:marTop w:val="0"/>
      <w:marBottom w:val="0"/>
      <w:divBdr>
        <w:top w:val="none" w:sz="0" w:space="0" w:color="auto"/>
        <w:left w:val="none" w:sz="0" w:space="0" w:color="auto"/>
        <w:bottom w:val="none" w:sz="0" w:space="0" w:color="auto"/>
        <w:right w:val="none" w:sz="0" w:space="0" w:color="auto"/>
      </w:divBdr>
    </w:div>
    <w:div w:id="1267426851">
      <w:bodyDiv w:val="1"/>
      <w:marLeft w:val="0"/>
      <w:marRight w:val="0"/>
      <w:marTop w:val="0"/>
      <w:marBottom w:val="0"/>
      <w:divBdr>
        <w:top w:val="none" w:sz="0" w:space="0" w:color="auto"/>
        <w:left w:val="none" w:sz="0" w:space="0" w:color="auto"/>
        <w:bottom w:val="none" w:sz="0" w:space="0" w:color="auto"/>
        <w:right w:val="none" w:sz="0" w:space="0" w:color="auto"/>
      </w:divBdr>
    </w:div>
    <w:div w:id="1267428061">
      <w:bodyDiv w:val="1"/>
      <w:marLeft w:val="0"/>
      <w:marRight w:val="0"/>
      <w:marTop w:val="0"/>
      <w:marBottom w:val="0"/>
      <w:divBdr>
        <w:top w:val="none" w:sz="0" w:space="0" w:color="auto"/>
        <w:left w:val="none" w:sz="0" w:space="0" w:color="auto"/>
        <w:bottom w:val="none" w:sz="0" w:space="0" w:color="auto"/>
        <w:right w:val="none" w:sz="0" w:space="0" w:color="auto"/>
      </w:divBdr>
    </w:div>
    <w:div w:id="1267613831">
      <w:bodyDiv w:val="1"/>
      <w:marLeft w:val="0"/>
      <w:marRight w:val="0"/>
      <w:marTop w:val="0"/>
      <w:marBottom w:val="0"/>
      <w:divBdr>
        <w:top w:val="none" w:sz="0" w:space="0" w:color="auto"/>
        <w:left w:val="none" w:sz="0" w:space="0" w:color="auto"/>
        <w:bottom w:val="none" w:sz="0" w:space="0" w:color="auto"/>
        <w:right w:val="none" w:sz="0" w:space="0" w:color="auto"/>
      </w:divBdr>
    </w:div>
    <w:div w:id="1267619227">
      <w:bodyDiv w:val="1"/>
      <w:marLeft w:val="0"/>
      <w:marRight w:val="0"/>
      <w:marTop w:val="0"/>
      <w:marBottom w:val="0"/>
      <w:divBdr>
        <w:top w:val="none" w:sz="0" w:space="0" w:color="auto"/>
        <w:left w:val="none" w:sz="0" w:space="0" w:color="auto"/>
        <w:bottom w:val="none" w:sz="0" w:space="0" w:color="auto"/>
        <w:right w:val="none" w:sz="0" w:space="0" w:color="auto"/>
      </w:divBdr>
    </w:div>
    <w:div w:id="1267805983">
      <w:bodyDiv w:val="1"/>
      <w:marLeft w:val="0"/>
      <w:marRight w:val="0"/>
      <w:marTop w:val="0"/>
      <w:marBottom w:val="0"/>
      <w:divBdr>
        <w:top w:val="none" w:sz="0" w:space="0" w:color="auto"/>
        <w:left w:val="none" w:sz="0" w:space="0" w:color="auto"/>
        <w:bottom w:val="none" w:sz="0" w:space="0" w:color="auto"/>
        <w:right w:val="none" w:sz="0" w:space="0" w:color="auto"/>
      </w:divBdr>
    </w:div>
    <w:div w:id="1267888581">
      <w:bodyDiv w:val="1"/>
      <w:marLeft w:val="0"/>
      <w:marRight w:val="0"/>
      <w:marTop w:val="0"/>
      <w:marBottom w:val="0"/>
      <w:divBdr>
        <w:top w:val="none" w:sz="0" w:space="0" w:color="auto"/>
        <w:left w:val="none" w:sz="0" w:space="0" w:color="auto"/>
        <w:bottom w:val="none" w:sz="0" w:space="0" w:color="auto"/>
        <w:right w:val="none" w:sz="0" w:space="0" w:color="auto"/>
      </w:divBdr>
    </w:div>
    <w:div w:id="1267889491">
      <w:bodyDiv w:val="1"/>
      <w:marLeft w:val="0"/>
      <w:marRight w:val="0"/>
      <w:marTop w:val="0"/>
      <w:marBottom w:val="0"/>
      <w:divBdr>
        <w:top w:val="none" w:sz="0" w:space="0" w:color="auto"/>
        <w:left w:val="none" w:sz="0" w:space="0" w:color="auto"/>
        <w:bottom w:val="none" w:sz="0" w:space="0" w:color="auto"/>
        <w:right w:val="none" w:sz="0" w:space="0" w:color="auto"/>
      </w:divBdr>
    </w:div>
    <w:div w:id="1268075371">
      <w:bodyDiv w:val="1"/>
      <w:marLeft w:val="0"/>
      <w:marRight w:val="0"/>
      <w:marTop w:val="0"/>
      <w:marBottom w:val="0"/>
      <w:divBdr>
        <w:top w:val="none" w:sz="0" w:space="0" w:color="auto"/>
        <w:left w:val="none" w:sz="0" w:space="0" w:color="auto"/>
        <w:bottom w:val="none" w:sz="0" w:space="0" w:color="auto"/>
        <w:right w:val="none" w:sz="0" w:space="0" w:color="auto"/>
      </w:divBdr>
    </w:div>
    <w:div w:id="1268658911">
      <w:bodyDiv w:val="1"/>
      <w:marLeft w:val="0"/>
      <w:marRight w:val="0"/>
      <w:marTop w:val="0"/>
      <w:marBottom w:val="0"/>
      <w:divBdr>
        <w:top w:val="none" w:sz="0" w:space="0" w:color="auto"/>
        <w:left w:val="none" w:sz="0" w:space="0" w:color="auto"/>
        <w:bottom w:val="none" w:sz="0" w:space="0" w:color="auto"/>
        <w:right w:val="none" w:sz="0" w:space="0" w:color="auto"/>
      </w:divBdr>
    </w:div>
    <w:div w:id="1268733630">
      <w:bodyDiv w:val="1"/>
      <w:marLeft w:val="0"/>
      <w:marRight w:val="0"/>
      <w:marTop w:val="0"/>
      <w:marBottom w:val="0"/>
      <w:divBdr>
        <w:top w:val="none" w:sz="0" w:space="0" w:color="auto"/>
        <w:left w:val="none" w:sz="0" w:space="0" w:color="auto"/>
        <w:bottom w:val="none" w:sz="0" w:space="0" w:color="auto"/>
        <w:right w:val="none" w:sz="0" w:space="0" w:color="auto"/>
      </w:divBdr>
    </w:div>
    <w:div w:id="1268848982">
      <w:bodyDiv w:val="1"/>
      <w:marLeft w:val="0"/>
      <w:marRight w:val="0"/>
      <w:marTop w:val="0"/>
      <w:marBottom w:val="0"/>
      <w:divBdr>
        <w:top w:val="none" w:sz="0" w:space="0" w:color="auto"/>
        <w:left w:val="none" w:sz="0" w:space="0" w:color="auto"/>
        <w:bottom w:val="none" w:sz="0" w:space="0" w:color="auto"/>
        <w:right w:val="none" w:sz="0" w:space="0" w:color="auto"/>
      </w:divBdr>
    </w:div>
    <w:div w:id="1269508995">
      <w:bodyDiv w:val="1"/>
      <w:marLeft w:val="0"/>
      <w:marRight w:val="0"/>
      <w:marTop w:val="0"/>
      <w:marBottom w:val="0"/>
      <w:divBdr>
        <w:top w:val="none" w:sz="0" w:space="0" w:color="auto"/>
        <w:left w:val="none" w:sz="0" w:space="0" w:color="auto"/>
        <w:bottom w:val="none" w:sz="0" w:space="0" w:color="auto"/>
        <w:right w:val="none" w:sz="0" w:space="0" w:color="auto"/>
      </w:divBdr>
    </w:div>
    <w:div w:id="1269700707">
      <w:bodyDiv w:val="1"/>
      <w:marLeft w:val="0"/>
      <w:marRight w:val="0"/>
      <w:marTop w:val="0"/>
      <w:marBottom w:val="0"/>
      <w:divBdr>
        <w:top w:val="none" w:sz="0" w:space="0" w:color="auto"/>
        <w:left w:val="none" w:sz="0" w:space="0" w:color="auto"/>
        <w:bottom w:val="none" w:sz="0" w:space="0" w:color="auto"/>
        <w:right w:val="none" w:sz="0" w:space="0" w:color="auto"/>
      </w:divBdr>
    </w:div>
    <w:div w:id="1269855597">
      <w:bodyDiv w:val="1"/>
      <w:marLeft w:val="0"/>
      <w:marRight w:val="0"/>
      <w:marTop w:val="0"/>
      <w:marBottom w:val="0"/>
      <w:divBdr>
        <w:top w:val="none" w:sz="0" w:space="0" w:color="auto"/>
        <w:left w:val="none" w:sz="0" w:space="0" w:color="auto"/>
        <w:bottom w:val="none" w:sz="0" w:space="0" w:color="auto"/>
        <w:right w:val="none" w:sz="0" w:space="0" w:color="auto"/>
      </w:divBdr>
    </w:div>
    <w:div w:id="1269891159">
      <w:bodyDiv w:val="1"/>
      <w:marLeft w:val="0"/>
      <w:marRight w:val="0"/>
      <w:marTop w:val="0"/>
      <w:marBottom w:val="0"/>
      <w:divBdr>
        <w:top w:val="none" w:sz="0" w:space="0" w:color="auto"/>
        <w:left w:val="none" w:sz="0" w:space="0" w:color="auto"/>
        <w:bottom w:val="none" w:sz="0" w:space="0" w:color="auto"/>
        <w:right w:val="none" w:sz="0" w:space="0" w:color="auto"/>
      </w:divBdr>
    </w:div>
    <w:div w:id="1269968528">
      <w:bodyDiv w:val="1"/>
      <w:marLeft w:val="0"/>
      <w:marRight w:val="0"/>
      <w:marTop w:val="0"/>
      <w:marBottom w:val="0"/>
      <w:divBdr>
        <w:top w:val="none" w:sz="0" w:space="0" w:color="auto"/>
        <w:left w:val="none" w:sz="0" w:space="0" w:color="auto"/>
        <w:bottom w:val="none" w:sz="0" w:space="0" w:color="auto"/>
        <w:right w:val="none" w:sz="0" w:space="0" w:color="auto"/>
      </w:divBdr>
    </w:div>
    <w:div w:id="1270163360">
      <w:bodyDiv w:val="1"/>
      <w:marLeft w:val="0"/>
      <w:marRight w:val="0"/>
      <w:marTop w:val="0"/>
      <w:marBottom w:val="0"/>
      <w:divBdr>
        <w:top w:val="none" w:sz="0" w:space="0" w:color="auto"/>
        <w:left w:val="none" w:sz="0" w:space="0" w:color="auto"/>
        <w:bottom w:val="none" w:sz="0" w:space="0" w:color="auto"/>
        <w:right w:val="none" w:sz="0" w:space="0" w:color="auto"/>
      </w:divBdr>
    </w:div>
    <w:div w:id="1270163368">
      <w:bodyDiv w:val="1"/>
      <w:marLeft w:val="0"/>
      <w:marRight w:val="0"/>
      <w:marTop w:val="0"/>
      <w:marBottom w:val="0"/>
      <w:divBdr>
        <w:top w:val="none" w:sz="0" w:space="0" w:color="auto"/>
        <w:left w:val="none" w:sz="0" w:space="0" w:color="auto"/>
        <w:bottom w:val="none" w:sz="0" w:space="0" w:color="auto"/>
        <w:right w:val="none" w:sz="0" w:space="0" w:color="auto"/>
      </w:divBdr>
    </w:div>
    <w:div w:id="1270233405">
      <w:bodyDiv w:val="1"/>
      <w:marLeft w:val="0"/>
      <w:marRight w:val="0"/>
      <w:marTop w:val="0"/>
      <w:marBottom w:val="0"/>
      <w:divBdr>
        <w:top w:val="none" w:sz="0" w:space="0" w:color="auto"/>
        <w:left w:val="none" w:sz="0" w:space="0" w:color="auto"/>
        <w:bottom w:val="none" w:sz="0" w:space="0" w:color="auto"/>
        <w:right w:val="none" w:sz="0" w:space="0" w:color="auto"/>
      </w:divBdr>
    </w:div>
    <w:div w:id="1270314335">
      <w:bodyDiv w:val="1"/>
      <w:marLeft w:val="0"/>
      <w:marRight w:val="0"/>
      <w:marTop w:val="0"/>
      <w:marBottom w:val="0"/>
      <w:divBdr>
        <w:top w:val="none" w:sz="0" w:space="0" w:color="auto"/>
        <w:left w:val="none" w:sz="0" w:space="0" w:color="auto"/>
        <w:bottom w:val="none" w:sz="0" w:space="0" w:color="auto"/>
        <w:right w:val="none" w:sz="0" w:space="0" w:color="auto"/>
      </w:divBdr>
    </w:div>
    <w:div w:id="1270626233">
      <w:bodyDiv w:val="1"/>
      <w:marLeft w:val="0"/>
      <w:marRight w:val="0"/>
      <w:marTop w:val="0"/>
      <w:marBottom w:val="0"/>
      <w:divBdr>
        <w:top w:val="none" w:sz="0" w:space="0" w:color="auto"/>
        <w:left w:val="none" w:sz="0" w:space="0" w:color="auto"/>
        <w:bottom w:val="none" w:sz="0" w:space="0" w:color="auto"/>
        <w:right w:val="none" w:sz="0" w:space="0" w:color="auto"/>
      </w:divBdr>
    </w:div>
    <w:div w:id="1270696705">
      <w:bodyDiv w:val="1"/>
      <w:marLeft w:val="0"/>
      <w:marRight w:val="0"/>
      <w:marTop w:val="0"/>
      <w:marBottom w:val="0"/>
      <w:divBdr>
        <w:top w:val="none" w:sz="0" w:space="0" w:color="auto"/>
        <w:left w:val="none" w:sz="0" w:space="0" w:color="auto"/>
        <w:bottom w:val="none" w:sz="0" w:space="0" w:color="auto"/>
        <w:right w:val="none" w:sz="0" w:space="0" w:color="auto"/>
      </w:divBdr>
    </w:div>
    <w:div w:id="1270697038">
      <w:bodyDiv w:val="1"/>
      <w:marLeft w:val="0"/>
      <w:marRight w:val="0"/>
      <w:marTop w:val="0"/>
      <w:marBottom w:val="0"/>
      <w:divBdr>
        <w:top w:val="none" w:sz="0" w:space="0" w:color="auto"/>
        <w:left w:val="none" w:sz="0" w:space="0" w:color="auto"/>
        <w:bottom w:val="none" w:sz="0" w:space="0" w:color="auto"/>
        <w:right w:val="none" w:sz="0" w:space="0" w:color="auto"/>
      </w:divBdr>
    </w:div>
    <w:div w:id="1270966388">
      <w:bodyDiv w:val="1"/>
      <w:marLeft w:val="0"/>
      <w:marRight w:val="0"/>
      <w:marTop w:val="0"/>
      <w:marBottom w:val="0"/>
      <w:divBdr>
        <w:top w:val="none" w:sz="0" w:space="0" w:color="auto"/>
        <w:left w:val="none" w:sz="0" w:space="0" w:color="auto"/>
        <w:bottom w:val="none" w:sz="0" w:space="0" w:color="auto"/>
        <w:right w:val="none" w:sz="0" w:space="0" w:color="auto"/>
      </w:divBdr>
    </w:div>
    <w:div w:id="1271007309">
      <w:bodyDiv w:val="1"/>
      <w:marLeft w:val="0"/>
      <w:marRight w:val="0"/>
      <w:marTop w:val="0"/>
      <w:marBottom w:val="0"/>
      <w:divBdr>
        <w:top w:val="none" w:sz="0" w:space="0" w:color="auto"/>
        <w:left w:val="none" w:sz="0" w:space="0" w:color="auto"/>
        <w:bottom w:val="none" w:sz="0" w:space="0" w:color="auto"/>
        <w:right w:val="none" w:sz="0" w:space="0" w:color="auto"/>
      </w:divBdr>
    </w:div>
    <w:div w:id="1271091015">
      <w:bodyDiv w:val="1"/>
      <w:marLeft w:val="0"/>
      <w:marRight w:val="0"/>
      <w:marTop w:val="0"/>
      <w:marBottom w:val="0"/>
      <w:divBdr>
        <w:top w:val="none" w:sz="0" w:space="0" w:color="auto"/>
        <w:left w:val="none" w:sz="0" w:space="0" w:color="auto"/>
        <w:bottom w:val="none" w:sz="0" w:space="0" w:color="auto"/>
        <w:right w:val="none" w:sz="0" w:space="0" w:color="auto"/>
      </w:divBdr>
    </w:div>
    <w:div w:id="1271204208">
      <w:bodyDiv w:val="1"/>
      <w:marLeft w:val="0"/>
      <w:marRight w:val="0"/>
      <w:marTop w:val="0"/>
      <w:marBottom w:val="0"/>
      <w:divBdr>
        <w:top w:val="none" w:sz="0" w:space="0" w:color="auto"/>
        <w:left w:val="none" w:sz="0" w:space="0" w:color="auto"/>
        <w:bottom w:val="none" w:sz="0" w:space="0" w:color="auto"/>
        <w:right w:val="none" w:sz="0" w:space="0" w:color="auto"/>
      </w:divBdr>
    </w:div>
    <w:div w:id="1271428169">
      <w:bodyDiv w:val="1"/>
      <w:marLeft w:val="0"/>
      <w:marRight w:val="0"/>
      <w:marTop w:val="0"/>
      <w:marBottom w:val="0"/>
      <w:divBdr>
        <w:top w:val="none" w:sz="0" w:space="0" w:color="auto"/>
        <w:left w:val="none" w:sz="0" w:space="0" w:color="auto"/>
        <w:bottom w:val="none" w:sz="0" w:space="0" w:color="auto"/>
        <w:right w:val="none" w:sz="0" w:space="0" w:color="auto"/>
      </w:divBdr>
    </w:div>
    <w:div w:id="1272085685">
      <w:bodyDiv w:val="1"/>
      <w:marLeft w:val="0"/>
      <w:marRight w:val="0"/>
      <w:marTop w:val="0"/>
      <w:marBottom w:val="0"/>
      <w:divBdr>
        <w:top w:val="none" w:sz="0" w:space="0" w:color="auto"/>
        <w:left w:val="none" w:sz="0" w:space="0" w:color="auto"/>
        <w:bottom w:val="none" w:sz="0" w:space="0" w:color="auto"/>
        <w:right w:val="none" w:sz="0" w:space="0" w:color="auto"/>
      </w:divBdr>
    </w:div>
    <w:div w:id="1272282729">
      <w:bodyDiv w:val="1"/>
      <w:marLeft w:val="0"/>
      <w:marRight w:val="0"/>
      <w:marTop w:val="0"/>
      <w:marBottom w:val="0"/>
      <w:divBdr>
        <w:top w:val="none" w:sz="0" w:space="0" w:color="auto"/>
        <w:left w:val="none" w:sz="0" w:space="0" w:color="auto"/>
        <w:bottom w:val="none" w:sz="0" w:space="0" w:color="auto"/>
        <w:right w:val="none" w:sz="0" w:space="0" w:color="auto"/>
      </w:divBdr>
    </w:div>
    <w:div w:id="1272392513">
      <w:bodyDiv w:val="1"/>
      <w:marLeft w:val="0"/>
      <w:marRight w:val="0"/>
      <w:marTop w:val="0"/>
      <w:marBottom w:val="0"/>
      <w:divBdr>
        <w:top w:val="none" w:sz="0" w:space="0" w:color="auto"/>
        <w:left w:val="none" w:sz="0" w:space="0" w:color="auto"/>
        <w:bottom w:val="none" w:sz="0" w:space="0" w:color="auto"/>
        <w:right w:val="none" w:sz="0" w:space="0" w:color="auto"/>
      </w:divBdr>
    </w:div>
    <w:div w:id="1272736473">
      <w:bodyDiv w:val="1"/>
      <w:marLeft w:val="0"/>
      <w:marRight w:val="0"/>
      <w:marTop w:val="0"/>
      <w:marBottom w:val="0"/>
      <w:divBdr>
        <w:top w:val="none" w:sz="0" w:space="0" w:color="auto"/>
        <w:left w:val="none" w:sz="0" w:space="0" w:color="auto"/>
        <w:bottom w:val="none" w:sz="0" w:space="0" w:color="auto"/>
        <w:right w:val="none" w:sz="0" w:space="0" w:color="auto"/>
      </w:divBdr>
    </w:div>
    <w:div w:id="1272780036">
      <w:bodyDiv w:val="1"/>
      <w:marLeft w:val="0"/>
      <w:marRight w:val="0"/>
      <w:marTop w:val="0"/>
      <w:marBottom w:val="0"/>
      <w:divBdr>
        <w:top w:val="none" w:sz="0" w:space="0" w:color="auto"/>
        <w:left w:val="none" w:sz="0" w:space="0" w:color="auto"/>
        <w:bottom w:val="none" w:sz="0" w:space="0" w:color="auto"/>
        <w:right w:val="none" w:sz="0" w:space="0" w:color="auto"/>
      </w:divBdr>
    </w:div>
    <w:div w:id="1272974846">
      <w:bodyDiv w:val="1"/>
      <w:marLeft w:val="0"/>
      <w:marRight w:val="0"/>
      <w:marTop w:val="0"/>
      <w:marBottom w:val="0"/>
      <w:divBdr>
        <w:top w:val="none" w:sz="0" w:space="0" w:color="auto"/>
        <w:left w:val="none" w:sz="0" w:space="0" w:color="auto"/>
        <w:bottom w:val="none" w:sz="0" w:space="0" w:color="auto"/>
        <w:right w:val="none" w:sz="0" w:space="0" w:color="auto"/>
      </w:divBdr>
    </w:div>
    <w:div w:id="1273171556">
      <w:bodyDiv w:val="1"/>
      <w:marLeft w:val="0"/>
      <w:marRight w:val="0"/>
      <w:marTop w:val="0"/>
      <w:marBottom w:val="0"/>
      <w:divBdr>
        <w:top w:val="none" w:sz="0" w:space="0" w:color="auto"/>
        <w:left w:val="none" w:sz="0" w:space="0" w:color="auto"/>
        <w:bottom w:val="none" w:sz="0" w:space="0" w:color="auto"/>
        <w:right w:val="none" w:sz="0" w:space="0" w:color="auto"/>
      </w:divBdr>
    </w:div>
    <w:div w:id="1273247521">
      <w:bodyDiv w:val="1"/>
      <w:marLeft w:val="0"/>
      <w:marRight w:val="0"/>
      <w:marTop w:val="0"/>
      <w:marBottom w:val="0"/>
      <w:divBdr>
        <w:top w:val="none" w:sz="0" w:space="0" w:color="auto"/>
        <w:left w:val="none" w:sz="0" w:space="0" w:color="auto"/>
        <w:bottom w:val="none" w:sz="0" w:space="0" w:color="auto"/>
        <w:right w:val="none" w:sz="0" w:space="0" w:color="auto"/>
      </w:divBdr>
    </w:div>
    <w:div w:id="1273443074">
      <w:bodyDiv w:val="1"/>
      <w:marLeft w:val="0"/>
      <w:marRight w:val="0"/>
      <w:marTop w:val="0"/>
      <w:marBottom w:val="0"/>
      <w:divBdr>
        <w:top w:val="none" w:sz="0" w:space="0" w:color="auto"/>
        <w:left w:val="none" w:sz="0" w:space="0" w:color="auto"/>
        <w:bottom w:val="none" w:sz="0" w:space="0" w:color="auto"/>
        <w:right w:val="none" w:sz="0" w:space="0" w:color="auto"/>
      </w:divBdr>
    </w:div>
    <w:div w:id="1274048257">
      <w:bodyDiv w:val="1"/>
      <w:marLeft w:val="0"/>
      <w:marRight w:val="0"/>
      <w:marTop w:val="0"/>
      <w:marBottom w:val="0"/>
      <w:divBdr>
        <w:top w:val="none" w:sz="0" w:space="0" w:color="auto"/>
        <w:left w:val="none" w:sz="0" w:space="0" w:color="auto"/>
        <w:bottom w:val="none" w:sz="0" w:space="0" w:color="auto"/>
        <w:right w:val="none" w:sz="0" w:space="0" w:color="auto"/>
      </w:divBdr>
    </w:div>
    <w:div w:id="1274358355">
      <w:bodyDiv w:val="1"/>
      <w:marLeft w:val="0"/>
      <w:marRight w:val="0"/>
      <w:marTop w:val="0"/>
      <w:marBottom w:val="0"/>
      <w:divBdr>
        <w:top w:val="none" w:sz="0" w:space="0" w:color="auto"/>
        <w:left w:val="none" w:sz="0" w:space="0" w:color="auto"/>
        <w:bottom w:val="none" w:sz="0" w:space="0" w:color="auto"/>
        <w:right w:val="none" w:sz="0" w:space="0" w:color="auto"/>
      </w:divBdr>
    </w:div>
    <w:div w:id="1274554013">
      <w:bodyDiv w:val="1"/>
      <w:marLeft w:val="0"/>
      <w:marRight w:val="0"/>
      <w:marTop w:val="0"/>
      <w:marBottom w:val="0"/>
      <w:divBdr>
        <w:top w:val="none" w:sz="0" w:space="0" w:color="auto"/>
        <w:left w:val="none" w:sz="0" w:space="0" w:color="auto"/>
        <w:bottom w:val="none" w:sz="0" w:space="0" w:color="auto"/>
        <w:right w:val="none" w:sz="0" w:space="0" w:color="auto"/>
      </w:divBdr>
    </w:div>
    <w:div w:id="1274744954">
      <w:bodyDiv w:val="1"/>
      <w:marLeft w:val="0"/>
      <w:marRight w:val="0"/>
      <w:marTop w:val="0"/>
      <w:marBottom w:val="0"/>
      <w:divBdr>
        <w:top w:val="none" w:sz="0" w:space="0" w:color="auto"/>
        <w:left w:val="none" w:sz="0" w:space="0" w:color="auto"/>
        <w:bottom w:val="none" w:sz="0" w:space="0" w:color="auto"/>
        <w:right w:val="none" w:sz="0" w:space="0" w:color="auto"/>
      </w:divBdr>
    </w:div>
    <w:div w:id="1275090516">
      <w:bodyDiv w:val="1"/>
      <w:marLeft w:val="0"/>
      <w:marRight w:val="0"/>
      <w:marTop w:val="0"/>
      <w:marBottom w:val="0"/>
      <w:divBdr>
        <w:top w:val="none" w:sz="0" w:space="0" w:color="auto"/>
        <w:left w:val="none" w:sz="0" w:space="0" w:color="auto"/>
        <w:bottom w:val="none" w:sz="0" w:space="0" w:color="auto"/>
        <w:right w:val="none" w:sz="0" w:space="0" w:color="auto"/>
      </w:divBdr>
    </w:div>
    <w:div w:id="1275937272">
      <w:bodyDiv w:val="1"/>
      <w:marLeft w:val="0"/>
      <w:marRight w:val="0"/>
      <w:marTop w:val="0"/>
      <w:marBottom w:val="0"/>
      <w:divBdr>
        <w:top w:val="none" w:sz="0" w:space="0" w:color="auto"/>
        <w:left w:val="none" w:sz="0" w:space="0" w:color="auto"/>
        <w:bottom w:val="none" w:sz="0" w:space="0" w:color="auto"/>
        <w:right w:val="none" w:sz="0" w:space="0" w:color="auto"/>
      </w:divBdr>
    </w:div>
    <w:div w:id="1276063261">
      <w:bodyDiv w:val="1"/>
      <w:marLeft w:val="0"/>
      <w:marRight w:val="0"/>
      <w:marTop w:val="0"/>
      <w:marBottom w:val="0"/>
      <w:divBdr>
        <w:top w:val="none" w:sz="0" w:space="0" w:color="auto"/>
        <w:left w:val="none" w:sz="0" w:space="0" w:color="auto"/>
        <w:bottom w:val="none" w:sz="0" w:space="0" w:color="auto"/>
        <w:right w:val="none" w:sz="0" w:space="0" w:color="auto"/>
      </w:divBdr>
    </w:div>
    <w:div w:id="1276133817">
      <w:bodyDiv w:val="1"/>
      <w:marLeft w:val="0"/>
      <w:marRight w:val="0"/>
      <w:marTop w:val="0"/>
      <w:marBottom w:val="0"/>
      <w:divBdr>
        <w:top w:val="none" w:sz="0" w:space="0" w:color="auto"/>
        <w:left w:val="none" w:sz="0" w:space="0" w:color="auto"/>
        <w:bottom w:val="none" w:sz="0" w:space="0" w:color="auto"/>
        <w:right w:val="none" w:sz="0" w:space="0" w:color="auto"/>
      </w:divBdr>
    </w:div>
    <w:div w:id="1276327139">
      <w:bodyDiv w:val="1"/>
      <w:marLeft w:val="0"/>
      <w:marRight w:val="0"/>
      <w:marTop w:val="0"/>
      <w:marBottom w:val="0"/>
      <w:divBdr>
        <w:top w:val="none" w:sz="0" w:space="0" w:color="auto"/>
        <w:left w:val="none" w:sz="0" w:space="0" w:color="auto"/>
        <w:bottom w:val="none" w:sz="0" w:space="0" w:color="auto"/>
        <w:right w:val="none" w:sz="0" w:space="0" w:color="auto"/>
      </w:divBdr>
    </w:div>
    <w:div w:id="1276404034">
      <w:bodyDiv w:val="1"/>
      <w:marLeft w:val="0"/>
      <w:marRight w:val="0"/>
      <w:marTop w:val="0"/>
      <w:marBottom w:val="0"/>
      <w:divBdr>
        <w:top w:val="none" w:sz="0" w:space="0" w:color="auto"/>
        <w:left w:val="none" w:sz="0" w:space="0" w:color="auto"/>
        <w:bottom w:val="none" w:sz="0" w:space="0" w:color="auto"/>
        <w:right w:val="none" w:sz="0" w:space="0" w:color="auto"/>
      </w:divBdr>
    </w:div>
    <w:div w:id="1276525369">
      <w:bodyDiv w:val="1"/>
      <w:marLeft w:val="0"/>
      <w:marRight w:val="0"/>
      <w:marTop w:val="0"/>
      <w:marBottom w:val="0"/>
      <w:divBdr>
        <w:top w:val="none" w:sz="0" w:space="0" w:color="auto"/>
        <w:left w:val="none" w:sz="0" w:space="0" w:color="auto"/>
        <w:bottom w:val="none" w:sz="0" w:space="0" w:color="auto"/>
        <w:right w:val="none" w:sz="0" w:space="0" w:color="auto"/>
      </w:divBdr>
    </w:div>
    <w:div w:id="1276595564">
      <w:bodyDiv w:val="1"/>
      <w:marLeft w:val="0"/>
      <w:marRight w:val="0"/>
      <w:marTop w:val="0"/>
      <w:marBottom w:val="0"/>
      <w:divBdr>
        <w:top w:val="none" w:sz="0" w:space="0" w:color="auto"/>
        <w:left w:val="none" w:sz="0" w:space="0" w:color="auto"/>
        <w:bottom w:val="none" w:sz="0" w:space="0" w:color="auto"/>
        <w:right w:val="none" w:sz="0" w:space="0" w:color="auto"/>
      </w:divBdr>
    </w:div>
    <w:div w:id="1276712394">
      <w:bodyDiv w:val="1"/>
      <w:marLeft w:val="0"/>
      <w:marRight w:val="0"/>
      <w:marTop w:val="0"/>
      <w:marBottom w:val="0"/>
      <w:divBdr>
        <w:top w:val="none" w:sz="0" w:space="0" w:color="auto"/>
        <w:left w:val="none" w:sz="0" w:space="0" w:color="auto"/>
        <w:bottom w:val="none" w:sz="0" w:space="0" w:color="auto"/>
        <w:right w:val="none" w:sz="0" w:space="0" w:color="auto"/>
      </w:divBdr>
    </w:div>
    <w:div w:id="1277105912">
      <w:bodyDiv w:val="1"/>
      <w:marLeft w:val="0"/>
      <w:marRight w:val="0"/>
      <w:marTop w:val="0"/>
      <w:marBottom w:val="0"/>
      <w:divBdr>
        <w:top w:val="none" w:sz="0" w:space="0" w:color="auto"/>
        <w:left w:val="none" w:sz="0" w:space="0" w:color="auto"/>
        <w:bottom w:val="none" w:sz="0" w:space="0" w:color="auto"/>
        <w:right w:val="none" w:sz="0" w:space="0" w:color="auto"/>
      </w:divBdr>
    </w:div>
    <w:div w:id="1277131414">
      <w:bodyDiv w:val="1"/>
      <w:marLeft w:val="0"/>
      <w:marRight w:val="0"/>
      <w:marTop w:val="0"/>
      <w:marBottom w:val="0"/>
      <w:divBdr>
        <w:top w:val="none" w:sz="0" w:space="0" w:color="auto"/>
        <w:left w:val="none" w:sz="0" w:space="0" w:color="auto"/>
        <w:bottom w:val="none" w:sz="0" w:space="0" w:color="auto"/>
        <w:right w:val="none" w:sz="0" w:space="0" w:color="auto"/>
      </w:divBdr>
    </w:div>
    <w:div w:id="1277328397">
      <w:bodyDiv w:val="1"/>
      <w:marLeft w:val="0"/>
      <w:marRight w:val="0"/>
      <w:marTop w:val="0"/>
      <w:marBottom w:val="0"/>
      <w:divBdr>
        <w:top w:val="none" w:sz="0" w:space="0" w:color="auto"/>
        <w:left w:val="none" w:sz="0" w:space="0" w:color="auto"/>
        <w:bottom w:val="none" w:sz="0" w:space="0" w:color="auto"/>
        <w:right w:val="none" w:sz="0" w:space="0" w:color="auto"/>
      </w:divBdr>
    </w:div>
    <w:div w:id="1277329112">
      <w:bodyDiv w:val="1"/>
      <w:marLeft w:val="0"/>
      <w:marRight w:val="0"/>
      <w:marTop w:val="0"/>
      <w:marBottom w:val="0"/>
      <w:divBdr>
        <w:top w:val="none" w:sz="0" w:space="0" w:color="auto"/>
        <w:left w:val="none" w:sz="0" w:space="0" w:color="auto"/>
        <w:bottom w:val="none" w:sz="0" w:space="0" w:color="auto"/>
        <w:right w:val="none" w:sz="0" w:space="0" w:color="auto"/>
      </w:divBdr>
    </w:div>
    <w:div w:id="1277374216">
      <w:bodyDiv w:val="1"/>
      <w:marLeft w:val="0"/>
      <w:marRight w:val="0"/>
      <w:marTop w:val="0"/>
      <w:marBottom w:val="0"/>
      <w:divBdr>
        <w:top w:val="none" w:sz="0" w:space="0" w:color="auto"/>
        <w:left w:val="none" w:sz="0" w:space="0" w:color="auto"/>
        <w:bottom w:val="none" w:sz="0" w:space="0" w:color="auto"/>
        <w:right w:val="none" w:sz="0" w:space="0" w:color="auto"/>
      </w:divBdr>
    </w:div>
    <w:div w:id="1277445229">
      <w:bodyDiv w:val="1"/>
      <w:marLeft w:val="0"/>
      <w:marRight w:val="0"/>
      <w:marTop w:val="0"/>
      <w:marBottom w:val="0"/>
      <w:divBdr>
        <w:top w:val="none" w:sz="0" w:space="0" w:color="auto"/>
        <w:left w:val="none" w:sz="0" w:space="0" w:color="auto"/>
        <w:bottom w:val="none" w:sz="0" w:space="0" w:color="auto"/>
        <w:right w:val="none" w:sz="0" w:space="0" w:color="auto"/>
      </w:divBdr>
    </w:div>
    <w:div w:id="1277980822">
      <w:bodyDiv w:val="1"/>
      <w:marLeft w:val="0"/>
      <w:marRight w:val="0"/>
      <w:marTop w:val="0"/>
      <w:marBottom w:val="0"/>
      <w:divBdr>
        <w:top w:val="none" w:sz="0" w:space="0" w:color="auto"/>
        <w:left w:val="none" w:sz="0" w:space="0" w:color="auto"/>
        <w:bottom w:val="none" w:sz="0" w:space="0" w:color="auto"/>
        <w:right w:val="none" w:sz="0" w:space="0" w:color="auto"/>
      </w:divBdr>
    </w:div>
    <w:div w:id="1278021368">
      <w:bodyDiv w:val="1"/>
      <w:marLeft w:val="0"/>
      <w:marRight w:val="0"/>
      <w:marTop w:val="0"/>
      <w:marBottom w:val="0"/>
      <w:divBdr>
        <w:top w:val="none" w:sz="0" w:space="0" w:color="auto"/>
        <w:left w:val="none" w:sz="0" w:space="0" w:color="auto"/>
        <w:bottom w:val="none" w:sz="0" w:space="0" w:color="auto"/>
        <w:right w:val="none" w:sz="0" w:space="0" w:color="auto"/>
      </w:divBdr>
    </w:div>
    <w:div w:id="1278217598">
      <w:bodyDiv w:val="1"/>
      <w:marLeft w:val="0"/>
      <w:marRight w:val="0"/>
      <w:marTop w:val="0"/>
      <w:marBottom w:val="0"/>
      <w:divBdr>
        <w:top w:val="none" w:sz="0" w:space="0" w:color="auto"/>
        <w:left w:val="none" w:sz="0" w:space="0" w:color="auto"/>
        <w:bottom w:val="none" w:sz="0" w:space="0" w:color="auto"/>
        <w:right w:val="none" w:sz="0" w:space="0" w:color="auto"/>
      </w:divBdr>
    </w:div>
    <w:div w:id="1278370845">
      <w:bodyDiv w:val="1"/>
      <w:marLeft w:val="0"/>
      <w:marRight w:val="0"/>
      <w:marTop w:val="0"/>
      <w:marBottom w:val="0"/>
      <w:divBdr>
        <w:top w:val="none" w:sz="0" w:space="0" w:color="auto"/>
        <w:left w:val="none" w:sz="0" w:space="0" w:color="auto"/>
        <w:bottom w:val="none" w:sz="0" w:space="0" w:color="auto"/>
        <w:right w:val="none" w:sz="0" w:space="0" w:color="auto"/>
      </w:divBdr>
    </w:div>
    <w:div w:id="1278756273">
      <w:bodyDiv w:val="1"/>
      <w:marLeft w:val="0"/>
      <w:marRight w:val="0"/>
      <w:marTop w:val="0"/>
      <w:marBottom w:val="0"/>
      <w:divBdr>
        <w:top w:val="none" w:sz="0" w:space="0" w:color="auto"/>
        <w:left w:val="none" w:sz="0" w:space="0" w:color="auto"/>
        <w:bottom w:val="none" w:sz="0" w:space="0" w:color="auto"/>
        <w:right w:val="none" w:sz="0" w:space="0" w:color="auto"/>
      </w:divBdr>
    </w:div>
    <w:div w:id="1279070811">
      <w:bodyDiv w:val="1"/>
      <w:marLeft w:val="0"/>
      <w:marRight w:val="0"/>
      <w:marTop w:val="0"/>
      <w:marBottom w:val="0"/>
      <w:divBdr>
        <w:top w:val="none" w:sz="0" w:space="0" w:color="auto"/>
        <w:left w:val="none" w:sz="0" w:space="0" w:color="auto"/>
        <w:bottom w:val="none" w:sz="0" w:space="0" w:color="auto"/>
        <w:right w:val="none" w:sz="0" w:space="0" w:color="auto"/>
      </w:divBdr>
    </w:div>
    <w:div w:id="1279140069">
      <w:bodyDiv w:val="1"/>
      <w:marLeft w:val="0"/>
      <w:marRight w:val="0"/>
      <w:marTop w:val="0"/>
      <w:marBottom w:val="0"/>
      <w:divBdr>
        <w:top w:val="none" w:sz="0" w:space="0" w:color="auto"/>
        <w:left w:val="none" w:sz="0" w:space="0" w:color="auto"/>
        <w:bottom w:val="none" w:sz="0" w:space="0" w:color="auto"/>
        <w:right w:val="none" w:sz="0" w:space="0" w:color="auto"/>
      </w:divBdr>
    </w:div>
    <w:div w:id="1279141682">
      <w:bodyDiv w:val="1"/>
      <w:marLeft w:val="0"/>
      <w:marRight w:val="0"/>
      <w:marTop w:val="0"/>
      <w:marBottom w:val="0"/>
      <w:divBdr>
        <w:top w:val="none" w:sz="0" w:space="0" w:color="auto"/>
        <w:left w:val="none" w:sz="0" w:space="0" w:color="auto"/>
        <w:bottom w:val="none" w:sz="0" w:space="0" w:color="auto"/>
        <w:right w:val="none" w:sz="0" w:space="0" w:color="auto"/>
      </w:divBdr>
    </w:div>
    <w:div w:id="1279220079">
      <w:bodyDiv w:val="1"/>
      <w:marLeft w:val="0"/>
      <w:marRight w:val="0"/>
      <w:marTop w:val="0"/>
      <w:marBottom w:val="0"/>
      <w:divBdr>
        <w:top w:val="none" w:sz="0" w:space="0" w:color="auto"/>
        <w:left w:val="none" w:sz="0" w:space="0" w:color="auto"/>
        <w:bottom w:val="none" w:sz="0" w:space="0" w:color="auto"/>
        <w:right w:val="none" w:sz="0" w:space="0" w:color="auto"/>
      </w:divBdr>
    </w:div>
    <w:div w:id="1279486589">
      <w:bodyDiv w:val="1"/>
      <w:marLeft w:val="0"/>
      <w:marRight w:val="0"/>
      <w:marTop w:val="0"/>
      <w:marBottom w:val="0"/>
      <w:divBdr>
        <w:top w:val="none" w:sz="0" w:space="0" w:color="auto"/>
        <w:left w:val="none" w:sz="0" w:space="0" w:color="auto"/>
        <w:bottom w:val="none" w:sz="0" w:space="0" w:color="auto"/>
        <w:right w:val="none" w:sz="0" w:space="0" w:color="auto"/>
      </w:divBdr>
    </w:div>
    <w:div w:id="1279723079">
      <w:bodyDiv w:val="1"/>
      <w:marLeft w:val="0"/>
      <w:marRight w:val="0"/>
      <w:marTop w:val="0"/>
      <w:marBottom w:val="0"/>
      <w:divBdr>
        <w:top w:val="none" w:sz="0" w:space="0" w:color="auto"/>
        <w:left w:val="none" w:sz="0" w:space="0" w:color="auto"/>
        <w:bottom w:val="none" w:sz="0" w:space="0" w:color="auto"/>
        <w:right w:val="none" w:sz="0" w:space="0" w:color="auto"/>
      </w:divBdr>
    </w:div>
    <w:div w:id="1279802143">
      <w:bodyDiv w:val="1"/>
      <w:marLeft w:val="0"/>
      <w:marRight w:val="0"/>
      <w:marTop w:val="0"/>
      <w:marBottom w:val="0"/>
      <w:divBdr>
        <w:top w:val="none" w:sz="0" w:space="0" w:color="auto"/>
        <w:left w:val="none" w:sz="0" w:space="0" w:color="auto"/>
        <w:bottom w:val="none" w:sz="0" w:space="0" w:color="auto"/>
        <w:right w:val="none" w:sz="0" w:space="0" w:color="auto"/>
      </w:divBdr>
    </w:div>
    <w:div w:id="1280062485">
      <w:bodyDiv w:val="1"/>
      <w:marLeft w:val="0"/>
      <w:marRight w:val="0"/>
      <w:marTop w:val="0"/>
      <w:marBottom w:val="0"/>
      <w:divBdr>
        <w:top w:val="none" w:sz="0" w:space="0" w:color="auto"/>
        <w:left w:val="none" w:sz="0" w:space="0" w:color="auto"/>
        <w:bottom w:val="none" w:sz="0" w:space="0" w:color="auto"/>
        <w:right w:val="none" w:sz="0" w:space="0" w:color="auto"/>
      </w:divBdr>
    </w:div>
    <w:div w:id="1280644159">
      <w:bodyDiv w:val="1"/>
      <w:marLeft w:val="0"/>
      <w:marRight w:val="0"/>
      <w:marTop w:val="0"/>
      <w:marBottom w:val="0"/>
      <w:divBdr>
        <w:top w:val="none" w:sz="0" w:space="0" w:color="auto"/>
        <w:left w:val="none" w:sz="0" w:space="0" w:color="auto"/>
        <w:bottom w:val="none" w:sz="0" w:space="0" w:color="auto"/>
        <w:right w:val="none" w:sz="0" w:space="0" w:color="auto"/>
      </w:divBdr>
    </w:div>
    <w:div w:id="1280912477">
      <w:bodyDiv w:val="1"/>
      <w:marLeft w:val="0"/>
      <w:marRight w:val="0"/>
      <w:marTop w:val="0"/>
      <w:marBottom w:val="0"/>
      <w:divBdr>
        <w:top w:val="none" w:sz="0" w:space="0" w:color="auto"/>
        <w:left w:val="none" w:sz="0" w:space="0" w:color="auto"/>
        <w:bottom w:val="none" w:sz="0" w:space="0" w:color="auto"/>
        <w:right w:val="none" w:sz="0" w:space="0" w:color="auto"/>
      </w:divBdr>
    </w:div>
    <w:div w:id="1281063532">
      <w:bodyDiv w:val="1"/>
      <w:marLeft w:val="0"/>
      <w:marRight w:val="0"/>
      <w:marTop w:val="0"/>
      <w:marBottom w:val="0"/>
      <w:divBdr>
        <w:top w:val="none" w:sz="0" w:space="0" w:color="auto"/>
        <w:left w:val="none" w:sz="0" w:space="0" w:color="auto"/>
        <w:bottom w:val="none" w:sz="0" w:space="0" w:color="auto"/>
        <w:right w:val="none" w:sz="0" w:space="0" w:color="auto"/>
      </w:divBdr>
    </w:div>
    <w:div w:id="1281302702">
      <w:bodyDiv w:val="1"/>
      <w:marLeft w:val="0"/>
      <w:marRight w:val="0"/>
      <w:marTop w:val="0"/>
      <w:marBottom w:val="0"/>
      <w:divBdr>
        <w:top w:val="none" w:sz="0" w:space="0" w:color="auto"/>
        <w:left w:val="none" w:sz="0" w:space="0" w:color="auto"/>
        <w:bottom w:val="none" w:sz="0" w:space="0" w:color="auto"/>
        <w:right w:val="none" w:sz="0" w:space="0" w:color="auto"/>
      </w:divBdr>
    </w:div>
    <w:div w:id="1281375282">
      <w:bodyDiv w:val="1"/>
      <w:marLeft w:val="0"/>
      <w:marRight w:val="0"/>
      <w:marTop w:val="0"/>
      <w:marBottom w:val="0"/>
      <w:divBdr>
        <w:top w:val="none" w:sz="0" w:space="0" w:color="auto"/>
        <w:left w:val="none" w:sz="0" w:space="0" w:color="auto"/>
        <w:bottom w:val="none" w:sz="0" w:space="0" w:color="auto"/>
        <w:right w:val="none" w:sz="0" w:space="0" w:color="auto"/>
      </w:divBdr>
    </w:div>
    <w:div w:id="1281650203">
      <w:bodyDiv w:val="1"/>
      <w:marLeft w:val="0"/>
      <w:marRight w:val="0"/>
      <w:marTop w:val="0"/>
      <w:marBottom w:val="0"/>
      <w:divBdr>
        <w:top w:val="none" w:sz="0" w:space="0" w:color="auto"/>
        <w:left w:val="none" w:sz="0" w:space="0" w:color="auto"/>
        <w:bottom w:val="none" w:sz="0" w:space="0" w:color="auto"/>
        <w:right w:val="none" w:sz="0" w:space="0" w:color="auto"/>
      </w:divBdr>
    </w:div>
    <w:div w:id="1281838782">
      <w:bodyDiv w:val="1"/>
      <w:marLeft w:val="0"/>
      <w:marRight w:val="0"/>
      <w:marTop w:val="0"/>
      <w:marBottom w:val="0"/>
      <w:divBdr>
        <w:top w:val="none" w:sz="0" w:space="0" w:color="auto"/>
        <w:left w:val="none" w:sz="0" w:space="0" w:color="auto"/>
        <w:bottom w:val="none" w:sz="0" w:space="0" w:color="auto"/>
        <w:right w:val="none" w:sz="0" w:space="0" w:color="auto"/>
      </w:divBdr>
    </w:div>
    <w:div w:id="1281839887">
      <w:bodyDiv w:val="1"/>
      <w:marLeft w:val="0"/>
      <w:marRight w:val="0"/>
      <w:marTop w:val="0"/>
      <w:marBottom w:val="0"/>
      <w:divBdr>
        <w:top w:val="none" w:sz="0" w:space="0" w:color="auto"/>
        <w:left w:val="none" w:sz="0" w:space="0" w:color="auto"/>
        <w:bottom w:val="none" w:sz="0" w:space="0" w:color="auto"/>
        <w:right w:val="none" w:sz="0" w:space="0" w:color="auto"/>
      </w:divBdr>
    </w:div>
    <w:div w:id="1281913426">
      <w:bodyDiv w:val="1"/>
      <w:marLeft w:val="0"/>
      <w:marRight w:val="0"/>
      <w:marTop w:val="0"/>
      <w:marBottom w:val="0"/>
      <w:divBdr>
        <w:top w:val="none" w:sz="0" w:space="0" w:color="auto"/>
        <w:left w:val="none" w:sz="0" w:space="0" w:color="auto"/>
        <w:bottom w:val="none" w:sz="0" w:space="0" w:color="auto"/>
        <w:right w:val="none" w:sz="0" w:space="0" w:color="auto"/>
      </w:divBdr>
    </w:div>
    <w:div w:id="1282029414">
      <w:bodyDiv w:val="1"/>
      <w:marLeft w:val="0"/>
      <w:marRight w:val="0"/>
      <w:marTop w:val="0"/>
      <w:marBottom w:val="0"/>
      <w:divBdr>
        <w:top w:val="none" w:sz="0" w:space="0" w:color="auto"/>
        <w:left w:val="none" w:sz="0" w:space="0" w:color="auto"/>
        <w:bottom w:val="none" w:sz="0" w:space="0" w:color="auto"/>
        <w:right w:val="none" w:sz="0" w:space="0" w:color="auto"/>
      </w:divBdr>
    </w:div>
    <w:div w:id="1282154106">
      <w:bodyDiv w:val="1"/>
      <w:marLeft w:val="0"/>
      <w:marRight w:val="0"/>
      <w:marTop w:val="0"/>
      <w:marBottom w:val="0"/>
      <w:divBdr>
        <w:top w:val="none" w:sz="0" w:space="0" w:color="auto"/>
        <w:left w:val="none" w:sz="0" w:space="0" w:color="auto"/>
        <w:bottom w:val="none" w:sz="0" w:space="0" w:color="auto"/>
        <w:right w:val="none" w:sz="0" w:space="0" w:color="auto"/>
      </w:divBdr>
    </w:div>
    <w:div w:id="1282300589">
      <w:bodyDiv w:val="1"/>
      <w:marLeft w:val="0"/>
      <w:marRight w:val="0"/>
      <w:marTop w:val="0"/>
      <w:marBottom w:val="0"/>
      <w:divBdr>
        <w:top w:val="none" w:sz="0" w:space="0" w:color="auto"/>
        <w:left w:val="none" w:sz="0" w:space="0" w:color="auto"/>
        <w:bottom w:val="none" w:sz="0" w:space="0" w:color="auto"/>
        <w:right w:val="none" w:sz="0" w:space="0" w:color="auto"/>
      </w:divBdr>
    </w:div>
    <w:div w:id="1282420140">
      <w:bodyDiv w:val="1"/>
      <w:marLeft w:val="0"/>
      <w:marRight w:val="0"/>
      <w:marTop w:val="0"/>
      <w:marBottom w:val="0"/>
      <w:divBdr>
        <w:top w:val="none" w:sz="0" w:space="0" w:color="auto"/>
        <w:left w:val="none" w:sz="0" w:space="0" w:color="auto"/>
        <w:bottom w:val="none" w:sz="0" w:space="0" w:color="auto"/>
        <w:right w:val="none" w:sz="0" w:space="0" w:color="auto"/>
      </w:divBdr>
    </w:div>
    <w:div w:id="1282876946">
      <w:bodyDiv w:val="1"/>
      <w:marLeft w:val="0"/>
      <w:marRight w:val="0"/>
      <w:marTop w:val="0"/>
      <w:marBottom w:val="0"/>
      <w:divBdr>
        <w:top w:val="none" w:sz="0" w:space="0" w:color="auto"/>
        <w:left w:val="none" w:sz="0" w:space="0" w:color="auto"/>
        <w:bottom w:val="none" w:sz="0" w:space="0" w:color="auto"/>
        <w:right w:val="none" w:sz="0" w:space="0" w:color="auto"/>
      </w:divBdr>
    </w:div>
    <w:div w:id="1282958648">
      <w:bodyDiv w:val="1"/>
      <w:marLeft w:val="0"/>
      <w:marRight w:val="0"/>
      <w:marTop w:val="0"/>
      <w:marBottom w:val="0"/>
      <w:divBdr>
        <w:top w:val="none" w:sz="0" w:space="0" w:color="auto"/>
        <w:left w:val="none" w:sz="0" w:space="0" w:color="auto"/>
        <w:bottom w:val="none" w:sz="0" w:space="0" w:color="auto"/>
        <w:right w:val="none" w:sz="0" w:space="0" w:color="auto"/>
      </w:divBdr>
    </w:div>
    <w:div w:id="1283071431">
      <w:bodyDiv w:val="1"/>
      <w:marLeft w:val="0"/>
      <w:marRight w:val="0"/>
      <w:marTop w:val="0"/>
      <w:marBottom w:val="0"/>
      <w:divBdr>
        <w:top w:val="none" w:sz="0" w:space="0" w:color="auto"/>
        <w:left w:val="none" w:sz="0" w:space="0" w:color="auto"/>
        <w:bottom w:val="none" w:sz="0" w:space="0" w:color="auto"/>
        <w:right w:val="none" w:sz="0" w:space="0" w:color="auto"/>
      </w:divBdr>
    </w:div>
    <w:div w:id="1283462981">
      <w:bodyDiv w:val="1"/>
      <w:marLeft w:val="0"/>
      <w:marRight w:val="0"/>
      <w:marTop w:val="0"/>
      <w:marBottom w:val="0"/>
      <w:divBdr>
        <w:top w:val="none" w:sz="0" w:space="0" w:color="auto"/>
        <w:left w:val="none" w:sz="0" w:space="0" w:color="auto"/>
        <w:bottom w:val="none" w:sz="0" w:space="0" w:color="auto"/>
        <w:right w:val="none" w:sz="0" w:space="0" w:color="auto"/>
      </w:divBdr>
    </w:div>
    <w:div w:id="1283731163">
      <w:bodyDiv w:val="1"/>
      <w:marLeft w:val="0"/>
      <w:marRight w:val="0"/>
      <w:marTop w:val="0"/>
      <w:marBottom w:val="0"/>
      <w:divBdr>
        <w:top w:val="none" w:sz="0" w:space="0" w:color="auto"/>
        <w:left w:val="none" w:sz="0" w:space="0" w:color="auto"/>
        <w:bottom w:val="none" w:sz="0" w:space="0" w:color="auto"/>
        <w:right w:val="none" w:sz="0" w:space="0" w:color="auto"/>
      </w:divBdr>
    </w:div>
    <w:div w:id="1283808480">
      <w:bodyDiv w:val="1"/>
      <w:marLeft w:val="0"/>
      <w:marRight w:val="0"/>
      <w:marTop w:val="0"/>
      <w:marBottom w:val="0"/>
      <w:divBdr>
        <w:top w:val="none" w:sz="0" w:space="0" w:color="auto"/>
        <w:left w:val="none" w:sz="0" w:space="0" w:color="auto"/>
        <w:bottom w:val="none" w:sz="0" w:space="0" w:color="auto"/>
        <w:right w:val="none" w:sz="0" w:space="0" w:color="auto"/>
      </w:divBdr>
    </w:div>
    <w:div w:id="1283922124">
      <w:bodyDiv w:val="1"/>
      <w:marLeft w:val="0"/>
      <w:marRight w:val="0"/>
      <w:marTop w:val="0"/>
      <w:marBottom w:val="0"/>
      <w:divBdr>
        <w:top w:val="none" w:sz="0" w:space="0" w:color="auto"/>
        <w:left w:val="none" w:sz="0" w:space="0" w:color="auto"/>
        <w:bottom w:val="none" w:sz="0" w:space="0" w:color="auto"/>
        <w:right w:val="none" w:sz="0" w:space="0" w:color="auto"/>
      </w:divBdr>
    </w:div>
    <w:div w:id="1284264205">
      <w:bodyDiv w:val="1"/>
      <w:marLeft w:val="0"/>
      <w:marRight w:val="0"/>
      <w:marTop w:val="0"/>
      <w:marBottom w:val="0"/>
      <w:divBdr>
        <w:top w:val="none" w:sz="0" w:space="0" w:color="auto"/>
        <w:left w:val="none" w:sz="0" w:space="0" w:color="auto"/>
        <w:bottom w:val="none" w:sz="0" w:space="0" w:color="auto"/>
        <w:right w:val="none" w:sz="0" w:space="0" w:color="auto"/>
      </w:divBdr>
    </w:div>
    <w:div w:id="1284385391">
      <w:bodyDiv w:val="1"/>
      <w:marLeft w:val="0"/>
      <w:marRight w:val="0"/>
      <w:marTop w:val="0"/>
      <w:marBottom w:val="0"/>
      <w:divBdr>
        <w:top w:val="none" w:sz="0" w:space="0" w:color="auto"/>
        <w:left w:val="none" w:sz="0" w:space="0" w:color="auto"/>
        <w:bottom w:val="none" w:sz="0" w:space="0" w:color="auto"/>
        <w:right w:val="none" w:sz="0" w:space="0" w:color="auto"/>
      </w:divBdr>
    </w:div>
    <w:div w:id="1284465156">
      <w:bodyDiv w:val="1"/>
      <w:marLeft w:val="0"/>
      <w:marRight w:val="0"/>
      <w:marTop w:val="0"/>
      <w:marBottom w:val="0"/>
      <w:divBdr>
        <w:top w:val="none" w:sz="0" w:space="0" w:color="auto"/>
        <w:left w:val="none" w:sz="0" w:space="0" w:color="auto"/>
        <w:bottom w:val="none" w:sz="0" w:space="0" w:color="auto"/>
        <w:right w:val="none" w:sz="0" w:space="0" w:color="auto"/>
      </w:divBdr>
    </w:div>
    <w:div w:id="1284535478">
      <w:bodyDiv w:val="1"/>
      <w:marLeft w:val="0"/>
      <w:marRight w:val="0"/>
      <w:marTop w:val="0"/>
      <w:marBottom w:val="0"/>
      <w:divBdr>
        <w:top w:val="none" w:sz="0" w:space="0" w:color="auto"/>
        <w:left w:val="none" w:sz="0" w:space="0" w:color="auto"/>
        <w:bottom w:val="none" w:sz="0" w:space="0" w:color="auto"/>
        <w:right w:val="none" w:sz="0" w:space="0" w:color="auto"/>
      </w:divBdr>
    </w:div>
    <w:div w:id="1284582934">
      <w:bodyDiv w:val="1"/>
      <w:marLeft w:val="0"/>
      <w:marRight w:val="0"/>
      <w:marTop w:val="0"/>
      <w:marBottom w:val="0"/>
      <w:divBdr>
        <w:top w:val="none" w:sz="0" w:space="0" w:color="auto"/>
        <w:left w:val="none" w:sz="0" w:space="0" w:color="auto"/>
        <w:bottom w:val="none" w:sz="0" w:space="0" w:color="auto"/>
        <w:right w:val="none" w:sz="0" w:space="0" w:color="auto"/>
      </w:divBdr>
    </w:div>
    <w:div w:id="1284656047">
      <w:bodyDiv w:val="1"/>
      <w:marLeft w:val="0"/>
      <w:marRight w:val="0"/>
      <w:marTop w:val="0"/>
      <w:marBottom w:val="0"/>
      <w:divBdr>
        <w:top w:val="none" w:sz="0" w:space="0" w:color="auto"/>
        <w:left w:val="none" w:sz="0" w:space="0" w:color="auto"/>
        <w:bottom w:val="none" w:sz="0" w:space="0" w:color="auto"/>
        <w:right w:val="none" w:sz="0" w:space="0" w:color="auto"/>
      </w:divBdr>
    </w:div>
    <w:div w:id="1284842839">
      <w:bodyDiv w:val="1"/>
      <w:marLeft w:val="0"/>
      <w:marRight w:val="0"/>
      <w:marTop w:val="0"/>
      <w:marBottom w:val="0"/>
      <w:divBdr>
        <w:top w:val="none" w:sz="0" w:space="0" w:color="auto"/>
        <w:left w:val="none" w:sz="0" w:space="0" w:color="auto"/>
        <w:bottom w:val="none" w:sz="0" w:space="0" w:color="auto"/>
        <w:right w:val="none" w:sz="0" w:space="0" w:color="auto"/>
      </w:divBdr>
    </w:div>
    <w:div w:id="1284849312">
      <w:bodyDiv w:val="1"/>
      <w:marLeft w:val="0"/>
      <w:marRight w:val="0"/>
      <w:marTop w:val="0"/>
      <w:marBottom w:val="0"/>
      <w:divBdr>
        <w:top w:val="none" w:sz="0" w:space="0" w:color="auto"/>
        <w:left w:val="none" w:sz="0" w:space="0" w:color="auto"/>
        <w:bottom w:val="none" w:sz="0" w:space="0" w:color="auto"/>
        <w:right w:val="none" w:sz="0" w:space="0" w:color="auto"/>
      </w:divBdr>
    </w:div>
    <w:div w:id="1285187804">
      <w:bodyDiv w:val="1"/>
      <w:marLeft w:val="0"/>
      <w:marRight w:val="0"/>
      <w:marTop w:val="0"/>
      <w:marBottom w:val="0"/>
      <w:divBdr>
        <w:top w:val="none" w:sz="0" w:space="0" w:color="auto"/>
        <w:left w:val="none" w:sz="0" w:space="0" w:color="auto"/>
        <w:bottom w:val="none" w:sz="0" w:space="0" w:color="auto"/>
        <w:right w:val="none" w:sz="0" w:space="0" w:color="auto"/>
      </w:divBdr>
    </w:div>
    <w:div w:id="1285382725">
      <w:bodyDiv w:val="1"/>
      <w:marLeft w:val="0"/>
      <w:marRight w:val="0"/>
      <w:marTop w:val="0"/>
      <w:marBottom w:val="0"/>
      <w:divBdr>
        <w:top w:val="none" w:sz="0" w:space="0" w:color="auto"/>
        <w:left w:val="none" w:sz="0" w:space="0" w:color="auto"/>
        <w:bottom w:val="none" w:sz="0" w:space="0" w:color="auto"/>
        <w:right w:val="none" w:sz="0" w:space="0" w:color="auto"/>
      </w:divBdr>
    </w:div>
    <w:div w:id="1285382757">
      <w:bodyDiv w:val="1"/>
      <w:marLeft w:val="0"/>
      <w:marRight w:val="0"/>
      <w:marTop w:val="0"/>
      <w:marBottom w:val="0"/>
      <w:divBdr>
        <w:top w:val="none" w:sz="0" w:space="0" w:color="auto"/>
        <w:left w:val="none" w:sz="0" w:space="0" w:color="auto"/>
        <w:bottom w:val="none" w:sz="0" w:space="0" w:color="auto"/>
        <w:right w:val="none" w:sz="0" w:space="0" w:color="auto"/>
      </w:divBdr>
    </w:div>
    <w:div w:id="1285386246">
      <w:bodyDiv w:val="1"/>
      <w:marLeft w:val="0"/>
      <w:marRight w:val="0"/>
      <w:marTop w:val="0"/>
      <w:marBottom w:val="0"/>
      <w:divBdr>
        <w:top w:val="none" w:sz="0" w:space="0" w:color="auto"/>
        <w:left w:val="none" w:sz="0" w:space="0" w:color="auto"/>
        <w:bottom w:val="none" w:sz="0" w:space="0" w:color="auto"/>
        <w:right w:val="none" w:sz="0" w:space="0" w:color="auto"/>
      </w:divBdr>
    </w:div>
    <w:div w:id="1286355481">
      <w:bodyDiv w:val="1"/>
      <w:marLeft w:val="0"/>
      <w:marRight w:val="0"/>
      <w:marTop w:val="0"/>
      <w:marBottom w:val="0"/>
      <w:divBdr>
        <w:top w:val="none" w:sz="0" w:space="0" w:color="auto"/>
        <w:left w:val="none" w:sz="0" w:space="0" w:color="auto"/>
        <w:bottom w:val="none" w:sz="0" w:space="0" w:color="auto"/>
        <w:right w:val="none" w:sz="0" w:space="0" w:color="auto"/>
      </w:divBdr>
    </w:div>
    <w:div w:id="1286500595">
      <w:bodyDiv w:val="1"/>
      <w:marLeft w:val="0"/>
      <w:marRight w:val="0"/>
      <w:marTop w:val="0"/>
      <w:marBottom w:val="0"/>
      <w:divBdr>
        <w:top w:val="none" w:sz="0" w:space="0" w:color="auto"/>
        <w:left w:val="none" w:sz="0" w:space="0" w:color="auto"/>
        <w:bottom w:val="none" w:sz="0" w:space="0" w:color="auto"/>
        <w:right w:val="none" w:sz="0" w:space="0" w:color="auto"/>
      </w:divBdr>
    </w:div>
    <w:div w:id="1286545621">
      <w:bodyDiv w:val="1"/>
      <w:marLeft w:val="0"/>
      <w:marRight w:val="0"/>
      <w:marTop w:val="0"/>
      <w:marBottom w:val="0"/>
      <w:divBdr>
        <w:top w:val="none" w:sz="0" w:space="0" w:color="auto"/>
        <w:left w:val="none" w:sz="0" w:space="0" w:color="auto"/>
        <w:bottom w:val="none" w:sz="0" w:space="0" w:color="auto"/>
        <w:right w:val="none" w:sz="0" w:space="0" w:color="auto"/>
      </w:divBdr>
    </w:div>
    <w:div w:id="1287001924">
      <w:bodyDiv w:val="1"/>
      <w:marLeft w:val="0"/>
      <w:marRight w:val="0"/>
      <w:marTop w:val="0"/>
      <w:marBottom w:val="0"/>
      <w:divBdr>
        <w:top w:val="none" w:sz="0" w:space="0" w:color="auto"/>
        <w:left w:val="none" w:sz="0" w:space="0" w:color="auto"/>
        <w:bottom w:val="none" w:sz="0" w:space="0" w:color="auto"/>
        <w:right w:val="none" w:sz="0" w:space="0" w:color="auto"/>
      </w:divBdr>
    </w:div>
    <w:div w:id="1287196174">
      <w:bodyDiv w:val="1"/>
      <w:marLeft w:val="0"/>
      <w:marRight w:val="0"/>
      <w:marTop w:val="0"/>
      <w:marBottom w:val="0"/>
      <w:divBdr>
        <w:top w:val="none" w:sz="0" w:space="0" w:color="auto"/>
        <w:left w:val="none" w:sz="0" w:space="0" w:color="auto"/>
        <w:bottom w:val="none" w:sz="0" w:space="0" w:color="auto"/>
        <w:right w:val="none" w:sz="0" w:space="0" w:color="auto"/>
      </w:divBdr>
    </w:div>
    <w:div w:id="1287197955">
      <w:bodyDiv w:val="1"/>
      <w:marLeft w:val="0"/>
      <w:marRight w:val="0"/>
      <w:marTop w:val="0"/>
      <w:marBottom w:val="0"/>
      <w:divBdr>
        <w:top w:val="none" w:sz="0" w:space="0" w:color="auto"/>
        <w:left w:val="none" w:sz="0" w:space="0" w:color="auto"/>
        <w:bottom w:val="none" w:sz="0" w:space="0" w:color="auto"/>
        <w:right w:val="none" w:sz="0" w:space="0" w:color="auto"/>
      </w:divBdr>
    </w:div>
    <w:div w:id="1287389300">
      <w:bodyDiv w:val="1"/>
      <w:marLeft w:val="0"/>
      <w:marRight w:val="0"/>
      <w:marTop w:val="0"/>
      <w:marBottom w:val="0"/>
      <w:divBdr>
        <w:top w:val="none" w:sz="0" w:space="0" w:color="auto"/>
        <w:left w:val="none" w:sz="0" w:space="0" w:color="auto"/>
        <w:bottom w:val="none" w:sz="0" w:space="0" w:color="auto"/>
        <w:right w:val="none" w:sz="0" w:space="0" w:color="auto"/>
      </w:divBdr>
    </w:div>
    <w:div w:id="12873955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7783203">
      <w:bodyDiv w:val="1"/>
      <w:marLeft w:val="0"/>
      <w:marRight w:val="0"/>
      <w:marTop w:val="0"/>
      <w:marBottom w:val="0"/>
      <w:divBdr>
        <w:top w:val="none" w:sz="0" w:space="0" w:color="auto"/>
        <w:left w:val="none" w:sz="0" w:space="0" w:color="auto"/>
        <w:bottom w:val="none" w:sz="0" w:space="0" w:color="auto"/>
        <w:right w:val="none" w:sz="0" w:space="0" w:color="auto"/>
      </w:divBdr>
    </w:div>
    <w:div w:id="1287811545">
      <w:bodyDiv w:val="1"/>
      <w:marLeft w:val="0"/>
      <w:marRight w:val="0"/>
      <w:marTop w:val="0"/>
      <w:marBottom w:val="0"/>
      <w:divBdr>
        <w:top w:val="none" w:sz="0" w:space="0" w:color="auto"/>
        <w:left w:val="none" w:sz="0" w:space="0" w:color="auto"/>
        <w:bottom w:val="none" w:sz="0" w:space="0" w:color="auto"/>
        <w:right w:val="none" w:sz="0" w:space="0" w:color="auto"/>
      </w:divBdr>
    </w:div>
    <w:div w:id="1287928048">
      <w:bodyDiv w:val="1"/>
      <w:marLeft w:val="0"/>
      <w:marRight w:val="0"/>
      <w:marTop w:val="0"/>
      <w:marBottom w:val="0"/>
      <w:divBdr>
        <w:top w:val="none" w:sz="0" w:space="0" w:color="auto"/>
        <w:left w:val="none" w:sz="0" w:space="0" w:color="auto"/>
        <w:bottom w:val="none" w:sz="0" w:space="0" w:color="auto"/>
        <w:right w:val="none" w:sz="0" w:space="0" w:color="auto"/>
      </w:divBdr>
    </w:div>
    <w:div w:id="1288000997">
      <w:bodyDiv w:val="1"/>
      <w:marLeft w:val="0"/>
      <w:marRight w:val="0"/>
      <w:marTop w:val="0"/>
      <w:marBottom w:val="0"/>
      <w:divBdr>
        <w:top w:val="none" w:sz="0" w:space="0" w:color="auto"/>
        <w:left w:val="none" w:sz="0" w:space="0" w:color="auto"/>
        <w:bottom w:val="none" w:sz="0" w:space="0" w:color="auto"/>
        <w:right w:val="none" w:sz="0" w:space="0" w:color="auto"/>
      </w:divBdr>
    </w:div>
    <w:div w:id="1288195789">
      <w:bodyDiv w:val="1"/>
      <w:marLeft w:val="0"/>
      <w:marRight w:val="0"/>
      <w:marTop w:val="0"/>
      <w:marBottom w:val="0"/>
      <w:divBdr>
        <w:top w:val="none" w:sz="0" w:space="0" w:color="auto"/>
        <w:left w:val="none" w:sz="0" w:space="0" w:color="auto"/>
        <w:bottom w:val="none" w:sz="0" w:space="0" w:color="auto"/>
        <w:right w:val="none" w:sz="0" w:space="0" w:color="auto"/>
      </w:divBdr>
    </w:div>
    <w:div w:id="1288395015">
      <w:bodyDiv w:val="1"/>
      <w:marLeft w:val="0"/>
      <w:marRight w:val="0"/>
      <w:marTop w:val="0"/>
      <w:marBottom w:val="0"/>
      <w:divBdr>
        <w:top w:val="none" w:sz="0" w:space="0" w:color="auto"/>
        <w:left w:val="none" w:sz="0" w:space="0" w:color="auto"/>
        <w:bottom w:val="none" w:sz="0" w:space="0" w:color="auto"/>
        <w:right w:val="none" w:sz="0" w:space="0" w:color="auto"/>
      </w:divBdr>
    </w:div>
    <w:div w:id="1288775853">
      <w:bodyDiv w:val="1"/>
      <w:marLeft w:val="0"/>
      <w:marRight w:val="0"/>
      <w:marTop w:val="0"/>
      <w:marBottom w:val="0"/>
      <w:divBdr>
        <w:top w:val="none" w:sz="0" w:space="0" w:color="auto"/>
        <w:left w:val="none" w:sz="0" w:space="0" w:color="auto"/>
        <w:bottom w:val="none" w:sz="0" w:space="0" w:color="auto"/>
        <w:right w:val="none" w:sz="0" w:space="0" w:color="auto"/>
      </w:divBdr>
    </w:div>
    <w:div w:id="1289046587">
      <w:bodyDiv w:val="1"/>
      <w:marLeft w:val="0"/>
      <w:marRight w:val="0"/>
      <w:marTop w:val="0"/>
      <w:marBottom w:val="0"/>
      <w:divBdr>
        <w:top w:val="none" w:sz="0" w:space="0" w:color="auto"/>
        <w:left w:val="none" w:sz="0" w:space="0" w:color="auto"/>
        <w:bottom w:val="none" w:sz="0" w:space="0" w:color="auto"/>
        <w:right w:val="none" w:sz="0" w:space="0" w:color="auto"/>
      </w:divBdr>
    </w:div>
    <w:div w:id="1289748613">
      <w:bodyDiv w:val="1"/>
      <w:marLeft w:val="0"/>
      <w:marRight w:val="0"/>
      <w:marTop w:val="0"/>
      <w:marBottom w:val="0"/>
      <w:divBdr>
        <w:top w:val="none" w:sz="0" w:space="0" w:color="auto"/>
        <w:left w:val="none" w:sz="0" w:space="0" w:color="auto"/>
        <w:bottom w:val="none" w:sz="0" w:space="0" w:color="auto"/>
        <w:right w:val="none" w:sz="0" w:space="0" w:color="auto"/>
      </w:divBdr>
    </w:div>
    <w:div w:id="1290014574">
      <w:bodyDiv w:val="1"/>
      <w:marLeft w:val="0"/>
      <w:marRight w:val="0"/>
      <w:marTop w:val="0"/>
      <w:marBottom w:val="0"/>
      <w:divBdr>
        <w:top w:val="none" w:sz="0" w:space="0" w:color="auto"/>
        <w:left w:val="none" w:sz="0" w:space="0" w:color="auto"/>
        <w:bottom w:val="none" w:sz="0" w:space="0" w:color="auto"/>
        <w:right w:val="none" w:sz="0" w:space="0" w:color="auto"/>
      </w:divBdr>
    </w:div>
    <w:div w:id="1290211593">
      <w:bodyDiv w:val="1"/>
      <w:marLeft w:val="0"/>
      <w:marRight w:val="0"/>
      <w:marTop w:val="0"/>
      <w:marBottom w:val="0"/>
      <w:divBdr>
        <w:top w:val="none" w:sz="0" w:space="0" w:color="auto"/>
        <w:left w:val="none" w:sz="0" w:space="0" w:color="auto"/>
        <w:bottom w:val="none" w:sz="0" w:space="0" w:color="auto"/>
        <w:right w:val="none" w:sz="0" w:space="0" w:color="auto"/>
      </w:divBdr>
    </w:div>
    <w:div w:id="1290281657">
      <w:bodyDiv w:val="1"/>
      <w:marLeft w:val="0"/>
      <w:marRight w:val="0"/>
      <w:marTop w:val="0"/>
      <w:marBottom w:val="0"/>
      <w:divBdr>
        <w:top w:val="none" w:sz="0" w:space="0" w:color="auto"/>
        <w:left w:val="none" w:sz="0" w:space="0" w:color="auto"/>
        <w:bottom w:val="none" w:sz="0" w:space="0" w:color="auto"/>
        <w:right w:val="none" w:sz="0" w:space="0" w:color="auto"/>
      </w:divBdr>
    </w:div>
    <w:div w:id="1290357464">
      <w:bodyDiv w:val="1"/>
      <w:marLeft w:val="0"/>
      <w:marRight w:val="0"/>
      <w:marTop w:val="0"/>
      <w:marBottom w:val="0"/>
      <w:divBdr>
        <w:top w:val="none" w:sz="0" w:space="0" w:color="auto"/>
        <w:left w:val="none" w:sz="0" w:space="0" w:color="auto"/>
        <w:bottom w:val="none" w:sz="0" w:space="0" w:color="auto"/>
        <w:right w:val="none" w:sz="0" w:space="0" w:color="auto"/>
      </w:divBdr>
    </w:div>
    <w:div w:id="1290360939">
      <w:bodyDiv w:val="1"/>
      <w:marLeft w:val="0"/>
      <w:marRight w:val="0"/>
      <w:marTop w:val="0"/>
      <w:marBottom w:val="0"/>
      <w:divBdr>
        <w:top w:val="none" w:sz="0" w:space="0" w:color="auto"/>
        <w:left w:val="none" w:sz="0" w:space="0" w:color="auto"/>
        <w:bottom w:val="none" w:sz="0" w:space="0" w:color="auto"/>
        <w:right w:val="none" w:sz="0" w:space="0" w:color="auto"/>
      </w:divBdr>
    </w:div>
    <w:div w:id="1290479066">
      <w:bodyDiv w:val="1"/>
      <w:marLeft w:val="0"/>
      <w:marRight w:val="0"/>
      <w:marTop w:val="0"/>
      <w:marBottom w:val="0"/>
      <w:divBdr>
        <w:top w:val="none" w:sz="0" w:space="0" w:color="auto"/>
        <w:left w:val="none" w:sz="0" w:space="0" w:color="auto"/>
        <w:bottom w:val="none" w:sz="0" w:space="0" w:color="auto"/>
        <w:right w:val="none" w:sz="0" w:space="0" w:color="auto"/>
      </w:divBdr>
    </w:div>
    <w:div w:id="1290623676">
      <w:bodyDiv w:val="1"/>
      <w:marLeft w:val="0"/>
      <w:marRight w:val="0"/>
      <w:marTop w:val="0"/>
      <w:marBottom w:val="0"/>
      <w:divBdr>
        <w:top w:val="none" w:sz="0" w:space="0" w:color="auto"/>
        <w:left w:val="none" w:sz="0" w:space="0" w:color="auto"/>
        <w:bottom w:val="none" w:sz="0" w:space="0" w:color="auto"/>
        <w:right w:val="none" w:sz="0" w:space="0" w:color="auto"/>
      </w:divBdr>
    </w:div>
    <w:div w:id="1290746170">
      <w:bodyDiv w:val="1"/>
      <w:marLeft w:val="0"/>
      <w:marRight w:val="0"/>
      <w:marTop w:val="0"/>
      <w:marBottom w:val="0"/>
      <w:divBdr>
        <w:top w:val="none" w:sz="0" w:space="0" w:color="auto"/>
        <w:left w:val="none" w:sz="0" w:space="0" w:color="auto"/>
        <w:bottom w:val="none" w:sz="0" w:space="0" w:color="auto"/>
        <w:right w:val="none" w:sz="0" w:space="0" w:color="auto"/>
      </w:divBdr>
    </w:div>
    <w:div w:id="1290862813">
      <w:bodyDiv w:val="1"/>
      <w:marLeft w:val="0"/>
      <w:marRight w:val="0"/>
      <w:marTop w:val="0"/>
      <w:marBottom w:val="0"/>
      <w:divBdr>
        <w:top w:val="none" w:sz="0" w:space="0" w:color="auto"/>
        <w:left w:val="none" w:sz="0" w:space="0" w:color="auto"/>
        <w:bottom w:val="none" w:sz="0" w:space="0" w:color="auto"/>
        <w:right w:val="none" w:sz="0" w:space="0" w:color="auto"/>
      </w:divBdr>
    </w:div>
    <w:div w:id="1291324118">
      <w:bodyDiv w:val="1"/>
      <w:marLeft w:val="0"/>
      <w:marRight w:val="0"/>
      <w:marTop w:val="0"/>
      <w:marBottom w:val="0"/>
      <w:divBdr>
        <w:top w:val="none" w:sz="0" w:space="0" w:color="auto"/>
        <w:left w:val="none" w:sz="0" w:space="0" w:color="auto"/>
        <w:bottom w:val="none" w:sz="0" w:space="0" w:color="auto"/>
        <w:right w:val="none" w:sz="0" w:space="0" w:color="auto"/>
      </w:divBdr>
    </w:div>
    <w:div w:id="1291746460">
      <w:bodyDiv w:val="1"/>
      <w:marLeft w:val="0"/>
      <w:marRight w:val="0"/>
      <w:marTop w:val="0"/>
      <w:marBottom w:val="0"/>
      <w:divBdr>
        <w:top w:val="none" w:sz="0" w:space="0" w:color="auto"/>
        <w:left w:val="none" w:sz="0" w:space="0" w:color="auto"/>
        <w:bottom w:val="none" w:sz="0" w:space="0" w:color="auto"/>
        <w:right w:val="none" w:sz="0" w:space="0" w:color="auto"/>
      </w:divBdr>
    </w:div>
    <w:div w:id="1292051180">
      <w:bodyDiv w:val="1"/>
      <w:marLeft w:val="0"/>
      <w:marRight w:val="0"/>
      <w:marTop w:val="0"/>
      <w:marBottom w:val="0"/>
      <w:divBdr>
        <w:top w:val="none" w:sz="0" w:space="0" w:color="auto"/>
        <w:left w:val="none" w:sz="0" w:space="0" w:color="auto"/>
        <w:bottom w:val="none" w:sz="0" w:space="0" w:color="auto"/>
        <w:right w:val="none" w:sz="0" w:space="0" w:color="auto"/>
      </w:divBdr>
    </w:div>
    <w:div w:id="1292247945">
      <w:bodyDiv w:val="1"/>
      <w:marLeft w:val="0"/>
      <w:marRight w:val="0"/>
      <w:marTop w:val="0"/>
      <w:marBottom w:val="0"/>
      <w:divBdr>
        <w:top w:val="none" w:sz="0" w:space="0" w:color="auto"/>
        <w:left w:val="none" w:sz="0" w:space="0" w:color="auto"/>
        <w:bottom w:val="none" w:sz="0" w:space="0" w:color="auto"/>
        <w:right w:val="none" w:sz="0" w:space="0" w:color="auto"/>
      </w:divBdr>
    </w:div>
    <w:div w:id="1292789542">
      <w:bodyDiv w:val="1"/>
      <w:marLeft w:val="0"/>
      <w:marRight w:val="0"/>
      <w:marTop w:val="0"/>
      <w:marBottom w:val="0"/>
      <w:divBdr>
        <w:top w:val="none" w:sz="0" w:space="0" w:color="auto"/>
        <w:left w:val="none" w:sz="0" w:space="0" w:color="auto"/>
        <w:bottom w:val="none" w:sz="0" w:space="0" w:color="auto"/>
        <w:right w:val="none" w:sz="0" w:space="0" w:color="auto"/>
      </w:divBdr>
    </w:div>
    <w:div w:id="1292898648">
      <w:bodyDiv w:val="1"/>
      <w:marLeft w:val="0"/>
      <w:marRight w:val="0"/>
      <w:marTop w:val="0"/>
      <w:marBottom w:val="0"/>
      <w:divBdr>
        <w:top w:val="none" w:sz="0" w:space="0" w:color="auto"/>
        <w:left w:val="none" w:sz="0" w:space="0" w:color="auto"/>
        <w:bottom w:val="none" w:sz="0" w:space="0" w:color="auto"/>
        <w:right w:val="none" w:sz="0" w:space="0" w:color="auto"/>
      </w:divBdr>
    </w:div>
    <w:div w:id="1292906272">
      <w:bodyDiv w:val="1"/>
      <w:marLeft w:val="0"/>
      <w:marRight w:val="0"/>
      <w:marTop w:val="0"/>
      <w:marBottom w:val="0"/>
      <w:divBdr>
        <w:top w:val="none" w:sz="0" w:space="0" w:color="auto"/>
        <w:left w:val="none" w:sz="0" w:space="0" w:color="auto"/>
        <w:bottom w:val="none" w:sz="0" w:space="0" w:color="auto"/>
        <w:right w:val="none" w:sz="0" w:space="0" w:color="auto"/>
      </w:divBdr>
    </w:div>
    <w:div w:id="1292974698">
      <w:bodyDiv w:val="1"/>
      <w:marLeft w:val="0"/>
      <w:marRight w:val="0"/>
      <w:marTop w:val="0"/>
      <w:marBottom w:val="0"/>
      <w:divBdr>
        <w:top w:val="none" w:sz="0" w:space="0" w:color="auto"/>
        <w:left w:val="none" w:sz="0" w:space="0" w:color="auto"/>
        <w:bottom w:val="none" w:sz="0" w:space="0" w:color="auto"/>
        <w:right w:val="none" w:sz="0" w:space="0" w:color="auto"/>
      </w:divBdr>
    </w:div>
    <w:div w:id="1292978252">
      <w:bodyDiv w:val="1"/>
      <w:marLeft w:val="0"/>
      <w:marRight w:val="0"/>
      <w:marTop w:val="0"/>
      <w:marBottom w:val="0"/>
      <w:divBdr>
        <w:top w:val="none" w:sz="0" w:space="0" w:color="auto"/>
        <w:left w:val="none" w:sz="0" w:space="0" w:color="auto"/>
        <w:bottom w:val="none" w:sz="0" w:space="0" w:color="auto"/>
        <w:right w:val="none" w:sz="0" w:space="0" w:color="auto"/>
      </w:divBdr>
    </w:div>
    <w:div w:id="1292978381">
      <w:bodyDiv w:val="1"/>
      <w:marLeft w:val="0"/>
      <w:marRight w:val="0"/>
      <w:marTop w:val="0"/>
      <w:marBottom w:val="0"/>
      <w:divBdr>
        <w:top w:val="none" w:sz="0" w:space="0" w:color="auto"/>
        <w:left w:val="none" w:sz="0" w:space="0" w:color="auto"/>
        <w:bottom w:val="none" w:sz="0" w:space="0" w:color="auto"/>
        <w:right w:val="none" w:sz="0" w:space="0" w:color="auto"/>
      </w:divBdr>
    </w:div>
    <w:div w:id="1293097400">
      <w:bodyDiv w:val="1"/>
      <w:marLeft w:val="0"/>
      <w:marRight w:val="0"/>
      <w:marTop w:val="0"/>
      <w:marBottom w:val="0"/>
      <w:divBdr>
        <w:top w:val="none" w:sz="0" w:space="0" w:color="auto"/>
        <w:left w:val="none" w:sz="0" w:space="0" w:color="auto"/>
        <w:bottom w:val="none" w:sz="0" w:space="0" w:color="auto"/>
        <w:right w:val="none" w:sz="0" w:space="0" w:color="auto"/>
      </w:divBdr>
    </w:div>
    <w:div w:id="1293752798">
      <w:bodyDiv w:val="1"/>
      <w:marLeft w:val="0"/>
      <w:marRight w:val="0"/>
      <w:marTop w:val="0"/>
      <w:marBottom w:val="0"/>
      <w:divBdr>
        <w:top w:val="none" w:sz="0" w:space="0" w:color="auto"/>
        <w:left w:val="none" w:sz="0" w:space="0" w:color="auto"/>
        <w:bottom w:val="none" w:sz="0" w:space="0" w:color="auto"/>
        <w:right w:val="none" w:sz="0" w:space="0" w:color="auto"/>
      </w:divBdr>
    </w:div>
    <w:div w:id="1293754147">
      <w:bodyDiv w:val="1"/>
      <w:marLeft w:val="0"/>
      <w:marRight w:val="0"/>
      <w:marTop w:val="0"/>
      <w:marBottom w:val="0"/>
      <w:divBdr>
        <w:top w:val="none" w:sz="0" w:space="0" w:color="auto"/>
        <w:left w:val="none" w:sz="0" w:space="0" w:color="auto"/>
        <w:bottom w:val="none" w:sz="0" w:space="0" w:color="auto"/>
        <w:right w:val="none" w:sz="0" w:space="0" w:color="auto"/>
      </w:divBdr>
    </w:div>
    <w:div w:id="1293903203">
      <w:bodyDiv w:val="1"/>
      <w:marLeft w:val="0"/>
      <w:marRight w:val="0"/>
      <w:marTop w:val="0"/>
      <w:marBottom w:val="0"/>
      <w:divBdr>
        <w:top w:val="none" w:sz="0" w:space="0" w:color="auto"/>
        <w:left w:val="none" w:sz="0" w:space="0" w:color="auto"/>
        <w:bottom w:val="none" w:sz="0" w:space="0" w:color="auto"/>
        <w:right w:val="none" w:sz="0" w:space="0" w:color="auto"/>
      </w:divBdr>
    </w:div>
    <w:div w:id="1294018510">
      <w:bodyDiv w:val="1"/>
      <w:marLeft w:val="0"/>
      <w:marRight w:val="0"/>
      <w:marTop w:val="0"/>
      <w:marBottom w:val="0"/>
      <w:divBdr>
        <w:top w:val="none" w:sz="0" w:space="0" w:color="auto"/>
        <w:left w:val="none" w:sz="0" w:space="0" w:color="auto"/>
        <w:bottom w:val="none" w:sz="0" w:space="0" w:color="auto"/>
        <w:right w:val="none" w:sz="0" w:space="0" w:color="auto"/>
      </w:divBdr>
    </w:div>
    <w:div w:id="1294562219">
      <w:bodyDiv w:val="1"/>
      <w:marLeft w:val="0"/>
      <w:marRight w:val="0"/>
      <w:marTop w:val="0"/>
      <w:marBottom w:val="0"/>
      <w:divBdr>
        <w:top w:val="none" w:sz="0" w:space="0" w:color="auto"/>
        <w:left w:val="none" w:sz="0" w:space="0" w:color="auto"/>
        <w:bottom w:val="none" w:sz="0" w:space="0" w:color="auto"/>
        <w:right w:val="none" w:sz="0" w:space="0" w:color="auto"/>
      </w:divBdr>
    </w:div>
    <w:div w:id="1294796234">
      <w:bodyDiv w:val="1"/>
      <w:marLeft w:val="0"/>
      <w:marRight w:val="0"/>
      <w:marTop w:val="0"/>
      <w:marBottom w:val="0"/>
      <w:divBdr>
        <w:top w:val="none" w:sz="0" w:space="0" w:color="auto"/>
        <w:left w:val="none" w:sz="0" w:space="0" w:color="auto"/>
        <w:bottom w:val="none" w:sz="0" w:space="0" w:color="auto"/>
        <w:right w:val="none" w:sz="0" w:space="0" w:color="auto"/>
      </w:divBdr>
    </w:div>
    <w:div w:id="1295141419">
      <w:bodyDiv w:val="1"/>
      <w:marLeft w:val="0"/>
      <w:marRight w:val="0"/>
      <w:marTop w:val="0"/>
      <w:marBottom w:val="0"/>
      <w:divBdr>
        <w:top w:val="none" w:sz="0" w:space="0" w:color="auto"/>
        <w:left w:val="none" w:sz="0" w:space="0" w:color="auto"/>
        <w:bottom w:val="none" w:sz="0" w:space="0" w:color="auto"/>
        <w:right w:val="none" w:sz="0" w:space="0" w:color="auto"/>
      </w:divBdr>
    </w:div>
    <w:div w:id="1295333580">
      <w:bodyDiv w:val="1"/>
      <w:marLeft w:val="0"/>
      <w:marRight w:val="0"/>
      <w:marTop w:val="0"/>
      <w:marBottom w:val="0"/>
      <w:divBdr>
        <w:top w:val="none" w:sz="0" w:space="0" w:color="auto"/>
        <w:left w:val="none" w:sz="0" w:space="0" w:color="auto"/>
        <w:bottom w:val="none" w:sz="0" w:space="0" w:color="auto"/>
        <w:right w:val="none" w:sz="0" w:space="0" w:color="auto"/>
      </w:divBdr>
    </w:div>
    <w:div w:id="1295477524">
      <w:bodyDiv w:val="1"/>
      <w:marLeft w:val="0"/>
      <w:marRight w:val="0"/>
      <w:marTop w:val="0"/>
      <w:marBottom w:val="0"/>
      <w:divBdr>
        <w:top w:val="none" w:sz="0" w:space="0" w:color="auto"/>
        <w:left w:val="none" w:sz="0" w:space="0" w:color="auto"/>
        <w:bottom w:val="none" w:sz="0" w:space="0" w:color="auto"/>
        <w:right w:val="none" w:sz="0" w:space="0" w:color="auto"/>
      </w:divBdr>
    </w:div>
    <w:div w:id="1295481391">
      <w:bodyDiv w:val="1"/>
      <w:marLeft w:val="0"/>
      <w:marRight w:val="0"/>
      <w:marTop w:val="0"/>
      <w:marBottom w:val="0"/>
      <w:divBdr>
        <w:top w:val="none" w:sz="0" w:space="0" w:color="auto"/>
        <w:left w:val="none" w:sz="0" w:space="0" w:color="auto"/>
        <w:bottom w:val="none" w:sz="0" w:space="0" w:color="auto"/>
        <w:right w:val="none" w:sz="0" w:space="0" w:color="auto"/>
      </w:divBdr>
    </w:div>
    <w:div w:id="1295523648">
      <w:bodyDiv w:val="1"/>
      <w:marLeft w:val="0"/>
      <w:marRight w:val="0"/>
      <w:marTop w:val="0"/>
      <w:marBottom w:val="0"/>
      <w:divBdr>
        <w:top w:val="none" w:sz="0" w:space="0" w:color="auto"/>
        <w:left w:val="none" w:sz="0" w:space="0" w:color="auto"/>
        <w:bottom w:val="none" w:sz="0" w:space="0" w:color="auto"/>
        <w:right w:val="none" w:sz="0" w:space="0" w:color="auto"/>
      </w:divBdr>
    </w:div>
    <w:div w:id="1295597846">
      <w:bodyDiv w:val="1"/>
      <w:marLeft w:val="0"/>
      <w:marRight w:val="0"/>
      <w:marTop w:val="0"/>
      <w:marBottom w:val="0"/>
      <w:divBdr>
        <w:top w:val="none" w:sz="0" w:space="0" w:color="auto"/>
        <w:left w:val="none" w:sz="0" w:space="0" w:color="auto"/>
        <w:bottom w:val="none" w:sz="0" w:space="0" w:color="auto"/>
        <w:right w:val="none" w:sz="0" w:space="0" w:color="auto"/>
      </w:divBdr>
    </w:div>
    <w:div w:id="1295913762">
      <w:bodyDiv w:val="1"/>
      <w:marLeft w:val="0"/>
      <w:marRight w:val="0"/>
      <w:marTop w:val="0"/>
      <w:marBottom w:val="0"/>
      <w:divBdr>
        <w:top w:val="none" w:sz="0" w:space="0" w:color="auto"/>
        <w:left w:val="none" w:sz="0" w:space="0" w:color="auto"/>
        <w:bottom w:val="none" w:sz="0" w:space="0" w:color="auto"/>
        <w:right w:val="none" w:sz="0" w:space="0" w:color="auto"/>
      </w:divBdr>
    </w:div>
    <w:div w:id="1295939951">
      <w:bodyDiv w:val="1"/>
      <w:marLeft w:val="0"/>
      <w:marRight w:val="0"/>
      <w:marTop w:val="0"/>
      <w:marBottom w:val="0"/>
      <w:divBdr>
        <w:top w:val="none" w:sz="0" w:space="0" w:color="auto"/>
        <w:left w:val="none" w:sz="0" w:space="0" w:color="auto"/>
        <w:bottom w:val="none" w:sz="0" w:space="0" w:color="auto"/>
        <w:right w:val="none" w:sz="0" w:space="0" w:color="auto"/>
      </w:divBdr>
    </w:div>
    <w:div w:id="1296062923">
      <w:bodyDiv w:val="1"/>
      <w:marLeft w:val="0"/>
      <w:marRight w:val="0"/>
      <w:marTop w:val="0"/>
      <w:marBottom w:val="0"/>
      <w:divBdr>
        <w:top w:val="none" w:sz="0" w:space="0" w:color="auto"/>
        <w:left w:val="none" w:sz="0" w:space="0" w:color="auto"/>
        <w:bottom w:val="none" w:sz="0" w:space="0" w:color="auto"/>
        <w:right w:val="none" w:sz="0" w:space="0" w:color="auto"/>
      </w:divBdr>
    </w:div>
    <w:div w:id="1296177971">
      <w:bodyDiv w:val="1"/>
      <w:marLeft w:val="0"/>
      <w:marRight w:val="0"/>
      <w:marTop w:val="0"/>
      <w:marBottom w:val="0"/>
      <w:divBdr>
        <w:top w:val="none" w:sz="0" w:space="0" w:color="auto"/>
        <w:left w:val="none" w:sz="0" w:space="0" w:color="auto"/>
        <w:bottom w:val="none" w:sz="0" w:space="0" w:color="auto"/>
        <w:right w:val="none" w:sz="0" w:space="0" w:color="auto"/>
      </w:divBdr>
    </w:div>
    <w:div w:id="1296375342">
      <w:bodyDiv w:val="1"/>
      <w:marLeft w:val="0"/>
      <w:marRight w:val="0"/>
      <w:marTop w:val="0"/>
      <w:marBottom w:val="0"/>
      <w:divBdr>
        <w:top w:val="none" w:sz="0" w:space="0" w:color="auto"/>
        <w:left w:val="none" w:sz="0" w:space="0" w:color="auto"/>
        <w:bottom w:val="none" w:sz="0" w:space="0" w:color="auto"/>
        <w:right w:val="none" w:sz="0" w:space="0" w:color="auto"/>
      </w:divBdr>
    </w:div>
    <w:div w:id="1296522847">
      <w:bodyDiv w:val="1"/>
      <w:marLeft w:val="0"/>
      <w:marRight w:val="0"/>
      <w:marTop w:val="0"/>
      <w:marBottom w:val="0"/>
      <w:divBdr>
        <w:top w:val="none" w:sz="0" w:space="0" w:color="auto"/>
        <w:left w:val="none" w:sz="0" w:space="0" w:color="auto"/>
        <w:bottom w:val="none" w:sz="0" w:space="0" w:color="auto"/>
        <w:right w:val="none" w:sz="0" w:space="0" w:color="auto"/>
      </w:divBdr>
    </w:div>
    <w:div w:id="1296642590">
      <w:bodyDiv w:val="1"/>
      <w:marLeft w:val="0"/>
      <w:marRight w:val="0"/>
      <w:marTop w:val="0"/>
      <w:marBottom w:val="0"/>
      <w:divBdr>
        <w:top w:val="none" w:sz="0" w:space="0" w:color="auto"/>
        <w:left w:val="none" w:sz="0" w:space="0" w:color="auto"/>
        <w:bottom w:val="none" w:sz="0" w:space="0" w:color="auto"/>
        <w:right w:val="none" w:sz="0" w:space="0" w:color="auto"/>
      </w:divBdr>
    </w:div>
    <w:div w:id="1296982649">
      <w:bodyDiv w:val="1"/>
      <w:marLeft w:val="0"/>
      <w:marRight w:val="0"/>
      <w:marTop w:val="0"/>
      <w:marBottom w:val="0"/>
      <w:divBdr>
        <w:top w:val="none" w:sz="0" w:space="0" w:color="auto"/>
        <w:left w:val="none" w:sz="0" w:space="0" w:color="auto"/>
        <w:bottom w:val="none" w:sz="0" w:space="0" w:color="auto"/>
        <w:right w:val="none" w:sz="0" w:space="0" w:color="auto"/>
      </w:divBdr>
    </w:div>
    <w:div w:id="1297023480">
      <w:bodyDiv w:val="1"/>
      <w:marLeft w:val="0"/>
      <w:marRight w:val="0"/>
      <w:marTop w:val="0"/>
      <w:marBottom w:val="0"/>
      <w:divBdr>
        <w:top w:val="none" w:sz="0" w:space="0" w:color="auto"/>
        <w:left w:val="none" w:sz="0" w:space="0" w:color="auto"/>
        <w:bottom w:val="none" w:sz="0" w:space="0" w:color="auto"/>
        <w:right w:val="none" w:sz="0" w:space="0" w:color="auto"/>
      </w:divBdr>
    </w:div>
    <w:div w:id="1297102332">
      <w:bodyDiv w:val="1"/>
      <w:marLeft w:val="0"/>
      <w:marRight w:val="0"/>
      <w:marTop w:val="0"/>
      <w:marBottom w:val="0"/>
      <w:divBdr>
        <w:top w:val="none" w:sz="0" w:space="0" w:color="auto"/>
        <w:left w:val="none" w:sz="0" w:space="0" w:color="auto"/>
        <w:bottom w:val="none" w:sz="0" w:space="0" w:color="auto"/>
        <w:right w:val="none" w:sz="0" w:space="0" w:color="auto"/>
      </w:divBdr>
    </w:div>
    <w:div w:id="1297182767">
      <w:bodyDiv w:val="1"/>
      <w:marLeft w:val="0"/>
      <w:marRight w:val="0"/>
      <w:marTop w:val="0"/>
      <w:marBottom w:val="0"/>
      <w:divBdr>
        <w:top w:val="none" w:sz="0" w:space="0" w:color="auto"/>
        <w:left w:val="none" w:sz="0" w:space="0" w:color="auto"/>
        <w:bottom w:val="none" w:sz="0" w:space="0" w:color="auto"/>
        <w:right w:val="none" w:sz="0" w:space="0" w:color="auto"/>
      </w:divBdr>
    </w:div>
    <w:div w:id="1297298535">
      <w:bodyDiv w:val="1"/>
      <w:marLeft w:val="0"/>
      <w:marRight w:val="0"/>
      <w:marTop w:val="0"/>
      <w:marBottom w:val="0"/>
      <w:divBdr>
        <w:top w:val="none" w:sz="0" w:space="0" w:color="auto"/>
        <w:left w:val="none" w:sz="0" w:space="0" w:color="auto"/>
        <w:bottom w:val="none" w:sz="0" w:space="0" w:color="auto"/>
        <w:right w:val="none" w:sz="0" w:space="0" w:color="auto"/>
      </w:divBdr>
    </w:div>
    <w:div w:id="1297417302">
      <w:bodyDiv w:val="1"/>
      <w:marLeft w:val="0"/>
      <w:marRight w:val="0"/>
      <w:marTop w:val="0"/>
      <w:marBottom w:val="0"/>
      <w:divBdr>
        <w:top w:val="none" w:sz="0" w:space="0" w:color="auto"/>
        <w:left w:val="none" w:sz="0" w:space="0" w:color="auto"/>
        <w:bottom w:val="none" w:sz="0" w:space="0" w:color="auto"/>
        <w:right w:val="none" w:sz="0" w:space="0" w:color="auto"/>
      </w:divBdr>
    </w:div>
    <w:div w:id="1297445547">
      <w:bodyDiv w:val="1"/>
      <w:marLeft w:val="0"/>
      <w:marRight w:val="0"/>
      <w:marTop w:val="0"/>
      <w:marBottom w:val="0"/>
      <w:divBdr>
        <w:top w:val="none" w:sz="0" w:space="0" w:color="auto"/>
        <w:left w:val="none" w:sz="0" w:space="0" w:color="auto"/>
        <w:bottom w:val="none" w:sz="0" w:space="0" w:color="auto"/>
        <w:right w:val="none" w:sz="0" w:space="0" w:color="auto"/>
      </w:divBdr>
    </w:div>
    <w:div w:id="1297493683">
      <w:bodyDiv w:val="1"/>
      <w:marLeft w:val="0"/>
      <w:marRight w:val="0"/>
      <w:marTop w:val="0"/>
      <w:marBottom w:val="0"/>
      <w:divBdr>
        <w:top w:val="none" w:sz="0" w:space="0" w:color="auto"/>
        <w:left w:val="none" w:sz="0" w:space="0" w:color="auto"/>
        <w:bottom w:val="none" w:sz="0" w:space="0" w:color="auto"/>
        <w:right w:val="none" w:sz="0" w:space="0" w:color="auto"/>
      </w:divBdr>
    </w:div>
    <w:div w:id="1297644481">
      <w:bodyDiv w:val="1"/>
      <w:marLeft w:val="0"/>
      <w:marRight w:val="0"/>
      <w:marTop w:val="0"/>
      <w:marBottom w:val="0"/>
      <w:divBdr>
        <w:top w:val="none" w:sz="0" w:space="0" w:color="auto"/>
        <w:left w:val="none" w:sz="0" w:space="0" w:color="auto"/>
        <w:bottom w:val="none" w:sz="0" w:space="0" w:color="auto"/>
        <w:right w:val="none" w:sz="0" w:space="0" w:color="auto"/>
      </w:divBdr>
    </w:div>
    <w:div w:id="1298104229">
      <w:bodyDiv w:val="1"/>
      <w:marLeft w:val="0"/>
      <w:marRight w:val="0"/>
      <w:marTop w:val="0"/>
      <w:marBottom w:val="0"/>
      <w:divBdr>
        <w:top w:val="none" w:sz="0" w:space="0" w:color="auto"/>
        <w:left w:val="none" w:sz="0" w:space="0" w:color="auto"/>
        <w:bottom w:val="none" w:sz="0" w:space="0" w:color="auto"/>
        <w:right w:val="none" w:sz="0" w:space="0" w:color="auto"/>
      </w:divBdr>
    </w:div>
    <w:div w:id="1298219337">
      <w:bodyDiv w:val="1"/>
      <w:marLeft w:val="0"/>
      <w:marRight w:val="0"/>
      <w:marTop w:val="0"/>
      <w:marBottom w:val="0"/>
      <w:divBdr>
        <w:top w:val="none" w:sz="0" w:space="0" w:color="auto"/>
        <w:left w:val="none" w:sz="0" w:space="0" w:color="auto"/>
        <w:bottom w:val="none" w:sz="0" w:space="0" w:color="auto"/>
        <w:right w:val="none" w:sz="0" w:space="0" w:color="auto"/>
      </w:divBdr>
    </w:div>
    <w:div w:id="1298340802">
      <w:bodyDiv w:val="1"/>
      <w:marLeft w:val="0"/>
      <w:marRight w:val="0"/>
      <w:marTop w:val="0"/>
      <w:marBottom w:val="0"/>
      <w:divBdr>
        <w:top w:val="none" w:sz="0" w:space="0" w:color="auto"/>
        <w:left w:val="none" w:sz="0" w:space="0" w:color="auto"/>
        <w:bottom w:val="none" w:sz="0" w:space="0" w:color="auto"/>
        <w:right w:val="none" w:sz="0" w:space="0" w:color="auto"/>
      </w:divBdr>
    </w:div>
    <w:div w:id="1298417561">
      <w:bodyDiv w:val="1"/>
      <w:marLeft w:val="0"/>
      <w:marRight w:val="0"/>
      <w:marTop w:val="0"/>
      <w:marBottom w:val="0"/>
      <w:divBdr>
        <w:top w:val="none" w:sz="0" w:space="0" w:color="auto"/>
        <w:left w:val="none" w:sz="0" w:space="0" w:color="auto"/>
        <w:bottom w:val="none" w:sz="0" w:space="0" w:color="auto"/>
        <w:right w:val="none" w:sz="0" w:space="0" w:color="auto"/>
      </w:divBdr>
    </w:div>
    <w:div w:id="1298729216">
      <w:bodyDiv w:val="1"/>
      <w:marLeft w:val="0"/>
      <w:marRight w:val="0"/>
      <w:marTop w:val="0"/>
      <w:marBottom w:val="0"/>
      <w:divBdr>
        <w:top w:val="none" w:sz="0" w:space="0" w:color="auto"/>
        <w:left w:val="none" w:sz="0" w:space="0" w:color="auto"/>
        <w:bottom w:val="none" w:sz="0" w:space="0" w:color="auto"/>
        <w:right w:val="none" w:sz="0" w:space="0" w:color="auto"/>
      </w:divBdr>
    </w:div>
    <w:div w:id="1298998407">
      <w:bodyDiv w:val="1"/>
      <w:marLeft w:val="0"/>
      <w:marRight w:val="0"/>
      <w:marTop w:val="0"/>
      <w:marBottom w:val="0"/>
      <w:divBdr>
        <w:top w:val="none" w:sz="0" w:space="0" w:color="auto"/>
        <w:left w:val="none" w:sz="0" w:space="0" w:color="auto"/>
        <w:bottom w:val="none" w:sz="0" w:space="0" w:color="auto"/>
        <w:right w:val="none" w:sz="0" w:space="0" w:color="auto"/>
      </w:divBdr>
    </w:div>
    <w:div w:id="1299146425">
      <w:bodyDiv w:val="1"/>
      <w:marLeft w:val="0"/>
      <w:marRight w:val="0"/>
      <w:marTop w:val="0"/>
      <w:marBottom w:val="0"/>
      <w:divBdr>
        <w:top w:val="none" w:sz="0" w:space="0" w:color="auto"/>
        <w:left w:val="none" w:sz="0" w:space="0" w:color="auto"/>
        <w:bottom w:val="none" w:sz="0" w:space="0" w:color="auto"/>
        <w:right w:val="none" w:sz="0" w:space="0" w:color="auto"/>
      </w:divBdr>
    </w:div>
    <w:div w:id="1299266403">
      <w:bodyDiv w:val="1"/>
      <w:marLeft w:val="0"/>
      <w:marRight w:val="0"/>
      <w:marTop w:val="0"/>
      <w:marBottom w:val="0"/>
      <w:divBdr>
        <w:top w:val="none" w:sz="0" w:space="0" w:color="auto"/>
        <w:left w:val="none" w:sz="0" w:space="0" w:color="auto"/>
        <w:bottom w:val="none" w:sz="0" w:space="0" w:color="auto"/>
        <w:right w:val="none" w:sz="0" w:space="0" w:color="auto"/>
      </w:divBdr>
    </w:div>
    <w:div w:id="1299645637">
      <w:bodyDiv w:val="1"/>
      <w:marLeft w:val="0"/>
      <w:marRight w:val="0"/>
      <w:marTop w:val="0"/>
      <w:marBottom w:val="0"/>
      <w:divBdr>
        <w:top w:val="none" w:sz="0" w:space="0" w:color="auto"/>
        <w:left w:val="none" w:sz="0" w:space="0" w:color="auto"/>
        <w:bottom w:val="none" w:sz="0" w:space="0" w:color="auto"/>
        <w:right w:val="none" w:sz="0" w:space="0" w:color="auto"/>
      </w:divBdr>
    </w:div>
    <w:div w:id="1299800137">
      <w:bodyDiv w:val="1"/>
      <w:marLeft w:val="0"/>
      <w:marRight w:val="0"/>
      <w:marTop w:val="0"/>
      <w:marBottom w:val="0"/>
      <w:divBdr>
        <w:top w:val="none" w:sz="0" w:space="0" w:color="auto"/>
        <w:left w:val="none" w:sz="0" w:space="0" w:color="auto"/>
        <w:bottom w:val="none" w:sz="0" w:space="0" w:color="auto"/>
        <w:right w:val="none" w:sz="0" w:space="0" w:color="auto"/>
      </w:divBdr>
    </w:div>
    <w:div w:id="1300191354">
      <w:bodyDiv w:val="1"/>
      <w:marLeft w:val="0"/>
      <w:marRight w:val="0"/>
      <w:marTop w:val="0"/>
      <w:marBottom w:val="0"/>
      <w:divBdr>
        <w:top w:val="none" w:sz="0" w:space="0" w:color="auto"/>
        <w:left w:val="none" w:sz="0" w:space="0" w:color="auto"/>
        <w:bottom w:val="none" w:sz="0" w:space="0" w:color="auto"/>
        <w:right w:val="none" w:sz="0" w:space="0" w:color="auto"/>
      </w:divBdr>
    </w:div>
    <w:div w:id="1300574271">
      <w:bodyDiv w:val="1"/>
      <w:marLeft w:val="0"/>
      <w:marRight w:val="0"/>
      <w:marTop w:val="0"/>
      <w:marBottom w:val="0"/>
      <w:divBdr>
        <w:top w:val="none" w:sz="0" w:space="0" w:color="auto"/>
        <w:left w:val="none" w:sz="0" w:space="0" w:color="auto"/>
        <w:bottom w:val="none" w:sz="0" w:space="0" w:color="auto"/>
        <w:right w:val="none" w:sz="0" w:space="0" w:color="auto"/>
      </w:divBdr>
    </w:div>
    <w:div w:id="1300643979">
      <w:bodyDiv w:val="1"/>
      <w:marLeft w:val="0"/>
      <w:marRight w:val="0"/>
      <w:marTop w:val="0"/>
      <w:marBottom w:val="0"/>
      <w:divBdr>
        <w:top w:val="none" w:sz="0" w:space="0" w:color="auto"/>
        <w:left w:val="none" w:sz="0" w:space="0" w:color="auto"/>
        <w:bottom w:val="none" w:sz="0" w:space="0" w:color="auto"/>
        <w:right w:val="none" w:sz="0" w:space="0" w:color="auto"/>
      </w:divBdr>
    </w:div>
    <w:div w:id="1300695041">
      <w:bodyDiv w:val="1"/>
      <w:marLeft w:val="0"/>
      <w:marRight w:val="0"/>
      <w:marTop w:val="0"/>
      <w:marBottom w:val="0"/>
      <w:divBdr>
        <w:top w:val="none" w:sz="0" w:space="0" w:color="auto"/>
        <w:left w:val="none" w:sz="0" w:space="0" w:color="auto"/>
        <w:bottom w:val="none" w:sz="0" w:space="0" w:color="auto"/>
        <w:right w:val="none" w:sz="0" w:space="0" w:color="auto"/>
      </w:divBdr>
    </w:div>
    <w:div w:id="1300769686">
      <w:bodyDiv w:val="1"/>
      <w:marLeft w:val="0"/>
      <w:marRight w:val="0"/>
      <w:marTop w:val="0"/>
      <w:marBottom w:val="0"/>
      <w:divBdr>
        <w:top w:val="none" w:sz="0" w:space="0" w:color="auto"/>
        <w:left w:val="none" w:sz="0" w:space="0" w:color="auto"/>
        <w:bottom w:val="none" w:sz="0" w:space="0" w:color="auto"/>
        <w:right w:val="none" w:sz="0" w:space="0" w:color="auto"/>
      </w:divBdr>
    </w:div>
    <w:div w:id="1301155056">
      <w:bodyDiv w:val="1"/>
      <w:marLeft w:val="0"/>
      <w:marRight w:val="0"/>
      <w:marTop w:val="0"/>
      <w:marBottom w:val="0"/>
      <w:divBdr>
        <w:top w:val="none" w:sz="0" w:space="0" w:color="auto"/>
        <w:left w:val="none" w:sz="0" w:space="0" w:color="auto"/>
        <w:bottom w:val="none" w:sz="0" w:space="0" w:color="auto"/>
        <w:right w:val="none" w:sz="0" w:space="0" w:color="auto"/>
      </w:divBdr>
    </w:div>
    <w:div w:id="1301380049">
      <w:bodyDiv w:val="1"/>
      <w:marLeft w:val="0"/>
      <w:marRight w:val="0"/>
      <w:marTop w:val="0"/>
      <w:marBottom w:val="0"/>
      <w:divBdr>
        <w:top w:val="none" w:sz="0" w:space="0" w:color="auto"/>
        <w:left w:val="none" w:sz="0" w:space="0" w:color="auto"/>
        <w:bottom w:val="none" w:sz="0" w:space="0" w:color="auto"/>
        <w:right w:val="none" w:sz="0" w:space="0" w:color="auto"/>
      </w:divBdr>
    </w:div>
    <w:div w:id="1301613129">
      <w:bodyDiv w:val="1"/>
      <w:marLeft w:val="0"/>
      <w:marRight w:val="0"/>
      <w:marTop w:val="0"/>
      <w:marBottom w:val="0"/>
      <w:divBdr>
        <w:top w:val="none" w:sz="0" w:space="0" w:color="auto"/>
        <w:left w:val="none" w:sz="0" w:space="0" w:color="auto"/>
        <w:bottom w:val="none" w:sz="0" w:space="0" w:color="auto"/>
        <w:right w:val="none" w:sz="0" w:space="0" w:color="auto"/>
      </w:divBdr>
    </w:div>
    <w:div w:id="1301961739">
      <w:bodyDiv w:val="1"/>
      <w:marLeft w:val="0"/>
      <w:marRight w:val="0"/>
      <w:marTop w:val="0"/>
      <w:marBottom w:val="0"/>
      <w:divBdr>
        <w:top w:val="none" w:sz="0" w:space="0" w:color="auto"/>
        <w:left w:val="none" w:sz="0" w:space="0" w:color="auto"/>
        <w:bottom w:val="none" w:sz="0" w:space="0" w:color="auto"/>
        <w:right w:val="none" w:sz="0" w:space="0" w:color="auto"/>
      </w:divBdr>
    </w:div>
    <w:div w:id="1302006674">
      <w:bodyDiv w:val="1"/>
      <w:marLeft w:val="0"/>
      <w:marRight w:val="0"/>
      <w:marTop w:val="0"/>
      <w:marBottom w:val="0"/>
      <w:divBdr>
        <w:top w:val="none" w:sz="0" w:space="0" w:color="auto"/>
        <w:left w:val="none" w:sz="0" w:space="0" w:color="auto"/>
        <w:bottom w:val="none" w:sz="0" w:space="0" w:color="auto"/>
        <w:right w:val="none" w:sz="0" w:space="0" w:color="auto"/>
      </w:divBdr>
    </w:div>
    <w:div w:id="1302078942">
      <w:bodyDiv w:val="1"/>
      <w:marLeft w:val="0"/>
      <w:marRight w:val="0"/>
      <w:marTop w:val="0"/>
      <w:marBottom w:val="0"/>
      <w:divBdr>
        <w:top w:val="none" w:sz="0" w:space="0" w:color="auto"/>
        <w:left w:val="none" w:sz="0" w:space="0" w:color="auto"/>
        <w:bottom w:val="none" w:sz="0" w:space="0" w:color="auto"/>
        <w:right w:val="none" w:sz="0" w:space="0" w:color="auto"/>
      </w:divBdr>
      <w:divsChild>
        <w:div w:id="236597666">
          <w:marLeft w:val="0"/>
          <w:marRight w:val="0"/>
          <w:marTop w:val="0"/>
          <w:marBottom w:val="0"/>
          <w:divBdr>
            <w:top w:val="none" w:sz="0" w:space="0" w:color="auto"/>
            <w:left w:val="none" w:sz="0" w:space="0" w:color="auto"/>
            <w:bottom w:val="none" w:sz="0" w:space="0" w:color="auto"/>
            <w:right w:val="none" w:sz="0" w:space="0" w:color="auto"/>
          </w:divBdr>
        </w:div>
        <w:div w:id="844514271">
          <w:marLeft w:val="0"/>
          <w:marRight w:val="0"/>
          <w:marTop w:val="0"/>
          <w:marBottom w:val="0"/>
          <w:divBdr>
            <w:top w:val="none" w:sz="0" w:space="0" w:color="auto"/>
            <w:left w:val="none" w:sz="0" w:space="0" w:color="auto"/>
            <w:bottom w:val="none" w:sz="0" w:space="0" w:color="auto"/>
            <w:right w:val="none" w:sz="0" w:space="0" w:color="auto"/>
          </w:divBdr>
        </w:div>
        <w:div w:id="1134909937">
          <w:marLeft w:val="0"/>
          <w:marRight w:val="0"/>
          <w:marTop w:val="0"/>
          <w:marBottom w:val="0"/>
          <w:divBdr>
            <w:top w:val="none" w:sz="0" w:space="0" w:color="auto"/>
            <w:left w:val="none" w:sz="0" w:space="0" w:color="auto"/>
            <w:bottom w:val="none" w:sz="0" w:space="0" w:color="auto"/>
            <w:right w:val="none" w:sz="0" w:space="0" w:color="auto"/>
          </w:divBdr>
        </w:div>
        <w:div w:id="1655327928">
          <w:marLeft w:val="0"/>
          <w:marRight w:val="0"/>
          <w:marTop w:val="0"/>
          <w:marBottom w:val="0"/>
          <w:divBdr>
            <w:top w:val="none" w:sz="0" w:space="0" w:color="auto"/>
            <w:left w:val="none" w:sz="0" w:space="0" w:color="auto"/>
            <w:bottom w:val="none" w:sz="0" w:space="0" w:color="auto"/>
            <w:right w:val="none" w:sz="0" w:space="0" w:color="auto"/>
          </w:divBdr>
        </w:div>
      </w:divsChild>
    </w:div>
    <w:div w:id="1302727629">
      <w:bodyDiv w:val="1"/>
      <w:marLeft w:val="0"/>
      <w:marRight w:val="0"/>
      <w:marTop w:val="0"/>
      <w:marBottom w:val="0"/>
      <w:divBdr>
        <w:top w:val="none" w:sz="0" w:space="0" w:color="auto"/>
        <w:left w:val="none" w:sz="0" w:space="0" w:color="auto"/>
        <w:bottom w:val="none" w:sz="0" w:space="0" w:color="auto"/>
        <w:right w:val="none" w:sz="0" w:space="0" w:color="auto"/>
      </w:divBdr>
    </w:div>
    <w:div w:id="1303118356">
      <w:bodyDiv w:val="1"/>
      <w:marLeft w:val="0"/>
      <w:marRight w:val="0"/>
      <w:marTop w:val="0"/>
      <w:marBottom w:val="0"/>
      <w:divBdr>
        <w:top w:val="none" w:sz="0" w:space="0" w:color="auto"/>
        <w:left w:val="none" w:sz="0" w:space="0" w:color="auto"/>
        <w:bottom w:val="none" w:sz="0" w:space="0" w:color="auto"/>
        <w:right w:val="none" w:sz="0" w:space="0" w:color="auto"/>
      </w:divBdr>
    </w:div>
    <w:div w:id="1303197490">
      <w:bodyDiv w:val="1"/>
      <w:marLeft w:val="0"/>
      <w:marRight w:val="0"/>
      <w:marTop w:val="0"/>
      <w:marBottom w:val="0"/>
      <w:divBdr>
        <w:top w:val="none" w:sz="0" w:space="0" w:color="auto"/>
        <w:left w:val="none" w:sz="0" w:space="0" w:color="auto"/>
        <w:bottom w:val="none" w:sz="0" w:space="0" w:color="auto"/>
        <w:right w:val="none" w:sz="0" w:space="0" w:color="auto"/>
      </w:divBdr>
    </w:div>
    <w:div w:id="1303341846">
      <w:bodyDiv w:val="1"/>
      <w:marLeft w:val="0"/>
      <w:marRight w:val="0"/>
      <w:marTop w:val="0"/>
      <w:marBottom w:val="0"/>
      <w:divBdr>
        <w:top w:val="none" w:sz="0" w:space="0" w:color="auto"/>
        <w:left w:val="none" w:sz="0" w:space="0" w:color="auto"/>
        <w:bottom w:val="none" w:sz="0" w:space="0" w:color="auto"/>
        <w:right w:val="none" w:sz="0" w:space="0" w:color="auto"/>
      </w:divBdr>
    </w:div>
    <w:div w:id="1303534097">
      <w:bodyDiv w:val="1"/>
      <w:marLeft w:val="0"/>
      <w:marRight w:val="0"/>
      <w:marTop w:val="0"/>
      <w:marBottom w:val="0"/>
      <w:divBdr>
        <w:top w:val="none" w:sz="0" w:space="0" w:color="auto"/>
        <w:left w:val="none" w:sz="0" w:space="0" w:color="auto"/>
        <w:bottom w:val="none" w:sz="0" w:space="0" w:color="auto"/>
        <w:right w:val="none" w:sz="0" w:space="0" w:color="auto"/>
      </w:divBdr>
    </w:div>
    <w:div w:id="1303579324">
      <w:bodyDiv w:val="1"/>
      <w:marLeft w:val="0"/>
      <w:marRight w:val="0"/>
      <w:marTop w:val="0"/>
      <w:marBottom w:val="0"/>
      <w:divBdr>
        <w:top w:val="none" w:sz="0" w:space="0" w:color="auto"/>
        <w:left w:val="none" w:sz="0" w:space="0" w:color="auto"/>
        <w:bottom w:val="none" w:sz="0" w:space="0" w:color="auto"/>
        <w:right w:val="none" w:sz="0" w:space="0" w:color="auto"/>
      </w:divBdr>
    </w:div>
    <w:div w:id="1303584332">
      <w:bodyDiv w:val="1"/>
      <w:marLeft w:val="0"/>
      <w:marRight w:val="0"/>
      <w:marTop w:val="0"/>
      <w:marBottom w:val="0"/>
      <w:divBdr>
        <w:top w:val="none" w:sz="0" w:space="0" w:color="auto"/>
        <w:left w:val="none" w:sz="0" w:space="0" w:color="auto"/>
        <w:bottom w:val="none" w:sz="0" w:space="0" w:color="auto"/>
        <w:right w:val="none" w:sz="0" w:space="0" w:color="auto"/>
      </w:divBdr>
    </w:div>
    <w:div w:id="1304192410">
      <w:bodyDiv w:val="1"/>
      <w:marLeft w:val="0"/>
      <w:marRight w:val="0"/>
      <w:marTop w:val="0"/>
      <w:marBottom w:val="0"/>
      <w:divBdr>
        <w:top w:val="none" w:sz="0" w:space="0" w:color="auto"/>
        <w:left w:val="none" w:sz="0" w:space="0" w:color="auto"/>
        <w:bottom w:val="none" w:sz="0" w:space="0" w:color="auto"/>
        <w:right w:val="none" w:sz="0" w:space="0" w:color="auto"/>
      </w:divBdr>
    </w:div>
    <w:div w:id="1304234302">
      <w:bodyDiv w:val="1"/>
      <w:marLeft w:val="0"/>
      <w:marRight w:val="0"/>
      <w:marTop w:val="0"/>
      <w:marBottom w:val="0"/>
      <w:divBdr>
        <w:top w:val="none" w:sz="0" w:space="0" w:color="auto"/>
        <w:left w:val="none" w:sz="0" w:space="0" w:color="auto"/>
        <w:bottom w:val="none" w:sz="0" w:space="0" w:color="auto"/>
        <w:right w:val="none" w:sz="0" w:space="0" w:color="auto"/>
      </w:divBdr>
    </w:div>
    <w:div w:id="1304239757">
      <w:bodyDiv w:val="1"/>
      <w:marLeft w:val="0"/>
      <w:marRight w:val="0"/>
      <w:marTop w:val="0"/>
      <w:marBottom w:val="0"/>
      <w:divBdr>
        <w:top w:val="none" w:sz="0" w:space="0" w:color="auto"/>
        <w:left w:val="none" w:sz="0" w:space="0" w:color="auto"/>
        <w:bottom w:val="none" w:sz="0" w:space="0" w:color="auto"/>
        <w:right w:val="none" w:sz="0" w:space="0" w:color="auto"/>
      </w:divBdr>
    </w:div>
    <w:div w:id="1304583048">
      <w:bodyDiv w:val="1"/>
      <w:marLeft w:val="0"/>
      <w:marRight w:val="0"/>
      <w:marTop w:val="0"/>
      <w:marBottom w:val="0"/>
      <w:divBdr>
        <w:top w:val="none" w:sz="0" w:space="0" w:color="auto"/>
        <w:left w:val="none" w:sz="0" w:space="0" w:color="auto"/>
        <w:bottom w:val="none" w:sz="0" w:space="0" w:color="auto"/>
        <w:right w:val="none" w:sz="0" w:space="0" w:color="auto"/>
      </w:divBdr>
    </w:div>
    <w:div w:id="1304626463">
      <w:bodyDiv w:val="1"/>
      <w:marLeft w:val="0"/>
      <w:marRight w:val="0"/>
      <w:marTop w:val="0"/>
      <w:marBottom w:val="0"/>
      <w:divBdr>
        <w:top w:val="none" w:sz="0" w:space="0" w:color="auto"/>
        <w:left w:val="none" w:sz="0" w:space="0" w:color="auto"/>
        <w:bottom w:val="none" w:sz="0" w:space="0" w:color="auto"/>
        <w:right w:val="none" w:sz="0" w:space="0" w:color="auto"/>
      </w:divBdr>
    </w:div>
    <w:div w:id="1304653602">
      <w:bodyDiv w:val="1"/>
      <w:marLeft w:val="0"/>
      <w:marRight w:val="0"/>
      <w:marTop w:val="0"/>
      <w:marBottom w:val="0"/>
      <w:divBdr>
        <w:top w:val="none" w:sz="0" w:space="0" w:color="auto"/>
        <w:left w:val="none" w:sz="0" w:space="0" w:color="auto"/>
        <w:bottom w:val="none" w:sz="0" w:space="0" w:color="auto"/>
        <w:right w:val="none" w:sz="0" w:space="0" w:color="auto"/>
      </w:divBdr>
    </w:div>
    <w:div w:id="1304694789">
      <w:bodyDiv w:val="1"/>
      <w:marLeft w:val="0"/>
      <w:marRight w:val="0"/>
      <w:marTop w:val="0"/>
      <w:marBottom w:val="0"/>
      <w:divBdr>
        <w:top w:val="none" w:sz="0" w:space="0" w:color="auto"/>
        <w:left w:val="none" w:sz="0" w:space="0" w:color="auto"/>
        <w:bottom w:val="none" w:sz="0" w:space="0" w:color="auto"/>
        <w:right w:val="none" w:sz="0" w:space="0" w:color="auto"/>
      </w:divBdr>
    </w:div>
    <w:div w:id="1305233647">
      <w:bodyDiv w:val="1"/>
      <w:marLeft w:val="0"/>
      <w:marRight w:val="0"/>
      <w:marTop w:val="0"/>
      <w:marBottom w:val="0"/>
      <w:divBdr>
        <w:top w:val="none" w:sz="0" w:space="0" w:color="auto"/>
        <w:left w:val="none" w:sz="0" w:space="0" w:color="auto"/>
        <w:bottom w:val="none" w:sz="0" w:space="0" w:color="auto"/>
        <w:right w:val="none" w:sz="0" w:space="0" w:color="auto"/>
      </w:divBdr>
    </w:div>
    <w:div w:id="1305238248">
      <w:bodyDiv w:val="1"/>
      <w:marLeft w:val="0"/>
      <w:marRight w:val="0"/>
      <w:marTop w:val="0"/>
      <w:marBottom w:val="0"/>
      <w:divBdr>
        <w:top w:val="none" w:sz="0" w:space="0" w:color="auto"/>
        <w:left w:val="none" w:sz="0" w:space="0" w:color="auto"/>
        <w:bottom w:val="none" w:sz="0" w:space="0" w:color="auto"/>
        <w:right w:val="none" w:sz="0" w:space="0" w:color="auto"/>
      </w:divBdr>
    </w:div>
    <w:div w:id="1305624371">
      <w:bodyDiv w:val="1"/>
      <w:marLeft w:val="0"/>
      <w:marRight w:val="0"/>
      <w:marTop w:val="0"/>
      <w:marBottom w:val="0"/>
      <w:divBdr>
        <w:top w:val="none" w:sz="0" w:space="0" w:color="auto"/>
        <w:left w:val="none" w:sz="0" w:space="0" w:color="auto"/>
        <w:bottom w:val="none" w:sz="0" w:space="0" w:color="auto"/>
        <w:right w:val="none" w:sz="0" w:space="0" w:color="auto"/>
      </w:divBdr>
    </w:div>
    <w:div w:id="1305891298">
      <w:bodyDiv w:val="1"/>
      <w:marLeft w:val="0"/>
      <w:marRight w:val="0"/>
      <w:marTop w:val="0"/>
      <w:marBottom w:val="0"/>
      <w:divBdr>
        <w:top w:val="none" w:sz="0" w:space="0" w:color="auto"/>
        <w:left w:val="none" w:sz="0" w:space="0" w:color="auto"/>
        <w:bottom w:val="none" w:sz="0" w:space="0" w:color="auto"/>
        <w:right w:val="none" w:sz="0" w:space="0" w:color="auto"/>
      </w:divBdr>
    </w:div>
    <w:div w:id="1306355031">
      <w:bodyDiv w:val="1"/>
      <w:marLeft w:val="0"/>
      <w:marRight w:val="0"/>
      <w:marTop w:val="0"/>
      <w:marBottom w:val="0"/>
      <w:divBdr>
        <w:top w:val="none" w:sz="0" w:space="0" w:color="auto"/>
        <w:left w:val="none" w:sz="0" w:space="0" w:color="auto"/>
        <w:bottom w:val="none" w:sz="0" w:space="0" w:color="auto"/>
        <w:right w:val="none" w:sz="0" w:space="0" w:color="auto"/>
      </w:divBdr>
    </w:div>
    <w:div w:id="1306928970">
      <w:bodyDiv w:val="1"/>
      <w:marLeft w:val="0"/>
      <w:marRight w:val="0"/>
      <w:marTop w:val="0"/>
      <w:marBottom w:val="0"/>
      <w:divBdr>
        <w:top w:val="none" w:sz="0" w:space="0" w:color="auto"/>
        <w:left w:val="none" w:sz="0" w:space="0" w:color="auto"/>
        <w:bottom w:val="none" w:sz="0" w:space="0" w:color="auto"/>
        <w:right w:val="none" w:sz="0" w:space="0" w:color="auto"/>
      </w:divBdr>
    </w:div>
    <w:div w:id="1306930310">
      <w:bodyDiv w:val="1"/>
      <w:marLeft w:val="0"/>
      <w:marRight w:val="0"/>
      <w:marTop w:val="0"/>
      <w:marBottom w:val="0"/>
      <w:divBdr>
        <w:top w:val="none" w:sz="0" w:space="0" w:color="auto"/>
        <w:left w:val="none" w:sz="0" w:space="0" w:color="auto"/>
        <w:bottom w:val="none" w:sz="0" w:space="0" w:color="auto"/>
        <w:right w:val="none" w:sz="0" w:space="0" w:color="auto"/>
      </w:divBdr>
    </w:div>
    <w:div w:id="1306932686">
      <w:bodyDiv w:val="1"/>
      <w:marLeft w:val="0"/>
      <w:marRight w:val="0"/>
      <w:marTop w:val="0"/>
      <w:marBottom w:val="0"/>
      <w:divBdr>
        <w:top w:val="none" w:sz="0" w:space="0" w:color="auto"/>
        <w:left w:val="none" w:sz="0" w:space="0" w:color="auto"/>
        <w:bottom w:val="none" w:sz="0" w:space="0" w:color="auto"/>
        <w:right w:val="none" w:sz="0" w:space="0" w:color="auto"/>
      </w:divBdr>
    </w:div>
    <w:div w:id="1307005420">
      <w:bodyDiv w:val="1"/>
      <w:marLeft w:val="0"/>
      <w:marRight w:val="0"/>
      <w:marTop w:val="0"/>
      <w:marBottom w:val="0"/>
      <w:divBdr>
        <w:top w:val="none" w:sz="0" w:space="0" w:color="auto"/>
        <w:left w:val="none" w:sz="0" w:space="0" w:color="auto"/>
        <w:bottom w:val="none" w:sz="0" w:space="0" w:color="auto"/>
        <w:right w:val="none" w:sz="0" w:space="0" w:color="auto"/>
      </w:divBdr>
    </w:div>
    <w:div w:id="1307005850">
      <w:bodyDiv w:val="1"/>
      <w:marLeft w:val="0"/>
      <w:marRight w:val="0"/>
      <w:marTop w:val="0"/>
      <w:marBottom w:val="0"/>
      <w:divBdr>
        <w:top w:val="none" w:sz="0" w:space="0" w:color="auto"/>
        <w:left w:val="none" w:sz="0" w:space="0" w:color="auto"/>
        <w:bottom w:val="none" w:sz="0" w:space="0" w:color="auto"/>
        <w:right w:val="none" w:sz="0" w:space="0" w:color="auto"/>
      </w:divBdr>
    </w:div>
    <w:div w:id="1307129376">
      <w:bodyDiv w:val="1"/>
      <w:marLeft w:val="0"/>
      <w:marRight w:val="0"/>
      <w:marTop w:val="0"/>
      <w:marBottom w:val="0"/>
      <w:divBdr>
        <w:top w:val="none" w:sz="0" w:space="0" w:color="auto"/>
        <w:left w:val="none" w:sz="0" w:space="0" w:color="auto"/>
        <w:bottom w:val="none" w:sz="0" w:space="0" w:color="auto"/>
        <w:right w:val="none" w:sz="0" w:space="0" w:color="auto"/>
      </w:divBdr>
    </w:div>
    <w:div w:id="1307276165">
      <w:bodyDiv w:val="1"/>
      <w:marLeft w:val="0"/>
      <w:marRight w:val="0"/>
      <w:marTop w:val="0"/>
      <w:marBottom w:val="0"/>
      <w:divBdr>
        <w:top w:val="none" w:sz="0" w:space="0" w:color="auto"/>
        <w:left w:val="none" w:sz="0" w:space="0" w:color="auto"/>
        <w:bottom w:val="none" w:sz="0" w:space="0" w:color="auto"/>
        <w:right w:val="none" w:sz="0" w:space="0" w:color="auto"/>
      </w:divBdr>
    </w:div>
    <w:div w:id="1307317564">
      <w:bodyDiv w:val="1"/>
      <w:marLeft w:val="0"/>
      <w:marRight w:val="0"/>
      <w:marTop w:val="0"/>
      <w:marBottom w:val="0"/>
      <w:divBdr>
        <w:top w:val="none" w:sz="0" w:space="0" w:color="auto"/>
        <w:left w:val="none" w:sz="0" w:space="0" w:color="auto"/>
        <w:bottom w:val="none" w:sz="0" w:space="0" w:color="auto"/>
        <w:right w:val="none" w:sz="0" w:space="0" w:color="auto"/>
      </w:divBdr>
    </w:div>
    <w:div w:id="1307855701">
      <w:bodyDiv w:val="1"/>
      <w:marLeft w:val="0"/>
      <w:marRight w:val="0"/>
      <w:marTop w:val="0"/>
      <w:marBottom w:val="0"/>
      <w:divBdr>
        <w:top w:val="none" w:sz="0" w:space="0" w:color="auto"/>
        <w:left w:val="none" w:sz="0" w:space="0" w:color="auto"/>
        <w:bottom w:val="none" w:sz="0" w:space="0" w:color="auto"/>
        <w:right w:val="none" w:sz="0" w:space="0" w:color="auto"/>
      </w:divBdr>
    </w:div>
    <w:div w:id="1307861247">
      <w:bodyDiv w:val="1"/>
      <w:marLeft w:val="0"/>
      <w:marRight w:val="0"/>
      <w:marTop w:val="0"/>
      <w:marBottom w:val="0"/>
      <w:divBdr>
        <w:top w:val="none" w:sz="0" w:space="0" w:color="auto"/>
        <w:left w:val="none" w:sz="0" w:space="0" w:color="auto"/>
        <w:bottom w:val="none" w:sz="0" w:space="0" w:color="auto"/>
        <w:right w:val="none" w:sz="0" w:space="0" w:color="auto"/>
      </w:divBdr>
    </w:div>
    <w:div w:id="1307933361">
      <w:bodyDiv w:val="1"/>
      <w:marLeft w:val="0"/>
      <w:marRight w:val="0"/>
      <w:marTop w:val="0"/>
      <w:marBottom w:val="0"/>
      <w:divBdr>
        <w:top w:val="none" w:sz="0" w:space="0" w:color="auto"/>
        <w:left w:val="none" w:sz="0" w:space="0" w:color="auto"/>
        <w:bottom w:val="none" w:sz="0" w:space="0" w:color="auto"/>
        <w:right w:val="none" w:sz="0" w:space="0" w:color="auto"/>
      </w:divBdr>
    </w:div>
    <w:div w:id="1307970449">
      <w:bodyDiv w:val="1"/>
      <w:marLeft w:val="0"/>
      <w:marRight w:val="0"/>
      <w:marTop w:val="0"/>
      <w:marBottom w:val="0"/>
      <w:divBdr>
        <w:top w:val="none" w:sz="0" w:space="0" w:color="auto"/>
        <w:left w:val="none" w:sz="0" w:space="0" w:color="auto"/>
        <w:bottom w:val="none" w:sz="0" w:space="0" w:color="auto"/>
        <w:right w:val="none" w:sz="0" w:space="0" w:color="auto"/>
      </w:divBdr>
    </w:div>
    <w:div w:id="1308128826">
      <w:bodyDiv w:val="1"/>
      <w:marLeft w:val="0"/>
      <w:marRight w:val="0"/>
      <w:marTop w:val="0"/>
      <w:marBottom w:val="0"/>
      <w:divBdr>
        <w:top w:val="none" w:sz="0" w:space="0" w:color="auto"/>
        <w:left w:val="none" w:sz="0" w:space="0" w:color="auto"/>
        <w:bottom w:val="none" w:sz="0" w:space="0" w:color="auto"/>
        <w:right w:val="none" w:sz="0" w:space="0" w:color="auto"/>
      </w:divBdr>
    </w:div>
    <w:div w:id="1308705093">
      <w:bodyDiv w:val="1"/>
      <w:marLeft w:val="0"/>
      <w:marRight w:val="0"/>
      <w:marTop w:val="0"/>
      <w:marBottom w:val="0"/>
      <w:divBdr>
        <w:top w:val="none" w:sz="0" w:space="0" w:color="auto"/>
        <w:left w:val="none" w:sz="0" w:space="0" w:color="auto"/>
        <w:bottom w:val="none" w:sz="0" w:space="0" w:color="auto"/>
        <w:right w:val="none" w:sz="0" w:space="0" w:color="auto"/>
      </w:divBdr>
    </w:div>
    <w:div w:id="1308784845">
      <w:bodyDiv w:val="1"/>
      <w:marLeft w:val="0"/>
      <w:marRight w:val="0"/>
      <w:marTop w:val="0"/>
      <w:marBottom w:val="0"/>
      <w:divBdr>
        <w:top w:val="none" w:sz="0" w:space="0" w:color="auto"/>
        <w:left w:val="none" w:sz="0" w:space="0" w:color="auto"/>
        <w:bottom w:val="none" w:sz="0" w:space="0" w:color="auto"/>
        <w:right w:val="none" w:sz="0" w:space="0" w:color="auto"/>
      </w:divBdr>
    </w:div>
    <w:div w:id="1308903333">
      <w:bodyDiv w:val="1"/>
      <w:marLeft w:val="0"/>
      <w:marRight w:val="0"/>
      <w:marTop w:val="0"/>
      <w:marBottom w:val="0"/>
      <w:divBdr>
        <w:top w:val="none" w:sz="0" w:space="0" w:color="auto"/>
        <w:left w:val="none" w:sz="0" w:space="0" w:color="auto"/>
        <w:bottom w:val="none" w:sz="0" w:space="0" w:color="auto"/>
        <w:right w:val="none" w:sz="0" w:space="0" w:color="auto"/>
      </w:divBdr>
    </w:div>
    <w:div w:id="1309091927">
      <w:bodyDiv w:val="1"/>
      <w:marLeft w:val="0"/>
      <w:marRight w:val="0"/>
      <w:marTop w:val="0"/>
      <w:marBottom w:val="0"/>
      <w:divBdr>
        <w:top w:val="none" w:sz="0" w:space="0" w:color="auto"/>
        <w:left w:val="none" w:sz="0" w:space="0" w:color="auto"/>
        <w:bottom w:val="none" w:sz="0" w:space="0" w:color="auto"/>
        <w:right w:val="none" w:sz="0" w:space="0" w:color="auto"/>
      </w:divBdr>
    </w:div>
    <w:div w:id="1309237994">
      <w:bodyDiv w:val="1"/>
      <w:marLeft w:val="0"/>
      <w:marRight w:val="0"/>
      <w:marTop w:val="0"/>
      <w:marBottom w:val="0"/>
      <w:divBdr>
        <w:top w:val="none" w:sz="0" w:space="0" w:color="auto"/>
        <w:left w:val="none" w:sz="0" w:space="0" w:color="auto"/>
        <w:bottom w:val="none" w:sz="0" w:space="0" w:color="auto"/>
        <w:right w:val="none" w:sz="0" w:space="0" w:color="auto"/>
      </w:divBdr>
    </w:div>
    <w:div w:id="1309440231">
      <w:bodyDiv w:val="1"/>
      <w:marLeft w:val="0"/>
      <w:marRight w:val="0"/>
      <w:marTop w:val="0"/>
      <w:marBottom w:val="0"/>
      <w:divBdr>
        <w:top w:val="none" w:sz="0" w:space="0" w:color="auto"/>
        <w:left w:val="none" w:sz="0" w:space="0" w:color="auto"/>
        <w:bottom w:val="none" w:sz="0" w:space="0" w:color="auto"/>
        <w:right w:val="none" w:sz="0" w:space="0" w:color="auto"/>
      </w:divBdr>
    </w:div>
    <w:div w:id="1309895947">
      <w:bodyDiv w:val="1"/>
      <w:marLeft w:val="0"/>
      <w:marRight w:val="0"/>
      <w:marTop w:val="0"/>
      <w:marBottom w:val="0"/>
      <w:divBdr>
        <w:top w:val="none" w:sz="0" w:space="0" w:color="auto"/>
        <w:left w:val="none" w:sz="0" w:space="0" w:color="auto"/>
        <w:bottom w:val="none" w:sz="0" w:space="0" w:color="auto"/>
        <w:right w:val="none" w:sz="0" w:space="0" w:color="auto"/>
      </w:divBdr>
    </w:div>
    <w:div w:id="1309941661">
      <w:bodyDiv w:val="1"/>
      <w:marLeft w:val="0"/>
      <w:marRight w:val="0"/>
      <w:marTop w:val="0"/>
      <w:marBottom w:val="0"/>
      <w:divBdr>
        <w:top w:val="none" w:sz="0" w:space="0" w:color="auto"/>
        <w:left w:val="none" w:sz="0" w:space="0" w:color="auto"/>
        <w:bottom w:val="none" w:sz="0" w:space="0" w:color="auto"/>
        <w:right w:val="none" w:sz="0" w:space="0" w:color="auto"/>
      </w:divBdr>
    </w:div>
    <w:div w:id="1310132928">
      <w:bodyDiv w:val="1"/>
      <w:marLeft w:val="0"/>
      <w:marRight w:val="0"/>
      <w:marTop w:val="0"/>
      <w:marBottom w:val="0"/>
      <w:divBdr>
        <w:top w:val="none" w:sz="0" w:space="0" w:color="auto"/>
        <w:left w:val="none" w:sz="0" w:space="0" w:color="auto"/>
        <w:bottom w:val="none" w:sz="0" w:space="0" w:color="auto"/>
        <w:right w:val="none" w:sz="0" w:space="0" w:color="auto"/>
      </w:divBdr>
    </w:div>
    <w:div w:id="1310134758">
      <w:bodyDiv w:val="1"/>
      <w:marLeft w:val="0"/>
      <w:marRight w:val="0"/>
      <w:marTop w:val="0"/>
      <w:marBottom w:val="0"/>
      <w:divBdr>
        <w:top w:val="none" w:sz="0" w:space="0" w:color="auto"/>
        <w:left w:val="none" w:sz="0" w:space="0" w:color="auto"/>
        <w:bottom w:val="none" w:sz="0" w:space="0" w:color="auto"/>
        <w:right w:val="none" w:sz="0" w:space="0" w:color="auto"/>
      </w:divBdr>
    </w:div>
    <w:div w:id="1310287433">
      <w:bodyDiv w:val="1"/>
      <w:marLeft w:val="0"/>
      <w:marRight w:val="0"/>
      <w:marTop w:val="0"/>
      <w:marBottom w:val="0"/>
      <w:divBdr>
        <w:top w:val="none" w:sz="0" w:space="0" w:color="auto"/>
        <w:left w:val="none" w:sz="0" w:space="0" w:color="auto"/>
        <w:bottom w:val="none" w:sz="0" w:space="0" w:color="auto"/>
        <w:right w:val="none" w:sz="0" w:space="0" w:color="auto"/>
      </w:divBdr>
    </w:div>
    <w:div w:id="1310327618">
      <w:bodyDiv w:val="1"/>
      <w:marLeft w:val="0"/>
      <w:marRight w:val="0"/>
      <w:marTop w:val="0"/>
      <w:marBottom w:val="0"/>
      <w:divBdr>
        <w:top w:val="none" w:sz="0" w:space="0" w:color="auto"/>
        <w:left w:val="none" w:sz="0" w:space="0" w:color="auto"/>
        <w:bottom w:val="none" w:sz="0" w:space="0" w:color="auto"/>
        <w:right w:val="none" w:sz="0" w:space="0" w:color="auto"/>
      </w:divBdr>
    </w:div>
    <w:div w:id="1310479738">
      <w:bodyDiv w:val="1"/>
      <w:marLeft w:val="0"/>
      <w:marRight w:val="0"/>
      <w:marTop w:val="0"/>
      <w:marBottom w:val="0"/>
      <w:divBdr>
        <w:top w:val="none" w:sz="0" w:space="0" w:color="auto"/>
        <w:left w:val="none" w:sz="0" w:space="0" w:color="auto"/>
        <w:bottom w:val="none" w:sz="0" w:space="0" w:color="auto"/>
        <w:right w:val="none" w:sz="0" w:space="0" w:color="auto"/>
      </w:divBdr>
    </w:div>
    <w:div w:id="1310548513">
      <w:bodyDiv w:val="1"/>
      <w:marLeft w:val="0"/>
      <w:marRight w:val="0"/>
      <w:marTop w:val="0"/>
      <w:marBottom w:val="0"/>
      <w:divBdr>
        <w:top w:val="none" w:sz="0" w:space="0" w:color="auto"/>
        <w:left w:val="none" w:sz="0" w:space="0" w:color="auto"/>
        <w:bottom w:val="none" w:sz="0" w:space="0" w:color="auto"/>
        <w:right w:val="none" w:sz="0" w:space="0" w:color="auto"/>
      </w:divBdr>
    </w:div>
    <w:div w:id="1310551597">
      <w:bodyDiv w:val="1"/>
      <w:marLeft w:val="0"/>
      <w:marRight w:val="0"/>
      <w:marTop w:val="0"/>
      <w:marBottom w:val="0"/>
      <w:divBdr>
        <w:top w:val="none" w:sz="0" w:space="0" w:color="auto"/>
        <w:left w:val="none" w:sz="0" w:space="0" w:color="auto"/>
        <w:bottom w:val="none" w:sz="0" w:space="0" w:color="auto"/>
        <w:right w:val="none" w:sz="0" w:space="0" w:color="auto"/>
      </w:divBdr>
    </w:div>
    <w:div w:id="1310747852">
      <w:bodyDiv w:val="1"/>
      <w:marLeft w:val="0"/>
      <w:marRight w:val="0"/>
      <w:marTop w:val="0"/>
      <w:marBottom w:val="0"/>
      <w:divBdr>
        <w:top w:val="none" w:sz="0" w:space="0" w:color="auto"/>
        <w:left w:val="none" w:sz="0" w:space="0" w:color="auto"/>
        <w:bottom w:val="none" w:sz="0" w:space="0" w:color="auto"/>
        <w:right w:val="none" w:sz="0" w:space="0" w:color="auto"/>
      </w:divBdr>
    </w:div>
    <w:div w:id="1310790871">
      <w:bodyDiv w:val="1"/>
      <w:marLeft w:val="0"/>
      <w:marRight w:val="0"/>
      <w:marTop w:val="0"/>
      <w:marBottom w:val="0"/>
      <w:divBdr>
        <w:top w:val="none" w:sz="0" w:space="0" w:color="auto"/>
        <w:left w:val="none" w:sz="0" w:space="0" w:color="auto"/>
        <w:bottom w:val="none" w:sz="0" w:space="0" w:color="auto"/>
        <w:right w:val="none" w:sz="0" w:space="0" w:color="auto"/>
      </w:divBdr>
    </w:div>
    <w:div w:id="1310868950">
      <w:bodyDiv w:val="1"/>
      <w:marLeft w:val="0"/>
      <w:marRight w:val="0"/>
      <w:marTop w:val="0"/>
      <w:marBottom w:val="0"/>
      <w:divBdr>
        <w:top w:val="none" w:sz="0" w:space="0" w:color="auto"/>
        <w:left w:val="none" w:sz="0" w:space="0" w:color="auto"/>
        <w:bottom w:val="none" w:sz="0" w:space="0" w:color="auto"/>
        <w:right w:val="none" w:sz="0" w:space="0" w:color="auto"/>
      </w:divBdr>
    </w:div>
    <w:div w:id="1311131304">
      <w:bodyDiv w:val="1"/>
      <w:marLeft w:val="0"/>
      <w:marRight w:val="0"/>
      <w:marTop w:val="0"/>
      <w:marBottom w:val="0"/>
      <w:divBdr>
        <w:top w:val="none" w:sz="0" w:space="0" w:color="auto"/>
        <w:left w:val="none" w:sz="0" w:space="0" w:color="auto"/>
        <w:bottom w:val="none" w:sz="0" w:space="0" w:color="auto"/>
        <w:right w:val="none" w:sz="0" w:space="0" w:color="auto"/>
      </w:divBdr>
    </w:div>
    <w:div w:id="1311210386">
      <w:bodyDiv w:val="1"/>
      <w:marLeft w:val="0"/>
      <w:marRight w:val="0"/>
      <w:marTop w:val="0"/>
      <w:marBottom w:val="0"/>
      <w:divBdr>
        <w:top w:val="none" w:sz="0" w:space="0" w:color="auto"/>
        <w:left w:val="none" w:sz="0" w:space="0" w:color="auto"/>
        <w:bottom w:val="none" w:sz="0" w:space="0" w:color="auto"/>
        <w:right w:val="none" w:sz="0" w:space="0" w:color="auto"/>
      </w:divBdr>
    </w:div>
    <w:div w:id="1311329915">
      <w:bodyDiv w:val="1"/>
      <w:marLeft w:val="0"/>
      <w:marRight w:val="0"/>
      <w:marTop w:val="0"/>
      <w:marBottom w:val="0"/>
      <w:divBdr>
        <w:top w:val="none" w:sz="0" w:space="0" w:color="auto"/>
        <w:left w:val="none" w:sz="0" w:space="0" w:color="auto"/>
        <w:bottom w:val="none" w:sz="0" w:space="0" w:color="auto"/>
        <w:right w:val="none" w:sz="0" w:space="0" w:color="auto"/>
      </w:divBdr>
    </w:div>
    <w:div w:id="1312247688">
      <w:bodyDiv w:val="1"/>
      <w:marLeft w:val="0"/>
      <w:marRight w:val="0"/>
      <w:marTop w:val="0"/>
      <w:marBottom w:val="0"/>
      <w:divBdr>
        <w:top w:val="none" w:sz="0" w:space="0" w:color="auto"/>
        <w:left w:val="none" w:sz="0" w:space="0" w:color="auto"/>
        <w:bottom w:val="none" w:sz="0" w:space="0" w:color="auto"/>
        <w:right w:val="none" w:sz="0" w:space="0" w:color="auto"/>
      </w:divBdr>
    </w:div>
    <w:div w:id="1312515163">
      <w:bodyDiv w:val="1"/>
      <w:marLeft w:val="0"/>
      <w:marRight w:val="0"/>
      <w:marTop w:val="0"/>
      <w:marBottom w:val="0"/>
      <w:divBdr>
        <w:top w:val="none" w:sz="0" w:space="0" w:color="auto"/>
        <w:left w:val="none" w:sz="0" w:space="0" w:color="auto"/>
        <w:bottom w:val="none" w:sz="0" w:space="0" w:color="auto"/>
        <w:right w:val="none" w:sz="0" w:space="0" w:color="auto"/>
      </w:divBdr>
    </w:div>
    <w:div w:id="1312833483">
      <w:bodyDiv w:val="1"/>
      <w:marLeft w:val="0"/>
      <w:marRight w:val="0"/>
      <w:marTop w:val="0"/>
      <w:marBottom w:val="0"/>
      <w:divBdr>
        <w:top w:val="none" w:sz="0" w:space="0" w:color="auto"/>
        <w:left w:val="none" w:sz="0" w:space="0" w:color="auto"/>
        <w:bottom w:val="none" w:sz="0" w:space="0" w:color="auto"/>
        <w:right w:val="none" w:sz="0" w:space="0" w:color="auto"/>
      </w:divBdr>
    </w:div>
    <w:div w:id="1313094936">
      <w:bodyDiv w:val="1"/>
      <w:marLeft w:val="0"/>
      <w:marRight w:val="0"/>
      <w:marTop w:val="0"/>
      <w:marBottom w:val="0"/>
      <w:divBdr>
        <w:top w:val="none" w:sz="0" w:space="0" w:color="auto"/>
        <w:left w:val="none" w:sz="0" w:space="0" w:color="auto"/>
        <w:bottom w:val="none" w:sz="0" w:space="0" w:color="auto"/>
        <w:right w:val="none" w:sz="0" w:space="0" w:color="auto"/>
      </w:divBdr>
    </w:div>
    <w:div w:id="1313170339">
      <w:bodyDiv w:val="1"/>
      <w:marLeft w:val="0"/>
      <w:marRight w:val="0"/>
      <w:marTop w:val="0"/>
      <w:marBottom w:val="0"/>
      <w:divBdr>
        <w:top w:val="none" w:sz="0" w:space="0" w:color="auto"/>
        <w:left w:val="none" w:sz="0" w:space="0" w:color="auto"/>
        <w:bottom w:val="none" w:sz="0" w:space="0" w:color="auto"/>
        <w:right w:val="none" w:sz="0" w:space="0" w:color="auto"/>
      </w:divBdr>
    </w:div>
    <w:div w:id="1313171092">
      <w:bodyDiv w:val="1"/>
      <w:marLeft w:val="0"/>
      <w:marRight w:val="0"/>
      <w:marTop w:val="0"/>
      <w:marBottom w:val="0"/>
      <w:divBdr>
        <w:top w:val="none" w:sz="0" w:space="0" w:color="auto"/>
        <w:left w:val="none" w:sz="0" w:space="0" w:color="auto"/>
        <w:bottom w:val="none" w:sz="0" w:space="0" w:color="auto"/>
        <w:right w:val="none" w:sz="0" w:space="0" w:color="auto"/>
      </w:divBdr>
    </w:div>
    <w:div w:id="1313362768">
      <w:bodyDiv w:val="1"/>
      <w:marLeft w:val="0"/>
      <w:marRight w:val="0"/>
      <w:marTop w:val="0"/>
      <w:marBottom w:val="0"/>
      <w:divBdr>
        <w:top w:val="none" w:sz="0" w:space="0" w:color="auto"/>
        <w:left w:val="none" w:sz="0" w:space="0" w:color="auto"/>
        <w:bottom w:val="none" w:sz="0" w:space="0" w:color="auto"/>
        <w:right w:val="none" w:sz="0" w:space="0" w:color="auto"/>
      </w:divBdr>
    </w:div>
    <w:div w:id="1313439278">
      <w:bodyDiv w:val="1"/>
      <w:marLeft w:val="0"/>
      <w:marRight w:val="0"/>
      <w:marTop w:val="0"/>
      <w:marBottom w:val="0"/>
      <w:divBdr>
        <w:top w:val="none" w:sz="0" w:space="0" w:color="auto"/>
        <w:left w:val="none" w:sz="0" w:space="0" w:color="auto"/>
        <w:bottom w:val="none" w:sz="0" w:space="0" w:color="auto"/>
        <w:right w:val="none" w:sz="0" w:space="0" w:color="auto"/>
      </w:divBdr>
    </w:div>
    <w:div w:id="1313561348">
      <w:bodyDiv w:val="1"/>
      <w:marLeft w:val="0"/>
      <w:marRight w:val="0"/>
      <w:marTop w:val="0"/>
      <w:marBottom w:val="0"/>
      <w:divBdr>
        <w:top w:val="none" w:sz="0" w:space="0" w:color="auto"/>
        <w:left w:val="none" w:sz="0" w:space="0" w:color="auto"/>
        <w:bottom w:val="none" w:sz="0" w:space="0" w:color="auto"/>
        <w:right w:val="none" w:sz="0" w:space="0" w:color="auto"/>
      </w:divBdr>
    </w:div>
    <w:div w:id="1313757535">
      <w:bodyDiv w:val="1"/>
      <w:marLeft w:val="0"/>
      <w:marRight w:val="0"/>
      <w:marTop w:val="0"/>
      <w:marBottom w:val="0"/>
      <w:divBdr>
        <w:top w:val="none" w:sz="0" w:space="0" w:color="auto"/>
        <w:left w:val="none" w:sz="0" w:space="0" w:color="auto"/>
        <w:bottom w:val="none" w:sz="0" w:space="0" w:color="auto"/>
        <w:right w:val="none" w:sz="0" w:space="0" w:color="auto"/>
      </w:divBdr>
    </w:div>
    <w:div w:id="1313875957">
      <w:bodyDiv w:val="1"/>
      <w:marLeft w:val="0"/>
      <w:marRight w:val="0"/>
      <w:marTop w:val="0"/>
      <w:marBottom w:val="0"/>
      <w:divBdr>
        <w:top w:val="none" w:sz="0" w:space="0" w:color="auto"/>
        <w:left w:val="none" w:sz="0" w:space="0" w:color="auto"/>
        <w:bottom w:val="none" w:sz="0" w:space="0" w:color="auto"/>
        <w:right w:val="none" w:sz="0" w:space="0" w:color="auto"/>
      </w:divBdr>
    </w:div>
    <w:div w:id="1313948970">
      <w:bodyDiv w:val="1"/>
      <w:marLeft w:val="0"/>
      <w:marRight w:val="0"/>
      <w:marTop w:val="0"/>
      <w:marBottom w:val="0"/>
      <w:divBdr>
        <w:top w:val="none" w:sz="0" w:space="0" w:color="auto"/>
        <w:left w:val="none" w:sz="0" w:space="0" w:color="auto"/>
        <w:bottom w:val="none" w:sz="0" w:space="0" w:color="auto"/>
        <w:right w:val="none" w:sz="0" w:space="0" w:color="auto"/>
      </w:divBdr>
    </w:div>
    <w:div w:id="1314094363">
      <w:bodyDiv w:val="1"/>
      <w:marLeft w:val="0"/>
      <w:marRight w:val="0"/>
      <w:marTop w:val="0"/>
      <w:marBottom w:val="0"/>
      <w:divBdr>
        <w:top w:val="none" w:sz="0" w:space="0" w:color="auto"/>
        <w:left w:val="none" w:sz="0" w:space="0" w:color="auto"/>
        <w:bottom w:val="none" w:sz="0" w:space="0" w:color="auto"/>
        <w:right w:val="none" w:sz="0" w:space="0" w:color="auto"/>
      </w:divBdr>
    </w:div>
    <w:div w:id="1314218073">
      <w:bodyDiv w:val="1"/>
      <w:marLeft w:val="0"/>
      <w:marRight w:val="0"/>
      <w:marTop w:val="0"/>
      <w:marBottom w:val="0"/>
      <w:divBdr>
        <w:top w:val="none" w:sz="0" w:space="0" w:color="auto"/>
        <w:left w:val="none" w:sz="0" w:space="0" w:color="auto"/>
        <w:bottom w:val="none" w:sz="0" w:space="0" w:color="auto"/>
        <w:right w:val="none" w:sz="0" w:space="0" w:color="auto"/>
      </w:divBdr>
    </w:div>
    <w:div w:id="1314410564">
      <w:bodyDiv w:val="1"/>
      <w:marLeft w:val="0"/>
      <w:marRight w:val="0"/>
      <w:marTop w:val="0"/>
      <w:marBottom w:val="0"/>
      <w:divBdr>
        <w:top w:val="none" w:sz="0" w:space="0" w:color="auto"/>
        <w:left w:val="none" w:sz="0" w:space="0" w:color="auto"/>
        <w:bottom w:val="none" w:sz="0" w:space="0" w:color="auto"/>
        <w:right w:val="none" w:sz="0" w:space="0" w:color="auto"/>
      </w:divBdr>
    </w:div>
    <w:div w:id="1314606357">
      <w:bodyDiv w:val="1"/>
      <w:marLeft w:val="0"/>
      <w:marRight w:val="0"/>
      <w:marTop w:val="0"/>
      <w:marBottom w:val="0"/>
      <w:divBdr>
        <w:top w:val="none" w:sz="0" w:space="0" w:color="auto"/>
        <w:left w:val="none" w:sz="0" w:space="0" w:color="auto"/>
        <w:bottom w:val="none" w:sz="0" w:space="0" w:color="auto"/>
        <w:right w:val="none" w:sz="0" w:space="0" w:color="auto"/>
      </w:divBdr>
    </w:div>
    <w:div w:id="1314869637">
      <w:bodyDiv w:val="1"/>
      <w:marLeft w:val="0"/>
      <w:marRight w:val="0"/>
      <w:marTop w:val="0"/>
      <w:marBottom w:val="0"/>
      <w:divBdr>
        <w:top w:val="none" w:sz="0" w:space="0" w:color="auto"/>
        <w:left w:val="none" w:sz="0" w:space="0" w:color="auto"/>
        <w:bottom w:val="none" w:sz="0" w:space="0" w:color="auto"/>
        <w:right w:val="none" w:sz="0" w:space="0" w:color="auto"/>
      </w:divBdr>
    </w:div>
    <w:div w:id="1314875232">
      <w:bodyDiv w:val="1"/>
      <w:marLeft w:val="0"/>
      <w:marRight w:val="0"/>
      <w:marTop w:val="0"/>
      <w:marBottom w:val="0"/>
      <w:divBdr>
        <w:top w:val="none" w:sz="0" w:space="0" w:color="auto"/>
        <w:left w:val="none" w:sz="0" w:space="0" w:color="auto"/>
        <w:bottom w:val="none" w:sz="0" w:space="0" w:color="auto"/>
        <w:right w:val="none" w:sz="0" w:space="0" w:color="auto"/>
      </w:divBdr>
    </w:div>
    <w:div w:id="1315111578">
      <w:bodyDiv w:val="1"/>
      <w:marLeft w:val="0"/>
      <w:marRight w:val="0"/>
      <w:marTop w:val="0"/>
      <w:marBottom w:val="0"/>
      <w:divBdr>
        <w:top w:val="none" w:sz="0" w:space="0" w:color="auto"/>
        <w:left w:val="none" w:sz="0" w:space="0" w:color="auto"/>
        <w:bottom w:val="none" w:sz="0" w:space="0" w:color="auto"/>
        <w:right w:val="none" w:sz="0" w:space="0" w:color="auto"/>
      </w:divBdr>
    </w:div>
    <w:div w:id="1315142023">
      <w:bodyDiv w:val="1"/>
      <w:marLeft w:val="0"/>
      <w:marRight w:val="0"/>
      <w:marTop w:val="0"/>
      <w:marBottom w:val="0"/>
      <w:divBdr>
        <w:top w:val="none" w:sz="0" w:space="0" w:color="auto"/>
        <w:left w:val="none" w:sz="0" w:space="0" w:color="auto"/>
        <w:bottom w:val="none" w:sz="0" w:space="0" w:color="auto"/>
        <w:right w:val="none" w:sz="0" w:space="0" w:color="auto"/>
      </w:divBdr>
    </w:div>
    <w:div w:id="1315526221">
      <w:bodyDiv w:val="1"/>
      <w:marLeft w:val="0"/>
      <w:marRight w:val="0"/>
      <w:marTop w:val="0"/>
      <w:marBottom w:val="0"/>
      <w:divBdr>
        <w:top w:val="none" w:sz="0" w:space="0" w:color="auto"/>
        <w:left w:val="none" w:sz="0" w:space="0" w:color="auto"/>
        <w:bottom w:val="none" w:sz="0" w:space="0" w:color="auto"/>
        <w:right w:val="none" w:sz="0" w:space="0" w:color="auto"/>
      </w:divBdr>
    </w:div>
    <w:div w:id="1315718615">
      <w:bodyDiv w:val="1"/>
      <w:marLeft w:val="0"/>
      <w:marRight w:val="0"/>
      <w:marTop w:val="0"/>
      <w:marBottom w:val="0"/>
      <w:divBdr>
        <w:top w:val="none" w:sz="0" w:space="0" w:color="auto"/>
        <w:left w:val="none" w:sz="0" w:space="0" w:color="auto"/>
        <w:bottom w:val="none" w:sz="0" w:space="0" w:color="auto"/>
        <w:right w:val="none" w:sz="0" w:space="0" w:color="auto"/>
      </w:divBdr>
    </w:div>
    <w:div w:id="1316110713">
      <w:bodyDiv w:val="1"/>
      <w:marLeft w:val="0"/>
      <w:marRight w:val="0"/>
      <w:marTop w:val="0"/>
      <w:marBottom w:val="0"/>
      <w:divBdr>
        <w:top w:val="none" w:sz="0" w:space="0" w:color="auto"/>
        <w:left w:val="none" w:sz="0" w:space="0" w:color="auto"/>
        <w:bottom w:val="none" w:sz="0" w:space="0" w:color="auto"/>
        <w:right w:val="none" w:sz="0" w:space="0" w:color="auto"/>
      </w:divBdr>
    </w:div>
    <w:div w:id="1317147191">
      <w:bodyDiv w:val="1"/>
      <w:marLeft w:val="0"/>
      <w:marRight w:val="0"/>
      <w:marTop w:val="0"/>
      <w:marBottom w:val="0"/>
      <w:divBdr>
        <w:top w:val="none" w:sz="0" w:space="0" w:color="auto"/>
        <w:left w:val="none" w:sz="0" w:space="0" w:color="auto"/>
        <w:bottom w:val="none" w:sz="0" w:space="0" w:color="auto"/>
        <w:right w:val="none" w:sz="0" w:space="0" w:color="auto"/>
      </w:divBdr>
    </w:div>
    <w:div w:id="1317295600">
      <w:bodyDiv w:val="1"/>
      <w:marLeft w:val="0"/>
      <w:marRight w:val="0"/>
      <w:marTop w:val="0"/>
      <w:marBottom w:val="0"/>
      <w:divBdr>
        <w:top w:val="none" w:sz="0" w:space="0" w:color="auto"/>
        <w:left w:val="none" w:sz="0" w:space="0" w:color="auto"/>
        <w:bottom w:val="none" w:sz="0" w:space="0" w:color="auto"/>
        <w:right w:val="none" w:sz="0" w:space="0" w:color="auto"/>
      </w:divBdr>
    </w:div>
    <w:div w:id="1317563799">
      <w:bodyDiv w:val="1"/>
      <w:marLeft w:val="0"/>
      <w:marRight w:val="0"/>
      <w:marTop w:val="0"/>
      <w:marBottom w:val="0"/>
      <w:divBdr>
        <w:top w:val="none" w:sz="0" w:space="0" w:color="auto"/>
        <w:left w:val="none" w:sz="0" w:space="0" w:color="auto"/>
        <w:bottom w:val="none" w:sz="0" w:space="0" w:color="auto"/>
        <w:right w:val="none" w:sz="0" w:space="0" w:color="auto"/>
      </w:divBdr>
    </w:div>
    <w:div w:id="1317879712">
      <w:bodyDiv w:val="1"/>
      <w:marLeft w:val="0"/>
      <w:marRight w:val="0"/>
      <w:marTop w:val="0"/>
      <w:marBottom w:val="0"/>
      <w:divBdr>
        <w:top w:val="none" w:sz="0" w:space="0" w:color="auto"/>
        <w:left w:val="none" w:sz="0" w:space="0" w:color="auto"/>
        <w:bottom w:val="none" w:sz="0" w:space="0" w:color="auto"/>
        <w:right w:val="none" w:sz="0" w:space="0" w:color="auto"/>
      </w:divBdr>
    </w:div>
    <w:div w:id="1318457135">
      <w:bodyDiv w:val="1"/>
      <w:marLeft w:val="0"/>
      <w:marRight w:val="0"/>
      <w:marTop w:val="0"/>
      <w:marBottom w:val="0"/>
      <w:divBdr>
        <w:top w:val="none" w:sz="0" w:space="0" w:color="auto"/>
        <w:left w:val="none" w:sz="0" w:space="0" w:color="auto"/>
        <w:bottom w:val="none" w:sz="0" w:space="0" w:color="auto"/>
        <w:right w:val="none" w:sz="0" w:space="0" w:color="auto"/>
      </w:divBdr>
    </w:div>
    <w:div w:id="1318458765">
      <w:bodyDiv w:val="1"/>
      <w:marLeft w:val="0"/>
      <w:marRight w:val="0"/>
      <w:marTop w:val="0"/>
      <w:marBottom w:val="0"/>
      <w:divBdr>
        <w:top w:val="none" w:sz="0" w:space="0" w:color="auto"/>
        <w:left w:val="none" w:sz="0" w:space="0" w:color="auto"/>
        <w:bottom w:val="none" w:sz="0" w:space="0" w:color="auto"/>
        <w:right w:val="none" w:sz="0" w:space="0" w:color="auto"/>
      </w:divBdr>
    </w:div>
    <w:div w:id="1318608727">
      <w:bodyDiv w:val="1"/>
      <w:marLeft w:val="0"/>
      <w:marRight w:val="0"/>
      <w:marTop w:val="0"/>
      <w:marBottom w:val="0"/>
      <w:divBdr>
        <w:top w:val="none" w:sz="0" w:space="0" w:color="auto"/>
        <w:left w:val="none" w:sz="0" w:space="0" w:color="auto"/>
        <w:bottom w:val="none" w:sz="0" w:space="0" w:color="auto"/>
        <w:right w:val="none" w:sz="0" w:space="0" w:color="auto"/>
      </w:divBdr>
    </w:div>
    <w:div w:id="1318730437">
      <w:bodyDiv w:val="1"/>
      <w:marLeft w:val="0"/>
      <w:marRight w:val="0"/>
      <w:marTop w:val="0"/>
      <w:marBottom w:val="0"/>
      <w:divBdr>
        <w:top w:val="none" w:sz="0" w:space="0" w:color="auto"/>
        <w:left w:val="none" w:sz="0" w:space="0" w:color="auto"/>
        <w:bottom w:val="none" w:sz="0" w:space="0" w:color="auto"/>
        <w:right w:val="none" w:sz="0" w:space="0" w:color="auto"/>
      </w:divBdr>
    </w:div>
    <w:div w:id="1318919274">
      <w:bodyDiv w:val="1"/>
      <w:marLeft w:val="0"/>
      <w:marRight w:val="0"/>
      <w:marTop w:val="0"/>
      <w:marBottom w:val="0"/>
      <w:divBdr>
        <w:top w:val="none" w:sz="0" w:space="0" w:color="auto"/>
        <w:left w:val="none" w:sz="0" w:space="0" w:color="auto"/>
        <w:bottom w:val="none" w:sz="0" w:space="0" w:color="auto"/>
        <w:right w:val="none" w:sz="0" w:space="0" w:color="auto"/>
      </w:divBdr>
    </w:div>
    <w:div w:id="1319118616">
      <w:bodyDiv w:val="1"/>
      <w:marLeft w:val="0"/>
      <w:marRight w:val="0"/>
      <w:marTop w:val="0"/>
      <w:marBottom w:val="0"/>
      <w:divBdr>
        <w:top w:val="none" w:sz="0" w:space="0" w:color="auto"/>
        <w:left w:val="none" w:sz="0" w:space="0" w:color="auto"/>
        <w:bottom w:val="none" w:sz="0" w:space="0" w:color="auto"/>
        <w:right w:val="none" w:sz="0" w:space="0" w:color="auto"/>
      </w:divBdr>
    </w:div>
    <w:div w:id="1319188908">
      <w:bodyDiv w:val="1"/>
      <w:marLeft w:val="0"/>
      <w:marRight w:val="0"/>
      <w:marTop w:val="0"/>
      <w:marBottom w:val="0"/>
      <w:divBdr>
        <w:top w:val="none" w:sz="0" w:space="0" w:color="auto"/>
        <w:left w:val="none" w:sz="0" w:space="0" w:color="auto"/>
        <w:bottom w:val="none" w:sz="0" w:space="0" w:color="auto"/>
        <w:right w:val="none" w:sz="0" w:space="0" w:color="auto"/>
      </w:divBdr>
    </w:div>
    <w:div w:id="1319379018">
      <w:bodyDiv w:val="1"/>
      <w:marLeft w:val="0"/>
      <w:marRight w:val="0"/>
      <w:marTop w:val="0"/>
      <w:marBottom w:val="0"/>
      <w:divBdr>
        <w:top w:val="none" w:sz="0" w:space="0" w:color="auto"/>
        <w:left w:val="none" w:sz="0" w:space="0" w:color="auto"/>
        <w:bottom w:val="none" w:sz="0" w:space="0" w:color="auto"/>
        <w:right w:val="none" w:sz="0" w:space="0" w:color="auto"/>
      </w:divBdr>
    </w:div>
    <w:div w:id="1319382309">
      <w:bodyDiv w:val="1"/>
      <w:marLeft w:val="0"/>
      <w:marRight w:val="0"/>
      <w:marTop w:val="0"/>
      <w:marBottom w:val="0"/>
      <w:divBdr>
        <w:top w:val="none" w:sz="0" w:space="0" w:color="auto"/>
        <w:left w:val="none" w:sz="0" w:space="0" w:color="auto"/>
        <w:bottom w:val="none" w:sz="0" w:space="0" w:color="auto"/>
        <w:right w:val="none" w:sz="0" w:space="0" w:color="auto"/>
      </w:divBdr>
    </w:div>
    <w:div w:id="1319503655">
      <w:bodyDiv w:val="1"/>
      <w:marLeft w:val="0"/>
      <w:marRight w:val="0"/>
      <w:marTop w:val="0"/>
      <w:marBottom w:val="0"/>
      <w:divBdr>
        <w:top w:val="none" w:sz="0" w:space="0" w:color="auto"/>
        <w:left w:val="none" w:sz="0" w:space="0" w:color="auto"/>
        <w:bottom w:val="none" w:sz="0" w:space="0" w:color="auto"/>
        <w:right w:val="none" w:sz="0" w:space="0" w:color="auto"/>
      </w:divBdr>
    </w:div>
    <w:div w:id="1319765153">
      <w:bodyDiv w:val="1"/>
      <w:marLeft w:val="0"/>
      <w:marRight w:val="0"/>
      <w:marTop w:val="0"/>
      <w:marBottom w:val="0"/>
      <w:divBdr>
        <w:top w:val="none" w:sz="0" w:space="0" w:color="auto"/>
        <w:left w:val="none" w:sz="0" w:space="0" w:color="auto"/>
        <w:bottom w:val="none" w:sz="0" w:space="0" w:color="auto"/>
        <w:right w:val="none" w:sz="0" w:space="0" w:color="auto"/>
      </w:divBdr>
    </w:div>
    <w:div w:id="1319918853">
      <w:bodyDiv w:val="1"/>
      <w:marLeft w:val="0"/>
      <w:marRight w:val="0"/>
      <w:marTop w:val="0"/>
      <w:marBottom w:val="0"/>
      <w:divBdr>
        <w:top w:val="none" w:sz="0" w:space="0" w:color="auto"/>
        <w:left w:val="none" w:sz="0" w:space="0" w:color="auto"/>
        <w:bottom w:val="none" w:sz="0" w:space="0" w:color="auto"/>
        <w:right w:val="none" w:sz="0" w:space="0" w:color="auto"/>
      </w:divBdr>
    </w:div>
    <w:div w:id="1319963751">
      <w:bodyDiv w:val="1"/>
      <w:marLeft w:val="0"/>
      <w:marRight w:val="0"/>
      <w:marTop w:val="0"/>
      <w:marBottom w:val="0"/>
      <w:divBdr>
        <w:top w:val="none" w:sz="0" w:space="0" w:color="auto"/>
        <w:left w:val="none" w:sz="0" w:space="0" w:color="auto"/>
        <w:bottom w:val="none" w:sz="0" w:space="0" w:color="auto"/>
        <w:right w:val="none" w:sz="0" w:space="0" w:color="auto"/>
      </w:divBdr>
    </w:div>
    <w:div w:id="1320497739">
      <w:bodyDiv w:val="1"/>
      <w:marLeft w:val="0"/>
      <w:marRight w:val="0"/>
      <w:marTop w:val="0"/>
      <w:marBottom w:val="0"/>
      <w:divBdr>
        <w:top w:val="none" w:sz="0" w:space="0" w:color="auto"/>
        <w:left w:val="none" w:sz="0" w:space="0" w:color="auto"/>
        <w:bottom w:val="none" w:sz="0" w:space="0" w:color="auto"/>
        <w:right w:val="none" w:sz="0" w:space="0" w:color="auto"/>
      </w:divBdr>
    </w:div>
    <w:div w:id="1320618803">
      <w:bodyDiv w:val="1"/>
      <w:marLeft w:val="0"/>
      <w:marRight w:val="0"/>
      <w:marTop w:val="0"/>
      <w:marBottom w:val="0"/>
      <w:divBdr>
        <w:top w:val="none" w:sz="0" w:space="0" w:color="auto"/>
        <w:left w:val="none" w:sz="0" w:space="0" w:color="auto"/>
        <w:bottom w:val="none" w:sz="0" w:space="0" w:color="auto"/>
        <w:right w:val="none" w:sz="0" w:space="0" w:color="auto"/>
      </w:divBdr>
    </w:div>
    <w:div w:id="1321159654">
      <w:bodyDiv w:val="1"/>
      <w:marLeft w:val="0"/>
      <w:marRight w:val="0"/>
      <w:marTop w:val="0"/>
      <w:marBottom w:val="0"/>
      <w:divBdr>
        <w:top w:val="none" w:sz="0" w:space="0" w:color="auto"/>
        <w:left w:val="none" w:sz="0" w:space="0" w:color="auto"/>
        <w:bottom w:val="none" w:sz="0" w:space="0" w:color="auto"/>
        <w:right w:val="none" w:sz="0" w:space="0" w:color="auto"/>
      </w:divBdr>
    </w:div>
    <w:div w:id="1321228984">
      <w:bodyDiv w:val="1"/>
      <w:marLeft w:val="0"/>
      <w:marRight w:val="0"/>
      <w:marTop w:val="0"/>
      <w:marBottom w:val="0"/>
      <w:divBdr>
        <w:top w:val="none" w:sz="0" w:space="0" w:color="auto"/>
        <w:left w:val="none" w:sz="0" w:space="0" w:color="auto"/>
        <w:bottom w:val="none" w:sz="0" w:space="0" w:color="auto"/>
        <w:right w:val="none" w:sz="0" w:space="0" w:color="auto"/>
      </w:divBdr>
    </w:div>
    <w:div w:id="1321498150">
      <w:bodyDiv w:val="1"/>
      <w:marLeft w:val="0"/>
      <w:marRight w:val="0"/>
      <w:marTop w:val="0"/>
      <w:marBottom w:val="0"/>
      <w:divBdr>
        <w:top w:val="none" w:sz="0" w:space="0" w:color="auto"/>
        <w:left w:val="none" w:sz="0" w:space="0" w:color="auto"/>
        <w:bottom w:val="none" w:sz="0" w:space="0" w:color="auto"/>
        <w:right w:val="none" w:sz="0" w:space="0" w:color="auto"/>
      </w:divBdr>
    </w:div>
    <w:div w:id="1321499405">
      <w:bodyDiv w:val="1"/>
      <w:marLeft w:val="0"/>
      <w:marRight w:val="0"/>
      <w:marTop w:val="0"/>
      <w:marBottom w:val="0"/>
      <w:divBdr>
        <w:top w:val="none" w:sz="0" w:space="0" w:color="auto"/>
        <w:left w:val="none" w:sz="0" w:space="0" w:color="auto"/>
        <w:bottom w:val="none" w:sz="0" w:space="0" w:color="auto"/>
        <w:right w:val="none" w:sz="0" w:space="0" w:color="auto"/>
      </w:divBdr>
    </w:div>
    <w:div w:id="1321539775">
      <w:bodyDiv w:val="1"/>
      <w:marLeft w:val="0"/>
      <w:marRight w:val="0"/>
      <w:marTop w:val="0"/>
      <w:marBottom w:val="0"/>
      <w:divBdr>
        <w:top w:val="none" w:sz="0" w:space="0" w:color="auto"/>
        <w:left w:val="none" w:sz="0" w:space="0" w:color="auto"/>
        <w:bottom w:val="none" w:sz="0" w:space="0" w:color="auto"/>
        <w:right w:val="none" w:sz="0" w:space="0" w:color="auto"/>
      </w:divBdr>
    </w:div>
    <w:div w:id="1321612632">
      <w:bodyDiv w:val="1"/>
      <w:marLeft w:val="0"/>
      <w:marRight w:val="0"/>
      <w:marTop w:val="0"/>
      <w:marBottom w:val="0"/>
      <w:divBdr>
        <w:top w:val="none" w:sz="0" w:space="0" w:color="auto"/>
        <w:left w:val="none" w:sz="0" w:space="0" w:color="auto"/>
        <w:bottom w:val="none" w:sz="0" w:space="0" w:color="auto"/>
        <w:right w:val="none" w:sz="0" w:space="0" w:color="auto"/>
      </w:divBdr>
    </w:div>
    <w:div w:id="1321616451">
      <w:bodyDiv w:val="1"/>
      <w:marLeft w:val="0"/>
      <w:marRight w:val="0"/>
      <w:marTop w:val="0"/>
      <w:marBottom w:val="0"/>
      <w:divBdr>
        <w:top w:val="none" w:sz="0" w:space="0" w:color="auto"/>
        <w:left w:val="none" w:sz="0" w:space="0" w:color="auto"/>
        <w:bottom w:val="none" w:sz="0" w:space="0" w:color="auto"/>
        <w:right w:val="none" w:sz="0" w:space="0" w:color="auto"/>
      </w:divBdr>
    </w:div>
    <w:div w:id="1321618453">
      <w:bodyDiv w:val="1"/>
      <w:marLeft w:val="0"/>
      <w:marRight w:val="0"/>
      <w:marTop w:val="0"/>
      <w:marBottom w:val="0"/>
      <w:divBdr>
        <w:top w:val="none" w:sz="0" w:space="0" w:color="auto"/>
        <w:left w:val="none" w:sz="0" w:space="0" w:color="auto"/>
        <w:bottom w:val="none" w:sz="0" w:space="0" w:color="auto"/>
        <w:right w:val="none" w:sz="0" w:space="0" w:color="auto"/>
      </w:divBdr>
    </w:div>
    <w:div w:id="1321731342">
      <w:bodyDiv w:val="1"/>
      <w:marLeft w:val="0"/>
      <w:marRight w:val="0"/>
      <w:marTop w:val="0"/>
      <w:marBottom w:val="0"/>
      <w:divBdr>
        <w:top w:val="none" w:sz="0" w:space="0" w:color="auto"/>
        <w:left w:val="none" w:sz="0" w:space="0" w:color="auto"/>
        <w:bottom w:val="none" w:sz="0" w:space="0" w:color="auto"/>
        <w:right w:val="none" w:sz="0" w:space="0" w:color="auto"/>
      </w:divBdr>
    </w:div>
    <w:div w:id="1321885378">
      <w:bodyDiv w:val="1"/>
      <w:marLeft w:val="0"/>
      <w:marRight w:val="0"/>
      <w:marTop w:val="0"/>
      <w:marBottom w:val="0"/>
      <w:divBdr>
        <w:top w:val="none" w:sz="0" w:space="0" w:color="auto"/>
        <w:left w:val="none" w:sz="0" w:space="0" w:color="auto"/>
        <w:bottom w:val="none" w:sz="0" w:space="0" w:color="auto"/>
        <w:right w:val="none" w:sz="0" w:space="0" w:color="auto"/>
      </w:divBdr>
    </w:div>
    <w:div w:id="1321927272">
      <w:bodyDiv w:val="1"/>
      <w:marLeft w:val="0"/>
      <w:marRight w:val="0"/>
      <w:marTop w:val="0"/>
      <w:marBottom w:val="0"/>
      <w:divBdr>
        <w:top w:val="none" w:sz="0" w:space="0" w:color="auto"/>
        <w:left w:val="none" w:sz="0" w:space="0" w:color="auto"/>
        <w:bottom w:val="none" w:sz="0" w:space="0" w:color="auto"/>
        <w:right w:val="none" w:sz="0" w:space="0" w:color="auto"/>
      </w:divBdr>
    </w:div>
    <w:div w:id="1322000206">
      <w:bodyDiv w:val="1"/>
      <w:marLeft w:val="0"/>
      <w:marRight w:val="0"/>
      <w:marTop w:val="0"/>
      <w:marBottom w:val="0"/>
      <w:divBdr>
        <w:top w:val="none" w:sz="0" w:space="0" w:color="auto"/>
        <w:left w:val="none" w:sz="0" w:space="0" w:color="auto"/>
        <w:bottom w:val="none" w:sz="0" w:space="0" w:color="auto"/>
        <w:right w:val="none" w:sz="0" w:space="0" w:color="auto"/>
      </w:divBdr>
    </w:div>
    <w:div w:id="1322152529">
      <w:bodyDiv w:val="1"/>
      <w:marLeft w:val="0"/>
      <w:marRight w:val="0"/>
      <w:marTop w:val="0"/>
      <w:marBottom w:val="0"/>
      <w:divBdr>
        <w:top w:val="none" w:sz="0" w:space="0" w:color="auto"/>
        <w:left w:val="none" w:sz="0" w:space="0" w:color="auto"/>
        <w:bottom w:val="none" w:sz="0" w:space="0" w:color="auto"/>
        <w:right w:val="none" w:sz="0" w:space="0" w:color="auto"/>
      </w:divBdr>
    </w:div>
    <w:div w:id="1322461919">
      <w:bodyDiv w:val="1"/>
      <w:marLeft w:val="0"/>
      <w:marRight w:val="0"/>
      <w:marTop w:val="0"/>
      <w:marBottom w:val="0"/>
      <w:divBdr>
        <w:top w:val="none" w:sz="0" w:space="0" w:color="auto"/>
        <w:left w:val="none" w:sz="0" w:space="0" w:color="auto"/>
        <w:bottom w:val="none" w:sz="0" w:space="0" w:color="auto"/>
        <w:right w:val="none" w:sz="0" w:space="0" w:color="auto"/>
      </w:divBdr>
    </w:div>
    <w:div w:id="1322779795">
      <w:bodyDiv w:val="1"/>
      <w:marLeft w:val="0"/>
      <w:marRight w:val="0"/>
      <w:marTop w:val="0"/>
      <w:marBottom w:val="0"/>
      <w:divBdr>
        <w:top w:val="none" w:sz="0" w:space="0" w:color="auto"/>
        <w:left w:val="none" w:sz="0" w:space="0" w:color="auto"/>
        <w:bottom w:val="none" w:sz="0" w:space="0" w:color="auto"/>
        <w:right w:val="none" w:sz="0" w:space="0" w:color="auto"/>
      </w:divBdr>
    </w:div>
    <w:div w:id="1322810667">
      <w:bodyDiv w:val="1"/>
      <w:marLeft w:val="0"/>
      <w:marRight w:val="0"/>
      <w:marTop w:val="0"/>
      <w:marBottom w:val="0"/>
      <w:divBdr>
        <w:top w:val="none" w:sz="0" w:space="0" w:color="auto"/>
        <w:left w:val="none" w:sz="0" w:space="0" w:color="auto"/>
        <w:bottom w:val="none" w:sz="0" w:space="0" w:color="auto"/>
        <w:right w:val="none" w:sz="0" w:space="0" w:color="auto"/>
      </w:divBdr>
    </w:div>
    <w:div w:id="1323270004">
      <w:bodyDiv w:val="1"/>
      <w:marLeft w:val="0"/>
      <w:marRight w:val="0"/>
      <w:marTop w:val="0"/>
      <w:marBottom w:val="0"/>
      <w:divBdr>
        <w:top w:val="none" w:sz="0" w:space="0" w:color="auto"/>
        <w:left w:val="none" w:sz="0" w:space="0" w:color="auto"/>
        <w:bottom w:val="none" w:sz="0" w:space="0" w:color="auto"/>
        <w:right w:val="none" w:sz="0" w:space="0" w:color="auto"/>
      </w:divBdr>
    </w:div>
    <w:div w:id="1323583646">
      <w:bodyDiv w:val="1"/>
      <w:marLeft w:val="0"/>
      <w:marRight w:val="0"/>
      <w:marTop w:val="0"/>
      <w:marBottom w:val="0"/>
      <w:divBdr>
        <w:top w:val="none" w:sz="0" w:space="0" w:color="auto"/>
        <w:left w:val="none" w:sz="0" w:space="0" w:color="auto"/>
        <w:bottom w:val="none" w:sz="0" w:space="0" w:color="auto"/>
        <w:right w:val="none" w:sz="0" w:space="0" w:color="auto"/>
      </w:divBdr>
    </w:div>
    <w:div w:id="1323587137">
      <w:bodyDiv w:val="1"/>
      <w:marLeft w:val="0"/>
      <w:marRight w:val="0"/>
      <w:marTop w:val="0"/>
      <w:marBottom w:val="0"/>
      <w:divBdr>
        <w:top w:val="none" w:sz="0" w:space="0" w:color="auto"/>
        <w:left w:val="none" w:sz="0" w:space="0" w:color="auto"/>
        <w:bottom w:val="none" w:sz="0" w:space="0" w:color="auto"/>
        <w:right w:val="none" w:sz="0" w:space="0" w:color="auto"/>
      </w:divBdr>
    </w:div>
    <w:div w:id="1323854131">
      <w:bodyDiv w:val="1"/>
      <w:marLeft w:val="0"/>
      <w:marRight w:val="0"/>
      <w:marTop w:val="0"/>
      <w:marBottom w:val="0"/>
      <w:divBdr>
        <w:top w:val="none" w:sz="0" w:space="0" w:color="auto"/>
        <w:left w:val="none" w:sz="0" w:space="0" w:color="auto"/>
        <w:bottom w:val="none" w:sz="0" w:space="0" w:color="auto"/>
        <w:right w:val="none" w:sz="0" w:space="0" w:color="auto"/>
      </w:divBdr>
    </w:div>
    <w:div w:id="1324162244">
      <w:bodyDiv w:val="1"/>
      <w:marLeft w:val="0"/>
      <w:marRight w:val="0"/>
      <w:marTop w:val="0"/>
      <w:marBottom w:val="0"/>
      <w:divBdr>
        <w:top w:val="none" w:sz="0" w:space="0" w:color="auto"/>
        <w:left w:val="none" w:sz="0" w:space="0" w:color="auto"/>
        <w:bottom w:val="none" w:sz="0" w:space="0" w:color="auto"/>
        <w:right w:val="none" w:sz="0" w:space="0" w:color="auto"/>
      </w:divBdr>
    </w:div>
    <w:div w:id="1324166977">
      <w:bodyDiv w:val="1"/>
      <w:marLeft w:val="0"/>
      <w:marRight w:val="0"/>
      <w:marTop w:val="0"/>
      <w:marBottom w:val="0"/>
      <w:divBdr>
        <w:top w:val="none" w:sz="0" w:space="0" w:color="auto"/>
        <w:left w:val="none" w:sz="0" w:space="0" w:color="auto"/>
        <w:bottom w:val="none" w:sz="0" w:space="0" w:color="auto"/>
        <w:right w:val="none" w:sz="0" w:space="0" w:color="auto"/>
      </w:divBdr>
    </w:div>
    <w:div w:id="1324318313">
      <w:bodyDiv w:val="1"/>
      <w:marLeft w:val="0"/>
      <w:marRight w:val="0"/>
      <w:marTop w:val="0"/>
      <w:marBottom w:val="0"/>
      <w:divBdr>
        <w:top w:val="none" w:sz="0" w:space="0" w:color="auto"/>
        <w:left w:val="none" w:sz="0" w:space="0" w:color="auto"/>
        <w:bottom w:val="none" w:sz="0" w:space="0" w:color="auto"/>
        <w:right w:val="none" w:sz="0" w:space="0" w:color="auto"/>
      </w:divBdr>
    </w:div>
    <w:div w:id="1324356189">
      <w:bodyDiv w:val="1"/>
      <w:marLeft w:val="0"/>
      <w:marRight w:val="0"/>
      <w:marTop w:val="0"/>
      <w:marBottom w:val="0"/>
      <w:divBdr>
        <w:top w:val="none" w:sz="0" w:space="0" w:color="auto"/>
        <w:left w:val="none" w:sz="0" w:space="0" w:color="auto"/>
        <w:bottom w:val="none" w:sz="0" w:space="0" w:color="auto"/>
        <w:right w:val="none" w:sz="0" w:space="0" w:color="auto"/>
      </w:divBdr>
    </w:div>
    <w:div w:id="1324434080">
      <w:bodyDiv w:val="1"/>
      <w:marLeft w:val="0"/>
      <w:marRight w:val="0"/>
      <w:marTop w:val="0"/>
      <w:marBottom w:val="0"/>
      <w:divBdr>
        <w:top w:val="none" w:sz="0" w:space="0" w:color="auto"/>
        <w:left w:val="none" w:sz="0" w:space="0" w:color="auto"/>
        <w:bottom w:val="none" w:sz="0" w:space="0" w:color="auto"/>
        <w:right w:val="none" w:sz="0" w:space="0" w:color="auto"/>
      </w:divBdr>
    </w:div>
    <w:div w:id="1324580500">
      <w:bodyDiv w:val="1"/>
      <w:marLeft w:val="0"/>
      <w:marRight w:val="0"/>
      <w:marTop w:val="0"/>
      <w:marBottom w:val="0"/>
      <w:divBdr>
        <w:top w:val="none" w:sz="0" w:space="0" w:color="auto"/>
        <w:left w:val="none" w:sz="0" w:space="0" w:color="auto"/>
        <w:bottom w:val="none" w:sz="0" w:space="0" w:color="auto"/>
        <w:right w:val="none" w:sz="0" w:space="0" w:color="auto"/>
      </w:divBdr>
    </w:div>
    <w:div w:id="1325015564">
      <w:bodyDiv w:val="1"/>
      <w:marLeft w:val="0"/>
      <w:marRight w:val="0"/>
      <w:marTop w:val="0"/>
      <w:marBottom w:val="0"/>
      <w:divBdr>
        <w:top w:val="none" w:sz="0" w:space="0" w:color="auto"/>
        <w:left w:val="none" w:sz="0" w:space="0" w:color="auto"/>
        <w:bottom w:val="none" w:sz="0" w:space="0" w:color="auto"/>
        <w:right w:val="none" w:sz="0" w:space="0" w:color="auto"/>
      </w:divBdr>
    </w:div>
    <w:div w:id="1325281056">
      <w:bodyDiv w:val="1"/>
      <w:marLeft w:val="0"/>
      <w:marRight w:val="0"/>
      <w:marTop w:val="0"/>
      <w:marBottom w:val="0"/>
      <w:divBdr>
        <w:top w:val="none" w:sz="0" w:space="0" w:color="auto"/>
        <w:left w:val="none" w:sz="0" w:space="0" w:color="auto"/>
        <w:bottom w:val="none" w:sz="0" w:space="0" w:color="auto"/>
        <w:right w:val="none" w:sz="0" w:space="0" w:color="auto"/>
      </w:divBdr>
    </w:div>
    <w:div w:id="1325360451">
      <w:bodyDiv w:val="1"/>
      <w:marLeft w:val="0"/>
      <w:marRight w:val="0"/>
      <w:marTop w:val="0"/>
      <w:marBottom w:val="0"/>
      <w:divBdr>
        <w:top w:val="none" w:sz="0" w:space="0" w:color="auto"/>
        <w:left w:val="none" w:sz="0" w:space="0" w:color="auto"/>
        <w:bottom w:val="none" w:sz="0" w:space="0" w:color="auto"/>
        <w:right w:val="none" w:sz="0" w:space="0" w:color="auto"/>
      </w:divBdr>
    </w:div>
    <w:div w:id="1325620173">
      <w:bodyDiv w:val="1"/>
      <w:marLeft w:val="0"/>
      <w:marRight w:val="0"/>
      <w:marTop w:val="0"/>
      <w:marBottom w:val="0"/>
      <w:divBdr>
        <w:top w:val="none" w:sz="0" w:space="0" w:color="auto"/>
        <w:left w:val="none" w:sz="0" w:space="0" w:color="auto"/>
        <w:bottom w:val="none" w:sz="0" w:space="0" w:color="auto"/>
        <w:right w:val="none" w:sz="0" w:space="0" w:color="auto"/>
      </w:divBdr>
    </w:div>
    <w:div w:id="1325666626">
      <w:bodyDiv w:val="1"/>
      <w:marLeft w:val="0"/>
      <w:marRight w:val="0"/>
      <w:marTop w:val="0"/>
      <w:marBottom w:val="0"/>
      <w:divBdr>
        <w:top w:val="none" w:sz="0" w:space="0" w:color="auto"/>
        <w:left w:val="none" w:sz="0" w:space="0" w:color="auto"/>
        <w:bottom w:val="none" w:sz="0" w:space="0" w:color="auto"/>
        <w:right w:val="none" w:sz="0" w:space="0" w:color="auto"/>
      </w:divBdr>
    </w:div>
    <w:div w:id="1325863248">
      <w:bodyDiv w:val="1"/>
      <w:marLeft w:val="0"/>
      <w:marRight w:val="0"/>
      <w:marTop w:val="0"/>
      <w:marBottom w:val="0"/>
      <w:divBdr>
        <w:top w:val="none" w:sz="0" w:space="0" w:color="auto"/>
        <w:left w:val="none" w:sz="0" w:space="0" w:color="auto"/>
        <w:bottom w:val="none" w:sz="0" w:space="0" w:color="auto"/>
        <w:right w:val="none" w:sz="0" w:space="0" w:color="auto"/>
      </w:divBdr>
    </w:div>
    <w:div w:id="1326008272">
      <w:bodyDiv w:val="1"/>
      <w:marLeft w:val="0"/>
      <w:marRight w:val="0"/>
      <w:marTop w:val="0"/>
      <w:marBottom w:val="0"/>
      <w:divBdr>
        <w:top w:val="none" w:sz="0" w:space="0" w:color="auto"/>
        <w:left w:val="none" w:sz="0" w:space="0" w:color="auto"/>
        <w:bottom w:val="none" w:sz="0" w:space="0" w:color="auto"/>
        <w:right w:val="none" w:sz="0" w:space="0" w:color="auto"/>
      </w:divBdr>
    </w:div>
    <w:div w:id="1326126325">
      <w:bodyDiv w:val="1"/>
      <w:marLeft w:val="0"/>
      <w:marRight w:val="0"/>
      <w:marTop w:val="0"/>
      <w:marBottom w:val="0"/>
      <w:divBdr>
        <w:top w:val="none" w:sz="0" w:space="0" w:color="auto"/>
        <w:left w:val="none" w:sz="0" w:space="0" w:color="auto"/>
        <w:bottom w:val="none" w:sz="0" w:space="0" w:color="auto"/>
        <w:right w:val="none" w:sz="0" w:space="0" w:color="auto"/>
      </w:divBdr>
    </w:div>
    <w:div w:id="1326282647">
      <w:bodyDiv w:val="1"/>
      <w:marLeft w:val="0"/>
      <w:marRight w:val="0"/>
      <w:marTop w:val="0"/>
      <w:marBottom w:val="0"/>
      <w:divBdr>
        <w:top w:val="none" w:sz="0" w:space="0" w:color="auto"/>
        <w:left w:val="none" w:sz="0" w:space="0" w:color="auto"/>
        <w:bottom w:val="none" w:sz="0" w:space="0" w:color="auto"/>
        <w:right w:val="none" w:sz="0" w:space="0" w:color="auto"/>
      </w:divBdr>
    </w:div>
    <w:div w:id="1326320814">
      <w:bodyDiv w:val="1"/>
      <w:marLeft w:val="0"/>
      <w:marRight w:val="0"/>
      <w:marTop w:val="0"/>
      <w:marBottom w:val="0"/>
      <w:divBdr>
        <w:top w:val="none" w:sz="0" w:space="0" w:color="auto"/>
        <w:left w:val="none" w:sz="0" w:space="0" w:color="auto"/>
        <w:bottom w:val="none" w:sz="0" w:space="0" w:color="auto"/>
        <w:right w:val="none" w:sz="0" w:space="0" w:color="auto"/>
      </w:divBdr>
    </w:div>
    <w:div w:id="1326350146">
      <w:bodyDiv w:val="1"/>
      <w:marLeft w:val="0"/>
      <w:marRight w:val="0"/>
      <w:marTop w:val="0"/>
      <w:marBottom w:val="0"/>
      <w:divBdr>
        <w:top w:val="none" w:sz="0" w:space="0" w:color="auto"/>
        <w:left w:val="none" w:sz="0" w:space="0" w:color="auto"/>
        <w:bottom w:val="none" w:sz="0" w:space="0" w:color="auto"/>
        <w:right w:val="none" w:sz="0" w:space="0" w:color="auto"/>
      </w:divBdr>
    </w:div>
    <w:div w:id="1326394892">
      <w:bodyDiv w:val="1"/>
      <w:marLeft w:val="0"/>
      <w:marRight w:val="0"/>
      <w:marTop w:val="0"/>
      <w:marBottom w:val="0"/>
      <w:divBdr>
        <w:top w:val="none" w:sz="0" w:space="0" w:color="auto"/>
        <w:left w:val="none" w:sz="0" w:space="0" w:color="auto"/>
        <w:bottom w:val="none" w:sz="0" w:space="0" w:color="auto"/>
        <w:right w:val="none" w:sz="0" w:space="0" w:color="auto"/>
      </w:divBdr>
    </w:div>
    <w:div w:id="1326666099">
      <w:bodyDiv w:val="1"/>
      <w:marLeft w:val="0"/>
      <w:marRight w:val="0"/>
      <w:marTop w:val="0"/>
      <w:marBottom w:val="0"/>
      <w:divBdr>
        <w:top w:val="none" w:sz="0" w:space="0" w:color="auto"/>
        <w:left w:val="none" w:sz="0" w:space="0" w:color="auto"/>
        <w:bottom w:val="none" w:sz="0" w:space="0" w:color="auto"/>
        <w:right w:val="none" w:sz="0" w:space="0" w:color="auto"/>
      </w:divBdr>
    </w:div>
    <w:div w:id="1327397467">
      <w:bodyDiv w:val="1"/>
      <w:marLeft w:val="0"/>
      <w:marRight w:val="0"/>
      <w:marTop w:val="0"/>
      <w:marBottom w:val="0"/>
      <w:divBdr>
        <w:top w:val="none" w:sz="0" w:space="0" w:color="auto"/>
        <w:left w:val="none" w:sz="0" w:space="0" w:color="auto"/>
        <w:bottom w:val="none" w:sz="0" w:space="0" w:color="auto"/>
        <w:right w:val="none" w:sz="0" w:space="0" w:color="auto"/>
      </w:divBdr>
    </w:div>
    <w:div w:id="1327443102">
      <w:bodyDiv w:val="1"/>
      <w:marLeft w:val="0"/>
      <w:marRight w:val="0"/>
      <w:marTop w:val="0"/>
      <w:marBottom w:val="0"/>
      <w:divBdr>
        <w:top w:val="none" w:sz="0" w:space="0" w:color="auto"/>
        <w:left w:val="none" w:sz="0" w:space="0" w:color="auto"/>
        <w:bottom w:val="none" w:sz="0" w:space="0" w:color="auto"/>
        <w:right w:val="none" w:sz="0" w:space="0" w:color="auto"/>
      </w:divBdr>
    </w:div>
    <w:div w:id="1327589810">
      <w:bodyDiv w:val="1"/>
      <w:marLeft w:val="0"/>
      <w:marRight w:val="0"/>
      <w:marTop w:val="0"/>
      <w:marBottom w:val="0"/>
      <w:divBdr>
        <w:top w:val="none" w:sz="0" w:space="0" w:color="auto"/>
        <w:left w:val="none" w:sz="0" w:space="0" w:color="auto"/>
        <w:bottom w:val="none" w:sz="0" w:space="0" w:color="auto"/>
        <w:right w:val="none" w:sz="0" w:space="0" w:color="auto"/>
      </w:divBdr>
    </w:div>
    <w:div w:id="1327633931">
      <w:bodyDiv w:val="1"/>
      <w:marLeft w:val="0"/>
      <w:marRight w:val="0"/>
      <w:marTop w:val="0"/>
      <w:marBottom w:val="0"/>
      <w:divBdr>
        <w:top w:val="none" w:sz="0" w:space="0" w:color="auto"/>
        <w:left w:val="none" w:sz="0" w:space="0" w:color="auto"/>
        <w:bottom w:val="none" w:sz="0" w:space="0" w:color="auto"/>
        <w:right w:val="none" w:sz="0" w:space="0" w:color="auto"/>
      </w:divBdr>
    </w:div>
    <w:div w:id="1328023954">
      <w:bodyDiv w:val="1"/>
      <w:marLeft w:val="0"/>
      <w:marRight w:val="0"/>
      <w:marTop w:val="0"/>
      <w:marBottom w:val="0"/>
      <w:divBdr>
        <w:top w:val="none" w:sz="0" w:space="0" w:color="auto"/>
        <w:left w:val="none" w:sz="0" w:space="0" w:color="auto"/>
        <w:bottom w:val="none" w:sz="0" w:space="0" w:color="auto"/>
        <w:right w:val="none" w:sz="0" w:space="0" w:color="auto"/>
      </w:divBdr>
    </w:div>
    <w:div w:id="1328092064">
      <w:bodyDiv w:val="1"/>
      <w:marLeft w:val="0"/>
      <w:marRight w:val="0"/>
      <w:marTop w:val="0"/>
      <w:marBottom w:val="0"/>
      <w:divBdr>
        <w:top w:val="none" w:sz="0" w:space="0" w:color="auto"/>
        <w:left w:val="none" w:sz="0" w:space="0" w:color="auto"/>
        <w:bottom w:val="none" w:sz="0" w:space="0" w:color="auto"/>
        <w:right w:val="none" w:sz="0" w:space="0" w:color="auto"/>
      </w:divBdr>
    </w:div>
    <w:div w:id="1328705530">
      <w:bodyDiv w:val="1"/>
      <w:marLeft w:val="0"/>
      <w:marRight w:val="0"/>
      <w:marTop w:val="0"/>
      <w:marBottom w:val="0"/>
      <w:divBdr>
        <w:top w:val="none" w:sz="0" w:space="0" w:color="auto"/>
        <w:left w:val="none" w:sz="0" w:space="0" w:color="auto"/>
        <w:bottom w:val="none" w:sz="0" w:space="0" w:color="auto"/>
        <w:right w:val="none" w:sz="0" w:space="0" w:color="auto"/>
      </w:divBdr>
    </w:div>
    <w:div w:id="1328946662">
      <w:bodyDiv w:val="1"/>
      <w:marLeft w:val="0"/>
      <w:marRight w:val="0"/>
      <w:marTop w:val="0"/>
      <w:marBottom w:val="0"/>
      <w:divBdr>
        <w:top w:val="none" w:sz="0" w:space="0" w:color="auto"/>
        <w:left w:val="none" w:sz="0" w:space="0" w:color="auto"/>
        <w:bottom w:val="none" w:sz="0" w:space="0" w:color="auto"/>
        <w:right w:val="none" w:sz="0" w:space="0" w:color="auto"/>
      </w:divBdr>
    </w:div>
    <w:div w:id="1329137442">
      <w:bodyDiv w:val="1"/>
      <w:marLeft w:val="0"/>
      <w:marRight w:val="0"/>
      <w:marTop w:val="0"/>
      <w:marBottom w:val="0"/>
      <w:divBdr>
        <w:top w:val="none" w:sz="0" w:space="0" w:color="auto"/>
        <w:left w:val="none" w:sz="0" w:space="0" w:color="auto"/>
        <w:bottom w:val="none" w:sz="0" w:space="0" w:color="auto"/>
        <w:right w:val="none" w:sz="0" w:space="0" w:color="auto"/>
      </w:divBdr>
    </w:div>
    <w:div w:id="1329403579">
      <w:bodyDiv w:val="1"/>
      <w:marLeft w:val="0"/>
      <w:marRight w:val="0"/>
      <w:marTop w:val="0"/>
      <w:marBottom w:val="0"/>
      <w:divBdr>
        <w:top w:val="none" w:sz="0" w:space="0" w:color="auto"/>
        <w:left w:val="none" w:sz="0" w:space="0" w:color="auto"/>
        <w:bottom w:val="none" w:sz="0" w:space="0" w:color="auto"/>
        <w:right w:val="none" w:sz="0" w:space="0" w:color="auto"/>
      </w:divBdr>
    </w:div>
    <w:div w:id="1329865741">
      <w:bodyDiv w:val="1"/>
      <w:marLeft w:val="0"/>
      <w:marRight w:val="0"/>
      <w:marTop w:val="0"/>
      <w:marBottom w:val="0"/>
      <w:divBdr>
        <w:top w:val="none" w:sz="0" w:space="0" w:color="auto"/>
        <w:left w:val="none" w:sz="0" w:space="0" w:color="auto"/>
        <w:bottom w:val="none" w:sz="0" w:space="0" w:color="auto"/>
        <w:right w:val="none" w:sz="0" w:space="0" w:color="auto"/>
      </w:divBdr>
    </w:div>
    <w:div w:id="1329944351">
      <w:bodyDiv w:val="1"/>
      <w:marLeft w:val="0"/>
      <w:marRight w:val="0"/>
      <w:marTop w:val="0"/>
      <w:marBottom w:val="0"/>
      <w:divBdr>
        <w:top w:val="none" w:sz="0" w:space="0" w:color="auto"/>
        <w:left w:val="none" w:sz="0" w:space="0" w:color="auto"/>
        <w:bottom w:val="none" w:sz="0" w:space="0" w:color="auto"/>
        <w:right w:val="none" w:sz="0" w:space="0" w:color="auto"/>
      </w:divBdr>
    </w:div>
    <w:div w:id="1329945369">
      <w:bodyDiv w:val="1"/>
      <w:marLeft w:val="0"/>
      <w:marRight w:val="0"/>
      <w:marTop w:val="0"/>
      <w:marBottom w:val="0"/>
      <w:divBdr>
        <w:top w:val="none" w:sz="0" w:space="0" w:color="auto"/>
        <w:left w:val="none" w:sz="0" w:space="0" w:color="auto"/>
        <w:bottom w:val="none" w:sz="0" w:space="0" w:color="auto"/>
        <w:right w:val="none" w:sz="0" w:space="0" w:color="auto"/>
      </w:divBdr>
    </w:div>
    <w:div w:id="1330056882">
      <w:bodyDiv w:val="1"/>
      <w:marLeft w:val="0"/>
      <w:marRight w:val="0"/>
      <w:marTop w:val="0"/>
      <w:marBottom w:val="0"/>
      <w:divBdr>
        <w:top w:val="none" w:sz="0" w:space="0" w:color="auto"/>
        <w:left w:val="none" w:sz="0" w:space="0" w:color="auto"/>
        <w:bottom w:val="none" w:sz="0" w:space="0" w:color="auto"/>
        <w:right w:val="none" w:sz="0" w:space="0" w:color="auto"/>
      </w:divBdr>
    </w:div>
    <w:div w:id="1330208014">
      <w:bodyDiv w:val="1"/>
      <w:marLeft w:val="0"/>
      <w:marRight w:val="0"/>
      <w:marTop w:val="0"/>
      <w:marBottom w:val="0"/>
      <w:divBdr>
        <w:top w:val="none" w:sz="0" w:space="0" w:color="auto"/>
        <w:left w:val="none" w:sz="0" w:space="0" w:color="auto"/>
        <w:bottom w:val="none" w:sz="0" w:space="0" w:color="auto"/>
        <w:right w:val="none" w:sz="0" w:space="0" w:color="auto"/>
      </w:divBdr>
    </w:div>
    <w:div w:id="1330405646">
      <w:bodyDiv w:val="1"/>
      <w:marLeft w:val="0"/>
      <w:marRight w:val="0"/>
      <w:marTop w:val="0"/>
      <w:marBottom w:val="0"/>
      <w:divBdr>
        <w:top w:val="none" w:sz="0" w:space="0" w:color="auto"/>
        <w:left w:val="none" w:sz="0" w:space="0" w:color="auto"/>
        <w:bottom w:val="none" w:sz="0" w:space="0" w:color="auto"/>
        <w:right w:val="none" w:sz="0" w:space="0" w:color="auto"/>
      </w:divBdr>
    </w:div>
    <w:div w:id="1330408291">
      <w:bodyDiv w:val="1"/>
      <w:marLeft w:val="0"/>
      <w:marRight w:val="0"/>
      <w:marTop w:val="0"/>
      <w:marBottom w:val="0"/>
      <w:divBdr>
        <w:top w:val="none" w:sz="0" w:space="0" w:color="auto"/>
        <w:left w:val="none" w:sz="0" w:space="0" w:color="auto"/>
        <w:bottom w:val="none" w:sz="0" w:space="0" w:color="auto"/>
        <w:right w:val="none" w:sz="0" w:space="0" w:color="auto"/>
      </w:divBdr>
    </w:div>
    <w:div w:id="1330526641">
      <w:bodyDiv w:val="1"/>
      <w:marLeft w:val="0"/>
      <w:marRight w:val="0"/>
      <w:marTop w:val="0"/>
      <w:marBottom w:val="0"/>
      <w:divBdr>
        <w:top w:val="none" w:sz="0" w:space="0" w:color="auto"/>
        <w:left w:val="none" w:sz="0" w:space="0" w:color="auto"/>
        <w:bottom w:val="none" w:sz="0" w:space="0" w:color="auto"/>
        <w:right w:val="none" w:sz="0" w:space="0" w:color="auto"/>
      </w:divBdr>
    </w:div>
    <w:div w:id="1331253075">
      <w:bodyDiv w:val="1"/>
      <w:marLeft w:val="0"/>
      <w:marRight w:val="0"/>
      <w:marTop w:val="0"/>
      <w:marBottom w:val="0"/>
      <w:divBdr>
        <w:top w:val="none" w:sz="0" w:space="0" w:color="auto"/>
        <w:left w:val="none" w:sz="0" w:space="0" w:color="auto"/>
        <w:bottom w:val="none" w:sz="0" w:space="0" w:color="auto"/>
        <w:right w:val="none" w:sz="0" w:space="0" w:color="auto"/>
      </w:divBdr>
    </w:div>
    <w:div w:id="1331758865">
      <w:bodyDiv w:val="1"/>
      <w:marLeft w:val="0"/>
      <w:marRight w:val="0"/>
      <w:marTop w:val="0"/>
      <w:marBottom w:val="0"/>
      <w:divBdr>
        <w:top w:val="none" w:sz="0" w:space="0" w:color="auto"/>
        <w:left w:val="none" w:sz="0" w:space="0" w:color="auto"/>
        <w:bottom w:val="none" w:sz="0" w:space="0" w:color="auto"/>
        <w:right w:val="none" w:sz="0" w:space="0" w:color="auto"/>
      </w:divBdr>
    </w:div>
    <w:div w:id="1331906399">
      <w:bodyDiv w:val="1"/>
      <w:marLeft w:val="0"/>
      <w:marRight w:val="0"/>
      <w:marTop w:val="0"/>
      <w:marBottom w:val="0"/>
      <w:divBdr>
        <w:top w:val="none" w:sz="0" w:space="0" w:color="auto"/>
        <w:left w:val="none" w:sz="0" w:space="0" w:color="auto"/>
        <w:bottom w:val="none" w:sz="0" w:space="0" w:color="auto"/>
        <w:right w:val="none" w:sz="0" w:space="0" w:color="auto"/>
      </w:divBdr>
    </w:div>
    <w:div w:id="1331981803">
      <w:bodyDiv w:val="1"/>
      <w:marLeft w:val="0"/>
      <w:marRight w:val="0"/>
      <w:marTop w:val="0"/>
      <w:marBottom w:val="0"/>
      <w:divBdr>
        <w:top w:val="none" w:sz="0" w:space="0" w:color="auto"/>
        <w:left w:val="none" w:sz="0" w:space="0" w:color="auto"/>
        <w:bottom w:val="none" w:sz="0" w:space="0" w:color="auto"/>
        <w:right w:val="none" w:sz="0" w:space="0" w:color="auto"/>
      </w:divBdr>
    </w:div>
    <w:div w:id="1332028471">
      <w:bodyDiv w:val="1"/>
      <w:marLeft w:val="0"/>
      <w:marRight w:val="0"/>
      <w:marTop w:val="0"/>
      <w:marBottom w:val="0"/>
      <w:divBdr>
        <w:top w:val="none" w:sz="0" w:space="0" w:color="auto"/>
        <w:left w:val="none" w:sz="0" w:space="0" w:color="auto"/>
        <w:bottom w:val="none" w:sz="0" w:space="0" w:color="auto"/>
        <w:right w:val="none" w:sz="0" w:space="0" w:color="auto"/>
      </w:divBdr>
    </w:div>
    <w:div w:id="1332220189">
      <w:bodyDiv w:val="1"/>
      <w:marLeft w:val="0"/>
      <w:marRight w:val="0"/>
      <w:marTop w:val="0"/>
      <w:marBottom w:val="0"/>
      <w:divBdr>
        <w:top w:val="none" w:sz="0" w:space="0" w:color="auto"/>
        <w:left w:val="none" w:sz="0" w:space="0" w:color="auto"/>
        <w:bottom w:val="none" w:sz="0" w:space="0" w:color="auto"/>
        <w:right w:val="none" w:sz="0" w:space="0" w:color="auto"/>
      </w:divBdr>
    </w:div>
    <w:div w:id="1332291023">
      <w:bodyDiv w:val="1"/>
      <w:marLeft w:val="0"/>
      <w:marRight w:val="0"/>
      <w:marTop w:val="0"/>
      <w:marBottom w:val="0"/>
      <w:divBdr>
        <w:top w:val="none" w:sz="0" w:space="0" w:color="auto"/>
        <w:left w:val="none" w:sz="0" w:space="0" w:color="auto"/>
        <w:bottom w:val="none" w:sz="0" w:space="0" w:color="auto"/>
        <w:right w:val="none" w:sz="0" w:space="0" w:color="auto"/>
      </w:divBdr>
    </w:div>
    <w:div w:id="1332368058">
      <w:bodyDiv w:val="1"/>
      <w:marLeft w:val="0"/>
      <w:marRight w:val="0"/>
      <w:marTop w:val="0"/>
      <w:marBottom w:val="0"/>
      <w:divBdr>
        <w:top w:val="none" w:sz="0" w:space="0" w:color="auto"/>
        <w:left w:val="none" w:sz="0" w:space="0" w:color="auto"/>
        <w:bottom w:val="none" w:sz="0" w:space="0" w:color="auto"/>
        <w:right w:val="none" w:sz="0" w:space="0" w:color="auto"/>
      </w:divBdr>
    </w:div>
    <w:div w:id="1332445165">
      <w:bodyDiv w:val="1"/>
      <w:marLeft w:val="0"/>
      <w:marRight w:val="0"/>
      <w:marTop w:val="0"/>
      <w:marBottom w:val="0"/>
      <w:divBdr>
        <w:top w:val="none" w:sz="0" w:space="0" w:color="auto"/>
        <w:left w:val="none" w:sz="0" w:space="0" w:color="auto"/>
        <w:bottom w:val="none" w:sz="0" w:space="0" w:color="auto"/>
        <w:right w:val="none" w:sz="0" w:space="0" w:color="auto"/>
      </w:divBdr>
    </w:div>
    <w:div w:id="1332639204">
      <w:bodyDiv w:val="1"/>
      <w:marLeft w:val="0"/>
      <w:marRight w:val="0"/>
      <w:marTop w:val="0"/>
      <w:marBottom w:val="0"/>
      <w:divBdr>
        <w:top w:val="none" w:sz="0" w:space="0" w:color="auto"/>
        <w:left w:val="none" w:sz="0" w:space="0" w:color="auto"/>
        <w:bottom w:val="none" w:sz="0" w:space="0" w:color="auto"/>
        <w:right w:val="none" w:sz="0" w:space="0" w:color="auto"/>
      </w:divBdr>
    </w:div>
    <w:div w:id="1332954559">
      <w:bodyDiv w:val="1"/>
      <w:marLeft w:val="0"/>
      <w:marRight w:val="0"/>
      <w:marTop w:val="0"/>
      <w:marBottom w:val="0"/>
      <w:divBdr>
        <w:top w:val="none" w:sz="0" w:space="0" w:color="auto"/>
        <w:left w:val="none" w:sz="0" w:space="0" w:color="auto"/>
        <w:bottom w:val="none" w:sz="0" w:space="0" w:color="auto"/>
        <w:right w:val="none" w:sz="0" w:space="0" w:color="auto"/>
      </w:divBdr>
    </w:div>
    <w:div w:id="1333295331">
      <w:bodyDiv w:val="1"/>
      <w:marLeft w:val="0"/>
      <w:marRight w:val="0"/>
      <w:marTop w:val="0"/>
      <w:marBottom w:val="0"/>
      <w:divBdr>
        <w:top w:val="none" w:sz="0" w:space="0" w:color="auto"/>
        <w:left w:val="none" w:sz="0" w:space="0" w:color="auto"/>
        <w:bottom w:val="none" w:sz="0" w:space="0" w:color="auto"/>
        <w:right w:val="none" w:sz="0" w:space="0" w:color="auto"/>
      </w:divBdr>
    </w:div>
    <w:div w:id="1333533334">
      <w:bodyDiv w:val="1"/>
      <w:marLeft w:val="0"/>
      <w:marRight w:val="0"/>
      <w:marTop w:val="0"/>
      <w:marBottom w:val="0"/>
      <w:divBdr>
        <w:top w:val="none" w:sz="0" w:space="0" w:color="auto"/>
        <w:left w:val="none" w:sz="0" w:space="0" w:color="auto"/>
        <w:bottom w:val="none" w:sz="0" w:space="0" w:color="auto"/>
        <w:right w:val="none" w:sz="0" w:space="0" w:color="auto"/>
      </w:divBdr>
    </w:div>
    <w:div w:id="1333559180">
      <w:bodyDiv w:val="1"/>
      <w:marLeft w:val="0"/>
      <w:marRight w:val="0"/>
      <w:marTop w:val="0"/>
      <w:marBottom w:val="0"/>
      <w:divBdr>
        <w:top w:val="none" w:sz="0" w:space="0" w:color="auto"/>
        <w:left w:val="none" w:sz="0" w:space="0" w:color="auto"/>
        <w:bottom w:val="none" w:sz="0" w:space="0" w:color="auto"/>
        <w:right w:val="none" w:sz="0" w:space="0" w:color="auto"/>
      </w:divBdr>
    </w:div>
    <w:div w:id="1333602469">
      <w:bodyDiv w:val="1"/>
      <w:marLeft w:val="0"/>
      <w:marRight w:val="0"/>
      <w:marTop w:val="0"/>
      <w:marBottom w:val="0"/>
      <w:divBdr>
        <w:top w:val="none" w:sz="0" w:space="0" w:color="auto"/>
        <w:left w:val="none" w:sz="0" w:space="0" w:color="auto"/>
        <w:bottom w:val="none" w:sz="0" w:space="0" w:color="auto"/>
        <w:right w:val="none" w:sz="0" w:space="0" w:color="auto"/>
      </w:divBdr>
    </w:div>
    <w:div w:id="1333604025">
      <w:bodyDiv w:val="1"/>
      <w:marLeft w:val="0"/>
      <w:marRight w:val="0"/>
      <w:marTop w:val="0"/>
      <w:marBottom w:val="0"/>
      <w:divBdr>
        <w:top w:val="none" w:sz="0" w:space="0" w:color="auto"/>
        <w:left w:val="none" w:sz="0" w:space="0" w:color="auto"/>
        <w:bottom w:val="none" w:sz="0" w:space="0" w:color="auto"/>
        <w:right w:val="none" w:sz="0" w:space="0" w:color="auto"/>
      </w:divBdr>
    </w:div>
    <w:div w:id="1333945868">
      <w:bodyDiv w:val="1"/>
      <w:marLeft w:val="0"/>
      <w:marRight w:val="0"/>
      <w:marTop w:val="0"/>
      <w:marBottom w:val="0"/>
      <w:divBdr>
        <w:top w:val="none" w:sz="0" w:space="0" w:color="auto"/>
        <w:left w:val="none" w:sz="0" w:space="0" w:color="auto"/>
        <w:bottom w:val="none" w:sz="0" w:space="0" w:color="auto"/>
        <w:right w:val="none" w:sz="0" w:space="0" w:color="auto"/>
      </w:divBdr>
    </w:div>
    <w:div w:id="1334063782">
      <w:bodyDiv w:val="1"/>
      <w:marLeft w:val="0"/>
      <w:marRight w:val="0"/>
      <w:marTop w:val="0"/>
      <w:marBottom w:val="0"/>
      <w:divBdr>
        <w:top w:val="none" w:sz="0" w:space="0" w:color="auto"/>
        <w:left w:val="none" w:sz="0" w:space="0" w:color="auto"/>
        <w:bottom w:val="none" w:sz="0" w:space="0" w:color="auto"/>
        <w:right w:val="none" w:sz="0" w:space="0" w:color="auto"/>
      </w:divBdr>
    </w:div>
    <w:div w:id="1334072218">
      <w:bodyDiv w:val="1"/>
      <w:marLeft w:val="0"/>
      <w:marRight w:val="0"/>
      <w:marTop w:val="0"/>
      <w:marBottom w:val="0"/>
      <w:divBdr>
        <w:top w:val="none" w:sz="0" w:space="0" w:color="auto"/>
        <w:left w:val="none" w:sz="0" w:space="0" w:color="auto"/>
        <w:bottom w:val="none" w:sz="0" w:space="0" w:color="auto"/>
        <w:right w:val="none" w:sz="0" w:space="0" w:color="auto"/>
      </w:divBdr>
    </w:div>
    <w:div w:id="1334380022">
      <w:bodyDiv w:val="1"/>
      <w:marLeft w:val="0"/>
      <w:marRight w:val="0"/>
      <w:marTop w:val="0"/>
      <w:marBottom w:val="0"/>
      <w:divBdr>
        <w:top w:val="none" w:sz="0" w:space="0" w:color="auto"/>
        <w:left w:val="none" w:sz="0" w:space="0" w:color="auto"/>
        <w:bottom w:val="none" w:sz="0" w:space="0" w:color="auto"/>
        <w:right w:val="none" w:sz="0" w:space="0" w:color="auto"/>
      </w:divBdr>
    </w:div>
    <w:div w:id="1334410261">
      <w:bodyDiv w:val="1"/>
      <w:marLeft w:val="0"/>
      <w:marRight w:val="0"/>
      <w:marTop w:val="0"/>
      <w:marBottom w:val="0"/>
      <w:divBdr>
        <w:top w:val="none" w:sz="0" w:space="0" w:color="auto"/>
        <w:left w:val="none" w:sz="0" w:space="0" w:color="auto"/>
        <w:bottom w:val="none" w:sz="0" w:space="0" w:color="auto"/>
        <w:right w:val="none" w:sz="0" w:space="0" w:color="auto"/>
      </w:divBdr>
    </w:div>
    <w:div w:id="1334526368">
      <w:bodyDiv w:val="1"/>
      <w:marLeft w:val="0"/>
      <w:marRight w:val="0"/>
      <w:marTop w:val="0"/>
      <w:marBottom w:val="0"/>
      <w:divBdr>
        <w:top w:val="none" w:sz="0" w:space="0" w:color="auto"/>
        <w:left w:val="none" w:sz="0" w:space="0" w:color="auto"/>
        <w:bottom w:val="none" w:sz="0" w:space="0" w:color="auto"/>
        <w:right w:val="none" w:sz="0" w:space="0" w:color="auto"/>
      </w:divBdr>
    </w:div>
    <w:div w:id="1334527621">
      <w:bodyDiv w:val="1"/>
      <w:marLeft w:val="0"/>
      <w:marRight w:val="0"/>
      <w:marTop w:val="0"/>
      <w:marBottom w:val="0"/>
      <w:divBdr>
        <w:top w:val="none" w:sz="0" w:space="0" w:color="auto"/>
        <w:left w:val="none" w:sz="0" w:space="0" w:color="auto"/>
        <w:bottom w:val="none" w:sz="0" w:space="0" w:color="auto"/>
        <w:right w:val="none" w:sz="0" w:space="0" w:color="auto"/>
      </w:divBdr>
    </w:div>
    <w:div w:id="1334650339">
      <w:bodyDiv w:val="1"/>
      <w:marLeft w:val="0"/>
      <w:marRight w:val="0"/>
      <w:marTop w:val="0"/>
      <w:marBottom w:val="0"/>
      <w:divBdr>
        <w:top w:val="none" w:sz="0" w:space="0" w:color="auto"/>
        <w:left w:val="none" w:sz="0" w:space="0" w:color="auto"/>
        <w:bottom w:val="none" w:sz="0" w:space="0" w:color="auto"/>
        <w:right w:val="none" w:sz="0" w:space="0" w:color="auto"/>
      </w:divBdr>
    </w:div>
    <w:div w:id="1334719638">
      <w:bodyDiv w:val="1"/>
      <w:marLeft w:val="0"/>
      <w:marRight w:val="0"/>
      <w:marTop w:val="0"/>
      <w:marBottom w:val="0"/>
      <w:divBdr>
        <w:top w:val="none" w:sz="0" w:space="0" w:color="auto"/>
        <w:left w:val="none" w:sz="0" w:space="0" w:color="auto"/>
        <w:bottom w:val="none" w:sz="0" w:space="0" w:color="auto"/>
        <w:right w:val="none" w:sz="0" w:space="0" w:color="auto"/>
      </w:divBdr>
    </w:div>
    <w:div w:id="1334721133">
      <w:bodyDiv w:val="1"/>
      <w:marLeft w:val="0"/>
      <w:marRight w:val="0"/>
      <w:marTop w:val="0"/>
      <w:marBottom w:val="0"/>
      <w:divBdr>
        <w:top w:val="none" w:sz="0" w:space="0" w:color="auto"/>
        <w:left w:val="none" w:sz="0" w:space="0" w:color="auto"/>
        <w:bottom w:val="none" w:sz="0" w:space="0" w:color="auto"/>
        <w:right w:val="none" w:sz="0" w:space="0" w:color="auto"/>
      </w:divBdr>
    </w:div>
    <w:div w:id="1334797982">
      <w:bodyDiv w:val="1"/>
      <w:marLeft w:val="0"/>
      <w:marRight w:val="0"/>
      <w:marTop w:val="0"/>
      <w:marBottom w:val="0"/>
      <w:divBdr>
        <w:top w:val="none" w:sz="0" w:space="0" w:color="auto"/>
        <w:left w:val="none" w:sz="0" w:space="0" w:color="auto"/>
        <w:bottom w:val="none" w:sz="0" w:space="0" w:color="auto"/>
        <w:right w:val="none" w:sz="0" w:space="0" w:color="auto"/>
      </w:divBdr>
    </w:div>
    <w:div w:id="1334802025">
      <w:bodyDiv w:val="1"/>
      <w:marLeft w:val="0"/>
      <w:marRight w:val="0"/>
      <w:marTop w:val="0"/>
      <w:marBottom w:val="0"/>
      <w:divBdr>
        <w:top w:val="none" w:sz="0" w:space="0" w:color="auto"/>
        <w:left w:val="none" w:sz="0" w:space="0" w:color="auto"/>
        <w:bottom w:val="none" w:sz="0" w:space="0" w:color="auto"/>
        <w:right w:val="none" w:sz="0" w:space="0" w:color="auto"/>
      </w:divBdr>
    </w:div>
    <w:div w:id="1335108828">
      <w:bodyDiv w:val="1"/>
      <w:marLeft w:val="0"/>
      <w:marRight w:val="0"/>
      <w:marTop w:val="0"/>
      <w:marBottom w:val="0"/>
      <w:divBdr>
        <w:top w:val="none" w:sz="0" w:space="0" w:color="auto"/>
        <w:left w:val="none" w:sz="0" w:space="0" w:color="auto"/>
        <w:bottom w:val="none" w:sz="0" w:space="0" w:color="auto"/>
        <w:right w:val="none" w:sz="0" w:space="0" w:color="auto"/>
      </w:divBdr>
    </w:div>
    <w:div w:id="1335112893">
      <w:bodyDiv w:val="1"/>
      <w:marLeft w:val="0"/>
      <w:marRight w:val="0"/>
      <w:marTop w:val="0"/>
      <w:marBottom w:val="0"/>
      <w:divBdr>
        <w:top w:val="none" w:sz="0" w:space="0" w:color="auto"/>
        <w:left w:val="none" w:sz="0" w:space="0" w:color="auto"/>
        <w:bottom w:val="none" w:sz="0" w:space="0" w:color="auto"/>
        <w:right w:val="none" w:sz="0" w:space="0" w:color="auto"/>
      </w:divBdr>
    </w:div>
    <w:div w:id="1335180195">
      <w:bodyDiv w:val="1"/>
      <w:marLeft w:val="0"/>
      <w:marRight w:val="0"/>
      <w:marTop w:val="0"/>
      <w:marBottom w:val="0"/>
      <w:divBdr>
        <w:top w:val="none" w:sz="0" w:space="0" w:color="auto"/>
        <w:left w:val="none" w:sz="0" w:space="0" w:color="auto"/>
        <w:bottom w:val="none" w:sz="0" w:space="0" w:color="auto"/>
        <w:right w:val="none" w:sz="0" w:space="0" w:color="auto"/>
      </w:divBdr>
    </w:div>
    <w:div w:id="1335263179">
      <w:bodyDiv w:val="1"/>
      <w:marLeft w:val="0"/>
      <w:marRight w:val="0"/>
      <w:marTop w:val="0"/>
      <w:marBottom w:val="0"/>
      <w:divBdr>
        <w:top w:val="none" w:sz="0" w:space="0" w:color="auto"/>
        <w:left w:val="none" w:sz="0" w:space="0" w:color="auto"/>
        <w:bottom w:val="none" w:sz="0" w:space="0" w:color="auto"/>
        <w:right w:val="none" w:sz="0" w:space="0" w:color="auto"/>
      </w:divBdr>
    </w:div>
    <w:div w:id="1335647814">
      <w:bodyDiv w:val="1"/>
      <w:marLeft w:val="0"/>
      <w:marRight w:val="0"/>
      <w:marTop w:val="0"/>
      <w:marBottom w:val="0"/>
      <w:divBdr>
        <w:top w:val="none" w:sz="0" w:space="0" w:color="auto"/>
        <w:left w:val="none" w:sz="0" w:space="0" w:color="auto"/>
        <w:bottom w:val="none" w:sz="0" w:space="0" w:color="auto"/>
        <w:right w:val="none" w:sz="0" w:space="0" w:color="auto"/>
      </w:divBdr>
    </w:div>
    <w:div w:id="1335914174">
      <w:bodyDiv w:val="1"/>
      <w:marLeft w:val="0"/>
      <w:marRight w:val="0"/>
      <w:marTop w:val="0"/>
      <w:marBottom w:val="0"/>
      <w:divBdr>
        <w:top w:val="none" w:sz="0" w:space="0" w:color="auto"/>
        <w:left w:val="none" w:sz="0" w:space="0" w:color="auto"/>
        <w:bottom w:val="none" w:sz="0" w:space="0" w:color="auto"/>
        <w:right w:val="none" w:sz="0" w:space="0" w:color="auto"/>
      </w:divBdr>
    </w:div>
    <w:div w:id="1336033252">
      <w:bodyDiv w:val="1"/>
      <w:marLeft w:val="0"/>
      <w:marRight w:val="0"/>
      <w:marTop w:val="0"/>
      <w:marBottom w:val="0"/>
      <w:divBdr>
        <w:top w:val="none" w:sz="0" w:space="0" w:color="auto"/>
        <w:left w:val="none" w:sz="0" w:space="0" w:color="auto"/>
        <w:bottom w:val="none" w:sz="0" w:space="0" w:color="auto"/>
        <w:right w:val="none" w:sz="0" w:space="0" w:color="auto"/>
      </w:divBdr>
    </w:div>
    <w:div w:id="1336108310">
      <w:bodyDiv w:val="1"/>
      <w:marLeft w:val="0"/>
      <w:marRight w:val="0"/>
      <w:marTop w:val="0"/>
      <w:marBottom w:val="0"/>
      <w:divBdr>
        <w:top w:val="none" w:sz="0" w:space="0" w:color="auto"/>
        <w:left w:val="none" w:sz="0" w:space="0" w:color="auto"/>
        <w:bottom w:val="none" w:sz="0" w:space="0" w:color="auto"/>
        <w:right w:val="none" w:sz="0" w:space="0" w:color="auto"/>
      </w:divBdr>
    </w:div>
    <w:div w:id="1336113245">
      <w:bodyDiv w:val="1"/>
      <w:marLeft w:val="0"/>
      <w:marRight w:val="0"/>
      <w:marTop w:val="0"/>
      <w:marBottom w:val="0"/>
      <w:divBdr>
        <w:top w:val="none" w:sz="0" w:space="0" w:color="auto"/>
        <w:left w:val="none" w:sz="0" w:space="0" w:color="auto"/>
        <w:bottom w:val="none" w:sz="0" w:space="0" w:color="auto"/>
        <w:right w:val="none" w:sz="0" w:space="0" w:color="auto"/>
      </w:divBdr>
    </w:div>
    <w:div w:id="1336421920">
      <w:bodyDiv w:val="1"/>
      <w:marLeft w:val="0"/>
      <w:marRight w:val="0"/>
      <w:marTop w:val="0"/>
      <w:marBottom w:val="0"/>
      <w:divBdr>
        <w:top w:val="none" w:sz="0" w:space="0" w:color="auto"/>
        <w:left w:val="none" w:sz="0" w:space="0" w:color="auto"/>
        <w:bottom w:val="none" w:sz="0" w:space="0" w:color="auto"/>
        <w:right w:val="none" w:sz="0" w:space="0" w:color="auto"/>
      </w:divBdr>
    </w:div>
    <w:div w:id="1336570376">
      <w:bodyDiv w:val="1"/>
      <w:marLeft w:val="0"/>
      <w:marRight w:val="0"/>
      <w:marTop w:val="0"/>
      <w:marBottom w:val="0"/>
      <w:divBdr>
        <w:top w:val="none" w:sz="0" w:space="0" w:color="auto"/>
        <w:left w:val="none" w:sz="0" w:space="0" w:color="auto"/>
        <w:bottom w:val="none" w:sz="0" w:space="0" w:color="auto"/>
        <w:right w:val="none" w:sz="0" w:space="0" w:color="auto"/>
      </w:divBdr>
    </w:div>
    <w:div w:id="1336571116">
      <w:bodyDiv w:val="1"/>
      <w:marLeft w:val="0"/>
      <w:marRight w:val="0"/>
      <w:marTop w:val="0"/>
      <w:marBottom w:val="0"/>
      <w:divBdr>
        <w:top w:val="none" w:sz="0" w:space="0" w:color="auto"/>
        <w:left w:val="none" w:sz="0" w:space="0" w:color="auto"/>
        <w:bottom w:val="none" w:sz="0" w:space="0" w:color="auto"/>
        <w:right w:val="none" w:sz="0" w:space="0" w:color="auto"/>
      </w:divBdr>
    </w:div>
    <w:div w:id="1337070687">
      <w:bodyDiv w:val="1"/>
      <w:marLeft w:val="0"/>
      <w:marRight w:val="0"/>
      <w:marTop w:val="0"/>
      <w:marBottom w:val="0"/>
      <w:divBdr>
        <w:top w:val="none" w:sz="0" w:space="0" w:color="auto"/>
        <w:left w:val="none" w:sz="0" w:space="0" w:color="auto"/>
        <w:bottom w:val="none" w:sz="0" w:space="0" w:color="auto"/>
        <w:right w:val="none" w:sz="0" w:space="0" w:color="auto"/>
      </w:divBdr>
    </w:div>
    <w:div w:id="1337458790">
      <w:bodyDiv w:val="1"/>
      <w:marLeft w:val="0"/>
      <w:marRight w:val="0"/>
      <w:marTop w:val="0"/>
      <w:marBottom w:val="0"/>
      <w:divBdr>
        <w:top w:val="none" w:sz="0" w:space="0" w:color="auto"/>
        <w:left w:val="none" w:sz="0" w:space="0" w:color="auto"/>
        <w:bottom w:val="none" w:sz="0" w:space="0" w:color="auto"/>
        <w:right w:val="none" w:sz="0" w:space="0" w:color="auto"/>
      </w:divBdr>
    </w:div>
    <w:div w:id="1337610912">
      <w:bodyDiv w:val="1"/>
      <w:marLeft w:val="0"/>
      <w:marRight w:val="0"/>
      <w:marTop w:val="0"/>
      <w:marBottom w:val="0"/>
      <w:divBdr>
        <w:top w:val="none" w:sz="0" w:space="0" w:color="auto"/>
        <w:left w:val="none" w:sz="0" w:space="0" w:color="auto"/>
        <w:bottom w:val="none" w:sz="0" w:space="0" w:color="auto"/>
        <w:right w:val="none" w:sz="0" w:space="0" w:color="auto"/>
      </w:divBdr>
    </w:div>
    <w:div w:id="1337735062">
      <w:bodyDiv w:val="1"/>
      <w:marLeft w:val="0"/>
      <w:marRight w:val="0"/>
      <w:marTop w:val="0"/>
      <w:marBottom w:val="0"/>
      <w:divBdr>
        <w:top w:val="none" w:sz="0" w:space="0" w:color="auto"/>
        <w:left w:val="none" w:sz="0" w:space="0" w:color="auto"/>
        <w:bottom w:val="none" w:sz="0" w:space="0" w:color="auto"/>
        <w:right w:val="none" w:sz="0" w:space="0" w:color="auto"/>
      </w:divBdr>
    </w:div>
    <w:div w:id="1337883711">
      <w:bodyDiv w:val="1"/>
      <w:marLeft w:val="0"/>
      <w:marRight w:val="0"/>
      <w:marTop w:val="0"/>
      <w:marBottom w:val="0"/>
      <w:divBdr>
        <w:top w:val="none" w:sz="0" w:space="0" w:color="auto"/>
        <w:left w:val="none" w:sz="0" w:space="0" w:color="auto"/>
        <w:bottom w:val="none" w:sz="0" w:space="0" w:color="auto"/>
        <w:right w:val="none" w:sz="0" w:space="0" w:color="auto"/>
      </w:divBdr>
    </w:div>
    <w:div w:id="1337928228">
      <w:bodyDiv w:val="1"/>
      <w:marLeft w:val="0"/>
      <w:marRight w:val="0"/>
      <w:marTop w:val="0"/>
      <w:marBottom w:val="0"/>
      <w:divBdr>
        <w:top w:val="none" w:sz="0" w:space="0" w:color="auto"/>
        <w:left w:val="none" w:sz="0" w:space="0" w:color="auto"/>
        <w:bottom w:val="none" w:sz="0" w:space="0" w:color="auto"/>
        <w:right w:val="none" w:sz="0" w:space="0" w:color="auto"/>
      </w:divBdr>
    </w:div>
    <w:div w:id="1337996117">
      <w:bodyDiv w:val="1"/>
      <w:marLeft w:val="0"/>
      <w:marRight w:val="0"/>
      <w:marTop w:val="0"/>
      <w:marBottom w:val="0"/>
      <w:divBdr>
        <w:top w:val="none" w:sz="0" w:space="0" w:color="auto"/>
        <w:left w:val="none" w:sz="0" w:space="0" w:color="auto"/>
        <w:bottom w:val="none" w:sz="0" w:space="0" w:color="auto"/>
        <w:right w:val="none" w:sz="0" w:space="0" w:color="auto"/>
      </w:divBdr>
    </w:div>
    <w:div w:id="1338652726">
      <w:bodyDiv w:val="1"/>
      <w:marLeft w:val="0"/>
      <w:marRight w:val="0"/>
      <w:marTop w:val="0"/>
      <w:marBottom w:val="0"/>
      <w:divBdr>
        <w:top w:val="none" w:sz="0" w:space="0" w:color="auto"/>
        <w:left w:val="none" w:sz="0" w:space="0" w:color="auto"/>
        <w:bottom w:val="none" w:sz="0" w:space="0" w:color="auto"/>
        <w:right w:val="none" w:sz="0" w:space="0" w:color="auto"/>
      </w:divBdr>
    </w:div>
    <w:div w:id="1338776456">
      <w:bodyDiv w:val="1"/>
      <w:marLeft w:val="0"/>
      <w:marRight w:val="0"/>
      <w:marTop w:val="0"/>
      <w:marBottom w:val="0"/>
      <w:divBdr>
        <w:top w:val="none" w:sz="0" w:space="0" w:color="auto"/>
        <w:left w:val="none" w:sz="0" w:space="0" w:color="auto"/>
        <w:bottom w:val="none" w:sz="0" w:space="0" w:color="auto"/>
        <w:right w:val="none" w:sz="0" w:space="0" w:color="auto"/>
      </w:divBdr>
    </w:div>
    <w:div w:id="1338800327">
      <w:bodyDiv w:val="1"/>
      <w:marLeft w:val="0"/>
      <w:marRight w:val="0"/>
      <w:marTop w:val="0"/>
      <w:marBottom w:val="0"/>
      <w:divBdr>
        <w:top w:val="none" w:sz="0" w:space="0" w:color="auto"/>
        <w:left w:val="none" w:sz="0" w:space="0" w:color="auto"/>
        <w:bottom w:val="none" w:sz="0" w:space="0" w:color="auto"/>
        <w:right w:val="none" w:sz="0" w:space="0" w:color="auto"/>
      </w:divBdr>
    </w:div>
    <w:div w:id="1338801609">
      <w:bodyDiv w:val="1"/>
      <w:marLeft w:val="0"/>
      <w:marRight w:val="0"/>
      <w:marTop w:val="0"/>
      <w:marBottom w:val="0"/>
      <w:divBdr>
        <w:top w:val="none" w:sz="0" w:space="0" w:color="auto"/>
        <w:left w:val="none" w:sz="0" w:space="0" w:color="auto"/>
        <w:bottom w:val="none" w:sz="0" w:space="0" w:color="auto"/>
        <w:right w:val="none" w:sz="0" w:space="0" w:color="auto"/>
      </w:divBdr>
    </w:div>
    <w:div w:id="1339120107">
      <w:bodyDiv w:val="1"/>
      <w:marLeft w:val="0"/>
      <w:marRight w:val="0"/>
      <w:marTop w:val="0"/>
      <w:marBottom w:val="0"/>
      <w:divBdr>
        <w:top w:val="none" w:sz="0" w:space="0" w:color="auto"/>
        <w:left w:val="none" w:sz="0" w:space="0" w:color="auto"/>
        <w:bottom w:val="none" w:sz="0" w:space="0" w:color="auto"/>
        <w:right w:val="none" w:sz="0" w:space="0" w:color="auto"/>
      </w:divBdr>
    </w:div>
    <w:div w:id="1339193523">
      <w:bodyDiv w:val="1"/>
      <w:marLeft w:val="0"/>
      <w:marRight w:val="0"/>
      <w:marTop w:val="0"/>
      <w:marBottom w:val="0"/>
      <w:divBdr>
        <w:top w:val="none" w:sz="0" w:space="0" w:color="auto"/>
        <w:left w:val="none" w:sz="0" w:space="0" w:color="auto"/>
        <w:bottom w:val="none" w:sz="0" w:space="0" w:color="auto"/>
        <w:right w:val="none" w:sz="0" w:space="0" w:color="auto"/>
      </w:divBdr>
    </w:div>
    <w:div w:id="1339500737">
      <w:bodyDiv w:val="1"/>
      <w:marLeft w:val="0"/>
      <w:marRight w:val="0"/>
      <w:marTop w:val="0"/>
      <w:marBottom w:val="0"/>
      <w:divBdr>
        <w:top w:val="none" w:sz="0" w:space="0" w:color="auto"/>
        <w:left w:val="none" w:sz="0" w:space="0" w:color="auto"/>
        <w:bottom w:val="none" w:sz="0" w:space="0" w:color="auto"/>
        <w:right w:val="none" w:sz="0" w:space="0" w:color="auto"/>
      </w:divBdr>
    </w:div>
    <w:div w:id="1339963576">
      <w:bodyDiv w:val="1"/>
      <w:marLeft w:val="0"/>
      <w:marRight w:val="0"/>
      <w:marTop w:val="0"/>
      <w:marBottom w:val="0"/>
      <w:divBdr>
        <w:top w:val="none" w:sz="0" w:space="0" w:color="auto"/>
        <w:left w:val="none" w:sz="0" w:space="0" w:color="auto"/>
        <w:bottom w:val="none" w:sz="0" w:space="0" w:color="auto"/>
        <w:right w:val="none" w:sz="0" w:space="0" w:color="auto"/>
      </w:divBdr>
    </w:div>
    <w:div w:id="1340042359">
      <w:bodyDiv w:val="1"/>
      <w:marLeft w:val="0"/>
      <w:marRight w:val="0"/>
      <w:marTop w:val="0"/>
      <w:marBottom w:val="0"/>
      <w:divBdr>
        <w:top w:val="none" w:sz="0" w:space="0" w:color="auto"/>
        <w:left w:val="none" w:sz="0" w:space="0" w:color="auto"/>
        <w:bottom w:val="none" w:sz="0" w:space="0" w:color="auto"/>
        <w:right w:val="none" w:sz="0" w:space="0" w:color="auto"/>
      </w:divBdr>
    </w:div>
    <w:div w:id="1340158941">
      <w:bodyDiv w:val="1"/>
      <w:marLeft w:val="0"/>
      <w:marRight w:val="0"/>
      <w:marTop w:val="0"/>
      <w:marBottom w:val="0"/>
      <w:divBdr>
        <w:top w:val="none" w:sz="0" w:space="0" w:color="auto"/>
        <w:left w:val="none" w:sz="0" w:space="0" w:color="auto"/>
        <w:bottom w:val="none" w:sz="0" w:space="0" w:color="auto"/>
        <w:right w:val="none" w:sz="0" w:space="0" w:color="auto"/>
      </w:divBdr>
    </w:div>
    <w:div w:id="1340430455">
      <w:bodyDiv w:val="1"/>
      <w:marLeft w:val="0"/>
      <w:marRight w:val="0"/>
      <w:marTop w:val="0"/>
      <w:marBottom w:val="0"/>
      <w:divBdr>
        <w:top w:val="none" w:sz="0" w:space="0" w:color="auto"/>
        <w:left w:val="none" w:sz="0" w:space="0" w:color="auto"/>
        <w:bottom w:val="none" w:sz="0" w:space="0" w:color="auto"/>
        <w:right w:val="none" w:sz="0" w:space="0" w:color="auto"/>
      </w:divBdr>
    </w:div>
    <w:div w:id="1340498467">
      <w:bodyDiv w:val="1"/>
      <w:marLeft w:val="0"/>
      <w:marRight w:val="0"/>
      <w:marTop w:val="0"/>
      <w:marBottom w:val="0"/>
      <w:divBdr>
        <w:top w:val="none" w:sz="0" w:space="0" w:color="auto"/>
        <w:left w:val="none" w:sz="0" w:space="0" w:color="auto"/>
        <w:bottom w:val="none" w:sz="0" w:space="0" w:color="auto"/>
        <w:right w:val="none" w:sz="0" w:space="0" w:color="auto"/>
      </w:divBdr>
    </w:div>
    <w:div w:id="1340815105">
      <w:bodyDiv w:val="1"/>
      <w:marLeft w:val="0"/>
      <w:marRight w:val="0"/>
      <w:marTop w:val="0"/>
      <w:marBottom w:val="0"/>
      <w:divBdr>
        <w:top w:val="none" w:sz="0" w:space="0" w:color="auto"/>
        <w:left w:val="none" w:sz="0" w:space="0" w:color="auto"/>
        <w:bottom w:val="none" w:sz="0" w:space="0" w:color="auto"/>
        <w:right w:val="none" w:sz="0" w:space="0" w:color="auto"/>
      </w:divBdr>
    </w:div>
    <w:div w:id="1340893327">
      <w:bodyDiv w:val="1"/>
      <w:marLeft w:val="0"/>
      <w:marRight w:val="0"/>
      <w:marTop w:val="0"/>
      <w:marBottom w:val="0"/>
      <w:divBdr>
        <w:top w:val="none" w:sz="0" w:space="0" w:color="auto"/>
        <w:left w:val="none" w:sz="0" w:space="0" w:color="auto"/>
        <w:bottom w:val="none" w:sz="0" w:space="0" w:color="auto"/>
        <w:right w:val="none" w:sz="0" w:space="0" w:color="auto"/>
      </w:divBdr>
    </w:div>
    <w:div w:id="1341084169">
      <w:bodyDiv w:val="1"/>
      <w:marLeft w:val="0"/>
      <w:marRight w:val="0"/>
      <w:marTop w:val="0"/>
      <w:marBottom w:val="0"/>
      <w:divBdr>
        <w:top w:val="none" w:sz="0" w:space="0" w:color="auto"/>
        <w:left w:val="none" w:sz="0" w:space="0" w:color="auto"/>
        <w:bottom w:val="none" w:sz="0" w:space="0" w:color="auto"/>
        <w:right w:val="none" w:sz="0" w:space="0" w:color="auto"/>
      </w:divBdr>
    </w:div>
    <w:div w:id="1341587659">
      <w:bodyDiv w:val="1"/>
      <w:marLeft w:val="0"/>
      <w:marRight w:val="0"/>
      <w:marTop w:val="0"/>
      <w:marBottom w:val="0"/>
      <w:divBdr>
        <w:top w:val="none" w:sz="0" w:space="0" w:color="auto"/>
        <w:left w:val="none" w:sz="0" w:space="0" w:color="auto"/>
        <w:bottom w:val="none" w:sz="0" w:space="0" w:color="auto"/>
        <w:right w:val="none" w:sz="0" w:space="0" w:color="auto"/>
      </w:divBdr>
    </w:div>
    <w:div w:id="1341665014">
      <w:bodyDiv w:val="1"/>
      <w:marLeft w:val="0"/>
      <w:marRight w:val="0"/>
      <w:marTop w:val="0"/>
      <w:marBottom w:val="0"/>
      <w:divBdr>
        <w:top w:val="none" w:sz="0" w:space="0" w:color="auto"/>
        <w:left w:val="none" w:sz="0" w:space="0" w:color="auto"/>
        <w:bottom w:val="none" w:sz="0" w:space="0" w:color="auto"/>
        <w:right w:val="none" w:sz="0" w:space="0" w:color="auto"/>
      </w:divBdr>
    </w:div>
    <w:div w:id="1342010362">
      <w:bodyDiv w:val="1"/>
      <w:marLeft w:val="0"/>
      <w:marRight w:val="0"/>
      <w:marTop w:val="0"/>
      <w:marBottom w:val="0"/>
      <w:divBdr>
        <w:top w:val="none" w:sz="0" w:space="0" w:color="auto"/>
        <w:left w:val="none" w:sz="0" w:space="0" w:color="auto"/>
        <w:bottom w:val="none" w:sz="0" w:space="0" w:color="auto"/>
        <w:right w:val="none" w:sz="0" w:space="0" w:color="auto"/>
      </w:divBdr>
    </w:div>
    <w:div w:id="1342196110">
      <w:bodyDiv w:val="1"/>
      <w:marLeft w:val="0"/>
      <w:marRight w:val="0"/>
      <w:marTop w:val="0"/>
      <w:marBottom w:val="0"/>
      <w:divBdr>
        <w:top w:val="none" w:sz="0" w:space="0" w:color="auto"/>
        <w:left w:val="none" w:sz="0" w:space="0" w:color="auto"/>
        <w:bottom w:val="none" w:sz="0" w:space="0" w:color="auto"/>
        <w:right w:val="none" w:sz="0" w:space="0" w:color="auto"/>
      </w:divBdr>
    </w:div>
    <w:div w:id="1342273934">
      <w:bodyDiv w:val="1"/>
      <w:marLeft w:val="0"/>
      <w:marRight w:val="0"/>
      <w:marTop w:val="0"/>
      <w:marBottom w:val="0"/>
      <w:divBdr>
        <w:top w:val="none" w:sz="0" w:space="0" w:color="auto"/>
        <w:left w:val="none" w:sz="0" w:space="0" w:color="auto"/>
        <w:bottom w:val="none" w:sz="0" w:space="0" w:color="auto"/>
        <w:right w:val="none" w:sz="0" w:space="0" w:color="auto"/>
      </w:divBdr>
    </w:div>
    <w:div w:id="1342928794">
      <w:bodyDiv w:val="1"/>
      <w:marLeft w:val="0"/>
      <w:marRight w:val="0"/>
      <w:marTop w:val="0"/>
      <w:marBottom w:val="0"/>
      <w:divBdr>
        <w:top w:val="none" w:sz="0" w:space="0" w:color="auto"/>
        <w:left w:val="none" w:sz="0" w:space="0" w:color="auto"/>
        <w:bottom w:val="none" w:sz="0" w:space="0" w:color="auto"/>
        <w:right w:val="none" w:sz="0" w:space="0" w:color="auto"/>
      </w:divBdr>
    </w:div>
    <w:div w:id="1343118936">
      <w:bodyDiv w:val="1"/>
      <w:marLeft w:val="0"/>
      <w:marRight w:val="0"/>
      <w:marTop w:val="0"/>
      <w:marBottom w:val="0"/>
      <w:divBdr>
        <w:top w:val="none" w:sz="0" w:space="0" w:color="auto"/>
        <w:left w:val="none" w:sz="0" w:space="0" w:color="auto"/>
        <w:bottom w:val="none" w:sz="0" w:space="0" w:color="auto"/>
        <w:right w:val="none" w:sz="0" w:space="0" w:color="auto"/>
      </w:divBdr>
    </w:div>
    <w:div w:id="1343166157">
      <w:bodyDiv w:val="1"/>
      <w:marLeft w:val="0"/>
      <w:marRight w:val="0"/>
      <w:marTop w:val="0"/>
      <w:marBottom w:val="0"/>
      <w:divBdr>
        <w:top w:val="none" w:sz="0" w:space="0" w:color="auto"/>
        <w:left w:val="none" w:sz="0" w:space="0" w:color="auto"/>
        <w:bottom w:val="none" w:sz="0" w:space="0" w:color="auto"/>
        <w:right w:val="none" w:sz="0" w:space="0" w:color="auto"/>
      </w:divBdr>
    </w:div>
    <w:div w:id="1343389394">
      <w:bodyDiv w:val="1"/>
      <w:marLeft w:val="0"/>
      <w:marRight w:val="0"/>
      <w:marTop w:val="0"/>
      <w:marBottom w:val="0"/>
      <w:divBdr>
        <w:top w:val="none" w:sz="0" w:space="0" w:color="auto"/>
        <w:left w:val="none" w:sz="0" w:space="0" w:color="auto"/>
        <w:bottom w:val="none" w:sz="0" w:space="0" w:color="auto"/>
        <w:right w:val="none" w:sz="0" w:space="0" w:color="auto"/>
      </w:divBdr>
    </w:div>
    <w:div w:id="1343431003">
      <w:bodyDiv w:val="1"/>
      <w:marLeft w:val="0"/>
      <w:marRight w:val="0"/>
      <w:marTop w:val="0"/>
      <w:marBottom w:val="0"/>
      <w:divBdr>
        <w:top w:val="none" w:sz="0" w:space="0" w:color="auto"/>
        <w:left w:val="none" w:sz="0" w:space="0" w:color="auto"/>
        <w:bottom w:val="none" w:sz="0" w:space="0" w:color="auto"/>
        <w:right w:val="none" w:sz="0" w:space="0" w:color="auto"/>
      </w:divBdr>
    </w:div>
    <w:div w:id="1343438251">
      <w:bodyDiv w:val="1"/>
      <w:marLeft w:val="0"/>
      <w:marRight w:val="0"/>
      <w:marTop w:val="0"/>
      <w:marBottom w:val="0"/>
      <w:divBdr>
        <w:top w:val="none" w:sz="0" w:space="0" w:color="auto"/>
        <w:left w:val="none" w:sz="0" w:space="0" w:color="auto"/>
        <w:bottom w:val="none" w:sz="0" w:space="0" w:color="auto"/>
        <w:right w:val="none" w:sz="0" w:space="0" w:color="auto"/>
      </w:divBdr>
    </w:div>
    <w:div w:id="1343554436">
      <w:bodyDiv w:val="1"/>
      <w:marLeft w:val="0"/>
      <w:marRight w:val="0"/>
      <w:marTop w:val="0"/>
      <w:marBottom w:val="0"/>
      <w:divBdr>
        <w:top w:val="none" w:sz="0" w:space="0" w:color="auto"/>
        <w:left w:val="none" w:sz="0" w:space="0" w:color="auto"/>
        <w:bottom w:val="none" w:sz="0" w:space="0" w:color="auto"/>
        <w:right w:val="none" w:sz="0" w:space="0" w:color="auto"/>
      </w:divBdr>
    </w:div>
    <w:div w:id="1343628684">
      <w:bodyDiv w:val="1"/>
      <w:marLeft w:val="0"/>
      <w:marRight w:val="0"/>
      <w:marTop w:val="0"/>
      <w:marBottom w:val="0"/>
      <w:divBdr>
        <w:top w:val="none" w:sz="0" w:space="0" w:color="auto"/>
        <w:left w:val="none" w:sz="0" w:space="0" w:color="auto"/>
        <w:bottom w:val="none" w:sz="0" w:space="0" w:color="auto"/>
        <w:right w:val="none" w:sz="0" w:space="0" w:color="auto"/>
      </w:divBdr>
    </w:div>
    <w:div w:id="1344087602">
      <w:bodyDiv w:val="1"/>
      <w:marLeft w:val="0"/>
      <w:marRight w:val="0"/>
      <w:marTop w:val="0"/>
      <w:marBottom w:val="0"/>
      <w:divBdr>
        <w:top w:val="none" w:sz="0" w:space="0" w:color="auto"/>
        <w:left w:val="none" w:sz="0" w:space="0" w:color="auto"/>
        <w:bottom w:val="none" w:sz="0" w:space="0" w:color="auto"/>
        <w:right w:val="none" w:sz="0" w:space="0" w:color="auto"/>
      </w:divBdr>
    </w:div>
    <w:div w:id="1344089602">
      <w:bodyDiv w:val="1"/>
      <w:marLeft w:val="0"/>
      <w:marRight w:val="0"/>
      <w:marTop w:val="0"/>
      <w:marBottom w:val="0"/>
      <w:divBdr>
        <w:top w:val="none" w:sz="0" w:space="0" w:color="auto"/>
        <w:left w:val="none" w:sz="0" w:space="0" w:color="auto"/>
        <w:bottom w:val="none" w:sz="0" w:space="0" w:color="auto"/>
        <w:right w:val="none" w:sz="0" w:space="0" w:color="auto"/>
      </w:divBdr>
    </w:div>
    <w:div w:id="1344240545">
      <w:bodyDiv w:val="1"/>
      <w:marLeft w:val="0"/>
      <w:marRight w:val="0"/>
      <w:marTop w:val="0"/>
      <w:marBottom w:val="0"/>
      <w:divBdr>
        <w:top w:val="none" w:sz="0" w:space="0" w:color="auto"/>
        <w:left w:val="none" w:sz="0" w:space="0" w:color="auto"/>
        <w:bottom w:val="none" w:sz="0" w:space="0" w:color="auto"/>
        <w:right w:val="none" w:sz="0" w:space="0" w:color="auto"/>
      </w:divBdr>
    </w:div>
    <w:div w:id="1344241040">
      <w:bodyDiv w:val="1"/>
      <w:marLeft w:val="0"/>
      <w:marRight w:val="0"/>
      <w:marTop w:val="0"/>
      <w:marBottom w:val="0"/>
      <w:divBdr>
        <w:top w:val="none" w:sz="0" w:space="0" w:color="auto"/>
        <w:left w:val="none" w:sz="0" w:space="0" w:color="auto"/>
        <w:bottom w:val="none" w:sz="0" w:space="0" w:color="auto"/>
        <w:right w:val="none" w:sz="0" w:space="0" w:color="auto"/>
      </w:divBdr>
    </w:div>
    <w:div w:id="1344358075">
      <w:bodyDiv w:val="1"/>
      <w:marLeft w:val="0"/>
      <w:marRight w:val="0"/>
      <w:marTop w:val="0"/>
      <w:marBottom w:val="0"/>
      <w:divBdr>
        <w:top w:val="none" w:sz="0" w:space="0" w:color="auto"/>
        <w:left w:val="none" w:sz="0" w:space="0" w:color="auto"/>
        <w:bottom w:val="none" w:sz="0" w:space="0" w:color="auto"/>
        <w:right w:val="none" w:sz="0" w:space="0" w:color="auto"/>
      </w:divBdr>
    </w:div>
    <w:div w:id="1344674568">
      <w:bodyDiv w:val="1"/>
      <w:marLeft w:val="0"/>
      <w:marRight w:val="0"/>
      <w:marTop w:val="0"/>
      <w:marBottom w:val="0"/>
      <w:divBdr>
        <w:top w:val="none" w:sz="0" w:space="0" w:color="auto"/>
        <w:left w:val="none" w:sz="0" w:space="0" w:color="auto"/>
        <w:bottom w:val="none" w:sz="0" w:space="0" w:color="auto"/>
        <w:right w:val="none" w:sz="0" w:space="0" w:color="auto"/>
      </w:divBdr>
    </w:div>
    <w:div w:id="1344823446">
      <w:bodyDiv w:val="1"/>
      <w:marLeft w:val="0"/>
      <w:marRight w:val="0"/>
      <w:marTop w:val="0"/>
      <w:marBottom w:val="0"/>
      <w:divBdr>
        <w:top w:val="none" w:sz="0" w:space="0" w:color="auto"/>
        <w:left w:val="none" w:sz="0" w:space="0" w:color="auto"/>
        <w:bottom w:val="none" w:sz="0" w:space="0" w:color="auto"/>
        <w:right w:val="none" w:sz="0" w:space="0" w:color="auto"/>
      </w:divBdr>
    </w:div>
    <w:div w:id="1345088765">
      <w:bodyDiv w:val="1"/>
      <w:marLeft w:val="0"/>
      <w:marRight w:val="0"/>
      <w:marTop w:val="0"/>
      <w:marBottom w:val="0"/>
      <w:divBdr>
        <w:top w:val="none" w:sz="0" w:space="0" w:color="auto"/>
        <w:left w:val="none" w:sz="0" w:space="0" w:color="auto"/>
        <w:bottom w:val="none" w:sz="0" w:space="0" w:color="auto"/>
        <w:right w:val="none" w:sz="0" w:space="0" w:color="auto"/>
      </w:divBdr>
    </w:div>
    <w:div w:id="1345204755">
      <w:bodyDiv w:val="1"/>
      <w:marLeft w:val="0"/>
      <w:marRight w:val="0"/>
      <w:marTop w:val="0"/>
      <w:marBottom w:val="0"/>
      <w:divBdr>
        <w:top w:val="none" w:sz="0" w:space="0" w:color="auto"/>
        <w:left w:val="none" w:sz="0" w:space="0" w:color="auto"/>
        <w:bottom w:val="none" w:sz="0" w:space="0" w:color="auto"/>
        <w:right w:val="none" w:sz="0" w:space="0" w:color="auto"/>
      </w:divBdr>
    </w:div>
    <w:div w:id="1345353951">
      <w:bodyDiv w:val="1"/>
      <w:marLeft w:val="0"/>
      <w:marRight w:val="0"/>
      <w:marTop w:val="0"/>
      <w:marBottom w:val="0"/>
      <w:divBdr>
        <w:top w:val="none" w:sz="0" w:space="0" w:color="auto"/>
        <w:left w:val="none" w:sz="0" w:space="0" w:color="auto"/>
        <w:bottom w:val="none" w:sz="0" w:space="0" w:color="auto"/>
        <w:right w:val="none" w:sz="0" w:space="0" w:color="auto"/>
      </w:divBdr>
    </w:div>
    <w:div w:id="1345594491">
      <w:bodyDiv w:val="1"/>
      <w:marLeft w:val="0"/>
      <w:marRight w:val="0"/>
      <w:marTop w:val="0"/>
      <w:marBottom w:val="0"/>
      <w:divBdr>
        <w:top w:val="none" w:sz="0" w:space="0" w:color="auto"/>
        <w:left w:val="none" w:sz="0" w:space="0" w:color="auto"/>
        <w:bottom w:val="none" w:sz="0" w:space="0" w:color="auto"/>
        <w:right w:val="none" w:sz="0" w:space="0" w:color="auto"/>
      </w:divBdr>
    </w:div>
    <w:div w:id="1346132771">
      <w:bodyDiv w:val="1"/>
      <w:marLeft w:val="0"/>
      <w:marRight w:val="0"/>
      <w:marTop w:val="0"/>
      <w:marBottom w:val="0"/>
      <w:divBdr>
        <w:top w:val="none" w:sz="0" w:space="0" w:color="auto"/>
        <w:left w:val="none" w:sz="0" w:space="0" w:color="auto"/>
        <w:bottom w:val="none" w:sz="0" w:space="0" w:color="auto"/>
        <w:right w:val="none" w:sz="0" w:space="0" w:color="auto"/>
      </w:divBdr>
    </w:div>
    <w:div w:id="1346202055">
      <w:bodyDiv w:val="1"/>
      <w:marLeft w:val="0"/>
      <w:marRight w:val="0"/>
      <w:marTop w:val="0"/>
      <w:marBottom w:val="0"/>
      <w:divBdr>
        <w:top w:val="none" w:sz="0" w:space="0" w:color="auto"/>
        <w:left w:val="none" w:sz="0" w:space="0" w:color="auto"/>
        <w:bottom w:val="none" w:sz="0" w:space="0" w:color="auto"/>
        <w:right w:val="none" w:sz="0" w:space="0" w:color="auto"/>
      </w:divBdr>
    </w:div>
    <w:div w:id="1346244555">
      <w:bodyDiv w:val="1"/>
      <w:marLeft w:val="0"/>
      <w:marRight w:val="0"/>
      <w:marTop w:val="0"/>
      <w:marBottom w:val="0"/>
      <w:divBdr>
        <w:top w:val="none" w:sz="0" w:space="0" w:color="auto"/>
        <w:left w:val="none" w:sz="0" w:space="0" w:color="auto"/>
        <w:bottom w:val="none" w:sz="0" w:space="0" w:color="auto"/>
        <w:right w:val="none" w:sz="0" w:space="0" w:color="auto"/>
      </w:divBdr>
    </w:div>
    <w:div w:id="1346251971">
      <w:bodyDiv w:val="1"/>
      <w:marLeft w:val="0"/>
      <w:marRight w:val="0"/>
      <w:marTop w:val="0"/>
      <w:marBottom w:val="0"/>
      <w:divBdr>
        <w:top w:val="none" w:sz="0" w:space="0" w:color="auto"/>
        <w:left w:val="none" w:sz="0" w:space="0" w:color="auto"/>
        <w:bottom w:val="none" w:sz="0" w:space="0" w:color="auto"/>
        <w:right w:val="none" w:sz="0" w:space="0" w:color="auto"/>
      </w:divBdr>
    </w:div>
    <w:div w:id="1346402668">
      <w:bodyDiv w:val="1"/>
      <w:marLeft w:val="0"/>
      <w:marRight w:val="0"/>
      <w:marTop w:val="0"/>
      <w:marBottom w:val="0"/>
      <w:divBdr>
        <w:top w:val="none" w:sz="0" w:space="0" w:color="auto"/>
        <w:left w:val="none" w:sz="0" w:space="0" w:color="auto"/>
        <w:bottom w:val="none" w:sz="0" w:space="0" w:color="auto"/>
        <w:right w:val="none" w:sz="0" w:space="0" w:color="auto"/>
      </w:divBdr>
    </w:div>
    <w:div w:id="1346588130">
      <w:bodyDiv w:val="1"/>
      <w:marLeft w:val="0"/>
      <w:marRight w:val="0"/>
      <w:marTop w:val="0"/>
      <w:marBottom w:val="0"/>
      <w:divBdr>
        <w:top w:val="none" w:sz="0" w:space="0" w:color="auto"/>
        <w:left w:val="none" w:sz="0" w:space="0" w:color="auto"/>
        <w:bottom w:val="none" w:sz="0" w:space="0" w:color="auto"/>
        <w:right w:val="none" w:sz="0" w:space="0" w:color="auto"/>
      </w:divBdr>
    </w:div>
    <w:div w:id="1346596705">
      <w:bodyDiv w:val="1"/>
      <w:marLeft w:val="0"/>
      <w:marRight w:val="0"/>
      <w:marTop w:val="0"/>
      <w:marBottom w:val="0"/>
      <w:divBdr>
        <w:top w:val="none" w:sz="0" w:space="0" w:color="auto"/>
        <w:left w:val="none" w:sz="0" w:space="0" w:color="auto"/>
        <w:bottom w:val="none" w:sz="0" w:space="0" w:color="auto"/>
        <w:right w:val="none" w:sz="0" w:space="0" w:color="auto"/>
      </w:divBdr>
    </w:div>
    <w:div w:id="1346786535">
      <w:bodyDiv w:val="1"/>
      <w:marLeft w:val="0"/>
      <w:marRight w:val="0"/>
      <w:marTop w:val="0"/>
      <w:marBottom w:val="0"/>
      <w:divBdr>
        <w:top w:val="none" w:sz="0" w:space="0" w:color="auto"/>
        <w:left w:val="none" w:sz="0" w:space="0" w:color="auto"/>
        <w:bottom w:val="none" w:sz="0" w:space="0" w:color="auto"/>
        <w:right w:val="none" w:sz="0" w:space="0" w:color="auto"/>
      </w:divBdr>
    </w:div>
    <w:div w:id="1346978231">
      <w:bodyDiv w:val="1"/>
      <w:marLeft w:val="0"/>
      <w:marRight w:val="0"/>
      <w:marTop w:val="0"/>
      <w:marBottom w:val="0"/>
      <w:divBdr>
        <w:top w:val="none" w:sz="0" w:space="0" w:color="auto"/>
        <w:left w:val="none" w:sz="0" w:space="0" w:color="auto"/>
        <w:bottom w:val="none" w:sz="0" w:space="0" w:color="auto"/>
        <w:right w:val="none" w:sz="0" w:space="0" w:color="auto"/>
      </w:divBdr>
    </w:div>
    <w:div w:id="1347442397">
      <w:bodyDiv w:val="1"/>
      <w:marLeft w:val="0"/>
      <w:marRight w:val="0"/>
      <w:marTop w:val="0"/>
      <w:marBottom w:val="0"/>
      <w:divBdr>
        <w:top w:val="none" w:sz="0" w:space="0" w:color="auto"/>
        <w:left w:val="none" w:sz="0" w:space="0" w:color="auto"/>
        <w:bottom w:val="none" w:sz="0" w:space="0" w:color="auto"/>
        <w:right w:val="none" w:sz="0" w:space="0" w:color="auto"/>
      </w:divBdr>
    </w:div>
    <w:div w:id="1347562667">
      <w:bodyDiv w:val="1"/>
      <w:marLeft w:val="0"/>
      <w:marRight w:val="0"/>
      <w:marTop w:val="0"/>
      <w:marBottom w:val="0"/>
      <w:divBdr>
        <w:top w:val="none" w:sz="0" w:space="0" w:color="auto"/>
        <w:left w:val="none" w:sz="0" w:space="0" w:color="auto"/>
        <w:bottom w:val="none" w:sz="0" w:space="0" w:color="auto"/>
        <w:right w:val="none" w:sz="0" w:space="0" w:color="auto"/>
      </w:divBdr>
    </w:div>
    <w:div w:id="1347630860">
      <w:bodyDiv w:val="1"/>
      <w:marLeft w:val="0"/>
      <w:marRight w:val="0"/>
      <w:marTop w:val="0"/>
      <w:marBottom w:val="0"/>
      <w:divBdr>
        <w:top w:val="none" w:sz="0" w:space="0" w:color="auto"/>
        <w:left w:val="none" w:sz="0" w:space="0" w:color="auto"/>
        <w:bottom w:val="none" w:sz="0" w:space="0" w:color="auto"/>
        <w:right w:val="none" w:sz="0" w:space="0" w:color="auto"/>
      </w:divBdr>
    </w:div>
    <w:div w:id="1347751401">
      <w:bodyDiv w:val="1"/>
      <w:marLeft w:val="0"/>
      <w:marRight w:val="0"/>
      <w:marTop w:val="0"/>
      <w:marBottom w:val="0"/>
      <w:divBdr>
        <w:top w:val="none" w:sz="0" w:space="0" w:color="auto"/>
        <w:left w:val="none" w:sz="0" w:space="0" w:color="auto"/>
        <w:bottom w:val="none" w:sz="0" w:space="0" w:color="auto"/>
        <w:right w:val="none" w:sz="0" w:space="0" w:color="auto"/>
      </w:divBdr>
    </w:div>
    <w:div w:id="1347907582">
      <w:bodyDiv w:val="1"/>
      <w:marLeft w:val="0"/>
      <w:marRight w:val="0"/>
      <w:marTop w:val="0"/>
      <w:marBottom w:val="0"/>
      <w:divBdr>
        <w:top w:val="none" w:sz="0" w:space="0" w:color="auto"/>
        <w:left w:val="none" w:sz="0" w:space="0" w:color="auto"/>
        <w:bottom w:val="none" w:sz="0" w:space="0" w:color="auto"/>
        <w:right w:val="none" w:sz="0" w:space="0" w:color="auto"/>
      </w:divBdr>
    </w:div>
    <w:div w:id="1348142380">
      <w:bodyDiv w:val="1"/>
      <w:marLeft w:val="0"/>
      <w:marRight w:val="0"/>
      <w:marTop w:val="0"/>
      <w:marBottom w:val="0"/>
      <w:divBdr>
        <w:top w:val="none" w:sz="0" w:space="0" w:color="auto"/>
        <w:left w:val="none" w:sz="0" w:space="0" w:color="auto"/>
        <w:bottom w:val="none" w:sz="0" w:space="0" w:color="auto"/>
        <w:right w:val="none" w:sz="0" w:space="0" w:color="auto"/>
      </w:divBdr>
    </w:div>
    <w:div w:id="1348286849">
      <w:bodyDiv w:val="1"/>
      <w:marLeft w:val="0"/>
      <w:marRight w:val="0"/>
      <w:marTop w:val="0"/>
      <w:marBottom w:val="0"/>
      <w:divBdr>
        <w:top w:val="none" w:sz="0" w:space="0" w:color="auto"/>
        <w:left w:val="none" w:sz="0" w:space="0" w:color="auto"/>
        <w:bottom w:val="none" w:sz="0" w:space="0" w:color="auto"/>
        <w:right w:val="none" w:sz="0" w:space="0" w:color="auto"/>
      </w:divBdr>
    </w:div>
    <w:div w:id="1348364934">
      <w:bodyDiv w:val="1"/>
      <w:marLeft w:val="0"/>
      <w:marRight w:val="0"/>
      <w:marTop w:val="0"/>
      <w:marBottom w:val="0"/>
      <w:divBdr>
        <w:top w:val="none" w:sz="0" w:space="0" w:color="auto"/>
        <w:left w:val="none" w:sz="0" w:space="0" w:color="auto"/>
        <w:bottom w:val="none" w:sz="0" w:space="0" w:color="auto"/>
        <w:right w:val="none" w:sz="0" w:space="0" w:color="auto"/>
      </w:divBdr>
    </w:div>
    <w:div w:id="1348480004">
      <w:bodyDiv w:val="1"/>
      <w:marLeft w:val="0"/>
      <w:marRight w:val="0"/>
      <w:marTop w:val="0"/>
      <w:marBottom w:val="0"/>
      <w:divBdr>
        <w:top w:val="none" w:sz="0" w:space="0" w:color="auto"/>
        <w:left w:val="none" w:sz="0" w:space="0" w:color="auto"/>
        <w:bottom w:val="none" w:sz="0" w:space="0" w:color="auto"/>
        <w:right w:val="none" w:sz="0" w:space="0" w:color="auto"/>
      </w:divBdr>
    </w:div>
    <w:div w:id="1348557096">
      <w:bodyDiv w:val="1"/>
      <w:marLeft w:val="0"/>
      <w:marRight w:val="0"/>
      <w:marTop w:val="0"/>
      <w:marBottom w:val="0"/>
      <w:divBdr>
        <w:top w:val="none" w:sz="0" w:space="0" w:color="auto"/>
        <w:left w:val="none" w:sz="0" w:space="0" w:color="auto"/>
        <w:bottom w:val="none" w:sz="0" w:space="0" w:color="auto"/>
        <w:right w:val="none" w:sz="0" w:space="0" w:color="auto"/>
      </w:divBdr>
    </w:div>
    <w:div w:id="1348560696">
      <w:bodyDiv w:val="1"/>
      <w:marLeft w:val="0"/>
      <w:marRight w:val="0"/>
      <w:marTop w:val="0"/>
      <w:marBottom w:val="0"/>
      <w:divBdr>
        <w:top w:val="none" w:sz="0" w:space="0" w:color="auto"/>
        <w:left w:val="none" w:sz="0" w:space="0" w:color="auto"/>
        <w:bottom w:val="none" w:sz="0" w:space="0" w:color="auto"/>
        <w:right w:val="none" w:sz="0" w:space="0" w:color="auto"/>
      </w:divBdr>
    </w:div>
    <w:div w:id="1348562910">
      <w:bodyDiv w:val="1"/>
      <w:marLeft w:val="0"/>
      <w:marRight w:val="0"/>
      <w:marTop w:val="0"/>
      <w:marBottom w:val="0"/>
      <w:divBdr>
        <w:top w:val="none" w:sz="0" w:space="0" w:color="auto"/>
        <w:left w:val="none" w:sz="0" w:space="0" w:color="auto"/>
        <w:bottom w:val="none" w:sz="0" w:space="0" w:color="auto"/>
        <w:right w:val="none" w:sz="0" w:space="0" w:color="auto"/>
      </w:divBdr>
    </w:div>
    <w:div w:id="1348943916">
      <w:bodyDiv w:val="1"/>
      <w:marLeft w:val="0"/>
      <w:marRight w:val="0"/>
      <w:marTop w:val="0"/>
      <w:marBottom w:val="0"/>
      <w:divBdr>
        <w:top w:val="none" w:sz="0" w:space="0" w:color="auto"/>
        <w:left w:val="none" w:sz="0" w:space="0" w:color="auto"/>
        <w:bottom w:val="none" w:sz="0" w:space="0" w:color="auto"/>
        <w:right w:val="none" w:sz="0" w:space="0" w:color="auto"/>
      </w:divBdr>
    </w:div>
    <w:div w:id="1349017049">
      <w:bodyDiv w:val="1"/>
      <w:marLeft w:val="0"/>
      <w:marRight w:val="0"/>
      <w:marTop w:val="0"/>
      <w:marBottom w:val="0"/>
      <w:divBdr>
        <w:top w:val="none" w:sz="0" w:space="0" w:color="auto"/>
        <w:left w:val="none" w:sz="0" w:space="0" w:color="auto"/>
        <w:bottom w:val="none" w:sz="0" w:space="0" w:color="auto"/>
        <w:right w:val="none" w:sz="0" w:space="0" w:color="auto"/>
      </w:divBdr>
    </w:div>
    <w:div w:id="1349065178">
      <w:bodyDiv w:val="1"/>
      <w:marLeft w:val="0"/>
      <w:marRight w:val="0"/>
      <w:marTop w:val="0"/>
      <w:marBottom w:val="0"/>
      <w:divBdr>
        <w:top w:val="none" w:sz="0" w:space="0" w:color="auto"/>
        <w:left w:val="none" w:sz="0" w:space="0" w:color="auto"/>
        <w:bottom w:val="none" w:sz="0" w:space="0" w:color="auto"/>
        <w:right w:val="none" w:sz="0" w:space="0" w:color="auto"/>
      </w:divBdr>
    </w:div>
    <w:div w:id="1349136166">
      <w:bodyDiv w:val="1"/>
      <w:marLeft w:val="0"/>
      <w:marRight w:val="0"/>
      <w:marTop w:val="0"/>
      <w:marBottom w:val="0"/>
      <w:divBdr>
        <w:top w:val="none" w:sz="0" w:space="0" w:color="auto"/>
        <w:left w:val="none" w:sz="0" w:space="0" w:color="auto"/>
        <w:bottom w:val="none" w:sz="0" w:space="0" w:color="auto"/>
        <w:right w:val="none" w:sz="0" w:space="0" w:color="auto"/>
      </w:divBdr>
    </w:div>
    <w:div w:id="1349330385">
      <w:bodyDiv w:val="1"/>
      <w:marLeft w:val="0"/>
      <w:marRight w:val="0"/>
      <w:marTop w:val="0"/>
      <w:marBottom w:val="0"/>
      <w:divBdr>
        <w:top w:val="none" w:sz="0" w:space="0" w:color="auto"/>
        <w:left w:val="none" w:sz="0" w:space="0" w:color="auto"/>
        <w:bottom w:val="none" w:sz="0" w:space="0" w:color="auto"/>
        <w:right w:val="none" w:sz="0" w:space="0" w:color="auto"/>
      </w:divBdr>
    </w:div>
    <w:div w:id="1349597231">
      <w:bodyDiv w:val="1"/>
      <w:marLeft w:val="0"/>
      <w:marRight w:val="0"/>
      <w:marTop w:val="0"/>
      <w:marBottom w:val="0"/>
      <w:divBdr>
        <w:top w:val="none" w:sz="0" w:space="0" w:color="auto"/>
        <w:left w:val="none" w:sz="0" w:space="0" w:color="auto"/>
        <w:bottom w:val="none" w:sz="0" w:space="0" w:color="auto"/>
        <w:right w:val="none" w:sz="0" w:space="0" w:color="auto"/>
      </w:divBdr>
    </w:div>
    <w:div w:id="1349942594">
      <w:bodyDiv w:val="1"/>
      <w:marLeft w:val="0"/>
      <w:marRight w:val="0"/>
      <w:marTop w:val="0"/>
      <w:marBottom w:val="0"/>
      <w:divBdr>
        <w:top w:val="none" w:sz="0" w:space="0" w:color="auto"/>
        <w:left w:val="none" w:sz="0" w:space="0" w:color="auto"/>
        <w:bottom w:val="none" w:sz="0" w:space="0" w:color="auto"/>
        <w:right w:val="none" w:sz="0" w:space="0" w:color="auto"/>
      </w:divBdr>
    </w:div>
    <w:div w:id="1350181227">
      <w:bodyDiv w:val="1"/>
      <w:marLeft w:val="0"/>
      <w:marRight w:val="0"/>
      <w:marTop w:val="0"/>
      <w:marBottom w:val="0"/>
      <w:divBdr>
        <w:top w:val="none" w:sz="0" w:space="0" w:color="auto"/>
        <w:left w:val="none" w:sz="0" w:space="0" w:color="auto"/>
        <w:bottom w:val="none" w:sz="0" w:space="0" w:color="auto"/>
        <w:right w:val="none" w:sz="0" w:space="0" w:color="auto"/>
      </w:divBdr>
    </w:div>
    <w:div w:id="1350183980">
      <w:bodyDiv w:val="1"/>
      <w:marLeft w:val="0"/>
      <w:marRight w:val="0"/>
      <w:marTop w:val="0"/>
      <w:marBottom w:val="0"/>
      <w:divBdr>
        <w:top w:val="none" w:sz="0" w:space="0" w:color="auto"/>
        <w:left w:val="none" w:sz="0" w:space="0" w:color="auto"/>
        <w:bottom w:val="none" w:sz="0" w:space="0" w:color="auto"/>
        <w:right w:val="none" w:sz="0" w:space="0" w:color="auto"/>
      </w:divBdr>
    </w:div>
    <w:div w:id="1350836521">
      <w:bodyDiv w:val="1"/>
      <w:marLeft w:val="0"/>
      <w:marRight w:val="0"/>
      <w:marTop w:val="0"/>
      <w:marBottom w:val="0"/>
      <w:divBdr>
        <w:top w:val="none" w:sz="0" w:space="0" w:color="auto"/>
        <w:left w:val="none" w:sz="0" w:space="0" w:color="auto"/>
        <w:bottom w:val="none" w:sz="0" w:space="0" w:color="auto"/>
        <w:right w:val="none" w:sz="0" w:space="0" w:color="auto"/>
      </w:divBdr>
    </w:div>
    <w:div w:id="1351105178">
      <w:bodyDiv w:val="1"/>
      <w:marLeft w:val="0"/>
      <w:marRight w:val="0"/>
      <w:marTop w:val="0"/>
      <w:marBottom w:val="0"/>
      <w:divBdr>
        <w:top w:val="none" w:sz="0" w:space="0" w:color="auto"/>
        <w:left w:val="none" w:sz="0" w:space="0" w:color="auto"/>
        <w:bottom w:val="none" w:sz="0" w:space="0" w:color="auto"/>
        <w:right w:val="none" w:sz="0" w:space="0" w:color="auto"/>
      </w:divBdr>
    </w:div>
    <w:div w:id="1351297237">
      <w:bodyDiv w:val="1"/>
      <w:marLeft w:val="0"/>
      <w:marRight w:val="0"/>
      <w:marTop w:val="0"/>
      <w:marBottom w:val="0"/>
      <w:divBdr>
        <w:top w:val="none" w:sz="0" w:space="0" w:color="auto"/>
        <w:left w:val="none" w:sz="0" w:space="0" w:color="auto"/>
        <w:bottom w:val="none" w:sz="0" w:space="0" w:color="auto"/>
        <w:right w:val="none" w:sz="0" w:space="0" w:color="auto"/>
      </w:divBdr>
    </w:div>
    <w:div w:id="1351373968">
      <w:bodyDiv w:val="1"/>
      <w:marLeft w:val="0"/>
      <w:marRight w:val="0"/>
      <w:marTop w:val="0"/>
      <w:marBottom w:val="0"/>
      <w:divBdr>
        <w:top w:val="none" w:sz="0" w:space="0" w:color="auto"/>
        <w:left w:val="none" w:sz="0" w:space="0" w:color="auto"/>
        <w:bottom w:val="none" w:sz="0" w:space="0" w:color="auto"/>
        <w:right w:val="none" w:sz="0" w:space="0" w:color="auto"/>
      </w:divBdr>
    </w:div>
    <w:div w:id="1351487934">
      <w:bodyDiv w:val="1"/>
      <w:marLeft w:val="0"/>
      <w:marRight w:val="0"/>
      <w:marTop w:val="0"/>
      <w:marBottom w:val="0"/>
      <w:divBdr>
        <w:top w:val="none" w:sz="0" w:space="0" w:color="auto"/>
        <w:left w:val="none" w:sz="0" w:space="0" w:color="auto"/>
        <w:bottom w:val="none" w:sz="0" w:space="0" w:color="auto"/>
        <w:right w:val="none" w:sz="0" w:space="0" w:color="auto"/>
      </w:divBdr>
    </w:div>
    <w:div w:id="1351491157">
      <w:bodyDiv w:val="1"/>
      <w:marLeft w:val="0"/>
      <w:marRight w:val="0"/>
      <w:marTop w:val="0"/>
      <w:marBottom w:val="0"/>
      <w:divBdr>
        <w:top w:val="none" w:sz="0" w:space="0" w:color="auto"/>
        <w:left w:val="none" w:sz="0" w:space="0" w:color="auto"/>
        <w:bottom w:val="none" w:sz="0" w:space="0" w:color="auto"/>
        <w:right w:val="none" w:sz="0" w:space="0" w:color="auto"/>
      </w:divBdr>
    </w:div>
    <w:div w:id="1351566536">
      <w:bodyDiv w:val="1"/>
      <w:marLeft w:val="0"/>
      <w:marRight w:val="0"/>
      <w:marTop w:val="0"/>
      <w:marBottom w:val="0"/>
      <w:divBdr>
        <w:top w:val="none" w:sz="0" w:space="0" w:color="auto"/>
        <w:left w:val="none" w:sz="0" w:space="0" w:color="auto"/>
        <w:bottom w:val="none" w:sz="0" w:space="0" w:color="auto"/>
        <w:right w:val="none" w:sz="0" w:space="0" w:color="auto"/>
      </w:divBdr>
    </w:div>
    <w:div w:id="1351567895">
      <w:bodyDiv w:val="1"/>
      <w:marLeft w:val="0"/>
      <w:marRight w:val="0"/>
      <w:marTop w:val="0"/>
      <w:marBottom w:val="0"/>
      <w:divBdr>
        <w:top w:val="none" w:sz="0" w:space="0" w:color="auto"/>
        <w:left w:val="none" w:sz="0" w:space="0" w:color="auto"/>
        <w:bottom w:val="none" w:sz="0" w:space="0" w:color="auto"/>
        <w:right w:val="none" w:sz="0" w:space="0" w:color="auto"/>
      </w:divBdr>
    </w:div>
    <w:div w:id="1351640835">
      <w:bodyDiv w:val="1"/>
      <w:marLeft w:val="0"/>
      <w:marRight w:val="0"/>
      <w:marTop w:val="0"/>
      <w:marBottom w:val="0"/>
      <w:divBdr>
        <w:top w:val="none" w:sz="0" w:space="0" w:color="auto"/>
        <w:left w:val="none" w:sz="0" w:space="0" w:color="auto"/>
        <w:bottom w:val="none" w:sz="0" w:space="0" w:color="auto"/>
        <w:right w:val="none" w:sz="0" w:space="0" w:color="auto"/>
      </w:divBdr>
    </w:div>
    <w:div w:id="1351830340">
      <w:bodyDiv w:val="1"/>
      <w:marLeft w:val="0"/>
      <w:marRight w:val="0"/>
      <w:marTop w:val="0"/>
      <w:marBottom w:val="0"/>
      <w:divBdr>
        <w:top w:val="none" w:sz="0" w:space="0" w:color="auto"/>
        <w:left w:val="none" w:sz="0" w:space="0" w:color="auto"/>
        <w:bottom w:val="none" w:sz="0" w:space="0" w:color="auto"/>
        <w:right w:val="none" w:sz="0" w:space="0" w:color="auto"/>
      </w:divBdr>
    </w:div>
    <w:div w:id="1351830710">
      <w:bodyDiv w:val="1"/>
      <w:marLeft w:val="0"/>
      <w:marRight w:val="0"/>
      <w:marTop w:val="0"/>
      <w:marBottom w:val="0"/>
      <w:divBdr>
        <w:top w:val="none" w:sz="0" w:space="0" w:color="auto"/>
        <w:left w:val="none" w:sz="0" w:space="0" w:color="auto"/>
        <w:bottom w:val="none" w:sz="0" w:space="0" w:color="auto"/>
        <w:right w:val="none" w:sz="0" w:space="0" w:color="auto"/>
      </w:divBdr>
    </w:div>
    <w:div w:id="1351837664">
      <w:bodyDiv w:val="1"/>
      <w:marLeft w:val="0"/>
      <w:marRight w:val="0"/>
      <w:marTop w:val="0"/>
      <w:marBottom w:val="0"/>
      <w:divBdr>
        <w:top w:val="none" w:sz="0" w:space="0" w:color="auto"/>
        <w:left w:val="none" w:sz="0" w:space="0" w:color="auto"/>
        <w:bottom w:val="none" w:sz="0" w:space="0" w:color="auto"/>
        <w:right w:val="none" w:sz="0" w:space="0" w:color="auto"/>
      </w:divBdr>
    </w:div>
    <w:div w:id="1352028732">
      <w:bodyDiv w:val="1"/>
      <w:marLeft w:val="0"/>
      <w:marRight w:val="0"/>
      <w:marTop w:val="0"/>
      <w:marBottom w:val="0"/>
      <w:divBdr>
        <w:top w:val="none" w:sz="0" w:space="0" w:color="auto"/>
        <w:left w:val="none" w:sz="0" w:space="0" w:color="auto"/>
        <w:bottom w:val="none" w:sz="0" w:space="0" w:color="auto"/>
        <w:right w:val="none" w:sz="0" w:space="0" w:color="auto"/>
      </w:divBdr>
    </w:div>
    <w:div w:id="1352031462">
      <w:bodyDiv w:val="1"/>
      <w:marLeft w:val="0"/>
      <w:marRight w:val="0"/>
      <w:marTop w:val="0"/>
      <w:marBottom w:val="0"/>
      <w:divBdr>
        <w:top w:val="none" w:sz="0" w:space="0" w:color="auto"/>
        <w:left w:val="none" w:sz="0" w:space="0" w:color="auto"/>
        <w:bottom w:val="none" w:sz="0" w:space="0" w:color="auto"/>
        <w:right w:val="none" w:sz="0" w:space="0" w:color="auto"/>
      </w:divBdr>
    </w:div>
    <w:div w:id="1352105512">
      <w:bodyDiv w:val="1"/>
      <w:marLeft w:val="0"/>
      <w:marRight w:val="0"/>
      <w:marTop w:val="0"/>
      <w:marBottom w:val="0"/>
      <w:divBdr>
        <w:top w:val="none" w:sz="0" w:space="0" w:color="auto"/>
        <w:left w:val="none" w:sz="0" w:space="0" w:color="auto"/>
        <w:bottom w:val="none" w:sz="0" w:space="0" w:color="auto"/>
        <w:right w:val="none" w:sz="0" w:space="0" w:color="auto"/>
      </w:divBdr>
    </w:div>
    <w:div w:id="1352683607">
      <w:bodyDiv w:val="1"/>
      <w:marLeft w:val="0"/>
      <w:marRight w:val="0"/>
      <w:marTop w:val="0"/>
      <w:marBottom w:val="0"/>
      <w:divBdr>
        <w:top w:val="none" w:sz="0" w:space="0" w:color="auto"/>
        <w:left w:val="none" w:sz="0" w:space="0" w:color="auto"/>
        <w:bottom w:val="none" w:sz="0" w:space="0" w:color="auto"/>
        <w:right w:val="none" w:sz="0" w:space="0" w:color="auto"/>
      </w:divBdr>
    </w:div>
    <w:div w:id="1352994961">
      <w:bodyDiv w:val="1"/>
      <w:marLeft w:val="0"/>
      <w:marRight w:val="0"/>
      <w:marTop w:val="0"/>
      <w:marBottom w:val="0"/>
      <w:divBdr>
        <w:top w:val="none" w:sz="0" w:space="0" w:color="auto"/>
        <w:left w:val="none" w:sz="0" w:space="0" w:color="auto"/>
        <w:bottom w:val="none" w:sz="0" w:space="0" w:color="auto"/>
        <w:right w:val="none" w:sz="0" w:space="0" w:color="auto"/>
      </w:divBdr>
    </w:div>
    <w:div w:id="1353073460">
      <w:bodyDiv w:val="1"/>
      <w:marLeft w:val="0"/>
      <w:marRight w:val="0"/>
      <w:marTop w:val="0"/>
      <w:marBottom w:val="0"/>
      <w:divBdr>
        <w:top w:val="none" w:sz="0" w:space="0" w:color="auto"/>
        <w:left w:val="none" w:sz="0" w:space="0" w:color="auto"/>
        <w:bottom w:val="none" w:sz="0" w:space="0" w:color="auto"/>
        <w:right w:val="none" w:sz="0" w:space="0" w:color="auto"/>
      </w:divBdr>
    </w:div>
    <w:div w:id="1353262592">
      <w:bodyDiv w:val="1"/>
      <w:marLeft w:val="0"/>
      <w:marRight w:val="0"/>
      <w:marTop w:val="0"/>
      <w:marBottom w:val="0"/>
      <w:divBdr>
        <w:top w:val="none" w:sz="0" w:space="0" w:color="auto"/>
        <w:left w:val="none" w:sz="0" w:space="0" w:color="auto"/>
        <w:bottom w:val="none" w:sz="0" w:space="0" w:color="auto"/>
        <w:right w:val="none" w:sz="0" w:space="0" w:color="auto"/>
      </w:divBdr>
    </w:div>
    <w:div w:id="1353339913">
      <w:bodyDiv w:val="1"/>
      <w:marLeft w:val="0"/>
      <w:marRight w:val="0"/>
      <w:marTop w:val="0"/>
      <w:marBottom w:val="0"/>
      <w:divBdr>
        <w:top w:val="none" w:sz="0" w:space="0" w:color="auto"/>
        <w:left w:val="none" w:sz="0" w:space="0" w:color="auto"/>
        <w:bottom w:val="none" w:sz="0" w:space="0" w:color="auto"/>
        <w:right w:val="none" w:sz="0" w:space="0" w:color="auto"/>
      </w:divBdr>
    </w:div>
    <w:div w:id="1353800566">
      <w:bodyDiv w:val="1"/>
      <w:marLeft w:val="0"/>
      <w:marRight w:val="0"/>
      <w:marTop w:val="0"/>
      <w:marBottom w:val="0"/>
      <w:divBdr>
        <w:top w:val="none" w:sz="0" w:space="0" w:color="auto"/>
        <w:left w:val="none" w:sz="0" w:space="0" w:color="auto"/>
        <w:bottom w:val="none" w:sz="0" w:space="0" w:color="auto"/>
        <w:right w:val="none" w:sz="0" w:space="0" w:color="auto"/>
      </w:divBdr>
    </w:div>
    <w:div w:id="1353845589">
      <w:bodyDiv w:val="1"/>
      <w:marLeft w:val="0"/>
      <w:marRight w:val="0"/>
      <w:marTop w:val="0"/>
      <w:marBottom w:val="0"/>
      <w:divBdr>
        <w:top w:val="none" w:sz="0" w:space="0" w:color="auto"/>
        <w:left w:val="none" w:sz="0" w:space="0" w:color="auto"/>
        <w:bottom w:val="none" w:sz="0" w:space="0" w:color="auto"/>
        <w:right w:val="none" w:sz="0" w:space="0" w:color="auto"/>
      </w:divBdr>
    </w:div>
    <w:div w:id="1354305017">
      <w:bodyDiv w:val="1"/>
      <w:marLeft w:val="0"/>
      <w:marRight w:val="0"/>
      <w:marTop w:val="0"/>
      <w:marBottom w:val="0"/>
      <w:divBdr>
        <w:top w:val="none" w:sz="0" w:space="0" w:color="auto"/>
        <w:left w:val="none" w:sz="0" w:space="0" w:color="auto"/>
        <w:bottom w:val="none" w:sz="0" w:space="0" w:color="auto"/>
        <w:right w:val="none" w:sz="0" w:space="0" w:color="auto"/>
      </w:divBdr>
    </w:div>
    <w:div w:id="1354646197">
      <w:bodyDiv w:val="1"/>
      <w:marLeft w:val="0"/>
      <w:marRight w:val="0"/>
      <w:marTop w:val="0"/>
      <w:marBottom w:val="0"/>
      <w:divBdr>
        <w:top w:val="none" w:sz="0" w:space="0" w:color="auto"/>
        <w:left w:val="none" w:sz="0" w:space="0" w:color="auto"/>
        <w:bottom w:val="none" w:sz="0" w:space="0" w:color="auto"/>
        <w:right w:val="none" w:sz="0" w:space="0" w:color="auto"/>
      </w:divBdr>
    </w:div>
    <w:div w:id="1354843276">
      <w:bodyDiv w:val="1"/>
      <w:marLeft w:val="0"/>
      <w:marRight w:val="0"/>
      <w:marTop w:val="0"/>
      <w:marBottom w:val="0"/>
      <w:divBdr>
        <w:top w:val="none" w:sz="0" w:space="0" w:color="auto"/>
        <w:left w:val="none" w:sz="0" w:space="0" w:color="auto"/>
        <w:bottom w:val="none" w:sz="0" w:space="0" w:color="auto"/>
        <w:right w:val="none" w:sz="0" w:space="0" w:color="auto"/>
      </w:divBdr>
    </w:div>
    <w:div w:id="1354914538">
      <w:bodyDiv w:val="1"/>
      <w:marLeft w:val="0"/>
      <w:marRight w:val="0"/>
      <w:marTop w:val="0"/>
      <w:marBottom w:val="0"/>
      <w:divBdr>
        <w:top w:val="none" w:sz="0" w:space="0" w:color="auto"/>
        <w:left w:val="none" w:sz="0" w:space="0" w:color="auto"/>
        <w:bottom w:val="none" w:sz="0" w:space="0" w:color="auto"/>
        <w:right w:val="none" w:sz="0" w:space="0" w:color="auto"/>
      </w:divBdr>
    </w:div>
    <w:div w:id="1354963125">
      <w:bodyDiv w:val="1"/>
      <w:marLeft w:val="0"/>
      <w:marRight w:val="0"/>
      <w:marTop w:val="0"/>
      <w:marBottom w:val="0"/>
      <w:divBdr>
        <w:top w:val="none" w:sz="0" w:space="0" w:color="auto"/>
        <w:left w:val="none" w:sz="0" w:space="0" w:color="auto"/>
        <w:bottom w:val="none" w:sz="0" w:space="0" w:color="auto"/>
        <w:right w:val="none" w:sz="0" w:space="0" w:color="auto"/>
      </w:divBdr>
    </w:div>
    <w:div w:id="1355154410">
      <w:bodyDiv w:val="1"/>
      <w:marLeft w:val="0"/>
      <w:marRight w:val="0"/>
      <w:marTop w:val="0"/>
      <w:marBottom w:val="0"/>
      <w:divBdr>
        <w:top w:val="none" w:sz="0" w:space="0" w:color="auto"/>
        <w:left w:val="none" w:sz="0" w:space="0" w:color="auto"/>
        <w:bottom w:val="none" w:sz="0" w:space="0" w:color="auto"/>
        <w:right w:val="none" w:sz="0" w:space="0" w:color="auto"/>
      </w:divBdr>
    </w:div>
    <w:div w:id="1355227775">
      <w:bodyDiv w:val="1"/>
      <w:marLeft w:val="0"/>
      <w:marRight w:val="0"/>
      <w:marTop w:val="0"/>
      <w:marBottom w:val="0"/>
      <w:divBdr>
        <w:top w:val="none" w:sz="0" w:space="0" w:color="auto"/>
        <w:left w:val="none" w:sz="0" w:space="0" w:color="auto"/>
        <w:bottom w:val="none" w:sz="0" w:space="0" w:color="auto"/>
        <w:right w:val="none" w:sz="0" w:space="0" w:color="auto"/>
      </w:divBdr>
    </w:div>
    <w:div w:id="1355234077">
      <w:bodyDiv w:val="1"/>
      <w:marLeft w:val="0"/>
      <w:marRight w:val="0"/>
      <w:marTop w:val="0"/>
      <w:marBottom w:val="0"/>
      <w:divBdr>
        <w:top w:val="none" w:sz="0" w:space="0" w:color="auto"/>
        <w:left w:val="none" w:sz="0" w:space="0" w:color="auto"/>
        <w:bottom w:val="none" w:sz="0" w:space="0" w:color="auto"/>
        <w:right w:val="none" w:sz="0" w:space="0" w:color="auto"/>
      </w:divBdr>
    </w:div>
    <w:div w:id="1355423470">
      <w:bodyDiv w:val="1"/>
      <w:marLeft w:val="0"/>
      <w:marRight w:val="0"/>
      <w:marTop w:val="0"/>
      <w:marBottom w:val="0"/>
      <w:divBdr>
        <w:top w:val="none" w:sz="0" w:space="0" w:color="auto"/>
        <w:left w:val="none" w:sz="0" w:space="0" w:color="auto"/>
        <w:bottom w:val="none" w:sz="0" w:space="0" w:color="auto"/>
        <w:right w:val="none" w:sz="0" w:space="0" w:color="auto"/>
      </w:divBdr>
    </w:div>
    <w:div w:id="1355426354">
      <w:bodyDiv w:val="1"/>
      <w:marLeft w:val="0"/>
      <w:marRight w:val="0"/>
      <w:marTop w:val="0"/>
      <w:marBottom w:val="0"/>
      <w:divBdr>
        <w:top w:val="none" w:sz="0" w:space="0" w:color="auto"/>
        <w:left w:val="none" w:sz="0" w:space="0" w:color="auto"/>
        <w:bottom w:val="none" w:sz="0" w:space="0" w:color="auto"/>
        <w:right w:val="none" w:sz="0" w:space="0" w:color="auto"/>
      </w:divBdr>
    </w:div>
    <w:div w:id="1355502386">
      <w:bodyDiv w:val="1"/>
      <w:marLeft w:val="0"/>
      <w:marRight w:val="0"/>
      <w:marTop w:val="0"/>
      <w:marBottom w:val="0"/>
      <w:divBdr>
        <w:top w:val="none" w:sz="0" w:space="0" w:color="auto"/>
        <w:left w:val="none" w:sz="0" w:space="0" w:color="auto"/>
        <w:bottom w:val="none" w:sz="0" w:space="0" w:color="auto"/>
        <w:right w:val="none" w:sz="0" w:space="0" w:color="auto"/>
      </w:divBdr>
    </w:div>
    <w:div w:id="1355813672">
      <w:bodyDiv w:val="1"/>
      <w:marLeft w:val="0"/>
      <w:marRight w:val="0"/>
      <w:marTop w:val="0"/>
      <w:marBottom w:val="0"/>
      <w:divBdr>
        <w:top w:val="none" w:sz="0" w:space="0" w:color="auto"/>
        <w:left w:val="none" w:sz="0" w:space="0" w:color="auto"/>
        <w:bottom w:val="none" w:sz="0" w:space="0" w:color="auto"/>
        <w:right w:val="none" w:sz="0" w:space="0" w:color="auto"/>
      </w:divBdr>
    </w:div>
    <w:div w:id="1355886536">
      <w:bodyDiv w:val="1"/>
      <w:marLeft w:val="0"/>
      <w:marRight w:val="0"/>
      <w:marTop w:val="0"/>
      <w:marBottom w:val="0"/>
      <w:divBdr>
        <w:top w:val="none" w:sz="0" w:space="0" w:color="auto"/>
        <w:left w:val="none" w:sz="0" w:space="0" w:color="auto"/>
        <w:bottom w:val="none" w:sz="0" w:space="0" w:color="auto"/>
        <w:right w:val="none" w:sz="0" w:space="0" w:color="auto"/>
      </w:divBdr>
    </w:div>
    <w:div w:id="1356080342">
      <w:bodyDiv w:val="1"/>
      <w:marLeft w:val="0"/>
      <w:marRight w:val="0"/>
      <w:marTop w:val="0"/>
      <w:marBottom w:val="0"/>
      <w:divBdr>
        <w:top w:val="none" w:sz="0" w:space="0" w:color="auto"/>
        <w:left w:val="none" w:sz="0" w:space="0" w:color="auto"/>
        <w:bottom w:val="none" w:sz="0" w:space="0" w:color="auto"/>
        <w:right w:val="none" w:sz="0" w:space="0" w:color="auto"/>
      </w:divBdr>
    </w:div>
    <w:div w:id="1356081289">
      <w:bodyDiv w:val="1"/>
      <w:marLeft w:val="0"/>
      <w:marRight w:val="0"/>
      <w:marTop w:val="0"/>
      <w:marBottom w:val="0"/>
      <w:divBdr>
        <w:top w:val="none" w:sz="0" w:space="0" w:color="auto"/>
        <w:left w:val="none" w:sz="0" w:space="0" w:color="auto"/>
        <w:bottom w:val="none" w:sz="0" w:space="0" w:color="auto"/>
        <w:right w:val="none" w:sz="0" w:space="0" w:color="auto"/>
      </w:divBdr>
    </w:div>
    <w:div w:id="1356082385">
      <w:bodyDiv w:val="1"/>
      <w:marLeft w:val="0"/>
      <w:marRight w:val="0"/>
      <w:marTop w:val="0"/>
      <w:marBottom w:val="0"/>
      <w:divBdr>
        <w:top w:val="none" w:sz="0" w:space="0" w:color="auto"/>
        <w:left w:val="none" w:sz="0" w:space="0" w:color="auto"/>
        <w:bottom w:val="none" w:sz="0" w:space="0" w:color="auto"/>
        <w:right w:val="none" w:sz="0" w:space="0" w:color="auto"/>
      </w:divBdr>
    </w:div>
    <w:div w:id="1356275843">
      <w:bodyDiv w:val="1"/>
      <w:marLeft w:val="0"/>
      <w:marRight w:val="0"/>
      <w:marTop w:val="0"/>
      <w:marBottom w:val="0"/>
      <w:divBdr>
        <w:top w:val="none" w:sz="0" w:space="0" w:color="auto"/>
        <w:left w:val="none" w:sz="0" w:space="0" w:color="auto"/>
        <w:bottom w:val="none" w:sz="0" w:space="0" w:color="auto"/>
        <w:right w:val="none" w:sz="0" w:space="0" w:color="auto"/>
      </w:divBdr>
    </w:div>
    <w:div w:id="1356733620">
      <w:bodyDiv w:val="1"/>
      <w:marLeft w:val="0"/>
      <w:marRight w:val="0"/>
      <w:marTop w:val="0"/>
      <w:marBottom w:val="0"/>
      <w:divBdr>
        <w:top w:val="none" w:sz="0" w:space="0" w:color="auto"/>
        <w:left w:val="none" w:sz="0" w:space="0" w:color="auto"/>
        <w:bottom w:val="none" w:sz="0" w:space="0" w:color="auto"/>
        <w:right w:val="none" w:sz="0" w:space="0" w:color="auto"/>
      </w:divBdr>
    </w:div>
    <w:div w:id="1356927418">
      <w:bodyDiv w:val="1"/>
      <w:marLeft w:val="0"/>
      <w:marRight w:val="0"/>
      <w:marTop w:val="0"/>
      <w:marBottom w:val="0"/>
      <w:divBdr>
        <w:top w:val="none" w:sz="0" w:space="0" w:color="auto"/>
        <w:left w:val="none" w:sz="0" w:space="0" w:color="auto"/>
        <w:bottom w:val="none" w:sz="0" w:space="0" w:color="auto"/>
        <w:right w:val="none" w:sz="0" w:space="0" w:color="auto"/>
      </w:divBdr>
    </w:div>
    <w:div w:id="1357316593">
      <w:bodyDiv w:val="1"/>
      <w:marLeft w:val="0"/>
      <w:marRight w:val="0"/>
      <w:marTop w:val="0"/>
      <w:marBottom w:val="0"/>
      <w:divBdr>
        <w:top w:val="none" w:sz="0" w:space="0" w:color="auto"/>
        <w:left w:val="none" w:sz="0" w:space="0" w:color="auto"/>
        <w:bottom w:val="none" w:sz="0" w:space="0" w:color="auto"/>
        <w:right w:val="none" w:sz="0" w:space="0" w:color="auto"/>
      </w:divBdr>
    </w:div>
    <w:div w:id="1357346367">
      <w:bodyDiv w:val="1"/>
      <w:marLeft w:val="0"/>
      <w:marRight w:val="0"/>
      <w:marTop w:val="0"/>
      <w:marBottom w:val="0"/>
      <w:divBdr>
        <w:top w:val="none" w:sz="0" w:space="0" w:color="auto"/>
        <w:left w:val="none" w:sz="0" w:space="0" w:color="auto"/>
        <w:bottom w:val="none" w:sz="0" w:space="0" w:color="auto"/>
        <w:right w:val="none" w:sz="0" w:space="0" w:color="auto"/>
      </w:divBdr>
    </w:div>
    <w:div w:id="1357536256">
      <w:bodyDiv w:val="1"/>
      <w:marLeft w:val="0"/>
      <w:marRight w:val="0"/>
      <w:marTop w:val="0"/>
      <w:marBottom w:val="0"/>
      <w:divBdr>
        <w:top w:val="none" w:sz="0" w:space="0" w:color="auto"/>
        <w:left w:val="none" w:sz="0" w:space="0" w:color="auto"/>
        <w:bottom w:val="none" w:sz="0" w:space="0" w:color="auto"/>
        <w:right w:val="none" w:sz="0" w:space="0" w:color="auto"/>
      </w:divBdr>
    </w:div>
    <w:div w:id="1357923886">
      <w:bodyDiv w:val="1"/>
      <w:marLeft w:val="0"/>
      <w:marRight w:val="0"/>
      <w:marTop w:val="0"/>
      <w:marBottom w:val="0"/>
      <w:divBdr>
        <w:top w:val="none" w:sz="0" w:space="0" w:color="auto"/>
        <w:left w:val="none" w:sz="0" w:space="0" w:color="auto"/>
        <w:bottom w:val="none" w:sz="0" w:space="0" w:color="auto"/>
        <w:right w:val="none" w:sz="0" w:space="0" w:color="auto"/>
      </w:divBdr>
    </w:div>
    <w:div w:id="1357929282">
      <w:bodyDiv w:val="1"/>
      <w:marLeft w:val="0"/>
      <w:marRight w:val="0"/>
      <w:marTop w:val="0"/>
      <w:marBottom w:val="0"/>
      <w:divBdr>
        <w:top w:val="none" w:sz="0" w:space="0" w:color="auto"/>
        <w:left w:val="none" w:sz="0" w:space="0" w:color="auto"/>
        <w:bottom w:val="none" w:sz="0" w:space="0" w:color="auto"/>
        <w:right w:val="none" w:sz="0" w:space="0" w:color="auto"/>
      </w:divBdr>
    </w:div>
    <w:div w:id="1358921398">
      <w:bodyDiv w:val="1"/>
      <w:marLeft w:val="0"/>
      <w:marRight w:val="0"/>
      <w:marTop w:val="0"/>
      <w:marBottom w:val="0"/>
      <w:divBdr>
        <w:top w:val="none" w:sz="0" w:space="0" w:color="auto"/>
        <w:left w:val="none" w:sz="0" w:space="0" w:color="auto"/>
        <w:bottom w:val="none" w:sz="0" w:space="0" w:color="auto"/>
        <w:right w:val="none" w:sz="0" w:space="0" w:color="auto"/>
      </w:divBdr>
    </w:div>
    <w:div w:id="1359088014">
      <w:bodyDiv w:val="1"/>
      <w:marLeft w:val="0"/>
      <w:marRight w:val="0"/>
      <w:marTop w:val="0"/>
      <w:marBottom w:val="0"/>
      <w:divBdr>
        <w:top w:val="none" w:sz="0" w:space="0" w:color="auto"/>
        <w:left w:val="none" w:sz="0" w:space="0" w:color="auto"/>
        <w:bottom w:val="none" w:sz="0" w:space="0" w:color="auto"/>
        <w:right w:val="none" w:sz="0" w:space="0" w:color="auto"/>
      </w:divBdr>
    </w:div>
    <w:div w:id="1359742307">
      <w:bodyDiv w:val="1"/>
      <w:marLeft w:val="0"/>
      <w:marRight w:val="0"/>
      <w:marTop w:val="0"/>
      <w:marBottom w:val="0"/>
      <w:divBdr>
        <w:top w:val="none" w:sz="0" w:space="0" w:color="auto"/>
        <w:left w:val="none" w:sz="0" w:space="0" w:color="auto"/>
        <w:bottom w:val="none" w:sz="0" w:space="0" w:color="auto"/>
        <w:right w:val="none" w:sz="0" w:space="0" w:color="auto"/>
      </w:divBdr>
    </w:div>
    <w:div w:id="1359937971">
      <w:bodyDiv w:val="1"/>
      <w:marLeft w:val="0"/>
      <w:marRight w:val="0"/>
      <w:marTop w:val="0"/>
      <w:marBottom w:val="0"/>
      <w:divBdr>
        <w:top w:val="none" w:sz="0" w:space="0" w:color="auto"/>
        <w:left w:val="none" w:sz="0" w:space="0" w:color="auto"/>
        <w:bottom w:val="none" w:sz="0" w:space="0" w:color="auto"/>
        <w:right w:val="none" w:sz="0" w:space="0" w:color="auto"/>
      </w:divBdr>
    </w:div>
    <w:div w:id="1359939048">
      <w:bodyDiv w:val="1"/>
      <w:marLeft w:val="0"/>
      <w:marRight w:val="0"/>
      <w:marTop w:val="0"/>
      <w:marBottom w:val="0"/>
      <w:divBdr>
        <w:top w:val="none" w:sz="0" w:space="0" w:color="auto"/>
        <w:left w:val="none" w:sz="0" w:space="0" w:color="auto"/>
        <w:bottom w:val="none" w:sz="0" w:space="0" w:color="auto"/>
        <w:right w:val="none" w:sz="0" w:space="0" w:color="auto"/>
      </w:divBdr>
    </w:div>
    <w:div w:id="1360206999">
      <w:bodyDiv w:val="1"/>
      <w:marLeft w:val="0"/>
      <w:marRight w:val="0"/>
      <w:marTop w:val="0"/>
      <w:marBottom w:val="0"/>
      <w:divBdr>
        <w:top w:val="none" w:sz="0" w:space="0" w:color="auto"/>
        <w:left w:val="none" w:sz="0" w:space="0" w:color="auto"/>
        <w:bottom w:val="none" w:sz="0" w:space="0" w:color="auto"/>
        <w:right w:val="none" w:sz="0" w:space="0" w:color="auto"/>
      </w:divBdr>
    </w:div>
    <w:div w:id="1360207206">
      <w:bodyDiv w:val="1"/>
      <w:marLeft w:val="0"/>
      <w:marRight w:val="0"/>
      <w:marTop w:val="0"/>
      <w:marBottom w:val="0"/>
      <w:divBdr>
        <w:top w:val="none" w:sz="0" w:space="0" w:color="auto"/>
        <w:left w:val="none" w:sz="0" w:space="0" w:color="auto"/>
        <w:bottom w:val="none" w:sz="0" w:space="0" w:color="auto"/>
        <w:right w:val="none" w:sz="0" w:space="0" w:color="auto"/>
      </w:divBdr>
    </w:div>
    <w:div w:id="1360475822">
      <w:bodyDiv w:val="1"/>
      <w:marLeft w:val="0"/>
      <w:marRight w:val="0"/>
      <w:marTop w:val="0"/>
      <w:marBottom w:val="0"/>
      <w:divBdr>
        <w:top w:val="none" w:sz="0" w:space="0" w:color="auto"/>
        <w:left w:val="none" w:sz="0" w:space="0" w:color="auto"/>
        <w:bottom w:val="none" w:sz="0" w:space="0" w:color="auto"/>
        <w:right w:val="none" w:sz="0" w:space="0" w:color="auto"/>
      </w:divBdr>
    </w:div>
    <w:div w:id="1360620979">
      <w:bodyDiv w:val="1"/>
      <w:marLeft w:val="0"/>
      <w:marRight w:val="0"/>
      <w:marTop w:val="0"/>
      <w:marBottom w:val="0"/>
      <w:divBdr>
        <w:top w:val="none" w:sz="0" w:space="0" w:color="auto"/>
        <w:left w:val="none" w:sz="0" w:space="0" w:color="auto"/>
        <w:bottom w:val="none" w:sz="0" w:space="0" w:color="auto"/>
        <w:right w:val="none" w:sz="0" w:space="0" w:color="auto"/>
      </w:divBdr>
    </w:div>
    <w:div w:id="1360623198">
      <w:bodyDiv w:val="1"/>
      <w:marLeft w:val="0"/>
      <w:marRight w:val="0"/>
      <w:marTop w:val="0"/>
      <w:marBottom w:val="0"/>
      <w:divBdr>
        <w:top w:val="none" w:sz="0" w:space="0" w:color="auto"/>
        <w:left w:val="none" w:sz="0" w:space="0" w:color="auto"/>
        <w:bottom w:val="none" w:sz="0" w:space="0" w:color="auto"/>
        <w:right w:val="none" w:sz="0" w:space="0" w:color="auto"/>
      </w:divBdr>
    </w:div>
    <w:div w:id="1360662157">
      <w:bodyDiv w:val="1"/>
      <w:marLeft w:val="0"/>
      <w:marRight w:val="0"/>
      <w:marTop w:val="0"/>
      <w:marBottom w:val="0"/>
      <w:divBdr>
        <w:top w:val="none" w:sz="0" w:space="0" w:color="auto"/>
        <w:left w:val="none" w:sz="0" w:space="0" w:color="auto"/>
        <w:bottom w:val="none" w:sz="0" w:space="0" w:color="auto"/>
        <w:right w:val="none" w:sz="0" w:space="0" w:color="auto"/>
      </w:divBdr>
    </w:div>
    <w:div w:id="1361008868">
      <w:bodyDiv w:val="1"/>
      <w:marLeft w:val="0"/>
      <w:marRight w:val="0"/>
      <w:marTop w:val="0"/>
      <w:marBottom w:val="0"/>
      <w:divBdr>
        <w:top w:val="none" w:sz="0" w:space="0" w:color="auto"/>
        <w:left w:val="none" w:sz="0" w:space="0" w:color="auto"/>
        <w:bottom w:val="none" w:sz="0" w:space="0" w:color="auto"/>
        <w:right w:val="none" w:sz="0" w:space="0" w:color="auto"/>
      </w:divBdr>
    </w:div>
    <w:div w:id="1361012333">
      <w:bodyDiv w:val="1"/>
      <w:marLeft w:val="0"/>
      <w:marRight w:val="0"/>
      <w:marTop w:val="0"/>
      <w:marBottom w:val="0"/>
      <w:divBdr>
        <w:top w:val="none" w:sz="0" w:space="0" w:color="auto"/>
        <w:left w:val="none" w:sz="0" w:space="0" w:color="auto"/>
        <w:bottom w:val="none" w:sz="0" w:space="0" w:color="auto"/>
        <w:right w:val="none" w:sz="0" w:space="0" w:color="auto"/>
      </w:divBdr>
    </w:div>
    <w:div w:id="1361473607">
      <w:bodyDiv w:val="1"/>
      <w:marLeft w:val="0"/>
      <w:marRight w:val="0"/>
      <w:marTop w:val="0"/>
      <w:marBottom w:val="0"/>
      <w:divBdr>
        <w:top w:val="none" w:sz="0" w:space="0" w:color="auto"/>
        <w:left w:val="none" w:sz="0" w:space="0" w:color="auto"/>
        <w:bottom w:val="none" w:sz="0" w:space="0" w:color="auto"/>
        <w:right w:val="none" w:sz="0" w:space="0" w:color="auto"/>
      </w:divBdr>
    </w:div>
    <w:div w:id="1361660716">
      <w:bodyDiv w:val="1"/>
      <w:marLeft w:val="0"/>
      <w:marRight w:val="0"/>
      <w:marTop w:val="0"/>
      <w:marBottom w:val="0"/>
      <w:divBdr>
        <w:top w:val="none" w:sz="0" w:space="0" w:color="auto"/>
        <w:left w:val="none" w:sz="0" w:space="0" w:color="auto"/>
        <w:bottom w:val="none" w:sz="0" w:space="0" w:color="auto"/>
        <w:right w:val="none" w:sz="0" w:space="0" w:color="auto"/>
      </w:divBdr>
    </w:div>
    <w:div w:id="1361662803">
      <w:bodyDiv w:val="1"/>
      <w:marLeft w:val="0"/>
      <w:marRight w:val="0"/>
      <w:marTop w:val="0"/>
      <w:marBottom w:val="0"/>
      <w:divBdr>
        <w:top w:val="none" w:sz="0" w:space="0" w:color="auto"/>
        <w:left w:val="none" w:sz="0" w:space="0" w:color="auto"/>
        <w:bottom w:val="none" w:sz="0" w:space="0" w:color="auto"/>
        <w:right w:val="none" w:sz="0" w:space="0" w:color="auto"/>
      </w:divBdr>
    </w:div>
    <w:div w:id="1361709422">
      <w:bodyDiv w:val="1"/>
      <w:marLeft w:val="0"/>
      <w:marRight w:val="0"/>
      <w:marTop w:val="0"/>
      <w:marBottom w:val="0"/>
      <w:divBdr>
        <w:top w:val="none" w:sz="0" w:space="0" w:color="auto"/>
        <w:left w:val="none" w:sz="0" w:space="0" w:color="auto"/>
        <w:bottom w:val="none" w:sz="0" w:space="0" w:color="auto"/>
        <w:right w:val="none" w:sz="0" w:space="0" w:color="auto"/>
      </w:divBdr>
    </w:div>
    <w:div w:id="1361852808">
      <w:bodyDiv w:val="1"/>
      <w:marLeft w:val="0"/>
      <w:marRight w:val="0"/>
      <w:marTop w:val="0"/>
      <w:marBottom w:val="0"/>
      <w:divBdr>
        <w:top w:val="none" w:sz="0" w:space="0" w:color="auto"/>
        <w:left w:val="none" w:sz="0" w:space="0" w:color="auto"/>
        <w:bottom w:val="none" w:sz="0" w:space="0" w:color="auto"/>
        <w:right w:val="none" w:sz="0" w:space="0" w:color="auto"/>
      </w:divBdr>
    </w:div>
    <w:div w:id="1362046267">
      <w:bodyDiv w:val="1"/>
      <w:marLeft w:val="0"/>
      <w:marRight w:val="0"/>
      <w:marTop w:val="0"/>
      <w:marBottom w:val="0"/>
      <w:divBdr>
        <w:top w:val="none" w:sz="0" w:space="0" w:color="auto"/>
        <w:left w:val="none" w:sz="0" w:space="0" w:color="auto"/>
        <w:bottom w:val="none" w:sz="0" w:space="0" w:color="auto"/>
        <w:right w:val="none" w:sz="0" w:space="0" w:color="auto"/>
      </w:divBdr>
    </w:div>
    <w:div w:id="1362048850">
      <w:bodyDiv w:val="1"/>
      <w:marLeft w:val="0"/>
      <w:marRight w:val="0"/>
      <w:marTop w:val="0"/>
      <w:marBottom w:val="0"/>
      <w:divBdr>
        <w:top w:val="none" w:sz="0" w:space="0" w:color="auto"/>
        <w:left w:val="none" w:sz="0" w:space="0" w:color="auto"/>
        <w:bottom w:val="none" w:sz="0" w:space="0" w:color="auto"/>
        <w:right w:val="none" w:sz="0" w:space="0" w:color="auto"/>
      </w:divBdr>
    </w:div>
    <w:div w:id="1362240933">
      <w:bodyDiv w:val="1"/>
      <w:marLeft w:val="0"/>
      <w:marRight w:val="0"/>
      <w:marTop w:val="0"/>
      <w:marBottom w:val="0"/>
      <w:divBdr>
        <w:top w:val="none" w:sz="0" w:space="0" w:color="auto"/>
        <w:left w:val="none" w:sz="0" w:space="0" w:color="auto"/>
        <w:bottom w:val="none" w:sz="0" w:space="0" w:color="auto"/>
        <w:right w:val="none" w:sz="0" w:space="0" w:color="auto"/>
      </w:divBdr>
    </w:div>
    <w:div w:id="1362434576">
      <w:bodyDiv w:val="1"/>
      <w:marLeft w:val="0"/>
      <w:marRight w:val="0"/>
      <w:marTop w:val="0"/>
      <w:marBottom w:val="0"/>
      <w:divBdr>
        <w:top w:val="none" w:sz="0" w:space="0" w:color="auto"/>
        <w:left w:val="none" w:sz="0" w:space="0" w:color="auto"/>
        <w:bottom w:val="none" w:sz="0" w:space="0" w:color="auto"/>
        <w:right w:val="none" w:sz="0" w:space="0" w:color="auto"/>
      </w:divBdr>
    </w:div>
    <w:div w:id="1362513096">
      <w:bodyDiv w:val="1"/>
      <w:marLeft w:val="0"/>
      <w:marRight w:val="0"/>
      <w:marTop w:val="0"/>
      <w:marBottom w:val="0"/>
      <w:divBdr>
        <w:top w:val="none" w:sz="0" w:space="0" w:color="auto"/>
        <w:left w:val="none" w:sz="0" w:space="0" w:color="auto"/>
        <w:bottom w:val="none" w:sz="0" w:space="0" w:color="auto"/>
        <w:right w:val="none" w:sz="0" w:space="0" w:color="auto"/>
      </w:divBdr>
    </w:div>
    <w:div w:id="1362514209">
      <w:bodyDiv w:val="1"/>
      <w:marLeft w:val="0"/>
      <w:marRight w:val="0"/>
      <w:marTop w:val="0"/>
      <w:marBottom w:val="0"/>
      <w:divBdr>
        <w:top w:val="none" w:sz="0" w:space="0" w:color="auto"/>
        <w:left w:val="none" w:sz="0" w:space="0" w:color="auto"/>
        <w:bottom w:val="none" w:sz="0" w:space="0" w:color="auto"/>
        <w:right w:val="none" w:sz="0" w:space="0" w:color="auto"/>
      </w:divBdr>
    </w:div>
    <w:div w:id="1362635439">
      <w:bodyDiv w:val="1"/>
      <w:marLeft w:val="0"/>
      <w:marRight w:val="0"/>
      <w:marTop w:val="0"/>
      <w:marBottom w:val="0"/>
      <w:divBdr>
        <w:top w:val="none" w:sz="0" w:space="0" w:color="auto"/>
        <w:left w:val="none" w:sz="0" w:space="0" w:color="auto"/>
        <w:bottom w:val="none" w:sz="0" w:space="0" w:color="auto"/>
        <w:right w:val="none" w:sz="0" w:space="0" w:color="auto"/>
      </w:divBdr>
    </w:div>
    <w:div w:id="1362824751">
      <w:bodyDiv w:val="1"/>
      <w:marLeft w:val="0"/>
      <w:marRight w:val="0"/>
      <w:marTop w:val="0"/>
      <w:marBottom w:val="0"/>
      <w:divBdr>
        <w:top w:val="none" w:sz="0" w:space="0" w:color="auto"/>
        <w:left w:val="none" w:sz="0" w:space="0" w:color="auto"/>
        <w:bottom w:val="none" w:sz="0" w:space="0" w:color="auto"/>
        <w:right w:val="none" w:sz="0" w:space="0" w:color="auto"/>
      </w:divBdr>
    </w:div>
    <w:div w:id="1362902599">
      <w:bodyDiv w:val="1"/>
      <w:marLeft w:val="0"/>
      <w:marRight w:val="0"/>
      <w:marTop w:val="0"/>
      <w:marBottom w:val="0"/>
      <w:divBdr>
        <w:top w:val="none" w:sz="0" w:space="0" w:color="auto"/>
        <w:left w:val="none" w:sz="0" w:space="0" w:color="auto"/>
        <w:bottom w:val="none" w:sz="0" w:space="0" w:color="auto"/>
        <w:right w:val="none" w:sz="0" w:space="0" w:color="auto"/>
      </w:divBdr>
    </w:div>
    <w:div w:id="1363090313">
      <w:bodyDiv w:val="1"/>
      <w:marLeft w:val="0"/>
      <w:marRight w:val="0"/>
      <w:marTop w:val="0"/>
      <w:marBottom w:val="0"/>
      <w:divBdr>
        <w:top w:val="none" w:sz="0" w:space="0" w:color="auto"/>
        <w:left w:val="none" w:sz="0" w:space="0" w:color="auto"/>
        <w:bottom w:val="none" w:sz="0" w:space="0" w:color="auto"/>
        <w:right w:val="none" w:sz="0" w:space="0" w:color="auto"/>
      </w:divBdr>
    </w:div>
    <w:div w:id="1363283907">
      <w:bodyDiv w:val="1"/>
      <w:marLeft w:val="0"/>
      <w:marRight w:val="0"/>
      <w:marTop w:val="0"/>
      <w:marBottom w:val="0"/>
      <w:divBdr>
        <w:top w:val="none" w:sz="0" w:space="0" w:color="auto"/>
        <w:left w:val="none" w:sz="0" w:space="0" w:color="auto"/>
        <w:bottom w:val="none" w:sz="0" w:space="0" w:color="auto"/>
        <w:right w:val="none" w:sz="0" w:space="0" w:color="auto"/>
      </w:divBdr>
    </w:div>
    <w:div w:id="1363286255">
      <w:bodyDiv w:val="1"/>
      <w:marLeft w:val="0"/>
      <w:marRight w:val="0"/>
      <w:marTop w:val="0"/>
      <w:marBottom w:val="0"/>
      <w:divBdr>
        <w:top w:val="none" w:sz="0" w:space="0" w:color="auto"/>
        <w:left w:val="none" w:sz="0" w:space="0" w:color="auto"/>
        <w:bottom w:val="none" w:sz="0" w:space="0" w:color="auto"/>
        <w:right w:val="none" w:sz="0" w:space="0" w:color="auto"/>
      </w:divBdr>
    </w:div>
    <w:div w:id="1363745581">
      <w:bodyDiv w:val="1"/>
      <w:marLeft w:val="0"/>
      <w:marRight w:val="0"/>
      <w:marTop w:val="0"/>
      <w:marBottom w:val="0"/>
      <w:divBdr>
        <w:top w:val="none" w:sz="0" w:space="0" w:color="auto"/>
        <w:left w:val="none" w:sz="0" w:space="0" w:color="auto"/>
        <w:bottom w:val="none" w:sz="0" w:space="0" w:color="auto"/>
        <w:right w:val="none" w:sz="0" w:space="0" w:color="auto"/>
      </w:divBdr>
    </w:div>
    <w:div w:id="1363823317">
      <w:bodyDiv w:val="1"/>
      <w:marLeft w:val="0"/>
      <w:marRight w:val="0"/>
      <w:marTop w:val="0"/>
      <w:marBottom w:val="0"/>
      <w:divBdr>
        <w:top w:val="none" w:sz="0" w:space="0" w:color="auto"/>
        <w:left w:val="none" w:sz="0" w:space="0" w:color="auto"/>
        <w:bottom w:val="none" w:sz="0" w:space="0" w:color="auto"/>
        <w:right w:val="none" w:sz="0" w:space="0" w:color="auto"/>
      </w:divBdr>
    </w:div>
    <w:div w:id="1363943221">
      <w:bodyDiv w:val="1"/>
      <w:marLeft w:val="0"/>
      <w:marRight w:val="0"/>
      <w:marTop w:val="0"/>
      <w:marBottom w:val="0"/>
      <w:divBdr>
        <w:top w:val="none" w:sz="0" w:space="0" w:color="auto"/>
        <w:left w:val="none" w:sz="0" w:space="0" w:color="auto"/>
        <w:bottom w:val="none" w:sz="0" w:space="0" w:color="auto"/>
        <w:right w:val="none" w:sz="0" w:space="0" w:color="auto"/>
      </w:divBdr>
    </w:div>
    <w:div w:id="1364600590">
      <w:bodyDiv w:val="1"/>
      <w:marLeft w:val="0"/>
      <w:marRight w:val="0"/>
      <w:marTop w:val="0"/>
      <w:marBottom w:val="0"/>
      <w:divBdr>
        <w:top w:val="none" w:sz="0" w:space="0" w:color="auto"/>
        <w:left w:val="none" w:sz="0" w:space="0" w:color="auto"/>
        <w:bottom w:val="none" w:sz="0" w:space="0" w:color="auto"/>
        <w:right w:val="none" w:sz="0" w:space="0" w:color="auto"/>
      </w:divBdr>
    </w:div>
    <w:div w:id="1364867381">
      <w:bodyDiv w:val="1"/>
      <w:marLeft w:val="0"/>
      <w:marRight w:val="0"/>
      <w:marTop w:val="0"/>
      <w:marBottom w:val="0"/>
      <w:divBdr>
        <w:top w:val="none" w:sz="0" w:space="0" w:color="auto"/>
        <w:left w:val="none" w:sz="0" w:space="0" w:color="auto"/>
        <w:bottom w:val="none" w:sz="0" w:space="0" w:color="auto"/>
        <w:right w:val="none" w:sz="0" w:space="0" w:color="auto"/>
      </w:divBdr>
    </w:div>
    <w:div w:id="1365061561">
      <w:bodyDiv w:val="1"/>
      <w:marLeft w:val="0"/>
      <w:marRight w:val="0"/>
      <w:marTop w:val="0"/>
      <w:marBottom w:val="0"/>
      <w:divBdr>
        <w:top w:val="none" w:sz="0" w:space="0" w:color="auto"/>
        <w:left w:val="none" w:sz="0" w:space="0" w:color="auto"/>
        <w:bottom w:val="none" w:sz="0" w:space="0" w:color="auto"/>
        <w:right w:val="none" w:sz="0" w:space="0" w:color="auto"/>
      </w:divBdr>
    </w:div>
    <w:div w:id="1365131495">
      <w:bodyDiv w:val="1"/>
      <w:marLeft w:val="0"/>
      <w:marRight w:val="0"/>
      <w:marTop w:val="0"/>
      <w:marBottom w:val="0"/>
      <w:divBdr>
        <w:top w:val="none" w:sz="0" w:space="0" w:color="auto"/>
        <w:left w:val="none" w:sz="0" w:space="0" w:color="auto"/>
        <w:bottom w:val="none" w:sz="0" w:space="0" w:color="auto"/>
        <w:right w:val="none" w:sz="0" w:space="0" w:color="auto"/>
      </w:divBdr>
    </w:div>
    <w:div w:id="1365206059">
      <w:bodyDiv w:val="1"/>
      <w:marLeft w:val="0"/>
      <w:marRight w:val="0"/>
      <w:marTop w:val="0"/>
      <w:marBottom w:val="0"/>
      <w:divBdr>
        <w:top w:val="none" w:sz="0" w:space="0" w:color="auto"/>
        <w:left w:val="none" w:sz="0" w:space="0" w:color="auto"/>
        <w:bottom w:val="none" w:sz="0" w:space="0" w:color="auto"/>
        <w:right w:val="none" w:sz="0" w:space="0" w:color="auto"/>
      </w:divBdr>
    </w:div>
    <w:div w:id="1365247905">
      <w:bodyDiv w:val="1"/>
      <w:marLeft w:val="0"/>
      <w:marRight w:val="0"/>
      <w:marTop w:val="0"/>
      <w:marBottom w:val="0"/>
      <w:divBdr>
        <w:top w:val="none" w:sz="0" w:space="0" w:color="auto"/>
        <w:left w:val="none" w:sz="0" w:space="0" w:color="auto"/>
        <w:bottom w:val="none" w:sz="0" w:space="0" w:color="auto"/>
        <w:right w:val="none" w:sz="0" w:space="0" w:color="auto"/>
      </w:divBdr>
    </w:div>
    <w:div w:id="1365250682">
      <w:bodyDiv w:val="1"/>
      <w:marLeft w:val="0"/>
      <w:marRight w:val="0"/>
      <w:marTop w:val="0"/>
      <w:marBottom w:val="0"/>
      <w:divBdr>
        <w:top w:val="none" w:sz="0" w:space="0" w:color="auto"/>
        <w:left w:val="none" w:sz="0" w:space="0" w:color="auto"/>
        <w:bottom w:val="none" w:sz="0" w:space="0" w:color="auto"/>
        <w:right w:val="none" w:sz="0" w:space="0" w:color="auto"/>
      </w:divBdr>
    </w:div>
    <w:div w:id="1365402811">
      <w:bodyDiv w:val="1"/>
      <w:marLeft w:val="0"/>
      <w:marRight w:val="0"/>
      <w:marTop w:val="0"/>
      <w:marBottom w:val="0"/>
      <w:divBdr>
        <w:top w:val="none" w:sz="0" w:space="0" w:color="auto"/>
        <w:left w:val="none" w:sz="0" w:space="0" w:color="auto"/>
        <w:bottom w:val="none" w:sz="0" w:space="0" w:color="auto"/>
        <w:right w:val="none" w:sz="0" w:space="0" w:color="auto"/>
      </w:divBdr>
    </w:div>
    <w:div w:id="1365597726">
      <w:bodyDiv w:val="1"/>
      <w:marLeft w:val="0"/>
      <w:marRight w:val="0"/>
      <w:marTop w:val="0"/>
      <w:marBottom w:val="0"/>
      <w:divBdr>
        <w:top w:val="none" w:sz="0" w:space="0" w:color="auto"/>
        <w:left w:val="none" w:sz="0" w:space="0" w:color="auto"/>
        <w:bottom w:val="none" w:sz="0" w:space="0" w:color="auto"/>
        <w:right w:val="none" w:sz="0" w:space="0" w:color="auto"/>
      </w:divBdr>
    </w:div>
    <w:div w:id="1365711239">
      <w:bodyDiv w:val="1"/>
      <w:marLeft w:val="0"/>
      <w:marRight w:val="0"/>
      <w:marTop w:val="0"/>
      <w:marBottom w:val="0"/>
      <w:divBdr>
        <w:top w:val="none" w:sz="0" w:space="0" w:color="auto"/>
        <w:left w:val="none" w:sz="0" w:space="0" w:color="auto"/>
        <w:bottom w:val="none" w:sz="0" w:space="0" w:color="auto"/>
        <w:right w:val="none" w:sz="0" w:space="0" w:color="auto"/>
      </w:divBdr>
    </w:div>
    <w:div w:id="1366057719">
      <w:bodyDiv w:val="1"/>
      <w:marLeft w:val="0"/>
      <w:marRight w:val="0"/>
      <w:marTop w:val="0"/>
      <w:marBottom w:val="0"/>
      <w:divBdr>
        <w:top w:val="none" w:sz="0" w:space="0" w:color="auto"/>
        <w:left w:val="none" w:sz="0" w:space="0" w:color="auto"/>
        <w:bottom w:val="none" w:sz="0" w:space="0" w:color="auto"/>
        <w:right w:val="none" w:sz="0" w:space="0" w:color="auto"/>
      </w:divBdr>
    </w:div>
    <w:div w:id="1366254904">
      <w:bodyDiv w:val="1"/>
      <w:marLeft w:val="0"/>
      <w:marRight w:val="0"/>
      <w:marTop w:val="0"/>
      <w:marBottom w:val="0"/>
      <w:divBdr>
        <w:top w:val="none" w:sz="0" w:space="0" w:color="auto"/>
        <w:left w:val="none" w:sz="0" w:space="0" w:color="auto"/>
        <w:bottom w:val="none" w:sz="0" w:space="0" w:color="auto"/>
        <w:right w:val="none" w:sz="0" w:space="0" w:color="auto"/>
      </w:divBdr>
    </w:div>
    <w:div w:id="1366439665">
      <w:bodyDiv w:val="1"/>
      <w:marLeft w:val="0"/>
      <w:marRight w:val="0"/>
      <w:marTop w:val="0"/>
      <w:marBottom w:val="0"/>
      <w:divBdr>
        <w:top w:val="none" w:sz="0" w:space="0" w:color="auto"/>
        <w:left w:val="none" w:sz="0" w:space="0" w:color="auto"/>
        <w:bottom w:val="none" w:sz="0" w:space="0" w:color="auto"/>
        <w:right w:val="none" w:sz="0" w:space="0" w:color="auto"/>
      </w:divBdr>
    </w:div>
    <w:div w:id="1366903358">
      <w:bodyDiv w:val="1"/>
      <w:marLeft w:val="0"/>
      <w:marRight w:val="0"/>
      <w:marTop w:val="0"/>
      <w:marBottom w:val="0"/>
      <w:divBdr>
        <w:top w:val="none" w:sz="0" w:space="0" w:color="auto"/>
        <w:left w:val="none" w:sz="0" w:space="0" w:color="auto"/>
        <w:bottom w:val="none" w:sz="0" w:space="0" w:color="auto"/>
        <w:right w:val="none" w:sz="0" w:space="0" w:color="auto"/>
      </w:divBdr>
    </w:div>
    <w:div w:id="1366978704">
      <w:bodyDiv w:val="1"/>
      <w:marLeft w:val="0"/>
      <w:marRight w:val="0"/>
      <w:marTop w:val="0"/>
      <w:marBottom w:val="0"/>
      <w:divBdr>
        <w:top w:val="none" w:sz="0" w:space="0" w:color="auto"/>
        <w:left w:val="none" w:sz="0" w:space="0" w:color="auto"/>
        <w:bottom w:val="none" w:sz="0" w:space="0" w:color="auto"/>
        <w:right w:val="none" w:sz="0" w:space="0" w:color="auto"/>
      </w:divBdr>
    </w:div>
    <w:div w:id="1367102008">
      <w:bodyDiv w:val="1"/>
      <w:marLeft w:val="0"/>
      <w:marRight w:val="0"/>
      <w:marTop w:val="0"/>
      <w:marBottom w:val="0"/>
      <w:divBdr>
        <w:top w:val="none" w:sz="0" w:space="0" w:color="auto"/>
        <w:left w:val="none" w:sz="0" w:space="0" w:color="auto"/>
        <w:bottom w:val="none" w:sz="0" w:space="0" w:color="auto"/>
        <w:right w:val="none" w:sz="0" w:space="0" w:color="auto"/>
      </w:divBdr>
    </w:div>
    <w:div w:id="1367102895">
      <w:bodyDiv w:val="1"/>
      <w:marLeft w:val="0"/>
      <w:marRight w:val="0"/>
      <w:marTop w:val="0"/>
      <w:marBottom w:val="0"/>
      <w:divBdr>
        <w:top w:val="none" w:sz="0" w:space="0" w:color="auto"/>
        <w:left w:val="none" w:sz="0" w:space="0" w:color="auto"/>
        <w:bottom w:val="none" w:sz="0" w:space="0" w:color="auto"/>
        <w:right w:val="none" w:sz="0" w:space="0" w:color="auto"/>
      </w:divBdr>
    </w:div>
    <w:div w:id="1367288462">
      <w:bodyDiv w:val="1"/>
      <w:marLeft w:val="0"/>
      <w:marRight w:val="0"/>
      <w:marTop w:val="0"/>
      <w:marBottom w:val="0"/>
      <w:divBdr>
        <w:top w:val="none" w:sz="0" w:space="0" w:color="auto"/>
        <w:left w:val="none" w:sz="0" w:space="0" w:color="auto"/>
        <w:bottom w:val="none" w:sz="0" w:space="0" w:color="auto"/>
        <w:right w:val="none" w:sz="0" w:space="0" w:color="auto"/>
      </w:divBdr>
    </w:div>
    <w:div w:id="1367296895">
      <w:bodyDiv w:val="1"/>
      <w:marLeft w:val="0"/>
      <w:marRight w:val="0"/>
      <w:marTop w:val="0"/>
      <w:marBottom w:val="0"/>
      <w:divBdr>
        <w:top w:val="none" w:sz="0" w:space="0" w:color="auto"/>
        <w:left w:val="none" w:sz="0" w:space="0" w:color="auto"/>
        <w:bottom w:val="none" w:sz="0" w:space="0" w:color="auto"/>
        <w:right w:val="none" w:sz="0" w:space="0" w:color="auto"/>
      </w:divBdr>
    </w:div>
    <w:div w:id="1367757891">
      <w:bodyDiv w:val="1"/>
      <w:marLeft w:val="0"/>
      <w:marRight w:val="0"/>
      <w:marTop w:val="0"/>
      <w:marBottom w:val="0"/>
      <w:divBdr>
        <w:top w:val="none" w:sz="0" w:space="0" w:color="auto"/>
        <w:left w:val="none" w:sz="0" w:space="0" w:color="auto"/>
        <w:bottom w:val="none" w:sz="0" w:space="0" w:color="auto"/>
        <w:right w:val="none" w:sz="0" w:space="0" w:color="auto"/>
      </w:divBdr>
    </w:div>
    <w:div w:id="1367871918">
      <w:bodyDiv w:val="1"/>
      <w:marLeft w:val="0"/>
      <w:marRight w:val="0"/>
      <w:marTop w:val="0"/>
      <w:marBottom w:val="0"/>
      <w:divBdr>
        <w:top w:val="none" w:sz="0" w:space="0" w:color="auto"/>
        <w:left w:val="none" w:sz="0" w:space="0" w:color="auto"/>
        <w:bottom w:val="none" w:sz="0" w:space="0" w:color="auto"/>
        <w:right w:val="none" w:sz="0" w:space="0" w:color="auto"/>
      </w:divBdr>
    </w:div>
    <w:div w:id="1367952144">
      <w:bodyDiv w:val="1"/>
      <w:marLeft w:val="0"/>
      <w:marRight w:val="0"/>
      <w:marTop w:val="0"/>
      <w:marBottom w:val="0"/>
      <w:divBdr>
        <w:top w:val="none" w:sz="0" w:space="0" w:color="auto"/>
        <w:left w:val="none" w:sz="0" w:space="0" w:color="auto"/>
        <w:bottom w:val="none" w:sz="0" w:space="0" w:color="auto"/>
        <w:right w:val="none" w:sz="0" w:space="0" w:color="auto"/>
      </w:divBdr>
    </w:div>
    <w:div w:id="1368607601">
      <w:bodyDiv w:val="1"/>
      <w:marLeft w:val="0"/>
      <w:marRight w:val="0"/>
      <w:marTop w:val="0"/>
      <w:marBottom w:val="0"/>
      <w:divBdr>
        <w:top w:val="none" w:sz="0" w:space="0" w:color="auto"/>
        <w:left w:val="none" w:sz="0" w:space="0" w:color="auto"/>
        <w:bottom w:val="none" w:sz="0" w:space="0" w:color="auto"/>
        <w:right w:val="none" w:sz="0" w:space="0" w:color="auto"/>
      </w:divBdr>
    </w:div>
    <w:div w:id="1368676333">
      <w:bodyDiv w:val="1"/>
      <w:marLeft w:val="0"/>
      <w:marRight w:val="0"/>
      <w:marTop w:val="0"/>
      <w:marBottom w:val="0"/>
      <w:divBdr>
        <w:top w:val="none" w:sz="0" w:space="0" w:color="auto"/>
        <w:left w:val="none" w:sz="0" w:space="0" w:color="auto"/>
        <w:bottom w:val="none" w:sz="0" w:space="0" w:color="auto"/>
        <w:right w:val="none" w:sz="0" w:space="0" w:color="auto"/>
      </w:divBdr>
    </w:div>
    <w:div w:id="1368724823">
      <w:bodyDiv w:val="1"/>
      <w:marLeft w:val="0"/>
      <w:marRight w:val="0"/>
      <w:marTop w:val="0"/>
      <w:marBottom w:val="0"/>
      <w:divBdr>
        <w:top w:val="none" w:sz="0" w:space="0" w:color="auto"/>
        <w:left w:val="none" w:sz="0" w:space="0" w:color="auto"/>
        <w:bottom w:val="none" w:sz="0" w:space="0" w:color="auto"/>
        <w:right w:val="none" w:sz="0" w:space="0" w:color="auto"/>
      </w:divBdr>
    </w:div>
    <w:div w:id="1368873070">
      <w:bodyDiv w:val="1"/>
      <w:marLeft w:val="0"/>
      <w:marRight w:val="0"/>
      <w:marTop w:val="0"/>
      <w:marBottom w:val="0"/>
      <w:divBdr>
        <w:top w:val="none" w:sz="0" w:space="0" w:color="auto"/>
        <w:left w:val="none" w:sz="0" w:space="0" w:color="auto"/>
        <w:bottom w:val="none" w:sz="0" w:space="0" w:color="auto"/>
        <w:right w:val="none" w:sz="0" w:space="0" w:color="auto"/>
      </w:divBdr>
    </w:div>
    <w:div w:id="1369139198">
      <w:bodyDiv w:val="1"/>
      <w:marLeft w:val="0"/>
      <w:marRight w:val="0"/>
      <w:marTop w:val="0"/>
      <w:marBottom w:val="0"/>
      <w:divBdr>
        <w:top w:val="none" w:sz="0" w:space="0" w:color="auto"/>
        <w:left w:val="none" w:sz="0" w:space="0" w:color="auto"/>
        <w:bottom w:val="none" w:sz="0" w:space="0" w:color="auto"/>
        <w:right w:val="none" w:sz="0" w:space="0" w:color="auto"/>
      </w:divBdr>
    </w:div>
    <w:div w:id="1369451483">
      <w:bodyDiv w:val="1"/>
      <w:marLeft w:val="0"/>
      <w:marRight w:val="0"/>
      <w:marTop w:val="0"/>
      <w:marBottom w:val="0"/>
      <w:divBdr>
        <w:top w:val="none" w:sz="0" w:space="0" w:color="auto"/>
        <w:left w:val="none" w:sz="0" w:space="0" w:color="auto"/>
        <w:bottom w:val="none" w:sz="0" w:space="0" w:color="auto"/>
        <w:right w:val="none" w:sz="0" w:space="0" w:color="auto"/>
      </w:divBdr>
    </w:div>
    <w:div w:id="1369722143">
      <w:bodyDiv w:val="1"/>
      <w:marLeft w:val="0"/>
      <w:marRight w:val="0"/>
      <w:marTop w:val="0"/>
      <w:marBottom w:val="0"/>
      <w:divBdr>
        <w:top w:val="none" w:sz="0" w:space="0" w:color="auto"/>
        <w:left w:val="none" w:sz="0" w:space="0" w:color="auto"/>
        <w:bottom w:val="none" w:sz="0" w:space="0" w:color="auto"/>
        <w:right w:val="none" w:sz="0" w:space="0" w:color="auto"/>
      </w:divBdr>
    </w:div>
    <w:div w:id="1370033627">
      <w:bodyDiv w:val="1"/>
      <w:marLeft w:val="0"/>
      <w:marRight w:val="0"/>
      <w:marTop w:val="0"/>
      <w:marBottom w:val="0"/>
      <w:divBdr>
        <w:top w:val="none" w:sz="0" w:space="0" w:color="auto"/>
        <w:left w:val="none" w:sz="0" w:space="0" w:color="auto"/>
        <w:bottom w:val="none" w:sz="0" w:space="0" w:color="auto"/>
        <w:right w:val="none" w:sz="0" w:space="0" w:color="auto"/>
      </w:divBdr>
    </w:div>
    <w:div w:id="1370102914">
      <w:bodyDiv w:val="1"/>
      <w:marLeft w:val="0"/>
      <w:marRight w:val="0"/>
      <w:marTop w:val="0"/>
      <w:marBottom w:val="0"/>
      <w:divBdr>
        <w:top w:val="none" w:sz="0" w:space="0" w:color="auto"/>
        <w:left w:val="none" w:sz="0" w:space="0" w:color="auto"/>
        <w:bottom w:val="none" w:sz="0" w:space="0" w:color="auto"/>
        <w:right w:val="none" w:sz="0" w:space="0" w:color="auto"/>
      </w:divBdr>
    </w:div>
    <w:div w:id="1370104351">
      <w:bodyDiv w:val="1"/>
      <w:marLeft w:val="0"/>
      <w:marRight w:val="0"/>
      <w:marTop w:val="0"/>
      <w:marBottom w:val="0"/>
      <w:divBdr>
        <w:top w:val="none" w:sz="0" w:space="0" w:color="auto"/>
        <w:left w:val="none" w:sz="0" w:space="0" w:color="auto"/>
        <w:bottom w:val="none" w:sz="0" w:space="0" w:color="auto"/>
        <w:right w:val="none" w:sz="0" w:space="0" w:color="auto"/>
      </w:divBdr>
    </w:div>
    <w:div w:id="1370958703">
      <w:bodyDiv w:val="1"/>
      <w:marLeft w:val="0"/>
      <w:marRight w:val="0"/>
      <w:marTop w:val="0"/>
      <w:marBottom w:val="0"/>
      <w:divBdr>
        <w:top w:val="none" w:sz="0" w:space="0" w:color="auto"/>
        <w:left w:val="none" w:sz="0" w:space="0" w:color="auto"/>
        <w:bottom w:val="none" w:sz="0" w:space="0" w:color="auto"/>
        <w:right w:val="none" w:sz="0" w:space="0" w:color="auto"/>
      </w:divBdr>
    </w:div>
    <w:div w:id="1371304698">
      <w:bodyDiv w:val="1"/>
      <w:marLeft w:val="0"/>
      <w:marRight w:val="0"/>
      <w:marTop w:val="0"/>
      <w:marBottom w:val="0"/>
      <w:divBdr>
        <w:top w:val="none" w:sz="0" w:space="0" w:color="auto"/>
        <w:left w:val="none" w:sz="0" w:space="0" w:color="auto"/>
        <w:bottom w:val="none" w:sz="0" w:space="0" w:color="auto"/>
        <w:right w:val="none" w:sz="0" w:space="0" w:color="auto"/>
      </w:divBdr>
    </w:div>
    <w:div w:id="1371342607">
      <w:bodyDiv w:val="1"/>
      <w:marLeft w:val="0"/>
      <w:marRight w:val="0"/>
      <w:marTop w:val="0"/>
      <w:marBottom w:val="0"/>
      <w:divBdr>
        <w:top w:val="none" w:sz="0" w:space="0" w:color="auto"/>
        <w:left w:val="none" w:sz="0" w:space="0" w:color="auto"/>
        <w:bottom w:val="none" w:sz="0" w:space="0" w:color="auto"/>
        <w:right w:val="none" w:sz="0" w:space="0" w:color="auto"/>
      </w:divBdr>
    </w:div>
    <w:div w:id="1371418529">
      <w:bodyDiv w:val="1"/>
      <w:marLeft w:val="0"/>
      <w:marRight w:val="0"/>
      <w:marTop w:val="0"/>
      <w:marBottom w:val="0"/>
      <w:divBdr>
        <w:top w:val="none" w:sz="0" w:space="0" w:color="auto"/>
        <w:left w:val="none" w:sz="0" w:space="0" w:color="auto"/>
        <w:bottom w:val="none" w:sz="0" w:space="0" w:color="auto"/>
        <w:right w:val="none" w:sz="0" w:space="0" w:color="auto"/>
      </w:divBdr>
    </w:div>
    <w:div w:id="1371418776">
      <w:bodyDiv w:val="1"/>
      <w:marLeft w:val="0"/>
      <w:marRight w:val="0"/>
      <w:marTop w:val="0"/>
      <w:marBottom w:val="0"/>
      <w:divBdr>
        <w:top w:val="none" w:sz="0" w:space="0" w:color="auto"/>
        <w:left w:val="none" w:sz="0" w:space="0" w:color="auto"/>
        <w:bottom w:val="none" w:sz="0" w:space="0" w:color="auto"/>
        <w:right w:val="none" w:sz="0" w:space="0" w:color="auto"/>
      </w:divBdr>
    </w:div>
    <w:div w:id="1371883791">
      <w:bodyDiv w:val="1"/>
      <w:marLeft w:val="0"/>
      <w:marRight w:val="0"/>
      <w:marTop w:val="0"/>
      <w:marBottom w:val="0"/>
      <w:divBdr>
        <w:top w:val="none" w:sz="0" w:space="0" w:color="auto"/>
        <w:left w:val="none" w:sz="0" w:space="0" w:color="auto"/>
        <w:bottom w:val="none" w:sz="0" w:space="0" w:color="auto"/>
        <w:right w:val="none" w:sz="0" w:space="0" w:color="auto"/>
      </w:divBdr>
    </w:div>
    <w:div w:id="1372143553">
      <w:bodyDiv w:val="1"/>
      <w:marLeft w:val="0"/>
      <w:marRight w:val="0"/>
      <w:marTop w:val="0"/>
      <w:marBottom w:val="0"/>
      <w:divBdr>
        <w:top w:val="none" w:sz="0" w:space="0" w:color="auto"/>
        <w:left w:val="none" w:sz="0" w:space="0" w:color="auto"/>
        <w:bottom w:val="none" w:sz="0" w:space="0" w:color="auto"/>
        <w:right w:val="none" w:sz="0" w:space="0" w:color="auto"/>
      </w:divBdr>
    </w:div>
    <w:div w:id="1372269109">
      <w:bodyDiv w:val="1"/>
      <w:marLeft w:val="0"/>
      <w:marRight w:val="0"/>
      <w:marTop w:val="0"/>
      <w:marBottom w:val="0"/>
      <w:divBdr>
        <w:top w:val="none" w:sz="0" w:space="0" w:color="auto"/>
        <w:left w:val="none" w:sz="0" w:space="0" w:color="auto"/>
        <w:bottom w:val="none" w:sz="0" w:space="0" w:color="auto"/>
        <w:right w:val="none" w:sz="0" w:space="0" w:color="auto"/>
      </w:divBdr>
    </w:div>
    <w:div w:id="1372724336">
      <w:bodyDiv w:val="1"/>
      <w:marLeft w:val="0"/>
      <w:marRight w:val="0"/>
      <w:marTop w:val="0"/>
      <w:marBottom w:val="0"/>
      <w:divBdr>
        <w:top w:val="none" w:sz="0" w:space="0" w:color="auto"/>
        <w:left w:val="none" w:sz="0" w:space="0" w:color="auto"/>
        <w:bottom w:val="none" w:sz="0" w:space="0" w:color="auto"/>
        <w:right w:val="none" w:sz="0" w:space="0" w:color="auto"/>
      </w:divBdr>
    </w:div>
    <w:div w:id="1372801732">
      <w:bodyDiv w:val="1"/>
      <w:marLeft w:val="0"/>
      <w:marRight w:val="0"/>
      <w:marTop w:val="0"/>
      <w:marBottom w:val="0"/>
      <w:divBdr>
        <w:top w:val="none" w:sz="0" w:space="0" w:color="auto"/>
        <w:left w:val="none" w:sz="0" w:space="0" w:color="auto"/>
        <w:bottom w:val="none" w:sz="0" w:space="0" w:color="auto"/>
        <w:right w:val="none" w:sz="0" w:space="0" w:color="auto"/>
      </w:divBdr>
    </w:div>
    <w:div w:id="1372923247">
      <w:bodyDiv w:val="1"/>
      <w:marLeft w:val="0"/>
      <w:marRight w:val="0"/>
      <w:marTop w:val="0"/>
      <w:marBottom w:val="0"/>
      <w:divBdr>
        <w:top w:val="none" w:sz="0" w:space="0" w:color="auto"/>
        <w:left w:val="none" w:sz="0" w:space="0" w:color="auto"/>
        <w:bottom w:val="none" w:sz="0" w:space="0" w:color="auto"/>
        <w:right w:val="none" w:sz="0" w:space="0" w:color="auto"/>
      </w:divBdr>
    </w:div>
    <w:div w:id="1373117915">
      <w:bodyDiv w:val="1"/>
      <w:marLeft w:val="0"/>
      <w:marRight w:val="0"/>
      <w:marTop w:val="0"/>
      <w:marBottom w:val="0"/>
      <w:divBdr>
        <w:top w:val="none" w:sz="0" w:space="0" w:color="auto"/>
        <w:left w:val="none" w:sz="0" w:space="0" w:color="auto"/>
        <w:bottom w:val="none" w:sz="0" w:space="0" w:color="auto"/>
        <w:right w:val="none" w:sz="0" w:space="0" w:color="auto"/>
      </w:divBdr>
    </w:div>
    <w:div w:id="1373649514">
      <w:bodyDiv w:val="1"/>
      <w:marLeft w:val="0"/>
      <w:marRight w:val="0"/>
      <w:marTop w:val="0"/>
      <w:marBottom w:val="0"/>
      <w:divBdr>
        <w:top w:val="none" w:sz="0" w:space="0" w:color="auto"/>
        <w:left w:val="none" w:sz="0" w:space="0" w:color="auto"/>
        <w:bottom w:val="none" w:sz="0" w:space="0" w:color="auto"/>
        <w:right w:val="none" w:sz="0" w:space="0" w:color="auto"/>
      </w:divBdr>
    </w:div>
    <w:div w:id="1373843687">
      <w:bodyDiv w:val="1"/>
      <w:marLeft w:val="0"/>
      <w:marRight w:val="0"/>
      <w:marTop w:val="0"/>
      <w:marBottom w:val="0"/>
      <w:divBdr>
        <w:top w:val="none" w:sz="0" w:space="0" w:color="auto"/>
        <w:left w:val="none" w:sz="0" w:space="0" w:color="auto"/>
        <w:bottom w:val="none" w:sz="0" w:space="0" w:color="auto"/>
        <w:right w:val="none" w:sz="0" w:space="0" w:color="auto"/>
      </w:divBdr>
    </w:div>
    <w:div w:id="1374229215">
      <w:bodyDiv w:val="1"/>
      <w:marLeft w:val="0"/>
      <w:marRight w:val="0"/>
      <w:marTop w:val="0"/>
      <w:marBottom w:val="0"/>
      <w:divBdr>
        <w:top w:val="none" w:sz="0" w:space="0" w:color="auto"/>
        <w:left w:val="none" w:sz="0" w:space="0" w:color="auto"/>
        <w:bottom w:val="none" w:sz="0" w:space="0" w:color="auto"/>
        <w:right w:val="none" w:sz="0" w:space="0" w:color="auto"/>
      </w:divBdr>
    </w:div>
    <w:div w:id="1374430156">
      <w:bodyDiv w:val="1"/>
      <w:marLeft w:val="0"/>
      <w:marRight w:val="0"/>
      <w:marTop w:val="0"/>
      <w:marBottom w:val="0"/>
      <w:divBdr>
        <w:top w:val="none" w:sz="0" w:space="0" w:color="auto"/>
        <w:left w:val="none" w:sz="0" w:space="0" w:color="auto"/>
        <w:bottom w:val="none" w:sz="0" w:space="0" w:color="auto"/>
        <w:right w:val="none" w:sz="0" w:space="0" w:color="auto"/>
      </w:divBdr>
    </w:div>
    <w:div w:id="1374574690">
      <w:bodyDiv w:val="1"/>
      <w:marLeft w:val="0"/>
      <w:marRight w:val="0"/>
      <w:marTop w:val="0"/>
      <w:marBottom w:val="0"/>
      <w:divBdr>
        <w:top w:val="none" w:sz="0" w:space="0" w:color="auto"/>
        <w:left w:val="none" w:sz="0" w:space="0" w:color="auto"/>
        <w:bottom w:val="none" w:sz="0" w:space="0" w:color="auto"/>
        <w:right w:val="none" w:sz="0" w:space="0" w:color="auto"/>
      </w:divBdr>
    </w:div>
    <w:div w:id="1374845852">
      <w:bodyDiv w:val="1"/>
      <w:marLeft w:val="0"/>
      <w:marRight w:val="0"/>
      <w:marTop w:val="0"/>
      <w:marBottom w:val="0"/>
      <w:divBdr>
        <w:top w:val="none" w:sz="0" w:space="0" w:color="auto"/>
        <w:left w:val="none" w:sz="0" w:space="0" w:color="auto"/>
        <w:bottom w:val="none" w:sz="0" w:space="0" w:color="auto"/>
        <w:right w:val="none" w:sz="0" w:space="0" w:color="auto"/>
      </w:divBdr>
    </w:div>
    <w:div w:id="1374891326">
      <w:bodyDiv w:val="1"/>
      <w:marLeft w:val="0"/>
      <w:marRight w:val="0"/>
      <w:marTop w:val="0"/>
      <w:marBottom w:val="0"/>
      <w:divBdr>
        <w:top w:val="none" w:sz="0" w:space="0" w:color="auto"/>
        <w:left w:val="none" w:sz="0" w:space="0" w:color="auto"/>
        <w:bottom w:val="none" w:sz="0" w:space="0" w:color="auto"/>
        <w:right w:val="none" w:sz="0" w:space="0" w:color="auto"/>
      </w:divBdr>
    </w:div>
    <w:div w:id="1375694626">
      <w:bodyDiv w:val="1"/>
      <w:marLeft w:val="0"/>
      <w:marRight w:val="0"/>
      <w:marTop w:val="0"/>
      <w:marBottom w:val="0"/>
      <w:divBdr>
        <w:top w:val="none" w:sz="0" w:space="0" w:color="auto"/>
        <w:left w:val="none" w:sz="0" w:space="0" w:color="auto"/>
        <w:bottom w:val="none" w:sz="0" w:space="0" w:color="auto"/>
        <w:right w:val="none" w:sz="0" w:space="0" w:color="auto"/>
      </w:divBdr>
    </w:div>
    <w:div w:id="1375808576">
      <w:bodyDiv w:val="1"/>
      <w:marLeft w:val="0"/>
      <w:marRight w:val="0"/>
      <w:marTop w:val="0"/>
      <w:marBottom w:val="0"/>
      <w:divBdr>
        <w:top w:val="none" w:sz="0" w:space="0" w:color="auto"/>
        <w:left w:val="none" w:sz="0" w:space="0" w:color="auto"/>
        <w:bottom w:val="none" w:sz="0" w:space="0" w:color="auto"/>
        <w:right w:val="none" w:sz="0" w:space="0" w:color="auto"/>
      </w:divBdr>
    </w:div>
    <w:div w:id="1375889479">
      <w:bodyDiv w:val="1"/>
      <w:marLeft w:val="0"/>
      <w:marRight w:val="0"/>
      <w:marTop w:val="0"/>
      <w:marBottom w:val="0"/>
      <w:divBdr>
        <w:top w:val="none" w:sz="0" w:space="0" w:color="auto"/>
        <w:left w:val="none" w:sz="0" w:space="0" w:color="auto"/>
        <w:bottom w:val="none" w:sz="0" w:space="0" w:color="auto"/>
        <w:right w:val="none" w:sz="0" w:space="0" w:color="auto"/>
      </w:divBdr>
    </w:div>
    <w:div w:id="1375931691">
      <w:bodyDiv w:val="1"/>
      <w:marLeft w:val="0"/>
      <w:marRight w:val="0"/>
      <w:marTop w:val="0"/>
      <w:marBottom w:val="0"/>
      <w:divBdr>
        <w:top w:val="none" w:sz="0" w:space="0" w:color="auto"/>
        <w:left w:val="none" w:sz="0" w:space="0" w:color="auto"/>
        <w:bottom w:val="none" w:sz="0" w:space="0" w:color="auto"/>
        <w:right w:val="none" w:sz="0" w:space="0" w:color="auto"/>
      </w:divBdr>
    </w:div>
    <w:div w:id="1375957970">
      <w:bodyDiv w:val="1"/>
      <w:marLeft w:val="0"/>
      <w:marRight w:val="0"/>
      <w:marTop w:val="0"/>
      <w:marBottom w:val="0"/>
      <w:divBdr>
        <w:top w:val="none" w:sz="0" w:space="0" w:color="auto"/>
        <w:left w:val="none" w:sz="0" w:space="0" w:color="auto"/>
        <w:bottom w:val="none" w:sz="0" w:space="0" w:color="auto"/>
        <w:right w:val="none" w:sz="0" w:space="0" w:color="auto"/>
      </w:divBdr>
    </w:div>
    <w:div w:id="1376080847">
      <w:bodyDiv w:val="1"/>
      <w:marLeft w:val="0"/>
      <w:marRight w:val="0"/>
      <w:marTop w:val="0"/>
      <w:marBottom w:val="0"/>
      <w:divBdr>
        <w:top w:val="none" w:sz="0" w:space="0" w:color="auto"/>
        <w:left w:val="none" w:sz="0" w:space="0" w:color="auto"/>
        <w:bottom w:val="none" w:sz="0" w:space="0" w:color="auto"/>
        <w:right w:val="none" w:sz="0" w:space="0" w:color="auto"/>
      </w:divBdr>
    </w:div>
    <w:div w:id="1376193378">
      <w:bodyDiv w:val="1"/>
      <w:marLeft w:val="0"/>
      <w:marRight w:val="0"/>
      <w:marTop w:val="0"/>
      <w:marBottom w:val="0"/>
      <w:divBdr>
        <w:top w:val="none" w:sz="0" w:space="0" w:color="auto"/>
        <w:left w:val="none" w:sz="0" w:space="0" w:color="auto"/>
        <w:bottom w:val="none" w:sz="0" w:space="0" w:color="auto"/>
        <w:right w:val="none" w:sz="0" w:space="0" w:color="auto"/>
      </w:divBdr>
    </w:div>
    <w:div w:id="1376730578">
      <w:bodyDiv w:val="1"/>
      <w:marLeft w:val="0"/>
      <w:marRight w:val="0"/>
      <w:marTop w:val="0"/>
      <w:marBottom w:val="0"/>
      <w:divBdr>
        <w:top w:val="none" w:sz="0" w:space="0" w:color="auto"/>
        <w:left w:val="none" w:sz="0" w:space="0" w:color="auto"/>
        <w:bottom w:val="none" w:sz="0" w:space="0" w:color="auto"/>
        <w:right w:val="none" w:sz="0" w:space="0" w:color="auto"/>
      </w:divBdr>
    </w:div>
    <w:div w:id="1377004352">
      <w:bodyDiv w:val="1"/>
      <w:marLeft w:val="0"/>
      <w:marRight w:val="0"/>
      <w:marTop w:val="0"/>
      <w:marBottom w:val="0"/>
      <w:divBdr>
        <w:top w:val="none" w:sz="0" w:space="0" w:color="auto"/>
        <w:left w:val="none" w:sz="0" w:space="0" w:color="auto"/>
        <w:bottom w:val="none" w:sz="0" w:space="0" w:color="auto"/>
        <w:right w:val="none" w:sz="0" w:space="0" w:color="auto"/>
      </w:divBdr>
    </w:div>
    <w:div w:id="1377242909">
      <w:bodyDiv w:val="1"/>
      <w:marLeft w:val="0"/>
      <w:marRight w:val="0"/>
      <w:marTop w:val="0"/>
      <w:marBottom w:val="0"/>
      <w:divBdr>
        <w:top w:val="none" w:sz="0" w:space="0" w:color="auto"/>
        <w:left w:val="none" w:sz="0" w:space="0" w:color="auto"/>
        <w:bottom w:val="none" w:sz="0" w:space="0" w:color="auto"/>
        <w:right w:val="none" w:sz="0" w:space="0" w:color="auto"/>
      </w:divBdr>
    </w:div>
    <w:div w:id="1377436367">
      <w:bodyDiv w:val="1"/>
      <w:marLeft w:val="0"/>
      <w:marRight w:val="0"/>
      <w:marTop w:val="0"/>
      <w:marBottom w:val="0"/>
      <w:divBdr>
        <w:top w:val="none" w:sz="0" w:space="0" w:color="auto"/>
        <w:left w:val="none" w:sz="0" w:space="0" w:color="auto"/>
        <w:bottom w:val="none" w:sz="0" w:space="0" w:color="auto"/>
        <w:right w:val="none" w:sz="0" w:space="0" w:color="auto"/>
      </w:divBdr>
    </w:div>
    <w:div w:id="1377588767">
      <w:bodyDiv w:val="1"/>
      <w:marLeft w:val="0"/>
      <w:marRight w:val="0"/>
      <w:marTop w:val="0"/>
      <w:marBottom w:val="0"/>
      <w:divBdr>
        <w:top w:val="none" w:sz="0" w:space="0" w:color="auto"/>
        <w:left w:val="none" w:sz="0" w:space="0" w:color="auto"/>
        <w:bottom w:val="none" w:sz="0" w:space="0" w:color="auto"/>
        <w:right w:val="none" w:sz="0" w:space="0" w:color="auto"/>
      </w:divBdr>
    </w:div>
    <w:div w:id="1377699353">
      <w:bodyDiv w:val="1"/>
      <w:marLeft w:val="0"/>
      <w:marRight w:val="0"/>
      <w:marTop w:val="0"/>
      <w:marBottom w:val="0"/>
      <w:divBdr>
        <w:top w:val="none" w:sz="0" w:space="0" w:color="auto"/>
        <w:left w:val="none" w:sz="0" w:space="0" w:color="auto"/>
        <w:bottom w:val="none" w:sz="0" w:space="0" w:color="auto"/>
        <w:right w:val="none" w:sz="0" w:space="0" w:color="auto"/>
      </w:divBdr>
    </w:div>
    <w:div w:id="1377895922">
      <w:bodyDiv w:val="1"/>
      <w:marLeft w:val="0"/>
      <w:marRight w:val="0"/>
      <w:marTop w:val="0"/>
      <w:marBottom w:val="0"/>
      <w:divBdr>
        <w:top w:val="none" w:sz="0" w:space="0" w:color="auto"/>
        <w:left w:val="none" w:sz="0" w:space="0" w:color="auto"/>
        <w:bottom w:val="none" w:sz="0" w:space="0" w:color="auto"/>
        <w:right w:val="none" w:sz="0" w:space="0" w:color="auto"/>
      </w:divBdr>
    </w:div>
    <w:div w:id="1377899572">
      <w:bodyDiv w:val="1"/>
      <w:marLeft w:val="0"/>
      <w:marRight w:val="0"/>
      <w:marTop w:val="0"/>
      <w:marBottom w:val="0"/>
      <w:divBdr>
        <w:top w:val="none" w:sz="0" w:space="0" w:color="auto"/>
        <w:left w:val="none" w:sz="0" w:space="0" w:color="auto"/>
        <w:bottom w:val="none" w:sz="0" w:space="0" w:color="auto"/>
        <w:right w:val="none" w:sz="0" w:space="0" w:color="auto"/>
      </w:divBdr>
    </w:div>
    <w:div w:id="1378314528">
      <w:bodyDiv w:val="1"/>
      <w:marLeft w:val="0"/>
      <w:marRight w:val="0"/>
      <w:marTop w:val="0"/>
      <w:marBottom w:val="0"/>
      <w:divBdr>
        <w:top w:val="none" w:sz="0" w:space="0" w:color="auto"/>
        <w:left w:val="none" w:sz="0" w:space="0" w:color="auto"/>
        <w:bottom w:val="none" w:sz="0" w:space="0" w:color="auto"/>
        <w:right w:val="none" w:sz="0" w:space="0" w:color="auto"/>
      </w:divBdr>
    </w:div>
    <w:div w:id="1378353217">
      <w:bodyDiv w:val="1"/>
      <w:marLeft w:val="0"/>
      <w:marRight w:val="0"/>
      <w:marTop w:val="0"/>
      <w:marBottom w:val="0"/>
      <w:divBdr>
        <w:top w:val="none" w:sz="0" w:space="0" w:color="auto"/>
        <w:left w:val="none" w:sz="0" w:space="0" w:color="auto"/>
        <w:bottom w:val="none" w:sz="0" w:space="0" w:color="auto"/>
        <w:right w:val="none" w:sz="0" w:space="0" w:color="auto"/>
      </w:divBdr>
    </w:div>
    <w:div w:id="1378746898">
      <w:bodyDiv w:val="1"/>
      <w:marLeft w:val="0"/>
      <w:marRight w:val="0"/>
      <w:marTop w:val="0"/>
      <w:marBottom w:val="0"/>
      <w:divBdr>
        <w:top w:val="none" w:sz="0" w:space="0" w:color="auto"/>
        <w:left w:val="none" w:sz="0" w:space="0" w:color="auto"/>
        <w:bottom w:val="none" w:sz="0" w:space="0" w:color="auto"/>
        <w:right w:val="none" w:sz="0" w:space="0" w:color="auto"/>
      </w:divBdr>
    </w:div>
    <w:div w:id="1379088628">
      <w:bodyDiv w:val="1"/>
      <w:marLeft w:val="0"/>
      <w:marRight w:val="0"/>
      <w:marTop w:val="0"/>
      <w:marBottom w:val="0"/>
      <w:divBdr>
        <w:top w:val="none" w:sz="0" w:space="0" w:color="auto"/>
        <w:left w:val="none" w:sz="0" w:space="0" w:color="auto"/>
        <w:bottom w:val="none" w:sz="0" w:space="0" w:color="auto"/>
        <w:right w:val="none" w:sz="0" w:space="0" w:color="auto"/>
      </w:divBdr>
    </w:div>
    <w:div w:id="1379428059">
      <w:bodyDiv w:val="1"/>
      <w:marLeft w:val="0"/>
      <w:marRight w:val="0"/>
      <w:marTop w:val="0"/>
      <w:marBottom w:val="0"/>
      <w:divBdr>
        <w:top w:val="none" w:sz="0" w:space="0" w:color="auto"/>
        <w:left w:val="none" w:sz="0" w:space="0" w:color="auto"/>
        <w:bottom w:val="none" w:sz="0" w:space="0" w:color="auto"/>
        <w:right w:val="none" w:sz="0" w:space="0" w:color="auto"/>
      </w:divBdr>
    </w:div>
    <w:div w:id="1379624508">
      <w:bodyDiv w:val="1"/>
      <w:marLeft w:val="0"/>
      <w:marRight w:val="0"/>
      <w:marTop w:val="0"/>
      <w:marBottom w:val="0"/>
      <w:divBdr>
        <w:top w:val="none" w:sz="0" w:space="0" w:color="auto"/>
        <w:left w:val="none" w:sz="0" w:space="0" w:color="auto"/>
        <w:bottom w:val="none" w:sz="0" w:space="0" w:color="auto"/>
        <w:right w:val="none" w:sz="0" w:space="0" w:color="auto"/>
      </w:divBdr>
    </w:div>
    <w:div w:id="1379670068">
      <w:bodyDiv w:val="1"/>
      <w:marLeft w:val="0"/>
      <w:marRight w:val="0"/>
      <w:marTop w:val="0"/>
      <w:marBottom w:val="0"/>
      <w:divBdr>
        <w:top w:val="none" w:sz="0" w:space="0" w:color="auto"/>
        <w:left w:val="none" w:sz="0" w:space="0" w:color="auto"/>
        <w:bottom w:val="none" w:sz="0" w:space="0" w:color="auto"/>
        <w:right w:val="none" w:sz="0" w:space="0" w:color="auto"/>
      </w:divBdr>
    </w:div>
    <w:div w:id="1379741480">
      <w:bodyDiv w:val="1"/>
      <w:marLeft w:val="0"/>
      <w:marRight w:val="0"/>
      <w:marTop w:val="0"/>
      <w:marBottom w:val="0"/>
      <w:divBdr>
        <w:top w:val="none" w:sz="0" w:space="0" w:color="auto"/>
        <w:left w:val="none" w:sz="0" w:space="0" w:color="auto"/>
        <w:bottom w:val="none" w:sz="0" w:space="0" w:color="auto"/>
        <w:right w:val="none" w:sz="0" w:space="0" w:color="auto"/>
      </w:divBdr>
    </w:div>
    <w:div w:id="1379865160">
      <w:bodyDiv w:val="1"/>
      <w:marLeft w:val="0"/>
      <w:marRight w:val="0"/>
      <w:marTop w:val="0"/>
      <w:marBottom w:val="0"/>
      <w:divBdr>
        <w:top w:val="none" w:sz="0" w:space="0" w:color="auto"/>
        <w:left w:val="none" w:sz="0" w:space="0" w:color="auto"/>
        <w:bottom w:val="none" w:sz="0" w:space="0" w:color="auto"/>
        <w:right w:val="none" w:sz="0" w:space="0" w:color="auto"/>
      </w:divBdr>
    </w:div>
    <w:div w:id="1380010301">
      <w:bodyDiv w:val="1"/>
      <w:marLeft w:val="0"/>
      <w:marRight w:val="0"/>
      <w:marTop w:val="0"/>
      <w:marBottom w:val="0"/>
      <w:divBdr>
        <w:top w:val="none" w:sz="0" w:space="0" w:color="auto"/>
        <w:left w:val="none" w:sz="0" w:space="0" w:color="auto"/>
        <w:bottom w:val="none" w:sz="0" w:space="0" w:color="auto"/>
        <w:right w:val="none" w:sz="0" w:space="0" w:color="auto"/>
      </w:divBdr>
    </w:div>
    <w:div w:id="1380014914">
      <w:bodyDiv w:val="1"/>
      <w:marLeft w:val="0"/>
      <w:marRight w:val="0"/>
      <w:marTop w:val="0"/>
      <w:marBottom w:val="0"/>
      <w:divBdr>
        <w:top w:val="none" w:sz="0" w:space="0" w:color="auto"/>
        <w:left w:val="none" w:sz="0" w:space="0" w:color="auto"/>
        <w:bottom w:val="none" w:sz="0" w:space="0" w:color="auto"/>
        <w:right w:val="none" w:sz="0" w:space="0" w:color="auto"/>
      </w:divBdr>
    </w:div>
    <w:div w:id="1380471779">
      <w:bodyDiv w:val="1"/>
      <w:marLeft w:val="0"/>
      <w:marRight w:val="0"/>
      <w:marTop w:val="0"/>
      <w:marBottom w:val="0"/>
      <w:divBdr>
        <w:top w:val="none" w:sz="0" w:space="0" w:color="auto"/>
        <w:left w:val="none" w:sz="0" w:space="0" w:color="auto"/>
        <w:bottom w:val="none" w:sz="0" w:space="0" w:color="auto"/>
        <w:right w:val="none" w:sz="0" w:space="0" w:color="auto"/>
      </w:divBdr>
    </w:div>
    <w:div w:id="1380587232">
      <w:bodyDiv w:val="1"/>
      <w:marLeft w:val="0"/>
      <w:marRight w:val="0"/>
      <w:marTop w:val="0"/>
      <w:marBottom w:val="0"/>
      <w:divBdr>
        <w:top w:val="none" w:sz="0" w:space="0" w:color="auto"/>
        <w:left w:val="none" w:sz="0" w:space="0" w:color="auto"/>
        <w:bottom w:val="none" w:sz="0" w:space="0" w:color="auto"/>
        <w:right w:val="none" w:sz="0" w:space="0" w:color="auto"/>
      </w:divBdr>
    </w:div>
    <w:div w:id="1380591669">
      <w:bodyDiv w:val="1"/>
      <w:marLeft w:val="0"/>
      <w:marRight w:val="0"/>
      <w:marTop w:val="0"/>
      <w:marBottom w:val="0"/>
      <w:divBdr>
        <w:top w:val="none" w:sz="0" w:space="0" w:color="auto"/>
        <w:left w:val="none" w:sz="0" w:space="0" w:color="auto"/>
        <w:bottom w:val="none" w:sz="0" w:space="0" w:color="auto"/>
        <w:right w:val="none" w:sz="0" w:space="0" w:color="auto"/>
      </w:divBdr>
    </w:div>
    <w:div w:id="1380713875">
      <w:bodyDiv w:val="1"/>
      <w:marLeft w:val="0"/>
      <w:marRight w:val="0"/>
      <w:marTop w:val="0"/>
      <w:marBottom w:val="0"/>
      <w:divBdr>
        <w:top w:val="none" w:sz="0" w:space="0" w:color="auto"/>
        <w:left w:val="none" w:sz="0" w:space="0" w:color="auto"/>
        <w:bottom w:val="none" w:sz="0" w:space="0" w:color="auto"/>
        <w:right w:val="none" w:sz="0" w:space="0" w:color="auto"/>
      </w:divBdr>
    </w:div>
    <w:div w:id="1380744590">
      <w:bodyDiv w:val="1"/>
      <w:marLeft w:val="0"/>
      <w:marRight w:val="0"/>
      <w:marTop w:val="0"/>
      <w:marBottom w:val="0"/>
      <w:divBdr>
        <w:top w:val="none" w:sz="0" w:space="0" w:color="auto"/>
        <w:left w:val="none" w:sz="0" w:space="0" w:color="auto"/>
        <w:bottom w:val="none" w:sz="0" w:space="0" w:color="auto"/>
        <w:right w:val="none" w:sz="0" w:space="0" w:color="auto"/>
      </w:divBdr>
    </w:div>
    <w:div w:id="1380784615">
      <w:bodyDiv w:val="1"/>
      <w:marLeft w:val="0"/>
      <w:marRight w:val="0"/>
      <w:marTop w:val="0"/>
      <w:marBottom w:val="0"/>
      <w:divBdr>
        <w:top w:val="none" w:sz="0" w:space="0" w:color="auto"/>
        <w:left w:val="none" w:sz="0" w:space="0" w:color="auto"/>
        <w:bottom w:val="none" w:sz="0" w:space="0" w:color="auto"/>
        <w:right w:val="none" w:sz="0" w:space="0" w:color="auto"/>
      </w:divBdr>
    </w:div>
    <w:div w:id="1380864610">
      <w:bodyDiv w:val="1"/>
      <w:marLeft w:val="0"/>
      <w:marRight w:val="0"/>
      <w:marTop w:val="0"/>
      <w:marBottom w:val="0"/>
      <w:divBdr>
        <w:top w:val="none" w:sz="0" w:space="0" w:color="auto"/>
        <w:left w:val="none" w:sz="0" w:space="0" w:color="auto"/>
        <w:bottom w:val="none" w:sz="0" w:space="0" w:color="auto"/>
        <w:right w:val="none" w:sz="0" w:space="0" w:color="auto"/>
      </w:divBdr>
    </w:div>
    <w:div w:id="1381129583">
      <w:bodyDiv w:val="1"/>
      <w:marLeft w:val="0"/>
      <w:marRight w:val="0"/>
      <w:marTop w:val="0"/>
      <w:marBottom w:val="0"/>
      <w:divBdr>
        <w:top w:val="none" w:sz="0" w:space="0" w:color="auto"/>
        <w:left w:val="none" w:sz="0" w:space="0" w:color="auto"/>
        <w:bottom w:val="none" w:sz="0" w:space="0" w:color="auto"/>
        <w:right w:val="none" w:sz="0" w:space="0" w:color="auto"/>
      </w:divBdr>
    </w:div>
    <w:div w:id="1381513189">
      <w:bodyDiv w:val="1"/>
      <w:marLeft w:val="0"/>
      <w:marRight w:val="0"/>
      <w:marTop w:val="0"/>
      <w:marBottom w:val="0"/>
      <w:divBdr>
        <w:top w:val="none" w:sz="0" w:space="0" w:color="auto"/>
        <w:left w:val="none" w:sz="0" w:space="0" w:color="auto"/>
        <w:bottom w:val="none" w:sz="0" w:space="0" w:color="auto"/>
        <w:right w:val="none" w:sz="0" w:space="0" w:color="auto"/>
      </w:divBdr>
    </w:div>
    <w:div w:id="1381519953">
      <w:bodyDiv w:val="1"/>
      <w:marLeft w:val="0"/>
      <w:marRight w:val="0"/>
      <w:marTop w:val="0"/>
      <w:marBottom w:val="0"/>
      <w:divBdr>
        <w:top w:val="none" w:sz="0" w:space="0" w:color="auto"/>
        <w:left w:val="none" w:sz="0" w:space="0" w:color="auto"/>
        <w:bottom w:val="none" w:sz="0" w:space="0" w:color="auto"/>
        <w:right w:val="none" w:sz="0" w:space="0" w:color="auto"/>
      </w:divBdr>
    </w:div>
    <w:div w:id="1381709853">
      <w:bodyDiv w:val="1"/>
      <w:marLeft w:val="0"/>
      <w:marRight w:val="0"/>
      <w:marTop w:val="0"/>
      <w:marBottom w:val="0"/>
      <w:divBdr>
        <w:top w:val="none" w:sz="0" w:space="0" w:color="auto"/>
        <w:left w:val="none" w:sz="0" w:space="0" w:color="auto"/>
        <w:bottom w:val="none" w:sz="0" w:space="0" w:color="auto"/>
        <w:right w:val="none" w:sz="0" w:space="0" w:color="auto"/>
      </w:divBdr>
    </w:div>
    <w:div w:id="1381780975">
      <w:bodyDiv w:val="1"/>
      <w:marLeft w:val="0"/>
      <w:marRight w:val="0"/>
      <w:marTop w:val="0"/>
      <w:marBottom w:val="0"/>
      <w:divBdr>
        <w:top w:val="none" w:sz="0" w:space="0" w:color="auto"/>
        <w:left w:val="none" w:sz="0" w:space="0" w:color="auto"/>
        <w:bottom w:val="none" w:sz="0" w:space="0" w:color="auto"/>
        <w:right w:val="none" w:sz="0" w:space="0" w:color="auto"/>
      </w:divBdr>
    </w:div>
    <w:div w:id="1381976431">
      <w:bodyDiv w:val="1"/>
      <w:marLeft w:val="0"/>
      <w:marRight w:val="0"/>
      <w:marTop w:val="0"/>
      <w:marBottom w:val="0"/>
      <w:divBdr>
        <w:top w:val="none" w:sz="0" w:space="0" w:color="auto"/>
        <w:left w:val="none" w:sz="0" w:space="0" w:color="auto"/>
        <w:bottom w:val="none" w:sz="0" w:space="0" w:color="auto"/>
        <w:right w:val="none" w:sz="0" w:space="0" w:color="auto"/>
      </w:divBdr>
    </w:div>
    <w:div w:id="1382553224">
      <w:bodyDiv w:val="1"/>
      <w:marLeft w:val="0"/>
      <w:marRight w:val="0"/>
      <w:marTop w:val="0"/>
      <w:marBottom w:val="0"/>
      <w:divBdr>
        <w:top w:val="none" w:sz="0" w:space="0" w:color="auto"/>
        <w:left w:val="none" w:sz="0" w:space="0" w:color="auto"/>
        <w:bottom w:val="none" w:sz="0" w:space="0" w:color="auto"/>
        <w:right w:val="none" w:sz="0" w:space="0" w:color="auto"/>
      </w:divBdr>
    </w:div>
    <w:div w:id="1382555598">
      <w:bodyDiv w:val="1"/>
      <w:marLeft w:val="0"/>
      <w:marRight w:val="0"/>
      <w:marTop w:val="0"/>
      <w:marBottom w:val="0"/>
      <w:divBdr>
        <w:top w:val="none" w:sz="0" w:space="0" w:color="auto"/>
        <w:left w:val="none" w:sz="0" w:space="0" w:color="auto"/>
        <w:bottom w:val="none" w:sz="0" w:space="0" w:color="auto"/>
        <w:right w:val="none" w:sz="0" w:space="0" w:color="auto"/>
      </w:divBdr>
    </w:div>
    <w:div w:id="1382703963">
      <w:bodyDiv w:val="1"/>
      <w:marLeft w:val="0"/>
      <w:marRight w:val="0"/>
      <w:marTop w:val="0"/>
      <w:marBottom w:val="0"/>
      <w:divBdr>
        <w:top w:val="none" w:sz="0" w:space="0" w:color="auto"/>
        <w:left w:val="none" w:sz="0" w:space="0" w:color="auto"/>
        <w:bottom w:val="none" w:sz="0" w:space="0" w:color="auto"/>
        <w:right w:val="none" w:sz="0" w:space="0" w:color="auto"/>
      </w:divBdr>
    </w:div>
    <w:div w:id="1382705630">
      <w:bodyDiv w:val="1"/>
      <w:marLeft w:val="0"/>
      <w:marRight w:val="0"/>
      <w:marTop w:val="0"/>
      <w:marBottom w:val="0"/>
      <w:divBdr>
        <w:top w:val="none" w:sz="0" w:space="0" w:color="auto"/>
        <w:left w:val="none" w:sz="0" w:space="0" w:color="auto"/>
        <w:bottom w:val="none" w:sz="0" w:space="0" w:color="auto"/>
        <w:right w:val="none" w:sz="0" w:space="0" w:color="auto"/>
      </w:divBdr>
    </w:div>
    <w:div w:id="1382945449">
      <w:bodyDiv w:val="1"/>
      <w:marLeft w:val="0"/>
      <w:marRight w:val="0"/>
      <w:marTop w:val="0"/>
      <w:marBottom w:val="0"/>
      <w:divBdr>
        <w:top w:val="none" w:sz="0" w:space="0" w:color="auto"/>
        <w:left w:val="none" w:sz="0" w:space="0" w:color="auto"/>
        <w:bottom w:val="none" w:sz="0" w:space="0" w:color="auto"/>
        <w:right w:val="none" w:sz="0" w:space="0" w:color="auto"/>
      </w:divBdr>
    </w:div>
    <w:div w:id="1383141869">
      <w:bodyDiv w:val="1"/>
      <w:marLeft w:val="0"/>
      <w:marRight w:val="0"/>
      <w:marTop w:val="0"/>
      <w:marBottom w:val="0"/>
      <w:divBdr>
        <w:top w:val="none" w:sz="0" w:space="0" w:color="auto"/>
        <w:left w:val="none" w:sz="0" w:space="0" w:color="auto"/>
        <w:bottom w:val="none" w:sz="0" w:space="0" w:color="auto"/>
        <w:right w:val="none" w:sz="0" w:space="0" w:color="auto"/>
      </w:divBdr>
    </w:div>
    <w:div w:id="1383476699">
      <w:bodyDiv w:val="1"/>
      <w:marLeft w:val="0"/>
      <w:marRight w:val="0"/>
      <w:marTop w:val="0"/>
      <w:marBottom w:val="0"/>
      <w:divBdr>
        <w:top w:val="none" w:sz="0" w:space="0" w:color="auto"/>
        <w:left w:val="none" w:sz="0" w:space="0" w:color="auto"/>
        <w:bottom w:val="none" w:sz="0" w:space="0" w:color="auto"/>
        <w:right w:val="none" w:sz="0" w:space="0" w:color="auto"/>
      </w:divBdr>
    </w:div>
    <w:div w:id="1383599715">
      <w:bodyDiv w:val="1"/>
      <w:marLeft w:val="0"/>
      <w:marRight w:val="0"/>
      <w:marTop w:val="0"/>
      <w:marBottom w:val="0"/>
      <w:divBdr>
        <w:top w:val="none" w:sz="0" w:space="0" w:color="auto"/>
        <w:left w:val="none" w:sz="0" w:space="0" w:color="auto"/>
        <w:bottom w:val="none" w:sz="0" w:space="0" w:color="auto"/>
        <w:right w:val="none" w:sz="0" w:space="0" w:color="auto"/>
      </w:divBdr>
    </w:div>
    <w:div w:id="1383939519">
      <w:bodyDiv w:val="1"/>
      <w:marLeft w:val="0"/>
      <w:marRight w:val="0"/>
      <w:marTop w:val="0"/>
      <w:marBottom w:val="0"/>
      <w:divBdr>
        <w:top w:val="none" w:sz="0" w:space="0" w:color="auto"/>
        <w:left w:val="none" w:sz="0" w:space="0" w:color="auto"/>
        <w:bottom w:val="none" w:sz="0" w:space="0" w:color="auto"/>
        <w:right w:val="none" w:sz="0" w:space="0" w:color="auto"/>
      </w:divBdr>
    </w:div>
    <w:div w:id="1384283757">
      <w:bodyDiv w:val="1"/>
      <w:marLeft w:val="0"/>
      <w:marRight w:val="0"/>
      <w:marTop w:val="0"/>
      <w:marBottom w:val="0"/>
      <w:divBdr>
        <w:top w:val="none" w:sz="0" w:space="0" w:color="auto"/>
        <w:left w:val="none" w:sz="0" w:space="0" w:color="auto"/>
        <w:bottom w:val="none" w:sz="0" w:space="0" w:color="auto"/>
        <w:right w:val="none" w:sz="0" w:space="0" w:color="auto"/>
      </w:divBdr>
    </w:div>
    <w:div w:id="1384713068">
      <w:bodyDiv w:val="1"/>
      <w:marLeft w:val="0"/>
      <w:marRight w:val="0"/>
      <w:marTop w:val="0"/>
      <w:marBottom w:val="0"/>
      <w:divBdr>
        <w:top w:val="none" w:sz="0" w:space="0" w:color="auto"/>
        <w:left w:val="none" w:sz="0" w:space="0" w:color="auto"/>
        <w:bottom w:val="none" w:sz="0" w:space="0" w:color="auto"/>
        <w:right w:val="none" w:sz="0" w:space="0" w:color="auto"/>
      </w:divBdr>
    </w:div>
    <w:div w:id="1385451920">
      <w:bodyDiv w:val="1"/>
      <w:marLeft w:val="0"/>
      <w:marRight w:val="0"/>
      <w:marTop w:val="0"/>
      <w:marBottom w:val="0"/>
      <w:divBdr>
        <w:top w:val="none" w:sz="0" w:space="0" w:color="auto"/>
        <w:left w:val="none" w:sz="0" w:space="0" w:color="auto"/>
        <w:bottom w:val="none" w:sz="0" w:space="0" w:color="auto"/>
        <w:right w:val="none" w:sz="0" w:space="0" w:color="auto"/>
      </w:divBdr>
    </w:div>
    <w:div w:id="1385520672">
      <w:bodyDiv w:val="1"/>
      <w:marLeft w:val="0"/>
      <w:marRight w:val="0"/>
      <w:marTop w:val="0"/>
      <w:marBottom w:val="0"/>
      <w:divBdr>
        <w:top w:val="none" w:sz="0" w:space="0" w:color="auto"/>
        <w:left w:val="none" w:sz="0" w:space="0" w:color="auto"/>
        <w:bottom w:val="none" w:sz="0" w:space="0" w:color="auto"/>
        <w:right w:val="none" w:sz="0" w:space="0" w:color="auto"/>
      </w:divBdr>
    </w:div>
    <w:div w:id="1385762594">
      <w:bodyDiv w:val="1"/>
      <w:marLeft w:val="0"/>
      <w:marRight w:val="0"/>
      <w:marTop w:val="0"/>
      <w:marBottom w:val="0"/>
      <w:divBdr>
        <w:top w:val="none" w:sz="0" w:space="0" w:color="auto"/>
        <w:left w:val="none" w:sz="0" w:space="0" w:color="auto"/>
        <w:bottom w:val="none" w:sz="0" w:space="0" w:color="auto"/>
        <w:right w:val="none" w:sz="0" w:space="0" w:color="auto"/>
      </w:divBdr>
    </w:div>
    <w:div w:id="1385981829">
      <w:bodyDiv w:val="1"/>
      <w:marLeft w:val="0"/>
      <w:marRight w:val="0"/>
      <w:marTop w:val="0"/>
      <w:marBottom w:val="0"/>
      <w:divBdr>
        <w:top w:val="none" w:sz="0" w:space="0" w:color="auto"/>
        <w:left w:val="none" w:sz="0" w:space="0" w:color="auto"/>
        <w:bottom w:val="none" w:sz="0" w:space="0" w:color="auto"/>
        <w:right w:val="none" w:sz="0" w:space="0" w:color="auto"/>
      </w:divBdr>
    </w:div>
    <w:div w:id="1386102342">
      <w:bodyDiv w:val="1"/>
      <w:marLeft w:val="0"/>
      <w:marRight w:val="0"/>
      <w:marTop w:val="0"/>
      <w:marBottom w:val="0"/>
      <w:divBdr>
        <w:top w:val="none" w:sz="0" w:space="0" w:color="auto"/>
        <w:left w:val="none" w:sz="0" w:space="0" w:color="auto"/>
        <w:bottom w:val="none" w:sz="0" w:space="0" w:color="auto"/>
        <w:right w:val="none" w:sz="0" w:space="0" w:color="auto"/>
      </w:divBdr>
    </w:div>
    <w:div w:id="1386106935">
      <w:bodyDiv w:val="1"/>
      <w:marLeft w:val="0"/>
      <w:marRight w:val="0"/>
      <w:marTop w:val="0"/>
      <w:marBottom w:val="0"/>
      <w:divBdr>
        <w:top w:val="none" w:sz="0" w:space="0" w:color="auto"/>
        <w:left w:val="none" w:sz="0" w:space="0" w:color="auto"/>
        <w:bottom w:val="none" w:sz="0" w:space="0" w:color="auto"/>
        <w:right w:val="none" w:sz="0" w:space="0" w:color="auto"/>
      </w:divBdr>
    </w:div>
    <w:div w:id="1386367371">
      <w:bodyDiv w:val="1"/>
      <w:marLeft w:val="0"/>
      <w:marRight w:val="0"/>
      <w:marTop w:val="0"/>
      <w:marBottom w:val="0"/>
      <w:divBdr>
        <w:top w:val="none" w:sz="0" w:space="0" w:color="auto"/>
        <w:left w:val="none" w:sz="0" w:space="0" w:color="auto"/>
        <w:bottom w:val="none" w:sz="0" w:space="0" w:color="auto"/>
        <w:right w:val="none" w:sz="0" w:space="0" w:color="auto"/>
      </w:divBdr>
    </w:div>
    <w:div w:id="1387143007">
      <w:bodyDiv w:val="1"/>
      <w:marLeft w:val="0"/>
      <w:marRight w:val="0"/>
      <w:marTop w:val="0"/>
      <w:marBottom w:val="0"/>
      <w:divBdr>
        <w:top w:val="none" w:sz="0" w:space="0" w:color="auto"/>
        <w:left w:val="none" w:sz="0" w:space="0" w:color="auto"/>
        <w:bottom w:val="none" w:sz="0" w:space="0" w:color="auto"/>
        <w:right w:val="none" w:sz="0" w:space="0" w:color="auto"/>
      </w:divBdr>
    </w:div>
    <w:div w:id="1387215866">
      <w:bodyDiv w:val="1"/>
      <w:marLeft w:val="0"/>
      <w:marRight w:val="0"/>
      <w:marTop w:val="0"/>
      <w:marBottom w:val="0"/>
      <w:divBdr>
        <w:top w:val="none" w:sz="0" w:space="0" w:color="auto"/>
        <w:left w:val="none" w:sz="0" w:space="0" w:color="auto"/>
        <w:bottom w:val="none" w:sz="0" w:space="0" w:color="auto"/>
        <w:right w:val="none" w:sz="0" w:space="0" w:color="auto"/>
      </w:divBdr>
    </w:div>
    <w:div w:id="1387413132">
      <w:bodyDiv w:val="1"/>
      <w:marLeft w:val="0"/>
      <w:marRight w:val="0"/>
      <w:marTop w:val="0"/>
      <w:marBottom w:val="0"/>
      <w:divBdr>
        <w:top w:val="none" w:sz="0" w:space="0" w:color="auto"/>
        <w:left w:val="none" w:sz="0" w:space="0" w:color="auto"/>
        <w:bottom w:val="none" w:sz="0" w:space="0" w:color="auto"/>
        <w:right w:val="none" w:sz="0" w:space="0" w:color="auto"/>
      </w:divBdr>
    </w:div>
    <w:div w:id="1387489009">
      <w:bodyDiv w:val="1"/>
      <w:marLeft w:val="0"/>
      <w:marRight w:val="0"/>
      <w:marTop w:val="0"/>
      <w:marBottom w:val="0"/>
      <w:divBdr>
        <w:top w:val="none" w:sz="0" w:space="0" w:color="auto"/>
        <w:left w:val="none" w:sz="0" w:space="0" w:color="auto"/>
        <w:bottom w:val="none" w:sz="0" w:space="0" w:color="auto"/>
        <w:right w:val="none" w:sz="0" w:space="0" w:color="auto"/>
      </w:divBdr>
    </w:div>
    <w:div w:id="1387535278">
      <w:bodyDiv w:val="1"/>
      <w:marLeft w:val="0"/>
      <w:marRight w:val="0"/>
      <w:marTop w:val="0"/>
      <w:marBottom w:val="0"/>
      <w:divBdr>
        <w:top w:val="none" w:sz="0" w:space="0" w:color="auto"/>
        <w:left w:val="none" w:sz="0" w:space="0" w:color="auto"/>
        <w:bottom w:val="none" w:sz="0" w:space="0" w:color="auto"/>
        <w:right w:val="none" w:sz="0" w:space="0" w:color="auto"/>
      </w:divBdr>
    </w:div>
    <w:div w:id="1387727300">
      <w:bodyDiv w:val="1"/>
      <w:marLeft w:val="0"/>
      <w:marRight w:val="0"/>
      <w:marTop w:val="0"/>
      <w:marBottom w:val="0"/>
      <w:divBdr>
        <w:top w:val="none" w:sz="0" w:space="0" w:color="auto"/>
        <w:left w:val="none" w:sz="0" w:space="0" w:color="auto"/>
        <w:bottom w:val="none" w:sz="0" w:space="0" w:color="auto"/>
        <w:right w:val="none" w:sz="0" w:space="0" w:color="auto"/>
      </w:divBdr>
    </w:div>
    <w:div w:id="1387870695">
      <w:bodyDiv w:val="1"/>
      <w:marLeft w:val="0"/>
      <w:marRight w:val="0"/>
      <w:marTop w:val="0"/>
      <w:marBottom w:val="0"/>
      <w:divBdr>
        <w:top w:val="none" w:sz="0" w:space="0" w:color="auto"/>
        <w:left w:val="none" w:sz="0" w:space="0" w:color="auto"/>
        <w:bottom w:val="none" w:sz="0" w:space="0" w:color="auto"/>
        <w:right w:val="none" w:sz="0" w:space="0" w:color="auto"/>
      </w:divBdr>
    </w:div>
    <w:div w:id="1387871683">
      <w:bodyDiv w:val="1"/>
      <w:marLeft w:val="0"/>
      <w:marRight w:val="0"/>
      <w:marTop w:val="0"/>
      <w:marBottom w:val="0"/>
      <w:divBdr>
        <w:top w:val="none" w:sz="0" w:space="0" w:color="auto"/>
        <w:left w:val="none" w:sz="0" w:space="0" w:color="auto"/>
        <w:bottom w:val="none" w:sz="0" w:space="0" w:color="auto"/>
        <w:right w:val="none" w:sz="0" w:space="0" w:color="auto"/>
      </w:divBdr>
    </w:div>
    <w:div w:id="1388264290">
      <w:bodyDiv w:val="1"/>
      <w:marLeft w:val="0"/>
      <w:marRight w:val="0"/>
      <w:marTop w:val="0"/>
      <w:marBottom w:val="0"/>
      <w:divBdr>
        <w:top w:val="none" w:sz="0" w:space="0" w:color="auto"/>
        <w:left w:val="none" w:sz="0" w:space="0" w:color="auto"/>
        <w:bottom w:val="none" w:sz="0" w:space="0" w:color="auto"/>
        <w:right w:val="none" w:sz="0" w:space="0" w:color="auto"/>
      </w:divBdr>
    </w:div>
    <w:div w:id="1388340880">
      <w:bodyDiv w:val="1"/>
      <w:marLeft w:val="0"/>
      <w:marRight w:val="0"/>
      <w:marTop w:val="0"/>
      <w:marBottom w:val="0"/>
      <w:divBdr>
        <w:top w:val="none" w:sz="0" w:space="0" w:color="auto"/>
        <w:left w:val="none" w:sz="0" w:space="0" w:color="auto"/>
        <w:bottom w:val="none" w:sz="0" w:space="0" w:color="auto"/>
        <w:right w:val="none" w:sz="0" w:space="0" w:color="auto"/>
      </w:divBdr>
    </w:div>
    <w:div w:id="1388454165">
      <w:bodyDiv w:val="1"/>
      <w:marLeft w:val="0"/>
      <w:marRight w:val="0"/>
      <w:marTop w:val="0"/>
      <w:marBottom w:val="0"/>
      <w:divBdr>
        <w:top w:val="none" w:sz="0" w:space="0" w:color="auto"/>
        <w:left w:val="none" w:sz="0" w:space="0" w:color="auto"/>
        <w:bottom w:val="none" w:sz="0" w:space="0" w:color="auto"/>
        <w:right w:val="none" w:sz="0" w:space="0" w:color="auto"/>
      </w:divBdr>
    </w:div>
    <w:div w:id="1388459327">
      <w:bodyDiv w:val="1"/>
      <w:marLeft w:val="0"/>
      <w:marRight w:val="0"/>
      <w:marTop w:val="0"/>
      <w:marBottom w:val="0"/>
      <w:divBdr>
        <w:top w:val="none" w:sz="0" w:space="0" w:color="auto"/>
        <w:left w:val="none" w:sz="0" w:space="0" w:color="auto"/>
        <w:bottom w:val="none" w:sz="0" w:space="0" w:color="auto"/>
        <w:right w:val="none" w:sz="0" w:space="0" w:color="auto"/>
      </w:divBdr>
    </w:div>
    <w:div w:id="1388608022">
      <w:bodyDiv w:val="1"/>
      <w:marLeft w:val="0"/>
      <w:marRight w:val="0"/>
      <w:marTop w:val="0"/>
      <w:marBottom w:val="0"/>
      <w:divBdr>
        <w:top w:val="none" w:sz="0" w:space="0" w:color="auto"/>
        <w:left w:val="none" w:sz="0" w:space="0" w:color="auto"/>
        <w:bottom w:val="none" w:sz="0" w:space="0" w:color="auto"/>
        <w:right w:val="none" w:sz="0" w:space="0" w:color="auto"/>
      </w:divBdr>
    </w:div>
    <w:div w:id="1388647987">
      <w:bodyDiv w:val="1"/>
      <w:marLeft w:val="0"/>
      <w:marRight w:val="0"/>
      <w:marTop w:val="0"/>
      <w:marBottom w:val="0"/>
      <w:divBdr>
        <w:top w:val="none" w:sz="0" w:space="0" w:color="auto"/>
        <w:left w:val="none" w:sz="0" w:space="0" w:color="auto"/>
        <w:bottom w:val="none" w:sz="0" w:space="0" w:color="auto"/>
        <w:right w:val="none" w:sz="0" w:space="0" w:color="auto"/>
      </w:divBdr>
    </w:div>
    <w:div w:id="1388798917">
      <w:bodyDiv w:val="1"/>
      <w:marLeft w:val="0"/>
      <w:marRight w:val="0"/>
      <w:marTop w:val="0"/>
      <w:marBottom w:val="0"/>
      <w:divBdr>
        <w:top w:val="none" w:sz="0" w:space="0" w:color="auto"/>
        <w:left w:val="none" w:sz="0" w:space="0" w:color="auto"/>
        <w:bottom w:val="none" w:sz="0" w:space="0" w:color="auto"/>
        <w:right w:val="none" w:sz="0" w:space="0" w:color="auto"/>
      </w:divBdr>
    </w:div>
    <w:div w:id="1388839469">
      <w:bodyDiv w:val="1"/>
      <w:marLeft w:val="0"/>
      <w:marRight w:val="0"/>
      <w:marTop w:val="0"/>
      <w:marBottom w:val="0"/>
      <w:divBdr>
        <w:top w:val="none" w:sz="0" w:space="0" w:color="auto"/>
        <w:left w:val="none" w:sz="0" w:space="0" w:color="auto"/>
        <w:bottom w:val="none" w:sz="0" w:space="0" w:color="auto"/>
        <w:right w:val="none" w:sz="0" w:space="0" w:color="auto"/>
      </w:divBdr>
    </w:div>
    <w:div w:id="1388992767">
      <w:bodyDiv w:val="1"/>
      <w:marLeft w:val="0"/>
      <w:marRight w:val="0"/>
      <w:marTop w:val="0"/>
      <w:marBottom w:val="0"/>
      <w:divBdr>
        <w:top w:val="none" w:sz="0" w:space="0" w:color="auto"/>
        <w:left w:val="none" w:sz="0" w:space="0" w:color="auto"/>
        <w:bottom w:val="none" w:sz="0" w:space="0" w:color="auto"/>
        <w:right w:val="none" w:sz="0" w:space="0" w:color="auto"/>
      </w:divBdr>
    </w:div>
    <w:div w:id="1389303447">
      <w:bodyDiv w:val="1"/>
      <w:marLeft w:val="0"/>
      <w:marRight w:val="0"/>
      <w:marTop w:val="0"/>
      <w:marBottom w:val="0"/>
      <w:divBdr>
        <w:top w:val="none" w:sz="0" w:space="0" w:color="auto"/>
        <w:left w:val="none" w:sz="0" w:space="0" w:color="auto"/>
        <w:bottom w:val="none" w:sz="0" w:space="0" w:color="auto"/>
        <w:right w:val="none" w:sz="0" w:space="0" w:color="auto"/>
      </w:divBdr>
    </w:div>
    <w:div w:id="1389494312">
      <w:bodyDiv w:val="1"/>
      <w:marLeft w:val="0"/>
      <w:marRight w:val="0"/>
      <w:marTop w:val="0"/>
      <w:marBottom w:val="0"/>
      <w:divBdr>
        <w:top w:val="none" w:sz="0" w:space="0" w:color="auto"/>
        <w:left w:val="none" w:sz="0" w:space="0" w:color="auto"/>
        <w:bottom w:val="none" w:sz="0" w:space="0" w:color="auto"/>
        <w:right w:val="none" w:sz="0" w:space="0" w:color="auto"/>
      </w:divBdr>
    </w:div>
    <w:div w:id="1389915279">
      <w:bodyDiv w:val="1"/>
      <w:marLeft w:val="0"/>
      <w:marRight w:val="0"/>
      <w:marTop w:val="0"/>
      <w:marBottom w:val="0"/>
      <w:divBdr>
        <w:top w:val="none" w:sz="0" w:space="0" w:color="auto"/>
        <w:left w:val="none" w:sz="0" w:space="0" w:color="auto"/>
        <w:bottom w:val="none" w:sz="0" w:space="0" w:color="auto"/>
        <w:right w:val="none" w:sz="0" w:space="0" w:color="auto"/>
      </w:divBdr>
    </w:div>
    <w:div w:id="1389961364">
      <w:bodyDiv w:val="1"/>
      <w:marLeft w:val="0"/>
      <w:marRight w:val="0"/>
      <w:marTop w:val="0"/>
      <w:marBottom w:val="0"/>
      <w:divBdr>
        <w:top w:val="none" w:sz="0" w:space="0" w:color="auto"/>
        <w:left w:val="none" w:sz="0" w:space="0" w:color="auto"/>
        <w:bottom w:val="none" w:sz="0" w:space="0" w:color="auto"/>
        <w:right w:val="none" w:sz="0" w:space="0" w:color="auto"/>
      </w:divBdr>
    </w:div>
    <w:div w:id="1390113598">
      <w:bodyDiv w:val="1"/>
      <w:marLeft w:val="0"/>
      <w:marRight w:val="0"/>
      <w:marTop w:val="0"/>
      <w:marBottom w:val="0"/>
      <w:divBdr>
        <w:top w:val="none" w:sz="0" w:space="0" w:color="auto"/>
        <w:left w:val="none" w:sz="0" w:space="0" w:color="auto"/>
        <w:bottom w:val="none" w:sz="0" w:space="0" w:color="auto"/>
        <w:right w:val="none" w:sz="0" w:space="0" w:color="auto"/>
      </w:divBdr>
    </w:div>
    <w:div w:id="1390418545">
      <w:bodyDiv w:val="1"/>
      <w:marLeft w:val="0"/>
      <w:marRight w:val="0"/>
      <w:marTop w:val="0"/>
      <w:marBottom w:val="0"/>
      <w:divBdr>
        <w:top w:val="none" w:sz="0" w:space="0" w:color="auto"/>
        <w:left w:val="none" w:sz="0" w:space="0" w:color="auto"/>
        <w:bottom w:val="none" w:sz="0" w:space="0" w:color="auto"/>
        <w:right w:val="none" w:sz="0" w:space="0" w:color="auto"/>
      </w:divBdr>
    </w:div>
    <w:div w:id="1390420255">
      <w:bodyDiv w:val="1"/>
      <w:marLeft w:val="0"/>
      <w:marRight w:val="0"/>
      <w:marTop w:val="0"/>
      <w:marBottom w:val="0"/>
      <w:divBdr>
        <w:top w:val="none" w:sz="0" w:space="0" w:color="auto"/>
        <w:left w:val="none" w:sz="0" w:space="0" w:color="auto"/>
        <w:bottom w:val="none" w:sz="0" w:space="0" w:color="auto"/>
        <w:right w:val="none" w:sz="0" w:space="0" w:color="auto"/>
      </w:divBdr>
    </w:div>
    <w:div w:id="1390616547">
      <w:bodyDiv w:val="1"/>
      <w:marLeft w:val="0"/>
      <w:marRight w:val="0"/>
      <w:marTop w:val="0"/>
      <w:marBottom w:val="0"/>
      <w:divBdr>
        <w:top w:val="none" w:sz="0" w:space="0" w:color="auto"/>
        <w:left w:val="none" w:sz="0" w:space="0" w:color="auto"/>
        <w:bottom w:val="none" w:sz="0" w:space="0" w:color="auto"/>
        <w:right w:val="none" w:sz="0" w:space="0" w:color="auto"/>
      </w:divBdr>
    </w:div>
    <w:div w:id="1390685074">
      <w:bodyDiv w:val="1"/>
      <w:marLeft w:val="0"/>
      <w:marRight w:val="0"/>
      <w:marTop w:val="0"/>
      <w:marBottom w:val="0"/>
      <w:divBdr>
        <w:top w:val="none" w:sz="0" w:space="0" w:color="auto"/>
        <w:left w:val="none" w:sz="0" w:space="0" w:color="auto"/>
        <w:bottom w:val="none" w:sz="0" w:space="0" w:color="auto"/>
        <w:right w:val="none" w:sz="0" w:space="0" w:color="auto"/>
      </w:divBdr>
    </w:div>
    <w:div w:id="1390806275">
      <w:bodyDiv w:val="1"/>
      <w:marLeft w:val="0"/>
      <w:marRight w:val="0"/>
      <w:marTop w:val="0"/>
      <w:marBottom w:val="0"/>
      <w:divBdr>
        <w:top w:val="none" w:sz="0" w:space="0" w:color="auto"/>
        <w:left w:val="none" w:sz="0" w:space="0" w:color="auto"/>
        <w:bottom w:val="none" w:sz="0" w:space="0" w:color="auto"/>
        <w:right w:val="none" w:sz="0" w:space="0" w:color="auto"/>
      </w:divBdr>
    </w:div>
    <w:div w:id="1391265564">
      <w:bodyDiv w:val="1"/>
      <w:marLeft w:val="0"/>
      <w:marRight w:val="0"/>
      <w:marTop w:val="0"/>
      <w:marBottom w:val="0"/>
      <w:divBdr>
        <w:top w:val="none" w:sz="0" w:space="0" w:color="auto"/>
        <w:left w:val="none" w:sz="0" w:space="0" w:color="auto"/>
        <w:bottom w:val="none" w:sz="0" w:space="0" w:color="auto"/>
        <w:right w:val="none" w:sz="0" w:space="0" w:color="auto"/>
      </w:divBdr>
    </w:div>
    <w:div w:id="1391272066">
      <w:bodyDiv w:val="1"/>
      <w:marLeft w:val="0"/>
      <w:marRight w:val="0"/>
      <w:marTop w:val="0"/>
      <w:marBottom w:val="0"/>
      <w:divBdr>
        <w:top w:val="none" w:sz="0" w:space="0" w:color="auto"/>
        <w:left w:val="none" w:sz="0" w:space="0" w:color="auto"/>
        <w:bottom w:val="none" w:sz="0" w:space="0" w:color="auto"/>
        <w:right w:val="none" w:sz="0" w:space="0" w:color="auto"/>
      </w:divBdr>
    </w:div>
    <w:div w:id="1391658980">
      <w:bodyDiv w:val="1"/>
      <w:marLeft w:val="0"/>
      <w:marRight w:val="0"/>
      <w:marTop w:val="0"/>
      <w:marBottom w:val="0"/>
      <w:divBdr>
        <w:top w:val="none" w:sz="0" w:space="0" w:color="auto"/>
        <w:left w:val="none" w:sz="0" w:space="0" w:color="auto"/>
        <w:bottom w:val="none" w:sz="0" w:space="0" w:color="auto"/>
        <w:right w:val="none" w:sz="0" w:space="0" w:color="auto"/>
      </w:divBdr>
    </w:div>
    <w:div w:id="1391882156">
      <w:bodyDiv w:val="1"/>
      <w:marLeft w:val="0"/>
      <w:marRight w:val="0"/>
      <w:marTop w:val="0"/>
      <w:marBottom w:val="0"/>
      <w:divBdr>
        <w:top w:val="none" w:sz="0" w:space="0" w:color="auto"/>
        <w:left w:val="none" w:sz="0" w:space="0" w:color="auto"/>
        <w:bottom w:val="none" w:sz="0" w:space="0" w:color="auto"/>
        <w:right w:val="none" w:sz="0" w:space="0" w:color="auto"/>
      </w:divBdr>
    </w:div>
    <w:div w:id="1392193319">
      <w:bodyDiv w:val="1"/>
      <w:marLeft w:val="0"/>
      <w:marRight w:val="0"/>
      <w:marTop w:val="0"/>
      <w:marBottom w:val="0"/>
      <w:divBdr>
        <w:top w:val="none" w:sz="0" w:space="0" w:color="auto"/>
        <w:left w:val="none" w:sz="0" w:space="0" w:color="auto"/>
        <w:bottom w:val="none" w:sz="0" w:space="0" w:color="auto"/>
        <w:right w:val="none" w:sz="0" w:space="0" w:color="auto"/>
      </w:divBdr>
    </w:div>
    <w:div w:id="1392386036">
      <w:bodyDiv w:val="1"/>
      <w:marLeft w:val="0"/>
      <w:marRight w:val="0"/>
      <w:marTop w:val="0"/>
      <w:marBottom w:val="0"/>
      <w:divBdr>
        <w:top w:val="none" w:sz="0" w:space="0" w:color="auto"/>
        <w:left w:val="none" w:sz="0" w:space="0" w:color="auto"/>
        <w:bottom w:val="none" w:sz="0" w:space="0" w:color="auto"/>
        <w:right w:val="none" w:sz="0" w:space="0" w:color="auto"/>
      </w:divBdr>
    </w:div>
    <w:div w:id="1392388909">
      <w:bodyDiv w:val="1"/>
      <w:marLeft w:val="0"/>
      <w:marRight w:val="0"/>
      <w:marTop w:val="0"/>
      <w:marBottom w:val="0"/>
      <w:divBdr>
        <w:top w:val="none" w:sz="0" w:space="0" w:color="auto"/>
        <w:left w:val="none" w:sz="0" w:space="0" w:color="auto"/>
        <w:bottom w:val="none" w:sz="0" w:space="0" w:color="auto"/>
        <w:right w:val="none" w:sz="0" w:space="0" w:color="auto"/>
      </w:divBdr>
    </w:div>
    <w:div w:id="1392459403">
      <w:bodyDiv w:val="1"/>
      <w:marLeft w:val="0"/>
      <w:marRight w:val="0"/>
      <w:marTop w:val="0"/>
      <w:marBottom w:val="0"/>
      <w:divBdr>
        <w:top w:val="none" w:sz="0" w:space="0" w:color="auto"/>
        <w:left w:val="none" w:sz="0" w:space="0" w:color="auto"/>
        <w:bottom w:val="none" w:sz="0" w:space="0" w:color="auto"/>
        <w:right w:val="none" w:sz="0" w:space="0" w:color="auto"/>
      </w:divBdr>
    </w:div>
    <w:div w:id="1392464107">
      <w:bodyDiv w:val="1"/>
      <w:marLeft w:val="0"/>
      <w:marRight w:val="0"/>
      <w:marTop w:val="0"/>
      <w:marBottom w:val="0"/>
      <w:divBdr>
        <w:top w:val="none" w:sz="0" w:space="0" w:color="auto"/>
        <w:left w:val="none" w:sz="0" w:space="0" w:color="auto"/>
        <w:bottom w:val="none" w:sz="0" w:space="0" w:color="auto"/>
        <w:right w:val="none" w:sz="0" w:space="0" w:color="auto"/>
      </w:divBdr>
    </w:div>
    <w:div w:id="1392847719">
      <w:bodyDiv w:val="1"/>
      <w:marLeft w:val="0"/>
      <w:marRight w:val="0"/>
      <w:marTop w:val="0"/>
      <w:marBottom w:val="0"/>
      <w:divBdr>
        <w:top w:val="none" w:sz="0" w:space="0" w:color="auto"/>
        <w:left w:val="none" w:sz="0" w:space="0" w:color="auto"/>
        <w:bottom w:val="none" w:sz="0" w:space="0" w:color="auto"/>
        <w:right w:val="none" w:sz="0" w:space="0" w:color="auto"/>
      </w:divBdr>
    </w:div>
    <w:div w:id="1392923577">
      <w:bodyDiv w:val="1"/>
      <w:marLeft w:val="0"/>
      <w:marRight w:val="0"/>
      <w:marTop w:val="0"/>
      <w:marBottom w:val="0"/>
      <w:divBdr>
        <w:top w:val="none" w:sz="0" w:space="0" w:color="auto"/>
        <w:left w:val="none" w:sz="0" w:space="0" w:color="auto"/>
        <w:bottom w:val="none" w:sz="0" w:space="0" w:color="auto"/>
        <w:right w:val="none" w:sz="0" w:space="0" w:color="auto"/>
      </w:divBdr>
    </w:div>
    <w:div w:id="1392970038">
      <w:bodyDiv w:val="1"/>
      <w:marLeft w:val="0"/>
      <w:marRight w:val="0"/>
      <w:marTop w:val="0"/>
      <w:marBottom w:val="0"/>
      <w:divBdr>
        <w:top w:val="none" w:sz="0" w:space="0" w:color="auto"/>
        <w:left w:val="none" w:sz="0" w:space="0" w:color="auto"/>
        <w:bottom w:val="none" w:sz="0" w:space="0" w:color="auto"/>
        <w:right w:val="none" w:sz="0" w:space="0" w:color="auto"/>
      </w:divBdr>
    </w:div>
    <w:div w:id="1393312689">
      <w:bodyDiv w:val="1"/>
      <w:marLeft w:val="0"/>
      <w:marRight w:val="0"/>
      <w:marTop w:val="0"/>
      <w:marBottom w:val="0"/>
      <w:divBdr>
        <w:top w:val="none" w:sz="0" w:space="0" w:color="auto"/>
        <w:left w:val="none" w:sz="0" w:space="0" w:color="auto"/>
        <w:bottom w:val="none" w:sz="0" w:space="0" w:color="auto"/>
        <w:right w:val="none" w:sz="0" w:space="0" w:color="auto"/>
      </w:divBdr>
    </w:div>
    <w:div w:id="1393386372">
      <w:bodyDiv w:val="1"/>
      <w:marLeft w:val="0"/>
      <w:marRight w:val="0"/>
      <w:marTop w:val="0"/>
      <w:marBottom w:val="0"/>
      <w:divBdr>
        <w:top w:val="none" w:sz="0" w:space="0" w:color="auto"/>
        <w:left w:val="none" w:sz="0" w:space="0" w:color="auto"/>
        <w:bottom w:val="none" w:sz="0" w:space="0" w:color="auto"/>
        <w:right w:val="none" w:sz="0" w:space="0" w:color="auto"/>
      </w:divBdr>
    </w:div>
    <w:div w:id="1394233433">
      <w:bodyDiv w:val="1"/>
      <w:marLeft w:val="0"/>
      <w:marRight w:val="0"/>
      <w:marTop w:val="0"/>
      <w:marBottom w:val="0"/>
      <w:divBdr>
        <w:top w:val="none" w:sz="0" w:space="0" w:color="auto"/>
        <w:left w:val="none" w:sz="0" w:space="0" w:color="auto"/>
        <w:bottom w:val="none" w:sz="0" w:space="0" w:color="auto"/>
        <w:right w:val="none" w:sz="0" w:space="0" w:color="auto"/>
      </w:divBdr>
    </w:div>
    <w:div w:id="1395620274">
      <w:bodyDiv w:val="1"/>
      <w:marLeft w:val="0"/>
      <w:marRight w:val="0"/>
      <w:marTop w:val="0"/>
      <w:marBottom w:val="0"/>
      <w:divBdr>
        <w:top w:val="none" w:sz="0" w:space="0" w:color="auto"/>
        <w:left w:val="none" w:sz="0" w:space="0" w:color="auto"/>
        <w:bottom w:val="none" w:sz="0" w:space="0" w:color="auto"/>
        <w:right w:val="none" w:sz="0" w:space="0" w:color="auto"/>
      </w:divBdr>
    </w:div>
    <w:div w:id="1395620297">
      <w:bodyDiv w:val="1"/>
      <w:marLeft w:val="0"/>
      <w:marRight w:val="0"/>
      <w:marTop w:val="0"/>
      <w:marBottom w:val="0"/>
      <w:divBdr>
        <w:top w:val="none" w:sz="0" w:space="0" w:color="auto"/>
        <w:left w:val="none" w:sz="0" w:space="0" w:color="auto"/>
        <w:bottom w:val="none" w:sz="0" w:space="0" w:color="auto"/>
        <w:right w:val="none" w:sz="0" w:space="0" w:color="auto"/>
      </w:divBdr>
    </w:div>
    <w:div w:id="1395815392">
      <w:bodyDiv w:val="1"/>
      <w:marLeft w:val="0"/>
      <w:marRight w:val="0"/>
      <w:marTop w:val="0"/>
      <w:marBottom w:val="0"/>
      <w:divBdr>
        <w:top w:val="none" w:sz="0" w:space="0" w:color="auto"/>
        <w:left w:val="none" w:sz="0" w:space="0" w:color="auto"/>
        <w:bottom w:val="none" w:sz="0" w:space="0" w:color="auto"/>
        <w:right w:val="none" w:sz="0" w:space="0" w:color="auto"/>
      </w:divBdr>
    </w:div>
    <w:div w:id="1396006150">
      <w:bodyDiv w:val="1"/>
      <w:marLeft w:val="0"/>
      <w:marRight w:val="0"/>
      <w:marTop w:val="0"/>
      <w:marBottom w:val="0"/>
      <w:divBdr>
        <w:top w:val="none" w:sz="0" w:space="0" w:color="auto"/>
        <w:left w:val="none" w:sz="0" w:space="0" w:color="auto"/>
        <w:bottom w:val="none" w:sz="0" w:space="0" w:color="auto"/>
        <w:right w:val="none" w:sz="0" w:space="0" w:color="auto"/>
      </w:divBdr>
    </w:div>
    <w:div w:id="1396008289">
      <w:bodyDiv w:val="1"/>
      <w:marLeft w:val="0"/>
      <w:marRight w:val="0"/>
      <w:marTop w:val="0"/>
      <w:marBottom w:val="0"/>
      <w:divBdr>
        <w:top w:val="none" w:sz="0" w:space="0" w:color="auto"/>
        <w:left w:val="none" w:sz="0" w:space="0" w:color="auto"/>
        <w:bottom w:val="none" w:sz="0" w:space="0" w:color="auto"/>
        <w:right w:val="none" w:sz="0" w:space="0" w:color="auto"/>
      </w:divBdr>
    </w:div>
    <w:div w:id="1396469041">
      <w:bodyDiv w:val="1"/>
      <w:marLeft w:val="0"/>
      <w:marRight w:val="0"/>
      <w:marTop w:val="0"/>
      <w:marBottom w:val="0"/>
      <w:divBdr>
        <w:top w:val="none" w:sz="0" w:space="0" w:color="auto"/>
        <w:left w:val="none" w:sz="0" w:space="0" w:color="auto"/>
        <w:bottom w:val="none" w:sz="0" w:space="0" w:color="auto"/>
        <w:right w:val="none" w:sz="0" w:space="0" w:color="auto"/>
      </w:divBdr>
    </w:div>
    <w:div w:id="1396472101">
      <w:bodyDiv w:val="1"/>
      <w:marLeft w:val="0"/>
      <w:marRight w:val="0"/>
      <w:marTop w:val="0"/>
      <w:marBottom w:val="0"/>
      <w:divBdr>
        <w:top w:val="none" w:sz="0" w:space="0" w:color="auto"/>
        <w:left w:val="none" w:sz="0" w:space="0" w:color="auto"/>
        <w:bottom w:val="none" w:sz="0" w:space="0" w:color="auto"/>
        <w:right w:val="none" w:sz="0" w:space="0" w:color="auto"/>
      </w:divBdr>
    </w:div>
    <w:div w:id="1396516151">
      <w:bodyDiv w:val="1"/>
      <w:marLeft w:val="0"/>
      <w:marRight w:val="0"/>
      <w:marTop w:val="0"/>
      <w:marBottom w:val="0"/>
      <w:divBdr>
        <w:top w:val="none" w:sz="0" w:space="0" w:color="auto"/>
        <w:left w:val="none" w:sz="0" w:space="0" w:color="auto"/>
        <w:bottom w:val="none" w:sz="0" w:space="0" w:color="auto"/>
        <w:right w:val="none" w:sz="0" w:space="0" w:color="auto"/>
      </w:divBdr>
    </w:div>
    <w:div w:id="1396661632">
      <w:bodyDiv w:val="1"/>
      <w:marLeft w:val="0"/>
      <w:marRight w:val="0"/>
      <w:marTop w:val="0"/>
      <w:marBottom w:val="0"/>
      <w:divBdr>
        <w:top w:val="none" w:sz="0" w:space="0" w:color="auto"/>
        <w:left w:val="none" w:sz="0" w:space="0" w:color="auto"/>
        <w:bottom w:val="none" w:sz="0" w:space="0" w:color="auto"/>
        <w:right w:val="none" w:sz="0" w:space="0" w:color="auto"/>
      </w:divBdr>
    </w:div>
    <w:div w:id="1396782379">
      <w:bodyDiv w:val="1"/>
      <w:marLeft w:val="0"/>
      <w:marRight w:val="0"/>
      <w:marTop w:val="0"/>
      <w:marBottom w:val="0"/>
      <w:divBdr>
        <w:top w:val="none" w:sz="0" w:space="0" w:color="auto"/>
        <w:left w:val="none" w:sz="0" w:space="0" w:color="auto"/>
        <w:bottom w:val="none" w:sz="0" w:space="0" w:color="auto"/>
        <w:right w:val="none" w:sz="0" w:space="0" w:color="auto"/>
      </w:divBdr>
    </w:div>
    <w:div w:id="1397162682">
      <w:bodyDiv w:val="1"/>
      <w:marLeft w:val="0"/>
      <w:marRight w:val="0"/>
      <w:marTop w:val="0"/>
      <w:marBottom w:val="0"/>
      <w:divBdr>
        <w:top w:val="none" w:sz="0" w:space="0" w:color="auto"/>
        <w:left w:val="none" w:sz="0" w:space="0" w:color="auto"/>
        <w:bottom w:val="none" w:sz="0" w:space="0" w:color="auto"/>
        <w:right w:val="none" w:sz="0" w:space="0" w:color="auto"/>
      </w:divBdr>
    </w:div>
    <w:div w:id="1397238163">
      <w:bodyDiv w:val="1"/>
      <w:marLeft w:val="0"/>
      <w:marRight w:val="0"/>
      <w:marTop w:val="0"/>
      <w:marBottom w:val="0"/>
      <w:divBdr>
        <w:top w:val="none" w:sz="0" w:space="0" w:color="auto"/>
        <w:left w:val="none" w:sz="0" w:space="0" w:color="auto"/>
        <w:bottom w:val="none" w:sz="0" w:space="0" w:color="auto"/>
        <w:right w:val="none" w:sz="0" w:space="0" w:color="auto"/>
      </w:divBdr>
    </w:div>
    <w:div w:id="1397436195">
      <w:bodyDiv w:val="1"/>
      <w:marLeft w:val="0"/>
      <w:marRight w:val="0"/>
      <w:marTop w:val="0"/>
      <w:marBottom w:val="0"/>
      <w:divBdr>
        <w:top w:val="none" w:sz="0" w:space="0" w:color="auto"/>
        <w:left w:val="none" w:sz="0" w:space="0" w:color="auto"/>
        <w:bottom w:val="none" w:sz="0" w:space="0" w:color="auto"/>
        <w:right w:val="none" w:sz="0" w:space="0" w:color="auto"/>
      </w:divBdr>
    </w:div>
    <w:div w:id="1397585595">
      <w:bodyDiv w:val="1"/>
      <w:marLeft w:val="0"/>
      <w:marRight w:val="0"/>
      <w:marTop w:val="0"/>
      <w:marBottom w:val="0"/>
      <w:divBdr>
        <w:top w:val="none" w:sz="0" w:space="0" w:color="auto"/>
        <w:left w:val="none" w:sz="0" w:space="0" w:color="auto"/>
        <w:bottom w:val="none" w:sz="0" w:space="0" w:color="auto"/>
        <w:right w:val="none" w:sz="0" w:space="0" w:color="auto"/>
      </w:divBdr>
    </w:div>
    <w:div w:id="1397976041">
      <w:bodyDiv w:val="1"/>
      <w:marLeft w:val="0"/>
      <w:marRight w:val="0"/>
      <w:marTop w:val="0"/>
      <w:marBottom w:val="0"/>
      <w:divBdr>
        <w:top w:val="none" w:sz="0" w:space="0" w:color="auto"/>
        <w:left w:val="none" w:sz="0" w:space="0" w:color="auto"/>
        <w:bottom w:val="none" w:sz="0" w:space="0" w:color="auto"/>
        <w:right w:val="none" w:sz="0" w:space="0" w:color="auto"/>
      </w:divBdr>
    </w:div>
    <w:div w:id="1398169975">
      <w:bodyDiv w:val="1"/>
      <w:marLeft w:val="0"/>
      <w:marRight w:val="0"/>
      <w:marTop w:val="0"/>
      <w:marBottom w:val="0"/>
      <w:divBdr>
        <w:top w:val="none" w:sz="0" w:space="0" w:color="auto"/>
        <w:left w:val="none" w:sz="0" w:space="0" w:color="auto"/>
        <w:bottom w:val="none" w:sz="0" w:space="0" w:color="auto"/>
        <w:right w:val="none" w:sz="0" w:space="0" w:color="auto"/>
      </w:divBdr>
    </w:div>
    <w:div w:id="1398356063">
      <w:bodyDiv w:val="1"/>
      <w:marLeft w:val="0"/>
      <w:marRight w:val="0"/>
      <w:marTop w:val="0"/>
      <w:marBottom w:val="0"/>
      <w:divBdr>
        <w:top w:val="none" w:sz="0" w:space="0" w:color="auto"/>
        <w:left w:val="none" w:sz="0" w:space="0" w:color="auto"/>
        <w:bottom w:val="none" w:sz="0" w:space="0" w:color="auto"/>
        <w:right w:val="none" w:sz="0" w:space="0" w:color="auto"/>
      </w:divBdr>
    </w:div>
    <w:div w:id="1398359721">
      <w:bodyDiv w:val="1"/>
      <w:marLeft w:val="0"/>
      <w:marRight w:val="0"/>
      <w:marTop w:val="0"/>
      <w:marBottom w:val="0"/>
      <w:divBdr>
        <w:top w:val="none" w:sz="0" w:space="0" w:color="auto"/>
        <w:left w:val="none" w:sz="0" w:space="0" w:color="auto"/>
        <w:bottom w:val="none" w:sz="0" w:space="0" w:color="auto"/>
        <w:right w:val="none" w:sz="0" w:space="0" w:color="auto"/>
      </w:divBdr>
    </w:div>
    <w:div w:id="1398698842">
      <w:bodyDiv w:val="1"/>
      <w:marLeft w:val="0"/>
      <w:marRight w:val="0"/>
      <w:marTop w:val="0"/>
      <w:marBottom w:val="0"/>
      <w:divBdr>
        <w:top w:val="none" w:sz="0" w:space="0" w:color="auto"/>
        <w:left w:val="none" w:sz="0" w:space="0" w:color="auto"/>
        <w:bottom w:val="none" w:sz="0" w:space="0" w:color="auto"/>
        <w:right w:val="none" w:sz="0" w:space="0" w:color="auto"/>
      </w:divBdr>
    </w:div>
    <w:div w:id="1398749888">
      <w:bodyDiv w:val="1"/>
      <w:marLeft w:val="0"/>
      <w:marRight w:val="0"/>
      <w:marTop w:val="0"/>
      <w:marBottom w:val="0"/>
      <w:divBdr>
        <w:top w:val="none" w:sz="0" w:space="0" w:color="auto"/>
        <w:left w:val="none" w:sz="0" w:space="0" w:color="auto"/>
        <w:bottom w:val="none" w:sz="0" w:space="0" w:color="auto"/>
        <w:right w:val="none" w:sz="0" w:space="0" w:color="auto"/>
      </w:divBdr>
    </w:div>
    <w:div w:id="1399013752">
      <w:bodyDiv w:val="1"/>
      <w:marLeft w:val="0"/>
      <w:marRight w:val="0"/>
      <w:marTop w:val="0"/>
      <w:marBottom w:val="0"/>
      <w:divBdr>
        <w:top w:val="none" w:sz="0" w:space="0" w:color="auto"/>
        <w:left w:val="none" w:sz="0" w:space="0" w:color="auto"/>
        <w:bottom w:val="none" w:sz="0" w:space="0" w:color="auto"/>
        <w:right w:val="none" w:sz="0" w:space="0" w:color="auto"/>
      </w:divBdr>
    </w:div>
    <w:div w:id="1399014897">
      <w:bodyDiv w:val="1"/>
      <w:marLeft w:val="0"/>
      <w:marRight w:val="0"/>
      <w:marTop w:val="0"/>
      <w:marBottom w:val="0"/>
      <w:divBdr>
        <w:top w:val="none" w:sz="0" w:space="0" w:color="auto"/>
        <w:left w:val="none" w:sz="0" w:space="0" w:color="auto"/>
        <w:bottom w:val="none" w:sz="0" w:space="0" w:color="auto"/>
        <w:right w:val="none" w:sz="0" w:space="0" w:color="auto"/>
      </w:divBdr>
    </w:div>
    <w:div w:id="1399085140">
      <w:bodyDiv w:val="1"/>
      <w:marLeft w:val="0"/>
      <w:marRight w:val="0"/>
      <w:marTop w:val="0"/>
      <w:marBottom w:val="0"/>
      <w:divBdr>
        <w:top w:val="none" w:sz="0" w:space="0" w:color="auto"/>
        <w:left w:val="none" w:sz="0" w:space="0" w:color="auto"/>
        <w:bottom w:val="none" w:sz="0" w:space="0" w:color="auto"/>
        <w:right w:val="none" w:sz="0" w:space="0" w:color="auto"/>
      </w:divBdr>
    </w:div>
    <w:div w:id="1399086532">
      <w:bodyDiv w:val="1"/>
      <w:marLeft w:val="0"/>
      <w:marRight w:val="0"/>
      <w:marTop w:val="0"/>
      <w:marBottom w:val="0"/>
      <w:divBdr>
        <w:top w:val="none" w:sz="0" w:space="0" w:color="auto"/>
        <w:left w:val="none" w:sz="0" w:space="0" w:color="auto"/>
        <w:bottom w:val="none" w:sz="0" w:space="0" w:color="auto"/>
        <w:right w:val="none" w:sz="0" w:space="0" w:color="auto"/>
      </w:divBdr>
    </w:div>
    <w:div w:id="1399090044">
      <w:bodyDiv w:val="1"/>
      <w:marLeft w:val="0"/>
      <w:marRight w:val="0"/>
      <w:marTop w:val="0"/>
      <w:marBottom w:val="0"/>
      <w:divBdr>
        <w:top w:val="none" w:sz="0" w:space="0" w:color="auto"/>
        <w:left w:val="none" w:sz="0" w:space="0" w:color="auto"/>
        <w:bottom w:val="none" w:sz="0" w:space="0" w:color="auto"/>
        <w:right w:val="none" w:sz="0" w:space="0" w:color="auto"/>
      </w:divBdr>
    </w:div>
    <w:div w:id="1399132571">
      <w:bodyDiv w:val="1"/>
      <w:marLeft w:val="0"/>
      <w:marRight w:val="0"/>
      <w:marTop w:val="0"/>
      <w:marBottom w:val="0"/>
      <w:divBdr>
        <w:top w:val="none" w:sz="0" w:space="0" w:color="auto"/>
        <w:left w:val="none" w:sz="0" w:space="0" w:color="auto"/>
        <w:bottom w:val="none" w:sz="0" w:space="0" w:color="auto"/>
        <w:right w:val="none" w:sz="0" w:space="0" w:color="auto"/>
      </w:divBdr>
    </w:div>
    <w:div w:id="1399135771">
      <w:bodyDiv w:val="1"/>
      <w:marLeft w:val="0"/>
      <w:marRight w:val="0"/>
      <w:marTop w:val="0"/>
      <w:marBottom w:val="0"/>
      <w:divBdr>
        <w:top w:val="none" w:sz="0" w:space="0" w:color="auto"/>
        <w:left w:val="none" w:sz="0" w:space="0" w:color="auto"/>
        <w:bottom w:val="none" w:sz="0" w:space="0" w:color="auto"/>
        <w:right w:val="none" w:sz="0" w:space="0" w:color="auto"/>
      </w:divBdr>
    </w:div>
    <w:div w:id="1399204730">
      <w:bodyDiv w:val="1"/>
      <w:marLeft w:val="0"/>
      <w:marRight w:val="0"/>
      <w:marTop w:val="0"/>
      <w:marBottom w:val="0"/>
      <w:divBdr>
        <w:top w:val="none" w:sz="0" w:space="0" w:color="auto"/>
        <w:left w:val="none" w:sz="0" w:space="0" w:color="auto"/>
        <w:bottom w:val="none" w:sz="0" w:space="0" w:color="auto"/>
        <w:right w:val="none" w:sz="0" w:space="0" w:color="auto"/>
      </w:divBdr>
    </w:div>
    <w:div w:id="1399326126">
      <w:bodyDiv w:val="1"/>
      <w:marLeft w:val="0"/>
      <w:marRight w:val="0"/>
      <w:marTop w:val="0"/>
      <w:marBottom w:val="0"/>
      <w:divBdr>
        <w:top w:val="none" w:sz="0" w:space="0" w:color="auto"/>
        <w:left w:val="none" w:sz="0" w:space="0" w:color="auto"/>
        <w:bottom w:val="none" w:sz="0" w:space="0" w:color="auto"/>
        <w:right w:val="none" w:sz="0" w:space="0" w:color="auto"/>
      </w:divBdr>
    </w:div>
    <w:div w:id="1399400456">
      <w:bodyDiv w:val="1"/>
      <w:marLeft w:val="0"/>
      <w:marRight w:val="0"/>
      <w:marTop w:val="0"/>
      <w:marBottom w:val="0"/>
      <w:divBdr>
        <w:top w:val="none" w:sz="0" w:space="0" w:color="auto"/>
        <w:left w:val="none" w:sz="0" w:space="0" w:color="auto"/>
        <w:bottom w:val="none" w:sz="0" w:space="0" w:color="auto"/>
        <w:right w:val="none" w:sz="0" w:space="0" w:color="auto"/>
      </w:divBdr>
    </w:div>
    <w:div w:id="1399546868">
      <w:bodyDiv w:val="1"/>
      <w:marLeft w:val="0"/>
      <w:marRight w:val="0"/>
      <w:marTop w:val="0"/>
      <w:marBottom w:val="0"/>
      <w:divBdr>
        <w:top w:val="none" w:sz="0" w:space="0" w:color="auto"/>
        <w:left w:val="none" w:sz="0" w:space="0" w:color="auto"/>
        <w:bottom w:val="none" w:sz="0" w:space="0" w:color="auto"/>
        <w:right w:val="none" w:sz="0" w:space="0" w:color="auto"/>
      </w:divBdr>
    </w:div>
    <w:div w:id="1399548298">
      <w:bodyDiv w:val="1"/>
      <w:marLeft w:val="0"/>
      <w:marRight w:val="0"/>
      <w:marTop w:val="0"/>
      <w:marBottom w:val="0"/>
      <w:divBdr>
        <w:top w:val="none" w:sz="0" w:space="0" w:color="auto"/>
        <w:left w:val="none" w:sz="0" w:space="0" w:color="auto"/>
        <w:bottom w:val="none" w:sz="0" w:space="0" w:color="auto"/>
        <w:right w:val="none" w:sz="0" w:space="0" w:color="auto"/>
      </w:divBdr>
    </w:div>
    <w:div w:id="1399596333">
      <w:bodyDiv w:val="1"/>
      <w:marLeft w:val="0"/>
      <w:marRight w:val="0"/>
      <w:marTop w:val="0"/>
      <w:marBottom w:val="0"/>
      <w:divBdr>
        <w:top w:val="none" w:sz="0" w:space="0" w:color="auto"/>
        <w:left w:val="none" w:sz="0" w:space="0" w:color="auto"/>
        <w:bottom w:val="none" w:sz="0" w:space="0" w:color="auto"/>
        <w:right w:val="none" w:sz="0" w:space="0" w:color="auto"/>
      </w:divBdr>
    </w:div>
    <w:div w:id="1399747226">
      <w:bodyDiv w:val="1"/>
      <w:marLeft w:val="0"/>
      <w:marRight w:val="0"/>
      <w:marTop w:val="0"/>
      <w:marBottom w:val="0"/>
      <w:divBdr>
        <w:top w:val="none" w:sz="0" w:space="0" w:color="auto"/>
        <w:left w:val="none" w:sz="0" w:space="0" w:color="auto"/>
        <w:bottom w:val="none" w:sz="0" w:space="0" w:color="auto"/>
        <w:right w:val="none" w:sz="0" w:space="0" w:color="auto"/>
      </w:divBdr>
    </w:div>
    <w:div w:id="1399790651">
      <w:bodyDiv w:val="1"/>
      <w:marLeft w:val="0"/>
      <w:marRight w:val="0"/>
      <w:marTop w:val="0"/>
      <w:marBottom w:val="0"/>
      <w:divBdr>
        <w:top w:val="none" w:sz="0" w:space="0" w:color="auto"/>
        <w:left w:val="none" w:sz="0" w:space="0" w:color="auto"/>
        <w:bottom w:val="none" w:sz="0" w:space="0" w:color="auto"/>
        <w:right w:val="none" w:sz="0" w:space="0" w:color="auto"/>
      </w:divBdr>
    </w:div>
    <w:div w:id="1399816061">
      <w:bodyDiv w:val="1"/>
      <w:marLeft w:val="0"/>
      <w:marRight w:val="0"/>
      <w:marTop w:val="0"/>
      <w:marBottom w:val="0"/>
      <w:divBdr>
        <w:top w:val="none" w:sz="0" w:space="0" w:color="auto"/>
        <w:left w:val="none" w:sz="0" w:space="0" w:color="auto"/>
        <w:bottom w:val="none" w:sz="0" w:space="0" w:color="auto"/>
        <w:right w:val="none" w:sz="0" w:space="0" w:color="auto"/>
      </w:divBdr>
    </w:div>
    <w:div w:id="1399859777">
      <w:bodyDiv w:val="1"/>
      <w:marLeft w:val="0"/>
      <w:marRight w:val="0"/>
      <w:marTop w:val="0"/>
      <w:marBottom w:val="0"/>
      <w:divBdr>
        <w:top w:val="none" w:sz="0" w:space="0" w:color="auto"/>
        <w:left w:val="none" w:sz="0" w:space="0" w:color="auto"/>
        <w:bottom w:val="none" w:sz="0" w:space="0" w:color="auto"/>
        <w:right w:val="none" w:sz="0" w:space="0" w:color="auto"/>
      </w:divBdr>
    </w:div>
    <w:div w:id="1399940412">
      <w:bodyDiv w:val="1"/>
      <w:marLeft w:val="0"/>
      <w:marRight w:val="0"/>
      <w:marTop w:val="0"/>
      <w:marBottom w:val="0"/>
      <w:divBdr>
        <w:top w:val="none" w:sz="0" w:space="0" w:color="auto"/>
        <w:left w:val="none" w:sz="0" w:space="0" w:color="auto"/>
        <w:bottom w:val="none" w:sz="0" w:space="0" w:color="auto"/>
        <w:right w:val="none" w:sz="0" w:space="0" w:color="auto"/>
      </w:divBdr>
    </w:div>
    <w:div w:id="1400012578">
      <w:bodyDiv w:val="1"/>
      <w:marLeft w:val="0"/>
      <w:marRight w:val="0"/>
      <w:marTop w:val="0"/>
      <w:marBottom w:val="0"/>
      <w:divBdr>
        <w:top w:val="none" w:sz="0" w:space="0" w:color="auto"/>
        <w:left w:val="none" w:sz="0" w:space="0" w:color="auto"/>
        <w:bottom w:val="none" w:sz="0" w:space="0" w:color="auto"/>
        <w:right w:val="none" w:sz="0" w:space="0" w:color="auto"/>
      </w:divBdr>
    </w:div>
    <w:div w:id="1400396012">
      <w:bodyDiv w:val="1"/>
      <w:marLeft w:val="0"/>
      <w:marRight w:val="0"/>
      <w:marTop w:val="0"/>
      <w:marBottom w:val="0"/>
      <w:divBdr>
        <w:top w:val="none" w:sz="0" w:space="0" w:color="auto"/>
        <w:left w:val="none" w:sz="0" w:space="0" w:color="auto"/>
        <w:bottom w:val="none" w:sz="0" w:space="0" w:color="auto"/>
        <w:right w:val="none" w:sz="0" w:space="0" w:color="auto"/>
      </w:divBdr>
    </w:div>
    <w:div w:id="1400860254">
      <w:bodyDiv w:val="1"/>
      <w:marLeft w:val="0"/>
      <w:marRight w:val="0"/>
      <w:marTop w:val="0"/>
      <w:marBottom w:val="0"/>
      <w:divBdr>
        <w:top w:val="none" w:sz="0" w:space="0" w:color="auto"/>
        <w:left w:val="none" w:sz="0" w:space="0" w:color="auto"/>
        <w:bottom w:val="none" w:sz="0" w:space="0" w:color="auto"/>
        <w:right w:val="none" w:sz="0" w:space="0" w:color="auto"/>
      </w:divBdr>
    </w:div>
    <w:div w:id="1400902687">
      <w:bodyDiv w:val="1"/>
      <w:marLeft w:val="0"/>
      <w:marRight w:val="0"/>
      <w:marTop w:val="0"/>
      <w:marBottom w:val="0"/>
      <w:divBdr>
        <w:top w:val="none" w:sz="0" w:space="0" w:color="auto"/>
        <w:left w:val="none" w:sz="0" w:space="0" w:color="auto"/>
        <w:bottom w:val="none" w:sz="0" w:space="0" w:color="auto"/>
        <w:right w:val="none" w:sz="0" w:space="0" w:color="auto"/>
      </w:divBdr>
    </w:div>
    <w:div w:id="1401253407">
      <w:bodyDiv w:val="1"/>
      <w:marLeft w:val="0"/>
      <w:marRight w:val="0"/>
      <w:marTop w:val="0"/>
      <w:marBottom w:val="0"/>
      <w:divBdr>
        <w:top w:val="none" w:sz="0" w:space="0" w:color="auto"/>
        <w:left w:val="none" w:sz="0" w:space="0" w:color="auto"/>
        <w:bottom w:val="none" w:sz="0" w:space="0" w:color="auto"/>
        <w:right w:val="none" w:sz="0" w:space="0" w:color="auto"/>
      </w:divBdr>
    </w:div>
    <w:div w:id="1401563230">
      <w:bodyDiv w:val="1"/>
      <w:marLeft w:val="0"/>
      <w:marRight w:val="0"/>
      <w:marTop w:val="0"/>
      <w:marBottom w:val="0"/>
      <w:divBdr>
        <w:top w:val="none" w:sz="0" w:space="0" w:color="auto"/>
        <w:left w:val="none" w:sz="0" w:space="0" w:color="auto"/>
        <w:bottom w:val="none" w:sz="0" w:space="0" w:color="auto"/>
        <w:right w:val="none" w:sz="0" w:space="0" w:color="auto"/>
      </w:divBdr>
    </w:div>
    <w:div w:id="1401638075">
      <w:bodyDiv w:val="1"/>
      <w:marLeft w:val="0"/>
      <w:marRight w:val="0"/>
      <w:marTop w:val="0"/>
      <w:marBottom w:val="0"/>
      <w:divBdr>
        <w:top w:val="none" w:sz="0" w:space="0" w:color="auto"/>
        <w:left w:val="none" w:sz="0" w:space="0" w:color="auto"/>
        <w:bottom w:val="none" w:sz="0" w:space="0" w:color="auto"/>
        <w:right w:val="none" w:sz="0" w:space="0" w:color="auto"/>
      </w:divBdr>
    </w:div>
    <w:div w:id="1401950803">
      <w:bodyDiv w:val="1"/>
      <w:marLeft w:val="0"/>
      <w:marRight w:val="0"/>
      <w:marTop w:val="0"/>
      <w:marBottom w:val="0"/>
      <w:divBdr>
        <w:top w:val="none" w:sz="0" w:space="0" w:color="auto"/>
        <w:left w:val="none" w:sz="0" w:space="0" w:color="auto"/>
        <w:bottom w:val="none" w:sz="0" w:space="0" w:color="auto"/>
        <w:right w:val="none" w:sz="0" w:space="0" w:color="auto"/>
      </w:divBdr>
    </w:div>
    <w:div w:id="1401951392">
      <w:bodyDiv w:val="1"/>
      <w:marLeft w:val="0"/>
      <w:marRight w:val="0"/>
      <w:marTop w:val="0"/>
      <w:marBottom w:val="0"/>
      <w:divBdr>
        <w:top w:val="none" w:sz="0" w:space="0" w:color="auto"/>
        <w:left w:val="none" w:sz="0" w:space="0" w:color="auto"/>
        <w:bottom w:val="none" w:sz="0" w:space="0" w:color="auto"/>
        <w:right w:val="none" w:sz="0" w:space="0" w:color="auto"/>
      </w:divBdr>
    </w:div>
    <w:div w:id="1401977416">
      <w:bodyDiv w:val="1"/>
      <w:marLeft w:val="0"/>
      <w:marRight w:val="0"/>
      <w:marTop w:val="0"/>
      <w:marBottom w:val="0"/>
      <w:divBdr>
        <w:top w:val="none" w:sz="0" w:space="0" w:color="auto"/>
        <w:left w:val="none" w:sz="0" w:space="0" w:color="auto"/>
        <w:bottom w:val="none" w:sz="0" w:space="0" w:color="auto"/>
        <w:right w:val="none" w:sz="0" w:space="0" w:color="auto"/>
      </w:divBdr>
    </w:div>
    <w:div w:id="1402174047">
      <w:bodyDiv w:val="1"/>
      <w:marLeft w:val="0"/>
      <w:marRight w:val="0"/>
      <w:marTop w:val="0"/>
      <w:marBottom w:val="0"/>
      <w:divBdr>
        <w:top w:val="none" w:sz="0" w:space="0" w:color="auto"/>
        <w:left w:val="none" w:sz="0" w:space="0" w:color="auto"/>
        <w:bottom w:val="none" w:sz="0" w:space="0" w:color="auto"/>
        <w:right w:val="none" w:sz="0" w:space="0" w:color="auto"/>
      </w:divBdr>
    </w:div>
    <w:div w:id="1402633723">
      <w:bodyDiv w:val="1"/>
      <w:marLeft w:val="0"/>
      <w:marRight w:val="0"/>
      <w:marTop w:val="0"/>
      <w:marBottom w:val="0"/>
      <w:divBdr>
        <w:top w:val="none" w:sz="0" w:space="0" w:color="auto"/>
        <w:left w:val="none" w:sz="0" w:space="0" w:color="auto"/>
        <w:bottom w:val="none" w:sz="0" w:space="0" w:color="auto"/>
        <w:right w:val="none" w:sz="0" w:space="0" w:color="auto"/>
      </w:divBdr>
    </w:div>
    <w:div w:id="1402673519">
      <w:bodyDiv w:val="1"/>
      <w:marLeft w:val="0"/>
      <w:marRight w:val="0"/>
      <w:marTop w:val="0"/>
      <w:marBottom w:val="0"/>
      <w:divBdr>
        <w:top w:val="none" w:sz="0" w:space="0" w:color="auto"/>
        <w:left w:val="none" w:sz="0" w:space="0" w:color="auto"/>
        <w:bottom w:val="none" w:sz="0" w:space="0" w:color="auto"/>
        <w:right w:val="none" w:sz="0" w:space="0" w:color="auto"/>
      </w:divBdr>
    </w:div>
    <w:div w:id="1403138222">
      <w:bodyDiv w:val="1"/>
      <w:marLeft w:val="0"/>
      <w:marRight w:val="0"/>
      <w:marTop w:val="0"/>
      <w:marBottom w:val="0"/>
      <w:divBdr>
        <w:top w:val="none" w:sz="0" w:space="0" w:color="auto"/>
        <w:left w:val="none" w:sz="0" w:space="0" w:color="auto"/>
        <w:bottom w:val="none" w:sz="0" w:space="0" w:color="auto"/>
        <w:right w:val="none" w:sz="0" w:space="0" w:color="auto"/>
      </w:divBdr>
    </w:div>
    <w:div w:id="1403480239">
      <w:bodyDiv w:val="1"/>
      <w:marLeft w:val="0"/>
      <w:marRight w:val="0"/>
      <w:marTop w:val="0"/>
      <w:marBottom w:val="0"/>
      <w:divBdr>
        <w:top w:val="none" w:sz="0" w:space="0" w:color="auto"/>
        <w:left w:val="none" w:sz="0" w:space="0" w:color="auto"/>
        <w:bottom w:val="none" w:sz="0" w:space="0" w:color="auto"/>
        <w:right w:val="none" w:sz="0" w:space="0" w:color="auto"/>
      </w:divBdr>
    </w:div>
    <w:div w:id="1403598741">
      <w:bodyDiv w:val="1"/>
      <w:marLeft w:val="0"/>
      <w:marRight w:val="0"/>
      <w:marTop w:val="0"/>
      <w:marBottom w:val="0"/>
      <w:divBdr>
        <w:top w:val="none" w:sz="0" w:space="0" w:color="auto"/>
        <w:left w:val="none" w:sz="0" w:space="0" w:color="auto"/>
        <w:bottom w:val="none" w:sz="0" w:space="0" w:color="auto"/>
        <w:right w:val="none" w:sz="0" w:space="0" w:color="auto"/>
      </w:divBdr>
    </w:div>
    <w:div w:id="1403681440">
      <w:bodyDiv w:val="1"/>
      <w:marLeft w:val="0"/>
      <w:marRight w:val="0"/>
      <w:marTop w:val="0"/>
      <w:marBottom w:val="0"/>
      <w:divBdr>
        <w:top w:val="none" w:sz="0" w:space="0" w:color="auto"/>
        <w:left w:val="none" w:sz="0" w:space="0" w:color="auto"/>
        <w:bottom w:val="none" w:sz="0" w:space="0" w:color="auto"/>
        <w:right w:val="none" w:sz="0" w:space="0" w:color="auto"/>
      </w:divBdr>
    </w:div>
    <w:div w:id="1403872634">
      <w:bodyDiv w:val="1"/>
      <w:marLeft w:val="0"/>
      <w:marRight w:val="0"/>
      <w:marTop w:val="0"/>
      <w:marBottom w:val="0"/>
      <w:divBdr>
        <w:top w:val="none" w:sz="0" w:space="0" w:color="auto"/>
        <w:left w:val="none" w:sz="0" w:space="0" w:color="auto"/>
        <w:bottom w:val="none" w:sz="0" w:space="0" w:color="auto"/>
        <w:right w:val="none" w:sz="0" w:space="0" w:color="auto"/>
      </w:divBdr>
    </w:div>
    <w:div w:id="1403873975">
      <w:bodyDiv w:val="1"/>
      <w:marLeft w:val="0"/>
      <w:marRight w:val="0"/>
      <w:marTop w:val="0"/>
      <w:marBottom w:val="0"/>
      <w:divBdr>
        <w:top w:val="none" w:sz="0" w:space="0" w:color="auto"/>
        <w:left w:val="none" w:sz="0" w:space="0" w:color="auto"/>
        <w:bottom w:val="none" w:sz="0" w:space="0" w:color="auto"/>
        <w:right w:val="none" w:sz="0" w:space="0" w:color="auto"/>
      </w:divBdr>
    </w:div>
    <w:div w:id="1404067740">
      <w:bodyDiv w:val="1"/>
      <w:marLeft w:val="0"/>
      <w:marRight w:val="0"/>
      <w:marTop w:val="0"/>
      <w:marBottom w:val="0"/>
      <w:divBdr>
        <w:top w:val="none" w:sz="0" w:space="0" w:color="auto"/>
        <w:left w:val="none" w:sz="0" w:space="0" w:color="auto"/>
        <w:bottom w:val="none" w:sz="0" w:space="0" w:color="auto"/>
        <w:right w:val="none" w:sz="0" w:space="0" w:color="auto"/>
      </w:divBdr>
    </w:div>
    <w:div w:id="1404253520">
      <w:bodyDiv w:val="1"/>
      <w:marLeft w:val="0"/>
      <w:marRight w:val="0"/>
      <w:marTop w:val="0"/>
      <w:marBottom w:val="0"/>
      <w:divBdr>
        <w:top w:val="none" w:sz="0" w:space="0" w:color="auto"/>
        <w:left w:val="none" w:sz="0" w:space="0" w:color="auto"/>
        <w:bottom w:val="none" w:sz="0" w:space="0" w:color="auto"/>
        <w:right w:val="none" w:sz="0" w:space="0" w:color="auto"/>
      </w:divBdr>
    </w:div>
    <w:div w:id="1404646128">
      <w:bodyDiv w:val="1"/>
      <w:marLeft w:val="0"/>
      <w:marRight w:val="0"/>
      <w:marTop w:val="0"/>
      <w:marBottom w:val="0"/>
      <w:divBdr>
        <w:top w:val="none" w:sz="0" w:space="0" w:color="auto"/>
        <w:left w:val="none" w:sz="0" w:space="0" w:color="auto"/>
        <w:bottom w:val="none" w:sz="0" w:space="0" w:color="auto"/>
        <w:right w:val="none" w:sz="0" w:space="0" w:color="auto"/>
      </w:divBdr>
    </w:div>
    <w:div w:id="1405252608">
      <w:bodyDiv w:val="1"/>
      <w:marLeft w:val="0"/>
      <w:marRight w:val="0"/>
      <w:marTop w:val="0"/>
      <w:marBottom w:val="0"/>
      <w:divBdr>
        <w:top w:val="none" w:sz="0" w:space="0" w:color="auto"/>
        <w:left w:val="none" w:sz="0" w:space="0" w:color="auto"/>
        <w:bottom w:val="none" w:sz="0" w:space="0" w:color="auto"/>
        <w:right w:val="none" w:sz="0" w:space="0" w:color="auto"/>
      </w:divBdr>
    </w:div>
    <w:div w:id="1405570141">
      <w:bodyDiv w:val="1"/>
      <w:marLeft w:val="0"/>
      <w:marRight w:val="0"/>
      <w:marTop w:val="0"/>
      <w:marBottom w:val="0"/>
      <w:divBdr>
        <w:top w:val="none" w:sz="0" w:space="0" w:color="auto"/>
        <w:left w:val="none" w:sz="0" w:space="0" w:color="auto"/>
        <w:bottom w:val="none" w:sz="0" w:space="0" w:color="auto"/>
        <w:right w:val="none" w:sz="0" w:space="0" w:color="auto"/>
      </w:divBdr>
    </w:div>
    <w:div w:id="1406032605">
      <w:bodyDiv w:val="1"/>
      <w:marLeft w:val="0"/>
      <w:marRight w:val="0"/>
      <w:marTop w:val="0"/>
      <w:marBottom w:val="0"/>
      <w:divBdr>
        <w:top w:val="none" w:sz="0" w:space="0" w:color="auto"/>
        <w:left w:val="none" w:sz="0" w:space="0" w:color="auto"/>
        <w:bottom w:val="none" w:sz="0" w:space="0" w:color="auto"/>
        <w:right w:val="none" w:sz="0" w:space="0" w:color="auto"/>
      </w:divBdr>
    </w:div>
    <w:div w:id="1406100754">
      <w:bodyDiv w:val="1"/>
      <w:marLeft w:val="0"/>
      <w:marRight w:val="0"/>
      <w:marTop w:val="0"/>
      <w:marBottom w:val="0"/>
      <w:divBdr>
        <w:top w:val="none" w:sz="0" w:space="0" w:color="auto"/>
        <w:left w:val="none" w:sz="0" w:space="0" w:color="auto"/>
        <w:bottom w:val="none" w:sz="0" w:space="0" w:color="auto"/>
        <w:right w:val="none" w:sz="0" w:space="0" w:color="auto"/>
      </w:divBdr>
    </w:div>
    <w:div w:id="1406106131">
      <w:bodyDiv w:val="1"/>
      <w:marLeft w:val="0"/>
      <w:marRight w:val="0"/>
      <w:marTop w:val="0"/>
      <w:marBottom w:val="0"/>
      <w:divBdr>
        <w:top w:val="none" w:sz="0" w:space="0" w:color="auto"/>
        <w:left w:val="none" w:sz="0" w:space="0" w:color="auto"/>
        <w:bottom w:val="none" w:sz="0" w:space="0" w:color="auto"/>
        <w:right w:val="none" w:sz="0" w:space="0" w:color="auto"/>
      </w:divBdr>
    </w:div>
    <w:div w:id="1406220248">
      <w:bodyDiv w:val="1"/>
      <w:marLeft w:val="0"/>
      <w:marRight w:val="0"/>
      <w:marTop w:val="0"/>
      <w:marBottom w:val="0"/>
      <w:divBdr>
        <w:top w:val="none" w:sz="0" w:space="0" w:color="auto"/>
        <w:left w:val="none" w:sz="0" w:space="0" w:color="auto"/>
        <w:bottom w:val="none" w:sz="0" w:space="0" w:color="auto"/>
        <w:right w:val="none" w:sz="0" w:space="0" w:color="auto"/>
      </w:divBdr>
    </w:div>
    <w:div w:id="1406561673">
      <w:bodyDiv w:val="1"/>
      <w:marLeft w:val="0"/>
      <w:marRight w:val="0"/>
      <w:marTop w:val="0"/>
      <w:marBottom w:val="0"/>
      <w:divBdr>
        <w:top w:val="none" w:sz="0" w:space="0" w:color="auto"/>
        <w:left w:val="none" w:sz="0" w:space="0" w:color="auto"/>
        <w:bottom w:val="none" w:sz="0" w:space="0" w:color="auto"/>
        <w:right w:val="none" w:sz="0" w:space="0" w:color="auto"/>
      </w:divBdr>
    </w:div>
    <w:div w:id="1406681630">
      <w:bodyDiv w:val="1"/>
      <w:marLeft w:val="0"/>
      <w:marRight w:val="0"/>
      <w:marTop w:val="0"/>
      <w:marBottom w:val="0"/>
      <w:divBdr>
        <w:top w:val="none" w:sz="0" w:space="0" w:color="auto"/>
        <w:left w:val="none" w:sz="0" w:space="0" w:color="auto"/>
        <w:bottom w:val="none" w:sz="0" w:space="0" w:color="auto"/>
        <w:right w:val="none" w:sz="0" w:space="0" w:color="auto"/>
      </w:divBdr>
    </w:div>
    <w:div w:id="1406759827">
      <w:bodyDiv w:val="1"/>
      <w:marLeft w:val="0"/>
      <w:marRight w:val="0"/>
      <w:marTop w:val="0"/>
      <w:marBottom w:val="0"/>
      <w:divBdr>
        <w:top w:val="none" w:sz="0" w:space="0" w:color="auto"/>
        <w:left w:val="none" w:sz="0" w:space="0" w:color="auto"/>
        <w:bottom w:val="none" w:sz="0" w:space="0" w:color="auto"/>
        <w:right w:val="none" w:sz="0" w:space="0" w:color="auto"/>
      </w:divBdr>
    </w:div>
    <w:div w:id="1406998723">
      <w:bodyDiv w:val="1"/>
      <w:marLeft w:val="0"/>
      <w:marRight w:val="0"/>
      <w:marTop w:val="0"/>
      <w:marBottom w:val="0"/>
      <w:divBdr>
        <w:top w:val="none" w:sz="0" w:space="0" w:color="auto"/>
        <w:left w:val="none" w:sz="0" w:space="0" w:color="auto"/>
        <w:bottom w:val="none" w:sz="0" w:space="0" w:color="auto"/>
        <w:right w:val="none" w:sz="0" w:space="0" w:color="auto"/>
      </w:divBdr>
    </w:div>
    <w:div w:id="1407142804">
      <w:bodyDiv w:val="1"/>
      <w:marLeft w:val="0"/>
      <w:marRight w:val="0"/>
      <w:marTop w:val="0"/>
      <w:marBottom w:val="0"/>
      <w:divBdr>
        <w:top w:val="none" w:sz="0" w:space="0" w:color="auto"/>
        <w:left w:val="none" w:sz="0" w:space="0" w:color="auto"/>
        <w:bottom w:val="none" w:sz="0" w:space="0" w:color="auto"/>
        <w:right w:val="none" w:sz="0" w:space="0" w:color="auto"/>
      </w:divBdr>
    </w:div>
    <w:div w:id="1407217325">
      <w:bodyDiv w:val="1"/>
      <w:marLeft w:val="0"/>
      <w:marRight w:val="0"/>
      <w:marTop w:val="0"/>
      <w:marBottom w:val="0"/>
      <w:divBdr>
        <w:top w:val="none" w:sz="0" w:space="0" w:color="auto"/>
        <w:left w:val="none" w:sz="0" w:space="0" w:color="auto"/>
        <w:bottom w:val="none" w:sz="0" w:space="0" w:color="auto"/>
        <w:right w:val="none" w:sz="0" w:space="0" w:color="auto"/>
      </w:divBdr>
    </w:div>
    <w:div w:id="1407414370">
      <w:bodyDiv w:val="1"/>
      <w:marLeft w:val="0"/>
      <w:marRight w:val="0"/>
      <w:marTop w:val="0"/>
      <w:marBottom w:val="0"/>
      <w:divBdr>
        <w:top w:val="none" w:sz="0" w:space="0" w:color="auto"/>
        <w:left w:val="none" w:sz="0" w:space="0" w:color="auto"/>
        <w:bottom w:val="none" w:sz="0" w:space="0" w:color="auto"/>
        <w:right w:val="none" w:sz="0" w:space="0" w:color="auto"/>
      </w:divBdr>
    </w:div>
    <w:div w:id="1407612939">
      <w:bodyDiv w:val="1"/>
      <w:marLeft w:val="0"/>
      <w:marRight w:val="0"/>
      <w:marTop w:val="0"/>
      <w:marBottom w:val="0"/>
      <w:divBdr>
        <w:top w:val="none" w:sz="0" w:space="0" w:color="auto"/>
        <w:left w:val="none" w:sz="0" w:space="0" w:color="auto"/>
        <w:bottom w:val="none" w:sz="0" w:space="0" w:color="auto"/>
        <w:right w:val="none" w:sz="0" w:space="0" w:color="auto"/>
      </w:divBdr>
    </w:div>
    <w:div w:id="1407917297">
      <w:bodyDiv w:val="1"/>
      <w:marLeft w:val="0"/>
      <w:marRight w:val="0"/>
      <w:marTop w:val="0"/>
      <w:marBottom w:val="0"/>
      <w:divBdr>
        <w:top w:val="none" w:sz="0" w:space="0" w:color="auto"/>
        <w:left w:val="none" w:sz="0" w:space="0" w:color="auto"/>
        <w:bottom w:val="none" w:sz="0" w:space="0" w:color="auto"/>
        <w:right w:val="none" w:sz="0" w:space="0" w:color="auto"/>
      </w:divBdr>
    </w:div>
    <w:div w:id="1407995471">
      <w:bodyDiv w:val="1"/>
      <w:marLeft w:val="0"/>
      <w:marRight w:val="0"/>
      <w:marTop w:val="0"/>
      <w:marBottom w:val="0"/>
      <w:divBdr>
        <w:top w:val="none" w:sz="0" w:space="0" w:color="auto"/>
        <w:left w:val="none" w:sz="0" w:space="0" w:color="auto"/>
        <w:bottom w:val="none" w:sz="0" w:space="0" w:color="auto"/>
        <w:right w:val="none" w:sz="0" w:space="0" w:color="auto"/>
      </w:divBdr>
    </w:div>
    <w:div w:id="1408116080">
      <w:bodyDiv w:val="1"/>
      <w:marLeft w:val="0"/>
      <w:marRight w:val="0"/>
      <w:marTop w:val="0"/>
      <w:marBottom w:val="0"/>
      <w:divBdr>
        <w:top w:val="none" w:sz="0" w:space="0" w:color="auto"/>
        <w:left w:val="none" w:sz="0" w:space="0" w:color="auto"/>
        <w:bottom w:val="none" w:sz="0" w:space="0" w:color="auto"/>
        <w:right w:val="none" w:sz="0" w:space="0" w:color="auto"/>
      </w:divBdr>
    </w:div>
    <w:div w:id="1408188509">
      <w:bodyDiv w:val="1"/>
      <w:marLeft w:val="0"/>
      <w:marRight w:val="0"/>
      <w:marTop w:val="0"/>
      <w:marBottom w:val="0"/>
      <w:divBdr>
        <w:top w:val="none" w:sz="0" w:space="0" w:color="auto"/>
        <w:left w:val="none" w:sz="0" w:space="0" w:color="auto"/>
        <w:bottom w:val="none" w:sz="0" w:space="0" w:color="auto"/>
        <w:right w:val="none" w:sz="0" w:space="0" w:color="auto"/>
      </w:divBdr>
    </w:div>
    <w:div w:id="1408263255">
      <w:bodyDiv w:val="1"/>
      <w:marLeft w:val="0"/>
      <w:marRight w:val="0"/>
      <w:marTop w:val="0"/>
      <w:marBottom w:val="0"/>
      <w:divBdr>
        <w:top w:val="none" w:sz="0" w:space="0" w:color="auto"/>
        <w:left w:val="none" w:sz="0" w:space="0" w:color="auto"/>
        <w:bottom w:val="none" w:sz="0" w:space="0" w:color="auto"/>
        <w:right w:val="none" w:sz="0" w:space="0" w:color="auto"/>
      </w:divBdr>
    </w:div>
    <w:div w:id="1408306765">
      <w:bodyDiv w:val="1"/>
      <w:marLeft w:val="0"/>
      <w:marRight w:val="0"/>
      <w:marTop w:val="0"/>
      <w:marBottom w:val="0"/>
      <w:divBdr>
        <w:top w:val="none" w:sz="0" w:space="0" w:color="auto"/>
        <w:left w:val="none" w:sz="0" w:space="0" w:color="auto"/>
        <w:bottom w:val="none" w:sz="0" w:space="0" w:color="auto"/>
        <w:right w:val="none" w:sz="0" w:space="0" w:color="auto"/>
      </w:divBdr>
    </w:div>
    <w:div w:id="1408308562">
      <w:bodyDiv w:val="1"/>
      <w:marLeft w:val="0"/>
      <w:marRight w:val="0"/>
      <w:marTop w:val="0"/>
      <w:marBottom w:val="0"/>
      <w:divBdr>
        <w:top w:val="none" w:sz="0" w:space="0" w:color="auto"/>
        <w:left w:val="none" w:sz="0" w:space="0" w:color="auto"/>
        <w:bottom w:val="none" w:sz="0" w:space="0" w:color="auto"/>
        <w:right w:val="none" w:sz="0" w:space="0" w:color="auto"/>
      </w:divBdr>
    </w:div>
    <w:div w:id="1408531318">
      <w:bodyDiv w:val="1"/>
      <w:marLeft w:val="0"/>
      <w:marRight w:val="0"/>
      <w:marTop w:val="0"/>
      <w:marBottom w:val="0"/>
      <w:divBdr>
        <w:top w:val="none" w:sz="0" w:space="0" w:color="auto"/>
        <w:left w:val="none" w:sz="0" w:space="0" w:color="auto"/>
        <w:bottom w:val="none" w:sz="0" w:space="0" w:color="auto"/>
        <w:right w:val="none" w:sz="0" w:space="0" w:color="auto"/>
      </w:divBdr>
    </w:div>
    <w:div w:id="1408964790">
      <w:bodyDiv w:val="1"/>
      <w:marLeft w:val="0"/>
      <w:marRight w:val="0"/>
      <w:marTop w:val="0"/>
      <w:marBottom w:val="0"/>
      <w:divBdr>
        <w:top w:val="none" w:sz="0" w:space="0" w:color="auto"/>
        <w:left w:val="none" w:sz="0" w:space="0" w:color="auto"/>
        <w:bottom w:val="none" w:sz="0" w:space="0" w:color="auto"/>
        <w:right w:val="none" w:sz="0" w:space="0" w:color="auto"/>
      </w:divBdr>
    </w:div>
    <w:div w:id="1409034951">
      <w:bodyDiv w:val="1"/>
      <w:marLeft w:val="0"/>
      <w:marRight w:val="0"/>
      <w:marTop w:val="0"/>
      <w:marBottom w:val="0"/>
      <w:divBdr>
        <w:top w:val="none" w:sz="0" w:space="0" w:color="auto"/>
        <w:left w:val="none" w:sz="0" w:space="0" w:color="auto"/>
        <w:bottom w:val="none" w:sz="0" w:space="0" w:color="auto"/>
        <w:right w:val="none" w:sz="0" w:space="0" w:color="auto"/>
      </w:divBdr>
    </w:div>
    <w:div w:id="1409108374">
      <w:bodyDiv w:val="1"/>
      <w:marLeft w:val="0"/>
      <w:marRight w:val="0"/>
      <w:marTop w:val="0"/>
      <w:marBottom w:val="0"/>
      <w:divBdr>
        <w:top w:val="none" w:sz="0" w:space="0" w:color="auto"/>
        <w:left w:val="none" w:sz="0" w:space="0" w:color="auto"/>
        <w:bottom w:val="none" w:sz="0" w:space="0" w:color="auto"/>
        <w:right w:val="none" w:sz="0" w:space="0" w:color="auto"/>
      </w:divBdr>
    </w:div>
    <w:div w:id="1409109173">
      <w:bodyDiv w:val="1"/>
      <w:marLeft w:val="0"/>
      <w:marRight w:val="0"/>
      <w:marTop w:val="0"/>
      <w:marBottom w:val="0"/>
      <w:divBdr>
        <w:top w:val="none" w:sz="0" w:space="0" w:color="auto"/>
        <w:left w:val="none" w:sz="0" w:space="0" w:color="auto"/>
        <w:bottom w:val="none" w:sz="0" w:space="0" w:color="auto"/>
        <w:right w:val="none" w:sz="0" w:space="0" w:color="auto"/>
      </w:divBdr>
    </w:div>
    <w:div w:id="1409376717">
      <w:bodyDiv w:val="1"/>
      <w:marLeft w:val="0"/>
      <w:marRight w:val="0"/>
      <w:marTop w:val="0"/>
      <w:marBottom w:val="0"/>
      <w:divBdr>
        <w:top w:val="none" w:sz="0" w:space="0" w:color="auto"/>
        <w:left w:val="none" w:sz="0" w:space="0" w:color="auto"/>
        <w:bottom w:val="none" w:sz="0" w:space="0" w:color="auto"/>
        <w:right w:val="none" w:sz="0" w:space="0" w:color="auto"/>
      </w:divBdr>
    </w:div>
    <w:div w:id="1409380916">
      <w:bodyDiv w:val="1"/>
      <w:marLeft w:val="0"/>
      <w:marRight w:val="0"/>
      <w:marTop w:val="0"/>
      <w:marBottom w:val="0"/>
      <w:divBdr>
        <w:top w:val="none" w:sz="0" w:space="0" w:color="auto"/>
        <w:left w:val="none" w:sz="0" w:space="0" w:color="auto"/>
        <w:bottom w:val="none" w:sz="0" w:space="0" w:color="auto"/>
        <w:right w:val="none" w:sz="0" w:space="0" w:color="auto"/>
      </w:divBdr>
    </w:div>
    <w:div w:id="1409695573">
      <w:bodyDiv w:val="1"/>
      <w:marLeft w:val="0"/>
      <w:marRight w:val="0"/>
      <w:marTop w:val="0"/>
      <w:marBottom w:val="0"/>
      <w:divBdr>
        <w:top w:val="none" w:sz="0" w:space="0" w:color="auto"/>
        <w:left w:val="none" w:sz="0" w:space="0" w:color="auto"/>
        <w:bottom w:val="none" w:sz="0" w:space="0" w:color="auto"/>
        <w:right w:val="none" w:sz="0" w:space="0" w:color="auto"/>
      </w:divBdr>
    </w:div>
    <w:div w:id="1409763456">
      <w:bodyDiv w:val="1"/>
      <w:marLeft w:val="0"/>
      <w:marRight w:val="0"/>
      <w:marTop w:val="0"/>
      <w:marBottom w:val="0"/>
      <w:divBdr>
        <w:top w:val="none" w:sz="0" w:space="0" w:color="auto"/>
        <w:left w:val="none" w:sz="0" w:space="0" w:color="auto"/>
        <w:bottom w:val="none" w:sz="0" w:space="0" w:color="auto"/>
        <w:right w:val="none" w:sz="0" w:space="0" w:color="auto"/>
      </w:divBdr>
    </w:div>
    <w:div w:id="1409764705">
      <w:bodyDiv w:val="1"/>
      <w:marLeft w:val="0"/>
      <w:marRight w:val="0"/>
      <w:marTop w:val="0"/>
      <w:marBottom w:val="0"/>
      <w:divBdr>
        <w:top w:val="none" w:sz="0" w:space="0" w:color="auto"/>
        <w:left w:val="none" w:sz="0" w:space="0" w:color="auto"/>
        <w:bottom w:val="none" w:sz="0" w:space="0" w:color="auto"/>
        <w:right w:val="none" w:sz="0" w:space="0" w:color="auto"/>
      </w:divBdr>
    </w:div>
    <w:div w:id="1409766566">
      <w:bodyDiv w:val="1"/>
      <w:marLeft w:val="0"/>
      <w:marRight w:val="0"/>
      <w:marTop w:val="0"/>
      <w:marBottom w:val="0"/>
      <w:divBdr>
        <w:top w:val="none" w:sz="0" w:space="0" w:color="auto"/>
        <w:left w:val="none" w:sz="0" w:space="0" w:color="auto"/>
        <w:bottom w:val="none" w:sz="0" w:space="0" w:color="auto"/>
        <w:right w:val="none" w:sz="0" w:space="0" w:color="auto"/>
      </w:divBdr>
    </w:div>
    <w:div w:id="1409810957">
      <w:bodyDiv w:val="1"/>
      <w:marLeft w:val="0"/>
      <w:marRight w:val="0"/>
      <w:marTop w:val="0"/>
      <w:marBottom w:val="0"/>
      <w:divBdr>
        <w:top w:val="none" w:sz="0" w:space="0" w:color="auto"/>
        <w:left w:val="none" w:sz="0" w:space="0" w:color="auto"/>
        <w:bottom w:val="none" w:sz="0" w:space="0" w:color="auto"/>
        <w:right w:val="none" w:sz="0" w:space="0" w:color="auto"/>
      </w:divBdr>
    </w:div>
    <w:div w:id="1409883128">
      <w:bodyDiv w:val="1"/>
      <w:marLeft w:val="0"/>
      <w:marRight w:val="0"/>
      <w:marTop w:val="0"/>
      <w:marBottom w:val="0"/>
      <w:divBdr>
        <w:top w:val="none" w:sz="0" w:space="0" w:color="auto"/>
        <w:left w:val="none" w:sz="0" w:space="0" w:color="auto"/>
        <w:bottom w:val="none" w:sz="0" w:space="0" w:color="auto"/>
        <w:right w:val="none" w:sz="0" w:space="0" w:color="auto"/>
      </w:divBdr>
    </w:div>
    <w:div w:id="1410225027">
      <w:bodyDiv w:val="1"/>
      <w:marLeft w:val="0"/>
      <w:marRight w:val="0"/>
      <w:marTop w:val="0"/>
      <w:marBottom w:val="0"/>
      <w:divBdr>
        <w:top w:val="none" w:sz="0" w:space="0" w:color="auto"/>
        <w:left w:val="none" w:sz="0" w:space="0" w:color="auto"/>
        <w:bottom w:val="none" w:sz="0" w:space="0" w:color="auto"/>
        <w:right w:val="none" w:sz="0" w:space="0" w:color="auto"/>
      </w:divBdr>
    </w:div>
    <w:div w:id="1410466005">
      <w:bodyDiv w:val="1"/>
      <w:marLeft w:val="0"/>
      <w:marRight w:val="0"/>
      <w:marTop w:val="0"/>
      <w:marBottom w:val="0"/>
      <w:divBdr>
        <w:top w:val="none" w:sz="0" w:space="0" w:color="auto"/>
        <w:left w:val="none" w:sz="0" w:space="0" w:color="auto"/>
        <w:bottom w:val="none" w:sz="0" w:space="0" w:color="auto"/>
        <w:right w:val="none" w:sz="0" w:space="0" w:color="auto"/>
      </w:divBdr>
    </w:div>
    <w:div w:id="1410693060">
      <w:bodyDiv w:val="1"/>
      <w:marLeft w:val="0"/>
      <w:marRight w:val="0"/>
      <w:marTop w:val="0"/>
      <w:marBottom w:val="0"/>
      <w:divBdr>
        <w:top w:val="none" w:sz="0" w:space="0" w:color="auto"/>
        <w:left w:val="none" w:sz="0" w:space="0" w:color="auto"/>
        <w:bottom w:val="none" w:sz="0" w:space="0" w:color="auto"/>
        <w:right w:val="none" w:sz="0" w:space="0" w:color="auto"/>
      </w:divBdr>
    </w:div>
    <w:div w:id="1410695110">
      <w:bodyDiv w:val="1"/>
      <w:marLeft w:val="0"/>
      <w:marRight w:val="0"/>
      <w:marTop w:val="0"/>
      <w:marBottom w:val="0"/>
      <w:divBdr>
        <w:top w:val="none" w:sz="0" w:space="0" w:color="auto"/>
        <w:left w:val="none" w:sz="0" w:space="0" w:color="auto"/>
        <w:bottom w:val="none" w:sz="0" w:space="0" w:color="auto"/>
        <w:right w:val="none" w:sz="0" w:space="0" w:color="auto"/>
      </w:divBdr>
    </w:div>
    <w:div w:id="1410737306">
      <w:bodyDiv w:val="1"/>
      <w:marLeft w:val="0"/>
      <w:marRight w:val="0"/>
      <w:marTop w:val="0"/>
      <w:marBottom w:val="0"/>
      <w:divBdr>
        <w:top w:val="none" w:sz="0" w:space="0" w:color="auto"/>
        <w:left w:val="none" w:sz="0" w:space="0" w:color="auto"/>
        <w:bottom w:val="none" w:sz="0" w:space="0" w:color="auto"/>
        <w:right w:val="none" w:sz="0" w:space="0" w:color="auto"/>
      </w:divBdr>
    </w:div>
    <w:div w:id="1410738224">
      <w:bodyDiv w:val="1"/>
      <w:marLeft w:val="0"/>
      <w:marRight w:val="0"/>
      <w:marTop w:val="0"/>
      <w:marBottom w:val="0"/>
      <w:divBdr>
        <w:top w:val="none" w:sz="0" w:space="0" w:color="auto"/>
        <w:left w:val="none" w:sz="0" w:space="0" w:color="auto"/>
        <w:bottom w:val="none" w:sz="0" w:space="0" w:color="auto"/>
        <w:right w:val="none" w:sz="0" w:space="0" w:color="auto"/>
      </w:divBdr>
    </w:div>
    <w:div w:id="1411077141">
      <w:bodyDiv w:val="1"/>
      <w:marLeft w:val="0"/>
      <w:marRight w:val="0"/>
      <w:marTop w:val="0"/>
      <w:marBottom w:val="0"/>
      <w:divBdr>
        <w:top w:val="none" w:sz="0" w:space="0" w:color="auto"/>
        <w:left w:val="none" w:sz="0" w:space="0" w:color="auto"/>
        <w:bottom w:val="none" w:sz="0" w:space="0" w:color="auto"/>
        <w:right w:val="none" w:sz="0" w:space="0" w:color="auto"/>
      </w:divBdr>
    </w:div>
    <w:div w:id="1411197783">
      <w:bodyDiv w:val="1"/>
      <w:marLeft w:val="0"/>
      <w:marRight w:val="0"/>
      <w:marTop w:val="0"/>
      <w:marBottom w:val="0"/>
      <w:divBdr>
        <w:top w:val="none" w:sz="0" w:space="0" w:color="auto"/>
        <w:left w:val="none" w:sz="0" w:space="0" w:color="auto"/>
        <w:bottom w:val="none" w:sz="0" w:space="0" w:color="auto"/>
        <w:right w:val="none" w:sz="0" w:space="0" w:color="auto"/>
      </w:divBdr>
    </w:div>
    <w:div w:id="1411581171">
      <w:bodyDiv w:val="1"/>
      <w:marLeft w:val="0"/>
      <w:marRight w:val="0"/>
      <w:marTop w:val="0"/>
      <w:marBottom w:val="0"/>
      <w:divBdr>
        <w:top w:val="none" w:sz="0" w:space="0" w:color="auto"/>
        <w:left w:val="none" w:sz="0" w:space="0" w:color="auto"/>
        <w:bottom w:val="none" w:sz="0" w:space="0" w:color="auto"/>
        <w:right w:val="none" w:sz="0" w:space="0" w:color="auto"/>
      </w:divBdr>
    </w:div>
    <w:div w:id="1411855563">
      <w:bodyDiv w:val="1"/>
      <w:marLeft w:val="0"/>
      <w:marRight w:val="0"/>
      <w:marTop w:val="0"/>
      <w:marBottom w:val="0"/>
      <w:divBdr>
        <w:top w:val="none" w:sz="0" w:space="0" w:color="auto"/>
        <w:left w:val="none" w:sz="0" w:space="0" w:color="auto"/>
        <w:bottom w:val="none" w:sz="0" w:space="0" w:color="auto"/>
        <w:right w:val="none" w:sz="0" w:space="0" w:color="auto"/>
      </w:divBdr>
    </w:div>
    <w:div w:id="1412004973">
      <w:bodyDiv w:val="1"/>
      <w:marLeft w:val="0"/>
      <w:marRight w:val="0"/>
      <w:marTop w:val="0"/>
      <w:marBottom w:val="0"/>
      <w:divBdr>
        <w:top w:val="none" w:sz="0" w:space="0" w:color="auto"/>
        <w:left w:val="none" w:sz="0" w:space="0" w:color="auto"/>
        <w:bottom w:val="none" w:sz="0" w:space="0" w:color="auto"/>
        <w:right w:val="none" w:sz="0" w:space="0" w:color="auto"/>
      </w:divBdr>
    </w:div>
    <w:div w:id="1412196604">
      <w:bodyDiv w:val="1"/>
      <w:marLeft w:val="0"/>
      <w:marRight w:val="0"/>
      <w:marTop w:val="0"/>
      <w:marBottom w:val="0"/>
      <w:divBdr>
        <w:top w:val="none" w:sz="0" w:space="0" w:color="auto"/>
        <w:left w:val="none" w:sz="0" w:space="0" w:color="auto"/>
        <w:bottom w:val="none" w:sz="0" w:space="0" w:color="auto"/>
        <w:right w:val="none" w:sz="0" w:space="0" w:color="auto"/>
      </w:divBdr>
    </w:div>
    <w:div w:id="1412237240">
      <w:bodyDiv w:val="1"/>
      <w:marLeft w:val="0"/>
      <w:marRight w:val="0"/>
      <w:marTop w:val="0"/>
      <w:marBottom w:val="0"/>
      <w:divBdr>
        <w:top w:val="none" w:sz="0" w:space="0" w:color="auto"/>
        <w:left w:val="none" w:sz="0" w:space="0" w:color="auto"/>
        <w:bottom w:val="none" w:sz="0" w:space="0" w:color="auto"/>
        <w:right w:val="none" w:sz="0" w:space="0" w:color="auto"/>
      </w:divBdr>
    </w:div>
    <w:div w:id="1412459843">
      <w:bodyDiv w:val="1"/>
      <w:marLeft w:val="0"/>
      <w:marRight w:val="0"/>
      <w:marTop w:val="0"/>
      <w:marBottom w:val="0"/>
      <w:divBdr>
        <w:top w:val="none" w:sz="0" w:space="0" w:color="auto"/>
        <w:left w:val="none" w:sz="0" w:space="0" w:color="auto"/>
        <w:bottom w:val="none" w:sz="0" w:space="0" w:color="auto"/>
        <w:right w:val="none" w:sz="0" w:space="0" w:color="auto"/>
      </w:divBdr>
    </w:div>
    <w:div w:id="1412578794">
      <w:bodyDiv w:val="1"/>
      <w:marLeft w:val="0"/>
      <w:marRight w:val="0"/>
      <w:marTop w:val="0"/>
      <w:marBottom w:val="0"/>
      <w:divBdr>
        <w:top w:val="none" w:sz="0" w:space="0" w:color="auto"/>
        <w:left w:val="none" w:sz="0" w:space="0" w:color="auto"/>
        <w:bottom w:val="none" w:sz="0" w:space="0" w:color="auto"/>
        <w:right w:val="none" w:sz="0" w:space="0" w:color="auto"/>
      </w:divBdr>
    </w:div>
    <w:div w:id="1412583344">
      <w:bodyDiv w:val="1"/>
      <w:marLeft w:val="0"/>
      <w:marRight w:val="0"/>
      <w:marTop w:val="0"/>
      <w:marBottom w:val="0"/>
      <w:divBdr>
        <w:top w:val="none" w:sz="0" w:space="0" w:color="auto"/>
        <w:left w:val="none" w:sz="0" w:space="0" w:color="auto"/>
        <w:bottom w:val="none" w:sz="0" w:space="0" w:color="auto"/>
        <w:right w:val="none" w:sz="0" w:space="0" w:color="auto"/>
      </w:divBdr>
    </w:div>
    <w:div w:id="1412845997">
      <w:bodyDiv w:val="1"/>
      <w:marLeft w:val="0"/>
      <w:marRight w:val="0"/>
      <w:marTop w:val="0"/>
      <w:marBottom w:val="0"/>
      <w:divBdr>
        <w:top w:val="none" w:sz="0" w:space="0" w:color="auto"/>
        <w:left w:val="none" w:sz="0" w:space="0" w:color="auto"/>
        <w:bottom w:val="none" w:sz="0" w:space="0" w:color="auto"/>
        <w:right w:val="none" w:sz="0" w:space="0" w:color="auto"/>
      </w:divBdr>
    </w:div>
    <w:div w:id="1413087702">
      <w:bodyDiv w:val="1"/>
      <w:marLeft w:val="0"/>
      <w:marRight w:val="0"/>
      <w:marTop w:val="0"/>
      <w:marBottom w:val="0"/>
      <w:divBdr>
        <w:top w:val="none" w:sz="0" w:space="0" w:color="auto"/>
        <w:left w:val="none" w:sz="0" w:space="0" w:color="auto"/>
        <w:bottom w:val="none" w:sz="0" w:space="0" w:color="auto"/>
        <w:right w:val="none" w:sz="0" w:space="0" w:color="auto"/>
      </w:divBdr>
    </w:div>
    <w:div w:id="1413162284">
      <w:bodyDiv w:val="1"/>
      <w:marLeft w:val="0"/>
      <w:marRight w:val="0"/>
      <w:marTop w:val="0"/>
      <w:marBottom w:val="0"/>
      <w:divBdr>
        <w:top w:val="none" w:sz="0" w:space="0" w:color="auto"/>
        <w:left w:val="none" w:sz="0" w:space="0" w:color="auto"/>
        <w:bottom w:val="none" w:sz="0" w:space="0" w:color="auto"/>
        <w:right w:val="none" w:sz="0" w:space="0" w:color="auto"/>
      </w:divBdr>
    </w:div>
    <w:div w:id="1413626535">
      <w:bodyDiv w:val="1"/>
      <w:marLeft w:val="0"/>
      <w:marRight w:val="0"/>
      <w:marTop w:val="0"/>
      <w:marBottom w:val="0"/>
      <w:divBdr>
        <w:top w:val="none" w:sz="0" w:space="0" w:color="auto"/>
        <w:left w:val="none" w:sz="0" w:space="0" w:color="auto"/>
        <w:bottom w:val="none" w:sz="0" w:space="0" w:color="auto"/>
        <w:right w:val="none" w:sz="0" w:space="0" w:color="auto"/>
      </w:divBdr>
    </w:div>
    <w:div w:id="1413773577">
      <w:bodyDiv w:val="1"/>
      <w:marLeft w:val="0"/>
      <w:marRight w:val="0"/>
      <w:marTop w:val="0"/>
      <w:marBottom w:val="0"/>
      <w:divBdr>
        <w:top w:val="none" w:sz="0" w:space="0" w:color="auto"/>
        <w:left w:val="none" w:sz="0" w:space="0" w:color="auto"/>
        <w:bottom w:val="none" w:sz="0" w:space="0" w:color="auto"/>
        <w:right w:val="none" w:sz="0" w:space="0" w:color="auto"/>
      </w:divBdr>
    </w:div>
    <w:div w:id="1413818936">
      <w:bodyDiv w:val="1"/>
      <w:marLeft w:val="0"/>
      <w:marRight w:val="0"/>
      <w:marTop w:val="0"/>
      <w:marBottom w:val="0"/>
      <w:divBdr>
        <w:top w:val="none" w:sz="0" w:space="0" w:color="auto"/>
        <w:left w:val="none" w:sz="0" w:space="0" w:color="auto"/>
        <w:bottom w:val="none" w:sz="0" w:space="0" w:color="auto"/>
        <w:right w:val="none" w:sz="0" w:space="0" w:color="auto"/>
      </w:divBdr>
    </w:div>
    <w:div w:id="1413890260">
      <w:bodyDiv w:val="1"/>
      <w:marLeft w:val="0"/>
      <w:marRight w:val="0"/>
      <w:marTop w:val="0"/>
      <w:marBottom w:val="0"/>
      <w:divBdr>
        <w:top w:val="none" w:sz="0" w:space="0" w:color="auto"/>
        <w:left w:val="none" w:sz="0" w:space="0" w:color="auto"/>
        <w:bottom w:val="none" w:sz="0" w:space="0" w:color="auto"/>
        <w:right w:val="none" w:sz="0" w:space="0" w:color="auto"/>
      </w:divBdr>
    </w:div>
    <w:div w:id="1413891356">
      <w:bodyDiv w:val="1"/>
      <w:marLeft w:val="0"/>
      <w:marRight w:val="0"/>
      <w:marTop w:val="0"/>
      <w:marBottom w:val="0"/>
      <w:divBdr>
        <w:top w:val="none" w:sz="0" w:space="0" w:color="auto"/>
        <w:left w:val="none" w:sz="0" w:space="0" w:color="auto"/>
        <w:bottom w:val="none" w:sz="0" w:space="0" w:color="auto"/>
        <w:right w:val="none" w:sz="0" w:space="0" w:color="auto"/>
      </w:divBdr>
    </w:div>
    <w:div w:id="1414425612">
      <w:bodyDiv w:val="1"/>
      <w:marLeft w:val="0"/>
      <w:marRight w:val="0"/>
      <w:marTop w:val="0"/>
      <w:marBottom w:val="0"/>
      <w:divBdr>
        <w:top w:val="none" w:sz="0" w:space="0" w:color="auto"/>
        <w:left w:val="none" w:sz="0" w:space="0" w:color="auto"/>
        <w:bottom w:val="none" w:sz="0" w:space="0" w:color="auto"/>
        <w:right w:val="none" w:sz="0" w:space="0" w:color="auto"/>
      </w:divBdr>
    </w:div>
    <w:div w:id="1414814231">
      <w:bodyDiv w:val="1"/>
      <w:marLeft w:val="0"/>
      <w:marRight w:val="0"/>
      <w:marTop w:val="0"/>
      <w:marBottom w:val="0"/>
      <w:divBdr>
        <w:top w:val="none" w:sz="0" w:space="0" w:color="auto"/>
        <w:left w:val="none" w:sz="0" w:space="0" w:color="auto"/>
        <w:bottom w:val="none" w:sz="0" w:space="0" w:color="auto"/>
        <w:right w:val="none" w:sz="0" w:space="0" w:color="auto"/>
      </w:divBdr>
    </w:div>
    <w:div w:id="1415469158">
      <w:bodyDiv w:val="1"/>
      <w:marLeft w:val="0"/>
      <w:marRight w:val="0"/>
      <w:marTop w:val="0"/>
      <w:marBottom w:val="0"/>
      <w:divBdr>
        <w:top w:val="none" w:sz="0" w:space="0" w:color="auto"/>
        <w:left w:val="none" w:sz="0" w:space="0" w:color="auto"/>
        <w:bottom w:val="none" w:sz="0" w:space="0" w:color="auto"/>
        <w:right w:val="none" w:sz="0" w:space="0" w:color="auto"/>
      </w:divBdr>
    </w:div>
    <w:div w:id="1415512179">
      <w:bodyDiv w:val="1"/>
      <w:marLeft w:val="0"/>
      <w:marRight w:val="0"/>
      <w:marTop w:val="0"/>
      <w:marBottom w:val="0"/>
      <w:divBdr>
        <w:top w:val="none" w:sz="0" w:space="0" w:color="auto"/>
        <w:left w:val="none" w:sz="0" w:space="0" w:color="auto"/>
        <w:bottom w:val="none" w:sz="0" w:space="0" w:color="auto"/>
        <w:right w:val="none" w:sz="0" w:space="0" w:color="auto"/>
      </w:divBdr>
    </w:div>
    <w:div w:id="1415544355">
      <w:bodyDiv w:val="1"/>
      <w:marLeft w:val="0"/>
      <w:marRight w:val="0"/>
      <w:marTop w:val="0"/>
      <w:marBottom w:val="0"/>
      <w:divBdr>
        <w:top w:val="none" w:sz="0" w:space="0" w:color="auto"/>
        <w:left w:val="none" w:sz="0" w:space="0" w:color="auto"/>
        <w:bottom w:val="none" w:sz="0" w:space="0" w:color="auto"/>
        <w:right w:val="none" w:sz="0" w:space="0" w:color="auto"/>
      </w:divBdr>
    </w:div>
    <w:div w:id="1415667008">
      <w:bodyDiv w:val="1"/>
      <w:marLeft w:val="0"/>
      <w:marRight w:val="0"/>
      <w:marTop w:val="0"/>
      <w:marBottom w:val="0"/>
      <w:divBdr>
        <w:top w:val="none" w:sz="0" w:space="0" w:color="auto"/>
        <w:left w:val="none" w:sz="0" w:space="0" w:color="auto"/>
        <w:bottom w:val="none" w:sz="0" w:space="0" w:color="auto"/>
        <w:right w:val="none" w:sz="0" w:space="0" w:color="auto"/>
      </w:divBdr>
    </w:div>
    <w:div w:id="1415709533">
      <w:bodyDiv w:val="1"/>
      <w:marLeft w:val="0"/>
      <w:marRight w:val="0"/>
      <w:marTop w:val="0"/>
      <w:marBottom w:val="0"/>
      <w:divBdr>
        <w:top w:val="none" w:sz="0" w:space="0" w:color="auto"/>
        <w:left w:val="none" w:sz="0" w:space="0" w:color="auto"/>
        <w:bottom w:val="none" w:sz="0" w:space="0" w:color="auto"/>
        <w:right w:val="none" w:sz="0" w:space="0" w:color="auto"/>
      </w:divBdr>
    </w:div>
    <w:div w:id="1417095563">
      <w:bodyDiv w:val="1"/>
      <w:marLeft w:val="0"/>
      <w:marRight w:val="0"/>
      <w:marTop w:val="0"/>
      <w:marBottom w:val="0"/>
      <w:divBdr>
        <w:top w:val="none" w:sz="0" w:space="0" w:color="auto"/>
        <w:left w:val="none" w:sz="0" w:space="0" w:color="auto"/>
        <w:bottom w:val="none" w:sz="0" w:space="0" w:color="auto"/>
        <w:right w:val="none" w:sz="0" w:space="0" w:color="auto"/>
      </w:divBdr>
    </w:div>
    <w:div w:id="1417245485">
      <w:bodyDiv w:val="1"/>
      <w:marLeft w:val="0"/>
      <w:marRight w:val="0"/>
      <w:marTop w:val="0"/>
      <w:marBottom w:val="0"/>
      <w:divBdr>
        <w:top w:val="none" w:sz="0" w:space="0" w:color="auto"/>
        <w:left w:val="none" w:sz="0" w:space="0" w:color="auto"/>
        <w:bottom w:val="none" w:sz="0" w:space="0" w:color="auto"/>
        <w:right w:val="none" w:sz="0" w:space="0" w:color="auto"/>
      </w:divBdr>
    </w:div>
    <w:div w:id="1417285746">
      <w:bodyDiv w:val="1"/>
      <w:marLeft w:val="0"/>
      <w:marRight w:val="0"/>
      <w:marTop w:val="0"/>
      <w:marBottom w:val="0"/>
      <w:divBdr>
        <w:top w:val="none" w:sz="0" w:space="0" w:color="auto"/>
        <w:left w:val="none" w:sz="0" w:space="0" w:color="auto"/>
        <w:bottom w:val="none" w:sz="0" w:space="0" w:color="auto"/>
        <w:right w:val="none" w:sz="0" w:space="0" w:color="auto"/>
      </w:divBdr>
    </w:div>
    <w:div w:id="1417290944">
      <w:bodyDiv w:val="1"/>
      <w:marLeft w:val="0"/>
      <w:marRight w:val="0"/>
      <w:marTop w:val="0"/>
      <w:marBottom w:val="0"/>
      <w:divBdr>
        <w:top w:val="none" w:sz="0" w:space="0" w:color="auto"/>
        <w:left w:val="none" w:sz="0" w:space="0" w:color="auto"/>
        <w:bottom w:val="none" w:sz="0" w:space="0" w:color="auto"/>
        <w:right w:val="none" w:sz="0" w:space="0" w:color="auto"/>
      </w:divBdr>
    </w:div>
    <w:div w:id="1417361580">
      <w:bodyDiv w:val="1"/>
      <w:marLeft w:val="0"/>
      <w:marRight w:val="0"/>
      <w:marTop w:val="0"/>
      <w:marBottom w:val="0"/>
      <w:divBdr>
        <w:top w:val="none" w:sz="0" w:space="0" w:color="auto"/>
        <w:left w:val="none" w:sz="0" w:space="0" w:color="auto"/>
        <w:bottom w:val="none" w:sz="0" w:space="0" w:color="auto"/>
        <w:right w:val="none" w:sz="0" w:space="0" w:color="auto"/>
      </w:divBdr>
    </w:div>
    <w:div w:id="1417364802">
      <w:bodyDiv w:val="1"/>
      <w:marLeft w:val="0"/>
      <w:marRight w:val="0"/>
      <w:marTop w:val="0"/>
      <w:marBottom w:val="0"/>
      <w:divBdr>
        <w:top w:val="none" w:sz="0" w:space="0" w:color="auto"/>
        <w:left w:val="none" w:sz="0" w:space="0" w:color="auto"/>
        <w:bottom w:val="none" w:sz="0" w:space="0" w:color="auto"/>
        <w:right w:val="none" w:sz="0" w:space="0" w:color="auto"/>
      </w:divBdr>
    </w:div>
    <w:div w:id="1417508449">
      <w:bodyDiv w:val="1"/>
      <w:marLeft w:val="0"/>
      <w:marRight w:val="0"/>
      <w:marTop w:val="0"/>
      <w:marBottom w:val="0"/>
      <w:divBdr>
        <w:top w:val="none" w:sz="0" w:space="0" w:color="auto"/>
        <w:left w:val="none" w:sz="0" w:space="0" w:color="auto"/>
        <w:bottom w:val="none" w:sz="0" w:space="0" w:color="auto"/>
        <w:right w:val="none" w:sz="0" w:space="0" w:color="auto"/>
      </w:divBdr>
    </w:div>
    <w:div w:id="1418136777">
      <w:bodyDiv w:val="1"/>
      <w:marLeft w:val="0"/>
      <w:marRight w:val="0"/>
      <w:marTop w:val="0"/>
      <w:marBottom w:val="0"/>
      <w:divBdr>
        <w:top w:val="none" w:sz="0" w:space="0" w:color="auto"/>
        <w:left w:val="none" w:sz="0" w:space="0" w:color="auto"/>
        <w:bottom w:val="none" w:sz="0" w:space="0" w:color="auto"/>
        <w:right w:val="none" w:sz="0" w:space="0" w:color="auto"/>
      </w:divBdr>
    </w:div>
    <w:div w:id="1418331490">
      <w:bodyDiv w:val="1"/>
      <w:marLeft w:val="0"/>
      <w:marRight w:val="0"/>
      <w:marTop w:val="0"/>
      <w:marBottom w:val="0"/>
      <w:divBdr>
        <w:top w:val="none" w:sz="0" w:space="0" w:color="auto"/>
        <w:left w:val="none" w:sz="0" w:space="0" w:color="auto"/>
        <w:bottom w:val="none" w:sz="0" w:space="0" w:color="auto"/>
        <w:right w:val="none" w:sz="0" w:space="0" w:color="auto"/>
      </w:divBdr>
    </w:div>
    <w:div w:id="1418596254">
      <w:bodyDiv w:val="1"/>
      <w:marLeft w:val="0"/>
      <w:marRight w:val="0"/>
      <w:marTop w:val="0"/>
      <w:marBottom w:val="0"/>
      <w:divBdr>
        <w:top w:val="none" w:sz="0" w:space="0" w:color="auto"/>
        <w:left w:val="none" w:sz="0" w:space="0" w:color="auto"/>
        <w:bottom w:val="none" w:sz="0" w:space="0" w:color="auto"/>
        <w:right w:val="none" w:sz="0" w:space="0" w:color="auto"/>
      </w:divBdr>
    </w:div>
    <w:div w:id="1419331912">
      <w:bodyDiv w:val="1"/>
      <w:marLeft w:val="0"/>
      <w:marRight w:val="0"/>
      <w:marTop w:val="0"/>
      <w:marBottom w:val="0"/>
      <w:divBdr>
        <w:top w:val="none" w:sz="0" w:space="0" w:color="auto"/>
        <w:left w:val="none" w:sz="0" w:space="0" w:color="auto"/>
        <w:bottom w:val="none" w:sz="0" w:space="0" w:color="auto"/>
        <w:right w:val="none" w:sz="0" w:space="0" w:color="auto"/>
      </w:divBdr>
    </w:div>
    <w:div w:id="1419520518">
      <w:bodyDiv w:val="1"/>
      <w:marLeft w:val="0"/>
      <w:marRight w:val="0"/>
      <w:marTop w:val="0"/>
      <w:marBottom w:val="0"/>
      <w:divBdr>
        <w:top w:val="none" w:sz="0" w:space="0" w:color="auto"/>
        <w:left w:val="none" w:sz="0" w:space="0" w:color="auto"/>
        <w:bottom w:val="none" w:sz="0" w:space="0" w:color="auto"/>
        <w:right w:val="none" w:sz="0" w:space="0" w:color="auto"/>
      </w:divBdr>
    </w:div>
    <w:div w:id="1419911536">
      <w:bodyDiv w:val="1"/>
      <w:marLeft w:val="0"/>
      <w:marRight w:val="0"/>
      <w:marTop w:val="0"/>
      <w:marBottom w:val="0"/>
      <w:divBdr>
        <w:top w:val="none" w:sz="0" w:space="0" w:color="auto"/>
        <w:left w:val="none" w:sz="0" w:space="0" w:color="auto"/>
        <w:bottom w:val="none" w:sz="0" w:space="0" w:color="auto"/>
        <w:right w:val="none" w:sz="0" w:space="0" w:color="auto"/>
      </w:divBdr>
    </w:div>
    <w:div w:id="1419911680">
      <w:bodyDiv w:val="1"/>
      <w:marLeft w:val="0"/>
      <w:marRight w:val="0"/>
      <w:marTop w:val="0"/>
      <w:marBottom w:val="0"/>
      <w:divBdr>
        <w:top w:val="none" w:sz="0" w:space="0" w:color="auto"/>
        <w:left w:val="none" w:sz="0" w:space="0" w:color="auto"/>
        <w:bottom w:val="none" w:sz="0" w:space="0" w:color="auto"/>
        <w:right w:val="none" w:sz="0" w:space="0" w:color="auto"/>
      </w:divBdr>
    </w:div>
    <w:div w:id="1420176678">
      <w:bodyDiv w:val="1"/>
      <w:marLeft w:val="0"/>
      <w:marRight w:val="0"/>
      <w:marTop w:val="0"/>
      <w:marBottom w:val="0"/>
      <w:divBdr>
        <w:top w:val="none" w:sz="0" w:space="0" w:color="auto"/>
        <w:left w:val="none" w:sz="0" w:space="0" w:color="auto"/>
        <w:bottom w:val="none" w:sz="0" w:space="0" w:color="auto"/>
        <w:right w:val="none" w:sz="0" w:space="0" w:color="auto"/>
      </w:divBdr>
    </w:div>
    <w:div w:id="1420247494">
      <w:bodyDiv w:val="1"/>
      <w:marLeft w:val="0"/>
      <w:marRight w:val="0"/>
      <w:marTop w:val="0"/>
      <w:marBottom w:val="0"/>
      <w:divBdr>
        <w:top w:val="none" w:sz="0" w:space="0" w:color="auto"/>
        <w:left w:val="none" w:sz="0" w:space="0" w:color="auto"/>
        <w:bottom w:val="none" w:sz="0" w:space="0" w:color="auto"/>
        <w:right w:val="none" w:sz="0" w:space="0" w:color="auto"/>
      </w:divBdr>
    </w:div>
    <w:div w:id="1420251783">
      <w:bodyDiv w:val="1"/>
      <w:marLeft w:val="0"/>
      <w:marRight w:val="0"/>
      <w:marTop w:val="0"/>
      <w:marBottom w:val="0"/>
      <w:divBdr>
        <w:top w:val="none" w:sz="0" w:space="0" w:color="auto"/>
        <w:left w:val="none" w:sz="0" w:space="0" w:color="auto"/>
        <w:bottom w:val="none" w:sz="0" w:space="0" w:color="auto"/>
        <w:right w:val="none" w:sz="0" w:space="0" w:color="auto"/>
      </w:divBdr>
    </w:div>
    <w:div w:id="1420323705">
      <w:bodyDiv w:val="1"/>
      <w:marLeft w:val="0"/>
      <w:marRight w:val="0"/>
      <w:marTop w:val="0"/>
      <w:marBottom w:val="0"/>
      <w:divBdr>
        <w:top w:val="none" w:sz="0" w:space="0" w:color="auto"/>
        <w:left w:val="none" w:sz="0" w:space="0" w:color="auto"/>
        <w:bottom w:val="none" w:sz="0" w:space="0" w:color="auto"/>
        <w:right w:val="none" w:sz="0" w:space="0" w:color="auto"/>
      </w:divBdr>
    </w:div>
    <w:div w:id="1420639737">
      <w:bodyDiv w:val="1"/>
      <w:marLeft w:val="0"/>
      <w:marRight w:val="0"/>
      <w:marTop w:val="0"/>
      <w:marBottom w:val="0"/>
      <w:divBdr>
        <w:top w:val="none" w:sz="0" w:space="0" w:color="auto"/>
        <w:left w:val="none" w:sz="0" w:space="0" w:color="auto"/>
        <w:bottom w:val="none" w:sz="0" w:space="0" w:color="auto"/>
        <w:right w:val="none" w:sz="0" w:space="0" w:color="auto"/>
      </w:divBdr>
    </w:div>
    <w:div w:id="1420829479">
      <w:bodyDiv w:val="1"/>
      <w:marLeft w:val="0"/>
      <w:marRight w:val="0"/>
      <w:marTop w:val="0"/>
      <w:marBottom w:val="0"/>
      <w:divBdr>
        <w:top w:val="none" w:sz="0" w:space="0" w:color="auto"/>
        <w:left w:val="none" w:sz="0" w:space="0" w:color="auto"/>
        <w:bottom w:val="none" w:sz="0" w:space="0" w:color="auto"/>
        <w:right w:val="none" w:sz="0" w:space="0" w:color="auto"/>
      </w:divBdr>
    </w:div>
    <w:div w:id="1420907668">
      <w:bodyDiv w:val="1"/>
      <w:marLeft w:val="0"/>
      <w:marRight w:val="0"/>
      <w:marTop w:val="0"/>
      <w:marBottom w:val="0"/>
      <w:divBdr>
        <w:top w:val="none" w:sz="0" w:space="0" w:color="auto"/>
        <w:left w:val="none" w:sz="0" w:space="0" w:color="auto"/>
        <w:bottom w:val="none" w:sz="0" w:space="0" w:color="auto"/>
        <w:right w:val="none" w:sz="0" w:space="0" w:color="auto"/>
      </w:divBdr>
    </w:div>
    <w:div w:id="1420909836">
      <w:bodyDiv w:val="1"/>
      <w:marLeft w:val="0"/>
      <w:marRight w:val="0"/>
      <w:marTop w:val="0"/>
      <w:marBottom w:val="0"/>
      <w:divBdr>
        <w:top w:val="none" w:sz="0" w:space="0" w:color="auto"/>
        <w:left w:val="none" w:sz="0" w:space="0" w:color="auto"/>
        <w:bottom w:val="none" w:sz="0" w:space="0" w:color="auto"/>
        <w:right w:val="none" w:sz="0" w:space="0" w:color="auto"/>
      </w:divBdr>
    </w:div>
    <w:div w:id="1420978899">
      <w:bodyDiv w:val="1"/>
      <w:marLeft w:val="0"/>
      <w:marRight w:val="0"/>
      <w:marTop w:val="0"/>
      <w:marBottom w:val="0"/>
      <w:divBdr>
        <w:top w:val="none" w:sz="0" w:space="0" w:color="auto"/>
        <w:left w:val="none" w:sz="0" w:space="0" w:color="auto"/>
        <w:bottom w:val="none" w:sz="0" w:space="0" w:color="auto"/>
        <w:right w:val="none" w:sz="0" w:space="0" w:color="auto"/>
      </w:divBdr>
    </w:div>
    <w:div w:id="1421365143">
      <w:bodyDiv w:val="1"/>
      <w:marLeft w:val="0"/>
      <w:marRight w:val="0"/>
      <w:marTop w:val="0"/>
      <w:marBottom w:val="0"/>
      <w:divBdr>
        <w:top w:val="none" w:sz="0" w:space="0" w:color="auto"/>
        <w:left w:val="none" w:sz="0" w:space="0" w:color="auto"/>
        <w:bottom w:val="none" w:sz="0" w:space="0" w:color="auto"/>
        <w:right w:val="none" w:sz="0" w:space="0" w:color="auto"/>
      </w:divBdr>
    </w:div>
    <w:div w:id="1421633301">
      <w:bodyDiv w:val="1"/>
      <w:marLeft w:val="0"/>
      <w:marRight w:val="0"/>
      <w:marTop w:val="0"/>
      <w:marBottom w:val="0"/>
      <w:divBdr>
        <w:top w:val="none" w:sz="0" w:space="0" w:color="auto"/>
        <w:left w:val="none" w:sz="0" w:space="0" w:color="auto"/>
        <w:bottom w:val="none" w:sz="0" w:space="0" w:color="auto"/>
        <w:right w:val="none" w:sz="0" w:space="0" w:color="auto"/>
      </w:divBdr>
    </w:div>
    <w:div w:id="1421826978">
      <w:bodyDiv w:val="1"/>
      <w:marLeft w:val="0"/>
      <w:marRight w:val="0"/>
      <w:marTop w:val="0"/>
      <w:marBottom w:val="0"/>
      <w:divBdr>
        <w:top w:val="none" w:sz="0" w:space="0" w:color="auto"/>
        <w:left w:val="none" w:sz="0" w:space="0" w:color="auto"/>
        <w:bottom w:val="none" w:sz="0" w:space="0" w:color="auto"/>
        <w:right w:val="none" w:sz="0" w:space="0" w:color="auto"/>
      </w:divBdr>
    </w:div>
    <w:div w:id="1421874771">
      <w:bodyDiv w:val="1"/>
      <w:marLeft w:val="0"/>
      <w:marRight w:val="0"/>
      <w:marTop w:val="0"/>
      <w:marBottom w:val="0"/>
      <w:divBdr>
        <w:top w:val="none" w:sz="0" w:space="0" w:color="auto"/>
        <w:left w:val="none" w:sz="0" w:space="0" w:color="auto"/>
        <w:bottom w:val="none" w:sz="0" w:space="0" w:color="auto"/>
        <w:right w:val="none" w:sz="0" w:space="0" w:color="auto"/>
      </w:divBdr>
    </w:div>
    <w:div w:id="1421948493">
      <w:bodyDiv w:val="1"/>
      <w:marLeft w:val="0"/>
      <w:marRight w:val="0"/>
      <w:marTop w:val="0"/>
      <w:marBottom w:val="0"/>
      <w:divBdr>
        <w:top w:val="none" w:sz="0" w:space="0" w:color="auto"/>
        <w:left w:val="none" w:sz="0" w:space="0" w:color="auto"/>
        <w:bottom w:val="none" w:sz="0" w:space="0" w:color="auto"/>
        <w:right w:val="none" w:sz="0" w:space="0" w:color="auto"/>
      </w:divBdr>
    </w:div>
    <w:div w:id="1422609042">
      <w:bodyDiv w:val="1"/>
      <w:marLeft w:val="0"/>
      <w:marRight w:val="0"/>
      <w:marTop w:val="0"/>
      <w:marBottom w:val="0"/>
      <w:divBdr>
        <w:top w:val="none" w:sz="0" w:space="0" w:color="auto"/>
        <w:left w:val="none" w:sz="0" w:space="0" w:color="auto"/>
        <w:bottom w:val="none" w:sz="0" w:space="0" w:color="auto"/>
        <w:right w:val="none" w:sz="0" w:space="0" w:color="auto"/>
      </w:divBdr>
    </w:div>
    <w:div w:id="1422750037">
      <w:bodyDiv w:val="1"/>
      <w:marLeft w:val="0"/>
      <w:marRight w:val="0"/>
      <w:marTop w:val="0"/>
      <w:marBottom w:val="0"/>
      <w:divBdr>
        <w:top w:val="none" w:sz="0" w:space="0" w:color="auto"/>
        <w:left w:val="none" w:sz="0" w:space="0" w:color="auto"/>
        <w:bottom w:val="none" w:sz="0" w:space="0" w:color="auto"/>
        <w:right w:val="none" w:sz="0" w:space="0" w:color="auto"/>
      </w:divBdr>
    </w:div>
    <w:div w:id="1423333218">
      <w:bodyDiv w:val="1"/>
      <w:marLeft w:val="0"/>
      <w:marRight w:val="0"/>
      <w:marTop w:val="0"/>
      <w:marBottom w:val="0"/>
      <w:divBdr>
        <w:top w:val="none" w:sz="0" w:space="0" w:color="auto"/>
        <w:left w:val="none" w:sz="0" w:space="0" w:color="auto"/>
        <w:bottom w:val="none" w:sz="0" w:space="0" w:color="auto"/>
        <w:right w:val="none" w:sz="0" w:space="0" w:color="auto"/>
      </w:divBdr>
    </w:div>
    <w:div w:id="1423723101">
      <w:bodyDiv w:val="1"/>
      <w:marLeft w:val="0"/>
      <w:marRight w:val="0"/>
      <w:marTop w:val="0"/>
      <w:marBottom w:val="0"/>
      <w:divBdr>
        <w:top w:val="none" w:sz="0" w:space="0" w:color="auto"/>
        <w:left w:val="none" w:sz="0" w:space="0" w:color="auto"/>
        <w:bottom w:val="none" w:sz="0" w:space="0" w:color="auto"/>
        <w:right w:val="none" w:sz="0" w:space="0" w:color="auto"/>
      </w:divBdr>
    </w:div>
    <w:div w:id="1423842071">
      <w:bodyDiv w:val="1"/>
      <w:marLeft w:val="0"/>
      <w:marRight w:val="0"/>
      <w:marTop w:val="0"/>
      <w:marBottom w:val="0"/>
      <w:divBdr>
        <w:top w:val="none" w:sz="0" w:space="0" w:color="auto"/>
        <w:left w:val="none" w:sz="0" w:space="0" w:color="auto"/>
        <w:bottom w:val="none" w:sz="0" w:space="0" w:color="auto"/>
        <w:right w:val="none" w:sz="0" w:space="0" w:color="auto"/>
      </w:divBdr>
    </w:div>
    <w:div w:id="1424104182">
      <w:bodyDiv w:val="1"/>
      <w:marLeft w:val="0"/>
      <w:marRight w:val="0"/>
      <w:marTop w:val="0"/>
      <w:marBottom w:val="0"/>
      <w:divBdr>
        <w:top w:val="none" w:sz="0" w:space="0" w:color="auto"/>
        <w:left w:val="none" w:sz="0" w:space="0" w:color="auto"/>
        <w:bottom w:val="none" w:sz="0" w:space="0" w:color="auto"/>
        <w:right w:val="none" w:sz="0" w:space="0" w:color="auto"/>
      </w:divBdr>
    </w:div>
    <w:div w:id="1424110499">
      <w:bodyDiv w:val="1"/>
      <w:marLeft w:val="0"/>
      <w:marRight w:val="0"/>
      <w:marTop w:val="0"/>
      <w:marBottom w:val="0"/>
      <w:divBdr>
        <w:top w:val="none" w:sz="0" w:space="0" w:color="auto"/>
        <w:left w:val="none" w:sz="0" w:space="0" w:color="auto"/>
        <w:bottom w:val="none" w:sz="0" w:space="0" w:color="auto"/>
        <w:right w:val="none" w:sz="0" w:space="0" w:color="auto"/>
      </w:divBdr>
    </w:div>
    <w:div w:id="1424689527">
      <w:bodyDiv w:val="1"/>
      <w:marLeft w:val="0"/>
      <w:marRight w:val="0"/>
      <w:marTop w:val="0"/>
      <w:marBottom w:val="0"/>
      <w:divBdr>
        <w:top w:val="none" w:sz="0" w:space="0" w:color="auto"/>
        <w:left w:val="none" w:sz="0" w:space="0" w:color="auto"/>
        <w:bottom w:val="none" w:sz="0" w:space="0" w:color="auto"/>
        <w:right w:val="none" w:sz="0" w:space="0" w:color="auto"/>
      </w:divBdr>
    </w:div>
    <w:div w:id="1424884941">
      <w:bodyDiv w:val="1"/>
      <w:marLeft w:val="0"/>
      <w:marRight w:val="0"/>
      <w:marTop w:val="0"/>
      <w:marBottom w:val="0"/>
      <w:divBdr>
        <w:top w:val="none" w:sz="0" w:space="0" w:color="auto"/>
        <w:left w:val="none" w:sz="0" w:space="0" w:color="auto"/>
        <w:bottom w:val="none" w:sz="0" w:space="0" w:color="auto"/>
        <w:right w:val="none" w:sz="0" w:space="0" w:color="auto"/>
      </w:divBdr>
    </w:div>
    <w:div w:id="1424952392">
      <w:bodyDiv w:val="1"/>
      <w:marLeft w:val="0"/>
      <w:marRight w:val="0"/>
      <w:marTop w:val="0"/>
      <w:marBottom w:val="0"/>
      <w:divBdr>
        <w:top w:val="none" w:sz="0" w:space="0" w:color="auto"/>
        <w:left w:val="none" w:sz="0" w:space="0" w:color="auto"/>
        <w:bottom w:val="none" w:sz="0" w:space="0" w:color="auto"/>
        <w:right w:val="none" w:sz="0" w:space="0" w:color="auto"/>
      </w:divBdr>
    </w:div>
    <w:div w:id="1425027041">
      <w:bodyDiv w:val="1"/>
      <w:marLeft w:val="0"/>
      <w:marRight w:val="0"/>
      <w:marTop w:val="0"/>
      <w:marBottom w:val="0"/>
      <w:divBdr>
        <w:top w:val="none" w:sz="0" w:space="0" w:color="auto"/>
        <w:left w:val="none" w:sz="0" w:space="0" w:color="auto"/>
        <w:bottom w:val="none" w:sz="0" w:space="0" w:color="auto"/>
        <w:right w:val="none" w:sz="0" w:space="0" w:color="auto"/>
      </w:divBdr>
    </w:div>
    <w:div w:id="1425028206">
      <w:bodyDiv w:val="1"/>
      <w:marLeft w:val="0"/>
      <w:marRight w:val="0"/>
      <w:marTop w:val="0"/>
      <w:marBottom w:val="0"/>
      <w:divBdr>
        <w:top w:val="none" w:sz="0" w:space="0" w:color="auto"/>
        <w:left w:val="none" w:sz="0" w:space="0" w:color="auto"/>
        <w:bottom w:val="none" w:sz="0" w:space="0" w:color="auto"/>
        <w:right w:val="none" w:sz="0" w:space="0" w:color="auto"/>
      </w:divBdr>
    </w:div>
    <w:div w:id="1425298721">
      <w:bodyDiv w:val="1"/>
      <w:marLeft w:val="0"/>
      <w:marRight w:val="0"/>
      <w:marTop w:val="0"/>
      <w:marBottom w:val="0"/>
      <w:divBdr>
        <w:top w:val="none" w:sz="0" w:space="0" w:color="auto"/>
        <w:left w:val="none" w:sz="0" w:space="0" w:color="auto"/>
        <w:bottom w:val="none" w:sz="0" w:space="0" w:color="auto"/>
        <w:right w:val="none" w:sz="0" w:space="0" w:color="auto"/>
      </w:divBdr>
    </w:div>
    <w:div w:id="1425373009">
      <w:bodyDiv w:val="1"/>
      <w:marLeft w:val="0"/>
      <w:marRight w:val="0"/>
      <w:marTop w:val="0"/>
      <w:marBottom w:val="0"/>
      <w:divBdr>
        <w:top w:val="none" w:sz="0" w:space="0" w:color="auto"/>
        <w:left w:val="none" w:sz="0" w:space="0" w:color="auto"/>
        <w:bottom w:val="none" w:sz="0" w:space="0" w:color="auto"/>
        <w:right w:val="none" w:sz="0" w:space="0" w:color="auto"/>
      </w:divBdr>
    </w:div>
    <w:div w:id="1425607296">
      <w:bodyDiv w:val="1"/>
      <w:marLeft w:val="0"/>
      <w:marRight w:val="0"/>
      <w:marTop w:val="0"/>
      <w:marBottom w:val="0"/>
      <w:divBdr>
        <w:top w:val="none" w:sz="0" w:space="0" w:color="auto"/>
        <w:left w:val="none" w:sz="0" w:space="0" w:color="auto"/>
        <w:bottom w:val="none" w:sz="0" w:space="0" w:color="auto"/>
        <w:right w:val="none" w:sz="0" w:space="0" w:color="auto"/>
      </w:divBdr>
    </w:div>
    <w:div w:id="1426074583">
      <w:bodyDiv w:val="1"/>
      <w:marLeft w:val="0"/>
      <w:marRight w:val="0"/>
      <w:marTop w:val="0"/>
      <w:marBottom w:val="0"/>
      <w:divBdr>
        <w:top w:val="none" w:sz="0" w:space="0" w:color="auto"/>
        <w:left w:val="none" w:sz="0" w:space="0" w:color="auto"/>
        <w:bottom w:val="none" w:sz="0" w:space="0" w:color="auto"/>
        <w:right w:val="none" w:sz="0" w:space="0" w:color="auto"/>
      </w:divBdr>
    </w:div>
    <w:div w:id="1426804871">
      <w:bodyDiv w:val="1"/>
      <w:marLeft w:val="0"/>
      <w:marRight w:val="0"/>
      <w:marTop w:val="0"/>
      <w:marBottom w:val="0"/>
      <w:divBdr>
        <w:top w:val="none" w:sz="0" w:space="0" w:color="auto"/>
        <w:left w:val="none" w:sz="0" w:space="0" w:color="auto"/>
        <w:bottom w:val="none" w:sz="0" w:space="0" w:color="auto"/>
        <w:right w:val="none" w:sz="0" w:space="0" w:color="auto"/>
      </w:divBdr>
    </w:div>
    <w:div w:id="1427461089">
      <w:bodyDiv w:val="1"/>
      <w:marLeft w:val="0"/>
      <w:marRight w:val="0"/>
      <w:marTop w:val="0"/>
      <w:marBottom w:val="0"/>
      <w:divBdr>
        <w:top w:val="none" w:sz="0" w:space="0" w:color="auto"/>
        <w:left w:val="none" w:sz="0" w:space="0" w:color="auto"/>
        <w:bottom w:val="none" w:sz="0" w:space="0" w:color="auto"/>
        <w:right w:val="none" w:sz="0" w:space="0" w:color="auto"/>
      </w:divBdr>
    </w:div>
    <w:div w:id="1427580224">
      <w:bodyDiv w:val="1"/>
      <w:marLeft w:val="0"/>
      <w:marRight w:val="0"/>
      <w:marTop w:val="0"/>
      <w:marBottom w:val="0"/>
      <w:divBdr>
        <w:top w:val="none" w:sz="0" w:space="0" w:color="auto"/>
        <w:left w:val="none" w:sz="0" w:space="0" w:color="auto"/>
        <w:bottom w:val="none" w:sz="0" w:space="0" w:color="auto"/>
        <w:right w:val="none" w:sz="0" w:space="0" w:color="auto"/>
      </w:divBdr>
    </w:div>
    <w:div w:id="1427730020">
      <w:bodyDiv w:val="1"/>
      <w:marLeft w:val="0"/>
      <w:marRight w:val="0"/>
      <w:marTop w:val="0"/>
      <w:marBottom w:val="0"/>
      <w:divBdr>
        <w:top w:val="none" w:sz="0" w:space="0" w:color="auto"/>
        <w:left w:val="none" w:sz="0" w:space="0" w:color="auto"/>
        <w:bottom w:val="none" w:sz="0" w:space="0" w:color="auto"/>
        <w:right w:val="none" w:sz="0" w:space="0" w:color="auto"/>
      </w:divBdr>
    </w:div>
    <w:div w:id="1427843021">
      <w:bodyDiv w:val="1"/>
      <w:marLeft w:val="0"/>
      <w:marRight w:val="0"/>
      <w:marTop w:val="0"/>
      <w:marBottom w:val="0"/>
      <w:divBdr>
        <w:top w:val="none" w:sz="0" w:space="0" w:color="auto"/>
        <w:left w:val="none" w:sz="0" w:space="0" w:color="auto"/>
        <w:bottom w:val="none" w:sz="0" w:space="0" w:color="auto"/>
        <w:right w:val="none" w:sz="0" w:space="0" w:color="auto"/>
      </w:divBdr>
    </w:div>
    <w:div w:id="1427844306">
      <w:bodyDiv w:val="1"/>
      <w:marLeft w:val="0"/>
      <w:marRight w:val="0"/>
      <w:marTop w:val="0"/>
      <w:marBottom w:val="0"/>
      <w:divBdr>
        <w:top w:val="none" w:sz="0" w:space="0" w:color="auto"/>
        <w:left w:val="none" w:sz="0" w:space="0" w:color="auto"/>
        <w:bottom w:val="none" w:sz="0" w:space="0" w:color="auto"/>
        <w:right w:val="none" w:sz="0" w:space="0" w:color="auto"/>
      </w:divBdr>
    </w:div>
    <w:div w:id="1427846818">
      <w:bodyDiv w:val="1"/>
      <w:marLeft w:val="0"/>
      <w:marRight w:val="0"/>
      <w:marTop w:val="0"/>
      <w:marBottom w:val="0"/>
      <w:divBdr>
        <w:top w:val="none" w:sz="0" w:space="0" w:color="auto"/>
        <w:left w:val="none" w:sz="0" w:space="0" w:color="auto"/>
        <w:bottom w:val="none" w:sz="0" w:space="0" w:color="auto"/>
        <w:right w:val="none" w:sz="0" w:space="0" w:color="auto"/>
      </w:divBdr>
    </w:div>
    <w:div w:id="1428186065">
      <w:bodyDiv w:val="1"/>
      <w:marLeft w:val="0"/>
      <w:marRight w:val="0"/>
      <w:marTop w:val="0"/>
      <w:marBottom w:val="0"/>
      <w:divBdr>
        <w:top w:val="none" w:sz="0" w:space="0" w:color="auto"/>
        <w:left w:val="none" w:sz="0" w:space="0" w:color="auto"/>
        <w:bottom w:val="none" w:sz="0" w:space="0" w:color="auto"/>
        <w:right w:val="none" w:sz="0" w:space="0" w:color="auto"/>
      </w:divBdr>
    </w:div>
    <w:div w:id="1428227985">
      <w:bodyDiv w:val="1"/>
      <w:marLeft w:val="0"/>
      <w:marRight w:val="0"/>
      <w:marTop w:val="0"/>
      <w:marBottom w:val="0"/>
      <w:divBdr>
        <w:top w:val="none" w:sz="0" w:space="0" w:color="auto"/>
        <w:left w:val="none" w:sz="0" w:space="0" w:color="auto"/>
        <w:bottom w:val="none" w:sz="0" w:space="0" w:color="auto"/>
        <w:right w:val="none" w:sz="0" w:space="0" w:color="auto"/>
      </w:divBdr>
    </w:div>
    <w:div w:id="1428311479">
      <w:bodyDiv w:val="1"/>
      <w:marLeft w:val="0"/>
      <w:marRight w:val="0"/>
      <w:marTop w:val="0"/>
      <w:marBottom w:val="0"/>
      <w:divBdr>
        <w:top w:val="none" w:sz="0" w:space="0" w:color="auto"/>
        <w:left w:val="none" w:sz="0" w:space="0" w:color="auto"/>
        <w:bottom w:val="none" w:sz="0" w:space="0" w:color="auto"/>
        <w:right w:val="none" w:sz="0" w:space="0" w:color="auto"/>
      </w:divBdr>
    </w:div>
    <w:div w:id="1428768905">
      <w:bodyDiv w:val="1"/>
      <w:marLeft w:val="0"/>
      <w:marRight w:val="0"/>
      <w:marTop w:val="0"/>
      <w:marBottom w:val="0"/>
      <w:divBdr>
        <w:top w:val="none" w:sz="0" w:space="0" w:color="auto"/>
        <w:left w:val="none" w:sz="0" w:space="0" w:color="auto"/>
        <w:bottom w:val="none" w:sz="0" w:space="0" w:color="auto"/>
        <w:right w:val="none" w:sz="0" w:space="0" w:color="auto"/>
      </w:divBdr>
    </w:div>
    <w:div w:id="1428963992">
      <w:bodyDiv w:val="1"/>
      <w:marLeft w:val="0"/>
      <w:marRight w:val="0"/>
      <w:marTop w:val="0"/>
      <w:marBottom w:val="0"/>
      <w:divBdr>
        <w:top w:val="none" w:sz="0" w:space="0" w:color="auto"/>
        <w:left w:val="none" w:sz="0" w:space="0" w:color="auto"/>
        <w:bottom w:val="none" w:sz="0" w:space="0" w:color="auto"/>
        <w:right w:val="none" w:sz="0" w:space="0" w:color="auto"/>
      </w:divBdr>
    </w:div>
    <w:div w:id="1429155401">
      <w:bodyDiv w:val="1"/>
      <w:marLeft w:val="0"/>
      <w:marRight w:val="0"/>
      <w:marTop w:val="0"/>
      <w:marBottom w:val="0"/>
      <w:divBdr>
        <w:top w:val="none" w:sz="0" w:space="0" w:color="auto"/>
        <w:left w:val="none" w:sz="0" w:space="0" w:color="auto"/>
        <w:bottom w:val="none" w:sz="0" w:space="0" w:color="auto"/>
        <w:right w:val="none" w:sz="0" w:space="0" w:color="auto"/>
      </w:divBdr>
    </w:div>
    <w:div w:id="1429345383">
      <w:bodyDiv w:val="1"/>
      <w:marLeft w:val="0"/>
      <w:marRight w:val="0"/>
      <w:marTop w:val="0"/>
      <w:marBottom w:val="0"/>
      <w:divBdr>
        <w:top w:val="none" w:sz="0" w:space="0" w:color="auto"/>
        <w:left w:val="none" w:sz="0" w:space="0" w:color="auto"/>
        <w:bottom w:val="none" w:sz="0" w:space="0" w:color="auto"/>
        <w:right w:val="none" w:sz="0" w:space="0" w:color="auto"/>
      </w:divBdr>
    </w:div>
    <w:div w:id="1429352218">
      <w:bodyDiv w:val="1"/>
      <w:marLeft w:val="0"/>
      <w:marRight w:val="0"/>
      <w:marTop w:val="0"/>
      <w:marBottom w:val="0"/>
      <w:divBdr>
        <w:top w:val="none" w:sz="0" w:space="0" w:color="auto"/>
        <w:left w:val="none" w:sz="0" w:space="0" w:color="auto"/>
        <w:bottom w:val="none" w:sz="0" w:space="0" w:color="auto"/>
        <w:right w:val="none" w:sz="0" w:space="0" w:color="auto"/>
      </w:divBdr>
    </w:div>
    <w:div w:id="1429547650">
      <w:bodyDiv w:val="1"/>
      <w:marLeft w:val="0"/>
      <w:marRight w:val="0"/>
      <w:marTop w:val="0"/>
      <w:marBottom w:val="0"/>
      <w:divBdr>
        <w:top w:val="none" w:sz="0" w:space="0" w:color="auto"/>
        <w:left w:val="none" w:sz="0" w:space="0" w:color="auto"/>
        <w:bottom w:val="none" w:sz="0" w:space="0" w:color="auto"/>
        <w:right w:val="none" w:sz="0" w:space="0" w:color="auto"/>
      </w:divBdr>
    </w:div>
    <w:div w:id="1429693243">
      <w:bodyDiv w:val="1"/>
      <w:marLeft w:val="0"/>
      <w:marRight w:val="0"/>
      <w:marTop w:val="0"/>
      <w:marBottom w:val="0"/>
      <w:divBdr>
        <w:top w:val="none" w:sz="0" w:space="0" w:color="auto"/>
        <w:left w:val="none" w:sz="0" w:space="0" w:color="auto"/>
        <w:bottom w:val="none" w:sz="0" w:space="0" w:color="auto"/>
        <w:right w:val="none" w:sz="0" w:space="0" w:color="auto"/>
      </w:divBdr>
    </w:div>
    <w:div w:id="1429733521">
      <w:bodyDiv w:val="1"/>
      <w:marLeft w:val="0"/>
      <w:marRight w:val="0"/>
      <w:marTop w:val="0"/>
      <w:marBottom w:val="0"/>
      <w:divBdr>
        <w:top w:val="none" w:sz="0" w:space="0" w:color="auto"/>
        <w:left w:val="none" w:sz="0" w:space="0" w:color="auto"/>
        <w:bottom w:val="none" w:sz="0" w:space="0" w:color="auto"/>
        <w:right w:val="none" w:sz="0" w:space="0" w:color="auto"/>
      </w:divBdr>
    </w:div>
    <w:div w:id="1429959096">
      <w:bodyDiv w:val="1"/>
      <w:marLeft w:val="0"/>
      <w:marRight w:val="0"/>
      <w:marTop w:val="0"/>
      <w:marBottom w:val="0"/>
      <w:divBdr>
        <w:top w:val="none" w:sz="0" w:space="0" w:color="auto"/>
        <w:left w:val="none" w:sz="0" w:space="0" w:color="auto"/>
        <w:bottom w:val="none" w:sz="0" w:space="0" w:color="auto"/>
        <w:right w:val="none" w:sz="0" w:space="0" w:color="auto"/>
      </w:divBdr>
    </w:div>
    <w:div w:id="1430002552">
      <w:bodyDiv w:val="1"/>
      <w:marLeft w:val="0"/>
      <w:marRight w:val="0"/>
      <w:marTop w:val="0"/>
      <w:marBottom w:val="0"/>
      <w:divBdr>
        <w:top w:val="none" w:sz="0" w:space="0" w:color="auto"/>
        <w:left w:val="none" w:sz="0" w:space="0" w:color="auto"/>
        <w:bottom w:val="none" w:sz="0" w:space="0" w:color="auto"/>
        <w:right w:val="none" w:sz="0" w:space="0" w:color="auto"/>
      </w:divBdr>
    </w:div>
    <w:div w:id="1430388991">
      <w:bodyDiv w:val="1"/>
      <w:marLeft w:val="0"/>
      <w:marRight w:val="0"/>
      <w:marTop w:val="0"/>
      <w:marBottom w:val="0"/>
      <w:divBdr>
        <w:top w:val="none" w:sz="0" w:space="0" w:color="auto"/>
        <w:left w:val="none" w:sz="0" w:space="0" w:color="auto"/>
        <w:bottom w:val="none" w:sz="0" w:space="0" w:color="auto"/>
        <w:right w:val="none" w:sz="0" w:space="0" w:color="auto"/>
      </w:divBdr>
    </w:div>
    <w:div w:id="1430395559">
      <w:bodyDiv w:val="1"/>
      <w:marLeft w:val="0"/>
      <w:marRight w:val="0"/>
      <w:marTop w:val="0"/>
      <w:marBottom w:val="0"/>
      <w:divBdr>
        <w:top w:val="none" w:sz="0" w:space="0" w:color="auto"/>
        <w:left w:val="none" w:sz="0" w:space="0" w:color="auto"/>
        <w:bottom w:val="none" w:sz="0" w:space="0" w:color="auto"/>
        <w:right w:val="none" w:sz="0" w:space="0" w:color="auto"/>
      </w:divBdr>
    </w:div>
    <w:div w:id="1430661447">
      <w:bodyDiv w:val="1"/>
      <w:marLeft w:val="0"/>
      <w:marRight w:val="0"/>
      <w:marTop w:val="0"/>
      <w:marBottom w:val="0"/>
      <w:divBdr>
        <w:top w:val="none" w:sz="0" w:space="0" w:color="auto"/>
        <w:left w:val="none" w:sz="0" w:space="0" w:color="auto"/>
        <w:bottom w:val="none" w:sz="0" w:space="0" w:color="auto"/>
        <w:right w:val="none" w:sz="0" w:space="0" w:color="auto"/>
      </w:divBdr>
    </w:div>
    <w:div w:id="1430811722">
      <w:bodyDiv w:val="1"/>
      <w:marLeft w:val="0"/>
      <w:marRight w:val="0"/>
      <w:marTop w:val="0"/>
      <w:marBottom w:val="0"/>
      <w:divBdr>
        <w:top w:val="none" w:sz="0" w:space="0" w:color="auto"/>
        <w:left w:val="none" w:sz="0" w:space="0" w:color="auto"/>
        <w:bottom w:val="none" w:sz="0" w:space="0" w:color="auto"/>
        <w:right w:val="none" w:sz="0" w:space="0" w:color="auto"/>
      </w:divBdr>
    </w:div>
    <w:div w:id="1430855816">
      <w:bodyDiv w:val="1"/>
      <w:marLeft w:val="0"/>
      <w:marRight w:val="0"/>
      <w:marTop w:val="0"/>
      <w:marBottom w:val="0"/>
      <w:divBdr>
        <w:top w:val="none" w:sz="0" w:space="0" w:color="auto"/>
        <w:left w:val="none" w:sz="0" w:space="0" w:color="auto"/>
        <w:bottom w:val="none" w:sz="0" w:space="0" w:color="auto"/>
        <w:right w:val="none" w:sz="0" w:space="0" w:color="auto"/>
      </w:divBdr>
    </w:div>
    <w:div w:id="1431007620">
      <w:bodyDiv w:val="1"/>
      <w:marLeft w:val="0"/>
      <w:marRight w:val="0"/>
      <w:marTop w:val="0"/>
      <w:marBottom w:val="0"/>
      <w:divBdr>
        <w:top w:val="none" w:sz="0" w:space="0" w:color="auto"/>
        <w:left w:val="none" w:sz="0" w:space="0" w:color="auto"/>
        <w:bottom w:val="none" w:sz="0" w:space="0" w:color="auto"/>
        <w:right w:val="none" w:sz="0" w:space="0" w:color="auto"/>
      </w:divBdr>
    </w:div>
    <w:div w:id="1431202180">
      <w:bodyDiv w:val="1"/>
      <w:marLeft w:val="0"/>
      <w:marRight w:val="0"/>
      <w:marTop w:val="0"/>
      <w:marBottom w:val="0"/>
      <w:divBdr>
        <w:top w:val="none" w:sz="0" w:space="0" w:color="auto"/>
        <w:left w:val="none" w:sz="0" w:space="0" w:color="auto"/>
        <w:bottom w:val="none" w:sz="0" w:space="0" w:color="auto"/>
        <w:right w:val="none" w:sz="0" w:space="0" w:color="auto"/>
      </w:divBdr>
    </w:div>
    <w:div w:id="1431391339">
      <w:bodyDiv w:val="1"/>
      <w:marLeft w:val="0"/>
      <w:marRight w:val="0"/>
      <w:marTop w:val="0"/>
      <w:marBottom w:val="0"/>
      <w:divBdr>
        <w:top w:val="none" w:sz="0" w:space="0" w:color="auto"/>
        <w:left w:val="none" w:sz="0" w:space="0" w:color="auto"/>
        <w:bottom w:val="none" w:sz="0" w:space="0" w:color="auto"/>
        <w:right w:val="none" w:sz="0" w:space="0" w:color="auto"/>
      </w:divBdr>
    </w:div>
    <w:div w:id="1431504799">
      <w:bodyDiv w:val="1"/>
      <w:marLeft w:val="0"/>
      <w:marRight w:val="0"/>
      <w:marTop w:val="0"/>
      <w:marBottom w:val="0"/>
      <w:divBdr>
        <w:top w:val="none" w:sz="0" w:space="0" w:color="auto"/>
        <w:left w:val="none" w:sz="0" w:space="0" w:color="auto"/>
        <w:bottom w:val="none" w:sz="0" w:space="0" w:color="auto"/>
        <w:right w:val="none" w:sz="0" w:space="0" w:color="auto"/>
      </w:divBdr>
    </w:div>
    <w:div w:id="1431509460">
      <w:bodyDiv w:val="1"/>
      <w:marLeft w:val="0"/>
      <w:marRight w:val="0"/>
      <w:marTop w:val="0"/>
      <w:marBottom w:val="0"/>
      <w:divBdr>
        <w:top w:val="none" w:sz="0" w:space="0" w:color="auto"/>
        <w:left w:val="none" w:sz="0" w:space="0" w:color="auto"/>
        <w:bottom w:val="none" w:sz="0" w:space="0" w:color="auto"/>
        <w:right w:val="none" w:sz="0" w:space="0" w:color="auto"/>
      </w:divBdr>
    </w:div>
    <w:div w:id="1431705456">
      <w:bodyDiv w:val="1"/>
      <w:marLeft w:val="0"/>
      <w:marRight w:val="0"/>
      <w:marTop w:val="0"/>
      <w:marBottom w:val="0"/>
      <w:divBdr>
        <w:top w:val="none" w:sz="0" w:space="0" w:color="auto"/>
        <w:left w:val="none" w:sz="0" w:space="0" w:color="auto"/>
        <w:bottom w:val="none" w:sz="0" w:space="0" w:color="auto"/>
        <w:right w:val="none" w:sz="0" w:space="0" w:color="auto"/>
      </w:divBdr>
    </w:div>
    <w:div w:id="1431780518">
      <w:bodyDiv w:val="1"/>
      <w:marLeft w:val="0"/>
      <w:marRight w:val="0"/>
      <w:marTop w:val="0"/>
      <w:marBottom w:val="0"/>
      <w:divBdr>
        <w:top w:val="none" w:sz="0" w:space="0" w:color="auto"/>
        <w:left w:val="none" w:sz="0" w:space="0" w:color="auto"/>
        <w:bottom w:val="none" w:sz="0" w:space="0" w:color="auto"/>
        <w:right w:val="none" w:sz="0" w:space="0" w:color="auto"/>
      </w:divBdr>
    </w:div>
    <w:div w:id="1431927466">
      <w:bodyDiv w:val="1"/>
      <w:marLeft w:val="0"/>
      <w:marRight w:val="0"/>
      <w:marTop w:val="0"/>
      <w:marBottom w:val="0"/>
      <w:divBdr>
        <w:top w:val="none" w:sz="0" w:space="0" w:color="auto"/>
        <w:left w:val="none" w:sz="0" w:space="0" w:color="auto"/>
        <w:bottom w:val="none" w:sz="0" w:space="0" w:color="auto"/>
        <w:right w:val="none" w:sz="0" w:space="0" w:color="auto"/>
      </w:divBdr>
    </w:div>
    <w:div w:id="1432361046">
      <w:bodyDiv w:val="1"/>
      <w:marLeft w:val="0"/>
      <w:marRight w:val="0"/>
      <w:marTop w:val="0"/>
      <w:marBottom w:val="0"/>
      <w:divBdr>
        <w:top w:val="none" w:sz="0" w:space="0" w:color="auto"/>
        <w:left w:val="none" w:sz="0" w:space="0" w:color="auto"/>
        <w:bottom w:val="none" w:sz="0" w:space="0" w:color="auto"/>
        <w:right w:val="none" w:sz="0" w:space="0" w:color="auto"/>
      </w:divBdr>
    </w:div>
    <w:div w:id="1432775138">
      <w:bodyDiv w:val="1"/>
      <w:marLeft w:val="0"/>
      <w:marRight w:val="0"/>
      <w:marTop w:val="0"/>
      <w:marBottom w:val="0"/>
      <w:divBdr>
        <w:top w:val="none" w:sz="0" w:space="0" w:color="auto"/>
        <w:left w:val="none" w:sz="0" w:space="0" w:color="auto"/>
        <w:bottom w:val="none" w:sz="0" w:space="0" w:color="auto"/>
        <w:right w:val="none" w:sz="0" w:space="0" w:color="auto"/>
      </w:divBdr>
    </w:div>
    <w:div w:id="1432777617">
      <w:bodyDiv w:val="1"/>
      <w:marLeft w:val="0"/>
      <w:marRight w:val="0"/>
      <w:marTop w:val="0"/>
      <w:marBottom w:val="0"/>
      <w:divBdr>
        <w:top w:val="none" w:sz="0" w:space="0" w:color="auto"/>
        <w:left w:val="none" w:sz="0" w:space="0" w:color="auto"/>
        <w:bottom w:val="none" w:sz="0" w:space="0" w:color="auto"/>
        <w:right w:val="none" w:sz="0" w:space="0" w:color="auto"/>
      </w:divBdr>
    </w:div>
    <w:div w:id="1432891931">
      <w:bodyDiv w:val="1"/>
      <w:marLeft w:val="0"/>
      <w:marRight w:val="0"/>
      <w:marTop w:val="0"/>
      <w:marBottom w:val="0"/>
      <w:divBdr>
        <w:top w:val="none" w:sz="0" w:space="0" w:color="auto"/>
        <w:left w:val="none" w:sz="0" w:space="0" w:color="auto"/>
        <w:bottom w:val="none" w:sz="0" w:space="0" w:color="auto"/>
        <w:right w:val="none" w:sz="0" w:space="0" w:color="auto"/>
      </w:divBdr>
    </w:div>
    <w:div w:id="1433164309">
      <w:bodyDiv w:val="1"/>
      <w:marLeft w:val="0"/>
      <w:marRight w:val="0"/>
      <w:marTop w:val="0"/>
      <w:marBottom w:val="0"/>
      <w:divBdr>
        <w:top w:val="none" w:sz="0" w:space="0" w:color="auto"/>
        <w:left w:val="none" w:sz="0" w:space="0" w:color="auto"/>
        <w:bottom w:val="none" w:sz="0" w:space="0" w:color="auto"/>
        <w:right w:val="none" w:sz="0" w:space="0" w:color="auto"/>
      </w:divBdr>
    </w:div>
    <w:div w:id="1433478928">
      <w:bodyDiv w:val="1"/>
      <w:marLeft w:val="0"/>
      <w:marRight w:val="0"/>
      <w:marTop w:val="0"/>
      <w:marBottom w:val="0"/>
      <w:divBdr>
        <w:top w:val="none" w:sz="0" w:space="0" w:color="auto"/>
        <w:left w:val="none" w:sz="0" w:space="0" w:color="auto"/>
        <w:bottom w:val="none" w:sz="0" w:space="0" w:color="auto"/>
        <w:right w:val="none" w:sz="0" w:space="0" w:color="auto"/>
      </w:divBdr>
    </w:div>
    <w:div w:id="1433554359">
      <w:bodyDiv w:val="1"/>
      <w:marLeft w:val="0"/>
      <w:marRight w:val="0"/>
      <w:marTop w:val="0"/>
      <w:marBottom w:val="0"/>
      <w:divBdr>
        <w:top w:val="none" w:sz="0" w:space="0" w:color="auto"/>
        <w:left w:val="none" w:sz="0" w:space="0" w:color="auto"/>
        <w:bottom w:val="none" w:sz="0" w:space="0" w:color="auto"/>
        <w:right w:val="none" w:sz="0" w:space="0" w:color="auto"/>
      </w:divBdr>
    </w:div>
    <w:div w:id="1433744361">
      <w:bodyDiv w:val="1"/>
      <w:marLeft w:val="0"/>
      <w:marRight w:val="0"/>
      <w:marTop w:val="0"/>
      <w:marBottom w:val="0"/>
      <w:divBdr>
        <w:top w:val="none" w:sz="0" w:space="0" w:color="auto"/>
        <w:left w:val="none" w:sz="0" w:space="0" w:color="auto"/>
        <w:bottom w:val="none" w:sz="0" w:space="0" w:color="auto"/>
        <w:right w:val="none" w:sz="0" w:space="0" w:color="auto"/>
      </w:divBdr>
    </w:div>
    <w:div w:id="1434012568">
      <w:bodyDiv w:val="1"/>
      <w:marLeft w:val="0"/>
      <w:marRight w:val="0"/>
      <w:marTop w:val="0"/>
      <w:marBottom w:val="0"/>
      <w:divBdr>
        <w:top w:val="none" w:sz="0" w:space="0" w:color="auto"/>
        <w:left w:val="none" w:sz="0" w:space="0" w:color="auto"/>
        <w:bottom w:val="none" w:sz="0" w:space="0" w:color="auto"/>
        <w:right w:val="none" w:sz="0" w:space="0" w:color="auto"/>
      </w:divBdr>
    </w:div>
    <w:div w:id="1434208722">
      <w:bodyDiv w:val="1"/>
      <w:marLeft w:val="0"/>
      <w:marRight w:val="0"/>
      <w:marTop w:val="0"/>
      <w:marBottom w:val="0"/>
      <w:divBdr>
        <w:top w:val="none" w:sz="0" w:space="0" w:color="auto"/>
        <w:left w:val="none" w:sz="0" w:space="0" w:color="auto"/>
        <w:bottom w:val="none" w:sz="0" w:space="0" w:color="auto"/>
        <w:right w:val="none" w:sz="0" w:space="0" w:color="auto"/>
      </w:divBdr>
    </w:div>
    <w:div w:id="1434478495">
      <w:bodyDiv w:val="1"/>
      <w:marLeft w:val="0"/>
      <w:marRight w:val="0"/>
      <w:marTop w:val="0"/>
      <w:marBottom w:val="0"/>
      <w:divBdr>
        <w:top w:val="none" w:sz="0" w:space="0" w:color="auto"/>
        <w:left w:val="none" w:sz="0" w:space="0" w:color="auto"/>
        <w:bottom w:val="none" w:sz="0" w:space="0" w:color="auto"/>
        <w:right w:val="none" w:sz="0" w:space="0" w:color="auto"/>
      </w:divBdr>
    </w:div>
    <w:div w:id="1434745530">
      <w:bodyDiv w:val="1"/>
      <w:marLeft w:val="0"/>
      <w:marRight w:val="0"/>
      <w:marTop w:val="0"/>
      <w:marBottom w:val="0"/>
      <w:divBdr>
        <w:top w:val="none" w:sz="0" w:space="0" w:color="auto"/>
        <w:left w:val="none" w:sz="0" w:space="0" w:color="auto"/>
        <w:bottom w:val="none" w:sz="0" w:space="0" w:color="auto"/>
        <w:right w:val="none" w:sz="0" w:space="0" w:color="auto"/>
      </w:divBdr>
    </w:div>
    <w:div w:id="1434788174">
      <w:bodyDiv w:val="1"/>
      <w:marLeft w:val="0"/>
      <w:marRight w:val="0"/>
      <w:marTop w:val="0"/>
      <w:marBottom w:val="0"/>
      <w:divBdr>
        <w:top w:val="none" w:sz="0" w:space="0" w:color="auto"/>
        <w:left w:val="none" w:sz="0" w:space="0" w:color="auto"/>
        <w:bottom w:val="none" w:sz="0" w:space="0" w:color="auto"/>
        <w:right w:val="none" w:sz="0" w:space="0" w:color="auto"/>
      </w:divBdr>
    </w:div>
    <w:div w:id="1434934318">
      <w:bodyDiv w:val="1"/>
      <w:marLeft w:val="0"/>
      <w:marRight w:val="0"/>
      <w:marTop w:val="0"/>
      <w:marBottom w:val="0"/>
      <w:divBdr>
        <w:top w:val="none" w:sz="0" w:space="0" w:color="auto"/>
        <w:left w:val="none" w:sz="0" w:space="0" w:color="auto"/>
        <w:bottom w:val="none" w:sz="0" w:space="0" w:color="auto"/>
        <w:right w:val="none" w:sz="0" w:space="0" w:color="auto"/>
      </w:divBdr>
    </w:div>
    <w:div w:id="1435053253">
      <w:bodyDiv w:val="1"/>
      <w:marLeft w:val="0"/>
      <w:marRight w:val="0"/>
      <w:marTop w:val="0"/>
      <w:marBottom w:val="0"/>
      <w:divBdr>
        <w:top w:val="none" w:sz="0" w:space="0" w:color="auto"/>
        <w:left w:val="none" w:sz="0" w:space="0" w:color="auto"/>
        <w:bottom w:val="none" w:sz="0" w:space="0" w:color="auto"/>
        <w:right w:val="none" w:sz="0" w:space="0" w:color="auto"/>
      </w:divBdr>
    </w:div>
    <w:div w:id="1435176911">
      <w:bodyDiv w:val="1"/>
      <w:marLeft w:val="0"/>
      <w:marRight w:val="0"/>
      <w:marTop w:val="0"/>
      <w:marBottom w:val="0"/>
      <w:divBdr>
        <w:top w:val="none" w:sz="0" w:space="0" w:color="auto"/>
        <w:left w:val="none" w:sz="0" w:space="0" w:color="auto"/>
        <w:bottom w:val="none" w:sz="0" w:space="0" w:color="auto"/>
        <w:right w:val="none" w:sz="0" w:space="0" w:color="auto"/>
      </w:divBdr>
    </w:div>
    <w:div w:id="1435326238">
      <w:bodyDiv w:val="1"/>
      <w:marLeft w:val="0"/>
      <w:marRight w:val="0"/>
      <w:marTop w:val="0"/>
      <w:marBottom w:val="0"/>
      <w:divBdr>
        <w:top w:val="none" w:sz="0" w:space="0" w:color="auto"/>
        <w:left w:val="none" w:sz="0" w:space="0" w:color="auto"/>
        <w:bottom w:val="none" w:sz="0" w:space="0" w:color="auto"/>
        <w:right w:val="none" w:sz="0" w:space="0" w:color="auto"/>
      </w:divBdr>
    </w:div>
    <w:div w:id="1435787003">
      <w:bodyDiv w:val="1"/>
      <w:marLeft w:val="0"/>
      <w:marRight w:val="0"/>
      <w:marTop w:val="0"/>
      <w:marBottom w:val="0"/>
      <w:divBdr>
        <w:top w:val="none" w:sz="0" w:space="0" w:color="auto"/>
        <w:left w:val="none" w:sz="0" w:space="0" w:color="auto"/>
        <w:bottom w:val="none" w:sz="0" w:space="0" w:color="auto"/>
        <w:right w:val="none" w:sz="0" w:space="0" w:color="auto"/>
      </w:divBdr>
    </w:div>
    <w:div w:id="1435788425">
      <w:bodyDiv w:val="1"/>
      <w:marLeft w:val="0"/>
      <w:marRight w:val="0"/>
      <w:marTop w:val="0"/>
      <w:marBottom w:val="0"/>
      <w:divBdr>
        <w:top w:val="none" w:sz="0" w:space="0" w:color="auto"/>
        <w:left w:val="none" w:sz="0" w:space="0" w:color="auto"/>
        <w:bottom w:val="none" w:sz="0" w:space="0" w:color="auto"/>
        <w:right w:val="none" w:sz="0" w:space="0" w:color="auto"/>
      </w:divBdr>
    </w:div>
    <w:div w:id="1435789198">
      <w:bodyDiv w:val="1"/>
      <w:marLeft w:val="0"/>
      <w:marRight w:val="0"/>
      <w:marTop w:val="0"/>
      <w:marBottom w:val="0"/>
      <w:divBdr>
        <w:top w:val="none" w:sz="0" w:space="0" w:color="auto"/>
        <w:left w:val="none" w:sz="0" w:space="0" w:color="auto"/>
        <w:bottom w:val="none" w:sz="0" w:space="0" w:color="auto"/>
        <w:right w:val="none" w:sz="0" w:space="0" w:color="auto"/>
      </w:divBdr>
    </w:div>
    <w:div w:id="1435904920">
      <w:bodyDiv w:val="1"/>
      <w:marLeft w:val="0"/>
      <w:marRight w:val="0"/>
      <w:marTop w:val="0"/>
      <w:marBottom w:val="0"/>
      <w:divBdr>
        <w:top w:val="none" w:sz="0" w:space="0" w:color="auto"/>
        <w:left w:val="none" w:sz="0" w:space="0" w:color="auto"/>
        <w:bottom w:val="none" w:sz="0" w:space="0" w:color="auto"/>
        <w:right w:val="none" w:sz="0" w:space="0" w:color="auto"/>
      </w:divBdr>
    </w:div>
    <w:div w:id="1435976557">
      <w:bodyDiv w:val="1"/>
      <w:marLeft w:val="0"/>
      <w:marRight w:val="0"/>
      <w:marTop w:val="0"/>
      <w:marBottom w:val="0"/>
      <w:divBdr>
        <w:top w:val="none" w:sz="0" w:space="0" w:color="auto"/>
        <w:left w:val="none" w:sz="0" w:space="0" w:color="auto"/>
        <w:bottom w:val="none" w:sz="0" w:space="0" w:color="auto"/>
        <w:right w:val="none" w:sz="0" w:space="0" w:color="auto"/>
      </w:divBdr>
    </w:div>
    <w:div w:id="1436100703">
      <w:bodyDiv w:val="1"/>
      <w:marLeft w:val="0"/>
      <w:marRight w:val="0"/>
      <w:marTop w:val="0"/>
      <w:marBottom w:val="0"/>
      <w:divBdr>
        <w:top w:val="none" w:sz="0" w:space="0" w:color="auto"/>
        <w:left w:val="none" w:sz="0" w:space="0" w:color="auto"/>
        <w:bottom w:val="none" w:sz="0" w:space="0" w:color="auto"/>
        <w:right w:val="none" w:sz="0" w:space="0" w:color="auto"/>
      </w:divBdr>
    </w:div>
    <w:div w:id="1436247672">
      <w:bodyDiv w:val="1"/>
      <w:marLeft w:val="0"/>
      <w:marRight w:val="0"/>
      <w:marTop w:val="0"/>
      <w:marBottom w:val="0"/>
      <w:divBdr>
        <w:top w:val="none" w:sz="0" w:space="0" w:color="auto"/>
        <w:left w:val="none" w:sz="0" w:space="0" w:color="auto"/>
        <w:bottom w:val="none" w:sz="0" w:space="0" w:color="auto"/>
        <w:right w:val="none" w:sz="0" w:space="0" w:color="auto"/>
      </w:divBdr>
    </w:div>
    <w:div w:id="1436363464">
      <w:bodyDiv w:val="1"/>
      <w:marLeft w:val="0"/>
      <w:marRight w:val="0"/>
      <w:marTop w:val="0"/>
      <w:marBottom w:val="0"/>
      <w:divBdr>
        <w:top w:val="none" w:sz="0" w:space="0" w:color="auto"/>
        <w:left w:val="none" w:sz="0" w:space="0" w:color="auto"/>
        <w:bottom w:val="none" w:sz="0" w:space="0" w:color="auto"/>
        <w:right w:val="none" w:sz="0" w:space="0" w:color="auto"/>
      </w:divBdr>
    </w:div>
    <w:div w:id="1436368644">
      <w:bodyDiv w:val="1"/>
      <w:marLeft w:val="0"/>
      <w:marRight w:val="0"/>
      <w:marTop w:val="0"/>
      <w:marBottom w:val="0"/>
      <w:divBdr>
        <w:top w:val="none" w:sz="0" w:space="0" w:color="auto"/>
        <w:left w:val="none" w:sz="0" w:space="0" w:color="auto"/>
        <w:bottom w:val="none" w:sz="0" w:space="0" w:color="auto"/>
        <w:right w:val="none" w:sz="0" w:space="0" w:color="auto"/>
      </w:divBdr>
    </w:div>
    <w:div w:id="1436706829">
      <w:bodyDiv w:val="1"/>
      <w:marLeft w:val="0"/>
      <w:marRight w:val="0"/>
      <w:marTop w:val="0"/>
      <w:marBottom w:val="0"/>
      <w:divBdr>
        <w:top w:val="none" w:sz="0" w:space="0" w:color="auto"/>
        <w:left w:val="none" w:sz="0" w:space="0" w:color="auto"/>
        <w:bottom w:val="none" w:sz="0" w:space="0" w:color="auto"/>
        <w:right w:val="none" w:sz="0" w:space="0" w:color="auto"/>
      </w:divBdr>
    </w:div>
    <w:div w:id="1437141720">
      <w:bodyDiv w:val="1"/>
      <w:marLeft w:val="0"/>
      <w:marRight w:val="0"/>
      <w:marTop w:val="0"/>
      <w:marBottom w:val="0"/>
      <w:divBdr>
        <w:top w:val="none" w:sz="0" w:space="0" w:color="auto"/>
        <w:left w:val="none" w:sz="0" w:space="0" w:color="auto"/>
        <w:bottom w:val="none" w:sz="0" w:space="0" w:color="auto"/>
        <w:right w:val="none" w:sz="0" w:space="0" w:color="auto"/>
      </w:divBdr>
    </w:div>
    <w:div w:id="1437170726">
      <w:bodyDiv w:val="1"/>
      <w:marLeft w:val="0"/>
      <w:marRight w:val="0"/>
      <w:marTop w:val="0"/>
      <w:marBottom w:val="0"/>
      <w:divBdr>
        <w:top w:val="none" w:sz="0" w:space="0" w:color="auto"/>
        <w:left w:val="none" w:sz="0" w:space="0" w:color="auto"/>
        <w:bottom w:val="none" w:sz="0" w:space="0" w:color="auto"/>
        <w:right w:val="none" w:sz="0" w:space="0" w:color="auto"/>
      </w:divBdr>
    </w:div>
    <w:div w:id="1437562046">
      <w:bodyDiv w:val="1"/>
      <w:marLeft w:val="0"/>
      <w:marRight w:val="0"/>
      <w:marTop w:val="0"/>
      <w:marBottom w:val="0"/>
      <w:divBdr>
        <w:top w:val="none" w:sz="0" w:space="0" w:color="auto"/>
        <w:left w:val="none" w:sz="0" w:space="0" w:color="auto"/>
        <w:bottom w:val="none" w:sz="0" w:space="0" w:color="auto"/>
        <w:right w:val="none" w:sz="0" w:space="0" w:color="auto"/>
      </w:divBdr>
    </w:div>
    <w:div w:id="1437865822">
      <w:bodyDiv w:val="1"/>
      <w:marLeft w:val="0"/>
      <w:marRight w:val="0"/>
      <w:marTop w:val="0"/>
      <w:marBottom w:val="0"/>
      <w:divBdr>
        <w:top w:val="none" w:sz="0" w:space="0" w:color="auto"/>
        <w:left w:val="none" w:sz="0" w:space="0" w:color="auto"/>
        <w:bottom w:val="none" w:sz="0" w:space="0" w:color="auto"/>
        <w:right w:val="none" w:sz="0" w:space="0" w:color="auto"/>
      </w:divBdr>
    </w:div>
    <w:div w:id="1437872084">
      <w:bodyDiv w:val="1"/>
      <w:marLeft w:val="0"/>
      <w:marRight w:val="0"/>
      <w:marTop w:val="0"/>
      <w:marBottom w:val="0"/>
      <w:divBdr>
        <w:top w:val="none" w:sz="0" w:space="0" w:color="auto"/>
        <w:left w:val="none" w:sz="0" w:space="0" w:color="auto"/>
        <w:bottom w:val="none" w:sz="0" w:space="0" w:color="auto"/>
        <w:right w:val="none" w:sz="0" w:space="0" w:color="auto"/>
      </w:divBdr>
    </w:div>
    <w:div w:id="1437873521">
      <w:bodyDiv w:val="1"/>
      <w:marLeft w:val="0"/>
      <w:marRight w:val="0"/>
      <w:marTop w:val="0"/>
      <w:marBottom w:val="0"/>
      <w:divBdr>
        <w:top w:val="none" w:sz="0" w:space="0" w:color="auto"/>
        <w:left w:val="none" w:sz="0" w:space="0" w:color="auto"/>
        <w:bottom w:val="none" w:sz="0" w:space="0" w:color="auto"/>
        <w:right w:val="none" w:sz="0" w:space="0" w:color="auto"/>
      </w:divBdr>
    </w:div>
    <w:div w:id="1438402169">
      <w:bodyDiv w:val="1"/>
      <w:marLeft w:val="0"/>
      <w:marRight w:val="0"/>
      <w:marTop w:val="0"/>
      <w:marBottom w:val="0"/>
      <w:divBdr>
        <w:top w:val="none" w:sz="0" w:space="0" w:color="auto"/>
        <w:left w:val="none" w:sz="0" w:space="0" w:color="auto"/>
        <w:bottom w:val="none" w:sz="0" w:space="0" w:color="auto"/>
        <w:right w:val="none" w:sz="0" w:space="0" w:color="auto"/>
      </w:divBdr>
    </w:div>
    <w:div w:id="1438477256">
      <w:bodyDiv w:val="1"/>
      <w:marLeft w:val="0"/>
      <w:marRight w:val="0"/>
      <w:marTop w:val="0"/>
      <w:marBottom w:val="0"/>
      <w:divBdr>
        <w:top w:val="none" w:sz="0" w:space="0" w:color="auto"/>
        <w:left w:val="none" w:sz="0" w:space="0" w:color="auto"/>
        <w:bottom w:val="none" w:sz="0" w:space="0" w:color="auto"/>
        <w:right w:val="none" w:sz="0" w:space="0" w:color="auto"/>
      </w:divBdr>
    </w:div>
    <w:div w:id="1438598726">
      <w:bodyDiv w:val="1"/>
      <w:marLeft w:val="0"/>
      <w:marRight w:val="0"/>
      <w:marTop w:val="0"/>
      <w:marBottom w:val="0"/>
      <w:divBdr>
        <w:top w:val="none" w:sz="0" w:space="0" w:color="auto"/>
        <w:left w:val="none" w:sz="0" w:space="0" w:color="auto"/>
        <w:bottom w:val="none" w:sz="0" w:space="0" w:color="auto"/>
        <w:right w:val="none" w:sz="0" w:space="0" w:color="auto"/>
      </w:divBdr>
    </w:div>
    <w:div w:id="1438670167">
      <w:bodyDiv w:val="1"/>
      <w:marLeft w:val="0"/>
      <w:marRight w:val="0"/>
      <w:marTop w:val="0"/>
      <w:marBottom w:val="0"/>
      <w:divBdr>
        <w:top w:val="none" w:sz="0" w:space="0" w:color="auto"/>
        <w:left w:val="none" w:sz="0" w:space="0" w:color="auto"/>
        <w:bottom w:val="none" w:sz="0" w:space="0" w:color="auto"/>
        <w:right w:val="none" w:sz="0" w:space="0" w:color="auto"/>
      </w:divBdr>
    </w:div>
    <w:div w:id="1438670670">
      <w:bodyDiv w:val="1"/>
      <w:marLeft w:val="0"/>
      <w:marRight w:val="0"/>
      <w:marTop w:val="0"/>
      <w:marBottom w:val="0"/>
      <w:divBdr>
        <w:top w:val="none" w:sz="0" w:space="0" w:color="auto"/>
        <w:left w:val="none" w:sz="0" w:space="0" w:color="auto"/>
        <w:bottom w:val="none" w:sz="0" w:space="0" w:color="auto"/>
        <w:right w:val="none" w:sz="0" w:space="0" w:color="auto"/>
      </w:divBdr>
    </w:div>
    <w:div w:id="1439444276">
      <w:bodyDiv w:val="1"/>
      <w:marLeft w:val="0"/>
      <w:marRight w:val="0"/>
      <w:marTop w:val="0"/>
      <w:marBottom w:val="0"/>
      <w:divBdr>
        <w:top w:val="none" w:sz="0" w:space="0" w:color="auto"/>
        <w:left w:val="none" w:sz="0" w:space="0" w:color="auto"/>
        <w:bottom w:val="none" w:sz="0" w:space="0" w:color="auto"/>
        <w:right w:val="none" w:sz="0" w:space="0" w:color="auto"/>
      </w:divBdr>
    </w:div>
    <w:div w:id="1439595153">
      <w:bodyDiv w:val="1"/>
      <w:marLeft w:val="0"/>
      <w:marRight w:val="0"/>
      <w:marTop w:val="0"/>
      <w:marBottom w:val="0"/>
      <w:divBdr>
        <w:top w:val="none" w:sz="0" w:space="0" w:color="auto"/>
        <w:left w:val="none" w:sz="0" w:space="0" w:color="auto"/>
        <w:bottom w:val="none" w:sz="0" w:space="0" w:color="auto"/>
        <w:right w:val="none" w:sz="0" w:space="0" w:color="auto"/>
      </w:divBdr>
    </w:div>
    <w:div w:id="1439717266">
      <w:bodyDiv w:val="1"/>
      <w:marLeft w:val="0"/>
      <w:marRight w:val="0"/>
      <w:marTop w:val="0"/>
      <w:marBottom w:val="0"/>
      <w:divBdr>
        <w:top w:val="none" w:sz="0" w:space="0" w:color="auto"/>
        <w:left w:val="none" w:sz="0" w:space="0" w:color="auto"/>
        <w:bottom w:val="none" w:sz="0" w:space="0" w:color="auto"/>
        <w:right w:val="none" w:sz="0" w:space="0" w:color="auto"/>
      </w:divBdr>
    </w:div>
    <w:div w:id="1440025204">
      <w:bodyDiv w:val="1"/>
      <w:marLeft w:val="0"/>
      <w:marRight w:val="0"/>
      <w:marTop w:val="0"/>
      <w:marBottom w:val="0"/>
      <w:divBdr>
        <w:top w:val="none" w:sz="0" w:space="0" w:color="auto"/>
        <w:left w:val="none" w:sz="0" w:space="0" w:color="auto"/>
        <w:bottom w:val="none" w:sz="0" w:space="0" w:color="auto"/>
        <w:right w:val="none" w:sz="0" w:space="0" w:color="auto"/>
      </w:divBdr>
    </w:div>
    <w:div w:id="1440567814">
      <w:bodyDiv w:val="1"/>
      <w:marLeft w:val="0"/>
      <w:marRight w:val="0"/>
      <w:marTop w:val="0"/>
      <w:marBottom w:val="0"/>
      <w:divBdr>
        <w:top w:val="none" w:sz="0" w:space="0" w:color="auto"/>
        <w:left w:val="none" w:sz="0" w:space="0" w:color="auto"/>
        <w:bottom w:val="none" w:sz="0" w:space="0" w:color="auto"/>
        <w:right w:val="none" w:sz="0" w:space="0" w:color="auto"/>
      </w:divBdr>
    </w:div>
    <w:div w:id="1440641916">
      <w:bodyDiv w:val="1"/>
      <w:marLeft w:val="0"/>
      <w:marRight w:val="0"/>
      <w:marTop w:val="0"/>
      <w:marBottom w:val="0"/>
      <w:divBdr>
        <w:top w:val="none" w:sz="0" w:space="0" w:color="auto"/>
        <w:left w:val="none" w:sz="0" w:space="0" w:color="auto"/>
        <w:bottom w:val="none" w:sz="0" w:space="0" w:color="auto"/>
        <w:right w:val="none" w:sz="0" w:space="0" w:color="auto"/>
      </w:divBdr>
    </w:div>
    <w:div w:id="1440904356">
      <w:bodyDiv w:val="1"/>
      <w:marLeft w:val="0"/>
      <w:marRight w:val="0"/>
      <w:marTop w:val="0"/>
      <w:marBottom w:val="0"/>
      <w:divBdr>
        <w:top w:val="none" w:sz="0" w:space="0" w:color="auto"/>
        <w:left w:val="none" w:sz="0" w:space="0" w:color="auto"/>
        <w:bottom w:val="none" w:sz="0" w:space="0" w:color="auto"/>
        <w:right w:val="none" w:sz="0" w:space="0" w:color="auto"/>
      </w:divBdr>
    </w:div>
    <w:div w:id="1440947470">
      <w:bodyDiv w:val="1"/>
      <w:marLeft w:val="0"/>
      <w:marRight w:val="0"/>
      <w:marTop w:val="0"/>
      <w:marBottom w:val="0"/>
      <w:divBdr>
        <w:top w:val="none" w:sz="0" w:space="0" w:color="auto"/>
        <w:left w:val="none" w:sz="0" w:space="0" w:color="auto"/>
        <w:bottom w:val="none" w:sz="0" w:space="0" w:color="auto"/>
        <w:right w:val="none" w:sz="0" w:space="0" w:color="auto"/>
      </w:divBdr>
    </w:div>
    <w:div w:id="1441145364">
      <w:bodyDiv w:val="1"/>
      <w:marLeft w:val="0"/>
      <w:marRight w:val="0"/>
      <w:marTop w:val="0"/>
      <w:marBottom w:val="0"/>
      <w:divBdr>
        <w:top w:val="none" w:sz="0" w:space="0" w:color="auto"/>
        <w:left w:val="none" w:sz="0" w:space="0" w:color="auto"/>
        <w:bottom w:val="none" w:sz="0" w:space="0" w:color="auto"/>
        <w:right w:val="none" w:sz="0" w:space="0" w:color="auto"/>
      </w:divBdr>
    </w:div>
    <w:div w:id="1441536416">
      <w:bodyDiv w:val="1"/>
      <w:marLeft w:val="0"/>
      <w:marRight w:val="0"/>
      <w:marTop w:val="0"/>
      <w:marBottom w:val="0"/>
      <w:divBdr>
        <w:top w:val="none" w:sz="0" w:space="0" w:color="auto"/>
        <w:left w:val="none" w:sz="0" w:space="0" w:color="auto"/>
        <w:bottom w:val="none" w:sz="0" w:space="0" w:color="auto"/>
        <w:right w:val="none" w:sz="0" w:space="0" w:color="auto"/>
      </w:divBdr>
    </w:div>
    <w:div w:id="1441871536">
      <w:bodyDiv w:val="1"/>
      <w:marLeft w:val="0"/>
      <w:marRight w:val="0"/>
      <w:marTop w:val="0"/>
      <w:marBottom w:val="0"/>
      <w:divBdr>
        <w:top w:val="none" w:sz="0" w:space="0" w:color="auto"/>
        <w:left w:val="none" w:sz="0" w:space="0" w:color="auto"/>
        <w:bottom w:val="none" w:sz="0" w:space="0" w:color="auto"/>
        <w:right w:val="none" w:sz="0" w:space="0" w:color="auto"/>
      </w:divBdr>
    </w:div>
    <w:div w:id="1441871581">
      <w:bodyDiv w:val="1"/>
      <w:marLeft w:val="0"/>
      <w:marRight w:val="0"/>
      <w:marTop w:val="0"/>
      <w:marBottom w:val="0"/>
      <w:divBdr>
        <w:top w:val="none" w:sz="0" w:space="0" w:color="auto"/>
        <w:left w:val="none" w:sz="0" w:space="0" w:color="auto"/>
        <w:bottom w:val="none" w:sz="0" w:space="0" w:color="auto"/>
        <w:right w:val="none" w:sz="0" w:space="0" w:color="auto"/>
      </w:divBdr>
    </w:div>
    <w:div w:id="1442186747">
      <w:bodyDiv w:val="1"/>
      <w:marLeft w:val="0"/>
      <w:marRight w:val="0"/>
      <w:marTop w:val="0"/>
      <w:marBottom w:val="0"/>
      <w:divBdr>
        <w:top w:val="none" w:sz="0" w:space="0" w:color="auto"/>
        <w:left w:val="none" w:sz="0" w:space="0" w:color="auto"/>
        <w:bottom w:val="none" w:sz="0" w:space="0" w:color="auto"/>
        <w:right w:val="none" w:sz="0" w:space="0" w:color="auto"/>
      </w:divBdr>
    </w:div>
    <w:div w:id="1442188370">
      <w:bodyDiv w:val="1"/>
      <w:marLeft w:val="0"/>
      <w:marRight w:val="0"/>
      <w:marTop w:val="0"/>
      <w:marBottom w:val="0"/>
      <w:divBdr>
        <w:top w:val="none" w:sz="0" w:space="0" w:color="auto"/>
        <w:left w:val="none" w:sz="0" w:space="0" w:color="auto"/>
        <w:bottom w:val="none" w:sz="0" w:space="0" w:color="auto"/>
        <w:right w:val="none" w:sz="0" w:space="0" w:color="auto"/>
      </w:divBdr>
    </w:div>
    <w:div w:id="1442259604">
      <w:bodyDiv w:val="1"/>
      <w:marLeft w:val="0"/>
      <w:marRight w:val="0"/>
      <w:marTop w:val="0"/>
      <w:marBottom w:val="0"/>
      <w:divBdr>
        <w:top w:val="none" w:sz="0" w:space="0" w:color="auto"/>
        <w:left w:val="none" w:sz="0" w:space="0" w:color="auto"/>
        <w:bottom w:val="none" w:sz="0" w:space="0" w:color="auto"/>
        <w:right w:val="none" w:sz="0" w:space="0" w:color="auto"/>
      </w:divBdr>
    </w:div>
    <w:div w:id="1442532340">
      <w:bodyDiv w:val="1"/>
      <w:marLeft w:val="0"/>
      <w:marRight w:val="0"/>
      <w:marTop w:val="0"/>
      <w:marBottom w:val="0"/>
      <w:divBdr>
        <w:top w:val="none" w:sz="0" w:space="0" w:color="auto"/>
        <w:left w:val="none" w:sz="0" w:space="0" w:color="auto"/>
        <w:bottom w:val="none" w:sz="0" w:space="0" w:color="auto"/>
        <w:right w:val="none" w:sz="0" w:space="0" w:color="auto"/>
      </w:divBdr>
    </w:div>
    <w:div w:id="1442647906">
      <w:bodyDiv w:val="1"/>
      <w:marLeft w:val="0"/>
      <w:marRight w:val="0"/>
      <w:marTop w:val="0"/>
      <w:marBottom w:val="0"/>
      <w:divBdr>
        <w:top w:val="none" w:sz="0" w:space="0" w:color="auto"/>
        <w:left w:val="none" w:sz="0" w:space="0" w:color="auto"/>
        <w:bottom w:val="none" w:sz="0" w:space="0" w:color="auto"/>
        <w:right w:val="none" w:sz="0" w:space="0" w:color="auto"/>
      </w:divBdr>
    </w:div>
    <w:div w:id="1442996692">
      <w:bodyDiv w:val="1"/>
      <w:marLeft w:val="0"/>
      <w:marRight w:val="0"/>
      <w:marTop w:val="0"/>
      <w:marBottom w:val="0"/>
      <w:divBdr>
        <w:top w:val="none" w:sz="0" w:space="0" w:color="auto"/>
        <w:left w:val="none" w:sz="0" w:space="0" w:color="auto"/>
        <w:bottom w:val="none" w:sz="0" w:space="0" w:color="auto"/>
        <w:right w:val="none" w:sz="0" w:space="0" w:color="auto"/>
      </w:divBdr>
    </w:div>
    <w:div w:id="1443258541">
      <w:bodyDiv w:val="1"/>
      <w:marLeft w:val="0"/>
      <w:marRight w:val="0"/>
      <w:marTop w:val="0"/>
      <w:marBottom w:val="0"/>
      <w:divBdr>
        <w:top w:val="none" w:sz="0" w:space="0" w:color="auto"/>
        <w:left w:val="none" w:sz="0" w:space="0" w:color="auto"/>
        <w:bottom w:val="none" w:sz="0" w:space="0" w:color="auto"/>
        <w:right w:val="none" w:sz="0" w:space="0" w:color="auto"/>
      </w:divBdr>
    </w:div>
    <w:div w:id="1443307209">
      <w:bodyDiv w:val="1"/>
      <w:marLeft w:val="0"/>
      <w:marRight w:val="0"/>
      <w:marTop w:val="0"/>
      <w:marBottom w:val="0"/>
      <w:divBdr>
        <w:top w:val="none" w:sz="0" w:space="0" w:color="auto"/>
        <w:left w:val="none" w:sz="0" w:space="0" w:color="auto"/>
        <w:bottom w:val="none" w:sz="0" w:space="0" w:color="auto"/>
        <w:right w:val="none" w:sz="0" w:space="0" w:color="auto"/>
      </w:divBdr>
    </w:div>
    <w:div w:id="1443375934">
      <w:bodyDiv w:val="1"/>
      <w:marLeft w:val="0"/>
      <w:marRight w:val="0"/>
      <w:marTop w:val="0"/>
      <w:marBottom w:val="0"/>
      <w:divBdr>
        <w:top w:val="none" w:sz="0" w:space="0" w:color="auto"/>
        <w:left w:val="none" w:sz="0" w:space="0" w:color="auto"/>
        <w:bottom w:val="none" w:sz="0" w:space="0" w:color="auto"/>
        <w:right w:val="none" w:sz="0" w:space="0" w:color="auto"/>
      </w:divBdr>
    </w:div>
    <w:div w:id="1443451944">
      <w:bodyDiv w:val="1"/>
      <w:marLeft w:val="0"/>
      <w:marRight w:val="0"/>
      <w:marTop w:val="0"/>
      <w:marBottom w:val="0"/>
      <w:divBdr>
        <w:top w:val="none" w:sz="0" w:space="0" w:color="auto"/>
        <w:left w:val="none" w:sz="0" w:space="0" w:color="auto"/>
        <w:bottom w:val="none" w:sz="0" w:space="0" w:color="auto"/>
        <w:right w:val="none" w:sz="0" w:space="0" w:color="auto"/>
      </w:divBdr>
    </w:div>
    <w:div w:id="1444616929">
      <w:bodyDiv w:val="1"/>
      <w:marLeft w:val="0"/>
      <w:marRight w:val="0"/>
      <w:marTop w:val="0"/>
      <w:marBottom w:val="0"/>
      <w:divBdr>
        <w:top w:val="none" w:sz="0" w:space="0" w:color="auto"/>
        <w:left w:val="none" w:sz="0" w:space="0" w:color="auto"/>
        <w:bottom w:val="none" w:sz="0" w:space="0" w:color="auto"/>
        <w:right w:val="none" w:sz="0" w:space="0" w:color="auto"/>
      </w:divBdr>
    </w:div>
    <w:div w:id="1444879763">
      <w:bodyDiv w:val="1"/>
      <w:marLeft w:val="0"/>
      <w:marRight w:val="0"/>
      <w:marTop w:val="0"/>
      <w:marBottom w:val="0"/>
      <w:divBdr>
        <w:top w:val="none" w:sz="0" w:space="0" w:color="auto"/>
        <w:left w:val="none" w:sz="0" w:space="0" w:color="auto"/>
        <w:bottom w:val="none" w:sz="0" w:space="0" w:color="auto"/>
        <w:right w:val="none" w:sz="0" w:space="0" w:color="auto"/>
      </w:divBdr>
    </w:div>
    <w:div w:id="1445004777">
      <w:bodyDiv w:val="1"/>
      <w:marLeft w:val="0"/>
      <w:marRight w:val="0"/>
      <w:marTop w:val="0"/>
      <w:marBottom w:val="0"/>
      <w:divBdr>
        <w:top w:val="none" w:sz="0" w:space="0" w:color="auto"/>
        <w:left w:val="none" w:sz="0" w:space="0" w:color="auto"/>
        <w:bottom w:val="none" w:sz="0" w:space="0" w:color="auto"/>
        <w:right w:val="none" w:sz="0" w:space="0" w:color="auto"/>
      </w:divBdr>
    </w:div>
    <w:div w:id="1445618743">
      <w:bodyDiv w:val="1"/>
      <w:marLeft w:val="0"/>
      <w:marRight w:val="0"/>
      <w:marTop w:val="0"/>
      <w:marBottom w:val="0"/>
      <w:divBdr>
        <w:top w:val="none" w:sz="0" w:space="0" w:color="auto"/>
        <w:left w:val="none" w:sz="0" w:space="0" w:color="auto"/>
        <w:bottom w:val="none" w:sz="0" w:space="0" w:color="auto"/>
        <w:right w:val="none" w:sz="0" w:space="0" w:color="auto"/>
      </w:divBdr>
    </w:div>
    <w:div w:id="1445686237">
      <w:bodyDiv w:val="1"/>
      <w:marLeft w:val="0"/>
      <w:marRight w:val="0"/>
      <w:marTop w:val="0"/>
      <w:marBottom w:val="0"/>
      <w:divBdr>
        <w:top w:val="none" w:sz="0" w:space="0" w:color="auto"/>
        <w:left w:val="none" w:sz="0" w:space="0" w:color="auto"/>
        <w:bottom w:val="none" w:sz="0" w:space="0" w:color="auto"/>
        <w:right w:val="none" w:sz="0" w:space="0" w:color="auto"/>
      </w:divBdr>
    </w:div>
    <w:div w:id="1446121252">
      <w:bodyDiv w:val="1"/>
      <w:marLeft w:val="0"/>
      <w:marRight w:val="0"/>
      <w:marTop w:val="0"/>
      <w:marBottom w:val="0"/>
      <w:divBdr>
        <w:top w:val="none" w:sz="0" w:space="0" w:color="auto"/>
        <w:left w:val="none" w:sz="0" w:space="0" w:color="auto"/>
        <w:bottom w:val="none" w:sz="0" w:space="0" w:color="auto"/>
        <w:right w:val="none" w:sz="0" w:space="0" w:color="auto"/>
      </w:divBdr>
    </w:div>
    <w:div w:id="1446149542">
      <w:bodyDiv w:val="1"/>
      <w:marLeft w:val="0"/>
      <w:marRight w:val="0"/>
      <w:marTop w:val="0"/>
      <w:marBottom w:val="0"/>
      <w:divBdr>
        <w:top w:val="none" w:sz="0" w:space="0" w:color="auto"/>
        <w:left w:val="none" w:sz="0" w:space="0" w:color="auto"/>
        <w:bottom w:val="none" w:sz="0" w:space="0" w:color="auto"/>
        <w:right w:val="none" w:sz="0" w:space="0" w:color="auto"/>
      </w:divBdr>
    </w:div>
    <w:div w:id="1446582828">
      <w:bodyDiv w:val="1"/>
      <w:marLeft w:val="0"/>
      <w:marRight w:val="0"/>
      <w:marTop w:val="0"/>
      <w:marBottom w:val="0"/>
      <w:divBdr>
        <w:top w:val="none" w:sz="0" w:space="0" w:color="auto"/>
        <w:left w:val="none" w:sz="0" w:space="0" w:color="auto"/>
        <w:bottom w:val="none" w:sz="0" w:space="0" w:color="auto"/>
        <w:right w:val="none" w:sz="0" w:space="0" w:color="auto"/>
      </w:divBdr>
    </w:div>
    <w:div w:id="1447381580">
      <w:bodyDiv w:val="1"/>
      <w:marLeft w:val="0"/>
      <w:marRight w:val="0"/>
      <w:marTop w:val="0"/>
      <w:marBottom w:val="0"/>
      <w:divBdr>
        <w:top w:val="none" w:sz="0" w:space="0" w:color="auto"/>
        <w:left w:val="none" w:sz="0" w:space="0" w:color="auto"/>
        <w:bottom w:val="none" w:sz="0" w:space="0" w:color="auto"/>
        <w:right w:val="none" w:sz="0" w:space="0" w:color="auto"/>
      </w:divBdr>
    </w:div>
    <w:div w:id="1447428517">
      <w:bodyDiv w:val="1"/>
      <w:marLeft w:val="0"/>
      <w:marRight w:val="0"/>
      <w:marTop w:val="0"/>
      <w:marBottom w:val="0"/>
      <w:divBdr>
        <w:top w:val="none" w:sz="0" w:space="0" w:color="auto"/>
        <w:left w:val="none" w:sz="0" w:space="0" w:color="auto"/>
        <w:bottom w:val="none" w:sz="0" w:space="0" w:color="auto"/>
        <w:right w:val="none" w:sz="0" w:space="0" w:color="auto"/>
      </w:divBdr>
    </w:div>
    <w:div w:id="1447457126">
      <w:bodyDiv w:val="1"/>
      <w:marLeft w:val="0"/>
      <w:marRight w:val="0"/>
      <w:marTop w:val="0"/>
      <w:marBottom w:val="0"/>
      <w:divBdr>
        <w:top w:val="none" w:sz="0" w:space="0" w:color="auto"/>
        <w:left w:val="none" w:sz="0" w:space="0" w:color="auto"/>
        <w:bottom w:val="none" w:sz="0" w:space="0" w:color="auto"/>
        <w:right w:val="none" w:sz="0" w:space="0" w:color="auto"/>
      </w:divBdr>
    </w:div>
    <w:div w:id="1447504452">
      <w:bodyDiv w:val="1"/>
      <w:marLeft w:val="0"/>
      <w:marRight w:val="0"/>
      <w:marTop w:val="0"/>
      <w:marBottom w:val="0"/>
      <w:divBdr>
        <w:top w:val="none" w:sz="0" w:space="0" w:color="auto"/>
        <w:left w:val="none" w:sz="0" w:space="0" w:color="auto"/>
        <w:bottom w:val="none" w:sz="0" w:space="0" w:color="auto"/>
        <w:right w:val="none" w:sz="0" w:space="0" w:color="auto"/>
      </w:divBdr>
    </w:div>
    <w:div w:id="1447626829">
      <w:bodyDiv w:val="1"/>
      <w:marLeft w:val="0"/>
      <w:marRight w:val="0"/>
      <w:marTop w:val="0"/>
      <w:marBottom w:val="0"/>
      <w:divBdr>
        <w:top w:val="none" w:sz="0" w:space="0" w:color="auto"/>
        <w:left w:val="none" w:sz="0" w:space="0" w:color="auto"/>
        <w:bottom w:val="none" w:sz="0" w:space="0" w:color="auto"/>
        <w:right w:val="none" w:sz="0" w:space="0" w:color="auto"/>
      </w:divBdr>
    </w:div>
    <w:div w:id="1447895822">
      <w:bodyDiv w:val="1"/>
      <w:marLeft w:val="0"/>
      <w:marRight w:val="0"/>
      <w:marTop w:val="0"/>
      <w:marBottom w:val="0"/>
      <w:divBdr>
        <w:top w:val="none" w:sz="0" w:space="0" w:color="auto"/>
        <w:left w:val="none" w:sz="0" w:space="0" w:color="auto"/>
        <w:bottom w:val="none" w:sz="0" w:space="0" w:color="auto"/>
        <w:right w:val="none" w:sz="0" w:space="0" w:color="auto"/>
      </w:divBdr>
    </w:div>
    <w:div w:id="1447963173">
      <w:bodyDiv w:val="1"/>
      <w:marLeft w:val="0"/>
      <w:marRight w:val="0"/>
      <w:marTop w:val="0"/>
      <w:marBottom w:val="0"/>
      <w:divBdr>
        <w:top w:val="none" w:sz="0" w:space="0" w:color="auto"/>
        <w:left w:val="none" w:sz="0" w:space="0" w:color="auto"/>
        <w:bottom w:val="none" w:sz="0" w:space="0" w:color="auto"/>
        <w:right w:val="none" w:sz="0" w:space="0" w:color="auto"/>
      </w:divBdr>
    </w:div>
    <w:div w:id="1448085573">
      <w:bodyDiv w:val="1"/>
      <w:marLeft w:val="0"/>
      <w:marRight w:val="0"/>
      <w:marTop w:val="0"/>
      <w:marBottom w:val="0"/>
      <w:divBdr>
        <w:top w:val="none" w:sz="0" w:space="0" w:color="auto"/>
        <w:left w:val="none" w:sz="0" w:space="0" w:color="auto"/>
        <w:bottom w:val="none" w:sz="0" w:space="0" w:color="auto"/>
        <w:right w:val="none" w:sz="0" w:space="0" w:color="auto"/>
      </w:divBdr>
    </w:div>
    <w:div w:id="1448233028">
      <w:bodyDiv w:val="1"/>
      <w:marLeft w:val="0"/>
      <w:marRight w:val="0"/>
      <w:marTop w:val="0"/>
      <w:marBottom w:val="0"/>
      <w:divBdr>
        <w:top w:val="none" w:sz="0" w:space="0" w:color="auto"/>
        <w:left w:val="none" w:sz="0" w:space="0" w:color="auto"/>
        <w:bottom w:val="none" w:sz="0" w:space="0" w:color="auto"/>
        <w:right w:val="none" w:sz="0" w:space="0" w:color="auto"/>
      </w:divBdr>
    </w:div>
    <w:div w:id="1448697835">
      <w:bodyDiv w:val="1"/>
      <w:marLeft w:val="0"/>
      <w:marRight w:val="0"/>
      <w:marTop w:val="0"/>
      <w:marBottom w:val="0"/>
      <w:divBdr>
        <w:top w:val="none" w:sz="0" w:space="0" w:color="auto"/>
        <w:left w:val="none" w:sz="0" w:space="0" w:color="auto"/>
        <w:bottom w:val="none" w:sz="0" w:space="0" w:color="auto"/>
        <w:right w:val="none" w:sz="0" w:space="0" w:color="auto"/>
      </w:divBdr>
    </w:div>
    <w:div w:id="1449087921">
      <w:bodyDiv w:val="1"/>
      <w:marLeft w:val="0"/>
      <w:marRight w:val="0"/>
      <w:marTop w:val="0"/>
      <w:marBottom w:val="0"/>
      <w:divBdr>
        <w:top w:val="none" w:sz="0" w:space="0" w:color="auto"/>
        <w:left w:val="none" w:sz="0" w:space="0" w:color="auto"/>
        <w:bottom w:val="none" w:sz="0" w:space="0" w:color="auto"/>
        <w:right w:val="none" w:sz="0" w:space="0" w:color="auto"/>
      </w:divBdr>
    </w:div>
    <w:div w:id="1449156525">
      <w:bodyDiv w:val="1"/>
      <w:marLeft w:val="0"/>
      <w:marRight w:val="0"/>
      <w:marTop w:val="0"/>
      <w:marBottom w:val="0"/>
      <w:divBdr>
        <w:top w:val="none" w:sz="0" w:space="0" w:color="auto"/>
        <w:left w:val="none" w:sz="0" w:space="0" w:color="auto"/>
        <w:bottom w:val="none" w:sz="0" w:space="0" w:color="auto"/>
        <w:right w:val="none" w:sz="0" w:space="0" w:color="auto"/>
      </w:divBdr>
    </w:div>
    <w:div w:id="1449160106">
      <w:bodyDiv w:val="1"/>
      <w:marLeft w:val="0"/>
      <w:marRight w:val="0"/>
      <w:marTop w:val="0"/>
      <w:marBottom w:val="0"/>
      <w:divBdr>
        <w:top w:val="none" w:sz="0" w:space="0" w:color="auto"/>
        <w:left w:val="none" w:sz="0" w:space="0" w:color="auto"/>
        <w:bottom w:val="none" w:sz="0" w:space="0" w:color="auto"/>
        <w:right w:val="none" w:sz="0" w:space="0" w:color="auto"/>
      </w:divBdr>
    </w:div>
    <w:div w:id="1449278408">
      <w:bodyDiv w:val="1"/>
      <w:marLeft w:val="0"/>
      <w:marRight w:val="0"/>
      <w:marTop w:val="0"/>
      <w:marBottom w:val="0"/>
      <w:divBdr>
        <w:top w:val="none" w:sz="0" w:space="0" w:color="auto"/>
        <w:left w:val="none" w:sz="0" w:space="0" w:color="auto"/>
        <w:bottom w:val="none" w:sz="0" w:space="0" w:color="auto"/>
        <w:right w:val="none" w:sz="0" w:space="0" w:color="auto"/>
      </w:divBdr>
    </w:div>
    <w:div w:id="1449348309">
      <w:bodyDiv w:val="1"/>
      <w:marLeft w:val="0"/>
      <w:marRight w:val="0"/>
      <w:marTop w:val="0"/>
      <w:marBottom w:val="0"/>
      <w:divBdr>
        <w:top w:val="none" w:sz="0" w:space="0" w:color="auto"/>
        <w:left w:val="none" w:sz="0" w:space="0" w:color="auto"/>
        <w:bottom w:val="none" w:sz="0" w:space="0" w:color="auto"/>
        <w:right w:val="none" w:sz="0" w:space="0" w:color="auto"/>
      </w:divBdr>
    </w:div>
    <w:div w:id="1449622980">
      <w:bodyDiv w:val="1"/>
      <w:marLeft w:val="0"/>
      <w:marRight w:val="0"/>
      <w:marTop w:val="0"/>
      <w:marBottom w:val="0"/>
      <w:divBdr>
        <w:top w:val="none" w:sz="0" w:space="0" w:color="auto"/>
        <w:left w:val="none" w:sz="0" w:space="0" w:color="auto"/>
        <w:bottom w:val="none" w:sz="0" w:space="0" w:color="auto"/>
        <w:right w:val="none" w:sz="0" w:space="0" w:color="auto"/>
      </w:divBdr>
    </w:div>
    <w:div w:id="1449658932">
      <w:bodyDiv w:val="1"/>
      <w:marLeft w:val="0"/>
      <w:marRight w:val="0"/>
      <w:marTop w:val="0"/>
      <w:marBottom w:val="0"/>
      <w:divBdr>
        <w:top w:val="none" w:sz="0" w:space="0" w:color="auto"/>
        <w:left w:val="none" w:sz="0" w:space="0" w:color="auto"/>
        <w:bottom w:val="none" w:sz="0" w:space="0" w:color="auto"/>
        <w:right w:val="none" w:sz="0" w:space="0" w:color="auto"/>
      </w:divBdr>
    </w:div>
    <w:div w:id="1449664542">
      <w:bodyDiv w:val="1"/>
      <w:marLeft w:val="0"/>
      <w:marRight w:val="0"/>
      <w:marTop w:val="0"/>
      <w:marBottom w:val="0"/>
      <w:divBdr>
        <w:top w:val="none" w:sz="0" w:space="0" w:color="auto"/>
        <w:left w:val="none" w:sz="0" w:space="0" w:color="auto"/>
        <w:bottom w:val="none" w:sz="0" w:space="0" w:color="auto"/>
        <w:right w:val="none" w:sz="0" w:space="0" w:color="auto"/>
      </w:divBdr>
    </w:div>
    <w:div w:id="1449735045">
      <w:bodyDiv w:val="1"/>
      <w:marLeft w:val="0"/>
      <w:marRight w:val="0"/>
      <w:marTop w:val="0"/>
      <w:marBottom w:val="0"/>
      <w:divBdr>
        <w:top w:val="none" w:sz="0" w:space="0" w:color="auto"/>
        <w:left w:val="none" w:sz="0" w:space="0" w:color="auto"/>
        <w:bottom w:val="none" w:sz="0" w:space="0" w:color="auto"/>
        <w:right w:val="none" w:sz="0" w:space="0" w:color="auto"/>
      </w:divBdr>
    </w:div>
    <w:div w:id="1449812340">
      <w:bodyDiv w:val="1"/>
      <w:marLeft w:val="0"/>
      <w:marRight w:val="0"/>
      <w:marTop w:val="0"/>
      <w:marBottom w:val="0"/>
      <w:divBdr>
        <w:top w:val="none" w:sz="0" w:space="0" w:color="auto"/>
        <w:left w:val="none" w:sz="0" w:space="0" w:color="auto"/>
        <w:bottom w:val="none" w:sz="0" w:space="0" w:color="auto"/>
        <w:right w:val="none" w:sz="0" w:space="0" w:color="auto"/>
      </w:divBdr>
    </w:div>
    <w:div w:id="1449854585">
      <w:bodyDiv w:val="1"/>
      <w:marLeft w:val="0"/>
      <w:marRight w:val="0"/>
      <w:marTop w:val="0"/>
      <w:marBottom w:val="0"/>
      <w:divBdr>
        <w:top w:val="none" w:sz="0" w:space="0" w:color="auto"/>
        <w:left w:val="none" w:sz="0" w:space="0" w:color="auto"/>
        <w:bottom w:val="none" w:sz="0" w:space="0" w:color="auto"/>
        <w:right w:val="none" w:sz="0" w:space="0" w:color="auto"/>
      </w:divBdr>
    </w:div>
    <w:div w:id="1450121598">
      <w:bodyDiv w:val="1"/>
      <w:marLeft w:val="0"/>
      <w:marRight w:val="0"/>
      <w:marTop w:val="0"/>
      <w:marBottom w:val="0"/>
      <w:divBdr>
        <w:top w:val="none" w:sz="0" w:space="0" w:color="auto"/>
        <w:left w:val="none" w:sz="0" w:space="0" w:color="auto"/>
        <w:bottom w:val="none" w:sz="0" w:space="0" w:color="auto"/>
        <w:right w:val="none" w:sz="0" w:space="0" w:color="auto"/>
      </w:divBdr>
    </w:div>
    <w:div w:id="1450275728">
      <w:bodyDiv w:val="1"/>
      <w:marLeft w:val="0"/>
      <w:marRight w:val="0"/>
      <w:marTop w:val="0"/>
      <w:marBottom w:val="0"/>
      <w:divBdr>
        <w:top w:val="none" w:sz="0" w:space="0" w:color="auto"/>
        <w:left w:val="none" w:sz="0" w:space="0" w:color="auto"/>
        <w:bottom w:val="none" w:sz="0" w:space="0" w:color="auto"/>
        <w:right w:val="none" w:sz="0" w:space="0" w:color="auto"/>
      </w:divBdr>
    </w:div>
    <w:div w:id="1450590267">
      <w:bodyDiv w:val="1"/>
      <w:marLeft w:val="0"/>
      <w:marRight w:val="0"/>
      <w:marTop w:val="0"/>
      <w:marBottom w:val="0"/>
      <w:divBdr>
        <w:top w:val="none" w:sz="0" w:space="0" w:color="auto"/>
        <w:left w:val="none" w:sz="0" w:space="0" w:color="auto"/>
        <w:bottom w:val="none" w:sz="0" w:space="0" w:color="auto"/>
        <w:right w:val="none" w:sz="0" w:space="0" w:color="auto"/>
      </w:divBdr>
    </w:div>
    <w:div w:id="1450707220">
      <w:bodyDiv w:val="1"/>
      <w:marLeft w:val="0"/>
      <w:marRight w:val="0"/>
      <w:marTop w:val="0"/>
      <w:marBottom w:val="0"/>
      <w:divBdr>
        <w:top w:val="none" w:sz="0" w:space="0" w:color="auto"/>
        <w:left w:val="none" w:sz="0" w:space="0" w:color="auto"/>
        <w:bottom w:val="none" w:sz="0" w:space="0" w:color="auto"/>
        <w:right w:val="none" w:sz="0" w:space="0" w:color="auto"/>
      </w:divBdr>
    </w:div>
    <w:div w:id="1450735225">
      <w:bodyDiv w:val="1"/>
      <w:marLeft w:val="0"/>
      <w:marRight w:val="0"/>
      <w:marTop w:val="0"/>
      <w:marBottom w:val="0"/>
      <w:divBdr>
        <w:top w:val="none" w:sz="0" w:space="0" w:color="auto"/>
        <w:left w:val="none" w:sz="0" w:space="0" w:color="auto"/>
        <w:bottom w:val="none" w:sz="0" w:space="0" w:color="auto"/>
        <w:right w:val="none" w:sz="0" w:space="0" w:color="auto"/>
      </w:divBdr>
    </w:div>
    <w:div w:id="1451632589">
      <w:bodyDiv w:val="1"/>
      <w:marLeft w:val="0"/>
      <w:marRight w:val="0"/>
      <w:marTop w:val="0"/>
      <w:marBottom w:val="0"/>
      <w:divBdr>
        <w:top w:val="none" w:sz="0" w:space="0" w:color="auto"/>
        <w:left w:val="none" w:sz="0" w:space="0" w:color="auto"/>
        <w:bottom w:val="none" w:sz="0" w:space="0" w:color="auto"/>
        <w:right w:val="none" w:sz="0" w:space="0" w:color="auto"/>
      </w:divBdr>
    </w:div>
    <w:div w:id="1451825235">
      <w:bodyDiv w:val="1"/>
      <w:marLeft w:val="0"/>
      <w:marRight w:val="0"/>
      <w:marTop w:val="0"/>
      <w:marBottom w:val="0"/>
      <w:divBdr>
        <w:top w:val="none" w:sz="0" w:space="0" w:color="auto"/>
        <w:left w:val="none" w:sz="0" w:space="0" w:color="auto"/>
        <w:bottom w:val="none" w:sz="0" w:space="0" w:color="auto"/>
        <w:right w:val="none" w:sz="0" w:space="0" w:color="auto"/>
      </w:divBdr>
    </w:div>
    <w:div w:id="1451850679">
      <w:bodyDiv w:val="1"/>
      <w:marLeft w:val="0"/>
      <w:marRight w:val="0"/>
      <w:marTop w:val="0"/>
      <w:marBottom w:val="0"/>
      <w:divBdr>
        <w:top w:val="none" w:sz="0" w:space="0" w:color="auto"/>
        <w:left w:val="none" w:sz="0" w:space="0" w:color="auto"/>
        <w:bottom w:val="none" w:sz="0" w:space="0" w:color="auto"/>
        <w:right w:val="none" w:sz="0" w:space="0" w:color="auto"/>
      </w:divBdr>
    </w:div>
    <w:div w:id="1452092650">
      <w:bodyDiv w:val="1"/>
      <w:marLeft w:val="0"/>
      <w:marRight w:val="0"/>
      <w:marTop w:val="0"/>
      <w:marBottom w:val="0"/>
      <w:divBdr>
        <w:top w:val="none" w:sz="0" w:space="0" w:color="auto"/>
        <w:left w:val="none" w:sz="0" w:space="0" w:color="auto"/>
        <w:bottom w:val="none" w:sz="0" w:space="0" w:color="auto"/>
        <w:right w:val="none" w:sz="0" w:space="0" w:color="auto"/>
      </w:divBdr>
    </w:div>
    <w:div w:id="1452554046">
      <w:bodyDiv w:val="1"/>
      <w:marLeft w:val="0"/>
      <w:marRight w:val="0"/>
      <w:marTop w:val="0"/>
      <w:marBottom w:val="0"/>
      <w:divBdr>
        <w:top w:val="none" w:sz="0" w:space="0" w:color="auto"/>
        <w:left w:val="none" w:sz="0" w:space="0" w:color="auto"/>
        <w:bottom w:val="none" w:sz="0" w:space="0" w:color="auto"/>
        <w:right w:val="none" w:sz="0" w:space="0" w:color="auto"/>
      </w:divBdr>
    </w:div>
    <w:div w:id="1452745187">
      <w:bodyDiv w:val="1"/>
      <w:marLeft w:val="0"/>
      <w:marRight w:val="0"/>
      <w:marTop w:val="0"/>
      <w:marBottom w:val="0"/>
      <w:divBdr>
        <w:top w:val="none" w:sz="0" w:space="0" w:color="auto"/>
        <w:left w:val="none" w:sz="0" w:space="0" w:color="auto"/>
        <w:bottom w:val="none" w:sz="0" w:space="0" w:color="auto"/>
        <w:right w:val="none" w:sz="0" w:space="0" w:color="auto"/>
      </w:divBdr>
    </w:div>
    <w:div w:id="1453136789">
      <w:bodyDiv w:val="1"/>
      <w:marLeft w:val="0"/>
      <w:marRight w:val="0"/>
      <w:marTop w:val="0"/>
      <w:marBottom w:val="0"/>
      <w:divBdr>
        <w:top w:val="none" w:sz="0" w:space="0" w:color="auto"/>
        <w:left w:val="none" w:sz="0" w:space="0" w:color="auto"/>
        <w:bottom w:val="none" w:sz="0" w:space="0" w:color="auto"/>
        <w:right w:val="none" w:sz="0" w:space="0" w:color="auto"/>
      </w:divBdr>
    </w:div>
    <w:div w:id="1453281286">
      <w:bodyDiv w:val="1"/>
      <w:marLeft w:val="0"/>
      <w:marRight w:val="0"/>
      <w:marTop w:val="0"/>
      <w:marBottom w:val="0"/>
      <w:divBdr>
        <w:top w:val="none" w:sz="0" w:space="0" w:color="auto"/>
        <w:left w:val="none" w:sz="0" w:space="0" w:color="auto"/>
        <w:bottom w:val="none" w:sz="0" w:space="0" w:color="auto"/>
        <w:right w:val="none" w:sz="0" w:space="0" w:color="auto"/>
      </w:divBdr>
    </w:div>
    <w:div w:id="1453402445">
      <w:bodyDiv w:val="1"/>
      <w:marLeft w:val="0"/>
      <w:marRight w:val="0"/>
      <w:marTop w:val="0"/>
      <w:marBottom w:val="0"/>
      <w:divBdr>
        <w:top w:val="none" w:sz="0" w:space="0" w:color="auto"/>
        <w:left w:val="none" w:sz="0" w:space="0" w:color="auto"/>
        <w:bottom w:val="none" w:sz="0" w:space="0" w:color="auto"/>
        <w:right w:val="none" w:sz="0" w:space="0" w:color="auto"/>
      </w:divBdr>
    </w:div>
    <w:div w:id="1453473711">
      <w:bodyDiv w:val="1"/>
      <w:marLeft w:val="0"/>
      <w:marRight w:val="0"/>
      <w:marTop w:val="0"/>
      <w:marBottom w:val="0"/>
      <w:divBdr>
        <w:top w:val="none" w:sz="0" w:space="0" w:color="auto"/>
        <w:left w:val="none" w:sz="0" w:space="0" w:color="auto"/>
        <w:bottom w:val="none" w:sz="0" w:space="0" w:color="auto"/>
        <w:right w:val="none" w:sz="0" w:space="0" w:color="auto"/>
      </w:divBdr>
    </w:div>
    <w:div w:id="1453479120">
      <w:bodyDiv w:val="1"/>
      <w:marLeft w:val="0"/>
      <w:marRight w:val="0"/>
      <w:marTop w:val="0"/>
      <w:marBottom w:val="0"/>
      <w:divBdr>
        <w:top w:val="none" w:sz="0" w:space="0" w:color="auto"/>
        <w:left w:val="none" w:sz="0" w:space="0" w:color="auto"/>
        <w:bottom w:val="none" w:sz="0" w:space="0" w:color="auto"/>
        <w:right w:val="none" w:sz="0" w:space="0" w:color="auto"/>
      </w:divBdr>
    </w:div>
    <w:div w:id="1453596853">
      <w:bodyDiv w:val="1"/>
      <w:marLeft w:val="0"/>
      <w:marRight w:val="0"/>
      <w:marTop w:val="0"/>
      <w:marBottom w:val="0"/>
      <w:divBdr>
        <w:top w:val="none" w:sz="0" w:space="0" w:color="auto"/>
        <w:left w:val="none" w:sz="0" w:space="0" w:color="auto"/>
        <w:bottom w:val="none" w:sz="0" w:space="0" w:color="auto"/>
        <w:right w:val="none" w:sz="0" w:space="0" w:color="auto"/>
      </w:divBdr>
    </w:div>
    <w:div w:id="1453746691">
      <w:bodyDiv w:val="1"/>
      <w:marLeft w:val="0"/>
      <w:marRight w:val="0"/>
      <w:marTop w:val="0"/>
      <w:marBottom w:val="0"/>
      <w:divBdr>
        <w:top w:val="none" w:sz="0" w:space="0" w:color="auto"/>
        <w:left w:val="none" w:sz="0" w:space="0" w:color="auto"/>
        <w:bottom w:val="none" w:sz="0" w:space="0" w:color="auto"/>
        <w:right w:val="none" w:sz="0" w:space="0" w:color="auto"/>
      </w:divBdr>
    </w:div>
    <w:div w:id="1454060706">
      <w:bodyDiv w:val="1"/>
      <w:marLeft w:val="0"/>
      <w:marRight w:val="0"/>
      <w:marTop w:val="0"/>
      <w:marBottom w:val="0"/>
      <w:divBdr>
        <w:top w:val="none" w:sz="0" w:space="0" w:color="auto"/>
        <w:left w:val="none" w:sz="0" w:space="0" w:color="auto"/>
        <w:bottom w:val="none" w:sz="0" w:space="0" w:color="auto"/>
        <w:right w:val="none" w:sz="0" w:space="0" w:color="auto"/>
      </w:divBdr>
    </w:div>
    <w:div w:id="1454204039">
      <w:bodyDiv w:val="1"/>
      <w:marLeft w:val="0"/>
      <w:marRight w:val="0"/>
      <w:marTop w:val="0"/>
      <w:marBottom w:val="0"/>
      <w:divBdr>
        <w:top w:val="none" w:sz="0" w:space="0" w:color="auto"/>
        <w:left w:val="none" w:sz="0" w:space="0" w:color="auto"/>
        <w:bottom w:val="none" w:sz="0" w:space="0" w:color="auto"/>
        <w:right w:val="none" w:sz="0" w:space="0" w:color="auto"/>
      </w:divBdr>
    </w:div>
    <w:div w:id="1454398880">
      <w:bodyDiv w:val="1"/>
      <w:marLeft w:val="0"/>
      <w:marRight w:val="0"/>
      <w:marTop w:val="0"/>
      <w:marBottom w:val="0"/>
      <w:divBdr>
        <w:top w:val="none" w:sz="0" w:space="0" w:color="auto"/>
        <w:left w:val="none" w:sz="0" w:space="0" w:color="auto"/>
        <w:bottom w:val="none" w:sz="0" w:space="0" w:color="auto"/>
        <w:right w:val="none" w:sz="0" w:space="0" w:color="auto"/>
      </w:divBdr>
    </w:div>
    <w:div w:id="1454517390">
      <w:bodyDiv w:val="1"/>
      <w:marLeft w:val="0"/>
      <w:marRight w:val="0"/>
      <w:marTop w:val="0"/>
      <w:marBottom w:val="0"/>
      <w:divBdr>
        <w:top w:val="none" w:sz="0" w:space="0" w:color="auto"/>
        <w:left w:val="none" w:sz="0" w:space="0" w:color="auto"/>
        <w:bottom w:val="none" w:sz="0" w:space="0" w:color="auto"/>
        <w:right w:val="none" w:sz="0" w:space="0" w:color="auto"/>
      </w:divBdr>
    </w:div>
    <w:div w:id="1454520689">
      <w:bodyDiv w:val="1"/>
      <w:marLeft w:val="0"/>
      <w:marRight w:val="0"/>
      <w:marTop w:val="0"/>
      <w:marBottom w:val="0"/>
      <w:divBdr>
        <w:top w:val="none" w:sz="0" w:space="0" w:color="auto"/>
        <w:left w:val="none" w:sz="0" w:space="0" w:color="auto"/>
        <w:bottom w:val="none" w:sz="0" w:space="0" w:color="auto"/>
        <w:right w:val="none" w:sz="0" w:space="0" w:color="auto"/>
      </w:divBdr>
    </w:div>
    <w:div w:id="1454786439">
      <w:bodyDiv w:val="1"/>
      <w:marLeft w:val="0"/>
      <w:marRight w:val="0"/>
      <w:marTop w:val="0"/>
      <w:marBottom w:val="0"/>
      <w:divBdr>
        <w:top w:val="none" w:sz="0" w:space="0" w:color="auto"/>
        <w:left w:val="none" w:sz="0" w:space="0" w:color="auto"/>
        <w:bottom w:val="none" w:sz="0" w:space="0" w:color="auto"/>
        <w:right w:val="none" w:sz="0" w:space="0" w:color="auto"/>
      </w:divBdr>
    </w:div>
    <w:div w:id="1455520992">
      <w:bodyDiv w:val="1"/>
      <w:marLeft w:val="0"/>
      <w:marRight w:val="0"/>
      <w:marTop w:val="0"/>
      <w:marBottom w:val="0"/>
      <w:divBdr>
        <w:top w:val="none" w:sz="0" w:space="0" w:color="auto"/>
        <w:left w:val="none" w:sz="0" w:space="0" w:color="auto"/>
        <w:bottom w:val="none" w:sz="0" w:space="0" w:color="auto"/>
        <w:right w:val="none" w:sz="0" w:space="0" w:color="auto"/>
      </w:divBdr>
    </w:div>
    <w:div w:id="1455831179">
      <w:bodyDiv w:val="1"/>
      <w:marLeft w:val="0"/>
      <w:marRight w:val="0"/>
      <w:marTop w:val="0"/>
      <w:marBottom w:val="0"/>
      <w:divBdr>
        <w:top w:val="none" w:sz="0" w:space="0" w:color="auto"/>
        <w:left w:val="none" w:sz="0" w:space="0" w:color="auto"/>
        <w:bottom w:val="none" w:sz="0" w:space="0" w:color="auto"/>
        <w:right w:val="none" w:sz="0" w:space="0" w:color="auto"/>
      </w:divBdr>
    </w:div>
    <w:div w:id="1456368049">
      <w:bodyDiv w:val="1"/>
      <w:marLeft w:val="0"/>
      <w:marRight w:val="0"/>
      <w:marTop w:val="0"/>
      <w:marBottom w:val="0"/>
      <w:divBdr>
        <w:top w:val="none" w:sz="0" w:space="0" w:color="auto"/>
        <w:left w:val="none" w:sz="0" w:space="0" w:color="auto"/>
        <w:bottom w:val="none" w:sz="0" w:space="0" w:color="auto"/>
        <w:right w:val="none" w:sz="0" w:space="0" w:color="auto"/>
      </w:divBdr>
    </w:div>
    <w:div w:id="1456368139">
      <w:bodyDiv w:val="1"/>
      <w:marLeft w:val="0"/>
      <w:marRight w:val="0"/>
      <w:marTop w:val="0"/>
      <w:marBottom w:val="0"/>
      <w:divBdr>
        <w:top w:val="none" w:sz="0" w:space="0" w:color="auto"/>
        <w:left w:val="none" w:sz="0" w:space="0" w:color="auto"/>
        <w:bottom w:val="none" w:sz="0" w:space="0" w:color="auto"/>
        <w:right w:val="none" w:sz="0" w:space="0" w:color="auto"/>
      </w:divBdr>
    </w:div>
    <w:div w:id="1456413547">
      <w:bodyDiv w:val="1"/>
      <w:marLeft w:val="0"/>
      <w:marRight w:val="0"/>
      <w:marTop w:val="0"/>
      <w:marBottom w:val="0"/>
      <w:divBdr>
        <w:top w:val="none" w:sz="0" w:space="0" w:color="auto"/>
        <w:left w:val="none" w:sz="0" w:space="0" w:color="auto"/>
        <w:bottom w:val="none" w:sz="0" w:space="0" w:color="auto"/>
        <w:right w:val="none" w:sz="0" w:space="0" w:color="auto"/>
      </w:divBdr>
    </w:div>
    <w:div w:id="1456562557">
      <w:bodyDiv w:val="1"/>
      <w:marLeft w:val="0"/>
      <w:marRight w:val="0"/>
      <w:marTop w:val="0"/>
      <w:marBottom w:val="0"/>
      <w:divBdr>
        <w:top w:val="none" w:sz="0" w:space="0" w:color="auto"/>
        <w:left w:val="none" w:sz="0" w:space="0" w:color="auto"/>
        <w:bottom w:val="none" w:sz="0" w:space="0" w:color="auto"/>
        <w:right w:val="none" w:sz="0" w:space="0" w:color="auto"/>
      </w:divBdr>
    </w:div>
    <w:div w:id="1456607441">
      <w:bodyDiv w:val="1"/>
      <w:marLeft w:val="0"/>
      <w:marRight w:val="0"/>
      <w:marTop w:val="0"/>
      <w:marBottom w:val="0"/>
      <w:divBdr>
        <w:top w:val="none" w:sz="0" w:space="0" w:color="auto"/>
        <w:left w:val="none" w:sz="0" w:space="0" w:color="auto"/>
        <w:bottom w:val="none" w:sz="0" w:space="0" w:color="auto"/>
        <w:right w:val="none" w:sz="0" w:space="0" w:color="auto"/>
      </w:divBdr>
    </w:div>
    <w:div w:id="1457068751">
      <w:bodyDiv w:val="1"/>
      <w:marLeft w:val="0"/>
      <w:marRight w:val="0"/>
      <w:marTop w:val="0"/>
      <w:marBottom w:val="0"/>
      <w:divBdr>
        <w:top w:val="none" w:sz="0" w:space="0" w:color="auto"/>
        <w:left w:val="none" w:sz="0" w:space="0" w:color="auto"/>
        <w:bottom w:val="none" w:sz="0" w:space="0" w:color="auto"/>
        <w:right w:val="none" w:sz="0" w:space="0" w:color="auto"/>
      </w:divBdr>
    </w:div>
    <w:div w:id="1457332764">
      <w:bodyDiv w:val="1"/>
      <w:marLeft w:val="0"/>
      <w:marRight w:val="0"/>
      <w:marTop w:val="0"/>
      <w:marBottom w:val="0"/>
      <w:divBdr>
        <w:top w:val="none" w:sz="0" w:space="0" w:color="auto"/>
        <w:left w:val="none" w:sz="0" w:space="0" w:color="auto"/>
        <w:bottom w:val="none" w:sz="0" w:space="0" w:color="auto"/>
        <w:right w:val="none" w:sz="0" w:space="0" w:color="auto"/>
      </w:divBdr>
    </w:div>
    <w:div w:id="1457455615">
      <w:bodyDiv w:val="1"/>
      <w:marLeft w:val="0"/>
      <w:marRight w:val="0"/>
      <w:marTop w:val="0"/>
      <w:marBottom w:val="0"/>
      <w:divBdr>
        <w:top w:val="none" w:sz="0" w:space="0" w:color="auto"/>
        <w:left w:val="none" w:sz="0" w:space="0" w:color="auto"/>
        <w:bottom w:val="none" w:sz="0" w:space="0" w:color="auto"/>
        <w:right w:val="none" w:sz="0" w:space="0" w:color="auto"/>
      </w:divBdr>
    </w:div>
    <w:div w:id="1457524103">
      <w:bodyDiv w:val="1"/>
      <w:marLeft w:val="0"/>
      <w:marRight w:val="0"/>
      <w:marTop w:val="0"/>
      <w:marBottom w:val="0"/>
      <w:divBdr>
        <w:top w:val="none" w:sz="0" w:space="0" w:color="auto"/>
        <w:left w:val="none" w:sz="0" w:space="0" w:color="auto"/>
        <w:bottom w:val="none" w:sz="0" w:space="0" w:color="auto"/>
        <w:right w:val="none" w:sz="0" w:space="0" w:color="auto"/>
      </w:divBdr>
    </w:div>
    <w:div w:id="1457749243">
      <w:bodyDiv w:val="1"/>
      <w:marLeft w:val="0"/>
      <w:marRight w:val="0"/>
      <w:marTop w:val="0"/>
      <w:marBottom w:val="0"/>
      <w:divBdr>
        <w:top w:val="none" w:sz="0" w:space="0" w:color="auto"/>
        <w:left w:val="none" w:sz="0" w:space="0" w:color="auto"/>
        <w:bottom w:val="none" w:sz="0" w:space="0" w:color="auto"/>
        <w:right w:val="none" w:sz="0" w:space="0" w:color="auto"/>
      </w:divBdr>
    </w:div>
    <w:div w:id="1458140196">
      <w:bodyDiv w:val="1"/>
      <w:marLeft w:val="0"/>
      <w:marRight w:val="0"/>
      <w:marTop w:val="0"/>
      <w:marBottom w:val="0"/>
      <w:divBdr>
        <w:top w:val="none" w:sz="0" w:space="0" w:color="auto"/>
        <w:left w:val="none" w:sz="0" w:space="0" w:color="auto"/>
        <w:bottom w:val="none" w:sz="0" w:space="0" w:color="auto"/>
        <w:right w:val="none" w:sz="0" w:space="0" w:color="auto"/>
      </w:divBdr>
    </w:div>
    <w:div w:id="1458404571">
      <w:bodyDiv w:val="1"/>
      <w:marLeft w:val="0"/>
      <w:marRight w:val="0"/>
      <w:marTop w:val="0"/>
      <w:marBottom w:val="0"/>
      <w:divBdr>
        <w:top w:val="none" w:sz="0" w:space="0" w:color="auto"/>
        <w:left w:val="none" w:sz="0" w:space="0" w:color="auto"/>
        <w:bottom w:val="none" w:sz="0" w:space="0" w:color="auto"/>
        <w:right w:val="none" w:sz="0" w:space="0" w:color="auto"/>
      </w:divBdr>
    </w:div>
    <w:div w:id="1458447706">
      <w:bodyDiv w:val="1"/>
      <w:marLeft w:val="0"/>
      <w:marRight w:val="0"/>
      <w:marTop w:val="0"/>
      <w:marBottom w:val="0"/>
      <w:divBdr>
        <w:top w:val="none" w:sz="0" w:space="0" w:color="auto"/>
        <w:left w:val="none" w:sz="0" w:space="0" w:color="auto"/>
        <w:bottom w:val="none" w:sz="0" w:space="0" w:color="auto"/>
        <w:right w:val="none" w:sz="0" w:space="0" w:color="auto"/>
      </w:divBdr>
    </w:div>
    <w:div w:id="1458449995">
      <w:bodyDiv w:val="1"/>
      <w:marLeft w:val="0"/>
      <w:marRight w:val="0"/>
      <w:marTop w:val="0"/>
      <w:marBottom w:val="0"/>
      <w:divBdr>
        <w:top w:val="none" w:sz="0" w:space="0" w:color="auto"/>
        <w:left w:val="none" w:sz="0" w:space="0" w:color="auto"/>
        <w:bottom w:val="none" w:sz="0" w:space="0" w:color="auto"/>
        <w:right w:val="none" w:sz="0" w:space="0" w:color="auto"/>
      </w:divBdr>
    </w:div>
    <w:div w:id="1458529935">
      <w:bodyDiv w:val="1"/>
      <w:marLeft w:val="0"/>
      <w:marRight w:val="0"/>
      <w:marTop w:val="0"/>
      <w:marBottom w:val="0"/>
      <w:divBdr>
        <w:top w:val="none" w:sz="0" w:space="0" w:color="auto"/>
        <w:left w:val="none" w:sz="0" w:space="0" w:color="auto"/>
        <w:bottom w:val="none" w:sz="0" w:space="0" w:color="auto"/>
        <w:right w:val="none" w:sz="0" w:space="0" w:color="auto"/>
      </w:divBdr>
    </w:div>
    <w:div w:id="1458909853">
      <w:bodyDiv w:val="1"/>
      <w:marLeft w:val="0"/>
      <w:marRight w:val="0"/>
      <w:marTop w:val="0"/>
      <w:marBottom w:val="0"/>
      <w:divBdr>
        <w:top w:val="none" w:sz="0" w:space="0" w:color="auto"/>
        <w:left w:val="none" w:sz="0" w:space="0" w:color="auto"/>
        <w:bottom w:val="none" w:sz="0" w:space="0" w:color="auto"/>
        <w:right w:val="none" w:sz="0" w:space="0" w:color="auto"/>
      </w:divBdr>
    </w:div>
    <w:div w:id="1458910230">
      <w:bodyDiv w:val="1"/>
      <w:marLeft w:val="0"/>
      <w:marRight w:val="0"/>
      <w:marTop w:val="0"/>
      <w:marBottom w:val="0"/>
      <w:divBdr>
        <w:top w:val="none" w:sz="0" w:space="0" w:color="auto"/>
        <w:left w:val="none" w:sz="0" w:space="0" w:color="auto"/>
        <w:bottom w:val="none" w:sz="0" w:space="0" w:color="auto"/>
        <w:right w:val="none" w:sz="0" w:space="0" w:color="auto"/>
      </w:divBdr>
    </w:div>
    <w:div w:id="1458916040">
      <w:bodyDiv w:val="1"/>
      <w:marLeft w:val="0"/>
      <w:marRight w:val="0"/>
      <w:marTop w:val="0"/>
      <w:marBottom w:val="0"/>
      <w:divBdr>
        <w:top w:val="none" w:sz="0" w:space="0" w:color="auto"/>
        <w:left w:val="none" w:sz="0" w:space="0" w:color="auto"/>
        <w:bottom w:val="none" w:sz="0" w:space="0" w:color="auto"/>
        <w:right w:val="none" w:sz="0" w:space="0" w:color="auto"/>
      </w:divBdr>
    </w:div>
    <w:div w:id="1459452336">
      <w:bodyDiv w:val="1"/>
      <w:marLeft w:val="0"/>
      <w:marRight w:val="0"/>
      <w:marTop w:val="0"/>
      <w:marBottom w:val="0"/>
      <w:divBdr>
        <w:top w:val="none" w:sz="0" w:space="0" w:color="auto"/>
        <w:left w:val="none" w:sz="0" w:space="0" w:color="auto"/>
        <w:bottom w:val="none" w:sz="0" w:space="0" w:color="auto"/>
        <w:right w:val="none" w:sz="0" w:space="0" w:color="auto"/>
      </w:divBdr>
    </w:div>
    <w:div w:id="1459496132">
      <w:bodyDiv w:val="1"/>
      <w:marLeft w:val="0"/>
      <w:marRight w:val="0"/>
      <w:marTop w:val="0"/>
      <w:marBottom w:val="0"/>
      <w:divBdr>
        <w:top w:val="none" w:sz="0" w:space="0" w:color="auto"/>
        <w:left w:val="none" w:sz="0" w:space="0" w:color="auto"/>
        <w:bottom w:val="none" w:sz="0" w:space="0" w:color="auto"/>
        <w:right w:val="none" w:sz="0" w:space="0" w:color="auto"/>
      </w:divBdr>
    </w:div>
    <w:div w:id="1459564518">
      <w:bodyDiv w:val="1"/>
      <w:marLeft w:val="0"/>
      <w:marRight w:val="0"/>
      <w:marTop w:val="0"/>
      <w:marBottom w:val="0"/>
      <w:divBdr>
        <w:top w:val="none" w:sz="0" w:space="0" w:color="auto"/>
        <w:left w:val="none" w:sz="0" w:space="0" w:color="auto"/>
        <w:bottom w:val="none" w:sz="0" w:space="0" w:color="auto"/>
        <w:right w:val="none" w:sz="0" w:space="0" w:color="auto"/>
      </w:divBdr>
    </w:div>
    <w:div w:id="1459644626">
      <w:bodyDiv w:val="1"/>
      <w:marLeft w:val="0"/>
      <w:marRight w:val="0"/>
      <w:marTop w:val="0"/>
      <w:marBottom w:val="0"/>
      <w:divBdr>
        <w:top w:val="none" w:sz="0" w:space="0" w:color="auto"/>
        <w:left w:val="none" w:sz="0" w:space="0" w:color="auto"/>
        <w:bottom w:val="none" w:sz="0" w:space="0" w:color="auto"/>
        <w:right w:val="none" w:sz="0" w:space="0" w:color="auto"/>
      </w:divBdr>
    </w:div>
    <w:div w:id="1459838539">
      <w:bodyDiv w:val="1"/>
      <w:marLeft w:val="0"/>
      <w:marRight w:val="0"/>
      <w:marTop w:val="0"/>
      <w:marBottom w:val="0"/>
      <w:divBdr>
        <w:top w:val="none" w:sz="0" w:space="0" w:color="auto"/>
        <w:left w:val="none" w:sz="0" w:space="0" w:color="auto"/>
        <w:bottom w:val="none" w:sz="0" w:space="0" w:color="auto"/>
        <w:right w:val="none" w:sz="0" w:space="0" w:color="auto"/>
      </w:divBdr>
    </w:div>
    <w:div w:id="1460489245">
      <w:bodyDiv w:val="1"/>
      <w:marLeft w:val="0"/>
      <w:marRight w:val="0"/>
      <w:marTop w:val="0"/>
      <w:marBottom w:val="0"/>
      <w:divBdr>
        <w:top w:val="none" w:sz="0" w:space="0" w:color="auto"/>
        <w:left w:val="none" w:sz="0" w:space="0" w:color="auto"/>
        <w:bottom w:val="none" w:sz="0" w:space="0" w:color="auto"/>
        <w:right w:val="none" w:sz="0" w:space="0" w:color="auto"/>
      </w:divBdr>
    </w:div>
    <w:div w:id="1460536782">
      <w:bodyDiv w:val="1"/>
      <w:marLeft w:val="0"/>
      <w:marRight w:val="0"/>
      <w:marTop w:val="0"/>
      <w:marBottom w:val="0"/>
      <w:divBdr>
        <w:top w:val="none" w:sz="0" w:space="0" w:color="auto"/>
        <w:left w:val="none" w:sz="0" w:space="0" w:color="auto"/>
        <w:bottom w:val="none" w:sz="0" w:space="0" w:color="auto"/>
        <w:right w:val="none" w:sz="0" w:space="0" w:color="auto"/>
      </w:divBdr>
    </w:div>
    <w:div w:id="1460536860">
      <w:bodyDiv w:val="1"/>
      <w:marLeft w:val="0"/>
      <w:marRight w:val="0"/>
      <w:marTop w:val="0"/>
      <w:marBottom w:val="0"/>
      <w:divBdr>
        <w:top w:val="none" w:sz="0" w:space="0" w:color="auto"/>
        <w:left w:val="none" w:sz="0" w:space="0" w:color="auto"/>
        <w:bottom w:val="none" w:sz="0" w:space="0" w:color="auto"/>
        <w:right w:val="none" w:sz="0" w:space="0" w:color="auto"/>
      </w:divBdr>
    </w:div>
    <w:div w:id="1460954179">
      <w:bodyDiv w:val="1"/>
      <w:marLeft w:val="0"/>
      <w:marRight w:val="0"/>
      <w:marTop w:val="0"/>
      <w:marBottom w:val="0"/>
      <w:divBdr>
        <w:top w:val="none" w:sz="0" w:space="0" w:color="auto"/>
        <w:left w:val="none" w:sz="0" w:space="0" w:color="auto"/>
        <w:bottom w:val="none" w:sz="0" w:space="0" w:color="auto"/>
        <w:right w:val="none" w:sz="0" w:space="0" w:color="auto"/>
      </w:divBdr>
    </w:div>
    <w:div w:id="1461722749">
      <w:bodyDiv w:val="1"/>
      <w:marLeft w:val="0"/>
      <w:marRight w:val="0"/>
      <w:marTop w:val="0"/>
      <w:marBottom w:val="0"/>
      <w:divBdr>
        <w:top w:val="none" w:sz="0" w:space="0" w:color="auto"/>
        <w:left w:val="none" w:sz="0" w:space="0" w:color="auto"/>
        <w:bottom w:val="none" w:sz="0" w:space="0" w:color="auto"/>
        <w:right w:val="none" w:sz="0" w:space="0" w:color="auto"/>
      </w:divBdr>
    </w:div>
    <w:div w:id="1461799914">
      <w:bodyDiv w:val="1"/>
      <w:marLeft w:val="0"/>
      <w:marRight w:val="0"/>
      <w:marTop w:val="0"/>
      <w:marBottom w:val="0"/>
      <w:divBdr>
        <w:top w:val="none" w:sz="0" w:space="0" w:color="auto"/>
        <w:left w:val="none" w:sz="0" w:space="0" w:color="auto"/>
        <w:bottom w:val="none" w:sz="0" w:space="0" w:color="auto"/>
        <w:right w:val="none" w:sz="0" w:space="0" w:color="auto"/>
      </w:divBdr>
    </w:div>
    <w:div w:id="1461992008">
      <w:bodyDiv w:val="1"/>
      <w:marLeft w:val="0"/>
      <w:marRight w:val="0"/>
      <w:marTop w:val="0"/>
      <w:marBottom w:val="0"/>
      <w:divBdr>
        <w:top w:val="none" w:sz="0" w:space="0" w:color="auto"/>
        <w:left w:val="none" w:sz="0" w:space="0" w:color="auto"/>
        <w:bottom w:val="none" w:sz="0" w:space="0" w:color="auto"/>
        <w:right w:val="none" w:sz="0" w:space="0" w:color="auto"/>
      </w:divBdr>
    </w:div>
    <w:div w:id="1462728894">
      <w:bodyDiv w:val="1"/>
      <w:marLeft w:val="0"/>
      <w:marRight w:val="0"/>
      <w:marTop w:val="0"/>
      <w:marBottom w:val="0"/>
      <w:divBdr>
        <w:top w:val="none" w:sz="0" w:space="0" w:color="auto"/>
        <w:left w:val="none" w:sz="0" w:space="0" w:color="auto"/>
        <w:bottom w:val="none" w:sz="0" w:space="0" w:color="auto"/>
        <w:right w:val="none" w:sz="0" w:space="0" w:color="auto"/>
      </w:divBdr>
    </w:div>
    <w:div w:id="1463158646">
      <w:bodyDiv w:val="1"/>
      <w:marLeft w:val="0"/>
      <w:marRight w:val="0"/>
      <w:marTop w:val="0"/>
      <w:marBottom w:val="0"/>
      <w:divBdr>
        <w:top w:val="none" w:sz="0" w:space="0" w:color="auto"/>
        <w:left w:val="none" w:sz="0" w:space="0" w:color="auto"/>
        <w:bottom w:val="none" w:sz="0" w:space="0" w:color="auto"/>
        <w:right w:val="none" w:sz="0" w:space="0" w:color="auto"/>
      </w:divBdr>
    </w:div>
    <w:div w:id="1463304937">
      <w:bodyDiv w:val="1"/>
      <w:marLeft w:val="0"/>
      <w:marRight w:val="0"/>
      <w:marTop w:val="0"/>
      <w:marBottom w:val="0"/>
      <w:divBdr>
        <w:top w:val="none" w:sz="0" w:space="0" w:color="auto"/>
        <w:left w:val="none" w:sz="0" w:space="0" w:color="auto"/>
        <w:bottom w:val="none" w:sz="0" w:space="0" w:color="auto"/>
        <w:right w:val="none" w:sz="0" w:space="0" w:color="auto"/>
      </w:divBdr>
    </w:div>
    <w:div w:id="1463422188">
      <w:bodyDiv w:val="1"/>
      <w:marLeft w:val="0"/>
      <w:marRight w:val="0"/>
      <w:marTop w:val="0"/>
      <w:marBottom w:val="0"/>
      <w:divBdr>
        <w:top w:val="none" w:sz="0" w:space="0" w:color="auto"/>
        <w:left w:val="none" w:sz="0" w:space="0" w:color="auto"/>
        <w:bottom w:val="none" w:sz="0" w:space="0" w:color="auto"/>
        <w:right w:val="none" w:sz="0" w:space="0" w:color="auto"/>
      </w:divBdr>
    </w:div>
    <w:div w:id="1463695039">
      <w:bodyDiv w:val="1"/>
      <w:marLeft w:val="0"/>
      <w:marRight w:val="0"/>
      <w:marTop w:val="0"/>
      <w:marBottom w:val="0"/>
      <w:divBdr>
        <w:top w:val="none" w:sz="0" w:space="0" w:color="auto"/>
        <w:left w:val="none" w:sz="0" w:space="0" w:color="auto"/>
        <w:bottom w:val="none" w:sz="0" w:space="0" w:color="auto"/>
        <w:right w:val="none" w:sz="0" w:space="0" w:color="auto"/>
      </w:divBdr>
    </w:div>
    <w:div w:id="1464693573">
      <w:bodyDiv w:val="1"/>
      <w:marLeft w:val="0"/>
      <w:marRight w:val="0"/>
      <w:marTop w:val="0"/>
      <w:marBottom w:val="0"/>
      <w:divBdr>
        <w:top w:val="none" w:sz="0" w:space="0" w:color="auto"/>
        <w:left w:val="none" w:sz="0" w:space="0" w:color="auto"/>
        <w:bottom w:val="none" w:sz="0" w:space="0" w:color="auto"/>
        <w:right w:val="none" w:sz="0" w:space="0" w:color="auto"/>
      </w:divBdr>
    </w:div>
    <w:div w:id="1464733451">
      <w:bodyDiv w:val="1"/>
      <w:marLeft w:val="0"/>
      <w:marRight w:val="0"/>
      <w:marTop w:val="0"/>
      <w:marBottom w:val="0"/>
      <w:divBdr>
        <w:top w:val="none" w:sz="0" w:space="0" w:color="auto"/>
        <w:left w:val="none" w:sz="0" w:space="0" w:color="auto"/>
        <w:bottom w:val="none" w:sz="0" w:space="0" w:color="auto"/>
        <w:right w:val="none" w:sz="0" w:space="0" w:color="auto"/>
      </w:divBdr>
    </w:div>
    <w:div w:id="1464736894">
      <w:bodyDiv w:val="1"/>
      <w:marLeft w:val="0"/>
      <w:marRight w:val="0"/>
      <w:marTop w:val="0"/>
      <w:marBottom w:val="0"/>
      <w:divBdr>
        <w:top w:val="none" w:sz="0" w:space="0" w:color="auto"/>
        <w:left w:val="none" w:sz="0" w:space="0" w:color="auto"/>
        <w:bottom w:val="none" w:sz="0" w:space="0" w:color="auto"/>
        <w:right w:val="none" w:sz="0" w:space="0" w:color="auto"/>
      </w:divBdr>
    </w:div>
    <w:div w:id="1465394247">
      <w:bodyDiv w:val="1"/>
      <w:marLeft w:val="0"/>
      <w:marRight w:val="0"/>
      <w:marTop w:val="0"/>
      <w:marBottom w:val="0"/>
      <w:divBdr>
        <w:top w:val="none" w:sz="0" w:space="0" w:color="auto"/>
        <w:left w:val="none" w:sz="0" w:space="0" w:color="auto"/>
        <w:bottom w:val="none" w:sz="0" w:space="0" w:color="auto"/>
        <w:right w:val="none" w:sz="0" w:space="0" w:color="auto"/>
      </w:divBdr>
    </w:div>
    <w:div w:id="1465539328">
      <w:bodyDiv w:val="1"/>
      <w:marLeft w:val="0"/>
      <w:marRight w:val="0"/>
      <w:marTop w:val="0"/>
      <w:marBottom w:val="0"/>
      <w:divBdr>
        <w:top w:val="none" w:sz="0" w:space="0" w:color="auto"/>
        <w:left w:val="none" w:sz="0" w:space="0" w:color="auto"/>
        <w:bottom w:val="none" w:sz="0" w:space="0" w:color="auto"/>
        <w:right w:val="none" w:sz="0" w:space="0" w:color="auto"/>
      </w:divBdr>
    </w:div>
    <w:div w:id="1465541236">
      <w:bodyDiv w:val="1"/>
      <w:marLeft w:val="0"/>
      <w:marRight w:val="0"/>
      <w:marTop w:val="0"/>
      <w:marBottom w:val="0"/>
      <w:divBdr>
        <w:top w:val="none" w:sz="0" w:space="0" w:color="auto"/>
        <w:left w:val="none" w:sz="0" w:space="0" w:color="auto"/>
        <w:bottom w:val="none" w:sz="0" w:space="0" w:color="auto"/>
        <w:right w:val="none" w:sz="0" w:space="0" w:color="auto"/>
      </w:divBdr>
    </w:div>
    <w:div w:id="1465734843">
      <w:bodyDiv w:val="1"/>
      <w:marLeft w:val="0"/>
      <w:marRight w:val="0"/>
      <w:marTop w:val="0"/>
      <w:marBottom w:val="0"/>
      <w:divBdr>
        <w:top w:val="none" w:sz="0" w:space="0" w:color="auto"/>
        <w:left w:val="none" w:sz="0" w:space="0" w:color="auto"/>
        <w:bottom w:val="none" w:sz="0" w:space="0" w:color="auto"/>
        <w:right w:val="none" w:sz="0" w:space="0" w:color="auto"/>
      </w:divBdr>
    </w:div>
    <w:div w:id="1465848945">
      <w:bodyDiv w:val="1"/>
      <w:marLeft w:val="0"/>
      <w:marRight w:val="0"/>
      <w:marTop w:val="0"/>
      <w:marBottom w:val="0"/>
      <w:divBdr>
        <w:top w:val="none" w:sz="0" w:space="0" w:color="auto"/>
        <w:left w:val="none" w:sz="0" w:space="0" w:color="auto"/>
        <w:bottom w:val="none" w:sz="0" w:space="0" w:color="auto"/>
        <w:right w:val="none" w:sz="0" w:space="0" w:color="auto"/>
      </w:divBdr>
    </w:div>
    <w:div w:id="1465926103">
      <w:bodyDiv w:val="1"/>
      <w:marLeft w:val="0"/>
      <w:marRight w:val="0"/>
      <w:marTop w:val="0"/>
      <w:marBottom w:val="0"/>
      <w:divBdr>
        <w:top w:val="none" w:sz="0" w:space="0" w:color="auto"/>
        <w:left w:val="none" w:sz="0" w:space="0" w:color="auto"/>
        <w:bottom w:val="none" w:sz="0" w:space="0" w:color="auto"/>
        <w:right w:val="none" w:sz="0" w:space="0" w:color="auto"/>
      </w:divBdr>
    </w:div>
    <w:div w:id="1466005161">
      <w:bodyDiv w:val="1"/>
      <w:marLeft w:val="0"/>
      <w:marRight w:val="0"/>
      <w:marTop w:val="0"/>
      <w:marBottom w:val="0"/>
      <w:divBdr>
        <w:top w:val="none" w:sz="0" w:space="0" w:color="auto"/>
        <w:left w:val="none" w:sz="0" w:space="0" w:color="auto"/>
        <w:bottom w:val="none" w:sz="0" w:space="0" w:color="auto"/>
        <w:right w:val="none" w:sz="0" w:space="0" w:color="auto"/>
      </w:divBdr>
    </w:div>
    <w:div w:id="1466461748">
      <w:bodyDiv w:val="1"/>
      <w:marLeft w:val="0"/>
      <w:marRight w:val="0"/>
      <w:marTop w:val="0"/>
      <w:marBottom w:val="0"/>
      <w:divBdr>
        <w:top w:val="none" w:sz="0" w:space="0" w:color="auto"/>
        <w:left w:val="none" w:sz="0" w:space="0" w:color="auto"/>
        <w:bottom w:val="none" w:sz="0" w:space="0" w:color="auto"/>
        <w:right w:val="none" w:sz="0" w:space="0" w:color="auto"/>
      </w:divBdr>
    </w:div>
    <w:div w:id="1466462774">
      <w:bodyDiv w:val="1"/>
      <w:marLeft w:val="0"/>
      <w:marRight w:val="0"/>
      <w:marTop w:val="0"/>
      <w:marBottom w:val="0"/>
      <w:divBdr>
        <w:top w:val="none" w:sz="0" w:space="0" w:color="auto"/>
        <w:left w:val="none" w:sz="0" w:space="0" w:color="auto"/>
        <w:bottom w:val="none" w:sz="0" w:space="0" w:color="auto"/>
        <w:right w:val="none" w:sz="0" w:space="0" w:color="auto"/>
      </w:divBdr>
    </w:div>
    <w:div w:id="1466507519">
      <w:bodyDiv w:val="1"/>
      <w:marLeft w:val="0"/>
      <w:marRight w:val="0"/>
      <w:marTop w:val="0"/>
      <w:marBottom w:val="0"/>
      <w:divBdr>
        <w:top w:val="none" w:sz="0" w:space="0" w:color="auto"/>
        <w:left w:val="none" w:sz="0" w:space="0" w:color="auto"/>
        <w:bottom w:val="none" w:sz="0" w:space="0" w:color="auto"/>
        <w:right w:val="none" w:sz="0" w:space="0" w:color="auto"/>
      </w:divBdr>
    </w:div>
    <w:div w:id="1466655448">
      <w:bodyDiv w:val="1"/>
      <w:marLeft w:val="0"/>
      <w:marRight w:val="0"/>
      <w:marTop w:val="0"/>
      <w:marBottom w:val="0"/>
      <w:divBdr>
        <w:top w:val="none" w:sz="0" w:space="0" w:color="auto"/>
        <w:left w:val="none" w:sz="0" w:space="0" w:color="auto"/>
        <w:bottom w:val="none" w:sz="0" w:space="0" w:color="auto"/>
        <w:right w:val="none" w:sz="0" w:space="0" w:color="auto"/>
      </w:divBdr>
    </w:div>
    <w:div w:id="1466893151">
      <w:bodyDiv w:val="1"/>
      <w:marLeft w:val="0"/>
      <w:marRight w:val="0"/>
      <w:marTop w:val="0"/>
      <w:marBottom w:val="0"/>
      <w:divBdr>
        <w:top w:val="none" w:sz="0" w:space="0" w:color="auto"/>
        <w:left w:val="none" w:sz="0" w:space="0" w:color="auto"/>
        <w:bottom w:val="none" w:sz="0" w:space="0" w:color="auto"/>
        <w:right w:val="none" w:sz="0" w:space="0" w:color="auto"/>
      </w:divBdr>
    </w:div>
    <w:div w:id="1467043580">
      <w:bodyDiv w:val="1"/>
      <w:marLeft w:val="0"/>
      <w:marRight w:val="0"/>
      <w:marTop w:val="0"/>
      <w:marBottom w:val="0"/>
      <w:divBdr>
        <w:top w:val="none" w:sz="0" w:space="0" w:color="auto"/>
        <w:left w:val="none" w:sz="0" w:space="0" w:color="auto"/>
        <w:bottom w:val="none" w:sz="0" w:space="0" w:color="auto"/>
        <w:right w:val="none" w:sz="0" w:space="0" w:color="auto"/>
      </w:divBdr>
    </w:div>
    <w:div w:id="1467120848">
      <w:bodyDiv w:val="1"/>
      <w:marLeft w:val="0"/>
      <w:marRight w:val="0"/>
      <w:marTop w:val="0"/>
      <w:marBottom w:val="0"/>
      <w:divBdr>
        <w:top w:val="none" w:sz="0" w:space="0" w:color="auto"/>
        <w:left w:val="none" w:sz="0" w:space="0" w:color="auto"/>
        <w:bottom w:val="none" w:sz="0" w:space="0" w:color="auto"/>
        <w:right w:val="none" w:sz="0" w:space="0" w:color="auto"/>
      </w:divBdr>
    </w:div>
    <w:div w:id="1467158777">
      <w:bodyDiv w:val="1"/>
      <w:marLeft w:val="0"/>
      <w:marRight w:val="0"/>
      <w:marTop w:val="0"/>
      <w:marBottom w:val="0"/>
      <w:divBdr>
        <w:top w:val="none" w:sz="0" w:space="0" w:color="auto"/>
        <w:left w:val="none" w:sz="0" w:space="0" w:color="auto"/>
        <w:bottom w:val="none" w:sz="0" w:space="0" w:color="auto"/>
        <w:right w:val="none" w:sz="0" w:space="0" w:color="auto"/>
      </w:divBdr>
    </w:div>
    <w:div w:id="1467160080">
      <w:bodyDiv w:val="1"/>
      <w:marLeft w:val="0"/>
      <w:marRight w:val="0"/>
      <w:marTop w:val="0"/>
      <w:marBottom w:val="0"/>
      <w:divBdr>
        <w:top w:val="none" w:sz="0" w:space="0" w:color="auto"/>
        <w:left w:val="none" w:sz="0" w:space="0" w:color="auto"/>
        <w:bottom w:val="none" w:sz="0" w:space="0" w:color="auto"/>
        <w:right w:val="none" w:sz="0" w:space="0" w:color="auto"/>
      </w:divBdr>
    </w:div>
    <w:div w:id="1467240014">
      <w:bodyDiv w:val="1"/>
      <w:marLeft w:val="0"/>
      <w:marRight w:val="0"/>
      <w:marTop w:val="0"/>
      <w:marBottom w:val="0"/>
      <w:divBdr>
        <w:top w:val="none" w:sz="0" w:space="0" w:color="auto"/>
        <w:left w:val="none" w:sz="0" w:space="0" w:color="auto"/>
        <w:bottom w:val="none" w:sz="0" w:space="0" w:color="auto"/>
        <w:right w:val="none" w:sz="0" w:space="0" w:color="auto"/>
      </w:divBdr>
    </w:div>
    <w:div w:id="1467432016">
      <w:bodyDiv w:val="1"/>
      <w:marLeft w:val="0"/>
      <w:marRight w:val="0"/>
      <w:marTop w:val="0"/>
      <w:marBottom w:val="0"/>
      <w:divBdr>
        <w:top w:val="none" w:sz="0" w:space="0" w:color="auto"/>
        <w:left w:val="none" w:sz="0" w:space="0" w:color="auto"/>
        <w:bottom w:val="none" w:sz="0" w:space="0" w:color="auto"/>
        <w:right w:val="none" w:sz="0" w:space="0" w:color="auto"/>
      </w:divBdr>
    </w:div>
    <w:div w:id="1467622831">
      <w:bodyDiv w:val="1"/>
      <w:marLeft w:val="0"/>
      <w:marRight w:val="0"/>
      <w:marTop w:val="0"/>
      <w:marBottom w:val="0"/>
      <w:divBdr>
        <w:top w:val="none" w:sz="0" w:space="0" w:color="auto"/>
        <w:left w:val="none" w:sz="0" w:space="0" w:color="auto"/>
        <w:bottom w:val="none" w:sz="0" w:space="0" w:color="auto"/>
        <w:right w:val="none" w:sz="0" w:space="0" w:color="auto"/>
      </w:divBdr>
    </w:div>
    <w:div w:id="1467627651">
      <w:bodyDiv w:val="1"/>
      <w:marLeft w:val="0"/>
      <w:marRight w:val="0"/>
      <w:marTop w:val="0"/>
      <w:marBottom w:val="0"/>
      <w:divBdr>
        <w:top w:val="none" w:sz="0" w:space="0" w:color="auto"/>
        <w:left w:val="none" w:sz="0" w:space="0" w:color="auto"/>
        <w:bottom w:val="none" w:sz="0" w:space="0" w:color="auto"/>
        <w:right w:val="none" w:sz="0" w:space="0" w:color="auto"/>
      </w:divBdr>
    </w:div>
    <w:div w:id="1467703133">
      <w:bodyDiv w:val="1"/>
      <w:marLeft w:val="0"/>
      <w:marRight w:val="0"/>
      <w:marTop w:val="0"/>
      <w:marBottom w:val="0"/>
      <w:divBdr>
        <w:top w:val="none" w:sz="0" w:space="0" w:color="auto"/>
        <w:left w:val="none" w:sz="0" w:space="0" w:color="auto"/>
        <w:bottom w:val="none" w:sz="0" w:space="0" w:color="auto"/>
        <w:right w:val="none" w:sz="0" w:space="0" w:color="auto"/>
      </w:divBdr>
    </w:div>
    <w:div w:id="1467745862">
      <w:bodyDiv w:val="1"/>
      <w:marLeft w:val="0"/>
      <w:marRight w:val="0"/>
      <w:marTop w:val="0"/>
      <w:marBottom w:val="0"/>
      <w:divBdr>
        <w:top w:val="none" w:sz="0" w:space="0" w:color="auto"/>
        <w:left w:val="none" w:sz="0" w:space="0" w:color="auto"/>
        <w:bottom w:val="none" w:sz="0" w:space="0" w:color="auto"/>
        <w:right w:val="none" w:sz="0" w:space="0" w:color="auto"/>
      </w:divBdr>
    </w:div>
    <w:div w:id="1467770646">
      <w:bodyDiv w:val="1"/>
      <w:marLeft w:val="0"/>
      <w:marRight w:val="0"/>
      <w:marTop w:val="0"/>
      <w:marBottom w:val="0"/>
      <w:divBdr>
        <w:top w:val="none" w:sz="0" w:space="0" w:color="auto"/>
        <w:left w:val="none" w:sz="0" w:space="0" w:color="auto"/>
        <w:bottom w:val="none" w:sz="0" w:space="0" w:color="auto"/>
        <w:right w:val="none" w:sz="0" w:space="0" w:color="auto"/>
      </w:divBdr>
    </w:div>
    <w:div w:id="1467819522">
      <w:bodyDiv w:val="1"/>
      <w:marLeft w:val="0"/>
      <w:marRight w:val="0"/>
      <w:marTop w:val="0"/>
      <w:marBottom w:val="0"/>
      <w:divBdr>
        <w:top w:val="none" w:sz="0" w:space="0" w:color="auto"/>
        <w:left w:val="none" w:sz="0" w:space="0" w:color="auto"/>
        <w:bottom w:val="none" w:sz="0" w:space="0" w:color="auto"/>
        <w:right w:val="none" w:sz="0" w:space="0" w:color="auto"/>
      </w:divBdr>
    </w:div>
    <w:div w:id="1468084831">
      <w:bodyDiv w:val="1"/>
      <w:marLeft w:val="0"/>
      <w:marRight w:val="0"/>
      <w:marTop w:val="0"/>
      <w:marBottom w:val="0"/>
      <w:divBdr>
        <w:top w:val="none" w:sz="0" w:space="0" w:color="auto"/>
        <w:left w:val="none" w:sz="0" w:space="0" w:color="auto"/>
        <w:bottom w:val="none" w:sz="0" w:space="0" w:color="auto"/>
        <w:right w:val="none" w:sz="0" w:space="0" w:color="auto"/>
      </w:divBdr>
    </w:div>
    <w:div w:id="1468163850">
      <w:bodyDiv w:val="1"/>
      <w:marLeft w:val="0"/>
      <w:marRight w:val="0"/>
      <w:marTop w:val="0"/>
      <w:marBottom w:val="0"/>
      <w:divBdr>
        <w:top w:val="none" w:sz="0" w:space="0" w:color="auto"/>
        <w:left w:val="none" w:sz="0" w:space="0" w:color="auto"/>
        <w:bottom w:val="none" w:sz="0" w:space="0" w:color="auto"/>
        <w:right w:val="none" w:sz="0" w:space="0" w:color="auto"/>
      </w:divBdr>
    </w:div>
    <w:div w:id="1468277749">
      <w:bodyDiv w:val="1"/>
      <w:marLeft w:val="0"/>
      <w:marRight w:val="0"/>
      <w:marTop w:val="0"/>
      <w:marBottom w:val="0"/>
      <w:divBdr>
        <w:top w:val="none" w:sz="0" w:space="0" w:color="auto"/>
        <w:left w:val="none" w:sz="0" w:space="0" w:color="auto"/>
        <w:bottom w:val="none" w:sz="0" w:space="0" w:color="auto"/>
        <w:right w:val="none" w:sz="0" w:space="0" w:color="auto"/>
      </w:divBdr>
    </w:div>
    <w:div w:id="1468280253">
      <w:bodyDiv w:val="1"/>
      <w:marLeft w:val="0"/>
      <w:marRight w:val="0"/>
      <w:marTop w:val="0"/>
      <w:marBottom w:val="0"/>
      <w:divBdr>
        <w:top w:val="none" w:sz="0" w:space="0" w:color="auto"/>
        <w:left w:val="none" w:sz="0" w:space="0" w:color="auto"/>
        <w:bottom w:val="none" w:sz="0" w:space="0" w:color="auto"/>
        <w:right w:val="none" w:sz="0" w:space="0" w:color="auto"/>
      </w:divBdr>
    </w:div>
    <w:div w:id="1468430324">
      <w:bodyDiv w:val="1"/>
      <w:marLeft w:val="0"/>
      <w:marRight w:val="0"/>
      <w:marTop w:val="0"/>
      <w:marBottom w:val="0"/>
      <w:divBdr>
        <w:top w:val="none" w:sz="0" w:space="0" w:color="auto"/>
        <w:left w:val="none" w:sz="0" w:space="0" w:color="auto"/>
        <w:bottom w:val="none" w:sz="0" w:space="0" w:color="auto"/>
        <w:right w:val="none" w:sz="0" w:space="0" w:color="auto"/>
      </w:divBdr>
    </w:div>
    <w:div w:id="1469013446">
      <w:bodyDiv w:val="1"/>
      <w:marLeft w:val="0"/>
      <w:marRight w:val="0"/>
      <w:marTop w:val="0"/>
      <w:marBottom w:val="0"/>
      <w:divBdr>
        <w:top w:val="none" w:sz="0" w:space="0" w:color="auto"/>
        <w:left w:val="none" w:sz="0" w:space="0" w:color="auto"/>
        <w:bottom w:val="none" w:sz="0" w:space="0" w:color="auto"/>
        <w:right w:val="none" w:sz="0" w:space="0" w:color="auto"/>
      </w:divBdr>
    </w:div>
    <w:div w:id="1469317817">
      <w:bodyDiv w:val="1"/>
      <w:marLeft w:val="0"/>
      <w:marRight w:val="0"/>
      <w:marTop w:val="0"/>
      <w:marBottom w:val="0"/>
      <w:divBdr>
        <w:top w:val="none" w:sz="0" w:space="0" w:color="auto"/>
        <w:left w:val="none" w:sz="0" w:space="0" w:color="auto"/>
        <w:bottom w:val="none" w:sz="0" w:space="0" w:color="auto"/>
        <w:right w:val="none" w:sz="0" w:space="0" w:color="auto"/>
      </w:divBdr>
    </w:div>
    <w:div w:id="1469469963">
      <w:bodyDiv w:val="1"/>
      <w:marLeft w:val="0"/>
      <w:marRight w:val="0"/>
      <w:marTop w:val="0"/>
      <w:marBottom w:val="0"/>
      <w:divBdr>
        <w:top w:val="none" w:sz="0" w:space="0" w:color="auto"/>
        <w:left w:val="none" w:sz="0" w:space="0" w:color="auto"/>
        <w:bottom w:val="none" w:sz="0" w:space="0" w:color="auto"/>
        <w:right w:val="none" w:sz="0" w:space="0" w:color="auto"/>
      </w:divBdr>
    </w:div>
    <w:div w:id="1469587844">
      <w:bodyDiv w:val="1"/>
      <w:marLeft w:val="0"/>
      <w:marRight w:val="0"/>
      <w:marTop w:val="0"/>
      <w:marBottom w:val="0"/>
      <w:divBdr>
        <w:top w:val="none" w:sz="0" w:space="0" w:color="auto"/>
        <w:left w:val="none" w:sz="0" w:space="0" w:color="auto"/>
        <w:bottom w:val="none" w:sz="0" w:space="0" w:color="auto"/>
        <w:right w:val="none" w:sz="0" w:space="0" w:color="auto"/>
      </w:divBdr>
    </w:div>
    <w:div w:id="1469661672">
      <w:bodyDiv w:val="1"/>
      <w:marLeft w:val="0"/>
      <w:marRight w:val="0"/>
      <w:marTop w:val="0"/>
      <w:marBottom w:val="0"/>
      <w:divBdr>
        <w:top w:val="none" w:sz="0" w:space="0" w:color="auto"/>
        <w:left w:val="none" w:sz="0" w:space="0" w:color="auto"/>
        <w:bottom w:val="none" w:sz="0" w:space="0" w:color="auto"/>
        <w:right w:val="none" w:sz="0" w:space="0" w:color="auto"/>
      </w:divBdr>
    </w:div>
    <w:div w:id="1469741587">
      <w:bodyDiv w:val="1"/>
      <w:marLeft w:val="0"/>
      <w:marRight w:val="0"/>
      <w:marTop w:val="0"/>
      <w:marBottom w:val="0"/>
      <w:divBdr>
        <w:top w:val="none" w:sz="0" w:space="0" w:color="auto"/>
        <w:left w:val="none" w:sz="0" w:space="0" w:color="auto"/>
        <w:bottom w:val="none" w:sz="0" w:space="0" w:color="auto"/>
        <w:right w:val="none" w:sz="0" w:space="0" w:color="auto"/>
      </w:divBdr>
    </w:div>
    <w:div w:id="1470047876">
      <w:bodyDiv w:val="1"/>
      <w:marLeft w:val="0"/>
      <w:marRight w:val="0"/>
      <w:marTop w:val="0"/>
      <w:marBottom w:val="0"/>
      <w:divBdr>
        <w:top w:val="none" w:sz="0" w:space="0" w:color="auto"/>
        <w:left w:val="none" w:sz="0" w:space="0" w:color="auto"/>
        <w:bottom w:val="none" w:sz="0" w:space="0" w:color="auto"/>
        <w:right w:val="none" w:sz="0" w:space="0" w:color="auto"/>
      </w:divBdr>
    </w:div>
    <w:div w:id="1470052892">
      <w:bodyDiv w:val="1"/>
      <w:marLeft w:val="0"/>
      <w:marRight w:val="0"/>
      <w:marTop w:val="0"/>
      <w:marBottom w:val="0"/>
      <w:divBdr>
        <w:top w:val="none" w:sz="0" w:space="0" w:color="auto"/>
        <w:left w:val="none" w:sz="0" w:space="0" w:color="auto"/>
        <w:bottom w:val="none" w:sz="0" w:space="0" w:color="auto"/>
        <w:right w:val="none" w:sz="0" w:space="0" w:color="auto"/>
      </w:divBdr>
    </w:div>
    <w:div w:id="1470392285">
      <w:bodyDiv w:val="1"/>
      <w:marLeft w:val="0"/>
      <w:marRight w:val="0"/>
      <w:marTop w:val="0"/>
      <w:marBottom w:val="0"/>
      <w:divBdr>
        <w:top w:val="none" w:sz="0" w:space="0" w:color="auto"/>
        <w:left w:val="none" w:sz="0" w:space="0" w:color="auto"/>
        <w:bottom w:val="none" w:sz="0" w:space="0" w:color="auto"/>
        <w:right w:val="none" w:sz="0" w:space="0" w:color="auto"/>
      </w:divBdr>
    </w:div>
    <w:div w:id="1470511188">
      <w:bodyDiv w:val="1"/>
      <w:marLeft w:val="0"/>
      <w:marRight w:val="0"/>
      <w:marTop w:val="0"/>
      <w:marBottom w:val="0"/>
      <w:divBdr>
        <w:top w:val="none" w:sz="0" w:space="0" w:color="auto"/>
        <w:left w:val="none" w:sz="0" w:space="0" w:color="auto"/>
        <w:bottom w:val="none" w:sz="0" w:space="0" w:color="auto"/>
        <w:right w:val="none" w:sz="0" w:space="0" w:color="auto"/>
      </w:divBdr>
    </w:div>
    <w:div w:id="1470515823">
      <w:bodyDiv w:val="1"/>
      <w:marLeft w:val="0"/>
      <w:marRight w:val="0"/>
      <w:marTop w:val="0"/>
      <w:marBottom w:val="0"/>
      <w:divBdr>
        <w:top w:val="none" w:sz="0" w:space="0" w:color="auto"/>
        <w:left w:val="none" w:sz="0" w:space="0" w:color="auto"/>
        <w:bottom w:val="none" w:sz="0" w:space="0" w:color="auto"/>
        <w:right w:val="none" w:sz="0" w:space="0" w:color="auto"/>
      </w:divBdr>
    </w:div>
    <w:div w:id="1470586228">
      <w:bodyDiv w:val="1"/>
      <w:marLeft w:val="0"/>
      <w:marRight w:val="0"/>
      <w:marTop w:val="0"/>
      <w:marBottom w:val="0"/>
      <w:divBdr>
        <w:top w:val="none" w:sz="0" w:space="0" w:color="auto"/>
        <w:left w:val="none" w:sz="0" w:space="0" w:color="auto"/>
        <w:bottom w:val="none" w:sz="0" w:space="0" w:color="auto"/>
        <w:right w:val="none" w:sz="0" w:space="0" w:color="auto"/>
      </w:divBdr>
    </w:div>
    <w:div w:id="1470634646">
      <w:bodyDiv w:val="1"/>
      <w:marLeft w:val="0"/>
      <w:marRight w:val="0"/>
      <w:marTop w:val="0"/>
      <w:marBottom w:val="0"/>
      <w:divBdr>
        <w:top w:val="none" w:sz="0" w:space="0" w:color="auto"/>
        <w:left w:val="none" w:sz="0" w:space="0" w:color="auto"/>
        <w:bottom w:val="none" w:sz="0" w:space="0" w:color="auto"/>
        <w:right w:val="none" w:sz="0" w:space="0" w:color="auto"/>
      </w:divBdr>
    </w:div>
    <w:div w:id="1470977350">
      <w:bodyDiv w:val="1"/>
      <w:marLeft w:val="0"/>
      <w:marRight w:val="0"/>
      <w:marTop w:val="0"/>
      <w:marBottom w:val="0"/>
      <w:divBdr>
        <w:top w:val="none" w:sz="0" w:space="0" w:color="auto"/>
        <w:left w:val="none" w:sz="0" w:space="0" w:color="auto"/>
        <w:bottom w:val="none" w:sz="0" w:space="0" w:color="auto"/>
        <w:right w:val="none" w:sz="0" w:space="0" w:color="auto"/>
      </w:divBdr>
    </w:div>
    <w:div w:id="1471047719">
      <w:bodyDiv w:val="1"/>
      <w:marLeft w:val="0"/>
      <w:marRight w:val="0"/>
      <w:marTop w:val="0"/>
      <w:marBottom w:val="0"/>
      <w:divBdr>
        <w:top w:val="none" w:sz="0" w:space="0" w:color="auto"/>
        <w:left w:val="none" w:sz="0" w:space="0" w:color="auto"/>
        <w:bottom w:val="none" w:sz="0" w:space="0" w:color="auto"/>
        <w:right w:val="none" w:sz="0" w:space="0" w:color="auto"/>
      </w:divBdr>
    </w:div>
    <w:div w:id="1471093077">
      <w:bodyDiv w:val="1"/>
      <w:marLeft w:val="0"/>
      <w:marRight w:val="0"/>
      <w:marTop w:val="0"/>
      <w:marBottom w:val="0"/>
      <w:divBdr>
        <w:top w:val="none" w:sz="0" w:space="0" w:color="auto"/>
        <w:left w:val="none" w:sz="0" w:space="0" w:color="auto"/>
        <w:bottom w:val="none" w:sz="0" w:space="0" w:color="auto"/>
        <w:right w:val="none" w:sz="0" w:space="0" w:color="auto"/>
      </w:divBdr>
    </w:div>
    <w:div w:id="1471509121">
      <w:bodyDiv w:val="1"/>
      <w:marLeft w:val="0"/>
      <w:marRight w:val="0"/>
      <w:marTop w:val="0"/>
      <w:marBottom w:val="0"/>
      <w:divBdr>
        <w:top w:val="none" w:sz="0" w:space="0" w:color="auto"/>
        <w:left w:val="none" w:sz="0" w:space="0" w:color="auto"/>
        <w:bottom w:val="none" w:sz="0" w:space="0" w:color="auto"/>
        <w:right w:val="none" w:sz="0" w:space="0" w:color="auto"/>
      </w:divBdr>
    </w:div>
    <w:div w:id="1471551603">
      <w:bodyDiv w:val="1"/>
      <w:marLeft w:val="0"/>
      <w:marRight w:val="0"/>
      <w:marTop w:val="0"/>
      <w:marBottom w:val="0"/>
      <w:divBdr>
        <w:top w:val="none" w:sz="0" w:space="0" w:color="auto"/>
        <w:left w:val="none" w:sz="0" w:space="0" w:color="auto"/>
        <w:bottom w:val="none" w:sz="0" w:space="0" w:color="auto"/>
        <w:right w:val="none" w:sz="0" w:space="0" w:color="auto"/>
      </w:divBdr>
    </w:div>
    <w:div w:id="1471630313">
      <w:bodyDiv w:val="1"/>
      <w:marLeft w:val="0"/>
      <w:marRight w:val="0"/>
      <w:marTop w:val="0"/>
      <w:marBottom w:val="0"/>
      <w:divBdr>
        <w:top w:val="none" w:sz="0" w:space="0" w:color="auto"/>
        <w:left w:val="none" w:sz="0" w:space="0" w:color="auto"/>
        <w:bottom w:val="none" w:sz="0" w:space="0" w:color="auto"/>
        <w:right w:val="none" w:sz="0" w:space="0" w:color="auto"/>
      </w:divBdr>
    </w:div>
    <w:div w:id="1472137003">
      <w:bodyDiv w:val="1"/>
      <w:marLeft w:val="0"/>
      <w:marRight w:val="0"/>
      <w:marTop w:val="0"/>
      <w:marBottom w:val="0"/>
      <w:divBdr>
        <w:top w:val="none" w:sz="0" w:space="0" w:color="auto"/>
        <w:left w:val="none" w:sz="0" w:space="0" w:color="auto"/>
        <w:bottom w:val="none" w:sz="0" w:space="0" w:color="auto"/>
        <w:right w:val="none" w:sz="0" w:space="0" w:color="auto"/>
      </w:divBdr>
    </w:div>
    <w:div w:id="1472281852">
      <w:bodyDiv w:val="1"/>
      <w:marLeft w:val="0"/>
      <w:marRight w:val="0"/>
      <w:marTop w:val="0"/>
      <w:marBottom w:val="0"/>
      <w:divBdr>
        <w:top w:val="none" w:sz="0" w:space="0" w:color="auto"/>
        <w:left w:val="none" w:sz="0" w:space="0" w:color="auto"/>
        <w:bottom w:val="none" w:sz="0" w:space="0" w:color="auto"/>
        <w:right w:val="none" w:sz="0" w:space="0" w:color="auto"/>
      </w:divBdr>
    </w:div>
    <w:div w:id="1472822626">
      <w:bodyDiv w:val="1"/>
      <w:marLeft w:val="0"/>
      <w:marRight w:val="0"/>
      <w:marTop w:val="0"/>
      <w:marBottom w:val="0"/>
      <w:divBdr>
        <w:top w:val="none" w:sz="0" w:space="0" w:color="auto"/>
        <w:left w:val="none" w:sz="0" w:space="0" w:color="auto"/>
        <w:bottom w:val="none" w:sz="0" w:space="0" w:color="auto"/>
        <w:right w:val="none" w:sz="0" w:space="0" w:color="auto"/>
      </w:divBdr>
    </w:div>
    <w:div w:id="1473256483">
      <w:bodyDiv w:val="1"/>
      <w:marLeft w:val="0"/>
      <w:marRight w:val="0"/>
      <w:marTop w:val="0"/>
      <w:marBottom w:val="0"/>
      <w:divBdr>
        <w:top w:val="none" w:sz="0" w:space="0" w:color="auto"/>
        <w:left w:val="none" w:sz="0" w:space="0" w:color="auto"/>
        <w:bottom w:val="none" w:sz="0" w:space="0" w:color="auto"/>
        <w:right w:val="none" w:sz="0" w:space="0" w:color="auto"/>
      </w:divBdr>
    </w:div>
    <w:div w:id="1473325600">
      <w:bodyDiv w:val="1"/>
      <w:marLeft w:val="0"/>
      <w:marRight w:val="0"/>
      <w:marTop w:val="0"/>
      <w:marBottom w:val="0"/>
      <w:divBdr>
        <w:top w:val="none" w:sz="0" w:space="0" w:color="auto"/>
        <w:left w:val="none" w:sz="0" w:space="0" w:color="auto"/>
        <w:bottom w:val="none" w:sz="0" w:space="0" w:color="auto"/>
        <w:right w:val="none" w:sz="0" w:space="0" w:color="auto"/>
      </w:divBdr>
    </w:div>
    <w:div w:id="1473475674">
      <w:bodyDiv w:val="1"/>
      <w:marLeft w:val="0"/>
      <w:marRight w:val="0"/>
      <w:marTop w:val="0"/>
      <w:marBottom w:val="0"/>
      <w:divBdr>
        <w:top w:val="none" w:sz="0" w:space="0" w:color="auto"/>
        <w:left w:val="none" w:sz="0" w:space="0" w:color="auto"/>
        <w:bottom w:val="none" w:sz="0" w:space="0" w:color="auto"/>
        <w:right w:val="none" w:sz="0" w:space="0" w:color="auto"/>
      </w:divBdr>
    </w:div>
    <w:div w:id="1473519489">
      <w:bodyDiv w:val="1"/>
      <w:marLeft w:val="0"/>
      <w:marRight w:val="0"/>
      <w:marTop w:val="0"/>
      <w:marBottom w:val="0"/>
      <w:divBdr>
        <w:top w:val="none" w:sz="0" w:space="0" w:color="auto"/>
        <w:left w:val="none" w:sz="0" w:space="0" w:color="auto"/>
        <w:bottom w:val="none" w:sz="0" w:space="0" w:color="auto"/>
        <w:right w:val="none" w:sz="0" w:space="0" w:color="auto"/>
      </w:divBdr>
    </w:div>
    <w:div w:id="1474444917">
      <w:bodyDiv w:val="1"/>
      <w:marLeft w:val="0"/>
      <w:marRight w:val="0"/>
      <w:marTop w:val="0"/>
      <w:marBottom w:val="0"/>
      <w:divBdr>
        <w:top w:val="none" w:sz="0" w:space="0" w:color="auto"/>
        <w:left w:val="none" w:sz="0" w:space="0" w:color="auto"/>
        <w:bottom w:val="none" w:sz="0" w:space="0" w:color="auto"/>
        <w:right w:val="none" w:sz="0" w:space="0" w:color="auto"/>
      </w:divBdr>
    </w:div>
    <w:div w:id="1474520528">
      <w:bodyDiv w:val="1"/>
      <w:marLeft w:val="0"/>
      <w:marRight w:val="0"/>
      <w:marTop w:val="0"/>
      <w:marBottom w:val="0"/>
      <w:divBdr>
        <w:top w:val="none" w:sz="0" w:space="0" w:color="auto"/>
        <w:left w:val="none" w:sz="0" w:space="0" w:color="auto"/>
        <w:bottom w:val="none" w:sz="0" w:space="0" w:color="auto"/>
        <w:right w:val="none" w:sz="0" w:space="0" w:color="auto"/>
      </w:divBdr>
    </w:div>
    <w:div w:id="1474635251">
      <w:bodyDiv w:val="1"/>
      <w:marLeft w:val="0"/>
      <w:marRight w:val="0"/>
      <w:marTop w:val="0"/>
      <w:marBottom w:val="0"/>
      <w:divBdr>
        <w:top w:val="none" w:sz="0" w:space="0" w:color="auto"/>
        <w:left w:val="none" w:sz="0" w:space="0" w:color="auto"/>
        <w:bottom w:val="none" w:sz="0" w:space="0" w:color="auto"/>
        <w:right w:val="none" w:sz="0" w:space="0" w:color="auto"/>
      </w:divBdr>
    </w:div>
    <w:div w:id="1474903464">
      <w:bodyDiv w:val="1"/>
      <w:marLeft w:val="0"/>
      <w:marRight w:val="0"/>
      <w:marTop w:val="0"/>
      <w:marBottom w:val="0"/>
      <w:divBdr>
        <w:top w:val="none" w:sz="0" w:space="0" w:color="auto"/>
        <w:left w:val="none" w:sz="0" w:space="0" w:color="auto"/>
        <w:bottom w:val="none" w:sz="0" w:space="0" w:color="auto"/>
        <w:right w:val="none" w:sz="0" w:space="0" w:color="auto"/>
      </w:divBdr>
    </w:div>
    <w:div w:id="1475026562">
      <w:bodyDiv w:val="1"/>
      <w:marLeft w:val="0"/>
      <w:marRight w:val="0"/>
      <w:marTop w:val="0"/>
      <w:marBottom w:val="0"/>
      <w:divBdr>
        <w:top w:val="none" w:sz="0" w:space="0" w:color="auto"/>
        <w:left w:val="none" w:sz="0" w:space="0" w:color="auto"/>
        <w:bottom w:val="none" w:sz="0" w:space="0" w:color="auto"/>
        <w:right w:val="none" w:sz="0" w:space="0" w:color="auto"/>
      </w:divBdr>
    </w:div>
    <w:div w:id="1475414580">
      <w:bodyDiv w:val="1"/>
      <w:marLeft w:val="0"/>
      <w:marRight w:val="0"/>
      <w:marTop w:val="0"/>
      <w:marBottom w:val="0"/>
      <w:divBdr>
        <w:top w:val="none" w:sz="0" w:space="0" w:color="auto"/>
        <w:left w:val="none" w:sz="0" w:space="0" w:color="auto"/>
        <w:bottom w:val="none" w:sz="0" w:space="0" w:color="auto"/>
        <w:right w:val="none" w:sz="0" w:space="0" w:color="auto"/>
      </w:divBdr>
    </w:div>
    <w:div w:id="1475440158">
      <w:bodyDiv w:val="1"/>
      <w:marLeft w:val="0"/>
      <w:marRight w:val="0"/>
      <w:marTop w:val="0"/>
      <w:marBottom w:val="0"/>
      <w:divBdr>
        <w:top w:val="none" w:sz="0" w:space="0" w:color="auto"/>
        <w:left w:val="none" w:sz="0" w:space="0" w:color="auto"/>
        <w:bottom w:val="none" w:sz="0" w:space="0" w:color="auto"/>
        <w:right w:val="none" w:sz="0" w:space="0" w:color="auto"/>
      </w:divBdr>
    </w:div>
    <w:div w:id="1475755080">
      <w:bodyDiv w:val="1"/>
      <w:marLeft w:val="0"/>
      <w:marRight w:val="0"/>
      <w:marTop w:val="0"/>
      <w:marBottom w:val="0"/>
      <w:divBdr>
        <w:top w:val="none" w:sz="0" w:space="0" w:color="auto"/>
        <w:left w:val="none" w:sz="0" w:space="0" w:color="auto"/>
        <w:bottom w:val="none" w:sz="0" w:space="0" w:color="auto"/>
        <w:right w:val="none" w:sz="0" w:space="0" w:color="auto"/>
      </w:divBdr>
    </w:div>
    <w:div w:id="1475827256">
      <w:bodyDiv w:val="1"/>
      <w:marLeft w:val="0"/>
      <w:marRight w:val="0"/>
      <w:marTop w:val="0"/>
      <w:marBottom w:val="0"/>
      <w:divBdr>
        <w:top w:val="none" w:sz="0" w:space="0" w:color="auto"/>
        <w:left w:val="none" w:sz="0" w:space="0" w:color="auto"/>
        <w:bottom w:val="none" w:sz="0" w:space="0" w:color="auto"/>
        <w:right w:val="none" w:sz="0" w:space="0" w:color="auto"/>
      </w:divBdr>
    </w:div>
    <w:div w:id="1475950703">
      <w:bodyDiv w:val="1"/>
      <w:marLeft w:val="0"/>
      <w:marRight w:val="0"/>
      <w:marTop w:val="0"/>
      <w:marBottom w:val="0"/>
      <w:divBdr>
        <w:top w:val="none" w:sz="0" w:space="0" w:color="auto"/>
        <w:left w:val="none" w:sz="0" w:space="0" w:color="auto"/>
        <w:bottom w:val="none" w:sz="0" w:space="0" w:color="auto"/>
        <w:right w:val="none" w:sz="0" w:space="0" w:color="auto"/>
      </w:divBdr>
    </w:div>
    <w:div w:id="1476020416">
      <w:bodyDiv w:val="1"/>
      <w:marLeft w:val="0"/>
      <w:marRight w:val="0"/>
      <w:marTop w:val="0"/>
      <w:marBottom w:val="0"/>
      <w:divBdr>
        <w:top w:val="none" w:sz="0" w:space="0" w:color="auto"/>
        <w:left w:val="none" w:sz="0" w:space="0" w:color="auto"/>
        <w:bottom w:val="none" w:sz="0" w:space="0" w:color="auto"/>
        <w:right w:val="none" w:sz="0" w:space="0" w:color="auto"/>
      </w:divBdr>
    </w:div>
    <w:div w:id="1476214713">
      <w:bodyDiv w:val="1"/>
      <w:marLeft w:val="0"/>
      <w:marRight w:val="0"/>
      <w:marTop w:val="0"/>
      <w:marBottom w:val="0"/>
      <w:divBdr>
        <w:top w:val="none" w:sz="0" w:space="0" w:color="auto"/>
        <w:left w:val="none" w:sz="0" w:space="0" w:color="auto"/>
        <w:bottom w:val="none" w:sz="0" w:space="0" w:color="auto"/>
        <w:right w:val="none" w:sz="0" w:space="0" w:color="auto"/>
      </w:divBdr>
    </w:div>
    <w:div w:id="1476218535">
      <w:bodyDiv w:val="1"/>
      <w:marLeft w:val="0"/>
      <w:marRight w:val="0"/>
      <w:marTop w:val="0"/>
      <w:marBottom w:val="0"/>
      <w:divBdr>
        <w:top w:val="none" w:sz="0" w:space="0" w:color="auto"/>
        <w:left w:val="none" w:sz="0" w:space="0" w:color="auto"/>
        <w:bottom w:val="none" w:sz="0" w:space="0" w:color="auto"/>
        <w:right w:val="none" w:sz="0" w:space="0" w:color="auto"/>
      </w:divBdr>
    </w:div>
    <w:div w:id="1476407573">
      <w:bodyDiv w:val="1"/>
      <w:marLeft w:val="0"/>
      <w:marRight w:val="0"/>
      <w:marTop w:val="0"/>
      <w:marBottom w:val="0"/>
      <w:divBdr>
        <w:top w:val="none" w:sz="0" w:space="0" w:color="auto"/>
        <w:left w:val="none" w:sz="0" w:space="0" w:color="auto"/>
        <w:bottom w:val="none" w:sz="0" w:space="0" w:color="auto"/>
        <w:right w:val="none" w:sz="0" w:space="0" w:color="auto"/>
      </w:divBdr>
    </w:div>
    <w:div w:id="1476487153">
      <w:bodyDiv w:val="1"/>
      <w:marLeft w:val="0"/>
      <w:marRight w:val="0"/>
      <w:marTop w:val="0"/>
      <w:marBottom w:val="0"/>
      <w:divBdr>
        <w:top w:val="none" w:sz="0" w:space="0" w:color="auto"/>
        <w:left w:val="none" w:sz="0" w:space="0" w:color="auto"/>
        <w:bottom w:val="none" w:sz="0" w:space="0" w:color="auto"/>
        <w:right w:val="none" w:sz="0" w:space="0" w:color="auto"/>
      </w:divBdr>
    </w:div>
    <w:div w:id="1476951015">
      <w:bodyDiv w:val="1"/>
      <w:marLeft w:val="0"/>
      <w:marRight w:val="0"/>
      <w:marTop w:val="0"/>
      <w:marBottom w:val="0"/>
      <w:divBdr>
        <w:top w:val="none" w:sz="0" w:space="0" w:color="auto"/>
        <w:left w:val="none" w:sz="0" w:space="0" w:color="auto"/>
        <w:bottom w:val="none" w:sz="0" w:space="0" w:color="auto"/>
        <w:right w:val="none" w:sz="0" w:space="0" w:color="auto"/>
      </w:divBdr>
    </w:div>
    <w:div w:id="1477212844">
      <w:bodyDiv w:val="1"/>
      <w:marLeft w:val="0"/>
      <w:marRight w:val="0"/>
      <w:marTop w:val="0"/>
      <w:marBottom w:val="0"/>
      <w:divBdr>
        <w:top w:val="none" w:sz="0" w:space="0" w:color="auto"/>
        <w:left w:val="none" w:sz="0" w:space="0" w:color="auto"/>
        <w:bottom w:val="none" w:sz="0" w:space="0" w:color="auto"/>
        <w:right w:val="none" w:sz="0" w:space="0" w:color="auto"/>
      </w:divBdr>
    </w:div>
    <w:div w:id="1477213741">
      <w:bodyDiv w:val="1"/>
      <w:marLeft w:val="0"/>
      <w:marRight w:val="0"/>
      <w:marTop w:val="0"/>
      <w:marBottom w:val="0"/>
      <w:divBdr>
        <w:top w:val="none" w:sz="0" w:space="0" w:color="auto"/>
        <w:left w:val="none" w:sz="0" w:space="0" w:color="auto"/>
        <w:bottom w:val="none" w:sz="0" w:space="0" w:color="auto"/>
        <w:right w:val="none" w:sz="0" w:space="0" w:color="auto"/>
      </w:divBdr>
    </w:div>
    <w:div w:id="1477380738">
      <w:bodyDiv w:val="1"/>
      <w:marLeft w:val="0"/>
      <w:marRight w:val="0"/>
      <w:marTop w:val="0"/>
      <w:marBottom w:val="0"/>
      <w:divBdr>
        <w:top w:val="none" w:sz="0" w:space="0" w:color="auto"/>
        <w:left w:val="none" w:sz="0" w:space="0" w:color="auto"/>
        <w:bottom w:val="none" w:sz="0" w:space="0" w:color="auto"/>
        <w:right w:val="none" w:sz="0" w:space="0" w:color="auto"/>
      </w:divBdr>
    </w:div>
    <w:div w:id="1477451197">
      <w:bodyDiv w:val="1"/>
      <w:marLeft w:val="0"/>
      <w:marRight w:val="0"/>
      <w:marTop w:val="0"/>
      <w:marBottom w:val="0"/>
      <w:divBdr>
        <w:top w:val="none" w:sz="0" w:space="0" w:color="auto"/>
        <w:left w:val="none" w:sz="0" w:space="0" w:color="auto"/>
        <w:bottom w:val="none" w:sz="0" w:space="0" w:color="auto"/>
        <w:right w:val="none" w:sz="0" w:space="0" w:color="auto"/>
      </w:divBdr>
    </w:div>
    <w:div w:id="1477646907">
      <w:bodyDiv w:val="1"/>
      <w:marLeft w:val="0"/>
      <w:marRight w:val="0"/>
      <w:marTop w:val="0"/>
      <w:marBottom w:val="0"/>
      <w:divBdr>
        <w:top w:val="none" w:sz="0" w:space="0" w:color="auto"/>
        <w:left w:val="none" w:sz="0" w:space="0" w:color="auto"/>
        <w:bottom w:val="none" w:sz="0" w:space="0" w:color="auto"/>
        <w:right w:val="none" w:sz="0" w:space="0" w:color="auto"/>
      </w:divBdr>
    </w:div>
    <w:div w:id="1477802298">
      <w:bodyDiv w:val="1"/>
      <w:marLeft w:val="0"/>
      <w:marRight w:val="0"/>
      <w:marTop w:val="0"/>
      <w:marBottom w:val="0"/>
      <w:divBdr>
        <w:top w:val="none" w:sz="0" w:space="0" w:color="auto"/>
        <w:left w:val="none" w:sz="0" w:space="0" w:color="auto"/>
        <w:bottom w:val="none" w:sz="0" w:space="0" w:color="auto"/>
        <w:right w:val="none" w:sz="0" w:space="0" w:color="auto"/>
      </w:divBdr>
    </w:div>
    <w:div w:id="1477843591">
      <w:bodyDiv w:val="1"/>
      <w:marLeft w:val="0"/>
      <w:marRight w:val="0"/>
      <w:marTop w:val="0"/>
      <w:marBottom w:val="0"/>
      <w:divBdr>
        <w:top w:val="none" w:sz="0" w:space="0" w:color="auto"/>
        <w:left w:val="none" w:sz="0" w:space="0" w:color="auto"/>
        <w:bottom w:val="none" w:sz="0" w:space="0" w:color="auto"/>
        <w:right w:val="none" w:sz="0" w:space="0" w:color="auto"/>
      </w:divBdr>
    </w:div>
    <w:div w:id="1477911375">
      <w:bodyDiv w:val="1"/>
      <w:marLeft w:val="0"/>
      <w:marRight w:val="0"/>
      <w:marTop w:val="0"/>
      <w:marBottom w:val="0"/>
      <w:divBdr>
        <w:top w:val="none" w:sz="0" w:space="0" w:color="auto"/>
        <w:left w:val="none" w:sz="0" w:space="0" w:color="auto"/>
        <w:bottom w:val="none" w:sz="0" w:space="0" w:color="auto"/>
        <w:right w:val="none" w:sz="0" w:space="0" w:color="auto"/>
      </w:divBdr>
    </w:div>
    <w:div w:id="1477911765">
      <w:bodyDiv w:val="1"/>
      <w:marLeft w:val="0"/>
      <w:marRight w:val="0"/>
      <w:marTop w:val="0"/>
      <w:marBottom w:val="0"/>
      <w:divBdr>
        <w:top w:val="none" w:sz="0" w:space="0" w:color="auto"/>
        <w:left w:val="none" w:sz="0" w:space="0" w:color="auto"/>
        <w:bottom w:val="none" w:sz="0" w:space="0" w:color="auto"/>
        <w:right w:val="none" w:sz="0" w:space="0" w:color="auto"/>
      </w:divBdr>
    </w:div>
    <w:div w:id="1478256487">
      <w:bodyDiv w:val="1"/>
      <w:marLeft w:val="0"/>
      <w:marRight w:val="0"/>
      <w:marTop w:val="0"/>
      <w:marBottom w:val="0"/>
      <w:divBdr>
        <w:top w:val="none" w:sz="0" w:space="0" w:color="auto"/>
        <w:left w:val="none" w:sz="0" w:space="0" w:color="auto"/>
        <w:bottom w:val="none" w:sz="0" w:space="0" w:color="auto"/>
        <w:right w:val="none" w:sz="0" w:space="0" w:color="auto"/>
      </w:divBdr>
    </w:div>
    <w:div w:id="1478256843">
      <w:bodyDiv w:val="1"/>
      <w:marLeft w:val="0"/>
      <w:marRight w:val="0"/>
      <w:marTop w:val="0"/>
      <w:marBottom w:val="0"/>
      <w:divBdr>
        <w:top w:val="none" w:sz="0" w:space="0" w:color="auto"/>
        <w:left w:val="none" w:sz="0" w:space="0" w:color="auto"/>
        <w:bottom w:val="none" w:sz="0" w:space="0" w:color="auto"/>
        <w:right w:val="none" w:sz="0" w:space="0" w:color="auto"/>
      </w:divBdr>
    </w:div>
    <w:div w:id="1478302425">
      <w:bodyDiv w:val="1"/>
      <w:marLeft w:val="0"/>
      <w:marRight w:val="0"/>
      <w:marTop w:val="0"/>
      <w:marBottom w:val="0"/>
      <w:divBdr>
        <w:top w:val="none" w:sz="0" w:space="0" w:color="auto"/>
        <w:left w:val="none" w:sz="0" w:space="0" w:color="auto"/>
        <w:bottom w:val="none" w:sz="0" w:space="0" w:color="auto"/>
        <w:right w:val="none" w:sz="0" w:space="0" w:color="auto"/>
      </w:divBdr>
    </w:div>
    <w:div w:id="1478374785">
      <w:bodyDiv w:val="1"/>
      <w:marLeft w:val="0"/>
      <w:marRight w:val="0"/>
      <w:marTop w:val="0"/>
      <w:marBottom w:val="0"/>
      <w:divBdr>
        <w:top w:val="none" w:sz="0" w:space="0" w:color="auto"/>
        <w:left w:val="none" w:sz="0" w:space="0" w:color="auto"/>
        <w:bottom w:val="none" w:sz="0" w:space="0" w:color="auto"/>
        <w:right w:val="none" w:sz="0" w:space="0" w:color="auto"/>
      </w:divBdr>
    </w:div>
    <w:div w:id="1478381861">
      <w:bodyDiv w:val="1"/>
      <w:marLeft w:val="0"/>
      <w:marRight w:val="0"/>
      <w:marTop w:val="0"/>
      <w:marBottom w:val="0"/>
      <w:divBdr>
        <w:top w:val="none" w:sz="0" w:space="0" w:color="auto"/>
        <w:left w:val="none" w:sz="0" w:space="0" w:color="auto"/>
        <w:bottom w:val="none" w:sz="0" w:space="0" w:color="auto"/>
        <w:right w:val="none" w:sz="0" w:space="0" w:color="auto"/>
      </w:divBdr>
    </w:div>
    <w:div w:id="1478566709">
      <w:bodyDiv w:val="1"/>
      <w:marLeft w:val="0"/>
      <w:marRight w:val="0"/>
      <w:marTop w:val="0"/>
      <w:marBottom w:val="0"/>
      <w:divBdr>
        <w:top w:val="none" w:sz="0" w:space="0" w:color="auto"/>
        <w:left w:val="none" w:sz="0" w:space="0" w:color="auto"/>
        <w:bottom w:val="none" w:sz="0" w:space="0" w:color="auto"/>
        <w:right w:val="none" w:sz="0" w:space="0" w:color="auto"/>
      </w:divBdr>
    </w:div>
    <w:div w:id="1478573135">
      <w:bodyDiv w:val="1"/>
      <w:marLeft w:val="0"/>
      <w:marRight w:val="0"/>
      <w:marTop w:val="0"/>
      <w:marBottom w:val="0"/>
      <w:divBdr>
        <w:top w:val="none" w:sz="0" w:space="0" w:color="auto"/>
        <w:left w:val="none" w:sz="0" w:space="0" w:color="auto"/>
        <w:bottom w:val="none" w:sz="0" w:space="0" w:color="auto"/>
        <w:right w:val="none" w:sz="0" w:space="0" w:color="auto"/>
      </w:divBdr>
    </w:div>
    <w:div w:id="1478956978">
      <w:bodyDiv w:val="1"/>
      <w:marLeft w:val="0"/>
      <w:marRight w:val="0"/>
      <w:marTop w:val="0"/>
      <w:marBottom w:val="0"/>
      <w:divBdr>
        <w:top w:val="none" w:sz="0" w:space="0" w:color="auto"/>
        <w:left w:val="none" w:sz="0" w:space="0" w:color="auto"/>
        <w:bottom w:val="none" w:sz="0" w:space="0" w:color="auto"/>
        <w:right w:val="none" w:sz="0" w:space="0" w:color="auto"/>
      </w:divBdr>
    </w:div>
    <w:div w:id="1479768058">
      <w:bodyDiv w:val="1"/>
      <w:marLeft w:val="0"/>
      <w:marRight w:val="0"/>
      <w:marTop w:val="0"/>
      <w:marBottom w:val="0"/>
      <w:divBdr>
        <w:top w:val="none" w:sz="0" w:space="0" w:color="auto"/>
        <w:left w:val="none" w:sz="0" w:space="0" w:color="auto"/>
        <w:bottom w:val="none" w:sz="0" w:space="0" w:color="auto"/>
        <w:right w:val="none" w:sz="0" w:space="0" w:color="auto"/>
      </w:divBdr>
    </w:div>
    <w:div w:id="1479878090">
      <w:bodyDiv w:val="1"/>
      <w:marLeft w:val="0"/>
      <w:marRight w:val="0"/>
      <w:marTop w:val="0"/>
      <w:marBottom w:val="0"/>
      <w:divBdr>
        <w:top w:val="none" w:sz="0" w:space="0" w:color="auto"/>
        <w:left w:val="none" w:sz="0" w:space="0" w:color="auto"/>
        <w:bottom w:val="none" w:sz="0" w:space="0" w:color="auto"/>
        <w:right w:val="none" w:sz="0" w:space="0" w:color="auto"/>
      </w:divBdr>
    </w:div>
    <w:div w:id="1479960158">
      <w:bodyDiv w:val="1"/>
      <w:marLeft w:val="0"/>
      <w:marRight w:val="0"/>
      <w:marTop w:val="0"/>
      <w:marBottom w:val="0"/>
      <w:divBdr>
        <w:top w:val="none" w:sz="0" w:space="0" w:color="auto"/>
        <w:left w:val="none" w:sz="0" w:space="0" w:color="auto"/>
        <w:bottom w:val="none" w:sz="0" w:space="0" w:color="auto"/>
        <w:right w:val="none" w:sz="0" w:space="0" w:color="auto"/>
      </w:divBdr>
    </w:div>
    <w:div w:id="1480003382">
      <w:bodyDiv w:val="1"/>
      <w:marLeft w:val="0"/>
      <w:marRight w:val="0"/>
      <w:marTop w:val="0"/>
      <w:marBottom w:val="0"/>
      <w:divBdr>
        <w:top w:val="none" w:sz="0" w:space="0" w:color="auto"/>
        <w:left w:val="none" w:sz="0" w:space="0" w:color="auto"/>
        <w:bottom w:val="none" w:sz="0" w:space="0" w:color="auto"/>
        <w:right w:val="none" w:sz="0" w:space="0" w:color="auto"/>
      </w:divBdr>
    </w:div>
    <w:div w:id="1480490065">
      <w:bodyDiv w:val="1"/>
      <w:marLeft w:val="0"/>
      <w:marRight w:val="0"/>
      <w:marTop w:val="0"/>
      <w:marBottom w:val="0"/>
      <w:divBdr>
        <w:top w:val="none" w:sz="0" w:space="0" w:color="auto"/>
        <w:left w:val="none" w:sz="0" w:space="0" w:color="auto"/>
        <w:bottom w:val="none" w:sz="0" w:space="0" w:color="auto"/>
        <w:right w:val="none" w:sz="0" w:space="0" w:color="auto"/>
      </w:divBdr>
    </w:div>
    <w:div w:id="1480535939">
      <w:bodyDiv w:val="1"/>
      <w:marLeft w:val="0"/>
      <w:marRight w:val="0"/>
      <w:marTop w:val="0"/>
      <w:marBottom w:val="0"/>
      <w:divBdr>
        <w:top w:val="none" w:sz="0" w:space="0" w:color="auto"/>
        <w:left w:val="none" w:sz="0" w:space="0" w:color="auto"/>
        <w:bottom w:val="none" w:sz="0" w:space="0" w:color="auto"/>
        <w:right w:val="none" w:sz="0" w:space="0" w:color="auto"/>
      </w:divBdr>
    </w:div>
    <w:div w:id="1480659090">
      <w:bodyDiv w:val="1"/>
      <w:marLeft w:val="0"/>
      <w:marRight w:val="0"/>
      <w:marTop w:val="0"/>
      <w:marBottom w:val="0"/>
      <w:divBdr>
        <w:top w:val="none" w:sz="0" w:space="0" w:color="auto"/>
        <w:left w:val="none" w:sz="0" w:space="0" w:color="auto"/>
        <w:bottom w:val="none" w:sz="0" w:space="0" w:color="auto"/>
        <w:right w:val="none" w:sz="0" w:space="0" w:color="auto"/>
      </w:divBdr>
    </w:div>
    <w:div w:id="1480730063">
      <w:bodyDiv w:val="1"/>
      <w:marLeft w:val="0"/>
      <w:marRight w:val="0"/>
      <w:marTop w:val="0"/>
      <w:marBottom w:val="0"/>
      <w:divBdr>
        <w:top w:val="none" w:sz="0" w:space="0" w:color="auto"/>
        <w:left w:val="none" w:sz="0" w:space="0" w:color="auto"/>
        <w:bottom w:val="none" w:sz="0" w:space="0" w:color="auto"/>
        <w:right w:val="none" w:sz="0" w:space="0" w:color="auto"/>
      </w:divBdr>
    </w:div>
    <w:div w:id="1481117728">
      <w:bodyDiv w:val="1"/>
      <w:marLeft w:val="0"/>
      <w:marRight w:val="0"/>
      <w:marTop w:val="0"/>
      <w:marBottom w:val="0"/>
      <w:divBdr>
        <w:top w:val="none" w:sz="0" w:space="0" w:color="auto"/>
        <w:left w:val="none" w:sz="0" w:space="0" w:color="auto"/>
        <w:bottom w:val="none" w:sz="0" w:space="0" w:color="auto"/>
        <w:right w:val="none" w:sz="0" w:space="0" w:color="auto"/>
      </w:divBdr>
    </w:div>
    <w:div w:id="1481799789">
      <w:bodyDiv w:val="1"/>
      <w:marLeft w:val="0"/>
      <w:marRight w:val="0"/>
      <w:marTop w:val="0"/>
      <w:marBottom w:val="0"/>
      <w:divBdr>
        <w:top w:val="none" w:sz="0" w:space="0" w:color="auto"/>
        <w:left w:val="none" w:sz="0" w:space="0" w:color="auto"/>
        <w:bottom w:val="none" w:sz="0" w:space="0" w:color="auto"/>
        <w:right w:val="none" w:sz="0" w:space="0" w:color="auto"/>
      </w:divBdr>
    </w:div>
    <w:div w:id="1481848917">
      <w:bodyDiv w:val="1"/>
      <w:marLeft w:val="0"/>
      <w:marRight w:val="0"/>
      <w:marTop w:val="0"/>
      <w:marBottom w:val="0"/>
      <w:divBdr>
        <w:top w:val="none" w:sz="0" w:space="0" w:color="auto"/>
        <w:left w:val="none" w:sz="0" w:space="0" w:color="auto"/>
        <w:bottom w:val="none" w:sz="0" w:space="0" w:color="auto"/>
        <w:right w:val="none" w:sz="0" w:space="0" w:color="auto"/>
      </w:divBdr>
    </w:div>
    <w:div w:id="1481851593">
      <w:bodyDiv w:val="1"/>
      <w:marLeft w:val="0"/>
      <w:marRight w:val="0"/>
      <w:marTop w:val="0"/>
      <w:marBottom w:val="0"/>
      <w:divBdr>
        <w:top w:val="none" w:sz="0" w:space="0" w:color="auto"/>
        <w:left w:val="none" w:sz="0" w:space="0" w:color="auto"/>
        <w:bottom w:val="none" w:sz="0" w:space="0" w:color="auto"/>
        <w:right w:val="none" w:sz="0" w:space="0" w:color="auto"/>
      </w:divBdr>
    </w:div>
    <w:div w:id="1482120421">
      <w:bodyDiv w:val="1"/>
      <w:marLeft w:val="0"/>
      <w:marRight w:val="0"/>
      <w:marTop w:val="0"/>
      <w:marBottom w:val="0"/>
      <w:divBdr>
        <w:top w:val="none" w:sz="0" w:space="0" w:color="auto"/>
        <w:left w:val="none" w:sz="0" w:space="0" w:color="auto"/>
        <w:bottom w:val="none" w:sz="0" w:space="0" w:color="auto"/>
        <w:right w:val="none" w:sz="0" w:space="0" w:color="auto"/>
      </w:divBdr>
    </w:div>
    <w:div w:id="1482313174">
      <w:bodyDiv w:val="1"/>
      <w:marLeft w:val="0"/>
      <w:marRight w:val="0"/>
      <w:marTop w:val="0"/>
      <w:marBottom w:val="0"/>
      <w:divBdr>
        <w:top w:val="none" w:sz="0" w:space="0" w:color="auto"/>
        <w:left w:val="none" w:sz="0" w:space="0" w:color="auto"/>
        <w:bottom w:val="none" w:sz="0" w:space="0" w:color="auto"/>
        <w:right w:val="none" w:sz="0" w:space="0" w:color="auto"/>
      </w:divBdr>
    </w:div>
    <w:div w:id="1482428048">
      <w:bodyDiv w:val="1"/>
      <w:marLeft w:val="0"/>
      <w:marRight w:val="0"/>
      <w:marTop w:val="0"/>
      <w:marBottom w:val="0"/>
      <w:divBdr>
        <w:top w:val="none" w:sz="0" w:space="0" w:color="auto"/>
        <w:left w:val="none" w:sz="0" w:space="0" w:color="auto"/>
        <w:bottom w:val="none" w:sz="0" w:space="0" w:color="auto"/>
        <w:right w:val="none" w:sz="0" w:space="0" w:color="auto"/>
      </w:divBdr>
    </w:div>
    <w:div w:id="1482693324">
      <w:bodyDiv w:val="1"/>
      <w:marLeft w:val="0"/>
      <w:marRight w:val="0"/>
      <w:marTop w:val="0"/>
      <w:marBottom w:val="0"/>
      <w:divBdr>
        <w:top w:val="none" w:sz="0" w:space="0" w:color="auto"/>
        <w:left w:val="none" w:sz="0" w:space="0" w:color="auto"/>
        <w:bottom w:val="none" w:sz="0" w:space="0" w:color="auto"/>
        <w:right w:val="none" w:sz="0" w:space="0" w:color="auto"/>
      </w:divBdr>
    </w:div>
    <w:div w:id="1482769450">
      <w:bodyDiv w:val="1"/>
      <w:marLeft w:val="0"/>
      <w:marRight w:val="0"/>
      <w:marTop w:val="0"/>
      <w:marBottom w:val="0"/>
      <w:divBdr>
        <w:top w:val="none" w:sz="0" w:space="0" w:color="auto"/>
        <w:left w:val="none" w:sz="0" w:space="0" w:color="auto"/>
        <w:bottom w:val="none" w:sz="0" w:space="0" w:color="auto"/>
        <w:right w:val="none" w:sz="0" w:space="0" w:color="auto"/>
      </w:divBdr>
    </w:div>
    <w:div w:id="1483043643">
      <w:bodyDiv w:val="1"/>
      <w:marLeft w:val="0"/>
      <w:marRight w:val="0"/>
      <w:marTop w:val="0"/>
      <w:marBottom w:val="0"/>
      <w:divBdr>
        <w:top w:val="none" w:sz="0" w:space="0" w:color="auto"/>
        <w:left w:val="none" w:sz="0" w:space="0" w:color="auto"/>
        <w:bottom w:val="none" w:sz="0" w:space="0" w:color="auto"/>
        <w:right w:val="none" w:sz="0" w:space="0" w:color="auto"/>
      </w:divBdr>
    </w:div>
    <w:div w:id="1483232069">
      <w:bodyDiv w:val="1"/>
      <w:marLeft w:val="0"/>
      <w:marRight w:val="0"/>
      <w:marTop w:val="0"/>
      <w:marBottom w:val="0"/>
      <w:divBdr>
        <w:top w:val="none" w:sz="0" w:space="0" w:color="auto"/>
        <w:left w:val="none" w:sz="0" w:space="0" w:color="auto"/>
        <w:bottom w:val="none" w:sz="0" w:space="0" w:color="auto"/>
        <w:right w:val="none" w:sz="0" w:space="0" w:color="auto"/>
      </w:divBdr>
    </w:div>
    <w:div w:id="1483308779">
      <w:bodyDiv w:val="1"/>
      <w:marLeft w:val="0"/>
      <w:marRight w:val="0"/>
      <w:marTop w:val="0"/>
      <w:marBottom w:val="0"/>
      <w:divBdr>
        <w:top w:val="none" w:sz="0" w:space="0" w:color="auto"/>
        <w:left w:val="none" w:sz="0" w:space="0" w:color="auto"/>
        <w:bottom w:val="none" w:sz="0" w:space="0" w:color="auto"/>
        <w:right w:val="none" w:sz="0" w:space="0" w:color="auto"/>
      </w:divBdr>
    </w:div>
    <w:div w:id="1483348384">
      <w:bodyDiv w:val="1"/>
      <w:marLeft w:val="0"/>
      <w:marRight w:val="0"/>
      <w:marTop w:val="0"/>
      <w:marBottom w:val="0"/>
      <w:divBdr>
        <w:top w:val="none" w:sz="0" w:space="0" w:color="auto"/>
        <w:left w:val="none" w:sz="0" w:space="0" w:color="auto"/>
        <w:bottom w:val="none" w:sz="0" w:space="0" w:color="auto"/>
        <w:right w:val="none" w:sz="0" w:space="0" w:color="auto"/>
      </w:divBdr>
    </w:div>
    <w:div w:id="1483618819">
      <w:bodyDiv w:val="1"/>
      <w:marLeft w:val="0"/>
      <w:marRight w:val="0"/>
      <w:marTop w:val="0"/>
      <w:marBottom w:val="0"/>
      <w:divBdr>
        <w:top w:val="none" w:sz="0" w:space="0" w:color="auto"/>
        <w:left w:val="none" w:sz="0" w:space="0" w:color="auto"/>
        <w:bottom w:val="none" w:sz="0" w:space="0" w:color="auto"/>
        <w:right w:val="none" w:sz="0" w:space="0" w:color="auto"/>
      </w:divBdr>
    </w:div>
    <w:div w:id="1483623280">
      <w:bodyDiv w:val="1"/>
      <w:marLeft w:val="0"/>
      <w:marRight w:val="0"/>
      <w:marTop w:val="0"/>
      <w:marBottom w:val="0"/>
      <w:divBdr>
        <w:top w:val="none" w:sz="0" w:space="0" w:color="auto"/>
        <w:left w:val="none" w:sz="0" w:space="0" w:color="auto"/>
        <w:bottom w:val="none" w:sz="0" w:space="0" w:color="auto"/>
        <w:right w:val="none" w:sz="0" w:space="0" w:color="auto"/>
      </w:divBdr>
    </w:div>
    <w:div w:id="1483808961">
      <w:bodyDiv w:val="1"/>
      <w:marLeft w:val="0"/>
      <w:marRight w:val="0"/>
      <w:marTop w:val="0"/>
      <w:marBottom w:val="0"/>
      <w:divBdr>
        <w:top w:val="none" w:sz="0" w:space="0" w:color="auto"/>
        <w:left w:val="none" w:sz="0" w:space="0" w:color="auto"/>
        <w:bottom w:val="none" w:sz="0" w:space="0" w:color="auto"/>
        <w:right w:val="none" w:sz="0" w:space="0" w:color="auto"/>
      </w:divBdr>
    </w:div>
    <w:div w:id="1484464937">
      <w:bodyDiv w:val="1"/>
      <w:marLeft w:val="0"/>
      <w:marRight w:val="0"/>
      <w:marTop w:val="0"/>
      <w:marBottom w:val="0"/>
      <w:divBdr>
        <w:top w:val="none" w:sz="0" w:space="0" w:color="auto"/>
        <w:left w:val="none" w:sz="0" w:space="0" w:color="auto"/>
        <w:bottom w:val="none" w:sz="0" w:space="0" w:color="auto"/>
        <w:right w:val="none" w:sz="0" w:space="0" w:color="auto"/>
      </w:divBdr>
    </w:div>
    <w:div w:id="1484538866">
      <w:bodyDiv w:val="1"/>
      <w:marLeft w:val="0"/>
      <w:marRight w:val="0"/>
      <w:marTop w:val="0"/>
      <w:marBottom w:val="0"/>
      <w:divBdr>
        <w:top w:val="none" w:sz="0" w:space="0" w:color="auto"/>
        <w:left w:val="none" w:sz="0" w:space="0" w:color="auto"/>
        <w:bottom w:val="none" w:sz="0" w:space="0" w:color="auto"/>
        <w:right w:val="none" w:sz="0" w:space="0" w:color="auto"/>
      </w:divBdr>
    </w:div>
    <w:div w:id="1484735966">
      <w:bodyDiv w:val="1"/>
      <w:marLeft w:val="0"/>
      <w:marRight w:val="0"/>
      <w:marTop w:val="0"/>
      <w:marBottom w:val="0"/>
      <w:divBdr>
        <w:top w:val="none" w:sz="0" w:space="0" w:color="auto"/>
        <w:left w:val="none" w:sz="0" w:space="0" w:color="auto"/>
        <w:bottom w:val="none" w:sz="0" w:space="0" w:color="auto"/>
        <w:right w:val="none" w:sz="0" w:space="0" w:color="auto"/>
      </w:divBdr>
    </w:div>
    <w:div w:id="1485048654">
      <w:bodyDiv w:val="1"/>
      <w:marLeft w:val="0"/>
      <w:marRight w:val="0"/>
      <w:marTop w:val="0"/>
      <w:marBottom w:val="0"/>
      <w:divBdr>
        <w:top w:val="none" w:sz="0" w:space="0" w:color="auto"/>
        <w:left w:val="none" w:sz="0" w:space="0" w:color="auto"/>
        <w:bottom w:val="none" w:sz="0" w:space="0" w:color="auto"/>
        <w:right w:val="none" w:sz="0" w:space="0" w:color="auto"/>
      </w:divBdr>
    </w:div>
    <w:div w:id="1485051197">
      <w:bodyDiv w:val="1"/>
      <w:marLeft w:val="0"/>
      <w:marRight w:val="0"/>
      <w:marTop w:val="0"/>
      <w:marBottom w:val="0"/>
      <w:divBdr>
        <w:top w:val="none" w:sz="0" w:space="0" w:color="auto"/>
        <w:left w:val="none" w:sz="0" w:space="0" w:color="auto"/>
        <w:bottom w:val="none" w:sz="0" w:space="0" w:color="auto"/>
        <w:right w:val="none" w:sz="0" w:space="0" w:color="auto"/>
      </w:divBdr>
    </w:div>
    <w:div w:id="1485198921">
      <w:bodyDiv w:val="1"/>
      <w:marLeft w:val="0"/>
      <w:marRight w:val="0"/>
      <w:marTop w:val="0"/>
      <w:marBottom w:val="0"/>
      <w:divBdr>
        <w:top w:val="none" w:sz="0" w:space="0" w:color="auto"/>
        <w:left w:val="none" w:sz="0" w:space="0" w:color="auto"/>
        <w:bottom w:val="none" w:sz="0" w:space="0" w:color="auto"/>
        <w:right w:val="none" w:sz="0" w:space="0" w:color="auto"/>
      </w:divBdr>
    </w:div>
    <w:div w:id="1485321231">
      <w:bodyDiv w:val="1"/>
      <w:marLeft w:val="0"/>
      <w:marRight w:val="0"/>
      <w:marTop w:val="0"/>
      <w:marBottom w:val="0"/>
      <w:divBdr>
        <w:top w:val="none" w:sz="0" w:space="0" w:color="auto"/>
        <w:left w:val="none" w:sz="0" w:space="0" w:color="auto"/>
        <w:bottom w:val="none" w:sz="0" w:space="0" w:color="auto"/>
        <w:right w:val="none" w:sz="0" w:space="0" w:color="auto"/>
      </w:divBdr>
    </w:div>
    <w:div w:id="1485394471">
      <w:bodyDiv w:val="1"/>
      <w:marLeft w:val="0"/>
      <w:marRight w:val="0"/>
      <w:marTop w:val="0"/>
      <w:marBottom w:val="0"/>
      <w:divBdr>
        <w:top w:val="none" w:sz="0" w:space="0" w:color="auto"/>
        <w:left w:val="none" w:sz="0" w:space="0" w:color="auto"/>
        <w:bottom w:val="none" w:sz="0" w:space="0" w:color="auto"/>
        <w:right w:val="none" w:sz="0" w:space="0" w:color="auto"/>
      </w:divBdr>
    </w:div>
    <w:div w:id="1485927924">
      <w:bodyDiv w:val="1"/>
      <w:marLeft w:val="0"/>
      <w:marRight w:val="0"/>
      <w:marTop w:val="0"/>
      <w:marBottom w:val="0"/>
      <w:divBdr>
        <w:top w:val="none" w:sz="0" w:space="0" w:color="auto"/>
        <w:left w:val="none" w:sz="0" w:space="0" w:color="auto"/>
        <w:bottom w:val="none" w:sz="0" w:space="0" w:color="auto"/>
        <w:right w:val="none" w:sz="0" w:space="0" w:color="auto"/>
      </w:divBdr>
    </w:div>
    <w:div w:id="1485975071">
      <w:bodyDiv w:val="1"/>
      <w:marLeft w:val="0"/>
      <w:marRight w:val="0"/>
      <w:marTop w:val="0"/>
      <w:marBottom w:val="0"/>
      <w:divBdr>
        <w:top w:val="none" w:sz="0" w:space="0" w:color="auto"/>
        <w:left w:val="none" w:sz="0" w:space="0" w:color="auto"/>
        <w:bottom w:val="none" w:sz="0" w:space="0" w:color="auto"/>
        <w:right w:val="none" w:sz="0" w:space="0" w:color="auto"/>
      </w:divBdr>
    </w:div>
    <w:div w:id="1486044113">
      <w:bodyDiv w:val="1"/>
      <w:marLeft w:val="0"/>
      <w:marRight w:val="0"/>
      <w:marTop w:val="0"/>
      <w:marBottom w:val="0"/>
      <w:divBdr>
        <w:top w:val="none" w:sz="0" w:space="0" w:color="auto"/>
        <w:left w:val="none" w:sz="0" w:space="0" w:color="auto"/>
        <w:bottom w:val="none" w:sz="0" w:space="0" w:color="auto"/>
        <w:right w:val="none" w:sz="0" w:space="0" w:color="auto"/>
      </w:divBdr>
    </w:div>
    <w:div w:id="1486119223">
      <w:bodyDiv w:val="1"/>
      <w:marLeft w:val="0"/>
      <w:marRight w:val="0"/>
      <w:marTop w:val="0"/>
      <w:marBottom w:val="0"/>
      <w:divBdr>
        <w:top w:val="none" w:sz="0" w:space="0" w:color="auto"/>
        <w:left w:val="none" w:sz="0" w:space="0" w:color="auto"/>
        <w:bottom w:val="none" w:sz="0" w:space="0" w:color="auto"/>
        <w:right w:val="none" w:sz="0" w:space="0" w:color="auto"/>
      </w:divBdr>
    </w:div>
    <w:div w:id="1486239149">
      <w:bodyDiv w:val="1"/>
      <w:marLeft w:val="0"/>
      <w:marRight w:val="0"/>
      <w:marTop w:val="0"/>
      <w:marBottom w:val="0"/>
      <w:divBdr>
        <w:top w:val="none" w:sz="0" w:space="0" w:color="auto"/>
        <w:left w:val="none" w:sz="0" w:space="0" w:color="auto"/>
        <w:bottom w:val="none" w:sz="0" w:space="0" w:color="auto"/>
        <w:right w:val="none" w:sz="0" w:space="0" w:color="auto"/>
      </w:divBdr>
    </w:div>
    <w:div w:id="1486433491">
      <w:bodyDiv w:val="1"/>
      <w:marLeft w:val="0"/>
      <w:marRight w:val="0"/>
      <w:marTop w:val="0"/>
      <w:marBottom w:val="0"/>
      <w:divBdr>
        <w:top w:val="none" w:sz="0" w:space="0" w:color="auto"/>
        <w:left w:val="none" w:sz="0" w:space="0" w:color="auto"/>
        <w:bottom w:val="none" w:sz="0" w:space="0" w:color="auto"/>
        <w:right w:val="none" w:sz="0" w:space="0" w:color="auto"/>
      </w:divBdr>
    </w:div>
    <w:div w:id="1486435868">
      <w:bodyDiv w:val="1"/>
      <w:marLeft w:val="0"/>
      <w:marRight w:val="0"/>
      <w:marTop w:val="0"/>
      <w:marBottom w:val="0"/>
      <w:divBdr>
        <w:top w:val="none" w:sz="0" w:space="0" w:color="auto"/>
        <w:left w:val="none" w:sz="0" w:space="0" w:color="auto"/>
        <w:bottom w:val="none" w:sz="0" w:space="0" w:color="auto"/>
        <w:right w:val="none" w:sz="0" w:space="0" w:color="auto"/>
      </w:divBdr>
    </w:div>
    <w:div w:id="1486776994">
      <w:bodyDiv w:val="1"/>
      <w:marLeft w:val="0"/>
      <w:marRight w:val="0"/>
      <w:marTop w:val="0"/>
      <w:marBottom w:val="0"/>
      <w:divBdr>
        <w:top w:val="none" w:sz="0" w:space="0" w:color="auto"/>
        <w:left w:val="none" w:sz="0" w:space="0" w:color="auto"/>
        <w:bottom w:val="none" w:sz="0" w:space="0" w:color="auto"/>
        <w:right w:val="none" w:sz="0" w:space="0" w:color="auto"/>
      </w:divBdr>
    </w:div>
    <w:div w:id="1486777156">
      <w:bodyDiv w:val="1"/>
      <w:marLeft w:val="0"/>
      <w:marRight w:val="0"/>
      <w:marTop w:val="0"/>
      <w:marBottom w:val="0"/>
      <w:divBdr>
        <w:top w:val="none" w:sz="0" w:space="0" w:color="auto"/>
        <w:left w:val="none" w:sz="0" w:space="0" w:color="auto"/>
        <w:bottom w:val="none" w:sz="0" w:space="0" w:color="auto"/>
        <w:right w:val="none" w:sz="0" w:space="0" w:color="auto"/>
      </w:divBdr>
    </w:div>
    <w:div w:id="1486781334">
      <w:bodyDiv w:val="1"/>
      <w:marLeft w:val="0"/>
      <w:marRight w:val="0"/>
      <w:marTop w:val="0"/>
      <w:marBottom w:val="0"/>
      <w:divBdr>
        <w:top w:val="none" w:sz="0" w:space="0" w:color="auto"/>
        <w:left w:val="none" w:sz="0" w:space="0" w:color="auto"/>
        <w:bottom w:val="none" w:sz="0" w:space="0" w:color="auto"/>
        <w:right w:val="none" w:sz="0" w:space="0" w:color="auto"/>
      </w:divBdr>
    </w:div>
    <w:div w:id="1486975946">
      <w:bodyDiv w:val="1"/>
      <w:marLeft w:val="0"/>
      <w:marRight w:val="0"/>
      <w:marTop w:val="0"/>
      <w:marBottom w:val="0"/>
      <w:divBdr>
        <w:top w:val="none" w:sz="0" w:space="0" w:color="auto"/>
        <w:left w:val="none" w:sz="0" w:space="0" w:color="auto"/>
        <w:bottom w:val="none" w:sz="0" w:space="0" w:color="auto"/>
        <w:right w:val="none" w:sz="0" w:space="0" w:color="auto"/>
      </w:divBdr>
    </w:div>
    <w:div w:id="1487160512">
      <w:bodyDiv w:val="1"/>
      <w:marLeft w:val="0"/>
      <w:marRight w:val="0"/>
      <w:marTop w:val="0"/>
      <w:marBottom w:val="0"/>
      <w:divBdr>
        <w:top w:val="none" w:sz="0" w:space="0" w:color="auto"/>
        <w:left w:val="none" w:sz="0" w:space="0" w:color="auto"/>
        <w:bottom w:val="none" w:sz="0" w:space="0" w:color="auto"/>
        <w:right w:val="none" w:sz="0" w:space="0" w:color="auto"/>
      </w:divBdr>
    </w:div>
    <w:div w:id="1487164322">
      <w:bodyDiv w:val="1"/>
      <w:marLeft w:val="0"/>
      <w:marRight w:val="0"/>
      <w:marTop w:val="0"/>
      <w:marBottom w:val="0"/>
      <w:divBdr>
        <w:top w:val="none" w:sz="0" w:space="0" w:color="auto"/>
        <w:left w:val="none" w:sz="0" w:space="0" w:color="auto"/>
        <w:bottom w:val="none" w:sz="0" w:space="0" w:color="auto"/>
        <w:right w:val="none" w:sz="0" w:space="0" w:color="auto"/>
      </w:divBdr>
    </w:div>
    <w:div w:id="1487355934">
      <w:bodyDiv w:val="1"/>
      <w:marLeft w:val="0"/>
      <w:marRight w:val="0"/>
      <w:marTop w:val="0"/>
      <w:marBottom w:val="0"/>
      <w:divBdr>
        <w:top w:val="none" w:sz="0" w:space="0" w:color="auto"/>
        <w:left w:val="none" w:sz="0" w:space="0" w:color="auto"/>
        <w:bottom w:val="none" w:sz="0" w:space="0" w:color="auto"/>
        <w:right w:val="none" w:sz="0" w:space="0" w:color="auto"/>
      </w:divBdr>
    </w:div>
    <w:div w:id="1487673960">
      <w:bodyDiv w:val="1"/>
      <w:marLeft w:val="0"/>
      <w:marRight w:val="0"/>
      <w:marTop w:val="0"/>
      <w:marBottom w:val="0"/>
      <w:divBdr>
        <w:top w:val="none" w:sz="0" w:space="0" w:color="auto"/>
        <w:left w:val="none" w:sz="0" w:space="0" w:color="auto"/>
        <w:bottom w:val="none" w:sz="0" w:space="0" w:color="auto"/>
        <w:right w:val="none" w:sz="0" w:space="0" w:color="auto"/>
      </w:divBdr>
    </w:div>
    <w:div w:id="1487817943">
      <w:bodyDiv w:val="1"/>
      <w:marLeft w:val="0"/>
      <w:marRight w:val="0"/>
      <w:marTop w:val="0"/>
      <w:marBottom w:val="0"/>
      <w:divBdr>
        <w:top w:val="none" w:sz="0" w:space="0" w:color="auto"/>
        <w:left w:val="none" w:sz="0" w:space="0" w:color="auto"/>
        <w:bottom w:val="none" w:sz="0" w:space="0" w:color="auto"/>
        <w:right w:val="none" w:sz="0" w:space="0" w:color="auto"/>
      </w:divBdr>
    </w:div>
    <w:div w:id="1487892272">
      <w:bodyDiv w:val="1"/>
      <w:marLeft w:val="0"/>
      <w:marRight w:val="0"/>
      <w:marTop w:val="0"/>
      <w:marBottom w:val="0"/>
      <w:divBdr>
        <w:top w:val="none" w:sz="0" w:space="0" w:color="auto"/>
        <w:left w:val="none" w:sz="0" w:space="0" w:color="auto"/>
        <w:bottom w:val="none" w:sz="0" w:space="0" w:color="auto"/>
        <w:right w:val="none" w:sz="0" w:space="0" w:color="auto"/>
      </w:divBdr>
    </w:div>
    <w:div w:id="1488086024">
      <w:bodyDiv w:val="1"/>
      <w:marLeft w:val="0"/>
      <w:marRight w:val="0"/>
      <w:marTop w:val="0"/>
      <w:marBottom w:val="0"/>
      <w:divBdr>
        <w:top w:val="none" w:sz="0" w:space="0" w:color="auto"/>
        <w:left w:val="none" w:sz="0" w:space="0" w:color="auto"/>
        <w:bottom w:val="none" w:sz="0" w:space="0" w:color="auto"/>
        <w:right w:val="none" w:sz="0" w:space="0" w:color="auto"/>
      </w:divBdr>
    </w:div>
    <w:div w:id="1488478944">
      <w:bodyDiv w:val="1"/>
      <w:marLeft w:val="0"/>
      <w:marRight w:val="0"/>
      <w:marTop w:val="0"/>
      <w:marBottom w:val="0"/>
      <w:divBdr>
        <w:top w:val="none" w:sz="0" w:space="0" w:color="auto"/>
        <w:left w:val="none" w:sz="0" w:space="0" w:color="auto"/>
        <w:bottom w:val="none" w:sz="0" w:space="0" w:color="auto"/>
        <w:right w:val="none" w:sz="0" w:space="0" w:color="auto"/>
      </w:divBdr>
    </w:div>
    <w:div w:id="1488479479">
      <w:bodyDiv w:val="1"/>
      <w:marLeft w:val="0"/>
      <w:marRight w:val="0"/>
      <w:marTop w:val="0"/>
      <w:marBottom w:val="0"/>
      <w:divBdr>
        <w:top w:val="none" w:sz="0" w:space="0" w:color="auto"/>
        <w:left w:val="none" w:sz="0" w:space="0" w:color="auto"/>
        <w:bottom w:val="none" w:sz="0" w:space="0" w:color="auto"/>
        <w:right w:val="none" w:sz="0" w:space="0" w:color="auto"/>
      </w:divBdr>
    </w:div>
    <w:div w:id="1488668411">
      <w:bodyDiv w:val="1"/>
      <w:marLeft w:val="0"/>
      <w:marRight w:val="0"/>
      <w:marTop w:val="0"/>
      <w:marBottom w:val="0"/>
      <w:divBdr>
        <w:top w:val="none" w:sz="0" w:space="0" w:color="auto"/>
        <w:left w:val="none" w:sz="0" w:space="0" w:color="auto"/>
        <w:bottom w:val="none" w:sz="0" w:space="0" w:color="auto"/>
        <w:right w:val="none" w:sz="0" w:space="0" w:color="auto"/>
      </w:divBdr>
    </w:div>
    <w:div w:id="1488744397">
      <w:bodyDiv w:val="1"/>
      <w:marLeft w:val="0"/>
      <w:marRight w:val="0"/>
      <w:marTop w:val="0"/>
      <w:marBottom w:val="0"/>
      <w:divBdr>
        <w:top w:val="none" w:sz="0" w:space="0" w:color="auto"/>
        <w:left w:val="none" w:sz="0" w:space="0" w:color="auto"/>
        <w:bottom w:val="none" w:sz="0" w:space="0" w:color="auto"/>
        <w:right w:val="none" w:sz="0" w:space="0" w:color="auto"/>
      </w:divBdr>
    </w:div>
    <w:div w:id="1488979682">
      <w:bodyDiv w:val="1"/>
      <w:marLeft w:val="0"/>
      <w:marRight w:val="0"/>
      <w:marTop w:val="0"/>
      <w:marBottom w:val="0"/>
      <w:divBdr>
        <w:top w:val="none" w:sz="0" w:space="0" w:color="auto"/>
        <w:left w:val="none" w:sz="0" w:space="0" w:color="auto"/>
        <w:bottom w:val="none" w:sz="0" w:space="0" w:color="auto"/>
        <w:right w:val="none" w:sz="0" w:space="0" w:color="auto"/>
      </w:divBdr>
    </w:div>
    <w:div w:id="1489857515">
      <w:bodyDiv w:val="1"/>
      <w:marLeft w:val="0"/>
      <w:marRight w:val="0"/>
      <w:marTop w:val="0"/>
      <w:marBottom w:val="0"/>
      <w:divBdr>
        <w:top w:val="none" w:sz="0" w:space="0" w:color="auto"/>
        <w:left w:val="none" w:sz="0" w:space="0" w:color="auto"/>
        <w:bottom w:val="none" w:sz="0" w:space="0" w:color="auto"/>
        <w:right w:val="none" w:sz="0" w:space="0" w:color="auto"/>
      </w:divBdr>
    </w:div>
    <w:div w:id="1490712443">
      <w:bodyDiv w:val="1"/>
      <w:marLeft w:val="0"/>
      <w:marRight w:val="0"/>
      <w:marTop w:val="0"/>
      <w:marBottom w:val="0"/>
      <w:divBdr>
        <w:top w:val="none" w:sz="0" w:space="0" w:color="auto"/>
        <w:left w:val="none" w:sz="0" w:space="0" w:color="auto"/>
        <w:bottom w:val="none" w:sz="0" w:space="0" w:color="auto"/>
        <w:right w:val="none" w:sz="0" w:space="0" w:color="auto"/>
      </w:divBdr>
    </w:div>
    <w:div w:id="1490714300">
      <w:bodyDiv w:val="1"/>
      <w:marLeft w:val="0"/>
      <w:marRight w:val="0"/>
      <w:marTop w:val="0"/>
      <w:marBottom w:val="0"/>
      <w:divBdr>
        <w:top w:val="none" w:sz="0" w:space="0" w:color="auto"/>
        <w:left w:val="none" w:sz="0" w:space="0" w:color="auto"/>
        <w:bottom w:val="none" w:sz="0" w:space="0" w:color="auto"/>
        <w:right w:val="none" w:sz="0" w:space="0" w:color="auto"/>
      </w:divBdr>
    </w:div>
    <w:div w:id="1490751244">
      <w:bodyDiv w:val="1"/>
      <w:marLeft w:val="0"/>
      <w:marRight w:val="0"/>
      <w:marTop w:val="0"/>
      <w:marBottom w:val="0"/>
      <w:divBdr>
        <w:top w:val="none" w:sz="0" w:space="0" w:color="auto"/>
        <w:left w:val="none" w:sz="0" w:space="0" w:color="auto"/>
        <w:bottom w:val="none" w:sz="0" w:space="0" w:color="auto"/>
        <w:right w:val="none" w:sz="0" w:space="0" w:color="auto"/>
      </w:divBdr>
    </w:div>
    <w:div w:id="1490752070">
      <w:bodyDiv w:val="1"/>
      <w:marLeft w:val="0"/>
      <w:marRight w:val="0"/>
      <w:marTop w:val="0"/>
      <w:marBottom w:val="0"/>
      <w:divBdr>
        <w:top w:val="none" w:sz="0" w:space="0" w:color="auto"/>
        <w:left w:val="none" w:sz="0" w:space="0" w:color="auto"/>
        <w:bottom w:val="none" w:sz="0" w:space="0" w:color="auto"/>
        <w:right w:val="none" w:sz="0" w:space="0" w:color="auto"/>
      </w:divBdr>
    </w:div>
    <w:div w:id="1490832285">
      <w:bodyDiv w:val="1"/>
      <w:marLeft w:val="0"/>
      <w:marRight w:val="0"/>
      <w:marTop w:val="0"/>
      <w:marBottom w:val="0"/>
      <w:divBdr>
        <w:top w:val="none" w:sz="0" w:space="0" w:color="auto"/>
        <w:left w:val="none" w:sz="0" w:space="0" w:color="auto"/>
        <w:bottom w:val="none" w:sz="0" w:space="0" w:color="auto"/>
        <w:right w:val="none" w:sz="0" w:space="0" w:color="auto"/>
      </w:divBdr>
    </w:div>
    <w:div w:id="1491022044">
      <w:bodyDiv w:val="1"/>
      <w:marLeft w:val="0"/>
      <w:marRight w:val="0"/>
      <w:marTop w:val="0"/>
      <w:marBottom w:val="0"/>
      <w:divBdr>
        <w:top w:val="none" w:sz="0" w:space="0" w:color="auto"/>
        <w:left w:val="none" w:sz="0" w:space="0" w:color="auto"/>
        <w:bottom w:val="none" w:sz="0" w:space="0" w:color="auto"/>
        <w:right w:val="none" w:sz="0" w:space="0" w:color="auto"/>
      </w:divBdr>
    </w:div>
    <w:div w:id="1491100373">
      <w:bodyDiv w:val="1"/>
      <w:marLeft w:val="0"/>
      <w:marRight w:val="0"/>
      <w:marTop w:val="0"/>
      <w:marBottom w:val="0"/>
      <w:divBdr>
        <w:top w:val="none" w:sz="0" w:space="0" w:color="auto"/>
        <w:left w:val="none" w:sz="0" w:space="0" w:color="auto"/>
        <w:bottom w:val="none" w:sz="0" w:space="0" w:color="auto"/>
        <w:right w:val="none" w:sz="0" w:space="0" w:color="auto"/>
      </w:divBdr>
    </w:div>
    <w:div w:id="1491366437">
      <w:bodyDiv w:val="1"/>
      <w:marLeft w:val="0"/>
      <w:marRight w:val="0"/>
      <w:marTop w:val="0"/>
      <w:marBottom w:val="0"/>
      <w:divBdr>
        <w:top w:val="none" w:sz="0" w:space="0" w:color="auto"/>
        <w:left w:val="none" w:sz="0" w:space="0" w:color="auto"/>
        <w:bottom w:val="none" w:sz="0" w:space="0" w:color="auto"/>
        <w:right w:val="none" w:sz="0" w:space="0" w:color="auto"/>
      </w:divBdr>
    </w:div>
    <w:div w:id="1491479589">
      <w:bodyDiv w:val="1"/>
      <w:marLeft w:val="0"/>
      <w:marRight w:val="0"/>
      <w:marTop w:val="0"/>
      <w:marBottom w:val="0"/>
      <w:divBdr>
        <w:top w:val="none" w:sz="0" w:space="0" w:color="auto"/>
        <w:left w:val="none" w:sz="0" w:space="0" w:color="auto"/>
        <w:bottom w:val="none" w:sz="0" w:space="0" w:color="auto"/>
        <w:right w:val="none" w:sz="0" w:space="0" w:color="auto"/>
      </w:divBdr>
    </w:div>
    <w:div w:id="1491479918">
      <w:bodyDiv w:val="1"/>
      <w:marLeft w:val="0"/>
      <w:marRight w:val="0"/>
      <w:marTop w:val="0"/>
      <w:marBottom w:val="0"/>
      <w:divBdr>
        <w:top w:val="none" w:sz="0" w:space="0" w:color="auto"/>
        <w:left w:val="none" w:sz="0" w:space="0" w:color="auto"/>
        <w:bottom w:val="none" w:sz="0" w:space="0" w:color="auto"/>
        <w:right w:val="none" w:sz="0" w:space="0" w:color="auto"/>
      </w:divBdr>
    </w:div>
    <w:div w:id="1491942255">
      <w:bodyDiv w:val="1"/>
      <w:marLeft w:val="0"/>
      <w:marRight w:val="0"/>
      <w:marTop w:val="0"/>
      <w:marBottom w:val="0"/>
      <w:divBdr>
        <w:top w:val="none" w:sz="0" w:space="0" w:color="auto"/>
        <w:left w:val="none" w:sz="0" w:space="0" w:color="auto"/>
        <w:bottom w:val="none" w:sz="0" w:space="0" w:color="auto"/>
        <w:right w:val="none" w:sz="0" w:space="0" w:color="auto"/>
      </w:divBdr>
    </w:div>
    <w:div w:id="1491946056">
      <w:bodyDiv w:val="1"/>
      <w:marLeft w:val="0"/>
      <w:marRight w:val="0"/>
      <w:marTop w:val="0"/>
      <w:marBottom w:val="0"/>
      <w:divBdr>
        <w:top w:val="none" w:sz="0" w:space="0" w:color="auto"/>
        <w:left w:val="none" w:sz="0" w:space="0" w:color="auto"/>
        <w:bottom w:val="none" w:sz="0" w:space="0" w:color="auto"/>
        <w:right w:val="none" w:sz="0" w:space="0" w:color="auto"/>
      </w:divBdr>
    </w:div>
    <w:div w:id="1491946104">
      <w:bodyDiv w:val="1"/>
      <w:marLeft w:val="0"/>
      <w:marRight w:val="0"/>
      <w:marTop w:val="0"/>
      <w:marBottom w:val="0"/>
      <w:divBdr>
        <w:top w:val="none" w:sz="0" w:space="0" w:color="auto"/>
        <w:left w:val="none" w:sz="0" w:space="0" w:color="auto"/>
        <w:bottom w:val="none" w:sz="0" w:space="0" w:color="auto"/>
        <w:right w:val="none" w:sz="0" w:space="0" w:color="auto"/>
      </w:divBdr>
    </w:div>
    <w:div w:id="1492139258">
      <w:bodyDiv w:val="1"/>
      <w:marLeft w:val="0"/>
      <w:marRight w:val="0"/>
      <w:marTop w:val="0"/>
      <w:marBottom w:val="0"/>
      <w:divBdr>
        <w:top w:val="none" w:sz="0" w:space="0" w:color="auto"/>
        <w:left w:val="none" w:sz="0" w:space="0" w:color="auto"/>
        <w:bottom w:val="none" w:sz="0" w:space="0" w:color="auto"/>
        <w:right w:val="none" w:sz="0" w:space="0" w:color="auto"/>
      </w:divBdr>
    </w:div>
    <w:div w:id="1492214383">
      <w:bodyDiv w:val="1"/>
      <w:marLeft w:val="0"/>
      <w:marRight w:val="0"/>
      <w:marTop w:val="0"/>
      <w:marBottom w:val="0"/>
      <w:divBdr>
        <w:top w:val="none" w:sz="0" w:space="0" w:color="auto"/>
        <w:left w:val="none" w:sz="0" w:space="0" w:color="auto"/>
        <w:bottom w:val="none" w:sz="0" w:space="0" w:color="auto"/>
        <w:right w:val="none" w:sz="0" w:space="0" w:color="auto"/>
      </w:divBdr>
    </w:div>
    <w:div w:id="1492328258">
      <w:bodyDiv w:val="1"/>
      <w:marLeft w:val="0"/>
      <w:marRight w:val="0"/>
      <w:marTop w:val="0"/>
      <w:marBottom w:val="0"/>
      <w:divBdr>
        <w:top w:val="none" w:sz="0" w:space="0" w:color="auto"/>
        <w:left w:val="none" w:sz="0" w:space="0" w:color="auto"/>
        <w:bottom w:val="none" w:sz="0" w:space="0" w:color="auto"/>
        <w:right w:val="none" w:sz="0" w:space="0" w:color="auto"/>
      </w:divBdr>
    </w:div>
    <w:div w:id="1493325932">
      <w:bodyDiv w:val="1"/>
      <w:marLeft w:val="0"/>
      <w:marRight w:val="0"/>
      <w:marTop w:val="0"/>
      <w:marBottom w:val="0"/>
      <w:divBdr>
        <w:top w:val="none" w:sz="0" w:space="0" w:color="auto"/>
        <w:left w:val="none" w:sz="0" w:space="0" w:color="auto"/>
        <w:bottom w:val="none" w:sz="0" w:space="0" w:color="auto"/>
        <w:right w:val="none" w:sz="0" w:space="0" w:color="auto"/>
      </w:divBdr>
    </w:div>
    <w:div w:id="1493451481">
      <w:bodyDiv w:val="1"/>
      <w:marLeft w:val="0"/>
      <w:marRight w:val="0"/>
      <w:marTop w:val="0"/>
      <w:marBottom w:val="0"/>
      <w:divBdr>
        <w:top w:val="none" w:sz="0" w:space="0" w:color="auto"/>
        <w:left w:val="none" w:sz="0" w:space="0" w:color="auto"/>
        <w:bottom w:val="none" w:sz="0" w:space="0" w:color="auto"/>
        <w:right w:val="none" w:sz="0" w:space="0" w:color="auto"/>
      </w:divBdr>
    </w:div>
    <w:div w:id="1493520325">
      <w:bodyDiv w:val="1"/>
      <w:marLeft w:val="0"/>
      <w:marRight w:val="0"/>
      <w:marTop w:val="0"/>
      <w:marBottom w:val="0"/>
      <w:divBdr>
        <w:top w:val="none" w:sz="0" w:space="0" w:color="auto"/>
        <w:left w:val="none" w:sz="0" w:space="0" w:color="auto"/>
        <w:bottom w:val="none" w:sz="0" w:space="0" w:color="auto"/>
        <w:right w:val="none" w:sz="0" w:space="0" w:color="auto"/>
      </w:divBdr>
    </w:div>
    <w:div w:id="1494295097">
      <w:bodyDiv w:val="1"/>
      <w:marLeft w:val="0"/>
      <w:marRight w:val="0"/>
      <w:marTop w:val="0"/>
      <w:marBottom w:val="0"/>
      <w:divBdr>
        <w:top w:val="none" w:sz="0" w:space="0" w:color="auto"/>
        <w:left w:val="none" w:sz="0" w:space="0" w:color="auto"/>
        <w:bottom w:val="none" w:sz="0" w:space="0" w:color="auto"/>
        <w:right w:val="none" w:sz="0" w:space="0" w:color="auto"/>
      </w:divBdr>
    </w:div>
    <w:div w:id="1494375372">
      <w:bodyDiv w:val="1"/>
      <w:marLeft w:val="0"/>
      <w:marRight w:val="0"/>
      <w:marTop w:val="0"/>
      <w:marBottom w:val="0"/>
      <w:divBdr>
        <w:top w:val="none" w:sz="0" w:space="0" w:color="auto"/>
        <w:left w:val="none" w:sz="0" w:space="0" w:color="auto"/>
        <w:bottom w:val="none" w:sz="0" w:space="0" w:color="auto"/>
        <w:right w:val="none" w:sz="0" w:space="0" w:color="auto"/>
      </w:divBdr>
    </w:div>
    <w:div w:id="1494878266">
      <w:bodyDiv w:val="1"/>
      <w:marLeft w:val="0"/>
      <w:marRight w:val="0"/>
      <w:marTop w:val="0"/>
      <w:marBottom w:val="0"/>
      <w:divBdr>
        <w:top w:val="none" w:sz="0" w:space="0" w:color="auto"/>
        <w:left w:val="none" w:sz="0" w:space="0" w:color="auto"/>
        <w:bottom w:val="none" w:sz="0" w:space="0" w:color="auto"/>
        <w:right w:val="none" w:sz="0" w:space="0" w:color="auto"/>
      </w:divBdr>
    </w:div>
    <w:div w:id="1494952113">
      <w:bodyDiv w:val="1"/>
      <w:marLeft w:val="0"/>
      <w:marRight w:val="0"/>
      <w:marTop w:val="0"/>
      <w:marBottom w:val="0"/>
      <w:divBdr>
        <w:top w:val="none" w:sz="0" w:space="0" w:color="auto"/>
        <w:left w:val="none" w:sz="0" w:space="0" w:color="auto"/>
        <w:bottom w:val="none" w:sz="0" w:space="0" w:color="auto"/>
        <w:right w:val="none" w:sz="0" w:space="0" w:color="auto"/>
      </w:divBdr>
    </w:div>
    <w:div w:id="1494955057">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495409951">
      <w:bodyDiv w:val="1"/>
      <w:marLeft w:val="0"/>
      <w:marRight w:val="0"/>
      <w:marTop w:val="0"/>
      <w:marBottom w:val="0"/>
      <w:divBdr>
        <w:top w:val="none" w:sz="0" w:space="0" w:color="auto"/>
        <w:left w:val="none" w:sz="0" w:space="0" w:color="auto"/>
        <w:bottom w:val="none" w:sz="0" w:space="0" w:color="auto"/>
        <w:right w:val="none" w:sz="0" w:space="0" w:color="auto"/>
      </w:divBdr>
    </w:div>
    <w:div w:id="1495729859">
      <w:bodyDiv w:val="1"/>
      <w:marLeft w:val="0"/>
      <w:marRight w:val="0"/>
      <w:marTop w:val="0"/>
      <w:marBottom w:val="0"/>
      <w:divBdr>
        <w:top w:val="none" w:sz="0" w:space="0" w:color="auto"/>
        <w:left w:val="none" w:sz="0" w:space="0" w:color="auto"/>
        <w:bottom w:val="none" w:sz="0" w:space="0" w:color="auto"/>
        <w:right w:val="none" w:sz="0" w:space="0" w:color="auto"/>
      </w:divBdr>
    </w:div>
    <w:div w:id="1495872252">
      <w:bodyDiv w:val="1"/>
      <w:marLeft w:val="0"/>
      <w:marRight w:val="0"/>
      <w:marTop w:val="0"/>
      <w:marBottom w:val="0"/>
      <w:divBdr>
        <w:top w:val="none" w:sz="0" w:space="0" w:color="auto"/>
        <w:left w:val="none" w:sz="0" w:space="0" w:color="auto"/>
        <w:bottom w:val="none" w:sz="0" w:space="0" w:color="auto"/>
        <w:right w:val="none" w:sz="0" w:space="0" w:color="auto"/>
      </w:divBdr>
    </w:div>
    <w:div w:id="1495877320">
      <w:bodyDiv w:val="1"/>
      <w:marLeft w:val="0"/>
      <w:marRight w:val="0"/>
      <w:marTop w:val="0"/>
      <w:marBottom w:val="0"/>
      <w:divBdr>
        <w:top w:val="none" w:sz="0" w:space="0" w:color="auto"/>
        <w:left w:val="none" w:sz="0" w:space="0" w:color="auto"/>
        <w:bottom w:val="none" w:sz="0" w:space="0" w:color="auto"/>
        <w:right w:val="none" w:sz="0" w:space="0" w:color="auto"/>
      </w:divBdr>
    </w:div>
    <w:div w:id="1496146507">
      <w:bodyDiv w:val="1"/>
      <w:marLeft w:val="0"/>
      <w:marRight w:val="0"/>
      <w:marTop w:val="0"/>
      <w:marBottom w:val="0"/>
      <w:divBdr>
        <w:top w:val="none" w:sz="0" w:space="0" w:color="auto"/>
        <w:left w:val="none" w:sz="0" w:space="0" w:color="auto"/>
        <w:bottom w:val="none" w:sz="0" w:space="0" w:color="auto"/>
        <w:right w:val="none" w:sz="0" w:space="0" w:color="auto"/>
      </w:divBdr>
    </w:div>
    <w:div w:id="1496188515">
      <w:bodyDiv w:val="1"/>
      <w:marLeft w:val="0"/>
      <w:marRight w:val="0"/>
      <w:marTop w:val="0"/>
      <w:marBottom w:val="0"/>
      <w:divBdr>
        <w:top w:val="none" w:sz="0" w:space="0" w:color="auto"/>
        <w:left w:val="none" w:sz="0" w:space="0" w:color="auto"/>
        <w:bottom w:val="none" w:sz="0" w:space="0" w:color="auto"/>
        <w:right w:val="none" w:sz="0" w:space="0" w:color="auto"/>
      </w:divBdr>
    </w:div>
    <w:div w:id="1496215838">
      <w:bodyDiv w:val="1"/>
      <w:marLeft w:val="0"/>
      <w:marRight w:val="0"/>
      <w:marTop w:val="0"/>
      <w:marBottom w:val="0"/>
      <w:divBdr>
        <w:top w:val="none" w:sz="0" w:space="0" w:color="auto"/>
        <w:left w:val="none" w:sz="0" w:space="0" w:color="auto"/>
        <w:bottom w:val="none" w:sz="0" w:space="0" w:color="auto"/>
        <w:right w:val="none" w:sz="0" w:space="0" w:color="auto"/>
      </w:divBdr>
    </w:div>
    <w:div w:id="1496650096">
      <w:bodyDiv w:val="1"/>
      <w:marLeft w:val="0"/>
      <w:marRight w:val="0"/>
      <w:marTop w:val="0"/>
      <w:marBottom w:val="0"/>
      <w:divBdr>
        <w:top w:val="none" w:sz="0" w:space="0" w:color="auto"/>
        <w:left w:val="none" w:sz="0" w:space="0" w:color="auto"/>
        <w:bottom w:val="none" w:sz="0" w:space="0" w:color="auto"/>
        <w:right w:val="none" w:sz="0" w:space="0" w:color="auto"/>
      </w:divBdr>
    </w:div>
    <w:div w:id="1496678082">
      <w:bodyDiv w:val="1"/>
      <w:marLeft w:val="0"/>
      <w:marRight w:val="0"/>
      <w:marTop w:val="0"/>
      <w:marBottom w:val="0"/>
      <w:divBdr>
        <w:top w:val="none" w:sz="0" w:space="0" w:color="auto"/>
        <w:left w:val="none" w:sz="0" w:space="0" w:color="auto"/>
        <w:bottom w:val="none" w:sz="0" w:space="0" w:color="auto"/>
        <w:right w:val="none" w:sz="0" w:space="0" w:color="auto"/>
      </w:divBdr>
    </w:div>
    <w:div w:id="1496872401">
      <w:bodyDiv w:val="1"/>
      <w:marLeft w:val="0"/>
      <w:marRight w:val="0"/>
      <w:marTop w:val="0"/>
      <w:marBottom w:val="0"/>
      <w:divBdr>
        <w:top w:val="none" w:sz="0" w:space="0" w:color="auto"/>
        <w:left w:val="none" w:sz="0" w:space="0" w:color="auto"/>
        <w:bottom w:val="none" w:sz="0" w:space="0" w:color="auto"/>
        <w:right w:val="none" w:sz="0" w:space="0" w:color="auto"/>
      </w:divBdr>
    </w:div>
    <w:div w:id="1497190715">
      <w:bodyDiv w:val="1"/>
      <w:marLeft w:val="0"/>
      <w:marRight w:val="0"/>
      <w:marTop w:val="0"/>
      <w:marBottom w:val="0"/>
      <w:divBdr>
        <w:top w:val="none" w:sz="0" w:space="0" w:color="auto"/>
        <w:left w:val="none" w:sz="0" w:space="0" w:color="auto"/>
        <w:bottom w:val="none" w:sz="0" w:space="0" w:color="auto"/>
        <w:right w:val="none" w:sz="0" w:space="0" w:color="auto"/>
      </w:divBdr>
    </w:div>
    <w:div w:id="1497257727">
      <w:bodyDiv w:val="1"/>
      <w:marLeft w:val="0"/>
      <w:marRight w:val="0"/>
      <w:marTop w:val="0"/>
      <w:marBottom w:val="0"/>
      <w:divBdr>
        <w:top w:val="none" w:sz="0" w:space="0" w:color="auto"/>
        <w:left w:val="none" w:sz="0" w:space="0" w:color="auto"/>
        <w:bottom w:val="none" w:sz="0" w:space="0" w:color="auto"/>
        <w:right w:val="none" w:sz="0" w:space="0" w:color="auto"/>
      </w:divBdr>
    </w:div>
    <w:div w:id="1497307456">
      <w:bodyDiv w:val="1"/>
      <w:marLeft w:val="0"/>
      <w:marRight w:val="0"/>
      <w:marTop w:val="0"/>
      <w:marBottom w:val="0"/>
      <w:divBdr>
        <w:top w:val="none" w:sz="0" w:space="0" w:color="auto"/>
        <w:left w:val="none" w:sz="0" w:space="0" w:color="auto"/>
        <w:bottom w:val="none" w:sz="0" w:space="0" w:color="auto"/>
        <w:right w:val="none" w:sz="0" w:space="0" w:color="auto"/>
      </w:divBdr>
    </w:div>
    <w:div w:id="1497375753">
      <w:bodyDiv w:val="1"/>
      <w:marLeft w:val="0"/>
      <w:marRight w:val="0"/>
      <w:marTop w:val="0"/>
      <w:marBottom w:val="0"/>
      <w:divBdr>
        <w:top w:val="none" w:sz="0" w:space="0" w:color="auto"/>
        <w:left w:val="none" w:sz="0" w:space="0" w:color="auto"/>
        <w:bottom w:val="none" w:sz="0" w:space="0" w:color="auto"/>
        <w:right w:val="none" w:sz="0" w:space="0" w:color="auto"/>
      </w:divBdr>
    </w:div>
    <w:div w:id="1497456475">
      <w:bodyDiv w:val="1"/>
      <w:marLeft w:val="0"/>
      <w:marRight w:val="0"/>
      <w:marTop w:val="0"/>
      <w:marBottom w:val="0"/>
      <w:divBdr>
        <w:top w:val="none" w:sz="0" w:space="0" w:color="auto"/>
        <w:left w:val="none" w:sz="0" w:space="0" w:color="auto"/>
        <w:bottom w:val="none" w:sz="0" w:space="0" w:color="auto"/>
        <w:right w:val="none" w:sz="0" w:space="0" w:color="auto"/>
      </w:divBdr>
    </w:div>
    <w:div w:id="1497722812">
      <w:bodyDiv w:val="1"/>
      <w:marLeft w:val="0"/>
      <w:marRight w:val="0"/>
      <w:marTop w:val="0"/>
      <w:marBottom w:val="0"/>
      <w:divBdr>
        <w:top w:val="none" w:sz="0" w:space="0" w:color="auto"/>
        <w:left w:val="none" w:sz="0" w:space="0" w:color="auto"/>
        <w:bottom w:val="none" w:sz="0" w:space="0" w:color="auto"/>
        <w:right w:val="none" w:sz="0" w:space="0" w:color="auto"/>
      </w:divBdr>
    </w:div>
    <w:div w:id="1497723236">
      <w:bodyDiv w:val="1"/>
      <w:marLeft w:val="0"/>
      <w:marRight w:val="0"/>
      <w:marTop w:val="0"/>
      <w:marBottom w:val="0"/>
      <w:divBdr>
        <w:top w:val="none" w:sz="0" w:space="0" w:color="auto"/>
        <w:left w:val="none" w:sz="0" w:space="0" w:color="auto"/>
        <w:bottom w:val="none" w:sz="0" w:space="0" w:color="auto"/>
        <w:right w:val="none" w:sz="0" w:space="0" w:color="auto"/>
      </w:divBdr>
    </w:div>
    <w:div w:id="1498229525">
      <w:bodyDiv w:val="1"/>
      <w:marLeft w:val="0"/>
      <w:marRight w:val="0"/>
      <w:marTop w:val="0"/>
      <w:marBottom w:val="0"/>
      <w:divBdr>
        <w:top w:val="none" w:sz="0" w:space="0" w:color="auto"/>
        <w:left w:val="none" w:sz="0" w:space="0" w:color="auto"/>
        <w:bottom w:val="none" w:sz="0" w:space="0" w:color="auto"/>
        <w:right w:val="none" w:sz="0" w:space="0" w:color="auto"/>
      </w:divBdr>
    </w:div>
    <w:div w:id="1498417354">
      <w:bodyDiv w:val="1"/>
      <w:marLeft w:val="0"/>
      <w:marRight w:val="0"/>
      <w:marTop w:val="0"/>
      <w:marBottom w:val="0"/>
      <w:divBdr>
        <w:top w:val="none" w:sz="0" w:space="0" w:color="auto"/>
        <w:left w:val="none" w:sz="0" w:space="0" w:color="auto"/>
        <w:bottom w:val="none" w:sz="0" w:space="0" w:color="auto"/>
        <w:right w:val="none" w:sz="0" w:space="0" w:color="auto"/>
      </w:divBdr>
    </w:div>
    <w:div w:id="1499036956">
      <w:bodyDiv w:val="1"/>
      <w:marLeft w:val="0"/>
      <w:marRight w:val="0"/>
      <w:marTop w:val="0"/>
      <w:marBottom w:val="0"/>
      <w:divBdr>
        <w:top w:val="none" w:sz="0" w:space="0" w:color="auto"/>
        <w:left w:val="none" w:sz="0" w:space="0" w:color="auto"/>
        <w:bottom w:val="none" w:sz="0" w:space="0" w:color="auto"/>
        <w:right w:val="none" w:sz="0" w:space="0" w:color="auto"/>
      </w:divBdr>
    </w:div>
    <w:div w:id="1499076602">
      <w:bodyDiv w:val="1"/>
      <w:marLeft w:val="0"/>
      <w:marRight w:val="0"/>
      <w:marTop w:val="0"/>
      <w:marBottom w:val="0"/>
      <w:divBdr>
        <w:top w:val="none" w:sz="0" w:space="0" w:color="auto"/>
        <w:left w:val="none" w:sz="0" w:space="0" w:color="auto"/>
        <w:bottom w:val="none" w:sz="0" w:space="0" w:color="auto"/>
        <w:right w:val="none" w:sz="0" w:space="0" w:color="auto"/>
      </w:divBdr>
    </w:div>
    <w:div w:id="1499149912">
      <w:bodyDiv w:val="1"/>
      <w:marLeft w:val="0"/>
      <w:marRight w:val="0"/>
      <w:marTop w:val="0"/>
      <w:marBottom w:val="0"/>
      <w:divBdr>
        <w:top w:val="none" w:sz="0" w:space="0" w:color="auto"/>
        <w:left w:val="none" w:sz="0" w:space="0" w:color="auto"/>
        <w:bottom w:val="none" w:sz="0" w:space="0" w:color="auto"/>
        <w:right w:val="none" w:sz="0" w:space="0" w:color="auto"/>
      </w:divBdr>
    </w:div>
    <w:div w:id="1499225636">
      <w:bodyDiv w:val="1"/>
      <w:marLeft w:val="0"/>
      <w:marRight w:val="0"/>
      <w:marTop w:val="0"/>
      <w:marBottom w:val="0"/>
      <w:divBdr>
        <w:top w:val="none" w:sz="0" w:space="0" w:color="auto"/>
        <w:left w:val="none" w:sz="0" w:space="0" w:color="auto"/>
        <w:bottom w:val="none" w:sz="0" w:space="0" w:color="auto"/>
        <w:right w:val="none" w:sz="0" w:space="0" w:color="auto"/>
      </w:divBdr>
    </w:div>
    <w:div w:id="1499347157">
      <w:bodyDiv w:val="1"/>
      <w:marLeft w:val="0"/>
      <w:marRight w:val="0"/>
      <w:marTop w:val="0"/>
      <w:marBottom w:val="0"/>
      <w:divBdr>
        <w:top w:val="none" w:sz="0" w:space="0" w:color="auto"/>
        <w:left w:val="none" w:sz="0" w:space="0" w:color="auto"/>
        <w:bottom w:val="none" w:sz="0" w:space="0" w:color="auto"/>
        <w:right w:val="none" w:sz="0" w:space="0" w:color="auto"/>
      </w:divBdr>
    </w:div>
    <w:div w:id="1499693044">
      <w:bodyDiv w:val="1"/>
      <w:marLeft w:val="0"/>
      <w:marRight w:val="0"/>
      <w:marTop w:val="0"/>
      <w:marBottom w:val="0"/>
      <w:divBdr>
        <w:top w:val="none" w:sz="0" w:space="0" w:color="auto"/>
        <w:left w:val="none" w:sz="0" w:space="0" w:color="auto"/>
        <w:bottom w:val="none" w:sz="0" w:space="0" w:color="auto"/>
        <w:right w:val="none" w:sz="0" w:space="0" w:color="auto"/>
      </w:divBdr>
    </w:div>
    <w:div w:id="1499734501">
      <w:bodyDiv w:val="1"/>
      <w:marLeft w:val="0"/>
      <w:marRight w:val="0"/>
      <w:marTop w:val="0"/>
      <w:marBottom w:val="0"/>
      <w:divBdr>
        <w:top w:val="none" w:sz="0" w:space="0" w:color="auto"/>
        <w:left w:val="none" w:sz="0" w:space="0" w:color="auto"/>
        <w:bottom w:val="none" w:sz="0" w:space="0" w:color="auto"/>
        <w:right w:val="none" w:sz="0" w:space="0" w:color="auto"/>
      </w:divBdr>
    </w:div>
    <w:div w:id="1499808232">
      <w:bodyDiv w:val="1"/>
      <w:marLeft w:val="0"/>
      <w:marRight w:val="0"/>
      <w:marTop w:val="0"/>
      <w:marBottom w:val="0"/>
      <w:divBdr>
        <w:top w:val="none" w:sz="0" w:space="0" w:color="auto"/>
        <w:left w:val="none" w:sz="0" w:space="0" w:color="auto"/>
        <w:bottom w:val="none" w:sz="0" w:space="0" w:color="auto"/>
        <w:right w:val="none" w:sz="0" w:space="0" w:color="auto"/>
      </w:divBdr>
    </w:div>
    <w:div w:id="1499926880">
      <w:bodyDiv w:val="1"/>
      <w:marLeft w:val="0"/>
      <w:marRight w:val="0"/>
      <w:marTop w:val="0"/>
      <w:marBottom w:val="0"/>
      <w:divBdr>
        <w:top w:val="none" w:sz="0" w:space="0" w:color="auto"/>
        <w:left w:val="none" w:sz="0" w:space="0" w:color="auto"/>
        <w:bottom w:val="none" w:sz="0" w:space="0" w:color="auto"/>
        <w:right w:val="none" w:sz="0" w:space="0" w:color="auto"/>
      </w:divBdr>
    </w:div>
    <w:div w:id="1499997334">
      <w:bodyDiv w:val="1"/>
      <w:marLeft w:val="0"/>
      <w:marRight w:val="0"/>
      <w:marTop w:val="0"/>
      <w:marBottom w:val="0"/>
      <w:divBdr>
        <w:top w:val="none" w:sz="0" w:space="0" w:color="auto"/>
        <w:left w:val="none" w:sz="0" w:space="0" w:color="auto"/>
        <w:bottom w:val="none" w:sz="0" w:space="0" w:color="auto"/>
        <w:right w:val="none" w:sz="0" w:space="0" w:color="auto"/>
      </w:divBdr>
    </w:div>
    <w:div w:id="1500197609">
      <w:bodyDiv w:val="1"/>
      <w:marLeft w:val="0"/>
      <w:marRight w:val="0"/>
      <w:marTop w:val="0"/>
      <w:marBottom w:val="0"/>
      <w:divBdr>
        <w:top w:val="none" w:sz="0" w:space="0" w:color="auto"/>
        <w:left w:val="none" w:sz="0" w:space="0" w:color="auto"/>
        <w:bottom w:val="none" w:sz="0" w:space="0" w:color="auto"/>
        <w:right w:val="none" w:sz="0" w:space="0" w:color="auto"/>
      </w:divBdr>
    </w:div>
    <w:div w:id="1500657031">
      <w:bodyDiv w:val="1"/>
      <w:marLeft w:val="0"/>
      <w:marRight w:val="0"/>
      <w:marTop w:val="0"/>
      <w:marBottom w:val="0"/>
      <w:divBdr>
        <w:top w:val="none" w:sz="0" w:space="0" w:color="auto"/>
        <w:left w:val="none" w:sz="0" w:space="0" w:color="auto"/>
        <w:bottom w:val="none" w:sz="0" w:space="0" w:color="auto"/>
        <w:right w:val="none" w:sz="0" w:space="0" w:color="auto"/>
      </w:divBdr>
    </w:div>
    <w:div w:id="1501038829">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120277">
      <w:bodyDiv w:val="1"/>
      <w:marLeft w:val="0"/>
      <w:marRight w:val="0"/>
      <w:marTop w:val="0"/>
      <w:marBottom w:val="0"/>
      <w:divBdr>
        <w:top w:val="none" w:sz="0" w:space="0" w:color="auto"/>
        <w:left w:val="none" w:sz="0" w:space="0" w:color="auto"/>
        <w:bottom w:val="none" w:sz="0" w:space="0" w:color="auto"/>
        <w:right w:val="none" w:sz="0" w:space="0" w:color="auto"/>
      </w:divBdr>
    </w:div>
    <w:div w:id="1501191702">
      <w:bodyDiv w:val="1"/>
      <w:marLeft w:val="0"/>
      <w:marRight w:val="0"/>
      <w:marTop w:val="0"/>
      <w:marBottom w:val="0"/>
      <w:divBdr>
        <w:top w:val="none" w:sz="0" w:space="0" w:color="auto"/>
        <w:left w:val="none" w:sz="0" w:space="0" w:color="auto"/>
        <w:bottom w:val="none" w:sz="0" w:space="0" w:color="auto"/>
        <w:right w:val="none" w:sz="0" w:space="0" w:color="auto"/>
      </w:divBdr>
    </w:div>
    <w:div w:id="1501196570">
      <w:bodyDiv w:val="1"/>
      <w:marLeft w:val="0"/>
      <w:marRight w:val="0"/>
      <w:marTop w:val="0"/>
      <w:marBottom w:val="0"/>
      <w:divBdr>
        <w:top w:val="none" w:sz="0" w:space="0" w:color="auto"/>
        <w:left w:val="none" w:sz="0" w:space="0" w:color="auto"/>
        <w:bottom w:val="none" w:sz="0" w:space="0" w:color="auto"/>
        <w:right w:val="none" w:sz="0" w:space="0" w:color="auto"/>
      </w:divBdr>
    </w:div>
    <w:div w:id="1501310070">
      <w:bodyDiv w:val="1"/>
      <w:marLeft w:val="0"/>
      <w:marRight w:val="0"/>
      <w:marTop w:val="0"/>
      <w:marBottom w:val="0"/>
      <w:divBdr>
        <w:top w:val="none" w:sz="0" w:space="0" w:color="auto"/>
        <w:left w:val="none" w:sz="0" w:space="0" w:color="auto"/>
        <w:bottom w:val="none" w:sz="0" w:space="0" w:color="auto"/>
        <w:right w:val="none" w:sz="0" w:space="0" w:color="auto"/>
      </w:divBdr>
    </w:div>
    <w:div w:id="1501432195">
      <w:bodyDiv w:val="1"/>
      <w:marLeft w:val="0"/>
      <w:marRight w:val="0"/>
      <w:marTop w:val="0"/>
      <w:marBottom w:val="0"/>
      <w:divBdr>
        <w:top w:val="none" w:sz="0" w:space="0" w:color="auto"/>
        <w:left w:val="none" w:sz="0" w:space="0" w:color="auto"/>
        <w:bottom w:val="none" w:sz="0" w:space="0" w:color="auto"/>
        <w:right w:val="none" w:sz="0" w:space="0" w:color="auto"/>
      </w:divBdr>
    </w:div>
    <w:div w:id="1501503949">
      <w:bodyDiv w:val="1"/>
      <w:marLeft w:val="0"/>
      <w:marRight w:val="0"/>
      <w:marTop w:val="0"/>
      <w:marBottom w:val="0"/>
      <w:divBdr>
        <w:top w:val="none" w:sz="0" w:space="0" w:color="auto"/>
        <w:left w:val="none" w:sz="0" w:space="0" w:color="auto"/>
        <w:bottom w:val="none" w:sz="0" w:space="0" w:color="auto"/>
        <w:right w:val="none" w:sz="0" w:space="0" w:color="auto"/>
      </w:divBdr>
    </w:div>
    <w:div w:id="1501506600">
      <w:bodyDiv w:val="1"/>
      <w:marLeft w:val="0"/>
      <w:marRight w:val="0"/>
      <w:marTop w:val="0"/>
      <w:marBottom w:val="0"/>
      <w:divBdr>
        <w:top w:val="none" w:sz="0" w:space="0" w:color="auto"/>
        <w:left w:val="none" w:sz="0" w:space="0" w:color="auto"/>
        <w:bottom w:val="none" w:sz="0" w:space="0" w:color="auto"/>
        <w:right w:val="none" w:sz="0" w:space="0" w:color="auto"/>
      </w:divBdr>
    </w:div>
    <w:div w:id="1501506866">
      <w:bodyDiv w:val="1"/>
      <w:marLeft w:val="0"/>
      <w:marRight w:val="0"/>
      <w:marTop w:val="0"/>
      <w:marBottom w:val="0"/>
      <w:divBdr>
        <w:top w:val="none" w:sz="0" w:space="0" w:color="auto"/>
        <w:left w:val="none" w:sz="0" w:space="0" w:color="auto"/>
        <w:bottom w:val="none" w:sz="0" w:space="0" w:color="auto"/>
        <w:right w:val="none" w:sz="0" w:space="0" w:color="auto"/>
      </w:divBdr>
    </w:div>
    <w:div w:id="1501696765">
      <w:bodyDiv w:val="1"/>
      <w:marLeft w:val="0"/>
      <w:marRight w:val="0"/>
      <w:marTop w:val="0"/>
      <w:marBottom w:val="0"/>
      <w:divBdr>
        <w:top w:val="none" w:sz="0" w:space="0" w:color="auto"/>
        <w:left w:val="none" w:sz="0" w:space="0" w:color="auto"/>
        <w:bottom w:val="none" w:sz="0" w:space="0" w:color="auto"/>
        <w:right w:val="none" w:sz="0" w:space="0" w:color="auto"/>
      </w:divBdr>
    </w:div>
    <w:div w:id="1501919837">
      <w:bodyDiv w:val="1"/>
      <w:marLeft w:val="0"/>
      <w:marRight w:val="0"/>
      <w:marTop w:val="0"/>
      <w:marBottom w:val="0"/>
      <w:divBdr>
        <w:top w:val="none" w:sz="0" w:space="0" w:color="auto"/>
        <w:left w:val="none" w:sz="0" w:space="0" w:color="auto"/>
        <w:bottom w:val="none" w:sz="0" w:space="0" w:color="auto"/>
        <w:right w:val="none" w:sz="0" w:space="0" w:color="auto"/>
      </w:divBdr>
    </w:div>
    <w:div w:id="1501970082">
      <w:bodyDiv w:val="1"/>
      <w:marLeft w:val="0"/>
      <w:marRight w:val="0"/>
      <w:marTop w:val="0"/>
      <w:marBottom w:val="0"/>
      <w:divBdr>
        <w:top w:val="none" w:sz="0" w:space="0" w:color="auto"/>
        <w:left w:val="none" w:sz="0" w:space="0" w:color="auto"/>
        <w:bottom w:val="none" w:sz="0" w:space="0" w:color="auto"/>
        <w:right w:val="none" w:sz="0" w:space="0" w:color="auto"/>
      </w:divBdr>
    </w:div>
    <w:div w:id="1502042201">
      <w:bodyDiv w:val="1"/>
      <w:marLeft w:val="0"/>
      <w:marRight w:val="0"/>
      <w:marTop w:val="0"/>
      <w:marBottom w:val="0"/>
      <w:divBdr>
        <w:top w:val="none" w:sz="0" w:space="0" w:color="auto"/>
        <w:left w:val="none" w:sz="0" w:space="0" w:color="auto"/>
        <w:bottom w:val="none" w:sz="0" w:space="0" w:color="auto"/>
        <w:right w:val="none" w:sz="0" w:space="0" w:color="auto"/>
      </w:divBdr>
    </w:div>
    <w:div w:id="1502696908">
      <w:bodyDiv w:val="1"/>
      <w:marLeft w:val="0"/>
      <w:marRight w:val="0"/>
      <w:marTop w:val="0"/>
      <w:marBottom w:val="0"/>
      <w:divBdr>
        <w:top w:val="none" w:sz="0" w:space="0" w:color="auto"/>
        <w:left w:val="none" w:sz="0" w:space="0" w:color="auto"/>
        <w:bottom w:val="none" w:sz="0" w:space="0" w:color="auto"/>
        <w:right w:val="none" w:sz="0" w:space="0" w:color="auto"/>
      </w:divBdr>
    </w:div>
    <w:div w:id="1502696935">
      <w:bodyDiv w:val="1"/>
      <w:marLeft w:val="0"/>
      <w:marRight w:val="0"/>
      <w:marTop w:val="0"/>
      <w:marBottom w:val="0"/>
      <w:divBdr>
        <w:top w:val="none" w:sz="0" w:space="0" w:color="auto"/>
        <w:left w:val="none" w:sz="0" w:space="0" w:color="auto"/>
        <w:bottom w:val="none" w:sz="0" w:space="0" w:color="auto"/>
        <w:right w:val="none" w:sz="0" w:space="0" w:color="auto"/>
      </w:divBdr>
    </w:div>
    <w:div w:id="1502699796">
      <w:bodyDiv w:val="1"/>
      <w:marLeft w:val="0"/>
      <w:marRight w:val="0"/>
      <w:marTop w:val="0"/>
      <w:marBottom w:val="0"/>
      <w:divBdr>
        <w:top w:val="none" w:sz="0" w:space="0" w:color="auto"/>
        <w:left w:val="none" w:sz="0" w:space="0" w:color="auto"/>
        <w:bottom w:val="none" w:sz="0" w:space="0" w:color="auto"/>
        <w:right w:val="none" w:sz="0" w:space="0" w:color="auto"/>
      </w:divBdr>
    </w:div>
    <w:div w:id="1503005770">
      <w:bodyDiv w:val="1"/>
      <w:marLeft w:val="0"/>
      <w:marRight w:val="0"/>
      <w:marTop w:val="0"/>
      <w:marBottom w:val="0"/>
      <w:divBdr>
        <w:top w:val="none" w:sz="0" w:space="0" w:color="auto"/>
        <w:left w:val="none" w:sz="0" w:space="0" w:color="auto"/>
        <w:bottom w:val="none" w:sz="0" w:space="0" w:color="auto"/>
        <w:right w:val="none" w:sz="0" w:space="0" w:color="auto"/>
      </w:divBdr>
    </w:div>
    <w:div w:id="1503470146">
      <w:bodyDiv w:val="1"/>
      <w:marLeft w:val="0"/>
      <w:marRight w:val="0"/>
      <w:marTop w:val="0"/>
      <w:marBottom w:val="0"/>
      <w:divBdr>
        <w:top w:val="none" w:sz="0" w:space="0" w:color="auto"/>
        <w:left w:val="none" w:sz="0" w:space="0" w:color="auto"/>
        <w:bottom w:val="none" w:sz="0" w:space="0" w:color="auto"/>
        <w:right w:val="none" w:sz="0" w:space="0" w:color="auto"/>
      </w:divBdr>
    </w:div>
    <w:div w:id="1503475619">
      <w:bodyDiv w:val="1"/>
      <w:marLeft w:val="0"/>
      <w:marRight w:val="0"/>
      <w:marTop w:val="0"/>
      <w:marBottom w:val="0"/>
      <w:divBdr>
        <w:top w:val="none" w:sz="0" w:space="0" w:color="auto"/>
        <w:left w:val="none" w:sz="0" w:space="0" w:color="auto"/>
        <w:bottom w:val="none" w:sz="0" w:space="0" w:color="auto"/>
        <w:right w:val="none" w:sz="0" w:space="0" w:color="auto"/>
      </w:divBdr>
    </w:div>
    <w:div w:id="1503665430">
      <w:bodyDiv w:val="1"/>
      <w:marLeft w:val="0"/>
      <w:marRight w:val="0"/>
      <w:marTop w:val="0"/>
      <w:marBottom w:val="0"/>
      <w:divBdr>
        <w:top w:val="none" w:sz="0" w:space="0" w:color="auto"/>
        <w:left w:val="none" w:sz="0" w:space="0" w:color="auto"/>
        <w:bottom w:val="none" w:sz="0" w:space="0" w:color="auto"/>
        <w:right w:val="none" w:sz="0" w:space="0" w:color="auto"/>
      </w:divBdr>
    </w:div>
    <w:div w:id="1503811458">
      <w:bodyDiv w:val="1"/>
      <w:marLeft w:val="0"/>
      <w:marRight w:val="0"/>
      <w:marTop w:val="0"/>
      <w:marBottom w:val="0"/>
      <w:divBdr>
        <w:top w:val="none" w:sz="0" w:space="0" w:color="auto"/>
        <w:left w:val="none" w:sz="0" w:space="0" w:color="auto"/>
        <w:bottom w:val="none" w:sz="0" w:space="0" w:color="auto"/>
        <w:right w:val="none" w:sz="0" w:space="0" w:color="auto"/>
      </w:divBdr>
    </w:div>
    <w:div w:id="1503813037">
      <w:bodyDiv w:val="1"/>
      <w:marLeft w:val="0"/>
      <w:marRight w:val="0"/>
      <w:marTop w:val="0"/>
      <w:marBottom w:val="0"/>
      <w:divBdr>
        <w:top w:val="none" w:sz="0" w:space="0" w:color="auto"/>
        <w:left w:val="none" w:sz="0" w:space="0" w:color="auto"/>
        <w:bottom w:val="none" w:sz="0" w:space="0" w:color="auto"/>
        <w:right w:val="none" w:sz="0" w:space="0" w:color="auto"/>
      </w:divBdr>
    </w:div>
    <w:div w:id="1504277284">
      <w:bodyDiv w:val="1"/>
      <w:marLeft w:val="0"/>
      <w:marRight w:val="0"/>
      <w:marTop w:val="0"/>
      <w:marBottom w:val="0"/>
      <w:divBdr>
        <w:top w:val="none" w:sz="0" w:space="0" w:color="auto"/>
        <w:left w:val="none" w:sz="0" w:space="0" w:color="auto"/>
        <w:bottom w:val="none" w:sz="0" w:space="0" w:color="auto"/>
        <w:right w:val="none" w:sz="0" w:space="0" w:color="auto"/>
      </w:divBdr>
    </w:div>
    <w:div w:id="1504466116">
      <w:bodyDiv w:val="1"/>
      <w:marLeft w:val="0"/>
      <w:marRight w:val="0"/>
      <w:marTop w:val="0"/>
      <w:marBottom w:val="0"/>
      <w:divBdr>
        <w:top w:val="none" w:sz="0" w:space="0" w:color="auto"/>
        <w:left w:val="none" w:sz="0" w:space="0" w:color="auto"/>
        <w:bottom w:val="none" w:sz="0" w:space="0" w:color="auto"/>
        <w:right w:val="none" w:sz="0" w:space="0" w:color="auto"/>
      </w:divBdr>
    </w:div>
    <w:div w:id="1504588957">
      <w:bodyDiv w:val="1"/>
      <w:marLeft w:val="0"/>
      <w:marRight w:val="0"/>
      <w:marTop w:val="0"/>
      <w:marBottom w:val="0"/>
      <w:divBdr>
        <w:top w:val="none" w:sz="0" w:space="0" w:color="auto"/>
        <w:left w:val="none" w:sz="0" w:space="0" w:color="auto"/>
        <w:bottom w:val="none" w:sz="0" w:space="0" w:color="auto"/>
        <w:right w:val="none" w:sz="0" w:space="0" w:color="auto"/>
      </w:divBdr>
    </w:div>
    <w:div w:id="1504660845">
      <w:bodyDiv w:val="1"/>
      <w:marLeft w:val="0"/>
      <w:marRight w:val="0"/>
      <w:marTop w:val="0"/>
      <w:marBottom w:val="0"/>
      <w:divBdr>
        <w:top w:val="none" w:sz="0" w:space="0" w:color="auto"/>
        <w:left w:val="none" w:sz="0" w:space="0" w:color="auto"/>
        <w:bottom w:val="none" w:sz="0" w:space="0" w:color="auto"/>
        <w:right w:val="none" w:sz="0" w:space="0" w:color="auto"/>
      </w:divBdr>
    </w:div>
    <w:div w:id="1504783792">
      <w:bodyDiv w:val="1"/>
      <w:marLeft w:val="0"/>
      <w:marRight w:val="0"/>
      <w:marTop w:val="0"/>
      <w:marBottom w:val="0"/>
      <w:divBdr>
        <w:top w:val="none" w:sz="0" w:space="0" w:color="auto"/>
        <w:left w:val="none" w:sz="0" w:space="0" w:color="auto"/>
        <w:bottom w:val="none" w:sz="0" w:space="0" w:color="auto"/>
        <w:right w:val="none" w:sz="0" w:space="0" w:color="auto"/>
      </w:divBdr>
    </w:div>
    <w:div w:id="1505167325">
      <w:bodyDiv w:val="1"/>
      <w:marLeft w:val="0"/>
      <w:marRight w:val="0"/>
      <w:marTop w:val="0"/>
      <w:marBottom w:val="0"/>
      <w:divBdr>
        <w:top w:val="none" w:sz="0" w:space="0" w:color="auto"/>
        <w:left w:val="none" w:sz="0" w:space="0" w:color="auto"/>
        <w:bottom w:val="none" w:sz="0" w:space="0" w:color="auto"/>
        <w:right w:val="none" w:sz="0" w:space="0" w:color="auto"/>
      </w:divBdr>
    </w:div>
    <w:div w:id="1505585918">
      <w:bodyDiv w:val="1"/>
      <w:marLeft w:val="0"/>
      <w:marRight w:val="0"/>
      <w:marTop w:val="0"/>
      <w:marBottom w:val="0"/>
      <w:divBdr>
        <w:top w:val="none" w:sz="0" w:space="0" w:color="auto"/>
        <w:left w:val="none" w:sz="0" w:space="0" w:color="auto"/>
        <w:bottom w:val="none" w:sz="0" w:space="0" w:color="auto"/>
        <w:right w:val="none" w:sz="0" w:space="0" w:color="auto"/>
      </w:divBdr>
    </w:div>
    <w:div w:id="1505628829">
      <w:bodyDiv w:val="1"/>
      <w:marLeft w:val="0"/>
      <w:marRight w:val="0"/>
      <w:marTop w:val="0"/>
      <w:marBottom w:val="0"/>
      <w:divBdr>
        <w:top w:val="none" w:sz="0" w:space="0" w:color="auto"/>
        <w:left w:val="none" w:sz="0" w:space="0" w:color="auto"/>
        <w:bottom w:val="none" w:sz="0" w:space="0" w:color="auto"/>
        <w:right w:val="none" w:sz="0" w:space="0" w:color="auto"/>
      </w:divBdr>
    </w:div>
    <w:div w:id="1505632702">
      <w:bodyDiv w:val="1"/>
      <w:marLeft w:val="0"/>
      <w:marRight w:val="0"/>
      <w:marTop w:val="0"/>
      <w:marBottom w:val="0"/>
      <w:divBdr>
        <w:top w:val="none" w:sz="0" w:space="0" w:color="auto"/>
        <w:left w:val="none" w:sz="0" w:space="0" w:color="auto"/>
        <w:bottom w:val="none" w:sz="0" w:space="0" w:color="auto"/>
        <w:right w:val="none" w:sz="0" w:space="0" w:color="auto"/>
      </w:divBdr>
    </w:div>
    <w:div w:id="1506246323">
      <w:bodyDiv w:val="1"/>
      <w:marLeft w:val="0"/>
      <w:marRight w:val="0"/>
      <w:marTop w:val="0"/>
      <w:marBottom w:val="0"/>
      <w:divBdr>
        <w:top w:val="none" w:sz="0" w:space="0" w:color="auto"/>
        <w:left w:val="none" w:sz="0" w:space="0" w:color="auto"/>
        <w:bottom w:val="none" w:sz="0" w:space="0" w:color="auto"/>
        <w:right w:val="none" w:sz="0" w:space="0" w:color="auto"/>
      </w:divBdr>
    </w:div>
    <w:div w:id="1506436472">
      <w:bodyDiv w:val="1"/>
      <w:marLeft w:val="0"/>
      <w:marRight w:val="0"/>
      <w:marTop w:val="0"/>
      <w:marBottom w:val="0"/>
      <w:divBdr>
        <w:top w:val="none" w:sz="0" w:space="0" w:color="auto"/>
        <w:left w:val="none" w:sz="0" w:space="0" w:color="auto"/>
        <w:bottom w:val="none" w:sz="0" w:space="0" w:color="auto"/>
        <w:right w:val="none" w:sz="0" w:space="0" w:color="auto"/>
      </w:divBdr>
    </w:div>
    <w:div w:id="1506701036">
      <w:bodyDiv w:val="1"/>
      <w:marLeft w:val="0"/>
      <w:marRight w:val="0"/>
      <w:marTop w:val="0"/>
      <w:marBottom w:val="0"/>
      <w:divBdr>
        <w:top w:val="none" w:sz="0" w:space="0" w:color="auto"/>
        <w:left w:val="none" w:sz="0" w:space="0" w:color="auto"/>
        <w:bottom w:val="none" w:sz="0" w:space="0" w:color="auto"/>
        <w:right w:val="none" w:sz="0" w:space="0" w:color="auto"/>
      </w:divBdr>
    </w:div>
    <w:div w:id="1507017408">
      <w:bodyDiv w:val="1"/>
      <w:marLeft w:val="0"/>
      <w:marRight w:val="0"/>
      <w:marTop w:val="0"/>
      <w:marBottom w:val="0"/>
      <w:divBdr>
        <w:top w:val="none" w:sz="0" w:space="0" w:color="auto"/>
        <w:left w:val="none" w:sz="0" w:space="0" w:color="auto"/>
        <w:bottom w:val="none" w:sz="0" w:space="0" w:color="auto"/>
        <w:right w:val="none" w:sz="0" w:space="0" w:color="auto"/>
      </w:divBdr>
    </w:div>
    <w:div w:id="1507087165">
      <w:bodyDiv w:val="1"/>
      <w:marLeft w:val="0"/>
      <w:marRight w:val="0"/>
      <w:marTop w:val="0"/>
      <w:marBottom w:val="0"/>
      <w:divBdr>
        <w:top w:val="none" w:sz="0" w:space="0" w:color="auto"/>
        <w:left w:val="none" w:sz="0" w:space="0" w:color="auto"/>
        <w:bottom w:val="none" w:sz="0" w:space="0" w:color="auto"/>
        <w:right w:val="none" w:sz="0" w:space="0" w:color="auto"/>
      </w:divBdr>
    </w:div>
    <w:div w:id="1507285480">
      <w:bodyDiv w:val="1"/>
      <w:marLeft w:val="0"/>
      <w:marRight w:val="0"/>
      <w:marTop w:val="0"/>
      <w:marBottom w:val="0"/>
      <w:divBdr>
        <w:top w:val="none" w:sz="0" w:space="0" w:color="auto"/>
        <w:left w:val="none" w:sz="0" w:space="0" w:color="auto"/>
        <w:bottom w:val="none" w:sz="0" w:space="0" w:color="auto"/>
        <w:right w:val="none" w:sz="0" w:space="0" w:color="auto"/>
      </w:divBdr>
    </w:div>
    <w:div w:id="1507356119">
      <w:bodyDiv w:val="1"/>
      <w:marLeft w:val="0"/>
      <w:marRight w:val="0"/>
      <w:marTop w:val="0"/>
      <w:marBottom w:val="0"/>
      <w:divBdr>
        <w:top w:val="none" w:sz="0" w:space="0" w:color="auto"/>
        <w:left w:val="none" w:sz="0" w:space="0" w:color="auto"/>
        <w:bottom w:val="none" w:sz="0" w:space="0" w:color="auto"/>
        <w:right w:val="none" w:sz="0" w:space="0" w:color="auto"/>
      </w:divBdr>
    </w:div>
    <w:div w:id="1507548901">
      <w:bodyDiv w:val="1"/>
      <w:marLeft w:val="0"/>
      <w:marRight w:val="0"/>
      <w:marTop w:val="0"/>
      <w:marBottom w:val="0"/>
      <w:divBdr>
        <w:top w:val="none" w:sz="0" w:space="0" w:color="auto"/>
        <w:left w:val="none" w:sz="0" w:space="0" w:color="auto"/>
        <w:bottom w:val="none" w:sz="0" w:space="0" w:color="auto"/>
        <w:right w:val="none" w:sz="0" w:space="0" w:color="auto"/>
      </w:divBdr>
    </w:div>
    <w:div w:id="1507862376">
      <w:bodyDiv w:val="1"/>
      <w:marLeft w:val="0"/>
      <w:marRight w:val="0"/>
      <w:marTop w:val="0"/>
      <w:marBottom w:val="0"/>
      <w:divBdr>
        <w:top w:val="none" w:sz="0" w:space="0" w:color="auto"/>
        <w:left w:val="none" w:sz="0" w:space="0" w:color="auto"/>
        <w:bottom w:val="none" w:sz="0" w:space="0" w:color="auto"/>
        <w:right w:val="none" w:sz="0" w:space="0" w:color="auto"/>
      </w:divBdr>
    </w:div>
    <w:div w:id="1507941349">
      <w:bodyDiv w:val="1"/>
      <w:marLeft w:val="0"/>
      <w:marRight w:val="0"/>
      <w:marTop w:val="0"/>
      <w:marBottom w:val="0"/>
      <w:divBdr>
        <w:top w:val="none" w:sz="0" w:space="0" w:color="auto"/>
        <w:left w:val="none" w:sz="0" w:space="0" w:color="auto"/>
        <w:bottom w:val="none" w:sz="0" w:space="0" w:color="auto"/>
        <w:right w:val="none" w:sz="0" w:space="0" w:color="auto"/>
      </w:divBdr>
    </w:div>
    <w:div w:id="1507983439">
      <w:bodyDiv w:val="1"/>
      <w:marLeft w:val="0"/>
      <w:marRight w:val="0"/>
      <w:marTop w:val="0"/>
      <w:marBottom w:val="0"/>
      <w:divBdr>
        <w:top w:val="none" w:sz="0" w:space="0" w:color="auto"/>
        <w:left w:val="none" w:sz="0" w:space="0" w:color="auto"/>
        <w:bottom w:val="none" w:sz="0" w:space="0" w:color="auto"/>
        <w:right w:val="none" w:sz="0" w:space="0" w:color="auto"/>
      </w:divBdr>
    </w:div>
    <w:div w:id="1508010536">
      <w:bodyDiv w:val="1"/>
      <w:marLeft w:val="0"/>
      <w:marRight w:val="0"/>
      <w:marTop w:val="0"/>
      <w:marBottom w:val="0"/>
      <w:divBdr>
        <w:top w:val="none" w:sz="0" w:space="0" w:color="auto"/>
        <w:left w:val="none" w:sz="0" w:space="0" w:color="auto"/>
        <w:bottom w:val="none" w:sz="0" w:space="0" w:color="auto"/>
        <w:right w:val="none" w:sz="0" w:space="0" w:color="auto"/>
      </w:divBdr>
    </w:div>
    <w:div w:id="1508325811">
      <w:bodyDiv w:val="1"/>
      <w:marLeft w:val="0"/>
      <w:marRight w:val="0"/>
      <w:marTop w:val="0"/>
      <w:marBottom w:val="0"/>
      <w:divBdr>
        <w:top w:val="none" w:sz="0" w:space="0" w:color="auto"/>
        <w:left w:val="none" w:sz="0" w:space="0" w:color="auto"/>
        <w:bottom w:val="none" w:sz="0" w:space="0" w:color="auto"/>
        <w:right w:val="none" w:sz="0" w:space="0" w:color="auto"/>
      </w:divBdr>
    </w:div>
    <w:div w:id="1508326258">
      <w:bodyDiv w:val="1"/>
      <w:marLeft w:val="0"/>
      <w:marRight w:val="0"/>
      <w:marTop w:val="0"/>
      <w:marBottom w:val="0"/>
      <w:divBdr>
        <w:top w:val="none" w:sz="0" w:space="0" w:color="auto"/>
        <w:left w:val="none" w:sz="0" w:space="0" w:color="auto"/>
        <w:bottom w:val="none" w:sz="0" w:space="0" w:color="auto"/>
        <w:right w:val="none" w:sz="0" w:space="0" w:color="auto"/>
      </w:divBdr>
    </w:div>
    <w:div w:id="1508519560">
      <w:bodyDiv w:val="1"/>
      <w:marLeft w:val="0"/>
      <w:marRight w:val="0"/>
      <w:marTop w:val="0"/>
      <w:marBottom w:val="0"/>
      <w:divBdr>
        <w:top w:val="none" w:sz="0" w:space="0" w:color="auto"/>
        <w:left w:val="none" w:sz="0" w:space="0" w:color="auto"/>
        <w:bottom w:val="none" w:sz="0" w:space="0" w:color="auto"/>
        <w:right w:val="none" w:sz="0" w:space="0" w:color="auto"/>
      </w:divBdr>
    </w:div>
    <w:div w:id="1508640557">
      <w:bodyDiv w:val="1"/>
      <w:marLeft w:val="0"/>
      <w:marRight w:val="0"/>
      <w:marTop w:val="0"/>
      <w:marBottom w:val="0"/>
      <w:divBdr>
        <w:top w:val="none" w:sz="0" w:space="0" w:color="auto"/>
        <w:left w:val="none" w:sz="0" w:space="0" w:color="auto"/>
        <w:bottom w:val="none" w:sz="0" w:space="0" w:color="auto"/>
        <w:right w:val="none" w:sz="0" w:space="0" w:color="auto"/>
      </w:divBdr>
    </w:div>
    <w:div w:id="1508667225">
      <w:bodyDiv w:val="1"/>
      <w:marLeft w:val="0"/>
      <w:marRight w:val="0"/>
      <w:marTop w:val="0"/>
      <w:marBottom w:val="0"/>
      <w:divBdr>
        <w:top w:val="none" w:sz="0" w:space="0" w:color="auto"/>
        <w:left w:val="none" w:sz="0" w:space="0" w:color="auto"/>
        <w:bottom w:val="none" w:sz="0" w:space="0" w:color="auto"/>
        <w:right w:val="none" w:sz="0" w:space="0" w:color="auto"/>
      </w:divBdr>
    </w:div>
    <w:div w:id="1509253220">
      <w:bodyDiv w:val="1"/>
      <w:marLeft w:val="0"/>
      <w:marRight w:val="0"/>
      <w:marTop w:val="0"/>
      <w:marBottom w:val="0"/>
      <w:divBdr>
        <w:top w:val="none" w:sz="0" w:space="0" w:color="auto"/>
        <w:left w:val="none" w:sz="0" w:space="0" w:color="auto"/>
        <w:bottom w:val="none" w:sz="0" w:space="0" w:color="auto"/>
        <w:right w:val="none" w:sz="0" w:space="0" w:color="auto"/>
      </w:divBdr>
    </w:div>
    <w:div w:id="1509443714">
      <w:bodyDiv w:val="1"/>
      <w:marLeft w:val="0"/>
      <w:marRight w:val="0"/>
      <w:marTop w:val="0"/>
      <w:marBottom w:val="0"/>
      <w:divBdr>
        <w:top w:val="none" w:sz="0" w:space="0" w:color="auto"/>
        <w:left w:val="none" w:sz="0" w:space="0" w:color="auto"/>
        <w:bottom w:val="none" w:sz="0" w:space="0" w:color="auto"/>
        <w:right w:val="none" w:sz="0" w:space="0" w:color="auto"/>
      </w:divBdr>
    </w:div>
    <w:div w:id="1509515712">
      <w:bodyDiv w:val="1"/>
      <w:marLeft w:val="0"/>
      <w:marRight w:val="0"/>
      <w:marTop w:val="0"/>
      <w:marBottom w:val="0"/>
      <w:divBdr>
        <w:top w:val="none" w:sz="0" w:space="0" w:color="auto"/>
        <w:left w:val="none" w:sz="0" w:space="0" w:color="auto"/>
        <w:bottom w:val="none" w:sz="0" w:space="0" w:color="auto"/>
        <w:right w:val="none" w:sz="0" w:space="0" w:color="auto"/>
      </w:divBdr>
    </w:div>
    <w:div w:id="1509711698">
      <w:bodyDiv w:val="1"/>
      <w:marLeft w:val="0"/>
      <w:marRight w:val="0"/>
      <w:marTop w:val="0"/>
      <w:marBottom w:val="0"/>
      <w:divBdr>
        <w:top w:val="none" w:sz="0" w:space="0" w:color="auto"/>
        <w:left w:val="none" w:sz="0" w:space="0" w:color="auto"/>
        <w:bottom w:val="none" w:sz="0" w:space="0" w:color="auto"/>
        <w:right w:val="none" w:sz="0" w:space="0" w:color="auto"/>
      </w:divBdr>
    </w:div>
    <w:div w:id="1509714056">
      <w:bodyDiv w:val="1"/>
      <w:marLeft w:val="0"/>
      <w:marRight w:val="0"/>
      <w:marTop w:val="0"/>
      <w:marBottom w:val="0"/>
      <w:divBdr>
        <w:top w:val="none" w:sz="0" w:space="0" w:color="auto"/>
        <w:left w:val="none" w:sz="0" w:space="0" w:color="auto"/>
        <w:bottom w:val="none" w:sz="0" w:space="0" w:color="auto"/>
        <w:right w:val="none" w:sz="0" w:space="0" w:color="auto"/>
      </w:divBdr>
    </w:div>
    <w:div w:id="1509903571">
      <w:bodyDiv w:val="1"/>
      <w:marLeft w:val="0"/>
      <w:marRight w:val="0"/>
      <w:marTop w:val="0"/>
      <w:marBottom w:val="0"/>
      <w:divBdr>
        <w:top w:val="none" w:sz="0" w:space="0" w:color="auto"/>
        <w:left w:val="none" w:sz="0" w:space="0" w:color="auto"/>
        <w:bottom w:val="none" w:sz="0" w:space="0" w:color="auto"/>
        <w:right w:val="none" w:sz="0" w:space="0" w:color="auto"/>
      </w:divBdr>
    </w:div>
    <w:div w:id="1510024429">
      <w:bodyDiv w:val="1"/>
      <w:marLeft w:val="0"/>
      <w:marRight w:val="0"/>
      <w:marTop w:val="0"/>
      <w:marBottom w:val="0"/>
      <w:divBdr>
        <w:top w:val="none" w:sz="0" w:space="0" w:color="auto"/>
        <w:left w:val="none" w:sz="0" w:space="0" w:color="auto"/>
        <w:bottom w:val="none" w:sz="0" w:space="0" w:color="auto"/>
        <w:right w:val="none" w:sz="0" w:space="0" w:color="auto"/>
      </w:divBdr>
    </w:div>
    <w:div w:id="1510295410">
      <w:bodyDiv w:val="1"/>
      <w:marLeft w:val="0"/>
      <w:marRight w:val="0"/>
      <w:marTop w:val="0"/>
      <w:marBottom w:val="0"/>
      <w:divBdr>
        <w:top w:val="none" w:sz="0" w:space="0" w:color="auto"/>
        <w:left w:val="none" w:sz="0" w:space="0" w:color="auto"/>
        <w:bottom w:val="none" w:sz="0" w:space="0" w:color="auto"/>
        <w:right w:val="none" w:sz="0" w:space="0" w:color="auto"/>
      </w:divBdr>
    </w:div>
    <w:div w:id="1510485009">
      <w:bodyDiv w:val="1"/>
      <w:marLeft w:val="0"/>
      <w:marRight w:val="0"/>
      <w:marTop w:val="0"/>
      <w:marBottom w:val="0"/>
      <w:divBdr>
        <w:top w:val="none" w:sz="0" w:space="0" w:color="auto"/>
        <w:left w:val="none" w:sz="0" w:space="0" w:color="auto"/>
        <w:bottom w:val="none" w:sz="0" w:space="0" w:color="auto"/>
        <w:right w:val="none" w:sz="0" w:space="0" w:color="auto"/>
      </w:divBdr>
    </w:div>
    <w:div w:id="1510487255">
      <w:bodyDiv w:val="1"/>
      <w:marLeft w:val="0"/>
      <w:marRight w:val="0"/>
      <w:marTop w:val="0"/>
      <w:marBottom w:val="0"/>
      <w:divBdr>
        <w:top w:val="none" w:sz="0" w:space="0" w:color="auto"/>
        <w:left w:val="none" w:sz="0" w:space="0" w:color="auto"/>
        <w:bottom w:val="none" w:sz="0" w:space="0" w:color="auto"/>
        <w:right w:val="none" w:sz="0" w:space="0" w:color="auto"/>
      </w:divBdr>
    </w:div>
    <w:div w:id="1510633627">
      <w:bodyDiv w:val="1"/>
      <w:marLeft w:val="0"/>
      <w:marRight w:val="0"/>
      <w:marTop w:val="0"/>
      <w:marBottom w:val="0"/>
      <w:divBdr>
        <w:top w:val="none" w:sz="0" w:space="0" w:color="auto"/>
        <w:left w:val="none" w:sz="0" w:space="0" w:color="auto"/>
        <w:bottom w:val="none" w:sz="0" w:space="0" w:color="auto"/>
        <w:right w:val="none" w:sz="0" w:space="0" w:color="auto"/>
      </w:divBdr>
    </w:div>
    <w:div w:id="1510831565">
      <w:bodyDiv w:val="1"/>
      <w:marLeft w:val="0"/>
      <w:marRight w:val="0"/>
      <w:marTop w:val="0"/>
      <w:marBottom w:val="0"/>
      <w:divBdr>
        <w:top w:val="none" w:sz="0" w:space="0" w:color="auto"/>
        <w:left w:val="none" w:sz="0" w:space="0" w:color="auto"/>
        <w:bottom w:val="none" w:sz="0" w:space="0" w:color="auto"/>
        <w:right w:val="none" w:sz="0" w:space="0" w:color="auto"/>
      </w:divBdr>
    </w:div>
    <w:div w:id="1511874929">
      <w:bodyDiv w:val="1"/>
      <w:marLeft w:val="0"/>
      <w:marRight w:val="0"/>
      <w:marTop w:val="0"/>
      <w:marBottom w:val="0"/>
      <w:divBdr>
        <w:top w:val="none" w:sz="0" w:space="0" w:color="auto"/>
        <w:left w:val="none" w:sz="0" w:space="0" w:color="auto"/>
        <w:bottom w:val="none" w:sz="0" w:space="0" w:color="auto"/>
        <w:right w:val="none" w:sz="0" w:space="0" w:color="auto"/>
      </w:divBdr>
    </w:div>
    <w:div w:id="1512141194">
      <w:bodyDiv w:val="1"/>
      <w:marLeft w:val="0"/>
      <w:marRight w:val="0"/>
      <w:marTop w:val="0"/>
      <w:marBottom w:val="0"/>
      <w:divBdr>
        <w:top w:val="none" w:sz="0" w:space="0" w:color="auto"/>
        <w:left w:val="none" w:sz="0" w:space="0" w:color="auto"/>
        <w:bottom w:val="none" w:sz="0" w:space="0" w:color="auto"/>
        <w:right w:val="none" w:sz="0" w:space="0" w:color="auto"/>
      </w:divBdr>
    </w:div>
    <w:div w:id="1512329689">
      <w:bodyDiv w:val="1"/>
      <w:marLeft w:val="0"/>
      <w:marRight w:val="0"/>
      <w:marTop w:val="0"/>
      <w:marBottom w:val="0"/>
      <w:divBdr>
        <w:top w:val="none" w:sz="0" w:space="0" w:color="auto"/>
        <w:left w:val="none" w:sz="0" w:space="0" w:color="auto"/>
        <w:bottom w:val="none" w:sz="0" w:space="0" w:color="auto"/>
        <w:right w:val="none" w:sz="0" w:space="0" w:color="auto"/>
      </w:divBdr>
    </w:div>
    <w:div w:id="1512377832">
      <w:bodyDiv w:val="1"/>
      <w:marLeft w:val="0"/>
      <w:marRight w:val="0"/>
      <w:marTop w:val="0"/>
      <w:marBottom w:val="0"/>
      <w:divBdr>
        <w:top w:val="none" w:sz="0" w:space="0" w:color="auto"/>
        <w:left w:val="none" w:sz="0" w:space="0" w:color="auto"/>
        <w:bottom w:val="none" w:sz="0" w:space="0" w:color="auto"/>
        <w:right w:val="none" w:sz="0" w:space="0" w:color="auto"/>
      </w:divBdr>
    </w:div>
    <w:div w:id="1512716305">
      <w:bodyDiv w:val="1"/>
      <w:marLeft w:val="0"/>
      <w:marRight w:val="0"/>
      <w:marTop w:val="0"/>
      <w:marBottom w:val="0"/>
      <w:divBdr>
        <w:top w:val="none" w:sz="0" w:space="0" w:color="auto"/>
        <w:left w:val="none" w:sz="0" w:space="0" w:color="auto"/>
        <w:bottom w:val="none" w:sz="0" w:space="0" w:color="auto"/>
        <w:right w:val="none" w:sz="0" w:space="0" w:color="auto"/>
      </w:divBdr>
    </w:div>
    <w:div w:id="1512799586">
      <w:bodyDiv w:val="1"/>
      <w:marLeft w:val="0"/>
      <w:marRight w:val="0"/>
      <w:marTop w:val="0"/>
      <w:marBottom w:val="0"/>
      <w:divBdr>
        <w:top w:val="none" w:sz="0" w:space="0" w:color="auto"/>
        <w:left w:val="none" w:sz="0" w:space="0" w:color="auto"/>
        <w:bottom w:val="none" w:sz="0" w:space="0" w:color="auto"/>
        <w:right w:val="none" w:sz="0" w:space="0" w:color="auto"/>
      </w:divBdr>
    </w:div>
    <w:div w:id="1513031351">
      <w:bodyDiv w:val="1"/>
      <w:marLeft w:val="0"/>
      <w:marRight w:val="0"/>
      <w:marTop w:val="0"/>
      <w:marBottom w:val="0"/>
      <w:divBdr>
        <w:top w:val="none" w:sz="0" w:space="0" w:color="auto"/>
        <w:left w:val="none" w:sz="0" w:space="0" w:color="auto"/>
        <w:bottom w:val="none" w:sz="0" w:space="0" w:color="auto"/>
        <w:right w:val="none" w:sz="0" w:space="0" w:color="auto"/>
      </w:divBdr>
    </w:div>
    <w:div w:id="1513229442">
      <w:bodyDiv w:val="1"/>
      <w:marLeft w:val="0"/>
      <w:marRight w:val="0"/>
      <w:marTop w:val="0"/>
      <w:marBottom w:val="0"/>
      <w:divBdr>
        <w:top w:val="none" w:sz="0" w:space="0" w:color="auto"/>
        <w:left w:val="none" w:sz="0" w:space="0" w:color="auto"/>
        <w:bottom w:val="none" w:sz="0" w:space="0" w:color="auto"/>
        <w:right w:val="none" w:sz="0" w:space="0" w:color="auto"/>
      </w:divBdr>
    </w:div>
    <w:div w:id="1513254744">
      <w:bodyDiv w:val="1"/>
      <w:marLeft w:val="0"/>
      <w:marRight w:val="0"/>
      <w:marTop w:val="0"/>
      <w:marBottom w:val="0"/>
      <w:divBdr>
        <w:top w:val="none" w:sz="0" w:space="0" w:color="auto"/>
        <w:left w:val="none" w:sz="0" w:space="0" w:color="auto"/>
        <w:bottom w:val="none" w:sz="0" w:space="0" w:color="auto"/>
        <w:right w:val="none" w:sz="0" w:space="0" w:color="auto"/>
      </w:divBdr>
    </w:div>
    <w:div w:id="1513489823">
      <w:bodyDiv w:val="1"/>
      <w:marLeft w:val="0"/>
      <w:marRight w:val="0"/>
      <w:marTop w:val="0"/>
      <w:marBottom w:val="0"/>
      <w:divBdr>
        <w:top w:val="none" w:sz="0" w:space="0" w:color="auto"/>
        <w:left w:val="none" w:sz="0" w:space="0" w:color="auto"/>
        <w:bottom w:val="none" w:sz="0" w:space="0" w:color="auto"/>
        <w:right w:val="none" w:sz="0" w:space="0" w:color="auto"/>
      </w:divBdr>
    </w:div>
    <w:div w:id="1513643455">
      <w:bodyDiv w:val="1"/>
      <w:marLeft w:val="0"/>
      <w:marRight w:val="0"/>
      <w:marTop w:val="0"/>
      <w:marBottom w:val="0"/>
      <w:divBdr>
        <w:top w:val="none" w:sz="0" w:space="0" w:color="auto"/>
        <w:left w:val="none" w:sz="0" w:space="0" w:color="auto"/>
        <w:bottom w:val="none" w:sz="0" w:space="0" w:color="auto"/>
        <w:right w:val="none" w:sz="0" w:space="0" w:color="auto"/>
      </w:divBdr>
    </w:div>
    <w:div w:id="1514035126">
      <w:bodyDiv w:val="1"/>
      <w:marLeft w:val="0"/>
      <w:marRight w:val="0"/>
      <w:marTop w:val="0"/>
      <w:marBottom w:val="0"/>
      <w:divBdr>
        <w:top w:val="none" w:sz="0" w:space="0" w:color="auto"/>
        <w:left w:val="none" w:sz="0" w:space="0" w:color="auto"/>
        <w:bottom w:val="none" w:sz="0" w:space="0" w:color="auto"/>
        <w:right w:val="none" w:sz="0" w:space="0" w:color="auto"/>
      </w:divBdr>
    </w:div>
    <w:div w:id="1514109876">
      <w:bodyDiv w:val="1"/>
      <w:marLeft w:val="0"/>
      <w:marRight w:val="0"/>
      <w:marTop w:val="0"/>
      <w:marBottom w:val="0"/>
      <w:divBdr>
        <w:top w:val="none" w:sz="0" w:space="0" w:color="auto"/>
        <w:left w:val="none" w:sz="0" w:space="0" w:color="auto"/>
        <w:bottom w:val="none" w:sz="0" w:space="0" w:color="auto"/>
        <w:right w:val="none" w:sz="0" w:space="0" w:color="auto"/>
      </w:divBdr>
    </w:div>
    <w:div w:id="1514144026">
      <w:bodyDiv w:val="1"/>
      <w:marLeft w:val="0"/>
      <w:marRight w:val="0"/>
      <w:marTop w:val="0"/>
      <w:marBottom w:val="0"/>
      <w:divBdr>
        <w:top w:val="none" w:sz="0" w:space="0" w:color="auto"/>
        <w:left w:val="none" w:sz="0" w:space="0" w:color="auto"/>
        <w:bottom w:val="none" w:sz="0" w:space="0" w:color="auto"/>
        <w:right w:val="none" w:sz="0" w:space="0" w:color="auto"/>
      </w:divBdr>
    </w:div>
    <w:div w:id="1514145353">
      <w:bodyDiv w:val="1"/>
      <w:marLeft w:val="0"/>
      <w:marRight w:val="0"/>
      <w:marTop w:val="0"/>
      <w:marBottom w:val="0"/>
      <w:divBdr>
        <w:top w:val="none" w:sz="0" w:space="0" w:color="auto"/>
        <w:left w:val="none" w:sz="0" w:space="0" w:color="auto"/>
        <w:bottom w:val="none" w:sz="0" w:space="0" w:color="auto"/>
        <w:right w:val="none" w:sz="0" w:space="0" w:color="auto"/>
      </w:divBdr>
    </w:div>
    <w:div w:id="1514343880">
      <w:bodyDiv w:val="1"/>
      <w:marLeft w:val="0"/>
      <w:marRight w:val="0"/>
      <w:marTop w:val="0"/>
      <w:marBottom w:val="0"/>
      <w:divBdr>
        <w:top w:val="none" w:sz="0" w:space="0" w:color="auto"/>
        <w:left w:val="none" w:sz="0" w:space="0" w:color="auto"/>
        <w:bottom w:val="none" w:sz="0" w:space="0" w:color="auto"/>
        <w:right w:val="none" w:sz="0" w:space="0" w:color="auto"/>
      </w:divBdr>
    </w:div>
    <w:div w:id="1514493919">
      <w:bodyDiv w:val="1"/>
      <w:marLeft w:val="0"/>
      <w:marRight w:val="0"/>
      <w:marTop w:val="0"/>
      <w:marBottom w:val="0"/>
      <w:divBdr>
        <w:top w:val="none" w:sz="0" w:space="0" w:color="auto"/>
        <w:left w:val="none" w:sz="0" w:space="0" w:color="auto"/>
        <w:bottom w:val="none" w:sz="0" w:space="0" w:color="auto"/>
        <w:right w:val="none" w:sz="0" w:space="0" w:color="auto"/>
      </w:divBdr>
    </w:div>
    <w:div w:id="1514539921">
      <w:bodyDiv w:val="1"/>
      <w:marLeft w:val="0"/>
      <w:marRight w:val="0"/>
      <w:marTop w:val="0"/>
      <w:marBottom w:val="0"/>
      <w:divBdr>
        <w:top w:val="none" w:sz="0" w:space="0" w:color="auto"/>
        <w:left w:val="none" w:sz="0" w:space="0" w:color="auto"/>
        <w:bottom w:val="none" w:sz="0" w:space="0" w:color="auto"/>
        <w:right w:val="none" w:sz="0" w:space="0" w:color="auto"/>
      </w:divBdr>
    </w:div>
    <w:div w:id="1514568887">
      <w:bodyDiv w:val="1"/>
      <w:marLeft w:val="0"/>
      <w:marRight w:val="0"/>
      <w:marTop w:val="0"/>
      <w:marBottom w:val="0"/>
      <w:divBdr>
        <w:top w:val="none" w:sz="0" w:space="0" w:color="auto"/>
        <w:left w:val="none" w:sz="0" w:space="0" w:color="auto"/>
        <w:bottom w:val="none" w:sz="0" w:space="0" w:color="auto"/>
        <w:right w:val="none" w:sz="0" w:space="0" w:color="auto"/>
      </w:divBdr>
    </w:div>
    <w:div w:id="1514952679">
      <w:bodyDiv w:val="1"/>
      <w:marLeft w:val="0"/>
      <w:marRight w:val="0"/>
      <w:marTop w:val="0"/>
      <w:marBottom w:val="0"/>
      <w:divBdr>
        <w:top w:val="none" w:sz="0" w:space="0" w:color="auto"/>
        <w:left w:val="none" w:sz="0" w:space="0" w:color="auto"/>
        <w:bottom w:val="none" w:sz="0" w:space="0" w:color="auto"/>
        <w:right w:val="none" w:sz="0" w:space="0" w:color="auto"/>
      </w:divBdr>
    </w:div>
    <w:div w:id="1515724356">
      <w:bodyDiv w:val="1"/>
      <w:marLeft w:val="0"/>
      <w:marRight w:val="0"/>
      <w:marTop w:val="0"/>
      <w:marBottom w:val="0"/>
      <w:divBdr>
        <w:top w:val="none" w:sz="0" w:space="0" w:color="auto"/>
        <w:left w:val="none" w:sz="0" w:space="0" w:color="auto"/>
        <w:bottom w:val="none" w:sz="0" w:space="0" w:color="auto"/>
        <w:right w:val="none" w:sz="0" w:space="0" w:color="auto"/>
      </w:divBdr>
    </w:div>
    <w:div w:id="1515997616">
      <w:bodyDiv w:val="1"/>
      <w:marLeft w:val="0"/>
      <w:marRight w:val="0"/>
      <w:marTop w:val="0"/>
      <w:marBottom w:val="0"/>
      <w:divBdr>
        <w:top w:val="none" w:sz="0" w:space="0" w:color="auto"/>
        <w:left w:val="none" w:sz="0" w:space="0" w:color="auto"/>
        <w:bottom w:val="none" w:sz="0" w:space="0" w:color="auto"/>
        <w:right w:val="none" w:sz="0" w:space="0" w:color="auto"/>
      </w:divBdr>
    </w:div>
    <w:div w:id="1516118184">
      <w:bodyDiv w:val="1"/>
      <w:marLeft w:val="0"/>
      <w:marRight w:val="0"/>
      <w:marTop w:val="0"/>
      <w:marBottom w:val="0"/>
      <w:divBdr>
        <w:top w:val="none" w:sz="0" w:space="0" w:color="auto"/>
        <w:left w:val="none" w:sz="0" w:space="0" w:color="auto"/>
        <w:bottom w:val="none" w:sz="0" w:space="0" w:color="auto"/>
        <w:right w:val="none" w:sz="0" w:space="0" w:color="auto"/>
      </w:divBdr>
    </w:div>
    <w:div w:id="1516338723">
      <w:bodyDiv w:val="1"/>
      <w:marLeft w:val="0"/>
      <w:marRight w:val="0"/>
      <w:marTop w:val="0"/>
      <w:marBottom w:val="0"/>
      <w:divBdr>
        <w:top w:val="none" w:sz="0" w:space="0" w:color="auto"/>
        <w:left w:val="none" w:sz="0" w:space="0" w:color="auto"/>
        <w:bottom w:val="none" w:sz="0" w:space="0" w:color="auto"/>
        <w:right w:val="none" w:sz="0" w:space="0" w:color="auto"/>
      </w:divBdr>
    </w:div>
    <w:div w:id="1516579356">
      <w:bodyDiv w:val="1"/>
      <w:marLeft w:val="0"/>
      <w:marRight w:val="0"/>
      <w:marTop w:val="0"/>
      <w:marBottom w:val="0"/>
      <w:divBdr>
        <w:top w:val="none" w:sz="0" w:space="0" w:color="auto"/>
        <w:left w:val="none" w:sz="0" w:space="0" w:color="auto"/>
        <w:bottom w:val="none" w:sz="0" w:space="0" w:color="auto"/>
        <w:right w:val="none" w:sz="0" w:space="0" w:color="auto"/>
      </w:divBdr>
    </w:div>
    <w:div w:id="1516772875">
      <w:bodyDiv w:val="1"/>
      <w:marLeft w:val="0"/>
      <w:marRight w:val="0"/>
      <w:marTop w:val="0"/>
      <w:marBottom w:val="0"/>
      <w:divBdr>
        <w:top w:val="none" w:sz="0" w:space="0" w:color="auto"/>
        <w:left w:val="none" w:sz="0" w:space="0" w:color="auto"/>
        <w:bottom w:val="none" w:sz="0" w:space="0" w:color="auto"/>
        <w:right w:val="none" w:sz="0" w:space="0" w:color="auto"/>
      </w:divBdr>
    </w:div>
    <w:div w:id="1516843567">
      <w:bodyDiv w:val="1"/>
      <w:marLeft w:val="0"/>
      <w:marRight w:val="0"/>
      <w:marTop w:val="0"/>
      <w:marBottom w:val="0"/>
      <w:divBdr>
        <w:top w:val="none" w:sz="0" w:space="0" w:color="auto"/>
        <w:left w:val="none" w:sz="0" w:space="0" w:color="auto"/>
        <w:bottom w:val="none" w:sz="0" w:space="0" w:color="auto"/>
        <w:right w:val="none" w:sz="0" w:space="0" w:color="auto"/>
      </w:divBdr>
    </w:div>
    <w:div w:id="1517042655">
      <w:bodyDiv w:val="1"/>
      <w:marLeft w:val="0"/>
      <w:marRight w:val="0"/>
      <w:marTop w:val="0"/>
      <w:marBottom w:val="0"/>
      <w:divBdr>
        <w:top w:val="none" w:sz="0" w:space="0" w:color="auto"/>
        <w:left w:val="none" w:sz="0" w:space="0" w:color="auto"/>
        <w:bottom w:val="none" w:sz="0" w:space="0" w:color="auto"/>
        <w:right w:val="none" w:sz="0" w:space="0" w:color="auto"/>
      </w:divBdr>
    </w:div>
    <w:div w:id="1517189946">
      <w:bodyDiv w:val="1"/>
      <w:marLeft w:val="0"/>
      <w:marRight w:val="0"/>
      <w:marTop w:val="0"/>
      <w:marBottom w:val="0"/>
      <w:divBdr>
        <w:top w:val="none" w:sz="0" w:space="0" w:color="auto"/>
        <w:left w:val="none" w:sz="0" w:space="0" w:color="auto"/>
        <w:bottom w:val="none" w:sz="0" w:space="0" w:color="auto"/>
        <w:right w:val="none" w:sz="0" w:space="0" w:color="auto"/>
      </w:divBdr>
    </w:div>
    <w:div w:id="1517424855">
      <w:bodyDiv w:val="1"/>
      <w:marLeft w:val="0"/>
      <w:marRight w:val="0"/>
      <w:marTop w:val="0"/>
      <w:marBottom w:val="0"/>
      <w:divBdr>
        <w:top w:val="none" w:sz="0" w:space="0" w:color="auto"/>
        <w:left w:val="none" w:sz="0" w:space="0" w:color="auto"/>
        <w:bottom w:val="none" w:sz="0" w:space="0" w:color="auto"/>
        <w:right w:val="none" w:sz="0" w:space="0" w:color="auto"/>
      </w:divBdr>
    </w:div>
    <w:div w:id="1517428464">
      <w:bodyDiv w:val="1"/>
      <w:marLeft w:val="0"/>
      <w:marRight w:val="0"/>
      <w:marTop w:val="0"/>
      <w:marBottom w:val="0"/>
      <w:divBdr>
        <w:top w:val="none" w:sz="0" w:space="0" w:color="auto"/>
        <w:left w:val="none" w:sz="0" w:space="0" w:color="auto"/>
        <w:bottom w:val="none" w:sz="0" w:space="0" w:color="auto"/>
        <w:right w:val="none" w:sz="0" w:space="0" w:color="auto"/>
      </w:divBdr>
    </w:div>
    <w:div w:id="1518152157">
      <w:bodyDiv w:val="1"/>
      <w:marLeft w:val="0"/>
      <w:marRight w:val="0"/>
      <w:marTop w:val="0"/>
      <w:marBottom w:val="0"/>
      <w:divBdr>
        <w:top w:val="none" w:sz="0" w:space="0" w:color="auto"/>
        <w:left w:val="none" w:sz="0" w:space="0" w:color="auto"/>
        <w:bottom w:val="none" w:sz="0" w:space="0" w:color="auto"/>
        <w:right w:val="none" w:sz="0" w:space="0" w:color="auto"/>
      </w:divBdr>
    </w:div>
    <w:div w:id="1518235611">
      <w:bodyDiv w:val="1"/>
      <w:marLeft w:val="0"/>
      <w:marRight w:val="0"/>
      <w:marTop w:val="0"/>
      <w:marBottom w:val="0"/>
      <w:divBdr>
        <w:top w:val="none" w:sz="0" w:space="0" w:color="auto"/>
        <w:left w:val="none" w:sz="0" w:space="0" w:color="auto"/>
        <w:bottom w:val="none" w:sz="0" w:space="0" w:color="auto"/>
        <w:right w:val="none" w:sz="0" w:space="0" w:color="auto"/>
      </w:divBdr>
    </w:div>
    <w:div w:id="1518350219">
      <w:bodyDiv w:val="1"/>
      <w:marLeft w:val="0"/>
      <w:marRight w:val="0"/>
      <w:marTop w:val="0"/>
      <w:marBottom w:val="0"/>
      <w:divBdr>
        <w:top w:val="none" w:sz="0" w:space="0" w:color="auto"/>
        <w:left w:val="none" w:sz="0" w:space="0" w:color="auto"/>
        <w:bottom w:val="none" w:sz="0" w:space="0" w:color="auto"/>
        <w:right w:val="none" w:sz="0" w:space="0" w:color="auto"/>
      </w:divBdr>
    </w:div>
    <w:div w:id="1518427272">
      <w:bodyDiv w:val="1"/>
      <w:marLeft w:val="0"/>
      <w:marRight w:val="0"/>
      <w:marTop w:val="0"/>
      <w:marBottom w:val="0"/>
      <w:divBdr>
        <w:top w:val="none" w:sz="0" w:space="0" w:color="auto"/>
        <w:left w:val="none" w:sz="0" w:space="0" w:color="auto"/>
        <w:bottom w:val="none" w:sz="0" w:space="0" w:color="auto"/>
        <w:right w:val="none" w:sz="0" w:space="0" w:color="auto"/>
      </w:divBdr>
    </w:div>
    <w:div w:id="1519078530">
      <w:bodyDiv w:val="1"/>
      <w:marLeft w:val="0"/>
      <w:marRight w:val="0"/>
      <w:marTop w:val="0"/>
      <w:marBottom w:val="0"/>
      <w:divBdr>
        <w:top w:val="none" w:sz="0" w:space="0" w:color="auto"/>
        <w:left w:val="none" w:sz="0" w:space="0" w:color="auto"/>
        <w:bottom w:val="none" w:sz="0" w:space="0" w:color="auto"/>
        <w:right w:val="none" w:sz="0" w:space="0" w:color="auto"/>
      </w:divBdr>
    </w:div>
    <w:div w:id="1519125550">
      <w:bodyDiv w:val="1"/>
      <w:marLeft w:val="0"/>
      <w:marRight w:val="0"/>
      <w:marTop w:val="0"/>
      <w:marBottom w:val="0"/>
      <w:divBdr>
        <w:top w:val="none" w:sz="0" w:space="0" w:color="auto"/>
        <w:left w:val="none" w:sz="0" w:space="0" w:color="auto"/>
        <w:bottom w:val="none" w:sz="0" w:space="0" w:color="auto"/>
        <w:right w:val="none" w:sz="0" w:space="0" w:color="auto"/>
      </w:divBdr>
    </w:div>
    <w:div w:id="1519200690">
      <w:bodyDiv w:val="1"/>
      <w:marLeft w:val="0"/>
      <w:marRight w:val="0"/>
      <w:marTop w:val="0"/>
      <w:marBottom w:val="0"/>
      <w:divBdr>
        <w:top w:val="none" w:sz="0" w:space="0" w:color="auto"/>
        <w:left w:val="none" w:sz="0" w:space="0" w:color="auto"/>
        <w:bottom w:val="none" w:sz="0" w:space="0" w:color="auto"/>
        <w:right w:val="none" w:sz="0" w:space="0" w:color="auto"/>
      </w:divBdr>
    </w:div>
    <w:div w:id="1519848685">
      <w:bodyDiv w:val="1"/>
      <w:marLeft w:val="0"/>
      <w:marRight w:val="0"/>
      <w:marTop w:val="0"/>
      <w:marBottom w:val="0"/>
      <w:divBdr>
        <w:top w:val="none" w:sz="0" w:space="0" w:color="auto"/>
        <w:left w:val="none" w:sz="0" w:space="0" w:color="auto"/>
        <w:bottom w:val="none" w:sz="0" w:space="0" w:color="auto"/>
        <w:right w:val="none" w:sz="0" w:space="0" w:color="auto"/>
      </w:divBdr>
    </w:div>
    <w:div w:id="1519856309">
      <w:bodyDiv w:val="1"/>
      <w:marLeft w:val="0"/>
      <w:marRight w:val="0"/>
      <w:marTop w:val="0"/>
      <w:marBottom w:val="0"/>
      <w:divBdr>
        <w:top w:val="none" w:sz="0" w:space="0" w:color="auto"/>
        <w:left w:val="none" w:sz="0" w:space="0" w:color="auto"/>
        <w:bottom w:val="none" w:sz="0" w:space="0" w:color="auto"/>
        <w:right w:val="none" w:sz="0" w:space="0" w:color="auto"/>
      </w:divBdr>
    </w:div>
    <w:div w:id="1520315320">
      <w:bodyDiv w:val="1"/>
      <w:marLeft w:val="0"/>
      <w:marRight w:val="0"/>
      <w:marTop w:val="0"/>
      <w:marBottom w:val="0"/>
      <w:divBdr>
        <w:top w:val="none" w:sz="0" w:space="0" w:color="auto"/>
        <w:left w:val="none" w:sz="0" w:space="0" w:color="auto"/>
        <w:bottom w:val="none" w:sz="0" w:space="0" w:color="auto"/>
        <w:right w:val="none" w:sz="0" w:space="0" w:color="auto"/>
      </w:divBdr>
    </w:div>
    <w:div w:id="1520507570">
      <w:bodyDiv w:val="1"/>
      <w:marLeft w:val="0"/>
      <w:marRight w:val="0"/>
      <w:marTop w:val="0"/>
      <w:marBottom w:val="0"/>
      <w:divBdr>
        <w:top w:val="none" w:sz="0" w:space="0" w:color="auto"/>
        <w:left w:val="none" w:sz="0" w:space="0" w:color="auto"/>
        <w:bottom w:val="none" w:sz="0" w:space="0" w:color="auto"/>
        <w:right w:val="none" w:sz="0" w:space="0" w:color="auto"/>
      </w:divBdr>
    </w:div>
    <w:div w:id="1520849174">
      <w:bodyDiv w:val="1"/>
      <w:marLeft w:val="0"/>
      <w:marRight w:val="0"/>
      <w:marTop w:val="0"/>
      <w:marBottom w:val="0"/>
      <w:divBdr>
        <w:top w:val="none" w:sz="0" w:space="0" w:color="auto"/>
        <w:left w:val="none" w:sz="0" w:space="0" w:color="auto"/>
        <w:bottom w:val="none" w:sz="0" w:space="0" w:color="auto"/>
        <w:right w:val="none" w:sz="0" w:space="0" w:color="auto"/>
      </w:divBdr>
    </w:div>
    <w:div w:id="1520855072">
      <w:bodyDiv w:val="1"/>
      <w:marLeft w:val="0"/>
      <w:marRight w:val="0"/>
      <w:marTop w:val="0"/>
      <w:marBottom w:val="0"/>
      <w:divBdr>
        <w:top w:val="none" w:sz="0" w:space="0" w:color="auto"/>
        <w:left w:val="none" w:sz="0" w:space="0" w:color="auto"/>
        <w:bottom w:val="none" w:sz="0" w:space="0" w:color="auto"/>
        <w:right w:val="none" w:sz="0" w:space="0" w:color="auto"/>
      </w:divBdr>
    </w:div>
    <w:div w:id="1521046896">
      <w:bodyDiv w:val="1"/>
      <w:marLeft w:val="0"/>
      <w:marRight w:val="0"/>
      <w:marTop w:val="0"/>
      <w:marBottom w:val="0"/>
      <w:divBdr>
        <w:top w:val="none" w:sz="0" w:space="0" w:color="auto"/>
        <w:left w:val="none" w:sz="0" w:space="0" w:color="auto"/>
        <w:bottom w:val="none" w:sz="0" w:space="0" w:color="auto"/>
        <w:right w:val="none" w:sz="0" w:space="0" w:color="auto"/>
      </w:divBdr>
    </w:div>
    <w:div w:id="1521436444">
      <w:bodyDiv w:val="1"/>
      <w:marLeft w:val="0"/>
      <w:marRight w:val="0"/>
      <w:marTop w:val="0"/>
      <w:marBottom w:val="0"/>
      <w:divBdr>
        <w:top w:val="none" w:sz="0" w:space="0" w:color="auto"/>
        <w:left w:val="none" w:sz="0" w:space="0" w:color="auto"/>
        <w:bottom w:val="none" w:sz="0" w:space="0" w:color="auto"/>
        <w:right w:val="none" w:sz="0" w:space="0" w:color="auto"/>
      </w:divBdr>
    </w:div>
    <w:div w:id="1521701577">
      <w:bodyDiv w:val="1"/>
      <w:marLeft w:val="0"/>
      <w:marRight w:val="0"/>
      <w:marTop w:val="0"/>
      <w:marBottom w:val="0"/>
      <w:divBdr>
        <w:top w:val="none" w:sz="0" w:space="0" w:color="auto"/>
        <w:left w:val="none" w:sz="0" w:space="0" w:color="auto"/>
        <w:bottom w:val="none" w:sz="0" w:space="0" w:color="auto"/>
        <w:right w:val="none" w:sz="0" w:space="0" w:color="auto"/>
      </w:divBdr>
    </w:div>
    <w:div w:id="1521893231">
      <w:bodyDiv w:val="1"/>
      <w:marLeft w:val="0"/>
      <w:marRight w:val="0"/>
      <w:marTop w:val="0"/>
      <w:marBottom w:val="0"/>
      <w:divBdr>
        <w:top w:val="none" w:sz="0" w:space="0" w:color="auto"/>
        <w:left w:val="none" w:sz="0" w:space="0" w:color="auto"/>
        <w:bottom w:val="none" w:sz="0" w:space="0" w:color="auto"/>
        <w:right w:val="none" w:sz="0" w:space="0" w:color="auto"/>
      </w:divBdr>
    </w:div>
    <w:div w:id="1522091313">
      <w:bodyDiv w:val="1"/>
      <w:marLeft w:val="0"/>
      <w:marRight w:val="0"/>
      <w:marTop w:val="0"/>
      <w:marBottom w:val="0"/>
      <w:divBdr>
        <w:top w:val="none" w:sz="0" w:space="0" w:color="auto"/>
        <w:left w:val="none" w:sz="0" w:space="0" w:color="auto"/>
        <w:bottom w:val="none" w:sz="0" w:space="0" w:color="auto"/>
        <w:right w:val="none" w:sz="0" w:space="0" w:color="auto"/>
      </w:divBdr>
    </w:div>
    <w:div w:id="1522668329">
      <w:bodyDiv w:val="1"/>
      <w:marLeft w:val="0"/>
      <w:marRight w:val="0"/>
      <w:marTop w:val="0"/>
      <w:marBottom w:val="0"/>
      <w:divBdr>
        <w:top w:val="none" w:sz="0" w:space="0" w:color="auto"/>
        <w:left w:val="none" w:sz="0" w:space="0" w:color="auto"/>
        <w:bottom w:val="none" w:sz="0" w:space="0" w:color="auto"/>
        <w:right w:val="none" w:sz="0" w:space="0" w:color="auto"/>
      </w:divBdr>
    </w:div>
    <w:div w:id="1522669828">
      <w:bodyDiv w:val="1"/>
      <w:marLeft w:val="0"/>
      <w:marRight w:val="0"/>
      <w:marTop w:val="0"/>
      <w:marBottom w:val="0"/>
      <w:divBdr>
        <w:top w:val="none" w:sz="0" w:space="0" w:color="auto"/>
        <w:left w:val="none" w:sz="0" w:space="0" w:color="auto"/>
        <w:bottom w:val="none" w:sz="0" w:space="0" w:color="auto"/>
        <w:right w:val="none" w:sz="0" w:space="0" w:color="auto"/>
      </w:divBdr>
    </w:div>
    <w:div w:id="1522934586">
      <w:bodyDiv w:val="1"/>
      <w:marLeft w:val="0"/>
      <w:marRight w:val="0"/>
      <w:marTop w:val="0"/>
      <w:marBottom w:val="0"/>
      <w:divBdr>
        <w:top w:val="none" w:sz="0" w:space="0" w:color="auto"/>
        <w:left w:val="none" w:sz="0" w:space="0" w:color="auto"/>
        <w:bottom w:val="none" w:sz="0" w:space="0" w:color="auto"/>
        <w:right w:val="none" w:sz="0" w:space="0" w:color="auto"/>
      </w:divBdr>
    </w:div>
    <w:div w:id="1523013016">
      <w:bodyDiv w:val="1"/>
      <w:marLeft w:val="0"/>
      <w:marRight w:val="0"/>
      <w:marTop w:val="0"/>
      <w:marBottom w:val="0"/>
      <w:divBdr>
        <w:top w:val="none" w:sz="0" w:space="0" w:color="auto"/>
        <w:left w:val="none" w:sz="0" w:space="0" w:color="auto"/>
        <w:bottom w:val="none" w:sz="0" w:space="0" w:color="auto"/>
        <w:right w:val="none" w:sz="0" w:space="0" w:color="auto"/>
      </w:divBdr>
    </w:div>
    <w:div w:id="1523473539">
      <w:bodyDiv w:val="1"/>
      <w:marLeft w:val="0"/>
      <w:marRight w:val="0"/>
      <w:marTop w:val="0"/>
      <w:marBottom w:val="0"/>
      <w:divBdr>
        <w:top w:val="none" w:sz="0" w:space="0" w:color="auto"/>
        <w:left w:val="none" w:sz="0" w:space="0" w:color="auto"/>
        <w:bottom w:val="none" w:sz="0" w:space="0" w:color="auto"/>
        <w:right w:val="none" w:sz="0" w:space="0" w:color="auto"/>
      </w:divBdr>
    </w:div>
    <w:div w:id="1523668266">
      <w:bodyDiv w:val="1"/>
      <w:marLeft w:val="0"/>
      <w:marRight w:val="0"/>
      <w:marTop w:val="0"/>
      <w:marBottom w:val="0"/>
      <w:divBdr>
        <w:top w:val="none" w:sz="0" w:space="0" w:color="auto"/>
        <w:left w:val="none" w:sz="0" w:space="0" w:color="auto"/>
        <w:bottom w:val="none" w:sz="0" w:space="0" w:color="auto"/>
        <w:right w:val="none" w:sz="0" w:space="0" w:color="auto"/>
      </w:divBdr>
    </w:div>
    <w:div w:id="1523781037">
      <w:bodyDiv w:val="1"/>
      <w:marLeft w:val="0"/>
      <w:marRight w:val="0"/>
      <w:marTop w:val="0"/>
      <w:marBottom w:val="0"/>
      <w:divBdr>
        <w:top w:val="none" w:sz="0" w:space="0" w:color="auto"/>
        <w:left w:val="none" w:sz="0" w:space="0" w:color="auto"/>
        <w:bottom w:val="none" w:sz="0" w:space="0" w:color="auto"/>
        <w:right w:val="none" w:sz="0" w:space="0" w:color="auto"/>
      </w:divBdr>
    </w:div>
    <w:div w:id="1523980277">
      <w:bodyDiv w:val="1"/>
      <w:marLeft w:val="0"/>
      <w:marRight w:val="0"/>
      <w:marTop w:val="0"/>
      <w:marBottom w:val="0"/>
      <w:divBdr>
        <w:top w:val="none" w:sz="0" w:space="0" w:color="auto"/>
        <w:left w:val="none" w:sz="0" w:space="0" w:color="auto"/>
        <w:bottom w:val="none" w:sz="0" w:space="0" w:color="auto"/>
        <w:right w:val="none" w:sz="0" w:space="0" w:color="auto"/>
      </w:divBdr>
    </w:div>
    <w:div w:id="1524244149">
      <w:bodyDiv w:val="1"/>
      <w:marLeft w:val="0"/>
      <w:marRight w:val="0"/>
      <w:marTop w:val="0"/>
      <w:marBottom w:val="0"/>
      <w:divBdr>
        <w:top w:val="none" w:sz="0" w:space="0" w:color="auto"/>
        <w:left w:val="none" w:sz="0" w:space="0" w:color="auto"/>
        <w:bottom w:val="none" w:sz="0" w:space="0" w:color="auto"/>
        <w:right w:val="none" w:sz="0" w:space="0" w:color="auto"/>
      </w:divBdr>
    </w:div>
    <w:div w:id="1524326135">
      <w:bodyDiv w:val="1"/>
      <w:marLeft w:val="0"/>
      <w:marRight w:val="0"/>
      <w:marTop w:val="0"/>
      <w:marBottom w:val="0"/>
      <w:divBdr>
        <w:top w:val="none" w:sz="0" w:space="0" w:color="auto"/>
        <w:left w:val="none" w:sz="0" w:space="0" w:color="auto"/>
        <w:bottom w:val="none" w:sz="0" w:space="0" w:color="auto"/>
        <w:right w:val="none" w:sz="0" w:space="0" w:color="auto"/>
      </w:divBdr>
    </w:div>
    <w:div w:id="1524393901">
      <w:bodyDiv w:val="1"/>
      <w:marLeft w:val="0"/>
      <w:marRight w:val="0"/>
      <w:marTop w:val="0"/>
      <w:marBottom w:val="0"/>
      <w:divBdr>
        <w:top w:val="none" w:sz="0" w:space="0" w:color="auto"/>
        <w:left w:val="none" w:sz="0" w:space="0" w:color="auto"/>
        <w:bottom w:val="none" w:sz="0" w:space="0" w:color="auto"/>
        <w:right w:val="none" w:sz="0" w:space="0" w:color="auto"/>
      </w:divBdr>
    </w:div>
    <w:div w:id="1524511479">
      <w:bodyDiv w:val="1"/>
      <w:marLeft w:val="0"/>
      <w:marRight w:val="0"/>
      <w:marTop w:val="0"/>
      <w:marBottom w:val="0"/>
      <w:divBdr>
        <w:top w:val="none" w:sz="0" w:space="0" w:color="auto"/>
        <w:left w:val="none" w:sz="0" w:space="0" w:color="auto"/>
        <w:bottom w:val="none" w:sz="0" w:space="0" w:color="auto"/>
        <w:right w:val="none" w:sz="0" w:space="0" w:color="auto"/>
      </w:divBdr>
    </w:div>
    <w:div w:id="1524706807">
      <w:bodyDiv w:val="1"/>
      <w:marLeft w:val="0"/>
      <w:marRight w:val="0"/>
      <w:marTop w:val="0"/>
      <w:marBottom w:val="0"/>
      <w:divBdr>
        <w:top w:val="none" w:sz="0" w:space="0" w:color="auto"/>
        <w:left w:val="none" w:sz="0" w:space="0" w:color="auto"/>
        <w:bottom w:val="none" w:sz="0" w:space="0" w:color="auto"/>
        <w:right w:val="none" w:sz="0" w:space="0" w:color="auto"/>
      </w:divBdr>
    </w:div>
    <w:div w:id="1524707886">
      <w:bodyDiv w:val="1"/>
      <w:marLeft w:val="0"/>
      <w:marRight w:val="0"/>
      <w:marTop w:val="0"/>
      <w:marBottom w:val="0"/>
      <w:divBdr>
        <w:top w:val="none" w:sz="0" w:space="0" w:color="auto"/>
        <w:left w:val="none" w:sz="0" w:space="0" w:color="auto"/>
        <w:bottom w:val="none" w:sz="0" w:space="0" w:color="auto"/>
        <w:right w:val="none" w:sz="0" w:space="0" w:color="auto"/>
      </w:divBdr>
    </w:div>
    <w:div w:id="1524901346">
      <w:bodyDiv w:val="1"/>
      <w:marLeft w:val="0"/>
      <w:marRight w:val="0"/>
      <w:marTop w:val="0"/>
      <w:marBottom w:val="0"/>
      <w:divBdr>
        <w:top w:val="none" w:sz="0" w:space="0" w:color="auto"/>
        <w:left w:val="none" w:sz="0" w:space="0" w:color="auto"/>
        <w:bottom w:val="none" w:sz="0" w:space="0" w:color="auto"/>
        <w:right w:val="none" w:sz="0" w:space="0" w:color="auto"/>
      </w:divBdr>
    </w:div>
    <w:div w:id="1525243802">
      <w:bodyDiv w:val="1"/>
      <w:marLeft w:val="0"/>
      <w:marRight w:val="0"/>
      <w:marTop w:val="0"/>
      <w:marBottom w:val="0"/>
      <w:divBdr>
        <w:top w:val="none" w:sz="0" w:space="0" w:color="auto"/>
        <w:left w:val="none" w:sz="0" w:space="0" w:color="auto"/>
        <w:bottom w:val="none" w:sz="0" w:space="0" w:color="auto"/>
        <w:right w:val="none" w:sz="0" w:space="0" w:color="auto"/>
      </w:divBdr>
    </w:div>
    <w:div w:id="1525557656">
      <w:bodyDiv w:val="1"/>
      <w:marLeft w:val="0"/>
      <w:marRight w:val="0"/>
      <w:marTop w:val="0"/>
      <w:marBottom w:val="0"/>
      <w:divBdr>
        <w:top w:val="none" w:sz="0" w:space="0" w:color="auto"/>
        <w:left w:val="none" w:sz="0" w:space="0" w:color="auto"/>
        <w:bottom w:val="none" w:sz="0" w:space="0" w:color="auto"/>
        <w:right w:val="none" w:sz="0" w:space="0" w:color="auto"/>
      </w:divBdr>
    </w:div>
    <w:div w:id="1525823867">
      <w:bodyDiv w:val="1"/>
      <w:marLeft w:val="0"/>
      <w:marRight w:val="0"/>
      <w:marTop w:val="0"/>
      <w:marBottom w:val="0"/>
      <w:divBdr>
        <w:top w:val="none" w:sz="0" w:space="0" w:color="auto"/>
        <w:left w:val="none" w:sz="0" w:space="0" w:color="auto"/>
        <w:bottom w:val="none" w:sz="0" w:space="0" w:color="auto"/>
        <w:right w:val="none" w:sz="0" w:space="0" w:color="auto"/>
      </w:divBdr>
    </w:div>
    <w:div w:id="1525828992">
      <w:bodyDiv w:val="1"/>
      <w:marLeft w:val="0"/>
      <w:marRight w:val="0"/>
      <w:marTop w:val="0"/>
      <w:marBottom w:val="0"/>
      <w:divBdr>
        <w:top w:val="none" w:sz="0" w:space="0" w:color="auto"/>
        <w:left w:val="none" w:sz="0" w:space="0" w:color="auto"/>
        <w:bottom w:val="none" w:sz="0" w:space="0" w:color="auto"/>
        <w:right w:val="none" w:sz="0" w:space="0" w:color="auto"/>
      </w:divBdr>
    </w:div>
    <w:div w:id="1526095224">
      <w:bodyDiv w:val="1"/>
      <w:marLeft w:val="0"/>
      <w:marRight w:val="0"/>
      <w:marTop w:val="0"/>
      <w:marBottom w:val="0"/>
      <w:divBdr>
        <w:top w:val="none" w:sz="0" w:space="0" w:color="auto"/>
        <w:left w:val="none" w:sz="0" w:space="0" w:color="auto"/>
        <w:bottom w:val="none" w:sz="0" w:space="0" w:color="auto"/>
        <w:right w:val="none" w:sz="0" w:space="0" w:color="auto"/>
      </w:divBdr>
    </w:div>
    <w:div w:id="1526216173">
      <w:bodyDiv w:val="1"/>
      <w:marLeft w:val="0"/>
      <w:marRight w:val="0"/>
      <w:marTop w:val="0"/>
      <w:marBottom w:val="0"/>
      <w:divBdr>
        <w:top w:val="none" w:sz="0" w:space="0" w:color="auto"/>
        <w:left w:val="none" w:sz="0" w:space="0" w:color="auto"/>
        <w:bottom w:val="none" w:sz="0" w:space="0" w:color="auto"/>
        <w:right w:val="none" w:sz="0" w:space="0" w:color="auto"/>
      </w:divBdr>
    </w:div>
    <w:div w:id="1526333701">
      <w:bodyDiv w:val="1"/>
      <w:marLeft w:val="0"/>
      <w:marRight w:val="0"/>
      <w:marTop w:val="0"/>
      <w:marBottom w:val="0"/>
      <w:divBdr>
        <w:top w:val="none" w:sz="0" w:space="0" w:color="auto"/>
        <w:left w:val="none" w:sz="0" w:space="0" w:color="auto"/>
        <w:bottom w:val="none" w:sz="0" w:space="0" w:color="auto"/>
        <w:right w:val="none" w:sz="0" w:space="0" w:color="auto"/>
      </w:divBdr>
    </w:div>
    <w:div w:id="1526822001">
      <w:bodyDiv w:val="1"/>
      <w:marLeft w:val="0"/>
      <w:marRight w:val="0"/>
      <w:marTop w:val="0"/>
      <w:marBottom w:val="0"/>
      <w:divBdr>
        <w:top w:val="none" w:sz="0" w:space="0" w:color="auto"/>
        <w:left w:val="none" w:sz="0" w:space="0" w:color="auto"/>
        <w:bottom w:val="none" w:sz="0" w:space="0" w:color="auto"/>
        <w:right w:val="none" w:sz="0" w:space="0" w:color="auto"/>
      </w:divBdr>
    </w:div>
    <w:div w:id="1527013121">
      <w:bodyDiv w:val="1"/>
      <w:marLeft w:val="0"/>
      <w:marRight w:val="0"/>
      <w:marTop w:val="0"/>
      <w:marBottom w:val="0"/>
      <w:divBdr>
        <w:top w:val="none" w:sz="0" w:space="0" w:color="auto"/>
        <w:left w:val="none" w:sz="0" w:space="0" w:color="auto"/>
        <w:bottom w:val="none" w:sz="0" w:space="0" w:color="auto"/>
        <w:right w:val="none" w:sz="0" w:space="0" w:color="auto"/>
      </w:divBdr>
    </w:div>
    <w:div w:id="1527132360">
      <w:bodyDiv w:val="1"/>
      <w:marLeft w:val="0"/>
      <w:marRight w:val="0"/>
      <w:marTop w:val="0"/>
      <w:marBottom w:val="0"/>
      <w:divBdr>
        <w:top w:val="none" w:sz="0" w:space="0" w:color="auto"/>
        <w:left w:val="none" w:sz="0" w:space="0" w:color="auto"/>
        <w:bottom w:val="none" w:sz="0" w:space="0" w:color="auto"/>
        <w:right w:val="none" w:sz="0" w:space="0" w:color="auto"/>
      </w:divBdr>
    </w:div>
    <w:div w:id="1527406494">
      <w:bodyDiv w:val="1"/>
      <w:marLeft w:val="0"/>
      <w:marRight w:val="0"/>
      <w:marTop w:val="0"/>
      <w:marBottom w:val="0"/>
      <w:divBdr>
        <w:top w:val="none" w:sz="0" w:space="0" w:color="auto"/>
        <w:left w:val="none" w:sz="0" w:space="0" w:color="auto"/>
        <w:bottom w:val="none" w:sz="0" w:space="0" w:color="auto"/>
        <w:right w:val="none" w:sz="0" w:space="0" w:color="auto"/>
      </w:divBdr>
    </w:div>
    <w:div w:id="1527598225">
      <w:bodyDiv w:val="1"/>
      <w:marLeft w:val="0"/>
      <w:marRight w:val="0"/>
      <w:marTop w:val="0"/>
      <w:marBottom w:val="0"/>
      <w:divBdr>
        <w:top w:val="none" w:sz="0" w:space="0" w:color="auto"/>
        <w:left w:val="none" w:sz="0" w:space="0" w:color="auto"/>
        <w:bottom w:val="none" w:sz="0" w:space="0" w:color="auto"/>
        <w:right w:val="none" w:sz="0" w:space="0" w:color="auto"/>
      </w:divBdr>
    </w:div>
    <w:div w:id="1527867654">
      <w:bodyDiv w:val="1"/>
      <w:marLeft w:val="0"/>
      <w:marRight w:val="0"/>
      <w:marTop w:val="0"/>
      <w:marBottom w:val="0"/>
      <w:divBdr>
        <w:top w:val="none" w:sz="0" w:space="0" w:color="auto"/>
        <w:left w:val="none" w:sz="0" w:space="0" w:color="auto"/>
        <w:bottom w:val="none" w:sz="0" w:space="0" w:color="auto"/>
        <w:right w:val="none" w:sz="0" w:space="0" w:color="auto"/>
      </w:divBdr>
    </w:div>
    <w:div w:id="1527937772">
      <w:bodyDiv w:val="1"/>
      <w:marLeft w:val="0"/>
      <w:marRight w:val="0"/>
      <w:marTop w:val="0"/>
      <w:marBottom w:val="0"/>
      <w:divBdr>
        <w:top w:val="none" w:sz="0" w:space="0" w:color="auto"/>
        <w:left w:val="none" w:sz="0" w:space="0" w:color="auto"/>
        <w:bottom w:val="none" w:sz="0" w:space="0" w:color="auto"/>
        <w:right w:val="none" w:sz="0" w:space="0" w:color="auto"/>
      </w:divBdr>
    </w:div>
    <w:div w:id="1528635347">
      <w:bodyDiv w:val="1"/>
      <w:marLeft w:val="0"/>
      <w:marRight w:val="0"/>
      <w:marTop w:val="0"/>
      <w:marBottom w:val="0"/>
      <w:divBdr>
        <w:top w:val="none" w:sz="0" w:space="0" w:color="auto"/>
        <w:left w:val="none" w:sz="0" w:space="0" w:color="auto"/>
        <w:bottom w:val="none" w:sz="0" w:space="0" w:color="auto"/>
        <w:right w:val="none" w:sz="0" w:space="0" w:color="auto"/>
      </w:divBdr>
    </w:div>
    <w:div w:id="1528835726">
      <w:bodyDiv w:val="1"/>
      <w:marLeft w:val="0"/>
      <w:marRight w:val="0"/>
      <w:marTop w:val="0"/>
      <w:marBottom w:val="0"/>
      <w:divBdr>
        <w:top w:val="none" w:sz="0" w:space="0" w:color="auto"/>
        <w:left w:val="none" w:sz="0" w:space="0" w:color="auto"/>
        <w:bottom w:val="none" w:sz="0" w:space="0" w:color="auto"/>
        <w:right w:val="none" w:sz="0" w:space="0" w:color="auto"/>
      </w:divBdr>
    </w:div>
    <w:div w:id="1528906911">
      <w:bodyDiv w:val="1"/>
      <w:marLeft w:val="0"/>
      <w:marRight w:val="0"/>
      <w:marTop w:val="0"/>
      <w:marBottom w:val="0"/>
      <w:divBdr>
        <w:top w:val="none" w:sz="0" w:space="0" w:color="auto"/>
        <w:left w:val="none" w:sz="0" w:space="0" w:color="auto"/>
        <w:bottom w:val="none" w:sz="0" w:space="0" w:color="auto"/>
        <w:right w:val="none" w:sz="0" w:space="0" w:color="auto"/>
      </w:divBdr>
    </w:div>
    <w:div w:id="1529023673">
      <w:bodyDiv w:val="1"/>
      <w:marLeft w:val="0"/>
      <w:marRight w:val="0"/>
      <w:marTop w:val="0"/>
      <w:marBottom w:val="0"/>
      <w:divBdr>
        <w:top w:val="none" w:sz="0" w:space="0" w:color="auto"/>
        <w:left w:val="none" w:sz="0" w:space="0" w:color="auto"/>
        <w:bottom w:val="none" w:sz="0" w:space="0" w:color="auto"/>
        <w:right w:val="none" w:sz="0" w:space="0" w:color="auto"/>
      </w:divBdr>
    </w:div>
    <w:div w:id="1529639191">
      <w:bodyDiv w:val="1"/>
      <w:marLeft w:val="0"/>
      <w:marRight w:val="0"/>
      <w:marTop w:val="0"/>
      <w:marBottom w:val="0"/>
      <w:divBdr>
        <w:top w:val="none" w:sz="0" w:space="0" w:color="auto"/>
        <w:left w:val="none" w:sz="0" w:space="0" w:color="auto"/>
        <w:bottom w:val="none" w:sz="0" w:space="0" w:color="auto"/>
        <w:right w:val="none" w:sz="0" w:space="0" w:color="auto"/>
      </w:divBdr>
    </w:div>
    <w:div w:id="1529831821">
      <w:bodyDiv w:val="1"/>
      <w:marLeft w:val="0"/>
      <w:marRight w:val="0"/>
      <w:marTop w:val="0"/>
      <w:marBottom w:val="0"/>
      <w:divBdr>
        <w:top w:val="none" w:sz="0" w:space="0" w:color="auto"/>
        <w:left w:val="none" w:sz="0" w:space="0" w:color="auto"/>
        <w:bottom w:val="none" w:sz="0" w:space="0" w:color="auto"/>
        <w:right w:val="none" w:sz="0" w:space="0" w:color="auto"/>
      </w:divBdr>
    </w:div>
    <w:div w:id="1530214457">
      <w:bodyDiv w:val="1"/>
      <w:marLeft w:val="0"/>
      <w:marRight w:val="0"/>
      <w:marTop w:val="0"/>
      <w:marBottom w:val="0"/>
      <w:divBdr>
        <w:top w:val="none" w:sz="0" w:space="0" w:color="auto"/>
        <w:left w:val="none" w:sz="0" w:space="0" w:color="auto"/>
        <w:bottom w:val="none" w:sz="0" w:space="0" w:color="auto"/>
        <w:right w:val="none" w:sz="0" w:space="0" w:color="auto"/>
      </w:divBdr>
    </w:div>
    <w:div w:id="1530220303">
      <w:bodyDiv w:val="1"/>
      <w:marLeft w:val="0"/>
      <w:marRight w:val="0"/>
      <w:marTop w:val="0"/>
      <w:marBottom w:val="0"/>
      <w:divBdr>
        <w:top w:val="none" w:sz="0" w:space="0" w:color="auto"/>
        <w:left w:val="none" w:sz="0" w:space="0" w:color="auto"/>
        <w:bottom w:val="none" w:sz="0" w:space="0" w:color="auto"/>
        <w:right w:val="none" w:sz="0" w:space="0" w:color="auto"/>
      </w:divBdr>
    </w:div>
    <w:div w:id="1530298174">
      <w:bodyDiv w:val="1"/>
      <w:marLeft w:val="0"/>
      <w:marRight w:val="0"/>
      <w:marTop w:val="0"/>
      <w:marBottom w:val="0"/>
      <w:divBdr>
        <w:top w:val="none" w:sz="0" w:space="0" w:color="auto"/>
        <w:left w:val="none" w:sz="0" w:space="0" w:color="auto"/>
        <w:bottom w:val="none" w:sz="0" w:space="0" w:color="auto"/>
        <w:right w:val="none" w:sz="0" w:space="0" w:color="auto"/>
      </w:divBdr>
    </w:div>
    <w:div w:id="1531603003">
      <w:bodyDiv w:val="1"/>
      <w:marLeft w:val="0"/>
      <w:marRight w:val="0"/>
      <w:marTop w:val="0"/>
      <w:marBottom w:val="0"/>
      <w:divBdr>
        <w:top w:val="none" w:sz="0" w:space="0" w:color="auto"/>
        <w:left w:val="none" w:sz="0" w:space="0" w:color="auto"/>
        <w:bottom w:val="none" w:sz="0" w:space="0" w:color="auto"/>
        <w:right w:val="none" w:sz="0" w:space="0" w:color="auto"/>
      </w:divBdr>
    </w:div>
    <w:div w:id="1531606365">
      <w:bodyDiv w:val="1"/>
      <w:marLeft w:val="0"/>
      <w:marRight w:val="0"/>
      <w:marTop w:val="0"/>
      <w:marBottom w:val="0"/>
      <w:divBdr>
        <w:top w:val="none" w:sz="0" w:space="0" w:color="auto"/>
        <w:left w:val="none" w:sz="0" w:space="0" w:color="auto"/>
        <w:bottom w:val="none" w:sz="0" w:space="0" w:color="auto"/>
        <w:right w:val="none" w:sz="0" w:space="0" w:color="auto"/>
      </w:divBdr>
    </w:div>
    <w:div w:id="1531644145">
      <w:bodyDiv w:val="1"/>
      <w:marLeft w:val="0"/>
      <w:marRight w:val="0"/>
      <w:marTop w:val="0"/>
      <w:marBottom w:val="0"/>
      <w:divBdr>
        <w:top w:val="none" w:sz="0" w:space="0" w:color="auto"/>
        <w:left w:val="none" w:sz="0" w:space="0" w:color="auto"/>
        <w:bottom w:val="none" w:sz="0" w:space="0" w:color="auto"/>
        <w:right w:val="none" w:sz="0" w:space="0" w:color="auto"/>
      </w:divBdr>
    </w:div>
    <w:div w:id="1531644800">
      <w:bodyDiv w:val="1"/>
      <w:marLeft w:val="0"/>
      <w:marRight w:val="0"/>
      <w:marTop w:val="0"/>
      <w:marBottom w:val="0"/>
      <w:divBdr>
        <w:top w:val="none" w:sz="0" w:space="0" w:color="auto"/>
        <w:left w:val="none" w:sz="0" w:space="0" w:color="auto"/>
        <w:bottom w:val="none" w:sz="0" w:space="0" w:color="auto"/>
        <w:right w:val="none" w:sz="0" w:space="0" w:color="auto"/>
      </w:divBdr>
    </w:div>
    <w:div w:id="1531726638">
      <w:bodyDiv w:val="1"/>
      <w:marLeft w:val="0"/>
      <w:marRight w:val="0"/>
      <w:marTop w:val="0"/>
      <w:marBottom w:val="0"/>
      <w:divBdr>
        <w:top w:val="none" w:sz="0" w:space="0" w:color="auto"/>
        <w:left w:val="none" w:sz="0" w:space="0" w:color="auto"/>
        <w:bottom w:val="none" w:sz="0" w:space="0" w:color="auto"/>
        <w:right w:val="none" w:sz="0" w:space="0" w:color="auto"/>
      </w:divBdr>
    </w:div>
    <w:div w:id="1531796178">
      <w:bodyDiv w:val="1"/>
      <w:marLeft w:val="0"/>
      <w:marRight w:val="0"/>
      <w:marTop w:val="0"/>
      <w:marBottom w:val="0"/>
      <w:divBdr>
        <w:top w:val="none" w:sz="0" w:space="0" w:color="auto"/>
        <w:left w:val="none" w:sz="0" w:space="0" w:color="auto"/>
        <w:bottom w:val="none" w:sz="0" w:space="0" w:color="auto"/>
        <w:right w:val="none" w:sz="0" w:space="0" w:color="auto"/>
      </w:divBdr>
    </w:div>
    <w:div w:id="1531796915">
      <w:bodyDiv w:val="1"/>
      <w:marLeft w:val="0"/>
      <w:marRight w:val="0"/>
      <w:marTop w:val="0"/>
      <w:marBottom w:val="0"/>
      <w:divBdr>
        <w:top w:val="none" w:sz="0" w:space="0" w:color="auto"/>
        <w:left w:val="none" w:sz="0" w:space="0" w:color="auto"/>
        <w:bottom w:val="none" w:sz="0" w:space="0" w:color="auto"/>
        <w:right w:val="none" w:sz="0" w:space="0" w:color="auto"/>
      </w:divBdr>
    </w:div>
    <w:div w:id="1532457500">
      <w:bodyDiv w:val="1"/>
      <w:marLeft w:val="0"/>
      <w:marRight w:val="0"/>
      <w:marTop w:val="0"/>
      <w:marBottom w:val="0"/>
      <w:divBdr>
        <w:top w:val="none" w:sz="0" w:space="0" w:color="auto"/>
        <w:left w:val="none" w:sz="0" w:space="0" w:color="auto"/>
        <w:bottom w:val="none" w:sz="0" w:space="0" w:color="auto"/>
        <w:right w:val="none" w:sz="0" w:space="0" w:color="auto"/>
      </w:divBdr>
    </w:div>
    <w:div w:id="1532645308">
      <w:bodyDiv w:val="1"/>
      <w:marLeft w:val="0"/>
      <w:marRight w:val="0"/>
      <w:marTop w:val="0"/>
      <w:marBottom w:val="0"/>
      <w:divBdr>
        <w:top w:val="none" w:sz="0" w:space="0" w:color="auto"/>
        <w:left w:val="none" w:sz="0" w:space="0" w:color="auto"/>
        <w:bottom w:val="none" w:sz="0" w:space="0" w:color="auto"/>
        <w:right w:val="none" w:sz="0" w:space="0" w:color="auto"/>
      </w:divBdr>
    </w:div>
    <w:div w:id="1532692812">
      <w:bodyDiv w:val="1"/>
      <w:marLeft w:val="0"/>
      <w:marRight w:val="0"/>
      <w:marTop w:val="0"/>
      <w:marBottom w:val="0"/>
      <w:divBdr>
        <w:top w:val="none" w:sz="0" w:space="0" w:color="auto"/>
        <w:left w:val="none" w:sz="0" w:space="0" w:color="auto"/>
        <w:bottom w:val="none" w:sz="0" w:space="0" w:color="auto"/>
        <w:right w:val="none" w:sz="0" w:space="0" w:color="auto"/>
      </w:divBdr>
    </w:div>
    <w:div w:id="1532765265">
      <w:bodyDiv w:val="1"/>
      <w:marLeft w:val="0"/>
      <w:marRight w:val="0"/>
      <w:marTop w:val="0"/>
      <w:marBottom w:val="0"/>
      <w:divBdr>
        <w:top w:val="none" w:sz="0" w:space="0" w:color="auto"/>
        <w:left w:val="none" w:sz="0" w:space="0" w:color="auto"/>
        <w:bottom w:val="none" w:sz="0" w:space="0" w:color="auto"/>
        <w:right w:val="none" w:sz="0" w:space="0" w:color="auto"/>
      </w:divBdr>
    </w:div>
    <w:div w:id="1532838000">
      <w:bodyDiv w:val="1"/>
      <w:marLeft w:val="0"/>
      <w:marRight w:val="0"/>
      <w:marTop w:val="0"/>
      <w:marBottom w:val="0"/>
      <w:divBdr>
        <w:top w:val="none" w:sz="0" w:space="0" w:color="auto"/>
        <w:left w:val="none" w:sz="0" w:space="0" w:color="auto"/>
        <w:bottom w:val="none" w:sz="0" w:space="0" w:color="auto"/>
        <w:right w:val="none" w:sz="0" w:space="0" w:color="auto"/>
      </w:divBdr>
    </w:div>
    <w:div w:id="1532840221">
      <w:bodyDiv w:val="1"/>
      <w:marLeft w:val="0"/>
      <w:marRight w:val="0"/>
      <w:marTop w:val="0"/>
      <w:marBottom w:val="0"/>
      <w:divBdr>
        <w:top w:val="none" w:sz="0" w:space="0" w:color="auto"/>
        <w:left w:val="none" w:sz="0" w:space="0" w:color="auto"/>
        <w:bottom w:val="none" w:sz="0" w:space="0" w:color="auto"/>
        <w:right w:val="none" w:sz="0" w:space="0" w:color="auto"/>
      </w:divBdr>
    </w:div>
    <w:div w:id="1533180329">
      <w:bodyDiv w:val="1"/>
      <w:marLeft w:val="0"/>
      <w:marRight w:val="0"/>
      <w:marTop w:val="0"/>
      <w:marBottom w:val="0"/>
      <w:divBdr>
        <w:top w:val="none" w:sz="0" w:space="0" w:color="auto"/>
        <w:left w:val="none" w:sz="0" w:space="0" w:color="auto"/>
        <w:bottom w:val="none" w:sz="0" w:space="0" w:color="auto"/>
        <w:right w:val="none" w:sz="0" w:space="0" w:color="auto"/>
      </w:divBdr>
    </w:div>
    <w:div w:id="1533372731">
      <w:bodyDiv w:val="1"/>
      <w:marLeft w:val="0"/>
      <w:marRight w:val="0"/>
      <w:marTop w:val="0"/>
      <w:marBottom w:val="0"/>
      <w:divBdr>
        <w:top w:val="none" w:sz="0" w:space="0" w:color="auto"/>
        <w:left w:val="none" w:sz="0" w:space="0" w:color="auto"/>
        <w:bottom w:val="none" w:sz="0" w:space="0" w:color="auto"/>
        <w:right w:val="none" w:sz="0" w:space="0" w:color="auto"/>
      </w:divBdr>
    </w:div>
    <w:div w:id="1533424684">
      <w:bodyDiv w:val="1"/>
      <w:marLeft w:val="0"/>
      <w:marRight w:val="0"/>
      <w:marTop w:val="0"/>
      <w:marBottom w:val="0"/>
      <w:divBdr>
        <w:top w:val="none" w:sz="0" w:space="0" w:color="auto"/>
        <w:left w:val="none" w:sz="0" w:space="0" w:color="auto"/>
        <w:bottom w:val="none" w:sz="0" w:space="0" w:color="auto"/>
        <w:right w:val="none" w:sz="0" w:space="0" w:color="auto"/>
      </w:divBdr>
    </w:div>
    <w:div w:id="1533570088">
      <w:bodyDiv w:val="1"/>
      <w:marLeft w:val="0"/>
      <w:marRight w:val="0"/>
      <w:marTop w:val="0"/>
      <w:marBottom w:val="0"/>
      <w:divBdr>
        <w:top w:val="none" w:sz="0" w:space="0" w:color="auto"/>
        <w:left w:val="none" w:sz="0" w:space="0" w:color="auto"/>
        <w:bottom w:val="none" w:sz="0" w:space="0" w:color="auto"/>
        <w:right w:val="none" w:sz="0" w:space="0" w:color="auto"/>
      </w:divBdr>
    </w:div>
    <w:div w:id="1533570539">
      <w:bodyDiv w:val="1"/>
      <w:marLeft w:val="0"/>
      <w:marRight w:val="0"/>
      <w:marTop w:val="0"/>
      <w:marBottom w:val="0"/>
      <w:divBdr>
        <w:top w:val="none" w:sz="0" w:space="0" w:color="auto"/>
        <w:left w:val="none" w:sz="0" w:space="0" w:color="auto"/>
        <w:bottom w:val="none" w:sz="0" w:space="0" w:color="auto"/>
        <w:right w:val="none" w:sz="0" w:space="0" w:color="auto"/>
      </w:divBdr>
    </w:div>
    <w:div w:id="1533573666">
      <w:bodyDiv w:val="1"/>
      <w:marLeft w:val="0"/>
      <w:marRight w:val="0"/>
      <w:marTop w:val="0"/>
      <w:marBottom w:val="0"/>
      <w:divBdr>
        <w:top w:val="none" w:sz="0" w:space="0" w:color="auto"/>
        <w:left w:val="none" w:sz="0" w:space="0" w:color="auto"/>
        <w:bottom w:val="none" w:sz="0" w:space="0" w:color="auto"/>
        <w:right w:val="none" w:sz="0" w:space="0" w:color="auto"/>
      </w:divBdr>
    </w:div>
    <w:div w:id="1533614251">
      <w:bodyDiv w:val="1"/>
      <w:marLeft w:val="0"/>
      <w:marRight w:val="0"/>
      <w:marTop w:val="0"/>
      <w:marBottom w:val="0"/>
      <w:divBdr>
        <w:top w:val="none" w:sz="0" w:space="0" w:color="auto"/>
        <w:left w:val="none" w:sz="0" w:space="0" w:color="auto"/>
        <w:bottom w:val="none" w:sz="0" w:space="0" w:color="auto"/>
        <w:right w:val="none" w:sz="0" w:space="0" w:color="auto"/>
      </w:divBdr>
    </w:div>
    <w:div w:id="1533878090">
      <w:bodyDiv w:val="1"/>
      <w:marLeft w:val="0"/>
      <w:marRight w:val="0"/>
      <w:marTop w:val="0"/>
      <w:marBottom w:val="0"/>
      <w:divBdr>
        <w:top w:val="none" w:sz="0" w:space="0" w:color="auto"/>
        <w:left w:val="none" w:sz="0" w:space="0" w:color="auto"/>
        <w:bottom w:val="none" w:sz="0" w:space="0" w:color="auto"/>
        <w:right w:val="none" w:sz="0" w:space="0" w:color="auto"/>
      </w:divBdr>
    </w:div>
    <w:div w:id="1534147836">
      <w:bodyDiv w:val="1"/>
      <w:marLeft w:val="0"/>
      <w:marRight w:val="0"/>
      <w:marTop w:val="0"/>
      <w:marBottom w:val="0"/>
      <w:divBdr>
        <w:top w:val="none" w:sz="0" w:space="0" w:color="auto"/>
        <w:left w:val="none" w:sz="0" w:space="0" w:color="auto"/>
        <w:bottom w:val="none" w:sz="0" w:space="0" w:color="auto"/>
        <w:right w:val="none" w:sz="0" w:space="0" w:color="auto"/>
      </w:divBdr>
    </w:div>
    <w:div w:id="1534534357">
      <w:bodyDiv w:val="1"/>
      <w:marLeft w:val="0"/>
      <w:marRight w:val="0"/>
      <w:marTop w:val="0"/>
      <w:marBottom w:val="0"/>
      <w:divBdr>
        <w:top w:val="none" w:sz="0" w:space="0" w:color="auto"/>
        <w:left w:val="none" w:sz="0" w:space="0" w:color="auto"/>
        <w:bottom w:val="none" w:sz="0" w:space="0" w:color="auto"/>
        <w:right w:val="none" w:sz="0" w:space="0" w:color="auto"/>
      </w:divBdr>
    </w:div>
    <w:div w:id="1534807915">
      <w:bodyDiv w:val="1"/>
      <w:marLeft w:val="0"/>
      <w:marRight w:val="0"/>
      <w:marTop w:val="0"/>
      <w:marBottom w:val="0"/>
      <w:divBdr>
        <w:top w:val="none" w:sz="0" w:space="0" w:color="auto"/>
        <w:left w:val="none" w:sz="0" w:space="0" w:color="auto"/>
        <w:bottom w:val="none" w:sz="0" w:space="0" w:color="auto"/>
        <w:right w:val="none" w:sz="0" w:space="0" w:color="auto"/>
      </w:divBdr>
    </w:div>
    <w:div w:id="1534810353">
      <w:bodyDiv w:val="1"/>
      <w:marLeft w:val="0"/>
      <w:marRight w:val="0"/>
      <w:marTop w:val="0"/>
      <w:marBottom w:val="0"/>
      <w:divBdr>
        <w:top w:val="none" w:sz="0" w:space="0" w:color="auto"/>
        <w:left w:val="none" w:sz="0" w:space="0" w:color="auto"/>
        <w:bottom w:val="none" w:sz="0" w:space="0" w:color="auto"/>
        <w:right w:val="none" w:sz="0" w:space="0" w:color="auto"/>
      </w:divBdr>
    </w:div>
    <w:div w:id="1534997793">
      <w:bodyDiv w:val="1"/>
      <w:marLeft w:val="0"/>
      <w:marRight w:val="0"/>
      <w:marTop w:val="0"/>
      <w:marBottom w:val="0"/>
      <w:divBdr>
        <w:top w:val="none" w:sz="0" w:space="0" w:color="auto"/>
        <w:left w:val="none" w:sz="0" w:space="0" w:color="auto"/>
        <w:bottom w:val="none" w:sz="0" w:space="0" w:color="auto"/>
        <w:right w:val="none" w:sz="0" w:space="0" w:color="auto"/>
      </w:divBdr>
    </w:div>
    <w:div w:id="1535003284">
      <w:bodyDiv w:val="1"/>
      <w:marLeft w:val="0"/>
      <w:marRight w:val="0"/>
      <w:marTop w:val="0"/>
      <w:marBottom w:val="0"/>
      <w:divBdr>
        <w:top w:val="none" w:sz="0" w:space="0" w:color="auto"/>
        <w:left w:val="none" w:sz="0" w:space="0" w:color="auto"/>
        <w:bottom w:val="none" w:sz="0" w:space="0" w:color="auto"/>
        <w:right w:val="none" w:sz="0" w:space="0" w:color="auto"/>
      </w:divBdr>
    </w:div>
    <w:div w:id="1535072009">
      <w:bodyDiv w:val="1"/>
      <w:marLeft w:val="0"/>
      <w:marRight w:val="0"/>
      <w:marTop w:val="0"/>
      <w:marBottom w:val="0"/>
      <w:divBdr>
        <w:top w:val="none" w:sz="0" w:space="0" w:color="auto"/>
        <w:left w:val="none" w:sz="0" w:space="0" w:color="auto"/>
        <w:bottom w:val="none" w:sz="0" w:space="0" w:color="auto"/>
        <w:right w:val="none" w:sz="0" w:space="0" w:color="auto"/>
      </w:divBdr>
    </w:div>
    <w:div w:id="1535117253">
      <w:bodyDiv w:val="1"/>
      <w:marLeft w:val="0"/>
      <w:marRight w:val="0"/>
      <w:marTop w:val="0"/>
      <w:marBottom w:val="0"/>
      <w:divBdr>
        <w:top w:val="none" w:sz="0" w:space="0" w:color="auto"/>
        <w:left w:val="none" w:sz="0" w:space="0" w:color="auto"/>
        <w:bottom w:val="none" w:sz="0" w:space="0" w:color="auto"/>
        <w:right w:val="none" w:sz="0" w:space="0" w:color="auto"/>
      </w:divBdr>
    </w:div>
    <w:div w:id="1535264165">
      <w:bodyDiv w:val="1"/>
      <w:marLeft w:val="0"/>
      <w:marRight w:val="0"/>
      <w:marTop w:val="0"/>
      <w:marBottom w:val="0"/>
      <w:divBdr>
        <w:top w:val="none" w:sz="0" w:space="0" w:color="auto"/>
        <w:left w:val="none" w:sz="0" w:space="0" w:color="auto"/>
        <w:bottom w:val="none" w:sz="0" w:space="0" w:color="auto"/>
        <w:right w:val="none" w:sz="0" w:space="0" w:color="auto"/>
      </w:divBdr>
    </w:div>
    <w:div w:id="1536235341">
      <w:bodyDiv w:val="1"/>
      <w:marLeft w:val="0"/>
      <w:marRight w:val="0"/>
      <w:marTop w:val="0"/>
      <w:marBottom w:val="0"/>
      <w:divBdr>
        <w:top w:val="none" w:sz="0" w:space="0" w:color="auto"/>
        <w:left w:val="none" w:sz="0" w:space="0" w:color="auto"/>
        <w:bottom w:val="none" w:sz="0" w:space="0" w:color="auto"/>
        <w:right w:val="none" w:sz="0" w:space="0" w:color="auto"/>
      </w:divBdr>
    </w:div>
    <w:div w:id="1536506589">
      <w:bodyDiv w:val="1"/>
      <w:marLeft w:val="0"/>
      <w:marRight w:val="0"/>
      <w:marTop w:val="0"/>
      <w:marBottom w:val="0"/>
      <w:divBdr>
        <w:top w:val="none" w:sz="0" w:space="0" w:color="auto"/>
        <w:left w:val="none" w:sz="0" w:space="0" w:color="auto"/>
        <w:bottom w:val="none" w:sz="0" w:space="0" w:color="auto"/>
        <w:right w:val="none" w:sz="0" w:space="0" w:color="auto"/>
      </w:divBdr>
    </w:div>
    <w:div w:id="1536580142">
      <w:bodyDiv w:val="1"/>
      <w:marLeft w:val="0"/>
      <w:marRight w:val="0"/>
      <w:marTop w:val="0"/>
      <w:marBottom w:val="0"/>
      <w:divBdr>
        <w:top w:val="none" w:sz="0" w:space="0" w:color="auto"/>
        <w:left w:val="none" w:sz="0" w:space="0" w:color="auto"/>
        <w:bottom w:val="none" w:sz="0" w:space="0" w:color="auto"/>
        <w:right w:val="none" w:sz="0" w:space="0" w:color="auto"/>
      </w:divBdr>
    </w:div>
    <w:div w:id="1536651908">
      <w:bodyDiv w:val="1"/>
      <w:marLeft w:val="0"/>
      <w:marRight w:val="0"/>
      <w:marTop w:val="0"/>
      <w:marBottom w:val="0"/>
      <w:divBdr>
        <w:top w:val="none" w:sz="0" w:space="0" w:color="auto"/>
        <w:left w:val="none" w:sz="0" w:space="0" w:color="auto"/>
        <w:bottom w:val="none" w:sz="0" w:space="0" w:color="auto"/>
        <w:right w:val="none" w:sz="0" w:space="0" w:color="auto"/>
      </w:divBdr>
    </w:div>
    <w:div w:id="1536885649">
      <w:bodyDiv w:val="1"/>
      <w:marLeft w:val="0"/>
      <w:marRight w:val="0"/>
      <w:marTop w:val="0"/>
      <w:marBottom w:val="0"/>
      <w:divBdr>
        <w:top w:val="none" w:sz="0" w:space="0" w:color="auto"/>
        <w:left w:val="none" w:sz="0" w:space="0" w:color="auto"/>
        <w:bottom w:val="none" w:sz="0" w:space="0" w:color="auto"/>
        <w:right w:val="none" w:sz="0" w:space="0" w:color="auto"/>
      </w:divBdr>
    </w:div>
    <w:div w:id="1536967238">
      <w:bodyDiv w:val="1"/>
      <w:marLeft w:val="0"/>
      <w:marRight w:val="0"/>
      <w:marTop w:val="0"/>
      <w:marBottom w:val="0"/>
      <w:divBdr>
        <w:top w:val="none" w:sz="0" w:space="0" w:color="auto"/>
        <w:left w:val="none" w:sz="0" w:space="0" w:color="auto"/>
        <w:bottom w:val="none" w:sz="0" w:space="0" w:color="auto"/>
        <w:right w:val="none" w:sz="0" w:space="0" w:color="auto"/>
      </w:divBdr>
    </w:div>
    <w:div w:id="1537086975">
      <w:bodyDiv w:val="1"/>
      <w:marLeft w:val="0"/>
      <w:marRight w:val="0"/>
      <w:marTop w:val="0"/>
      <w:marBottom w:val="0"/>
      <w:divBdr>
        <w:top w:val="none" w:sz="0" w:space="0" w:color="auto"/>
        <w:left w:val="none" w:sz="0" w:space="0" w:color="auto"/>
        <w:bottom w:val="none" w:sz="0" w:space="0" w:color="auto"/>
        <w:right w:val="none" w:sz="0" w:space="0" w:color="auto"/>
      </w:divBdr>
    </w:div>
    <w:div w:id="1537429706">
      <w:bodyDiv w:val="1"/>
      <w:marLeft w:val="0"/>
      <w:marRight w:val="0"/>
      <w:marTop w:val="0"/>
      <w:marBottom w:val="0"/>
      <w:divBdr>
        <w:top w:val="none" w:sz="0" w:space="0" w:color="auto"/>
        <w:left w:val="none" w:sz="0" w:space="0" w:color="auto"/>
        <w:bottom w:val="none" w:sz="0" w:space="0" w:color="auto"/>
        <w:right w:val="none" w:sz="0" w:space="0" w:color="auto"/>
      </w:divBdr>
    </w:div>
    <w:div w:id="1537431398">
      <w:bodyDiv w:val="1"/>
      <w:marLeft w:val="0"/>
      <w:marRight w:val="0"/>
      <w:marTop w:val="0"/>
      <w:marBottom w:val="0"/>
      <w:divBdr>
        <w:top w:val="none" w:sz="0" w:space="0" w:color="auto"/>
        <w:left w:val="none" w:sz="0" w:space="0" w:color="auto"/>
        <w:bottom w:val="none" w:sz="0" w:space="0" w:color="auto"/>
        <w:right w:val="none" w:sz="0" w:space="0" w:color="auto"/>
      </w:divBdr>
    </w:div>
    <w:div w:id="1538813968">
      <w:bodyDiv w:val="1"/>
      <w:marLeft w:val="0"/>
      <w:marRight w:val="0"/>
      <w:marTop w:val="0"/>
      <w:marBottom w:val="0"/>
      <w:divBdr>
        <w:top w:val="none" w:sz="0" w:space="0" w:color="auto"/>
        <w:left w:val="none" w:sz="0" w:space="0" w:color="auto"/>
        <w:bottom w:val="none" w:sz="0" w:space="0" w:color="auto"/>
        <w:right w:val="none" w:sz="0" w:space="0" w:color="auto"/>
      </w:divBdr>
    </w:div>
    <w:div w:id="1538928236">
      <w:bodyDiv w:val="1"/>
      <w:marLeft w:val="0"/>
      <w:marRight w:val="0"/>
      <w:marTop w:val="0"/>
      <w:marBottom w:val="0"/>
      <w:divBdr>
        <w:top w:val="none" w:sz="0" w:space="0" w:color="auto"/>
        <w:left w:val="none" w:sz="0" w:space="0" w:color="auto"/>
        <w:bottom w:val="none" w:sz="0" w:space="0" w:color="auto"/>
        <w:right w:val="none" w:sz="0" w:space="0" w:color="auto"/>
      </w:divBdr>
    </w:div>
    <w:div w:id="1539120543">
      <w:bodyDiv w:val="1"/>
      <w:marLeft w:val="0"/>
      <w:marRight w:val="0"/>
      <w:marTop w:val="0"/>
      <w:marBottom w:val="0"/>
      <w:divBdr>
        <w:top w:val="none" w:sz="0" w:space="0" w:color="auto"/>
        <w:left w:val="none" w:sz="0" w:space="0" w:color="auto"/>
        <w:bottom w:val="none" w:sz="0" w:space="0" w:color="auto"/>
        <w:right w:val="none" w:sz="0" w:space="0" w:color="auto"/>
      </w:divBdr>
    </w:div>
    <w:div w:id="1539198698">
      <w:bodyDiv w:val="1"/>
      <w:marLeft w:val="0"/>
      <w:marRight w:val="0"/>
      <w:marTop w:val="0"/>
      <w:marBottom w:val="0"/>
      <w:divBdr>
        <w:top w:val="none" w:sz="0" w:space="0" w:color="auto"/>
        <w:left w:val="none" w:sz="0" w:space="0" w:color="auto"/>
        <w:bottom w:val="none" w:sz="0" w:space="0" w:color="auto"/>
        <w:right w:val="none" w:sz="0" w:space="0" w:color="auto"/>
      </w:divBdr>
    </w:div>
    <w:div w:id="1539201668">
      <w:bodyDiv w:val="1"/>
      <w:marLeft w:val="0"/>
      <w:marRight w:val="0"/>
      <w:marTop w:val="0"/>
      <w:marBottom w:val="0"/>
      <w:divBdr>
        <w:top w:val="none" w:sz="0" w:space="0" w:color="auto"/>
        <w:left w:val="none" w:sz="0" w:space="0" w:color="auto"/>
        <w:bottom w:val="none" w:sz="0" w:space="0" w:color="auto"/>
        <w:right w:val="none" w:sz="0" w:space="0" w:color="auto"/>
      </w:divBdr>
    </w:div>
    <w:div w:id="1539582668">
      <w:bodyDiv w:val="1"/>
      <w:marLeft w:val="0"/>
      <w:marRight w:val="0"/>
      <w:marTop w:val="0"/>
      <w:marBottom w:val="0"/>
      <w:divBdr>
        <w:top w:val="none" w:sz="0" w:space="0" w:color="auto"/>
        <w:left w:val="none" w:sz="0" w:space="0" w:color="auto"/>
        <w:bottom w:val="none" w:sz="0" w:space="0" w:color="auto"/>
        <w:right w:val="none" w:sz="0" w:space="0" w:color="auto"/>
      </w:divBdr>
    </w:div>
    <w:div w:id="1539582767">
      <w:bodyDiv w:val="1"/>
      <w:marLeft w:val="0"/>
      <w:marRight w:val="0"/>
      <w:marTop w:val="0"/>
      <w:marBottom w:val="0"/>
      <w:divBdr>
        <w:top w:val="none" w:sz="0" w:space="0" w:color="auto"/>
        <w:left w:val="none" w:sz="0" w:space="0" w:color="auto"/>
        <w:bottom w:val="none" w:sz="0" w:space="0" w:color="auto"/>
        <w:right w:val="none" w:sz="0" w:space="0" w:color="auto"/>
      </w:divBdr>
    </w:div>
    <w:div w:id="1539707611">
      <w:bodyDiv w:val="1"/>
      <w:marLeft w:val="0"/>
      <w:marRight w:val="0"/>
      <w:marTop w:val="0"/>
      <w:marBottom w:val="0"/>
      <w:divBdr>
        <w:top w:val="none" w:sz="0" w:space="0" w:color="auto"/>
        <w:left w:val="none" w:sz="0" w:space="0" w:color="auto"/>
        <w:bottom w:val="none" w:sz="0" w:space="0" w:color="auto"/>
        <w:right w:val="none" w:sz="0" w:space="0" w:color="auto"/>
      </w:divBdr>
    </w:div>
    <w:div w:id="1539778457">
      <w:bodyDiv w:val="1"/>
      <w:marLeft w:val="0"/>
      <w:marRight w:val="0"/>
      <w:marTop w:val="0"/>
      <w:marBottom w:val="0"/>
      <w:divBdr>
        <w:top w:val="none" w:sz="0" w:space="0" w:color="auto"/>
        <w:left w:val="none" w:sz="0" w:space="0" w:color="auto"/>
        <w:bottom w:val="none" w:sz="0" w:space="0" w:color="auto"/>
        <w:right w:val="none" w:sz="0" w:space="0" w:color="auto"/>
      </w:divBdr>
    </w:div>
    <w:div w:id="1539778739">
      <w:bodyDiv w:val="1"/>
      <w:marLeft w:val="0"/>
      <w:marRight w:val="0"/>
      <w:marTop w:val="0"/>
      <w:marBottom w:val="0"/>
      <w:divBdr>
        <w:top w:val="none" w:sz="0" w:space="0" w:color="auto"/>
        <w:left w:val="none" w:sz="0" w:space="0" w:color="auto"/>
        <w:bottom w:val="none" w:sz="0" w:space="0" w:color="auto"/>
        <w:right w:val="none" w:sz="0" w:space="0" w:color="auto"/>
      </w:divBdr>
    </w:div>
    <w:div w:id="1539928537">
      <w:bodyDiv w:val="1"/>
      <w:marLeft w:val="0"/>
      <w:marRight w:val="0"/>
      <w:marTop w:val="0"/>
      <w:marBottom w:val="0"/>
      <w:divBdr>
        <w:top w:val="none" w:sz="0" w:space="0" w:color="auto"/>
        <w:left w:val="none" w:sz="0" w:space="0" w:color="auto"/>
        <w:bottom w:val="none" w:sz="0" w:space="0" w:color="auto"/>
        <w:right w:val="none" w:sz="0" w:space="0" w:color="auto"/>
      </w:divBdr>
    </w:div>
    <w:div w:id="1540777553">
      <w:bodyDiv w:val="1"/>
      <w:marLeft w:val="0"/>
      <w:marRight w:val="0"/>
      <w:marTop w:val="0"/>
      <w:marBottom w:val="0"/>
      <w:divBdr>
        <w:top w:val="none" w:sz="0" w:space="0" w:color="auto"/>
        <w:left w:val="none" w:sz="0" w:space="0" w:color="auto"/>
        <w:bottom w:val="none" w:sz="0" w:space="0" w:color="auto"/>
        <w:right w:val="none" w:sz="0" w:space="0" w:color="auto"/>
      </w:divBdr>
    </w:div>
    <w:div w:id="1540900484">
      <w:bodyDiv w:val="1"/>
      <w:marLeft w:val="0"/>
      <w:marRight w:val="0"/>
      <w:marTop w:val="0"/>
      <w:marBottom w:val="0"/>
      <w:divBdr>
        <w:top w:val="none" w:sz="0" w:space="0" w:color="auto"/>
        <w:left w:val="none" w:sz="0" w:space="0" w:color="auto"/>
        <w:bottom w:val="none" w:sz="0" w:space="0" w:color="auto"/>
        <w:right w:val="none" w:sz="0" w:space="0" w:color="auto"/>
      </w:divBdr>
    </w:div>
    <w:div w:id="1541018794">
      <w:bodyDiv w:val="1"/>
      <w:marLeft w:val="0"/>
      <w:marRight w:val="0"/>
      <w:marTop w:val="0"/>
      <w:marBottom w:val="0"/>
      <w:divBdr>
        <w:top w:val="none" w:sz="0" w:space="0" w:color="auto"/>
        <w:left w:val="none" w:sz="0" w:space="0" w:color="auto"/>
        <w:bottom w:val="none" w:sz="0" w:space="0" w:color="auto"/>
        <w:right w:val="none" w:sz="0" w:space="0" w:color="auto"/>
      </w:divBdr>
    </w:div>
    <w:div w:id="1541432979">
      <w:bodyDiv w:val="1"/>
      <w:marLeft w:val="0"/>
      <w:marRight w:val="0"/>
      <w:marTop w:val="0"/>
      <w:marBottom w:val="0"/>
      <w:divBdr>
        <w:top w:val="none" w:sz="0" w:space="0" w:color="auto"/>
        <w:left w:val="none" w:sz="0" w:space="0" w:color="auto"/>
        <w:bottom w:val="none" w:sz="0" w:space="0" w:color="auto"/>
        <w:right w:val="none" w:sz="0" w:space="0" w:color="auto"/>
      </w:divBdr>
    </w:div>
    <w:div w:id="1541474469">
      <w:bodyDiv w:val="1"/>
      <w:marLeft w:val="0"/>
      <w:marRight w:val="0"/>
      <w:marTop w:val="0"/>
      <w:marBottom w:val="0"/>
      <w:divBdr>
        <w:top w:val="none" w:sz="0" w:space="0" w:color="auto"/>
        <w:left w:val="none" w:sz="0" w:space="0" w:color="auto"/>
        <w:bottom w:val="none" w:sz="0" w:space="0" w:color="auto"/>
        <w:right w:val="none" w:sz="0" w:space="0" w:color="auto"/>
      </w:divBdr>
    </w:div>
    <w:div w:id="1541626784">
      <w:bodyDiv w:val="1"/>
      <w:marLeft w:val="0"/>
      <w:marRight w:val="0"/>
      <w:marTop w:val="0"/>
      <w:marBottom w:val="0"/>
      <w:divBdr>
        <w:top w:val="none" w:sz="0" w:space="0" w:color="auto"/>
        <w:left w:val="none" w:sz="0" w:space="0" w:color="auto"/>
        <w:bottom w:val="none" w:sz="0" w:space="0" w:color="auto"/>
        <w:right w:val="none" w:sz="0" w:space="0" w:color="auto"/>
      </w:divBdr>
    </w:div>
    <w:div w:id="1541893458">
      <w:bodyDiv w:val="1"/>
      <w:marLeft w:val="0"/>
      <w:marRight w:val="0"/>
      <w:marTop w:val="0"/>
      <w:marBottom w:val="0"/>
      <w:divBdr>
        <w:top w:val="none" w:sz="0" w:space="0" w:color="auto"/>
        <w:left w:val="none" w:sz="0" w:space="0" w:color="auto"/>
        <w:bottom w:val="none" w:sz="0" w:space="0" w:color="auto"/>
        <w:right w:val="none" w:sz="0" w:space="0" w:color="auto"/>
      </w:divBdr>
    </w:div>
    <w:div w:id="1542327857">
      <w:bodyDiv w:val="1"/>
      <w:marLeft w:val="0"/>
      <w:marRight w:val="0"/>
      <w:marTop w:val="0"/>
      <w:marBottom w:val="0"/>
      <w:divBdr>
        <w:top w:val="none" w:sz="0" w:space="0" w:color="auto"/>
        <w:left w:val="none" w:sz="0" w:space="0" w:color="auto"/>
        <w:bottom w:val="none" w:sz="0" w:space="0" w:color="auto"/>
        <w:right w:val="none" w:sz="0" w:space="0" w:color="auto"/>
      </w:divBdr>
    </w:div>
    <w:div w:id="1542473862">
      <w:bodyDiv w:val="1"/>
      <w:marLeft w:val="0"/>
      <w:marRight w:val="0"/>
      <w:marTop w:val="0"/>
      <w:marBottom w:val="0"/>
      <w:divBdr>
        <w:top w:val="none" w:sz="0" w:space="0" w:color="auto"/>
        <w:left w:val="none" w:sz="0" w:space="0" w:color="auto"/>
        <w:bottom w:val="none" w:sz="0" w:space="0" w:color="auto"/>
        <w:right w:val="none" w:sz="0" w:space="0" w:color="auto"/>
      </w:divBdr>
    </w:div>
    <w:div w:id="1542551334">
      <w:bodyDiv w:val="1"/>
      <w:marLeft w:val="0"/>
      <w:marRight w:val="0"/>
      <w:marTop w:val="0"/>
      <w:marBottom w:val="0"/>
      <w:divBdr>
        <w:top w:val="none" w:sz="0" w:space="0" w:color="auto"/>
        <w:left w:val="none" w:sz="0" w:space="0" w:color="auto"/>
        <w:bottom w:val="none" w:sz="0" w:space="0" w:color="auto"/>
        <w:right w:val="none" w:sz="0" w:space="0" w:color="auto"/>
      </w:divBdr>
    </w:div>
    <w:div w:id="1542598026">
      <w:bodyDiv w:val="1"/>
      <w:marLeft w:val="0"/>
      <w:marRight w:val="0"/>
      <w:marTop w:val="0"/>
      <w:marBottom w:val="0"/>
      <w:divBdr>
        <w:top w:val="none" w:sz="0" w:space="0" w:color="auto"/>
        <w:left w:val="none" w:sz="0" w:space="0" w:color="auto"/>
        <w:bottom w:val="none" w:sz="0" w:space="0" w:color="auto"/>
        <w:right w:val="none" w:sz="0" w:space="0" w:color="auto"/>
      </w:divBdr>
    </w:div>
    <w:div w:id="1542983369">
      <w:bodyDiv w:val="1"/>
      <w:marLeft w:val="0"/>
      <w:marRight w:val="0"/>
      <w:marTop w:val="0"/>
      <w:marBottom w:val="0"/>
      <w:divBdr>
        <w:top w:val="none" w:sz="0" w:space="0" w:color="auto"/>
        <w:left w:val="none" w:sz="0" w:space="0" w:color="auto"/>
        <w:bottom w:val="none" w:sz="0" w:space="0" w:color="auto"/>
        <w:right w:val="none" w:sz="0" w:space="0" w:color="auto"/>
      </w:divBdr>
    </w:div>
    <w:div w:id="1543250036">
      <w:bodyDiv w:val="1"/>
      <w:marLeft w:val="0"/>
      <w:marRight w:val="0"/>
      <w:marTop w:val="0"/>
      <w:marBottom w:val="0"/>
      <w:divBdr>
        <w:top w:val="none" w:sz="0" w:space="0" w:color="auto"/>
        <w:left w:val="none" w:sz="0" w:space="0" w:color="auto"/>
        <w:bottom w:val="none" w:sz="0" w:space="0" w:color="auto"/>
        <w:right w:val="none" w:sz="0" w:space="0" w:color="auto"/>
      </w:divBdr>
    </w:div>
    <w:div w:id="1543397790">
      <w:bodyDiv w:val="1"/>
      <w:marLeft w:val="0"/>
      <w:marRight w:val="0"/>
      <w:marTop w:val="0"/>
      <w:marBottom w:val="0"/>
      <w:divBdr>
        <w:top w:val="none" w:sz="0" w:space="0" w:color="auto"/>
        <w:left w:val="none" w:sz="0" w:space="0" w:color="auto"/>
        <w:bottom w:val="none" w:sz="0" w:space="0" w:color="auto"/>
        <w:right w:val="none" w:sz="0" w:space="0" w:color="auto"/>
      </w:divBdr>
    </w:div>
    <w:div w:id="1543518074">
      <w:bodyDiv w:val="1"/>
      <w:marLeft w:val="0"/>
      <w:marRight w:val="0"/>
      <w:marTop w:val="0"/>
      <w:marBottom w:val="0"/>
      <w:divBdr>
        <w:top w:val="none" w:sz="0" w:space="0" w:color="auto"/>
        <w:left w:val="none" w:sz="0" w:space="0" w:color="auto"/>
        <w:bottom w:val="none" w:sz="0" w:space="0" w:color="auto"/>
        <w:right w:val="none" w:sz="0" w:space="0" w:color="auto"/>
      </w:divBdr>
    </w:div>
    <w:div w:id="1543519934">
      <w:bodyDiv w:val="1"/>
      <w:marLeft w:val="0"/>
      <w:marRight w:val="0"/>
      <w:marTop w:val="0"/>
      <w:marBottom w:val="0"/>
      <w:divBdr>
        <w:top w:val="none" w:sz="0" w:space="0" w:color="auto"/>
        <w:left w:val="none" w:sz="0" w:space="0" w:color="auto"/>
        <w:bottom w:val="none" w:sz="0" w:space="0" w:color="auto"/>
        <w:right w:val="none" w:sz="0" w:space="0" w:color="auto"/>
      </w:divBdr>
    </w:div>
    <w:div w:id="1543904627">
      <w:bodyDiv w:val="1"/>
      <w:marLeft w:val="0"/>
      <w:marRight w:val="0"/>
      <w:marTop w:val="0"/>
      <w:marBottom w:val="0"/>
      <w:divBdr>
        <w:top w:val="none" w:sz="0" w:space="0" w:color="auto"/>
        <w:left w:val="none" w:sz="0" w:space="0" w:color="auto"/>
        <w:bottom w:val="none" w:sz="0" w:space="0" w:color="auto"/>
        <w:right w:val="none" w:sz="0" w:space="0" w:color="auto"/>
      </w:divBdr>
    </w:div>
    <w:div w:id="1544053711">
      <w:bodyDiv w:val="1"/>
      <w:marLeft w:val="0"/>
      <w:marRight w:val="0"/>
      <w:marTop w:val="0"/>
      <w:marBottom w:val="0"/>
      <w:divBdr>
        <w:top w:val="none" w:sz="0" w:space="0" w:color="auto"/>
        <w:left w:val="none" w:sz="0" w:space="0" w:color="auto"/>
        <w:bottom w:val="none" w:sz="0" w:space="0" w:color="auto"/>
        <w:right w:val="none" w:sz="0" w:space="0" w:color="auto"/>
      </w:divBdr>
    </w:div>
    <w:div w:id="1544058722">
      <w:bodyDiv w:val="1"/>
      <w:marLeft w:val="0"/>
      <w:marRight w:val="0"/>
      <w:marTop w:val="0"/>
      <w:marBottom w:val="0"/>
      <w:divBdr>
        <w:top w:val="none" w:sz="0" w:space="0" w:color="auto"/>
        <w:left w:val="none" w:sz="0" w:space="0" w:color="auto"/>
        <w:bottom w:val="none" w:sz="0" w:space="0" w:color="auto"/>
        <w:right w:val="none" w:sz="0" w:space="0" w:color="auto"/>
      </w:divBdr>
    </w:div>
    <w:div w:id="1544250554">
      <w:bodyDiv w:val="1"/>
      <w:marLeft w:val="0"/>
      <w:marRight w:val="0"/>
      <w:marTop w:val="0"/>
      <w:marBottom w:val="0"/>
      <w:divBdr>
        <w:top w:val="none" w:sz="0" w:space="0" w:color="auto"/>
        <w:left w:val="none" w:sz="0" w:space="0" w:color="auto"/>
        <w:bottom w:val="none" w:sz="0" w:space="0" w:color="auto"/>
        <w:right w:val="none" w:sz="0" w:space="0" w:color="auto"/>
      </w:divBdr>
    </w:div>
    <w:div w:id="1544291100">
      <w:bodyDiv w:val="1"/>
      <w:marLeft w:val="0"/>
      <w:marRight w:val="0"/>
      <w:marTop w:val="0"/>
      <w:marBottom w:val="0"/>
      <w:divBdr>
        <w:top w:val="none" w:sz="0" w:space="0" w:color="auto"/>
        <w:left w:val="none" w:sz="0" w:space="0" w:color="auto"/>
        <w:bottom w:val="none" w:sz="0" w:space="0" w:color="auto"/>
        <w:right w:val="none" w:sz="0" w:space="0" w:color="auto"/>
      </w:divBdr>
    </w:div>
    <w:div w:id="1544443111">
      <w:bodyDiv w:val="1"/>
      <w:marLeft w:val="0"/>
      <w:marRight w:val="0"/>
      <w:marTop w:val="0"/>
      <w:marBottom w:val="0"/>
      <w:divBdr>
        <w:top w:val="none" w:sz="0" w:space="0" w:color="auto"/>
        <w:left w:val="none" w:sz="0" w:space="0" w:color="auto"/>
        <w:bottom w:val="none" w:sz="0" w:space="0" w:color="auto"/>
        <w:right w:val="none" w:sz="0" w:space="0" w:color="auto"/>
      </w:divBdr>
    </w:div>
    <w:div w:id="1544639786">
      <w:bodyDiv w:val="1"/>
      <w:marLeft w:val="0"/>
      <w:marRight w:val="0"/>
      <w:marTop w:val="0"/>
      <w:marBottom w:val="0"/>
      <w:divBdr>
        <w:top w:val="none" w:sz="0" w:space="0" w:color="auto"/>
        <w:left w:val="none" w:sz="0" w:space="0" w:color="auto"/>
        <w:bottom w:val="none" w:sz="0" w:space="0" w:color="auto"/>
        <w:right w:val="none" w:sz="0" w:space="0" w:color="auto"/>
      </w:divBdr>
    </w:div>
    <w:div w:id="1544709709">
      <w:bodyDiv w:val="1"/>
      <w:marLeft w:val="0"/>
      <w:marRight w:val="0"/>
      <w:marTop w:val="0"/>
      <w:marBottom w:val="0"/>
      <w:divBdr>
        <w:top w:val="none" w:sz="0" w:space="0" w:color="auto"/>
        <w:left w:val="none" w:sz="0" w:space="0" w:color="auto"/>
        <w:bottom w:val="none" w:sz="0" w:space="0" w:color="auto"/>
        <w:right w:val="none" w:sz="0" w:space="0" w:color="auto"/>
      </w:divBdr>
    </w:div>
    <w:div w:id="1544823830">
      <w:bodyDiv w:val="1"/>
      <w:marLeft w:val="0"/>
      <w:marRight w:val="0"/>
      <w:marTop w:val="0"/>
      <w:marBottom w:val="0"/>
      <w:divBdr>
        <w:top w:val="none" w:sz="0" w:space="0" w:color="auto"/>
        <w:left w:val="none" w:sz="0" w:space="0" w:color="auto"/>
        <w:bottom w:val="none" w:sz="0" w:space="0" w:color="auto"/>
        <w:right w:val="none" w:sz="0" w:space="0" w:color="auto"/>
      </w:divBdr>
    </w:div>
    <w:div w:id="1545023628">
      <w:bodyDiv w:val="1"/>
      <w:marLeft w:val="0"/>
      <w:marRight w:val="0"/>
      <w:marTop w:val="0"/>
      <w:marBottom w:val="0"/>
      <w:divBdr>
        <w:top w:val="none" w:sz="0" w:space="0" w:color="auto"/>
        <w:left w:val="none" w:sz="0" w:space="0" w:color="auto"/>
        <w:bottom w:val="none" w:sz="0" w:space="0" w:color="auto"/>
        <w:right w:val="none" w:sz="0" w:space="0" w:color="auto"/>
      </w:divBdr>
    </w:div>
    <w:div w:id="1545100723">
      <w:bodyDiv w:val="1"/>
      <w:marLeft w:val="0"/>
      <w:marRight w:val="0"/>
      <w:marTop w:val="0"/>
      <w:marBottom w:val="0"/>
      <w:divBdr>
        <w:top w:val="none" w:sz="0" w:space="0" w:color="auto"/>
        <w:left w:val="none" w:sz="0" w:space="0" w:color="auto"/>
        <w:bottom w:val="none" w:sz="0" w:space="0" w:color="auto"/>
        <w:right w:val="none" w:sz="0" w:space="0" w:color="auto"/>
      </w:divBdr>
    </w:div>
    <w:div w:id="1545169845">
      <w:bodyDiv w:val="1"/>
      <w:marLeft w:val="0"/>
      <w:marRight w:val="0"/>
      <w:marTop w:val="0"/>
      <w:marBottom w:val="0"/>
      <w:divBdr>
        <w:top w:val="none" w:sz="0" w:space="0" w:color="auto"/>
        <w:left w:val="none" w:sz="0" w:space="0" w:color="auto"/>
        <w:bottom w:val="none" w:sz="0" w:space="0" w:color="auto"/>
        <w:right w:val="none" w:sz="0" w:space="0" w:color="auto"/>
      </w:divBdr>
    </w:div>
    <w:div w:id="1545479044">
      <w:bodyDiv w:val="1"/>
      <w:marLeft w:val="0"/>
      <w:marRight w:val="0"/>
      <w:marTop w:val="0"/>
      <w:marBottom w:val="0"/>
      <w:divBdr>
        <w:top w:val="none" w:sz="0" w:space="0" w:color="auto"/>
        <w:left w:val="none" w:sz="0" w:space="0" w:color="auto"/>
        <w:bottom w:val="none" w:sz="0" w:space="0" w:color="auto"/>
        <w:right w:val="none" w:sz="0" w:space="0" w:color="auto"/>
      </w:divBdr>
    </w:div>
    <w:div w:id="1545554005">
      <w:bodyDiv w:val="1"/>
      <w:marLeft w:val="0"/>
      <w:marRight w:val="0"/>
      <w:marTop w:val="0"/>
      <w:marBottom w:val="0"/>
      <w:divBdr>
        <w:top w:val="none" w:sz="0" w:space="0" w:color="auto"/>
        <w:left w:val="none" w:sz="0" w:space="0" w:color="auto"/>
        <w:bottom w:val="none" w:sz="0" w:space="0" w:color="auto"/>
        <w:right w:val="none" w:sz="0" w:space="0" w:color="auto"/>
      </w:divBdr>
    </w:div>
    <w:div w:id="1545605180">
      <w:bodyDiv w:val="1"/>
      <w:marLeft w:val="0"/>
      <w:marRight w:val="0"/>
      <w:marTop w:val="0"/>
      <w:marBottom w:val="0"/>
      <w:divBdr>
        <w:top w:val="none" w:sz="0" w:space="0" w:color="auto"/>
        <w:left w:val="none" w:sz="0" w:space="0" w:color="auto"/>
        <w:bottom w:val="none" w:sz="0" w:space="0" w:color="auto"/>
        <w:right w:val="none" w:sz="0" w:space="0" w:color="auto"/>
      </w:divBdr>
    </w:div>
    <w:div w:id="1545822704">
      <w:bodyDiv w:val="1"/>
      <w:marLeft w:val="0"/>
      <w:marRight w:val="0"/>
      <w:marTop w:val="0"/>
      <w:marBottom w:val="0"/>
      <w:divBdr>
        <w:top w:val="none" w:sz="0" w:space="0" w:color="auto"/>
        <w:left w:val="none" w:sz="0" w:space="0" w:color="auto"/>
        <w:bottom w:val="none" w:sz="0" w:space="0" w:color="auto"/>
        <w:right w:val="none" w:sz="0" w:space="0" w:color="auto"/>
      </w:divBdr>
    </w:div>
    <w:div w:id="1546137851">
      <w:bodyDiv w:val="1"/>
      <w:marLeft w:val="0"/>
      <w:marRight w:val="0"/>
      <w:marTop w:val="0"/>
      <w:marBottom w:val="0"/>
      <w:divBdr>
        <w:top w:val="none" w:sz="0" w:space="0" w:color="auto"/>
        <w:left w:val="none" w:sz="0" w:space="0" w:color="auto"/>
        <w:bottom w:val="none" w:sz="0" w:space="0" w:color="auto"/>
        <w:right w:val="none" w:sz="0" w:space="0" w:color="auto"/>
      </w:divBdr>
    </w:div>
    <w:div w:id="1546407681">
      <w:bodyDiv w:val="1"/>
      <w:marLeft w:val="0"/>
      <w:marRight w:val="0"/>
      <w:marTop w:val="0"/>
      <w:marBottom w:val="0"/>
      <w:divBdr>
        <w:top w:val="none" w:sz="0" w:space="0" w:color="auto"/>
        <w:left w:val="none" w:sz="0" w:space="0" w:color="auto"/>
        <w:bottom w:val="none" w:sz="0" w:space="0" w:color="auto"/>
        <w:right w:val="none" w:sz="0" w:space="0" w:color="auto"/>
      </w:divBdr>
    </w:div>
    <w:div w:id="1546671529">
      <w:bodyDiv w:val="1"/>
      <w:marLeft w:val="0"/>
      <w:marRight w:val="0"/>
      <w:marTop w:val="0"/>
      <w:marBottom w:val="0"/>
      <w:divBdr>
        <w:top w:val="none" w:sz="0" w:space="0" w:color="auto"/>
        <w:left w:val="none" w:sz="0" w:space="0" w:color="auto"/>
        <w:bottom w:val="none" w:sz="0" w:space="0" w:color="auto"/>
        <w:right w:val="none" w:sz="0" w:space="0" w:color="auto"/>
      </w:divBdr>
    </w:div>
    <w:div w:id="1546792473">
      <w:bodyDiv w:val="1"/>
      <w:marLeft w:val="0"/>
      <w:marRight w:val="0"/>
      <w:marTop w:val="0"/>
      <w:marBottom w:val="0"/>
      <w:divBdr>
        <w:top w:val="none" w:sz="0" w:space="0" w:color="auto"/>
        <w:left w:val="none" w:sz="0" w:space="0" w:color="auto"/>
        <w:bottom w:val="none" w:sz="0" w:space="0" w:color="auto"/>
        <w:right w:val="none" w:sz="0" w:space="0" w:color="auto"/>
      </w:divBdr>
    </w:div>
    <w:div w:id="1546866640">
      <w:bodyDiv w:val="1"/>
      <w:marLeft w:val="0"/>
      <w:marRight w:val="0"/>
      <w:marTop w:val="0"/>
      <w:marBottom w:val="0"/>
      <w:divBdr>
        <w:top w:val="none" w:sz="0" w:space="0" w:color="auto"/>
        <w:left w:val="none" w:sz="0" w:space="0" w:color="auto"/>
        <w:bottom w:val="none" w:sz="0" w:space="0" w:color="auto"/>
        <w:right w:val="none" w:sz="0" w:space="0" w:color="auto"/>
      </w:divBdr>
    </w:div>
    <w:div w:id="1547110074">
      <w:bodyDiv w:val="1"/>
      <w:marLeft w:val="0"/>
      <w:marRight w:val="0"/>
      <w:marTop w:val="0"/>
      <w:marBottom w:val="0"/>
      <w:divBdr>
        <w:top w:val="none" w:sz="0" w:space="0" w:color="auto"/>
        <w:left w:val="none" w:sz="0" w:space="0" w:color="auto"/>
        <w:bottom w:val="none" w:sz="0" w:space="0" w:color="auto"/>
        <w:right w:val="none" w:sz="0" w:space="0" w:color="auto"/>
      </w:divBdr>
    </w:div>
    <w:div w:id="1547376209">
      <w:bodyDiv w:val="1"/>
      <w:marLeft w:val="0"/>
      <w:marRight w:val="0"/>
      <w:marTop w:val="0"/>
      <w:marBottom w:val="0"/>
      <w:divBdr>
        <w:top w:val="none" w:sz="0" w:space="0" w:color="auto"/>
        <w:left w:val="none" w:sz="0" w:space="0" w:color="auto"/>
        <w:bottom w:val="none" w:sz="0" w:space="0" w:color="auto"/>
        <w:right w:val="none" w:sz="0" w:space="0" w:color="auto"/>
      </w:divBdr>
    </w:div>
    <w:div w:id="1548223236">
      <w:bodyDiv w:val="1"/>
      <w:marLeft w:val="0"/>
      <w:marRight w:val="0"/>
      <w:marTop w:val="0"/>
      <w:marBottom w:val="0"/>
      <w:divBdr>
        <w:top w:val="none" w:sz="0" w:space="0" w:color="auto"/>
        <w:left w:val="none" w:sz="0" w:space="0" w:color="auto"/>
        <w:bottom w:val="none" w:sz="0" w:space="0" w:color="auto"/>
        <w:right w:val="none" w:sz="0" w:space="0" w:color="auto"/>
      </w:divBdr>
    </w:div>
    <w:div w:id="1548957982">
      <w:bodyDiv w:val="1"/>
      <w:marLeft w:val="0"/>
      <w:marRight w:val="0"/>
      <w:marTop w:val="0"/>
      <w:marBottom w:val="0"/>
      <w:divBdr>
        <w:top w:val="none" w:sz="0" w:space="0" w:color="auto"/>
        <w:left w:val="none" w:sz="0" w:space="0" w:color="auto"/>
        <w:bottom w:val="none" w:sz="0" w:space="0" w:color="auto"/>
        <w:right w:val="none" w:sz="0" w:space="0" w:color="auto"/>
      </w:divBdr>
    </w:div>
    <w:div w:id="1549687017">
      <w:bodyDiv w:val="1"/>
      <w:marLeft w:val="0"/>
      <w:marRight w:val="0"/>
      <w:marTop w:val="0"/>
      <w:marBottom w:val="0"/>
      <w:divBdr>
        <w:top w:val="none" w:sz="0" w:space="0" w:color="auto"/>
        <w:left w:val="none" w:sz="0" w:space="0" w:color="auto"/>
        <w:bottom w:val="none" w:sz="0" w:space="0" w:color="auto"/>
        <w:right w:val="none" w:sz="0" w:space="0" w:color="auto"/>
      </w:divBdr>
    </w:div>
    <w:div w:id="1549758336">
      <w:bodyDiv w:val="1"/>
      <w:marLeft w:val="0"/>
      <w:marRight w:val="0"/>
      <w:marTop w:val="0"/>
      <w:marBottom w:val="0"/>
      <w:divBdr>
        <w:top w:val="none" w:sz="0" w:space="0" w:color="auto"/>
        <w:left w:val="none" w:sz="0" w:space="0" w:color="auto"/>
        <w:bottom w:val="none" w:sz="0" w:space="0" w:color="auto"/>
        <w:right w:val="none" w:sz="0" w:space="0" w:color="auto"/>
      </w:divBdr>
    </w:div>
    <w:div w:id="1549804106">
      <w:bodyDiv w:val="1"/>
      <w:marLeft w:val="0"/>
      <w:marRight w:val="0"/>
      <w:marTop w:val="0"/>
      <w:marBottom w:val="0"/>
      <w:divBdr>
        <w:top w:val="none" w:sz="0" w:space="0" w:color="auto"/>
        <w:left w:val="none" w:sz="0" w:space="0" w:color="auto"/>
        <w:bottom w:val="none" w:sz="0" w:space="0" w:color="auto"/>
        <w:right w:val="none" w:sz="0" w:space="0" w:color="auto"/>
      </w:divBdr>
    </w:div>
    <w:div w:id="1549805493">
      <w:bodyDiv w:val="1"/>
      <w:marLeft w:val="0"/>
      <w:marRight w:val="0"/>
      <w:marTop w:val="0"/>
      <w:marBottom w:val="0"/>
      <w:divBdr>
        <w:top w:val="none" w:sz="0" w:space="0" w:color="auto"/>
        <w:left w:val="none" w:sz="0" w:space="0" w:color="auto"/>
        <w:bottom w:val="none" w:sz="0" w:space="0" w:color="auto"/>
        <w:right w:val="none" w:sz="0" w:space="0" w:color="auto"/>
      </w:divBdr>
    </w:div>
    <w:div w:id="1549806539">
      <w:bodyDiv w:val="1"/>
      <w:marLeft w:val="0"/>
      <w:marRight w:val="0"/>
      <w:marTop w:val="0"/>
      <w:marBottom w:val="0"/>
      <w:divBdr>
        <w:top w:val="none" w:sz="0" w:space="0" w:color="auto"/>
        <w:left w:val="none" w:sz="0" w:space="0" w:color="auto"/>
        <w:bottom w:val="none" w:sz="0" w:space="0" w:color="auto"/>
        <w:right w:val="none" w:sz="0" w:space="0" w:color="auto"/>
      </w:divBdr>
    </w:div>
    <w:div w:id="1549876163">
      <w:bodyDiv w:val="1"/>
      <w:marLeft w:val="0"/>
      <w:marRight w:val="0"/>
      <w:marTop w:val="0"/>
      <w:marBottom w:val="0"/>
      <w:divBdr>
        <w:top w:val="none" w:sz="0" w:space="0" w:color="auto"/>
        <w:left w:val="none" w:sz="0" w:space="0" w:color="auto"/>
        <w:bottom w:val="none" w:sz="0" w:space="0" w:color="auto"/>
        <w:right w:val="none" w:sz="0" w:space="0" w:color="auto"/>
      </w:divBdr>
    </w:div>
    <w:div w:id="1550068759">
      <w:bodyDiv w:val="1"/>
      <w:marLeft w:val="0"/>
      <w:marRight w:val="0"/>
      <w:marTop w:val="0"/>
      <w:marBottom w:val="0"/>
      <w:divBdr>
        <w:top w:val="none" w:sz="0" w:space="0" w:color="auto"/>
        <w:left w:val="none" w:sz="0" w:space="0" w:color="auto"/>
        <w:bottom w:val="none" w:sz="0" w:space="0" w:color="auto"/>
        <w:right w:val="none" w:sz="0" w:space="0" w:color="auto"/>
      </w:divBdr>
    </w:div>
    <w:div w:id="1550339631">
      <w:bodyDiv w:val="1"/>
      <w:marLeft w:val="0"/>
      <w:marRight w:val="0"/>
      <w:marTop w:val="0"/>
      <w:marBottom w:val="0"/>
      <w:divBdr>
        <w:top w:val="none" w:sz="0" w:space="0" w:color="auto"/>
        <w:left w:val="none" w:sz="0" w:space="0" w:color="auto"/>
        <w:bottom w:val="none" w:sz="0" w:space="0" w:color="auto"/>
        <w:right w:val="none" w:sz="0" w:space="0" w:color="auto"/>
      </w:divBdr>
    </w:div>
    <w:div w:id="1550343860">
      <w:bodyDiv w:val="1"/>
      <w:marLeft w:val="0"/>
      <w:marRight w:val="0"/>
      <w:marTop w:val="0"/>
      <w:marBottom w:val="0"/>
      <w:divBdr>
        <w:top w:val="none" w:sz="0" w:space="0" w:color="auto"/>
        <w:left w:val="none" w:sz="0" w:space="0" w:color="auto"/>
        <w:bottom w:val="none" w:sz="0" w:space="0" w:color="auto"/>
        <w:right w:val="none" w:sz="0" w:space="0" w:color="auto"/>
      </w:divBdr>
    </w:div>
    <w:div w:id="1550416534">
      <w:bodyDiv w:val="1"/>
      <w:marLeft w:val="0"/>
      <w:marRight w:val="0"/>
      <w:marTop w:val="0"/>
      <w:marBottom w:val="0"/>
      <w:divBdr>
        <w:top w:val="none" w:sz="0" w:space="0" w:color="auto"/>
        <w:left w:val="none" w:sz="0" w:space="0" w:color="auto"/>
        <w:bottom w:val="none" w:sz="0" w:space="0" w:color="auto"/>
        <w:right w:val="none" w:sz="0" w:space="0" w:color="auto"/>
      </w:divBdr>
    </w:div>
    <w:div w:id="1550991845">
      <w:bodyDiv w:val="1"/>
      <w:marLeft w:val="0"/>
      <w:marRight w:val="0"/>
      <w:marTop w:val="0"/>
      <w:marBottom w:val="0"/>
      <w:divBdr>
        <w:top w:val="none" w:sz="0" w:space="0" w:color="auto"/>
        <w:left w:val="none" w:sz="0" w:space="0" w:color="auto"/>
        <w:bottom w:val="none" w:sz="0" w:space="0" w:color="auto"/>
        <w:right w:val="none" w:sz="0" w:space="0" w:color="auto"/>
      </w:divBdr>
    </w:div>
    <w:div w:id="1550996744">
      <w:bodyDiv w:val="1"/>
      <w:marLeft w:val="0"/>
      <w:marRight w:val="0"/>
      <w:marTop w:val="0"/>
      <w:marBottom w:val="0"/>
      <w:divBdr>
        <w:top w:val="none" w:sz="0" w:space="0" w:color="auto"/>
        <w:left w:val="none" w:sz="0" w:space="0" w:color="auto"/>
        <w:bottom w:val="none" w:sz="0" w:space="0" w:color="auto"/>
        <w:right w:val="none" w:sz="0" w:space="0" w:color="auto"/>
      </w:divBdr>
    </w:div>
    <w:div w:id="1551266554">
      <w:bodyDiv w:val="1"/>
      <w:marLeft w:val="0"/>
      <w:marRight w:val="0"/>
      <w:marTop w:val="0"/>
      <w:marBottom w:val="0"/>
      <w:divBdr>
        <w:top w:val="none" w:sz="0" w:space="0" w:color="auto"/>
        <w:left w:val="none" w:sz="0" w:space="0" w:color="auto"/>
        <w:bottom w:val="none" w:sz="0" w:space="0" w:color="auto"/>
        <w:right w:val="none" w:sz="0" w:space="0" w:color="auto"/>
      </w:divBdr>
    </w:div>
    <w:div w:id="1551458143">
      <w:bodyDiv w:val="1"/>
      <w:marLeft w:val="0"/>
      <w:marRight w:val="0"/>
      <w:marTop w:val="0"/>
      <w:marBottom w:val="0"/>
      <w:divBdr>
        <w:top w:val="none" w:sz="0" w:space="0" w:color="auto"/>
        <w:left w:val="none" w:sz="0" w:space="0" w:color="auto"/>
        <w:bottom w:val="none" w:sz="0" w:space="0" w:color="auto"/>
        <w:right w:val="none" w:sz="0" w:space="0" w:color="auto"/>
      </w:divBdr>
    </w:div>
    <w:div w:id="1551459620">
      <w:bodyDiv w:val="1"/>
      <w:marLeft w:val="0"/>
      <w:marRight w:val="0"/>
      <w:marTop w:val="0"/>
      <w:marBottom w:val="0"/>
      <w:divBdr>
        <w:top w:val="none" w:sz="0" w:space="0" w:color="auto"/>
        <w:left w:val="none" w:sz="0" w:space="0" w:color="auto"/>
        <w:bottom w:val="none" w:sz="0" w:space="0" w:color="auto"/>
        <w:right w:val="none" w:sz="0" w:space="0" w:color="auto"/>
      </w:divBdr>
    </w:div>
    <w:div w:id="1551839870">
      <w:bodyDiv w:val="1"/>
      <w:marLeft w:val="0"/>
      <w:marRight w:val="0"/>
      <w:marTop w:val="0"/>
      <w:marBottom w:val="0"/>
      <w:divBdr>
        <w:top w:val="none" w:sz="0" w:space="0" w:color="auto"/>
        <w:left w:val="none" w:sz="0" w:space="0" w:color="auto"/>
        <w:bottom w:val="none" w:sz="0" w:space="0" w:color="auto"/>
        <w:right w:val="none" w:sz="0" w:space="0" w:color="auto"/>
      </w:divBdr>
    </w:div>
    <w:div w:id="1552300788">
      <w:bodyDiv w:val="1"/>
      <w:marLeft w:val="0"/>
      <w:marRight w:val="0"/>
      <w:marTop w:val="0"/>
      <w:marBottom w:val="0"/>
      <w:divBdr>
        <w:top w:val="none" w:sz="0" w:space="0" w:color="auto"/>
        <w:left w:val="none" w:sz="0" w:space="0" w:color="auto"/>
        <w:bottom w:val="none" w:sz="0" w:space="0" w:color="auto"/>
        <w:right w:val="none" w:sz="0" w:space="0" w:color="auto"/>
      </w:divBdr>
    </w:div>
    <w:div w:id="1552302706">
      <w:bodyDiv w:val="1"/>
      <w:marLeft w:val="0"/>
      <w:marRight w:val="0"/>
      <w:marTop w:val="0"/>
      <w:marBottom w:val="0"/>
      <w:divBdr>
        <w:top w:val="none" w:sz="0" w:space="0" w:color="auto"/>
        <w:left w:val="none" w:sz="0" w:space="0" w:color="auto"/>
        <w:bottom w:val="none" w:sz="0" w:space="0" w:color="auto"/>
        <w:right w:val="none" w:sz="0" w:space="0" w:color="auto"/>
      </w:divBdr>
    </w:div>
    <w:div w:id="1552688925">
      <w:bodyDiv w:val="1"/>
      <w:marLeft w:val="0"/>
      <w:marRight w:val="0"/>
      <w:marTop w:val="0"/>
      <w:marBottom w:val="0"/>
      <w:divBdr>
        <w:top w:val="none" w:sz="0" w:space="0" w:color="auto"/>
        <w:left w:val="none" w:sz="0" w:space="0" w:color="auto"/>
        <w:bottom w:val="none" w:sz="0" w:space="0" w:color="auto"/>
        <w:right w:val="none" w:sz="0" w:space="0" w:color="auto"/>
      </w:divBdr>
    </w:div>
    <w:div w:id="1552881958">
      <w:bodyDiv w:val="1"/>
      <w:marLeft w:val="0"/>
      <w:marRight w:val="0"/>
      <w:marTop w:val="0"/>
      <w:marBottom w:val="0"/>
      <w:divBdr>
        <w:top w:val="none" w:sz="0" w:space="0" w:color="auto"/>
        <w:left w:val="none" w:sz="0" w:space="0" w:color="auto"/>
        <w:bottom w:val="none" w:sz="0" w:space="0" w:color="auto"/>
        <w:right w:val="none" w:sz="0" w:space="0" w:color="auto"/>
      </w:divBdr>
    </w:div>
    <w:div w:id="1552959355">
      <w:bodyDiv w:val="1"/>
      <w:marLeft w:val="0"/>
      <w:marRight w:val="0"/>
      <w:marTop w:val="0"/>
      <w:marBottom w:val="0"/>
      <w:divBdr>
        <w:top w:val="none" w:sz="0" w:space="0" w:color="auto"/>
        <w:left w:val="none" w:sz="0" w:space="0" w:color="auto"/>
        <w:bottom w:val="none" w:sz="0" w:space="0" w:color="auto"/>
        <w:right w:val="none" w:sz="0" w:space="0" w:color="auto"/>
      </w:divBdr>
    </w:div>
    <w:div w:id="1552960754">
      <w:bodyDiv w:val="1"/>
      <w:marLeft w:val="0"/>
      <w:marRight w:val="0"/>
      <w:marTop w:val="0"/>
      <w:marBottom w:val="0"/>
      <w:divBdr>
        <w:top w:val="none" w:sz="0" w:space="0" w:color="auto"/>
        <w:left w:val="none" w:sz="0" w:space="0" w:color="auto"/>
        <w:bottom w:val="none" w:sz="0" w:space="0" w:color="auto"/>
        <w:right w:val="none" w:sz="0" w:space="0" w:color="auto"/>
      </w:divBdr>
    </w:div>
    <w:div w:id="1553270751">
      <w:bodyDiv w:val="1"/>
      <w:marLeft w:val="0"/>
      <w:marRight w:val="0"/>
      <w:marTop w:val="0"/>
      <w:marBottom w:val="0"/>
      <w:divBdr>
        <w:top w:val="none" w:sz="0" w:space="0" w:color="auto"/>
        <w:left w:val="none" w:sz="0" w:space="0" w:color="auto"/>
        <w:bottom w:val="none" w:sz="0" w:space="0" w:color="auto"/>
        <w:right w:val="none" w:sz="0" w:space="0" w:color="auto"/>
      </w:divBdr>
    </w:div>
    <w:div w:id="1553272888">
      <w:bodyDiv w:val="1"/>
      <w:marLeft w:val="0"/>
      <w:marRight w:val="0"/>
      <w:marTop w:val="0"/>
      <w:marBottom w:val="0"/>
      <w:divBdr>
        <w:top w:val="none" w:sz="0" w:space="0" w:color="auto"/>
        <w:left w:val="none" w:sz="0" w:space="0" w:color="auto"/>
        <w:bottom w:val="none" w:sz="0" w:space="0" w:color="auto"/>
        <w:right w:val="none" w:sz="0" w:space="0" w:color="auto"/>
      </w:divBdr>
    </w:div>
    <w:div w:id="1553735438">
      <w:bodyDiv w:val="1"/>
      <w:marLeft w:val="0"/>
      <w:marRight w:val="0"/>
      <w:marTop w:val="0"/>
      <w:marBottom w:val="0"/>
      <w:divBdr>
        <w:top w:val="none" w:sz="0" w:space="0" w:color="auto"/>
        <w:left w:val="none" w:sz="0" w:space="0" w:color="auto"/>
        <w:bottom w:val="none" w:sz="0" w:space="0" w:color="auto"/>
        <w:right w:val="none" w:sz="0" w:space="0" w:color="auto"/>
      </w:divBdr>
    </w:div>
    <w:div w:id="1554777574">
      <w:bodyDiv w:val="1"/>
      <w:marLeft w:val="0"/>
      <w:marRight w:val="0"/>
      <w:marTop w:val="0"/>
      <w:marBottom w:val="0"/>
      <w:divBdr>
        <w:top w:val="none" w:sz="0" w:space="0" w:color="auto"/>
        <w:left w:val="none" w:sz="0" w:space="0" w:color="auto"/>
        <w:bottom w:val="none" w:sz="0" w:space="0" w:color="auto"/>
        <w:right w:val="none" w:sz="0" w:space="0" w:color="auto"/>
      </w:divBdr>
    </w:div>
    <w:div w:id="1554852654">
      <w:bodyDiv w:val="1"/>
      <w:marLeft w:val="0"/>
      <w:marRight w:val="0"/>
      <w:marTop w:val="0"/>
      <w:marBottom w:val="0"/>
      <w:divBdr>
        <w:top w:val="none" w:sz="0" w:space="0" w:color="auto"/>
        <w:left w:val="none" w:sz="0" w:space="0" w:color="auto"/>
        <w:bottom w:val="none" w:sz="0" w:space="0" w:color="auto"/>
        <w:right w:val="none" w:sz="0" w:space="0" w:color="auto"/>
      </w:divBdr>
    </w:div>
    <w:div w:id="1554929508">
      <w:bodyDiv w:val="1"/>
      <w:marLeft w:val="0"/>
      <w:marRight w:val="0"/>
      <w:marTop w:val="0"/>
      <w:marBottom w:val="0"/>
      <w:divBdr>
        <w:top w:val="none" w:sz="0" w:space="0" w:color="auto"/>
        <w:left w:val="none" w:sz="0" w:space="0" w:color="auto"/>
        <w:bottom w:val="none" w:sz="0" w:space="0" w:color="auto"/>
        <w:right w:val="none" w:sz="0" w:space="0" w:color="auto"/>
      </w:divBdr>
    </w:div>
    <w:div w:id="1554997128">
      <w:bodyDiv w:val="1"/>
      <w:marLeft w:val="0"/>
      <w:marRight w:val="0"/>
      <w:marTop w:val="0"/>
      <w:marBottom w:val="0"/>
      <w:divBdr>
        <w:top w:val="none" w:sz="0" w:space="0" w:color="auto"/>
        <w:left w:val="none" w:sz="0" w:space="0" w:color="auto"/>
        <w:bottom w:val="none" w:sz="0" w:space="0" w:color="auto"/>
        <w:right w:val="none" w:sz="0" w:space="0" w:color="auto"/>
      </w:divBdr>
    </w:div>
    <w:div w:id="1555308271">
      <w:bodyDiv w:val="1"/>
      <w:marLeft w:val="0"/>
      <w:marRight w:val="0"/>
      <w:marTop w:val="0"/>
      <w:marBottom w:val="0"/>
      <w:divBdr>
        <w:top w:val="none" w:sz="0" w:space="0" w:color="auto"/>
        <w:left w:val="none" w:sz="0" w:space="0" w:color="auto"/>
        <w:bottom w:val="none" w:sz="0" w:space="0" w:color="auto"/>
        <w:right w:val="none" w:sz="0" w:space="0" w:color="auto"/>
      </w:divBdr>
    </w:div>
    <w:div w:id="1555310365">
      <w:bodyDiv w:val="1"/>
      <w:marLeft w:val="0"/>
      <w:marRight w:val="0"/>
      <w:marTop w:val="0"/>
      <w:marBottom w:val="0"/>
      <w:divBdr>
        <w:top w:val="none" w:sz="0" w:space="0" w:color="auto"/>
        <w:left w:val="none" w:sz="0" w:space="0" w:color="auto"/>
        <w:bottom w:val="none" w:sz="0" w:space="0" w:color="auto"/>
        <w:right w:val="none" w:sz="0" w:space="0" w:color="auto"/>
      </w:divBdr>
    </w:div>
    <w:div w:id="1555315222">
      <w:bodyDiv w:val="1"/>
      <w:marLeft w:val="0"/>
      <w:marRight w:val="0"/>
      <w:marTop w:val="0"/>
      <w:marBottom w:val="0"/>
      <w:divBdr>
        <w:top w:val="none" w:sz="0" w:space="0" w:color="auto"/>
        <w:left w:val="none" w:sz="0" w:space="0" w:color="auto"/>
        <w:bottom w:val="none" w:sz="0" w:space="0" w:color="auto"/>
        <w:right w:val="none" w:sz="0" w:space="0" w:color="auto"/>
      </w:divBdr>
    </w:div>
    <w:div w:id="1555581299">
      <w:bodyDiv w:val="1"/>
      <w:marLeft w:val="0"/>
      <w:marRight w:val="0"/>
      <w:marTop w:val="0"/>
      <w:marBottom w:val="0"/>
      <w:divBdr>
        <w:top w:val="none" w:sz="0" w:space="0" w:color="auto"/>
        <w:left w:val="none" w:sz="0" w:space="0" w:color="auto"/>
        <w:bottom w:val="none" w:sz="0" w:space="0" w:color="auto"/>
        <w:right w:val="none" w:sz="0" w:space="0" w:color="auto"/>
      </w:divBdr>
    </w:div>
    <w:div w:id="1555660318">
      <w:bodyDiv w:val="1"/>
      <w:marLeft w:val="0"/>
      <w:marRight w:val="0"/>
      <w:marTop w:val="0"/>
      <w:marBottom w:val="0"/>
      <w:divBdr>
        <w:top w:val="none" w:sz="0" w:space="0" w:color="auto"/>
        <w:left w:val="none" w:sz="0" w:space="0" w:color="auto"/>
        <w:bottom w:val="none" w:sz="0" w:space="0" w:color="auto"/>
        <w:right w:val="none" w:sz="0" w:space="0" w:color="auto"/>
      </w:divBdr>
    </w:div>
    <w:div w:id="1555700277">
      <w:bodyDiv w:val="1"/>
      <w:marLeft w:val="0"/>
      <w:marRight w:val="0"/>
      <w:marTop w:val="0"/>
      <w:marBottom w:val="0"/>
      <w:divBdr>
        <w:top w:val="none" w:sz="0" w:space="0" w:color="auto"/>
        <w:left w:val="none" w:sz="0" w:space="0" w:color="auto"/>
        <w:bottom w:val="none" w:sz="0" w:space="0" w:color="auto"/>
        <w:right w:val="none" w:sz="0" w:space="0" w:color="auto"/>
      </w:divBdr>
    </w:div>
    <w:div w:id="1555776618">
      <w:bodyDiv w:val="1"/>
      <w:marLeft w:val="0"/>
      <w:marRight w:val="0"/>
      <w:marTop w:val="0"/>
      <w:marBottom w:val="0"/>
      <w:divBdr>
        <w:top w:val="none" w:sz="0" w:space="0" w:color="auto"/>
        <w:left w:val="none" w:sz="0" w:space="0" w:color="auto"/>
        <w:bottom w:val="none" w:sz="0" w:space="0" w:color="auto"/>
        <w:right w:val="none" w:sz="0" w:space="0" w:color="auto"/>
      </w:divBdr>
    </w:div>
    <w:div w:id="1555854633">
      <w:bodyDiv w:val="1"/>
      <w:marLeft w:val="0"/>
      <w:marRight w:val="0"/>
      <w:marTop w:val="0"/>
      <w:marBottom w:val="0"/>
      <w:divBdr>
        <w:top w:val="none" w:sz="0" w:space="0" w:color="auto"/>
        <w:left w:val="none" w:sz="0" w:space="0" w:color="auto"/>
        <w:bottom w:val="none" w:sz="0" w:space="0" w:color="auto"/>
        <w:right w:val="none" w:sz="0" w:space="0" w:color="auto"/>
      </w:divBdr>
    </w:div>
    <w:div w:id="1555894908">
      <w:bodyDiv w:val="1"/>
      <w:marLeft w:val="0"/>
      <w:marRight w:val="0"/>
      <w:marTop w:val="0"/>
      <w:marBottom w:val="0"/>
      <w:divBdr>
        <w:top w:val="none" w:sz="0" w:space="0" w:color="auto"/>
        <w:left w:val="none" w:sz="0" w:space="0" w:color="auto"/>
        <w:bottom w:val="none" w:sz="0" w:space="0" w:color="auto"/>
        <w:right w:val="none" w:sz="0" w:space="0" w:color="auto"/>
      </w:divBdr>
    </w:div>
    <w:div w:id="1556047161">
      <w:bodyDiv w:val="1"/>
      <w:marLeft w:val="0"/>
      <w:marRight w:val="0"/>
      <w:marTop w:val="0"/>
      <w:marBottom w:val="0"/>
      <w:divBdr>
        <w:top w:val="none" w:sz="0" w:space="0" w:color="auto"/>
        <w:left w:val="none" w:sz="0" w:space="0" w:color="auto"/>
        <w:bottom w:val="none" w:sz="0" w:space="0" w:color="auto"/>
        <w:right w:val="none" w:sz="0" w:space="0" w:color="auto"/>
      </w:divBdr>
    </w:div>
    <w:div w:id="1556118795">
      <w:bodyDiv w:val="1"/>
      <w:marLeft w:val="0"/>
      <w:marRight w:val="0"/>
      <w:marTop w:val="0"/>
      <w:marBottom w:val="0"/>
      <w:divBdr>
        <w:top w:val="none" w:sz="0" w:space="0" w:color="auto"/>
        <w:left w:val="none" w:sz="0" w:space="0" w:color="auto"/>
        <w:bottom w:val="none" w:sz="0" w:space="0" w:color="auto"/>
        <w:right w:val="none" w:sz="0" w:space="0" w:color="auto"/>
      </w:divBdr>
    </w:div>
    <w:div w:id="1556157847">
      <w:bodyDiv w:val="1"/>
      <w:marLeft w:val="0"/>
      <w:marRight w:val="0"/>
      <w:marTop w:val="0"/>
      <w:marBottom w:val="0"/>
      <w:divBdr>
        <w:top w:val="none" w:sz="0" w:space="0" w:color="auto"/>
        <w:left w:val="none" w:sz="0" w:space="0" w:color="auto"/>
        <w:bottom w:val="none" w:sz="0" w:space="0" w:color="auto"/>
        <w:right w:val="none" w:sz="0" w:space="0" w:color="auto"/>
      </w:divBdr>
    </w:div>
    <w:div w:id="1556509719">
      <w:bodyDiv w:val="1"/>
      <w:marLeft w:val="0"/>
      <w:marRight w:val="0"/>
      <w:marTop w:val="0"/>
      <w:marBottom w:val="0"/>
      <w:divBdr>
        <w:top w:val="none" w:sz="0" w:space="0" w:color="auto"/>
        <w:left w:val="none" w:sz="0" w:space="0" w:color="auto"/>
        <w:bottom w:val="none" w:sz="0" w:space="0" w:color="auto"/>
        <w:right w:val="none" w:sz="0" w:space="0" w:color="auto"/>
      </w:divBdr>
    </w:div>
    <w:div w:id="1556773170">
      <w:bodyDiv w:val="1"/>
      <w:marLeft w:val="0"/>
      <w:marRight w:val="0"/>
      <w:marTop w:val="0"/>
      <w:marBottom w:val="0"/>
      <w:divBdr>
        <w:top w:val="none" w:sz="0" w:space="0" w:color="auto"/>
        <w:left w:val="none" w:sz="0" w:space="0" w:color="auto"/>
        <w:bottom w:val="none" w:sz="0" w:space="0" w:color="auto"/>
        <w:right w:val="none" w:sz="0" w:space="0" w:color="auto"/>
      </w:divBdr>
    </w:div>
    <w:div w:id="1557007892">
      <w:bodyDiv w:val="1"/>
      <w:marLeft w:val="0"/>
      <w:marRight w:val="0"/>
      <w:marTop w:val="0"/>
      <w:marBottom w:val="0"/>
      <w:divBdr>
        <w:top w:val="none" w:sz="0" w:space="0" w:color="auto"/>
        <w:left w:val="none" w:sz="0" w:space="0" w:color="auto"/>
        <w:bottom w:val="none" w:sz="0" w:space="0" w:color="auto"/>
        <w:right w:val="none" w:sz="0" w:space="0" w:color="auto"/>
      </w:divBdr>
    </w:div>
    <w:div w:id="1557277219">
      <w:bodyDiv w:val="1"/>
      <w:marLeft w:val="0"/>
      <w:marRight w:val="0"/>
      <w:marTop w:val="0"/>
      <w:marBottom w:val="0"/>
      <w:divBdr>
        <w:top w:val="none" w:sz="0" w:space="0" w:color="auto"/>
        <w:left w:val="none" w:sz="0" w:space="0" w:color="auto"/>
        <w:bottom w:val="none" w:sz="0" w:space="0" w:color="auto"/>
        <w:right w:val="none" w:sz="0" w:space="0" w:color="auto"/>
      </w:divBdr>
    </w:div>
    <w:div w:id="1558201986">
      <w:bodyDiv w:val="1"/>
      <w:marLeft w:val="0"/>
      <w:marRight w:val="0"/>
      <w:marTop w:val="0"/>
      <w:marBottom w:val="0"/>
      <w:divBdr>
        <w:top w:val="none" w:sz="0" w:space="0" w:color="auto"/>
        <w:left w:val="none" w:sz="0" w:space="0" w:color="auto"/>
        <w:bottom w:val="none" w:sz="0" w:space="0" w:color="auto"/>
        <w:right w:val="none" w:sz="0" w:space="0" w:color="auto"/>
      </w:divBdr>
    </w:div>
    <w:div w:id="1558394236">
      <w:bodyDiv w:val="1"/>
      <w:marLeft w:val="0"/>
      <w:marRight w:val="0"/>
      <w:marTop w:val="0"/>
      <w:marBottom w:val="0"/>
      <w:divBdr>
        <w:top w:val="none" w:sz="0" w:space="0" w:color="auto"/>
        <w:left w:val="none" w:sz="0" w:space="0" w:color="auto"/>
        <w:bottom w:val="none" w:sz="0" w:space="0" w:color="auto"/>
        <w:right w:val="none" w:sz="0" w:space="0" w:color="auto"/>
      </w:divBdr>
    </w:div>
    <w:div w:id="1558512473">
      <w:bodyDiv w:val="1"/>
      <w:marLeft w:val="0"/>
      <w:marRight w:val="0"/>
      <w:marTop w:val="0"/>
      <w:marBottom w:val="0"/>
      <w:divBdr>
        <w:top w:val="none" w:sz="0" w:space="0" w:color="auto"/>
        <w:left w:val="none" w:sz="0" w:space="0" w:color="auto"/>
        <w:bottom w:val="none" w:sz="0" w:space="0" w:color="auto"/>
        <w:right w:val="none" w:sz="0" w:space="0" w:color="auto"/>
      </w:divBdr>
    </w:div>
    <w:div w:id="1558665765">
      <w:bodyDiv w:val="1"/>
      <w:marLeft w:val="0"/>
      <w:marRight w:val="0"/>
      <w:marTop w:val="0"/>
      <w:marBottom w:val="0"/>
      <w:divBdr>
        <w:top w:val="none" w:sz="0" w:space="0" w:color="auto"/>
        <w:left w:val="none" w:sz="0" w:space="0" w:color="auto"/>
        <w:bottom w:val="none" w:sz="0" w:space="0" w:color="auto"/>
        <w:right w:val="none" w:sz="0" w:space="0" w:color="auto"/>
      </w:divBdr>
    </w:div>
    <w:div w:id="1558783988">
      <w:bodyDiv w:val="1"/>
      <w:marLeft w:val="0"/>
      <w:marRight w:val="0"/>
      <w:marTop w:val="0"/>
      <w:marBottom w:val="0"/>
      <w:divBdr>
        <w:top w:val="none" w:sz="0" w:space="0" w:color="auto"/>
        <w:left w:val="none" w:sz="0" w:space="0" w:color="auto"/>
        <w:bottom w:val="none" w:sz="0" w:space="0" w:color="auto"/>
        <w:right w:val="none" w:sz="0" w:space="0" w:color="auto"/>
      </w:divBdr>
    </w:div>
    <w:div w:id="1558857290">
      <w:bodyDiv w:val="1"/>
      <w:marLeft w:val="0"/>
      <w:marRight w:val="0"/>
      <w:marTop w:val="0"/>
      <w:marBottom w:val="0"/>
      <w:divBdr>
        <w:top w:val="none" w:sz="0" w:space="0" w:color="auto"/>
        <w:left w:val="none" w:sz="0" w:space="0" w:color="auto"/>
        <w:bottom w:val="none" w:sz="0" w:space="0" w:color="auto"/>
        <w:right w:val="none" w:sz="0" w:space="0" w:color="auto"/>
      </w:divBdr>
    </w:div>
    <w:div w:id="1558904962">
      <w:bodyDiv w:val="1"/>
      <w:marLeft w:val="0"/>
      <w:marRight w:val="0"/>
      <w:marTop w:val="0"/>
      <w:marBottom w:val="0"/>
      <w:divBdr>
        <w:top w:val="none" w:sz="0" w:space="0" w:color="auto"/>
        <w:left w:val="none" w:sz="0" w:space="0" w:color="auto"/>
        <w:bottom w:val="none" w:sz="0" w:space="0" w:color="auto"/>
        <w:right w:val="none" w:sz="0" w:space="0" w:color="auto"/>
      </w:divBdr>
    </w:div>
    <w:div w:id="1558931067">
      <w:bodyDiv w:val="1"/>
      <w:marLeft w:val="0"/>
      <w:marRight w:val="0"/>
      <w:marTop w:val="0"/>
      <w:marBottom w:val="0"/>
      <w:divBdr>
        <w:top w:val="none" w:sz="0" w:space="0" w:color="auto"/>
        <w:left w:val="none" w:sz="0" w:space="0" w:color="auto"/>
        <w:bottom w:val="none" w:sz="0" w:space="0" w:color="auto"/>
        <w:right w:val="none" w:sz="0" w:space="0" w:color="auto"/>
      </w:divBdr>
    </w:div>
    <w:div w:id="1558936048">
      <w:bodyDiv w:val="1"/>
      <w:marLeft w:val="0"/>
      <w:marRight w:val="0"/>
      <w:marTop w:val="0"/>
      <w:marBottom w:val="0"/>
      <w:divBdr>
        <w:top w:val="none" w:sz="0" w:space="0" w:color="auto"/>
        <w:left w:val="none" w:sz="0" w:space="0" w:color="auto"/>
        <w:bottom w:val="none" w:sz="0" w:space="0" w:color="auto"/>
        <w:right w:val="none" w:sz="0" w:space="0" w:color="auto"/>
      </w:divBdr>
    </w:div>
    <w:div w:id="1559123639">
      <w:bodyDiv w:val="1"/>
      <w:marLeft w:val="0"/>
      <w:marRight w:val="0"/>
      <w:marTop w:val="0"/>
      <w:marBottom w:val="0"/>
      <w:divBdr>
        <w:top w:val="none" w:sz="0" w:space="0" w:color="auto"/>
        <w:left w:val="none" w:sz="0" w:space="0" w:color="auto"/>
        <w:bottom w:val="none" w:sz="0" w:space="0" w:color="auto"/>
        <w:right w:val="none" w:sz="0" w:space="0" w:color="auto"/>
      </w:divBdr>
    </w:div>
    <w:div w:id="1559169107">
      <w:bodyDiv w:val="1"/>
      <w:marLeft w:val="0"/>
      <w:marRight w:val="0"/>
      <w:marTop w:val="0"/>
      <w:marBottom w:val="0"/>
      <w:divBdr>
        <w:top w:val="none" w:sz="0" w:space="0" w:color="auto"/>
        <w:left w:val="none" w:sz="0" w:space="0" w:color="auto"/>
        <w:bottom w:val="none" w:sz="0" w:space="0" w:color="auto"/>
        <w:right w:val="none" w:sz="0" w:space="0" w:color="auto"/>
      </w:divBdr>
    </w:div>
    <w:div w:id="1559322711">
      <w:bodyDiv w:val="1"/>
      <w:marLeft w:val="0"/>
      <w:marRight w:val="0"/>
      <w:marTop w:val="0"/>
      <w:marBottom w:val="0"/>
      <w:divBdr>
        <w:top w:val="none" w:sz="0" w:space="0" w:color="auto"/>
        <w:left w:val="none" w:sz="0" w:space="0" w:color="auto"/>
        <w:bottom w:val="none" w:sz="0" w:space="0" w:color="auto"/>
        <w:right w:val="none" w:sz="0" w:space="0" w:color="auto"/>
      </w:divBdr>
    </w:div>
    <w:div w:id="1559364288">
      <w:bodyDiv w:val="1"/>
      <w:marLeft w:val="0"/>
      <w:marRight w:val="0"/>
      <w:marTop w:val="0"/>
      <w:marBottom w:val="0"/>
      <w:divBdr>
        <w:top w:val="none" w:sz="0" w:space="0" w:color="auto"/>
        <w:left w:val="none" w:sz="0" w:space="0" w:color="auto"/>
        <w:bottom w:val="none" w:sz="0" w:space="0" w:color="auto"/>
        <w:right w:val="none" w:sz="0" w:space="0" w:color="auto"/>
      </w:divBdr>
    </w:div>
    <w:div w:id="1559585580">
      <w:bodyDiv w:val="1"/>
      <w:marLeft w:val="0"/>
      <w:marRight w:val="0"/>
      <w:marTop w:val="0"/>
      <w:marBottom w:val="0"/>
      <w:divBdr>
        <w:top w:val="none" w:sz="0" w:space="0" w:color="auto"/>
        <w:left w:val="none" w:sz="0" w:space="0" w:color="auto"/>
        <w:bottom w:val="none" w:sz="0" w:space="0" w:color="auto"/>
        <w:right w:val="none" w:sz="0" w:space="0" w:color="auto"/>
      </w:divBdr>
    </w:div>
    <w:div w:id="1559702899">
      <w:bodyDiv w:val="1"/>
      <w:marLeft w:val="0"/>
      <w:marRight w:val="0"/>
      <w:marTop w:val="0"/>
      <w:marBottom w:val="0"/>
      <w:divBdr>
        <w:top w:val="none" w:sz="0" w:space="0" w:color="auto"/>
        <w:left w:val="none" w:sz="0" w:space="0" w:color="auto"/>
        <w:bottom w:val="none" w:sz="0" w:space="0" w:color="auto"/>
        <w:right w:val="none" w:sz="0" w:space="0" w:color="auto"/>
      </w:divBdr>
    </w:div>
    <w:div w:id="1559710851">
      <w:bodyDiv w:val="1"/>
      <w:marLeft w:val="0"/>
      <w:marRight w:val="0"/>
      <w:marTop w:val="0"/>
      <w:marBottom w:val="0"/>
      <w:divBdr>
        <w:top w:val="none" w:sz="0" w:space="0" w:color="auto"/>
        <w:left w:val="none" w:sz="0" w:space="0" w:color="auto"/>
        <w:bottom w:val="none" w:sz="0" w:space="0" w:color="auto"/>
        <w:right w:val="none" w:sz="0" w:space="0" w:color="auto"/>
      </w:divBdr>
    </w:div>
    <w:div w:id="1560093234">
      <w:bodyDiv w:val="1"/>
      <w:marLeft w:val="0"/>
      <w:marRight w:val="0"/>
      <w:marTop w:val="0"/>
      <w:marBottom w:val="0"/>
      <w:divBdr>
        <w:top w:val="none" w:sz="0" w:space="0" w:color="auto"/>
        <w:left w:val="none" w:sz="0" w:space="0" w:color="auto"/>
        <w:bottom w:val="none" w:sz="0" w:space="0" w:color="auto"/>
        <w:right w:val="none" w:sz="0" w:space="0" w:color="auto"/>
      </w:divBdr>
    </w:div>
    <w:div w:id="1560238614">
      <w:bodyDiv w:val="1"/>
      <w:marLeft w:val="0"/>
      <w:marRight w:val="0"/>
      <w:marTop w:val="0"/>
      <w:marBottom w:val="0"/>
      <w:divBdr>
        <w:top w:val="none" w:sz="0" w:space="0" w:color="auto"/>
        <w:left w:val="none" w:sz="0" w:space="0" w:color="auto"/>
        <w:bottom w:val="none" w:sz="0" w:space="0" w:color="auto"/>
        <w:right w:val="none" w:sz="0" w:space="0" w:color="auto"/>
      </w:divBdr>
    </w:div>
    <w:div w:id="1560435249">
      <w:bodyDiv w:val="1"/>
      <w:marLeft w:val="0"/>
      <w:marRight w:val="0"/>
      <w:marTop w:val="0"/>
      <w:marBottom w:val="0"/>
      <w:divBdr>
        <w:top w:val="none" w:sz="0" w:space="0" w:color="auto"/>
        <w:left w:val="none" w:sz="0" w:space="0" w:color="auto"/>
        <w:bottom w:val="none" w:sz="0" w:space="0" w:color="auto"/>
        <w:right w:val="none" w:sz="0" w:space="0" w:color="auto"/>
      </w:divBdr>
    </w:div>
    <w:div w:id="1560440489">
      <w:bodyDiv w:val="1"/>
      <w:marLeft w:val="0"/>
      <w:marRight w:val="0"/>
      <w:marTop w:val="0"/>
      <w:marBottom w:val="0"/>
      <w:divBdr>
        <w:top w:val="none" w:sz="0" w:space="0" w:color="auto"/>
        <w:left w:val="none" w:sz="0" w:space="0" w:color="auto"/>
        <w:bottom w:val="none" w:sz="0" w:space="0" w:color="auto"/>
        <w:right w:val="none" w:sz="0" w:space="0" w:color="auto"/>
      </w:divBdr>
    </w:div>
    <w:div w:id="1560556553">
      <w:bodyDiv w:val="1"/>
      <w:marLeft w:val="0"/>
      <w:marRight w:val="0"/>
      <w:marTop w:val="0"/>
      <w:marBottom w:val="0"/>
      <w:divBdr>
        <w:top w:val="none" w:sz="0" w:space="0" w:color="auto"/>
        <w:left w:val="none" w:sz="0" w:space="0" w:color="auto"/>
        <w:bottom w:val="none" w:sz="0" w:space="0" w:color="auto"/>
        <w:right w:val="none" w:sz="0" w:space="0" w:color="auto"/>
      </w:divBdr>
    </w:div>
    <w:div w:id="1560629348">
      <w:bodyDiv w:val="1"/>
      <w:marLeft w:val="0"/>
      <w:marRight w:val="0"/>
      <w:marTop w:val="0"/>
      <w:marBottom w:val="0"/>
      <w:divBdr>
        <w:top w:val="none" w:sz="0" w:space="0" w:color="auto"/>
        <w:left w:val="none" w:sz="0" w:space="0" w:color="auto"/>
        <w:bottom w:val="none" w:sz="0" w:space="0" w:color="auto"/>
        <w:right w:val="none" w:sz="0" w:space="0" w:color="auto"/>
      </w:divBdr>
    </w:div>
    <w:div w:id="1560704932">
      <w:bodyDiv w:val="1"/>
      <w:marLeft w:val="0"/>
      <w:marRight w:val="0"/>
      <w:marTop w:val="0"/>
      <w:marBottom w:val="0"/>
      <w:divBdr>
        <w:top w:val="none" w:sz="0" w:space="0" w:color="auto"/>
        <w:left w:val="none" w:sz="0" w:space="0" w:color="auto"/>
        <w:bottom w:val="none" w:sz="0" w:space="0" w:color="auto"/>
        <w:right w:val="none" w:sz="0" w:space="0" w:color="auto"/>
      </w:divBdr>
    </w:div>
    <w:div w:id="1560745929">
      <w:bodyDiv w:val="1"/>
      <w:marLeft w:val="0"/>
      <w:marRight w:val="0"/>
      <w:marTop w:val="0"/>
      <w:marBottom w:val="0"/>
      <w:divBdr>
        <w:top w:val="none" w:sz="0" w:space="0" w:color="auto"/>
        <w:left w:val="none" w:sz="0" w:space="0" w:color="auto"/>
        <w:bottom w:val="none" w:sz="0" w:space="0" w:color="auto"/>
        <w:right w:val="none" w:sz="0" w:space="0" w:color="auto"/>
      </w:divBdr>
    </w:div>
    <w:div w:id="1560938346">
      <w:bodyDiv w:val="1"/>
      <w:marLeft w:val="0"/>
      <w:marRight w:val="0"/>
      <w:marTop w:val="0"/>
      <w:marBottom w:val="0"/>
      <w:divBdr>
        <w:top w:val="none" w:sz="0" w:space="0" w:color="auto"/>
        <w:left w:val="none" w:sz="0" w:space="0" w:color="auto"/>
        <w:bottom w:val="none" w:sz="0" w:space="0" w:color="auto"/>
        <w:right w:val="none" w:sz="0" w:space="0" w:color="auto"/>
      </w:divBdr>
    </w:div>
    <w:div w:id="1560941762">
      <w:bodyDiv w:val="1"/>
      <w:marLeft w:val="0"/>
      <w:marRight w:val="0"/>
      <w:marTop w:val="0"/>
      <w:marBottom w:val="0"/>
      <w:divBdr>
        <w:top w:val="none" w:sz="0" w:space="0" w:color="auto"/>
        <w:left w:val="none" w:sz="0" w:space="0" w:color="auto"/>
        <w:bottom w:val="none" w:sz="0" w:space="0" w:color="auto"/>
        <w:right w:val="none" w:sz="0" w:space="0" w:color="auto"/>
      </w:divBdr>
    </w:div>
    <w:div w:id="1561090247">
      <w:bodyDiv w:val="1"/>
      <w:marLeft w:val="0"/>
      <w:marRight w:val="0"/>
      <w:marTop w:val="0"/>
      <w:marBottom w:val="0"/>
      <w:divBdr>
        <w:top w:val="none" w:sz="0" w:space="0" w:color="auto"/>
        <w:left w:val="none" w:sz="0" w:space="0" w:color="auto"/>
        <w:bottom w:val="none" w:sz="0" w:space="0" w:color="auto"/>
        <w:right w:val="none" w:sz="0" w:space="0" w:color="auto"/>
      </w:divBdr>
    </w:div>
    <w:div w:id="1561205190">
      <w:bodyDiv w:val="1"/>
      <w:marLeft w:val="0"/>
      <w:marRight w:val="0"/>
      <w:marTop w:val="0"/>
      <w:marBottom w:val="0"/>
      <w:divBdr>
        <w:top w:val="none" w:sz="0" w:space="0" w:color="auto"/>
        <w:left w:val="none" w:sz="0" w:space="0" w:color="auto"/>
        <w:bottom w:val="none" w:sz="0" w:space="0" w:color="auto"/>
        <w:right w:val="none" w:sz="0" w:space="0" w:color="auto"/>
      </w:divBdr>
    </w:div>
    <w:div w:id="1561553732">
      <w:bodyDiv w:val="1"/>
      <w:marLeft w:val="0"/>
      <w:marRight w:val="0"/>
      <w:marTop w:val="0"/>
      <w:marBottom w:val="0"/>
      <w:divBdr>
        <w:top w:val="none" w:sz="0" w:space="0" w:color="auto"/>
        <w:left w:val="none" w:sz="0" w:space="0" w:color="auto"/>
        <w:bottom w:val="none" w:sz="0" w:space="0" w:color="auto"/>
        <w:right w:val="none" w:sz="0" w:space="0" w:color="auto"/>
      </w:divBdr>
    </w:div>
    <w:div w:id="1561593528">
      <w:bodyDiv w:val="1"/>
      <w:marLeft w:val="0"/>
      <w:marRight w:val="0"/>
      <w:marTop w:val="0"/>
      <w:marBottom w:val="0"/>
      <w:divBdr>
        <w:top w:val="none" w:sz="0" w:space="0" w:color="auto"/>
        <w:left w:val="none" w:sz="0" w:space="0" w:color="auto"/>
        <w:bottom w:val="none" w:sz="0" w:space="0" w:color="auto"/>
        <w:right w:val="none" w:sz="0" w:space="0" w:color="auto"/>
      </w:divBdr>
    </w:div>
    <w:div w:id="1561791618">
      <w:bodyDiv w:val="1"/>
      <w:marLeft w:val="0"/>
      <w:marRight w:val="0"/>
      <w:marTop w:val="0"/>
      <w:marBottom w:val="0"/>
      <w:divBdr>
        <w:top w:val="none" w:sz="0" w:space="0" w:color="auto"/>
        <w:left w:val="none" w:sz="0" w:space="0" w:color="auto"/>
        <w:bottom w:val="none" w:sz="0" w:space="0" w:color="auto"/>
        <w:right w:val="none" w:sz="0" w:space="0" w:color="auto"/>
      </w:divBdr>
    </w:div>
    <w:div w:id="1562790684">
      <w:bodyDiv w:val="1"/>
      <w:marLeft w:val="0"/>
      <w:marRight w:val="0"/>
      <w:marTop w:val="0"/>
      <w:marBottom w:val="0"/>
      <w:divBdr>
        <w:top w:val="none" w:sz="0" w:space="0" w:color="auto"/>
        <w:left w:val="none" w:sz="0" w:space="0" w:color="auto"/>
        <w:bottom w:val="none" w:sz="0" w:space="0" w:color="auto"/>
        <w:right w:val="none" w:sz="0" w:space="0" w:color="auto"/>
      </w:divBdr>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101969">
      <w:bodyDiv w:val="1"/>
      <w:marLeft w:val="0"/>
      <w:marRight w:val="0"/>
      <w:marTop w:val="0"/>
      <w:marBottom w:val="0"/>
      <w:divBdr>
        <w:top w:val="none" w:sz="0" w:space="0" w:color="auto"/>
        <w:left w:val="none" w:sz="0" w:space="0" w:color="auto"/>
        <w:bottom w:val="none" w:sz="0" w:space="0" w:color="auto"/>
        <w:right w:val="none" w:sz="0" w:space="0" w:color="auto"/>
      </w:divBdr>
    </w:div>
    <w:div w:id="1563246716">
      <w:bodyDiv w:val="1"/>
      <w:marLeft w:val="0"/>
      <w:marRight w:val="0"/>
      <w:marTop w:val="0"/>
      <w:marBottom w:val="0"/>
      <w:divBdr>
        <w:top w:val="none" w:sz="0" w:space="0" w:color="auto"/>
        <w:left w:val="none" w:sz="0" w:space="0" w:color="auto"/>
        <w:bottom w:val="none" w:sz="0" w:space="0" w:color="auto"/>
        <w:right w:val="none" w:sz="0" w:space="0" w:color="auto"/>
      </w:divBdr>
    </w:div>
    <w:div w:id="1563323503">
      <w:bodyDiv w:val="1"/>
      <w:marLeft w:val="0"/>
      <w:marRight w:val="0"/>
      <w:marTop w:val="0"/>
      <w:marBottom w:val="0"/>
      <w:divBdr>
        <w:top w:val="none" w:sz="0" w:space="0" w:color="auto"/>
        <w:left w:val="none" w:sz="0" w:space="0" w:color="auto"/>
        <w:bottom w:val="none" w:sz="0" w:space="0" w:color="auto"/>
        <w:right w:val="none" w:sz="0" w:space="0" w:color="auto"/>
      </w:divBdr>
    </w:div>
    <w:div w:id="1563371546">
      <w:bodyDiv w:val="1"/>
      <w:marLeft w:val="0"/>
      <w:marRight w:val="0"/>
      <w:marTop w:val="0"/>
      <w:marBottom w:val="0"/>
      <w:divBdr>
        <w:top w:val="none" w:sz="0" w:space="0" w:color="auto"/>
        <w:left w:val="none" w:sz="0" w:space="0" w:color="auto"/>
        <w:bottom w:val="none" w:sz="0" w:space="0" w:color="auto"/>
        <w:right w:val="none" w:sz="0" w:space="0" w:color="auto"/>
      </w:divBdr>
    </w:div>
    <w:div w:id="1563448988">
      <w:bodyDiv w:val="1"/>
      <w:marLeft w:val="0"/>
      <w:marRight w:val="0"/>
      <w:marTop w:val="0"/>
      <w:marBottom w:val="0"/>
      <w:divBdr>
        <w:top w:val="none" w:sz="0" w:space="0" w:color="auto"/>
        <w:left w:val="none" w:sz="0" w:space="0" w:color="auto"/>
        <w:bottom w:val="none" w:sz="0" w:space="0" w:color="auto"/>
        <w:right w:val="none" w:sz="0" w:space="0" w:color="auto"/>
      </w:divBdr>
    </w:div>
    <w:div w:id="1563902303">
      <w:bodyDiv w:val="1"/>
      <w:marLeft w:val="0"/>
      <w:marRight w:val="0"/>
      <w:marTop w:val="0"/>
      <w:marBottom w:val="0"/>
      <w:divBdr>
        <w:top w:val="none" w:sz="0" w:space="0" w:color="auto"/>
        <w:left w:val="none" w:sz="0" w:space="0" w:color="auto"/>
        <w:bottom w:val="none" w:sz="0" w:space="0" w:color="auto"/>
        <w:right w:val="none" w:sz="0" w:space="0" w:color="auto"/>
      </w:divBdr>
    </w:div>
    <w:div w:id="1563902616">
      <w:bodyDiv w:val="1"/>
      <w:marLeft w:val="0"/>
      <w:marRight w:val="0"/>
      <w:marTop w:val="0"/>
      <w:marBottom w:val="0"/>
      <w:divBdr>
        <w:top w:val="none" w:sz="0" w:space="0" w:color="auto"/>
        <w:left w:val="none" w:sz="0" w:space="0" w:color="auto"/>
        <w:bottom w:val="none" w:sz="0" w:space="0" w:color="auto"/>
        <w:right w:val="none" w:sz="0" w:space="0" w:color="auto"/>
      </w:divBdr>
    </w:div>
    <w:div w:id="1563982046">
      <w:bodyDiv w:val="1"/>
      <w:marLeft w:val="0"/>
      <w:marRight w:val="0"/>
      <w:marTop w:val="0"/>
      <w:marBottom w:val="0"/>
      <w:divBdr>
        <w:top w:val="none" w:sz="0" w:space="0" w:color="auto"/>
        <w:left w:val="none" w:sz="0" w:space="0" w:color="auto"/>
        <w:bottom w:val="none" w:sz="0" w:space="0" w:color="auto"/>
        <w:right w:val="none" w:sz="0" w:space="0" w:color="auto"/>
      </w:divBdr>
    </w:div>
    <w:div w:id="1564022891">
      <w:bodyDiv w:val="1"/>
      <w:marLeft w:val="0"/>
      <w:marRight w:val="0"/>
      <w:marTop w:val="0"/>
      <w:marBottom w:val="0"/>
      <w:divBdr>
        <w:top w:val="none" w:sz="0" w:space="0" w:color="auto"/>
        <w:left w:val="none" w:sz="0" w:space="0" w:color="auto"/>
        <w:bottom w:val="none" w:sz="0" w:space="0" w:color="auto"/>
        <w:right w:val="none" w:sz="0" w:space="0" w:color="auto"/>
      </w:divBdr>
    </w:div>
    <w:div w:id="1564176980">
      <w:bodyDiv w:val="1"/>
      <w:marLeft w:val="0"/>
      <w:marRight w:val="0"/>
      <w:marTop w:val="0"/>
      <w:marBottom w:val="0"/>
      <w:divBdr>
        <w:top w:val="none" w:sz="0" w:space="0" w:color="auto"/>
        <w:left w:val="none" w:sz="0" w:space="0" w:color="auto"/>
        <w:bottom w:val="none" w:sz="0" w:space="0" w:color="auto"/>
        <w:right w:val="none" w:sz="0" w:space="0" w:color="auto"/>
      </w:divBdr>
    </w:div>
    <w:div w:id="1564178240">
      <w:bodyDiv w:val="1"/>
      <w:marLeft w:val="0"/>
      <w:marRight w:val="0"/>
      <w:marTop w:val="0"/>
      <w:marBottom w:val="0"/>
      <w:divBdr>
        <w:top w:val="none" w:sz="0" w:space="0" w:color="auto"/>
        <w:left w:val="none" w:sz="0" w:space="0" w:color="auto"/>
        <w:bottom w:val="none" w:sz="0" w:space="0" w:color="auto"/>
        <w:right w:val="none" w:sz="0" w:space="0" w:color="auto"/>
      </w:divBdr>
    </w:div>
    <w:div w:id="1565023487">
      <w:bodyDiv w:val="1"/>
      <w:marLeft w:val="0"/>
      <w:marRight w:val="0"/>
      <w:marTop w:val="0"/>
      <w:marBottom w:val="0"/>
      <w:divBdr>
        <w:top w:val="none" w:sz="0" w:space="0" w:color="auto"/>
        <w:left w:val="none" w:sz="0" w:space="0" w:color="auto"/>
        <w:bottom w:val="none" w:sz="0" w:space="0" w:color="auto"/>
        <w:right w:val="none" w:sz="0" w:space="0" w:color="auto"/>
      </w:divBdr>
    </w:div>
    <w:div w:id="1565481681">
      <w:bodyDiv w:val="1"/>
      <w:marLeft w:val="0"/>
      <w:marRight w:val="0"/>
      <w:marTop w:val="0"/>
      <w:marBottom w:val="0"/>
      <w:divBdr>
        <w:top w:val="none" w:sz="0" w:space="0" w:color="auto"/>
        <w:left w:val="none" w:sz="0" w:space="0" w:color="auto"/>
        <w:bottom w:val="none" w:sz="0" w:space="0" w:color="auto"/>
        <w:right w:val="none" w:sz="0" w:space="0" w:color="auto"/>
      </w:divBdr>
    </w:div>
    <w:div w:id="1565870968">
      <w:bodyDiv w:val="1"/>
      <w:marLeft w:val="0"/>
      <w:marRight w:val="0"/>
      <w:marTop w:val="0"/>
      <w:marBottom w:val="0"/>
      <w:divBdr>
        <w:top w:val="none" w:sz="0" w:space="0" w:color="auto"/>
        <w:left w:val="none" w:sz="0" w:space="0" w:color="auto"/>
        <w:bottom w:val="none" w:sz="0" w:space="0" w:color="auto"/>
        <w:right w:val="none" w:sz="0" w:space="0" w:color="auto"/>
      </w:divBdr>
    </w:div>
    <w:div w:id="1565872739">
      <w:bodyDiv w:val="1"/>
      <w:marLeft w:val="0"/>
      <w:marRight w:val="0"/>
      <w:marTop w:val="0"/>
      <w:marBottom w:val="0"/>
      <w:divBdr>
        <w:top w:val="none" w:sz="0" w:space="0" w:color="auto"/>
        <w:left w:val="none" w:sz="0" w:space="0" w:color="auto"/>
        <w:bottom w:val="none" w:sz="0" w:space="0" w:color="auto"/>
        <w:right w:val="none" w:sz="0" w:space="0" w:color="auto"/>
      </w:divBdr>
    </w:div>
    <w:div w:id="1565876410">
      <w:bodyDiv w:val="1"/>
      <w:marLeft w:val="0"/>
      <w:marRight w:val="0"/>
      <w:marTop w:val="0"/>
      <w:marBottom w:val="0"/>
      <w:divBdr>
        <w:top w:val="none" w:sz="0" w:space="0" w:color="auto"/>
        <w:left w:val="none" w:sz="0" w:space="0" w:color="auto"/>
        <w:bottom w:val="none" w:sz="0" w:space="0" w:color="auto"/>
        <w:right w:val="none" w:sz="0" w:space="0" w:color="auto"/>
      </w:divBdr>
    </w:div>
    <w:div w:id="1565948962">
      <w:bodyDiv w:val="1"/>
      <w:marLeft w:val="0"/>
      <w:marRight w:val="0"/>
      <w:marTop w:val="0"/>
      <w:marBottom w:val="0"/>
      <w:divBdr>
        <w:top w:val="none" w:sz="0" w:space="0" w:color="auto"/>
        <w:left w:val="none" w:sz="0" w:space="0" w:color="auto"/>
        <w:bottom w:val="none" w:sz="0" w:space="0" w:color="auto"/>
        <w:right w:val="none" w:sz="0" w:space="0" w:color="auto"/>
      </w:divBdr>
    </w:div>
    <w:div w:id="1565990083">
      <w:bodyDiv w:val="1"/>
      <w:marLeft w:val="0"/>
      <w:marRight w:val="0"/>
      <w:marTop w:val="0"/>
      <w:marBottom w:val="0"/>
      <w:divBdr>
        <w:top w:val="none" w:sz="0" w:space="0" w:color="auto"/>
        <w:left w:val="none" w:sz="0" w:space="0" w:color="auto"/>
        <w:bottom w:val="none" w:sz="0" w:space="0" w:color="auto"/>
        <w:right w:val="none" w:sz="0" w:space="0" w:color="auto"/>
      </w:divBdr>
    </w:div>
    <w:div w:id="1566255400">
      <w:bodyDiv w:val="1"/>
      <w:marLeft w:val="0"/>
      <w:marRight w:val="0"/>
      <w:marTop w:val="0"/>
      <w:marBottom w:val="0"/>
      <w:divBdr>
        <w:top w:val="none" w:sz="0" w:space="0" w:color="auto"/>
        <w:left w:val="none" w:sz="0" w:space="0" w:color="auto"/>
        <w:bottom w:val="none" w:sz="0" w:space="0" w:color="auto"/>
        <w:right w:val="none" w:sz="0" w:space="0" w:color="auto"/>
      </w:divBdr>
    </w:div>
    <w:div w:id="1566454574">
      <w:bodyDiv w:val="1"/>
      <w:marLeft w:val="0"/>
      <w:marRight w:val="0"/>
      <w:marTop w:val="0"/>
      <w:marBottom w:val="0"/>
      <w:divBdr>
        <w:top w:val="none" w:sz="0" w:space="0" w:color="auto"/>
        <w:left w:val="none" w:sz="0" w:space="0" w:color="auto"/>
        <w:bottom w:val="none" w:sz="0" w:space="0" w:color="auto"/>
        <w:right w:val="none" w:sz="0" w:space="0" w:color="auto"/>
      </w:divBdr>
    </w:div>
    <w:div w:id="1566650220">
      <w:bodyDiv w:val="1"/>
      <w:marLeft w:val="0"/>
      <w:marRight w:val="0"/>
      <w:marTop w:val="0"/>
      <w:marBottom w:val="0"/>
      <w:divBdr>
        <w:top w:val="none" w:sz="0" w:space="0" w:color="auto"/>
        <w:left w:val="none" w:sz="0" w:space="0" w:color="auto"/>
        <w:bottom w:val="none" w:sz="0" w:space="0" w:color="auto"/>
        <w:right w:val="none" w:sz="0" w:space="0" w:color="auto"/>
      </w:divBdr>
    </w:div>
    <w:div w:id="1567180564">
      <w:bodyDiv w:val="1"/>
      <w:marLeft w:val="0"/>
      <w:marRight w:val="0"/>
      <w:marTop w:val="0"/>
      <w:marBottom w:val="0"/>
      <w:divBdr>
        <w:top w:val="none" w:sz="0" w:space="0" w:color="auto"/>
        <w:left w:val="none" w:sz="0" w:space="0" w:color="auto"/>
        <w:bottom w:val="none" w:sz="0" w:space="0" w:color="auto"/>
        <w:right w:val="none" w:sz="0" w:space="0" w:color="auto"/>
      </w:divBdr>
    </w:div>
    <w:div w:id="1567185647">
      <w:bodyDiv w:val="1"/>
      <w:marLeft w:val="0"/>
      <w:marRight w:val="0"/>
      <w:marTop w:val="0"/>
      <w:marBottom w:val="0"/>
      <w:divBdr>
        <w:top w:val="none" w:sz="0" w:space="0" w:color="auto"/>
        <w:left w:val="none" w:sz="0" w:space="0" w:color="auto"/>
        <w:bottom w:val="none" w:sz="0" w:space="0" w:color="auto"/>
        <w:right w:val="none" w:sz="0" w:space="0" w:color="auto"/>
      </w:divBdr>
    </w:div>
    <w:div w:id="1567228187">
      <w:bodyDiv w:val="1"/>
      <w:marLeft w:val="0"/>
      <w:marRight w:val="0"/>
      <w:marTop w:val="0"/>
      <w:marBottom w:val="0"/>
      <w:divBdr>
        <w:top w:val="none" w:sz="0" w:space="0" w:color="auto"/>
        <w:left w:val="none" w:sz="0" w:space="0" w:color="auto"/>
        <w:bottom w:val="none" w:sz="0" w:space="0" w:color="auto"/>
        <w:right w:val="none" w:sz="0" w:space="0" w:color="auto"/>
      </w:divBdr>
    </w:div>
    <w:div w:id="1567254644">
      <w:bodyDiv w:val="1"/>
      <w:marLeft w:val="0"/>
      <w:marRight w:val="0"/>
      <w:marTop w:val="0"/>
      <w:marBottom w:val="0"/>
      <w:divBdr>
        <w:top w:val="none" w:sz="0" w:space="0" w:color="auto"/>
        <w:left w:val="none" w:sz="0" w:space="0" w:color="auto"/>
        <w:bottom w:val="none" w:sz="0" w:space="0" w:color="auto"/>
        <w:right w:val="none" w:sz="0" w:space="0" w:color="auto"/>
      </w:divBdr>
    </w:div>
    <w:div w:id="1567297069">
      <w:bodyDiv w:val="1"/>
      <w:marLeft w:val="0"/>
      <w:marRight w:val="0"/>
      <w:marTop w:val="0"/>
      <w:marBottom w:val="0"/>
      <w:divBdr>
        <w:top w:val="none" w:sz="0" w:space="0" w:color="auto"/>
        <w:left w:val="none" w:sz="0" w:space="0" w:color="auto"/>
        <w:bottom w:val="none" w:sz="0" w:space="0" w:color="auto"/>
        <w:right w:val="none" w:sz="0" w:space="0" w:color="auto"/>
      </w:divBdr>
    </w:div>
    <w:div w:id="1567643299">
      <w:bodyDiv w:val="1"/>
      <w:marLeft w:val="0"/>
      <w:marRight w:val="0"/>
      <w:marTop w:val="0"/>
      <w:marBottom w:val="0"/>
      <w:divBdr>
        <w:top w:val="none" w:sz="0" w:space="0" w:color="auto"/>
        <w:left w:val="none" w:sz="0" w:space="0" w:color="auto"/>
        <w:bottom w:val="none" w:sz="0" w:space="0" w:color="auto"/>
        <w:right w:val="none" w:sz="0" w:space="0" w:color="auto"/>
      </w:divBdr>
    </w:div>
    <w:div w:id="1568153930">
      <w:bodyDiv w:val="1"/>
      <w:marLeft w:val="0"/>
      <w:marRight w:val="0"/>
      <w:marTop w:val="0"/>
      <w:marBottom w:val="0"/>
      <w:divBdr>
        <w:top w:val="none" w:sz="0" w:space="0" w:color="auto"/>
        <w:left w:val="none" w:sz="0" w:space="0" w:color="auto"/>
        <w:bottom w:val="none" w:sz="0" w:space="0" w:color="auto"/>
        <w:right w:val="none" w:sz="0" w:space="0" w:color="auto"/>
      </w:divBdr>
    </w:div>
    <w:div w:id="1568345041">
      <w:bodyDiv w:val="1"/>
      <w:marLeft w:val="0"/>
      <w:marRight w:val="0"/>
      <w:marTop w:val="0"/>
      <w:marBottom w:val="0"/>
      <w:divBdr>
        <w:top w:val="none" w:sz="0" w:space="0" w:color="auto"/>
        <w:left w:val="none" w:sz="0" w:space="0" w:color="auto"/>
        <w:bottom w:val="none" w:sz="0" w:space="0" w:color="auto"/>
        <w:right w:val="none" w:sz="0" w:space="0" w:color="auto"/>
      </w:divBdr>
    </w:div>
    <w:div w:id="1568565394">
      <w:bodyDiv w:val="1"/>
      <w:marLeft w:val="0"/>
      <w:marRight w:val="0"/>
      <w:marTop w:val="0"/>
      <w:marBottom w:val="0"/>
      <w:divBdr>
        <w:top w:val="none" w:sz="0" w:space="0" w:color="auto"/>
        <w:left w:val="none" w:sz="0" w:space="0" w:color="auto"/>
        <w:bottom w:val="none" w:sz="0" w:space="0" w:color="auto"/>
        <w:right w:val="none" w:sz="0" w:space="0" w:color="auto"/>
      </w:divBdr>
    </w:div>
    <w:div w:id="1568569843">
      <w:bodyDiv w:val="1"/>
      <w:marLeft w:val="0"/>
      <w:marRight w:val="0"/>
      <w:marTop w:val="0"/>
      <w:marBottom w:val="0"/>
      <w:divBdr>
        <w:top w:val="none" w:sz="0" w:space="0" w:color="auto"/>
        <w:left w:val="none" w:sz="0" w:space="0" w:color="auto"/>
        <w:bottom w:val="none" w:sz="0" w:space="0" w:color="auto"/>
        <w:right w:val="none" w:sz="0" w:space="0" w:color="auto"/>
      </w:divBdr>
    </w:div>
    <w:div w:id="1568757689">
      <w:bodyDiv w:val="1"/>
      <w:marLeft w:val="0"/>
      <w:marRight w:val="0"/>
      <w:marTop w:val="0"/>
      <w:marBottom w:val="0"/>
      <w:divBdr>
        <w:top w:val="none" w:sz="0" w:space="0" w:color="auto"/>
        <w:left w:val="none" w:sz="0" w:space="0" w:color="auto"/>
        <w:bottom w:val="none" w:sz="0" w:space="0" w:color="auto"/>
        <w:right w:val="none" w:sz="0" w:space="0" w:color="auto"/>
      </w:divBdr>
    </w:div>
    <w:div w:id="1568958926">
      <w:bodyDiv w:val="1"/>
      <w:marLeft w:val="0"/>
      <w:marRight w:val="0"/>
      <w:marTop w:val="0"/>
      <w:marBottom w:val="0"/>
      <w:divBdr>
        <w:top w:val="none" w:sz="0" w:space="0" w:color="auto"/>
        <w:left w:val="none" w:sz="0" w:space="0" w:color="auto"/>
        <w:bottom w:val="none" w:sz="0" w:space="0" w:color="auto"/>
        <w:right w:val="none" w:sz="0" w:space="0" w:color="auto"/>
      </w:divBdr>
    </w:div>
    <w:div w:id="1569265687">
      <w:bodyDiv w:val="1"/>
      <w:marLeft w:val="0"/>
      <w:marRight w:val="0"/>
      <w:marTop w:val="0"/>
      <w:marBottom w:val="0"/>
      <w:divBdr>
        <w:top w:val="none" w:sz="0" w:space="0" w:color="auto"/>
        <w:left w:val="none" w:sz="0" w:space="0" w:color="auto"/>
        <w:bottom w:val="none" w:sz="0" w:space="0" w:color="auto"/>
        <w:right w:val="none" w:sz="0" w:space="0" w:color="auto"/>
      </w:divBdr>
    </w:div>
    <w:div w:id="1569532835">
      <w:bodyDiv w:val="1"/>
      <w:marLeft w:val="0"/>
      <w:marRight w:val="0"/>
      <w:marTop w:val="0"/>
      <w:marBottom w:val="0"/>
      <w:divBdr>
        <w:top w:val="none" w:sz="0" w:space="0" w:color="auto"/>
        <w:left w:val="none" w:sz="0" w:space="0" w:color="auto"/>
        <w:bottom w:val="none" w:sz="0" w:space="0" w:color="auto"/>
        <w:right w:val="none" w:sz="0" w:space="0" w:color="auto"/>
      </w:divBdr>
    </w:div>
    <w:div w:id="1569537755">
      <w:bodyDiv w:val="1"/>
      <w:marLeft w:val="0"/>
      <w:marRight w:val="0"/>
      <w:marTop w:val="0"/>
      <w:marBottom w:val="0"/>
      <w:divBdr>
        <w:top w:val="none" w:sz="0" w:space="0" w:color="auto"/>
        <w:left w:val="none" w:sz="0" w:space="0" w:color="auto"/>
        <w:bottom w:val="none" w:sz="0" w:space="0" w:color="auto"/>
        <w:right w:val="none" w:sz="0" w:space="0" w:color="auto"/>
      </w:divBdr>
    </w:div>
    <w:div w:id="1569849664">
      <w:bodyDiv w:val="1"/>
      <w:marLeft w:val="0"/>
      <w:marRight w:val="0"/>
      <w:marTop w:val="0"/>
      <w:marBottom w:val="0"/>
      <w:divBdr>
        <w:top w:val="none" w:sz="0" w:space="0" w:color="auto"/>
        <w:left w:val="none" w:sz="0" w:space="0" w:color="auto"/>
        <w:bottom w:val="none" w:sz="0" w:space="0" w:color="auto"/>
        <w:right w:val="none" w:sz="0" w:space="0" w:color="auto"/>
      </w:divBdr>
    </w:div>
    <w:div w:id="1569919914">
      <w:bodyDiv w:val="1"/>
      <w:marLeft w:val="0"/>
      <w:marRight w:val="0"/>
      <w:marTop w:val="0"/>
      <w:marBottom w:val="0"/>
      <w:divBdr>
        <w:top w:val="none" w:sz="0" w:space="0" w:color="auto"/>
        <w:left w:val="none" w:sz="0" w:space="0" w:color="auto"/>
        <w:bottom w:val="none" w:sz="0" w:space="0" w:color="auto"/>
        <w:right w:val="none" w:sz="0" w:space="0" w:color="auto"/>
      </w:divBdr>
    </w:div>
    <w:div w:id="1570068788">
      <w:bodyDiv w:val="1"/>
      <w:marLeft w:val="0"/>
      <w:marRight w:val="0"/>
      <w:marTop w:val="0"/>
      <w:marBottom w:val="0"/>
      <w:divBdr>
        <w:top w:val="none" w:sz="0" w:space="0" w:color="auto"/>
        <w:left w:val="none" w:sz="0" w:space="0" w:color="auto"/>
        <w:bottom w:val="none" w:sz="0" w:space="0" w:color="auto"/>
        <w:right w:val="none" w:sz="0" w:space="0" w:color="auto"/>
      </w:divBdr>
    </w:div>
    <w:div w:id="1570185910">
      <w:bodyDiv w:val="1"/>
      <w:marLeft w:val="0"/>
      <w:marRight w:val="0"/>
      <w:marTop w:val="0"/>
      <w:marBottom w:val="0"/>
      <w:divBdr>
        <w:top w:val="none" w:sz="0" w:space="0" w:color="auto"/>
        <w:left w:val="none" w:sz="0" w:space="0" w:color="auto"/>
        <w:bottom w:val="none" w:sz="0" w:space="0" w:color="auto"/>
        <w:right w:val="none" w:sz="0" w:space="0" w:color="auto"/>
      </w:divBdr>
    </w:div>
    <w:div w:id="1570505227">
      <w:bodyDiv w:val="1"/>
      <w:marLeft w:val="0"/>
      <w:marRight w:val="0"/>
      <w:marTop w:val="0"/>
      <w:marBottom w:val="0"/>
      <w:divBdr>
        <w:top w:val="none" w:sz="0" w:space="0" w:color="auto"/>
        <w:left w:val="none" w:sz="0" w:space="0" w:color="auto"/>
        <w:bottom w:val="none" w:sz="0" w:space="0" w:color="auto"/>
        <w:right w:val="none" w:sz="0" w:space="0" w:color="auto"/>
      </w:divBdr>
    </w:div>
    <w:div w:id="1570505310">
      <w:bodyDiv w:val="1"/>
      <w:marLeft w:val="0"/>
      <w:marRight w:val="0"/>
      <w:marTop w:val="0"/>
      <w:marBottom w:val="0"/>
      <w:divBdr>
        <w:top w:val="none" w:sz="0" w:space="0" w:color="auto"/>
        <w:left w:val="none" w:sz="0" w:space="0" w:color="auto"/>
        <w:bottom w:val="none" w:sz="0" w:space="0" w:color="auto"/>
        <w:right w:val="none" w:sz="0" w:space="0" w:color="auto"/>
      </w:divBdr>
    </w:div>
    <w:div w:id="1570771104">
      <w:bodyDiv w:val="1"/>
      <w:marLeft w:val="0"/>
      <w:marRight w:val="0"/>
      <w:marTop w:val="0"/>
      <w:marBottom w:val="0"/>
      <w:divBdr>
        <w:top w:val="none" w:sz="0" w:space="0" w:color="auto"/>
        <w:left w:val="none" w:sz="0" w:space="0" w:color="auto"/>
        <w:bottom w:val="none" w:sz="0" w:space="0" w:color="auto"/>
        <w:right w:val="none" w:sz="0" w:space="0" w:color="auto"/>
      </w:divBdr>
    </w:div>
    <w:div w:id="1570845164">
      <w:bodyDiv w:val="1"/>
      <w:marLeft w:val="0"/>
      <w:marRight w:val="0"/>
      <w:marTop w:val="0"/>
      <w:marBottom w:val="0"/>
      <w:divBdr>
        <w:top w:val="none" w:sz="0" w:space="0" w:color="auto"/>
        <w:left w:val="none" w:sz="0" w:space="0" w:color="auto"/>
        <w:bottom w:val="none" w:sz="0" w:space="0" w:color="auto"/>
        <w:right w:val="none" w:sz="0" w:space="0" w:color="auto"/>
      </w:divBdr>
    </w:div>
    <w:div w:id="1571422955">
      <w:bodyDiv w:val="1"/>
      <w:marLeft w:val="0"/>
      <w:marRight w:val="0"/>
      <w:marTop w:val="0"/>
      <w:marBottom w:val="0"/>
      <w:divBdr>
        <w:top w:val="none" w:sz="0" w:space="0" w:color="auto"/>
        <w:left w:val="none" w:sz="0" w:space="0" w:color="auto"/>
        <w:bottom w:val="none" w:sz="0" w:space="0" w:color="auto"/>
        <w:right w:val="none" w:sz="0" w:space="0" w:color="auto"/>
      </w:divBdr>
    </w:div>
    <w:div w:id="1571504185">
      <w:bodyDiv w:val="1"/>
      <w:marLeft w:val="0"/>
      <w:marRight w:val="0"/>
      <w:marTop w:val="0"/>
      <w:marBottom w:val="0"/>
      <w:divBdr>
        <w:top w:val="none" w:sz="0" w:space="0" w:color="auto"/>
        <w:left w:val="none" w:sz="0" w:space="0" w:color="auto"/>
        <w:bottom w:val="none" w:sz="0" w:space="0" w:color="auto"/>
        <w:right w:val="none" w:sz="0" w:space="0" w:color="auto"/>
      </w:divBdr>
    </w:div>
    <w:div w:id="1571773462">
      <w:bodyDiv w:val="1"/>
      <w:marLeft w:val="0"/>
      <w:marRight w:val="0"/>
      <w:marTop w:val="0"/>
      <w:marBottom w:val="0"/>
      <w:divBdr>
        <w:top w:val="none" w:sz="0" w:space="0" w:color="auto"/>
        <w:left w:val="none" w:sz="0" w:space="0" w:color="auto"/>
        <w:bottom w:val="none" w:sz="0" w:space="0" w:color="auto"/>
        <w:right w:val="none" w:sz="0" w:space="0" w:color="auto"/>
      </w:divBdr>
    </w:div>
    <w:div w:id="1571845354">
      <w:bodyDiv w:val="1"/>
      <w:marLeft w:val="0"/>
      <w:marRight w:val="0"/>
      <w:marTop w:val="0"/>
      <w:marBottom w:val="0"/>
      <w:divBdr>
        <w:top w:val="none" w:sz="0" w:space="0" w:color="auto"/>
        <w:left w:val="none" w:sz="0" w:space="0" w:color="auto"/>
        <w:bottom w:val="none" w:sz="0" w:space="0" w:color="auto"/>
        <w:right w:val="none" w:sz="0" w:space="0" w:color="auto"/>
      </w:divBdr>
    </w:div>
    <w:div w:id="1571959199">
      <w:bodyDiv w:val="1"/>
      <w:marLeft w:val="0"/>
      <w:marRight w:val="0"/>
      <w:marTop w:val="0"/>
      <w:marBottom w:val="0"/>
      <w:divBdr>
        <w:top w:val="none" w:sz="0" w:space="0" w:color="auto"/>
        <w:left w:val="none" w:sz="0" w:space="0" w:color="auto"/>
        <w:bottom w:val="none" w:sz="0" w:space="0" w:color="auto"/>
        <w:right w:val="none" w:sz="0" w:space="0" w:color="auto"/>
      </w:divBdr>
    </w:div>
    <w:div w:id="1572109927">
      <w:bodyDiv w:val="1"/>
      <w:marLeft w:val="0"/>
      <w:marRight w:val="0"/>
      <w:marTop w:val="0"/>
      <w:marBottom w:val="0"/>
      <w:divBdr>
        <w:top w:val="none" w:sz="0" w:space="0" w:color="auto"/>
        <w:left w:val="none" w:sz="0" w:space="0" w:color="auto"/>
        <w:bottom w:val="none" w:sz="0" w:space="0" w:color="auto"/>
        <w:right w:val="none" w:sz="0" w:space="0" w:color="auto"/>
      </w:divBdr>
    </w:div>
    <w:div w:id="1572160460">
      <w:bodyDiv w:val="1"/>
      <w:marLeft w:val="0"/>
      <w:marRight w:val="0"/>
      <w:marTop w:val="0"/>
      <w:marBottom w:val="0"/>
      <w:divBdr>
        <w:top w:val="none" w:sz="0" w:space="0" w:color="auto"/>
        <w:left w:val="none" w:sz="0" w:space="0" w:color="auto"/>
        <w:bottom w:val="none" w:sz="0" w:space="0" w:color="auto"/>
        <w:right w:val="none" w:sz="0" w:space="0" w:color="auto"/>
      </w:divBdr>
    </w:div>
    <w:div w:id="1572496484">
      <w:bodyDiv w:val="1"/>
      <w:marLeft w:val="0"/>
      <w:marRight w:val="0"/>
      <w:marTop w:val="0"/>
      <w:marBottom w:val="0"/>
      <w:divBdr>
        <w:top w:val="none" w:sz="0" w:space="0" w:color="auto"/>
        <w:left w:val="none" w:sz="0" w:space="0" w:color="auto"/>
        <w:bottom w:val="none" w:sz="0" w:space="0" w:color="auto"/>
        <w:right w:val="none" w:sz="0" w:space="0" w:color="auto"/>
      </w:divBdr>
    </w:div>
    <w:div w:id="1572618236">
      <w:bodyDiv w:val="1"/>
      <w:marLeft w:val="0"/>
      <w:marRight w:val="0"/>
      <w:marTop w:val="0"/>
      <w:marBottom w:val="0"/>
      <w:divBdr>
        <w:top w:val="none" w:sz="0" w:space="0" w:color="auto"/>
        <w:left w:val="none" w:sz="0" w:space="0" w:color="auto"/>
        <w:bottom w:val="none" w:sz="0" w:space="0" w:color="auto"/>
        <w:right w:val="none" w:sz="0" w:space="0" w:color="auto"/>
      </w:divBdr>
    </w:div>
    <w:div w:id="1572811834">
      <w:bodyDiv w:val="1"/>
      <w:marLeft w:val="0"/>
      <w:marRight w:val="0"/>
      <w:marTop w:val="0"/>
      <w:marBottom w:val="0"/>
      <w:divBdr>
        <w:top w:val="none" w:sz="0" w:space="0" w:color="auto"/>
        <w:left w:val="none" w:sz="0" w:space="0" w:color="auto"/>
        <w:bottom w:val="none" w:sz="0" w:space="0" w:color="auto"/>
        <w:right w:val="none" w:sz="0" w:space="0" w:color="auto"/>
      </w:divBdr>
    </w:div>
    <w:div w:id="1572816267">
      <w:bodyDiv w:val="1"/>
      <w:marLeft w:val="0"/>
      <w:marRight w:val="0"/>
      <w:marTop w:val="0"/>
      <w:marBottom w:val="0"/>
      <w:divBdr>
        <w:top w:val="none" w:sz="0" w:space="0" w:color="auto"/>
        <w:left w:val="none" w:sz="0" w:space="0" w:color="auto"/>
        <w:bottom w:val="none" w:sz="0" w:space="0" w:color="auto"/>
        <w:right w:val="none" w:sz="0" w:space="0" w:color="auto"/>
      </w:divBdr>
    </w:div>
    <w:div w:id="1573080137">
      <w:bodyDiv w:val="1"/>
      <w:marLeft w:val="0"/>
      <w:marRight w:val="0"/>
      <w:marTop w:val="0"/>
      <w:marBottom w:val="0"/>
      <w:divBdr>
        <w:top w:val="none" w:sz="0" w:space="0" w:color="auto"/>
        <w:left w:val="none" w:sz="0" w:space="0" w:color="auto"/>
        <w:bottom w:val="none" w:sz="0" w:space="0" w:color="auto"/>
        <w:right w:val="none" w:sz="0" w:space="0" w:color="auto"/>
      </w:divBdr>
    </w:div>
    <w:div w:id="1573083012">
      <w:bodyDiv w:val="1"/>
      <w:marLeft w:val="0"/>
      <w:marRight w:val="0"/>
      <w:marTop w:val="0"/>
      <w:marBottom w:val="0"/>
      <w:divBdr>
        <w:top w:val="none" w:sz="0" w:space="0" w:color="auto"/>
        <w:left w:val="none" w:sz="0" w:space="0" w:color="auto"/>
        <w:bottom w:val="none" w:sz="0" w:space="0" w:color="auto"/>
        <w:right w:val="none" w:sz="0" w:space="0" w:color="auto"/>
      </w:divBdr>
    </w:div>
    <w:div w:id="1573151345">
      <w:bodyDiv w:val="1"/>
      <w:marLeft w:val="0"/>
      <w:marRight w:val="0"/>
      <w:marTop w:val="0"/>
      <w:marBottom w:val="0"/>
      <w:divBdr>
        <w:top w:val="none" w:sz="0" w:space="0" w:color="auto"/>
        <w:left w:val="none" w:sz="0" w:space="0" w:color="auto"/>
        <w:bottom w:val="none" w:sz="0" w:space="0" w:color="auto"/>
        <w:right w:val="none" w:sz="0" w:space="0" w:color="auto"/>
      </w:divBdr>
    </w:div>
    <w:div w:id="1573420955">
      <w:bodyDiv w:val="1"/>
      <w:marLeft w:val="0"/>
      <w:marRight w:val="0"/>
      <w:marTop w:val="0"/>
      <w:marBottom w:val="0"/>
      <w:divBdr>
        <w:top w:val="none" w:sz="0" w:space="0" w:color="auto"/>
        <w:left w:val="none" w:sz="0" w:space="0" w:color="auto"/>
        <w:bottom w:val="none" w:sz="0" w:space="0" w:color="auto"/>
        <w:right w:val="none" w:sz="0" w:space="0" w:color="auto"/>
      </w:divBdr>
    </w:div>
    <w:div w:id="1573736919">
      <w:bodyDiv w:val="1"/>
      <w:marLeft w:val="0"/>
      <w:marRight w:val="0"/>
      <w:marTop w:val="0"/>
      <w:marBottom w:val="0"/>
      <w:divBdr>
        <w:top w:val="none" w:sz="0" w:space="0" w:color="auto"/>
        <w:left w:val="none" w:sz="0" w:space="0" w:color="auto"/>
        <w:bottom w:val="none" w:sz="0" w:space="0" w:color="auto"/>
        <w:right w:val="none" w:sz="0" w:space="0" w:color="auto"/>
      </w:divBdr>
    </w:div>
    <w:div w:id="1573850372">
      <w:bodyDiv w:val="1"/>
      <w:marLeft w:val="0"/>
      <w:marRight w:val="0"/>
      <w:marTop w:val="0"/>
      <w:marBottom w:val="0"/>
      <w:divBdr>
        <w:top w:val="none" w:sz="0" w:space="0" w:color="auto"/>
        <w:left w:val="none" w:sz="0" w:space="0" w:color="auto"/>
        <w:bottom w:val="none" w:sz="0" w:space="0" w:color="auto"/>
        <w:right w:val="none" w:sz="0" w:space="0" w:color="auto"/>
      </w:divBdr>
    </w:div>
    <w:div w:id="1573856511">
      <w:bodyDiv w:val="1"/>
      <w:marLeft w:val="0"/>
      <w:marRight w:val="0"/>
      <w:marTop w:val="0"/>
      <w:marBottom w:val="0"/>
      <w:divBdr>
        <w:top w:val="none" w:sz="0" w:space="0" w:color="auto"/>
        <w:left w:val="none" w:sz="0" w:space="0" w:color="auto"/>
        <w:bottom w:val="none" w:sz="0" w:space="0" w:color="auto"/>
        <w:right w:val="none" w:sz="0" w:space="0" w:color="auto"/>
      </w:divBdr>
    </w:div>
    <w:div w:id="1574119876">
      <w:bodyDiv w:val="1"/>
      <w:marLeft w:val="0"/>
      <w:marRight w:val="0"/>
      <w:marTop w:val="0"/>
      <w:marBottom w:val="0"/>
      <w:divBdr>
        <w:top w:val="none" w:sz="0" w:space="0" w:color="auto"/>
        <w:left w:val="none" w:sz="0" w:space="0" w:color="auto"/>
        <w:bottom w:val="none" w:sz="0" w:space="0" w:color="auto"/>
        <w:right w:val="none" w:sz="0" w:space="0" w:color="auto"/>
      </w:divBdr>
    </w:div>
    <w:div w:id="1574241867">
      <w:bodyDiv w:val="1"/>
      <w:marLeft w:val="0"/>
      <w:marRight w:val="0"/>
      <w:marTop w:val="0"/>
      <w:marBottom w:val="0"/>
      <w:divBdr>
        <w:top w:val="none" w:sz="0" w:space="0" w:color="auto"/>
        <w:left w:val="none" w:sz="0" w:space="0" w:color="auto"/>
        <w:bottom w:val="none" w:sz="0" w:space="0" w:color="auto"/>
        <w:right w:val="none" w:sz="0" w:space="0" w:color="auto"/>
      </w:divBdr>
    </w:div>
    <w:div w:id="1574391216">
      <w:bodyDiv w:val="1"/>
      <w:marLeft w:val="0"/>
      <w:marRight w:val="0"/>
      <w:marTop w:val="0"/>
      <w:marBottom w:val="0"/>
      <w:divBdr>
        <w:top w:val="none" w:sz="0" w:space="0" w:color="auto"/>
        <w:left w:val="none" w:sz="0" w:space="0" w:color="auto"/>
        <w:bottom w:val="none" w:sz="0" w:space="0" w:color="auto"/>
        <w:right w:val="none" w:sz="0" w:space="0" w:color="auto"/>
      </w:divBdr>
    </w:div>
    <w:div w:id="1574706360">
      <w:bodyDiv w:val="1"/>
      <w:marLeft w:val="0"/>
      <w:marRight w:val="0"/>
      <w:marTop w:val="0"/>
      <w:marBottom w:val="0"/>
      <w:divBdr>
        <w:top w:val="none" w:sz="0" w:space="0" w:color="auto"/>
        <w:left w:val="none" w:sz="0" w:space="0" w:color="auto"/>
        <w:bottom w:val="none" w:sz="0" w:space="0" w:color="auto"/>
        <w:right w:val="none" w:sz="0" w:space="0" w:color="auto"/>
      </w:divBdr>
    </w:div>
    <w:div w:id="1575432775">
      <w:bodyDiv w:val="1"/>
      <w:marLeft w:val="0"/>
      <w:marRight w:val="0"/>
      <w:marTop w:val="0"/>
      <w:marBottom w:val="0"/>
      <w:divBdr>
        <w:top w:val="none" w:sz="0" w:space="0" w:color="auto"/>
        <w:left w:val="none" w:sz="0" w:space="0" w:color="auto"/>
        <w:bottom w:val="none" w:sz="0" w:space="0" w:color="auto"/>
        <w:right w:val="none" w:sz="0" w:space="0" w:color="auto"/>
      </w:divBdr>
    </w:div>
    <w:div w:id="1575555272">
      <w:bodyDiv w:val="1"/>
      <w:marLeft w:val="0"/>
      <w:marRight w:val="0"/>
      <w:marTop w:val="0"/>
      <w:marBottom w:val="0"/>
      <w:divBdr>
        <w:top w:val="none" w:sz="0" w:space="0" w:color="auto"/>
        <w:left w:val="none" w:sz="0" w:space="0" w:color="auto"/>
        <w:bottom w:val="none" w:sz="0" w:space="0" w:color="auto"/>
        <w:right w:val="none" w:sz="0" w:space="0" w:color="auto"/>
      </w:divBdr>
    </w:div>
    <w:div w:id="1575580903">
      <w:bodyDiv w:val="1"/>
      <w:marLeft w:val="0"/>
      <w:marRight w:val="0"/>
      <w:marTop w:val="0"/>
      <w:marBottom w:val="0"/>
      <w:divBdr>
        <w:top w:val="none" w:sz="0" w:space="0" w:color="auto"/>
        <w:left w:val="none" w:sz="0" w:space="0" w:color="auto"/>
        <w:bottom w:val="none" w:sz="0" w:space="0" w:color="auto"/>
        <w:right w:val="none" w:sz="0" w:space="0" w:color="auto"/>
      </w:divBdr>
    </w:div>
    <w:div w:id="1575696593">
      <w:bodyDiv w:val="1"/>
      <w:marLeft w:val="0"/>
      <w:marRight w:val="0"/>
      <w:marTop w:val="0"/>
      <w:marBottom w:val="0"/>
      <w:divBdr>
        <w:top w:val="none" w:sz="0" w:space="0" w:color="auto"/>
        <w:left w:val="none" w:sz="0" w:space="0" w:color="auto"/>
        <w:bottom w:val="none" w:sz="0" w:space="0" w:color="auto"/>
        <w:right w:val="none" w:sz="0" w:space="0" w:color="auto"/>
      </w:divBdr>
    </w:div>
    <w:div w:id="1575966939">
      <w:bodyDiv w:val="1"/>
      <w:marLeft w:val="0"/>
      <w:marRight w:val="0"/>
      <w:marTop w:val="0"/>
      <w:marBottom w:val="0"/>
      <w:divBdr>
        <w:top w:val="none" w:sz="0" w:space="0" w:color="auto"/>
        <w:left w:val="none" w:sz="0" w:space="0" w:color="auto"/>
        <w:bottom w:val="none" w:sz="0" w:space="0" w:color="auto"/>
        <w:right w:val="none" w:sz="0" w:space="0" w:color="auto"/>
      </w:divBdr>
    </w:div>
    <w:div w:id="1576011172">
      <w:bodyDiv w:val="1"/>
      <w:marLeft w:val="0"/>
      <w:marRight w:val="0"/>
      <w:marTop w:val="0"/>
      <w:marBottom w:val="0"/>
      <w:divBdr>
        <w:top w:val="none" w:sz="0" w:space="0" w:color="auto"/>
        <w:left w:val="none" w:sz="0" w:space="0" w:color="auto"/>
        <w:bottom w:val="none" w:sz="0" w:space="0" w:color="auto"/>
        <w:right w:val="none" w:sz="0" w:space="0" w:color="auto"/>
      </w:divBdr>
    </w:div>
    <w:div w:id="1576014796">
      <w:bodyDiv w:val="1"/>
      <w:marLeft w:val="0"/>
      <w:marRight w:val="0"/>
      <w:marTop w:val="0"/>
      <w:marBottom w:val="0"/>
      <w:divBdr>
        <w:top w:val="none" w:sz="0" w:space="0" w:color="auto"/>
        <w:left w:val="none" w:sz="0" w:space="0" w:color="auto"/>
        <w:bottom w:val="none" w:sz="0" w:space="0" w:color="auto"/>
        <w:right w:val="none" w:sz="0" w:space="0" w:color="auto"/>
      </w:divBdr>
    </w:div>
    <w:div w:id="1576739481">
      <w:bodyDiv w:val="1"/>
      <w:marLeft w:val="0"/>
      <w:marRight w:val="0"/>
      <w:marTop w:val="0"/>
      <w:marBottom w:val="0"/>
      <w:divBdr>
        <w:top w:val="none" w:sz="0" w:space="0" w:color="auto"/>
        <w:left w:val="none" w:sz="0" w:space="0" w:color="auto"/>
        <w:bottom w:val="none" w:sz="0" w:space="0" w:color="auto"/>
        <w:right w:val="none" w:sz="0" w:space="0" w:color="auto"/>
      </w:divBdr>
    </w:div>
    <w:div w:id="1576741304">
      <w:bodyDiv w:val="1"/>
      <w:marLeft w:val="0"/>
      <w:marRight w:val="0"/>
      <w:marTop w:val="0"/>
      <w:marBottom w:val="0"/>
      <w:divBdr>
        <w:top w:val="none" w:sz="0" w:space="0" w:color="auto"/>
        <w:left w:val="none" w:sz="0" w:space="0" w:color="auto"/>
        <w:bottom w:val="none" w:sz="0" w:space="0" w:color="auto"/>
        <w:right w:val="none" w:sz="0" w:space="0" w:color="auto"/>
      </w:divBdr>
    </w:div>
    <w:div w:id="1576746170">
      <w:bodyDiv w:val="1"/>
      <w:marLeft w:val="0"/>
      <w:marRight w:val="0"/>
      <w:marTop w:val="0"/>
      <w:marBottom w:val="0"/>
      <w:divBdr>
        <w:top w:val="none" w:sz="0" w:space="0" w:color="auto"/>
        <w:left w:val="none" w:sz="0" w:space="0" w:color="auto"/>
        <w:bottom w:val="none" w:sz="0" w:space="0" w:color="auto"/>
        <w:right w:val="none" w:sz="0" w:space="0" w:color="auto"/>
      </w:divBdr>
    </w:div>
    <w:div w:id="1577009853">
      <w:bodyDiv w:val="1"/>
      <w:marLeft w:val="0"/>
      <w:marRight w:val="0"/>
      <w:marTop w:val="0"/>
      <w:marBottom w:val="0"/>
      <w:divBdr>
        <w:top w:val="none" w:sz="0" w:space="0" w:color="auto"/>
        <w:left w:val="none" w:sz="0" w:space="0" w:color="auto"/>
        <w:bottom w:val="none" w:sz="0" w:space="0" w:color="auto"/>
        <w:right w:val="none" w:sz="0" w:space="0" w:color="auto"/>
      </w:divBdr>
    </w:div>
    <w:div w:id="1577325774">
      <w:bodyDiv w:val="1"/>
      <w:marLeft w:val="0"/>
      <w:marRight w:val="0"/>
      <w:marTop w:val="0"/>
      <w:marBottom w:val="0"/>
      <w:divBdr>
        <w:top w:val="none" w:sz="0" w:space="0" w:color="auto"/>
        <w:left w:val="none" w:sz="0" w:space="0" w:color="auto"/>
        <w:bottom w:val="none" w:sz="0" w:space="0" w:color="auto"/>
        <w:right w:val="none" w:sz="0" w:space="0" w:color="auto"/>
      </w:divBdr>
    </w:div>
    <w:div w:id="1577546248">
      <w:bodyDiv w:val="1"/>
      <w:marLeft w:val="0"/>
      <w:marRight w:val="0"/>
      <w:marTop w:val="0"/>
      <w:marBottom w:val="0"/>
      <w:divBdr>
        <w:top w:val="none" w:sz="0" w:space="0" w:color="auto"/>
        <w:left w:val="none" w:sz="0" w:space="0" w:color="auto"/>
        <w:bottom w:val="none" w:sz="0" w:space="0" w:color="auto"/>
        <w:right w:val="none" w:sz="0" w:space="0" w:color="auto"/>
      </w:divBdr>
    </w:div>
    <w:div w:id="1577590946">
      <w:bodyDiv w:val="1"/>
      <w:marLeft w:val="0"/>
      <w:marRight w:val="0"/>
      <w:marTop w:val="0"/>
      <w:marBottom w:val="0"/>
      <w:divBdr>
        <w:top w:val="none" w:sz="0" w:space="0" w:color="auto"/>
        <w:left w:val="none" w:sz="0" w:space="0" w:color="auto"/>
        <w:bottom w:val="none" w:sz="0" w:space="0" w:color="auto"/>
        <w:right w:val="none" w:sz="0" w:space="0" w:color="auto"/>
      </w:divBdr>
    </w:div>
    <w:div w:id="1577739791">
      <w:bodyDiv w:val="1"/>
      <w:marLeft w:val="0"/>
      <w:marRight w:val="0"/>
      <w:marTop w:val="0"/>
      <w:marBottom w:val="0"/>
      <w:divBdr>
        <w:top w:val="none" w:sz="0" w:space="0" w:color="auto"/>
        <w:left w:val="none" w:sz="0" w:space="0" w:color="auto"/>
        <w:bottom w:val="none" w:sz="0" w:space="0" w:color="auto"/>
        <w:right w:val="none" w:sz="0" w:space="0" w:color="auto"/>
      </w:divBdr>
    </w:div>
    <w:div w:id="1577858335">
      <w:bodyDiv w:val="1"/>
      <w:marLeft w:val="0"/>
      <w:marRight w:val="0"/>
      <w:marTop w:val="0"/>
      <w:marBottom w:val="0"/>
      <w:divBdr>
        <w:top w:val="none" w:sz="0" w:space="0" w:color="auto"/>
        <w:left w:val="none" w:sz="0" w:space="0" w:color="auto"/>
        <w:bottom w:val="none" w:sz="0" w:space="0" w:color="auto"/>
        <w:right w:val="none" w:sz="0" w:space="0" w:color="auto"/>
      </w:divBdr>
    </w:div>
    <w:div w:id="1577862200">
      <w:bodyDiv w:val="1"/>
      <w:marLeft w:val="0"/>
      <w:marRight w:val="0"/>
      <w:marTop w:val="0"/>
      <w:marBottom w:val="0"/>
      <w:divBdr>
        <w:top w:val="none" w:sz="0" w:space="0" w:color="auto"/>
        <w:left w:val="none" w:sz="0" w:space="0" w:color="auto"/>
        <w:bottom w:val="none" w:sz="0" w:space="0" w:color="auto"/>
        <w:right w:val="none" w:sz="0" w:space="0" w:color="auto"/>
      </w:divBdr>
    </w:div>
    <w:div w:id="1577862568">
      <w:bodyDiv w:val="1"/>
      <w:marLeft w:val="0"/>
      <w:marRight w:val="0"/>
      <w:marTop w:val="0"/>
      <w:marBottom w:val="0"/>
      <w:divBdr>
        <w:top w:val="none" w:sz="0" w:space="0" w:color="auto"/>
        <w:left w:val="none" w:sz="0" w:space="0" w:color="auto"/>
        <w:bottom w:val="none" w:sz="0" w:space="0" w:color="auto"/>
        <w:right w:val="none" w:sz="0" w:space="0" w:color="auto"/>
      </w:divBdr>
    </w:div>
    <w:div w:id="1578050680">
      <w:bodyDiv w:val="1"/>
      <w:marLeft w:val="0"/>
      <w:marRight w:val="0"/>
      <w:marTop w:val="0"/>
      <w:marBottom w:val="0"/>
      <w:divBdr>
        <w:top w:val="none" w:sz="0" w:space="0" w:color="auto"/>
        <w:left w:val="none" w:sz="0" w:space="0" w:color="auto"/>
        <w:bottom w:val="none" w:sz="0" w:space="0" w:color="auto"/>
        <w:right w:val="none" w:sz="0" w:space="0" w:color="auto"/>
      </w:divBdr>
    </w:div>
    <w:div w:id="1578133478">
      <w:bodyDiv w:val="1"/>
      <w:marLeft w:val="0"/>
      <w:marRight w:val="0"/>
      <w:marTop w:val="0"/>
      <w:marBottom w:val="0"/>
      <w:divBdr>
        <w:top w:val="none" w:sz="0" w:space="0" w:color="auto"/>
        <w:left w:val="none" w:sz="0" w:space="0" w:color="auto"/>
        <w:bottom w:val="none" w:sz="0" w:space="0" w:color="auto"/>
        <w:right w:val="none" w:sz="0" w:space="0" w:color="auto"/>
      </w:divBdr>
    </w:div>
    <w:div w:id="1578175024">
      <w:bodyDiv w:val="1"/>
      <w:marLeft w:val="0"/>
      <w:marRight w:val="0"/>
      <w:marTop w:val="0"/>
      <w:marBottom w:val="0"/>
      <w:divBdr>
        <w:top w:val="none" w:sz="0" w:space="0" w:color="auto"/>
        <w:left w:val="none" w:sz="0" w:space="0" w:color="auto"/>
        <w:bottom w:val="none" w:sz="0" w:space="0" w:color="auto"/>
        <w:right w:val="none" w:sz="0" w:space="0" w:color="auto"/>
      </w:divBdr>
    </w:div>
    <w:div w:id="1578201953">
      <w:bodyDiv w:val="1"/>
      <w:marLeft w:val="0"/>
      <w:marRight w:val="0"/>
      <w:marTop w:val="0"/>
      <w:marBottom w:val="0"/>
      <w:divBdr>
        <w:top w:val="none" w:sz="0" w:space="0" w:color="auto"/>
        <w:left w:val="none" w:sz="0" w:space="0" w:color="auto"/>
        <w:bottom w:val="none" w:sz="0" w:space="0" w:color="auto"/>
        <w:right w:val="none" w:sz="0" w:space="0" w:color="auto"/>
      </w:divBdr>
    </w:div>
    <w:div w:id="1578250720">
      <w:bodyDiv w:val="1"/>
      <w:marLeft w:val="0"/>
      <w:marRight w:val="0"/>
      <w:marTop w:val="0"/>
      <w:marBottom w:val="0"/>
      <w:divBdr>
        <w:top w:val="none" w:sz="0" w:space="0" w:color="auto"/>
        <w:left w:val="none" w:sz="0" w:space="0" w:color="auto"/>
        <w:bottom w:val="none" w:sz="0" w:space="0" w:color="auto"/>
        <w:right w:val="none" w:sz="0" w:space="0" w:color="auto"/>
      </w:divBdr>
    </w:div>
    <w:div w:id="1578398316">
      <w:bodyDiv w:val="1"/>
      <w:marLeft w:val="0"/>
      <w:marRight w:val="0"/>
      <w:marTop w:val="0"/>
      <w:marBottom w:val="0"/>
      <w:divBdr>
        <w:top w:val="none" w:sz="0" w:space="0" w:color="auto"/>
        <w:left w:val="none" w:sz="0" w:space="0" w:color="auto"/>
        <w:bottom w:val="none" w:sz="0" w:space="0" w:color="auto"/>
        <w:right w:val="none" w:sz="0" w:space="0" w:color="auto"/>
      </w:divBdr>
    </w:div>
    <w:div w:id="1578437128">
      <w:bodyDiv w:val="1"/>
      <w:marLeft w:val="0"/>
      <w:marRight w:val="0"/>
      <w:marTop w:val="0"/>
      <w:marBottom w:val="0"/>
      <w:divBdr>
        <w:top w:val="none" w:sz="0" w:space="0" w:color="auto"/>
        <w:left w:val="none" w:sz="0" w:space="0" w:color="auto"/>
        <w:bottom w:val="none" w:sz="0" w:space="0" w:color="auto"/>
        <w:right w:val="none" w:sz="0" w:space="0" w:color="auto"/>
      </w:divBdr>
    </w:div>
    <w:div w:id="1578519680">
      <w:bodyDiv w:val="1"/>
      <w:marLeft w:val="0"/>
      <w:marRight w:val="0"/>
      <w:marTop w:val="0"/>
      <w:marBottom w:val="0"/>
      <w:divBdr>
        <w:top w:val="none" w:sz="0" w:space="0" w:color="auto"/>
        <w:left w:val="none" w:sz="0" w:space="0" w:color="auto"/>
        <w:bottom w:val="none" w:sz="0" w:space="0" w:color="auto"/>
        <w:right w:val="none" w:sz="0" w:space="0" w:color="auto"/>
      </w:divBdr>
    </w:div>
    <w:div w:id="1578635601">
      <w:bodyDiv w:val="1"/>
      <w:marLeft w:val="0"/>
      <w:marRight w:val="0"/>
      <w:marTop w:val="0"/>
      <w:marBottom w:val="0"/>
      <w:divBdr>
        <w:top w:val="none" w:sz="0" w:space="0" w:color="auto"/>
        <w:left w:val="none" w:sz="0" w:space="0" w:color="auto"/>
        <w:bottom w:val="none" w:sz="0" w:space="0" w:color="auto"/>
        <w:right w:val="none" w:sz="0" w:space="0" w:color="auto"/>
      </w:divBdr>
    </w:div>
    <w:div w:id="1578712909">
      <w:bodyDiv w:val="1"/>
      <w:marLeft w:val="0"/>
      <w:marRight w:val="0"/>
      <w:marTop w:val="0"/>
      <w:marBottom w:val="0"/>
      <w:divBdr>
        <w:top w:val="none" w:sz="0" w:space="0" w:color="auto"/>
        <w:left w:val="none" w:sz="0" w:space="0" w:color="auto"/>
        <w:bottom w:val="none" w:sz="0" w:space="0" w:color="auto"/>
        <w:right w:val="none" w:sz="0" w:space="0" w:color="auto"/>
      </w:divBdr>
    </w:div>
    <w:div w:id="1578784405">
      <w:bodyDiv w:val="1"/>
      <w:marLeft w:val="0"/>
      <w:marRight w:val="0"/>
      <w:marTop w:val="0"/>
      <w:marBottom w:val="0"/>
      <w:divBdr>
        <w:top w:val="none" w:sz="0" w:space="0" w:color="auto"/>
        <w:left w:val="none" w:sz="0" w:space="0" w:color="auto"/>
        <w:bottom w:val="none" w:sz="0" w:space="0" w:color="auto"/>
        <w:right w:val="none" w:sz="0" w:space="0" w:color="auto"/>
      </w:divBdr>
    </w:div>
    <w:div w:id="1579091653">
      <w:bodyDiv w:val="1"/>
      <w:marLeft w:val="0"/>
      <w:marRight w:val="0"/>
      <w:marTop w:val="0"/>
      <w:marBottom w:val="0"/>
      <w:divBdr>
        <w:top w:val="none" w:sz="0" w:space="0" w:color="auto"/>
        <w:left w:val="none" w:sz="0" w:space="0" w:color="auto"/>
        <w:bottom w:val="none" w:sz="0" w:space="0" w:color="auto"/>
        <w:right w:val="none" w:sz="0" w:space="0" w:color="auto"/>
      </w:divBdr>
    </w:div>
    <w:div w:id="1579248634">
      <w:bodyDiv w:val="1"/>
      <w:marLeft w:val="0"/>
      <w:marRight w:val="0"/>
      <w:marTop w:val="0"/>
      <w:marBottom w:val="0"/>
      <w:divBdr>
        <w:top w:val="none" w:sz="0" w:space="0" w:color="auto"/>
        <w:left w:val="none" w:sz="0" w:space="0" w:color="auto"/>
        <w:bottom w:val="none" w:sz="0" w:space="0" w:color="auto"/>
        <w:right w:val="none" w:sz="0" w:space="0" w:color="auto"/>
      </w:divBdr>
    </w:div>
    <w:div w:id="1579553056">
      <w:bodyDiv w:val="1"/>
      <w:marLeft w:val="0"/>
      <w:marRight w:val="0"/>
      <w:marTop w:val="0"/>
      <w:marBottom w:val="0"/>
      <w:divBdr>
        <w:top w:val="none" w:sz="0" w:space="0" w:color="auto"/>
        <w:left w:val="none" w:sz="0" w:space="0" w:color="auto"/>
        <w:bottom w:val="none" w:sz="0" w:space="0" w:color="auto"/>
        <w:right w:val="none" w:sz="0" w:space="0" w:color="auto"/>
      </w:divBdr>
    </w:div>
    <w:div w:id="1579904925">
      <w:bodyDiv w:val="1"/>
      <w:marLeft w:val="0"/>
      <w:marRight w:val="0"/>
      <w:marTop w:val="0"/>
      <w:marBottom w:val="0"/>
      <w:divBdr>
        <w:top w:val="none" w:sz="0" w:space="0" w:color="auto"/>
        <w:left w:val="none" w:sz="0" w:space="0" w:color="auto"/>
        <w:bottom w:val="none" w:sz="0" w:space="0" w:color="auto"/>
        <w:right w:val="none" w:sz="0" w:space="0" w:color="auto"/>
      </w:divBdr>
    </w:div>
    <w:div w:id="1580092660">
      <w:bodyDiv w:val="1"/>
      <w:marLeft w:val="0"/>
      <w:marRight w:val="0"/>
      <w:marTop w:val="0"/>
      <w:marBottom w:val="0"/>
      <w:divBdr>
        <w:top w:val="none" w:sz="0" w:space="0" w:color="auto"/>
        <w:left w:val="none" w:sz="0" w:space="0" w:color="auto"/>
        <w:bottom w:val="none" w:sz="0" w:space="0" w:color="auto"/>
        <w:right w:val="none" w:sz="0" w:space="0" w:color="auto"/>
      </w:divBdr>
    </w:div>
    <w:div w:id="1580207872">
      <w:bodyDiv w:val="1"/>
      <w:marLeft w:val="0"/>
      <w:marRight w:val="0"/>
      <w:marTop w:val="0"/>
      <w:marBottom w:val="0"/>
      <w:divBdr>
        <w:top w:val="none" w:sz="0" w:space="0" w:color="auto"/>
        <w:left w:val="none" w:sz="0" w:space="0" w:color="auto"/>
        <w:bottom w:val="none" w:sz="0" w:space="0" w:color="auto"/>
        <w:right w:val="none" w:sz="0" w:space="0" w:color="auto"/>
      </w:divBdr>
    </w:div>
    <w:div w:id="1580208875">
      <w:bodyDiv w:val="1"/>
      <w:marLeft w:val="0"/>
      <w:marRight w:val="0"/>
      <w:marTop w:val="0"/>
      <w:marBottom w:val="0"/>
      <w:divBdr>
        <w:top w:val="none" w:sz="0" w:space="0" w:color="auto"/>
        <w:left w:val="none" w:sz="0" w:space="0" w:color="auto"/>
        <w:bottom w:val="none" w:sz="0" w:space="0" w:color="auto"/>
        <w:right w:val="none" w:sz="0" w:space="0" w:color="auto"/>
      </w:divBdr>
    </w:div>
    <w:div w:id="1580211711">
      <w:bodyDiv w:val="1"/>
      <w:marLeft w:val="0"/>
      <w:marRight w:val="0"/>
      <w:marTop w:val="0"/>
      <w:marBottom w:val="0"/>
      <w:divBdr>
        <w:top w:val="none" w:sz="0" w:space="0" w:color="auto"/>
        <w:left w:val="none" w:sz="0" w:space="0" w:color="auto"/>
        <w:bottom w:val="none" w:sz="0" w:space="0" w:color="auto"/>
        <w:right w:val="none" w:sz="0" w:space="0" w:color="auto"/>
      </w:divBdr>
    </w:div>
    <w:div w:id="1580215323">
      <w:bodyDiv w:val="1"/>
      <w:marLeft w:val="0"/>
      <w:marRight w:val="0"/>
      <w:marTop w:val="0"/>
      <w:marBottom w:val="0"/>
      <w:divBdr>
        <w:top w:val="none" w:sz="0" w:space="0" w:color="auto"/>
        <w:left w:val="none" w:sz="0" w:space="0" w:color="auto"/>
        <w:bottom w:val="none" w:sz="0" w:space="0" w:color="auto"/>
        <w:right w:val="none" w:sz="0" w:space="0" w:color="auto"/>
      </w:divBdr>
    </w:div>
    <w:div w:id="1580284051">
      <w:bodyDiv w:val="1"/>
      <w:marLeft w:val="0"/>
      <w:marRight w:val="0"/>
      <w:marTop w:val="0"/>
      <w:marBottom w:val="0"/>
      <w:divBdr>
        <w:top w:val="none" w:sz="0" w:space="0" w:color="auto"/>
        <w:left w:val="none" w:sz="0" w:space="0" w:color="auto"/>
        <w:bottom w:val="none" w:sz="0" w:space="0" w:color="auto"/>
        <w:right w:val="none" w:sz="0" w:space="0" w:color="auto"/>
      </w:divBdr>
    </w:div>
    <w:div w:id="1580557532">
      <w:bodyDiv w:val="1"/>
      <w:marLeft w:val="0"/>
      <w:marRight w:val="0"/>
      <w:marTop w:val="0"/>
      <w:marBottom w:val="0"/>
      <w:divBdr>
        <w:top w:val="none" w:sz="0" w:space="0" w:color="auto"/>
        <w:left w:val="none" w:sz="0" w:space="0" w:color="auto"/>
        <w:bottom w:val="none" w:sz="0" w:space="0" w:color="auto"/>
        <w:right w:val="none" w:sz="0" w:space="0" w:color="auto"/>
      </w:divBdr>
    </w:div>
    <w:div w:id="1580601415">
      <w:bodyDiv w:val="1"/>
      <w:marLeft w:val="0"/>
      <w:marRight w:val="0"/>
      <w:marTop w:val="0"/>
      <w:marBottom w:val="0"/>
      <w:divBdr>
        <w:top w:val="none" w:sz="0" w:space="0" w:color="auto"/>
        <w:left w:val="none" w:sz="0" w:space="0" w:color="auto"/>
        <w:bottom w:val="none" w:sz="0" w:space="0" w:color="auto"/>
        <w:right w:val="none" w:sz="0" w:space="0" w:color="auto"/>
      </w:divBdr>
    </w:div>
    <w:div w:id="1580602482">
      <w:bodyDiv w:val="1"/>
      <w:marLeft w:val="0"/>
      <w:marRight w:val="0"/>
      <w:marTop w:val="0"/>
      <w:marBottom w:val="0"/>
      <w:divBdr>
        <w:top w:val="none" w:sz="0" w:space="0" w:color="auto"/>
        <w:left w:val="none" w:sz="0" w:space="0" w:color="auto"/>
        <w:bottom w:val="none" w:sz="0" w:space="0" w:color="auto"/>
        <w:right w:val="none" w:sz="0" w:space="0" w:color="auto"/>
      </w:divBdr>
    </w:div>
    <w:div w:id="1580820772">
      <w:bodyDiv w:val="1"/>
      <w:marLeft w:val="0"/>
      <w:marRight w:val="0"/>
      <w:marTop w:val="0"/>
      <w:marBottom w:val="0"/>
      <w:divBdr>
        <w:top w:val="none" w:sz="0" w:space="0" w:color="auto"/>
        <w:left w:val="none" w:sz="0" w:space="0" w:color="auto"/>
        <w:bottom w:val="none" w:sz="0" w:space="0" w:color="auto"/>
        <w:right w:val="none" w:sz="0" w:space="0" w:color="auto"/>
      </w:divBdr>
    </w:div>
    <w:div w:id="1581207827">
      <w:bodyDiv w:val="1"/>
      <w:marLeft w:val="0"/>
      <w:marRight w:val="0"/>
      <w:marTop w:val="0"/>
      <w:marBottom w:val="0"/>
      <w:divBdr>
        <w:top w:val="none" w:sz="0" w:space="0" w:color="auto"/>
        <w:left w:val="none" w:sz="0" w:space="0" w:color="auto"/>
        <w:bottom w:val="none" w:sz="0" w:space="0" w:color="auto"/>
        <w:right w:val="none" w:sz="0" w:space="0" w:color="auto"/>
      </w:divBdr>
    </w:div>
    <w:div w:id="1581599935">
      <w:bodyDiv w:val="1"/>
      <w:marLeft w:val="0"/>
      <w:marRight w:val="0"/>
      <w:marTop w:val="0"/>
      <w:marBottom w:val="0"/>
      <w:divBdr>
        <w:top w:val="none" w:sz="0" w:space="0" w:color="auto"/>
        <w:left w:val="none" w:sz="0" w:space="0" w:color="auto"/>
        <w:bottom w:val="none" w:sz="0" w:space="0" w:color="auto"/>
        <w:right w:val="none" w:sz="0" w:space="0" w:color="auto"/>
      </w:divBdr>
    </w:div>
    <w:div w:id="1581794980">
      <w:bodyDiv w:val="1"/>
      <w:marLeft w:val="0"/>
      <w:marRight w:val="0"/>
      <w:marTop w:val="0"/>
      <w:marBottom w:val="0"/>
      <w:divBdr>
        <w:top w:val="none" w:sz="0" w:space="0" w:color="auto"/>
        <w:left w:val="none" w:sz="0" w:space="0" w:color="auto"/>
        <w:bottom w:val="none" w:sz="0" w:space="0" w:color="auto"/>
        <w:right w:val="none" w:sz="0" w:space="0" w:color="auto"/>
      </w:divBdr>
    </w:div>
    <w:div w:id="1581987815">
      <w:bodyDiv w:val="1"/>
      <w:marLeft w:val="0"/>
      <w:marRight w:val="0"/>
      <w:marTop w:val="0"/>
      <w:marBottom w:val="0"/>
      <w:divBdr>
        <w:top w:val="none" w:sz="0" w:space="0" w:color="auto"/>
        <w:left w:val="none" w:sz="0" w:space="0" w:color="auto"/>
        <w:bottom w:val="none" w:sz="0" w:space="0" w:color="auto"/>
        <w:right w:val="none" w:sz="0" w:space="0" w:color="auto"/>
      </w:divBdr>
    </w:div>
    <w:div w:id="1582175071">
      <w:bodyDiv w:val="1"/>
      <w:marLeft w:val="0"/>
      <w:marRight w:val="0"/>
      <w:marTop w:val="0"/>
      <w:marBottom w:val="0"/>
      <w:divBdr>
        <w:top w:val="none" w:sz="0" w:space="0" w:color="auto"/>
        <w:left w:val="none" w:sz="0" w:space="0" w:color="auto"/>
        <w:bottom w:val="none" w:sz="0" w:space="0" w:color="auto"/>
        <w:right w:val="none" w:sz="0" w:space="0" w:color="auto"/>
      </w:divBdr>
    </w:div>
    <w:div w:id="1582372862">
      <w:bodyDiv w:val="1"/>
      <w:marLeft w:val="0"/>
      <w:marRight w:val="0"/>
      <w:marTop w:val="0"/>
      <w:marBottom w:val="0"/>
      <w:divBdr>
        <w:top w:val="none" w:sz="0" w:space="0" w:color="auto"/>
        <w:left w:val="none" w:sz="0" w:space="0" w:color="auto"/>
        <w:bottom w:val="none" w:sz="0" w:space="0" w:color="auto"/>
        <w:right w:val="none" w:sz="0" w:space="0" w:color="auto"/>
      </w:divBdr>
    </w:div>
    <w:div w:id="1582444014">
      <w:bodyDiv w:val="1"/>
      <w:marLeft w:val="0"/>
      <w:marRight w:val="0"/>
      <w:marTop w:val="0"/>
      <w:marBottom w:val="0"/>
      <w:divBdr>
        <w:top w:val="none" w:sz="0" w:space="0" w:color="auto"/>
        <w:left w:val="none" w:sz="0" w:space="0" w:color="auto"/>
        <w:bottom w:val="none" w:sz="0" w:space="0" w:color="auto"/>
        <w:right w:val="none" w:sz="0" w:space="0" w:color="auto"/>
      </w:divBdr>
    </w:div>
    <w:div w:id="1582639334">
      <w:bodyDiv w:val="1"/>
      <w:marLeft w:val="0"/>
      <w:marRight w:val="0"/>
      <w:marTop w:val="0"/>
      <w:marBottom w:val="0"/>
      <w:divBdr>
        <w:top w:val="none" w:sz="0" w:space="0" w:color="auto"/>
        <w:left w:val="none" w:sz="0" w:space="0" w:color="auto"/>
        <w:bottom w:val="none" w:sz="0" w:space="0" w:color="auto"/>
        <w:right w:val="none" w:sz="0" w:space="0" w:color="auto"/>
      </w:divBdr>
    </w:div>
    <w:div w:id="1583173681">
      <w:bodyDiv w:val="1"/>
      <w:marLeft w:val="0"/>
      <w:marRight w:val="0"/>
      <w:marTop w:val="0"/>
      <w:marBottom w:val="0"/>
      <w:divBdr>
        <w:top w:val="none" w:sz="0" w:space="0" w:color="auto"/>
        <w:left w:val="none" w:sz="0" w:space="0" w:color="auto"/>
        <w:bottom w:val="none" w:sz="0" w:space="0" w:color="auto"/>
        <w:right w:val="none" w:sz="0" w:space="0" w:color="auto"/>
      </w:divBdr>
    </w:div>
    <w:div w:id="1583182452">
      <w:bodyDiv w:val="1"/>
      <w:marLeft w:val="0"/>
      <w:marRight w:val="0"/>
      <w:marTop w:val="0"/>
      <w:marBottom w:val="0"/>
      <w:divBdr>
        <w:top w:val="none" w:sz="0" w:space="0" w:color="auto"/>
        <w:left w:val="none" w:sz="0" w:space="0" w:color="auto"/>
        <w:bottom w:val="none" w:sz="0" w:space="0" w:color="auto"/>
        <w:right w:val="none" w:sz="0" w:space="0" w:color="auto"/>
      </w:divBdr>
    </w:div>
    <w:div w:id="1583368575">
      <w:bodyDiv w:val="1"/>
      <w:marLeft w:val="0"/>
      <w:marRight w:val="0"/>
      <w:marTop w:val="0"/>
      <w:marBottom w:val="0"/>
      <w:divBdr>
        <w:top w:val="none" w:sz="0" w:space="0" w:color="auto"/>
        <w:left w:val="none" w:sz="0" w:space="0" w:color="auto"/>
        <w:bottom w:val="none" w:sz="0" w:space="0" w:color="auto"/>
        <w:right w:val="none" w:sz="0" w:space="0" w:color="auto"/>
      </w:divBdr>
    </w:div>
    <w:div w:id="1583566845">
      <w:bodyDiv w:val="1"/>
      <w:marLeft w:val="0"/>
      <w:marRight w:val="0"/>
      <w:marTop w:val="0"/>
      <w:marBottom w:val="0"/>
      <w:divBdr>
        <w:top w:val="none" w:sz="0" w:space="0" w:color="auto"/>
        <w:left w:val="none" w:sz="0" w:space="0" w:color="auto"/>
        <w:bottom w:val="none" w:sz="0" w:space="0" w:color="auto"/>
        <w:right w:val="none" w:sz="0" w:space="0" w:color="auto"/>
      </w:divBdr>
    </w:div>
    <w:div w:id="1583875449">
      <w:bodyDiv w:val="1"/>
      <w:marLeft w:val="0"/>
      <w:marRight w:val="0"/>
      <w:marTop w:val="0"/>
      <w:marBottom w:val="0"/>
      <w:divBdr>
        <w:top w:val="none" w:sz="0" w:space="0" w:color="auto"/>
        <w:left w:val="none" w:sz="0" w:space="0" w:color="auto"/>
        <w:bottom w:val="none" w:sz="0" w:space="0" w:color="auto"/>
        <w:right w:val="none" w:sz="0" w:space="0" w:color="auto"/>
      </w:divBdr>
    </w:div>
    <w:div w:id="1584485438">
      <w:bodyDiv w:val="1"/>
      <w:marLeft w:val="0"/>
      <w:marRight w:val="0"/>
      <w:marTop w:val="0"/>
      <w:marBottom w:val="0"/>
      <w:divBdr>
        <w:top w:val="none" w:sz="0" w:space="0" w:color="auto"/>
        <w:left w:val="none" w:sz="0" w:space="0" w:color="auto"/>
        <w:bottom w:val="none" w:sz="0" w:space="0" w:color="auto"/>
        <w:right w:val="none" w:sz="0" w:space="0" w:color="auto"/>
      </w:divBdr>
    </w:div>
    <w:div w:id="1584562078">
      <w:bodyDiv w:val="1"/>
      <w:marLeft w:val="0"/>
      <w:marRight w:val="0"/>
      <w:marTop w:val="0"/>
      <w:marBottom w:val="0"/>
      <w:divBdr>
        <w:top w:val="none" w:sz="0" w:space="0" w:color="auto"/>
        <w:left w:val="none" w:sz="0" w:space="0" w:color="auto"/>
        <w:bottom w:val="none" w:sz="0" w:space="0" w:color="auto"/>
        <w:right w:val="none" w:sz="0" w:space="0" w:color="auto"/>
      </w:divBdr>
    </w:div>
    <w:div w:id="1584682517">
      <w:bodyDiv w:val="1"/>
      <w:marLeft w:val="0"/>
      <w:marRight w:val="0"/>
      <w:marTop w:val="0"/>
      <w:marBottom w:val="0"/>
      <w:divBdr>
        <w:top w:val="none" w:sz="0" w:space="0" w:color="auto"/>
        <w:left w:val="none" w:sz="0" w:space="0" w:color="auto"/>
        <w:bottom w:val="none" w:sz="0" w:space="0" w:color="auto"/>
        <w:right w:val="none" w:sz="0" w:space="0" w:color="auto"/>
      </w:divBdr>
    </w:div>
    <w:div w:id="1584872666">
      <w:bodyDiv w:val="1"/>
      <w:marLeft w:val="0"/>
      <w:marRight w:val="0"/>
      <w:marTop w:val="0"/>
      <w:marBottom w:val="0"/>
      <w:divBdr>
        <w:top w:val="none" w:sz="0" w:space="0" w:color="auto"/>
        <w:left w:val="none" w:sz="0" w:space="0" w:color="auto"/>
        <w:bottom w:val="none" w:sz="0" w:space="0" w:color="auto"/>
        <w:right w:val="none" w:sz="0" w:space="0" w:color="auto"/>
      </w:divBdr>
    </w:div>
    <w:div w:id="1584992595">
      <w:bodyDiv w:val="1"/>
      <w:marLeft w:val="0"/>
      <w:marRight w:val="0"/>
      <w:marTop w:val="0"/>
      <w:marBottom w:val="0"/>
      <w:divBdr>
        <w:top w:val="none" w:sz="0" w:space="0" w:color="auto"/>
        <w:left w:val="none" w:sz="0" w:space="0" w:color="auto"/>
        <w:bottom w:val="none" w:sz="0" w:space="0" w:color="auto"/>
        <w:right w:val="none" w:sz="0" w:space="0" w:color="auto"/>
      </w:divBdr>
    </w:div>
    <w:div w:id="1585338272">
      <w:bodyDiv w:val="1"/>
      <w:marLeft w:val="0"/>
      <w:marRight w:val="0"/>
      <w:marTop w:val="0"/>
      <w:marBottom w:val="0"/>
      <w:divBdr>
        <w:top w:val="none" w:sz="0" w:space="0" w:color="auto"/>
        <w:left w:val="none" w:sz="0" w:space="0" w:color="auto"/>
        <w:bottom w:val="none" w:sz="0" w:space="0" w:color="auto"/>
        <w:right w:val="none" w:sz="0" w:space="0" w:color="auto"/>
      </w:divBdr>
    </w:div>
    <w:div w:id="1585651393">
      <w:bodyDiv w:val="1"/>
      <w:marLeft w:val="0"/>
      <w:marRight w:val="0"/>
      <w:marTop w:val="0"/>
      <w:marBottom w:val="0"/>
      <w:divBdr>
        <w:top w:val="none" w:sz="0" w:space="0" w:color="auto"/>
        <w:left w:val="none" w:sz="0" w:space="0" w:color="auto"/>
        <w:bottom w:val="none" w:sz="0" w:space="0" w:color="auto"/>
        <w:right w:val="none" w:sz="0" w:space="0" w:color="auto"/>
      </w:divBdr>
    </w:div>
    <w:div w:id="1585725413">
      <w:bodyDiv w:val="1"/>
      <w:marLeft w:val="0"/>
      <w:marRight w:val="0"/>
      <w:marTop w:val="0"/>
      <w:marBottom w:val="0"/>
      <w:divBdr>
        <w:top w:val="none" w:sz="0" w:space="0" w:color="auto"/>
        <w:left w:val="none" w:sz="0" w:space="0" w:color="auto"/>
        <w:bottom w:val="none" w:sz="0" w:space="0" w:color="auto"/>
        <w:right w:val="none" w:sz="0" w:space="0" w:color="auto"/>
      </w:divBdr>
    </w:div>
    <w:div w:id="1585794599">
      <w:bodyDiv w:val="1"/>
      <w:marLeft w:val="0"/>
      <w:marRight w:val="0"/>
      <w:marTop w:val="0"/>
      <w:marBottom w:val="0"/>
      <w:divBdr>
        <w:top w:val="none" w:sz="0" w:space="0" w:color="auto"/>
        <w:left w:val="none" w:sz="0" w:space="0" w:color="auto"/>
        <w:bottom w:val="none" w:sz="0" w:space="0" w:color="auto"/>
        <w:right w:val="none" w:sz="0" w:space="0" w:color="auto"/>
      </w:divBdr>
    </w:div>
    <w:div w:id="1585841541">
      <w:bodyDiv w:val="1"/>
      <w:marLeft w:val="0"/>
      <w:marRight w:val="0"/>
      <w:marTop w:val="0"/>
      <w:marBottom w:val="0"/>
      <w:divBdr>
        <w:top w:val="none" w:sz="0" w:space="0" w:color="auto"/>
        <w:left w:val="none" w:sz="0" w:space="0" w:color="auto"/>
        <w:bottom w:val="none" w:sz="0" w:space="0" w:color="auto"/>
        <w:right w:val="none" w:sz="0" w:space="0" w:color="auto"/>
      </w:divBdr>
    </w:div>
    <w:div w:id="1585871136">
      <w:bodyDiv w:val="1"/>
      <w:marLeft w:val="0"/>
      <w:marRight w:val="0"/>
      <w:marTop w:val="0"/>
      <w:marBottom w:val="0"/>
      <w:divBdr>
        <w:top w:val="none" w:sz="0" w:space="0" w:color="auto"/>
        <w:left w:val="none" w:sz="0" w:space="0" w:color="auto"/>
        <w:bottom w:val="none" w:sz="0" w:space="0" w:color="auto"/>
        <w:right w:val="none" w:sz="0" w:space="0" w:color="auto"/>
      </w:divBdr>
    </w:div>
    <w:div w:id="1585912098">
      <w:bodyDiv w:val="1"/>
      <w:marLeft w:val="0"/>
      <w:marRight w:val="0"/>
      <w:marTop w:val="0"/>
      <w:marBottom w:val="0"/>
      <w:divBdr>
        <w:top w:val="none" w:sz="0" w:space="0" w:color="auto"/>
        <w:left w:val="none" w:sz="0" w:space="0" w:color="auto"/>
        <w:bottom w:val="none" w:sz="0" w:space="0" w:color="auto"/>
        <w:right w:val="none" w:sz="0" w:space="0" w:color="auto"/>
      </w:divBdr>
    </w:div>
    <w:div w:id="1585991224">
      <w:bodyDiv w:val="1"/>
      <w:marLeft w:val="0"/>
      <w:marRight w:val="0"/>
      <w:marTop w:val="0"/>
      <w:marBottom w:val="0"/>
      <w:divBdr>
        <w:top w:val="none" w:sz="0" w:space="0" w:color="auto"/>
        <w:left w:val="none" w:sz="0" w:space="0" w:color="auto"/>
        <w:bottom w:val="none" w:sz="0" w:space="0" w:color="auto"/>
        <w:right w:val="none" w:sz="0" w:space="0" w:color="auto"/>
      </w:divBdr>
    </w:div>
    <w:div w:id="1586300691">
      <w:bodyDiv w:val="1"/>
      <w:marLeft w:val="0"/>
      <w:marRight w:val="0"/>
      <w:marTop w:val="0"/>
      <w:marBottom w:val="0"/>
      <w:divBdr>
        <w:top w:val="none" w:sz="0" w:space="0" w:color="auto"/>
        <w:left w:val="none" w:sz="0" w:space="0" w:color="auto"/>
        <w:bottom w:val="none" w:sz="0" w:space="0" w:color="auto"/>
        <w:right w:val="none" w:sz="0" w:space="0" w:color="auto"/>
      </w:divBdr>
    </w:div>
    <w:div w:id="1586572100">
      <w:bodyDiv w:val="1"/>
      <w:marLeft w:val="0"/>
      <w:marRight w:val="0"/>
      <w:marTop w:val="0"/>
      <w:marBottom w:val="0"/>
      <w:divBdr>
        <w:top w:val="none" w:sz="0" w:space="0" w:color="auto"/>
        <w:left w:val="none" w:sz="0" w:space="0" w:color="auto"/>
        <w:bottom w:val="none" w:sz="0" w:space="0" w:color="auto"/>
        <w:right w:val="none" w:sz="0" w:space="0" w:color="auto"/>
      </w:divBdr>
    </w:div>
    <w:div w:id="1586573470">
      <w:bodyDiv w:val="1"/>
      <w:marLeft w:val="0"/>
      <w:marRight w:val="0"/>
      <w:marTop w:val="0"/>
      <w:marBottom w:val="0"/>
      <w:divBdr>
        <w:top w:val="none" w:sz="0" w:space="0" w:color="auto"/>
        <w:left w:val="none" w:sz="0" w:space="0" w:color="auto"/>
        <w:bottom w:val="none" w:sz="0" w:space="0" w:color="auto"/>
        <w:right w:val="none" w:sz="0" w:space="0" w:color="auto"/>
      </w:divBdr>
    </w:div>
    <w:div w:id="1586645840">
      <w:bodyDiv w:val="1"/>
      <w:marLeft w:val="0"/>
      <w:marRight w:val="0"/>
      <w:marTop w:val="0"/>
      <w:marBottom w:val="0"/>
      <w:divBdr>
        <w:top w:val="none" w:sz="0" w:space="0" w:color="auto"/>
        <w:left w:val="none" w:sz="0" w:space="0" w:color="auto"/>
        <w:bottom w:val="none" w:sz="0" w:space="0" w:color="auto"/>
        <w:right w:val="none" w:sz="0" w:space="0" w:color="auto"/>
      </w:divBdr>
    </w:div>
    <w:div w:id="1586766584">
      <w:bodyDiv w:val="1"/>
      <w:marLeft w:val="0"/>
      <w:marRight w:val="0"/>
      <w:marTop w:val="0"/>
      <w:marBottom w:val="0"/>
      <w:divBdr>
        <w:top w:val="none" w:sz="0" w:space="0" w:color="auto"/>
        <w:left w:val="none" w:sz="0" w:space="0" w:color="auto"/>
        <w:bottom w:val="none" w:sz="0" w:space="0" w:color="auto"/>
        <w:right w:val="none" w:sz="0" w:space="0" w:color="auto"/>
      </w:divBdr>
    </w:div>
    <w:div w:id="1587107483">
      <w:bodyDiv w:val="1"/>
      <w:marLeft w:val="0"/>
      <w:marRight w:val="0"/>
      <w:marTop w:val="0"/>
      <w:marBottom w:val="0"/>
      <w:divBdr>
        <w:top w:val="none" w:sz="0" w:space="0" w:color="auto"/>
        <w:left w:val="none" w:sz="0" w:space="0" w:color="auto"/>
        <w:bottom w:val="none" w:sz="0" w:space="0" w:color="auto"/>
        <w:right w:val="none" w:sz="0" w:space="0" w:color="auto"/>
      </w:divBdr>
    </w:div>
    <w:div w:id="1587304470">
      <w:bodyDiv w:val="1"/>
      <w:marLeft w:val="0"/>
      <w:marRight w:val="0"/>
      <w:marTop w:val="0"/>
      <w:marBottom w:val="0"/>
      <w:divBdr>
        <w:top w:val="none" w:sz="0" w:space="0" w:color="auto"/>
        <w:left w:val="none" w:sz="0" w:space="0" w:color="auto"/>
        <w:bottom w:val="none" w:sz="0" w:space="0" w:color="auto"/>
        <w:right w:val="none" w:sz="0" w:space="0" w:color="auto"/>
      </w:divBdr>
    </w:div>
    <w:div w:id="1587493921">
      <w:bodyDiv w:val="1"/>
      <w:marLeft w:val="0"/>
      <w:marRight w:val="0"/>
      <w:marTop w:val="0"/>
      <w:marBottom w:val="0"/>
      <w:divBdr>
        <w:top w:val="none" w:sz="0" w:space="0" w:color="auto"/>
        <w:left w:val="none" w:sz="0" w:space="0" w:color="auto"/>
        <w:bottom w:val="none" w:sz="0" w:space="0" w:color="auto"/>
        <w:right w:val="none" w:sz="0" w:space="0" w:color="auto"/>
      </w:divBdr>
    </w:div>
    <w:div w:id="1587498626">
      <w:bodyDiv w:val="1"/>
      <w:marLeft w:val="0"/>
      <w:marRight w:val="0"/>
      <w:marTop w:val="0"/>
      <w:marBottom w:val="0"/>
      <w:divBdr>
        <w:top w:val="none" w:sz="0" w:space="0" w:color="auto"/>
        <w:left w:val="none" w:sz="0" w:space="0" w:color="auto"/>
        <w:bottom w:val="none" w:sz="0" w:space="0" w:color="auto"/>
        <w:right w:val="none" w:sz="0" w:space="0" w:color="auto"/>
      </w:divBdr>
    </w:div>
    <w:div w:id="1587685177">
      <w:bodyDiv w:val="1"/>
      <w:marLeft w:val="0"/>
      <w:marRight w:val="0"/>
      <w:marTop w:val="0"/>
      <w:marBottom w:val="0"/>
      <w:divBdr>
        <w:top w:val="none" w:sz="0" w:space="0" w:color="auto"/>
        <w:left w:val="none" w:sz="0" w:space="0" w:color="auto"/>
        <w:bottom w:val="none" w:sz="0" w:space="0" w:color="auto"/>
        <w:right w:val="none" w:sz="0" w:space="0" w:color="auto"/>
      </w:divBdr>
    </w:div>
    <w:div w:id="1587810428">
      <w:bodyDiv w:val="1"/>
      <w:marLeft w:val="0"/>
      <w:marRight w:val="0"/>
      <w:marTop w:val="0"/>
      <w:marBottom w:val="0"/>
      <w:divBdr>
        <w:top w:val="none" w:sz="0" w:space="0" w:color="auto"/>
        <w:left w:val="none" w:sz="0" w:space="0" w:color="auto"/>
        <w:bottom w:val="none" w:sz="0" w:space="0" w:color="auto"/>
        <w:right w:val="none" w:sz="0" w:space="0" w:color="auto"/>
      </w:divBdr>
    </w:div>
    <w:div w:id="1588154202">
      <w:bodyDiv w:val="1"/>
      <w:marLeft w:val="0"/>
      <w:marRight w:val="0"/>
      <w:marTop w:val="0"/>
      <w:marBottom w:val="0"/>
      <w:divBdr>
        <w:top w:val="none" w:sz="0" w:space="0" w:color="auto"/>
        <w:left w:val="none" w:sz="0" w:space="0" w:color="auto"/>
        <w:bottom w:val="none" w:sz="0" w:space="0" w:color="auto"/>
        <w:right w:val="none" w:sz="0" w:space="0" w:color="auto"/>
      </w:divBdr>
    </w:div>
    <w:div w:id="1588348124">
      <w:bodyDiv w:val="1"/>
      <w:marLeft w:val="0"/>
      <w:marRight w:val="0"/>
      <w:marTop w:val="0"/>
      <w:marBottom w:val="0"/>
      <w:divBdr>
        <w:top w:val="none" w:sz="0" w:space="0" w:color="auto"/>
        <w:left w:val="none" w:sz="0" w:space="0" w:color="auto"/>
        <w:bottom w:val="none" w:sz="0" w:space="0" w:color="auto"/>
        <w:right w:val="none" w:sz="0" w:space="0" w:color="auto"/>
      </w:divBdr>
    </w:div>
    <w:div w:id="1588538577">
      <w:bodyDiv w:val="1"/>
      <w:marLeft w:val="0"/>
      <w:marRight w:val="0"/>
      <w:marTop w:val="0"/>
      <w:marBottom w:val="0"/>
      <w:divBdr>
        <w:top w:val="none" w:sz="0" w:space="0" w:color="auto"/>
        <w:left w:val="none" w:sz="0" w:space="0" w:color="auto"/>
        <w:bottom w:val="none" w:sz="0" w:space="0" w:color="auto"/>
        <w:right w:val="none" w:sz="0" w:space="0" w:color="auto"/>
      </w:divBdr>
    </w:div>
    <w:div w:id="1588733625">
      <w:bodyDiv w:val="1"/>
      <w:marLeft w:val="0"/>
      <w:marRight w:val="0"/>
      <w:marTop w:val="0"/>
      <w:marBottom w:val="0"/>
      <w:divBdr>
        <w:top w:val="none" w:sz="0" w:space="0" w:color="auto"/>
        <w:left w:val="none" w:sz="0" w:space="0" w:color="auto"/>
        <w:bottom w:val="none" w:sz="0" w:space="0" w:color="auto"/>
        <w:right w:val="none" w:sz="0" w:space="0" w:color="auto"/>
      </w:divBdr>
    </w:div>
    <w:div w:id="1588922756">
      <w:bodyDiv w:val="1"/>
      <w:marLeft w:val="0"/>
      <w:marRight w:val="0"/>
      <w:marTop w:val="0"/>
      <w:marBottom w:val="0"/>
      <w:divBdr>
        <w:top w:val="none" w:sz="0" w:space="0" w:color="auto"/>
        <w:left w:val="none" w:sz="0" w:space="0" w:color="auto"/>
        <w:bottom w:val="none" w:sz="0" w:space="0" w:color="auto"/>
        <w:right w:val="none" w:sz="0" w:space="0" w:color="auto"/>
      </w:divBdr>
    </w:div>
    <w:div w:id="1588928397">
      <w:bodyDiv w:val="1"/>
      <w:marLeft w:val="0"/>
      <w:marRight w:val="0"/>
      <w:marTop w:val="0"/>
      <w:marBottom w:val="0"/>
      <w:divBdr>
        <w:top w:val="none" w:sz="0" w:space="0" w:color="auto"/>
        <w:left w:val="none" w:sz="0" w:space="0" w:color="auto"/>
        <w:bottom w:val="none" w:sz="0" w:space="0" w:color="auto"/>
        <w:right w:val="none" w:sz="0" w:space="0" w:color="auto"/>
      </w:divBdr>
    </w:div>
    <w:div w:id="1589194213">
      <w:bodyDiv w:val="1"/>
      <w:marLeft w:val="0"/>
      <w:marRight w:val="0"/>
      <w:marTop w:val="0"/>
      <w:marBottom w:val="0"/>
      <w:divBdr>
        <w:top w:val="none" w:sz="0" w:space="0" w:color="auto"/>
        <w:left w:val="none" w:sz="0" w:space="0" w:color="auto"/>
        <w:bottom w:val="none" w:sz="0" w:space="0" w:color="auto"/>
        <w:right w:val="none" w:sz="0" w:space="0" w:color="auto"/>
      </w:divBdr>
    </w:div>
    <w:div w:id="1589457073">
      <w:bodyDiv w:val="1"/>
      <w:marLeft w:val="0"/>
      <w:marRight w:val="0"/>
      <w:marTop w:val="0"/>
      <w:marBottom w:val="0"/>
      <w:divBdr>
        <w:top w:val="none" w:sz="0" w:space="0" w:color="auto"/>
        <w:left w:val="none" w:sz="0" w:space="0" w:color="auto"/>
        <w:bottom w:val="none" w:sz="0" w:space="0" w:color="auto"/>
        <w:right w:val="none" w:sz="0" w:space="0" w:color="auto"/>
      </w:divBdr>
    </w:div>
    <w:div w:id="1589537771">
      <w:bodyDiv w:val="1"/>
      <w:marLeft w:val="0"/>
      <w:marRight w:val="0"/>
      <w:marTop w:val="0"/>
      <w:marBottom w:val="0"/>
      <w:divBdr>
        <w:top w:val="none" w:sz="0" w:space="0" w:color="auto"/>
        <w:left w:val="none" w:sz="0" w:space="0" w:color="auto"/>
        <w:bottom w:val="none" w:sz="0" w:space="0" w:color="auto"/>
        <w:right w:val="none" w:sz="0" w:space="0" w:color="auto"/>
      </w:divBdr>
    </w:div>
    <w:div w:id="1589728995">
      <w:bodyDiv w:val="1"/>
      <w:marLeft w:val="0"/>
      <w:marRight w:val="0"/>
      <w:marTop w:val="0"/>
      <w:marBottom w:val="0"/>
      <w:divBdr>
        <w:top w:val="none" w:sz="0" w:space="0" w:color="auto"/>
        <w:left w:val="none" w:sz="0" w:space="0" w:color="auto"/>
        <w:bottom w:val="none" w:sz="0" w:space="0" w:color="auto"/>
        <w:right w:val="none" w:sz="0" w:space="0" w:color="auto"/>
      </w:divBdr>
    </w:div>
    <w:div w:id="1589731151">
      <w:bodyDiv w:val="1"/>
      <w:marLeft w:val="0"/>
      <w:marRight w:val="0"/>
      <w:marTop w:val="0"/>
      <w:marBottom w:val="0"/>
      <w:divBdr>
        <w:top w:val="none" w:sz="0" w:space="0" w:color="auto"/>
        <w:left w:val="none" w:sz="0" w:space="0" w:color="auto"/>
        <w:bottom w:val="none" w:sz="0" w:space="0" w:color="auto"/>
        <w:right w:val="none" w:sz="0" w:space="0" w:color="auto"/>
      </w:divBdr>
    </w:div>
    <w:div w:id="1590113711">
      <w:bodyDiv w:val="1"/>
      <w:marLeft w:val="0"/>
      <w:marRight w:val="0"/>
      <w:marTop w:val="0"/>
      <w:marBottom w:val="0"/>
      <w:divBdr>
        <w:top w:val="none" w:sz="0" w:space="0" w:color="auto"/>
        <w:left w:val="none" w:sz="0" w:space="0" w:color="auto"/>
        <w:bottom w:val="none" w:sz="0" w:space="0" w:color="auto"/>
        <w:right w:val="none" w:sz="0" w:space="0" w:color="auto"/>
      </w:divBdr>
    </w:div>
    <w:div w:id="1590188633">
      <w:bodyDiv w:val="1"/>
      <w:marLeft w:val="0"/>
      <w:marRight w:val="0"/>
      <w:marTop w:val="0"/>
      <w:marBottom w:val="0"/>
      <w:divBdr>
        <w:top w:val="none" w:sz="0" w:space="0" w:color="auto"/>
        <w:left w:val="none" w:sz="0" w:space="0" w:color="auto"/>
        <w:bottom w:val="none" w:sz="0" w:space="0" w:color="auto"/>
        <w:right w:val="none" w:sz="0" w:space="0" w:color="auto"/>
      </w:divBdr>
    </w:div>
    <w:div w:id="1590194253">
      <w:bodyDiv w:val="1"/>
      <w:marLeft w:val="0"/>
      <w:marRight w:val="0"/>
      <w:marTop w:val="0"/>
      <w:marBottom w:val="0"/>
      <w:divBdr>
        <w:top w:val="none" w:sz="0" w:space="0" w:color="auto"/>
        <w:left w:val="none" w:sz="0" w:space="0" w:color="auto"/>
        <w:bottom w:val="none" w:sz="0" w:space="0" w:color="auto"/>
        <w:right w:val="none" w:sz="0" w:space="0" w:color="auto"/>
      </w:divBdr>
    </w:div>
    <w:div w:id="1590306943">
      <w:bodyDiv w:val="1"/>
      <w:marLeft w:val="0"/>
      <w:marRight w:val="0"/>
      <w:marTop w:val="0"/>
      <w:marBottom w:val="0"/>
      <w:divBdr>
        <w:top w:val="none" w:sz="0" w:space="0" w:color="auto"/>
        <w:left w:val="none" w:sz="0" w:space="0" w:color="auto"/>
        <w:bottom w:val="none" w:sz="0" w:space="0" w:color="auto"/>
        <w:right w:val="none" w:sz="0" w:space="0" w:color="auto"/>
      </w:divBdr>
    </w:div>
    <w:div w:id="1590433008">
      <w:bodyDiv w:val="1"/>
      <w:marLeft w:val="0"/>
      <w:marRight w:val="0"/>
      <w:marTop w:val="0"/>
      <w:marBottom w:val="0"/>
      <w:divBdr>
        <w:top w:val="none" w:sz="0" w:space="0" w:color="auto"/>
        <w:left w:val="none" w:sz="0" w:space="0" w:color="auto"/>
        <w:bottom w:val="none" w:sz="0" w:space="0" w:color="auto"/>
        <w:right w:val="none" w:sz="0" w:space="0" w:color="auto"/>
      </w:divBdr>
    </w:div>
    <w:div w:id="1590651440">
      <w:bodyDiv w:val="1"/>
      <w:marLeft w:val="0"/>
      <w:marRight w:val="0"/>
      <w:marTop w:val="0"/>
      <w:marBottom w:val="0"/>
      <w:divBdr>
        <w:top w:val="none" w:sz="0" w:space="0" w:color="auto"/>
        <w:left w:val="none" w:sz="0" w:space="0" w:color="auto"/>
        <w:bottom w:val="none" w:sz="0" w:space="0" w:color="auto"/>
        <w:right w:val="none" w:sz="0" w:space="0" w:color="auto"/>
      </w:divBdr>
    </w:div>
    <w:div w:id="1590891586">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591892293">
      <w:bodyDiv w:val="1"/>
      <w:marLeft w:val="0"/>
      <w:marRight w:val="0"/>
      <w:marTop w:val="0"/>
      <w:marBottom w:val="0"/>
      <w:divBdr>
        <w:top w:val="none" w:sz="0" w:space="0" w:color="auto"/>
        <w:left w:val="none" w:sz="0" w:space="0" w:color="auto"/>
        <w:bottom w:val="none" w:sz="0" w:space="0" w:color="auto"/>
        <w:right w:val="none" w:sz="0" w:space="0" w:color="auto"/>
      </w:divBdr>
    </w:div>
    <w:div w:id="1591892981">
      <w:bodyDiv w:val="1"/>
      <w:marLeft w:val="0"/>
      <w:marRight w:val="0"/>
      <w:marTop w:val="0"/>
      <w:marBottom w:val="0"/>
      <w:divBdr>
        <w:top w:val="none" w:sz="0" w:space="0" w:color="auto"/>
        <w:left w:val="none" w:sz="0" w:space="0" w:color="auto"/>
        <w:bottom w:val="none" w:sz="0" w:space="0" w:color="auto"/>
        <w:right w:val="none" w:sz="0" w:space="0" w:color="auto"/>
      </w:divBdr>
    </w:div>
    <w:div w:id="1592201495">
      <w:bodyDiv w:val="1"/>
      <w:marLeft w:val="0"/>
      <w:marRight w:val="0"/>
      <w:marTop w:val="0"/>
      <w:marBottom w:val="0"/>
      <w:divBdr>
        <w:top w:val="none" w:sz="0" w:space="0" w:color="auto"/>
        <w:left w:val="none" w:sz="0" w:space="0" w:color="auto"/>
        <w:bottom w:val="none" w:sz="0" w:space="0" w:color="auto"/>
        <w:right w:val="none" w:sz="0" w:space="0" w:color="auto"/>
      </w:divBdr>
    </w:div>
    <w:div w:id="1592351081">
      <w:bodyDiv w:val="1"/>
      <w:marLeft w:val="0"/>
      <w:marRight w:val="0"/>
      <w:marTop w:val="0"/>
      <w:marBottom w:val="0"/>
      <w:divBdr>
        <w:top w:val="none" w:sz="0" w:space="0" w:color="auto"/>
        <w:left w:val="none" w:sz="0" w:space="0" w:color="auto"/>
        <w:bottom w:val="none" w:sz="0" w:space="0" w:color="auto"/>
        <w:right w:val="none" w:sz="0" w:space="0" w:color="auto"/>
      </w:divBdr>
    </w:div>
    <w:div w:id="1592811242">
      <w:bodyDiv w:val="1"/>
      <w:marLeft w:val="0"/>
      <w:marRight w:val="0"/>
      <w:marTop w:val="0"/>
      <w:marBottom w:val="0"/>
      <w:divBdr>
        <w:top w:val="none" w:sz="0" w:space="0" w:color="auto"/>
        <w:left w:val="none" w:sz="0" w:space="0" w:color="auto"/>
        <w:bottom w:val="none" w:sz="0" w:space="0" w:color="auto"/>
        <w:right w:val="none" w:sz="0" w:space="0" w:color="auto"/>
      </w:divBdr>
    </w:div>
    <w:div w:id="1592936108">
      <w:bodyDiv w:val="1"/>
      <w:marLeft w:val="0"/>
      <w:marRight w:val="0"/>
      <w:marTop w:val="0"/>
      <w:marBottom w:val="0"/>
      <w:divBdr>
        <w:top w:val="none" w:sz="0" w:space="0" w:color="auto"/>
        <w:left w:val="none" w:sz="0" w:space="0" w:color="auto"/>
        <w:bottom w:val="none" w:sz="0" w:space="0" w:color="auto"/>
        <w:right w:val="none" w:sz="0" w:space="0" w:color="auto"/>
      </w:divBdr>
    </w:div>
    <w:div w:id="1593313545">
      <w:bodyDiv w:val="1"/>
      <w:marLeft w:val="0"/>
      <w:marRight w:val="0"/>
      <w:marTop w:val="0"/>
      <w:marBottom w:val="0"/>
      <w:divBdr>
        <w:top w:val="none" w:sz="0" w:space="0" w:color="auto"/>
        <w:left w:val="none" w:sz="0" w:space="0" w:color="auto"/>
        <w:bottom w:val="none" w:sz="0" w:space="0" w:color="auto"/>
        <w:right w:val="none" w:sz="0" w:space="0" w:color="auto"/>
      </w:divBdr>
    </w:div>
    <w:div w:id="1593393450">
      <w:bodyDiv w:val="1"/>
      <w:marLeft w:val="0"/>
      <w:marRight w:val="0"/>
      <w:marTop w:val="0"/>
      <w:marBottom w:val="0"/>
      <w:divBdr>
        <w:top w:val="none" w:sz="0" w:space="0" w:color="auto"/>
        <w:left w:val="none" w:sz="0" w:space="0" w:color="auto"/>
        <w:bottom w:val="none" w:sz="0" w:space="0" w:color="auto"/>
        <w:right w:val="none" w:sz="0" w:space="0" w:color="auto"/>
      </w:divBdr>
    </w:div>
    <w:div w:id="1593465838">
      <w:bodyDiv w:val="1"/>
      <w:marLeft w:val="0"/>
      <w:marRight w:val="0"/>
      <w:marTop w:val="0"/>
      <w:marBottom w:val="0"/>
      <w:divBdr>
        <w:top w:val="none" w:sz="0" w:space="0" w:color="auto"/>
        <w:left w:val="none" w:sz="0" w:space="0" w:color="auto"/>
        <w:bottom w:val="none" w:sz="0" w:space="0" w:color="auto"/>
        <w:right w:val="none" w:sz="0" w:space="0" w:color="auto"/>
      </w:divBdr>
    </w:div>
    <w:div w:id="1593735847">
      <w:bodyDiv w:val="1"/>
      <w:marLeft w:val="0"/>
      <w:marRight w:val="0"/>
      <w:marTop w:val="0"/>
      <w:marBottom w:val="0"/>
      <w:divBdr>
        <w:top w:val="none" w:sz="0" w:space="0" w:color="auto"/>
        <w:left w:val="none" w:sz="0" w:space="0" w:color="auto"/>
        <w:bottom w:val="none" w:sz="0" w:space="0" w:color="auto"/>
        <w:right w:val="none" w:sz="0" w:space="0" w:color="auto"/>
      </w:divBdr>
    </w:div>
    <w:div w:id="1593850549">
      <w:bodyDiv w:val="1"/>
      <w:marLeft w:val="0"/>
      <w:marRight w:val="0"/>
      <w:marTop w:val="0"/>
      <w:marBottom w:val="0"/>
      <w:divBdr>
        <w:top w:val="none" w:sz="0" w:space="0" w:color="auto"/>
        <w:left w:val="none" w:sz="0" w:space="0" w:color="auto"/>
        <w:bottom w:val="none" w:sz="0" w:space="0" w:color="auto"/>
        <w:right w:val="none" w:sz="0" w:space="0" w:color="auto"/>
      </w:divBdr>
    </w:div>
    <w:div w:id="1593858708">
      <w:bodyDiv w:val="1"/>
      <w:marLeft w:val="0"/>
      <w:marRight w:val="0"/>
      <w:marTop w:val="0"/>
      <w:marBottom w:val="0"/>
      <w:divBdr>
        <w:top w:val="none" w:sz="0" w:space="0" w:color="auto"/>
        <w:left w:val="none" w:sz="0" w:space="0" w:color="auto"/>
        <w:bottom w:val="none" w:sz="0" w:space="0" w:color="auto"/>
        <w:right w:val="none" w:sz="0" w:space="0" w:color="auto"/>
      </w:divBdr>
    </w:div>
    <w:div w:id="1594243014">
      <w:bodyDiv w:val="1"/>
      <w:marLeft w:val="0"/>
      <w:marRight w:val="0"/>
      <w:marTop w:val="0"/>
      <w:marBottom w:val="0"/>
      <w:divBdr>
        <w:top w:val="none" w:sz="0" w:space="0" w:color="auto"/>
        <w:left w:val="none" w:sz="0" w:space="0" w:color="auto"/>
        <w:bottom w:val="none" w:sz="0" w:space="0" w:color="auto"/>
        <w:right w:val="none" w:sz="0" w:space="0" w:color="auto"/>
      </w:divBdr>
    </w:div>
    <w:div w:id="1594315180">
      <w:bodyDiv w:val="1"/>
      <w:marLeft w:val="0"/>
      <w:marRight w:val="0"/>
      <w:marTop w:val="0"/>
      <w:marBottom w:val="0"/>
      <w:divBdr>
        <w:top w:val="none" w:sz="0" w:space="0" w:color="auto"/>
        <w:left w:val="none" w:sz="0" w:space="0" w:color="auto"/>
        <w:bottom w:val="none" w:sz="0" w:space="0" w:color="auto"/>
        <w:right w:val="none" w:sz="0" w:space="0" w:color="auto"/>
      </w:divBdr>
    </w:div>
    <w:div w:id="1594316798">
      <w:bodyDiv w:val="1"/>
      <w:marLeft w:val="0"/>
      <w:marRight w:val="0"/>
      <w:marTop w:val="0"/>
      <w:marBottom w:val="0"/>
      <w:divBdr>
        <w:top w:val="none" w:sz="0" w:space="0" w:color="auto"/>
        <w:left w:val="none" w:sz="0" w:space="0" w:color="auto"/>
        <w:bottom w:val="none" w:sz="0" w:space="0" w:color="auto"/>
        <w:right w:val="none" w:sz="0" w:space="0" w:color="auto"/>
      </w:divBdr>
    </w:div>
    <w:div w:id="1594584670">
      <w:bodyDiv w:val="1"/>
      <w:marLeft w:val="0"/>
      <w:marRight w:val="0"/>
      <w:marTop w:val="0"/>
      <w:marBottom w:val="0"/>
      <w:divBdr>
        <w:top w:val="none" w:sz="0" w:space="0" w:color="auto"/>
        <w:left w:val="none" w:sz="0" w:space="0" w:color="auto"/>
        <w:bottom w:val="none" w:sz="0" w:space="0" w:color="auto"/>
        <w:right w:val="none" w:sz="0" w:space="0" w:color="auto"/>
      </w:divBdr>
    </w:div>
    <w:div w:id="1594779238">
      <w:bodyDiv w:val="1"/>
      <w:marLeft w:val="0"/>
      <w:marRight w:val="0"/>
      <w:marTop w:val="0"/>
      <w:marBottom w:val="0"/>
      <w:divBdr>
        <w:top w:val="none" w:sz="0" w:space="0" w:color="auto"/>
        <w:left w:val="none" w:sz="0" w:space="0" w:color="auto"/>
        <w:bottom w:val="none" w:sz="0" w:space="0" w:color="auto"/>
        <w:right w:val="none" w:sz="0" w:space="0" w:color="auto"/>
      </w:divBdr>
    </w:div>
    <w:div w:id="1594892912">
      <w:bodyDiv w:val="1"/>
      <w:marLeft w:val="0"/>
      <w:marRight w:val="0"/>
      <w:marTop w:val="0"/>
      <w:marBottom w:val="0"/>
      <w:divBdr>
        <w:top w:val="none" w:sz="0" w:space="0" w:color="auto"/>
        <w:left w:val="none" w:sz="0" w:space="0" w:color="auto"/>
        <w:bottom w:val="none" w:sz="0" w:space="0" w:color="auto"/>
        <w:right w:val="none" w:sz="0" w:space="0" w:color="auto"/>
      </w:divBdr>
    </w:div>
    <w:div w:id="1595090436">
      <w:bodyDiv w:val="1"/>
      <w:marLeft w:val="0"/>
      <w:marRight w:val="0"/>
      <w:marTop w:val="0"/>
      <w:marBottom w:val="0"/>
      <w:divBdr>
        <w:top w:val="none" w:sz="0" w:space="0" w:color="auto"/>
        <w:left w:val="none" w:sz="0" w:space="0" w:color="auto"/>
        <w:bottom w:val="none" w:sz="0" w:space="0" w:color="auto"/>
        <w:right w:val="none" w:sz="0" w:space="0" w:color="auto"/>
      </w:divBdr>
    </w:div>
    <w:div w:id="1595165058">
      <w:bodyDiv w:val="1"/>
      <w:marLeft w:val="0"/>
      <w:marRight w:val="0"/>
      <w:marTop w:val="0"/>
      <w:marBottom w:val="0"/>
      <w:divBdr>
        <w:top w:val="none" w:sz="0" w:space="0" w:color="auto"/>
        <w:left w:val="none" w:sz="0" w:space="0" w:color="auto"/>
        <w:bottom w:val="none" w:sz="0" w:space="0" w:color="auto"/>
        <w:right w:val="none" w:sz="0" w:space="0" w:color="auto"/>
      </w:divBdr>
    </w:div>
    <w:div w:id="1595168783">
      <w:bodyDiv w:val="1"/>
      <w:marLeft w:val="0"/>
      <w:marRight w:val="0"/>
      <w:marTop w:val="0"/>
      <w:marBottom w:val="0"/>
      <w:divBdr>
        <w:top w:val="none" w:sz="0" w:space="0" w:color="auto"/>
        <w:left w:val="none" w:sz="0" w:space="0" w:color="auto"/>
        <w:bottom w:val="none" w:sz="0" w:space="0" w:color="auto"/>
        <w:right w:val="none" w:sz="0" w:space="0" w:color="auto"/>
      </w:divBdr>
    </w:div>
    <w:div w:id="1595169067">
      <w:bodyDiv w:val="1"/>
      <w:marLeft w:val="0"/>
      <w:marRight w:val="0"/>
      <w:marTop w:val="0"/>
      <w:marBottom w:val="0"/>
      <w:divBdr>
        <w:top w:val="none" w:sz="0" w:space="0" w:color="auto"/>
        <w:left w:val="none" w:sz="0" w:space="0" w:color="auto"/>
        <w:bottom w:val="none" w:sz="0" w:space="0" w:color="auto"/>
        <w:right w:val="none" w:sz="0" w:space="0" w:color="auto"/>
      </w:divBdr>
    </w:div>
    <w:div w:id="1595363275">
      <w:bodyDiv w:val="1"/>
      <w:marLeft w:val="0"/>
      <w:marRight w:val="0"/>
      <w:marTop w:val="0"/>
      <w:marBottom w:val="0"/>
      <w:divBdr>
        <w:top w:val="none" w:sz="0" w:space="0" w:color="auto"/>
        <w:left w:val="none" w:sz="0" w:space="0" w:color="auto"/>
        <w:bottom w:val="none" w:sz="0" w:space="0" w:color="auto"/>
        <w:right w:val="none" w:sz="0" w:space="0" w:color="auto"/>
      </w:divBdr>
    </w:div>
    <w:div w:id="1595478497">
      <w:bodyDiv w:val="1"/>
      <w:marLeft w:val="0"/>
      <w:marRight w:val="0"/>
      <w:marTop w:val="0"/>
      <w:marBottom w:val="0"/>
      <w:divBdr>
        <w:top w:val="none" w:sz="0" w:space="0" w:color="auto"/>
        <w:left w:val="none" w:sz="0" w:space="0" w:color="auto"/>
        <w:bottom w:val="none" w:sz="0" w:space="0" w:color="auto"/>
        <w:right w:val="none" w:sz="0" w:space="0" w:color="auto"/>
      </w:divBdr>
    </w:div>
    <w:div w:id="1595555972">
      <w:bodyDiv w:val="1"/>
      <w:marLeft w:val="0"/>
      <w:marRight w:val="0"/>
      <w:marTop w:val="0"/>
      <w:marBottom w:val="0"/>
      <w:divBdr>
        <w:top w:val="none" w:sz="0" w:space="0" w:color="auto"/>
        <w:left w:val="none" w:sz="0" w:space="0" w:color="auto"/>
        <w:bottom w:val="none" w:sz="0" w:space="0" w:color="auto"/>
        <w:right w:val="none" w:sz="0" w:space="0" w:color="auto"/>
      </w:divBdr>
    </w:div>
    <w:div w:id="1595673137">
      <w:bodyDiv w:val="1"/>
      <w:marLeft w:val="0"/>
      <w:marRight w:val="0"/>
      <w:marTop w:val="0"/>
      <w:marBottom w:val="0"/>
      <w:divBdr>
        <w:top w:val="none" w:sz="0" w:space="0" w:color="auto"/>
        <w:left w:val="none" w:sz="0" w:space="0" w:color="auto"/>
        <w:bottom w:val="none" w:sz="0" w:space="0" w:color="auto"/>
        <w:right w:val="none" w:sz="0" w:space="0" w:color="auto"/>
      </w:divBdr>
    </w:div>
    <w:div w:id="1596131855">
      <w:bodyDiv w:val="1"/>
      <w:marLeft w:val="0"/>
      <w:marRight w:val="0"/>
      <w:marTop w:val="0"/>
      <w:marBottom w:val="0"/>
      <w:divBdr>
        <w:top w:val="none" w:sz="0" w:space="0" w:color="auto"/>
        <w:left w:val="none" w:sz="0" w:space="0" w:color="auto"/>
        <w:bottom w:val="none" w:sz="0" w:space="0" w:color="auto"/>
        <w:right w:val="none" w:sz="0" w:space="0" w:color="auto"/>
      </w:divBdr>
    </w:div>
    <w:div w:id="1596134951">
      <w:bodyDiv w:val="1"/>
      <w:marLeft w:val="0"/>
      <w:marRight w:val="0"/>
      <w:marTop w:val="0"/>
      <w:marBottom w:val="0"/>
      <w:divBdr>
        <w:top w:val="none" w:sz="0" w:space="0" w:color="auto"/>
        <w:left w:val="none" w:sz="0" w:space="0" w:color="auto"/>
        <w:bottom w:val="none" w:sz="0" w:space="0" w:color="auto"/>
        <w:right w:val="none" w:sz="0" w:space="0" w:color="auto"/>
      </w:divBdr>
    </w:div>
    <w:div w:id="1596203927">
      <w:bodyDiv w:val="1"/>
      <w:marLeft w:val="0"/>
      <w:marRight w:val="0"/>
      <w:marTop w:val="0"/>
      <w:marBottom w:val="0"/>
      <w:divBdr>
        <w:top w:val="none" w:sz="0" w:space="0" w:color="auto"/>
        <w:left w:val="none" w:sz="0" w:space="0" w:color="auto"/>
        <w:bottom w:val="none" w:sz="0" w:space="0" w:color="auto"/>
        <w:right w:val="none" w:sz="0" w:space="0" w:color="auto"/>
      </w:divBdr>
    </w:div>
    <w:div w:id="1596474194">
      <w:bodyDiv w:val="1"/>
      <w:marLeft w:val="0"/>
      <w:marRight w:val="0"/>
      <w:marTop w:val="0"/>
      <w:marBottom w:val="0"/>
      <w:divBdr>
        <w:top w:val="none" w:sz="0" w:space="0" w:color="auto"/>
        <w:left w:val="none" w:sz="0" w:space="0" w:color="auto"/>
        <w:bottom w:val="none" w:sz="0" w:space="0" w:color="auto"/>
        <w:right w:val="none" w:sz="0" w:space="0" w:color="auto"/>
      </w:divBdr>
    </w:div>
    <w:div w:id="1596477372">
      <w:bodyDiv w:val="1"/>
      <w:marLeft w:val="0"/>
      <w:marRight w:val="0"/>
      <w:marTop w:val="0"/>
      <w:marBottom w:val="0"/>
      <w:divBdr>
        <w:top w:val="none" w:sz="0" w:space="0" w:color="auto"/>
        <w:left w:val="none" w:sz="0" w:space="0" w:color="auto"/>
        <w:bottom w:val="none" w:sz="0" w:space="0" w:color="auto"/>
        <w:right w:val="none" w:sz="0" w:space="0" w:color="auto"/>
      </w:divBdr>
    </w:div>
    <w:div w:id="1596590765">
      <w:bodyDiv w:val="1"/>
      <w:marLeft w:val="0"/>
      <w:marRight w:val="0"/>
      <w:marTop w:val="0"/>
      <w:marBottom w:val="0"/>
      <w:divBdr>
        <w:top w:val="none" w:sz="0" w:space="0" w:color="auto"/>
        <w:left w:val="none" w:sz="0" w:space="0" w:color="auto"/>
        <w:bottom w:val="none" w:sz="0" w:space="0" w:color="auto"/>
        <w:right w:val="none" w:sz="0" w:space="0" w:color="auto"/>
      </w:divBdr>
    </w:div>
    <w:div w:id="1596596394">
      <w:bodyDiv w:val="1"/>
      <w:marLeft w:val="0"/>
      <w:marRight w:val="0"/>
      <w:marTop w:val="0"/>
      <w:marBottom w:val="0"/>
      <w:divBdr>
        <w:top w:val="none" w:sz="0" w:space="0" w:color="auto"/>
        <w:left w:val="none" w:sz="0" w:space="0" w:color="auto"/>
        <w:bottom w:val="none" w:sz="0" w:space="0" w:color="auto"/>
        <w:right w:val="none" w:sz="0" w:space="0" w:color="auto"/>
      </w:divBdr>
    </w:div>
    <w:div w:id="1596866738">
      <w:bodyDiv w:val="1"/>
      <w:marLeft w:val="0"/>
      <w:marRight w:val="0"/>
      <w:marTop w:val="0"/>
      <w:marBottom w:val="0"/>
      <w:divBdr>
        <w:top w:val="none" w:sz="0" w:space="0" w:color="auto"/>
        <w:left w:val="none" w:sz="0" w:space="0" w:color="auto"/>
        <w:bottom w:val="none" w:sz="0" w:space="0" w:color="auto"/>
        <w:right w:val="none" w:sz="0" w:space="0" w:color="auto"/>
      </w:divBdr>
    </w:div>
    <w:div w:id="1596867130">
      <w:bodyDiv w:val="1"/>
      <w:marLeft w:val="0"/>
      <w:marRight w:val="0"/>
      <w:marTop w:val="0"/>
      <w:marBottom w:val="0"/>
      <w:divBdr>
        <w:top w:val="none" w:sz="0" w:space="0" w:color="auto"/>
        <w:left w:val="none" w:sz="0" w:space="0" w:color="auto"/>
        <w:bottom w:val="none" w:sz="0" w:space="0" w:color="auto"/>
        <w:right w:val="none" w:sz="0" w:space="0" w:color="auto"/>
      </w:divBdr>
    </w:div>
    <w:div w:id="1596984405">
      <w:bodyDiv w:val="1"/>
      <w:marLeft w:val="0"/>
      <w:marRight w:val="0"/>
      <w:marTop w:val="0"/>
      <w:marBottom w:val="0"/>
      <w:divBdr>
        <w:top w:val="none" w:sz="0" w:space="0" w:color="auto"/>
        <w:left w:val="none" w:sz="0" w:space="0" w:color="auto"/>
        <w:bottom w:val="none" w:sz="0" w:space="0" w:color="auto"/>
        <w:right w:val="none" w:sz="0" w:space="0" w:color="auto"/>
      </w:divBdr>
    </w:div>
    <w:div w:id="1597127947">
      <w:bodyDiv w:val="1"/>
      <w:marLeft w:val="0"/>
      <w:marRight w:val="0"/>
      <w:marTop w:val="0"/>
      <w:marBottom w:val="0"/>
      <w:divBdr>
        <w:top w:val="none" w:sz="0" w:space="0" w:color="auto"/>
        <w:left w:val="none" w:sz="0" w:space="0" w:color="auto"/>
        <w:bottom w:val="none" w:sz="0" w:space="0" w:color="auto"/>
        <w:right w:val="none" w:sz="0" w:space="0" w:color="auto"/>
      </w:divBdr>
    </w:div>
    <w:div w:id="1597593624">
      <w:bodyDiv w:val="1"/>
      <w:marLeft w:val="0"/>
      <w:marRight w:val="0"/>
      <w:marTop w:val="0"/>
      <w:marBottom w:val="0"/>
      <w:divBdr>
        <w:top w:val="none" w:sz="0" w:space="0" w:color="auto"/>
        <w:left w:val="none" w:sz="0" w:space="0" w:color="auto"/>
        <w:bottom w:val="none" w:sz="0" w:space="0" w:color="auto"/>
        <w:right w:val="none" w:sz="0" w:space="0" w:color="auto"/>
      </w:divBdr>
    </w:div>
    <w:div w:id="1597665846">
      <w:bodyDiv w:val="1"/>
      <w:marLeft w:val="0"/>
      <w:marRight w:val="0"/>
      <w:marTop w:val="0"/>
      <w:marBottom w:val="0"/>
      <w:divBdr>
        <w:top w:val="none" w:sz="0" w:space="0" w:color="auto"/>
        <w:left w:val="none" w:sz="0" w:space="0" w:color="auto"/>
        <w:bottom w:val="none" w:sz="0" w:space="0" w:color="auto"/>
        <w:right w:val="none" w:sz="0" w:space="0" w:color="auto"/>
      </w:divBdr>
    </w:div>
    <w:div w:id="1597710581">
      <w:bodyDiv w:val="1"/>
      <w:marLeft w:val="0"/>
      <w:marRight w:val="0"/>
      <w:marTop w:val="0"/>
      <w:marBottom w:val="0"/>
      <w:divBdr>
        <w:top w:val="none" w:sz="0" w:space="0" w:color="auto"/>
        <w:left w:val="none" w:sz="0" w:space="0" w:color="auto"/>
        <w:bottom w:val="none" w:sz="0" w:space="0" w:color="auto"/>
        <w:right w:val="none" w:sz="0" w:space="0" w:color="auto"/>
      </w:divBdr>
    </w:div>
    <w:div w:id="1598177127">
      <w:bodyDiv w:val="1"/>
      <w:marLeft w:val="0"/>
      <w:marRight w:val="0"/>
      <w:marTop w:val="0"/>
      <w:marBottom w:val="0"/>
      <w:divBdr>
        <w:top w:val="none" w:sz="0" w:space="0" w:color="auto"/>
        <w:left w:val="none" w:sz="0" w:space="0" w:color="auto"/>
        <w:bottom w:val="none" w:sz="0" w:space="0" w:color="auto"/>
        <w:right w:val="none" w:sz="0" w:space="0" w:color="auto"/>
      </w:divBdr>
    </w:div>
    <w:div w:id="1598324355">
      <w:bodyDiv w:val="1"/>
      <w:marLeft w:val="0"/>
      <w:marRight w:val="0"/>
      <w:marTop w:val="0"/>
      <w:marBottom w:val="0"/>
      <w:divBdr>
        <w:top w:val="none" w:sz="0" w:space="0" w:color="auto"/>
        <w:left w:val="none" w:sz="0" w:space="0" w:color="auto"/>
        <w:bottom w:val="none" w:sz="0" w:space="0" w:color="auto"/>
        <w:right w:val="none" w:sz="0" w:space="0" w:color="auto"/>
      </w:divBdr>
    </w:div>
    <w:div w:id="1599026255">
      <w:bodyDiv w:val="1"/>
      <w:marLeft w:val="0"/>
      <w:marRight w:val="0"/>
      <w:marTop w:val="0"/>
      <w:marBottom w:val="0"/>
      <w:divBdr>
        <w:top w:val="none" w:sz="0" w:space="0" w:color="auto"/>
        <w:left w:val="none" w:sz="0" w:space="0" w:color="auto"/>
        <w:bottom w:val="none" w:sz="0" w:space="0" w:color="auto"/>
        <w:right w:val="none" w:sz="0" w:space="0" w:color="auto"/>
      </w:divBdr>
    </w:div>
    <w:div w:id="1599098525">
      <w:bodyDiv w:val="1"/>
      <w:marLeft w:val="0"/>
      <w:marRight w:val="0"/>
      <w:marTop w:val="0"/>
      <w:marBottom w:val="0"/>
      <w:divBdr>
        <w:top w:val="none" w:sz="0" w:space="0" w:color="auto"/>
        <w:left w:val="none" w:sz="0" w:space="0" w:color="auto"/>
        <w:bottom w:val="none" w:sz="0" w:space="0" w:color="auto"/>
        <w:right w:val="none" w:sz="0" w:space="0" w:color="auto"/>
      </w:divBdr>
    </w:div>
    <w:div w:id="1599363417">
      <w:bodyDiv w:val="1"/>
      <w:marLeft w:val="0"/>
      <w:marRight w:val="0"/>
      <w:marTop w:val="0"/>
      <w:marBottom w:val="0"/>
      <w:divBdr>
        <w:top w:val="none" w:sz="0" w:space="0" w:color="auto"/>
        <w:left w:val="none" w:sz="0" w:space="0" w:color="auto"/>
        <w:bottom w:val="none" w:sz="0" w:space="0" w:color="auto"/>
        <w:right w:val="none" w:sz="0" w:space="0" w:color="auto"/>
      </w:divBdr>
    </w:div>
    <w:div w:id="1599486410">
      <w:bodyDiv w:val="1"/>
      <w:marLeft w:val="0"/>
      <w:marRight w:val="0"/>
      <w:marTop w:val="0"/>
      <w:marBottom w:val="0"/>
      <w:divBdr>
        <w:top w:val="none" w:sz="0" w:space="0" w:color="auto"/>
        <w:left w:val="none" w:sz="0" w:space="0" w:color="auto"/>
        <w:bottom w:val="none" w:sz="0" w:space="0" w:color="auto"/>
        <w:right w:val="none" w:sz="0" w:space="0" w:color="auto"/>
      </w:divBdr>
    </w:div>
    <w:div w:id="1599486518">
      <w:bodyDiv w:val="1"/>
      <w:marLeft w:val="0"/>
      <w:marRight w:val="0"/>
      <w:marTop w:val="0"/>
      <w:marBottom w:val="0"/>
      <w:divBdr>
        <w:top w:val="none" w:sz="0" w:space="0" w:color="auto"/>
        <w:left w:val="none" w:sz="0" w:space="0" w:color="auto"/>
        <w:bottom w:val="none" w:sz="0" w:space="0" w:color="auto"/>
        <w:right w:val="none" w:sz="0" w:space="0" w:color="auto"/>
      </w:divBdr>
    </w:div>
    <w:div w:id="1599681023">
      <w:bodyDiv w:val="1"/>
      <w:marLeft w:val="0"/>
      <w:marRight w:val="0"/>
      <w:marTop w:val="0"/>
      <w:marBottom w:val="0"/>
      <w:divBdr>
        <w:top w:val="none" w:sz="0" w:space="0" w:color="auto"/>
        <w:left w:val="none" w:sz="0" w:space="0" w:color="auto"/>
        <w:bottom w:val="none" w:sz="0" w:space="0" w:color="auto"/>
        <w:right w:val="none" w:sz="0" w:space="0" w:color="auto"/>
      </w:divBdr>
    </w:div>
    <w:div w:id="1599829000">
      <w:bodyDiv w:val="1"/>
      <w:marLeft w:val="0"/>
      <w:marRight w:val="0"/>
      <w:marTop w:val="0"/>
      <w:marBottom w:val="0"/>
      <w:divBdr>
        <w:top w:val="none" w:sz="0" w:space="0" w:color="auto"/>
        <w:left w:val="none" w:sz="0" w:space="0" w:color="auto"/>
        <w:bottom w:val="none" w:sz="0" w:space="0" w:color="auto"/>
        <w:right w:val="none" w:sz="0" w:space="0" w:color="auto"/>
      </w:divBdr>
    </w:div>
    <w:div w:id="1599941674">
      <w:bodyDiv w:val="1"/>
      <w:marLeft w:val="0"/>
      <w:marRight w:val="0"/>
      <w:marTop w:val="0"/>
      <w:marBottom w:val="0"/>
      <w:divBdr>
        <w:top w:val="none" w:sz="0" w:space="0" w:color="auto"/>
        <w:left w:val="none" w:sz="0" w:space="0" w:color="auto"/>
        <w:bottom w:val="none" w:sz="0" w:space="0" w:color="auto"/>
        <w:right w:val="none" w:sz="0" w:space="0" w:color="auto"/>
      </w:divBdr>
    </w:div>
    <w:div w:id="1600066537">
      <w:bodyDiv w:val="1"/>
      <w:marLeft w:val="0"/>
      <w:marRight w:val="0"/>
      <w:marTop w:val="0"/>
      <w:marBottom w:val="0"/>
      <w:divBdr>
        <w:top w:val="none" w:sz="0" w:space="0" w:color="auto"/>
        <w:left w:val="none" w:sz="0" w:space="0" w:color="auto"/>
        <w:bottom w:val="none" w:sz="0" w:space="0" w:color="auto"/>
        <w:right w:val="none" w:sz="0" w:space="0" w:color="auto"/>
      </w:divBdr>
    </w:div>
    <w:div w:id="1600717271">
      <w:bodyDiv w:val="1"/>
      <w:marLeft w:val="0"/>
      <w:marRight w:val="0"/>
      <w:marTop w:val="0"/>
      <w:marBottom w:val="0"/>
      <w:divBdr>
        <w:top w:val="none" w:sz="0" w:space="0" w:color="auto"/>
        <w:left w:val="none" w:sz="0" w:space="0" w:color="auto"/>
        <w:bottom w:val="none" w:sz="0" w:space="0" w:color="auto"/>
        <w:right w:val="none" w:sz="0" w:space="0" w:color="auto"/>
      </w:divBdr>
    </w:div>
    <w:div w:id="1600943015">
      <w:bodyDiv w:val="1"/>
      <w:marLeft w:val="0"/>
      <w:marRight w:val="0"/>
      <w:marTop w:val="0"/>
      <w:marBottom w:val="0"/>
      <w:divBdr>
        <w:top w:val="none" w:sz="0" w:space="0" w:color="auto"/>
        <w:left w:val="none" w:sz="0" w:space="0" w:color="auto"/>
        <w:bottom w:val="none" w:sz="0" w:space="0" w:color="auto"/>
        <w:right w:val="none" w:sz="0" w:space="0" w:color="auto"/>
      </w:divBdr>
    </w:div>
    <w:div w:id="1600988724">
      <w:bodyDiv w:val="1"/>
      <w:marLeft w:val="0"/>
      <w:marRight w:val="0"/>
      <w:marTop w:val="0"/>
      <w:marBottom w:val="0"/>
      <w:divBdr>
        <w:top w:val="none" w:sz="0" w:space="0" w:color="auto"/>
        <w:left w:val="none" w:sz="0" w:space="0" w:color="auto"/>
        <w:bottom w:val="none" w:sz="0" w:space="0" w:color="auto"/>
        <w:right w:val="none" w:sz="0" w:space="0" w:color="auto"/>
      </w:divBdr>
    </w:div>
    <w:div w:id="1601255457">
      <w:bodyDiv w:val="1"/>
      <w:marLeft w:val="0"/>
      <w:marRight w:val="0"/>
      <w:marTop w:val="0"/>
      <w:marBottom w:val="0"/>
      <w:divBdr>
        <w:top w:val="none" w:sz="0" w:space="0" w:color="auto"/>
        <w:left w:val="none" w:sz="0" w:space="0" w:color="auto"/>
        <w:bottom w:val="none" w:sz="0" w:space="0" w:color="auto"/>
        <w:right w:val="none" w:sz="0" w:space="0" w:color="auto"/>
      </w:divBdr>
    </w:div>
    <w:div w:id="1601372895">
      <w:bodyDiv w:val="1"/>
      <w:marLeft w:val="0"/>
      <w:marRight w:val="0"/>
      <w:marTop w:val="0"/>
      <w:marBottom w:val="0"/>
      <w:divBdr>
        <w:top w:val="none" w:sz="0" w:space="0" w:color="auto"/>
        <w:left w:val="none" w:sz="0" w:space="0" w:color="auto"/>
        <w:bottom w:val="none" w:sz="0" w:space="0" w:color="auto"/>
        <w:right w:val="none" w:sz="0" w:space="0" w:color="auto"/>
      </w:divBdr>
    </w:div>
    <w:div w:id="1601373048">
      <w:bodyDiv w:val="1"/>
      <w:marLeft w:val="0"/>
      <w:marRight w:val="0"/>
      <w:marTop w:val="0"/>
      <w:marBottom w:val="0"/>
      <w:divBdr>
        <w:top w:val="none" w:sz="0" w:space="0" w:color="auto"/>
        <w:left w:val="none" w:sz="0" w:space="0" w:color="auto"/>
        <w:bottom w:val="none" w:sz="0" w:space="0" w:color="auto"/>
        <w:right w:val="none" w:sz="0" w:space="0" w:color="auto"/>
      </w:divBdr>
    </w:div>
    <w:div w:id="1601374764">
      <w:bodyDiv w:val="1"/>
      <w:marLeft w:val="0"/>
      <w:marRight w:val="0"/>
      <w:marTop w:val="0"/>
      <w:marBottom w:val="0"/>
      <w:divBdr>
        <w:top w:val="none" w:sz="0" w:space="0" w:color="auto"/>
        <w:left w:val="none" w:sz="0" w:space="0" w:color="auto"/>
        <w:bottom w:val="none" w:sz="0" w:space="0" w:color="auto"/>
        <w:right w:val="none" w:sz="0" w:space="0" w:color="auto"/>
      </w:divBdr>
    </w:div>
    <w:div w:id="1602181076">
      <w:bodyDiv w:val="1"/>
      <w:marLeft w:val="0"/>
      <w:marRight w:val="0"/>
      <w:marTop w:val="0"/>
      <w:marBottom w:val="0"/>
      <w:divBdr>
        <w:top w:val="none" w:sz="0" w:space="0" w:color="auto"/>
        <w:left w:val="none" w:sz="0" w:space="0" w:color="auto"/>
        <w:bottom w:val="none" w:sz="0" w:space="0" w:color="auto"/>
        <w:right w:val="none" w:sz="0" w:space="0" w:color="auto"/>
      </w:divBdr>
    </w:div>
    <w:div w:id="1602251795">
      <w:bodyDiv w:val="1"/>
      <w:marLeft w:val="0"/>
      <w:marRight w:val="0"/>
      <w:marTop w:val="0"/>
      <w:marBottom w:val="0"/>
      <w:divBdr>
        <w:top w:val="none" w:sz="0" w:space="0" w:color="auto"/>
        <w:left w:val="none" w:sz="0" w:space="0" w:color="auto"/>
        <w:bottom w:val="none" w:sz="0" w:space="0" w:color="auto"/>
        <w:right w:val="none" w:sz="0" w:space="0" w:color="auto"/>
      </w:divBdr>
    </w:div>
    <w:div w:id="1602253537">
      <w:bodyDiv w:val="1"/>
      <w:marLeft w:val="0"/>
      <w:marRight w:val="0"/>
      <w:marTop w:val="0"/>
      <w:marBottom w:val="0"/>
      <w:divBdr>
        <w:top w:val="none" w:sz="0" w:space="0" w:color="auto"/>
        <w:left w:val="none" w:sz="0" w:space="0" w:color="auto"/>
        <w:bottom w:val="none" w:sz="0" w:space="0" w:color="auto"/>
        <w:right w:val="none" w:sz="0" w:space="0" w:color="auto"/>
      </w:divBdr>
    </w:div>
    <w:div w:id="1603024572">
      <w:bodyDiv w:val="1"/>
      <w:marLeft w:val="0"/>
      <w:marRight w:val="0"/>
      <w:marTop w:val="0"/>
      <w:marBottom w:val="0"/>
      <w:divBdr>
        <w:top w:val="none" w:sz="0" w:space="0" w:color="auto"/>
        <w:left w:val="none" w:sz="0" w:space="0" w:color="auto"/>
        <w:bottom w:val="none" w:sz="0" w:space="0" w:color="auto"/>
        <w:right w:val="none" w:sz="0" w:space="0" w:color="auto"/>
      </w:divBdr>
    </w:div>
    <w:div w:id="1603878045">
      <w:bodyDiv w:val="1"/>
      <w:marLeft w:val="0"/>
      <w:marRight w:val="0"/>
      <w:marTop w:val="0"/>
      <w:marBottom w:val="0"/>
      <w:divBdr>
        <w:top w:val="none" w:sz="0" w:space="0" w:color="auto"/>
        <w:left w:val="none" w:sz="0" w:space="0" w:color="auto"/>
        <w:bottom w:val="none" w:sz="0" w:space="0" w:color="auto"/>
        <w:right w:val="none" w:sz="0" w:space="0" w:color="auto"/>
      </w:divBdr>
    </w:div>
    <w:div w:id="1603998671">
      <w:bodyDiv w:val="1"/>
      <w:marLeft w:val="0"/>
      <w:marRight w:val="0"/>
      <w:marTop w:val="0"/>
      <w:marBottom w:val="0"/>
      <w:divBdr>
        <w:top w:val="none" w:sz="0" w:space="0" w:color="auto"/>
        <w:left w:val="none" w:sz="0" w:space="0" w:color="auto"/>
        <w:bottom w:val="none" w:sz="0" w:space="0" w:color="auto"/>
        <w:right w:val="none" w:sz="0" w:space="0" w:color="auto"/>
      </w:divBdr>
    </w:div>
    <w:div w:id="1604650285">
      <w:bodyDiv w:val="1"/>
      <w:marLeft w:val="0"/>
      <w:marRight w:val="0"/>
      <w:marTop w:val="0"/>
      <w:marBottom w:val="0"/>
      <w:divBdr>
        <w:top w:val="none" w:sz="0" w:space="0" w:color="auto"/>
        <w:left w:val="none" w:sz="0" w:space="0" w:color="auto"/>
        <w:bottom w:val="none" w:sz="0" w:space="0" w:color="auto"/>
        <w:right w:val="none" w:sz="0" w:space="0" w:color="auto"/>
      </w:divBdr>
    </w:div>
    <w:div w:id="1604678978">
      <w:bodyDiv w:val="1"/>
      <w:marLeft w:val="0"/>
      <w:marRight w:val="0"/>
      <w:marTop w:val="0"/>
      <w:marBottom w:val="0"/>
      <w:divBdr>
        <w:top w:val="none" w:sz="0" w:space="0" w:color="auto"/>
        <w:left w:val="none" w:sz="0" w:space="0" w:color="auto"/>
        <w:bottom w:val="none" w:sz="0" w:space="0" w:color="auto"/>
        <w:right w:val="none" w:sz="0" w:space="0" w:color="auto"/>
      </w:divBdr>
    </w:div>
    <w:div w:id="1604728788">
      <w:bodyDiv w:val="1"/>
      <w:marLeft w:val="0"/>
      <w:marRight w:val="0"/>
      <w:marTop w:val="0"/>
      <w:marBottom w:val="0"/>
      <w:divBdr>
        <w:top w:val="none" w:sz="0" w:space="0" w:color="auto"/>
        <w:left w:val="none" w:sz="0" w:space="0" w:color="auto"/>
        <w:bottom w:val="none" w:sz="0" w:space="0" w:color="auto"/>
        <w:right w:val="none" w:sz="0" w:space="0" w:color="auto"/>
      </w:divBdr>
    </w:div>
    <w:div w:id="1604729806">
      <w:bodyDiv w:val="1"/>
      <w:marLeft w:val="0"/>
      <w:marRight w:val="0"/>
      <w:marTop w:val="0"/>
      <w:marBottom w:val="0"/>
      <w:divBdr>
        <w:top w:val="none" w:sz="0" w:space="0" w:color="auto"/>
        <w:left w:val="none" w:sz="0" w:space="0" w:color="auto"/>
        <w:bottom w:val="none" w:sz="0" w:space="0" w:color="auto"/>
        <w:right w:val="none" w:sz="0" w:space="0" w:color="auto"/>
      </w:divBdr>
    </w:div>
    <w:div w:id="1604797999">
      <w:bodyDiv w:val="1"/>
      <w:marLeft w:val="0"/>
      <w:marRight w:val="0"/>
      <w:marTop w:val="0"/>
      <w:marBottom w:val="0"/>
      <w:divBdr>
        <w:top w:val="none" w:sz="0" w:space="0" w:color="auto"/>
        <w:left w:val="none" w:sz="0" w:space="0" w:color="auto"/>
        <w:bottom w:val="none" w:sz="0" w:space="0" w:color="auto"/>
        <w:right w:val="none" w:sz="0" w:space="0" w:color="auto"/>
      </w:divBdr>
    </w:div>
    <w:div w:id="1604993032">
      <w:bodyDiv w:val="1"/>
      <w:marLeft w:val="0"/>
      <w:marRight w:val="0"/>
      <w:marTop w:val="0"/>
      <w:marBottom w:val="0"/>
      <w:divBdr>
        <w:top w:val="none" w:sz="0" w:space="0" w:color="auto"/>
        <w:left w:val="none" w:sz="0" w:space="0" w:color="auto"/>
        <w:bottom w:val="none" w:sz="0" w:space="0" w:color="auto"/>
        <w:right w:val="none" w:sz="0" w:space="0" w:color="auto"/>
      </w:divBdr>
    </w:div>
    <w:div w:id="1605454589">
      <w:bodyDiv w:val="1"/>
      <w:marLeft w:val="0"/>
      <w:marRight w:val="0"/>
      <w:marTop w:val="0"/>
      <w:marBottom w:val="0"/>
      <w:divBdr>
        <w:top w:val="none" w:sz="0" w:space="0" w:color="auto"/>
        <w:left w:val="none" w:sz="0" w:space="0" w:color="auto"/>
        <w:bottom w:val="none" w:sz="0" w:space="0" w:color="auto"/>
        <w:right w:val="none" w:sz="0" w:space="0" w:color="auto"/>
      </w:divBdr>
    </w:div>
    <w:div w:id="1605533323">
      <w:bodyDiv w:val="1"/>
      <w:marLeft w:val="0"/>
      <w:marRight w:val="0"/>
      <w:marTop w:val="0"/>
      <w:marBottom w:val="0"/>
      <w:divBdr>
        <w:top w:val="none" w:sz="0" w:space="0" w:color="auto"/>
        <w:left w:val="none" w:sz="0" w:space="0" w:color="auto"/>
        <w:bottom w:val="none" w:sz="0" w:space="0" w:color="auto"/>
        <w:right w:val="none" w:sz="0" w:space="0" w:color="auto"/>
      </w:divBdr>
    </w:div>
    <w:div w:id="1605724412">
      <w:bodyDiv w:val="1"/>
      <w:marLeft w:val="0"/>
      <w:marRight w:val="0"/>
      <w:marTop w:val="0"/>
      <w:marBottom w:val="0"/>
      <w:divBdr>
        <w:top w:val="none" w:sz="0" w:space="0" w:color="auto"/>
        <w:left w:val="none" w:sz="0" w:space="0" w:color="auto"/>
        <w:bottom w:val="none" w:sz="0" w:space="0" w:color="auto"/>
        <w:right w:val="none" w:sz="0" w:space="0" w:color="auto"/>
      </w:divBdr>
    </w:div>
    <w:div w:id="1605725925">
      <w:bodyDiv w:val="1"/>
      <w:marLeft w:val="0"/>
      <w:marRight w:val="0"/>
      <w:marTop w:val="0"/>
      <w:marBottom w:val="0"/>
      <w:divBdr>
        <w:top w:val="none" w:sz="0" w:space="0" w:color="auto"/>
        <w:left w:val="none" w:sz="0" w:space="0" w:color="auto"/>
        <w:bottom w:val="none" w:sz="0" w:space="0" w:color="auto"/>
        <w:right w:val="none" w:sz="0" w:space="0" w:color="auto"/>
      </w:divBdr>
    </w:div>
    <w:div w:id="1605726675">
      <w:bodyDiv w:val="1"/>
      <w:marLeft w:val="0"/>
      <w:marRight w:val="0"/>
      <w:marTop w:val="0"/>
      <w:marBottom w:val="0"/>
      <w:divBdr>
        <w:top w:val="none" w:sz="0" w:space="0" w:color="auto"/>
        <w:left w:val="none" w:sz="0" w:space="0" w:color="auto"/>
        <w:bottom w:val="none" w:sz="0" w:space="0" w:color="auto"/>
        <w:right w:val="none" w:sz="0" w:space="0" w:color="auto"/>
      </w:divBdr>
    </w:div>
    <w:div w:id="1605770752">
      <w:bodyDiv w:val="1"/>
      <w:marLeft w:val="0"/>
      <w:marRight w:val="0"/>
      <w:marTop w:val="0"/>
      <w:marBottom w:val="0"/>
      <w:divBdr>
        <w:top w:val="none" w:sz="0" w:space="0" w:color="auto"/>
        <w:left w:val="none" w:sz="0" w:space="0" w:color="auto"/>
        <w:bottom w:val="none" w:sz="0" w:space="0" w:color="auto"/>
        <w:right w:val="none" w:sz="0" w:space="0" w:color="auto"/>
      </w:divBdr>
    </w:div>
    <w:div w:id="1605771755">
      <w:bodyDiv w:val="1"/>
      <w:marLeft w:val="0"/>
      <w:marRight w:val="0"/>
      <w:marTop w:val="0"/>
      <w:marBottom w:val="0"/>
      <w:divBdr>
        <w:top w:val="none" w:sz="0" w:space="0" w:color="auto"/>
        <w:left w:val="none" w:sz="0" w:space="0" w:color="auto"/>
        <w:bottom w:val="none" w:sz="0" w:space="0" w:color="auto"/>
        <w:right w:val="none" w:sz="0" w:space="0" w:color="auto"/>
      </w:divBdr>
    </w:div>
    <w:div w:id="1606037939">
      <w:bodyDiv w:val="1"/>
      <w:marLeft w:val="0"/>
      <w:marRight w:val="0"/>
      <w:marTop w:val="0"/>
      <w:marBottom w:val="0"/>
      <w:divBdr>
        <w:top w:val="none" w:sz="0" w:space="0" w:color="auto"/>
        <w:left w:val="none" w:sz="0" w:space="0" w:color="auto"/>
        <w:bottom w:val="none" w:sz="0" w:space="0" w:color="auto"/>
        <w:right w:val="none" w:sz="0" w:space="0" w:color="auto"/>
      </w:divBdr>
    </w:div>
    <w:div w:id="1606159002">
      <w:bodyDiv w:val="1"/>
      <w:marLeft w:val="0"/>
      <w:marRight w:val="0"/>
      <w:marTop w:val="0"/>
      <w:marBottom w:val="0"/>
      <w:divBdr>
        <w:top w:val="none" w:sz="0" w:space="0" w:color="auto"/>
        <w:left w:val="none" w:sz="0" w:space="0" w:color="auto"/>
        <w:bottom w:val="none" w:sz="0" w:space="0" w:color="auto"/>
        <w:right w:val="none" w:sz="0" w:space="0" w:color="auto"/>
      </w:divBdr>
    </w:div>
    <w:div w:id="1606182912">
      <w:bodyDiv w:val="1"/>
      <w:marLeft w:val="0"/>
      <w:marRight w:val="0"/>
      <w:marTop w:val="0"/>
      <w:marBottom w:val="0"/>
      <w:divBdr>
        <w:top w:val="none" w:sz="0" w:space="0" w:color="auto"/>
        <w:left w:val="none" w:sz="0" w:space="0" w:color="auto"/>
        <w:bottom w:val="none" w:sz="0" w:space="0" w:color="auto"/>
        <w:right w:val="none" w:sz="0" w:space="0" w:color="auto"/>
      </w:divBdr>
    </w:div>
    <w:div w:id="1606379026">
      <w:bodyDiv w:val="1"/>
      <w:marLeft w:val="0"/>
      <w:marRight w:val="0"/>
      <w:marTop w:val="0"/>
      <w:marBottom w:val="0"/>
      <w:divBdr>
        <w:top w:val="none" w:sz="0" w:space="0" w:color="auto"/>
        <w:left w:val="none" w:sz="0" w:space="0" w:color="auto"/>
        <w:bottom w:val="none" w:sz="0" w:space="0" w:color="auto"/>
        <w:right w:val="none" w:sz="0" w:space="0" w:color="auto"/>
      </w:divBdr>
    </w:div>
    <w:div w:id="1606423777">
      <w:bodyDiv w:val="1"/>
      <w:marLeft w:val="0"/>
      <w:marRight w:val="0"/>
      <w:marTop w:val="0"/>
      <w:marBottom w:val="0"/>
      <w:divBdr>
        <w:top w:val="none" w:sz="0" w:space="0" w:color="auto"/>
        <w:left w:val="none" w:sz="0" w:space="0" w:color="auto"/>
        <w:bottom w:val="none" w:sz="0" w:space="0" w:color="auto"/>
        <w:right w:val="none" w:sz="0" w:space="0" w:color="auto"/>
      </w:divBdr>
    </w:div>
    <w:div w:id="1607230657">
      <w:bodyDiv w:val="1"/>
      <w:marLeft w:val="0"/>
      <w:marRight w:val="0"/>
      <w:marTop w:val="0"/>
      <w:marBottom w:val="0"/>
      <w:divBdr>
        <w:top w:val="none" w:sz="0" w:space="0" w:color="auto"/>
        <w:left w:val="none" w:sz="0" w:space="0" w:color="auto"/>
        <w:bottom w:val="none" w:sz="0" w:space="0" w:color="auto"/>
        <w:right w:val="none" w:sz="0" w:space="0" w:color="auto"/>
      </w:divBdr>
    </w:div>
    <w:div w:id="1607231777">
      <w:bodyDiv w:val="1"/>
      <w:marLeft w:val="0"/>
      <w:marRight w:val="0"/>
      <w:marTop w:val="0"/>
      <w:marBottom w:val="0"/>
      <w:divBdr>
        <w:top w:val="none" w:sz="0" w:space="0" w:color="auto"/>
        <w:left w:val="none" w:sz="0" w:space="0" w:color="auto"/>
        <w:bottom w:val="none" w:sz="0" w:space="0" w:color="auto"/>
        <w:right w:val="none" w:sz="0" w:space="0" w:color="auto"/>
      </w:divBdr>
    </w:div>
    <w:div w:id="1607496211">
      <w:bodyDiv w:val="1"/>
      <w:marLeft w:val="0"/>
      <w:marRight w:val="0"/>
      <w:marTop w:val="0"/>
      <w:marBottom w:val="0"/>
      <w:divBdr>
        <w:top w:val="none" w:sz="0" w:space="0" w:color="auto"/>
        <w:left w:val="none" w:sz="0" w:space="0" w:color="auto"/>
        <w:bottom w:val="none" w:sz="0" w:space="0" w:color="auto"/>
        <w:right w:val="none" w:sz="0" w:space="0" w:color="auto"/>
      </w:divBdr>
    </w:div>
    <w:div w:id="1607691419">
      <w:bodyDiv w:val="1"/>
      <w:marLeft w:val="0"/>
      <w:marRight w:val="0"/>
      <w:marTop w:val="0"/>
      <w:marBottom w:val="0"/>
      <w:divBdr>
        <w:top w:val="none" w:sz="0" w:space="0" w:color="auto"/>
        <w:left w:val="none" w:sz="0" w:space="0" w:color="auto"/>
        <w:bottom w:val="none" w:sz="0" w:space="0" w:color="auto"/>
        <w:right w:val="none" w:sz="0" w:space="0" w:color="auto"/>
      </w:divBdr>
    </w:div>
    <w:div w:id="1607733980">
      <w:bodyDiv w:val="1"/>
      <w:marLeft w:val="0"/>
      <w:marRight w:val="0"/>
      <w:marTop w:val="0"/>
      <w:marBottom w:val="0"/>
      <w:divBdr>
        <w:top w:val="none" w:sz="0" w:space="0" w:color="auto"/>
        <w:left w:val="none" w:sz="0" w:space="0" w:color="auto"/>
        <w:bottom w:val="none" w:sz="0" w:space="0" w:color="auto"/>
        <w:right w:val="none" w:sz="0" w:space="0" w:color="auto"/>
      </w:divBdr>
    </w:div>
    <w:div w:id="1608151583">
      <w:bodyDiv w:val="1"/>
      <w:marLeft w:val="0"/>
      <w:marRight w:val="0"/>
      <w:marTop w:val="0"/>
      <w:marBottom w:val="0"/>
      <w:divBdr>
        <w:top w:val="none" w:sz="0" w:space="0" w:color="auto"/>
        <w:left w:val="none" w:sz="0" w:space="0" w:color="auto"/>
        <w:bottom w:val="none" w:sz="0" w:space="0" w:color="auto"/>
        <w:right w:val="none" w:sz="0" w:space="0" w:color="auto"/>
      </w:divBdr>
    </w:div>
    <w:div w:id="1608153971">
      <w:bodyDiv w:val="1"/>
      <w:marLeft w:val="0"/>
      <w:marRight w:val="0"/>
      <w:marTop w:val="0"/>
      <w:marBottom w:val="0"/>
      <w:divBdr>
        <w:top w:val="none" w:sz="0" w:space="0" w:color="auto"/>
        <w:left w:val="none" w:sz="0" w:space="0" w:color="auto"/>
        <w:bottom w:val="none" w:sz="0" w:space="0" w:color="auto"/>
        <w:right w:val="none" w:sz="0" w:space="0" w:color="auto"/>
      </w:divBdr>
    </w:div>
    <w:div w:id="1608346002">
      <w:bodyDiv w:val="1"/>
      <w:marLeft w:val="0"/>
      <w:marRight w:val="0"/>
      <w:marTop w:val="0"/>
      <w:marBottom w:val="0"/>
      <w:divBdr>
        <w:top w:val="none" w:sz="0" w:space="0" w:color="auto"/>
        <w:left w:val="none" w:sz="0" w:space="0" w:color="auto"/>
        <w:bottom w:val="none" w:sz="0" w:space="0" w:color="auto"/>
        <w:right w:val="none" w:sz="0" w:space="0" w:color="auto"/>
      </w:divBdr>
    </w:div>
    <w:div w:id="1608807236">
      <w:bodyDiv w:val="1"/>
      <w:marLeft w:val="0"/>
      <w:marRight w:val="0"/>
      <w:marTop w:val="0"/>
      <w:marBottom w:val="0"/>
      <w:divBdr>
        <w:top w:val="none" w:sz="0" w:space="0" w:color="auto"/>
        <w:left w:val="none" w:sz="0" w:space="0" w:color="auto"/>
        <w:bottom w:val="none" w:sz="0" w:space="0" w:color="auto"/>
        <w:right w:val="none" w:sz="0" w:space="0" w:color="auto"/>
      </w:divBdr>
    </w:div>
    <w:div w:id="1609198502">
      <w:bodyDiv w:val="1"/>
      <w:marLeft w:val="0"/>
      <w:marRight w:val="0"/>
      <w:marTop w:val="0"/>
      <w:marBottom w:val="0"/>
      <w:divBdr>
        <w:top w:val="none" w:sz="0" w:space="0" w:color="auto"/>
        <w:left w:val="none" w:sz="0" w:space="0" w:color="auto"/>
        <w:bottom w:val="none" w:sz="0" w:space="0" w:color="auto"/>
        <w:right w:val="none" w:sz="0" w:space="0" w:color="auto"/>
      </w:divBdr>
    </w:div>
    <w:div w:id="1609315042">
      <w:bodyDiv w:val="1"/>
      <w:marLeft w:val="0"/>
      <w:marRight w:val="0"/>
      <w:marTop w:val="0"/>
      <w:marBottom w:val="0"/>
      <w:divBdr>
        <w:top w:val="none" w:sz="0" w:space="0" w:color="auto"/>
        <w:left w:val="none" w:sz="0" w:space="0" w:color="auto"/>
        <w:bottom w:val="none" w:sz="0" w:space="0" w:color="auto"/>
        <w:right w:val="none" w:sz="0" w:space="0" w:color="auto"/>
      </w:divBdr>
    </w:div>
    <w:div w:id="1609315730">
      <w:bodyDiv w:val="1"/>
      <w:marLeft w:val="0"/>
      <w:marRight w:val="0"/>
      <w:marTop w:val="0"/>
      <w:marBottom w:val="0"/>
      <w:divBdr>
        <w:top w:val="none" w:sz="0" w:space="0" w:color="auto"/>
        <w:left w:val="none" w:sz="0" w:space="0" w:color="auto"/>
        <w:bottom w:val="none" w:sz="0" w:space="0" w:color="auto"/>
        <w:right w:val="none" w:sz="0" w:space="0" w:color="auto"/>
      </w:divBdr>
    </w:div>
    <w:div w:id="1609462294">
      <w:bodyDiv w:val="1"/>
      <w:marLeft w:val="0"/>
      <w:marRight w:val="0"/>
      <w:marTop w:val="0"/>
      <w:marBottom w:val="0"/>
      <w:divBdr>
        <w:top w:val="none" w:sz="0" w:space="0" w:color="auto"/>
        <w:left w:val="none" w:sz="0" w:space="0" w:color="auto"/>
        <w:bottom w:val="none" w:sz="0" w:space="0" w:color="auto"/>
        <w:right w:val="none" w:sz="0" w:space="0" w:color="auto"/>
      </w:divBdr>
    </w:div>
    <w:div w:id="1609510905">
      <w:bodyDiv w:val="1"/>
      <w:marLeft w:val="0"/>
      <w:marRight w:val="0"/>
      <w:marTop w:val="0"/>
      <w:marBottom w:val="0"/>
      <w:divBdr>
        <w:top w:val="none" w:sz="0" w:space="0" w:color="auto"/>
        <w:left w:val="none" w:sz="0" w:space="0" w:color="auto"/>
        <w:bottom w:val="none" w:sz="0" w:space="0" w:color="auto"/>
        <w:right w:val="none" w:sz="0" w:space="0" w:color="auto"/>
      </w:divBdr>
    </w:div>
    <w:div w:id="1609581550">
      <w:bodyDiv w:val="1"/>
      <w:marLeft w:val="0"/>
      <w:marRight w:val="0"/>
      <w:marTop w:val="0"/>
      <w:marBottom w:val="0"/>
      <w:divBdr>
        <w:top w:val="none" w:sz="0" w:space="0" w:color="auto"/>
        <w:left w:val="none" w:sz="0" w:space="0" w:color="auto"/>
        <w:bottom w:val="none" w:sz="0" w:space="0" w:color="auto"/>
        <w:right w:val="none" w:sz="0" w:space="0" w:color="auto"/>
      </w:divBdr>
    </w:div>
    <w:div w:id="1610232922">
      <w:bodyDiv w:val="1"/>
      <w:marLeft w:val="0"/>
      <w:marRight w:val="0"/>
      <w:marTop w:val="0"/>
      <w:marBottom w:val="0"/>
      <w:divBdr>
        <w:top w:val="none" w:sz="0" w:space="0" w:color="auto"/>
        <w:left w:val="none" w:sz="0" w:space="0" w:color="auto"/>
        <w:bottom w:val="none" w:sz="0" w:space="0" w:color="auto"/>
        <w:right w:val="none" w:sz="0" w:space="0" w:color="auto"/>
      </w:divBdr>
    </w:div>
    <w:div w:id="1610312823">
      <w:bodyDiv w:val="1"/>
      <w:marLeft w:val="0"/>
      <w:marRight w:val="0"/>
      <w:marTop w:val="0"/>
      <w:marBottom w:val="0"/>
      <w:divBdr>
        <w:top w:val="none" w:sz="0" w:space="0" w:color="auto"/>
        <w:left w:val="none" w:sz="0" w:space="0" w:color="auto"/>
        <w:bottom w:val="none" w:sz="0" w:space="0" w:color="auto"/>
        <w:right w:val="none" w:sz="0" w:space="0" w:color="auto"/>
      </w:divBdr>
    </w:div>
    <w:div w:id="1610429235">
      <w:bodyDiv w:val="1"/>
      <w:marLeft w:val="0"/>
      <w:marRight w:val="0"/>
      <w:marTop w:val="0"/>
      <w:marBottom w:val="0"/>
      <w:divBdr>
        <w:top w:val="none" w:sz="0" w:space="0" w:color="auto"/>
        <w:left w:val="none" w:sz="0" w:space="0" w:color="auto"/>
        <w:bottom w:val="none" w:sz="0" w:space="0" w:color="auto"/>
        <w:right w:val="none" w:sz="0" w:space="0" w:color="auto"/>
      </w:divBdr>
    </w:div>
    <w:div w:id="1610552786">
      <w:bodyDiv w:val="1"/>
      <w:marLeft w:val="0"/>
      <w:marRight w:val="0"/>
      <w:marTop w:val="0"/>
      <w:marBottom w:val="0"/>
      <w:divBdr>
        <w:top w:val="none" w:sz="0" w:space="0" w:color="auto"/>
        <w:left w:val="none" w:sz="0" w:space="0" w:color="auto"/>
        <w:bottom w:val="none" w:sz="0" w:space="0" w:color="auto"/>
        <w:right w:val="none" w:sz="0" w:space="0" w:color="auto"/>
      </w:divBdr>
    </w:div>
    <w:div w:id="1611008775">
      <w:bodyDiv w:val="1"/>
      <w:marLeft w:val="0"/>
      <w:marRight w:val="0"/>
      <w:marTop w:val="0"/>
      <w:marBottom w:val="0"/>
      <w:divBdr>
        <w:top w:val="none" w:sz="0" w:space="0" w:color="auto"/>
        <w:left w:val="none" w:sz="0" w:space="0" w:color="auto"/>
        <w:bottom w:val="none" w:sz="0" w:space="0" w:color="auto"/>
        <w:right w:val="none" w:sz="0" w:space="0" w:color="auto"/>
      </w:divBdr>
    </w:div>
    <w:div w:id="1611162994">
      <w:bodyDiv w:val="1"/>
      <w:marLeft w:val="0"/>
      <w:marRight w:val="0"/>
      <w:marTop w:val="0"/>
      <w:marBottom w:val="0"/>
      <w:divBdr>
        <w:top w:val="none" w:sz="0" w:space="0" w:color="auto"/>
        <w:left w:val="none" w:sz="0" w:space="0" w:color="auto"/>
        <w:bottom w:val="none" w:sz="0" w:space="0" w:color="auto"/>
        <w:right w:val="none" w:sz="0" w:space="0" w:color="auto"/>
      </w:divBdr>
    </w:div>
    <w:div w:id="1611546111">
      <w:bodyDiv w:val="1"/>
      <w:marLeft w:val="0"/>
      <w:marRight w:val="0"/>
      <w:marTop w:val="0"/>
      <w:marBottom w:val="0"/>
      <w:divBdr>
        <w:top w:val="none" w:sz="0" w:space="0" w:color="auto"/>
        <w:left w:val="none" w:sz="0" w:space="0" w:color="auto"/>
        <w:bottom w:val="none" w:sz="0" w:space="0" w:color="auto"/>
        <w:right w:val="none" w:sz="0" w:space="0" w:color="auto"/>
      </w:divBdr>
    </w:div>
    <w:div w:id="1611740163">
      <w:bodyDiv w:val="1"/>
      <w:marLeft w:val="0"/>
      <w:marRight w:val="0"/>
      <w:marTop w:val="0"/>
      <w:marBottom w:val="0"/>
      <w:divBdr>
        <w:top w:val="none" w:sz="0" w:space="0" w:color="auto"/>
        <w:left w:val="none" w:sz="0" w:space="0" w:color="auto"/>
        <w:bottom w:val="none" w:sz="0" w:space="0" w:color="auto"/>
        <w:right w:val="none" w:sz="0" w:space="0" w:color="auto"/>
      </w:divBdr>
    </w:div>
    <w:div w:id="1611743517">
      <w:bodyDiv w:val="1"/>
      <w:marLeft w:val="0"/>
      <w:marRight w:val="0"/>
      <w:marTop w:val="0"/>
      <w:marBottom w:val="0"/>
      <w:divBdr>
        <w:top w:val="none" w:sz="0" w:space="0" w:color="auto"/>
        <w:left w:val="none" w:sz="0" w:space="0" w:color="auto"/>
        <w:bottom w:val="none" w:sz="0" w:space="0" w:color="auto"/>
        <w:right w:val="none" w:sz="0" w:space="0" w:color="auto"/>
      </w:divBdr>
    </w:div>
    <w:div w:id="1611861403">
      <w:bodyDiv w:val="1"/>
      <w:marLeft w:val="0"/>
      <w:marRight w:val="0"/>
      <w:marTop w:val="0"/>
      <w:marBottom w:val="0"/>
      <w:divBdr>
        <w:top w:val="none" w:sz="0" w:space="0" w:color="auto"/>
        <w:left w:val="none" w:sz="0" w:space="0" w:color="auto"/>
        <w:bottom w:val="none" w:sz="0" w:space="0" w:color="auto"/>
        <w:right w:val="none" w:sz="0" w:space="0" w:color="auto"/>
      </w:divBdr>
    </w:div>
    <w:div w:id="1611933779">
      <w:bodyDiv w:val="1"/>
      <w:marLeft w:val="0"/>
      <w:marRight w:val="0"/>
      <w:marTop w:val="0"/>
      <w:marBottom w:val="0"/>
      <w:divBdr>
        <w:top w:val="none" w:sz="0" w:space="0" w:color="auto"/>
        <w:left w:val="none" w:sz="0" w:space="0" w:color="auto"/>
        <w:bottom w:val="none" w:sz="0" w:space="0" w:color="auto"/>
        <w:right w:val="none" w:sz="0" w:space="0" w:color="auto"/>
      </w:divBdr>
    </w:div>
    <w:div w:id="1612198309">
      <w:bodyDiv w:val="1"/>
      <w:marLeft w:val="0"/>
      <w:marRight w:val="0"/>
      <w:marTop w:val="0"/>
      <w:marBottom w:val="0"/>
      <w:divBdr>
        <w:top w:val="none" w:sz="0" w:space="0" w:color="auto"/>
        <w:left w:val="none" w:sz="0" w:space="0" w:color="auto"/>
        <w:bottom w:val="none" w:sz="0" w:space="0" w:color="auto"/>
        <w:right w:val="none" w:sz="0" w:space="0" w:color="auto"/>
      </w:divBdr>
    </w:div>
    <w:div w:id="1612278956">
      <w:bodyDiv w:val="1"/>
      <w:marLeft w:val="0"/>
      <w:marRight w:val="0"/>
      <w:marTop w:val="0"/>
      <w:marBottom w:val="0"/>
      <w:divBdr>
        <w:top w:val="none" w:sz="0" w:space="0" w:color="auto"/>
        <w:left w:val="none" w:sz="0" w:space="0" w:color="auto"/>
        <w:bottom w:val="none" w:sz="0" w:space="0" w:color="auto"/>
        <w:right w:val="none" w:sz="0" w:space="0" w:color="auto"/>
      </w:divBdr>
    </w:div>
    <w:div w:id="1612392692">
      <w:bodyDiv w:val="1"/>
      <w:marLeft w:val="0"/>
      <w:marRight w:val="0"/>
      <w:marTop w:val="0"/>
      <w:marBottom w:val="0"/>
      <w:divBdr>
        <w:top w:val="none" w:sz="0" w:space="0" w:color="auto"/>
        <w:left w:val="none" w:sz="0" w:space="0" w:color="auto"/>
        <w:bottom w:val="none" w:sz="0" w:space="0" w:color="auto"/>
        <w:right w:val="none" w:sz="0" w:space="0" w:color="auto"/>
      </w:divBdr>
    </w:div>
    <w:div w:id="1612542486">
      <w:bodyDiv w:val="1"/>
      <w:marLeft w:val="0"/>
      <w:marRight w:val="0"/>
      <w:marTop w:val="0"/>
      <w:marBottom w:val="0"/>
      <w:divBdr>
        <w:top w:val="none" w:sz="0" w:space="0" w:color="auto"/>
        <w:left w:val="none" w:sz="0" w:space="0" w:color="auto"/>
        <w:bottom w:val="none" w:sz="0" w:space="0" w:color="auto"/>
        <w:right w:val="none" w:sz="0" w:space="0" w:color="auto"/>
      </w:divBdr>
    </w:div>
    <w:div w:id="1613125111">
      <w:bodyDiv w:val="1"/>
      <w:marLeft w:val="0"/>
      <w:marRight w:val="0"/>
      <w:marTop w:val="0"/>
      <w:marBottom w:val="0"/>
      <w:divBdr>
        <w:top w:val="none" w:sz="0" w:space="0" w:color="auto"/>
        <w:left w:val="none" w:sz="0" w:space="0" w:color="auto"/>
        <w:bottom w:val="none" w:sz="0" w:space="0" w:color="auto"/>
        <w:right w:val="none" w:sz="0" w:space="0" w:color="auto"/>
      </w:divBdr>
    </w:div>
    <w:div w:id="1613245596">
      <w:bodyDiv w:val="1"/>
      <w:marLeft w:val="0"/>
      <w:marRight w:val="0"/>
      <w:marTop w:val="0"/>
      <w:marBottom w:val="0"/>
      <w:divBdr>
        <w:top w:val="none" w:sz="0" w:space="0" w:color="auto"/>
        <w:left w:val="none" w:sz="0" w:space="0" w:color="auto"/>
        <w:bottom w:val="none" w:sz="0" w:space="0" w:color="auto"/>
        <w:right w:val="none" w:sz="0" w:space="0" w:color="auto"/>
      </w:divBdr>
    </w:div>
    <w:div w:id="1613320969">
      <w:bodyDiv w:val="1"/>
      <w:marLeft w:val="0"/>
      <w:marRight w:val="0"/>
      <w:marTop w:val="0"/>
      <w:marBottom w:val="0"/>
      <w:divBdr>
        <w:top w:val="none" w:sz="0" w:space="0" w:color="auto"/>
        <w:left w:val="none" w:sz="0" w:space="0" w:color="auto"/>
        <w:bottom w:val="none" w:sz="0" w:space="0" w:color="auto"/>
        <w:right w:val="none" w:sz="0" w:space="0" w:color="auto"/>
      </w:divBdr>
    </w:div>
    <w:div w:id="1613393667">
      <w:bodyDiv w:val="1"/>
      <w:marLeft w:val="0"/>
      <w:marRight w:val="0"/>
      <w:marTop w:val="0"/>
      <w:marBottom w:val="0"/>
      <w:divBdr>
        <w:top w:val="none" w:sz="0" w:space="0" w:color="auto"/>
        <w:left w:val="none" w:sz="0" w:space="0" w:color="auto"/>
        <w:bottom w:val="none" w:sz="0" w:space="0" w:color="auto"/>
        <w:right w:val="none" w:sz="0" w:space="0" w:color="auto"/>
      </w:divBdr>
    </w:div>
    <w:div w:id="1613439820">
      <w:bodyDiv w:val="1"/>
      <w:marLeft w:val="0"/>
      <w:marRight w:val="0"/>
      <w:marTop w:val="0"/>
      <w:marBottom w:val="0"/>
      <w:divBdr>
        <w:top w:val="none" w:sz="0" w:space="0" w:color="auto"/>
        <w:left w:val="none" w:sz="0" w:space="0" w:color="auto"/>
        <w:bottom w:val="none" w:sz="0" w:space="0" w:color="auto"/>
        <w:right w:val="none" w:sz="0" w:space="0" w:color="auto"/>
      </w:divBdr>
    </w:div>
    <w:div w:id="1613973423">
      <w:bodyDiv w:val="1"/>
      <w:marLeft w:val="0"/>
      <w:marRight w:val="0"/>
      <w:marTop w:val="0"/>
      <w:marBottom w:val="0"/>
      <w:divBdr>
        <w:top w:val="none" w:sz="0" w:space="0" w:color="auto"/>
        <w:left w:val="none" w:sz="0" w:space="0" w:color="auto"/>
        <w:bottom w:val="none" w:sz="0" w:space="0" w:color="auto"/>
        <w:right w:val="none" w:sz="0" w:space="0" w:color="auto"/>
      </w:divBdr>
    </w:div>
    <w:div w:id="1614247241">
      <w:bodyDiv w:val="1"/>
      <w:marLeft w:val="0"/>
      <w:marRight w:val="0"/>
      <w:marTop w:val="0"/>
      <w:marBottom w:val="0"/>
      <w:divBdr>
        <w:top w:val="none" w:sz="0" w:space="0" w:color="auto"/>
        <w:left w:val="none" w:sz="0" w:space="0" w:color="auto"/>
        <w:bottom w:val="none" w:sz="0" w:space="0" w:color="auto"/>
        <w:right w:val="none" w:sz="0" w:space="0" w:color="auto"/>
      </w:divBdr>
    </w:div>
    <w:div w:id="1614284785">
      <w:bodyDiv w:val="1"/>
      <w:marLeft w:val="0"/>
      <w:marRight w:val="0"/>
      <w:marTop w:val="0"/>
      <w:marBottom w:val="0"/>
      <w:divBdr>
        <w:top w:val="none" w:sz="0" w:space="0" w:color="auto"/>
        <w:left w:val="none" w:sz="0" w:space="0" w:color="auto"/>
        <w:bottom w:val="none" w:sz="0" w:space="0" w:color="auto"/>
        <w:right w:val="none" w:sz="0" w:space="0" w:color="auto"/>
      </w:divBdr>
    </w:div>
    <w:div w:id="1615407421">
      <w:bodyDiv w:val="1"/>
      <w:marLeft w:val="0"/>
      <w:marRight w:val="0"/>
      <w:marTop w:val="0"/>
      <w:marBottom w:val="0"/>
      <w:divBdr>
        <w:top w:val="none" w:sz="0" w:space="0" w:color="auto"/>
        <w:left w:val="none" w:sz="0" w:space="0" w:color="auto"/>
        <w:bottom w:val="none" w:sz="0" w:space="0" w:color="auto"/>
        <w:right w:val="none" w:sz="0" w:space="0" w:color="auto"/>
      </w:divBdr>
    </w:div>
    <w:div w:id="1615480848">
      <w:bodyDiv w:val="1"/>
      <w:marLeft w:val="0"/>
      <w:marRight w:val="0"/>
      <w:marTop w:val="0"/>
      <w:marBottom w:val="0"/>
      <w:divBdr>
        <w:top w:val="none" w:sz="0" w:space="0" w:color="auto"/>
        <w:left w:val="none" w:sz="0" w:space="0" w:color="auto"/>
        <w:bottom w:val="none" w:sz="0" w:space="0" w:color="auto"/>
        <w:right w:val="none" w:sz="0" w:space="0" w:color="auto"/>
      </w:divBdr>
    </w:div>
    <w:div w:id="1615554149">
      <w:bodyDiv w:val="1"/>
      <w:marLeft w:val="0"/>
      <w:marRight w:val="0"/>
      <w:marTop w:val="0"/>
      <w:marBottom w:val="0"/>
      <w:divBdr>
        <w:top w:val="none" w:sz="0" w:space="0" w:color="auto"/>
        <w:left w:val="none" w:sz="0" w:space="0" w:color="auto"/>
        <w:bottom w:val="none" w:sz="0" w:space="0" w:color="auto"/>
        <w:right w:val="none" w:sz="0" w:space="0" w:color="auto"/>
      </w:divBdr>
    </w:div>
    <w:div w:id="1615667822">
      <w:bodyDiv w:val="1"/>
      <w:marLeft w:val="0"/>
      <w:marRight w:val="0"/>
      <w:marTop w:val="0"/>
      <w:marBottom w:val="0"/>
      <w:divBdr>
        <w:top w:val="none" w:sz="0" w:space="0" w:color="auto"/>
        <w:left w:val="none" w:sz="0" w:space="0" w:color="auto"/>
        <w:bottom w:val="none" w:sz="0" w:space="0" w:color="auto"/>
        <w:right w:val="none" w:sz="0" w:space="0" w:color="auto"/>
      </w:divBdr>
    </w:div>
    <w:div w:id="1615744163">
      <w:bodyDiv w:val="1"/>
      <w:marLeft w:val="0"/>
      <w:marRight w:val="0"/>
      <w:marTop w:val="0"/>
      <w:marBottom w:val="0"/>
      <w:divBdr>
        <w:top w:val="none" w:sz="0" w:space="0" w:color="auto"/>
        <w:left w:val="none" w:sz="0" w:space="0" w:color="auto"/>
        <w:bottom w:val="none" w:sz="0" w:space="0" w:color="auto"/>
        <w:right w:val="none" w:sz="0" w:space="0" w:color="auto"/>
      </w:divBdr>
    </w:div>
    <w:div w:id="1615791956">
      <w:bodyDiv w:val="1"/>
      <w:marLeft w:val="0"/>
      <w:marRight w:val="0"/>
      <w:marTop w:val="0"/>
      <w:marBottom w:val="0"/>
      <w:divBdr>
        <w:top w:val="none" w:sz="0" w:space="0" w:color="auto"/>
        <w:left w:val="none" w:sz="0" w:space="0" w:color="auto"/>
        <w:bottom w:val="none" w:sz="0" w:space="0" w:color="auto"/>
        <w:right w:val="none" w:sz="0" w:space="0" w:color="auto"/>
      </w:divBdr>
    </w:div>
    <w:div w:id="1616327080">
      <w:bodyDiv w:val="1"/>
      <w:marLeft w:val="0"/>
      <w:marRight w:val="0"/>
      <w:marTop w:val="0"/>
      <w:marBottom w:val="0"/>
      <w:divBdr>
        <w:top w:val="none" w:sz="0" w:space="0" w:color="auto"/>
        <w:left w:val="none" w:sz="0" w:space="0" w:color="auto"/>
        <w:bottom w:val="none" w:sz="0" w:space="0" w:color="auto"/>
        <w:right w:val="none" w:sz="0" w:space="0" w:color="auto"/>
      </w:divBdr>
    </w:div>
    <w:div w:id="1616518984">
      <w:bodyDiv w:val="1"/>
      <w:marLeft w:val="0"/>
      <w:marRight w:val="0"/>
      <w:marTop w:val="0"/>
      <w:marBottom w:val="0"/>
      <w:divBdr>
        <w:top w:val="none" w:sz="0" w:space="0" w:color="auto"/>
        <w:left w:val="none" w:sz="0" w:space="0" w:color="auto"/>
        <w:bottom w:val="none" w:sz="0" w:space="0" w:color="auto"/>
        <w:right w:val="none" w:sz="0" w:space="0" w:color="auto"/>
      </w:divBdr>
    </w:div>
    <w:div w:id="1616716862">
      <w:bodyDiv w:val="1"/>
      <w:marLeft w:val="0"/>
      <w:marRight w:val="0"/>
      <w:marTop w:val="0"/>
      <w:marBottom w:val="0"/>
      <w:divBdr>
        <w:top w:val="none" w:sz="0" w:space="0" w:color="auto"/>
        <w:left w:val="none" w:sz="0" w:space="0" w:color="auto"/>
        <w:bottom w:val="none" w:sz="0" w:space="0" w:color="auto"/>
        <w:right w:val="none" w:sz="0" w:space="0" w:color="auto"/>
      </w:divBdr>
    </w:div>
    <w:div w:id="1617369662">
      <w:bodyDiv w:val="1"/>
      <w:marLeft w:val="0"/>
      <w:marRight w:val="0"/>
      <w:marTop w:val="0"/>
      <w:marBottom w:val="0"/>
      <w:divBdr>
        <w:top w:val="none" w:sz="0" w:space="0" w:color="auto"/>
        <w:left w:val="none" w:sz="0" w:space="0" w:color="auto"/>
        <w:bottom w:val="none" w:sz="0" w:space="0" w:color="auto"/>
        <w:right w:val="none" w:sz="0" w:space="0" w:color="auto"/>
      </w:divBdr>
    </w:div>
    <w:div w:id="1617638186">
      <w:bodyDiv w:val="1"/>
      <w:marLeft w:val="0"/>
      <w:marRight w:val="0"/>
      <w:marTop w:val="0"/>
      <w:marBottom w:val="0"/>
      <w:divBdr>
        <w:top w:val="none" w:sz="0" w:space="0" w:color="auto"/>
        <w:left w:val="none" w:sz="0" w:space="0" w:color="auto"/>
        <w:bottom w:val="none" w:sz="0" w:space="0" w:color="auto"/>
        <w:right w:val="none" w:sz="0" w:space="0" w:color="auto"/>
      </w:divBdr>
    </w:div>
    <w:div w:id="1617831822">
      <w:bodyDiv w:val="1"/>
      <w:marLeft w:val="0"/>
      <w:marRight w:val="0"/>
      <w:marTop w:val="0"/>
      <w:marBottom w:val="0"/>
      <w:divBdr>
        <w:top w:val="none" w:sz="0" w:space="0" w:color="auto"/>
        <w:left w:val="none" w:sz="0" w:space="0" w:color="auto"/>
        <w:bottom w:val="none" w:sz="0" w:space="0" w:color="auto"/>
        <w:right w:val="none" w:sz="0" w:space="0" w:color="auto"/>
      </w:divBdr>
    </w:div>
    <w:div w:id="1617909624">
      <w:bodyDiv w:val="1"/>
      <w:marLeft w:val="0"/>
      <w:marRight w:val="0"/>
      <w:marTop w:val="0"/>
      <w:marBottom w:val="0"/>
      <w:divBdr>
        <w:top w:val="none" w:sz="0" w:space="0" w:color="auto"/>
        <w:left w:val="none" w:sz="0" w:space="0" w:color="auto"/>
        <w:bottom w:val="none" w:sz="0" w:space="0" w:color="auto"/>
        <w:right w:val="none" w:sz="0" w:space="0" w:color="auto"/>
      </w:divBdr>
    </w:div>
    <w:div w:id="1618638590">
      <w:bodyDiv w:val="1"/>
      <w:marLeft w:val="0"/>
      <w:marRight w:val="0"/>
      <w:marTop w:val="0"/>
      <w:marBottom w:val="0"/>
      <w:divBdr>
        <w:top w:val="none" w:sz="0" w:space="0" w:color="auto"/>
        <w:left w:val="none" w:sz="0" w:space="0" w:color="auto"/>
        <w:bottom w:val="none" w:sz="0" w:space="0" w:color="auto"/>
        <w:right w:val="none" w:sz="0" w:space="0" w:color="auto"/>
      </w:divBdr>
    </w:div>
    <w:div w:id="1618829188">
      <w:bodyDiv w:val="1"/>
      <w:marLeft w:val="0"/>
      <w:marRight w:val="0"/>
      <w:marTop w:val="0"/>
      <w:marBottom w:val="0"/>
      <w:divBdr>
        <w:top w:val="none" w:sz="0" w:space="0" w:color="auto"/>
        <w:left w:val="none" w:sz="0" w:space="0" w:color="auto"/>
        <w:bottom w:val="none" w:sz="0" w:space="0" w:color="auto"/>
        <w:right w:val="none" w:sz="0" w:space="0" w:color="auto"/>
      </w:divBdr>
    </w:div>
    <w:div w:id="1618871233">
      <w:bodyDiv w:val="1"/>
      <w:marLeft w:val="0"/>
      <w:marRight w:val="0"/>
      <w:marTop w:val="0"/>
      <w:marBottom w:val="0"/>
      <w:divBdr>
        <w:top w:val="none" w:sz="0" w:space="0" w:color="auto"/>
        <w:left w:val="none" w:sz="0" w:space="0" w:color="auto"/>
        <w:bottom w:val="none" w:sz="0" w:space="0" w:color="auto"/>
        <w:right w:val="none" w:sz="0" w:space="0" w:color="auto"/>
      </w:divBdr>
    </w:div>
    <w:div w:id="1619294711">
      <w:bodyDiv w:val="1"/>
      <w:marLeft w:val="0"/>
      <w:marRight w:val="0"/>
      <w:marTop w:val="0"/>
      <w:marBottom w:val="0"/>
      <w:divBdr>
        <w:top w:val="none" w:sz="0" w:space="0" w:color="auto"/>
        <w:left w:val="none" w:sz="0" w:space="0" w:color="auto"/>
        <w:bottom w:val="none" w:sz="0" w:space="0" w:color="auto"/>
        <w:right w:val="none" w:sz="0" w:space="0" w:color="auto"/>
      </w:divBdr>
    </w:div>
    <w:div w:id="1619413950">
      <w:bodyDiv w:val="1"/>
      <w:marLeft w:val="0"/>
      <w:marRight w:val="0"/>
      <w:marTop w:val="0"/>
      <w:marBottom w:val="0"/>
      <w:divBdr>
        <w:top w:val="none" w:sz="0" w:space="0" w:color="auto"/>
        <w:left w:val="none" w:sz="0" w:space="0" w:color="auto"/>
        <w:bottom w:val="none" w:sz="0" w:space="0" w:color="auto"/>
        <w:right w:val="none" w:sz="0" w:space="0" w:color="auto"/>
      </w:divBdr>
    </w:div>
    <w:div w:id="1619680899">
      <w:bodyDiv w:val="1"/>
      <w:marLeft w:val="0"/>
      <w:marRight w:val="0"/>
      <w:marTop w:val="0"/>
      <w:marBottom w:val="0"/>
      <w:divBdr>
        <w:top w:val="none" w:sz="0" w:space="0" w:color="auto"/>
        <w:left w:val="none" w:sz="0" w:space="0" w:color="auto"/>
        <w:bottom w:val="none" w:sz="0" w:space="0" w:color="auto"/>
        <w:right w:val="none" w:sz="0" w:space="0" w:color="auto"/>
      </w:divBdr>
    </w:div>
    <w:div w:id="1619798659">
      <w:bodyDiv w:val="1"/>
      <w:marLeft w:val="0"/>
      <w:marRight w:val="0"/>
      <w:marTop w:val="0"/>
      <w:marBottom w:val="0"/>
      <w:divBdr>
        <w:top w:val="none" w:sz="0" w:space="0" w:color="auto"/>
        <w:left w:val="none" w:sz="0" w:space="0" w:color="auto"/>
        <w:bottom w:val="none" w:sz="0" w:space="0" w:color="auto"/>
        <w:right w:val="none" w:sz="0" w:space="0" w:color="auto"/>
      </w:divBdr>
    </w:div>
    <w:div w:id="1619995113">
      <w:bodyDiv w:val="1"/>
      <w:marLeft w:val="0"/>
      <w:marRight w:val="0"/>
      <w:marTop w:val="0"/>
      <w:marBottom w:val="0"/>
      <w:divBdr>
        <w:top w:val="none" w:sz="0" w:space="0" w:color="auto"/>
        <w:left w:val="none" w:sz="0" w:space="0" w:color="auto"/>
        <w:bottom w:val="none" w:sz="0" w:space="0" w:color="auto"/>
        <w:right w:val="none" w:sz="0" w:space="0" w:color="auto"/>
      </w:divBdr>
    </w:div>
    <w:div w:id="1620068701">
      <w:bodyDiv w:val="1"/>
      <w:marLeft w:val="0"/>
      <w:marRight w:val="0"/>
      <w:marTop w:val="0"/>
      <w:marBottom w:val="0"/>
      <w:divBdr>
        <w:top w:val="none" w:sz="0" w:space="0" w:color="auto"/>
        <w:left w:val="none" w:sz="0" w:space="0" w:color="auto"/>
        <w:bottom w:val="none" w:sz="0" w:space="0" w:color="auto"/>
        <w:right w:val="none" w:sz="0" w:space="0" w:color="auto"/>
      </w:divBdr>
    </w:div>
    <w:div w:id="1620333551">
      <w:bodyDiv w:val="1"/>
      <w:marLeft w:val="0"/>
      <w:marRight w:val="0"/>
      <w:marTop w:val="0"/>
      <w:marBottom w:val="0"/>
      <w:divBdr>
        <w:top w:val="none" w:sz="0" w:space="0" w:color="auto"/>
        <w:left w:val="none" w:sz="0" w:space="0" w:color="auto"/>
        <w:bottom w:val="none" w:sz="0" w:space="0" w:color="auto"/>
        <w:right w:val="none" w:sz="0" w:space="0" w:color="auto"/>
      </w:divBdr>
    </w:div>
    <w:div w:id="1620338614">
      <w:bodyDiv w:val="1"/>
      <w:marLeft w:val="0"/>
      <w:marRight w:val="0"/>
      <w:marTop w:val="0"/>
      <w:marBottom w:val="0"/>
      <w:divBdr>
        <w:top w:val="none" w:sz="0" w:space="0" w:color="auto"/>
        <w:left w:val="none" w:sz="0" w:space="0" w:color="auto"/>
        <w:bottom w:val="none" w:sz="0" w:space="0" w:color="auto"/>
        <w:right w:val="none" w:sz="0" w:space="0" w:color="auto"/>
      </w:divBdr>
    </w:div>
    <w:div w:id="1620530590">
      <w:bodyDiv w:val="1"/>
      <w:marLeft w:val="0"/>
      <w:marRight w:val="0"/>
      <w:marTop w:val="0"/>
      <w:marBottom w:val="0"/>
      <w:divBdr>
        <w:top w:val="none" w:sz="0" w:space="0" w:color="auto"/>
        <w:left w:val="none" w:sz="0" w:space="0" w:color="auto"/>
        <w:bottom w:val="none" w:sz="0" w:space="0" w:color="auto"/>
        <w:right w:val="none" w:sz="0" w:space="0" w:color="auto"/>
      </w:divBdr>
    </w:div>
    <w:div w:id="1620531686">
      <w:bodyDiv w:val="1"/>
      <w:marLeft w:val="0"/>
      <w:marRight w:val="0"/>
      <w:marTop w:val="0"/>
      <w:marBottom w:val="0"/>
      <w:divBdr>
        <w:top w:val="none" w:sz="0" w:space="0" w:color="auto"/>
        <w:left w:val="none" w:sz="0" w:space="0" w:color="auto"/>
        <w:bottom w:val="none" w:sz="0" w:space="0" w:color="auto"/>
        <w:right w:val="none" w:sz="0" w:space="0" w:color="auto"/>
      </w:divBdr>
    </w:div>
    <w:div w:id="1620723200">
      <w:bodyDiv w:val="1"/>
      <w:marLeft w:val="0"/>
      <w:marRight w:val="0"/>
      <w:marTop w:val="0"/>
      <w:marBottom w:val="0"/>
      <w:divBdr>
        <w:top w:val="none" w:sz="0" w:space="0" w:color="auto"/>
        <w:left w:val="none" w:sz="0" w:space="0" w:color="auto"/>
        <w:bottom w:val="none" w:sz="0" w:space="0" w:color="auto"/>
        <w:right w:val="none" w:sz="0" w:space="0" w:color="auto"/>
      </w:divBdr>
    </w:div>
    <w:div w:id="1620793232">
      <w:bodyDiv w:val="1"/>
      <w:marLeft w:val="0"/>
      <w:marRight w:val="0"/>
      <w:marTop w:val="0"/>
      <w:marBottom w:val="0"/>
      <w:divBdr>
        <w:top w:val="none" w:sz="0" w:space="0" w:color="auto"/>
        <w:left w:val="none" w:sz="0" w:space="0" w:color="auto"/>
        <w:bottom w:val="none" w:sz="0" w:space="0" w:color="auto"/>
        <w:right w:val="none" w:sz="0" w:space="0" w:color="auto"/>
      </w:divBdr>
    </w:div>
    <w:div w:id="1620796740">
      <w:bodyDiv w:val="1"/>
      <w:marLeft w:val="0"/>
      <w:marRight w:val="0"/>
      <w:marTop w:val="0"/>
      <w:marBottom w:val="0"/>
      <w:divBdr>
        <w:top w:val="none" w:sz="0" w:space="0" w:color="auto"/>
        <w:left w:val="none" w:sz="0" w:space="0" w:color="auto"/>
        <w:bottom w:val="none" w:sz="0" w:space="0" w:color="auto"/>
        <w:right w:val="none" w:sz="0" w:space="0" w:color="auto"/>
      </w:divBdr>
    </w:div>
    <w:div w:id="1620837985">
      <w:bodyDiv w:val="1"/>
      <w:marLeft w:val="0"/>
      <w:marRight w:val="0"/>
      <w:marTop w:val="0"/>
      <w:marBottom w:val="0"/>
      <w:divBdr>
        <w:top w:val="none" w:sz="0" w:space="0" w:color="auto"/>
        <w:left w:val="none" w:sz="0" w:space="0" w:color="auto"/>
        <w:bottom w:val="none" w:sz="0" w:space="0" w:color="auto"/>
        <w:right w:val="none" w:sz="0" w:space="0" w:color="auto"/>
      </w:divBdr>
    </w:div>
    <w:div w:id="1620986742">
      <w:bodyDiv w:val="1"/>
      <w:marLeft w:val="0"/>
      <w:marRight w:val="0"/>
      <w:marTop w:val="0"/>
      <w:marBottom w:val="0"/>
      <w:divBdr>
        <w:top w:val="none" w:sz="0" w:space="0" w:color="auto"/>
        <w:left w:val="none" w:sz="0" w:space="0" w:color="auto"/>
        <w:bottom w:val="none" w:sz="0" w:space="0" w:color="auto"/>
        <w:right w:val="none" w:sz="0" w:space="0" w:color="auto"/>
      </w:divBdr>
    </w:div>
    <w:div w:id="1621062537">
      <w:bodyDiv w:val="1"/>
      <w:marLeft w:val="0"/>
      <w:marRight w:val="0"/>
      <w:marTop w:val="0"/>
      <w:marBottom w:val="0"/>
      <w:divBdr>
        <w:top w:val="none" w:sz="0" w:space="0" w:color="auto"/>
        <w:left w:val="none" w:sz="0" w:space="0" w:color="auto"/>
        <w:bottom w:val="none" w:sz="0" w:space="0" w:color="auto"/>
        <w:right w:val="none" w:sz="0" w:space="0" w:color="auto"/>
      </w:divBdr>
    </w:div>
    <w:div w:id="1621256889">
      <w:bodyDiv w:val="1"/>
      <w:marLeft w:val="0"/>
      <w:marRight w:val="0"/>
      <w:marTop w:val="0"/>
      <w:marBottom w:val="0"/>
      <w:divBdr>
        <w:top w:val="none" w:sz="0" w:space="0" w:color="auto"/>
        <w:left w:val="none" w:sz="0" w:space="0" w:color="auto"/>
        <w:bottom w:val="none" w:sz="0" w:space="0" w:color="auto"/>
        <w:right w:val="none" w:sz="0" w:space="0" w:color="auto"/>
      </w:divBdr>
    </w:div>
    <w:div w:id="1621299916">
      <w:bodyDiv w:val="1"/>
      <w:marLeft w:val="0"/>
      <w:marRight w:val="0"/>
      <w:marTop w:val="0"/>
      <w:marBottom w:val="0"/>
      <w:divBdr>
        <w:top w:val="none" w:sz="0" w:space="0" w:color="auto"/>
        <w:left w:val="none" w:sz="0" w:space="0" w:color="auto"/>
        <w:bottom w:val="none" w:sz="0" w:space="0" w:color="auto"/>
        <w:right w:val="none" w:sz="0" w:space="0" w:color="auto"/>
      </w:divBdr>
    </w:div>
    <w:div w:id="1621304328">
      <w:bodyDiv w:val="1"/>
      <w:marLeft w:val="0"/>
      <w:marRight w:val="0"/>
      <w:marTop w:val="0"/>
      <w:marBottom w:val="0"/>
      <w:divBdr>
        <w:top w:val="none" w:sz="0" w:space="0" w:color="auto"/>
        <w:left w:val="none" w:sz="0" w:space="0" w:color="auto"/>
        <w:bottom w:val="none" w:sz="0" w:space="0" w:color="auto"/>
        <w:right w:val="none" w:sz="0" w:space="0" w:color="auto"/>
      </w:divBdr>
    </w:div>
    <w:div w:id="1621448905">
      <w:bodyDiv w:val="1"/>
      <w:marLeft w:val="0"/>
      <w:marRight w:val="0"/>
      <w:marTop w:val="0"/>
      <w:marBottom w:val="0"/>
      <w:divBdr>
        <w:top w:val="none" w:sz="0" w:space="0" w:color="auto"/>
        <w:left w:val="none" w:sz="0" w:space="0" w:color="auto"/>
        <w:bottom w:val="none" w:sz="0" w:space="0" w:color="auto"/>
        <w:right w:val="none" w:sz="0" w:space="0" w:color="auto"/>
      </w:divBdr>
    </w:div>
    <w:div w:id="1621496761">
      <w:bodyDiv w:val="1"/>
      <w:marLeft w:val="0"/>
      <w:marRight w:val="0"/>
      <w:marTop w:val="0"/>
      <w:marBottom w:val="0"/>
      <w:divBdr>
        <w:top w:val="none" w:sz="0" w:space="0" w:color="auto"/>
        <w:left w:val="none" w:sz="0" w:space="0" w:color="auto"/>
        <w:bottom w:val="none" w:sz="0" w:space="0" w:color="auto"/>
        <w:right w:val="none" w:sz="0" w:space="0" w:color="auto"/>
      </w:divBdr>
    </w:div>
    <w:div w:id="1622298646">
      <w:bodyDiv w:val="1"/>
      <w:marLeft w:val="0"/>
      <w:marRight w:val="0"/>
      <w:marTop w:val="0"/>
      <w:marBottom w:val="0"/>
      <w:divBdr>
        <w:top w:val="none" w:sz="0" w:space="0" w:color="auto"/>
        <w:left w:val="none" w:sz="0" w:space="0" w:color="auto"/>
        <w:bottom w:val="none" w:sz="0" w:space="0" w:color="auto"/>
        <w:right w:val="none" w:sz="0" w:space="0" w:color="auto"/>
      </w:divBdr>
    </w:div>
    <w:div w:id="1622540742">
      <w:bodyDiv w:val="1"/>
      <w:marLeft w:val="0"/>
      <w:marRight w:val="0"/>
      <w:marTop w:val="0"/>
      <w:marBottom w:val="0"/>
      <w:divBdr>
        <w:top w:val="none" w:sz="0" w:space="0" w:color="auto"/>
        <w:left w:val="none" w:sz="0" w:space="0" w:color="auto"/>
        <w:bottom w:val="none" w:sz="0" w:space="0" w:color="auto"/>
        <w:right w:val="none" w:sz="0" w:space="0" w:color="auto"/>
      </w:divBdr>
    </w:div>
    <w:div w:id="1622954607">
      <w:bodyDiv w:val="1"/>
      <w:marLeft w:val="0"/>
      <w:marRight w:val="0"/>
      <w:marTop w:val="0"/>
      <w:marBottom w:val="0"/>
      <w:divBdr>
        <w:top w:val="none" w:sz="0" w:space="0" w:color="auto"/>
        <w:left w:val="none" w:sz="0" w:space="0" w:color="auto"/>
        <w:bottom w:val="none" w:sz="0" w:space="0" w:color="auto"/>
        <w:right w:val="none" w:sz="0" w:space="0" w:color="auto"/>
      </w:divBdr>
    </w:div>
    <w:div w:id="1622960756">
      <w:bodyDiv w:val="1"/>
      <w:marLeft w:val="0"/>
      <w:marRight w:val="0"/>
      <w:marTop w:val="0"/>
      <w:marBottom w:val="0"/>
      <w:divBdr>
        <w:top w:val="none" w:sz="0" w:space="0" w:color="auto"/>
        <w:left w:val="none" w:sz="0" w:space="0" w:color="auto"/>
        <w:bottom w:val="none" w:sz="0" w:space="0" w:color="auto"/>
        <w:right w:val="none" w:sz="0" w:space="0" w:color="auto"/>
      </w:divBdr>
    </w:div>
    <w:div w:id="1623078660">
      <w:bodyDiv w:val="1"/>
      <w:marLeft w:val="0"/>
      <w:marRight w:val="0"/>
      <w:marTop w:val="0"/>
      <w:marBottom w:val="0"/>
      <w:divBdr>
        <w:top w:val="none" w:sz="0" w:space="0" w:color="auto"/>
        <w:left w:val="none" w:sz="0" w:space="0" w:color="auto"/>
        <w:bottom w:val="none" w:sz="0" w:space="0" w:color="auto"/>
        <w:right w:val="none" w:sz="0" w:space="0" w:color="auto"/>
      </w:divBdr>
    </w:div>
    <w:div w:id="1623146384">
      <w:bodyDiv w:val="1"/>
      <w:marLeft w:val="0"/>
      <w:marRight w:val="0"/>
      <w:marTop w:val="0"/>
      <w:marBottom w:val="0"/>
      <w:divBdr>
        <w:top w:val="none" w:sz="0" w:space="0" w:color="auto"/>
        <w:left w:val="none" w:sz="0" w:space="0" w:color="auto"/>
        <w:bottom w:val="none" w:sz="0" w:space="0" w:color="auto"/>
        <w:right w:val="none" w:sz="0" w:space="0" w:color="auto"/>
      </w:divBdr>
    </w:div>
    <w:div w:id="1623153589">
      <w:bodyDiv w:val="1"/>
      <w:marLeft w:val="0"/>
      <w:marRight w:val="0"/>
      <w:marTop w:val="0"/>
      <w:marBottom w:val="0"/>
      <w:divBdr>
        <w:top w:val="none" w:sz="0" w:space="0" w:color="auto"/>
        <w:left w:val="none" w:sz="0" w:space="0" w:color="auto"/>
        <w:bottom w:val="none" w:sz="0" w:space="0" w:color="auto"/>
        <w:right w:val="none" w:sz="0" w:space="0" w:color="auto"/>
      </w:divBdr>
    </w:div>
    <w:div w:id="1623265565">
      <w:bodyDiv w:val="1"/>
      <w:marLeft w:val="0"/>
      <w:marRight w:val="0"/>
      <w:marTop w:val="0"/>
      <w:marBottom w:val="0"/>
      <w:divBdr>
        <w:top w:val="none" w:sz="0" w:space="0" w:color="auto"/>
        <w:left w:val="none" w:sz="0" w:space="0" w:color="auto"/>
        <w:bottom w:val="none" w:sz="0" w:space="0" w:color="auto"/>
        <w:right w:val="none" w:sz="0" w:space="0" w:color="auto"/>
      </w:divBdr>
    </w:div>
    <w:div w:id="1623267463">
      <w:bodyDiv w:val="1"/>
      <w:marLeft w:val="0"/>
      <w:marRight w:val="0"/>
      <w:marTop w:val="0"/>
      <w:marBottom w:val="0"/>
      <w:divBdr>
        <w:top w:val="none" w:sz="0" w:space="0" w:color="auto"/>
        <w:left w:val="none" w:sz="0" w:space="0" w:color="auto"/>
        <w:bottom w:val="none" w:sz="0" w:space="0" w:color="auto"/>
        <w:right w:val="none" w:sz="0" w:space="0" w:color="auto"/>
      </w:divBdr>
    </w:div>
    <w:div w:id="1623271747">
      <w:bodyDiv w:val="1"/>
      <w:marLeft w:val="0"/>
      <w:marRight w:val="0"/>
      <w:marTop w:val="0"/>
      <w:marBottom w:val="0"/>
      <w:divBdr>
        <w:top w:val="none" w:sz="0" w:space="0" w:color="auto"/>
        <w:left w:val="none" w:sz="0" w:space="0" w:color="auto"/>
        <w:bottom w:val="none" w:sz="0" w:space="0" w:color="auto"/>
        <w:right w:val="none" w:sz="0" w:space="0" w:color="auto"/>
      </w:divBdr>
    </w:div>
    <w:div w:id="1623685687">
      <w:bodyDiv w:val="1"/>
      <w:marLeft w:val="0"/>
      <w:marRight w:val="0"/>
      <w:marTop w:val="0"/>
      <w:marBottom w:val="0"/>
      <w:divBdr>
        <w:top w:val="none" w:sz="0" w:space="0" w:color="auto"/>
        <w:left w:val="none" w:sz="0" w:space="0" w:color="auto"/>
        <w:bottom w:val="none" w:sz="0" w:space="0" w:color="auto"/>
        <w:right w:val="none" w:sz="0" w:space="0" w:color="auto"/>
      </w:divBdr>
    </w:div>
    <w:div w:id="1623851484">
      <w:bodyDiv w:val="1"/>
      <w:marLeft w:val="0"/>
      <w:marRight w:val="0"/>
      <w:marTop w:val="0"/>
      <w:marBottom w:val="0"/>
      <w:divBdr>
        <w:top w:val="none" w:sz="0" w:space="0" w:color="auto"/>
        <w:left w:val="none" w:sz="0" w:space="0" w:color="auto"/>
        <w:bottom w:val="none" w:sz="0" w:space="0" w:color="auto"/>
        <w:right w:val="none" w:sz="0" w:space="0" w:color="auto"/>
      </w:divBdr>
    </w:div>
    <w:div w:id="1623998649">
      <w:bodyDiv w:val="1"/>
      <w:marLeft w:val="0"/>
      <w:marRight w:val="0"/>
      <w:marTop w:val="0"/>
      <w:marBottom w:val="0"/>
      <w:divBdr>
        <w:top w:val="none" w:sz="0" w:space="0" w:color="auto"/>
        <w:left w:val="none" w:sz="0" w:space="0" w:color="auto"/>
        <w:bottom w:val="none" w:sz="0" w:space="0" w:color="auto"/>
        <w:right w:val="none" w:sz="0" w:space="0" w:color="auto"/>
      </w:divBdr>
    </w:div>
    <w:div w:id="1624193935">
      <w:bodyDiv w:val="1"/>
      <w:marLeft w:val="0"/>
      <w:marRight w:val="0"/>
      <w:marTop w:val="0"/>
      <w:marBottom w:val="0"/>
      <w:divBdr>
        <w:top w:val="none" w:sz="0" w:space="0" w:color="auto"/>
        <w:left w:val="none" w:sz="0" w:space="0" w:color="auto"/>
        <w:bottom w:val="none" w:sz="0" w:space="0" w:color="auto"/>
        <w:right w:val="none" w:sz="0" w:space="0" w:color="auto"/>
      </w:divBdr>
    </w:div>
    <w:div w:id="1624267555">
      <w:bodyDiv w:val="1"/>
      <w:marLeft w:val="0"/>
      <w:marRight w:val="0"/>
      <w:marTop w:val="0"/>
      <w:marBottom w:val="0"/>
      <w:divBdr>
        <w:top w:val="none" w:sz="0" w:space="0" w:color="auto"/>
        <w:left w:val="none" w:sz="0" w:space="0" w:color="auto"/>
        <w:bottom w:val="none" w:sz="0" w:space="0" w:color="auto"/>
        <w:right w:val="none" w:sz="0" w:space="0" w:color="auto"/>
      </w:divBdr>
    </w:div>
    <w:div w:id="1624464350">
      <w:bodyDiv w:val="1"/>
      <w:marLeft w:val="0"/>
      <w:marRight w:val="0"/>
      <w:marTop w:val="0"/>
      <w:marBottom w:val="0"/>
      <w:divBdr>
        <w:top w:val="none" w:sz="0" w:space="0" w:color="auto"/>
        <w:left w:val="none" w:sz="0" w:space="0" w:color="auto"/>
        <w:bottom w:val="none" w:sz="0" w:space="0" w:color="auto"/>
        <w:right w:val="none" w:sz="0" w:space="0" w:color="auto"/>
      </w:divBdr>
    </w:div>
    <w:div w:id="1624994622">
      <w:bodyDiv w:val="1"/>
      <w:marLeft w:val="0"/>
      <w:marRight w:val="0"/>
      <w:marTop w:val="0"/>
      <w:marBottom w:val="0"/>
      <w:divBdr>
        <w:top w:val="none" w:sz="0" w:space="0" w:color="auto"/>
        <w:left w:val="none" w:sz="0" w:space="0" w:color="auto"/>
        <w:bottom w:val="none" w:sz="0" w:space="0" w:color="auto"/>
        <w:right w:val="none" w:sz="0" w:space="0" w:color="auto"/>
      </w:divBdr>
    </w:div>
    <w:div w:id="1625118232">
      <w:bodyDiv w:val="1"/>
      <w:marLeft w:val="0"/>
      <w:marRight w:val="0"/>
      <w:marTop w:val="0"/>
      <w:marBottom w:val="0"/>
      <w:divBdr>
        <w:top w:val="none" w:sz="0" w:space="0" w:color="auto"/>
        <w:left w:val="none" w:sz="0" w:space="0" w:color="auto"/>
        <w:bottom w:val="none" w:sz="0" w:space="0" w:color="auto"/>
        <w:right w:val="none" w:sz="0" w:space="0" w:color="auto"/>
      </w:divBdr>
    </w:div>
    <w:div w:id="1625186342">
      <w:bodyDiv w:val="1"/>
      <w:marLeft w:val="0"/>
      <w:marRight w:val="0"/>
      <w:marTop w:val="0"/>
      <w:marBottom w:val="0"/>
      <w:divBdr>
        <w:top w:val="none" w:sz="0" w:space="0" w:color="auto"/>
        <w:left w:val="none" w:sz="0" w:space="0" w:color="auto"/>
        <w:bottom w:val="none" w:sz="0" w:space="0" w:color="auto"/>
        <w:right w:val="none" w:sz="0" w:space="0" w:color="auto"/>
      </w:divBdr>
    </w:div>
    <w:div w:id="1625506044">
      <w:bodyDiv w:val="1"/>
      <w:marLeft w:val="0"/>
      <w:marRight w:val="0"/>
      <w:marTop w:val="0"/>
      <w:marBottom w:val="0"/>
      <w:divBdr>
        <w:top w:val="none" w:sz="0" w:space="0" w:color="auto"/>
        <w:left w:val="none" w:sz="0" w:space="0" w:color="auto"/>
        <w:bottom w:val="none" w:sz="0" w:space="0" w:color="auto"/>
        <w:right w:val="none" w:sz="0" w:space="0" w:color="auto"/>
      </w:divBdr>
    </w:div>
    <w:div w:id="1625575469">
      <w:bodyDiv w:val="1"/>
      <w:marLeft w:val="0"/>
      <w:marRight w:val="0"/>
      <w:marTop w:val="0"/>
      <w:marBottom w:val="0"/>
      <w:divBdr>
        <w:top w:val="none" w:sz="0" w:space="0" w:color="auto"/>
        <w:left w:val="none" w:sz="0" w:space="0" w:color="auto"/>
        <w:bottom w:val="none" w:sz="0" w:space="0" w:color="auto"/>
        <w:right w:val="none" w:sz="0" w:space="0" w:color="auto"/>
      </w:divBdr>
    </w:div>
    <w:div w:id="1625690328">
      <w:bodyDiv w:val="1"/>
      <w:marLeft w:val="0"/>
      <w:marRight w:val="0"/>
      <w:marTop w:val="0"/>
      <w:marBottom w:val="0"/>
      <w:divBdr>
        <w:top w:val="none" w:sz="0" w:space="0" w:color="auto"/>
        <w:left w:val="none" w:sz="0" w:space="0" w:color="auto"/>
        <w:bottom w:val="none" w:sz="0" w:space="0" w:color="auto"/>
        <w:right w:val="none" w:sz="0" w:space="0" w:color="auto"/>
      </w:divBdr>
    </w:div>
    <w:div w:id="1626080978">
      <w:bodyDiv w:val="1"/>
      <w:marLeft w:val="0"/>
      <w:marRight w:val="0"/>
      <w:marTop w:val="0"/>
      <w:marBottom w:val="0"/>
      <w:divBdr>
        <w:top w:val="none" w:sz="0" w:space="0" w:color="auto"/>
        <w:left w:val="none" w:sz="0" w:space="0" w:color="auto"/>
        <w:bottom w:val="none" w:sz="0" w:space="0" w:color="auto"/>
        <w:right w:val="none" w:sz="0" w:space="0" w:color="auto"/>
      </w:divBdr>
    </w:div>
    <w:div w:id="1626278821">
      <w:bodyDiv w:val="1"/>
      <w:marLeft w:val="0"/>
      <w:marRight w:val="0"/>
      <w:marTop w:val="0"/>
      <w:marBottom w:val="0"/>
      <w:divBdr>
        <w:top w:val="none" w:sz="0" w:space="0" w:color="auto"/>
        <w:left w:val="none" w:sz="0" w:space="0" w:color="auto"/>
        <w:bottom w:val="none" w:sz="0" w:space="0" w:color="auto"/>
        <w:right w:val="none" w:sz="0" w:space="0" w:color="auto"/>
      </w:divBdr>
    </w:div>
    <w:div w:id="1626883982">
      <w:bodyDiv w:val="1"/>
      <w:marLeft w:val="0"/>
      <w:marRight w:val="0"/>
      <w:marTop w:val="0"/>
      <w:marBottom w:val="0"/>
      <w:divBdr>
        <w:top w:val="none" w:sz="0" w:space="0" w:color="auto"/>
        <w:left w:val="none" w:sz="0" w:space="0" w:color="auto"/>
        <w:bottom w:val="none" w:sz="0" w:space="0" w:color="auto"/>
        <w:right w:val="none" w:sz="0" w:space="0" w:color="auto"/>
      </w:divBdr>
    </w:div>
    <w:div w:id="1627004715">
      <w:bodyDiv w:val="1"/>
      <w:marLeft w:val="0"/>
      <w:marRight w:val="0"/>
      <w:marTop w:val="0"/>
      <w:marBottom w:val="0"/>
      <w:divBdr>
        <w:top w:val="none" w:sz="0" w:space="0" w:color="auto"/>
        <w:left w:val="none" w:sz="0" w:space="0" w:color="auto"/>
        <w:bottom w:val="none" w:sz="0" w:space="0" w:color="auto"/>
        <w:right w:val="none" w:sz="0" w:space="0" w:color="auto"/>
      </w:divBdr>
    </w:div>
    <w:div w:id="1627615372">
      <w:bodyDiv w:val="1"/>
      <w:marLeft w:val="0"/>
      <w:marRight w:val="0"/>
      <w:marTop w:val="0"/>
      <w:marBottom w:val="0"/>
      <w:divBdr>
        <w:top w:val="none" w:sz="0" w:space="0" w:color="auto"/>
        <w:left w:val="none" w:sz="0" w:space="0" w:color="auto"/>
        <w:bottom w:val="none" w:sz="0" w:space="0" w:color="auto"/>
        <w:right w:val="none" w:sz="0" w:space="0" w:color="auto"/>
      </w:divBdr>
    </w:div>
    <w:div w:id="1627616491">
      <w:bodyDiv w:val="1"/>
      <w:marLeft w:val="0"/>
      <w:marRight w:val="0"/>
      <w:marTop w:val="0"/>
      <w:marBottom w:val="0"/>
      <w:divBdr>
        <w:top w:val="none" w:sz="0" w:space="0" w:color="auto"/>
        <w:left w:val="none" w:sz="0" w:space="0" w:color="auto"/>
        <w:bottom w:val="none" w:sz="0" w:space="0" w:color="auto"/>
        <w:right w:val="none" w:sz="0" w:space="0" w:color="auto"/>
      </w:divBdr>
    </w:div>
    <w:div w:id="1627810380">
      <w:bodyDiv w:val="1"/>
      <w:marLeft w:val="0"/>
      <w:marRight w:val="0"/>
      <w:marTop w:val="0"/>
      <w:marBottom w:val="0"/>
      <w:divBdr>
        <w:top w:val="none" w:sz="0" w:space="0" w:color="auto"/>
        <w:left w:val="none" w:sz="0" w:space="0" w:color="auto"/>
        <w:bottom w:val="none" w:sz="0" w:space="0" w:color="auto"/>
        <w:right w:val="none" w:sz="0" w:space="0" w:color="auto"/>
      </w:divBdr>
    </w:div>
    <w:div w:id="1627931012">
      <w:bodyDiv w:val="1"/>
      <w:marLeft w:val="0"/>
      <w:marRight w:val="0"/>
      <w:marTop w:val="0"/>
      <w:marBottom w:val="0"/>
      <w:divBdr>
        <w:top w:val="none" w:sz="0" w:space="0" w:color="auto"/>
        <w:left w:val="none" w:sz="0" w:space="0" w:color="auto"/>
        <w:bottom w:val="none" w:sz="0" w:space="0" w:color="auto"/>
        <w:right w:val="none" w:sz="0" w:space="0" w:color="auto"/>
      </w:divBdr>
    </w:div>
    <w:div w:id="1628394495">
      <w:bodyDiv w:val="1"/>
      <w:marLeft w:val="0"/>
      <w:marRight w:val="0"/>
      <w:marTop w:val="0"/>
      <w:marBottom w:val="0"/>
      <w:divBdr>
        <w:top w:val="none" w:sz="0" w:space="0" w:color="auto"/>
        <w:left w:val="none" w:sz="0" w:space="0" w:color="auto"/>
        <w:bottom w:val="none" w:sz="0" w:space="0" w:color="auto"/>
        <w:right w:val="none" w:sz="0" w:space="0" w:color="auto"/>
      </w:divBdr>
    </w:div>
    <w:div w:id="1628395462">
      <w:bodyDiv w:val="1"/>
      <w:marLeft w:val="0"/>
      <w:marRight w:val="0"/>
      <w:marTop w:val="0"/>
      <w:marBottom w:val="0"/>
      <w:divBdr>
        <w:top w:val="none" w:sz="0" w:space="0" w:color="auto"/>
        <w:left w:val="none" w:sz="0" w:space="0" w:color="auto"/>
        <w:bottom w:val="none" w:sz="0" w:space="0" w:color="auto"/>
        <w:right w:val="none" w:sz="0" w:space="0" w:color="auto"/>
      </w:divBdr>
    </w:div>
    <w:div w:id="1628703535">
      <w:bodyDiv w:val="1"/>
      <w:marLeft w:val="0"/>
      <w:marRight w:val="0"/>
      <w:marTop w:val="0"/>
      <w:marBottom w:val="0"/>
      <w:divBdr>
        <w:top w:val="none" w:sz="0" w:space="0" w:color="auto"/>
        <w:left w:val="none" w:sz="0" w:space="0" w:color="auto"/>
        <w:bottom w:val="none" w:sz="0" w:space="0" w:color="auto"/>
        <w:right w:val="none" w:sz="0" w:space="0" w:color="auto"/>
      </w:divBdr>
    </w:div>
    <w:div w:id="1628781161">
      <w:bodyDiv w:val="1"/>
      <w:marLeft w:val="0"/>
      <w:marRight w:val="0"/>
      <w:marTop w:val="0"/>
      <w:marBottom w:val="0"/>
      <w:divBdr>
        <w:top w:val="none" w:sz="0" w:space="0" w:color="auto"/>
        <w:left w:val="none" w:sz="0" w:space="0" w:color="auto"/>
        <w:bottom w:val="none" w:sz="0" w:space="0" w:color="auto"/>
        <w:right w:val="none" w:sz="0" w:space="0" w:color="auto"/>
      </w:divBdr>
    </w:div>
    <w:div w:id="1629164241">
      <w:bodyDiv w:val="1"/>
      <w:marLeft w:val="0"/>
      <w:marRight w:val="0"/>
      <w:marTop w:val="0"/>
      <w:marBottom w:val="0"/>
      <w:divBdr>
        <w:top w:val="none" w:sz="0" w:space="0" w:color="auto"/>
        <w:left w:val="none" w:sz="0" w:space="0" w:color="auto"/>
        <w:bottom w:val="none" w:sz="0" w:space="0" w:color="auto"/>
        <w:right w:val="none" w:sz="0" w:space="0" w:color="auto"/>
      </w:divBdr>
    </w:div>
    <w:div w:id="1629241976">
      <w:bodyDiv w:val="1"/>
      <w:marLeft w:val="0"/>
      <w:marRight w:val="0"/>
      <w:marTop w:val="0"/>
      <w:marBottom w:val="0"/>
      <w:divBdr>
        <w:top w:val="none" w:sz="0" w:space="0" w:color="auto"/>
        <w:left w:val="none" w:sz="0" w:space="0" w:color="auto"/>
        <w:bottom w:val="none" w:sz="0" w:space="0" w:color="auto"/>
        <w:right w:val="none" w:sz="0" w:space="0" w:color="auto"/>
      </w:divBdr>
    </w:div>
    <w:div w:id="1629361929">
      <w:bodyDiv w:val="1"/>
      <w:marLeft w:val="0"/>
      <w:marRight w:val="0"/>
      <w:marTop w:val="0"/>
      <w:marBottom w:val="0"/>
      <w:divBdr>
        <w:top w:val="none" w:sz="0" w:space="0" w:color="auto"/>
        <w:left w:val="none" w:sz="0" w:space="0" w:color="auto"/>
        <w:bottom w:val="none" w:sz="0" w:space="0" w:color="auto"/>
        <w:right w:val="none" w:sz="0" w:space="0" w:color="auto"/>
      </w:divBdr>
    </w:div>
    <w:div w:id="1629505875">
      <w:bodyDiv w:val="1"/>
      <w:marLeft w:val="0"/>
      <w:marRight w:val="0"/>
      <w:marTop w:val="0"/>
      <w:marBottom w:val="0"/>
      <w:divBdr>
        <w:top w:val="none" w:sz="0" w:space="0" w:color="auto"/>
        <w:left w:val="none" w:sz="0" w:space="0" w:color="auto"/>
        <w:bottom w:val="none" w:sz="0" w:space="0" w:color="auto"/>
        <w:right w:val="none" w:sz="0" w:space="0" w:color="auto"/>
      </w:divBdr>
    </w:div>
    <w:div w:id="1629584153">
      <w:bodyDiv w:val="1"/>
      <w:marLeft w:val="0"/>
      <w:marRight w:val="0"/>
      <w:marTop w:val="0"/>
      <w:marBottom w:val="0"/>
      <w:divBdr>
        <w:top w:val="none" w:sz="0" w:space="0" w:color="auto"/>
        <w:left w:val="none" w:sz="0" w:space="0" w:color="auto"/>
        <w:bottom w:val="none" w:sz="0" w:space="0" w:color="auto"/>
        <w:right w:val="none" w:sz="0" w:space="0" w:color="auto"/>
      </w:divBdr>
    </w:div>
    <w:div w:id="1629699095">
      <w:bodyDiv w:val="1"/>
      <w:marLeft w:val="0"/>
      <w:marRight w:val="0"/>
      <w:marTop w:val="0"/>
      <w:marBottom w:val="0"/>
      <w:divBdr>
        <w:top w:val="none" w:sz="0" w:space="0" w:color="auto"/>
        <w:left w:val="none" w:sz="0" w:space="0" w:color="auto"/>
        <w:bottom w:val="none" w:sz="0" w:space="0" w:color="auto"/>
        <w:right w:val="none" w:sz="0" w:space="0" w:color="auto"/>
      </w:divBdr>
    </w:div>
    <w:div w:id="1629968504">
      <w:bodyDiv w:val="1"/>
      <w:marLeft w:val="0"/>
      <w:marRight w:val="0"/>
      <w:marTop w:val="0"/>
      <w:marBottom w:val="0"/>
      <w:divBdr>
        <w:top w:val="none" w:sz="0" w:space="0" w:color="auto"/>
        <w:left w:val="none" w:sz="0" w:space="0" w:color="auto"/>
        <w:bottom w:val="none" w:sz="0" w:space="0" w:color="auto"/>
        <w:right w:val="none" w:sz="0" w:space="0" w:color="auto"/>
      </w:divBdr>
    </w:div>
    <w:div w:id="1630017180">
      <w:bodyDiv w:val="1"/>
      <w:marLeft w:val="0"/>
      <w:marRight w:val="0"/>
      <w:marTop w:val="0"/>
      <w:marBottom w:val="0"/>
      <w:divBdr>
        <w:top w:val="none" w:sz="0" w:space="0" w:color="auto"/>
        <w:left w:val="none" w:sz="0" w:space="0" w:color="auto"/>
        <w:bottom w:val="none" w:sz="0" w:space="0" w:color="auto"/>
        <w:right w:val="none" w:sz="0" w:space="0" w:color="auto"/>
      </w:divBdr>
    </w:div>
    <w:div w:id="1630277368">
      <w:bodyDiv w:val="1"/>
      <w:marLeft w:val="0"/>
      <w:marRight w:val="0"/>
      <w:marTop w:val="0"/>
      <w:marBottom w:val="0"/>
      <w:divBdr>
        <w:top w:val="none" w:sz="0" w:space="0" w:color="auto"/>
        <w:left w:val="none" w:sz="0" w:space="0" w:color="auto"/>
        <w:bottom w:val="none" w:sz="0" w:space="0" w:color="auto"/>
        <w:right w:val="none" w:sz="0" w:space="0" w:color="auto"/>
      </w:divBdr>
    </w:div>
    <w:div w:id="1630629769">
      <w:bodyDiv w:val="1"/>
      <w:marLeft w:val="0"/>
      <w:marRight w:val="0"/>
      <w:marTop w:val="0"/>
      <w:marBottom w:val="0"/>
      <w:divBdr>
        <w:top w:val="none" w:sz="0" w:space="0" w:color="auto"/>
        <w:left w:val="none" w:sz="0" w:space="0" w:color="auto"/>
        <w:bottom w:val="none" w:sz="0" w:space="0" w:color="auto"/>
        <w:right w:val="none" w:sz="0" w:space="0" w:color="auto"/>
      </w:divBdr>
    </w:div>
    <w:div w:id="1631328264">
      <w:bodyDiv w:val="1"/>
      <w:marLeft w:val="0"/>
      <w:marRight w:val="0"/>
      <w:marTop w:val="0"/>
      <w:marBottom w:val="0"/>
      <w:divBdr>
        <w:top w:val="none" w:sz="0" w:space="0" w:color="auto"/>
        <w:left w:val="none" w:sz="0" w:space="0" w:color="auto"/>
        <w:bottom w:val="none" w:sz="0" w:space="0" w:color="auto"/>
        <w:right w:val="none" w:sz="0" w:space="0" w:color="auto"/>
      </w:divBdr>
    </w:div>
    <w:div w:id="1631402281">
      <w:bodyDiv w:val="1"/>
      <w:marLeft w:val="0"/>
      <w:marRight w:val="0"/>
      <w:marTop w:val="0"/>
      <w:marBottom w:val="0"/>
      <w:divBdr>
        <w:top w:val="none" w:sz="0" w:space="0" w:color="auto"/>
        <w:left w:val="none" w:sz="0" w:space="0" w:color="auto"/>
        <w:bottom w:val="none" w:sz="0" w:space="0" w:color="auto"/>
        <w:right w:val="none" w:sz="0" w:space="0" w:color="auto"/>
      </w:divBdr>
    </w:div>
    <w:div w:id="1631551041">
      <w:bodyDiv w:val="1"/>
      <w:marLeft w:val="0"/>
      <w:marRight w:val="0"/>
      <w:marTop w:val="0"/>
      <w:marBottom w:val="0"/>
      <w:divBdr>
        <w:top w:val="none" w:sz="0" w:space="0" w:color="auto"/>
        <w:left w:val="none" w:sz="0" w:space="0" w:color="auto"/>
        <w:bottom w:val="none" w:sz="0" w:space="0" w:color="auto"/>
        <w:right w:val="none" w:sz="0" w:space="0" w:color="auto"/>
      </w:divBdr>
    </w:div>
    <w:div w:id="1631587761">
      <w:bodyDiv w:val="1"/>
      <w:marLeft w:val="0"/>
      <w:marRight w:val="0"/>
      <w:marTop w:val="0"/>
      <w:marBottom w:val="0"/>
      <w:divBdr>
        <w:top w:val="none" w:sz="0" w:space="0" w:color="auto"/>
        <w:left w:val="none" w:sz="0" w:space="0" w:color="auto"/>
        <w:bottom w:val="none" w:sz="0" w:space="0" w:color="auto"/>
        <w:right w:val="none" w:sz="0" w:space="0" w:color="auto"/>
      </w:divBdr>
    </w:div>
    <w:div w:id="1631782554">
      <w:bodyDiv w:val="1"/>
      <w:marLeft w:val="0"/>
      <w:marRight w:val="0"/>
      <w:marTop w:val="0"/>
      <w:marBottom w:val="0"/>
      <w:divBdr>
        <w:top w:val="none" w:sz="0" w:space="0" w:color="auto"/>
        <w:left w:val="none" w:sz="0" w:space="0" w:color="auto"/>
        <w:bottom w:val="none" w:sz="0" w:space="0" w:color="auto"/>
        <w:right w:val="none" w:sz="0" w:space="0" w:color="auto"/>
      </w:divBdr>
    </w:div>
    <w:div w:id="1631931513">
      <w:bodyDiv w:val="1"/>
      <w:marLeft w:val="0"/>
      <w:marRight w:val="0"/>
      <w:marTop w:val="0"/>
      <w:marBottom w:val="0"/>
      <w:divBdr>
        <w:top w:val="none" w:sz="0" w:space="0" w:color="auto"/>
        <w:left w:val="none" w:sz="0" w:space="0" w:color="auto"/>
        <w:bottom w:val="none" w:sz="0" w:space="0" w:color="auto"/>
        <w:right w:val="none" w:sz="0" w:space="0" w:color="auto"/>
      </w:divBdr>
    </w:div>
    <w:div w:id="1631934783">
      <w:bodyDiv w:val="1"/>
      <w:marLeft w:val="0"/>
      <w:marRight w:val="0"/>
      <w:marTop w:val="0"/>
      <w:marBottom w:val="0"/>
      <w:divBdr>
        <w:top w:val="none" w:sz="0" w:space="0" w:color="auto"/>
        <w:left w:val="none" w:sz="0" w:space="0" w:color="auto"/>
        <w:bottom w:val="none" w:sz="0" w:space="0" w:color="auto"/>
        <w:right w:val="none" w:sz="0" w:space="0" w:color="auto"/>
      </w:divBdr>
    </w:div>
    <w:div w:id="1632203274">
      <w:bodyDiv w:val="1"/>
      <w:marLeft w:val="0"/>
      <w:marRight w:val="0"/>
      <w:marTop w:val="0"/>
      <w:marBottom w:val="0"/>
      <w:divBdr>
        <w:top w:val="none" w:sz="0" w:space="0" w:color="auto"/>
        <w:left w:val="none" w:sz="0" w:space="0" w:color="auto"/>
        <w:bottom w:val="none" w:sz="0" w:space="0" w:color="auto"/>
        <w:right w:val="none" w:sz="0" w:space="0" w:color="auto"/>
      </w:divBdr>
    </w:div>
    <w:div w:id="1632319625">
      <w:bodyDiv w:val="1"/>
      <w:marLeft w:val="0"/>
      <w:marRight w:val="0"/>
      <w:marTop w:val="0"/>
      <w:marBottom w:val="0"/>
      <w:divBdr>
        <w:top w:val="none" w:sz="0" w:space="0" w:color="auto"/>
        <w:left w:val="none" w:sz="0" w:space="0" w:color="auto"/>
        <w:bottom w:val="none" w:sz="0" w:space="0" w:color="auto"/>
        <w:right w:val="none" w:sz="0" w:space="0" w:color="auto"/>
      </w:divBdr>
    </w:div>
    <w:div w:id="1632591159">
      <w:bodyDiv w:val="1"/>
      <w:marLeft w:val="0"/>
      <w:marRight w:val="0"/>
      <w:marTop w:val="0"/>
      <w:marBottom w:val="0"/>
      <w:divBdr>
        <w:top w:val="none" w:sz="0" w:space="0" w:color="auto"/>
        <w:left w:val="none" w:sz="0" w:space="0" w:color="auto"/>
        <w:bottom w:val="none" w:sz="0" w:space="0" w:color="auto"/>
        <w:right w:val="none" w:sz="0" w:space="0" w:color="auto"/>
      </w:divBdr>
    </w:div>
    <w:div w:id="1632633165">
      <w:bodyDiv w:val="1"/>
      <w:marLeft w:val="0"/>
      <w:marRight w:val="0"/>
      <w:marTop w:val="0"/>
      <w:marBottom w:val="0"/>
      <w:divBdr>
        <w:top w:val="none" w:sz="0" w:space="0" w:color="auto"/>
        <w:left w:val="none" w:sz="0" w:space="0" w:color="auto"/>
        <w:bottom w:val="none" w:sz="0" w:space="0" w:color="auto"/>
        <w:right w:val="none" w:sz="0" w:space="0" w:color="auto"/>
      </w:divBdr>
    </w:div>
    <w:div w:id="1632707866">
      <w:bodyDiv w:val="1"/>
      <w:marLeft w:val="0"/>
      <w:marRight w:val="0"/>
      <w:marTop w:val="0"/>
      <w:marBottom w:val="0"/>
      <w:divBdr>
        <w:top w:val="none" w:sz="0" w:space="0" w:color="auto"/>
        <w:left w:val="none" w:sz="0" w:space="0" w:color="auto"/>
        <w:bottom w:val="none" w:sz="0" w:space="0" w:color="auto"/>
        <w:right w:val="none" w:sz="0" w:space="0" w:color="auto"/>
      </w:divBdr>
    </w:div>
    <w:div w:id="1632709687">
      <w:bodyDiv w:val="1"/>
      <w:marLeft w:val="0"/>
      <w:marRight w:val="0"/>
      <w:marTop w:val="0"/>
      <w:marBottom w:val="0"/>
      <w:divBdr>
        <w:top w:val="none" w:sz="0" w:space="0" w:color="auto"/>
        <w:left w:val="none" w:sz="0" w:space="0" w:color="auto"/>
        <w:bottom w:val="none" w:sz="0" w:space="0" w:color="auto"/>
        <w:right w:val="none" w:sz="0" w:space="0" w:color="auto"/>
      </w:divBdr>
    </w:div>
    <w:div w:id="1632977335">
      <w:bodyDiv w:val="1"/>
      <w:marLeft w:val="0"/>
      <w:marRight w:val="0"/>
      <w:marTop w:val="0"/>
      <w:marBottom w:val="0"/>
      <w:divBdr>
        <w:top w:val="none" w:sz="0" w:space="0" w:color="auto"/>
        <w:left w:val="none" w:sz="0" w:space="0" w:color="auto"/>
        <w:bottom w:val="none" w:sz="0" w:space="0" w:color="auto"/>
        <w:right w:val="none" w:sz="0" w:space="0" w:color="auto"/>
      </w:divBdr>
    </w:div>
    <w:div w:id="1632979932">
      <w:bodyDiv w:val="1"/>
      <w:marLeft w:val="0"/>
      <w:marRight w:val="0"/>
      <w:marTop w:val="0"/>
      <w:marBottom w:val="0"/>
      <w:divBdr>
        <w:top w:val="none" w:sz="0" w:space="0" w:color="auto"/>
        <w:left w:val="none" w:sz="0" w:space="0" w:color="auto"/>
        <w:bottom w:val="none" w:sz="0" w:space="0" w:color="auto"/>
        <w:right w:val="none" w:sz="0" w:space="0" w:color="auto"/>
      </w:divBdr>
    </w:div>
    <w:div w:id="1633167127">
      <w:bodyDiv w:val="1"/>
      <w:marLeft w:val="0"/>
      <w:marRight w:val="0"/>
      <w:marTop w:val="0"/>
      <w:marBottom w:val="0"/>
      <w:divBdr>
        <w:top w:val="none" w:sz="0" w:space="0" w:color="auto"/>
        <w:left w:val="none" w:sz="0" w:space="0" w:color="auto"/>
        <w:bottom w:val="none" w:sz="0" w:space="0" w:color="auto"/>
        <w:right w:val="none" w:sz="0" w:space="0" w:color="auto"/>
      </w:divBdr>
    </w:div>
    <w:div w:id="1633244201">
      <w:bodyDiv w:val="1"/>
      <w:marLeft w:val="0"/>
      <w:marRight w:val="0"/>
      <w:marTop w:val="0"/>
      <w:marBottom w:val="0"/>
      <w:divBdr>
        <w:top w:val="none" w:sz="0" w:space="0" w:color="auto"/>
        <w:left w:val="none" w:sz="0" w:space="0" w:color="auto"/>
        <w:bottom w:val="none" w:sz="0" w:space="0" w:color="auto"/>
        <w:right w:val="none" w:sz="0" w:space="0" w:color="auto"/>
      </w:divBdr>
    </w:div>
    <w:div w:id="1633289607">
      <w:bodyDiv w:val="1"/>
      <w:marLeft w:val="0"/>
      <w:marRight w:val="0"/>
      <w:marTop w:val="0"/>
      <w:marBottom w:val="0"/>
      <w:divBdr>
        <w:top w:val="none" w:sz="0" w:space="0" w:color="auto"/>
        <w:left w:val="none" w:sz="0" w:space="0" w:color="auto"/>
        <w:bottom w:val="none" w:sz="0" w:space="0" w:color="auto"/>
        <w:right w:val="none" w:sz="0" w:space="0" w:color="auto"/>
      </w:divBdr>
    </w:div>
    <w:div w:id="1633828107">
      <w:bodyDiv w:val="1"/>
      <w:marLeft w:val="0"/>
      <w:marRight w:val="0"/>
      <w:marTop w:val="0"/>
      <w:marBottom w:val="0"/>
      <w:divBdr>
        <w:top w:val="none" w:sz="0" w:space="0" w:color="auto"/>
        <w:left w:val="none" w:sz="0" w:space="0" w:color="auto"/>
        <w:bottom w:val="none" w:sz="0" w:space="0" w:color="auto"/>
        <w:right w:val="none" w:sz="0" w:space="0" w:color="auto"/>
      </w:divBdr>
    </w:div>
    <w:div w:id="1634092617">
      <w:bodyDiv w:val="1"/>
      <w:marLeft w:val="0"/>
      <w:marRight w:val="0"/>
      <w:marTop w:val="0"/>
      <w:marBottom w:val="0"/>
      <w:divBdr>
        <w:top w:val="none" w:sz="0" w:space="0" w:color="auto"/>
        <w:left w:val="none" w:sz="0" w:space="0" w:color="auto"/>
        <w:bottom w:val="none" w:sz="0" w:space="0" w:color="auto"/>
        <w:right w:val="none" w:sz="0" w:space="0" w:color="auto"/>
      </w:divBdr>
    </w:div>
    <w:div w:id="1634166972">
      <w:bodyDiv w:val="1"/>
      <w:marLeft w:val="0"/>
      <w:marRight w:val="0"/>
      <w:marTop w:val="0"/>
      <w:marBottom w:val="0"/>
      <w:divBdr>
        <w:top w:val="none" w:sz="0" w:space="0" w:color="auto"/>
        <w:left w:val="none" w:sz="0" w:space="0" w:color="auto"/>
        <w:bottom w:val="none" w:sz="0" w:space="0" w:color="auto"/>
        <w:right w:val="none" w:sz="0" w:space="0" w:color="auto"/>
      </w:divBdr>
    </w:div>
    <w:div w:id="1634485205">
      <w:bodyDiv w:val="1"/>
      <w:marLeft w:val="0"/>
      <w:marRight w:val="0"/>
      <w:marTop w:val="0"/>
      <w:marBottom w:val="0"/>
      <w:divBdr>
        <w:top w:val="none" w:sz="0" w:space="0" w:color="auto"/>
        <w:left w:val="none" w:sz="0" w:space="0" w:color="auto"/>
        <w:bottom w:val="none" w:sz="0" w:space="0" w:color="auto"/>
        <w:right w:val="none" w:sz="0" w:space="0" w:color="auto"/>
      </w:divBdr>
    </w:div>
    <w:div w:id="1634679256">
      <w:bodyDiv w:val="1"/>
      <w:marLeft w:val="0"/>
      <w:marRight w:val="0"/>
      <w:marTop w:val="0"/>
      <w:marBottom w:val="0"/>
      <w:divBdr>
        <w:top w:val="none" w:sz="0" w:space="0" w:color="auto"/>
        <w:left w:val="none" w:sz="0" w:space="0" w:color="auto"/>
        <w:bottom w:val="none" w:sz="0" w:space="0" w:color="auto"/>
        <w:right w:val="none" w:sz="0" w:space="0" w:color="auto"/>
      </w:divBdr>
    </w:div>
    <w:div w:id="1635061423">
      <w:bodyDiv w:val="1"/>
      <w:marLeft w:val="0"/>
      <w:marRight w:val="0"/>
      <w:marTop w:val="0"/>
      <w:marBottom w:val="0"/>
      <w:divBdr>
        <w:top w:val="none" w:sz="0" w:space="0" w:color="auto"/>
        <w:left w:val="none" w:sz="0" w:space="0" w:color="auto"/>
        <w:bottom w:val="none" w:sz="0" w:space="0" w:color="auto"/>
        <w:right w:val="none" w:sz="0" w:space="0" w:color="auto"/>
      </w:divBdr>
    </w:div>
    <w:div w:id="1635139162">
      <w:bodyDiv w:val="1"/>
      <w:marLeft w:val="0"/>
      <w:marRight w:val="0"/>
      <w:marTop w:val="0"/>
      <w:marBottom w:val="0"/>
      <w:divBdr>
        <w:top w:val="none" w:sz="0" w:space="0" w:color="auto"/>
        <w:left w:val="none" w:sz="0" w:space="0" w:color="auto"/>
        <w:bottom w:val="none" w:sz="0" w:space="0" w:color="auto"/>
        <w:right w:val="none" w:sz="0" w:space="0" w:color="auto"/>
      </w:divBdr>
    </w:div>
    <w:div w:id="1635259780">
      <w:bodyDiv w:val="1"/>
      <w:marLeft w:val="0"/>
      <w:marRight w:val="0"/>
      <w:marTop w:val="0"/>
      <w:marBottom w:val="0"/>
      <w:divBdr>
        <w:top w:val="none" w:sz="0" w:space="0" w:color="auto"/>
        <w:left w:val="none" w:sz="0" w:space="0" w:color="auto"/>
        <w:bottom w:val="none" w:sz="0" w:space="0" w:color="auto"/>
        <w:right w:val="none" w:sz="0" w:space="0" w:color="auto"/>
      </w:divBdr>
    </w:div>
    <w:div w:id="1635676189">
      <w:bodyDiv w:val="1"/>
      <w:marLeft w:val="0"/>
      <w:marRight w:val="0"/>
      <w:marTop w:val="0"/>
      <w:marBottom w:val="0"/>
      <w:divBdr>
        <w:top w:val="none" w:sz="0" w:space="0" w:color="auto"/>
        <w:left w:val="none" w:sz="0" w:space="0" w:color="auto"/>
        <w:bottom w:val="none" w:sz="0" w:space="0" w:color="auto"/>
        <w:right w:val="none" w:sz="0" w:space="0" w:color="auto"/>
      </w:divBdr>
    </w:div>
    <w:div w:id="1635717861">
      <w:bodyDiv w:val="1"/>
      <w:marLeft w:val="0"/>
      <w:marRight w:val="0"/>
      <w:marTop w:val="0"/>
      <w:marBottom w:val="0"/>
      <w:divBdr>
        <w:top w:val="none" w:sz="0" w:space="0" w:color="auto"/>
        <w:left w:val="none" w:sz="0" w:space="0" w:color="auto"/>
        <w:bottom w:val="none" w:sz="0" w:space="0" w:color="auto"/>
        <w:right w:val="none" w:sz="0" w:space="0" w:color="auto"/>
      </w:divBdr>
    </w:div>
    <w:div w:id="1635719032">
      <w:bodyDiv w:val="1"/>
      <w:marLeft w:val="0"/>
      <w:marRight w:val="0"/>
      <w:marTop w:val="0"/>
      <w:marBottom w:val="0"/>
      <w:divBdr>
        <w:top w:val="none" w:sz="0" w:space="0" w:color="auto"/>
        <w:left w:val="none" w:sz="0" w:space="0" w:color="auto"/>
        <w:bottom w:val="none" w:sz="0" w:space="0" w:color="auto"/>
        <w:right w:val="none" w:sz="0" w:space="0" w:color="auto"/>
      </w:divBdr>
    </w:div>
    <w:div w:id="1635989821">
      <w:bodyDiv w:val="1"/>
      <w:marLeft w:val="0"/>
      <w:marRight w:val="0"/>
      <w:marTop w:val="0"/>
      <w:marBottom w:val="0"/>
      <w:divBdr>
        <w:top w:val="none" w:sz="0" w:space="0" w:color="auto"/>
        <w:left w:val="none" w:sz="0" w:space="0" w:color="auto"/>
        <w:bottom w:val="none" w:sz="0" w:space="0" w:color="auto"/>
        <w:right w:val="none" w:sz="0" w:space="0" w:color="auto"/>
      </w:divBdr>
    </w:div>
    <w:div w:id="1635989945">
      <w:bodyDiv w:val="1"/>
      <w:marLeft w:val="0"/>
      <w:marRight w:val="0"/>
      <w:marTop w:val="0"/>
      <w:marBottom w:val="0"/>
      <w:divBdr>
        <w:top w:val="none" w:sz="0" w:space="0" w:color="auto"/>
        <w:left w:val="none" w:sz="0" w:space="0" w:color="auto"/>
        <w:bottom w:val="none" w:sz="0" w:space="0" w:color="auto"/>
        <w:right w:val="none" w:sz="0" w:space="0" w:color="auto"/>
      </w:divBdr>
    </w:div>
    <w:div w:id="1636257858">
      <w:bodyDiv w:val="1"/>
      <w:marLeft w:val="0"/>
      <w:marRight w:val="0"/>
      <w:marTop w:val="0"/>
      <w:marBottom w:val="0"/>
      <w:divBdr>
        <w:top w:val="none" w:sz="0" w:space="0" w:color="auto"/>
        <w:left w:val="none" w:sz="0" w:space="0" w:color="auto"/>
        <w:bottom w:val="none" w:sz="0" w:space="0" w:color="auto"/>
        <w:right w:val="none" w:sz="0" w:space="0" w:color="auto"/>
      </w:divBdr>
    </w:div>
    <w:div w:id="1636372903">
      <w:bodyDiv w:val="1"/>
      <w:marLeft w:val="0"/>
      <w:marRight w:val="0"/>
      <w:marTop w:val="0"/>
      <w:marBottom w:val="0"/>
      <w:divBdr>
        <w:top w:val="none" w:sz="0" w:space="0" w:color="auto"/>
        <w:left w:val="none" w:sz="0" w:space="0" w:color="auto"/>
        <w:bottom w:val="none" w:sz="0" w:space="0" w:color="auto"/>
        <w:right w:val="none" w:sz="0" w:space="0" w:color="auto"/>
      </w:divBdr>
    </w:div>
    <w:div w:id="1636524756">
      <w:bodyDiv w:val="1"/>
      <w:marLeft w:val="0"/>
      <w:marRight w:val="0"/>
      <w:marTop w:val="0"/>
      <w:marBottom w:val="0"/>
      <w:divBdr>
        <w:top w:val="none" w:sz="0" w:space="0" w:color="auto"/>
        <w:left w:val="none" w:sz="0" w:space="0" w:color="auto"/>
        <w:bottom w:val="none" w:sz="0" w:space="0" w:color="auto"/>
        <w:right w:val="none" w:sz="0" w:space="0" w:color="auto"/>
      </w:divBdr>
    </w:div>
    <w:div w:id="1636565737">
      <w:bodyDiv w:val="1"/>
      <w:marLeft w:val="0"/>
      <w:marRight w:val="0"/>
      <w:marTop w:val="0"/>
      <w:marBottom w:val="0"/>
      <w:divBdr>
        <w:top w:val="none" w:sz="0" w:space="0" w:color="auto"/>
        <w:left w:val="none" w:sz="0" w:space="0" w:color="auto"/>
        <w:bottom w:val="none" w:sz="0" w:space="0" w:color="auto"/>
        <w:right w:val="none" w:sz="0" w:space="0" w:color="auto"/>
      </w:divBdr>
    </w:div>
    <w:div w:id="1636594068">
      <w:bodyDiv w:val="1"/>
      <w:marLeft w:val="0"/>
      <w:marRight w:val="0"/>
      <w:marTop w:val="0"/>
      <w:marBottom w:val="0"/>
      <w:divBdr>
        <w:top w:val="none" w:sz="0" w:space="0" w:color="auto"/>
        <w:left w:val="none" w:sz="0" w:space="0" w:color="auto"/>
        <w:bottom w:val="none" w:sz="0" w:space="0" w:color="auto"/>
        <w:right w:val="none" w:sz="0" w:space="0" w:color="auto"/>
      </w:divBdr>
    </w:div>
    <w:div w:id="1637025526">
      <w:bodyDiv w:val="1"/>
      <w:marLeft w:val="0"/>
      <w:marRight w:val="0"/>
      <w:marTop w:val="0"/>
      <w:marBottom w:val="0"/>
      <w:divBdr>
        <w:top w:val="none" w:sz="0" w:space="0" w:color="auto"/>
        <w:left w:val="none" w:sz="0" w:space="0" w:color="auto"/>
        <w:bottom w:val="none" w:sz="0" w:space="0" w:color="auto"/>
        <w:right w:val="none" w:sz="0" w:space="0" w:color="auto"/>
      </w:divBdr>
    </w:div>
    <w:div w:id="1637026004">
      <w:bodyDiv w:val="1"/>
      <w:marLeft w:val="0"/>
      <w:marRight w:val="0"/>
      <w:marTop w:val="0"/>
      <w:marBottom w:val="0"/>
      <w:divBdr>
        <w:top w:val="none" w:sz="0" w:space="0" w:color="auto"/>
        <w:left w:val="none" w:sz="0" w:space="0" w:color="auto"/>
        <w:bottom w:val="none" w:sz="0" w:space="0" w:color="auto"/>
        <w:right w:val="none" w:sz="0" w:space="0" w:color="auto"/>
      </w:divBdr>
    </w:div>
    <w:div w:id="1637491303">
      <w:bodyDiv w:val="1"/>
      <w:marLeft w:val="0"/>
      <w:marRight w:val="0"/>
      <w:marTop w:val="0"/>
      <w:marBottom w:val="0"/>
      <w:divBdr>
        <w:top w:val="none" w:sz="0" w:space="0" w:color="auto"/>
        <w:left w:val="none" w:sz="0" w:space="0" w:color="auto"/>
        <w:bottom w:val="none" w:sz="0" w:space="0" w:color="auto"/>
        <w:right w:val="none" w:sz="0" w:space="0" w:color="auto"/>
      </w:divBdr>
    </w:div>
    <w:div w:id="1637834178">
      <w:bodyDiv w:val="1"/>
      <w:marLeft w:val="0"/>
      <w:marRight w:val="0"/>
      <w:marTop w:val="0"/>
      <w:marBottom w:val="0"/>
      <w:divBdr>
        <w:top w:val="none" w:sz="0" w:space="0" w:color="auto"/>
        <w:left w:val="none" w:sz="0" w:space="0" w:color="auto"/>
        <w:bottom w:val="none" w:sz="0" w:space="0" w:color="auto"/>
        <w:right w:val="none" w:sz="0" w:space="0" w:color="auto"/>
      </w:divBdr>
    </w:div>
    <w:div w:id="1638411453">
      <w:bodyDiv w:val="1"/>
      <w:marLeft w:val="0"/>
      <w:marRight w:val="0"/>
      <w:marTop w:val="0"/>
      <w:marBottom w:val="0"/>
      <w:divBdr>
        <w:top w:val="none" w:sz="0" w:space="0" w:color="auto"/>
        <w:left w:val="none" w:sz="0" w:space="0" w:color="auto"/>
        <w:bottom w:val="none" w:sz="0" w:space="0" w:color="auto"/>
        <w:right w:val="none" w:sz="0" w:space="0" w:color="auto"/>
      </w:divBdr>
    </w:div>
    <w:div w:id="1638611031">
      <w:bodyDiv w:val="1"/>
      <w:marLeft w:val="0"/>
      <w:marRight w:val="0"/>
      <w:marTop w:val="0"/>
      <w:marBottom w:val="0"/>
      <w:divBdr>
        <w:top w:val="none" w:sz="0" w:space="0" w:color="auto"/>
        <w:left w:val="none" w:sz="0" w:space="0" w:color="auto"/>
        <w:bottom w:val="none" w:sz="0" w:space="0" w:color="auto"/>
        <w:right w:val="none" w:sz="0" w:space="0" w:color="auto"/>
      </w:divBdr>
    </w:div>
    <w:div w:id="1638678140">
      <w:bodyDiv w:val="1"/>
      <w:marLeft w:val="0"/>
      <w:marRight w:val="0"/>
      <w:marTop w:val="0"/>
      <w:marBottom w:val="0"/>
      <w:divBdr>
        <w:top w:val="none" w:sz="0" w:space="0" w:color="auto"/>
        <w:left w:val="none" w:sz="0" w:space="0" w:color="auto"/>
        <w:bottom w:val="none" w:sz="0" w:space="0" w:color="auto"/>
        <w:right w:val="none" w:sz="0" w:space="0" w:color="auto"/>
      </w:divBdr>
    </w:div>
    <w:div w:id="1638803560">
      <w:bodyDiv w:val="1"/>
      <w:marLeft w:val="0"/>
      <w:marRight w:val="0"/>
      <w:marTop w:val="0"/>
      <w:marBottom w:val="0"/>
      <w:divBdr>
        <w:top w:val="none" w:sz="0" w:space="0" w:color="auto"/>
        <w:left w:val="none" w:sz="0" w:space="0" w:color="auto"/>
        <w:bottom w:val="none" w:sz="0" w:space="0" w:color="auto"/>
        <w:right w:val="none" w:sz="0" w:space="0" w:color="auto"/>
      </w:divBdr>
    </w:div>
    <w:div w:id="1638873831">
      <w:bodyDiv w:val="1"/>
      <w:marLeft w:val="0"/>
      <w:marRight w:val="0"/>
      <w:marTop w:val="0"/>
      <w:marBottom w:val="0"/>
      <w:divBdr>
        <w:top w:val="none" w:sz="0" w:space="0" w:color="auto"/>
        <w:left w:val="none" w:sz="0" w:space="0" w:color="auto"/>
        <w:bottom w:val="none" w:sz="0" w:space="0" w:color="auto"/>
        <w:right w:val="none" w:sz="0" w:space="0" w:color="auto"/>
      </w:divBdr>
    </w:div>
    <w:div w:id="1638998166">
      <w:bodyDiv w:val="1"/>
      <w:marLeft w:val="0"/>
      <w:marRight w:val="0"/>
      <w:marTop w:val="0"/>
      <w:marBottom w:val="0"/>
      <w:divBdr>
        <w:top w:val="none" w:sz="0" w:space="0" w:color="auto"/>
        <w:left w:val="none" w:sz="0" w:space="0" w:color="auto"/>
        <w:bottom w:val="none" w:sz="0" w:space="0" w:color="auto"/>
        <w:right w:val="none" w:sz="0" w:space="0" w:color="auto"/>
      </w:divBdr>
    </w:div>
    <w:div w:id="1639141639">
      <w:bodyDiv w:val="1"/>
      <w:marLeft w:val="0"/>
      <w:marRight w:val="0"/>
      <w:marTop w:val="0"/>
      <w:marBottom w:val="0"/>
      <w:divBdr>
        <w:top w:val="none" w:sz="0" w:space="0" w:color="auto"/>
        <w:left w:val="none" w:sz="0" w:space="0" w:color="auto"/>
        <w:bottom w:val="none" w:sz="0" w:space="0" w:color="auto"/>
        <w:right w:val="none" w:sz="0" w:space="0" w:color="auto"/>
      </w:divBdr>
    </w:div>
    <w:div w:id="1639258800">
      <w:bodyDiv w:val="1"/>
      <w:marLeft w:val="0"/>
      <w:marRight w:val="0"/>
      <w:marTop w:val="0"/>
      <w:marBottom w:val="0"/>
      <w:divBdr>
        <w:top w:val="none" w:sz="0" w:space="0" w:color="auto"/>
        <w:left w:val="none" w:sz="0" w:space="0" w:color="auto"/>
        <w:bottom w:val="none" w:sz="0" w:space="0" w:color="auto"/>
        <w:right w:val="none" w:sz="0" w:space="0" w:color="auto"/>
      </w:divBdr>
    </w:div>
    <w:div w:id="1639384735">
      <w:bodyDiv w:val="1"/>
      <w:marLeft w:val="0"/>
      <w:marRight w:val="0"/>
      <w:marTop w:val="0"/>
      <w:marBottom w:val="0"/>
      <w:divBdr>
        <w:top w:val="none" w:sz="0" w:space="0" w:color="auto"/>
        <w:left w:val="none" w:sz="0" w:space="0" w:color="auto"/>
        <w:bottom w:val="none" w:sz="0" w:space="0" w:color="auto"/>
        <w:right w:val="none" w:sz="0" w:space="0" w:color="auto"/>
      </w:divBdr>
    </w:div>
    <w:div w:id="1639453944">
      <w:bodyDiv w:val="1"/>
      <w:marLeft w:val="0"/>
      <w:marRight w:val="0"/>
      <w:marTop w:val="0"/>
      <w:marBottom w:val="0"/>
      <w:divBdr>
        <w:top w:val="none" w:sz="0" w:space="0" w:color="auto"/>
        <w:left w:val="none" w:sz="0" w:space="0" w:color="auto"/>
        <w:bottom w:val="none" w:sz="0" w:space="0" w:color="auto"/>
        <w:right w:val="none" w:sz="0" w:space="0" w:color="auto"/>
      </w:divBdr>
    </w:div>
    <w:div w:id="1639457337">
      <w:bodyDiv w:val="1"/>
      <w:marLeft w:val="0"/>
      <w:marRight w:val="0"/>
      <w:marTop w:val="0"/>
      <w:marBottom w:val="0"/>
      <w:divBdr>
        <w:top w:val="none" w:sz="0" w:space="0" w:color="auto"/>
        <w:left w:val="none" w:sz="0" w:space="0" w:color="auto"/>
        <w:bottom w:val="none" w:sz="0" w:space="0" w:color="auto"/>
        <w:right w:val="none" w:sz="0" w:space="0" w:color="auto"/>
      </w:divBdr>
    </w:div>
    <w:div w:id="1639531428">
      <w:bodyDiv w:val="1"/>
      <w:marLeft w:val="0"/>
      <w:marRight w:val="0"/>
      <w:marTop w:val="0"/>
      <w:marBottom w:val="0"/>
      <w:divBdr>
        <w:top w:val="none" w:sz="0" w:space="0" w:color="auto"/>
        <w:left w:val="none" w:sz="0" w:space="0" w:color="auto"/>
        <w:bottom w:val="none" w:sz="0" w:space="0" w:color="auto"/>
        <w:right w:val="none" w:sz="0" w:space="0" w:color="auto"/>
      </w:divBdr>
    </w:div>
    <w:div w:id="1639602327">
      <w:bodyDiv w:val="1"/>
      <w:marLeft w:val="0"/>
      <w:marRight w:val="0"/>
      <w:marTop w:val="0"/>
      <w:marBottom w:val="0"/>
      <w:divBdr>
        <w:top w:val="none" w:sz="0" w:space="0" w:color="auto"/>
        <w:left w:val="none" w:sz="0" w:space="0" w:color="auto"/>
        <w:bottom w:val="none" w:sz="0" w:space="0" w:color="auto"/>
        <w:right w:val="none" w:sz="0" w:space="0" w:color="auto"/>
      </w:divBdr>
    </w:div>
    <w:div w:id="1639647582">
      <w:bodyDiv w:val="1"/>
      <w:marLeft w:val="0"/>
      <w:marRight w:val="0"/>
      <w:marTop w:val="0"/>
      <w:marBottom w:val="0"/>
      <w:divBdr>
        <w:top w:val="none" w:sz="0" w:space="0" w:color="auto"/>
        <w:left w:val="none" w:sz="0" w:space="0" w:color="auto"/>
        <w:bottom w:val="none" w:sz="0" w:space="0" w:color="auto"/>
        <w:right w:val="none" w:sz="0" w:space="0" w:color="auto"/>
      </w:divBdr>
    </w:div>
    <w:div w:id="1639719536">
      <w:bodyDiv w:val="1"/>
      <w:marLeft w:val="0"/>
      <w:marRight w:val="0"/>
      <w:marTop w:val="0"/>
      <w:marBottom w:val="0"/>
      <w:divBdr>
        <w:top w:val="none" w:sz="0" w:space="0" w:color="auto"/>
        <w:left w:val="none" w:sz="0" w:space="0" w:color="auto"/>
        <w:bottom w:val="none" w:sz="0" w:space="0" w:color="auto"/>
        <w:right w:val="none" w:sz="0" w:space="0" w:color="auto"/>
      </w:divBdr>
    </w:div>
    <w:div w:id="1640068657">
      <w:bodyDiv w:val="1"/>
      <w:marLeft w:val="0"/>
      <w:marRight w:val="0"/>
      <w:marTop w:val="0"/>
      <w:marBottom w:val="0"/>
      <w:divBdr>
        <w:top w:val="none" w:sz="0" w:space="0" w:color="auto"/>
        <w:left w:val="none" w:sz="0" w:space="0" w:color="auto"/>
        <w:bottom w:val="none" w:sz="0" w:space="0" w:color="auto"/>
        <w:right w:val="none" w:sz="0" w:space="0" w:color="auto"/>
      </w:divBdr>
    </w:div>
    <w:div w:id="1640069020">
      <w:bodyDiv w:val="1"/>
      <w:marLeft w:val="0"/>
      <w:marRight w:val="0"/>
      <w:marTop w:val="0"/>
      <w:marBottom w:val="0"/>
      <w:divBdr>
        <w:top w:val="none" w:sz="0" w:space="0" w:color="auto"/>
        <w:left w:val="none" w:sz="0" w:space="0" w:color="auto"/>
        <w:bottom w:val="none" w:sz="0" w:space="0" w:color="auto"/>
        <w:right w:val="none" w:sz="0" w:space="0" w:color="auto"/>
      </w:divBdr>
    </w:div>
    <w:div w:id="1640190619">
      <w:bodyDiv w:val="1"/>
      <w:marLeft w:val="0"/>
      <w:marRight w:val="0"/>
      <w:marTop w:val="0"/>
      <w:marBottom w:val="0"/>
      <w:divBdr>
        <w:top w:val="none" w:sz="0" w:space="0" w:color="auto"/>
        <w:left w:val="none" w:sz="0" w:space="0" w:color="auto"/>
        <w:bottom w:val="none" w:sz="0" w:space="0" w:color="auto"/>
        <w:right w:val="none" w:sz="0" w:space="0" w:color="auto"/>
      </w:divBdr>
    </w:div>
    <w:div w:id="1640306846">
      <w:bodyDiv w:val="1"/>
      <w:marLeft w:val="0"/>
      <w:marRight w:val="0"/>
      <w:marTop w:val="0"/>
      <w:marBottom w:val="0"/>
      <w:divBdr>
        <w:top w:val="none" w:sz="0" w:space="0" w:color="auto"/>
        <w:left w:val="none" w:sz="0" w:space="0" w:color="auto"/>
        <w:bottom w:val="none" w:sz="0" w:space="0" w:color="auto"/>
        <w:right w:val="none" w:sz="0" w:space="0" w:color="auto"/>
      </w:divBdr>
    </w:div>
    <w:div w:id="1640308451">
      <w:bodyDiv w:val="1"/>
      <w:marLeft w:val="0"/>
      <w:marRight w:val="0"/>
      <w:marTop w:val="0"/>
      <w:marBottom w:val="0"/>
      <w:divBdr>
        <w:top w:val="none" w:sz="0" w:space="0" w:color="auto"/>
        <w:left w:val="none" w:sz="0" w:space="0" w:color="auto"/>
        <w:bottom w:val="none" w:sz="0" w:space="0" w:color="auto"/>
        <w:right w:val="none" w:sz="0" w:space="0" w:color="auto"/>
      </w:divBdr>
    </w:div>
    <w:div w:id="1640382019">
      <w:bodyDiv w:val="1"/>
      <w:marLeft w:val="0"/>
      <w:marRight w:val="0"/>
      <w:marTop w:val="0"/>
      <w:marBottom w:val="0"/>
      <w:divBdr>
        <w:top w:val="none" w:sz="0" w:space="0" w:color="auto"/>
        <w:left w:val="none" w:sz="0" w:space="0" w:color="auto"/>
        <w:bottom w:val="none" w:sz="0" w:space="0" w:color="auto"/>
        <w:right w:val="none" w:sz="0" w:space="0" w:color="auto"/>
      </w:divBdr>
    </w:div>
    <w:div w:id="1640499340">
      <w:bodyDiv w:val="1"/>
      <w:marLeft w:val="0"/>
      <w:marRight w:val="0"/>
      <w:marTop w:val="0"/>
      <w:marBottom w:val="0"/>
      <w:divBdr>
        <w:top w:val="none" w:sz="0" w:space="0" w:color="auto"/>
        <w:left w:val="none" w:sz="0" w:space="0" w:color="auto"/>
        <w:bottom w:val="none" w:sz="0" w:space="0" w:color="auto"/>
        <w:right w:val="none" w:sz="0" w:space="0" w:color="auto"/>
      </w:divBdr>
    </w:div>
    <w:div w:id="1640643331">
      <w:bodyDiv w:val="1"/>
      <w:marLeft w:val="0"/>
      <w:marRight w:val="0"/>
      <w:marTop w:val="0"/>
      <w:marBottom w:val="0"/>
      <w:divBdr>
        <w:top w:val="none" w:sz="0" w:space="0" w:color="auto"/>
        <w:left w:val="none" w:sz="0" w:space="0" w:color="auto"/>
        <w:bottom w:val="none" w:sz="0" w:space="0" w:color="auto"/>
        <w:right w:val="none" w:sz="0" w:space="0" w:color="auto"/>
      </w:divBdr>
    </w:div>
    <w:div w:id="1640648314">
      <w:bodyDiv w:val="1"/>
      <w:marLeft w:val="0"/>
      <w:marRight w:val="0"/>
      <w:marTop w:val="0"/>
      <w:marBottom w:val="0"/>
      <w:divBdr>
        <w:top w:val="none" w:sz="0" w:space="0" w:color="auto"/>
        <w:left w:val="none" w:sz="0" w:space="0" w:color="auto"/>
        <w:bottom w:val="none" w:sz="0" w:space="0" w:color="auto"/>
        <w:right w:val="none" w:sz="0" w:space="0" w:color="auto"/>
      </w:divBdr>
    </w:div>
    <w:div w:id="1640916211">
      <w:bodyDiv w:val="1"/>
      <w:marLeft w:val="0"/>
      <w:marRight w:val="0"/>
      <w:marTop w:val="0"/>
      <w:marBottom w:val="0"/>
      <w:divBdr>
        <w:top w:val="none" w:sz="0" w:space="0" w:color="auto"/>
        <w:left w:val="none" w:sz="0" w:space="0" w:color="auto"/>
        <w:bottom w:val="none" w:sz="0" w:space="0" w:color="auto"/>
        <w:right w:val="none" w:sz="0" w:space="0" w:color="auto"/>
      </w:divBdr>
    </w:div>
    <w:div w:id="1640917186">
      <w:bodyDiv w:val="1"/>
      <w:marLeft w:val="0"/>
      <w:marRight w:val="0"/>
      <w:marTop w:val="0"/>
      <w:marBottom w:val="0"/>
      <w:divBdr>
        <w:top w:val="none" w:sz="0" w:space="0" w:color="auto"/>
        <w:left w:val="none" w:sz="0" w:space="0" w:color="auto"/>
        <w:bottom w:val="none" w:sz="0" w:space="0" w:color="auto"/>
        <w:right w:val="none" w:sz="0" w:space="0" w:color="auto"/>
      </w:divBdr>
    </w:div>
    <w:div w:id="1640961571">
      <w:bodyDiv w:val="1"/>
      <w:marLeft w:val="0"/>
      <w:marRight w:val="0"/>
      <w:marTop w:val="0"/>
      <w:marBottom w:val="0"/>
      <w:divBdr>
        <w:top w:val="none" w:sz="0" w:space="0" w:color="auto"/>
        <w:left w:val="none" w:sz="0" w:space="0" w:color="auto"/>
        <w:bottom w:val="none" w:sz="0" w:space="0" w:color="auto"/>
        <w:right w:val="none" w:sz="0" w:space="0" w:color="auto"/>
      </w:divBdr>
    </w:div>
    <w:div w:id="1641493297">
      <w:bodyDiv w:val="1"/>
      <w:marLeft w:val="0"/>
      <w:marRight w:val="0"/>
      <w:marTop w:val="0"/>
      <w:marBottom w:val="0"/>
      <w:divBdr>
        <w:top w:val="none" w:sz="0" w:space="0" w:color="auto"/>
        <w:left w:val="none" w:sz="0" w:space="0" w:color="auto"/>
        <w:bottom w:val="none" w:sz="0" w:space="0" w:color="auto"/>
        <w:right w:val="none" w:sz="0" w:space="0" w:color="auto"/>
      </w:divBdr>
    </w:div>
    <w:div w:id="1641689066">
      <w:bodyDiv w:val="1"/>
      <w:marLeft w:val="0"/>
      <w:marRight w:val="0"/>
      <w:marTop w:val="0"/>
      <w:marBottom w:val="0"/>
      <w:divBdr>
        <w:top w:val="none" w:sz="0" w:space="0" w:color="auto"/>
        <w:left w:val="none" w:sz="0" w:space="0" w:color="auto"/>
        <w:bottom w:val="none" w:sz="0" w:space="0" w:color="auto"/>
        <w:right w:val="none" w:sz="0" w:space="0" w:color="auto"/>
      </w:divBdr>
    </w:div>
    <w:div w:id="1642149853">
      <w:bodyDiv w:val="1"/>
      <w:marLeft w:val="0"/>
      <w:marRight w:val="0"/>
      <w:marTop w:val="0"/>
      <w:marBottom w:val="0"/>
      <w:divBdr>
        <w:top w:val="none" w:sz="0" w:space="0" w:color="auto"/>
        <w:left w:val="none" w:sz="0" w:space="0" w:color="auto"/>
        <w:bottom w:val="none" w:sz="0" w:space="0" w:color="auto"/>
        <w:right w:val="none" w:sz="0" w:space="0" w:color="auto"/>
      </w:divBdr>
    </w:div>
    <w:div w:id="1642224968">
      <w:bodyDiv w:val="1"/>
      <w:marLeft w:val="0"/>
      <w:marRight w:val="0"/>
      <w:marTop w:val="0"/>
      <w:marBottom w:val="0"/>
      <w:divBdr>
        <w:top w:val="none" w:sz="0" w:space="0" w:color="auto"/>
        <w:left w:val="none" w:sz="0" w:space="0" w:color="auto"/>
        <w:bottom w:val="none" w:sz="0" w:space="0" w:color="auto"/>
        <w:right w:val="none" w:sz="0" w:space="0" w:color="auto"/>
      </w:divBdr>
    </w:div>
    <w:div w:id="1642424788">
      <w:bodyDiv w:val="1"/>
      <w:marLeft w:val="0"/>
      <w:marRight w:val="0"/>
      <w:marTop w:val="0"/>
      <w:marBottom w:val="0"/>
      <w:divBdr>
        <w:top w:val="none" w:sz="0" w:space="0" w:color="auto"/>
        <w:left w:val="none" w:sz="0" w:space="0" w:color="auto"/>
        <w:bottom w:val="none" w:sz="0" w:space="0" w:color="auto"/>
        <w:right w:val="none" w:sz="0" w:space="0" w:color="auto"/>
      </w:divBdr>
    </w:div>
    <w:div w:id="1643198060">
      <w:bodyDiv w:val="1"/>
      <w:marLeft w:val="0"/>
      <w:marRight w:val="0"/>
      <w:marTop w:val="0"/>
      <w:marBottom w:val="0"/>
      <w:divBdr>
        <w:top w:val="none" w:sz="0" w:space="0" w:color="auto"/>
        <w:left w:val="none" w:sz="0" w:space="0" w:color="auto"/>
        <w:bottom w:val="none" w:sz="0" w:space="0" w:color="auto"/>
        <w:right w:val="none" w:sz="0" w:space="0" w:color="auto"/>
      </w:divBdr>
    </w:div>
    <w:div w:id="1643347896">
      <w:bodyDiv w:val="1"/>
      <w:marLeft w:val="0"/>
      <w:marRight w:val="0"/>
      <w:marTop w:val="0"/>
      <w:marBottom w:val="0"/>
      <w:divBdr>
        <w:top w:val="none" w:sz="0" w:space="0" w:color="auto"/>
        <w:left w:val="none" w:sz="0" w:space="0" w:color="auto"/>
        <w:bottom w:val="none" w:sz="0" w:space="0" w:color="auto"/>
        <w:right w:val="none" w:sz="0" w:space="0" w:color="auto"/>
      </w:divBdr>
    </w:div>
    <w:div w:id="1643845189">
      <w:bodyDiv w:val="1"/>
      <w:marLeft w:val="0"/>
      <w:marRight w:val="0"/>
      <w:marTop w:val="0"/>
      <w:marBottom w:val="0"/>
      <w:divBdr>
        <w:top w:val="none" w:sz="0" w:space="0" w:color="auto"/>
        <w:left w:val="none" w:sz="0" w:space="0" w:color="auto"/>
        <w:bottom w:val="none" w:sz="0" w:space="0" w:color="auto"/>
        <w:right w:val="none" w:sz="0" w:space="0" w:color="auto"/>
      </w:divBdr>
    </w:div>
    <w:div w:id="1643928567">
      <w:bodyDiv w:val="1"/>
      <w:marLeft w:val="0"/>
      <w:marRight w:val="0"/>
      <w:marTop w:val="0"/>
      <w:marBottom w:val="0"/>
      <w:divBdr>
        <w:top w:val="none" w:sz="0" w:space="0" w:color="auto"/>
        <w:left w:val="none" w:sz="0" w:space="0" w:color="auto"/>
        <w:bottom w:val="none" w:sz="0" w:space="0" w:color="auto"/>
        <w:right w:val="none" w:sz="0" w:space="0" w:color="auto"/>
      </w:divBdr>
    </w:div>
    <w:div w:id="1644113057">
      <w:bodyDiv w:val="1"/>
      <w:marLeft w:val="0"/>
      <w:marRight w:val="0"/>
      <w:marTop w:val="0"/>
      <w:marBottom w:val="0"/>
      <w:divBdr>
        <w:top w:val="none" w:sz="0" w:space="0" w:color="auto"/>
        <w:left w:val="none" w:sz="0" w:space="0" w:color="auto"/>
        <w:bottom w:val="none" w:sz="0" w:space="0" w:color="auto"/>
        <w:right w:val="none" w:sz="0" w:space="0" w:color="auto"/>
      </w:divBdr>
    </w:div>
    <w:div w:id="1644235270">
      <w:bodyDiv w:val="1"/>
      <w:marLeft w:val="0"/>
      <w:marRight w:val="0"/>
      <w:marTop w:val="0"/>
      <w:marBottom w:val="0"/>
      <w:divBdr>
        <w:top w:val="none" w:sz="0" w:space="0" w:color="auto"/>
        <w:left w:val="none" w:sz="0" w:space="0" w:color="auto"/>
        <w:bottom w:val="none" w:sz="0" w:space="0" w:color="auto"/>
        <w:right w:val="none" w:sz="0" w:space="0" w:color="auto"/>
      </w:divBdr>
    </w:div>
    <w:div w:id="1644575234">
      <w:bodyDiv w:val="1"/>
      <w:marLeft w:val="0"/>
      <w:marRight w:val="0"/>
      <w:marTop w:val="0"/>
      <w:marBottom w:val="0"/>
      <w:divBdr>
        <w:top w:val="none" w:sz="0" w:space="0" w:color="auto"/>
        <w:left w:val="none" w:sz="0" w:space="0" w:color="auto"/>
        <w:bottom w:val="none" w:sz="0" w:space="0" w:color="auto"/>
        <w:right w:val="none" w:sz="0" w:space="0" w:color="auto"/>
      </w:divBdr>
    </w:div>
    <w:div w:id="1644656471">
      <w:bodyDiv w:val="1"/>
      <w:marLeft w:val="0"/>
      <w:marRight w:val="0"/>
      <w:marTop w:val="0"/>
      <w:marBottom w:val="0"/>
      <w:divBdr>
        <w:top w:val="none" w:sz="0" w:space="0" w:color="auto"/>
        <w:left w:val="none" w:sz="0" w:space="0" w:color="auto"/>
        <w:bottom w:val="none" w:sz="0" w:space="0" w:color="auto"/>
        <w:right w:val="none" w:sz="0" w:space="0" w:color="auto"/>
      </w:divBdr>
    </w:div>
    <w:div w:id="1644893128">
      <w:bodyDiv w:val="1"/>
      <w:marLeft w:val="0"/>
      <w:marRight w:val="0"/>
      <w:marTop w:val="0"/>
      <w:marBottom w:val="0"/>
      <w:divBdr>
        <w:top w:val="none" w:sz="0" w:space="0" w:color="auto"/>
        <w:left w:val="none" w:sz="0" w:space="0" w:color="auto"/>
        <w:bottom w:val="none" w:sz="0" w:space="0" w:color="auto"/>
        <w:right w:val="none" w:sz="0" w:space="0" w:color="auto"/>
      </w:divBdr>
    </w:div>
    <w:div w:id="1645040284">
      <w:bodyDiv w:val="1"/>
      <w:marLeft w:val="0"/>
      <w:marRight w:val="0"/>
      <w:marTop w:val="0"/>
      <w:marBottom w:val="0"/>
      <w:divBdr>
        <w:top w:val="none" w:sz="0" w:space="0" w:color="auto"/>
        <w:left w:val="none" w:sz="0" w:space="0" w:color="auto"/>
        <w:bottom w:val="none" w:sz="0" w:space="0" w:color="auto"/>
        <w:right w:val="none" w:sz="0" w:space="0" w:color="auto"/>
      </w:divBdr>
    </w:div>
    <w:div w:id="1645618151">
      <w:bodyDiv w:val="1"/>
      <w:marLeft w:val="0"/>
      <w:marRight w:val="0"/>
      <w:marTop w:val="0"/>
      <w:marBottom w:val="0"/>
      <w:divBdr>
        <w:top w:val="none" w:sz="0" w:space="0" w:color="auto"/>
        <w:left w:val="none" w:sz="0" w:space="0" w:color="auto"/>
        <w:bottom w:val="none" w:sz="0" w:space="0" w:color="auto"/>
        <w:right w:val="none" w:sz="0" w:space="0" w:color="auto"/>
      </w:divBdr>
    </w:div>
    <w:div w:id="1645693905">
      <w:bodyDiv w:val="1"/>
      <w:marLeft w:val="0"/>
      <w:marRight w:val="0"/>
      <w:marTop w:val="0"/>
      <w:marBottom w:val="0"/>
      <w:divBdr>
        <w:top w:val="none" w:sz="0" w:space="0" w:color="auto"/>
        <w:left w:val="none" w:sz="0" w:space="0" w:color="auto"/>
        <w:bottom w:val="none" w:sz="0" w:space="0" w:color="auto"/>
        <w:right w:val="none" w:sz="0" w:space="0" w:color="auto"/>
      </w:divBdr>
    </w:div>
    <w:div w:id="1645817396">
      <w:bodyDiv w:val="1"/>
      <w:marLeft w:val="0"/>
      <w:marRight w:val="0"/>
      <w:marTop w:val="0"/>
      <w:marBottom w:val="0"/>
      <w:divBdr>
        <w:top w:val="none" w:sz="0" w:space="0" w:color="auto"/>
        <w:left w:val="none" w:sz="0" w:space="0" w:color="auto"/>
        <w:bottom w:val="none" w:sz="0" w:space="0" w:color="auto"/>
        <w:right w:val="none" w:sz="0" w:space="0" w:color="auto"/>
      </w:divBdr>
    </w:div>
    <w:div w:id="1645891259">
      <w:bodyDiv w:val="1"/>
      <w:marLeft w:val="0"/>
      <w:marRight w:val="0"/>
      <w:marTop w:val="0"/>
      <w:marBottom w:val="0"/>
      <w:divBdr>
        <w:top w:val="none" w:sz="0" w:space="0" w:color="auto"/>
        <w:left w:val="none" w:sz="0" w:space="0" w:color="auto"/>
        <w:bottom w:val="none" w:sz="0" w:space="0" w:color="auto"/>
        <w:right w:val="none" w:sz="0" w:space="0" w:color="auto"/>
      </w:divBdr>
    </w:div>
    <w:div w:id="1646088008">
      <w:bodyDiv w:val="1"/>
      <w:marLeft w:val="0"/>
      <w:marRight w:val="0"/>
      <w:marTop w:val="0"/>
      <w:marBottom w:val="0"/>
      <w:divBdr>
        <w:top w:val="none" w:sz="0" w:space="0" w:color="auto"/>
        <w:left w:val="none" w:sz="0" w:space="0" w:color="auto"/>
        <w:bottom w:val="none" w:sz="0" w:space="0" w:color="auto"/>
        <w:right w:val="none" w:sz="0" w:space="0" w:color="auto"/>
      </w:divBdr>
    </w:div>
    <w:div w:id="1646201267">
      <w:bodyDiv w:val="1"/>
      <w:marLeft w:val="0"/>
      <w:marRight w:val="0"/>
      <w:marTop w:val="0"/>
      <w:marBottom w:val="0"/>
      <w:divBdr>
        <w:top w:val="none" w:sz="0" w:space="0" w:color="auto"/>
        <w:left w:val="none" w:sz="0" w:space="0" w:color="auto"/>
        <w:bottom w:val="none" w:sz="0" w:space="0" w:color="auto"/>
        <w:right w:val="none" w:sz="0" w:space="0" w:color="auto"/>
      </w:divBdr>
    </w:div>
    <w:div w:id="1646230192">
      <w:bodyDiv w:val="1"/>
      <w:marLeft w:val="0"/>
      <w:marRight w:val="0"/>
      <w:marTop w:val="0"/>
      <w:marBottom w:val="0"/>
      <w:divBdr>
        <w:top w:val="none" w:sz="0" w:space="0" w:color="auto"/>
        <w:left w:val="none" w:sz="0" w:space="0" w:color="auto"/>
        <w:bottom w:val="none" w:sz="0" w:space="0" w:color="auto"/>
        <w:right w:val="none" w:sz="0" w:space="0" w:color="auto"/>
      </w:divBdr>
    </w:div>
    <w:div w:id="1646663959">
      <w:bodyDiv w:val="1"/>
      <w:marLeft w:val="0"/>
      <w:marRight w:val="0"/>
      <w:marTop w:val="0"/>
      <w:marBottom w:val="0"/>
      <w:divBdr>
        <w:top w:val="none" w:sz="0" w:space="0" w:color="auto"/>
        <w:left w:val="none" w:sz="0" w:space="0" w:color="auto"/>
        <w:bottom w:val="none" w:sz="0" w:space="0" w:color="auto"/>
        <w:right w:val="none" w:sz="0" w:space="0" w:color="auto"/>
      </w:divBdr>
    </w:div>
    <w:div w:id="1647079375">
      <w:bodyDiv w:val="1"/>
      <w:marLeft w:val="0"/>
      <w:marRight w:val="0"/>
      <w:marTop w:val="0"/>
      <w:marBottom w:val="0"/>
      <w:divBdr>
        <w:top w:val="none" w:sz="0" w:space="0" w:color="auto"/>
        <w:left w:val="none" w:sz="0" w:space="0" w:color="auto"/>
        <w:bottom w:val="none" w:sz="0" w:space="0" w:color="auto"/>
        <w:right w:val="none" w:sz="0" w:space="0" w:color="auto"/>
      </w:divBdr>
    </w:div>
    <w:div w:id="1647583741">
      <w:bodyDiv w:val="1"/>
      <w:marLeft w:val="0"/>
      <w:marRight w:val="0"/>
      <w:marTop w:val="0"/>
      <w:marBottom w:val="0"/>
      <w:divBdr>
        <w:top w:val="none" w:sz="0" w:space="0" w:color="auto"/>
        <w:left w:val="none" w:sz="0" w:space="0" w:color="auto"/>
        <w:bottom w:val="none" w:sz="0" w:space="0" w:color="auto"/>
        <w:right w:val="none" w:sz="0" w:space="0" w:color="auto"/>
      </w:divBdr>
    </w:div>
    <w:div w:id="1647587015">
      <w:bodyDiv w:val="1"/>
      <w:marLeft w:val="0"/>
      <w:marRight w:val="0"/>
      <w:marTop w:val="0"/>
      <w:marBottom w:val="0"/>
      <w:divBdr>
        <w:top w:val="none" w:sz="0" w:space="0" w:color="auto"/>
        <w:left w:val="none" w:sz="0" w:space="0" w:color="auto"/>
        <w:bottom w:val="none" w:sz="0" w:space="0" w:color="auto"/>
        <w:right w:val="none" w:sz="0" w:space="0" w:color="auto"/>
      </w:divBdr>
    </w:div>
    <w:div w:id="1647733882">
      <w:bodyDiv w:val="1"/>
      <w:marLeft w:val="0"/>
      <w:marRight w:val="0"/>
      <w:marTop w:val="0"/>
      <w:marBottom w:val="0"/>
      <w:divBdr>
        <w:top w:val="none" w:sz="0" w:space="0" w:color="auto"/>
        <w:left w:val="none" w:sz="0" w:space="0" w:color="auto"/>
        <w:bottom w:val="none" w:sz="0" w:space="0" w:color="auto"/>
        <w:right w:val="none" w:sz="0" w:space="0" w:color="auto"/>
      </w:divBdr>
    </w:div>
    <w:div w:id="1648169006">
      <w:bodyDiv w:val="1"/>
      <w:marLeft w:val="0"/>
      <w:marRight w:val="0"/>
      <w:marTop w:val="0"/>
      <w:marBottom w:val="0"/>
      <w:divBdr>
        <w:top w:val="none" w:sz="0" w:space="0" w:color="auto"/>
        <w:left w:val="none" w:sz="0" w:space="0" w:color="auto"/>
        <w:bottom w:val="none" w:sz="0" w:space="0" w:color="auto"/>
        <w:right w:val="none" w:sz="0" w:space="0" w:color="auto"/>
      </w:divBdr>
    </w:div>
    <w:div w:id="1648170619">
      <w:bodyDiv w:val="1"/>
      <w:marLeft w:val="0"/>
      <w:marRight w:val="0"/>
      <w:marTop w:val="0"/>
      <w:marBottom w:val="0"/>
      <w:divBdr>
        <w:top w:val="none" w:sz="0" w:space="0" w:color="auto"/>
        <w:left w:val="none" w:sz="0" w:space="0" w:color="auto"/>
        <w:bottom w:val="none" w:sz="0" w:space="0" w:color="auto"/>
        <w:right w:val="none" w:sz="0" w:space="0" w:color="auto"/>
      </w:divBdr>
    </w:div>
    <w:div w:id="1648315484">
      <w:bodyDiv w:val="1"/>
      <w:marLeft w:val="0"/>
      <w:marRight w:val="0"/>
      <w:marTop w:val="0"/>
      <w:marBottom w:val="0"/>
      <w:divBdr>
        <w:top w:val="none" w:sz="0" w:space="0" w:color="auto"/>
        <w:left w:val="none" w:sz="0" w:space="0" w:color="auto"/>
        <w:bottom w:val="none" w:sz="0" w:space="0" w:color="auto"/>
        <w:right w:val="none" w:sz="0" w:space="0" w:color="auto"/>
      </w:divBdr>
    </w:div>
    <w:div w:id="1648582625">
      <w:bodyDiv w:val="1"/>
      <w:marLeft w:val="0"/>
      <w:marRight w:val="0"/>
      <w:marTop w:val="0"/>
      <w:marBottom w:val="0"/>
      <w:divBdr>
        <w:top w:val="none" w:sz="0" w:space="0" w:color="auto"/>
        <w:left w:val="none" w:sz="0" w:space="0" w:color="auto"/>
        <w:bottom w:val="none" w:sz="0" w:space="0" w:color="auto"/>
        <w:right w:val="none" w:sz="0" w:space="0" w:color="auto"/>
      </w:divBdr>
    </w:div>
    <w:div w:id="1649631751">
      <w:bodyDiv w:val="1"/>
      <w:marLeft w:val="0"/>
      <w:marRight w:val="0"/>
      <w:marTop w:val="0"/>
      <w:marBottom w:val="0"/>
      <w:divBdr>
        <w:top w:val="none" w:sz="0" w:space="0" w:color="auto"/>
        <w:left w:val="none" w:sz="0" w:space="0" w:color="auto"/>
        <w:bottom w:val="none" w:sz="0" w:space="0" w:color="auto"/>
        <w:right w:val="none" w:sz="0" w:space="0" w:color="auto"/>
      </w:divBdr>
    </w:div>
    <w:div w:id="1649672892">
      <w:bodyDiv w:val="1"/>
      <w:marLeft w:val="0"/>
      <w:marRight w:val="0"/>
      <w:marTop w:val="0"/>
      <w:marBottom w:val="0"/>
      <w:divBdr>
        <w:top w:val="none" w:sz="0" w:space="0" w:color="auto"/>
        <w:left w:val="none" w:sz="0" w:space="0" w:color="auto"/>
        <w:bottom w:val="none" w:sz="0" w:space="0" w:color="auto"/>
        <w:right w:val="none" w:sz="0" w:space="0" w:color="auto"/>
      </w:divBdr>
    </w:div>
    <w:div w:id="1649702040">
      <w:bodyDiv w:val="1"/>
      <w:marLeft w:val="0"/>
      <w:marRight w:val="0"/>
      <w:marTop w:val="0"/>
      <w:marBottom w:val="0"/>
      <w:divBdr>
        <w:top w:val="none" w:sz="0" w:space="0" w:color="auto"/>
        <w:left w:val="none" w:sz="0" w:space="0" w:color="auto"/>
        <w:bottom w:val="none" w:sz="0" w:space="0" w:color="auto"/>
        <w:right w:val="none" w:sz="0" w:space="0" w:color="auto"/>
      </w:divBdr>
    </w:div>
    <w:div w:id="1649703255">
      <w:bodyDiv w:val="1"/>
      <w:marLeft w:val="0"/>
      <w:marRight w:val="0"/>
      <w:marTop w:val="0"/>
      <w:marBottom w:val="0"/>
      <w:divBdr>
        <w:top w:val="none" w:sz="0" w:space="0" w:color="auto"/>
        <w:left w:val="none" w:sz="0" w:space="0" w:color="auto"/>
        <w:bottom w:val="none" w:sz="0" w:space="0" w:color="auto"/>
        <w:right w:val="none" w:sz="0" w:space="0" w:color="auto"/>
      </w:divBdr>
    </w:div>
    <w:div w:id="1650206204">
      <w:bodyDiv w:val="1"/>
      <w:marLeft w:val="0"/>
      <w:marRight w:val="0"/>
      <w:marTop w:val="0"/>
      <w:marBottom w:val="0"/>
      <w:divBdr>
        <w:top w:val="none" w:sz="0" w:space="0" w:color="auto"/>
        <w:left w:val="none" w:sz="0" w:space="0" w:color="auto"/>
        <w:bottom w:val="none" w:sz="0" w:space="0" w:color="auto"/>
        <w:right w:val="none" w:sz="0" w:space="0" w:color="auto"/>
      </w:divBdr>
    </w:div>
    <w:div w:id="1650287186">
      <w:bodyDiv w:val="1"/>
      <w:marLeft w:val="0"/>
      <w:marRight w:val="0"/>
      <w:marTop w:val="0"/>
      <w:marBottom w:val="0"/>
      <w:divBdr>
        <w:top w:val="none" w:sz="0" w:space="0" w:color="auto"/>
        <w:left w:val="none" w:sz="0" w:space="0" w:color="auto"/>
        <w:bottom w:val="none" w:sz="0" w:space="0" w:color="auto"/>
        <w:right w:val="none" w:sz="0" w:space="0" w:color="auto"/>
      </w:divBdr>
    </w:div>
    <w:div w:id="1650474580">
      <w:bodyDiv w:val="1"/>
      <w:marLeft w:val="0"/>
      <w:marRight w:val="0"/>
      <w:marTop w:val="0"/>
      <w:marBottom w:val="0"/>
      <w:divBdr>
        <w:top w:val="none" w:sz="0" w:space="0" w:color="auto"/>
        <w:left w:val="none" w:sz="0" w:space="0" w:color="auto"/>
        <w:bottom w:val="none" w:sz="0" w:space="0" w:color="auto"/>
        <w:right w:val="none" w:sz="0" w:space="0" w:color="auto"/>
      </w:divBdr>
    </w:div>
    <w:div w:id="1650789803">
      <w:bodyDiv w:val="1"/>
      <w:marLeft w:val="0"/>
      <w:marRight w:val="0"/>
      <w:marTop w:val="0"/>
      <w:marBottom w:val="0"/>
      <w:divBdr>
        <w:top w:val="none" w:sz="0" w:space="0" w:color="auto"/>
        <w:left w:val="none" w:sz="0" w:space="0" w:color="auto"/>
        <w:bottom w:val="none" w:sz="0" w:space="0" w:color="auto"/>
        <w:right w:val="none" w:sz="0" w:space="0" w:color="auto"/>
      </w:divBdr>
    </w:div>
    <w:div w:id="1650817006">
      <w:bodyDiv w:val="1"/>
      <w:marLeft w:val="0"/>
      <w:marRight w:val="0"/>
      <w:marTop w:val="0"/>
      <w:marBottom w:val="0"/>
      <w:divBdr>
        <w:top w:val="none" w:sz="0" w:space="0" w:color="auto"/>
        <w:left w:val="none" w:sz="0" w:space="0" w:color="auto"/>
        <w:bottom w:val="none" w:sz="0" w:space="0" w:color="auto"/>
        <w:right w:val="none" w:sz="0" w:space="0" w:color="auto"/>
      </w:divBdr>
    </w:div>
    <w:div w:id="1651248099">
      <w:bodyDiv w:val="1"/>
      <w:marLeft w:val="0"/>
      <w:marRight w:val="0"/>
      <w:marTop w:val="0"/>
      <w:marBottom w:val="0"/>
      <w:divBdr>
        <w:top w:val="none" w:sz="0" w:space="0" w:color="auto"/>
        <w:left w:val="none" w:sz="0" w:space="0" w:color="auto"/>
        <w:bottom w:val="none" w:sz="0" w:space="0" w:color="auto"/>
        <w:right w:val="none" w:sz="0" w:space="0" w:color="auto"/>
      </w:divBdr>
    </w:div>
    <w:div w:id="1651328721">
      <w:bodyDiv w:val="1"/>
      <w:marLeft w:val="0"/>
      <w:marRight w:val="0"/>
      <w:marTop w:val="0"/>
      <w:marBottom w:val="0"/>
      <w:divBdr>
        <w:top w:val="none" w:sz="0" w:space="0" w:color="auto"/>
        <w:left w:val="none" w:sz="0" w:space="0" w:color="auto"/>
        <w:bottom w:val="none" w:sz="0" w:space="0" w:color="auto"/>
        <w:right w:val="none" w:sz="0" w:space="0" w:color="auto"/>
      </w:divBdr>
    </w:div>
    <w:div w:id="1651590093">
      <w:bodyDiv w:val="1"/>
      <w:marLeft w:val="0"/>
      <w:marRight w:val="0"/>
      <w:marTop w:val="0"/>
      <w:marBottom w:val="0"/>
      <w:divBdr>
        <w:top w:val="none" w:sz="0" w:space="0" w:color="auto"/>
        <w:left w:val="none" w:sz="0" w:space="0" w:color="auto"/>
        <w:bottom w:val="none" w:sz="0" w:space="0" w:color="auto"/>
        <w:right w:val="none" w:sz="0" w:space="0" w:color="auto"/>
      </w:divBdr>
    </w:div>
    <w:div w:id="1651594856">
      <w:bodyDiv w:val="1"/>
      <w:marLeft w:val="0"/>
      <w:marRight w:val="0"/>
      <w:marTop w:val="0"/>
      <w:marBottom w:val="0"/>
      <w:divBdr>
        <w:top w:val="none" w:sz="0" w:space="0" w:color="auto"/>
        <w:left w:val="none" w:sz="0" w:space="0" w:color="auto"/>
        <w:bottom w:val="none" w:sz="0" w:space="0" w:color="auto"/>
        <w:right w:val="none" w:sz="0" w:space="0" w:color="auto"/>
      </w:divBdr>
    </w:div>
    <w:div w:id="1652102755">
      <w:bodyDiv w:val="1"/>
      <w:marLeft w:val="0"/>
      <w:marRight w:val="0"/>
      <w:marTop w:val="0"/>
      <w:marBottom w:val="0"/>
      <w:divBdr>
        <w:top w:val="none" w:sz="0" w:space="0" w:color="auto"/>
        <w:left w:val="none" w:sz="0" w:space="0" w:color="auto"/>
        <w:bottom w:val="none" w:sz="0" w:space="0" w:color="auto"/>
        <w:right w:val="none" w:sz="0" w:space="0" w:color="auto"/>
      </w:divBdr>
    </w:div>
    <w:div w:id="1652254568">
      <w:bodyDiv w:val="1"/>
      <w:marLeft w:val="0"/>
      <w:marRight w:val="0"/>
      <w:marTop w:val="0"/>
      <w:marBottom w:val="0"/>
      <w:divBdr>
        <w:top w:val="none" w:sz="0" w:space="0" w:color="auto"/>
        <w:left w:val="none" w:sz="0" w:space="0" w:color="auto"/>
        <w:bottom w:val="none" w:sz="0" w:space="0" w:color="auto"/>
        <w:right w:val="none" w:sz="0" w:space="0" w:color="auto"/>
      </w:divBdr>
    </w:div>
    <w:div w:id="1652951587">
      <w:bodyDiv w:val="1"/>
      <w:marLeft w:val="0"/>
      <w:marRight w:val="0"/>
      <w:marTop w:val="0"/>
      <w:marBottom w:val="0"/>
      <w:divBdr>
        <w:top w:val="none" w:sz="0" w:space="0" w:color="auto"/>
        <w:left w:val="none" w:sz="0" w:space="0" w:color="auto"/>
        <w:bottom w:val="none" w:sz="0" w:space="0" w:color="auto"/>
        <w:right w:val="none" w:sz="0" w:space="0" w:color="auto"/>
      </w:divBdr>
    </w:div>
    <w:div w:id="1653096205">
      <w:bodyDiv w:val="1"/>
      <w:marLeft w:val="0"/>
      <w:marRight w:val="0"/>
      <w:marTop w:val="0"/>
      <w:marBottom w:val="0"/>
      <w:divBdr>
        <w:top w:val="none" w:sz="0" w:space="0" w:color="auto"/>
        <w:left w:val="none" w:sz="0" w:space="0" w:color="auto"/>
        <w:bottom w:val="none" w:sz="0" w:space="0" w:color="auto"/>
        <w:right w:val="none" w:sz="0" w:space="0" w:color="auto"/>
      </w:divBdr>
    </w:div>
    <w:div w:id="1653145778">
      <w:bodyDiv w:val="1"/>
      <w:marLeft w:val="0"/>
      <w:marRight w:val="0"/>
      <w:marTop w:val="0"/>
      <w:marBottom w:val="0"/>
      <w:divBdr>
        <w:top w:val="none" w:sz="0" w:space="0" w:color="auto"/>
        <w:left w:val="none" w:sz="0" w:space="0" w:color="auto"/>
        <w:bottom w:val="none" w:sz="0" w:space="0" w:color="auto"/>
        <w:right w:val="none" w:sz="0" w:space="0" w:color="auto"/>
      </w:divBdr>
    </w:div>
    <w:div w:id="1653488323">
      <w:bodyDiv w:val="1"/>
      <w:marLeft w:val="0"/>
      <w:marRight w:val="0"/>
      <w:marTop w:val="0"/>
      <w:marBottom w:val="0"/>
      <w:divBdr>
        <w:top w:val="none" w:sz="0" w:space="0" w:color="auto"/>
        <w:left w:val="none" w:sz="0" w:space="0" w:color="auto"/>
        <w:bottom w:val="none" w:sz="0" w:space="0" w:color="auto"/>
        <w:right w:val="none" w:sz="0" w:space="0" w:color="auto"/>
      </w:divBdr>
    </w:div>
    <w:div w:id="1653676661">
      <w:bodyDiv w:val="1"/>
      <w:marLeft w:val="0"/>
      <w:marRight w:val="0"/>
      <w:marTop w:val="0"/>
      <w:marBottom w:val="0"/>
      <w:divBdr>
        <w:top w:val="none" w:sz="0" w:space="0" w:color="auto"/>
        <w:left w:val="none" w:sz="0" w:space="0" w:color="auto"/>
        <w:bottom w:val="none" w:sz="0" w:space="0" w:color="auto"/>
        <w:right w:val="none" w:sz="0" w:space="0" w:color="auto"/>
      </w:divBdr>
    </w:div>
    <w:div w:id="1653829330">
      <w:bodyDiv w:val="1"/>
      <w:marLeft w:val="0"/>
      <w:marRight w:val="0"/>
      <w:marTop w:val="0"/>
      <w:marBottom w:val="0"/>
      <w:divBdr>
        <w:top w:val="none" w:sz="0" w:space="0" w:color="auto"/>
        <w:left w:val="none" w:sz="0" w:space="0" w:color="auto"/>
        <w:bottom w:val="none" w:sz="0" w:space="0" w:color="auto"/>
        <w:right w:val="none" w:sz="0" w:space="0" w:color="auto"/>
      </w:divBdr>
    </w:div>
    <w:div w:id="1653874125">
      <w:bodyDiv w:val="1"/>
      <w:marLeft w:val="0"/>
      <w:marRight w:val="0"/>
      <w:marTop w:val="0"/>
      <w:marBottom w:val="0"/>
      <w:divBdr>
        <w:top w:val="none" w:sz="0" w:space="0" w:color="auto"/>
        <w:left w:val="none" w:sz="0" w:space="0" w:color="auto"/>
        <w:bottom w:val="none" w:sz="0" w:space="0" w:color="auto"/>
        <w:right w:val="none" w:sz="0" w:space="0" w:color="auto"/>
      </w:divBdr>
    </w:div>
    <w:div w:id="1653945716">
      <w:bodyDiv w:val="1"/>
      <w:marLeft w:val="0"/>
      <w:marRight w:val="0"/>
      <w:marTop w:val="0"/>
      <w:marBottom w:val="0"/>
      <w:divBdr>
        <w:top w:val="none" w:sz="0" w:space="0" w:color="auto"/>
        <w:left w:val="none" w:sz="0" w:space="0" w:color="auto"/>
        <w:bottom w:val="none" w:sz="0" w:space="0" w:color="auto"/>
        <w:right w:val="none" w:sz="0" w:space="0" w:color="auto"/>
      </w:divBdr>
    </w:div>
    <w:div w:id="1654141440">
      <w:bodyDiv w:val="1"/>
      <w:marLeft w:val="0"/>
      <w:marRight w:val="0"/>
      <w:marTop w:val="0"/>
      <w:marBottom w:val="0"/>
      <w:divBdr>
        <w:top w:val="none" w:sz="0" w:space="0" w:color="auto"/>
        <w:left w:val="none" w:sz="0" w:space="0" w:color="auto"/>
        <w:bottom w:val="none" w:sz="0" w:space="0" w:color="auto"/>
        <w:right w:val="none" w:sz="0" w:space="0" w:color="auto"/>
      </w:divBdr>
    </w:div>
    <w:div w:id="1654792098">
      <w:bodyDiv w:val="1"/>
      <w:marLeft w:val="0"/>
      <w:marRight w:val="0"/>
      <w:marTop w:val="0"/>
      <w:marBottom w:val="0"/>
      <w:divBdr>
        <w:top w:val="none" w:sz="0" w:space="0" w:color="auto"/>
        <w:left w:val="none" w:sz="0" w:space="0" w:color="auto"/>
        <w:bottom w:val="none" w:sz="0" w:space="0" w:color="auto"/>
        <w:right w:val="none" w:sz="0" w:space="0" w:color="auto"/>
      </w:divBdr>
    </w:div>
    <w:div w:id="1654984790">
      <w:bodyDiv w:val="1"/>
      <w:marLeft w:val="0"/>
      <w:marRight w:val="0"/>
      <w:marTop w:val="0"/>
      <w:marBottom w:val="0"/>
      <w:divBdr>
        <w:top w:val="none" w:sz="0" w:space="0" w:color="auto"/>
        <w:left w:val="none" w:sz="0" w:space="0" w:color="auto"/>
        <w:bottom w:val="none" w:sz="0" w:space="0" w:color="auto"/>
        <w:right w:val="none" w:sz="0" w:space="0" w:color="auto"/>
      </w:divBdr>
    </w:div>
    <w:div w:id="1655143235">
      <w:bodyDiv w:val="1"/>
      <w:marLeft w:val="0"/>
      <w:marRight w:val="0"/>
      <w:marTop w:val="0"/>
      <w:marBottom w:val="0"/>
      <w:divBdr>
        <w:top w:val="none" w:sz="0" w:space="0" w:color="auto"/>
        <w:left w:val="none" w:sz="0" w:space="0" w:color="auto"/>
        <w:bottom w:val="none" w:sz="0" w:space="0" w:color="auto"/>
        <w:right w:val="none" w:sz="0" w:space="0" w:color="auto"/>
      </w:divBdr>
    </w:div>
    <w:div w:id="1655183860">
      <w:bodyDiv w:val="1"/>
      <w:marLeft w:val="0"/>
      <w:marRight w:val="0"/>
      <w:marTop w:val="0"/>
      <w:marBottom w:val="0"/>
      <w:divBdr>
        <w:top w:val="none" w:sz="0" w:space="0" w:color="auto"/>
        <w:left w:val="none" w:sz="0" w:space="0" w:color="auto"/>
        <w:bottom w:val="none" w:sz="0" w:space="0" w:color="auto"/>
        <w:right w:val="none" w:sz="0" w:space="0" w:color="auto"/>
      </w:divBdr>
    </w:div>
    <w:div w:id="1655258752">
      <w:bodyDiv w:val="1"/>
      <w:marLeft w:val="0"/>
      <w:marRight w:val="0"/>
      <w:marTop w:val="0"/>
      <w:marBottom w:val="0"/>
      <w:divBdr>
        <w:top w:val="none" w:sz="0" w:space="0" w:color="auto"/>
        <w:left w:val="none" w:sz="0" w:space="0" w:color="auto"/>
        <w:bottom w:val="none" w:sz="0" w:space="0" w:color="auto"/>
        <w:right w:val="none" w:sz="0" w:space="0" w:color="auto"/>
      </w:divBdr>
    </w:div>
    <w:div w:id="1655528377">
      <w:bodyDiv w:val="1"/>
      <w:marLeft w:val="0"/>
      <w:marRight w:val="0"/>
      <w:marTop w:val="0"/>
      <w:marBottom w:val="0"/>
      <w:divBdr>
        <w:top w:val="none" w:sz="0" w:space="0" w:color="auto"/>
        <w:left w:val="none" w:sz="0" w:space="0" w:color="auto"/>
        <w:bottom w:val="none" w:sz="0" w:space="0" w:color="auto"/>
        <w:right w:val="none" w:sz="0" w:space="0" w:color="auto"/>
      </w:divBdr>
    </w:div>
    <w:div w:id="1655647901">
      <w:bodyDiv w:val="1"/>
      <w:marLeft w:val="0"/>
      <w:marRight w:val="0"/>
      <w:marTop w:val="0"/>
      <w:marBottom w:val="0"/>
      <w:divBdr>
        <w:top w:val="none" w:sz="0" w:space="0" w:color="auto"/>
        <w:left w:val="none" w:sz="0" w:space="0" w:color="auto"/>
        <w:bottom w:val="none" w:sz="0" w:space="0" w:color="auto"/>
        <w:right w:val="none" w:sz="0" w:space="0" w:color="auto"/>
      </w:divBdr>
    </w:div>
    <w:div w:id="1655836365">
      <w:bodyDiv w:val="1"/>
      <w:marLeft w:val="0"/>
      <w:marRight w:val="0"/>
      <w:marTop w:val="0"/>
      <w:marBottom w:val="0"/>
      <w:divBdr>
        <w:top w:val="none" w:sz="0" w:space="0" w:color="auto"/>
        <w:left w:val="none" w:sz="0" w:space="0" w:color="auto"/>
        <w:bottom w:val="none" w:sz="0" w:space="0" w:color="auto"/>
        <w:right w:val="none" w:sz="0" w:space="0" w:color="auto"/>
      </w:divBdr>
    </w:div>
    <w:div w:id="1656257918">
      <w:bodyDiv w:val="1"/>
      <w:marLeft w:val="0"/>
      <w:marRight w:val="0"/>
      <w:marTop w:val="0"/>
      <w:marBottom w:val="0"/>
      <w:divBdr>
        <w:top w:val="none" w:sz="0" w:space="0" w:color="auto"/>
        <w:left w:val="none" w:sz="0" w:space="0" w:color="auto"/>
        <w:bottom w:val="none" w:sz="0" w:space="0" w:color="auto"/>
        <w:right w:val="none" w:sz="0" w:space="0" w:color="auto"/>
      </w:divBdr>
    </w:div>
    <w:div w:id="1656488842">
      <w:bodyDiv w:val="1"/>
      <w:marLeft w:val="0"/>
      <w:marRight w:val="0"/>
      <w:marTop w:val="0"/>
      <w:marBottom w:val="0"/>
      <w:divBdr>
        <w:top w:val="none" w:sz="0" w:space="0" w:color="auto"/>
        <w:left w:val="none" w:sz="0" w:space="0" w:color="auto"/>
        <w:bottom w:val="none" w:sz="0" w:space="0" w:color="auto"/>
        <w:right w:val="none" w:sz="0" w:space="0" w:color="auto"/>
      </w:divBdr>
    </w:div>
    <w:div w:id="1656641398">
      <w:bodyDiv w:val="1"/>
      <w:marLeft w:val="0"/>
      <w:marRight w:val="0"/>
      <w:marTop w:val="0"/>
      <w:marBottom w:val="0"/>
      <w:divBdr>
        <w:top w:val="none" w:sz="0" w:space="0" w:color="auto"/>
        <w:left w:val="none" w:sz="0" w:space="0" w:color="auto"/>
        <w:bottom w:val="none" w:sz="0" w:space="0" w:color="auto"/>
        <w:right w:val="none" w:sz="0" w:space="0" w:color="auto"/>
      </w:divBdr>
    </w:div>
    <w:div w:id="1656758286">
      <w:bodyDiv w:val="1"/>
      <w:marLeft w:val="0"/>
      <w:marRight w:val="0"/>
      <w:marTop w:val="0"/>
      <w:marBottom w:val="0"/>
      <w:divBdr>
        <w:top w:val="none" w:sz="0" w:space="0" w:color="auto"/>
        <w:left w:val="none" w:sz="0" w:space="0" w:color="auto"/>
        <w:bottom w:val="none" w:sz="0" w:space="0" w:color="auto"/>
        <w:right w:val="none" w:sz="0" w:space="0" w:color="auto"/>
      </w:divBdr>
    </w:div>
    <w:div w:id="1656908207">
      <w:bodyDiv w:val="1"/>
      <w:marLeft w:val="0"/>
      <w:marRight w:val="0"/>
      <w:marTop w:val="0"/>
      <w:marBottom w:val="0"/>
      <w:divBdr>
        <w:top w:val="none" w:sz="0" w:space="0" w:color="auto"/>
        <w:left w:val="none" w:sz="0" w:space="0" w:color="auto"/>
        <w:bottom w:val="none" w:sz="0" w:space="0" w:color="auto"/>
        <w:right w:val="none" w:sz="0" w:space="0" w:color="auto"/>
      </w:divBdr>
    </w:div>
    <w:div w:id="1657223739">
      <w:bodyDiv w:val="1"/>
      <w:marLeft w:val="0"/>
      <w:marRight w:val="0"/>
      <w:marTop w:val="0"/>
      <w:marBottom w:val="0"/>
      <w:divBdr>
        <w:top w:val="none" w:sz="0" w:space="0" w:color="auto"/>
        <w:left w:val="none" w:sz="0" w:space="0" w:color="auto"/>
        <w:bottom w:val="none" w:sz="0" w:space="0" w:color="auto"/>
        <w:right w:val="none" w:sz="0" w:space="0" w:color="auto"/>
      </w:divBdr>
    </w:div>
    <w:div w:id="1657493747">
      <w:bodyDiv w:val="1"/>
      <w:marLeft w:val="0"/>
      <w:marRight w:val="0"/>
      <w:marTop w:val="0"/>
      <w:marBottom w:val="0"/>
      <w:divBdr>
        <w:top w:val="none" w:sz="0" w:space="0" w:color="auto"/>
        <w:left w:val="none" w:sz="0" w:space="0" w:color="auto"/>
        <w:bottom w:val="none" w:sz="0" w:space="0" w:color="auto"/>
        <w:right w:val="none" w:sz="0" w:space="0" w:color="auto"/>
      </w:divBdr>
    </w:div>
    <w:div w:id="16575388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07489">
      <w:bodyDiv w:val="1"/>
      <w:marLeft w:val="0"/>
      <w:marRight w:val="0"/>
      <w:marTop w:val="0"/>
      <w:marBottom w:val="0"/>
      <w:divBdr>
        <w:top w:val="none" w:sz="0" w:space="0" w:color="auto"/>
        <w:left w:val="none" w:sz="0" w:space="0" w:color="auto"/>
        <w:bottom w:val="none" w:sz="0" w:space="0" w:color="auto"/>
        <w:right w:val="none" w:sz="0" w:space="0" w:color="auto"/>
      </w:divBdr>
    </w:div>
    <w:div w:id="1658340649">
      <w:bodyDiv w:val="1"/>
      <w:marLeft w:val="0"/>
      <w:marRight w:val="0"/>
      <w:marTop w:val="0"/>
      <w:marBottom w:val="0"/>
      <w:divBdr>
        <w:top w:val="none" w:sz="0" w:space="0" w:color="auto"/>
        <w:left w:val="none" w:sz="0" w:space="0" w:color="auto"/>
        <w:bottom w:val="none" w:sz="0" w:space="0" w:color="auto"/>
        <w:right w:val="none" w:sz="0" w:space="0" w:color="auto"/>
      </w:divBdr>
    </w:div>
    <w:div w:id="1658530816">
      <w:bodyDiv w:val="1"/>
      <w:marLeft w:val="0"/>
      <w:marRight w:val="0"/>
      <w:marTop w:val="0"/>
      <w:marBottom w:val="0"/>
      <w:divBdr>
        <w:top w:val="none" w:sz="0" w:space="0" w:color="auto"/>
        <w:left w:val="none" w:sz="0" w:space="0" w:color="auto"/>
        <w:bottom w:val="none" w:sz="0" w:space="0" w:color="auto"/>
        <w:right w:val="none" w:sz="0" w:space="0" w:color="auto"/>
      </w:divBdr>
    </w:div>
    <w:div w:id="1658606149">
      <w:bodyDiv w:val="1"/>
      <w:marLeft w:val="0"/>
      <w:marRight w:val="0"/>
      <w:marTop w:val="0"/>
      <w:marBottom w:val="0"/>
      <w:divBdr>
        <w:top w:val="none" w:sz="0" w:space="0" w:color="auto"/>
        <w:left w:val="none" w:sz="0" w:space="0" w:color="auto"/>
        <w:bottom w:val="none" w:sz="0" w:space="0" w:color="auto"/>
        <w:right w:val="none" w:sz="0" w:space="0" w:color="auto"/>
      </w:divBdr>
    </w:div>
    <w:div w:id="1658724599">
      <w:bodyDiv w:val="1"/>
      <w:marLeft w:val="0"/>
      <w:marRight w:val="0"/>
      <w:marTop w:val="0"/>
      <w:marBottom w:val="0"/>
      <w:divBdr>
        <w:top w:val="none" w:sz="0" w:space="0" w:color="auto"/>
        <w:left w:val="none" w:sz="0" w:space="0" w:color="auto"/>
        <w:bottom w:val="none" w:sz="0" w:space="0" w:color="auto"/>
        <w:right w:val="none" w:sz="0" w:space="0" w:color="auto"/>
      </w:divBdr>
    </w:div>
    <w:div w:id="1659192814">
      <w:bodyDiv w:val="1"/>
      <w:marLeft w:val="0"/>
      <w:marRight w:val="0"/>
      <w:marTop w:val="0"/>
      <w:marBottom w:val="0"/>
      <w:divBdr>
        <w:top w:val="none" w:sz="0" w:space="0" w:color="auto"/>
        <w:left w:val="none" w:sz="0" w:space="0" w:color="auto"/>
        <w:bottom w:val="none" w:sz="0" w:space="0" w:color="auto"/>
        <w:right w:val="none" w:sz="0" w:space="0" w:color="auto"/>
      </w:divBdr>
    </w:div>
    <w:div w:id="1659379796">
      <w:bodyDiv w:val="1"/>
      <w:marLeft w:val="0"/>
      <w:marRight w:val="0"/>
      <w:marTop w:val="0"/>
      <w:marBottom w:val="0"/>
      <w:divBdr>
        <w:top w:val="none" w:sz="0" w:space="0" w:color="auto"/>
        <w:left w:val="none" w:sz="0" w:space="0" w:color="auto"/>
        <w:bottom w:val="none" w:sz="0" w:space="0" w:color="auto"/>
        <w:right w:val="none" w:sz="0" w:space="0" w:color="auto"/>
      </w:divBdr>
    </w:div>
    <w:div w:id="1659533626">
      <w:bodyDiv w:val="1"/>
      <w:marLeft w:val="0"/>
      <w:marRight w:val="0"/>
      <w:marTop w:val="0"/>
      <w:marBottom w:val="0"/>
      <w:divBdr>
        <w:top w:val="none" w:sz="0" w:space="0" w:color="auto"/>
        <w:left w:val="none" w:sz="0" w:space="0" w:color="auto"/>
        <w:bottom w:val="none" w:sz="0" w:space="0" w:color="auto"/>
        <w:right w:val="none" w:sz="0" w:space="0" w:color="auto"/>
      </w:divBdr>
    </w:div>
    <w:div w:id="1659574453">
      <w:bodyDiv w:val="1"/>
      <w:marLeft w:val="0"/>
      <w:marRight w:val="0"/>
      <w:marTop w:val="0"/>
      <w:marBottom w:val="0"/>
      <w:divBdr>
        <w:top w:val="none" w:sz="0" w:space="0" w:color="auto"/>
        <w:left w:val="none" w:sz="0" w:space="0" w:color="auto"/>
        <w:bottom w:val="none" w:sz="0" w:space="0" w:color="auto"/>
        <w:right w:val="none" w:sz="0" w:space="0" w:color="auto"/>
      </w:divBdr>
    </w:div>
    <w:div w:id="1659840758">
      <w:bodyDiv w:val="1"/>
      <w:marLeft w:val="0"/>
      <w:marRight w:val="0"/>
      <w:marTop w:val="0"/>
      <w:marBottom w:val="0"/>
      <w:divBdr>
        <w:top w:val="none" w:sz="0" w:space="0" w:color="auto"/>
        <w:left w:val="none" w:sz="0" w:space="0" w:color="auto"/>
        <w:bottom w:val="none" w:sz="0" w:space="0" w:color="auto"/>
        <w:right w:val="none" w:sz="0" w:space="0" w:color="auto"/>
      </w:divBdr>
    </w:div>
    <w:div w:id="1660160006">
      <w:bodyDiv w:val="1"/>
      <w:marLeft w:val="0"/>
      <w:marRight w:val="0"/>
      <w:marTop w:val="0"/>
      <w:marBottom w:val="0"/>
      <w:divBdr>
        <w:top w:val="none" w:sz="0" w:space="0" w:color="auto"/>
        <w:left w:val="none" w:sz="0" w:space="0" w:color="auto"/>
        <w:bottom w:val="none" w:sz="0" w:space="0" w:color="auto"/>
        <w:right w:val="none" w:sz="0" w:space="0" w:color="auto"/>
      </w:divBdr>
    </w:div>
    <w:div w:id="1660301371">
      <w:bodyDiv w:val="1"/>
      <w:marLeft w:val="0"/>
      <w:marRight w:val="0"/>
      <w:marTop w:val="0"/>
      <w:marBottom w:val="0"/>
      <w:divBdr>
        <w:top w:val="none" w:sz="0" w:space="0" w:color="auto"/>
        <w:left w:val="none" w:sz="0" w:space="0" w:color="auto"/>
        <w:bottom w:val="none" w:sz="0" w:space="0" w:color="auto"/>
        <w:right w:val="none" w:sz="0" w:space="0" w:color="auto"/>
      </w:divBdr>
    </w:div>
    <w:div w:id="1660302402">
      <w:bodyDiv w:val="1"/>
      <w:marLeft w:val="0"/>
      <w:marRight w:val="0"/>
      <w:marTop w:val="0"/>
      <w:marBottom w:val="0"/>
      <w:divBdr>
        <w:top w:val="none" w:sz="0" w:space="0" w:color="auto"/>
        <w:left w:val="none" w:sz="0" w:space="0" w:color="auto"/>
        <w:bottom w:val="none" w:sz="0" w:space="0" w:color="auto"/>
        <w:right w:val="none" w:sz="0" w:space="0" w:color="auto"/>
      </w:divBdr>
    </w:div>
    <w:div w:id="1660380248">
      <w:bodyDiv w:val="1"/>
      <w:marLeft w:val="0"/>
      <w:marRight w:val="0"/>
      <w:marTop w:val="0"/>
      <w:marBottom w:val="0"/>
      <w:divBdr>
        <w:top w:val="none" w:sz="0" w:space="0" w:color="auto"/>
        <w:left w:val="none" w:sz="0" w:space="0" w:color="auto"/>
        <w:bottom w:val="none" w:sz="0" w:space="0" w:color="auto"/>
        <w:right w:val="none" w:sz="0" w:space="0" w:color="auto"/>
      </w:divBdr>
    </w:div>
    <w:div w:id="1660645459">
      <w:bodyDiv w:val="1"/>
      <w:marLeft w:val="0"/>
      <w:marRight w:val="0"/>
      <w:marTop w:val="0"/>
      <w:marBottom w:val="0"/>
      <w:divBdr>
        <w:top w:val="none" w:sz="0" w:space="0" w:color="auto"/>
        <w:left w:val="none" w:sz="0" w:space="0" w:color="auto"/>
        <w:bottom w:val="none" w:sz="0" w:space="0" w:color="auto"/>
        <w:right w:val="none" w:sz="0" w:space="0" w:color="auto"/>
      </w:divBdr>
    </w:div>
    <w:div w:id="1660766285">
      <w:bodyDiv w:val="1"/>
      <w:marLeft w:val="0"/>
      <w:marRight w:val="0"/>
      <w:marTop w:val="0"/>
      <w:marBottom w:val="0"/>
      <w:divBdr>
        <w:top w:val="none" w:sz="0" w:space="0" w:color="auto"/>
        <w:left w:val="none" w:sz="0" w:space="0" w:color="auto"/>
        <w:bottom w:val="none" w:sz="0" w:space="0" w:color="auto"/>
        <w:right w:val="none" w:sz="0" w:space="0" w:color="auto"/>
      </w:divBdr>
    </w:div>
    <w:div w:id="1661040750">
      <w:bodyDiv w:val="1"/>
      <w:marLeft w:val="0"/>
      <w:marRight w:val="0"/>
      <w:marTop w:val="0"/>
      <w:marBottom w:val="0"/>
      <w:divBdr>
        <w:top w:val="none" w:sz="0" w:space="0" w:color="auto"/>
        <w:left w:val="none" w:sz="0" w:space="0" w:color="auto"/>
        <w:bottom w:val="none" w:sz="0" w:space="0" w:color="auto"/>
        <w:right w:val="none" w:sz="0" w:space="0" w:color="auto"/>
      </w:divBdr>
    </w:div>
    <w:div w:id="1661152947">
      <w:bodyDiv w:val="1"/>
      <w:marLeft w:val="0"/>
      <w:marRight w:val="0"/>
      <w:marTop w:val="0"/>
      <w:marBottom w:val="0"/>
      <w:divBdr>
        <w:top w:val="none" w:sz="0" w:space="0" w:color="auto"/>
        <w:left w:val="none" w:sz="0" w:space="0" w:color="auto"/>
        <w:bottom w:val="none" w:sz="0" w:space="0" w:color="auto"/>
        <w:right w:val="none" w:sz="0" w:space="0" w:color="auto"/>
      </w:divBdr>
    </w:div>
    <w:div w:id="1661275226">
      <w:bodyDiv w:val="1"/>
      <w:marLeft w:val="0"/>
      <w:marRight w:val="0"/>
      <w:marTop w:val="0"/>
      <w:marBottom w:val="0"/>
      <w:divBdr>
        <w:top w:val="none" w:sz="0" w:space="0" w:color="auto"/>
        <w:left w:val="none" w:sz="0" w:space="0" w:color="auto"/>
        <w:bottom w:val="none" w:sz="0" w:space="0" w:color="auto"/>
        <w:right w:val="none" w:sz="0" w:space="0" w:color="auto"/>
      </w:divBdr>
    </w:div>
    <w:div w:id="1661470333">
      <w:bodyDiv w:val="1"/>
      <w:marLeft w:val="0"/>
      <w:marRight w:val="0"/>
      <w:marTop w:val="0"/>
      <w:marBottom w:val="0"/>
      <w:divBdr>
        <w:top w:val="none" w:sz="0" w:space="0" w:color="auto"/>
        <w:left w:val="none" w:sz="0" w:space="0" w:color="auto"/>
        <w:bottom w:val="none" w:sz="0" w:space="0" w:color="auto"/>
        <w:right w:val="none" w:sz="0" w:space="0" w:color="auto"/>
      </w:divBdr>
    </w:div>
    <w:div w:id="1661496332">
      <w:bodyDiv w:val="1"/>
      <w:marLeft w:val="0"/>
      <w:marRight w:val="0"/>
      <w:marTop w:val="0"/>
      <w:marBottom w:val="0"/>
      <w:divBdr>
        <w:top w:val="none" w:sz="0" w:space="0" w:color="auto"/>
        <w:left w:val="none" w:sz="0" w:space="0" w:color="auto"/>
        <w:bottom w:val="none" w:sz="0" w:space="0" w:color="auto"/>
        <w:right w:val="none" w:sz="0" w:space="0" w:color="auto"/>
      </w:divBdr>
    </w:div>
    <w:div w:id="1661734226">
      <w:bodyDiv w:val="1"/>
      <w:marLeft w:val="0"/>
      <w:marRight w:val="0"/>
      <w:marTop w:val="0"/>
      <w:marBottom w:val="0"/>
      <w:divBdr>
        <w:top w:val="none" w:sz="0" w:space="0" w:color="auto"/>
        <w:left w:val="none" w:sz="0" w:space="0" w:color="auto"/>
        <w:bottom w:val="none" w:sz="0" w:space="0" w:color="auto"/>
        <w:right w:val="none" w:sz="0" w:space="0" w:color="auto"/>
      </w:divBdr>
    </w:div>
    <w:div w:id="1661736957">
      <w:bodyDiv w:val="1"/>
      <w:marLeft w:val="0"/>
      <w:marRight w:val="0"/>
      <w:marTop w:val="0"/>
      <w:marBottom w:val="0"/>
      <w:divBdr>
        <w:top w:val="none" w:sz="0" w:space="0" w:color="auto"/>
        <w:left w:val="none" w:sz="0" w:space="0" w:color="auto"/>
        <w:bottom w:val="none" w:sz="0" w:space="0" w:color="auto"/>
        <w:right w:val="none" w:sz="0" w:space="0" w:color="auto"/>
      </w:divBdr>
    </w:div>
    <w:div w:id="1661886883">
      <w:bodyDiv w:val="1"/>
      <w:marLeft w:val="0"/>
      <w:marRight w:val="0"/>
      <w:marTop w:val="0"/>
      <w:marBottom w:val="0"/>
      <w:divBdr>
        <w:top w:val="none" w:sz="0" w:space="0" w:color="auto"/>
        <w:left w:val="none" w:sz="0" w:space="0" w:color="auto"/>
        <w:bottom w:val="none" w:sz="0" w:space="0" w:color="auto"/>
        <w:right w:val="none" w:sz="0" w:space="0" w:color="auto"/>
      </w:divBdr>
    </w:div>
    <w:div w:id="1662852947">
      <w:bodyDiv w:val="1"/>
      <w:marLeft w:val="0"/>
      <w:marRight w:val="0"/>
      <w:marTop w:val="0"/>
      <w:marBottom w:val="0"/>
      <w:divBdr>
        <w:top w:val="none" w:sz="0" w:space="0" w:color="auto"/>
        <w:left w:val="none" w:sz="0" w:space="0" w:color="auto"/>
        <w:bottom w:val="none" w:sz="0" w:space="0" w:color="auto"/>
        <w:right w:val="none" w:sz="0" w:space="0" w:color="auto"/>
      </w:divBdr>
    </w:div>
    <w:div w:id="1662922624">
      <w:bodyDiv w:val="1"/>
      <w:marLeft w:val="0"/>
      <w:marRight w:val="0"/>
      <w:marTop w:val="0"/>
      <w:marBottom w:val="0"/>
      <w:divBdr>
        <w:top w:val="none" w:sz="0" w:space="0" w:color="auto"/>
        <w:left w:val="none" w:sz="0" w:space="0" w:color="auto"/>
        <w:bottom w:val="none" w:sz="0" w:space="0" w:color="auto"/>
        <w:right w:val="none" w:sz="0" w:space="0" w:color="auto"/>
      </w:divBdr>
    </w:div>
    <w:div w:id="1663317823">
      <w:bodyDiv w:val="1"/>
      <w:marLeft w:val="0"/>
      <w:marRight w:val="0"/>
      <w:marTop w:val="0"/>
      <w:marBottom w:val="0"/>
      <w:divBdr>
        <w:top w:val="none" w:sz="0" w:space="0" w:color="auto"/>
        <w:left w:val="none" w:sz="0" w:space="0" w:color="auto"/>
        <w:bottom w:val="none" w:sz="0" w:space="0" w:color="auto"/>
        <w:right w:val="none" w:sz="0" w:space="0" w:color="auto"/>
      </w:divBdr>
    </w:div>
    <w:div w:id="1663385516">
      <w:bodyDiv w:val="1"/>
      <w:marLeft w:val="0"/>
      <w:marRight w:val="0"/>
      <w:marTop w:val="0"/>
      <w:marBottom w:val="0"/>
      <w:divBdr>
        <w:top w:val="none" w:sz="0" w:space="0" w:color="auto"/>
        <w:left w:val="none" w:sz="0" w:space="0" w:color="auto"/>
        <w:bottom w:val="none" w:sz="0" w:space="0" w:color="auto"/>
        <w:right w:val="none" w:sz="0" w:space="0" w:color="auto"/>
      </w:divBdr>
    </w:div>
    <w:div w:id="1663392663">
      <w:bodyDiv w:val="1"/>
      <w:marLeft w:val="0"/>
      <w:marRight w:val="0"/>
      <w:marTop w:val="0"/>
      <w:marBottom w:val="0"/>
      <w:divBdr>
        <w:top w:val="none" w:sz="0" w:space="0" w:color="auto"/>
        <w:left w:val="none" w:sz="0" w:space="0" w:color="auto"/>
        <w:bottom w:val="none" w:sz="0" w:space="0" w:color="auto"/>
        <w:right w:val="none" w:sz="0" w:space="0" w:color="auto"/>
      </w:divBdr>
    </w:div>
    <w:div w:id="1663697480">
      <w:bodyDiv w:val="1"/>
      <w:marLeft w:val="0"/>
      <w:marRight w:val="0"/>
      <w:marTop w:val="0"/>
      <w:marBottom w:val="0"/>
      <w:divBdr>
        <w:top w:val="none" w:sz="0" w:space="0" w:color="auto"/>
        <w:left w:val="none" w:sz="0" w:space="0" w:color="auto"/>
        <w:bottom w:val="none" w:sz="0" w:space="0" w:color="auto"/>
        <w:right w:val="none" w:sz="0" w:space="0" w:color="auto"/>
      </w:divBdr>
    </w:div>
    <w:div w:id="1663775576">
      <w:bodyDiv w:val="1"/>
      <w:marLeft w:val="0"/>
      <w:marRight w:val="0"/>
      <w:marTop w:val="0"/>
      <w:marBottom w:val="0"/>
      <w:divBdr>
        <w:top w:val="none" w:sz="0" w:space="0" w:color="auto"/>
        <w:left w:val="none" w:sz="0" w:space="0" w:color="auto"/>
        <w:bottom w:val="none" w:sz="0" w:space="0" w:color="auto"/>
        <w:right w:val="none" w:sz="0" w:space="0" w:color="auto"/>
      </w:divBdr>
    </w:div>
    <w:div w:id="1663851906">
      <w:bodyDiv w:val="1"/>
      <w:marLeft w:val="0"/>
      <w:marRight w:val="0"/>
      <w:marTop w:val="0"/>
      <w:marBottom w:val="0"/>
      <w:divBdr>
        <w:top w:val="none" w:sz="0" w:space="0" w:color="auto"/>
        <w:left w:val="none" w:sz="0" w:space="0" w:color="auto"/>
        <w:bottom w:val="none" w:sz="0" w:space="0" w:color="auto"/>
        <w:right w:val="none" w:sz="0" w:space="0" w:color="auto"/>
      </w:divBdr>
    </w:div>
    <w:div w:id="1664047270">
      <w:bodyDiv w:val="1"/>
      <w:marLeft w:val="0"/>
      <w:marRight w:val="0"/>
      <w:marTop w:val="0"/>
      <w:marBottom w:val="0"/>
      <w:divBdr>
        <w:top w:val="none" w:sz="0" w:space="0" w:color="auto"/>
        <w:left w:val="none" w:sz="0" w:space="0" w:color="auto"/>
        <w:bottom w:val="none" w:sz="0" w:space="0" w:color="auto"/>
        <w:right w:val="none" w:sz="0" w:space="0" w:color="auto"/>
      </w:divBdr>
    </w:div>
    <w:div w:id="1664049292">
      <w:bodyDiv w:val="1"/>
      <w:marLeft w:val="0"/>
      <w:marRight w:val="0"/>
      <w:marTop w:val="0"/>
      <w:marBottom w:val="0"/>
      <w:divBdr>
        <w:top w:val="none" w:sz="0" w:space="0" w:color="auto"/>
        <w:left w:val="none" w:sz="0" w:space="0" w:color="auto"/>
        <w:bottom w:val="none" w:sz="0" w:space="0" w:color="auto"/>
        <w:right w:val="none" w:sz="0" w:space="0" w:color="auto"/>
      </w:divBdr>
    </w:div>
    <w:div w:id="1664090823">
      <w:bodyDiv w:val="1"/>
      <w:marLeft w:val="0"/>
      <w:marRight w:val="0"/>
      <w:marTop w:val="0"/>
      <w:marBottom w:val="0"/>
      <w:divBdr>
        <w:top w:val="none" w:sz="0" w:space="0" w:color="auto"/>
        <w:left w:val="none" w:sz="0" w:space="0" w:color="auto"/>
        <w:bottom w:val="none" w:sz="0" w:space="0" w:color="auto"/>
        <w:right w:val="none" w:sz="0" w:space="0" w:color="auto"/>
      </w:divBdr>
    </w:div>
    <w:div w:id="1664159854">
      <w:bodyDiv w:val="1"/>
      <w:marLeft w:val="0"/>
      <w:marRight w:val="0"/>
      <w:marTop w:val="0"/>
      <w:marBottom w:val="0"/>
      <w:divBdr>
        <w:top w:val="none" w:sz="0" w:space="0" w:color="auto"/>
        <w:left w:val="none" w:sz="0" w:space="0" w:color="auto"/>
        <w:bottom w:val="none" w:sz="0" w:space="0" w:color="auto"/>
        <w:right w:val="none" w:sz="0" w:space="0" w:color="auto"/>
      </w:divBdr>
    </w:div>
    <w:div w:id="1664503182">
      <w:bodyDiv w:val="1"/>
      <w:marLeft w:val="0"/>
      <w:marRight w:val="0"/>
      <w:marTop w:val="0"/>
      <w:marBottom w:val="0"/>
      <w:divBdr>
        <w:top w:val="none" w:sz="0" w:space="0" w:color="auto"/>
        <w:left w:val="none" w:sz="0" w:space="0" w:color="auto"/>
        <w:bottom w:val="none" w:sz="0" w:space="0" w:color="auto"/>
        <w:right w:val="none" w:sz="0" w:space="0" w:color="auto"/>
      </w:divBdr>
    </w:div>
    <w:div w:id="1664821340">
      <w:bodyDiv w:val="1"/>
      <w:marLeft w:val="0"/>
      <w:marRight w:val="0"/>
      <w:marTop w:val="0"/>
      <w:marBottom w:val="0"/>
      <w:divBdr>
        <w:top w:val="none" w:sz="0" w:space="0" w:color="auto"/>
        <w:left w:val="none" w:sz="0" w:space="0" w:color="auto"/>
        <w:bottom w:val="none" w:sz="0" w:space="0" w:color="auto"/>
        <w:right w:val="none" w:sz="0" w:space="0" w:color="auto"/>
      </w:divBdr>
    </w:div>
    <w:div w:id="1664890794">
      <w:bodyDiv w:val="1"/>
      <w:marLeft w:val="0"/>
      <w:marRight w:val="0"/>
      <w:marTop w:val="0"/>
      <w:marBottom w:val="0"/>
      <w:divBdr>
        <w:top w:val="none" w:sz="0" w:space="0" w:color="auto"/>
        <w:left w:val="none" w:sz="0" w:space="0" w:color="auto"/>
        <w:bottom w:val="none" w:sz="0" w:space="0" w:color="auto"/>
        <w:right w:val="none" w:sz="0" w:space="0" w:color="auto"/>
      </w:divBdr>
    </w:div>
    <w:div w:id="1665010635">
      <w:bodyDiv w:val="1"/>
      <w:marLeft w:val="0"/>
      <w:marRight w:val="0"/>
      <w:marTop w:val="0"/>
      <w:marBottom w:val="0"/>
      <w:divBdr>
        <w:top w:val="none" w:sz="0" w:space="0" w:color="auto"/>
        <w:left w:val="none" w:sz="0" w:space="0" w:color="auto"/>
        <w:bottom w:val="none" w:sz="0" w:space="0" w:color="auto"/>
        <w:right w:val="none" w:sz="0" w:space="0" w:color="auto"/>
      </w:divBdr>
    </w:div>
    <w:div w:id="1665357793">
      <w:bodyDiv w:val="1"/>
      <w:marLeft w:val="0"/>
      <w:marRight w:val="0"/>
      <w:marTop w:val="0"/>
      <w:marBottom w:val="0"/>
      <w:divBdr>
        <w:top w:val="none" w:sz="0" w:space="0" w:color="auto"/>
        <w:left w:val="none" w:sz="0" w:space="0" w:color="auto"/>
        <w:bottom w:val="none" w:sz="0" w:space="0" w:color="auto"/>
        <w:right w:val="none" w:sz="0" w:space="0" w:color="auto"/>
      </w:divBdr>
    </w:div>
    <w:div w:id="1665821484">
      <w:bodyDiv w:val="1"/>
      <w:marLeft w:val="0"/>
      <w:marRight w:val="0"/>
      <w:marTop w:val="0"/>
      <w:marBottom w:val="0"/>
      <w:divBdr>
        <w:top w:val="none" w:sz="0" w:space="0" w:color="auto"/>
        <w:left w:val="none" w:sz="0" w:space="0" w:color="auto"/>
        <w:bottom w:val="none" w:sz="0" w:space="0" w:color="auto"/>
        <w:right w:val="none" w:sz="0" w:space="0" w:color="auto"/>
      </w:divBdr>
    </w:div>
    <w:div w:id="1665891277">
      <w:bodyDiv w:val="1"/>
      <w:marLeft w:val="0"/>
      <w:marRight w:val="0"/>
      <w:marTop w:val="0"/>
      <w:marBottom w:val="0"/>
      <w:divBdr>
        <w:top w:val="none" w:sz="0" w:space="0" w:color="auto"/>
        <w:left w:val="none" w:sz="0" w:space="0" w:color="auto"/>
        <w:bottom w:val="none" w:sz="0" w:space="0" w:color="auto"/>
        <w:right w:val="none" w:sz="0" w:space="0" w:color="auto"/>
      </w:divBdr>
    </w:div>
    <w:div w:id="1665932036">
      <w:bodyDiv w:val="1"/>
      <w:marLeft w:val="0"/>
      <w:marRight w:val="0"/>
      <w:marTop w:val="0"/>
      <w:marBottom w:val="0"/>
      <w:divBdr>
        <w:top w:val="none" w:sz="0" w:space="0" w:color="auto"/>
        <w:left w:val="none" w:sz="0" w:space="0" w:color="auto"/>
        <w:bottom w:val="none" w:sz="0" w:space="0" w:color="auto"/>
        <w:right w:val="none" w:sz="0" w:space="0" w:color="auto"/>
      </w:divBdr>
    </w:div>
    <w:div w:id="1665938448">
      <w:bodyDiv w:val="1"/>
      <w:marLeft w:val="0"/>
      <w:marRight w:val="0"/>
      <w:marTop w:val="0"/>
      <w:marBottom w:val="0"/>
      <w:divBdr>
        <w:top w:val="none" w:sz="0" w:space="0" w:color="auto"/>
        <w:left w:val="none" w:sz="0" w:space="0" w:color="auto"/>
        <w:bottom w:val="none" w:sz="0" w:space="0" w:color="auto"/>
        <w:right w:val="none" w:sz="0" w:space="0" w:color="auto"/>
      </w:divBdr>
    </w:div>
    <w:div w:id="1666012554">
      <w:bodyDiv w:val="1"/>
      <w:marLeft w:val="0"/>
      <w:marRight w:val="0"/>
      <w:marTop w:val="0"/>
      <w:marBottom w:val="0"/>
      <w:divBdr>
        <w:top w:val="none" w:sz="0" w:space="0" w:color="auto"/>
        <w:left w:val="none" w:sz="0" w:space="0" w:color="auto"/>
        <w:bottom w:val="none" w:sz="0" w:space="0" w:color="auto"/>
        <w:right w:val="none" w:sz="0" w:space="0" w:color="auto"/>
      </w:divBdr>
    </w:div>
    <w:div w:id="1666468063">
      <w:bodyDiv w:val="1"/>
      <w:marLeft w:val="0"/>
      <w:marRight w:val="0"/>
      <w:marTop w:val="0"/>
      <w:marBottom w:val="0"/>
      <w:divBdr>
        <w:top w:val="none" w:sz="0" w:space="0" w:color="auto"/>
        <w:left w:val="none" w:sz="0" w:space="0" w:color="auto"/>
        <w:bottom w:val="none" w:sz="0" w:space="0" w:color="auto"/>
        <w:right w:val="none" w:sz="0" w:space="0" w:color="auto"/>
      </w:divBdr>
    </w:div>
    <w:div w:id="1666662321">
      <w:bodyDiv w:val="1"/>
      <w:marLeft w:val="0"/>
      <w:marRight w:val="0"/>
      <w:marTop w:val="0"/>
      <w:marBottom w:val="0"/>
      <w:divBdr>
        <w:top w:val="none" w:sz="0" w:space="0" w:color="auto"/>
        <w:left w:val="none" w:sz="0" w:space="0" w:color="auto"/>
        <w:bottom w:val="none" w:sz="0" w:space="0" w:color="auto"/>
        <w:right w:val="none" w:sz="0" w:space="0" w:color="auto"/>
      </w:divBdr>
    </w:div>
    <w:div w:id="1666740955">
      <w:bodyDiv w:val="1"/>
      <w:marLeft w:val="0"/>
      <w:marRight w:val="0"/>
      <w:marTop w:val="0"/>
      <w:marBottom w:val="0"/>
      <w:divBdr>
        <w:top w:val="none" w:sz="0" w:space="0" w:color="auto"/>
        <w:left w:val="none" w:sz="0" w:space="0" w:color="auto"/>
        <w:bottom w:val="none" w:sz="0" w:space="0" w:color="auto"/>
        <w:right w:val="none" w:sz="0" w:space="0" w:color="auto"/>
      </w:divBdr>
    </w:div>
    <w:div w:id="1666782939">
      <w:bodyDiv w:val="1"/>
      <w:marLeft w:val="0"/>
      <w:marRight w:val="0"/>
      <w:marTop w:val="0"/>
      <w:marBottom w:val="0"/>
      <w:divBdr>
        <w:top w:val="none" w:sz="0" w:space="0" w:color="auto"/>
        <w:left w:val="none" w:sz="0" w:space="0" w:color="auto"/>
        <w:bottom w:val="none" w:sz="0" w:space="0" w:color="auto"/>
        <w:right w:val="none" w:sz="0" w:space="0" w:color="auto"/>
      </w:divBdr>
    </w:div>
    <w:div w:id="1666933065">
      <w:bodyDiv w:val="1"/>
      <w:marLeft w:val="0"/>
      <w:marRight w:val="0"/>
      <w:marTop w:val="0"/>
      <w:marBottom w:val="0"/>
      <w:divBdr>
        <w:top w:val="none" w:sz="0" w:space="0" w:color="auto"/>
        <w:left w:val="none" w:sz="0" w:space="0" w:color="auto"/>
        <w:bottom w:val="none" w:sz="0" w:space="0" w:color="auto"/>
        <w:right w:val="none" w:sz="0" w:space="0" w:color="auto"/>
      </w:divBdr>
    </w:div>
    <w:div w:id="1667122877">
      <w:bodyDiv w:val="1"/>
      <w:marLeft w:val="0"/>
      <w:marRight w:val="0"/>
      <w:marTop w:val="0"/>
      <w:marBottom w:val="0"/>
      <w:divBdr>
        <w:top w:val="none" w:sz="0" w:space="0" w:color="auto"/>
        <w:left w:val="none" w:sz="0" w:space="0" w:color="auto"/>
        <w:bottom w:val="none" w:sz="0" w:space="0" w:color="auto"/>
        <w:right w:val="none" w:sz="0" w:space="0" w:color="auto"/>
      </w:divBdr>
    </w:div>
    <w:div w:id="1667438971">
      <w:bodyDiv w:val="1"/>
      <w:marLeft w:val="0"/>
      <w:marRight w:val="0"/>
      <w:marTop w:val="0"/>
      <w:marBottom w:val="0"/>
      <w:divBdr>
        <w:top w:val="none" w:sz="0" w:space="0" w:color="auto"/>
        <w:left w:val="none" w:sz="0" w:space="0" w:color="auto"/>
        <w:bottom w:val="none" w:sz="0" w:space="0" w:color="auto"/>
        <w:right w:val="none" w:sz="0" w:space="0" w:color="auto"/>
      </w:divBdr>
    </w:div>
    <w:div w:id="1667442703">
      <w:bodyDiv w:val="1"/>
      <w:marLeft w:val="0"/>
      <w:marRight w:val="0"/>
      <w:marTop w:val="0"/>
      <w:marBottom w:val="0"/>
      <w:divBdr>
        <w:top w:val="none" w:sz="0" w:space="0" w:color="auto"/>
        <w:left w:val="none" w:sz="0" w:space="0" w:color="auto"/>
        <w:bottom w:val="none" w:sz="0" w:space="0" w:color="auto"/>
        <w:right w:val="none" w:sz="0" w:space="0" w:color="auto"/>
      </w:divBdr>
    </w:div>
    <w:div w:id="1667632830">
      <w:bodyDiv w:val="1"/>
      <w:marLeft w:val="0"/>
      <w:marRight w:val="0"/>
      <w:marTop w:val="0"/>
      <w:marBottom w:val="0"/>
      <w:divBdr>
        <w:top w:val="none" w:sz="0" w:space="0" w:color="auto"/>
        <w:left w:val="none" w:sz="0" w:space="0" w:color="auto"/>
        <w:bottom w:val="none" w:sz="0" w:space="0" w:color="auto"/>
        <w:right w:val="none" w:sz="0" w:space="0" w:color="auto"/>
      </w:divBdr>
    </w:div>
    <w:div w:id="1668440497">
      <w:bodyDiv w:val="1"/>
      <w:marLeft w:val="0"/>
      <w:marRight w:val="0"/>
      <w:marTop w:val="0"/>
      <w:marBottom w:val="0"/>
      <w:divBdr>
        <w:top w:val="none" w:sz="0" w:space="0" w:color="auto"/>
        <w:left w:val="none" w:sz="0" w:space="0" w:color="auto"/>
        <w:bottom w:val="none" w:sz="0" w:space="0" w:color="auto"/>
        <w:right w:val="none" w:sz="0" w:space="0" w:color="auto"/>
      </w:divBdr>
    </w:div>
    <w:div w:id="1668632692">
      <w:bodyDiv w:val="1"/>
      <w:marLeft w:val="0"/>
      <w:marRight w:val="0"/>
      <w:marTop w:val="0"/>
      <w:marBottom w:val="0"/>
      <w:divBdr>
        <w:top w:val="none" w:sz="0" w:space="0" w:color="auto"/>
        <w:left w:val="none" w:sz="0" w:space="0" w:color="auto"/>
        <w:bottom w:val="none" w:sz="0" w:space="0" w:color="auto"/>
        <w:right w:val="none" w:sz="0" w:space="0" w:color="auto"/>
      </w:divBdr>
    </w:div>
    <w:div w:id="1668820742">
      <w:bodyDiv w:val="1"/>
      <w:marLeft w:val="0"/>
      <w:marRight w:val="0"/>
      <w:marTop w:val="0"/>
      <w:marBottom w:val="0"/>
      <w:divBdr>
        <w:top w:val="none" w:sz="0" w:space="0" w:color="auto"/>
        <w:left w:val="none" w:sz="0" w:space="0" w:color="auto"/>
        <w:bottom w:val="none" w:sz="0" w:space="0" w:color="auto"/>
        <w:right w:val="none" w:sz="0" w:space="0" w:color="auto"/>
      </w:divBdr>
    </w:div>
    <w:div w:id="1668970872">
      <w:bodyDiv w:val="1"/>
      <w:marLeft w:val="0"/>
      <w:marRight w:val="0"/>
      <w:marTop w:val="0"/>
      <w:marBottom w:val="0"/>
      <w:divBdr>
        <w:top w:val="none" w:sz="0" w:space="0" w:color="auto"/>
        <w:left w:val="none" w:sz="0" w:space="0" w:color="auto"/>
        <w:bottom w:val="none" w:sz="0" w:space="0" w:color="auto"/>
        <w:right w:val="none" w:sz="0" w:space="0" w:color="auto"/>
      </w:divBdr>
    </w:div>
    <w:div w:id="1669019583">
      <w:bodyDiv w:val="1"/>
      <w:marLeft w:val="0"/>
      <w:marRight w:val="0"/>
      <w:marTop w:val="0"/>
      <w:marBottom w:val="0"/>
      <w:divBdr>
        <w:top w:val="none" w:sz="0" w:space="0" w:color="auto"/>
        <w:left w:val="none" w:sz="0" w:space="0" w:color="auto"/>
        <w:bottom w:val="none" w:sz="0" w:space="0" w:color="auto"/>
        <w:right w:val="none" w:sz="0" w:space="0" w:color="auto"/>
      </w:divBdr>
    </w:div>
    <w:div w:id="1669402396">
      <w:bodyDiv w:val="1"/>
      <w:marLeft w:val="0"/>
      <w:marRight w:val="0"/>
      <w:marTop w:val="0"/>
      <w:marBottom w:val="0"/>
      <w:divBdr>
        <w:top w:val="none" w:sz="0" w:space="0" w:color="auto"/>
        <w:left w:val="none" w:sz="0" w:space="0" w:color="auto"/>
        <w:bottom w:val="none" w:sz="0" w:space="0" w:color="auto"/>
        <w:right w:val="none" w:sz="0" w:space="0" w:color="auto"/>
      </w:divBdr>
    </w:div>
    <w:div w:id="1669870875">
      <w:bodyDiv w:val="1"/>
      <w:marLeft w:val="0"/>
      <w:marRight w:val="0"/>
      <w:marTop w:val="0"/>
      <w:marBottom w:val="0"/>
      <w:divBdr>
        <w:top w:val="none" w:sz="0" w:space="0" w:color="auto"/>
        <w:left w:val="none" w:sz="0" w:space="0" w:color="auto"/>
        <w:bottom w:val="none" w:sz="0" w:space="0" w:color="auto"/>
        <w:right w:val="none" w:sz="0" w:space="0" w:color="auto"/>
      </w:divBdr>
    </w:div>
    <w:div w:id="1670597610">
      <w:bodyDiv w:val="1"/>
      <w:marLeft w:val="0"/>
      <w:marRight w:val="0"/>
      <w:marTop w:val="0"/>
      <w:marBottom w:val="0"/>
      <w:divBdr>
        <w:top w:val="none" w:sz="0" w:space="0" w:color="auto"/>
        <w:left w:val="none" w:sz="0" w:space="0" w:color="auto"/>
        <w:bottom w:val="none" w:sz="0" w:space="0" w:color="auto"/>
        <w:right w:val="none" w:sz="0" w:space="0" w:color="auto"/>
      </w:divBdr>
    </w:div>
    <w:div w:id="1670600490">
      <w:bodyDiv w:val="1"/>
      <w:marLeft w:val="0"/>
      <w:marRight w:val="0"/>
      <w:marTop w:val="0"/>
      <w:marBottom w:val="0"/>
      <w:divBdr>
        <w:top w:val="none" w:sz="0" w:space="0" w:color="auto"/>
        <w:left w:val="none" w:sz="0" w:space="0" w:color="auto"/>
        <w:bottom w:val="none" w:sz="0" w:space="0" w:color="auto"/>
        <w:right w:val="none" w:sz="0" w:space="0" w:color="auto"/>
      </w:divBdr>
    </w:div>
    <w:div w:id="1670794631">
      <w:bodyDiv w:val="1"/>
      <w:marLeft w:val="0"/>
      <w:marRight w:val="0"/>
      <w:marTop w:val="0"/>
      <w:marBottom w:val="0"/>
      <w:divBdr>
        <w:top w:val="none" w:sz="0" w:space="0" w:color="auto"/>
        <w:left w:val="none" w:sz="0" w:space="0" w:color="auto"/>
        <w:bottom w:val="none" w:sz="0" w:space="0" w:color="auto"/>
        <w:right w:val="none" w:sz="0" w:space="0" w:color="auto"/>
      </w:divBdr>
    </w:div>
    <w:div w:id="1670867869">
      <w:bodyDiv w:val="1"/>
      <w:marLeft w:val="0"/>
      <w:marRight w:val="0"/>
      <w:marTop w:val="0"/>
      <w:marBottom w:val="0"/>
      <w:divBdr>
        <w:top w:val="none" w:sz="0" w:space="0" w:color="auto"/>
        <w:left w:val="none" w:sz="0" w:space="0" w:color="auto"/>
        <w:bottom w:val="none" w:sz="0" w:space="0" w:color="auto"/>
        <w:right w:val="none" w:sz="0" w:space="0" w:color="auto"/>
      </w:divBdr>
    </w:div>
    <w:div w:id="1671181935">
      <w:bodyDiv w:val="1"/>
      <w:marLeft w:val="0"/>
      <w:marRight w:val="0"/>
      <w:marTop w:val="0"/>
      <w:marBottom w:val="0"/>
      <w:divBdr>
        <w:top w:val="none" w:sz="0" w:space="0" w:color="auto"/>
        <w:left w:val="none" w:sz="0" w:space="0" w:color="auto"/>
        <w:bottom w:val="none" w:sz="0" w:space="0" w:color="auto"/>
        <w:right w:val="none" w:sz="0" w:space="0" w:color="auto"/>
      </w:divBdr>
    </w:div>
    <w:div w:id="1671371094">
      <w:bodyDiv w:val="1"/>
      <w:marLeft w:val="0"/>
      <w:marRight w:val="0"/>
      <w:marTop w:val="0"/>
      <w:marBottom w:val="0"/>
      <w:divBdr>
        <w:top w:val="none" w:sz="0" w:space="0" w:color="auto"/>
        <w:left w:val="none" w:sz="0" w:space="0" w:color="auto"/>
        <w:bottom w:val="none" w:sz="0" w:space="0" w:color="auto"/>
        <w:right w:val="none" w:sz="0" w:space="0" w:color="auto"/>
      </w:divBdr>
    </w:div>
    <w:div w:id="1671564220">
      <w:bodyDiv w:val="1"/>
      <w:marLeft w:val="0"/>
      <w:marRight w:val="0"/>
      <w:marTop w:val="0"/>
      <w:marBottom w:val="0"/>
      <w:divBdr>
        <w:top w:val="none" w:sz="0" w:space="0" w:color="auto"/>
        <w:left w:val="none" w:sz="0" w:space="0" w:color="auto"/>
        <w:bottom w:val="none" w:sz="0" w:space="0" w:color="auto"/>
        <w:right w:val="none" w:sz="0" w:space="0" w:color="auto"/>
      </w:divBdr>
    </w:div>
    <w:div w:id="1671981434">
      <w:bodyDiv w:val="1"/>
      <w:marLeft w:val="0"/>
      <w:marRight w:val="0"/>
      <w:marTop w:val="0"/>
      <w:marBottom w:val="0"/>
      <w:divBdr>
        <w:top w:val="none" w:sz="0" w:space="0" w:color="auto"/>
        <w:left w:val="none" w:sz="0" w:space="0" w:color="auto"/>
        <w:bottom w:val="none" w:sz="0" w:space="0" w:color="auto"/>
        <w:right w:val="none" w:sz="0" w:space="0" w:color="auto"/>
      </w:divBdr>
    </w:div>
    <w:div w:id="1672028241">
      <w:bodyDiv w:val="1"/>
      <w:marLeft w:val="0"/>
      <w:marRight w:val="0"/>
      <w:marTop w:val="0"/>
      <w:marBottom w:val="0"/>
      <w:divBdr>
        <w:top w:val="none" w:sz="0" w:space="0" w:color="auto"/>
        <w:left w:val="none" w:sz="0" w:space="0" w:color="auto"/>
        <w:bottom w:val="none" w:sz="0" w:space="0" w:color="auto"/>
        <w:right w:val="none" w:sz="0" w:space="0" w:color="auto"/>
      </w:divBdr>
    </w:div>
    <w:div w:id="1672445877">
      <w:bodyDiv w:val="1"/>
      <w:marLeft w:val="0"/>
      <w:marRight w:val="0"/>
      <w:marTop w:val="0"/>
      <w:marBottom w:val="0"/>
      <w:divBdr>
        <w:top w:val="none" w:sz="0" w:space="0" w:color="auto"/>
        <w:left w:val="none" w:sz="0" w:space="0" w:color="auto"/>
        <w:bottom w:val="none" w:sz="0" w:space="0" w:color="auto"/>
        <w:right w:val="none" w:sz="0" w:space="0" w:color="auto"/>
      </w:divBdr>
    </w:div>
    <w:div w:id="1672638352">
      <w:bodyDiv w:val="1"/>
      <w:marLeft w:val="0"/>
      <w:marRight w:val="0"/>
      <w:marTop w:val="0"/>
      <w:marBottom w:val="0"/>
      <w:divBdr>
        <w:top w:val="none" w:sz="0" w:space="0" w:color="auto"/>
        <w:left w:val="none" w:sz="0" w:space="0" w:color="auto"/>
        <w:bottom w:val="none" w:sz="0" w:space="0" w:color="auto"/>
        <w:right w:val="none" w:sz="0" w:space="0" w:color="auto"/>
      </w:divBdr>
    </w:div>
    <w:div w:id="1672876575">
      <w:bodyDiv w:val="1"/>
      <w:marLeft w:val="0"/>
      <w:marRight w:val="0"/>
      <w:marTop w:val="0"/>
      <w:marBottom w:val="0"/>
      <w:divBdr>
        <w:top w:val="none" w:sz="0" w:space="0" w:color="auto"/>
        <w:left w:val="none" w:sz="0" w:space="0" w:color="auto"/>
        <w:bottom w:val="none" w:sz="0" w:space="0" w:color="auto"/>
        <w:right w:val="none" w:sz="0" w:space="0" w:color="auto"/>
      </w:divBdr>
    </w:div>
    <w:div w:id="1673020393">
      <w:bodyDiv w:val="1"/>
      <w:marLeft w:val="0"/>
      <w:marRight w:val="0"/>
      <w:marTop w:val="0"/>
      <w:marBottom w:val="0"/>
      <w:divBdr>
        <w:top w:val="none" w:sz="0" w:space="0" w:color="auto"/>
        <w:left w:val="none" w:sz="0" w:space="0" w:color="auto"/>
        <w:bottom w:val="none" w:sz="0" w:space="0" w:color="auto"/>
        <w:right w:val="none" w:sz="0" w:space="0" w:color="auto"/>
      </w:divBdr>
    </w:div>
    <w:div w:id="1673146228">
      <w:bodyDiv w:val="1"/>
      <w:marLeft w:val="0"/>
      <w:marRight w:val="0"/>
      <w:marTop w:val="0"/>
      <w:marBottom w:val="0"/>
      <w:divBdr>
        <w:top w:val="none" w:sz="0" w:space="0" w:color="auto"/>
        <w:left w:val="none" w:sz="0" w:space="0" w:color="auto"/>
        <w:bottom w:val="none" w:sz="0" w:space="0" w:color="auto"/>
        <w:right w:val="none" w:sz="0" w:space="0" w:color="auto"/>
      </w:divBdr>
    </w:div>
    <w:div w:id="1673559219">
      <w:bodyDiv w:val="1"/>
      <w:marLeft w:val="0"/>
      <w:marRight w:val="0"/>
      <w:marTop w:val="0"/>
      <w:marBottom w:val="0"/>
      <w:divBdr>
        <w:top w:val="none" w:sz="0" w:space="0" w:color="auto"/>
        <w:left w:val="none" w:sz="0" w:space="0" w:color="auto"/>
        <w:bottom w:val="none" w:sz="0" w:space="0" w:color="auto"/>
        <w:right w:val="none" w:sz="0" w:space="0" w:color="auto"/>
      </w:divBdr>
    </w:div>
    <w:div w:id="1673603002">
      <w:bodyDiv w:val="1"/>
      <w:marLeft w:val="0"/>
      <w:marRight w:val="0"/>
      <w:marTop w:val="0"/>
      <w:marBottom w:val="0"/>
      <w:divBdr>
        <w:top w:val="none" w:sz="0" w:space="0" w:color="auto"/>
        <w:left w:val="none" w:sz="0" w:space="0" w:color="auto"/>
        <w:bottom w:val="none" w:sz="0" w:space="0" w:color="auto"/>
        <w:right w:val="none" w:sz="0" w:space="0" w:color="auto"/>
      </w:divBdr>
    </w:div>
    <w:div w:id="1674261747">
      <w:bodyDiv w:val="1"/>
      <w:marLeft w:val="0"/>
      <w:marRight w:val="0"/>
      <w:marTop w:val="0"/>
      <w:marBottom w:val="0"/>
      <w:divBdr>
        <w:top w:val="none" w:sz="0" w:space="0" w:color="auto"/>
        <w:left w:val="none" w:sz="0" w:space="0" w:color="auto"/>
        <w:bottom w:val="none" w:sz="0" w:space="0" w:color="auto"/>
        <w:right w:val="none" w:sz="0" w:space="0" w:color="auto"/>
      </w:divBdr>
    </w:div>
    <w:div w:id="1674380858">
      <w:bodyDiv w:val="1"/>
      <w:marLeft w:val="0"/>
      <w:marRight w:val="0"/>
      <w:marTop w:val="0"/>
      <w:marBottom w:val="0"/>
      <w:divBdr>
        <w:top w:val="none" w:sz="0" w:space="0" w:color="auto"/>
        <w:left w:val="none" w:sz="0" w:space="0" w:color="auto"/>
        <w:bottom w:val="none" w:sz="0" w:space="0" w:color="auto"/>
        <w:right w:val="none" w:sz="0" w:space="0" w:color="auto"/>
      </w:divBdr>
    </w:div>
    <w:div w:id="1674409804">
      <w:bodyDiv w:val="1"/>
      <w:marLeft w:val="0"/>
      <w:marRight w:val="0"/>
      <w:marTop w:val="0"/>
      <w:marBottom w:val="0"/>
      <w:divBdr>
        <w:top w:val="none" w:sz="0" w:space="0" w:color="auto"/>
        <w:left w:val="none" w:sz="0" w:space="0" w:color="auto"/>
        <w:bottom w:val="none" w:sz="0" w:space="0" w:color="auto"/>
        <w:right w:val="none" w:sz="0" w:space="0" w:color="auto"/>
      </w:divBdr>
    </w:div>
    <w:div w:id="1674603237">
      <w:bodyDiv w:val="1"/>
      <w:marLeft w:val="0"/>
      <w:marRight w:val="0"/>
      <w:marTop w:val="0"/>
      <w:marBottom w:val="0"/>
      <w:divBdr>
        <w:top w:val="none" w:sz="0" w:space="0" w:color="auto"/>
        <w:left w:val="none" w:sz="0" w:space="0" w:color="auto"/>
        <w:bottom w:val="none" w:sz="0" w:space="0" w:color="auto"/>
        <w:right w:val="none" w:sz="0" w:space="0" w:color="auto"/>
      </w:divBdr>
    </w:div>
    <w:div w:id="1675061870">
      <w:bodyDiv w:val="1"/>
      <w:marLeft w:val="0"/>
      <w:marRight w:val="0"/>
      <w:marTop w:val="0"/>
      <w:marBottom w:val="0"/>
      <w:divBdr>
        <w:top w:val="none" w:sz="0" w:space="0" w:color="auto"/>
        <w:left w:val="none" w:sz="0" w:space="0" w:color="auto"/>
        <w:bottom w:val="none" w:sz="0" w:space="0" w:color="auto"/>
        <w:right w:val="none" w:sz="0" w:space="0" w:color="auto"/>
      </w:divBdr>
    </w:div>
    <w:div w:id="1675105203">
      <w:bodyDiv w:val="1"/>
      <w:marLeft w:val="0"/>
      <w:marRight w:val="0"/>
      <w:marTop w:val="0"/>
      <w:marBottom w:val="0"/>
      <w:divBdr>
        <w:top w:val="none" w:sz="0" w:space="0" w:color="auto"/>
        <w:left w:val="none" w:sz="0" w:space="0" w:color="auto"/>
        <w:bottom w:val="none" w:sz="0" w:space="0" w:color="auto"/>
        <w:right w:val="none" w:sz="0" w:space="0" w:color="auto"/>
      </w:divBdr>
    </w:div>
    <w:div w:id="1675374389">
      <w:bodyDiv w:val="1"/>
      <w:marLeft w:val="0"/>
      <w:marRight w:val="0"/>
      <w:marTop w:val="0"/>
      <w:marBottom w:val="0"/>
      <w:divBdr>
        <w:top w:val="none" w:sz="0" w:space="0" w:color="auto"/>
        <w:left w:val="none" w:sz="0" w:space="0" w:color="auto"/>
        <w:bottom w:val="none" w:sz="0" w:space="0" w:color="auto"/>
        <w:right w:val="none" w:sz="0" w:space="0" w:color="auto"/>
      </w:divBdr>
    </w:div>
    <w:div w:id="1675566632">
      <w:bodyDiv w:val="1"/>
      <w:marLeft w:val="0"/>
      <w:marRight w:val="0"/>
      <w:marTop w:val="0"/>
      <w:marBottom w:val="0"/>
      <w:divBdr>
        <w:top w:val="none" w:sz="0" w:space="0" w:color="auto"/>
        <w:left w:val="none" w:sz="0" w:space="0" w:color="auto"/>
        <w:bottom w:val="none" w:sz="0" w:space="0" w:color="auto"/>
        <w:right w:val="none" w:sz="0" w:space="0" w:color="auto"/>
      </w:divBdr>
    </w:div>
    <w:div w:id="1675570062">
      <w:bodyDiv w:val="1"/>
      <w:marLeft w:val="0"/>
      <w:marRight w:val="0"/>
      <w:marTop w:val="0"/>
      <w:marBottom w:val="0"/>
      <w:divBdr>
        <w:top w:val="none" w:sz="0" w:space="0" w:color="auto"/>
        <w:left w:val="none" w:sz="0" w:space="0" w:color="auto"/>
        <w:bottom w:val="none" w:sz="0" w:space="0" w:color="auto"/>
        <w:right w:val="none" w:sz="0" w:space="0" w:color="auto"/>
      </w:divBdr>
    </w:div>
    <w:div w:id="1675721722">
      <w:bodyDiv w:val="1"/>
      <w:marLeft w:val="0"/>
      <w:marRight w:val="0"/>
      <w:marTop w:val="0"/>
      <w:marBottom w:val="0"/>
      <w:divBdr>
        <w:top w:val="none" w:sz="0" w:space="0" w:color="auto"/>
        <w:left w:val="none" w:sz="0" w:space="0" w:color="auto"/>
        <w:bottom w:val="none" w:sz="0" w:space="0" w:color="auto"/>
        <w:right w:val="none" w:sz="0" w:space="0" w:color="auto"/>
      </w:divBdr>
    </w:div>
    <w:div w:id="1675843543">
      <w:bodyDiv w:val="1"/>
      <w:marLeft w:val="0"/>
      <w:marRight w:val="0"/>
      <w:marTop w:val="0"/>
      <w:marBottom w:val="0"/>
      <w:divBdr>
        <w:top w:val="none" w:sz="0" w:space="0" w:color="auto"/>
        <w:left w:val="none" w:sz="0" w:space="0" w:color="auto"/>
        <w:bottom w:val="none" w:sz="0" w:space="0" w:color="auto"/>
        <w:right w:val="none" w:sz="0" w:space="0" w:color="auto"/>
      </w:divBdr>
    </w:div>
    <w:div w:id="1676614318">
      <w:bodyDiv w:val="1"/>
      <w:marLeft w:val="0"/>
      <w:marRight w:val="0"/>
      <w:marTop w:val="0"/>
      <w:marBottom w:val="0"/>
      <w:divBdr>
        <w:top w:val="none" w:sz="0" w:space="0" w:color="auto"/>
        <w:left w:val="none" w:sz="0" w:space="0" w:color="auto"/>
        <w:bottom w:val="none" w:sz="0" w:space="0" w:color="auto"/>
        <w:right w:val="none" w:sz="0" w:space="0" w:color="auto"/>
      </w:divBdr>
    </w:div>
    <w:div w:id="1676683724">
      <w:bodyDiv w:val="1"/>
      <w:marLeft w:val="0"/>
      <w:marRight w:val="0"/>
      <w:marTop w:val="0"/>
      <w:marBottom w:val="0"/>
      <w:divBdr>
        <w:top w:val="none" w:sz="0" w:space="0" w:color="auto"/>
        <w:left w:val="none" w:sz="0" w:space="0" w:color="auto"/>
        <w:bottom w:val="none" w:sz="0" w:space="0" w:color="auto"/>
        <w:right w:val="none" w:sz="0" w:space="0" w:color="auto"/>
      </w:divBdr>
    </w:div>
    <w:div w:id="1676686162">
      <w:bodyDiv w:val="1"/>
      <w:marLeft w:val="0"/>
      <w:marRight w:val="0"/>
      <w:marTop w:val="0"/>
      <w:marBottom w:val="0"/>
      <w:divBdr>
        <w:top w:val="none" w:sz="0" w:space="0" w:color="auto"/>
        <w:left w:val="none" w:sz="0" w:space="0" w:color="auto"/>
        <w:bottom w:val="none" w:sz="0" w:space="0" w:color="auto"/>
        <w:right w:val="none" w:sz="0" w:space="0" w:color="auto"/>
      </w:divBdr>
    </w:div>
    <w:div w:id="1676809619">
      <w:bodyDiv w:val="1"/>
      <w:marLeft w:val="0"/>
      <w:marRight w:val="0"/>
      <w:marTop w:val="0"/>
      <w:marBottom w:val="0"/>
      <w:divBdr>
        <w:top w:val="none" w:sz="0" w:space="0" w:color="auto"/>
        <w:left w:val="none" w:sz="0" w:space="0" w:color="auto"/>
        <w:bottom w:val="none" w:sz="0" w:space="0" w:color="auto"/>
        <w:right w:val="none" w:sz="0" w:space="0" w:color="auto"/>
      </w:divBdr>
    </w:div>
    <w:div w:id="1677074872">
      <w:bodyDiv w:val="1"/>
      <w:marLeft w:val="0"/>
      <w:marRight w:val="0"/>
      <w:marTop w:val="0"/>
      <w:marBottom w:val="0"/>
      <w:divBdr>
        <w:top w:val="none" w:sz="0" w:space="0" w:color="auto"/>
        <w:left w:val="none" w:sz="0" w:space="0" w:color="auto"/>
        <w:bottom w:val="none" w:sz="0" w:space="0" w:color="auto"/>
        <w:right w:val="none" w:sz="0" w:space="0" w:color="auto"/>
      </w:divBdr>
    </w:div>
    <w:div w:id="1677225395">
      <w:bodyDiv w:val="1"/>
      <w:marLeft w:val="0"/>
      <w:marRight w:val="0"/>
      <w:marTop w:val="0"/>
      <w:marBottom w:val="0"/>
      <w:divBdr>
        <w:top w:val="none" w:sz="0" w:space="0" w:color="auto"/>
        <w:left w:val="none" w:sz="0" w:space="0" w:color="auto"/>
        <w:bottom w:val="none" w:sz="0" w:space="0" w:color="auto"/>
        <w:right w:val="none" w:sz="0" w:space="0" w:color="auto"/>
      </w:divBdr>
    </w:div>
    <w:div w:id="1677264404">
      <w:bodyDiv w:val="1"/>
      <w:marLeft w:val="0"/>
      <w:marRight w:val="0"/>
      <w:marTop w:val="0"/>
      <w:marBottom w:val="0"/>
      <w:divBdr>
        <w:top w:val="none" w:sz="0" w:space="0" w:color="auto"/>
        <w:left w:val="none" w:sz="0" w:space="0" w:color="auto"/>
        <w:bottom w:val="none" w:sz="0" w:space="0" w:color="auto"/>
        <w:right w:val="none" w:sz="0" w:space="0" w:color="auto"/>
      </w:divBdr>
    </w:div>
    <w:div w:id="1677339582">
      <w:bodyDiv w:val="1"/>
      <w:marLeft w:val="0"/>
      <w:marRight w:val="0"/>
      <w:marTop w:val="0"/>
      <w:marBottom w:val="0"/>
      <w:divBdr>
        <w:top w:val="none" w:sz="0" w:space="0" w:color="auto"/>
        <w:left w:val="none" w:sz="0" w:space="0" w:color="auto"/>
        <w:bottom w:val="none" w:sz="0" w:space="0" w:color="auto"/>
        <w:right w:val="none" w:sz="0" w:space="0" w:color="auto"/>
      </w:divBdr>
    </w:div>
    <w:div w:id="1677341320">
      <w:bodyDiv w:val="1"/>
      <w:marLeft w:val="0"/>
      <w:marRight w:val="0"/>
      <w:marTop w:val="0"/>
      <w:marBottom w:val="0"/>
      <w:divBdr>
        <w:top w:val="none" w:sz="0" w:space="0" w:color="auto"/>
        <w:left w:val="none" w:sz="0" w:space="0" w:color="auto"/>
        <w:bottom w:val="none" w:sz="0" w:space="0" w:color="auto"/>
        <w:right w:val="none" w:sz="0" w:space="0" w:color="auto"/>
      </w:divBdr>
    </w:div>
    <w:div w:id="1677465261">
      <w:bodyDiv w:val="1"/>
      <w:marLeft w:val="0"/>
      <w:marRight w:val="0"/>
      <w:marTop w:val="0"/>
      <w:marBottom w:val="0"/>
      <w:divBdr>
        <w:top w:val="none" w:sz="0" w:space="0" w:color="auto"/>
        <w:left w:val="none" w:sz="0" w:space="0" w:color="auto"/>
        <w:bottom w:val="none" w:sz="0" w:space="0" w:color="auto"/>
        <w:right w:val="none" w:sz="0" w:space="0" w:color="auto"/>
      </w:divBdr>
    </w:div>
    <w:div w:id="1677607298">
      <w:bodyDiv w:val="1"/>
      <w:marLeft w:val="0"/>
      <w:marRight w:val="0"/>
      <w:marTop w:val="0"/>
      <w:marBottom w:val="0"/>
      <w:divBdr>
        <w:top w:val="none" w:sz="0" w:space="0" w:color="auto"/>
        <w:left w:val="none" w:sz="0" w:space="0" w:color="auto"/>
        <w:bottom w:val="none" w:sz="0" w:space="0" w:color="auto"/>
        <w:right w:val="none" w:sz="0" w:space="0" w:color="auto"/>
      </w:divBdr>
    </w:div>
    <w:div w:id="1677730623">
      <w:bodyDiv w:val="1"/>
      <w:marLeft w:val="0"/>
      <w:marRight w:val="0"/>
      <w:marTop w:val="0"/>
      <w:marBottom w:val="0"/>
      <w:divBdr>
        <w:top w:val="none" w:sz="0" w:space="0" w:color="auto"/>
        <w:left w:val="none" w:sz="0" w:space="0" w:color="auto"/>
        <w:bottom w:val="none" w:sz="0" w:space="0" w:color="auto"/>
        <w:right w:val="none" w:sz="0" w:space="0" w:color="auto"/>
      </w:divBdr>
    </w:div>
    <w:div w:id="1677805399">
      <w:bodyDiv w:val="1"/>
      <w:marLeft w:val="0"/>
      <w:marRight w:val="0"/>
      <w:marTop w:val="0"/>
      <w:marBottom w:val="0"/>
      <w:divBdr>
        <w:top w:val="none" w:sz="0" w:space="0" w:color="auto"/>
        <w:left w:val="none" w:sz="0" w:space="0" w:color="auto"/>
        <w:bottom w:val="none" w:sz="0" w:space="0" w:color="auto"/>
        <w:right w:val="none" w:sz="0" w:space="0" w:color="auto"/>
      </w:divBdr>
    </w:div>
    <w:div w:id="1677879431">
      <w:bodyDiv w:val="1"/>
      <w:marLeft w:val="0"/>
      <w:marRight w:val="0"/>
      <w:marTop w:val="0"/>
      <w:marBottom w:val="0"/>
      <w:divBdr>
        <w:top w:val="none" w:sz="0" w:space="0" w:color="auto"/>
        <w:left w:val="none" w:sz="0" w:space="0" w:color="auto"/>
        <w:bottom w:val="none" w:sz="0" w:space="0" w:color="auto"/>
        <w:right w:val="none" w:sz="0" w:space="0" w:color="auto"/>
      </w:divBdr>
    </w:div>
    <w:div w:id="1677882355">
      <w:bodyDiv w:val="1"/>
      <w:marLeft w:val="0"/>
      <w:marRight w:val="0"/>
      <w:marTop w:val="0"/>
      <w:marBottom w:val="0"/>
      <w:divBdr>
        <w:top w:val="none" w:sz="0" w:space="0" w:color="auto"/>
        <w:left w:val="none" w:sz="0" w:space="0" w:color="auto"/>
        <w:bottom w:val="none" w:sz="0" w:space="0" w:color="auto"/>
        <w:right w:val="none" w:sz="0" w:space="0" w:color="auto"/>
      </w:divBdr>
    </w:div>
    <w:div w:id="1678188998">
      <w:bodyDiv w:val="1"/>
      <w:marLeft w:val="0"/>
      <w:marRight w:val="0"/>
      <w:marTop w:val="0"/>
      <w:marBottom w:val="0"/>
      <w:divBdr>
        <w:top w:val="none" w:sz="0" w:space="0" w:color="auto"/>
        <w:left w:val="none" w:sz="0" w:space="0" w:color="auto"/>
        <w:bottom w:val="none" w:sz="0" w:space="0" w:color="auto"/>
        <w:right w:val="none" w:sz="0" w:space="0" w:color="auto"/>
      </w:divBdr>
    </w:div>
    <w:div w:id="1678382451">
      <w:bodyDiv w:val="1"/>
      <w:marLeft w:val="0"/>
      <w:marRight w:val="0"/>
      <w:marTop w:val="0"/>
      <w:marBottom w:val="0"/>
      <w:divBdr>
        <w:top w:val="none" w:sz="0" w:space="0" w:color="auto"/>
        <w:left w:val="none" w:sz="0" w:space="0" w:color="auto"/>
        <w:bottom w:val="none" w:sz="0" w:space="0" w:color="auto"/>
        <w:right w:val="none" w:sz="0" w:space="0" w:color="auto"/>
      </w:divBdr>
    </w:div>
    <w:div w:id="1678654201">
      <w:bodyDiv w:val="1"/>
      <w:marLeft w:val="0"/>
      <w:marRight w:val="0"/>
      <w:marTop w:val="0"/>
      <w:marBottom w:val="0"/>
      <w:divBdr>
        <w:top w:val="none" w:sz="0" w:space="0" w:color="auto"/>
        <w:left w:val="none" w:sz="0" w:space="0" w:color="auto"/>
        <w:bottom w:val="none" w:sz="0" w:space="0" w:color="auto"/>
        <w:right w:val="none" w:sz="0" w:space="0" w:color="auto"/>
      </w:divBdr>
    </w:div>
    <w:div w:id="1678731197">
      <w:bodyDiv w:val="1"/>
      <w:marLeft w:val="0"/>
      <w:marRight w:val="0"/>
      <w:marTop w:val="0"/>
      <w:marBottom w:val="0"/>
      <w:divBdr>
        <w:top w:val="none" w:sz="0" w:space="0" w:color="auto"/>
        <w:left w:val="none" w:sz="0" w:space="0" w:color="auto"/>
        <w:bottom w:val="none" w:sz="0" w:space="0" w:color="auto"/>
        <w:right w:val="none" w:sz="0" w:space="0" w:color="auto"/>
      </w:divBdr>
    </w:div>
    <w:div w:id="1678998767">
      <w:bodyDiv w:val="1"/>
      <w:marLeft w:val="0"/>
      <w:marRight w:val="0"/>
      <w:marTop w:val="0"/>
      <w:marBottom w:val="0"/>
      <w:divBdr>
        <w:top w:val="none" w:sz="0" w:space="0" w:color="auto"/>
        <w:left w:val="none" w:sz="0" w:space="0" w:color="auto"/>
        <w:bottom w:val="none" w:sz="0" w:space="0" w:color="auto"/>
        <w:right w:val="none" w:sz="0" w:space="0" w:color="auto"/>
      </w:divBdr>
    </w:div>
    <w:div w:id="1679111048">
      <w:bodyDiv w:val="1"/>
      <w:marLeft w:val="0"/>
      <w:marRight w:val="0"/>
      <w:marTop w:val="0"/>
      <w:marBottom w:val="0"/>
      <w:divBdr>
        <w:top w:val="none" w:sz="0" w:space="0" w:color="auto"/>
        <w:left w:val="none" w:sz="0" w:space="0" w:color="auto"/>
        <w:bottom w:val="none" w:sz="0" w:space="0" w:color="auto"/>
        <w:right w:val="none" w:sz="0" w:space="0" w:color="auto"/>
      </w:divBdr>
    </w:div>
    <w:div w:id="1679194354">
      <w:bodyDiv w:val="1"/>
      <w:marLeft w:val="0"/>
      <w:marRight w:val="0"/>
      <w:marTop w:val="0"/>
      <w:marBottom w:val="0"/>
      <w:divBdr>
        <w:top w:val="none" w:sz="0" w:space="0" w:color="auto"/>
        <w:left w:val="none" w:sz="0" w:space="0" w:color="auto"/>
        <w:bottom w:val="none" w:sz="0" w:space="0" w:color="auto"/>
        <w:right w:val="none" w:sz="0" w:space="0" w:color="auto"/>
      </w:divBdr>
    </w:div>
    <w:div w:id="1679231377">
      <w:bodyDiv w:val="1"/>
      <w:marLeft w:val="0"/>
      <w:marRight w:val="0"/>
      <w:marTop w:val="0"/>
      <w:marBottom w:val="0"/>
      <w:divBdr>
        <w:top w:val="none" w:sz="0" w:space="0" w:color="auto"/>
        <w:left w:val="none" w:sz="0" w:space="0" w:color="auto"/>
        <w:bottom w:val="none" w:sz="0" w:space="0" w:color="auto"/>
        <w:right w:val="none" w:sz="0" w:space="0" w:color="auto"/>
      </w:divBdr>
    </w:div>
    <w:div w:id="1679502882">
      <w:bodyDiv w:val="1"/>
      <w:marLeft w:val="0"/>
      <w:marRight w:val="0"/>
      <w:marTop w:val="0"/>
      <w:marBottom w:val="0"/>
      <w:divBdr>
        <w:top w:val="none" w:sz="0" w:space="0" w:color="auto"/>
        <w:left w:val="none" w:sz="0" w:space="0" w:color="auto"/>
        <w:bottom w:val="none" w:sz="0" w:space="0" w:color="auto"/>
        <w:right w:val="none" w:sz="0" w:space="0" w:color="auto"/>
      </w:divBdr>
    </w:div>
    <w:div w:id="1680044277">
      <w:bodyDiv w:val="1"/>
      <w:marLeft w:val="0"/>
      <w:marRight w:val="0"/>
      <w:marTop w:val="0"/>
      <w:marBottom w:val="0"/>
      <w:divBdr>
        <w:top w:val="none" w:sz="0" w:space="0" w:color="auto"/>
        <w:left w:val="none" w:sz="0" w:space="0" w:color="auto"/>
        <w:bottom w:val="none" w:sz="0" w:space="0" w:color="auto"/>
        <w:right w:val="none" w:sz="0" w:space="0" w:color="auto"/>
      </w:divBdr>
    </w:div>
    <w:div w:id="1680501127">
      <w:bodyDiv w:val="1"/>
      <w:marLeft w:val="0"/>
      <w:marRight w:val="0"/>
      <w:marTop w:val="0"/>
      <w:marBottom w:val="0"/>
      <w:divBdr>
        <w:top w:val="none" w:sz="0" w:space="0" w:color="auto"/>
        <w:left w:val="none" w:sz="0" w:space="0" w:color="auto"/>
        <w:bottom w:val="none" w:sz="0" w:space="0" w:color="auto"/>
        <w:right w:val="none" w:sz="0" w:space="0" w:color="auto"/>
      </w:divBdr>
    </w:div>
    <w:div w:id="1680619742">
      <w:bodyDiv w:val="1"/>
      <w:marLeft w:val="0"/>
      <w:marRight w:val="0"/>
      <w:marTop w:val="0"/>
      <w:marBottom w:val="0"/>
      <w:divBdr>
        <w:top w:val="none" w:sz="0" w:space="0" w:color="auto"/>
        <w:left w:val="none" w:sz="0" w:space="0" w:color="auto"/>
        <w:bottom w:val="none" w:sz="0" w:space="0" w:color="auto"/>
        <w:right w:val="none" w:sz="0" w:space="0" w:color="auto"/>
      </w:divBdr>
    </w:div>
    <w:div w:id="1680808481">
      <w:bodyDiv w:val="1"/>
      <w:marLeft w:val="0"/>
      <w:marRight w:val="0"/>
      <w:marTop w:val="0"/>
      <w:marBottom w:val="0"/>
      <w:divBdr>
        <w:top w:val="none" w:sz="0" w:space="0" w:color="auto"/>
        <w:left w:val="none" w:sz="0" w:space="0" w:color="auto"/>
        <w:bottom w:val="none" w:sz="0" w:space="0" w:color="auto"/>
        <w:right w:val="none" w:sz="0" w:space="0" w:color="auto"/>
      </w:divBdr>
    </w:div>
    <w:div w:id="1680812036">
      <w:bodyDiv w:val="1"/>
      <w:marLeft w:val="0"/>
      <w:marRight w:val="0"/>
      <w:marTop w:val="0"/>
      <w:marBottom w:val="0"/>
      <w:divBdr>
        <w:top w:val="none" w:sz="0" w:space="0" w:color="auto"/>
        <w:left w:val="none" w:sz="0" w:space="0" w:color="auto"/>
        <w:bottom w:val="none" w:sz="0" w:space="0" w:color="auto"/>
        <w:right w:val="none" w:sz="0" w:space="0" w:color="auto"/>
      </w:divBdr>
    </w:div>
    <w:div w:id="1681161276">
      <w:bodyDiv w:val="1"/>
      <w:marLeft w:val="0"/>
      <w:marRight w:val="0"/>
      <w:marTop w:val="0"/>
      <w:marBottom w:val="0"/>
      <w:divBdr>
        <w:top w:val="none" w:sz="0" w:space="0" w:color="auto"/>
        <w:left w:val="none" w:sz="0" w:space="0" w:color="auto"/>
        <w:bottom w:val="none" w:sz="0" w:space="0" w:color="auto"/>
        <w:right w:val="none" w:sz="0" w:space="0" w:color="auto"/>
      </w:divBdr>
    </w:div>
    <w:div w:id="1681203293">
      <w:bodyDiv w:val="1"/>
      <w:marLeft w:val="0"/>
      <w:marRight w:val="0"/>
      <w:marTop w:val="0"/>
      <w:marBottom w:val="0"/>
      <w:divBdr>
        <w:top w:val="none" w:sz="0" w:space="0" w:color="auto"/>
        <w:left w:val="none" w:sz="0" w:space="0" w:color="auto"/>
        <w:bottom w:val="none" w:sz="0" w:space="0" w:color="auto"/>
        <w:right w:val="none" w:sz="0" w:space="0" w:color="auto"/>
      </w:divBdr>
    </w:div>
    <w:div w:id="1681349281">
      <w:bodyDiv w:val="1"/>
      <w:marLeft w:val="0"/>
      <w:marRight w:val="0"/>
      <w:marTop w:val="0"/>
      <w:marBottom w:val="0"/>
      <w:divBdr>
        <w:top w:val="none" w:sz="0" w:space="0" w:color="auto"/>
        <w:left w:val="none" w:sz="0" w:space="0" w:color="auto"/>
        <w:bottom w:val="none" w:sz="0" w:space="0" w:color="auto"/>
        <w:right w:val="none" w:sz="0" w:space="0" w:color="auto"/>
      </w:divBdr>
    </w:div>
    <w:div w:id="1681467129">
      <w:bodyDiv w:val="1"/>
      <w:marLeft w:val="0"/>
      <w:marRight w:val="0"/>
      <w:marTop w:val="0"/>
      <w:marBottom w:val="0"/>
      <w:divBdr>
        <w:top w:val="none" w:sz="0" w:space="0" w:color="auto"/>
        <w:left w:val="none" w:sz="0" w:space="0" w:color="auto"/>
        <w:bottom w:val="none" w:sz="0" w:space="0" w:color="auto"/>
        <w:right w:val="none" w:sz="0" w:space="0" w:color="auto"/>
      </w:divBdr>
    </w:div>
    <w:div w:id="1681619566">
      <w:bodyDiv w:val="1"/>
      <w:marLeft w:val="0"/>
      <w:marRight w:val="0"/>
      <w:marTop w:val="0"/>
      <w:marBottom w:val="0"/>
      <w:divBdr>
        <w:top w:val="none" w:sz="0" w:space="0" w:color="auto"/>
        <w:left w:val="none" w:sz="0" w:space="0" w:color="auto"/>
        <w:bottom w:val="none" w:sz="0" w:space="0" w:color="auto"/>
        <w:right w:val="none" w:sz="0" w:space="0" w:color="auto"/>
      </w:divBdr>
    </w:div>
    <w:div w:id="1682005255">
      <w:bodyDiv w:val="1"/>
      <w:marLeft w:val="0"/>
      <w:marRight w:val="0"/>
      <w:marTop w:val="0"/>
      <w:marBottom w:val="0"/>
      <w:divBdr>
        <w:top w:val="none" w:sz="0" w:space="0" w:color="auto"/>
        <w:left w:val="none" w:sz="0" w:space="0" w:color="auto"/>
        <w:bottom w:val="none" w:sz="0" w:space="0" w:color="auto"/>
        <w:right w:val="none" w:sz="0" w:space="0" w:color="auto"/>
      </w:divBdr>
    </w:div>
    <w:div w:id="1682270043">
      <w:bodyDiv w:val="1"/>
      <w:marLeft w:val="0"/>
      <w:marRight w:val="0"/>
      <w:marTop w:val="0"/>
      <w:marBottom w:val="0"/>
      <w:divBdr>
        <w:top w:val="none" w:sz="0" w:space="0" w:color="auto"/>
        <w:left w:val="none" w:sz="0" w:space="0" w:color="auto"/>
        <w:bottom w:val="none" w:sz="0" w:space="0" w:color="auto"/>
        <w:right w:val="none" w:sz="0" w:space="0" w:color="auto"/>
      </w:divBdr>
    </w:div>
    <w:div w:id="1682705638">
      <w:bodyDiv w:val="1"/>
      <w:marLeft w:val="0"/>
      <w:marRight w:val="0"/>
      <w:marTop w:val="0"/>
      <w:marBottom w:val="0"/>
      <w:divBdr>
        <w:top w:val="none" w:sz="0" w:space="0" w:color="auto"/>
        <w:left w:val="none" w:sz="0" w:space="0" w:color="auto"/>
        <w:bottom w:val="none" w:sz="0" w:space="0" w:color="auto"/>
        <w:right w:val="none" w:sz="0" w:space="0" w:color="auto"/>
      </w:divBdr>
    </w:div>
    <w:div w:id="1682706666">
      <w:bodyDiv w:val="1"/>
      <w:marLeft w:val="0"/>
      <w:marRight w:val="0"/>
      <w:marTop w:val="0"/>
      <w:marBottom w:val="0"/>
      <w:divBdr>
        <w:top w:val="none" w:sz="0" w:space="0" w:color="auto"/>
        <w:left w:val="none" w:sz="0" w:space="0" w:color="auto"/>
        <w:bottom w:val="none" w:sz="0" w:space="0" w:color="auto"/>
        <w:right w:val="none" w:sz="0" w:space="0" w:color="auto"/>
      </w:divBdr>
    </w:div>
    <w:div w:id="1682732038">
      <w:bodyDiv w:val="1"/>
      <w:marLeft w:val="0"/>
      <w:marRight w:val="0"/>
      <w:marTop w:val="0"/>
      <w:marBottom w:val="0"/>
      <w:divBdr>
        <w:top w:val="none" w:sz="0" w:space="0" w:color="auto"/>
        <w:left w:val="none" w:sz="0" w:space="0" w:color="auto"/>
        <w:bottom w:val="none" w:sz="0" w:space="0" w:color="auto"/>
        <w:right w:val="none" w:sz="0" w:space="0" w:color="auto"/>
      </w:divBdr>
    </w:div>
    <w:div w:id="1682968130">
      <w:bodyDiv w:val="1"/>
      <w:marLeft w:val="0"/>
      <w:marRight w:val="0"/>
      <w:marTop w:val="0"/>
      <w:marBottom w:val="0"/>
      <w:divBdr>
        <w:top w:val="none" w:sz="0" w:space="0" w:color="auto"/>
        <w:left w:val="none" w:sz="0" w:space="0" w:color="auto"/>
        <w:bottom w:val="none" w:sz="0" w:space="0" w:color="auto"/>
        <w:right w:val="none" w:sz="0" w:space="0" w:color="auto"/>
      </w:divBdr>
    </w:div>
    <w:div w:id="1683162870">
      <w:bodyDiv w:val="1"/>
      <w:marLeft w:val="0"/>
      <w:marRight w:val="0"/>
      <w:marTop w:val="0"/>
      <w:marBottom w:val="0"/>
      <w:divBdr>
        <w:top w:val="none" w:sz="0" w:space="0" w:color="auto"/>
        <w:left w:val="none" w:sz="0" w:space="0" w:color="auto"/>
        <w:bottom w:val="none" w:sz="0" w:space="0" w:color="auto"/>
        <w:right w:val="none" w:sz="0" w:space="0" w:color="auto"/>
      </w:divBdr>
    </w:div>
    <w:div w:id="1683166750">
      <w:bodyDiv w:val="1"/>
      <w:marLeft w:val="0"/>
      <w:marRight w:val="0"/>
      <w:marTop w:val="0"/>
      <w:marBottom w:val="0"/>
      <w:divBdr>
        <w:top w:val="none" w:sz="0" w:space="0" w:color="auto"/>
        <w:left w:val="none" w:sz="0" w:space="0" w:color="auto"/>
        <w:bottom w:val="none" w:sz="0" w:space="0" w:color="auto"/>
        <w:right w:val="none" w:sz="0" w:space="0" w:color="auto"/>
      </w:divBdr>
    </w:div>
    <w:div w:id="1683389804">
      <w:bodyDiv w:val="1"/>
      <w:marLeft w:val="0"/>
      <w:marRight w:val="0"/>
      <w:marTop w:val="0"/>
      <w:marBottom w:val="0"/>
      <w:divBdr>
        <w:top w:val="none" w:sz="0" w:space="0" w:color="auto"/>
        <w:left w:val="none" w:sz="0" w:space="0" w:color="auto"/>
        <w:bottom w:val="none" w:sz="0" w:space="0" w:color="auto"/>
        <w:right w:val="none" w:sz="0" w:space="0" w:color="auto"/>
      </w:divBdr>
    </w:div>
    <w:div w:id="1683390375">
      <w:bodyDiv w:val="1"/>
      <w:marLeft w:val="0"/>
      <w:marRight w:val="0"/>
      <w:marTop w:val="0"/>
      <w:marBottom w:val="0"/>
      <w:divBdr>
        <w:top w:val="none" w:sz="0" w:space="0" w:color="auto"/>
        <w:left w:val="none" w:sz="0" w:space="0" w:color="auto"/>
        <w:bottom w:val="none" w:sz="0" w:space="0" w:color="auto"/>
        <w:right w:val="none" w:sz="0" w:space="0" w:color="auto"/>
      </w:divBdr>
    </w:div>
    <w:div w:id="1683510402">
      <w:bodyDiv w:val="1"/>
      <w:marLeft w:val="0"/>
      <w:marRight w:val="0"/>
      <w:marTop w:val="0"/>
      <w:marBottom w:val="0"/>
      <w:divBdr>
        <w:top w:val="none" w:sz="0" w:space="0" w:color="auto"/>
        <w:left w:val="none" w:sz="0" w:space="0" w:color="auto"/>
        <w:bottom w:val="none" w:sz="0" w:space="0" w:color="auto"/>
        <w:right w:val="none" w:sz="0" w:space="0" w:color="auto"/>
      </w:divBdr>
    </w:div>
    <w:div w:id="1683555595">
      <w:bodyDiv w:val="1"/>
      <w:marLeft w:val="0"/>
      <w:marRight w:val="0"/>
      <w:marTop w:val="0"/>
      <w:marBottom w:val="0"/>
      <w:divBdr>
        <w:top w:val="none" w:sz="0" w:space="0" w:color="auto"/>
        <w:left w:val="none" w:sz="0" w:space="0" w:color="auto"/>
        <w:bottom w:val="none" w:sz="0" w:space="0" w:color="auto"/>
        <w:right w:val="none" w:sz="0" w:space="0" w:color="auto"/>
      </w:divBdr>
    </w:div>
    <w:div w:id="1683580807">
      <w:bodyDiv w:val="1"/>
      <w:marLeft w:val="0"/>
      <w:marRight w:val="0"/>
      <w:marTop w:val="0"/>
      <w:marBottom w:val="0"/>
      <w:divBdr>
        <w:top w:val="none" w:sz="0" w:space="0" w:color="auto"/>
        <w:left w:val="none" w:sz="0" w:space="0" w:color="auto"/>
        <w:bottom w:val="none" w:sz="0" w:space="0" w:color="auto"/>
        <w:right w:val="none" w:sz="0" w:space="0" w:color="auto"/>
      </w:divBdr>
    </w:div>
    <w:div w:id="1683624286">
      <w:bodyDiv w:val="1"/>
      <w:marLeft w:val="0"/>
      <w:marRight w:val="0"/>
      <w:marTop w:val="0"/>
      <w:marBottom w:val="0"/>
      <w:divBdr>
        <w:top w:val="none" w:sz="0" w:space="0" w:color="auto"/>
        <w:left w:val="none" w:sz="0" w:space="0" w:color="auto"/>
        <w:bottom w:val="none" w:sz="0" w:space="0" w:color="auto"/>
        <w:right w:val="none" w:sz="0" w:space="0" w:color="auto"/>
      </w:divBdr>
    </w:div>
    <w:div w:id="1683823136">
      <w:bodyDiv w:val="1"/>
      <w:marLeft w:val="0"/>
      <w:marRight w:val="0"/>
      <w:marTop w:val="0"/>
      <w:marBottom w:val="0"/>
      <w:divBdr>
        <w:top w:val="none" w:sz="0" w:space="0" w:color="auto"/>
        <w:left w:val="none" w:sz="0" w:space="0" w:color="auto"/>
        <w:bottom w:val="none" w:sz="0" w:space="0" w:color="auto"/>
        <w:right w:val="none" w:sz="0" w:space="0" w:color="auto"/>
      </w:divBdr>
    </w:div>
    <w:div w:id="1684239532">
      <w:bodyDiv w:val="1"/>
      <w:marLeft w:val="0"/>
      <w:marRight w:val="0"/>
      <w:marTop w:val="0"/>
      <w:marBottom w:val="0"/>
      <w:divBdr>
        <w:top w:val="none" w:sz="0" w:space="0" w:color="auto"/>
        <w:left w:val="none" w:sz="0" w:space="0" w:color="auto"/>
        <w:bottom w:val="none" w:sz="0" w:space="0" w:color="auto"/>
        <w:right w:val="none" w:sz="0" w:space="0" w:color="auto"/>
      </w:divBdr>
    </w:div>
    <w:div w:id="1684283579">
      <w:bodyDiv w:val="1"/>
      <w:marLeft w:val="0"/>
      <w:marRight w:val="0"/>
      <w:marTop w:val="0"/>
      <w:marBottom w:val="0"/>
      <w:divBdr>
        <w:top w:val="none" w:sz="0" w:space="0" w:color="auto"/>
        <w:left w:val="none" w:sz="0" w:space="0" w:color="auto"/>
        <w:bottom w:val="none" w:sz="0" w:space="0" w:color="auto"/>
        <w:right w:val="none" w:sz="0" w:space="0" w:color="auto"/>
      </w:divBdr>
    </w:div>
    <w:div w:id="1684432528">
      <w:bodyDiv w:val="1"/>
      <w:marLeft w:val="0"/>
      <w:marRight w:val="0"/>
      <w:marTop w:val="0"/>
      <w:marBottom w:val="0"/>
      <w:divBdr>
        <w:top w:val="none" w:sz="0" w:space="0" w:color="auto"/>
        <w:left w:val="none" w:sz="0" w:space="0" w:color="auto"/>
        <w:bottom w:val="none" w:sz="0" w:space="0" w:color="auto"/>
        <w:right w:val="none" w:sz="0" w:space="0" w:color="auto"/>
      </w:divBdr>
    </w:div>
    <w:div w:id="1684476391">
      <w:bodyDiv w:val="1"/>
      <w:marLeft w:val="0"/>
      <w:marRight w:val="0"/>
      <w:marTop w:val="0"/>
      <w:marBottom w:val="0"/>
      <w:divBdr>
        <w:top w:val="none" w:sz="0" w:space="0" w:color="auto"/>
        <w:left w:val="none" w:sz="0" w:space="0" w:color="auto"/>
        <w:bottom w:val="none" w:sz="0" w:space="0" w:color="auto"/>
        <w:right w:val="none" w:sz="0" w:space="0" w:color="auto"/>
      </w:divBdr>
    </w:div>
    <w:div w:id="1684630844">
      <w:bodyDiv w:val="1"/>
      <w:marLeft w:val="0"/>
      <w:marRight w:val="0"/>
      <w:marTop w:val="0"/>
      <w:marBottom w:val="0"/>
      <w:divBdr>
        <w:top w:val="none" w:sz="0" w:space="0" w:color="auto"/>
        <w:left w:val="none" w:sz="0" w:space="0" w:color="auto"/>
        <w:bottom w:val="none" w:sz="0" w:space="0" w:color="auto"/>
        <w:right w:val="none" w:sz="0" w:space="0" w:color="auto"/>
      </w:divBdr>
    </w:div>
    <w:div w:id="1684671481">
      <w:bodyDiv w:val="1"/>
      <w:marLeft w:val="0"/>
      <w:marRight w:val="0"/>
      <w:marTop w:val="0"/>
      <w:marBottom w:val="0"/>
      <w:divBdr>
        <w:top w:val="none" w:sz="0" w:space="0" w:color="auto"/>
        <w:left w:val="none" w:sz="0" w:space="0" w:color="auto"/>
        <w:bottom w:val="none" w:sz="0" w:space="0" w:color="auto"/>
        <w:right w:val="none" w:sz="0" w:space="0" w:color="auto"/>
      </w:divBdr>
    </w:div>
    <w:div w:id="1685087968">
      <w:bodyDiv w:val="1"/>
      <w:marLeft w:val="0"/>
      <w:marRight w:val="0"/>
      <w:marTop w:val="0"/>
      <w:marBottom w:val="0"/>
      <w:divBdr>
        <w:top w:val="none" w:sz="0" w:space="0" w:color="auto"/>
        <w:left w:val="none" w:sz="0" w:space="0" w:color="auto"/>
        <w:bottom w:val="none" w:sz="0" w:space="0" w:color="auto"/>
        <w:right w:val="none" w:sz="0" w:space="0" w:color="auto"/>
      </w:divBdr>
    </w:div>
    <w:div w:id="1685279494">
      <w:bodyDiv w:val="1"/>
      <w:marLeft w:val="0"/>
      <w:marRight w:val="0"/>
      <w:marTop w:val="0"/>
      <w:marBottom w:val="0"/>
      <w:divBdr>
        <w:top w:val="none" w:sz="0" w:space="0" w:color="auto"/>
        <w:left w:val="none" w:sz="0" w:space="0" w:color="auto"/>
        <w:bottom w:val="none" w:sz="0" w:space="0" w:color="auto"/>
        <w:right w:val="none" w:sz="0" w:space="0" w:color="auto"/>
      </w:divBdr>
    </w:div>
    <w:div w:id="1685279635">
      <w:bodyDiv w:val="1"/>
      <w:marLeft w:val="0"/>
      <w:marRight w:val="0"/>
      <w:marTop w:val="0"/>
      <w:marBottom w:val="0"/>
      <w:divBdr>
        <w:top w:val="none" w:sz="0" w:space="0" w:color="auto"/>
        <w:left w:val="none" w:sz="0" w:space="0" w:color="auto"/>
        <w:bottom w:val="none" w:sz="0" w:space="0" w:color="auto"/>
        <w:right w:val="none" w:sz="0" w:space="0" w:color="auto"/>
      </w:divBdr>
    </w:div>
    <w:div w:id="1685476858">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786512">
      <w:bodyDiv w:val="1"/>
      <w:marLeft w:val="0"/>
      <w:marRight w:val="0"/>
      <w:marTop w:val="0"/>
      <w:marBottom w:val="0"/>
      <w:divBdr>
        <w:top w:val="none" w:sz="0" w:space="0" w:color="auto"/>
        <w:left w:val="none" w:sz="0" w:space="0" w:color="auto"/>
        <w:bottom w:val="none" w:sz="0" w:space="0" w:color="auto"/>
        <w:right w:val="none" w:sz="0" w:space="0" w:color="auto"/>
      </w:divBdr>
    </w:div>
    <w:div w:id="1685979500">
      <w:bodyDiv w:val="1"/>
      <w:marLeft w:val="0"/>
      <w:marRight w:val="0"/>
      <w:marTop w:val="0"/>
      <w:marBottom w:val="0"/>
      <w:divBdr>
        <w:top w:val="none" w:sz="0" w:space="0" w:color="auto"/>
        <w:left w:val="none" w:sz="0" w:space="0" w:color="auto"/>
        <w:bottom w:val="none" w:sz="0" w:space="0" w:color="auto"/>
        <w:right w:val="none" w:sz="0" w:space="0" w:color="auto"/>
      </w:divBdr>
    </w:div>
    <w:div w:id="1686008613">
      <w:bodyDiv w:val="1"/>
      <w:marLeft w:val="0"/>
      <w:marRight w:val="0"/>
      <w:marTop w:val="0"/>
      <w:marBottom w:val="0"/>
      <w:divBdr>
        <w:top w:val="none" w:sz="0" w:space="0" w:color="auto"/>
        <w:left w:val="none" w:sz="0" w:space="0" w:color="auto"/>
        <w:bottom w:val="none" w:sz="0" w:space="0" w:color="auto"/>
        <w:right w:val="none" w:sz="0" w:space="0" w:color="auto"/>
      </w:divBdr>
    </w:div>
    <w:div w:id="1686245147">
      <w:bodyDiv w:val="1"/>
      <w:marLeft w:val="0"/>
      <w:marRight w:val="0"/>
      <w:marTop w:val="0"/>
      <w:marBottom w:val="0"/>
      <w:divBdr>
        <w:top w:val="none" w:sz="0" w:space="0" w:color="auto"/>
        <w:left w:val="none" w:sz="0" w:space="0" w:color="auto"/>
        <w:bottom w:val="none" w:sz="0" w:space="0" w:color="auto"/>
        <w:right w:val="none" w:sz="0" w:space="0" w:color="auto"/>
      </w:divBdr>
    </w:div>
    <w:div w:id="1686246764">
      <w:bodyDiv w:val="1"/>
      <w:marLeft w:val="0"/>
      <w:marRight w:val="0"/>
      <w:marTop w:val="0"/>
      <w:marBottom w:val="0"/>
      <w:divBdr>
        <w:top w:val="none" w:sz="0" w:space="0" w:color="auto"/>
        <w:left w:val="none" w:sz="0" w:space="0" w:color="auto"/>
        <w:bottom w:val="none" w:sz="0" w:space="0" w:color="auto"/>
        <w:right w:val="none" w:sz="0" w:space="0" w:color="auto"/>
      </w:divBdr>
    </w:div>
    <w:div w:id="1687094057">
      <w:bodyDiv w:val="1"/>
      <w:marLeft w:val="0"/>
      <w:marRight w:val="0"/>
      <w:marTop w:val="0"/>
      <w:marBottom w:val="0"/>
      <w:divBdr>
        <w:top w:val="none" w:sz="0" w:space="0" w:color="auto"/>
        <w:left w:val="none" w:sz="0" w:space="0" w:color="auto"/>
        <w:bottom w:val="none" w:sz="0" w:space="0" w:color="auto"/>
        <w:right w:val="none" w:sz="0" w:space="0" w:color="auto"/>
      </w:divBdr>
    </w:div>
    <w:div w:id="1687168328">
      <w:bodyDiv w:val="1"/>
      <w:marLeft w:val="0"/>
      <w:marRight w:val="0"/>
      <w:marTop w:val="0"/>
      <w:marBottom w:val="0"/>
      <w:divBdr>
        <w:top w:val="none" w:sz="0" w:space="0" w:color="auto"/>
        <w:left w:val="none" w:sz="0" w:space="0" w:color="auto"/>
        <w:bottom w:val="none" w:sz="0" w:space="0" w:color="auto"/>
        <w:right w:val="none" w:sz="0" w:space="0" w:color="auto"/>
      </w:divBdr>
    </w:div>
    <w:div w:id="1687369336">
      <w:bodyDiv w:val="1"/>
      <w:marLeft w:val="0"/>
      <w:marRight w:val="0"/>
      <w:marTop w:val="0"/>
      <w:marBottom w:val="0"/>
      <w:divBdr>
        <w:top w:val="none" w:sz="0" w:space="0" w:color="auto"/>
        <w:left w:val="none" w:sz="0" w:space="0" w:color="auto"/>
        <w:bottom w:val="none" w:sz="0" w:space="0" w:color="auto"/>
        <w:right w:val="none" w:sz="0" w:space="0" w:color="auto"/>
      </w:divBdr>
    </w:div>
    <w:div w:id="1687562226">
      <w:bodyDiv w:val="1"/>
      <w:marLeft w:val="0"/>
      <w:marRight w:val="0"/>
      <w:marTop w:val="0"/>
      <w:marBottom w:val="0"/>
      <w:divBdr>
        <w:top w:val="none" w:sz="0" w:space="0" w:color="auto"/>
        <w:left w:val="none" w:sz="0" w:space="0" w:color="auto"/>
        <w:bottom w:val="none" w:sz="0" w:space="0" w:color="auto"/>
        <w:right w:val="none" w:sz="0" w:space="0" w:color="auto"/>
      </w:divBdr>
    </w:div>
    <w:div w:id="1688559141">
      <w:bodyDiv w:val="1"/>
      <w:marLeft w:val="0"/>
      <w:marRight w:val="0"/>
      <w:marTop w:val="0"/>
      <w:marBottom w:val="0"/>
      <w:divBdr>
        <w:top w:val="none" w:sz="0" w:space="0" w:color="auto"/>
        <w:left w:val="none" w:sz="0" w:space="0" w:color="auto"/>
        <w:bottom w:val="none" w:sz="0" w:space="0" w:color="auto"/>
        <w:right w:val="none" w:sz="0" w:space="0" w:color="auto"/>
      </w:divBdr>
    </w:div>
    <w:div w:id="1688747361">
      <w:bodyDiv w:val="1"/>
      <w:marLeft w:val="0"/>
      <w:marRight w:val="0"/>
      <w:marTop w:val="0"/>
      <w:marBottom w:val="0"/>
      <w:divBdr>
        <w:top w:val="none" w:sz="0" w:space="0" w:color="auto"/>
        <w:left w:val="none" w:sz="0" w:space="0" w:color="auto"/>
        <w:bottom w:val="none" w:sz="0" w:space="0" w:color="auto"/>
        <w:right w:val="none" w:sz="0" w:space="0" w:color="auto"/>
      </w:divBdr>
    </w:div>
    <w:div w:id="1689024618">
      <w:bodyDiv w:val="1"/>
      <w:marLeft w:val="0"/>
      <w:marRight w:val="0"/>
      <w:marTop w:val="0"/>
      <w:marBottom w:val="0"/>
      <w:divBdr>
        <w:top w:val="none" w:sz="0" w:space="0" w:color="auto"/>
        <w:left w:val="none" w:sz="0" w:space="0" w:color="auto"/>
        <w:bottom w:val="none" w:sz="0" w:space="0" w:color="auto"/>
        <w:right w:val="none" w:sz="0" w:space="0" w:color="auto"/>
      </w:divBdr>
    </w:div>
    <w:div w:id="1689137454">
      <w:bodyDiv w:val="1"/>
      <w:marLeft w:val="0"/>
      <w:marRight w:val="0"/>
      <w:marTop w:val="0"/>
      <w:marBottom w:val="0"/>
      <w:divBdr>
        <w:top w:val="none" w:sz="0" w:space="0" w:color="auto"/>
        <w:left w:val="none" w:sz="0" w:space="0" w:color="auto"/>
        <w:bottom w:val="none" w:sz="0" w:space="0" w:color="auto"/>
        <w:right w:val="none" w:sz="0" w:space="0" w:color="auto"/>
      </w:divBdr>
    </w:div>
    <w:div w:id="1689287168">
      <w:bodyDiv w:val="1"/>
      <w:marLeft w:val="0"/>
      <w:marRight w:val="0"/>
      <w:marTop w:val="0"/>
      <w:marBottom w:val="0"/>
      <w:divBdr>
        <w:top w:val="none" w:sz="0" w:space="0" w:color="auto"/>
        <w:left w:val="none" w:sz="0" w:space="0" w:color="auto"/>
        <w:bottom w:val="none" w:sz="0" w:space="0" w:color="auto"/>
        <w:right w:val="none" w:sz="0" w:space="0" w:color="auto"/>
      </w:divBdr>
    </w:div>
    <w:div w:id="1689671466">
      <w:bodyDiv w:val="1"/>
      <w:marLeft w:val="0"/>
      <w:marRight w:val="0"/>
      <w:marTop w:val="0"/>
      <w:marBottom w:val="0"/>
      <w:divBdr>
        <w:top w:val="none" w:sz="0" w:space="0" w:color="auto"/>
        <w:left w:val="none" w:sz="0" w:space="0" w:color="auto"/>
        <w:bottom w:val="none" w:sz="0" w:space="0" w:color="auto"/>
        <w:right w:val="none" w:sz="0" w:space="0" w:color="auto"/>
      </w:divBdr>
    </w:div>
    <w:div w:id="1689717008">
      <w:bodyDiv w:val="1"/>
      <w:marLeft w:val="0"/>
      <w:marRight w:val="0"/>
      <w:marTop w:val="0"/>
      <w:marBottom w:val="0"/>
      <w:divBdr>
        <w:top w:val="none" w:sz="0" w:space="0" w:color="auto"/>
        <w:left w:val="none" w:sz="0" w:space="0" w:color="auto"/>
        <w:bottom w:val="none" w:sz="0" w:space="0" w:color="auto"/>
        <w:right w:val="none" w:sz="0" w:space="0" w:color="auto"/>
      </w:divBdr>
    </w:div>
    <w:div w:id="1689991543">
      <w:bodyDiv w:val="1"/>
      <w:marLeft w:val="0"/>
      <w:marRight w:val="0"/>
      <w:marTop w:val="0"/>
      <w:marBottom w:val="0"/>
      <w:divBdr>
        <w:top w:val="none" w:sz="0" w:space="0" w:color="auto"/>
        <w:left w:val="none" w:sz="0" w:space="0" w:color="auto"/>
        <w:bottom w:val="none" w:sz="0" w:space="0" w:color="auto"/>
        <w:right w:val="none" w:sz="0" w:space="0" w:color="auto"/>
      </w:divBdr>
    </w:div>
    <w:div w:id="1690254816">
      <w:bodyDiv w:val="1"/>
      <w:marLeft w:val="0"/>
      <w:marRight w:val="0"/>
      <w:marTop w:val="0"/>
      <w:marBottom w:val="0"/>
      <w:divBdr>
        <w:top w:val="none" w:sz="0" w:space="0" w:color="auto"/>
        <w:left w:val="none" w:sz="0" w:space="0" w:color="auto"/>
        <w:bottom w:val="none" w:sz="0" w:space="0" w:color="auto"/>
        <w:right w:val="none" w:sz="0" w:space="0" w:color="auto"/>
      </w:divBdr>
    </w:div>
    <w:div w:id="1690256503">
      <w:bodyDiv w:val="1"/>
      <w:marLeft w:val="0"/>
      <w:marRight w:val="0"/>
      <w:marTop w:val="0"/>
      <w:marBottom w:val="0"/>
      <w:divBdr>
        <w:top w:val="none" w:sz="0" w:space="0" w:color="auto"/>
        <w:left w:val="none" w:sz="0" w:space="0" w:color="auto"/>
        <w:bottom w:val="none" w:sz="0" w:space="0" w:color="auto"/>
        <w:right w:val="none" w:sz="0" w:space="0" w:color="auto"/>
      </w:divBdr>
    </w:div>
    <w:div w:id="1690258718">
      <w:bodyDiv w:val="1"/>
      <w:marLeft w:val="0"/>
      <w:marRight w:val="0"/>
      <w:marTop w:val="0"/>
      <w:marBottom w:val="0"/>
      <w:divBdr>
        <w:top w:val="none" w:sz="0" w:space="0" w:color="auto"/>
        <w:left w:val="none" w:sz="0" w:space="0" w:color="auto"/>
        <w:bottom w:val="none" w:sz="0" w:space="0" w:color="auto"/>
        <w:right w:val="none" w:sz="0" w:space="0" w:color="auto"/>
      </w:divBdr>
    </w:div>
    <w:div w:id="1690377747">
      <w:bodyDiv w:val="1"/>
      <w:marLeft w:val="0"/>
      <w:marRight w:val="0"/>
      <w:marTop w:val="0"/>
      <w:marBottom w:val="0"/>
      <w:divBdr>
        <w:top w:val="none" w:sz="0" w:space="0" w:color="auto"/>
        <w:left w:val="none" w:sz="0" w:space="0" w:color="auto"/>
        <w:bottom w:val="none" w:sz="0" w:space="0" w:color="auto"/>
        <w:right w:val="none" w:sz="0" w:space="0" w:color="auto"/>
      </w:divBdr>
    </w:div>
    <w:div w:id="1690402069">
      <w:bodyDiv w:val="1"/>
      <w:marLeft w:val="0"/>
      <w:marRight w:val="0"/>
      <w:marTop w:val="0"/>
      <w:marBottom w:val="0"/>
      <w:divBdr>
        <w:top w:val="none" w:sz="0" w:space="0" w:color="auto"/>
        <w:left w:val="none" w:sz="0" w:space="0" w:color="auto"/>
        <w:bottom w:val="none" w:sz="0" w:space="0" w:color="auto"/>
        <w:right w:val="none" w:sz="0" w:space="0" w:color="auto"/>
      </w:divBdr>
    </w:div>
    <w:div w:id="1690988387">
      <w:bodyDiv w:val="1"/>
      <w:marLeft w:val="0"/>
      <w:marRight w:val="0"/>
      <w:marTop w:val="0"/>
      <w:marBottom w:val="0"/>
      <w:divBdr>
        <w:top w:val="none" w:sz="0" w:space="0" w:color="auto"/>
        <w:left w:val="none" w:sz="0" w:space="0" w:color="auto"/>
        <w:bottom w:val="none" w:sz="0" w:space="0" w:color="auto"/>
        <w:right w:val="none" w:sz="0" w:space="0" w:color="auto"/>
      </w:divBdr>
    </w:div>
    <w:div w:id="1691028275">
      <w:bodyDiv w:val="1"/>
      <w:marLeft w:val="0"/>
      <w:marRight w:val="0"/>
      <w:marTop w:val="0"/>
      <w:marBottom w:val="0"/>
      <w:divBdr>
        <w:top w:val="none" w:sz="0" w:space="0" w:color="auto"/>
        <w:left w:val="none" w:sz="0" w:space="0" w:color="auto"/>
        <w:bottom w:val="none" w:sz="0" w:space="0" w:color="auto"/>
        <w:right w:val="none" w:sz="0" w:space="0" w:color="auto"/>
      </w:divBdr>
    </w:div>
    <w:div w:id="1691905676">
      <w:bodyDiv w:val="1"/>
      <w:marLeft w:val="0"/>
      <w:marRight w:val="0"/>
      <w:marTop w:val="0"/>
      <w:marBottom w:val="0"/>
      <w:divBdr>
        <w:top w:val="none" w:sz="0" w:space="0" w:color="auto"/>
        <w:left w:val="none" w:sz="0" w:space="0" w:color="auto"/>
        <w:bottom w:val="none" w:sz="0" w:space="0" w:color="auto"/>
        <w:right w:val="none" w:sz="0" w:space="0" w:color="auto"/>
      </w:divBdr>
    </w:div>
    <w:div w:id="1692032615">
      <w:bodyDiv w:val="1"/>
      <w:marLeft w:val="0"/>
      <w:marRight w:val="0"/>
      <w:marTop w:val="0"/>
      <w:marBottom w:val="0"/>
      <w:divBdr>
        <w:top w:val="none" w:sz="0" w:space="0" w:color="auto"/>
        <w:left w:val="none" w:sz="0" w:space="0" w:color="auto"/>
        <w:bottom w:val="none" w:sz="0" w:space="0" w:color="auto"/>
        <w:right w:val="none" w:sz="0" w:space="0" w:color="auto"/>
      </w:divBdr>
    </w:div>
    <w:div w:id="1692098859">
      <w:bodyDiv w:val="1"/>
      <w:marLeft w:val="0"/>
      <w:marRight w:val="0"/>
      <w:marTop w:val="0"/>
      <w:marBottom w:val="0"/>
      <w:divBdr>
        <w:top w:val="none" w:sz="0" w:space="0" w:color="auto"/>
        <w:left w:val="none" w:sz="0" w:space="0" w:color="auto"/>
        <w:bottom w:val="none" w:sz="0" w:space="0" w:color="auto"/>
        <w:right w:val="none" w:sz="0" w:space="0" w:color="auto"/>
      </w:divBdr>
    </w:div>
    <w:div w:id="1692147237">
      <w:bodyDiv w:val="1"/>
      <w:marLeft w:val="0"/>
      <w:marRight w:val="0"/>
      <w:marTop w:val="0"/>
      <w:marBottom w:val="0"/>
      <w:divBdr>
        <w:top w:val="none" w:sz="0" w:space="0" w:color="auto"/>
        <w:left w:val="none" w:sz="0" w:space="0" w:color="auto"/>
        <w:bottom w:val="none" w:sz="0" w:space="0" w:color="auto"/>
        <w:right w:val="none" w:sz="0" w:space="0" w:color="auto"/>
      </w:divBdr>
    </w:div>
    <w:div w:id="1692301247">
      <w:bodyDiv w:val="1"/>
      <w:marLeft w:val="0"/>
      <w:marRight w:val="0"/>
      <w:marTop w:val="0"/>
      <w:marBottom w:val="0"/>
      <w:divBdr>
        <w:top w:val="none" w:sz="0" w:space="0" w:color="auto"/>
        <w:left w:val="none" w:sz="0" w:space="0" w:color="auto"/>
        <w:bottom w:val="none" w:sz="0" w:space="0" w:color="auto"/>
        <w:right w:val="none" w:sz="0" w:space="0" w:color="auto"/>
      </w:divBdr>
    </w:div>
    <w:div w:id="1692485367">
      <w:bodyDiv w:val="1"/>
      <w:marLeft w:val="0"/>
      <w:marRight w:val="0"/>
      <w:marTop w:val="0"/>
      <w:marBottom w:val="0"/>
      <w:divBdr>
        <w:top w:val="none" w:sz="0" w:space="0" w:color="auto"/>
        <w:left w:val="none" w:sz="0" w:space="0" w:color="auto"/>
        <w:bottom w:val="none" w:sz="0" w:space="0" w:color="auto"/>
        <w:right w:val="none" w:sz="0" w:space="0" w:color="auto"/>
      </w:divBdr>
    </w:div>
    <w:div w:id="1692678632">
      <w:bodyDiv w:val="1"/>
      <w:marLeft w:val="0"/>
      <w:marRight w:val="0"/>
      <w:marTop w:val="0"/>
      <w:marBottom w:val="0"/>
      <w:divBdr>
        <w:top w:val="none" w:sz="0" w:space="0" w:color="auto"/>
        <w:left w:val="none" w:sz="0" w:space="0" w:color="auto"/>
        <w:bottom w:val="none" w:sz="0" w:space="0" w:color="auto"/>
        <w:right w:val="none" w:sz="0" w:space="0" w:color="auto"/>
      </w:divBdr>
    </w:div>
    <w:div w:id="1692947499">
      <w:bodyDiv w:val="1"/>
      <w:marLeft w:val="0"/>
      <w:marRight w:val="0"/>
      <w:marTop w:val="0"/>
      <w:marBottom w:val="0"/>
      <w:divBdr>
        <w:top w:val="none" w:sz="0" w:space="0" w:color="auto"/>
        <w:left w:val="none" w:sz="0" w:space="0" w:color="auto"/>
        <w:bottom w:val="none" w:sz="0" w:space="0" w:color="auto"/>
        <w:right w:val="none" w:sz="0" w:space="0" w:color="auto"/>
      </w:divBdr>
    </w:div>
    <w:div w:id="1692952647">
      <w:bodyDiv w:val="1"/>
      <w:marLeft w:val="0"/>
      <w:marRight w:val="0"/>
      <w:marTop w:val="0"/>
      <w:marBottom w:val="0"/>
      <w:divBdr>
        <w:top w:val="none" w:sz="0" w:space="0" w:color="auto"/>
        <w:left w:val="none" w:sz="0" w:space="0" w:color="auto"/>
        <w:bottom w:val="none" w:sz="0" w:space="0" w:color="auto"/>
        <w:right w:val="none" w:sz="0" w:space="0" w:color="auto"/>
      </w:divBdr>
    </w:div>
    <w:div w:id="1693146210">
      <w:bodyDiv w:val="1"/>
      <w:marLeft w:val="0"/>
      <w:marRight w:val="0"/>
      <w:marTop w:val="0"/>
      <w:marBottom w:val="0"/>
      <w:divBdr>
        <w:top w:val="none" w:sz="0" w:space="0" w:color="auto"/>
        <w:left w:val="none" w:sz="0" w:space="0" w:color="auto"/>
        <w:bottom w:val="none" w:sz="0" w:space="0" w:color="auto"/>
        <w:right w:val="none" w:sz="0" w:space="0" w:color="auto"/>
      </w:divBdr>
    </w:div>
    <w:div w:id="1693264392">
      <w:bodyDiv w:val="1"/>
      <w:marLeft w:val="0"/>
      <w:marRight w:val="0"/>
      <w:marTop w:val="0"/>
      <w:marBottom w:val="0"/>
      <w:divBdr>
        <w:top w:val="none" w:sz="0" w:space="0" w:color="auto"/>
        <w:left w:val="none" w:sz="0" w:space="0" w:color="auto"/>
        <w:bottom w:val="none" w:sz="0" w:space="0" w:color="auto"/>
        <w:right w:val="none" w:sz="0" w:space="0" w:color="auto"/>
      </w:divBdr>
    </w:div>
    <w:div w:id="1694259606">
      <w:bodyDiv w:val="1"/>
      <w:marLeft w:val="0"/>
      <w:marRight w:val="0"/>
      <w:marTop w:val="0"/>
      <w:marBottom w:val="0"/>
      <w:divBdr>
        <w:top w:val="none" w:sz="0" w:space="0" w:color="auto"/>
        <w:left w:val="none" w:sz="0" w:space="0" w:color="auto"/>
        <w:bottom w:val="none" w:sz="0" w:space="0" w:color="auto"/>
        <w:right w:val="none" w:sz="0" w:space="0" w:color="auto"/>
      </w:divBdr>
    </w:div>
    <w:div w:id="1694576139">
      <w:bodyDiv w:val="1"/>
      <w:marLeft w:val="0"/>
      <w:marRight w:val="0"/>
      <w:marTop w:val="0"/>
      <w:marBottom w:val="0"/>
      <w:divBdr>
        <w:top w:val="none" w:sz="0" w:space="0" w:color="auto"/>
        <w:left w:val="none" w:sz="0" w:space="0" w:color="auto"/>
        <w:bottom w:val="none" w:sz="0" w:space="0" w:color="auto"/>
        <w:right w:val="none" w:sz="0" w:space="0" w:color="auto"/>
      </w:divBdr>
    </w:div>
    <w:div w:id="1694648224">
      <w:bodyDiv w:val="1"/>
      <w:marLeft w:val="0"/>
      <w:marRight w:val="0"/>
      <w:marTop w:val="0"/>
      <w:marBottom w:val="0"/>
      <w:divBdr>
        <w:top w:val="none" w:sz="0" w:space="0" w:color="auto"/>
        <w:left w:val="none" w:sz="0" w:space="0" w:color="auto"/>
        <w:bottom w:val="none" w:sz="0" w:space="0" w:color="auto"/>
        <w:right w:val="none" w:sz="0" w:space="0" w:color="auto"/>
      </w:divBdr>
    </w:div>
    <w:div w:id="1694649935">
      <w:bodyDiv w:val="1"/>
      <w:marLeft w:val="0"/>
      <w:marRight w:val="0"/>
      <w:marTop w:val="0"/>
      <w:marBottom w:val="0"/>
      <w:divBdr>
        <w:top w:val="none" w:sz="0" w:space="0" w:color="auto"/>
        <w:left w:val="none" w:sz="0" w:space="0" w:color="auto"/>
        <w:bottom w:val="none" w:sz="0" w:space="0" w:color="auto"/>
        <w:right w:val="none" w:sz="0" w:space="0" w:color="auto"/>
      </w:divBdr>
    </w:div>
    <w:div w:id="1695496100">
      <w:bodyDiv w:val="1"/>
      <w:marLeft w:val="0"/>
      <w:marRight w:val="0"/>
      <w:marTop w:val="0"/>
      <w:marBottom w:val="0"/>
      <w:divBdr>
        <w:top w:val="none" w:sz="0" w:space="0" w:color="auto"/>
        <w:left w:val="none" w:sz="0" w:space="0" w:color="auto"/>
        <w:bottom w:val="none" w:sz="0" w:space="0" w:color="auto"/>
        <w:right w:val="none" w:sz="0" w:space="0" w:color="auto"/>
      </w:divBdr>
    </w:div>
    <w:div w:id="1695619298">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269776">
      <w:bodyDiv w:val="1"/>
      <w:marLeft w:val="0"/>
      <w:marRight w:val="0"/>
      <w:marTop w:val="0"/>
      <w:marBottom w:val="0"/>
      <w:divBdr>
        <w:top w:val="none" w:sz="0" w:space="0" w:color="auto"/>
        <w:left w:val="none" w:sz="0" w:space="0" w:color="auto"/>
        <w:bottom w:val="none" w:sz="0" w:space="0" w:color="auto"/>
        <w:right w:val="none" w:sz="0" w:space="0" w:color="auto"/>
      </w:divBdr>
    </w:div>
    <w:div w:id="1696344656">
      <w:bodyDiv w:val="1"/>
      <w:marLeft w:val="0"/>
      <w:marRight w:val="0"/>
      <w:marTop w:val="0"/>
      <w:marBottom w:val="0"/>
      <w:divBdr>
        <w:top w:val="none" w:sz="0" w:space="0" w:color="auto"/>
        <w:left w:val="none" w:sz="0" w:space="0" w:color="auto"/>
        <w:bottom w:val="none" w:sz="0" w:space="0" w:color="auto"/>
        <w:right w:val="none" w:sz="0" w:space="0" w:color="auto"/>
      </w:divBdr>
    </w:div>
    <w:div w:id="1696692244">
      <w:bodyDiv w:val="1"/>
      <w:marLeft w:val="0"/>
      <w:marRight w:val="0"/>
      <w:marTop w:val="0"/>
      <w:marBottom w:val="0"/>
      <w:divBdr>
        <w:top w:val="none" w:sz="0" w:space="0" w:color="auto"/>
        <w:left w:val="none" w:sz="0" w:space="0" w:color="auto"/>
        <w:bottom w:val="none" w:sz="0" w:space="0" w:color="auto"/>
        <w:right w:val="none" w:sz="0" w:space="0" w:color="auto"/>
      </w:divBdr>
    </w:div>
    <w:div w:id="1697001992">
      <w:bodyDiv w:val="1"/>
      <w:marLeft w:val="0"/>
      <w:marRight w:val="0"/>
      <w:marTop w:val="0"/>
      <w:marBottom w:val="0"/>
      <w:divBdr>
        <w:top w:val="none" w:sz="0" w:space="0" w:color="auto"/>
        <w:left w:val="none" w:sz="0" w:space="0" w:color="auto"/>
        <w:bottom w:val="none" w:sz="0" w:space="0" w:color="auto"/>
        <w:right w:val="none" w:sz="0" w:space="0" w:color="auto"/>
      </w:divBdr>
    </w:div>
    <w:div w:id="1697272785">
      <w:bodyDiv w:val="1"/>
      <w:marLeft w:val="0"/>
      <w:marRight w:val="0"/>
      <w:marTop w:val="0"/>
      <w:marBottom w:val="0"/>
      <w:divBdr>
        <w:top w:val="none" w:sz="0" w:space="0" w:color="auto"/>
        <w:left w:val="none" w:sz="0" w:space="0" w:color="auto"/>
        <w:bottom w:val="none" w:sz="0" w:space="0" w:color="auto"/>
        <w:right w:val="none" w:sz="0" w:space="0" w:color="auto"/>
      </w:divBdr>
    </w:div>
    <w:div w:id="1697654229">
      <w:bodyDiv w:val="1"/>
      <w:marLeft w:val="0"/>
      <w:marRight w:val="0"/>
      <w:marTop w:val="0"/>
      <w:marBottom w:val="0"/>
      <w:divBdr>
        <w:top w:val="none" w:sz="0" w:space="0" w:color="auto"/>
        <w:left w:val="none" w:sz="0" w:space="0" w:color="auto"/>
        <w:bottom w:val="none" w:sz="0" w:space="0" w:color="auto"/>
        <w:right w:val="none" w:sz="0" w:space="0" w:color="auto"/>
      </w:divBdr>
    </w:div>
    <w:div w:id="1697655962">
      <w:bodyDiv w:val="1"/>
      <w:marLeft w:val="0"/>
      <w:marRight w:val="0"/>
      <w:marTop w:val="0"/>
      <w:marBottom w:val="0"/>
      <w:divBdr>
        <w:top w:val="none" w:sz="0" w:space="0" w:color="auto"/>
        <w:left w:val="none" w:sz="0" w:space="0" w:color="auto"/>
        <w:bottom w:val="none" w:sz="0" w:space="0" w:color="auto"/>
        <w:right w:val="none" w:sz="0" w:space="0" w:color="auto"/>
      </w:divBdr>
    </w:div>
    <w:div w:id="1697731180">
      <w:bodyDiv w:val="1"/>
      <w:marLeft w:val="0"/>
      <w:marRight w:val="0"/>
      <w:marTop w:val="0"/>
      <w:marBottom w:val="0"/>
      <w:divBdr>
        <w:top w:val="none" w:sz="0" w:space="0" w:color="auto"/>
        <w:left w:val="none" w:sz="0" w:space="0" w:color="auto"/>
        <w:bottom w:val="none" w:sz="0" w:space="0" w:color="auto"/>
        <w:right w:val="none" w:sz="0" w:space="0" w:color="auto"/>
      </w:divBdr>
    </w:div>
    <w:div w:id="1697847489">
      <w:bodyDiv w:val="1"/>
      <w:marLeft w:val="0"/>
      <w:marRight w:val="0"/>
      <w:marTop w:val="0"/>
      <w:marBottom w:val="0"/>
      <w:divBdr>
        <w:top w:val="none" w:sz="0" w:space="0" w:color="auto"/>
        <w:left w:val="none" w:sz="0" w:space="0" w:color="auto"/>
        <w:bottom w:val="none" w:sz="0" w:space="0" w:color="auto"/>
        <w:right w:val="none" w:sz="0" w:space="0" w:color="auto"/>
      </w:divBdr>
    </w:div>
    <w:div w:id="1697999616">
      <w:bodyDiv w:val="1"/>
      <w:marLeft w:val="0"/>
      <w:marRight w:val="0"/>
      <w:marTop w:val="0"/>
      <w:marBottom w:val="0"/>
      <w:divBdr>
        <w:top w:val="none" w:sz="0" w:space="0" w:color="auto"/>
        <w:left w:val="none" w:sz="0" w:space="0" w:color="auto"/>
        <w:bottom w:val="none" w:sz="0" w:space="0" w:color="auto"/>
        <w:right w:val="none" w:sz="0" w:space="0" w:color="auto"/>
      </w:divBdr>
    </w:div>
    <w:div w:id="1698460496">
      <w:bodyDiv w:val="1"/>
      <w:marLeft w:val="0"/>
      <w:marRight w:val="0"/>
      <w:marTop w:val="0"/>
      <w:marBottom w:val="0"/>
      <w:divBdr>
        <w:top w:val="none" w:sz="0" w:space="0" w:color="auto"/>
        <w:left w:val="none" w:sz="0" w:space="0" w:color="auto"/>
        <w:bottom w:val="none" w:sz="0" w:space="0" w:color="auto"/>
        <w:right w:val="none" w:sz="0" w:space="0" w:color="auto"/>
      </w:divBdr>
    </w:div>
    <w:div w:id="1698580945">
      <w:bodyDiv w:val="1"/>
      <w:marLeft w:val="0"/>
      <w:marRight w:val="0"/>
      <w:marTop w:val="0"/>
      <w:marBottom w:val="0"/>
      <w:divBdr>
        <w:top w:val="none" w:sz="0" w:space="0" w:color="auto"/>
        <w:left w:val="none" w:sz="0" w:space="0" w:color="auto"/>
        <w:bottom w:val="none" w:sz="0" w:space="0" w:color="auto"/>
        <w:right w:val="none" w:sz="0" w:space="0" w:color="auto"/>
      </w:divBdr>
    </w:div>
    <w:div w:id="1698700605">
      <w:bodyDiv w:val="1"/>
      <w:marLeft w:val="0"/>
      <w:marRight w:val="0"/>
      <w:marTop w:val="0"/>
      <w:marBottom w:val="0"/>
      <w:divBdr>
        <w:top w:val="none" w:sz="0" w:space="0" w:color="auto"/>
        <w:left w:val="none" w:sz="0" w:space="0" w:color="auto"/>
        <w:bottom w:val="none" w:sz="0" w:space="0" w:color="auto"/>
        <w:right w:val="none" w:sz="0" w:space="0" w:color="auto"/>
      </w:divBdr>
    </w:div>
    <w:div w:id="1699233287">
      <w:bodyDiv w:val="1"/>
      <w:marLeft w:val="0"/>
      <w:marRight w:val="0"/>
      <w:marTop w:val="0"/>
      <w:marBottom w:val="0"/>
      <w:divBdr>
        <w:top w:val="none" w:sz="0" w:space="0" w:color="auto"/>
        <w:left w:val="none" w:sz="0" w:space="0" w:color="auto"/>
        <w:bottom w:val="none" w:sz="0" w:space="0" w:color="auto"/>
        <w:right w:val="none" w:sz="0" w:space="0" w:color="auto"/>
      </w:divBdr>
    </w:div>
    <w:div w:id="1699355716">
      <w:bodyDiv w:val="1"/>
      <w:marLeft w:val="0"/>
      <w:marRight w:val="0"/>
      <w:marTop w:val="0"/>
      <w:marBottom w:val="0"/>
      <w:divBdr>
        <w:top w:val="none" w:sz="0" w:space="0" w:color="auto"/>
        <w:left w:val="none" w:sz="0" w:space="0" w:color="auto"/>
        <w:bottom w:val="none" w:sz="0" w:space="0" w:color="auto"/>
        <w:right w:val="none" w:sz="0" w:space="0" w:color="auto"/>
      </w:divBdr>
    </w:div>
    <w:div w:id="1699426488">
      <w:bodyDiv w:val="1"/>
      <w:marLeft w:val="0"/>
      <w:marRight w:val="0"/>
      <w:marTop w:val="0"/>
      <w:marBottom w:val="0"/>
      <w:divBdr>
        <w:top w:val="none" w:sz="0" w:space="0" w:color="auto"/>
        <w:left w:val="none" w:sz="0" w:space="0" w:color="auto"/>
        <w:bottom w:val="none" w:sz="0" w:space="0" w:color="auto"/>
        <w:right w:val="none" w:sz="0" w:space="0" w:color="auto"/>
      </w:divBdr>
    </w:div>
    <w:div w:id="1699427596">
      <w:bodyDiv w:val="1"/>
      <w:marLeft w:val="0"/>
      <w:marRight w:val="0"/>
      <w:marTop w:val="0"/>
      <w:marBottom w:val="0"/>
      <w:divBdr>
        <w:top w:val="none" w:sz="0" w:space="0" w:color="auto"/>
        <w:left w:val="none" w:sz="0" w:space="0" w:color="auto"/>
        <w:bottom w:val="none" w:sz="0" w:space="0" w:color="auto"/>
        <w:right w:val="none" w:sz="0" w:space="0" w:color="auto"/>
      </w:divBdr>
    </w:div>
    <w:div w:id="1699432249">
      <w:bodyDiv w:val="1"/>
      <w:marLeft w:val="0"/>
      <w:marRight w:val="0"/>
      <w:marTop w:val="0"/>
      <w:marBottom w:val="0"/>
      <w:divBdr>
        <w:top w:val="none" w:sz="0" w:space="0" w:color="auto"/>
        <w:left w:val="none" w:sz="0" w:space="0" w:color="auto"/>
        <w:bottom w:val="none" w:sz="0" w:space="0" w:color="auto"/>
        <w:right w:val="none" w:sz="0" w:space="0" w:color="auto"/>
      </w:divBdr>
    </w:div>
    <w:div w:id="1699432271">
      <w:bodyDiv w:val="1"/>
      <w:marLeft w:val="0"/>
      <w:marRight w:val="0"/>
      <w:marTop w:val="0"/>
      <w:marBottom w:val="0"/>
      <w:divBdr>
        <w:top w:val="none" w:sz="0" w:space="0" w:color="auto"/>
        <w:left w:val="none" w:sz="0" w:space="0" w:color="auto"/>
        <w:bottom w:val="none" w:sz="0" w:space="0" w:color="auto"/>
        <w:right w:val="none" w:sz="0" w:space="0" w:color="auto"/>
      </w:divBdr>
    </w:div>
    <w:div w:id="1699768537">
      <w:bodyDiv w:val="1"/>
      <w:marLeft w:val="0"/>
      <w:marRight w:val="0"/>
      <w:marTop w:val="0"/>
      <w:marBottom w:val="0"/>
      <w:divBdr>
        <w:top w:val="none" w:sz="0" w:space="0" w:color="auto"/>
        <w:left w:val="none" w:sz="0" w:space="0" w:color="auto"/>
        <w:bottom w:val="none" w:sz="0" w:space="0" w:color="auto"/>
        <w:right w:val="none" w:sz="0" w:space="0" w:color="auto"/>
      </w:divBdr>
    </w:div>
    <w:div w:id="1699772503">
      <w:bodyDiv w:val="1"/>
      <w:marLeft w:val="0"/>
      <w:marRight w:val="0"/>
      <w:marTop w:val="0"/>
      <w:marBottom w:val="0"/>
      <w:divBdr>
        <w:top w:val="none" w:sz="0" w:space="0" w:color="auto"/>
        <w:left w:val="none" w:sz="0" w:space="0" w:color="auto"/>
        <w:bottom w:val="none" w:sz="0" w:space="0" w:color="auto"/>
        <w:right w:val="none" w:sz="0" w:space="0" w:color="auto"/>
      </w:divBdr>
    </w:div>
    <w:div w:id="1700467377">
      <w:bodyDiv w:val="1"/>
      <w:marLeft w:val="0"/>
      <w:marRight w:val="0"/>
      <w:marTop w:val="0"/>
      <w:marBottom w:val="0"/>
      <w:divBdr>
        <w:top w:val="none" w:sz="0" w:space="0" w:color="auto"/>
        <w:left w:val="none" w:sz="0" w:space="0" w:color="auto"/>
        <w:bottom w:val="none" w:sz="0" w:space="0" w:color="auto"/>
        <w:right w:val="none" w:sz="0" w:space="0" w:color="auto"/>
      </w:divBdr>
    </w:div>
    <w:div w:id="1700617703">
      <w:bodyDiv w:val="1"/>
      <w:marLeft w:val="0"/>
      <w:marRight w:val="0"/>
      <w:marTop w:val="0"/>
      <w:marBottom w:val="0"/>
      <w:divBdr>
        <w:top w:val="none" w:sz="0" w:space="0" w:color="auto"/>
        <w:left w:val="none" w:sz="0" w:space="0" w:color="auto"/>
        <w:bottom w:val="none" w:sz="0" w:space="0" w:color="auto"/>
        <w:right w:val="none" w:sz="0" w:space="0" w:color="auto"/>
      </w:divBdr>
    </w:div>
    <w:div w:id="1700741065">
      <w:bodyDiv w:val="1"/>
      <w:marLeft w:val="0"/>
      <w:marRight w:val="0"/>
      <w:marTop w:val="0"/>
      <w:marBottom w:val="0"/>
      <w:divBdr>
        <w:top w:val="none" w:sz="0" w:space="0" w:color="auto"/>
        <w:left w:val="none" w:sz="0" w:space="0" w:color="auto"/>
        <w:bottom w:val="none" w:sz="0" w:space="0" w:color="auto"/>
        <w:right w:val="none" w:sz="0" w:space="0" w:color="auto"/>
      </w:divBdr>
    </w:div>
    <w:div w:id="1700860687">
      <w:bodyDiv w:val="1"/>
      <w:marLeft w:val="0"/>
      <w:marRight w:val="0"/>
      <w:marTop w:val="0"/>
      <w:marBottom w:val="0"/>
      <w:divBdr>
        <w:top w:val="none" w:sz="0" w:space="0" w:color="auto"/>
        <w:left w:val="none" w:sz="0" w:space="0" w:color="auto"/>
        <w:bottom w:val="none" w:sz="0" w:space="0" w:color="auto"/>
        <w:right w:val="none" w:sz="0" w:space="0" w:color="auto"/>
      </w:divBdr>
    </w:div>
    <w:div w:id="1700888465">
      <w:bodyDiv w:val="1"/>
      <w:marLeft w:val="0"/>
      <w:marRight w:val="0"/>
      <w:marTop w:val="0"/>
      <w:marBottom w:val="0"/>
      <w:divBdr>
        <w:top w:val="none" w:sz="0" w:space="0" w:color="auto"/>
        <w:left w:val="none" w:sz="0" w:space="0" w:color="auto"/>
        <w:bottom w:val="none" w:sz="0" w:space="0" w:color="auto"/>
        <w:right w:val="none" w:sz="0" w:space="0" w:color="auto"/>
      </w:divBdr>
    </w:div>
    <w:div w:id="1700932552">
      <w:bodyDiv w:val="1"/>
      <w:marLeft w:val="0"/>
      <w:marRight w:val="0"/>
      <w:marTop w:val="0"/>
      <w:marBottom w:val="0"/>
      <w:divBdr>
        <w:top w:val="none" w:sz="0" w:space="0" w:color="auto"/>
        <w:left w:val="none" w:sz="0" w:space="0" w:color="auto"/>
        <w:bottom w:val="none" w:sz="0" w:space="0" w:color="auto"/>
        <w:right w:val="none" w:sz="0" w:space="0" w:color="auto"/>
      </w:divBdr>
    </w:div>
    <w:div w:id="1701129973">
      <w:bodyDiv w:val="1"/>
      <w:marLeft w:val="0"/>
      <w:marRight w:val="0"/>
      <w:marTop w:val="0"/>
      <w:marBottom w:val="0"/>
      <w:divBdr>
        <w:top w:val="none" w:sz="0" w:space="0" w:color="auto"/>
        <w:left w:val="none" w:sz="0" w:space="0" w:color="auto"/>
        <w:bottom w:val="none" w:sz="0" w:space="0" w:color="auto"/>
        <w:right w:val="none" w:sz="0" w:space="0" w:color="auto"/>
      </w:divBdr>
    </w:div>
    <w:div w:id="1701204731">
      <w:bodyDiv w:val="1"/>
      <w:marLeft w:val="0"/>
      <w:marRight w:val="0"/>
      <w:marTop w:val="0"/>
      <w:marBottom w:val="0"/>
      <w:divBdr>
        <w:top w:val="none" w:sz="0" w:space="0" w:color="auto"/>
        <w:left w:val="none" w:sz="0" w:space="0" w:color="auto"/>
        <w:bottom w:val="none" w:sz="0" w:space="0" w:color="auto"/>
        <w:right w:val="none" w:sz="0" w:space="0" w:color="auto"/>
      </w:divBdr>
    </w:div>
    <w:div w:id="1701466969">
      <w:bodyDiv w:val="1"/>
      <w:marLeft w:val="0"/>
      <w:marRight w:val="0"/>
      <w:marTop w:val="0"/>
      <w:marBottom w:val="0"/>
      <w:divBdr>
        <w:top w:val="none" w:sz="0" w:space="0" w:color="auto"/>
        <w:left w:val="none" w:sz="0" w:space="0" w:color="auto"/>
        <w:bottom w:val="none" w:sz="0" w:space="0" w:color="auto"/>
        <w:right w:val="none" w:sz="0" w:space="0" w:color="auto"/>
      </w:divBdr>
    </w:div>
    <w:div w:id="1701591663">
      <w:bodyDiv w:val="1"/>
      <w:marLeft w:val="0"/>
      <w:marRight w:val="0"/>
      <w:marTop w:val="0"/>
      <w:marBottom w:val="0"/>
      <w:divBdr>
        <w:top w:val="none" w:sz="0" w:space="0" w:color="auto"/>
        <w:left w:val="none" w:sz="0" w:space="0" w:color="auto"/>
        <w:bottom w:val="none" w:sz="0" w:space="0" w:color="auto"/>
        <w:right w:val="none" w:sz="0" w:space="0" w:color="auto"/>
      </w:divBdr>
    </w:div>
    <w:div w:id="1701592960">
      <w:bodyDiv w:val="1"/>
      <w:marLeft w:val="0"/>
      <w:marRight w:val="0"/>
      <w:marTop w:val="0"/>
      <w:marBottom w:val="0"/>
      <w:divBdr>
        <w:top w:val="none" w:sz="0" w:space="0" w:color="auto"/>
        <w:left w:val="none" w:sz="0" w:space="0" w:color="auto"/>
        <w:bottom w:val="none" w:sz="0" w:space="0" w:color="auto"/>
        <w:right w:val="none" w:sz="0" w:space="0" w:color="auto"/>
      </w:divBdr>
    </w:div>
    <w:div w:id="1701709281">
      <w:bodyDiv w:val="1"/>
      <w:marLeft w:val="0"/>
      <w:marRight w:val="0"/>
      <w:marTop w:val="0"/>
      <w:marBottom w:val="0"/>
      <w:divBdr>
        <w:top w:val="none" w:sz="0" w:space="0" w:color="auto"/>
        <w:left w:val="none" w:sz="0" w:space="0" w:color="auto"/>
        <w:bottom w:val="none" w:sz="0" w:space="0" w:color="auto"/>
        <w:right w:val="none" w:sz="0" w:space="0" w:color="auto"/>
      </w:divBdr>
    </w:div>
    <w:div w:id="1701709966">
      <w:bodyDiv w:val="1"/>
      <w:marLeft w:val="0"/>
      <w:marRight w:val="0"/>
      <w:marTop w:val="0"/>
      <w:marBottom w:val="0"/>
      <w:divBdr>
        <w:top w:val="none" w:sz="0" w:space="0" w:color="auto"/>
        <w:left w:val="none" w:sz="0" w:space="0" w:color="auto"/>
        <w:bottom w:val="none" w:sz="0" w:space="0" w:color="auto"/>
        <w:right w:val="none" w:sz="0" w:space="0" w:color="auto"/>
      </w:divBdr>
    </w:div>
    <w:div w:id="1701971030">
      <w:bodyDiv w:val="1"/>
      <w:marLeft w:val="0"/>
      <w:marRight w:val="0"/>
      <w:marTop w:val="0"/>
      <w:marBottom w:val="0"/>
      <w:divBdr>
        <w:top w:val="none" w:sz="0" w:space="0" w:color="auto"/>
        <w:left w:val="none" w:sz="0" w:space="0" w:color="auto"/>
        <w:bottom w:val="none" w:sz="0" w:space="0" w:color="auto"/>
        <w:right w:val="none" w:sz="0" w:space="0" w:color="auto"/>
      </w:divBdr>
    </w:div>
    <w:div w:id="1701973870">
      <w:bodyDiv w:val="1"/>
      <w:marLeft w:val="0"/>
      <w:marRight w:val="0"/>
      <w:marTop w:val="0"/>
      <w:marBottom w:val="0"/>
      <w:divBdr>
        <w:top w:val="none" w:sz="0" w:space="0" w:color="auto"/>
        <w:left w:val="none" w:sz="0" w:space="0" w:color="auto"/>
        <w:bottom w:val="none" w:sz="0" w:space="0" w:color="auto"/>
        <w:right w:val="none" w:sz="0" w:space="0" w:color="auto"/>
      </w:divBdr>
    </w:div>
    <w:div w:id="1702053841">
      <w:bodyDiv w:val="1"/>
      <w:marLeft w:val="0"/>
      <w:marRight w:val="0"/>
      <w:marTop w:val="0"/>
      <w:marBottom w:val="0"/>
      <w:divBdr>
        <w:top w:val="none" w:sz="0" w:space="0" w:color="auto"/>
        <w:left w:val="none" w:sz="0" w:space="0" w:color="auto"/>
        <w:bottom w:val="none" w:sz="0" w:space="0" w:color="auto"/>
        <w:right w:val="none" w:sz="0" w:space="0" w:color="auto"/>
      </w:divBdr>
    </w:div>
    <w:div w:id="1702054883">
      <w:bodyDiv w:val="1"/>
      <w:marLeft w:val="0"/>
      <w:marRight w:val="0"/>
      <w:marTop w:val="0"/>
      <w:marBottom w:val="0"/>
      <w:divBdr>
        <w:top w:val="none" w:sz="0" w:space="0" w:color="auto"/>
        <w:left w:val="none" w:sz="0" w:space="0" w:color="auto"/>
        <w:bottom w:val="none" w:sz="0" w:space="0" w:color="auto"/>
        <w:right w:val="none" w:sz="0" w:space="0" w:color="auto"/>
      </w:divBdr>
    </w:div>
    <w:div w:id="1703096789">
      <w:bodyDiv w:val="1"/>
      <w:marLeft w:val="0"/>
      <w:marRight w:val="0"/>
      <w:marTop w:val="0"/>
      <w:marBottom w:val="0"/>
      <w:divBdr>
        <w:top w:val="none" w:sz="0" w:space="0" w:color="auto"/>
        <w:left w:val="none" w:sz="0" w:space="0" w:color="auto"/>
        <w:bottom w:val="none" w:sz="0" w:space="0" w:color="auto"/>
        <w:right w:val="none" w:sz="0" w:space="0" w:color="auto"/>
      </w:divBdr>
    </w:div>
    <w:div w:id="1703551741">
      <w:bodyDiv w:val="1"/>
      <w:marLeft w:val="0"/>
      <w:marRight w:val="0"/>
      <w:marTop w:val="0"/>
      <w:marBottom w:val="0"/>
      <w:divBdr>
        <w:top w:val="none" w:sz="0" w:space="0" w:color="auto"/>
        <w:left w:val="none" w:sz="0" w:space="0" w:color="auto"/>
        <w:bottom w:val="none" w:sz="0" w:space="0" w:color="auto"/>
        <w:right w:val="none" w:sz="0" w:space="0" w:color="auto"/>
      </w:divBdr>
    </w:div>
    <w:div w:id="1703632970">
      <w:bodyDiv w:val="1"/>
      <w:marLeft w:val="0"/>
      <w:marRight w:val="0"/>
      <w:marTop w:val="0"/>
      <w:marBottom w:val="0"/>
      <w:divBdr>
        <w:top w:val="none" w:sz="0" w:space="0" w:color="auto"/>
        <w:left w:val="none" w:sz="0" w:space="0" w:color="auto"/>
        <w:bottom w:val="none" w:sz="0" w:space="0" w:color="auto"/>
        <w:right w:val="none" w:sz="0" w:space="0" w:color="auto"/>
      </w:divBdr>
    </w:div>
    <w:div w:id="1703942198">
      <w:bodyDiv w:val="1"/>
      <w:marLeft w:val="0"/>
      <w:marRight w:val="0"/>
      <w:marTop w:val="0"/>
      <w:marBottom w:val="0"/>
      <w:divBdr>
        <w:top w:val="none" w:sz="0" w:space="0" w:color="auto"/>
        <w:left w:val="none" w:sz="0" w:space="0" w:color="auto"/>
        <w:bottom w:val="none" w:sz="0" w:space="0" w:color="auto"/>
        <w:right w:val="none" w:sz="0" w:space="0" w:color="auto"/>
      </w:divBdr>
    </w:div>
    <w:div w:id="1703943095">
      <w:bodyDiv w:val="1"/>
      <w:marLeft w:val="0"/>
      <w:marRight w:val="0"/>
      <w:marTop w:val="0"/>
      <w:marBottom w:val="0"/>
      <w:divBdr>
        <w:top w:val="none" w:sz="0" w:space="0" w:color="auto"/>
        <w:left w:val="none" w:sz="0" w:space="0" w:color="auto"/>
        <w:bottom w:val="none" w:sz="0" w:space="0" w:color="auto"/>
        <w:right w:val="none" w:sz="0" w:space="0" w:color="auto"/>
      </w:divBdr>
    </w:div>
    <w:div w:id="1704597781">
      <w:bodyDiv w:val="1"/>
      <w:marLeft w:val="0"/>
      <w:marRight w:val="0"/>
      <w:marTop w:val="0"/>
      <w:marBottom w:val="0"/>
      <w:divBdr>
        <w:top w:val="none" w:sz="0" w:space="0" w:color="auto"/>
        <w:left w:val="none" w:sz="0" w:space="0" w:color="auto"/>
        <w:bottom w:val="none" w:sz="0" w:space="0" w:color="auto"/>
        <w:right w:val="none" w:sz="0" w:space="0" w:color="auto"/>
      </w:divBdr>
    </w:div>
    <w:div w:id="1705208847">
      <w:bodyDiv w:val="1"/>
      <w:marLeft w:val="0"/>
      <w:marRight w:val="0"/>
      <w:marTop w:val="0"/>
      <w:marBottom w:val="0"/>
      <w:divBdr>
        <w:top w:val="none" w:sz="0" w:space="0" w:color="auto"/>
        <w:left w:val="none" w:sz="0" w:space="0" w:color="auto"/>
        <w:bottom w:val="none" w:sz="0" w:space="0" w:color="auto"/>
        <w:right w:val="none" w:sz="0" w:space="0" w:color="auto"/>
      </w:divBdr>
    </w:div>
    <w:div w:id="1705405987">
      <w:bodyDiv w:val="1"/>
      <w:marLeft w:val="0"/>
      <w:marRight w:val="0"/>
      <w:marTop w:val="0"/>
      <w:marBottom w:val="0"/>
      <w:divBdr>
        <w:top w:val="none" w:sz="0" w:space="0" w:color="auto"/>
        <w:left w:val="none" w:sz="0" w:space="0" w:color="auto"/>
        <w:bottom w:val="none" w:sz="0" w:space="0" w:color="auto"/>
        <w:right w:val="none" w:sz="0" w:space="0" w:color="auto"/>
      </w:divBdr>
    </w:div>
    <w:div w:id="1705447822">
      <w:bodyDiv w:val="1"/>
      <w:marLeft w:val="0"/>
      <w:marRight w:val="0"/>
      <w:marTop w:val="0"/>
      <w:marBottom w:val="0"/>
      <w:divBdr>
        <w:top w:val="none" w:sz="0" w:space="0" w:color="auto"/>
        <w:left w:val="none" w:sz="0" w:space="0" w:color="auto"/>
        <w:bottom w:val="none" w:sz="0" w:space="0" w:color="auto"/>
        <w:right w:val="none" w:sz="0" w:space="0" w:color="auto"/>
      </w:divBdr>
    </w:div>
    <w:div w:id="1705593286">
      <w:bodyDiv w:val="1"/>
      <w:marLeft w:val="0"/>
      <w:marRight w:val="0"/>
      <w:marTop w:val="0"/>
      <w:marBottom w:val="0"/>
      <w:divBdr>
        <w:top w:val="none" w:sz="0" w:space="0" w:color="auto"/>
        <w:left w:val="none" w:sz="0" w:space="0" w:color="auto"/>
        <w:bottom w:val="none" w:sz="0" w:space="0" w:color="auto"/>
        <w:right w:val="none" w:sz="0" w:space="0" w:color="auto"/>
      </w:divBdr>
    </w:div>
    <w:div w:id="1705784789">
      <w:bodyDiv w:val="1"/>
      <w:marLeft w:val="0"/>
      <w:marRight w:val="0"/>
      <w:marTop w:val="0"/>
      <w:marBottom w:val="0"/>
      <w:divBdr>
        <w:top w:val="none" w:sz="0" w:space="0" w:color="auto"/>
        <w:left w:val="none" w:sz="0" w:space="0" w:color="auto"/>
        <w:bottom w:val="none" w:sz="0" w:space="0" w:color="auto"/>
        <w:right w:val="none" w:sz="0" w:space="0" w:color="auto"/>
      </w:divBdr>
    </w:div>
    <w:div w:id="1705904821">
      <w:bodyDiv w:val="1"/>
      <w:marLeft w:val="0"/>
      <w:marRight w:val="0"/>
      <w:marTop w:val="0"/>
      <w:marBottom w:val="0"/>
      <w:divBdr>
        <w:top w:val="none" w:sz="0" w:space="0" w:color="auto"/>
        <w:left w:val="none" w:sz="0" w:space="0" w:color="auto"/>
        <w:bottom w:val="none" w:sz="0" w:space="0" w:color="auto"/>
        <w:right w:val="none" w:sz="0" w:space="0" w:color="auto"/>
      </w:divBdr>
    </w:div>
    <w:div w:id="1705908770">
      <w:bodyDiv w:val="1"/>
      <w:marLeft w:val="0"/>
      <w:marRight w:val="0"/>
      <w:marTop w:val="0"/>
      <w:marBottom w:val="0"/>
      <w:divBdr>
        <w:top w:val="none" w:sz="0" w:space="0" w:color="auto"/>
        <w:left w:val="none" w:sz="0" w:space="0" w:color="auto"/>
        <w:bottom w:val="none" w:sz="0" w:space="0" w:color="auto"/>
        <w:right w:val="none" w:sz="0" w:space="0" w:color="auto"/>
      </w:divBdr>
    </w:div>
    <w:div w:id="1705981860">
      <w:bodyDiv w:val="1"/>
      <w:marLeft w:val="0"/>
      <w:marRight w:val="0"/>
      <w:marTop w:val="0"/>
      <w:marBottom w:val="0"/>
      <w:divBdr>
        <w:top w:val="none" w:sz="0" w:space="0" w:color="auto"/>
        <w:left w:val="none" w:sz="0" w:space="0" w:color="auto"/>
        <w:bottom w:val="none" w:sz="0" w:space="0" w:color="auto"/>
        <w:right w:val="none" w:sz="0" w:space="0" w:color="auto"/>
      </w:divBdr>
    </w:div>
    <w:div w:id="1706178645">
      <w:bodyDiv w:val="1"/>
      <w:marLeft w:val="0"/>
      <w:marRight w:val="0"/>
      <w:marTop w:val="0"/>
      <w:marBottom w:val="0"/>
      <w:divBdr>
        <w:top w:val="none" w:sz="0" w:space="0" w:color="auto"/>
        <w:left w:val="none" w:sz="0" w:space="0" w:color="auto"/>
        <w:bottom w:val="none" w:sz="0" w:space="0" w:color="auto"/>
        <w:right w:val="none" w:sz="0" w:space="0" w:color="auto"/>
      </w:divBdr>
    </w:div>
    <w:div w:id="1706517552">
      <w:bodyDiv w:val="1"/>
      <w:marLeft w:val="0"/>
      <w:marRight w:val="0"/>
      <w:marTop w:val="0"/>
      <w:marBottom w:val="0"/>
      <w:divBdr>
        <w:top w:val="none" w:sz="0" w:space="0" w:color="auto"/>
        <w:left w:val="none" w:sz="0" w:space="0" w:color="auto"/>
        <w:bottom w:val="none" w:sz="0" w:space="0" w:color="auto"/>
        <w:right w:val="none" w:sz="0" w:space="0" w:color="auto"/>
      </w:divBdr>
    </w:div>
    <w:div w:id="1706633761">
      <w:bodyDiv w:val="1"/>
      <w:marLeft w:val="0"/>
      <w:marRight w:val="0"/>
      <w:marTop w:val="0"/>
      <w:marBottom w:val="0"/>
      <w:divBdr>
        <w:top w:val="none" w:sz="0" w:space="0" w:color="auto"/>
        <w:left w:val="none" w:sz="0" w:space="0" w:color="auto"/>
        <w:bottom w:val="none" w:sz="0" w:space="0" w:color="auto"/>
        <w:right w:val="none" w:sz="0" w:space="0" w:color="auto"/>
      </w:divBdr>
    </w:div>
    <w:div w:id="1706830604">
      <w:bodyDiv w:val="1"/>
      <w:marLeft w:val="0"/>
      <w:marRight w:val="0"/>
      <w:marTop w:val="0"/>
      <w:marBottom w:val="0"/>
      <w:divBdr>
        <w:top w:val="none" w:sz="0" w:space="0" w:color="auto"/>
        <w:left w:val="none" w:sz="0" w:space="0" w:color="auto"/>
        <w:bottom w:val="none" w:sz="0" w:space="0" w:color="auto"/>
        <w:right w:val="none" w:sz="0" w:space="0" w:color="auto"/>
      </w:divBdr>
    </w:div>
    <w:div w:id="1706978675">
      <w:bodyDiv w:val="1"/>
      <w:marLeft w:val="0"/>
      <w:marRight w:val="0"/>
      <w:marTop w:val="0"/>
      <w:marBottom w:val="0"/>
      <w:divBdr>
        <w:top w:val="none" w:sz="0" w:space="0" w:color="auto"/>
        <w:left w:val="none" w:sz="0" w:space="0" w:color="auto"/>
        <w:bottom w:val="none" w:sz="0" w:space="0" w:color="auto"/>
        <w:right w:val="none" w:sz="0" w:space="0" w:color="auto"/>
      </w:divBdr>
    </w:div>
    <w:div w:id="1707214218">
      <w:bodyDiv w:val="1"/>
      <w:marLeft w:val="0"/>
      <w:marRight w:val="0"/>
      <w:marTop w:val="0"/>
      <w:marBottom w:val="0"/>
      <w:divBdr>
        <w:top w:val="none" w:sz="0" w:space="0" w:color="auto"/>
        <w:left w:val="none" w:sz="0" w:space="0" w:color="auto"/>
        <w:bottom w:val="none" w:sz="0" w:space="0" w:color="auto"/>
        <w:right w:val="none" w:sz="0" w:space="0" w:color="auto"/>
      </w:divBdr>
    </w:div>
    <w:div w:id="1707287992">
      <w:bodyDiv w:val="1"/>
      <w:marLeft w:val="0"/>
      <w:marRight w:val="0"/>
      <w:marTop w:val="0"/>
      <w:marBottom w:val="0"/>
      <w:divBdr>
        <w:top w:val="none" w:sz="0" w:space="0" w:color="auto"/>
        <w:left w:val="none" w:sz="0" w:space="0" w:color="auto"/>
        <w:bottom w:val="none" w:sz="0" w:space="0" w:color="auto"/>
        <w:right w:val="none" w:sz="0" w:space="0" w:color="auto"/>
      </w:divBdr>
    </w:div>
    <w:div w:id="1707441167">
      <w:bodyDiv w:val="1"/>
      <w:marLeft w:val="0"/>
      <w:marRight w:val="0"/>
      <w:marTop w:val="0"/>
      <w:marBottom w:val="0"/>
      <w:divBdr>
        <w:top w:val="none" w:sz="0" w:space="0" w:color="auto"/>
        <w:left w:val="none" w:sz="0" w:space="0" w:color="auto"/>
        <w:bottom w:val="none" w:sz="0" w:space="0" w:color="auto"/>
        <w:right w:val="none" w:sz="0" w:space="0" w:color="auto"/>
      </w:divBdr>
    </w:div>
    <w:div w:id="1707561784">
      <w:bodyDiv w:val="1"/>
      <w:marLeft w:val="0"/>
      <w:marRight w:val="0"/>
      <w:marTop w:val="0"/>
      <w:marBottom w:val="0"/>
      <w:divBdr>
        <w:top w:val="none" w:sz="0" w:space="0" w:color="auto"/>
        <w:left w:val="none" w:sz="0" w:space="0" w:color="auto"/>
        <w:bottom w:val="none" w:sz="0" w:space="0" w:color="auto"/>
        <w:right w:val="none" w:sz="0" w:space="0" w:color="auto"/>
      </w:divBdr>
    </w:div>
    <w:div w:id="1707829727">
      <w:bodyDiv w:val="1"/>
      <w:marLeft w:val="0"/>
      <w:marRight w:val="0"/>
      <w:marTop w:val="0"/>
      <w:marBottom w:val="0"/>
      <w:divBdr>
        <w:top w:val="none" w:sz="0" w:space="0" w:color="auto"/>
        <w:left w:val="none" w:sz="0" w:space="0" w:color="auto"/>
        <w:bottom w:val="none" w:sz="0" w:space="0" w:color="auto"/>
        <w:right w:val="none" w:sz="0" w:space="0" w:color="auto"/>
      </w:divBdr>
    </w:div>
    <w:div w:id="1707950996">
      <w:bodyDiv w:val="1"/>
      <w:marLeft w:val="0"/>
      <w:marRight w:val="0"/>
      <w:marTop w:val="0"/>
      <w:marBottom w:val="0"/>
      <w:divBdr>
        <w:top w:val="none" w:sz="0" w:space="0" w:color="auto"/>
        <w:left w:val="none" w:sz="0" w:space="0" w:color="auto"/>
        <w:bottom w:val="none" w:sz="0" w:space="0" w:color="auto"/>
        <w:right w:val="none" w:sz="0" w:space="0" w:color="auto"/>
      </w:divBdr>
    </w:div>
    <w:div w:id="1708531136">
      <w:bodyDiv w:val="1"/>
      <w:marLeft w:val="0"/>
      <w:marRight w:val="0"/>
      <w:marTop w:val="0"/>
      <w:marBottom w:val="0"/>
      <w:divBdr>
        <w:top w:val="none" w:sz="0" w:space="0" w:color="auto"/>
        <w:left w:val="none" w:sz="0" w:space="0" w:color="auto"/>
        <w:bottom w:val="none" w:sz="0" w:space="0" w:color="auto"/>
        <w:right w:val="none" w:sz="0" w:space="0" w:color="auto"/>
      </w:divBdr>
    </w:div>
    <w:div w:id="1708597936">
      <w:bodyDiv w:val="1"/>
      <w:marLeft w:val="0"/>
      <w:marRight w:val="0"/>
      <w:marTop w:val="0"/>
      <w:marBottom w:val="0"/>
      <w:divBdr>
        <w:top w:val="none" w:sz="0" w:space="0" w:color="auto"/>
        <w:left w:val="none" w:sz="0" w:space="0" w:color="auto"/>
        <w:bottom w:val="none" w:sz="0" w:space="0" w:color="auto"/>
        <w:right w:val="none" w:sz="0" w:space="0" w:color="auto"/>
      </w:divBdr>
    </w:div>
    <w:div w:id="1708679145">
      <w:bodyDiv w:val="1"/>
      <w:marLeft w:val="0"/>
      <w:marRight w:val="0"/>
      <w:marTop w:val="0"/>
      <w:marBottom w:val="0"/>
      <w:divBdr>
        <w:top w:val="none" w:sz="0" w:space="0" w:color="auto"/>
        <w:left w:val="none" w:sz="0" w:space="0" w:color="auto"/>
        <w:bottom w:val="none" w:sz="0" w:space="0" w:color="auto"/>
        <w:right w:val="none" w:sz="0" w:space="0" w:color="auto"/>
      </w:divBdr>
    </w:div>
    <w:div w:id="1708749951">
      <w:bodyDiv w:val="1"/>
      <w:marLeft w:val="0"/>
      <w:marRight w:val="0"/>
      <w:marTop w:val="0"/>
      <w:marBottom w:val="0"/>
      <w:divBdr>
        <w:top w:val="none" w:sz="0" w:space="0" w:color="auto"/>
        <w:left w:val="none" w:sz="0" w:space="0" w:color="auto"/>
        <w:bottom w:val="none" w:sz="0" w:space="0" w:color="auto"/>
        <w:right w:val="none" w:sz="0" w:space="0" w:color="auto"/>
      </w:divBdr>
    </w:div>
    <w:div w:id="1709141105">
      <w:bodyDiv w:val="1"/>
      <w:marLeft w:val="0"/>
      <w:marRight w:val="0"/>
      <w:marTop w:val="0"/>
      <w:marBottom w:val="0"/>
      <w:divBdr>
        <w:top w:val="none" w:sz="0" w:space="0" w:color="auto"/>
        <w:left w:val="none" w:sz="0" w:space="0" w:color="auto"/>
        <w:bottom w:val="none" w:sz="0" w:space="0" w:color="auto"/>
        <w:right w:val="none" w:sz="0" w:space="0" w:color="auto"/>
      </w:divBdr>
    </w:div>
    <w:div w:id="1709141828">
      <w:bodyDiv w:val="1"/>
      <w:marLeft w:val="0"/>
      <w:marRight w:val="0"/>
      <w:marTop w:val="0"/>
      <w:marBottom w:val="0"/>
      <w:divBdr>
        <w:top w:val="none" w:sz="0" w:space="0" w:color="auto"/>
        <w:left w:val="none" w:sz="0" w:space="0" w:color="auto"/>
        <w:bottom w:val="none" w:sz="0" w:space="0" w:color="auto"/>
        <w:right w:val="none" w:sz="0" w:space="0" w:color="auto"/>
      </w:divBdr>
    </w:div>
    <w:div w:id="1709142167">
      <w:bodyDiv w:val="1"/>
      <w:marLeft w:val="0"/>
      <w:marRight w:val="0"/>
      <w:marTop w:val="0"/>
      <w:marBottom w:val="0"/>
      <w:divBdr>
        <w:top w:val="none" w:sz="0" w:space="0" w:color="auto"/>
        <w:left w:val="none" w:sz="0" w:space="0" w:color="auto"/>
        <w:bottom w:val="none" w:sz="0" w:space="0" w:color="auto"/>
        <w:right w:val="none" w:sz="0" w:space="0" w:color="auto"/>
      </w:divBdr>
    </w:div>
    <w:div w:id="1709254447">
      <w:bodyDiv w:val="1"/>
      <w:marLeft w:val="0"/>
      <w:marRight w:val="0"/>
      <w:marTop w:val="0"/>
      <w:marBottom w:val="0"/>
      <w:divBdr>
        <w:top w:val="none" w:sz="0" w:space="0" w:color="auto"/>
        <w:left w:val="none" w:sz="0" w:space="0" w:color="auto"/>
        <w:bottom w:val="none" w:sz="0" w:space="0" w:color="auto"/>
        <w:right w:val="none" w:sz="0" w:space="0" w:color="auto"/>
      </w:divBdr>
    </w:div>
    <w:div w:id="1709454275">
      <w:bodyDiv w:val="1"/>
      <w:marLeft w:val="0"/>
      <w:marRight w:val="0"/>
      <w:marTop w:val="0"/>
      <w:marBottom w:val="0"/>
      <w:divBdr>
        <w:top w:val="none" w:sz="0" w:space="0" w:color="auto"/>
        <w:left w:val="none" w:sz="0" w:space="0" w:color="auto"/>
        <w:bottom w:val="none" w:sz="0" w:space="0" w:color="auto"/>
        <w:right w:val="none" w:sz="0" w:space="0" w:color="auto"/>
      </w:divBdr>
    </w:div>
    <w:div w:id="1709522072">
      <w:bodyDiv w:val="1"/>
      <w:marLeft w:val="0"/>
      <w:marRight w:val="0"/>
      <w:marTop w:val="0"/>
      <w:marBottom w:val="0"/>
      <w:divBdr>
        <w:top w:val="none" w:sz="0" w:space="0" w:color="auto"/>
        <w:left w:val="none" w:sz="0" w:space="0" w:color="auto"/>
        <w:bottom w:val="none" w:sz="0" w:space="0" w:color="auto"/>
        <w:right w:val="none" w:sz="0" w:space="0" w:color="auto"/>
      </w:divBdr>
    </w:div>
    <w:div w:id="1709641347">
      <w:bodyDiv w:val="1"/>
      <w:marLeft w:val="0"/>
      <w:marRight w:val="0"/>
      <w:marTop w:val="0"/>
      <w:marBottom w:val="0"/>
      <w:divBdr>
        <w:top w:val="none" w:sz="0" w:space="0" w:color="auto"/>
        <w:left w:val="none" w:sz="0" w:space="0" w:color="auto"/>
        <w:bottom w:val="none" w:sz="0" w:space="0" w:color="auto"/>
        <w:right w:val="none" w:sz="0" w:space="0" w:color="auto"/>
      </w:divBdr>
    </w:div>
    <w:div w:id="1710952562">
      <w:bodyDiv w:val="1"/>
      <w:marLeft w:val="0"/>
      <w:marRight w:val="0"/>
      <w:marTop w:val="0"/>
      <w:marBottom w:val="0"/>
      <w:divBdr>
        <w:top w:val="none" w:sz="0" w:space="0" w:color="auto"/>
        <w:left w:val="none" w:sz="0" w:space="0" w:color="auto"/>
        <w:bottom w:val="none" w:sz="0" w:space="0" w:color="auto"/>
        <w:right w:val="none" w:sz="0" w:space="0" w:color="auto"/>
      </w:divBdr>
    </w:div>
    <w:div w:id="1711224618">
      <w:bodyDiv w:val="1"/>
      <w:marLeft w:val="0"/>
      <w:marRight w:val="0"/>
      <w:marTop w:val="0"/>
      <w:marBottom w:val="0"/>
      <w:divBdr>
        <w:top w:val="none" w:sz="0" w:space="0" w:color="auto"/>
        <w:left w:val="none" w:sz="0" w:space="0" w:color="auto"/>
        <w:bottom w:val="none" w:sz="0" w:space="0" w:color="auto"/>
        <w:right w:val="none" w:sz="0" w:space="0" w:color="auto"/>
      </w:divBdr>
    </w:div>
    <w:div w:id="1711416509">
      <w:bodyDiv w:val="1"/>
      <w:marLeft w:val="0"/>
      <w:marRight w:val="0"/>
      <w:marTop w:val="0"/>
      <w:marBottom w:val="0"/>
      <w:divBdr>
        <w:top w:val="none" w:sz="0" w:space="0" w:color="auto"/>
        <w:left w:val="none" w:sz="0" w:space="0" w:color="auto"/>
        <w:bottom w:val="none" w:sz="0" w:space="0" w:color="auto"/>
        <w:right w:val="none" w:sz="0" w:space="0" w:color="auto"/>
      </w:divBdr>
    </w:div>
    <w:div w:id="1711803020">
      <w:bodyDiv w:val="1"/>
      <w:marLeft w:val="0"/>
      <w:marRight w:val="0"/>
      <w:marTop w:val="0"/>
      <w:marBottom w:val="0"/>
      <w:divBdr>
        <w:top w:val="none" w:sz="0" w:space="0" w:color="auto"/>
        <w:left w:val="none" w:sz="0" w:space="0" w:color="auto"/>
        <w:bottom w:val="none" w:sz="0" w:space="0" w:color="auto"/>
        <w:right w:val="none" w:sz="0" w:space="0" w:color="auto"/>
      </w:divBdr>
    </w:div>
    <w:div w:id="1711874972">
      <w:bodyDiv w:val="1"/>
      <w:marLeft w:val="0"/>
      <w:marRight w:val="0"/>
      <w:marTop w:val="0"/>
      <w:marBottom w:val="0"/>
      <w:divBdr>
        <w:top w:val="none" w:sz="0" w:space="0" w:color="auto"/>
        <w:left w:val="none" w:sz="0" w:space="0" w:color="auto"/>
        <w:bottom w:val="none" w:sz="0" w:space="0" w:color="auto"/>
        <w:right w:val="none" w:sz="0" w:space="0" w:color="auto"/>
      </w:divBdr>
    </w:div>
    <w:div w:id="1711875828">
      <w:bodyDiv w:val="1"/>
      <w:marLeft w:val="0"/>
      <w:marRight w:val="0"/>
      <w:marTop w:val="0"/>
      <w:marBottom w:val="0"/>
      <w:divBdr>
        <w:top w:val="none" w:sz="0" w:space="0" w:color="auto"/>
        <w:left w:val="none" w:sz="0" w:space="0" w:color="auto"/>
        <w:bottom w:val="none" w:sz="0" w:space="0" w:color="auto"/>
        <w:right w:val="none" w:sz="0" w:space="0" w:color="auto"/>
      </w:divBdr>
    </w:div>
    <w:div w:id="1712072316">
      <w:bodyDiv w:val="1"/>
      <w:marLeft w:val="0"/>
      <w:marRight w:val="0"/>
      <w:marTop w:val="0"/>
      <w:marBottom w:val="0"/>
      <w:divBdr>
        <w:top w:val="none" w:sz="0" w:space="0" w:color="auto"/>
        <w:left w:val="none" w:sz="0" w:space="0" w:color="auto"/>
        <w:bottom w:val="none" w:sz="0" w:space="0" w:color="auto"/>
        <w:right w:val="none" w:sz="0" w:space="0" w:color="auto"/>
      </w:divBdr>
    </w:div>
    <w:div w:id="1712149129">
      <w:bodyDiv w:val="1"/>
      <w:marLeft w:val="0"/>
      <w:marRight w:val="0"/>
      <w:marTop w:val="0"/>
      <w:marBottom w:val="0"/>
      <w:divBdr>
        <w:top w:val="none" w:sz="0" w:space="0" w:color="auto"/>
        <w:left w:val="none" w:sz="0" w:space="0" w:color="auto"/>
        <w:bottom w:val="none" w:sz="0" w:space="0" w:color="auto"/>
        <w:right w:val="none" w:sz="0" w:space="0" w:color="auto"/>
      </w:divBdr>
    </w:div>
    <w:div w:id="1712263711">
      <w:bodyDiv w:val="1"/>
      <w:marLeft w:val="0"/>
      <w:marRight w:val="0"/>
      <w:marTop w:val="0"/>
      <w:marBottom w:val="0"/>
      <w:divBdr>
        <w:top w:val="none" w:sz="0" w:space="0" w:color="auto"/>
        <w:left w:val="none" w:sz="0" w:space="0" w:color="auto"/>
        <w:bottom w:val="none" w:sz="0" w:space="0" w:color="auto"/>
        <w:right w:val="none" w:sz="0" w:space="0" w:color="auto"/>
      </w:divBdr>
    </w:div>
    <w:div w:id="1712267130">
      <w:bodyDiv w:val="1"/>
      <w:marLeft w:val="0"/>
      <w:marRight w:val="0"/>
      <w:marTop w:val="0"/>
      <w:marBottom w:val="0"/>
      <w:divBdr>
        <w:top w:val="none" w:sz="0" w:space="0" w:color="auto"/>
        <w:left w:val="none" w:sz="0" w:space="0" w:color="auto"/>
        <w:bottom w:val="none" w:sz="0" w:space="0" w:color="auto"/>
        <w:right w:val="none" w:sz="0" w:space="0" w:color="auto"/>
      </w:divBdr>
    </w:div>
    <w:div w:id="1712488399">
      <w:bodyDiv w:val="1"/>
      <w:marLeft w:val="0"/>
      <w:marRight w:val="0"/>
      <w:marTop w:val="0"/>
      <w:marBottom w:val="0"/>
      <w:divBdr>
        <w:top w:val="none" w:sz="0" w:space="0" w:color="auto"/>
        <w:left w:val="none" w:sz="0" w:space="0" w:color="auto"/>
        <w:bottom w:val="none" w:sz="0" w:space="0" w:color="auto"/>
        <w:right w:val="none" w:sz="0" w:space="0" w:color="auto"/>
      </w:divBdr>
    </w:div>
    <w:div w:id="1712539313">
      <w:bodyDiv w:val="1"/>
      <w:marLeft w:val="0"/>
      <w:marRight w:val="0"/>
      <w:marTop w:val="0"/>
      <w:marBottom w:val="0"/>
      <w:divBdr>
        <w:top w:val="none" w:sz="0" w:space="0" w:color="auto"/>
        <w:left w:val="none" w:sz="0" w:space="0" w:color="auto"/>
        <w:bottom w:val="none" w:sz="0" w:space="0" w:color="auto"/>
        <w:right w:val="none" w:sz="0" w:space="0" w:color="auto"/>
      </w:divBdr>
    </w:div>
    <w:div w:id="1712606411">
      <w:bodyDiv w:val="1"/>
      <w:marLeft w:val="0"/>
      <w:marRight w:val="0"/>
      <w:marTop w:val="0"/>
      <w:marBottom w:val="0"/>
      <w:divBdr>
        <w:top w:val="none" w:sz="0" w:space="0" w:color="auto"/>
        <w:left w:val="none" w:sz="0" w:space="0" w:color="auto"/>
        <w:bottom w:val="none" w:sz="0" w:space="0" w:color="auto"/>
        <w:right w:val="none" w:sz="0" w:space="0" w:color="auto"/>
      </w:divBdr>
    </w:div>
    <w:div w:id="1712722901">
      <w:bodyDiv w:val="1"/>
      <w:marLeft w:val="0"/>
      <w:marRight w:val="0"/>
      <w:marTop w:val="0"/>
      <w:marBottom w:val="0"/>
      <w:divBdr>
        <w:top w:val="none" w:sz="0" w:space="0" w:color="auto"/>
        <w:left w:val="none" w:sz="0" w:space="0" w:color="auto"/>
        <w:bottom w:val="none" w:sz="0" w:space="0" w:color="auto"/>
        <w:right w:val="none" w:sz="0" w:space="0" w:color="auto"/>
      </w:divBdr>
    </w:div>
    <w:div w:id="1712806466">
      <w:bodyDiv w:val="1"/>
      <w:marLeft w:val="0"/>
      <w:marRight w:val="0"/>
      <w:marTop w:val="0"/>
      <w:marBottom w:val="0"/>
      <w:divBdr>
        <w:top w:val="none" w:sz="0" w:space="0" w:color="auto"/>
        <w:left w:val="none" w:sz="0" w:space="0" w:color="auto"/>
        <w:bottom w:val="none" w:sz="0" w:space="0" w:color="auto"/>
        <w:right w:val="none" w:sz="0" w:space="0" w:color="auto"/>
      </w:divBdr>
    </w:div>
    <w:div w:id="1712849818">
      <w:bodyDiv w:val="1"/>
      <w:marLeft w:val="0"/>
      <w:marRight w:val="0"/>
      <w:marTop w:val="0"/>
      <w:marBottom w:val="0"/>
      <w:divBdr>
        <w:top w:val="none" w:sz="0" w:space="0" w:color="auto"/>
        <w:left w:val="none" w:sz="0" w:space="0" w:color="auto"/>
        <w:bottom w:val="none" w:sz="0" w:space="0" w:color="auto"/>
        <w:right w:val="none" w:sz="0" w:space="0" w:color="auto"/>
      </w:divBdr>
    </w:div>
    <w:div w:id="1712993639">
      <w:bodyDiv w:val="1"/>
      <w:marLeft w:val="0"/>
      <w:marRight w:val="0"/>
      <w:marTop w:val="0"/>
      <w:marBottom w:val="0"/>
      <w:divBdr>
        <w:top w:val="none" w:sz="0" w:space="0" w:color="auto"/>
        <w:left w:val="none" w:sz="0" w:space="0" w:color="auto"/>
        <w:bottom w:val="none" w:sz="0" w:space="0" w:color="auto"/>
        <w:right w:val="none" w:sz="0" w:space="0" w:color="auto"/>
      </w:divBdr>
    </w:div>
    <w:div w:id="1713114287">
      <w:bodyDiv w:val="1"/>
      <w:marLeft w:val="0"/>
      <w:marRight w:val="0"/>
      <w:marTop w:val="0"/>
      <w:marBottom w:val="0"/>
      <w:divBdr>
        <w:top w:val="none" w:sz="0" w:space="0" w:color="auto"/>
        <w:left w:val="none" w:sz="0" w:space="0" w:color="auto"/>
        <w:bottom w:val="none" w:sz="0" w:space="0" w:color="auto"/>
        <w:right w:val="none" w:sz="0" w:space="0" w:color="auto"/>
      </w:divBdr>
    </w:div>
    <w:div w:id="1713114737">
      <w:bodyDiv w:val="1"/>
      <w:marLeft w:val="0"/>
      <w:marRight w:val="0"/>
      <w:marTop w:val="0"/>
      <w:marBottom w:val="0"/>
      <w:divBdr>
        <w:top w:val="none" w:sz="0" w:space="0" w:color="auto"/>
        <w:left w:val="none" w:sz="0" w:space="0" w:color="auto"/>
        <w:bottom w:val="none" w:sz="0" w:space="0" w:color="auto"/>
        <w:right w:val="none" w:sz="0" w:space="0" w:color="auto"/>
      </w:divBdr>
    </w:div>
    <w:div w:id="1713115329">
      <w:bodyDiv w:val="1"/>
      <w:marLeft w:val="0"/>
      <w:marRight w:val="0"/>
      <w:marTop w:val="0"/>
      <w:marBottom w:val="0"/>
      <w:divBdr>
        <w:top w:val="none" w:sz="0" w:space="0" w:color="auto"/>
        <w:left w:val="none" w:sz="0" w:space="0" w:color="auto"/>
        <w:bottom w:val="none" w:sz="0" w:space="0" w:color="auto"/>
        <w:right w:val="none" w:sz="0" w:space="0" w:color="auto"/>
      </w:divBdr>
    </w:div>
    <w:div w:id="1713118366">
      <w:bodyDiv w:val="1"/>
      <w:marLeft w:val="0"/>
      <w:marRight w:val="0"/>
      <w:marTop w:val="0"/>
      <w:marBottom w:val="0"/>
      <w:divBdr>
        <w:top w:val="none" w:sz="0" w:space="0" w:color="auto"/>
        <w:left w:val="none" w:sz="0" w:space="0" w:color="auto"/>
        <w:bottom w:val="none" w:sz="0" w:space="0" w:color="auto"/>
        <w:right w:val="none" w:sz="0" w:space="0" w:color="auto"/>
      </w:divBdr>
    </w:div>
    <w:div w:id="1713531169">
      <w:bodyDiv w:val="1"/>
      <w:marLeft w:val="0"/>
      <w:marRight w:val="0"/>
      <w:marTop w:val="0"/>
      <w:marBottom w:val="0"/>
      <w:divBdr>
        <w:top w:val="none" w:sz="0" w:space="0" w:color="auto"/>
        <w:left w:val="none" w:sz="0" w:space="0" w:color="auto"/>
        <w:bottom w:val="none" w:sz="0" w:space="0" w:color="auto"/>
        <w:right w:val="none" w:sz="0" w:space="0" w:color="auto"/>
      </w:divBdr>
    </w:div>
    <w:div w:id="1713767780">
      <w:bodyDiv w:val="1"/>
      <w:marLeft w:val="0"/>
      <w:marRight w:val="0"/>
      <w:marTop w:val="0"/>
      <w:marBottom w:val="0"/>
      <w:divBdr>
        <w:top w:val="none" w:sz="0" w:space="0" w:color="auto"/>
        <w:left w:val="none" w:sz="0" w:space="0" w:color="auto"/>
        <w:bottom w:val="none" w:sz="0" w:space="0" w:color="auto"/>
        <w:right w:val="none" w:sz="0" w:space="0" w:color="auto"/>
      </w:divBdr>
    </w:div>
    <w:div w:id="1713916184">
      <w:bodyDiv w:val="1"/>
      <w:marLeft w:val="0"/>
      <w:marRight w:val="0"/>
      <w:marTop w:val="0"/>
      <w:marBottom w:val="0"/>
      <w:divBdr>
        <w:top w:val="none" w:sz="0" w:space="0" w:color="auto"/>
        <w:left w:val="none" w:sz="0" w:space="0" w:color="auto"/>
        <w:bottom w:val="none" w:sz="0" w:space="0" w:color="auto"/>
        <w:right w:val="none" w:sz="0" w:space="0" w:color="auto"/>
      </w:divBdr>
    </w:div>
    <w:div w:id="1714111163">
      <w:bodyDiv w:val="1"/>
      <w:marLeft w:val="0"/>
      <w:marRight w:val="0"/>
      <w:marTop w:val="0"/>
      <w:marBottom w:val="0"/>
      <w:divBdr>
        <w:top w:val="none" w:sz="0" w:space="0" w:color="auto"/>
        <w:left w:val="none" w:sz="0" w:space="0" w:color="auto"/>
        <w:bottom w:val="none" w:sz="0" w:space="0" w:color="auto"/>
        <w:right w:val="none" w:sz="0" w:space="0" w:color="auto"/>
      </w:divBdr>
    </w:div>
    <w:div w:id="1714160879">
      <w:bodyDiv w:val="1"/>
      <w:marLeft w:val="0"/>
      <w:marRight w:val="0"/>
      <w:marTop w:val="0"/>
      <w:marBottom w:val="0"/>
      <w:divBdr>
        <w:top w:val="none" w:sz="0" w:space="0" w:color="auto"/>
        <w:left w:val="none" w:sz="0" w:space="0" w:color="auto"/>
        <w:bottom w:val="none" w:sz="0" w:space="0" w:color="auto"/>
        <w:right w:val="none" w:sz="0" w:space="0" w:color="auto"/>
      </w:divBdr>
    </w:div>
    <w:div w:id="1714307657">
      <w:bodyDiv w:val="1"/>
      <w:marLeft w:val="0"/>
      <w:marRight w:val="0"/>
      <w:marTop w:val="0"/>
      <w:marBottom w:val="0"/>
      <w:divBdr>
        <w:top w:val="none" w:sz="0" w:space="0" w:color="auto"/>
        <w:left w:val="none" w:sz="0" w:space="0" w:color="auto"/>
        <w:bottom w:val="none" w:sz="0" w:space="0" w:color="auto"/>
        <w:right w:val="none" w:sz="0" w:space="0" w:color="auto"/>
      </w:divBdr>
    </w:div>
    <w:div w:id="1714427335">
      <w:bodyDiv w:val="1"/>
      <w:marLeft w:val="0"/>
      <w:marRight w:val="0"/>
      <w:marTop w:val="0"/>
      <w:marBottom w:val="0"/>
      <w:divBdr>
        <w:top w:val="none" w:sz="0" w:space="0" w:color="auto"/>
        <w:left w:val="none" w:sz="0" w:space="0" w:color="auto"/>
        <w:bottom w:val="none" w:sz="0" w:space="0" w:color="auto"/>
        <w:right w:val="none" w:sz="0" w:space="0" w:color="auto"/>
      </w:divBdr>
    </w:div>
    <w:div w:id="1714503937">
      <w:bodyDiv w:val="1"/>
      <w:marLeft w:val="0"/>
      <w:marRight w:val="0"/>
      <w:marTop w:val="0"/>
      <w:marBottom w:val="0"/>
      <w:divBdr>
        <w:top w:val="none" w:sz="0" w:space="0" w:color="auto"/>
        <w:left w:val="none" w:sz="0" w:space="0" w:color="auto"/>
        <w:bottom w:val="none" w:sz="0" w:space="0" w:color="auto"/>
        <w:right w:val="none" w:sz="0" w:space="0" w:color="auto"/>
      </w:divBdr>
    </w:div>
    <w:div w:id="1714691268">
      <w:bodyDiv w:val="1"/>
      <w:marLeft w:val="0"/>
      <w:marRight w:val="0"/>
      <w:marTop w:val="0"/>
      <w:marBottom w:val="0"/>
      <w:divBdr>
        <w:top w:val="none" w:sz="0" w:space="0" w:color="auto"/>
        <w:left w:val="none" w:sz="0" w:space="0" w:color="auto"/>
        <w:bottom w:val="none" w:sz="0" w:space="0" w:color="auto"/>
        <w:right w:val="none" w:sz="0" w:space="0" w:color="auto"/>
      </w:divBdr>
    </w:div>
    <w:div w:id="1714691869">
      <w:bodyDiv w:val="1"/>
      <w:marLeft w:val="0"/>
      <w:marRight w:val="0"/>
      <w:marTop w:val="0"/>
      <w:marBottom w:val="0"/>
      <w:divBdr>
        <w:top w:val="none" w:sz="0" w:space="0" w:color="auto"/>
        <w:left w:val="none" w:sz="0" w:space="0" w:color="auto"/>
        <w:bottom w:val="none" w:sz="0" w:space="0" w:color="auto"/>
        <w:right w:val="none" w:sz="0" w:space="0" w:color="auto"/>
      </w:divBdr>
    </w:div>
    <w:div w:id="1714887667">
      <w:bodyDiv w:val="1"/>
      <w:marLeft w:val="0"/>
      <w:marRight w:val="0"/>
      <w:marTop w:val="0"/>
      <w:marBottom w:val="0"/>
      <w:divBdr>
        <w:top w:val="none" w:sz="0" w:space="0" w:color="auto"/>
        <w:left w:val="none" w:sz="0" w:space="0" w:color="auto"/>
        <w:bottom w:val="none" w:sz="0" w:space="0" w:color="auto"/>
        <w:right w:val="none" w:sz="0" w:space="0" w:color="auto"/>
      </w:divBdr>
    </w:div>
    <w:div w:id="1715035951">
      <w:bodyDiv w:val="1"/>
      <w:marLeft w:val="0"/>
      <w:marRight w:val="0"/>
      <w:marTop w:val="0"/>
      <w:marBottom w:val="0"/>
      <w:divBdr>
        <w:top w:val="none" w:sz="0" w:space="0" w:color="auto"/>
        <w:left w:val="none" w:sz="0" w:space="0" w:color="auto"/>
        <w:bottom w:val="none" w:sz="0" w:space="0" w:color="auto"/>
        <w:right w:val="none" w:sz="0" w:space="0" w:color="auto"/>
      </w:divBdr>
    </w:div>
    <w:div w:id="1715037030">
      <w:bodyDiv w:val="1"/>
      <w:marLeft w:val="0"/>
      <w:marRight w:val="0"/>
      <w:marTop w:val="0"/>
      <w:marBottom w:val="0"/>
      <w:divBdr>
        <w:top w:val="none" w:sz="0" w:space="0" w:color="auto"/>
        <w:left w:val="none" w:sz="0" w:space="0" w:color="auto"/>
        <w:bottom w:val="none" w:sz="0" w:space="0" w:color="auto"/>
        <w:right w:val="none" w:sz="0" w:space="0" w:color="auto"/>
      </w:divBdr>
    </w:div>
    <w:div w:id="1715040717">
      <w:bodyDiv w:val="1"/>
      <w:marLeft w:val="0"/>
      <w:marRight w:val="0"/>
      <w:marTop w:val="0"/>
      <w:marBottom w:val="0"/>
      <w:divBdr>
        <w:top w:val="none" w:sz="0" w:space="0" w:color="auto"/>
        <w:left w:val="none" w:sz="0" w:space="0" w:color="auto"/>
        <w:bottom w:val="none" w:sz="0" w:space="0" w:color="auto"/>
        <w:right w:val="none" w:sz="0" w:space="0" w:color="auto"/>
      </w:divBdr>
    </w:div>
    <w:div w:id="1715109078">
      <w:bodyDiv w:val="1"/>
      <w:marLeft w:val="0"/>
      <w:marRight w:val="0"/>
      <w:marTop w:val="0"/>
      <w:marBottom w:val="0"/>
      <w:divBdr>
        <w:top w:val="none" w:sz="0" w:space="0" w:color="auto"/>
        <w:left w:val="none" w:sz="0" w:space="0" w:color="auto"/>
        <w:bottom w:val="none" w:sz="0" w:space="0" w:color="auto"/>
        <w:right w:val="none" w:sz="0" w:space="0" w:color="auto"/>
      </w:divBdr>
    </w:div>
    <w:div w:id="1715153340">
      <w:bodyDiv w:val="1"/>
      <w:marLeft w:val="0"/>
      <w:marRight w:val="0"/>
      <w:marTop w:val="0"/>
      <w:marBottom w:val="0"/>
      <w:divBdr>
        <w:top w:val="none" w:sz="0" w:space="0" w:color="auto"/>
        <w:left w:val="none" w:sz="0" w:space="0" w:color="auto"/>
        <w:bottom w:val="none" w:sz="0" w:space="0" w:color="auto"/>
        <w:right w:val="none" w:sz="0" w:space="0" w:color="auto"/>
      </w:divBdr>
    </w:div>
    <w:div w:id="1715421726">
      <w:bodyDiv w:val="1"/>
      <w:marLeft w:val="0"/>
      <w:marRight w:val="0"/>
      <w:marTop w:val="0"/>
      <w:marBottom w:val="0"/>
      <w:divBdr>
        <w:top w:val="none" w:sz="0" w:space="0" w:color="auto"/>
        <w:left w:val="none" w:sz="0" w:space="0" w:color="auto"/>
        <w:bottom w:val="none" w:sz="0" w:space="0" w:color="auto"/>
        <w:right w:val="none" w:sz="0" w:space="0" w:color="auto"/>
      </w:divBdr>
    </w:div>
    <w:div w:id="1715495405">
      <w:bodyDiv w:val="1"/>
      <w:marLeft w:val="0"/>
      <w:marRight w:val="0"/>
      <w:marTop w:val="0"/>
      <w:marBottom w:val="0"/>
      <w:divBdr>
        <w:top w:val="none" w:sz="0" w:space="0" w:color="auto"/>
        <w:left w:val="none" w:sz="0" w:space="0" w:color="auto"/>
        <w:bottom w:val="none" w:sz="0" w:space="0" w:color="auto"/>
        <w:right w:val="none" w:sz="0" w:space="0" w:color="auto"/>
      </w:divBdr>
    </w:div>
    <w:div w:id="1715544867">
      <w:bodyDiv w:val="1"/>
      <w:marLeft w:val="0"/>
      <w:marRight w:val="0"/>
      <w:marTop w:val="0"/>
      <w:marBottom w:val="0"/>
      <w:divBdr>
        <w:top w:val="none" w:sz="0" w:space="0" w:color="auto"/>
        <w:left w:val="none" w:sz="0" w:space="0" w:color="auto"/>
        <w:bottom w:val="none" w:sz="0" w:space="0" w:color="auto"/>
        <w:right w:val="none" w:sz="0" w:space="0" w:color="auto"/>
      </w:divBdr>
    </w:div>
    <w:div w:id="1715882948">
      <w:bodyDiv w:val="1"/>
      <w:marLeft w:val="0"/>
      <w:marRight w:val="0"/>
      <w:marTop w:val="0"/>
      <w:marBottom w:val="0"/>
      <w:divBdr>
        <w:top w:val="none" w:sz="0" w:space="0" w:color="auto"/>
        <w:left w:val="none" w:sz="0" w:space="0" w:color="auto"/>
        <w:bottom w:val="none" w:sz="0" w:space="0" w:color="auto"/>
        <w:right w:val="none" w:sz="0" w:space="0" w:color="auto"/>
      </w:divBdr>
    </w:div>
    <w:div w:id="1716005747">
      <w:bodyDiv w:val="1"/>
      <w:marLeft w:val="0"/>
      <w:marRight w:val="0"/>
      <w:marTop w:val="0"/>
      <w:marBottom w:val="0"/>
      <w:divBdr>
        <w:top w:val="none" w:sz="0" w:space="0" w:color="auto"/>
        <w:left w:val="none" w:sz="0" w:space="0" w:color="auto"/>
        <w:bottom w:val="none" w:sz="0" w:space="0" w:color="auto"/>
        <w:right w:val="none" w:sz="0" w:space="0" w:color="auto"/>
      </w:divBdr>
    </w:div>
    <w:div w:id="1716388921">
      <w:bodyDiv w:val="1"/>
      <w:marLeft w:val="0"/>
      <w:marRight w:val="0"/>
      <w:marTop w:val="0"/>
      <w:marBottom w:val="0"/>
      <w:divBdr>
        <w:top w:val="none" w:sz="0" w:space="0" w:color="auto"/>
        <w:left w:val="none" w:sz="0" w:space="0" w:color="auto"/>
        <w:bottom w:val="none" w:sz="0" w:space="0" w:color="auto"/>
        <w:right w:val="none" w:sz="0" w:space="0" w:color="auto"/>
      </w:divBdr>
    </w:div>
    <w:div w:id="1716810097">
      <w:bodyDiv w:val="1"/>
      <w:marLeft w:val="0"/>
      <w:marRight w:val="0"/>
      <w:marTop w:val="0"/>
      <w:marBottom w:val="0"/>
      <w:divBdr>
        <w:top w:val="none" w:sz="0" w:space="0" w:color="auto"/>
        <w:left w:val="none" w:sz="0" w:space="0" w:color="auto"/>
        <w:bottom w:val="none" w:sz="0" w:space="0" w:color="auto"/>
        <w:right w:val="none" w:sz="0" w:space="0" w:color="auto"/>
      </w:divBdr>
    </w:div>
    <w:div w:id="1717197045">
      <w:bodyDiv w:val="1"/>
      <w:marLeft w:val="0"/>
      <w:marRight w:val="0"/>
      <w:marTop w:val="0"/>
      <w:marBottom w:val="0"/>
      <w:divBdr>
        <w:top w:val="none" w:sz="0" w:space="0" w:color="auto"/>
        <w:left w:val="none" w:sz="0" w:space="0" w:color="auto"/>
        <w:bottom w:val="none" w:sz="0" w:space="0" w:color="auto"/>
        <w:right w:val="none" w:sz="0" w:space="0" w:color="auto"/>
      </w:divBdr>
    </w:div>
    <w:div w:id="1717241279">
      <w:bodyDiv w:val="1"/>
      <w:marLeft w:val="0"/>
      <w:marRight w:val="0"/>
      <w:marTop w:val="0"/>
      <w:marBottom w:val="0"/>
      <w:divBdr>
        <w:top w:val="none" w:sz="0" w:space="0" w:color="auto"/>
        <w:left w:val="none" w:sz="0" w:space="0" w:color="auto"/>
        <w:bottom w:val="none" w:sz="0" w:space="0" w:color="auto"/>
        <w:right w:val="none" w:sz="0" w:space="0" w:color="auto"/>
      </w:divBdr>
    </w:div>
    <w:div w:id="1717314827">
      <w:bodyDiv w:val="1"/>
      <w:marLeft w:val="0"/>
      <w:marRight w:val="0"/>
      <w:marTop w:val="0"/>
      <w:marBottom w:val="0"/>
      <w:divBdr>
        <w:top w:val="none" w:sz="0" w:space="0" w:color="auto"/>
        <w:left w:val="none" w:sz="0" w:space="0" w:color="auto"/>
        <w:bottom w:val="none" w:sz="0" w:space="0" w:color="auto"/>
        <w:right w:val="none" w:sz="0" w:space="0" w:color="auto"/>
      </w:divBdr>
    </w:div>
    <w:div w:id="1717317334">
      <w:bodyDiv w:val="1"/>
      <w:marLeft w:val="0"/>
      <w:marRight w:val="0"/>
      <w:marTop w:val="0"/>
      <w:marBottom w:val="0"/>
      <w:divBdr>
        <w:top w:val="none" w:sz="0" w:space="0" w:color="auto"/>
        <w:left w:val="none" w:sz="0" w:space="0" w:color="auto"/>
        <w:bottom w:val="none" w:sz="0" w:space="0" w:color="auto"/>
        <w:right w:val="none" w:sz="0" w:space="0" w:color="auto"/>
      </w:divBdr>
    </w:div>
    <w:div w:id="1717464574">
      <w:bodyDiv w:val="1"/>
      <w:marLeft w:val="0"/>
      <w:marRight w:val="0"/>
      <w:marTop w:val="0"/>
      <w:marBottom w:val="0"/>
      <w:divBdr>
        <w:top w:val="none" w:sz="0" w:space="0" w:color="auto"/>
        <w:left w:val="none" w:sz="0" w:space="0" w:color="auto"/>
        <w:bottom w:val="none" w:sz="0" w:space="0" w:color="auto"/>
        <w:right w:val="none" w:sz="0" w:space="0" w:color="auto"/>
      </w:divBdr>
    </w:div>
    <w:div w:id="1717578898">
      <w:bodyDiv w:val="1"/>
      <w:marLeft w:val="0"/>
      <w:marRight w:val="0"/>
      <w:marTop w:val="0"/>
      <w:marBottom w:val="0"/>
      <w:divBdr>
        <w:top w:val="none" w:sz="0" w:space="0" w:color="auto"/>
        <w:left w:val="none" w:sz="0" w:space="0" w:color="auto"/>
        <w:bottom w:val="none" w:sz="0" w:space="0" w:color="auto"/>
        <w:right w:val="none" w:sz="0" w:space="0" w:color="auto"/>
      </w:divBdr>
    </w:div>
    <w:div w:id="1717777053">
      <w:bodyDiv w:val="1"/>
      <w:marLeft w:val="0"/>
      <w:marRight w:val="0"/>
      <w:marTop w:val="0"/>
      <w:marBottom w:val="0"/>
      <w:divBdr>
        <w:top w:val="none" w:sz="0" w:space="0" w:color="auto"/>
        <w:left w:val="none" w:sz="0" w:space="0" w:color="auto"/>
        <w:bottom w:val="none" w:sz="0" w:space="0" w:color="auto"/>
        <w:right w:val="none" w:sz="0" w:space="0" w:color="auto"/>
      </w:divBdr>
    </w:div>
    <w:div w:id="1717924614">
      <w:bodyDiv w:val="1"/>
      <w:marLeft w:val="0"/>
      <w:marRight w:val="0"/>
      <w:marTop w:val="0"/>
      <w:marBottom w:val="0"/>
      <w:divBdr>
        <w:top w:val="none" w:sz="0" w:space="0" w:color="auto"/>
        <w:left w:val="none" w:sz="0" w:space="0" w:color="auto"/>
        <w:bottom w:val="none" w:sz="0" w:space="0" w:color="auto"/>
        <w:right w:val="none" w:sz="0" w:space="0" w:color="auto"/>
      </w:divBdr>
    </w:div>
    <w:div w:id="1717968360">
      <w:bodyDiv w:val="1"/>
      <w:marLeft w:val="0"/>
      <w:marRight w:val="0"/>
      <w:marTop w:val="0"/>
      <w:marBottom w:val="0"/>
      <w:divBdr>
        <w:top w:val="none" w:sz="0" w:space="0" w:color="auto"/>
        <w:left w:val="none" w:sz="0" w:space="0" w:color="auto"/>
        <w:bottom w:val="none" w:sz="0" w:space="0" w:color="auto"/>
        <w:right w:val="none" w:sz="0" w:space="0" w:color="auto"/>
      </w:divBdr>
    </w:div>
    <w:div w:id="1718237589">
      <w:bodyDiv w:val="1"/>
      <w:marLeft w:val="0"/>
      <w:marRight w:val="0"/>
      <w:marTop w:val="0"/>
      <w:marBottom w:val="0"/>
      <w:divBdr>
        <w:top w:val="none" w:sz="0" w:space="0" w:color="auto"/>
        <w:left w:val="none" w:sz="0" w:space="0" w:color="auto"/>
        <w:bottom w:val="none" w:sz="0" w:space="0" w:color="auto"/>
        <w:right w:val="none" w:sz="0" w:space="0" w:color="auto"/>
      </w:divBdr>
    </w:div>
    <w:div w:id="1718240275">
      <w:bodyDiv w:val="1"/>
      <w:marLeft w:val="0"/>
      <w:marRight w:val="0"/>
      <w:marTop w:val="0"/>
      <w:marBottom w:val="0"/>
      <w:divBdr>
        <w:top w:val="none" w:sz="0" w:space="0" w:color="auto"/>
        <w:left w:val="none" w:sz="0" w:space="0" w:color="auto"/>
        <w:bottom w:val="none" w:sz="0" w:space="0" w:color="auto"/>
        <w:right w:val="none" w:sz="0" w:space="0" w:color="auto"/>
      </w:divBdr>
    </w:div>
    <w:div w:id="1718317708">
      <w:bodyDiv w:val="1"/>
      <w:marLeft w:val="0"/>
      <w:marRight w:val="0"/>
      <w:marTop w:val="0"/>
      <w:marBottom w:val="0"/>
      <w:divBdr>
        <w:top w:val="none" w:sz="0" w:space="0" w:color="auto"/>
        <w:left w:val="none" w:sz="0" w:space="0" w:color="auto"/>
        <w:bottom w:val="none" w:sz="0" w:space="0" w:color="auto"/>
        <w:right w:val="none" w:sz="0" w:space="0" w:color="auto"/>
      </w:divBdr>
    </w:div>
    <w:div w:id="1718318227">
      <w:bodyDiv w:val="1"/>
      <w:marLeft w:val="0"/>
      <w:marRight w:val="0"/>
      <w:marTop w:val="0"/>
      <w:marBottom w:val="0"/>
      <w:divBdr>
        <w:top w:val="none" w:sz="0" w:space="0" w:color="auto"/>
        <w:left w:val="none" w:sz="0" w:space="0" w:color="auto"/>
        <w:bottom w:val="none" w:sz="0" w:space="0" w:color="auto"/>
        <w:right w:val="none" w:sz="0" w:space="0" w:color="auto"/>
      </w:divBdr>
    </w:div>
    <w:div w:id="1718507680">
      <w:bodyDiv w:val="1"/>
      <w:marLeft w:val="0"/>
      <w:marRight w:val="0"/>
      <w:marTop w:val="0"/>
      <w:marBottom w:val="0"/>
      <w:divBdr>
        <w:top w:val="none" w:sz="0" w:space="0" w:color="auto"/>
        <w:left w:val="none" w:sz="0" w:space="0" w:color="auto"/>
        <w:bottom w:val="none" w:sz="0" w:space="0" w:color="auto"/>
        <w:right w:val="none" w:sz="0" w:space="0" w:color="auto"/>
      </w:divBdr>
    </w:div>
    <w:div w:id="1718554145">
      <w:bodyDiv w:val="1"/>
      <w:marLeft w:val="0"/>
      <w:marRight w:val="0"/>
      <w:marTop w:val="0"/>
      <w:marBottom w:val="0"/>
      <w:divBdr>
        <w:top w:val="none" w:sz="0" w:space="0" w:color="auto"/>
        <w:left w:val="none" w:sz="0" w:space="0" w:color="auto"/>
        <w:bottom w:val="none" w:sz="0" w:space="0" w:color="auto"/>
        <w:right w:val="none" w:sz="0" w:space="0" w:color="auto"/>
      </w:divBdr>
    </w:div>
    <w:div w:id="1719040714">
      <w:bodyDiv w:val="1"/>
      <w:marLeft w:val="0"/>
      <w:marRight w:val="0"/>
      <w:marTop w:val="0"/>
      <w:marBottom w:val="0"/>
      <w:divBdr>
        <w:top w:val="none" w:sz="0" w:space="0" w:color="auto"/>
        <w:left w:val="none" w:sz="0" w:space="0" w:color="auto"/>
        <w:bottom w:val="none" w:sz="0" w:space="0" w:color="auto"/>
        <w:right w:val="none" w:sz="0" w:space="0" w:color="auto"/>
      </w:divBdr>
    </w:div>
    <w:div w:id="1719746639">
      <w:bodyDiv w:val="1"/>
      <w:marLeft w:val="0"/>
      <w:marRight w:val="0"/>
      <w:marTop w:val="0"/>
      <w:marBottom w:val="0"/>
      <w:divBdr>
        <w:top w:val="none" w:sz="0" w:space="0" w:color="auto"/>
        <w:left w:val="none" w:sz="0" w:space="0" w:color="auto"/>
        <w:bottom w:val="none" w:sz="0" w:space="0" w:color="auto"/>
        <w:right w:val="none" w:sz="0" w:space="0" w:color="auto"/>
      </w:divBdr>
    </w:div>
    <w:div w:id="1719893866">
      <w:bodyDiv w:val="1"/>
      <w:marLeft w:val="0"/>
      <w:marRight w:val="0"/>
      <w:marTop w:val="0"/>
      <w:marBottom w:val="0"/>
      <w:divBdr>
        <w:top w:val="none" w:sz="0" w:space="0" w:color="auto"/>
        <w:left w:val="none" w:sz="0" w:space="0" w:color="auto"/>
        <w:bottom w:val="none" w:sz="0" w:space="0" w:color="auto"/>
        <w:right w:val="none" w:sz="0" w:space="0" w:color="auto"/>
      </w:divBdr>
    </w:div>
    <w:div w:id="1719933597">
      <w:bodyDiv w:val="1"/>
      <w:marLeft w:val="0"/>
      <w:marRight w:val="0"/>
      <w:marTop w:val="0"/>
      <w:marBottom w:val="0"/>
      <w:divBdr>
        <w:top w:val="none" w:sz="0" w:space="0" w:color="auto"/>
        <w:left w:val="none" w:sz="0" w:space="0" w:color="auto"/>
        <w:bottom w:val="none" w:sz="0" w:space="0" w:color="auto"/>
        <w:right w:val="none" w:sz="0" w:space="0" w:color="auto"/>
      </w:divBdr>
    </w:div>
    <w:div w:id="1720201874">
      <w:bodyDiv w:val="1"/>
      <w:marLeft w:val="0"/>
      <w:marRight w:val="0"/>
      <w:marTop w:val="0"/>
      <w:marBottom w:val="0"/>
      <w:divBdr>
        <w:top w:val="none" w:sz="0" w:space="0" w:color="auto"/>
        <w:left w:val="none" w:sz="0" w:space="0" w:color="auto"/>
        <w:bottom w:val="none" w:sz="0" w:space="0" w:color="auto"/>
        <w:right w:val="none" w:sz="0" w:space="0" w:color="auto"/>
      </w:divBdr>
    </w:div>
    <w:div w:id="1720205261">
      <w:bodyDiv w:val="1"/>
      <w:marLeft w:val="0"/>
      <w:marRight w:val="0"/>
      <w:marTop w:val="0"/>
      <w:marBottom w:val="0"/>
      <w:divBdr>
        <w:top w:val="none" w:sz="0" w:space="0" w:color="auto"/>
        <w:left w:val="none" w:sz="0" w:space="0" w:color="auto"/>
        <w:bottom w:val="none" w:sz="0" w:space="0" w:color="auto"/>
        <w:right w:val="none" w:sz="0" w:space="0" w:color="auto"/>
      </w:divBdr>
    </w:div>
    <w:div w:id="1720208348">
      <w:bodyDiv w:val="1"/>
      <w:marLeft w:val="0"/>
      <w:marRight w:val="0"/>
      <w:marTop w:val="0"/>
      <w:marBottom w:val="0"/>
      <w:divBdr>
        <w:top w:val="none" w:sz="0" w:space="0" w:color="auto"/>
        <w:left w:val="none" w:sz="0" w:space="0" w:color="auto"/>
        <w:bottom w:val="none" w:sz="0" w:space="0" w:color="auto"/>
        <w:right w:val="none" w:sz="0" w:space="0" w:color="auto"/>
      </w:divBdr>
    </w:div>
    <w:div w:id="1720321544">
      <w:bodyDiv w:val="1"/>
      <w:marLeft w:val="0"/>
      <w:marRight w:val="0"/>
      <w:marTop w:val="0"/>
      <w:marBottom w:val="0"/>
      <w:divBdr>
        <w:top w:val="none" w:sz="0" w:space="0" w:color="auto"/>
        <w:left w:val="none" w:sz="0" w:space="0" w:color="auto"/>
        <w:bottom w:val="none" w:sz="0" w:space="0" w:color="auto"/>
        <w:right w:val="none" w:sz="0" w:space="0" w:color="auto"/>
      </w:divBdr>
    </w:div>
    <w:div w:id="1720394076">
      <w:bodyDiv w:val="1"/>
      <w:marLeft w:val="0"/>
      <w:marRight w:val="0"/>
      <w:marTop w:val="0"/>
      <w:marBottom w:val="0"/>
      <w:divBdr>
        <w:top w:val="none" w:sz="0" w:space="0" w:color="auto"/>
        <w:left w:val="none" w:sz="0" w:space="0" w:color="auto"/>
        <w:bottom w:val="none" w:sz="0" w:space="0" w:color="auto"/>
        <w:right w:val="none" w:sz="0" w:space="0" w:color="auto"/>
      </w:divBdr>
    </w:div>
    <w:div w:id="1720475130">
      <w:bodyDiv w:val="1"/>
      <w:marLeft w:val="0"/>
      <w:marRight w:val="0"/>
      <w:marTop w:val="0"/>
      <w:marBottom w:val="0"/>
      <w:divBdr>
        <w:top w:val="none" w:sz="0" w:space="0" w:color="auto"/>
        <w:left w:val="none" w:sz="0" w:space="0" w:color="auto"/>
        <w:bottom w:val="none" w:sz="0" w:space="0" w:color="auto"/>
        <w:right w:val="none" w:sz="0" w:space="0" w:color="auto"/>
      </w:divBdr>
    </w:div>
    <w:div w:id="1720788683">
      <w:bodyDiv w:val="1"/>
      <w:marLeft w:val="0"/>
      <w:marRight w:val="0"/>
      <w:marTop w:val="0"/>
      <w:marBottom w:val="0"/>
      <w:divBdr>
        <w:top w:val="none" w:sz="0" w:space="0" w:color="auto"/>
        <w:left w:val="none" w:sz="0" w:space="0" w:color="auto"/>
        <w:bottom w:val="none" w:sz="0" w:space="0" w:color="auto"/>
        <w:right w:val="none" w:sz="0" w:space="0" w:color="auto"/>
      </w:divBdr>
    </w:div>
    <w:div w:id="1720931638">
      <w:bodyDiv w:val="1"/>
      <w:marLeft w:val="0"/>
      <w:marRight w:val="0"/>
      <w:marTop w:val="0"/>
      <w:marBottom w:val="0"/>
      <w:divBdr>
        <w:top w:val="none" w:sz="0" w:space="0" w:color="auto"/>
        <w:left w:val="none" w:sz="0" w:space="0" w:color="auto"/>
        <w:bottom w:val="none" w:sz="0" w:space="0" w:color="auto"/>
        <w:right w:val="none" w:sz="0" w:space="0" w:color="auto"/>
      </w:divBdr>
    </w:div>
    <w:div w:id="1721050483">
      <w:bodyDiv w:val="1"/>
      <w:marLeft w:val="0"/>
      <w:marRight w:val="0"/>
      <w:marTop w:val="0"/>
      <w:marBottom w:val="0"/>
      <w:divBdr>
        <w:top w:val="none" w:sz="0" w:space="0" w:color="auto"/>
        <w:left w:val="none" w:sz="0" w:space="0" w:color="auto"/>
        <w:bottom w:val="none" w:sz="0" w:space="0" w:color="auto"/>
        <w:right w:val="none" w:sz="0" w:space="0" w:color="auto"/>
      </w:divBdr>
    </w:div>
    <w:div w:id="1721242775">
      <w:bodyDiv w:val="1"/>
      <w:marLeft w:val="0"/>
      <w:marRight w:val="0"/>
      <w:marTop w:val="0"/>
      <w:marBottom w:val="0"/>
      <w:divBdr>
        <w:top w:val="none" w:sz="0" w:space="0" w:color="auto"/>
        <w:left w:val="none" w:sz="0" w:space="0" w:color="auto"/>
        <w:bottom w:val="none" w:sz="0" w:space="0" w:color="auto"/>
        <w:right w:val="none" w:sz="0" w:space="0" w:color="auto"/>
      </w:divBdr>
    </w:div>
    <w:div w:id="1721510996">
      <w:bodyDiv w:val="1"/>
      <w:marLeft w:val="0"/>
      <w:marRight w:val="0"/>
      <w:marTop w:val="0"/>
      <w:marBottom w:val="0"/>
      <w:divBdr>
        <w:top w:val="none" w:sz="0" w:space="0" w:color="auto"/>
        <w:left w:val="none" w:sz="0" w:space="0" w:color="auto"/>
        <w:bottom w:val="none" w:sz="0" w:space="0" w:color="auto"/>
        <w:right w:val="none" w:sz="0" w:space="0" w:color="auto"/>
      </w:divBdr>
    </w:div>
    <w:div w:id="1721587977">
      <w:bodyDiv w:val="1"/>
      <w:marLeft w:val="0"/>
      <w:marRight w:val="0"/>
      <w:marTop w:val="0"/>
      <w:marBottom w:val="0"/>
      <w:divBdr>
        <w:top w:val="none" w:sz="0" w:space="0" w:color="auto"/>
        <w:left w:val="none" w:sz="0" w:space="0" w:color="auto"/>
        <w:bottom w:val="none" w:sz="0" w:space="0" w:color="auto"/>
        <w:right w:val="none" w:sz="0" w:space="0" w:color="auto"/>
      </w:divBdr>
    </w:div>
    <w:div w:id="1721709922">
      <w:bodyDiv w:val="1"/>
      <w:marLeft w:val="0"/>
      <w:marRight w:val="0"/>
      <w:marTop w:val="0"/>
      <w:marBottom w:val="0"/>
      <w:divBdr>
        <w:top w:val="none" w:sz="0" w:space="0" w:color="auto"/>
        <w:left w:val="none" w:sz="0" w:space="0" w:color="auto"/>
        <w:bottom w:val="none" w:sz="0" w:space="0" w:color="auto"/>
        <w:right w:val="none" w:sz="0" w:space="0" w:color="auto"/>
      </w:divBdr>
    </w:div>
    <w:div w:id="1721710163">
      <w:bodyDiv w:val="1"/>
      <w:marLeft w:val="0"/>
      <w:marRight w:val="0"/>
      <w:marTop w:val="0"/>
      <w:marBottom w:val="0"/>
      <w:divBdr>
        <w:top w:val="none" w:sz="0" w:space="0" w:color="auto"/>
        <w:left w:val="none" w:sz="0" w:space="0" w:color="auto"/>
        <w:bottom w:val="none" w:sz="0" w:space="0" w:color="auto"/>
        <w:right w:val="none" w:sz="0" w:space="0" w:color="auto"/>
      </w:divBdr>
    </w:div>
    <w:div w:id="1722443030">
      <w:bodyDiv w:val="1"/>
      <w:marLeft w:val="0"/>
      <w:marRight w:val="0"/>
      <w:marTop w:val="0"/>
      <w:marBottom w:val="0"/>
      <w:divBdr>
        <w:top w:val="none" w:sz="0" w:space="0" w:color="auto"/>
        <w:left w:val="none" w:sz="0" w:space="0" w:color="auto"/>
        <w:bottom w:val="none" w:sz="0" w:space="0" w:color="auto"/>
        <w:right w:val="none" w:sz="0" w:space="0" w:color="auto"/>
      </w:divBdr>
    </w:div>
    <w:div w:id="1722511678">
      <w:bodyDiv w:val="1"/>
      <w:marLeft w:val="0"/>
      <w:marRight w:val="0"/>
      <w:marTop w:val="0"/>
      <w:marBottom w:val="0"/>
      <w:divBdr>
        <w:top w:val="none" w:sz="0" w:space="0" w:color="auto"/>
        <w:left w:val="none" w:sz="0" w:space="0" w:color="auto"/>
        <w:bottom w:val="none" w:sz="0" w:space="0" w:color="auto"/>
        <w:right w:val="none" w:sz="0" w:space="0" w:color="auto"/>
      </w:divBdr>
    </w:div>
    <w:div w:id="1722709406">
      <w:bodyDiv w:val="1"/>
      <w:marLeft w:val="0"/>
      <w:marRight w:val="0"/>
      <w:marTop w:val="0"/>
      <w:marBottom w:val="0"/>
      <w:divBdr>
        <w:top w:val="none" w:sz="0" w:space="0" w:color="auto"/>
        <w:left w:val="none" w:sz="0" w:space="0" w:color="auto"/>
        <w:bottom w:val="none" w:sz="0" w:space="0" w:color="auto"/>
        <w:right w:val="none" w:sz="0" w:space="0" w:color="auto"/>
      </w:divBdr>
    </w:div>
    <w:div w:id="1722826059">
      <w:bodyDiv w:val="1"/>
      <w:marLeft w:val="0"/>
      <w:marRight w:val="0"/>
      <w:marTop w:val="0"/>
      <w:marBottom w:val="0"/>
      <w:divBdr>
        <w:top w:val="none" w:sz="0" w:space="0" w:color="auto"/>
        <w:left w:val="none" w:sz="0" w:space="0" w:color="auto"/>
        <w:bottom w:val="none" w:sz="0" w:space="0" w:color="auto"/>
        <w:right w:val="none" w:sz="0" w:space="0" w:color="auto"/>
      </w:divBdr>
    </w:div>
    <w:div w:id="1722902044">
      <w:bodyDiv w:val="1"/>
      <w:marLeft w:val="0"/>
      <w:marRight w:val="0"/>
      <w:marTop w:val="0"/>
      <w:marBottom w:val="0"/>
      <w:divBdr>
        <w:top w:val="none" w:sz="0" w:space="0" w:color="auto"/>
        <w:left w:val="none" w:sz="0" w:space="0" w:color="auto"/>
        <w:bottom w:val="none" w:sz="0" w:space="0" w:color="auto"/>
        <w:right w:val="none" w:sz="0" w:space="0" w:color="auto"/>
      </w:divBdr>
    </w:div>
    <w:div w:id="1723216896">
      <w:bodyDiv w:val="1"/>
      <w:marLeft w:val="0"/>
      <w:marRight w:val="0"/>
      <w:marTop w:val="0"/>
      <w:marBottom w:val="0"/>
      <w:divBdr>
        <w:top w:val="none" w:sz="0" w:space="0" w:color="auto"/>
        <w:left w:val="none" w:sz="0" w:space="0" w:color="auto"/>
        <w:bottom w:val="none" w:sz="0" w:space="0" w:color="auto"/>
        <w:right w:val="none" w:sz="0" w:space="0" w:color="auto"/>
      </w:divBdr>
    </w:div>
    <w:div w:id="1723483039">
      <w:bodyDiv w:val="1"/>
      <w:marLeft w:val="0"/>
      <w:marRight w:val="0"/>
      <w:marTop w:val="0"/>
      <w:marBottom w:val="0"/>
      <w:divBdr>
        <w:top w:val="none" w:sz="0" w:space="0" w:color="auto"/>
        <w:left w:val="none" w:sz="0" w:space="0" w:color="auto"/>
        <w:bottom w:val="none" w:sz="0" w:space="0" w:color="auto"/>
        <w:right w:val="none" w:sz="0" w:space="0" w:color="auto"/>
      </w:divBdr>
    </w:div>
    <w:div w:id="1724451819">
      <w:bodyDiv w:val="1"/>
      <w:marLeft w:val="0"/>
      <w:marRight w:val="0"/>
      <w:marTop w:val="0"/>
      <w:marBottom w:val="0"/>
      <w:divBdr>
        <w:top w:val="none" w:sz="0" w:space="0" w:color="auto"/>
        <w:left w:val="none" w:sz="0" w:space="0" w:color="auto"/>
        <w:bottom w:val="none" w:sz="0" w:space="0" w:color="auto"/>
        <w:right w:val="none" w:sz="0" w:space="0" w:color="auto"/>
      </w:divBdr>
    </w:div>
    <w:div w:id="1724517702">
      <w:bodyDiv w:val="1"/>
      <w:marLeft w:val="0"/>
      <w:marRight w:val="0"/>
      <w:marTop w:val="0"/>
      <w:marBottom w:val="0"/>
      <w:divBdr>
        <w:top w:val="none" w:sz="0" w:space="0" w:color="auto"/>
        <w:left w:val="none" w:sz="0" w:space="0" w:color="auto"/>
        <w:bottom w:val="none" w:sz="0" w:space="0" w:color="auto"/>
        <w:right w:val="none" w:sz="0" w:space="0" w:color="auto"/>
      </w:divBdr>
    </w:div>
    <w:div w:id="1724521251">
      <w:bodyDiv w:val="1"/>
      <w:marLeft w:val="0"/>
      <w:marRight w:val="0"/>
      <w:marTop w:val="0"/>
      <w:marBottom w:val="0"/>
      <w:divBdr>
        <w:top w:val="none" w:sz="0" w:space="0" w:color="auto"/>
        <w:left w:val="none" w:sz="0" w:space="0" w:color="auto"/>
        <w:bottom w:val="none" w:sz="0" w:space="0" w:color="auto"/>
        <w:right w:val="none" w:sz="0" w:space="0" w:color="auto"/>
      </w:divBdr>
    </w:div>
    <w:div w:id="1724675383">
      <w:bodyDiv w:val="1"/>
      <w:marLeft w:val="0"/>
      <w:marRight w:val="0"/>
      <w:marTop w:val="0"/>
      <w:marBottom w:val="0"/>
      <w:divBdr>
        <w:top w:val="none" w:sz="0" w:space="0" w:color="auto"/>
        <w:left w:val="none" w:sz="0" w:space="0" w:color="auto"/>
        <w:bottom w:val="none" w:sz="0" w:space="0" w:color="auto"/>
        <w:right w:val="none" w:sz="0" w:space="0" w:color="auto"/>
      </w:divBdr>
    </w:div>
    <w:div w:id="1724786583">
      <w:bodyDiv w:val="1"/>
      <w:marLeft w:val="0"/>
      <w:marRight w:val="0"/>
      <w:marTop w:val="0"/>
      <w:marBottom w:val="0"/>
      <w:divBdr>
        <w:top w:val="none" w:sz="0" w:space="0" w:color="auto"/>
        <w:left w:val="none" w:sz="0" w:space="0" w:color="auto"/>
        <w:bottom w:val="none" w:sz="0" w:space="0" w:color="auto"/>
        <w:right w:val="none" w:sz="0" w:space="0" w:color="auto"/>
      </w:divBdr>
    </w:div>
    <w:div w:id="1725251688">
      <w:bodyDiv w:val="1"/>
      <w:marLeft w:val="0"/>
      <w:marRight w:val="0"/>
      <w:marTop w:val="0"/>
      <w:marBottom w:val="0"/>
      <w:divBdr>
        <w:top w:val="none" w:sz="0" w:space="0" w:color="auto"/>
        <w:left w:val="none" w:sz="0" w:space="0" w:color="auto"/>
        <w:bottom w:val="none" w:sz="0" w:space="0" w:color="auto"/>
        <w:right w:val="none" w:sz="0" w:space="0" w:color="auto"/>
      </w:divBdr>
    </w:div>
    <w:div w:id="1725368843">
      <w:bodyDiv w:val="1"/>
      <w:marLeft w:val="0"/>
      <w:marRight w:val="0"/>
      <w:marTop w:val="0"/>
      <w:marBottom w:val="0"/>
      <w:divBdr>
        <w:top w:val="none" w:sz="0" w:space="0" w:color="auto"/>
        <w:left w:val="none" w:sz="0" w:space="0" w:color="auto"/>
        <w:bottom w:val="none" w:sz="0" w:space="0" w:color="auto"/>
        <w:right w:val="none" w:sz="0" w:space="0" w:color="auto"/>
      </w:divBdr>
    </w:div>
    <w:div w:id="1725444893">
      <w:bodyDiv w:val="1"/>
      <w:marLeft w:val="0"/>
      <w:marRight w:val="0"/>
      <w:marTop w:val="0"/>
      <w:marBottom w:val="0"/>
      <w:divBdr>
        <w:top w:val="none" w:sz="0" w:space="0" w:color="auto"/>
        <w:left w:val="none" w:sz="0" w:space="0" w:color="auto"/>
        <w:bottom w:val="none" w:sz="0" w:space="0" w:color="auto"/>
        <w:right w:val="none" w:sz="0" w:space="0" w:color="auto"/>
      </w:divBdr>
    </w:div>
    <w:div w:id="1725643861">
      <w:bodyDiv w:val="1"/>
      <w:marLeft w:val="0"/>
      <w:marRight w:val="0"/>
      <w:marTop w:val="0"/>
      <w:marBottom w:val="0"/>
      <w:divBdr>
        <w:top w:val="none" w:sz="0" w:space="0" w:color="auto"/>
        <w:left w:val="none" w:sz="0" w:space="0" w:color="auto"/>
        <w:bottom w:val="none" w:sz="0" w:space="0" w:color="auto"/>
        <w:right w:val="none" w:sz="0" w:space="0" w:color="auto"/>
      </w:divBdr>
    </w:div>
    <w:div w:id="1725979053">
      <w:bodyDiv w:val="1"/>
      <w:marLeft w:val="0"/>
      <w:marRight w:val="0"/>
      <w:marTop w:val="0"/>
      <w:marBottom w:val="0"/>
      <w:divBdr>
        <w:top w:val="none" w:sz="0" w:space="0" w:color="auto"/>
        <w:left w:val="none" w:sz="0" w:space="0" w:color="auto"/>
        <w:bottom w:val="none" w:sz="0" w:space="0" w:color="auto"/>
        <w:right w:val="none" w:sz="0" w:space="0" w:color="auto"/>
      </w:divBdr>
    </w:div>
    <w:div w:id="1726098973">
      <w:bodyDiv w:val="1"/>
      <w:marLeft w:val="0"/>
      <w:marRight w:val="0"/>
      <w:marTop w:val="0"/>
      <w:marBottom w:val="0"/>
      <w:divBdr>
        <w:top w:val="none" w:sz="0" w:space="0" w:color="auto"/>
        <w:left w:val="none" w:sz="0" w:space="0" w:color="auto"/>
        <w:bottom w:val="none" w:sz="0" w:space="0" w:color="auto"/>
        <w:right w:val="none" w:sz="0" w:space="0" w:color="auto"/>
      </w:divBdr>
    </w:div>
    <w:div w:id="1726374106">
      <w:bodyDiv w:val="1"/>
      <w:marLeft w:val="0"/>
      <w:marRight w:val="0"/>
      <w:marTop w:val="0"/>
      <w:marBottom w:val="0"/>
      <w:divBdr>
        <w:top w:val="none" w:sz="0" w:space="0" w:color="auto"/>
        <w:left w:val="none" w:sz="0" w:space="0" w:color="auto"/>
        <w:bottom w:val="none" w:sz="0" w:space="0" w:color="auto"/>
        <w:right w:val="none" w:sz="0" w:space="0" w:color="auto"/>
      </w:divBdr>
    </w:div>
    <w:div w:id="1726560269">
      <w:bodyDiv w:val="1"/>
      <w:marLeft w:val="0"/>
      <w:marRight w:val="0"/>
      <w:marTop w:val="0"/>
      <w:marBottom w:val="0"/>
      <w:divBdr>
        <w:top w:val="none" w:sz="0" w:space="0" w:color="auto"/>
        <w:left w:val="none" w:sz="0" w:space="0" w:color="auto"/>
        <w:bottom w:val="none" w:sz="0" w:space="0" w:color="auto"/>
        <w:right w:val="none" w:sz="0" w:space="0" w:color="auto"/>
      </w:divBdr>
    </w:div>
    <w:div w:id="1726565163">
      <w:bodyDiv w:val="1"/>
      <w:marLeft w:val="0"/>
      <w:marRight w:val="0"/>
      <w:marTop w:val="0"/>
      <w:marBottom w:val="0"/>
      <w:divBdr>
        <w:top w:val="none" w:sz="0" w:space="0" w:color="auto"/>
        <w:left w:val="none" w:sz="0" w:space="0" w:color="auto"/>
        <w:bottom w:val="none" w:sz="0" w:space="0" w:color="auto"/>
        <w:right w:val="none" w:sz="0" w:space="0" w:color="auto"/>
      </w:divBdr>
    </w:div>
    <w:div w:id="1726642316">
      <w:bodyDiv w:val="1"/>
      <w:marLeft w:val="0"/>
      <w:marRight w:val="0"/>
      <w:marTop w:val="0"/>
      <w:marBottom w:val="0"/>
      <w:divBdr>
        <w:top w:val="none" w:sz="0" w:space="0" w:color="auto"/>
        <w:left w:val="none" w:sz="0" w:space="0" w:color="auto"/>
        <w:bottom w:val="none" w:sz="0" w:space="0" w:color="auto"/>
        <w:right w:val="none" w:sz="0" w:space="0" w:color="auto"/>
      </w:divBdr>
    </w:div>
    <w:div w:id="1726685280">
      <w:bodyDiv w:val="1"/>
      <w:marLeft w:val="0"/>
      <w:marRight w:val="0"/>
      <w:marTop w:val="0"/>
      <w:marBottom w:val="0"/>
      <w:divBdr>
        <w:top w:val="none" w:sz="0" w:space="0" w:color="auto"/>
        <w:left w:val="none" w:sz="0" w:space="0" w:color="auto"/>
        <w:bottom w:val="none" w:sz="0" w:space="0" w:color="auto"/>
        <w:right w:val="none" w:sz="0" w:space="0" w:color="auto"/>
      </w:divBdr>
    </w:div>
    <w:div w:id="1726834742">
      <w:bodyDiv w:val="1"/>
      <w:marLeft w:val="0"/>
      <w:marRight w:val="0"/>
      <w:marTop w:val="0"/>
      <w:marBottom w:val="0"/>
      <w:divBdr>
        <w:top w:val="none" w:sz="0" w:space="0" w:color="auto"/>
        <w:left w:val="none" w:sz="0" w:space="0" w:color="auto"/>
        <w:bottom w:val="none" w:sz="0" w:space="0" w:color="auto"/>
        <w:right w:val="none" w:sz="0" w:space="0" w:color="auto"/>
      </w:divBdr>
    </w:div>
    <w:div w:id="1727140478">
      <w:bodyDiv w:val="1"/>
      <w:marLeft w:val="0"/>
      <w:marRight w:val="0"/>
      <w:marTop w:val="0"/>
      <w:marBottom w:val="0"/>
      <w:divBdr>
        <w:top w:val="none" w:sz="0" w:space="0" w:color="auto"/>
        <w:left w:val="none" w:sz="0" w:space="0" w:color="auto"/>
        <w:bottom w:val="none" w:sz="0" w:space="0" w:color="auto"/>
        <w:right w:val="none" w:sz="0" w:space="0" w:color="auto"/>
      </w:divBdr>
    </w:div>
    <w:div w:id="1727294412">
      <w:bodyDiv w:val="1"/>
      <w:marLeft w:val="0"/>
      <w:marRight w:val="0"/>
      <w:marTop w:val="0"/>
      <w:marBottom w:val="0"/>
      <w:divBdr>
        <w:top w:val="none" w:sz="0" w:space="0" w:color="auto"/>
        <w:left w:val="none" w:sz="0" w:space="0" w:color="auto"/>
        <w:bottom w:val="none" w:sz="0" w:space="0" w:color="auto"/>
        <w:right w:val="none" w:sz="0" w:space="0" w:color="auto"/>
      </w:divBdr>
    </w:div>
    <w:div w:id="1727340775">
      <w:bodyDiv w:val="1"/>
      <w:marLeft w:val="0"/>
      <w:marRight w:val="0"/>
      <w:marTop w:val="0"/>
      <w:marBottom w:val="0"/>
      <w:divBdr>
        <w:top w:val="none" w:sz="0" w:space="0" w:color="auto"/>
        <w:left w:val="none" w:sz="0" w:space="0" w:color="auto"/>
        <w:bottom w:val="none" w:sz="0" w:space="0" w:color="auto"/>
        <w:right w:val="none" w:sz="0" w:space="0" w:color="auto"/>
      </w:divBdr>
    </w:div>
    <w:div w:id="1727752084">
      <w:bodyDiv w:val="1"/>
      <w:marLeft w:val="0"/>
      <w:marRight w:val="0"/>
      <w:marTop w:val="0"/>
      <w:marBottom w:val="0"/>
      <w:divBdr>
        <w:top w:val="none" w:sz="0" w:space="0" w:color="auto"/>
        <w:left w:val="none" w:sz="0" w:space="0" w:color="auto"/>
        <w:bottom w:val="none" w:sz="0" w:space="0" w:color="auto"/>
        <w:right w:val="none" w:sz="0" w:space="0" w:color="auto"/>
      </w:divBdr>
    </w:div>
    <w:div w:id="1727873101">
      <w:bodyDiv w:val="1"/>
      <w:marLeft w:val="0"/>
      <w:marRight w:val="0"/>
      <w:marTop w:val="0"/>
      <w:marBottom w:val="0"/>
      <w:divBdr>
        <w:top w:val="none" w:sz="0" w:space="0" w:color="auto"/>
        <w:left w:val="none" w:sz="0" w:space="0" w:color="auto"/>
        <w:bottom w:val="none" w:sz="0" w:space="0" w:color="auto"/>
        <w:right w:val="none" w:sz="0" w:space="0" w:color="auto"/>
      </w:divBdr>
    </w:div>
    <w:div w:id="1727874712">
      <w:bodyDiv w:val="1"/>
      <w:marLeft w:val="0"/>
      <w:marRight w:val="0"/>
      <w:marTop w:val="0"/>
      <w:marBottom w:val="0"/>
      <w:divBdr>
        <w:top w:val="none" w:sz="0" w:space="0" w:color="auto"/>
        <w:left w:val="none" w:sz="0" w:space="0" w:color="auto"/>
        <w:bottom w:val="none" w:sz="0" w:space="0" w:color="auto"/>
        <w:right w:val="none" w:sz="0" w:space="0" w:color="auto"/>
      </w:divBdr>
    </w:div>
    <w:div w:id="1728188292">
      <w:bodyDiv w:val="1"/>
      <w:marLeft w:val="0"/>
      <w:marRight w:val="0"/>
      <w:marTop w:val="0"/>
      <w:marBottom w:val="0"/>
      <w:divBdr>
        <w:top w:val="none" w:sz="0" w:space="0" w:color="auto"/>
        <w:left w:val="none" w:sz="0" w:space="0" w:color="auto"/>
        <w:bottom w:val="none" w:sz="0" w:space="0" w:color="auto"/>
        <w:right w:val="none" w:sz="0" w:space="0" w:color="auto"/>
      </w:divBdr>
    </w:div>
    <w:div w:id="1728265588">
      <w:bodyDiv w:val="1"/>
      <w:marLeft w:val="0"/>
      <w:marRight w:val="0"/>
      <w:marTop w:val="0"/>
      <w:marBottom w:val="0"/>
      <w:divBdr>
        <w:top w:val="none" w:sz="0" w:space="0" w:color="auto"/>
        <w:left w:val="none" w:sz="0" w:space="0" w:color="auto"/>
        <w:bottom w:val="none" w:sz="0" w:space="0" w:color="auto"/>
        <w:right w:val="none" w:sz="0" w:space="0" w:color="auto"/>
      </w:divBdr>
    </w:div>
    <w:div w:id="1728382618">
      <w:bodyDiv w:val="1"/>
      <w:marLeft w:val="0"/>
      <w:marRight w:val="0"/>
      <w:marTop w:val="0"/>
      <w:marBottom w:val="0"/>
      <w:divBdr>
        <w:top w:val="none" w:sz="0" w:space="0" w:color="auto"/>
        <w:left w:val="none" w:sz="0" w:space="0" w:color="auto"/>
        <w:bottom w:val="none" w:sz="0" w:space="0" w:color="auto"/>
        <w:right w:val="none" w:sz="0" w:space="0" w:color="auto"/>
      </w:divBdr>
    </w:div>
    <w:div w:id="1728652070">
      <w:bodyDiv w:val="1"/>
      <w:marLeft w:val="0"/>
      <w:marRight w:val="0"/>
      <w:marTop w:val="0"/>
      <w:marBottom w:val="0"/>
      <w:divBdr>
        <w:top w:val="none" w:sz="0" w:space="0" w:color="auto"/>
        <w:left w:val="none" w:sz="0" w:space="0" w:color="auto"/>
        <w:bottom w:val="none" w:sz="0" w:space="0" w:color="auto"/>
        <w:right w:val="none" w:sz="0" w:space="0" w:color="auto"/>
      </w:divBdr>
    </w:div>
    <w:div w:id="1728722826">
      <w:bodyDiv w:val="1"/>
      <w:marLeft w:val="0"/>
      <w:marRight w:val="0"/>
      <w:marTop w:val="0"/>
      <w:marBottom w:val="0"/>
      <w:divBdr>
        <w:top w:val="none" w:sz="0" w:space="0" w:color="auto"/>
        <w:left w:val="none" w:sz="0" w:space="0" w:color="auto"/>
        <w:bottom w:val="none" w:sz="0" w:space="0" w:color="auto"/>
        <w:right w:val="none" w:sz="0" w:space="0" w:color="auto"/>
      </w:divBdr>
    </w:div>
    <w:div w:id="1728727353">
      <w:bodyDiv w:val="1"/>
      <w:marLeft w:val="0"/>
      <w:marRight w:val="0"/>
      <w:marTop w:val="0"/>
      <w:marBottom w:val="0"/>
      <w:divBdr>
        <w:top w:val="none" w:sz="0" w:space="0" w:color="auto"/>
        <w:left w:val="none" w:sz="0" w:space="0" w:color="auto"/>
        <w:bottom w:val="none" w:sz="0" w:space="0" w:color="auto"/>
        <w:right w:val="none" w:sz="0" w:space="0" w:color="auto"/>
      </w:divBdr>
    </w:div>
    <w:div w:id="1728993575">
      <w:bodyDiv w:val="1"/>
      <w:marLeft w:val="0"/>
      <w:marRight w:val="0"/>
      <w:marTop w:val="0"/>
      <w:marBottom w:val="0"/>
      <w:divBdr>
        <w:top w:val="none" w:sz="0" w:space="0" w:color="auto"/>
        <w:left w:val="none" w:sz="0" w:space="0" w:color="auto"/>
        <w:bottom w:val="none" w:sz="0" w:space="0" w:color="auto"/>
        <w:right w:val="none" w:sz="0" w:space="0" w:color="auto"/>
      </w:divBdr>
    </w:div>
    <w:div w:id="1729263571">
      <w:bodyDiv w:val="1"/>
      <w:marLeft w:val="0"/>
      <w:marRight w:val="0"/>
      <w:marTop w:val="0"/>
      <w:marBottom w:val="0"/>
      <w:divBdr>
        <w:top w:val="none" w:sz="0" w:space="0" w:color="auto"/>
        <w:left w:val="none" w:sz="0" w:space="0" w:color="auto"/>
        <w:bottom w:val="none" w:sz="0" w:space="0" w:color="auto"/>
        <w:right w:val="none" w:sz="0" w:space="0" w:color="auto"/>
      </w:divBdr>
    </w:div>
    <w:div w:id="1729304682">
      <w:bodyDiv w:val="1"/>
      <w:marLeft w:val="0"/>
      <w:marRight w:val="0"/>
      <w:marTop w:val="0"/>
      <w:marBottom w:val="0"/>
      <w:divBdr>
        <w:top w:val="none" w:sz="0" w:space="0" w:color="auto"/>
        <w:left w:val="none" w:sz="0" w:space="0" w:color="auto"/>
        <w:bottom w:val="none" w:sz="0" w:space="0" w:color="auto"/>
        <w:right w:val="none" w:sz="0" w:space="0" w:color="auto"/>
      </w:divBdr>
    </w:div>
    <w:div w:id="1729452021">
      <w:bodyDiv w:val="1"/>
      <w:marLeft w:val="0"/>
      <w:marRight w:val="0"/>
      <w:marTop w:val="0"/>
      <w:marBottom w:val="0"/>
      <w:divBdr>
        <w:top w:val="none" w:sz="0" w:space="0" w:color="auto"/>
        <w:left w:val="none" w:sz="0" w:space="0" w:color="auto"/>
        <w:bottom w:val="none" w:sz="0" w:space="0" w:color="auto"/>
        <w:right w:val="none" w:sz="0" w:space="0" w:color="auto"/>
      </w:divBdr>
    </w:div>
    <w:div w:id="1729457841">
      <w:bodyDiv w:val="1"/>
      <w:marLeft w:val="0"/>
      <w:marRight w:val="0"/>
      <w:marTop w:val="0"/>
      <w:marBottom w:val="0"/>
      <w:divBdr>
        <w:top w:val="none" w:sz="0" w:space="0" w:color="auto"/>
        <w:left w:val="none" w:sz="0" w:space="0" w:color="auto"/>
        <w:bottom w:val="none" w:sz="0" w:space="0" w:color="auto"/>
        <w:right w:val="none" w:sz="0" w:space="0" w:color="auto"/>
      </w:divBdr>
    </w:div>
    <w:div w:id="1729498768">
      <w:bodyDiv w:val="1"/>
      <w:marLeft w:val="0"/>
      <w:marRight w:val="0"/>
      <w:marTop w:val="0"/>
      <w:marBottom w:val="0"/>
      <w:divBdr>
        <w:top w:val="none" w:sz="0" w:space="0" w:color="auto"/>
        <w:left w:val="none" w:sz="0" w:space="0" w:color="auto"/>
        <w:bottom w:val="none" w:sz="0" w:space="0" w:color="auto"/>
        <w:right w:val="none" w:sz="0" w:space="0" w:color="auto"/>
      </w:divBdr>
    </w:div>
    <w:div w:id="1729915028">
      <w:bodyDiv w:val="1"/>
      <w:marLeft w:val="0"/>
      <w:marRight w:val="0"/>
      <w:marTop w:val="0"/>
      <w:marBottom w:val="0"/>
      <w:divBdr>
        <w:top w:val="none" w:sz="0" w:space="0" w:color="auto"/>
        <w:left w:val="none" w:sz="0" w:space="0" w:color="auto"/>
        <w:bottom w:val="none" w:sz="0" w:space="0" w:color="auto"/>
        <w:right w:val="none" w:sz="0" w:space="0" w:color="auto"/>
      </w:divBdr>
    </w:div>
    <w:div w:id="1730030567">
      <w:bodyDiv w:val="1"/>
      <w:marLeft w:val="0"/>
      <w:marRight w:val="0"/>
      <w:marTop w:val="0"/>
      <w:marBottom w:val="0"/>
      <w:divBdr>
        <w:top w:val="none" w:sz="0" w:space="0" w:color="auto"/>
        <w:left w:val="none" w:sz="0" w:space="0" w:color="auto"/>
        <w:bottom w:val="none" w:sz="0" w:space="0" w:color="auto"/>
        <w:right w:val="none" w:sz="0" w:space="0" w:color="auto"/>
      </w:divBdr>
    </w:div>
    <w:div w:id="1730496291">
      <w:bodyDiv w:val="1"/>
      <w:marLeft w:val="0"/>
      <w:marRight w:val="0"/>
      <w:marTop w:val="0"/>
      <w:marBottom w:val="0"/>
      <w:divBdr>
        <w:top w:val="none" w:sz="0" w:space="0" w:color="auto"/>
        <w:left w:val="none" w:sz="0" w:space="0" w:color="auto"/>
        <w:bottom w:val="none" w:sz="0" w:space="0" w:color="auto"/>
        <w:right w:val="none" w:sz="0" w:space="0" w:color="auto"/>
      </w:divBdr>
    </w:div>
    <w:div w:id="1730881838">
      <w:bodyDiv w:val="1"/>
      <w:marLeft w:val="0"/>
      <w:marRight w:val="0"/>
      <w:marTop w:val="0"/>
      <w:marBottom w:val="0"/>
      <w:divBdr>
        <w:top w:val="none" w:sz="0" w:space="0" w:color="auto"/>
        <w:left w:val="none" w:sz="0" w:space="0" w:color="auto"/>
        <w:bottom w:val="none" w:sz="0" w:space="0" w:color="auto"/>
        <w:right w:val="none" w:sz="0" w:space="0" w:color="auto"/>
      </w:divBdr>
    </w:div>
    <w:div w:id="1731071136">
      <w:bodyDiv w:val="1"/>
      <w:marLeft w:val="0"/>
      <w:marRight w:val="0"/>
      <w:marTop w:val="0"/>
      <w:marBottom w:val="0"/>
      <w:divBdr>
        <w:top w:val="none" w:sz="0" w:space="0" w:color="auto"/>
        <w:left w:val="none" w:sz="0" w:space="0" w:color="auto"/>
        <w:bottom w:val="none" w:sz="0" w:space="0" w:color="auto"/>
        <w:right w:val="none" w:sz="0" w:space="0" w:color="auto"/>
      </w:divBdr>
    </w:div>
    <w:div w:id="1731340527">
      <w:bodyDiv w:val="1"/>
      <w:marLeft w:val="0"/>
      <w:marRight w:val="0"/>
      <w:marTop w:val="0"/>
      <w:marBottom w:val="0"/>
      <w:divBdr>
        <w:top w:val="none" w:sz="0" w:space="0" w:color="auto"/>
        <w:left w:val="none" w:sz="0" w:space="0" w:color="auto"/>
        <w:bottom w:val="none" w:sz="0" w:space="0" w:color="auto"/>
        <w:right w:val="none" w:sz="0" w:space="0" w:color="auto"/>
      </w:divBdr>
    </w:div>
    <w:div w:id="1731420669">
      <w:bodyDiv w:val="1"/>
      <w:marLeft w:val="0"/>
      <w:marRight w:val="0"/>
      <w:marTop w:val="0"/>
      <w:marBottom w:val="0"/>
      <w:divBdr>
        <w:top w:val="none" w:sz="0" w:space="0" w:color="auto"/>
        <w:left w:val="none" w:sz="0" w:space="0" w:color="auto"/>
        <w:bottom w:val="none" w:sz="0" w:space="0" w:color="auto"/>
        <w:right w:val="none" w:sz="0" w:space="0" w:color="auto"/>
      </w:divBdr>
    </w:div>
    <w:div w:id="1731613309">
      <w:bodyDiv w:val="1"/>
      <w:marLeft w:val="0"/>
      <w:marRight w:val="0"/>
      <w:marTop w:val="0"/>
      <w:marBottom w:val="0"/>
      <w:divBdr>
        <w:top w:val="none" w:sz="0" w:space="0" w:color="auto"/>
        <w:left w:val="none" w:sz="0" w:space="0" w:color="auto"/>
        <w:bottom w:val="none" w:sz="0" w:space="0" w:color="auto"/>
        <w:right w:val="none" w:sz="0" w:space="0" w:color="auto"/>
      </w:divBdr>
    </w:div>
    <w:div w:id="1731882298">
      <w:bodyDiv w:val="1"/>
      <w:marLeft w:val="0"/>
      <w:marRight w:val="0"/>
      <w:marTop w:val="0"/>
      <w:marBottom w:val="0"/>
      <w:divBdr>
        <w:top w:val="none" w:sz="0" w:space="0" w:color="auto"/>
        <w:left w:val="none" w:sz="0" w:space="0" w:color="auto"/>
        <w:bottom w:val="none" w:sz="0" w:space="0" w:color="auto"/>
        <w:right w:val="none" w:sz="0" w:space="0" w:color="auto"/>
      </w:divBdr>
    </w:div>
    <w:div w:id="1731926422">
      <w:bodyDiv w:val="1"/>
      <w:marLeft w:val="0"/>
      <w:marRight w:val="0"/>
      <w:marTop w:val="0"/>
      <w:marBottom w:val="0"/>
      <w:divBdr>
        <w:top w:val="none" w:sz="0" w:space="0" w:color="auto"/>
        <w:left w:val="none" w:sz="0" w:space="0" w:color="auto"/>
        <w:bottom w:val="none" w:sz="0" w:space="0" w:color="auto"/>
        <w:right w:val="none" w:sz="0" w:space="0" w:color="auto"/>
      </w:divBdr>
    </w:div>
    <w:div w:id="1732194023">
      <w:bodyDiv w:val="1"/>
      <w:marLeft w:val="0"/>
      <w:marRight w:val="0"/>
      <w:marTop w:val="0"/>
      <w:marBottom w:val="0"/>
      <w:divBdr>
        <w:top w:val="none" w:sz="0" w:space="0" w:color="auto"/>
        <w:left w:val="none" w:sz="0" w:space="0" w:color="auto"/>
        <w:bottom w:val="none" w:sz="0" w:space="0" w:color="auto"/>
        <w:right w:val="none" w:sz="0" w:space="0" w:color="auto"/>
      </w:divBdr>
    </w:div>
    <w:div w:id="1732386154">
      <w:bodyDiv w:val="1"/>
      <w:marLeft w:val="0"/>
      <w:marRight w:val="0"/>
      <w:marTop w:val="0"/>
      <w:marBottom w:val="0"/>
      <w:divBdr>
        <w:top w:val="none" w:sz="0" w:space="0" w:color="auto"/>
        <w:left w:val="none" w:sz="0" w:space="0" w:color="auto"/>
        <w:bottom w:val="none" w:sz="0" w:space="0" w:color="auto"/>
        <w:right w:val="none" w:sz="0" w:space="0" w:color="auto"/>
      </w:divBdr>
    </w:div>
    <w:div w:id="1732456643">
      <w:bodyDiv w:val="1"/>
      <w:marLeft w:val="0"/>
      <w:marRight w:val="0"/>
      <w:marTop w:val="0"/>
      <w:marBottom w:val="0"/>
      <w:divBdr>
        <w:top w:val="none" w:sz="0" w:space="0" w:color="auto"/>
        <w:left w:val="none" w:sz="0" w:space="0" w:color="auto"/>
        <w:bottom w:val="none" w:sz="0" w:space="0" w:color="auto"/>
        <w:right w:val="none" w:sz="0" w:space="0" w:color="auto"/>
      </w:divBdr>
    </w:div>
    <w:div w:id="1732920793">
      <w:bodyDiv w:val="1"/>
      <w:marLeft w:val="0"/>
      <w:marRight w:val="0"/>
      <w:marTop w:val="0"/>
      <w:marBottom w:val="0"/>
      <w:divBdr>
        <w:top w:val="none" w:sz="0" w:space="0" w:color="auto"/>
        <w:left w:val="none" w:sz="0" w:space="0" w:color="auto"/>
        <w:bottom w:val="none" w:sz="0" w:space="0" w:color="auto"/>
        <w:right w:val="none" w:sz="0" w:space="0" w:color="auto"/>
      </w:divBdr>
    </w:div>
    <w:div w:id="1733192976">
      <w:bodyDiv w:val="1"/>
      <w:marLeft w:val="0"/>
      <w:marRight w:val="0"/>
      <w:marTop w:val="0"/>
      <w:marBottom w:val="0"/>
      <w:divBdr>
        <w:top w:val="none" w:sz="0" w:space="0" w:color="auto"/>
        <w:left w:val="none" w:sz="0" w:space="0" w:color="auto"/>
        <w:bottom w:val="none" w:sz="0" w:space="0" w:color="auto"/>
        <w:right w:val="none" w:sz="0" w:space="0" w:color="auto"/>
      </w:divBdr>
    </w:div>
    <w:div w:id="1733235402">
      <w:bodyDiv w:val="1"/>
      <w:marLeft w:val="0"/>
      <w:marRight w:val="0"/>
      <w:marTop w:val="0"/>
      <w:marBottom w:val="0"/>
      <w:divBdr>
        <w:top w:val="none" w:sz="0" w:space="0" w:color="auto"/>
        <w:left w:val="none" w:sz="0" w:space="0" w:color="auto"/>
        <w:bottom w:val="none" w:sz="0" w:space="0" w:color="auto"/>
        <w:right w:val="none" w:sz="0" w:space="0" w:color="auto"/>
      </w:divBdr>
    </w:div>
    <w:div w:id="1733581555">
      <w:bodyDiv w:val="1"/>
      <w:marLeft w:val="0"/>
      <w:marRight w:val="0"/>
      <w:marTop w:val="0"/>
      <w:marBottom w:val="0"/>
      <w:divBdr>
        <w:top w:val="none" w:sz="0" w:space="0" w:color="auto"/>
        <w:left w:val="none" w:sz="0" w:space="0" w:color="auto"/>
        <w:bottom w:val="none" w:sz="0" w:space="0" w:color="auto"/>
        <w:right w:val="none" w:sz="0" w:space="0" w:color="auto"/>
      </w:divBdr>
    </w:div>
    <w:div w:id="1733851231">
      <w:bodyDiv w:val="1"/>
      <w:marLeft w:val="0"/>
      <w:marRight w:val="0"/>
      <w:marTop w:val="0"/>
      <w:marBottom w:val="0"/>
      <w:divBdr>
        <w:top w:val="none" w:sz="0" w:space="0" w:color="auto"/>
        <w:left w:val="none" w:sz="0" w:space="0" w:color="auto"/>
        <w:bottom w:val="none" w:sz="0" w:space="0" w:color="auto"/>
        <w:right w:val="none" w:sz="0" w:space="0" w:color="auto"/>
      </w:divBdr>
    </w:div>
    <w:div w:id="1733961789">
      <w:bodyDiv w:val="1"/>
      <w:marLeft w:val="0"/>
      <w:marRight w:val="0"/>
      <w:marTop w:val="0"/>
      <w:marBottom w:val="0"/>
      <w:divBdr>
        <w:top w:val="none" w:sz="0" w:space="0" w:color="auto"/>
        <w:left w:val="none" w:sz="0" w:space="0" w:color="auto"/>
        <w:bottom w:val="none" w:sz="0" w:space="0" w:color="auto"/>
        <w:right w:val="none" w:sz="0" w:space="0" w:color="auto"/>
      </w:divBdr>
    </w:div>
    <w:div w:id="1734111933">
      <w:bodyDiv w:val="1"/>
      <w:marLeft w:val="0"/>
      <w:marRight w:val="0"/>
      <w:marTop w:val="0"/>
      <w:marBottom w:val="0"/>
      <w:divBdr>
        <w:top w:val="none" w:sz="0" w:space="0" w:color="auto"/>
        <w:left w:val="none" w:sz="0" w:space="0" w:color="auto"/>
        <w:bottom w:val="none" w:sz="0" w:space="0" w:color="auto"/>
        <w:right w:val="none" w:sz="0" w:space="0" w:color="auto"/>
      </w:divBdr>
    </w:div>
    <w:div w:id="1734229134">
      <w:bodyDiv w:val="1"/>
      <w:marLeft w:val="0"/>
      <w:marRight w:val="0"/>
      <w:marTop w:val="0"/>
      <w:marBottom w:val="0"/>
      <w:divBdr>
        <w:top w:val="none" w:sz="0" w:space="0" w:color="auto"/>
        <w:left w:val="none" w:sz="0" w:space="0" w:color="auto"/>
        <w:bottom w:val="none" w:sz="0" w:space="0" w:color="auto"/>
        <w:right w:val="none" w:sz="0" w:space="0" w:color="auto"/>
      </w:divBdr>
    </w:div>
    <w:div w:id="1734307656">
      <w:bodyDiv w:val="1"/>
      <w:marLeft w:val="0"/>
      <w:marRight w:val="0"/>
      <w:marTop w:val="0"/>
      <w:marBottom w:val="0"/>
      <w:divBdr>
        <w:top w:val="none" w:sz="0" w:space="0" w:color="auto"/>
        <w:left w:val="none" w:sz="0" w:space="0" w:color="auto"/>
        <w:bottom w:val="none" w:sz="0" w:space="0" w:color="auto"/>
        <w:right w:val="none" w:sz="0" w:space="0" w:color="auto"/>
      </w:divBdr>
    </w:div>
    <w:div w:id="1734309354">
      <w:bodyDiv w:val="1"/>
      <w:marLeft w:val="0"/>
      <w:marRight w:val="0"/>
      <w:marTop w:val="0"/>
      <w:marBottom w:val="0"/>
      <w:divBdr>
        <w:top w:val="none" w:sz="0" w:space="0" w:color="auto"/>
        <w:left w:val="none" w:sz="0" w:space="0" w:color="auto"/>
        <w:bottom w:val="none" w:sz="0" w:space="0" w:color="auto"/>
        <w:right w:val="none" w:sz="0" w:space="0" w:color="auto"/>
      </w:divBdr>
    </w:div>
    <w:div w:id="1734544686">
      <w:bodyDiv w:val="1"/>
      <w:marLeft w:val="0"/>
      <w:marRight w:val="0"/>
      <w:marTop w:val="0"/>
      <w:marBottom w:val="0"/>
      <w:divBdr>
        <w:top w:val="none" w:sz="0" w:space="0" w:color="auto"/>
        <w:left w:val="none" w:sz="0" w:space="0" w:color="auto"/>
        <w:bottom w:val="none" w:sz="0" w:space="0" w:color="auto"/>
        <w:right w:val="none" w:sz="0" w:space="0" w:color="auto"/>
      </w:divBdr>
    </w:div>
    <w:div w:id="1735346432">
      <w:bodyDiv w:val="1"/>
      <w:marLeft w:val="0"/>
      <w:marRight w:val="0"/>
      <w:marTop w:val="0"/>
      <w:marBottom w:val="0"/>
      <w:divBdr>
        <w:top w:val="none" w:sz="0" w:space="0" w:color="auto"/>
        <w:left w:val="none" w:sz="0" w:space="0" w:color="auto"/>
        <w:bottom w:val="none" w:sz="0" w:space="0" w:color="auto"/>
        <w:right w:val="none" w:sz="0" w:space="0" w:color="auto"/>
      </w:divBdr>
    </w:div>
    <w:div w:id="1735472873">
      <w:bodyDiv w:val="1"/>
      <w:marLeft w:val="0"/>
      <w:marRight w:val="0"/>
      <w:marTop w:val="0"/>
      <w:marBottom w:val="0"/>
      <w:divBdr>
        <w:top w:val="none" w:sz="0" w:space="0" w:color="auto"/>
        <w:left w:val="none" w:sz="0" w:space="0" w:color="auto"/>
        <w:bottom w:val="none" w:sz="0" w:space="0" w:color="auto"/>
        <w:right w:val="none" w:sz="0" w:space="0" w:color="auto"/>
      </w:divBdr>
    </w:div>
    <w:div w:id="1735541638">
      <w:bodyDiv w:val="1"/>
      <w:marLeft w:val="0"/>
      <w:marRight w:val="0"/>
      <w:marTop w:val="0"/>
      <w:marBottom w:val="0"/>
      <w:divBdr>
        <w:top w:val="none" w:sz="0" w:space="0" w:color="auto"/>
        <w:left w:val="none" w:sz="0" w:space="0" w:color="auto"/>
        <w:bottom w:val="none" w:sz="0" w:space="0" w:color="auto"/>
        <w:right w:val="none" w:sz="0" w:space="0" w:color="auto"/>
      </w:divBdr>
    </w:div>
    <w:div w:id="1735617365">
      <w:bodyDiv w:val="1"/>
      <w:marLeft w:val="0"/>
      <w:marRight w:val="0"/>
      <w:marTop w:val="0"/>
      <w:marBottom w:val="0"/>
      <w:divBdr>
        <w:top w:val="none" w:sz="0" w:space="0" w:color="auto"/>
        <w:left w:val="none" w:sz="0" w:space="0" w:color="auto"/>
        <w:bottom w:val="none" w:sz="0" w:space="0" w:color="auto"/>
        <w:right w:val="none" w:sz="0" w:space="0" w:color="auto"/>
      </w:divBdr>
    </w:div>
    <w:div w:id="1735619499">
      <w:bodyDiv w:val="1"/>
      <w:marLeft w:val="0"/>
      <w:marRight w:val="0"/>
      <w:marTop w:val="0"/>
      <w:marBottom w:val="0"/>
      <w:divBdr>
        <w:top w:val="none" w:sz="0" w:space="0" w:color="auto"/>
        <w:left w:val="none" w:sz="0" w:space="0" w:color="auto"/>
        <w:bottom w:val="none" w:sz="0" w:space="0" w:color="auto"/>
        <w:right w:val="none" w:sz="0" w:space="0" w:color="auto"/>
      </w:divBdr>
    </w:div>
    <w:div w:id="1735664374">
      <w:bodyDiv w:val="1"/>
      <w:marLeft w:val="0"/>
      <w:marRight w:val="0"/>
      <w:marTop w:val="0"/>
      <w:marBottom w:val="0"/>
      <w:divBdr>
        <w:top w:val="none" w:sz="0" w:space="0" w:color="auto"/>
        <w:left w:val="none" w:sz="0" w:space="0" w:color="auto"/>
        <w:bottom w:val="none" w:sz="0" w:space="0" w:color="auto"/>
        <w:right w:val="none" w:sz="0" w:space="0" w:color="auto"/>
      </w:divBdr>
    </w:div>
    <w:div w:id="1736202498">
      <w:bodyDiv w:val="1"/>
      <w:marLeft w:val="0"/>
      <w:marRight w:val="0"/>
      <w:marTop w:val="0"/>
      <w:marBottom w:val="0"/>
      <w:divBdr>
        <w:top w:val="none" w:sz="0" w:space="0" w:color="auto"/>
        <w:left w:val="none" w:sz="0" w:space="0" w:color="auto"/>
        <w:bottom w:val="none" w:sz="0" w:space="0" w:color="auto"/>
        <w:right w:val="none" w:sz="0" w:space="0" w:color="auto"/>
      </w:divBdr>
    </w:div>
    <w:div w:id="1736708786">
      <w:bodyDiv w:val="1"/>
      <w:marLeft w:val="0"/>
      <w:marRight w:val="0"/>
      <w:marTop w:val="0"/>
      <w:marBottom w:val="0"/>
      <w:divBdr>
        <w:top w:val="none" w:sz="0" w:space="0" w:color="auto"/>
        <w:left w:val="none" w:sz="0" w:space="0" w:color="auto"/>
        <w:bottom w:val="none" w:sz="0" w:space="0" w:color="auto"/>
        <w:right w:val="none" w:sz="0" w:space="0" w:color="auto"/>
      </w:divBdr>
    </w:div>
    <w:div w:id="1736852820">
      <w:bodyDiv w:val="1"/>
      <w:marLeft w:val="0"/>
      <w:marRight w:val="0"/>
      <w:marTop w:val="0"/>
      <w:marBottom w:val="0"/>
      <w:divBdr>
        <w:top w:val="none" w:sz="0" w:space="0" w:color="auto"/>
        <w:left w:val="none" w:sz="0" w:space="0" w:color="auto"/>
        <w:bottom w:val="none" w:sz="0" w:space="0" w:color="auto"/>
        <w:right w:val="none" w:sz="0" w:space="0" w:color="auto"/>
      </w:divBdr>
    </w:div>
    <w:div w:id="1737166379">
      <w:bodyDiv w:val="1"/>
      <w:marLeft w:val="0"/>
      <w:marRight w:val="0"/>
      <w:marTop w:val="0"/>
      <w:marBottom w:val="0"/>
      <w:divBdr>
        <w:top w:val="none" w:sz="0" w:space="0" w:color="auto"/>
        <w:left w:val="none" w:sz="0" w:space="0" w:color="auto"/>
        <w:bottom w:val="none" w:sz="0" w:space="0" w:color="auto"/>
        <w:right w:val="none" w:sz="0" w:space="0" w:color="auto"/>
      </w:divBdr>
    </w:div>
    <w:div w:id="1737321236">
      <w:bodyDiv w:val="1"/>
      <w:marLeft w:val="0"/>
      <w:marRight w:val="0"/>
      <w:marTop w:val="0"/>
      <w:marBottom w:val="0"/>
      <w:divBdr>
        <w:top w:val="none" w:sz="0" w:space="0" w:color="auto"/>
        <w:left w:val="none" w:sz="0" w:space="0" w:color="auto"/>
        <w:bottom w:val="none" w:sz="0" w:space="0" w:color="auto"/>
        <w:right w:val="none" w:sz="0" w:space="0" w:color="auto"/>
      </w:divBdr>
    </w:div>
    <w:div w:id="1737510227">
      <w:bodyDiv w:val="1"/>
      <w:marLeft w:val="0"/>
      <w:marRight w:val="0"/>
      <w:marTop w:val="0"/>
      <w:marBottom w:val="0"/>
      <w:divBdr>
        <w:top w:val="none" w:sz="0" w:space="0" w:color="auto"/>
        <w:left w:val="none" w:sz="0" w:space="0" w:color="auto"/>
        <w:bottom w:val="none" w:sz="0" w:space="0" w:color="auto"/>
        <w:right w:val="none" w:sz="0" w:space="0" w:color="auto"/>
      </w:divBdr>
    </w:div>
    <w:div w:id="1738019077">
      <w:bodyDiv w:val="1"/>
      <w:marLeft w:val="0"/>
      <w:marRight w:val="0"/>
      <w:marTop w:val="0"/>
      <w:marBottom w:val="0"/>
      <w:divBdr>
        <w:top w:val="none" w:sz="0" w:space="0" w:color="auto"/>
        <w:left w:val="none" w:sz="0" w:space="0" w:color="auto"/>
        <w:bottom w:val="none" w:sz="0" w:space="0" w:color="auto"/>
        <w:right w:val="none" w:sz="0" w:space="0" w:color="auto"/>
      </w:divBdr>
    </w:div>
    <w:div w:id="1738356686">
      <w:bodyDiv w:val="1"/>
      <w:marLeft w:val="0"/>
      <w:marRight w:val="0"/>
      <w:marTop w:val="0"/>
      <w:marBottom w:val="0"/>
      <w:divBdr>
        <w:top w:val="none" w:sz="0" w:space="0" w:color="auto"/>
        <w:left w:val="none" w:sz="0" w:space="0" w:color="auto"/>
        <w:bottom w:val="none" w:sz="0" w:space="0" w:color="auto"/>
        <w:right w:val="none" w:sz="0" w:space="0" w:color="auto"/>
      </w:divBdr>
    </w:div>
    <w:div w:id="1738431706">
      <w:bodyDiv w:val="1"/>
      <w:marLeft w:val="0"/>
      <w:marRight w:val="0"/>
      <w:marTop w:val="0"/>
      <w:marBottom w:val="0"/>
      <w:divBdr>
        <w:top w:val="none" w:sz="0" w:space="0" w:color="auto"/>
        <w:left w:val="none" w:sz="0" w:space="0" w:color="auto"/>
        <w:bottom w:val="none" w:sz="0" w:space="0" w:color="auto"/>
        <w:right w:val="none" w:sz="0" w:space="0" w:color="auto"/>
      </w:divBdr>
    </w:div>
    <w:div w:id="1738701455">
      <w:bodyDiv w:val="1"/>
      <w:marLeft w:val="0"/>
      <w:marRight w:val="0"/>
      <w:marTop w:val="0"/>
      <w:marBottom w:val="0"/>
      <w:divBdr>
        <w:top w:val="none" w:sz="0" w:space="0" w:color="auto"/>
        <w:left w:val="none" w:sz="0" w:space="0" w:color="auto"/>
        <w:bottom w:val="none" w:sz="0" w:space="0" w:color="auto"/>
        <w:right w:val="none" w:sz="0" w:space="0" w:color="auto"/>
      </w:divBdr>
    </w:div>
    <w:div w:id="1739013327">
      <w:bodyDiv w:val="1"/>
      <w:marLeft w:val="0"/>
      <w:marRight w:val="0"/>
      <w:marTop w:val="0"/>
      <w:marBottom w:val="0"/>
      <w:divBdr>
        <w:top w:val="none" w:sz="0" w:space="0" w:color="auto"/>
        <w:left w:val="none" w:sz="0" w:space="0" w:color="auto"/>
        <w:bottom w:val="none" w:sz="0" w:space="0" w:color="auto"/>
        <w:right w:val="none" w:sz="0" w:space="0" w:color="auto"/>
      </w:divBdr>
    </w:div>
    <w:div w:id="1739211558">
      <w:bodyDiv w:val="1"/>
      <w:marLeft w:val="0"/>
      <w:marRight w:val="0"/>
      <w:marTop w:val="0"/>
      <w:marBottom w:val="0"/>
      <w:divBdr>
        <w:top w:val="none" w:sz="0" w:space="0" w:color="auto"/>
        <w:left w:val="none" w:sz="0" w:space="0" w:color="auto"/>
        <w:bottom w:val="none" w:sz="0" w:space="0" w:color="auto"/>
        <w:right w:val="none" w:sz="0" w:space="0" w:color="auto"/>
      </w:divBdr>
    </w:div>
    <w:div w:id="1739791424">
      <w:bodyDiv w:val="1"/>
      <w:marLeft w:val="0"/>
      <w:marRight w:val="0"/>
      <w:marTop w:val="0"/>
      <w:marBottom w:val="0"/>
      <w:divBdr>
        <w:top w:val="none" w:sz="0" w:space="0" w:color="auto"/>
        <w:left w:val="none" w:sz="0" w:space="0" w:color="auto"/>
        <w:bottom w:val="none" w:sz="0" w:space="0" w:color="auto"/>
        <w:right w:val="none" w:sz="0" w:space="0" w:color="auto"/>
      </w:divBdr>
    </w:div>
    <w:div w:id="1739860080">
      <w:bodyDiv w:val="1"/>
      <w:marLeft w:val="0"/>
      <w:marRight w:val="0"/>
      <w:marTop w:val="0"/>
      <w:marBottom w:val="0"/>
      <w:divBdr>
        <w:top w:val="none" w:sz="0" w:space="0" w:color="auto"/>
        <w:left w:val="none" w:sz="0" w:space="0" w:color="auto"/>
        <w:bottom w:val="none" w:sz="0" w:space="0" w:color="auto"/>
        <w:right w:val="none" w:sz="0" w:space="0" w:color="auto"/>
      </w:divBdr>
    </w:div>
    <w:div w:id="1740008960">
      <w:bodyDiv w:val="1"/>
      <w:marLeft w:val="0"/>
      <w:marRight w:val="0"/>
      <w:marTop w:val="0"/>
      <w:marBottom w:val="0"/>
      <w:divBdr>
        <w:top w:val="none" w:sz="0" w:space="0" w:color="auto"/>
        <w:left w:val="none" w:sz="0" w:space="0" w:color="auto"/>
        <w:bottom w:val="none" w:sz="0" w:space="0" w:color="auto"/>
        <w:right w:val="none" w:sz="0" w:space="0" w:color="auto"/>
      </w:divBdr>
    </w:div>
    <w:div w:id="1740010407">
      <w:bodyDiv w:val="1"/>
      <w:marLeft w:val="0"/>
      <w:marRight w:val="0"/>
      <w:marTop w:val="0"/>
      <w:marBottom w:val="0"/>
      <w:divBdr>
        <w:top w:val="none" w:sz="0" w:space="0" w:color="auto"/>
        <w:left w:val="none" w:sz="0" w:space="0" w:color="auto"/>
        <w:bottom w:val="none" w:sz="0" w:space="0" w:color="auto"/>
        <w:right w:val="none" w:sz="0" w:space="0" w:color="auto"/>
      </w:divBdr>
    </w:div>
    <w:div w:id="1741054197">
      <w:bodyDiv w:val="1"/>
      <w:marLeft w:val="0"/>
      <w:marRight w:val="0"/>
      <w:marTop w:val="0"/>
      <w:marBottom w:val="0"/>
      <w:divBdr>
        <w:top w:val="none" w:sz="0" w:space="0" w:color="auto"/>
        <w:left w:val="none" w:sz="0" w:space="0" w:color="auto"/>
        <w:bottom w:val="none" w:sz="0" w:space="0" w:color="auto"/>
        <w:right w:val="none" w:sz="0" w:space="0" w:color="auto"/>
      </w:divBdr>
    </w:div>
    <w:div w:id="1741252179">
      <w:bodyDiv w:val="1"/>
      <w:marLeft w:val="0"/>
      <w:marRight w:val="0"/>
      <w:marTop w:val="0"/>
      <w:marBottom w:val="0"/>
      <w:divBdr>
        <w:top w:val="none" w:sz="0" w:space="0" w:color="auto"/>
        <w:left w:val="none" w:sz="0" w:space="0" w:color="auto"/>
        <w:bottom w:val="none" w:sz="0" w:space="0" w:color="auto"/>
        <w:right w:val="none" w:sz="0" w:space="0" w:color="auto"/>
      </w:divBdr>
    </w:div>
    <w:div w:id="1741323328">
      <w:bodyDiv w:val="1"/>
      <w:marLeft w:val="0"/>
      <w:marRight w:val="0"/>
      <w:marTop w:val="0"/>
      <w:marBottom w:val="0"/>
      <w:divBdr>
        <w:top w:val="none" w:sz="0" w:space="0" w:color="auto"/>
        <w:left w:val="none" w:sz="0" w:space="0" w:color="auto"/>
        <w:bottom w:val="none" w:sz="0" w:space="0" w:color="auto"/>
        <w:right w:val="none" w:sz="0" w:space="0" w:color="auto"/>
      </w:divBdr>
    </w:div>
    <w:div w:id="1741438476">
      <w:bodyDiv w:val="1"/>
      <w:marLeft w:val="0"/>
      <w:marRight w:val="0"/>
      <w:marTop w:val="0"/>
      <w:marBottom w:val="0"/>
      <w:divBdr>
        <w:top w:val="none" w:sz="0" w:space="0" w:color="auto"/>
        <w:left w:val="none" w:sz="0" w:space="0" w:color="auto"/>
        <w:bottom w:val="none" w:sz="0" w:space="0" w:color="auto"/>
        <w:right w:val="none" w:sz="0" w:space="0" w:color="auto"/>
      </w:divBdr>
    </w:div>
    <w:div w:id="1741705698">
      <w:bodyDiv w:val="1"/>
      <w:marLeft w:val="0"/>
      <w:marRight w:val="0"/>
      <w:marTop w:val="0"/>
      <w:marBottom w:val="0"/>
      <w:divBdr>
        <w:top w:val="none" w:sz="0" w:space="0" w:color="auto"/>
        <w:left w:val="none" w:sz="0" w:space="0" w:color="auto"/>
        <w:bottom w:val="none" w:sz="0" w:space="0" w:color="auto"/>
        <w:right w:val="none" w:sz="0" w:space="0" w:color="auto"/>
      </w:divBdr>
    </w:div>
    <w:div w:id="1741708431">
      <w:bodyDiv w:val="1"/>
      <w:marLeft w:val="0"/>
      <w:marRight w:val="0"/>
      <w:marTop w:val="0"/>
      <w:marBottom w:val="0"/>
      <w:divBdr>
        <w:top w:val="none" w:sz="0" w:space="0" w:color="auto"/>
        <w:left w:val="none" w:sz="0" w:space="0" w:color="auto"/>
        <w:bottom w:val="none" w:sz="0" w:space="0" w:color="auto"/>
        <w:right w:val="none" w:sz="0" w:space="0" w:color="auto"/>
      </w:divBdr>
    </w:div>
    <w:div w:id="1741907615">
      <w:bodyDiv w:val="1"/>
      <w:marLeft w:val="0"/>
      <w:marRight w:val="0"/>
      <w:marTop w:val="0"/>
      <w:marBottom w:val="0"/>
      <w:divBdr>
        <w:top w:val="none" w:sz="0" w:space="0" w:color="auto"/>
        <w:left w:val="none" w:sz="0" w:space="0" w:color="auto"/>
        <w:bottom w:val="none" w:sz="0" w:space="0" w:color="auto"/>
        <w:right w:val="none" w:sz="0" w:space="0" w:color="auto"/>
      </w:divBdr>
    </w:div>
    <w:div w:id="1741946982">
      <w:bodyDiv w:val="1"/>
      <w:marLeft w:val="0"/>
      <w:marRight w:val="0"/>
      <w:marTop w:val="0"/>
      <w:marBottom w:val="0"/>
      <w:divBdr>
        <w:top w:val="none" w:sz="0" w:space="0" w:color="auto"/>
        <w:left w:val="none" w:sz="0" w:space="0" w:color="auto"/>
        <w:bottom w:val="none" w:sz="0" w:space="0" w:color="auto"/>
        <w:right w:val="none" w:sz="0" w:space="0" w:color="auto"/>
      </w:divBdr>
    </w:div>
    <w:div w:id="1742634555">
      <w:bodyDiv w:val="1"/>
      <w:marLeft w:val="0"/>
      <w:marRight w:val="0"/>
      <w:marTop w:val="0"/>
      <w:marBottom w:val="0"/>
      <w:divBdr>
        <w:top w:val="none" w:sz="0" w:space="0" w:color="auto"/>
        <w:left w:val="none" w:sz="0" w:space="0" w:color="auto"/>
        <w:bottom w:val="none" w:sz="0" w:space="0" w:color="auto"/>
        <w:right w:val="none" w:sz="0" w:space="0" w:color="auto"/>
      </w:divBdr>
    </w:div>
    <w:div w:id="1742750234">
      <w:bodyDiv w:val="1"/>
      <w:marLeft w:val="0"/>
      <w:marRight w:val="0"/>
      <w:marTop w:val="0"/>
      <w:marBottom w:val="0"/>
      <w:divBdr>
        <w:top w:val="none" w:sz="0" w:space="0" w:color="auto"/>
        <w:left w:val="none" w:sz="0" w:space="0" w:color="auto"/>
        <w:bottom w:val="none" w:sz="0" w:space="0" w:color="auto"/>
        <w:right w:val="none" w:sz="0" w:space="0" w:color="auto"/>
      </w:divBdr>
    </w:div>
    <w:div w:id="1742752066">
      <w:bodyDiv w:val="1"/>
      <w:marLeft w:val="0"/>
      <w:marRight w:val="0"/>
      <w:marTop w:val="0"/>
      <w:marBottom w:val="0"/>
      <w:divBdr>
        <w:top w:val="none" w:sz="0" w:space="0" w:color="auto"/>
        <w:left w:val="none" w:sz="0" w:space="0" w:color="auto"/>
        <w:bottom w:val="none" w:sz="0" w:space="0" w:color="auto"/>
        <w:right w:val="none" w:sz="0" w:space="0" w:color="auto"/>
      </w:divBdr>
    </w:div>
    <w:div w:id="1742822716">
      <w:bodyDiv w:val="1"/>
      <w:marLeft w:val="0"/>
      <w:marRight w:val="0"/>
      <w:marTop w:val="0"/>
      <w:marBottom w:val="0"/>
      <w:divBdr>
        <w:top w:val="none" w:sz="0" w:space="0" w:color="auto"/>
        <w:left w:val="none" w:sz="0" w:space="0" w:color="auto"/>
        <w:bottom w:val="none" w:sz="0" w:space="0" w:color="auto"/>
        <w:right w:val="none" w:sz="0" w:space="0" w:color="auto"/>
      </w:divBdr>
    </w:div>
    <w:div w:id="1742865606">
      <w:bodyDiv w:val="1"/>
      <w:marLeft w:val="0"/>
      <w:marRight w:val="0"/>
      <w:marTop w:val="0"/>
      <w:marBottom w:val="0"/>
      <w:divBdr>
        <w:top w:val="none" w:sz="0" w:space="0" w:color="auto"/>
        <w:left w:val="none" w:sz="0" w:space="0" w:color="auto"/>
        <w:bottom w:val="none" w:sz="0" w:space="0" w:color="auto"/>
        <w:right w:val="none" w:sz="0" w:space="0" w:color="auto"/>
      </w:divBdr>
    </w:div>
    <w:div w:id="1742946861">
      <w:bodyDiv w:val="1"/>
      <w:marLeft w:val="0"/>
      <w:marRight w:val="0"/>
      <w:marTop w:val="0"/>
      <w:marBottom w:val="0"/>
      <w:divBdr>
        <w:top w:val="none" w:sz="0" w:space="0" w:color="auto"/>
        <w:left w:val="none" w:sz="0" w:space="0" w:color="auto"/>
        <w:bottom w:val="none" w:sz="0" w:space="0" w:color="auto"/>
        <w:right w:val="none" w:sz="0" w:space="0" w:color="auto"/>
      </w:divBdr>
    </w:div>
    <w:div w:id="1743017423">
      <w:bodyDiv w:val="1"/>
      <w:marLeft w:val="0"/>
      <w:marRight w:val="0"/>
      <w:marTop w:val="0"/>
      <w:marBottom w:val="0"/>
      <w:divBdr>
        <w:top w:val="none" w:sz="0" w:space="0" w:color="auto"/>
        <w:left w:val="none" w:sz="0" w:space="0" w:color="auto"/>
        <w:bottom w:val="none" w:sz="0" w:space="0" w:color="auto"/>
        <w:right w:val="none" w:sz="0" w:space="0" w:color="auto"/>
      </w:divBdr>
    </w:div>
    <w:div w:id="1743334157">
      <w:bodyDiv w:val="1"/>
      <w:marLeft w:val="0"/>
      <w:marRight w:val="0"/>
      <w:marTop w:val="0"/>
      <w:marBottom w:val="0"/>
      <w:divBdr>
        <w:top w:val="none" w:sz="0" w:space="0" w:color="auto"/>
        <w:left w:val="none" w:sz="0" w:space="0" w:color="auto"/>
        <w:bottom w:val="none" w:sz="0" w:space="0" w:color="auto"/>
        <w:right w:val="none" w:sz="0" w:space="0" w:color="auto"/>
      </w:divBdr>
    </w:div>
    <w:div w:id="1744183568">
      <w:bodyDiv w:val="1"/>
      <w:marLeft w:val="0"/>
      <w:marRight w:val="0"/>
      <w:marTop w:val="0"/>
      <w:marBottom w:val="0"/>
      <w:divBdr>
        <w:top w:val="none" w:sz="0" w:space="0" w:color="auto"/>
        <w:left w:val="none" w:sz="0" w:space="0" w:color="auto"/>
        <w:bottom w:val="none" w:sz="0" w:space="0" w:color="auto"/>
        <w:right w:val="none" w:sz="0" w:space="0" w:color="auto"/>
      </w:divBdr>
    </w:div>
    <w:div w:id="1744402188">
      <w:bodyDiv w:val="1"/>
      <w:marLeft w:val="0"/>
      <w:marRight w:val="0"/>
      <w:marTop w:val="0"/>
      <w:marBottom w:val="0"/>
      <w:divBdr>
        <w:top w:val="none" w:sz="0" w:space="0" w:color="auto"/>
        <w:left w:val="none" w:sz="0" w:space="0" w:color="auto"/>
        <w:bottom w:val="none" w:sz="0" w:space="0" w:color="auto"/>
        <w:right w:val="none" w:sz="0" w:space="0" w:color="auto"/>
      </w:divBdr>
    </w:div>
    <w:div w:id="1744404392">
      <w:bodyDiv w:val="1"/>
      <w:marLeft w:val="0"/>
      <w:marRight w:val="0"/>
      <w:marTop w:val="0"/>
      <w:marBottom w:val="0"/>
      <w:divBdr>
        <w:top w:val="none" w:sz="0" w:space="0" w:color="auto"/>
        <w:left w:val="none" w:sz="0" w:space="0" w:color="auto"/>
        <w:bottom w:val="none" w:sz="0" w:space="0" w:color="auto"/>
        <w:right w:val="none" w:sz="0" w:space="0" w:color="auto"/>
      </w:divBdr>
    </w:div>
    <w:div w:id="1744446608">
      <w:bodyDiv w:val="1"/>
      <w:marLeft w:val="0"/>
      <w:marRight w:val="0"/>
      <w:marTop w:val="0"/>
      <w:marBottom w:val="0"/>
      <w:divBdr>
        <w:top w:val="none" w:sz="0" w:space="0" w:color="auto"/>
        <w:left w:val="none" w:sz="0" w:space="0" w:color="auto"/>
        <w:bottom w:val="none" w:sz="0" w:space="0" w:color="auto"/>
        <w:right w:val="none" w:sz="0" w:space="0" w:color="auto"/>
      </w:divBdr>
    </w:div>
    <w:div w:id="1744598453">
      <w:bodyDiv w:val="1"/>
      <w:marLeft w:val="0"/>
      <w:marRight w:val="0"/>
      <w:marTop w:val="0"/>
      <w:marBottom w:val="0"/>
      <w:divBdr>
        <w:top w:val="none" w:sz="0" w:space="0" w:color="auto"/>
        <w:left w:val="none" w:sz="0" w:space="0" w:color="auto"/>
        <w:bottom w:val="none" w:sz="0" w:space="0" w:color="auto"/>
        <w:right w:val="none" w:sz="0" w:space="0" w:color="auto"/>
      </w:divBdr>
    </w:div>
    <w:div w:id="1744640859">
      <w:bodyDiv w:val="1"/>
      <w:marLeft w:val="0"/>
      <w:marRight w:val="0"/>
      <w:marTop w:val="0"/>
      <w:marBottom w:val="0"/>
      <w:divBdr>
        <w:top w:val="none" w:sz="0" w:space="0" w:color="auto"/>
        <w:left w:val="none" w:sz="0" w:space="0" w:color="auto"/>
        <w:bottom w:val="none" w:sz="0" w:space="0" w:color="auto"/>
        <w:right w:val="none" w:sz="0" w:space="0" w:color="auto"/>
      </w:divBdr>
    </w:div>
    <w:div w:id="1744981772">
      <w:bodyDiv w:val="1"/>
      <w:marLeft w:val="0"/>
      <w:marRight w:val="0"/>
      <w:marTop w:val="0"/>
      <w:marBottom w:val="0"/>
      <w:divBdr>
        <w:top w:val="none" w:sz="0" w:space="0" w:color="auto"/>
        <w:left w:val="none" w:sz="0" w:space="0" w:color="auto"/>
        <w:bottom w:val="none" w:sz="0" w:space="0" w:color="auto"/>
        <w:right w:val="none" w:sz="0" w:space="0" w:color="auto"/>
      </w:divBdr>
    </w:div>
    <w:div w:id="1745178013">
      <w:bodyDiv w:val="1"/>
      <w:marLeft w:val="0"/>
      <w:marRight w:val="0"/>
      <w:marTop w:val="0"/>
      <w:marBottom w:val="0"/>
      <w:divBdr>
        <w:top w:val="none" w:sz="0" w:space="0" w:color="auto"/>
        <w:left w:val="none" w:sz="0" w:space="0" w:color="auto"/>
        <w:bottom w:val="none" w:sz="0" w:space="0" w:color="auto"/>
        <w:right w:val="none" w:sz="0" w:space="0" w:color="auto"/>
      </w:divBdr>
    </w:div>
    <w:div w:id="1745294684">
      <w:bodyDiv w:val="1"/>
      <w:marLeft w:val="0"/>
      <w:marRight w:val="0"/>
      <w:marTop w:val="0"/>
      <w:marBottom w:val="0"/>
      <w:divBdr>
        <w:top w:val="none" w:sz="0" w:space="0" w:color="auto"/>
        <w:left w:val="none" w:sz="0" w:space="0" w:color="auto"/>
        <w:bottom w:val="none" w:sz="0" w:space="0" w:color="auto"/>
        <w:right w:val="none" w:sz="0" w:space="0" w:color="auto"/>
      </w:divBdr>
    </w:div>
    <w:div w:id="1745373526">
      <w:bodyDiv w:val="1"/>
      <w:marLeft w:val="0"/>
      <w:marRight w:val="0"/>
      <w:marTop w:val="0"/>
      <w:marBottom w:val="0"/>
      <w:divBdr>
        <w:top w:val="none" w:sz="0" w:space="0" w:color="auto"/>
        <w:left w:val="none" w:sz="0" w:space="0" w:color="auto"/>
        <w:bottom w:val="none" w:sz="0" w:space="0" w:color="auto"/>
        <w:right w:val="none" w:sz="0" w:space="0" w:color="auto"/>
      </w:divBdr>
    </w:div>
    <w:div w:id="1745638090">
      <w:bodyDiv w:val="1"/>
      <w:marLeft w:val="0"/>
      <w:marRight w:val="0"/>
      <w:marTop w:val="0"/>
      <w:marBottom w:val="0"/>
      <w:divBdr>
        <w:top w:val="none" w:sz="0" w:space="0" w:color="auto"/>
        <w:left w:val="none" w:sz="0" w:space="0" w:color="auto"/>
        <w:bottom w:val="none" w:sz="0" w:space="0" w:color="auto"/>
        <w:right w:val="none" w:sz="0" w:space="0" w:color="auto"/>
      </w:divBdr>
    </w:div>
    <w:div w:id="1746221654">
      <w:bodyDiv w:val="1"/>
      <w:marLeft w:val="0"/>
      <w:marRight w:val="0"/>
      <w:marTop w:val="0"/>
      <w:marBottom w:val="0"/>
      <w:divBdr>
        <w:top w:val="none" w:sz="0" w:space="0" w:color="auto"/>
        <w:left w:val="none" w:sz="0" w:space="0" w:color="auto"/>
        <w:bottom w:val="none" w:sz="0" w:space="0" w:color="auto"/>
        <w:right w:val="none" w:sz="0" w:space="0" w:color="auto"/>
      </w:divBdr>
    </w:div>
    <w:div w:id="1746491889">
      <w:bodyDiv w:val="1"/>
      <w:marLeft w:val="0"/>
      <w:marRight w:val="0"/>
      <w:marTop w:val="0"/>
      <w:marBottom w:val="0"/>
      <w:divBdr>
        <w:top w:val="none" w:sz="0" w:space="0" w:color="auto"/>
        <w:left w:val="none" w:sz="0" w:space="0" w:color="auto"/>
        <w:bottom w:val="none" w:sz="0" w:space="0" w:color="auto"/>
        <w:right w:val="none" w:sz="0" w:space="0" w:color="auto"/>
      </w:divBdr>
    </w:div>
    <w:div w:id="1746492825">
      <w:bodyDiv w:val="1"/>
      <w:marLeft w:val="0"/>
      <w:marRight w:val="0"/>
      <w:marTop w:val="0"/>
      <w:marBottom w:val="0"/>
      <w:divBdr>
        <w:top w:val="none" w:sz="0" w:space="0" w:color="auto"/>
        <w:left w:val="none" w:sz="0" w:space="0" w:color="auto"/>
        <w:bottom w:val="none" w:sz="0" w:space="0" w:color="auto"/>
        <w:right w:val="none" w:sz="0" w:space="0" w:color="auto"/>
      </w:divBdr>
    </w:div>
    <w:div w:id="1746566049">
      <w:bodyDiv w:val="1"/>
      <w:marLeft w:val="0"/>
      <w:marRight w:val="0"/>
      <w:marTop w:val="0"/>
      <w:marBottom w:val="0"/>
      <w:divBdr>
        <w:top w:val="none" w:sz="0" w:space="0" w:color="auto"/>
        <w:left w:val="none" w:sz="0" w:space="0" w:color="auto"/>
        <w:bottom w:val="none" w:sz="0" w:space="0" w:color="auto"/>
        <w:right w:val="none" w:sz="0" w:space="0" w:color="auto"/>
      </w:divBdr>
    </w:div>
    <w:div w:id="1747217332">
      <w:bodyDiv w:val="1"/>
      <w:marLeft w:val="0"/>
      <w:marRight w:val="0"/>
      <w:marTop w:val="0"/>
      <w:marBottom w:val="0"/>
      <w:divBdr>
        <w:top w:val="none" w:sz="0" w:space="0" w:color="auto"/>
        <w:left w:val="none" w:sz="0" w:space="0" w:color="auto"/>
        <w:bottom w:val="none" w:sz="0" w:space="0" w:color="auto"/>
        <w:right w:val="none" w:sz="0" w:space="0" w:color="auto"/>
      </w:divBdr>
    </w:div>
    <w:div w:id="1747417297">
      <w:bodyDiv w:val="1"/>
      <w:marLeft w:val="0"/>
      <w:marRight w:val="0"/>
      <w:marTop w:val="0"/>
      <w:marBottom w:val="0"/>
      <w:divBdr>
        <w:top w:val="none" w:sz="0" w:space="0" w:color="auto"/>
        <w:left w:val="none" w:sz="0" w:space="0" w:color="auto"/>
        <w:bottom w:val="none" w:sz="0" w:space="0" w:color="auto"/>
        <w:right w:val="none" w:sz="0" w:space="0" w:color="auto"/>
      </w:divBdr>
    </w:div>
    <w:div w:id="1747603701">
      <w:bodyDiv w:val="1"/>
      <w:marLeft w:val="0"/>
      <w:marRight w:val="0"/>
      <w:marTop w:val="0"/>
      <w:marBottom w:val="0"/>
      <w:divBdr>
        <w:top w:val="none" w:sz="0" w:space="0" w:color="auto"/>
        <w:left w:val="none" w:sz="0" w:space="0" w:color="auto"/>
        <w:bottom w:val="none" w:sz="0" w:space="0" w:color="auto"/>
        <w:right w:val="none" w:sz="0" w:space="0" w:color="auto"/>
      </w:divBdr>
    </w:div>
    <w:div w:id="1747874206">
      <w:bodyDiv w:val="1"/>
      <w:marLeft w:val="0"/>
      <w:marRight w:val="0"/>
      <w:marTop w:val="0"/>
      <w:marBottom w:val="0"/>
      <w:divBdr>
        <w:top w:val="none" w:sz="0" w:space="0" w:color="auto"/>
        <w:left w:val="none" w:sz="0" w:space="0" w:color="auto"/>
        <w:bottom w:val="none" w:sz="0" w:space="0" w:color="auto"/>
        <w:right w:val="none" w:sz="0" w:space="0" w:color="auto"/>
      </w:divBdr>
    </w:div>
    <w:div w:id="1747875322">
      <w:bodyDiv w:val="1"/>
      <w:marLeft w:val="0"/>
      <w:marRight w:val="0"/>
      <w:marTop w:val="0"/>
      <w:marBottom w:val="0"/>
      <w:divBdr>
        <w:top w:val="none" w:sz="0" w:space="0" w:color="auto"/>
        <w:left w:val="none" w:sz="0" w:space="0" w:color="auto"/>
        <w:bottom w:val="none" w:sz="0" w:space="0" w:color="auto"/>
        <w:right w:val="none" w:sz="0" w:space="0" w:color="auto"/>
      </w:divBdr>
    </w:div>
    <w:div w:id="1747998481">
      <w:bodyDiv w:val="1"/>
      <w:marLeft w:val="0"/>
      <w:marRight w:val="0"/>
      <w:marTop w:val="0"/>
      <w:marBottom w:val="0"/>
      <w:divBdr>
        <w:top w:val="none" w:sz="0" w:space="0" w:color="auto"/>
        <w:left w:val="none" w:sz="0" w:space="0" w:color="auto"/>
        <w:bottom w:val="none" w:sz="0" w:space="0" w:color="auto"/>
        <w:right w:val="none" w:sz="0" w:space="0" w:color="auto"/>
      </w:divBdr>
    </w:div>
    <w:div w:id="1748333729">
      <w:bodyDiv w:val="1"/>
      <w:marLeft w:val="0"/>
      <w:marRight w:val="0"/>
      <w:marTop w:val="0"/>
      <w:marBottom w:val="0"/>
      <w:divBdr>
        <w:top w:val="none" w:sz="0" w:space="0" w:color="auto"/>
        <w:left w:val="none" w:sz="0" w:space="0" w:color="auto"/>
        <w:bottom w:val="none" w:sz="0" w:space="0" w:color="auto"/>
        <w:right w:val="none" w:sz="0" w:space="0" w:color="auto"/>
      </w:divBdr>
    </w:div>
    <w:div w:id="1748454070">
      <w:bodyDiv w:val="1"/>
      <w:marLeft w:val="0"/>
      <w:marRight w:val="0"/>
      <w:marTop w:val="0"/>
      <w:marBottom w:val="0"/>
      <w:divBdr>
        <w:top w:val="none" w:sz="0" w:space="0" w:color="auto"/>
        <w:left w:val="none" w:sz="0" w:space="0" w:color="auto"/>
        <w:bottom w:val="none" w:sz="0" w:space="0" w:color="auto"/>
        <w:right w:val="none" w:sz="0" w:space="0" w:color="auto"/>
      </w:divBdr>
    </w:div>
    <w:div w:id="1748916324">
      <w:bodyDiv w:val="1"/>
      <w:marLeft w:val="0"/>
      <w:marRight w:val="0"/>
      <w:marTop w:val="0"/>
      <w:marBottom w:val="0"/>
      <w:divBdr>
        <w:top w:val="none" w:sz="0" w:space="0" w:color="auto"/>
        <w:left w:val="none" w:sz="0" w:space="0" w:color="auto"/>
        <w:bottom w:val="none" w:sz="0" w:space="0" w:color="auto"/>
        <w:right w:val="none" w:sz="0" w:space="0" w:color="auto"/>
      </w:divBdr>
    </w:div>
    <w:div w:id="1749109082">
      <w:bodyDiv w:val="1"/>
      <w:marLeft w:val="0"/>
      <w:marRight w:val="0"/>
      <w:marTop w:val="0"/>
      <w:marBottom w:val="0"/>
      <w:divBdr>
        <w:top w:val="none" w:sz="0" w:space="0" w:color="auto"/>
        <w:left w:val="none" w:sz="0" w:space="0" w:color="auto"/>
        <w:bottom w:val="none" w:sz="0" w:space="0" w:color="auto"/>
        <w:right w:val="none" w:sz="0" w:space="0" w:color="auto"/>
      </w:divBdr>
    </w:div>
    <w:div w:id="1749421864">
      <w:bodyDiv w:val="1"/>
      <w:marLeft w:val="0"/>
      <w:marRight w:val="0"/>
      <w:marTop w:val="0"/>
      <w:marBottom w:val="0"/>
      <w:divBdr>
        <w:top w:val="none" w:sz="0" w:space="0" w:color="auto"/>
        <w:left w:val="none" w:sz="0" w:space="0" w:color="auto"/>
        <w:bottom w:val="none" w:sz="0" w:space="0" w:color="auto"/>
        <w:right w:val="none" w:sz="0" w:space="0" w:color="auto"/>
      </w:divBdr>
    </w:div>
    <w:div w:id="1749498372">
      <w:bodyDiv w:val="1"/>
      <w:marLeft w:val="0"/>
      <w:marRight w:val="0"/>
      <w:marTop w:val="0"/>
      <w:marBottom w:val="0"/>
      <w:divBdr>
        <w:top w:val="none" w:sz="0" w:space="0" w:color="auto"/>
        <w:left w:val="none" w:sz="0" w:space="0" w:color="auto"/>
        <w:bottom w:val="none" w:sz="0" w:space="0" w:color="auto"/>
        <w:right w:val="none" w:sz="0" w:space="0" w:color="auto"/>
      </w:divBdr>
    </w:div>
    <w:div w:id="1749500188">
      <w:bodyDiv w:val="1"/>
      <w:marLeft w:val="0"/>
      <w:marRight w:val="0"/>
      <w:marTop w:val="0"/>
      <w:marBottom w:val="0"/>
      <w:divBdr>
        <w:top w:val="none" w:sz="0" w:space="0" w:color="auto"/>
        <w:left w:val="none" w:sz="0" w:space="0" w:color="auto"/>
        <w:bottom w:val="none" w:sz="0" w:space="0" w:color="auto"/>
        <w:right w:val="none" w:sz="0" w:space="0" w:color="auto"/>
      </w:divBdr>
    </w:div>
    <w:div w:id="1749576970">
      <w:bodyDiv w:val="1"/>
      <w:marLeft w:val="0"/>
      <w:marRight w:val="0"/>
      <w:marTop w:val="0"/>
      <w:marBottom w:val="0"/>
      <w:divBdr>
        <w:top w:val="none" w:sz="0" w:space="0" w:color="auto"/>
        <w:left w:val="none" w:sz="0" w:space="0" w:color="auto"/>
        <w:bottom w:val="none" w:sz="0" w:space="0" w:color="auto"/>
        <w:right w:val="none" w:sz="0" w:space="0" w:color="auto"/>
      </w:divBdr>
    </w:div>
    <w:div w:id="1749838537">
      <w:bodyDiv w:val="1"/>
      <w:marLeft w:val="0"/>
      <w:marRight w:val="0"/>
      <w:marTop w:val="0"/>
      <w:marBottom w:val="0"/>
      <w:divBdr>
        <w:top w:val="none" w:sz="0" w:space="0" w:color="auto"/>
        <w:left w:val="none" w:sz="0" w:space="0" w:color="auto"/>
        <w:bottom w:val="none" w:sz="0" w:space="0" w:color="auto"/>
        <w:right w:val="none" w:sz="0" w:space="0" w:color="auto"/>
      </w:divBdr>
    </w:div>
    <w:div w:id="1749960929">
      <w:bodyDiv w:val="1"/>
      <w:marLeft w:val="0"/>
      <w:marRight w:val="0"/>
      <w:marTop w:val="0"/>
      <w:marBottom w:val="0"/>
      <w:divBdr>
        <w:top w:val="none" w:sz="0" w:space="0" w:color="auto"/>
        <w:left w:val="none" w:sz="0" w:space="0" w:color="auto"/>
        <w:bottom w:val="none" w:sz="0" w:space="0" w:color="auto"/>
        <w:right w:val="none" w:sz="0" w:space="0" w:color="auto"/>
      </w:divBdr>
    </w:div>
    <w:div w:id="1750154229">
      <w:bodyDiv w:val="1"/>
      <w:marLeft w:val="0"/>
      <w:marRight w:val="0"/>
      <w:marTop w:val="0"/>
      <w:marBottom w:val="0"/>
      <w:divBdr>
        <w:top w:val="none" w:sz="0" w:space="0" w:color="auto"/>
        <w:left w:val="none" w:sz="0" w:space="0" w:color="auto"/>
        <w:bottom w:val="none" w:sz="0" w:space="0" w:color="auto"/>
        <w:right w:val="none" w:sz="0" w:space="0" w:color="auto"/>
      </w:divBdr>
    </w:div>
    <w:div w:id="1750228905">
      <w:bodyDiv w:val="1"/>
      <w:marLeft w:val="0"/>
      <w:marRight w:val="0"/>
      <w:marTop w:val="0"/>
      <w:marBottom w:val="0"/>
      <w:divBdr>
        <w:top w:val="none" w:sz="0" w:space="0" w:color="auto"/>
        <w:left w:val="none" w:sz="0" w:space="0" w:color="auto"/>
        <w:bottom w:val="none" w:sz="0" w:space="0" w:color="auto"/>
        <w:right w:val="none" w:sz="0" w:space="0" w:color="auto"/>
      </w:divBdr>
    </w:div>
    <w:div w:id="1750423546">
      <w:bodyDiv w:val="1"/>
      <w:marLeft w:val="0"/>
      <w:marRight w:val="0"/>
      <w:marTop w:val="0"/>
      <w:marBottom w:val="0"/>
      <w:divBdr>
        <w:top w:val="none" w:sz="0" w:space="0" w:color="auto"/>
        <w:left w:val="none" w:sz="0" w:space="0" w:color="auto"/>
        <w:bottom w:val="none" w:sz="0" w:space="0" w:color="auto"/>
        <w:right w:val="none" w:sz="0" w:space="0" w:color="auto"/>
      </w:divBdr>
    </w:div>
    <w:div w:id="1750686844">
      <w:bodyDiv w:val="1"/>
      <w:marLeft w:val="0"/>
      <w:marRight w:val="0"/>
      <w:marTop w:val="0"/>
      <w:marBottom w:val="0"/>
      <w:divBdr>
        <w:top w:val="none" w:sz="0" w:space="0" w:color="auto"/>
        <w:left w:val="none" w:sz="0" w:space="0" w:color="auto"/>
        <w:bottom w:val="none" w:sz="0" w:space="0" w:color="auto"/>
        <w:right w:val="none" w:sz="0" w:space="0" w:color="auto"/>
      </w:divBdr>
    </w:div>
    <w:div w:id="1750881481">
      <w:bodyDiv w:val="1"/>
      <w:marLeft w:val="0"/>
      <w:marRight w:val="0"/>
      <w:marTop w:val="0"/>
      <w:marBottom w:val="0"/>
      <w:divBdr>
        <w:top w:val="none" w:sz="0" w:space="0" w:color="auto"/>
        <w:left w:val="none" w:sz="0" w:space="0" w:color="auto"/>
        <w:bottom w:val="none" w:sz="0" w:space="0" w:color="auto"/>
        <w:right w:val="none" w:sz="0" w:space="0" w:color="auto"/>
      </w:divBdr>
    </w:div>
    <w:div w:id="1750887168">
      <w:bodyDiv w:val="1"/>
      <w:marLeft w:val="0"/>
      <w:marRight w:val="0"/>
      <w:marTop w:val="0"/>
      <w:marBottom w:val="0"/>
      <w:divBdr>
        <w:top w:val="none" w:sz="0" w:space="0" w:color="auto"/>
        <w:left w:val="none" w:sz="0" w:space="0" w:color="auto"/>
        <w:bottom w:val="none" w:sz="0" w:space="0" w:color="auto"/>
        <w:right w:val="none" w:sz="0" w:space="0" w:color="auto"/>
      </w:divBdr>
    </w:div>
    <w:div w:id="1751581735">
      <w:bodyDiv w:val="1"/>
      <w:marLeft w:val="0"/>
      <w:marRight w:val="0"/>
      <w:marTop w:val="0"/>
      <w:marBottom w:val="0"/>
      <w:divBdr>
        <w:top w:val="none" w:sz="0" w:space="0" w:color="auto"/>
        <w:left w:val="none" w:sz="0" w:space="0" w:color="auto"/>
        <w:bottom w:val="none" w:sz="0" w:space="0" w:color="auto"/>
        <w:right w:val="none" w:sz="0" w:space="0" w:color="auto"/>
      </w:divBdr>
    </w:div>
    <w:div w:id="1751926021">
      <w:bodyDiv w:val="1"/>
      <w:marLeft w:val="0"/>
      <w:marRight w:val="0"/>
      <w:marTop w:val="0"/>
      <w:marBottom w:val="0"/>
      <w:divBdr>
        <w:top w:val="none" w:sz="0" w:space="0" w:color="auto"/>
        <w:left w:val="none" w:sz="0" w:space="0" w:color="auto"/>
        <w:bottom w:val="none" w:sz="0" w:space="0" w:color="auto"/>
        <w:right w:val="none" w:sz="0" w:space="0" w:color="auto"/>
      </w:divBdr>
    </w:div>
    <w:div w:id="1752005678">
      <w:bodyDiv w:val="1"/>
      <w:marLeft w:val="0"/>
      <w:marRight w:val="0"/>
      <w:marTop w:val="0"/>
      <w:marBottom w:val="0"/>
      <w:divBdr>
        <w:top w:val="none" w:sz="0" w:space="0" w:color="auto"/>
        <w:left w:val="none" w:sz="0" w:space="0" w:color="auto"/>
        <w:bottom w:val="none" w:sz="0" w:space="0" w:color="auto"/>
        <w:right w:val="none" w:sz="0" w:space="0" w:color="auto"/>
      </w:divBdr>
    </w:div>
    <w:div w:id="1752194306">
      <w:bodyDiv w:val="1"/>
      <w:marLeft w:val="0"/>
      <w:marRight w:val="0"/>
      <w:marTop w:val="0"/>
      <w:marBottom w:val="0"/>
      <w:divBdr>
        <w:top w:val="none" w:sz="0" w:space="0" w:color="auto"/>
        <w:left w:val="none" w:sz="0" w:space="0" w:color="auto"/>
        <w:bottom w:val="none" w:sz="0" w:space="0" w:color="auto"/>
        <w:right w:val="none" w:sz="0" w:space="0" w:color="auto"/>
      </w:divBdr>
    </w:div>
    <w:div w:id="1752265785">
      <w:bodyDiv w:val="1"/>
      <w:marLeft w:val="0"/>
      <w:marRight w:val="0"/>
      <w:marTop w:val="0"/>
      <w:marBottom w:val="0"/>
      <w:divBdr>
        <w:top w:val="none" w:sz="0" w:space="0" w:color="auto"/>
        <w:left w:val="none" w:sz="0" w:space="0" w:color="auto"/>
        <w:bottom w:val="none" w:sz="0" w:space="0" w:color="auto"/>
        <w:right w:val="none" w:sz="0" w:space="0" w:color="auto"/>
      </w:divBdr>
    </w:div>
    <w:div w:id="1752460117">
      <w:bodyDiv w:val="1"/>
      <w:marLeft w:val="0"/>
      <w:marRight w:val="0"/>
      <w:marTop w:val="0"/>
      <w:marBottom w:val="0"/>
      <w:divBdr>
        <w:top w:val="none" w:sz="0" w:space="0" w:color="auto"/>
        <w:left w:val="none" w:sz="0" w:space="0" w:color="auto"/>
        <w:bottom w:val="none" w:sz="0" w:space="0" w:color="auto"/>
        <w:right w:val="none" w:sz="0" w:space="0" w:color="auto"/>
      </w:divBdr>
    </w:div>
    <w:div w:id="1752464468">
      <w:bodyDiv w:val="1"/>
      <w:marLeft w:val="0"/>
      <w:marRight w:val="0"/>
      <w:marTop w:val="0"/>
      <w:marBottom w:val="0"/>
      <w:divBdr>
        <w:top w:val="none" w:sz="0" w:space="0" w:color="auto"/>
        <w:left w:val="none" w:sz="0" w:space="0" w:color="auto"/>
        <w:bottom w:val="none" w:sz="0" w:space="0" w:color="auto"/>
        <w:right w:val="none" w:sz="0" w:space="0" w:color="auto"/>
      </w:divBdr>
    </w:div>
    <w:div w:id="1752583581">
      <w:bodyDiv w:val="1"/>
      <w:marLeft w:val="0"/>
      <w:marRight w:val="0"/>
      <w:marTop w:val="0"/>
      <w:marBottom w:val="0"/>
      <w:divBdr>
        <w:top w:val="none" w:sz="0" w:space="0" w:color="auto"/>
        <w:left w:val="none" w:sz="0" w:space="0" w:color="auto"/>
        <w:bottom w:val="none" w:sz="0" w:space="0" w:color="auto"/>
        <w:right w:val="none" w:sz="0" w:space="0" w:color="auto"/>
      </w:divBdr>
    </w:div>
    <w:div w:id="1752655499">
      <w:bodyDiv w:val="1"/>
      <w:marLeft w:val="0"/>
      <w:marRight w:val="0"/>
      <w:marTop w:val="0"/>
      <w:marBottom w:val="0"/>
      <w:divBdr>
        <w:top w:val="none" w:sz="0" w:space="0" w:color="auto"/>
        <w:left w:val="none" w:sz="0" w:space="0" w:color="auto"/>
        <w:bottom w:val="none" w:sz="0" w:space="0" w:color="auto"/>
        <w:right w:val="none" w:sz="0" w:space="0" w:color="auto"/>
      </w:divBdr>
    </w:div>
    <w:div w:id="1752655548">
      <w:bodyDiv w:val="1"/>
      <w:marLeft w:val="0"/>
      <w:marRight w:val="0"/>
      <w:marTop w:val="0"/>
      <w:marBottom w:val="0"/>
      <w:divBdr>
        <w:top w:val="none" w:sz="0" w:space="0" w:color="auto"/>
        <w:left w:val="none" w:sz="0" w:space="0" w:color="auto"/>
        <w:bottom w:val="none" w:sz="0" w:space="0" w:color="auto"/>
        <w:right w:val="none" w:sz="0" w:space="0" w:color="auto"/>
      </w:divBdr>
    </w:div>
    <w:div w:id="1752659725">
      <w:bodyDiv w:val="1"/>
      <w:marLeft w:val="0"/>
      <w:marRight w:val="0"/>
      <w:marTop w:val="0"/>
      <w:marBottom w:val="0"/>
      <w:divBdr>
        <w:top w:val="none" w:sz="0" w:space="0" w:color="auto"/>
        <w:left w:val="none" w:sz="0" w:space="0" w:color="auto"/>
        <w:bottom w:val="none" w:sz="0" w:space="0" w:color="auto"/>
        <w:right w:val="none" w:sz="0" w:space="0" w:color="auto"/>
      </w:divBdr>
    </w:div>
    <w:div w:id="1753162394">
      <w:bodyDiv w:val="1"/>
      <w:marLeft w:val="0"/>
      <w:marRight w:val="0"/>
      <w:marTop w:val="0"/>
      <w:marBottom w:val="0"/>
      <w:divBdr>
        <w:top w:val="none" w:sz="0" w:space="0" w:color="auto"/>
        <w:left w:val="none" w:sz="0" w:space="0" w:color="auto"/>
        <w:bottom w:val="none" w:sz="0" w:space="0" w:color="auto"/>
        <w:right w:val="none" w:sz="0" w:space="0" w:color="auto"/>
      </w:divBdr>
    </w:div>
    <w:div w:id="1753307541">
      <w:bodyDiv w:val="1"/>
      <w:marLeft w:val="0"/>
      <w:marRight w:val="0"/>
      <w:marTop w:val="0"/>
      <w:marBottom w:val="0"/>
      <w:divBdr>
        <w:top w:val="none" w:sz="0" w:space="0" w:color="auto"/>
        <w:left w:val="none" w:sz="0" w:space="0" w:color="auto"/>
        <w:bottom w:val="none" w:sz="0" w:space="0" w:color="auto"/>
        <w:right w:val="none" w:sz="0" w:space="0" w:color="auto"/>
      </w:divBdr>
    </w:div>
    <w:div w:id="1753314434">
      <w:bodyDiv w:val="1"/>
      <w:marLeft w:val="0"/>
      <w:marRight w:val="0"/>
      <w:marTop w:val="0"/>
      <w:marBottom w:val="0"/>
      <w:divBdr>
        <w:top w:val="none" w:sz="0" w:space="0" w:color="auto"/>
        <w:left w:val="none" w:sz="0" w:space="0" w:color="auto"/>
        <w:bottom w:val="none" w:sz="0" w:space="0" w:color="auto"/>
        <w:right w:val="none" w:sz="0" w:space="0" w:color="auto"/>
      </w:divBdr>
    </w:div>
    <w:div w:id="1753577981">
      <w:bodyDiv w:val="1"/>
      <w:marLeft w:val="0"/>
      <w:marRight w:val="0"/>
      <w:marTop w:val="0"/>
      <w:marBottom w:val="0"/>
      <w:divBdr>
        <w:top w:val="none" w:sz="0" w:space="0" w:color="auto"/>
        <w:left w:val="none" w:sz="0" w:space="0" w:color="auto"/>
        <w:bottom w:val="none" w:sz="0" w:space="0" w:color="auto"/>
        <w:right w:val="none" w:sz="0" w:space="0" w:color="auto"/>
      </w:divBdr>
    </w:div>
    <w:div w:id="1753627359">
      <w:bodyDiv w:val="1"/>
      <w:marLeft w:val="0"/>
      <w:marRight w:val="0"/>
      <w:marTop w:val="0"/>
      <w:marBottom w:val="0"/>
      <w:divBdr>
        <w:top w:val="none" w:sz="0" w:space="0" w:color="auto"/>
        <w:left w:val="none" w:sz="0" w:space="0" w:color="auto"/>
        <w:bottom w:val="none" w:sz="0" w:space="0" w:color="auto"/>
        <w:right w:val="none" w:sz="0" w:space="0" w:color="auto"/>
      </w:divBdr>
    </w:div>
    <w:div w:id="1753889927">
      <w:bodyDiv w:val="1"/>
      <w:marLeft w:val="0"/>
      <w:marRight w:val="0"/>
      <w:marTop w:val="0"/>
      <w:marBottom w:val="0"/>
      <w:divBdr>
        <w:top w:val="none" w:sz="0" w:space="0" w:color="auto"/>
        <w:left w:val="none" w:sz="0" w:space="0" w:color="auto"/>
        <w:bottom w:val="none" w:sz="0" w:space="0" w:color="auto"/>
        <w:right w:val="none" w:sz="0" w:space="0" w:color="auto"/>
      </w:divBdr>
    </w:div>
    <w:div w:id="1754005737">
      <w:bodyDiv w:val="1"/>
      <w:marLeft w:val="0"/>
      <w:marRight w:val="0"/>
      <w:marTop w:val="0"/>
      <w:marBottom w:val="0"/>
      <w:divBdr>
        <w:top w:val="none" w:sz="0" w:space="0" w:color="auto"/>
        <w:left w:val="none" w:sz="0" w:space="0" w:color="auto"/>
        <w:bottom w:val="none" w:sz="0" w:space="0" w:color="auto"/>
        <w:right w:val="none" w:sz="0" w:space="0" w:color="auto"/>
      </w:divBdr>
    </w:div>
    <w:div w:id="1754006469">
      <w:bodyDiv w:val="1"/>
      <w:marLeft w:val="0"/>
      <w:marRight w:val="0"/>
      <w:marTop w:val="0"/>
      <w:marBottom w:val="0"/>
      <w:divBdr>
        <w:top w:val="none" w:sz="0" w:space="0" w:color="auto"/>
        <w:left w:val="none" w:sz="0" w:space="0" w:color="auto"/>
        <w:bottom w:val="none" w:sz="0" w:space="0" w:color="auto"/>
        <w:right w:val="none" w:sz="0" w:space="0" w:color="auto"/>
      </w:divBdr>
    </w:div>
    <w:div w:id="1754087634">
      <w:bodyDiv w:val="1"/>
      <w:marLeft w:val="0"/>
      <w:marRight w:val="0"/>
      <w:marTop w:val="0"/>
      <w:marBottom w:val="0"/>
      <w:divBdr>
        <w:top w:val="none" w:sz="0" w:space="0" w:color="auto"/>
        <w:left w:val="none" w:sz="0" w:space="0" w:color="auto"/>
        <w:bottom w:val="none" w:sz="0" w:space="0" w:color="auto"/>
        <w:right w:val="none" w:sz="0" w:space="0" w:color="auto"/>
      </w:divBdr>
    </w:div>
    <w:div w:id="1754205146">
      <w:bodyDiv w:val="1"/>
      <w:marLeft w:val="0"/>
      <w:marRight w:val="0"/>
      <w:marTop w:val="0"/>
      <w:marBottom w:val="0"/>
      <w:divBdr>
        <w:top w:val="none" w:sz="0" w:space="0" w:color="auto"/>
        <w:left w:val="none" w:sz="0" w:space="0" w:color="auto"/>
        <w:bottom w:val="none" w:sz="0" w:space="0" w:color="auto"/>
        <w:right w:val="none" w:sz="0" w:space="0" w:color="auto"/>
      </w:divBdr>
    </w:div>
    <w:div w:id="1754355248">
      <w:bodyDiv w:val="1"/>
      <w:marLeft w:val="0"/>
      <w:marRight w:val="0"/>
      <w:marTop w:val="0"/>
      <w:marBottom w:val="0"/>
      <w:divBdr>
        <w:top w:val="none" w:sz="0" w:space="0" w:color="auto"/>
        <w:left w:val="none" w:sz="0" w:space="0" w:color="auto"/>
        <w:bottom w:val="none" w:sz="0" w:space="0" w:color="auto"/>
        <w:right w:val="none" w:sz="0" w:space="0" w:color="auto"/>
      </w:divBdr>
    </w:div>
    <w:div w:id="1754355904">
      <w:bodyDiv w:val="1"/>
      <w:marLeft w:val="0"/>
      <w:marRight w:val="0"/>
      <w:marTop w:val="0"/>
      <w:marBottom w:val="0"/>
      <w:divBdr>
        <w:top w:val="none" w:sz="0" w:space="0" w:color="auto"/>
        <w:left w:val="none" w:sz="0" w:space="0" w:color="auto"/>
        <w:bottom w:val="none" w:sz="0" w:space="0" w:color="auto"/>
        <w:right w:val="none" w:sz="0" w:space="0" w:color="auto"/>
      </w:divBdr>
    </w:div>
    <w:div w:id="1755004739">
      <w:bodyDiv w:val="1"/>
      <w:marLeft w:val="0"/>
      <w:marRight w:val="0"/>
      <w:marTop w:val="0"/>
      <w:marBottom w:val="0"/>
      <w:divBdr>
        <w:top w:val="none" w:sz="0" w:space="0" w:color="auto"/>
        <w:left w:val="none" w:sz="0" w:space="0" w:color="auto"/>
        <w:bottom w:val="none" w:sz="0" w:space="0" w:color="auto"/>
        <w:right w:val="none" w:sz="0" w:space="0" w:color="auto"/>
      </w:divBdr>
    </w:div>
    <w:div w:id="1755082716">
      <w:bodyDiv w:val="1"/>
      <w:marLeft w:val="0"/>
      <w:marRight w:val="0"/>
      <w:marTop w:val="0"/>
      <w:marBottom w:val="0"/>
      <w:divBdr>
        <w:top w:val="none" w:sz="0" w:space="0" w:color="auto"/>
        <w:left w:val="none" w:sz="0" w:space="0" w:color="auto"/>
        <w:bottom w:val="none" w:sz="0" w:space="0" w:color="auto"/>
        <w:right w:val="none" w:sz="0" w:space="0" w:color="auto"/>
      </w:divBdr>
    </w:div>
    <w:div w:id="1755130939">
      <w:bodyDiv w:val="1"/>
      <w:marLeft w:val="0"/>
      <w:marRight w:val="0"/>
      <w:marTop w:val="0"/>
      <w:marBottom w:val="0"/>
      <w:divBdr>
        <w:top w:val="none" w:sz="0" w:space="0" w:color="auto"/>
        <w:left w:val="none" w:sz="0" w:space="0" w:color="auto"/>
        <w:bottom w:val="none" w:sz="0" w:space="0" w:color="auto"/>
        <w:right w:val="none" w:sz="0" w:space="0" w:color="auto"/>
      </w:divBdr>
    </w:div>
    <w:div w:id="1755319659">
      <w:bodyDiv w:val="1"/>
      <w:marLeft w:val="0"/>
      <w:marRight w:val="0"/>
      <w:marTop w:val="0"/>
      <w:marBottom w:val="0"/>
      <w:divBdr>
        <w:top w:val="none" w:sz="0" w:space="0" w:color="auto"/>
        <w:left w:val="none" w:sz="0" w:space="0" w:color="auto"/>
        <w:bottom w:val="none" w:sz="0" w:space="0" w:color="auto"/>
        <w:right w:val="none" w:sz="0" w:space="0" w:color="auto"/>
      </w:divBdr>
    </w:div>
    <w:div w:id="1755664214">
      <w:bodyDiv w:val="1"/>
      <w:marLeft w:val="0"/>
      <w:marRight w:val="0"/>
      <w:marTop w:val="0"/>
      <w:marBottom w:val="0"/>
      <w:divBdr>
        <w:top w:val="none" w:sz="0" w:space="0" w:color="auto"/>
        <w:left w:val="none" w:sz="0" w:space="0" w:color="auto"/>
        <w:bottom w:val="none" w:sz="0" w:space="0" w:color="auto"/>
        <w:right w:val="none" w:sz="0" w:space="0" w:color="auto"/>
      </w:divBdr>
    </w:div>
    <w:div w:id="1755935966">
      <w:bodyDiv w:val="1"/>
      <w:marLeft w:val="0"/>
      <w:marRight w:val="0"/>
      <w:marTop w:val="0"/>
      <w:marBottom w:val="0"/>
      <w:divBdr>
        <w:top w:val="none" w:sz="0" w:space="0" w:color="auto"/>
        <w:left w:val="none" w:sz="0" w:space="0" w:color="auto"/>
        <w:bottom w:val="none" w:sz="0" w:space="0" w:color="auto"/>
        <w:right w:val="none" w:sz="0" w:space="0" w:color="auto"/>
      </w:divBdr>
    </w:div>
    <w:div w:id="1756197997">
      <w:bodyDiv w:val="1"/>
      <w:marLeft w:val="0"/>
      <w:marRight w:val="0"/>
      <w:marTop w:val="0"/>
      <w:marBottom w:val="0"/>
      <w:divBdr>
        <w:top w:val="none" w:sz="0" w:space="0" w:color="auto"/>
        <w:left w:val="none" w:sz="0" w:space="0" w:color="auto"/>
        <w:bottom w:val="none" w:sz="0" w:space="0" w:color="auto"/>
        <w:right w:val="none" w:sz="0" w:space="0" w:color="auto"/>
      </w:divBdr>
    </w:div>
    <w:div w:id="1756246814">
      <w:bodyDiv w:val="1"/>
      <w:marLeft w:val="0"/>
      <w:marRight w:val="0"/>
      <w:marTop w:val="0"/>
      <w:marBottom w:val="0"/>
      <w:divBdr>
        <w:top w:val="none" w:sz="0" w:space="0" w:color="auto"/>
        <w:left w:val="none" w:sz="0" w:space="0" w:color="auto"/>
        <w:bottom w:val="none" w:sz="0" w:space="0" w:color="auto"/>
        <w:right w:val="none" w:sz="0" w:space="0" w:color="auto"/>
      </w:divBdr>
    </w:div>
    <w:div w:id="1756590982">
      <w:bodyDiv w:val="1"/>
      <w:marLeft w:val="0"/>
      <w:marRight w:val="0"/>
      <w:marTop w:val="0"/>
      <w:marBottom w:val="0"/>
      <w:divBdr>
        <w:top w:val="none" w:sz="0" w:space="0" w:color="auto"/>
        <w:left w:val="none" w:sz="0" w:space="0" w:color="auto"/>
        <w:bottom w:val="none" w:sz="0" w:space="0" w:color="auto"/>
        <w:right w:val="none" w:sz="0" w:space="0" w:color="auto"/>
      </w:divBdr>
    </w:div>
    <w:div w:id="1756635213">
      <w:bodyDiv w:val="1"/>
      <w:marLeft w:val="0"/>
      <w:marRight w:val="0"/>
      <w:marTop w:val="0"/>
      <w:marBottom w:val="0"/>
      <w:divBdr>
        <w:top w:val="none" w:sz="0" w:space="0" w:color="auto"/>
        <w:left w:val="none" w:sz="0" w:space="0" w:color="auto"/>
        <w:bottom w:val="none" w:sz="0" w:space="0" w:color="auto"/>
        <w:right w:val="none" w:sz="0" w:space="0" w:color="auto"/>
      </w:divBdr>
    </w:div>
    <w:div w:id="1757359515">
      <w:bodyDiv w:val="1"/>
      <w:marLeft w:val="0"/>
      <w:marRight w:val="0"/>
      <w:marTop w:val="0"/>
      <w:marBottom w:val="0"/>
      <w:divBdr>
        <w:top w:val="none" w:sz="0" w:space="0" w:color="auto"/>
        <w:left w:val="none" w:sz="0" w:space="0" w:color="auto"/>
        <w:bottom w:val="none" w:sz="0" w:space="0" w:color="auto"/>
        <w:right w:val="none" w:sz="0" w:space="0" w:color="auto"/>
      </w:divBdr>
    </w:div>
    <w:div w:id="1757440534">
      <w:bodyDiv w:val="1"/>
      <w:marLeft w:val="0"/>
      <w:marRight w:val="0"/>
      <w:marTop w:val="0"/>
      <w:marBottom w:val="0"/>
      <w:divBdr>
        <w:top w:val="none" w:sz="0" w:space="0" w:color="auto"/>
        <w:left w:val="none" w:sz="0" w:space="0" w:color="auto"/>
        <w:bottom w:val="none" w:sz="0" w:space="0" w:color="auto"/>
        <w:right w:val="none" w:sz="0" w:space="0" w:color="auto"/>
      </w:divBdr>
    </w:div>
    <w:div w:id="1757480550">
      <w:bodyDiv w:val="1"/>
      <w:marLeft w:val="0"/>
      <w:marRight w:val="0"/>
      <w:marTop w:val="0"/>
      <w:marBottom w:val="0"/>
      <w:divBdr>
        <w:top w:val="none" w:sz="0" w:space="0" w:color="auto"/>
        <w:left w:val="none" w:sz="0" w:space="0" w:color="auto"/>
        <w:bottom w:val="none" w:sz="0" w:space="0" w:color="auto"/>
        <w:right w:val="none" w:sz="0" w:space="0" w:color="auto"/>
      </w:divBdr>
    </w:div>
    <w:div w:id="1757630574">
      <w:bodyDiv w:val="1"/>
      <w:marLeft w:val="0"/>
      <w:marRight w:val="0"/>
      <w:marTop w:val="0"/>
      <w:marBottom w:val="0"/>
      <w:divBdr>
        <w:top w:val="none" w:sz="0" w:space="0" w:color="auto"/>
        <w:left w:val="none" w:sz="0" w:space="0" w:color="auto"/>
        <w:bottom w:val="none" w:sz="0" w:space="0" w:color="auto"/>
        <w:right w:val="none" w:sz="0" w:space="0" w:color="auto"/>
      </w:divBdr>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57818525">
      <w:bodyDiv w:val="1"/>
      <w:marLeft w:val="0"/>
      <w:marRight w:val="0"/>
      <w:marTop w:val="0"/>
      <w:marBottom w:val="0"/>
      <w:divBdr>
        <w:top w:val="none" w:sz="0" w:space="0" w:color="auto"/>
        <w:left w:val="none" w:sz="0" w:space="0" w:color="auto"/>
        <w:bottom w:val="none" w:sz="0" w:space="0" w:color="auto"/>
        <w:right w:val="none" w:sz="0" w:space="0" w:color="auto"/>
      </w:divBdr>
    </w:div>
    <w:div w:id="1757902936">
      <w:bodyDiv w:val="1"/>
      <w:marLeft w:val="0"/>
      <w:marRight w:val="0"/>
      <w:marTop w:val="0"/>
      <w:marBottom w:val="0"/>
      <w:divBdr>
        <w:top w:val="none" w:sz="0" w:space="0" w:color="auto"/>
        <w:left w:val="none" w:sz="0" w:space="0" w:color="auto"/>
        <w:bottom w:val="none" w:sz="0" w:space="0" w:color="auto"/>
        <w:right w:val="none" w:sz="0" w:space="0" w:color="auto"/>
      </w:divBdr>
    </w:div>
    <w:div w:id="1758089973">
      <w:bodyDiv w:val="1"/>
      <w:marLeft w:val="0"/>
      <w:marRight w:val="0"/>
      <w:marTop w:val="0"/>
      <w:marBottom w:val="0"/>
      <w:divBdr>
        <w:top w:val="none" w:sz="0" w:space="0" w:color="auto"/>
        <w:left w:val="none" w:sz="0" w:space="0" w:color="auto"/>
        <w:bottom w:val="none" w:sz="0" w:space="0" w:color="auto"/>
        <w:right w:val="none" w:sz="0" w:space="0" w:color="auto"/>
      </w:divBdr>
    </w:div>
    <w:div w:id="1758094725">
      <w:bodyDiv w:val="1"/>
      <w:marLeft w:val="0"/>
      <w:marRight w:val="0"/>
      <w:marTop w:val="0"/>
      <w:marBottom w:val="0"/>
      <w:divBdr>
        <w:top w:val="none" w:sz="0" w:space="0" w:color="auto"/>
        <w:left w:val="none" w:sz="0" w:space="0" w:color="auto"/>
        <w:bottom w:val="none" w:sz="0" w:space="0" w:color="auto"/>
        <w:right w:val="none" w:sz="0" w:space="0" w:color="auto"/>
      </w:divBdr>
    </w:div>
    <w:div w:id="1758138037">
      <w:bodyDiv w:val="1"/>
      <w:marLeft w:val="0"/>
      <w:marRight w:val="0"/>
      <w:marTop w:val="0"/>
      <w:marBottom w:val="0"/>
      <w:divBdr>
        <w:top w:val="none" w:sz="0" w:space="0" w:color="auto"/>
        <w:left w:val="none" w:sz="0" w:space="0" w:color="auto"/>
        <w:bottom w:val="none" w:sz="0" w:space="0" w:color="auto"/>
        <w:right w:val="none" w:sz="0" w:space="0" w:color="auto"/>
      </w:divBdr>
    </w:div>
    <w:div w:id="1758281412">
      <w:bodyDiv w:val="1"/>
      <w:marLeft w:val="0"/>
      <w:marRight w:val="0"/>
      <w:marTop w:val="0"/>
      <w:marBottom w:val="0"/>
      <w:divBdr>
        <w:top w:val="none" w:sz="0" w:space="0" w:color="auto"/>
        <w:left w:val="none" w:sz="0" w:space="0" w:color="auto"/>
        <w:bottom w:val="none" w:sz="0" w:space="0" w:color="auto"/>
        <w:right w:val="none" w:sz="0" w:space="0" w:color="auto"/>
      </w:divBdr>
    </w:div>
    <w:div w:id="1758481737">
      <w:bodyDiv w:val="1"/>
      <w:marLeft w:val="0"/>
      <w:marRight w:val="0"/>
      <w:marTop w:val="0"/>
      <w:marBottom w:val="0"/>
      <w:divBdr>
        <w:top w:val="none" w:sz="0" w:space="0" w:color="auto"/>
        <w:left w:val="none" w:sz="0" w:space="0" w:color="auto"/>
        <w:bottom w:val="none" w:sz="0" w:space="0" w:color="auto"/>
        <w:right w:val="none" w:sz="0" w:space="0" w:color="auto"/>
      </w:divBdr>
    </w:div>
    <w:div w:id="1758554212">
      <w:bodyDiv w:val="1"/>
      <w:marLeft w:val="0"/>
      <w:marRight w:val="0"/>
      <w:marTop w:val="0"/>
      <w:marBottom w:val="0"/>
      <w:divBdr>
        <w:top w:val="none" w:sz="0" w:space="0" w:color="auto"/>
        <w:left w:val="none" w:sz="0" w:space="0" w:color="auto"/>
        <w:bottom w:val="none" w:sz="0" w:space="0" w:color="auto"/>
        <w:right w:val="none" w:sz="0" w:space="0" w:color="auto"/>
      </w:divBdr>
    </w:div>
    <w:div w:id="1758670234">
      <w:bodyDiv w:val="1"/>
      <w:marLeft w:val="0"/>
      <w:marRight w:val="0"/>
      <w:marTop w:val="0"/>
      <w:marBottom w:val="0"/>
      <w:divBdr>
        <w:top w:val="none" w:sz="0" w:space="0" w:color="auto"/>
        <w:left w:val="none" w:sz="0" w:space="0" w:color="auto"/>
        <w:bottom w:val="none" w:sz="0" w:space="0" w:color="auto"/>
        <w:right w:val="none" w:sz="0" w:space="0" w:color="auto"/>
      </w:divBdr>
    </w:div>
    <w:div w:id="1758865947">
      <w:bodyDiv w:val="1"/>
      <w:marLeft w:val="0"/>
      <w:marRight w:val="0"/>
      <w:marTop w:val="0"/>
      <w:marBottom w:val="0"/>
      <w:divBdr>
        <w:top w:val="none" w:sz="0" w:space="0" w:color="auto"/>
        <w:left w:val="none" w:sz="0" w:space="0" w:color="auto"/>
        <w:bottom w:val="none" w:sz="0" w:space="0" w:color="auto"/>
        <w:right w:val="none" w:sz="0" w:space="0" w:color="auto"/>
      </w:divBdr>
    </w:div>
    <w:div w:id="1758986712">
      <w:bodyDiv w:val="1"/>
      <w:marLeft w:val="0"/>
      <w:marRight w:val="0"/>
      <w:marTop w:val="0"/>
      <w:marBottom w:val="0"/>
      <w:divBdr>
        <w:top w:val="none" w:sz="0" w:space="0" w:color="auto"/>
        <w:left w:val="none" w:sz="0" w:space="0" w:color="auto"/>
        <w:bottom w:val="none" w:sz="0" w:space="0" w:color="auto"/>
        <w:right w:val="none" w:sz="0" w:space="0" w:color="auto"/>
      </w:divBdr>
    </w:div>
    <w:div w:id="1759207619">
      <w:bodyDiv w:val="1"/>
      <w:marLeft w:val="0"/>
      <w:marRight w:val="0"/>
      <w:marTop w:val="0"/>
      <w:marBottom w:val="0"/>
      <w:divBdr>
        <w:top w:val="none" w:sz="0" w:space="0" w:color="auto"/>
        <w:left w:val="none" w:sz="0" w:space="0" w:color="auto"/>
        <w:bottom w:val="none" w:sz="0" w:space="0" w:color="auto"/>
        <w:right w:val="none" w:sz="0" w:space="0" w:color="auto"/>
      </w:divBdr>
    </w:div>
    <w:div w:id="1759209107">
      <w:bodyDiv w:val="1"/>
      <w:marLeft w:val="0"/>
      <w:marRight w:val="0"/>
      <w:marTop w:val="0"/>
      <w:marBottom w:val="0"/>
      <w:divBdr>
        <w:top w:val="none" w:sz="0" w:space="0" w:color="auto"/>
        <w:left w:val="none" w:sz="0" w:space="0" w:color="auto"/>
        <w:bottom w:val="none" w:sz="0" w:space="0" w:color="auto"/>
        <w:right w:val="none" w:sz="0" w:space="0" w:color="auto"/>
      </w:divBdr>
    </w:div>
    <w:div w:id="1759324731">
      <w:bodyDiv w:val="1"/>
      <w:marLeft w:val="0"/>
      <w:marRight w:val="0"/>
      <w:marTop w:val="0"/>
      <w:marBottom w:val="0"/>
      <w:divBdr>
        <w:top w:val="none" w:sz="0" w:space="0" w:color="auto"/>
        <w:left w:val="none" w:sz="0" w:space="0" w:color="auto"/>
        <w:bottom w:val="none" w:sz="0" w:space="0" w:color="auto"/>
        <w:right w:val="none" w:sz="0" w:space="0" w:color="auto"/>
      </w:divBdr>
    </w:div>
    <w:div w:id="1759404846">
      <w:bodyDiv w:val="1"/>
      <w:marLeft w:val="0"/>
      <w:marRight w:val="0"/>
      <w:marTop w:val="0"/>
      <w:marBottom w:val="0"/>
      <w:divBdr>
        <w:top w:val="none" w:sz="0" w:space="0" w:color="auto"/>
        <w:left w:val="none" w:sz="0" w:space="0" w:color="auto"/>
        <w:bottom w:val="none" w:sz="0" w:space="0" w:color="auto"/>
        <w:right w:val="none" w:sz="0" w:space="0" w:color="auto"/>
      </w:divBdr>
    </w:div>
    <w:div w:id="1759593239">
      <w:bodyDiv w:val="1"/>
      <w:marLeft w:val="0"/>
      <w:marRight w:val="0"/>
      <w:marTop w:val="0"/>
      <w:marBottom w:val="0"/>
      <w:divBdr>
        <w:top w:val="none" w:sz="0" w:space="0" w:color="auto"/>
        <w:left w:val="none" w:sz="0" w:space="0" w:color="auto"/>
        <w:bottom w:val="none" w:sz="0" w:space="0" w:color="auto"/>
        <w:right w:val="none" w:sz="0" w:space="0" w:color="auto"/>
      </w:divBdr>
    </w:div>
    <w:div w:id="1759718440">
      <w:bodyDiv w:val="1"/>
      <w:marLeft w:val="0"/>
      <w:marRight w:val="0"/>
      <w:marTop w:val="0"/>
      <w:marBottom w:val="0"/>
      <w:divBdr>
        <w:top w:val="none" w:sz="0" w:space="0" w:color="auto"/>
        <w:left w:val="none" w:sz="0" w:space="0" w:color="auto"/>
        <w:bottom w:val="none" w:sz="0" w:space="0" w:color="auto"/>
        <w:right w:val="none" w:sz="0" w:space="0" w:color="auto"/>
      </w:divBdr>
    </w:div>
    <w:div w:id="1759981076">
      <w:bodyDiv w:val="1"/>
      <w:marLeft w:val="0"/>
      <w:marRight w:val="0"/>
      <w:marTop w:val="0"/>
      <w:marBottom w:val="0"/>
      <w:divBdr>
        <w:top w:val="none" w:sz="0" w:space="0" w:color="auto"/>
        <w:left w:val="none" w:sz="0" w:space="0" w:color="auto"/>
        <w:bottom w:val="none" w:sz="0" w:space="0" w:color="auto"/>
        <w:right w:val="none" w:sz="0" w:space="0" w:color="auto"/>
      </w:divBdr>
    </w:div>
    <w:div w:id="1760176164">
      <w:bodyDiv w:val="1"/>
      <w:marLeft w:val="0"/>
      <w:marRight w:val="0"/>
      <w:marTop w:val="0"/>
      <w:marBottom w:val="0"/>
      <w:divBdr>
        <w:top w:val="none" w:sz="0" w:space="0" w:color="auto"/>
        <w:left w:val="none" w:sz="0" w:space="0" w:color="auto"/>
        <w:bottom w:val="none" w:sz="0" w:space="0" w:color="auto"/>
        <w:right w:val="none" w:sz="0" w:space="0" w:color="auto"/>
      </w:divBdr>
    </w:div>
    <w:div w:id="1760255195">
      <w:bodyDiv w:val="1"/>
      <w:marLeft w:val="0"/>
      <w:marRight w:val="0"/>
      <w:marTop w:val="0"/>
      <w:marBottom w:val="0"/>
      <w:divBdr>
        <w:top w:val="none" w:sz="0" w:space="0" w:color="auto"/>
        <w:left w:val="none" w:sz="0" w:space="0" w:color="auto"/>
        <w:bottom w:val="none" w:sz="0" w:space="0" w:color="auto"/>
        <w:right w:val="none" w:sz="0" w:space="0" w:color="auto"/>
      </w:divBdr>
    </w:div>
    <w:div w:id="1760364646">
      <w:bodyDiv w:val="1"/>
      <w:marLeft w:val="0"/>
      <w:marRight w:val="0"/>
      <w:marTop w:val="0"/>
      <w:marBottom w:val="0"/>
      <w:divBdr>
        <w:top w:val="none" w:sz="0" w:space="0" w:color="auto"/>
        <w:left w:val="none" w:sz="0" w:space="0" w:color="auto"/>
        <w:bottom w:val="none" w:sz="0" w:space="0" w:color="auto"/>
        <w:right w:val="none" w:sz="0" w:space="0" w:color="auto"/>
      </w:divBdr>
    </w:div>
    <w:div w:id="1760374002">
      <w:bodyDiv w:val="1"/>
      <w:marLeft w:val="0"/>
      <w:marRight w:val="0"/>
      <w:marTop w:val="0"/>
      <w:marBottom w:val="0"/>
      <w:divBdr>
        <w:top w:val="none" w:sz="0" w:space="0" w:color="auto"/>
        <w:left w:val="none" w:sz="0" w:space="0" w:color="auto"/>
        <w:bottom w:val="none" w:sz="0" w:space="0" w:color="auto"/>
        <w:right w:val="none" w:sz="0" w:space="0" w:color="auto"/>
      </w:divBdr>
    </w:div>
    <w:div w:id="1760757683">
      <w:bodyDiv w:val="1"/>
      <w:marLeft w:val="0"/>
      <w:marRight w:val="0"/>
      <w:marTop w:val="0"/>
      <w:marBottom w:val="0"/>
      <w:divBdr>
        <w:top w:val="none" w:sz="0" w:space="0" w:color="auto"/>
        <w:left w:val="none" w:sz="0" w:space="0" w:color="auto"/>
        <w:bottom w:val="none" w:sz="0" w:space="0" w:color="auto"/>
        <w:right w:val="none" w:sz="0" w:space="0" w:color="auto"/>
      </w:divBdr>
    </w:div>
    <w:div w:id="1760907286">
      <w:bodyDiv w:val="1"/>
      <w:marLeft w:val="0"/>
      <w:marRight w:val="0"/>
      <w:marTop w:val="0"/>
      <w:marBottom w:val="0"/>
      <w:divBdr>
        <w:top w:val="none" w:sz="0" w:space="0" w:color="auto"/>
        <w:left w:val="none" w:sz="0" w:space="0" w:color="auto"/>
        <w:bottom w:val="none" w:sz="0" w:space="0" w:color="auto"/>
        <w:right w:val="none" w:sz="0" w:space="0" w:color="auto"/>
      </w:divBdr>
    </w:div>
    <w:div w:id="1761102449">
      <w:bodyDiv w:val="1"/>
      <w:marLeft w:val="0"/>
      <w:marRight w:val="0"/>
      <w:marTop w:val="0"/>
      <w:marBottom w:val="0"/>
      <w:divBdr>
        <w:top w:val="none" w:sz="0" w:space="0" w:color="auto"/>
        <w:left w:val="none" w:sz="0" w:space="0" w:color="auto"/>
        <w:bottom w:val="none" w:sz="0" w:space="0" w:color="auto"/>
        <w:right w:val="none" w:sz="0" w:space="0" w:color="auto"/>
      </w:divBdr>
    </w:div>
    <w:div w:id="1761170772">
      <w:bodyDiv w:val="1"/>
      <w:marLeft w:val="0"/>
      <w:marRight w:val="0"/>
      <w:marTop w:val="0"/>
      <w:marBottom w:val="0"/>
      <w:divBdr>
        <w:top w:val="none" w:sz="0" w:space="0" w:color="auto"/>
        <w:left w:val="none" w:sz="0" w:space="0" w:color="auto"/>
        <w:bottom w:val="none" w:sz="0" w:space="0" w:color="auto"/>
        <w:right w:val="none" w:sz="0" w:space="0" w:color="auto"/>
      </w:divBdr>
    </w:div>
    <w:div w:id="1761440743">
      <w:bodyDiv w:val="1"/>
      <w:marLeft w:val="0"/>
      <w:marRight w:val="0"/>
      <w:marTop w:val="0"/>
      <w:marBottom w:val="0"/>
      <w:divBdr>
        <w:top w:val="none" w:sz="0" w:space="0" w:color="auto"/>
        <w:left w:val="none" w:sz="0" w:space="0" w:color="auto"/>
        <w:bottom w:val="none" w:sz="0" w:space="0" w:color="auto"/>
        <w:right w:val="none" w:sz="0" w:space="0" w:color="auto"/>
      </w:divBdr>
    </w:div>
    <w:div w:id="1761676970">
      <w:bodyDiv w:val="1"/>
      <w:marLeft w:val="0"/>
      <w:marRight w:val="0"/>
      <w:marTop w:val="0"/>
      <w:marBottom w:val="0"/>
      <w:divBdr>
        <w:top w:val="none" w:sz="0" w:space="0" w:color="auto"/>
        <w:left w:val="none" w:sz="0" w:space="0" w:color="auto"/>
        <w:bottom w:val="none" w:sz="0" w:space="0" w:color="auto"/>
        <w:right w:val="none" w:sz="0" w:space="0" w:color="auto"/>
      </w:divBdr>
    </w:div>
    <w:div w:id="1761830724">
      <w:bodyDiv w:val="1"/>
      <w:marLeft w:val="0"/>
      <w:marRight w:val="0"/>
      <w:marTop w:val="0"/>
      <w:marBottom w:val="0"/>
      <w:divBdr>
        <w:top w:val="none" w:sz="0" w:space="0" w:color="auto"/>
        <w:left w:val="none" w:sz="0" w:space="0" w:color="auto"/>
        <w:bottom w:val="none" w:sz="0" w:space="0" w:color="auto"/>
        <w:right w:val="none" w:sz="0" w:space="0" w:color="auto"/>
      </w:divBdr>
    </w:div>
    <w:div w:id="1761947277">
      <w:bodyDiv w:val="1"/>
      <w:marLeft w:val="0"/>
      <w:marRight w:val="0"/>
      <w:marTop w:val="0"/>
      <w:marBottom w:val="0"/>
      <w:divBdr>
        <w:top w:val="none" w:sz="0" w:space="0" w:color="auto"/>
        <w:left w:val="none" w:sz="0" w:space="0" w:color="auto"/>
        <w:bottom w:val="none" w:sz="0" w:space="0" w:color="auto"/>
        <w:right w:val="none" w:sz="0" w:space="0" w:color="auto"/>
      </w:divBdr>
    </w:div>
    <w:div w:id="1762069994">
      <w:bodyDiv w:val="1"/>
      <w:marLeft w:val="0"/>
      <w:marRight w:val="0"/>
      <w:marTop w:val="0"/>
      <w:marBottom w:val="0"/>
      <w:divBdr>
        <w:top w:val="none" w:sz="0" w:space="0" w:color="auto"/>
        <w:left w:val="none" w:sz="0" w:space="0" w:color="auto"/>
        <w:bottom w:val="none" w:sz="0" w:space="0" w:color="auto"/>
        <w:right w:val="none" w:sz="0" w:space="0" w:color="auto"/>
      </w:divBdr>
    </w:div>
    <w:div w:id="1762140544">
      <w:bodyDiv w:val="1"/>
      <w:marLeft w:val="0"/>
      <w:marRight w:val="0"/>
      <w:marTop w:val="0"/>
      <w:marBottom w:val="0"/>
      <w:divBdr>
        <w:top w:val="none" w:sz="0" w:space="0" w:color="auto"/>
        <w:left w:val="none" w:sz="0" w:space="0" w:color="auto"/>
        <w:bottom w:val="none" w:sz="0" w:space="0" w:color="auto"/>
        <w:right w:val="none" w:sz="0" w:space="0" w:color="auto"/>
      </w:divBdr>
    </w:div>
    <w:div w:id="1762145481">
      <w:bodyDiv w:val="1"/>
      <w:marLeft w:val="0"/>
      <w:marRight w:val="0"/>
      <w:marTop w:val="0"/>
      <w:marBottom w:val="0"/>
      <w:divBdr>
        <w:top w:val="none" w:sz="0" w:space="0" w:color="auto"/>
        <w:left w:val="none" w:sz="0" w:space="0" w:color="auto"/>
        <w:bottom w:val="none" w:sz="0" w:space="0" w:color="auto"/>
        <w:right w:val="none" w:sz="0" w:space="0" w:color="auto"/>
      </w:divBdr>
    </w:div>
    <w:div w:id="1762217408">
      <w:bodyDiv w:val="1"/>
      <w:marLeft w:val="0"/>
      <w:marRight w:val="0"/>
      <w:marTop w:val="0"/>
      <w:marBottom w:val="0"/>
      <w:divBdr>
        <w:top w:val="none" w:sz="0" w:space="0" w:color="auto"/>
        <w:left w:val="none" w:sz="0" w:space="0" w:color="auto"/>
        <w:bottom w:val="none" w:sz="0" w:space="0" w:color="auto"/>
        <w:right w:val="none" w:sz="0" w:space="0" w:color="auto"/>
      </w:divBdr>
    </w:div>
    <w:div w:id="1762337765">
      <w:bodyDiv w:val="1"/>
      <w:marLeft w:val="0"/>
      <w:marRight w:val="0"/>
      <w:marTop w:val="0"/>
      <w:marBottom w:val="0"/>
      <w:divBdr>
        <w:top w:val="none" w:sz="0" w:space="0" w:color="auto"/>
        <w:left w:val="none" w:sz="0" w:space="0" w:color="auto"/>
        <w:bottom w:val="none" w:sz="0" w:space="0" w:color="auto"/>
        <w:right w:val="none" w:sz="0" w:space="0" w:color="auto"/>
      </w:divBdr>
    </w:div>
    <w:div w:id="1762338090">
      <w:bodyDiv w:val="1"/>
      <w:marLeft w:val="0"/>
      <w:marRight w:val="0"/>
      <w:marTop w:val="0"/>
      <w:marBottom w:val="0"/>
      <w:divBdr>
        <w:top w:val="none" w:sz="0" w:space="0" w:color="auto"/>
        <w:left w:val="none" w:sz="0" w:space="0" w:color="auto"/>
        <w:bottom w:val="none" w:sz="0" w:space="0" w:color="auto"/>
        <w:right w:val="none" w:sz="0" w:space="0" w:color="auto"/>
      </w:divBdr>
    </w:div>
    <w:div w:id="1762599546">
      <w:bodyDiv w:val="1"/>
      <w:marLeft w:val="0"/>
      <w:marRight w:val="0"/>
      <w:marTop w:val="0"/>
      <w:marBottom w:val="0"/>
      <w:divBdr>
        <w:top w:val="none" w:sz="0" w:space="0" w:color="auto"/>
        <w:left w:val="none" w:sz="0" w:space="0" w:color="auto"/>
        <w:bottom w:val="none" w:sz="0" w:space="0" w:color="auto"/>
        <w:right w:val="none" w:sz="0" w:space="0" w:color="auto"/>
      </w:divBdr>
    </w:div>
    <w:div w:id="1762603775">
      <w:bodyDiv w:val="1"/>
      <w:marLeft w:val="0"/>
      <w:marRight w:val="0"/>
      <w:marTop w:val="0"/>
      <w:marBottom w:val="0"/>
      <w:divBdr>
        <w:top w:val="none" w:sz="0" w:space="0" w:color="auto"/>
        <w:left w:val="none" w:sz="0" w:space="0" w:color="auto"/>
        <w:bottom w:val="none" w:sz="0" w:space="0" w:color="auto"/>
        <w:right w:val="none" w:sz="0" w:space="0" w:color="auto"/>
      </w:divBdr>
    </w:div>
    <w:div w:id="1763184020">
      <w:bodyDiv w:val="1"/>
      <w:marLeft w:val="0"/>
      <w:marRight w:val="0"/>
      <w:marTop w:val="0"/>
      <w:marBottom w:val="0"/>
      <w:divBdr>
        <w:top w:val="none" w:sz="0" w:space="0" w:color="auto"/>
        <w:left w:val="none" w:sz="0" w:space="0" w:color="auto"/>
        <w:bottom w:val="none" w:sz="0" w:space="0" w:color="auto"/>
        <w:right w:val="none" w:sz="0" w:space="0" w:color="auto"/>
      </w:divBdr>
    </w:div>
    <w:div w:id="1763255623">
      <w:bodyDiv w:val="1"/>
      <w:marLeft w:val="0"/>
      <w:marRight w:val="0"/>
      <w:marTop w:val="0"/>
      <w:marBottom w:val="0"/>
      <w:divBdr>
        <w:top w:val="none" w:sz="0" w:space="0" w:color="auto"/>
        <w:left w:val="none" w:sz="0" w:space="0" w:color="auto"/>
        <w:bottom w:val="none" w:sz="0" w:space="0" w:color="auto"/>
        <w:right w:val="none" w:sz="0" w:space="0" w:color="auto"/>
      </w:divBdr>
    </w:div>
    <w:div w:id="1763378812">
      <w:bodyDiv w:val="1"/>
      <w:marLeft w:val="0"/>
      <w:marRight w:val="0"/>
      <w:marTop w:val="0"/>
      <w:marBottom w:val="0"/>
      <w:divBdr>
        <w:top w:val="none" w:sz="0" w:space="0" w:color="auto"/>
        <w:left w:val="none" w:sz="0" w:space="0" w:color="auto"/>
        <w:bottom w:val="none" w:sz="0" w:space="0" w:color="auto"/>
        <w:right w:val="none" w:sz="0" w:space="0" w:color="auto"/>
      </w:divBdr>
    </w:div>
    <w:div w:id="1763528239">
      <w:bodyDiv w:val="1"/>
      <w:marLeft w:val="0"/>
      <w:marRight w:val="0"/>
      <w:marTop w:val="0"/>
      <w:marBottom w:val="0"/>
      <w:divBdr>
        <w:top w:val="none" w:sz="0" w:space="0" w:color="auto"/>
        <w:left w:val="none" w:sz="0" w:space="0" w:color="auto"/>
        <w:bottom w:val="none" w:sz="0" w:space="0" w:color="auto"/>
        <w:right w:val="none" w:sz="0" w:space="0" w:color="auto"/>
      </w:divBdr>
    </w:div>
    <w:div w:id="1763794657">
      <w:bodyDiv w:val="1"/>
      <w:marLeft w:val="0"/>
      <w:marRight w:val="0"/>
      <w:marTop w:val="0"/>
      <w:marBottom w:val="0"/>
      <w:divBdr>
        <w:top w:val="none" w:sz="0" w:space="0" w:color="auto"/>
        <w:left w:val="none" w:sz="0" w:space="0" w:color="auto"/>
        <w:bottom w:val="none" w:sz="0" w:space="0" w:color="auto"/>
        <w:right w:val="none" w:sz="0" w:space="0" w:color="auto"/>
      </w:divBdr>
    </w:div>
    <w:div w:id="1763841521">
      <w:bodyDiv w:val="1"/>
      <w:marLeft w:val="0"/>
      <w:marRight w:val="0"/>
      <w:marTop w:val="0"/>
      <w:marBottom w:val="0"/>
      <w:divBdr>
        <w:top w:val="none" w:sz="0" w:space="0" w:color="auto"/>
        <w:left w:val="none" w:sz="0" w:space="0" w:color="auto"/>
        <w:bottom w:val="none" w:sz="0" w:space="0" w:color="auto"/>
        <w:right w:val="none" w:sz="0" w:space="0" w:color="auto"/>
      </w:divBdr>
    </w:div>
    <w:div w:id="1763985797">
      <w:bodyDiv w:val="1"/>
      <w:marLeft w:val="0"/>
      <w:marRight w:val="0"/>
      <w:marTop w:val="0"/>
      <w:marBottom w:val="0"/>
      <w:divBdr>
        <w:top w:val="none" w:sz="0" w:space="0" w:color="auto"/>
        <w:left w:val="none" w:sz="0" w:space="0" w:color="auto"/>
        <w:bottom w:val="none" w:sz="0" w:space="0" w:color="auto"/>
        <w:right w:val="none" w:sz="0" w:space="0" w:color="auto"/>
      </w:divBdr>
    </w:div>
    <w:div w:id="1764109449">
      <w:bodyDiv w:val="1"/>
      <w:marLeft w:val="0"/>
      <w:marRight w:val="0"/>
      <w:marTop w:val="0"/>
      <w:marBottom w:val="0"/>
      <w:divBdr>
        <w:top w:val="none" w:sz="0" w:space="0" w:color="auto"/>
        <w:left w:val="none" w:sz="0" w:space="0" w:color="auto"/>
        <w:bottom w:val="none" w:sz="0" w:space="0" w:color="auto"/>
        <w:right w:val="none" w:sz="0" w:space="0" w:color="auto"/>
      </w:divBdr>
    </w:div>
    <w:div w:id="1764258613">
      <w:bodyDiv w:val="1"/>
      <w:marLeft w:val="0"/>
      <w:marRight w:val="0"/>
      <w:marTop w:val="0"/>
      <w:marBottom w:val="0"/>
      <w:divBdr>
        <w:top w:val="none" w:sz="0" w:space="0" w:color="auto"/>
        <w:left w:val="none" w:sz="0" w:space="0" w:color="auto"/>
        <w:bottom w:val="none" w:sz="0" w:space="0" w:color="auto"/>
        <w:right w:val="none" w:sz="0" w:space="0" w:color="auto"/>
      </w:divBdr>
    </w:div>
    <w:div w:id="1764300414">
      <w:bodyDiv w:val="1"/>
      <w:marLeft w:val="0"/>
      <w:marRight w:val="0"/>
      <w:marTop w:val="0"/>
      <w:marBottom w:val="0"/>
      <w:divBdr>
        <w:top w:val="none" w:sz="0" w:space="0" w:color="auto"/>
        <w:left w:val="none" w:sz="0" w:space="0" w:color="auto"/>
        <w:bottom w:val="none" w:sz="0" w:space="0" w:color="auto"/>
        <w:right w:val="none" w:sz="0" w:space="0" w:color="auto"/>
      </w:divBdr>
    </w:div>
    <w:div w:id="1764496791">
      <w:bodyDiv w:val="1"/>
      <w:marLeft w:val="0"/>
      <w:marRight w:val="0"/>
      <w:marTop w:val="0"/>
      <w:marBottom w:val="0"/>
      <w:divBdr>
        <w:top w:val="none" w:sz="0" w:space="0" w:color="auto"/>
        <w:left w:val="none" w:sz="0" w:space="0" w:color="auto"/>
        <w:bottom w:val="none" w:sz="0" w:space="0" w:color="auto"/>
        <w:right w:val="none" w:sz="0" w:space="0" w:color="auto"/>
      </w:divBdr>
    </w:div>
    <w:div w:id="1764567284">
      <w:bodyDiv w:val="1"/>
      <w:marLeft w:val="0"/>
      <w:marRight w:val="0"/>
      <w:marTop w:val="0"/>
      <w:marBottom w:val="0"/>
      <w:divBdr>
        <w:top w:val="none" w:sz="0" w:space="0" w:color="auto"/>
        <w:left w:val="none" w:sz="0" w:space="0" w:color="auto"/>
        <w:bottom w:val="none" w:sz="0" w:space="0" w:color="auto"/>
        <w:right w:val="none" w:sz="0" w:space="0" w:color="auto"/>
      </w:divBdr>
    </w:div>
    <w:div w:id="1765302394">
      <w:bodyDiv w:val="1"/>
      <w:marLeft w:val="0"/>
      <w:marRight w:val="0"/>
      <w:marTop w:val="0"/>
      <w:marBottom w:val="0"/>
      <w:divBdr>
        <w:top w:val="none" w:sz="0" w:space="0" w:color="auto"/>
        <w:left w:val="none" w:sz="0" w:space="0" w:color="auto"/>
        <w:bottom w:val="none" w:sz="0" w:space="0" w:color="auto"/>
        <w:right w:val="none" w:sz="0" w:space="0" w:color="auto"/>
      </w:divBdr>
    </w:div>
    <w:div w:id="1765373762">
      <w:bodyDiv w:val="1"/>
      <w:marLeft w:val="0"/>
      <w:marRight w:val="0"/>
      <w:marTop w:val="0"/>
      <w:marBottom w:val="0"/>
      <w:divBdr>
        <w:top w:val="none" w:sz="0" w:space="0" w:color="auto"/>
        <w:left w:val="none" w:sz="0" w:space="0" w:color="auto"/>
        <w:bottom w:val="none" w:sz="0" w:space="0" w:color="auto"/>
        <w:right w:val="none" w:sz="0" w:space="0" w:color="auto"/>
      </w:divBdr>
    </w:div>
    <w:div w:id="1765492583">
      <w:bodyDiv w:val="1"/>
      <w:marLeft w:val="0"/>
      <w:marRight w:val="0"/>
      <w:marTop w:val="0"/>
      <w:marBottom w:val="0"/>
      <w:divBdr>
        <w:top w:val="none" w:sz="0" w:space="0" w:color="auto"/>
        <w:left w:val="none" w:sz="0" w:space="0" w:color="auto"/>
        <w:bottom w:val="none" w:sz="0" w:space="0" w:color="auto"/>
        <w:right w:val="none" w:sz="0" w:space="0" w:color="auto"/>
      </w:divBdr>
    </w:div>
    <w:div w:id="1765757206">
      <w:bodyDiv w:val="1"/>
      <w:marLeft w:val="0"/>
      <w:marRight w:val="0"/>
      <w:marTop w:val="0"/>
      <w:marBottom w:val="0"/>
      <w:divBdr>
        <w:top w:val="none" w:sz="0" w:space="0" w:color="auto"/>
        <w:left w:val="none" w:sz="0" w:space="0" w:color="auto"/>
        <w:bottom w:val="none" w:sz="0" w:space="0" w:color="auto"/>
        <w:right w:val="none" w:sz="0" w:space="0" w:color="auto"/>
      </w:divBdr>
    </w:div>
    <w:div w:id="1765999451">
      <w:bodyDiv w:val="1"/>
      <w:marLeft w:val="0"/>
      <w:marRight w:val="0"/>
      <w:marTop w:val="0"/>
      <w:marBottom w:val="0"/>
      <w:divBdr>
        <w:top w:val="none" w:sz="0" w:space="0" w:color="auto"/>
        <w:left w:val="none" w:sz="0" w:space="0" w:color="auto"/>
        <w:bottom w:val="none" w:sz="0" w:space="0" w:color="auto"/>
        <w:right w:val="none" w:sz="0" w:space="0" w:color="auto"/>
      </w:divBdr>
    </w:div>
    <w:div w:id="1766225160">
      <w:bodyDiv w:val="1"/>
      <w:marLeft w:val="0"/>
      <w:marRight w:val="0"/>
      <w:marTop w:val="0"/>
      <w:marBottom w:val="0"/>
      <w:divBdr>
        <w:top w:val="none" w:sz="0" w:space="0" w:color="auto"/>
        <w:left w:val="none" w:sz="0" w:space="0" w:color="auto"/>
        <w:bottom w:val="none" w:sz="0" w:space="0" w:color="auto"/>
        <w:right w:val="none" w:sz="0" w:space="0" w:color="auto"/>
      </w:divBdr>
    </w:div>
    <w:div w:id="1766227391">
      <w:bodyDiv w:val="1"/>
      <w:marLeft w:val="0"/>
      <w:marRight w:val="0"/>
      <w:marTop w:val="0"/>
      <w:marBottom w:val="0"/>
      <w:divBdr>
        <w:top w:val="none" w:sz="0" w:space="0" w:color="auto"/>
        <w:left w:val="none" w:sz="0" w:space="0" w:color="auto"/>
        <w:bottom w:val="none" w:sz="0" w:space="0" w:color="auto"/>
        <w:right w:val="none" w:sz="0" w:space="0" w:color="auto"/>
      </w:divBdr>
    </w:div>
    <w:div w:id="1766338165">
      <w:bodyDiv w:val="1"/>
      <w:marLeft w:val="0"/>
      <w:marRight w:val="0"/>
      <w:marTop w:val="0"/>
      <w:marBottom w:val="0"/>
      <w:divBdr>
        <w:top w:val="none" w:sz="0" w:space="0" w:color="auto"/>
        <w:left w:val="none" w:sz="0" w:space="0" w:color="auto"/>
        <w:bottom w:val="none" w:sz="0" w:space="0" w:color="auto"/>
        <w:right w:val="none" w:sz="0" w:space="0" w:color="auto"/>
      </w:divBdr>
    </w:div>
    <w:div w:id="1766341933">
      <w:bodyDiv w:val="1"/>
      <w:marLeft w:val="0"/>
      <w:marRight w:val="0"/>
      <w:marTop w:val="0"/>
      <w:marBottom w:val="0"/>
      <w:divBdr>
        <w:top w:val="none" w:sz="0" w:space="0" w:color="auto"/>
        <w:left w:val="none" w:sz="0" w:space="0" w:color="auto"/>
        <w:bottom w:val="none" w:sz="0" w:space="0" w:color="auto"/>
        <w:right w:val="none" w:sz="0" w:space="0" w:color="auto"/>
      </w:divBdr>
    </w:div>
    <w:div w:id="1767077153">
      <w:bodyDiv w:val="1"/>
      <w:marLeft w:val="0"/>
      <w:marRight w:val="0"/>
      <w:marTop w:val="0"/>
      <w:marBottom w:val="0"/>
      <w:divBdr>
        <w:top w:val="none" w:sz="0" w:space="0" w:color="auto"/>
        <w:left w:val="none" w:sz="0" w:space="0" w:color="auto"/>
        <w:bottom w:val="none" w:sz="0" w:space="0" w:color="auto"/>
        <w:right w:val="none" w:sz="0" w:space="0" w:color="auto"/>
      </w:divBdr>
    </w:div>
    <w:div w:id="1767381388">
      <w:bodyDiv w:val="1"/>
      <w:marLeft w:val="0"/>
      <w:marRight w:val="0"/>
      <w:marTop w:val="0"/>
      <w:marBottom w:val="0"/>
      <w:divBdr>
        <w:top w:val="none" w:sz="0" w:space="0" w:color="auto"/>
        <w:left w:val="none" w:sz="0" w:space="0" w:color="auto"/>
        <w:bottom w:val="none" w:sz="0" w:space="0" w:color="auto"/>
        <w:right w:val="none" w:sz="0" w:space="0" w:color="auto"/>
      </w:divBdr>
    </w:div>
    <w:div w:id="1767461783">
      <w:bodyDiv w:val="1"/>
      <w:marLeft w:val="0"/>
      <w:marRight w:val="0"/>
      <w:marTop w:val="0"/>
      <w:marBottom w:val="0"/>
      <w:divBdr>
        <w:top w:val="none" w:sz="0" w:space="0" w:color="auto"/>
        <w:left w:val="none" w:sz="0" w:space="0" w:color="auto"/>
        <w:bottom w:val="none" w:sz="0" w:space="0" w:color="auto"/>
        <w:right w:val="none" w:sz="0" w:space="0" w:color="auto"/>
      </w:divBdr>
    </w:div>
    <w:div w:id="1767576766">
      <w:bodyDiv w:val="1"/>
      <w:marLeft w:val="0"/>
      <w:marRight w:val="0"/>
      <w:marTop w:val="0"/>
      <w:marBottom w:val="0"/>
      <w:divBdr>
        <w:top w:val="none" w:sz="0" w:space="0" w:color="auto"/>
        <w:left w:val="none" w:sz="0" w:space="0" w:color="auto"/>
        <w:bottom w:val="none" w:sz="0" w:space="0" w:color="auto"/>
        <w:right w:val="none" w:sz="0" w:space="0" w:color="auto"/>
      </w:divBdr>
    </w:div>
    <w:div w:id="1767647770">
      <w:bodyDiv w:val="1"/>
      <w:marLeft w:val="0"/>
      <w:marRight w:val="0"/>
      <w:marTop w:val="0"/>
      <w:marBottom w:val="0"/>
      <w:divBdr>
        <w:top w:val="none" w:sz="0" w:space="0" w:color="auto"/>
        <w:left w:val="none" w:sz="0" w:space="0" w:color="auto"/>
        <w:bottom w:val="none" w:sz="0" w:space="0" w:color="auto"/>
        <w:right w:val="none" w:sz="0" w:space="0" w:color="auto"/>
      </w:divBdr>
    </w:div>
    <w:div w:id="1767967006">
      <w:bodyDiv w:val="1"/>
      <w:marLeft w:val="0"/>
      <w:marRight w:val="0"/>
      <w:marTop w:val="0"/>
      <w:marBottom w:val="0"/>
      <w:divBdr>
        <w:top w:val="none" w:sz="0" w:space="0" w:color="auto"/>
        <w:left w:val="none" w:sz="0" w:space="0" w:color="auto"/>
        <w:bottom w:val="none" w:sz="0" w:space="0" w:color="auto"/>
        <w:right w:val="none" w:sz="0" w:space="0" w:color="auto"/>
      </w:divBdr>
    </w:div>
    <w:div w:id="1768040885">
      <w:bodyDiv w:val="1"/>
      <w:marLeft w:val="0"/>
      <w:marRight w:val="0"/>
      <w:marTop w:val="0"/>
      <w:marBottom w:val="0"/>
      <w:divBdr>
        <w:top w:val="none" w:sz="0" w:space="0" w:color="auto"/>
        <w:left w:val="none" w:sz="0" w:space="0" w:color="auto"/>
        <w:bottom w:val="none" w:sz="0" w:space="0" w:color="auto"/>
        <w:right w:val="none" w:sz="0" w:space="0" w:color="auto"/>
      </w:divBdr>
    </w:div>
    <w:div w:id="1768235963">
      <w:bodyDiv w:val="1"/>
      <w:marLeft w:val="0"/>
      <w:marRight w:val="0"/>
      <w:marTop w:val="0"/>
      <w:marBottom w:val="0"/>
      <w:divBdr>
        <w:top w:val="none" w:sz="0" w:space="0" w:color="auto"/>
        <w:left w:val="none" w:sz="0" w:space="0" w:color="auto"/>
        <w:bottom w:val="none" w:sz="0" w:space="0" w:color="auto"/>
        <w:right w:val="none" w:sz="0" w:space="0" w:color="auto"/>
      </w:divBdr>
    </w:div>
    <w:div w:id="1768378171">
      <w:bodyDiv w:val="1"/>
      <w:marLeft w:val="0"/>
      <w:marRight w:val="0"/>
      <w:marTop w:val="0"/>
      <w:marBottom w:val="0"/>
      <w:divBdr>
        <w:top w:val="none" w:sz="0" w:space="0" w:color="auto"/>
        <w:left w:val="none" w:sz="0" w:space="0" w:color="auto"/>
        <w:bottom w:val="none" w:sz="0" w:space="0" w:color="auto"/>
        <w:right w:val="none" w:sz="0" w:space="0" w:color="auto"/>
      </w:divBdr>
    </w:div>
    <w:div w:id="1768505473">
      <w:bodyDiv w:val="1"/>
      <w:marLeft w:val="0"/>
      <w:marRight w:val="0"/>
      <w:marTop w:val="0"/>
      <w:marBottom w:val="0"/>
      <w:divBdr>
        <w:top w:val="none" w:sz="0" w:space="0" w:color="auto"/>
        <w:left w:val="none" w:sz="0" w:space="0" w:color="auto"/>
        <w:bottom w:val="none" w:sz="0" w:space="0" w:color="auto"/>
        <w:right w:val="none" w:sz="0" w:space="0" w:color="auto"/>
      </w:divBdr>
    </w:div>
    <w:div w:id="1768694984">
      <w:bodyDiv w:val="1"/>
      <w:marLeft w:val="0"/>
      <w:marRight w:val="0"/>
      <w:marTop w:val="0"/>
      <w:marBottom w:val="0"/>
      <w:divBdr>
        <w:top w:val="none" w:sz="0" w:space="0" w:color="auto"/>
        <w:left w:val="none" w:sz="0" w:space="0" w:color="auto"/>
        <w:bottom w:val="none" w:sz="0" w:space="0" w:color="auto"/>
        <w:right w:val="none" w:sz="0" w:space="0" w:color="auto"/>
      </w:divBdr>
    </w:div>
    <w:div w:id="1768958540">
      <w:bodyDiv w:val="1"/>
      <w:marLeft w:val="0"/>
      <w:marRight w:val="0"/>
      <w:marTop w:val="0"/>
      <w:marBottom w:val="0"/>
      <w:divBdr>
        <w:top w:val="none" w:sz="0" w:space="0" w:color="auto"/>
        <w:left w:val="none" w:sz="0" w:space="0" w:color="auto"/>
        <w:bottom w:val="none" w:sz="0" w:space="0" w:color="auto"/>
        <w:right w:val="none" w:sz="0" w:space="0" w:color="auto"/>
      </w:divBdr>
    </w:div>
    <w:div w:id="1769234134">
      <w:bodyDiv w:val="1"/>
      <w:marLeft w:val="0"/>
      <w:marRight w:val="0"/>
      <w:marTop w:val="0"/>
      <w:marBottom w:val="0"/>
      <w:divBdr>
        <w:top w:val="none" w:sz="0" w:space="0" w:color="auto"/>
        <w:left w:val="none" w:sz="0" w:space="0" w:color="auto"/>
        <w:bottom w:val="none" w:sz="0" w:space="0" w:color="auto"/>
        <w:right w:val="none" w:sz="0" w:space="0" w:color="auto"/>
      </w:divBdr>
    </w:div>
    <w:div w:id="1769498633">
      <w:bodyDiv w:val="1"/>
      <w:marLeft w:val="0"/>
      <w:marRight w:val="0"/>
      <w:marTop w:val="0"/>
      <w:marBottom w:val="0"/>
      <w:divBdr>
        <w:top w:val="none" w:sz="0" w:space="0" w:color="auto"/>
        <w:left w:val="none" w:sz="0" w:space="0" w:color="auto"/>
        <w:bottom w:val="none" w:sz="0" w:space="0" w:color="auto"/>
        <w:right w:val="none" w:sz="0" w:space="0" w:color="auto"/>
      </w:divBdr>
    </w:div>
    <w:div w:id="1769541900">
      <w:bodyDiv w:val="1"/>
      <w:marLeft w:val="0"/>
      <w:marRight w:val="0"/>
      <w:marTop w:val="0"/>
      <w:marBottom w:val="0"/>
      <w:divBdr>
        <w:top w:val="none" w:sz="0" w:space="0" w:color="auto"/>
        <w:left w:val="none" w:sz="0" w:space="0" w:color="auto"/>
        <w:bottom w:val="none" w:sz="0" w:space="0" w:color="auto"/>
        <w:right w:val="none" w:sz="0" w:space="0" w:color="auto"/>
      </w:divBdr>
    </w:div>
    <w:div w:id="1769543236">
      <w:bodyDiv w:val="1"/>
      <w:marLeft w:val="0"/>
      <w:marRight w:val="0"/>
      <w:marTop w:val="0"/>
      <w:marBottom w:val="0"/>
      <w:divBdr>
        <w:top w:val="none" w:sz="0" w:space="0" w:color="auto"/>
        <w:left w:val="none" w:sz="0" w:space="0" w:color="auto"/>
        <w:bottom w:val="none" w:sz="0" w:space="0" w:color="auto"/>
        <w:right w:val="none" w:sz="0" w:space="0" w:color="auto"/>
      </w:divBdr>
    </w:div>
    <w:div w:id="1769957428">
      <w:bodyDiv w:val="1"/>
      <w:marLeft w:val="0"/>
      <w:marRight w:val="0"/>
      <w:marTop w:val="0"/>
      <w:marBottom w:val="0"/>
      <w:divBdr>
        <w:top w:val="none" w:sz="0" w:space="0" w:color="auto"/>
        <w:left w:val="none" w:sz="0" w:space="0" w:color="auto"/>
        <w:bottom w:val="none" w:sz="0" w:space="0" w:color="auto"/>
        <w:right w:val="none" w:sz="0" w:space="0" w:color="auto"/>
      </w:divBdr>
    </w:div>
    <w:div w:id="1770157511">
      <w:bodyDiv w:val="1"/>
      <w:marLeft w:val="0"/>
      <w:marRight w:val="0"/>
      <w:marTop w:val="0"/>
      <w:marBottom w:val="0"/>
      <w:divBdr>
        <w:top w:val="none" w:sz="0" w:space="0" w:color="auto"/>
        <w:left w:val="none" w:sz="0" w:space="0" w:color="auto"/>
        <w:bottom w:val="none" w:sz="0" w:space="0" w:color="auto"/>
        <w:right w:val="none" w:sz="0" w:space="0" w:color="auto"/>
      </w:divBdr>
    </w:div>
    <w:div w:id="1770200580">
      <w:bodyDiv w:val="1"/>
      <w:marLeft w:val="0"/>
      <w:marRight w:val="0"/>
      <w:marTop w:val="0"/>
      <w:marBottom w:val="0"/>
      <w:divBdr>
        <w:top w:val="none" w:sz="0" w:space="0" w:color="auto"/>
        <w:left w:val="none" w:sz="0" w:space="0" w:color="auto"/>
        <w:bottom w:val="none" w:sz="0" w:space="0" w:color="auto"/>
        <w:right w:val="none" w:sz="0" w:space="0" w:color="auto"/>
      </w:divBdr>
    </w:div>
    <w:div w:id="1770924139">
      <w:bodyDiv w:val="1"/>
      <w:marLeft w:val="0"/>
      <w:marRight w:val="0"/>
      <w:marTop w:val="0"/>
      <w:marBottom w:val="0"/>
      <w:divBdr>
        <w:top w:val="none" w:sz="0" w:space="0" w:color="auto"/>
        <w:left w:val="none" w:sz="0" w:space="0" w:color="auto"/>
        <w:bottom w:val="none" w:sz="0" w:space="0" w:color="auto"/>
        <w:right w:val="none" w:sz="0" w:space="0" w:color="auto"/>
      </w:divBdr>
    </w:div>
    <w:div w:id="1771002944">
      <w:bodyDiv w:val="1"/>
      <w:marLeft w:val="0"/>
      <w:marRight w:val="0"/>
      <w:marTop w:val="0"/>
      <w:marBottom w:val="0"/>
      <w:divBdr>
        <w:top w:val="none" w:sz="0" w:space="0" w:color="auto"/>
        <w:left w:val="none" w:sz="0" w:space="0" w:color="auto"/>
        <w:bottom w:val="none" w:sz="0" w:space="0" w:color="auto"/>
        <w:right w:val="none" w:sz="0" w:space="0" w:color="auto"/>
      </w:divBdr>
    </w:div>
    <w:div w:id="1771051351">
      <w:bodyDiv w:val="1"/>
      <w:marLeft w:val="0"/>
      <w:marRight w:val="0"/>
      <w:marTop w:val="0"/>
      <w:marBottom w:val="0"/>
      <w:divBdr>
        <w:top w:val="none" w:sz="0" w:space="0" w:color="auto"/>
        <w:left w:val="none" w:sz="0" w:space="0" w:color="auto"/>
        <w:bottom w:val="none" w:sz="0" w:space="0" w:color="auto"/>
        <w:right w:val="none" w:sz="0" w:space="0" w:color="auto"/>
      </w:divBdr>
    </w:div>
    <w:div w:id="1771243840">
      <w:bodyDiv w:val="1"/>
      <w:marLeft w:val="0"/>
      <w:marRight w:val="0"/>
      <w:marTop w:val="0"/>
      <w:marBottom w:val="0"/>
      <w:divBdr>
        <w:top w:val="none" w:sz="0" w:space="0" w:color="auto"/>
        <w:left w:val="none" w:sz="0" w:space="0" w:color="auto"/>
        <w:bottom w:val="none" w:sz="0" w:space="0" w:color="auto"/>
        <w:right w:val="none" w:sz="0" w:space="0" w:color="auto"/>
      </w:divBdr>
    </w:div>
    <w:div w:id="1771272417">
      <w:bodyDiv w:val="1"/>
      <w:marLeft w:val="0"/>
      <w:marRight w:val="0"/>
      <w:marTop w:val="0"/>
      <w:marBottom w:val="0"/>
      <w:divBdr>
        <w:top w:val="none" w:sz="0" w:space="0" w:color="auto"/>
        <w:left w:val="none" w:sz="0" w:space="0" w:color="auto"/>
        <w:bottom w:val="none" w:sz="0" w:space="0" w:color="auto"/>
        <w:right w:val="none" w:sz="0" w:space="0" w:color="auto"/>
      </w:divBdr>
    </w:div>
    <w:div w:id="1771849975">
      <w:bodyDiv w:val="1"/>
      <w:marLeft w:val="0"/>
      <w:marRight w:val="0"/>
      <w:marTop w:val="0"/>
      <w:marBottom w:val="0"/>
      <w:divBdr>
        <w:top w:val="none" w:sz="0" w:space="0" w:color="auto"/>
        <w:left w:val="none" w:sz="0" w:space="0" w:color="auto"/>
        <w:bottom w:val="none" w:sz="0" w:space="0" w:color="auto"/>
        <w:right w:val="none" w:sz="0" w:space="0" w:color="auto"/>
      </w:divBdr>
    </w:div>
    <w:div w:id="1772042534">
      <w:bodyDiv w:val="1"/>
      <w:marLeft w:val="0"/>
      <w:marRight w:val="0"/>
      <w:marTop w:val="0"/>
      <w:marBottom w:val="0"/>
      <w:divBdr>
        <w:top w:val="none" w:sz="0" w:space="0" w:color="auto"/>
        <w:left w:val="none" w:sz="0" w:space="0" w:color="auto"/>
        <w:bottom w:val="none" w:sz="0" w:space="0" w:color="auto"/>
        <w:right w:val="none" w:sz="0" w:space="0" w:color="auto"/>
      </w:divBdr>
    </w:div>
    <w:div w:id="1772116688">
      <w:bodyDiv w:val="1"/>
      <w:marLeft w:val="0"/>
      <w:marRight w:val="0"/>
      <w:marTop w:val="0"/>
      <w:marBottom w:val="0"/>
      <w:divBdr>
        <w:top w:val="none" w:sz="0" w:space="0" w:color="auto"/>
        <w:left w:val="none" w:sz="0" w:space="0" w:color="auto"/>
        <w:bottom w:val="none" w:sz="0" w:space="0" w:color="auto"/>
        <w:right w:val="none" w:sz="0" w:space="0" w:color="auto"/>
      </w:divBdr>
    </w:div>
    <w:div w:id="1772168304">
      <w:bodyDiv w:val="1"/>
      <w:marLeft w:val="0"/>
      <w:marRight w:val="0"/>
      <w:marTop w:val="0"/>
      <w:marBottom w:val="0"/>
      <w:divBdr>
        <w:top w:val="none" w:sz="0" w:space="0" w:color="auto"/>
        <w:left w:val="none" w:sz="0" w:space="0" w:color="auto"/>
        <w:bottom w:val="none" w:sz="0" w:space="0" w:color="auto"/>
        <w:right w:val="none" w:sz="0" w:space="0" w:color="auto"/>
      </w:divBdr>
    </w:div>
    <w:div w:id="1772429363">
      <w:bodyDiv w:val="1"/>
      <w:marLeft w:val="0"/>
      <w:marRight w:val="0"/>
      <w:marTop w:val="0"/>
      <w:marBottom w:val="0"/>
      <w:divBdr>
        <w:top w:val="none" w:sz="0" w:space="0" w:color="auto"/>
        <w:left w:val="none" w:sz="0" w:space="0" w:color="auto"/>
        <w:bottom w:val="none" w:sz="0" w:space="0" w:color="auto"/>
        <w:right w:val="none" w:sz="0" w:space="0" w:color="auto"/>
      </w:divBdr>
    </w:div>
    <w:div w:id="1772703465">
      <w:bodyDiv w:val="1"/>
      <w:marLeft w:val="0"/>
      <w:marRight w:val="0"/>
      <w:marTop w:val="0"/>
      <w:marBottom w:val="0"/>
      <w:divBdr>
        <w:top w:val="none" w:sz="0" w:space="0" w:color="auto"/>
        <w:left w:val="none" w:sz="0" w:space="0" w:color="auto"/>
        <w:bottom w:val="none" w:sz="0" w:space="0" w:color="auto"/>
        <w:right w:val="none" w:sz="0" w:space="0" w:color="auto"/>
      </w:divBdr>
    </w:div>
    <w:div w:id="1773352275">
      <w:bodyDiv w:val="1"/>
      <w:marLeft w:val="0"/>
      <w:marRight w:val="0"/>
      <w:marTop w:val="0"/>
      <w:marBottom w:val="0"/>
      <w:divBdr>
        <w:top w:val="none" w:sz="0" w:space="0" w:color="auto"/>
        <w:left w:val="none" w:sz="0" w:space="0" w:color="auto"/>
        <w:bottom w:val="none" w:sz="0" w:space="0" w:color="auto"/>
        <w:right w:val="none" w:sz="0" w:space="0" w:color="auto"/>
      </w:divBdr>
    </w:div>
    <w:div w:id="1773360457">
      <w:bodyDiv w:val="1"/>
      <w:marLeft w:val="0"/>
      <w:marRight w:val="0"/>
      <w:marTop w:val="0"/>
      <w:marBottom w:val="0"/>
      <w:divBdr>
        <w:top w:val="none" w:sz="0" w:space="0" w:color="auto"/>
        <w:left w:val="none" w:sz="0" w:space="0" w:color="auto"/>
        <w:bottom w:val="none" w:sz="0" w:space="0" w:color="auto"/>
        <w:right w:val="none" w:sz="0" w:space="0" w:color="auto"/>
      </w:divBdr>
    </w:div>
    <w:div w:id="1773432472">
      <w:bodyDiv w:val="1"/>
      <w:marLeft w:val="0"/>
      <w:marRight w:val="0"/>
      <w:marTop w:val="0"/>
      <w:marBottom w:val="0"/>
      <w:divBdr>
        <w:top w:val="none" w:sz="0" w:space="0" w:color="auto"/>
        <w:left w:val="none" w:sz="0" w:space="0" w:color="auto"/>
        <w:bottom w:val="none" w:sz="0" w:space="0" w:color="auto"/>
        <w:right w:val="none" w:sz="0" w:space="0" w:color="auto"/>
      </w:divBdr>
    </w:div>
    <w:div w:id="1773550224">
      <w:bodyDiv w:val="1"/>
      <w:marLeft w:val="0"/>
      <w:marRight w:val="0"/>
      <w:marTop w:val="0"/>
      <w:marBottom w:val="0"/>
      <w:divBdr>
        <w:top w:val="none" w:sz="0" w:space="0" w:color="auto"/>
        <w:left w:val="none" w:sz="0" w:space="0" w:color="auto"/>
        <w:bottom w:val="none" w:sz="0" w:space="0" w:color="auto"/>
        <w:right w:val="none" w:sz="0" w:space="0" w:color="auto"/>
      </w:divBdr>
    </w:div>
    <w:div w:id="1773815005">
      <w:bodyDiv w:val="1"/>
      <w:marLeft w:val="0"/>
      <w:marRight w:val="0"/>
      <w:marTop w:val="0"/>
      <w:marBottom w:val="0"/>
      <w:divBdr>
        <w:top w:val="none" w:sz="0" w:space="0" w:color="auto"/>
        <w:left w:val="none" w:sz="0" w:space="0" w:color="auto"/>
        <w:bottom w:val="none" w:sz="0" w:space="0" w:color="auto"/>
        <w:right w:val="none" w:sz="0" w:space="0" w:color="auto"/>
      </w:divBdr>
    </w:div>
    <w:div w:id="1773864938">
      <w:bodyDiv w:val="1"/>
      <w:marLeft w:val="0"/>
      <w:marRight w:val="0"/>
      <w:marTop w:val="0"/>
      <w:marBottom w:val="0"/>
      <w:divBdr>
        <w:top w:val="none" w:sz="0" w:space="0" w:color="auto"/>
        <w:left w:val="none" w:sz="0" w:space="0" w:color="auto"/>
        <w:bottom w:val="none" w:sz="0" w:space="0" w:color="auto"/>
        <w:right w:val="none" w:sz="0" w:space="0" w:color="auto"/>
      </w:divBdr>
    </w:div>
    <w:div w:id="1773933301">
      <w:bodyDiv w:val="1"/>
      <w:marLeft w:val="0"/>
      <w:marRight w:val="0"/>
      <w:marTop w:val="0"/>
      <w:marBottom w:val="0"/>
      <w:divBdr>
        <w:top w:val="none" w:sz="0" w:space="0" w:color="auto"/>
        <w:left w:val="none" w:sz="0" w:space="0" w:color="auto"/>
        <w:bottom w:val="none" w:sz="0" w:space="0" w:color="auto"/>
        <w:right w:val="none" w:sz="0" w:space="0" w:color="auto"/>
      </w:divBdr>
    </w:div>
    <w:div w:id="1773933682">
      <w:bodyDiv w:val="1"/>
      <w:marLeft w:val="0"/>
      <w:marRight w:val="0"/>
      <w:marTop w:val="0"/>
      <w:marBottom w:val="0"/>
      <w:divBdr>
        <w:top w:val="none" w:sz="0" w:space="0" w:color="auto"/>
        <w:left w:val="none" w:sz="0" w:space="0" w:color="auto"/>
        <w:bottom w:val="none" w:sz="0" w:space="0" w:color="auto"/>
        <w:right w:val="none" w:sz="0" w:space="0" w:color="auto"/>
      </w:divBdr>
    </w:div>
    <w:div w:id="1774283400">
      <w:bodyDiv w:val="1"/>
      <w:marLeft w:val="0"/>
      <w:marRight w:val="0"/>
      <w:marTop w:val="0"/>
      <w:marBottom w:val="0"/>
      <w:divBdr>
        <w:top w:val="none" w:sz="0" w:space="0" w:color="auto"/>
        <w:left w:val="none" w:sz="0" w:space="0" w:color="auto"/>
        <w:bottom w:val="none" w:sz="0" w:space="0" w:color="auto"/>
        <w:right w:val="none" w:sz="0" w:space="0" w:color="auto"/>
      </w:divBdr>
    </w:div>
    <w:div w:id="1774401053">
      <w:bodyDiv w:val="1"/>
      <w:marLeft w:val="0"/>
      <w:marRight w:val="0"/>
      <w:marTop w:val="0"/>
      <w:marBottom w:val="0"/>
      <w:divBdr>
        <w:top w:val="none" w:sz="0" w:space="0" w:color="auto"/>
        <w:left w:val="none" w:sz="0" w:space="0" w:color="auto"/>
        <w:bottom w:val="none" w:sz="0" w:space="0" w:color="auto"/>
        <w:right w:val="none" w:sz="0" w:space="0" w:color="auto"/>
      </w:divBdr>
    </w:div>
    <w:div w:id="1774593600">
      <w:bodyDiv w:val="1"/>
      <w:marLeft w:val="0"/>
      <w:marRight w:val="0"/>
      <w:marTop w:val="0"/>
      <w:marBottom w:val="0"/>
      <w:divBdr>
        <w:top w:val="none" w:sz="0" w:space="0" w:color="auto"/>
        <w:left w:val="none" w:sz="0" w:space="0" w:color="auto"/>
        <w:bottom w:val="none" w:sz="0" w:space="0" w:color="auto"/>
        <w:right w:val="none" w:sz="0" w:space="0" w:color="auto"/>
      </w:divBdr>
    </w:div>
    <w:div w:id="1774863006">
      <w:bodyDiv w:val="1"/>
      <w:marLeft w:val="0"/>
      <w:marRight w:val="0"/>
      <w:marTop w:val="0"/>
      <w:marBottom w:val="0"/>
      <w:divBdr>
        <w:top w:val="none" w:sz="0" w:space="0" w:color="auto"/>
        <w:left w:val="none" w:sz="0" w:space="0" w:color="auto"/>
        <w:bottom w:val="none" w:sz="0" w:space="0" w:color="auto"/>
        <w:right w:val="none" w:sz="0" w:space="0" w:color="auto"/>
      </w:divBdr>
    </w:div>
    <w:div w:id="1775050001">
      <w:bodyDiv w:val="1"/>
      <w:marLeft w:val="0"/>
      <w:marRight w:val="0"/>
      <w:marTop w:val="0"/>
      <w:marBottom w:val="0"/>
      <w:divBdr>
        <w:top w:val="none" w:sz="0" w:space="0" w:color="auto"/>
        <w:left w:val="none" w:sz="0" w:space="0" w:color="auto"/>
        <w:bottom w:val="none" w:sz="0" w:space="0" w:color="auto"/>
        <w:right w:val="none" w:sz="0" w:space="0" w:color="auto"/>
      </w:divBdr>
    </w:div>
    <w:div w:id="1775395952">
      <w:bodyDiv w:val="1"/>
      <w:marLeft w:val="0"/>
      <w:marRight w:val="0"/>
      <w:marTop w:val="0"/>
      <w:marBottom w:val="0"/>
      <w:divBdr>
        <w:top w:val="none" w:sz="0" w:space="0" w:color="auto"/>
        <w:left w:val="none" w:sz="0" w:space="0" w:color="auto"/>
        <w:bottom w:val="none" w:sz="0" w:space="0" w:color="auto"/>
        <w:right w:val="none" w:sz="0" w:space="0" w:color="auto"/>
      </w:divBdr>
    </w:div>
    <w:div w:id="1775440017">
      <w:bodyDiv w:val="1"/>
      <w:marLeft w:val="0"/>
      <w:marRight w:val="0"/>
      <w:marTop w:val="0"/>
      <w:marBottom w:val="0"/>
      <w:divBdr>
        <w:top w:val="none" w:sz="0" w:space="0" w:color="auto"/>
        <w:left w:val="none" w:sz="0" w:space="0" w:color="auto"/>
        <w:bottom w:val="none" w:sz="0" w:space="0" w:color="auto"/>
        <w:right w:val="none" w:sz="0" w:space="0" w:color="auto"/>
      </w:divBdr>
    </w:div>
    <w:div w:id="1775441828">
      <w:bodyDiv w:val="1"/>
      <w:marLeft w:val="0"/>
      <w:marRight w:val="0"/>
      <w:marTop w:val="0"/>
      <w:marBottom w:val="0"/>
      <w:divBdr>
        <w:top w:val="none" w:sz="0" w:space="0" w:color="auto"/>
        <w:left w:val="none" w:sz="0" w:space="0" w:color="auto"/>
        <w:bottom w:val="none" w:sz="0" w:space="0" w:color="auto"/>
        <w:right w:val="none" w:sz="0" w:space="0" w:color="auto"/>
      </w:divBdr>
    </w:div>
    <w:div w:id="1775856573">
      <w:bodyDiv w:val="1"/>
      <w:marLeft w:val="0"/>
      <w:marRight w:val="0"/>
      <w:marTop w:val="0"/>
      <w:marBottom w:val="0"/>
      <w:divBdr>
        <w:top w:val="none" w:sz="0" w:space="0" w:color="auto"/>
        <w:left w:val="none" w:sz="0" w:space="0" w:color="auto"/>
        <w:bottom w:val="none" w:sz="0" w:space="0" w:color="auto"/>
        <w:right w:val="none" w:sz="0" w:space="0" w:color="auto"/>
      </w:divBdr>
    </w:div>
    <w:div w:id="1775975648">
      <w:bodyDiv w:val="1"/>
      <w:marLeft w:val="0"/>
      <w:marRight w:val="0"/>
      <w:marTop w:val="0"/>
      <w:marBottom w:val="0"/>
      <w:divBdr>
        <w:top w:val="none" w:sz="0" w:space="0" w:color="auto"/>
        <w:left w:val="none" w:sz="0" w:space="0" w:color="auto"/>
        <w:bottom w:val="none" w:sz="0" w:space="0" w:color="auto"/>
        <w:right w:val="none" w:sz="0" w:space="0" w:color="auto"/>
      </w:divBdr>
    </w:div>
    <w:div w:id="1775981071">
      <w:bodyDiv w:val="1"/>
      <w:marLeft w:val="0"/>
      <w:marRight w:val="0"/>
      <w:marTop w:val="0"/>
      <w:marBottom w:val="0"/>
      <w:divBdr>
        <w:top w:val="none" w:sz="0" w:space="0" w:color="auto"/>
        <w:left w:val="none" w:sz="0" w:space="0" w:color="auto"/>
        <w:bottom w:val="none" w:sz="0" w:space="0" w:color="auto"/>
        <w:right w:val="none" w:sz="0" w:space="0" w:color="auto"/>
      </w:divBdr>
    </w:div>
    <w:div w:id="1776092986">
      <w:bodyDiv w:val="1"/>
      <w:marLeft w:val="0"/>
      <w:marRight w:val="0"/>
      <w:marTop w:val="0"/>
      <w:marBottom w:val="0"/>
      <w:divBdr>
        <w:top w:val="none" w:sz="0" w:space="0" w:color="auto"/>
        <w:left w:val="none" w:sz="0" w:space="0" w:color="auto"/>
        <w:bottom w:val="none" w:sz="0" w:space="0" w:color="auto"/>
        <w:right w:val="none" w:sz="0" w:space="0" w:color="auto"/>
      </w:divBdr>
    </w:div>
    <w:div w:id="1776443951">
      <w:bodyDiv w:val="1"/>
      <w:marLeft w:val="0"/>
      <w:marRight w:val="0"/>
      <w:marTop w:val="0"/>
      <w:marBottom w:val="0"/>
      <w:divBdr>
        <w:top w:val="none" w:sz="0" w:space="0" w:color="auto"/>
        <w:left w:val="none" w:sz="0" w:space="0" w:color="auto"/>
        <w:bottom w:val="none" w:sz="0" w:space="0" w:color="auto"/>
        <w:right w:val="none" w:sz="0" w:space="0" w:color="auto"/>
      </w:divBdr>
    </w:div>
    <w:div w:id="1776514838">
      <w:bodyDiv w:val="1"/>
      <w:marLeft w:val="0"/>
      <w:marRight w:val="0"/>
      <w:marTop w:val="0"/>
      <w:marBottom w:val="0"/>
      <w:divBdr>
        <w:top w:val="none" w:sz="0" w:space="0" w:color="auto"/>
        <w:left w:val="none" w:sz="0" w:space="0" w:color="auto"/>
        <w:bottom w:val="none" w:sz="0" w:space="0" w:color="auto"/>
        <w:right w:val="none" w:sz="0" w:space="0" w:color="auto"/>
      </w:divBdr>
    </w:div>
    <w:div w:id="1776633971">
      <w:bodyDiv w:val="1"/>
      <w:marLeft w:val="0"/>
      <w:marRight w:val="0"/>
      <w:marTop w:val="0"/>
      <w:marBottom w:val="0"/>
      <w:divBdr>
        <w:top w:val="none" w:sz="0" w:space="0" w:color="auto"/>
        <w:left w:val="none" w:sz="0" w:space="0" w:color="auto"/>
        <w:bottom w:val="none" w:sz="0" w:space="0" w:color="auto"/>
        <w:right w:val="none" w:sz="0" w:space="0" w:color="auto"/>
      </w:divBdr>
    </w:div>
    <w:div w:id="1776943588">
      <w:bodyDiv w:val="1"/>
      <w:marLeft w:val="0"/>
      <w:marRight w:val="0"/>
      <w:marTop w:val="0"/>
      <w:marBottom w:val="0"/>
      <w:divBdr>
        <w:top w:val="none" w:sz="0" w:space="0" w:color="auto"/>
        <w:left w:val="none" w:sz="0" w:space="0" w:color="auto"/>
        <w:bottom w:val="none" w:sz="0" w:space="0" w:color="auto"/>
        <w:right w:val="none" w:sz="0" w:space="0" w:color="auto"/>
      </w:divBdr>
    </w:div>
    <w:div w:id="1777096188">
      <w:bodyDiv w:val="1"/>
      <w:marLeft w:val="0"/>
      <w:marRight w:val="0"/>
      <w:marTop w:val="0"/>
      <w:marBottom w:val="0"/>
      <w:divBdr>
        <w:top w:val="none" w:sz="0" w:space="0" w:color="auto"/>
        <w:left w:val="none" w:sz="0" w:space="0" w:color="auto"/>
        <w:bottom w:val="none" w:sz="0" w:space="0" w:color="auto"/>
        <w:right w:val="none" w:sz="0" w:space="0" w:color="auto"/>
      </w:divBdr>
    </w:div>
    <w:div w:id="1777292878">
      <w:bodyDiv w:val="1"/>
      <w:marLeft w:val="0"/>
      <w:marRight w:val="0"/>
      <w:marTop w:val="0"/>
      <w:marBottom w:val="0"/>
      <w:divBdr>
        <w:top w:val="none" w:sz="0" w:space="0" w:color="auto"/>
        <w:left w:val="none" w:sz="0" w:space="0" w:color="auto"/>
        <w:bottom w:val="none" w:sz="0" w:space="0" w:color="auto"/>
        <w:right w:val="none" w:sz="0" w:space="0" w:color="auto"/>
      </w:divBdr>
    </w:div>
    <w:div w:id="1777358978">
      <w:bodyDiv w:val="1"/>
      <w:marLeft w:val="0"/>
      <w:marRight w:val="0"/>
      <w:marTop w:val="0"/>
      <w:marBottom w:val="0"/>
      <w:divBdr>
        <w:top w:val="none" w:sz="0" w:space="0" w:color="auto"/>
        <w:left w:val="none" w:sz="0" w:space="0" w:color="auto"/>
        <w:bottom w:val="none" w:sz="0" w:space="0" w:color="auto"/>
        <w:right w:val="none" w:sz="0" w:space="0" w:color="auto"/>
      </w:divBdr>
    </w:div>
    <w:div w:id="1777405433">
      <w:bodyDiv w:val="1"/>
      <w:marLeft w:val="0"/>
      <w:marRight w:val="0"/>
      <w:marTop w:val="0"/>
      <w:marBottom w:val="0"/>
      <w:divBdr>
        <w:top w:val="none" w:sz="0" w:space="0" w:color="auto"/>
        <w:left w:val="none" w:sz="0" w:space="0" w:color="auto"/>
        <w:bottom w:val="none" w:sz="0" w:space="0" w:color="auto"/>
        <w:right w:val="none" w:sz="0" w:space="0" w:color="auto"/>
      </w:divBdr>
    </w:div>
    <w:div w:id="1777868865">
      <w:bodyDiv w:val="1"/>
      <w:marLeft w:val="0"/>
      <w:marRight w:val="0"/>
      <w:marTop w:val="0"/>
      <w:marBottom w:val="0"/>
      <w:divBdr>
        <w:top w:val="none" w:sz="0" w:space="0" w:color="auto"/>
        <w:left w:val="none" w:sz="0" w:space="0" w:color="auto"/>
        <w:bottom w:val="none" w:sz="0" w:space="0" w:color="auto"/>
        <w:right w:val="none" w:sz="0" w:space="0" w:color="auto"/>
      </w:divBdr>
    </w:div>
    <w:div w:id="1778141559">
      <w:bodyDiv w:val="1"/>
      <w:marLeft w:val="0"/>
      <w:marRight w:val="0"/>
      <w:marTop w:val="0"/>
      <w:marBottom w:val="0"/>
      <w:divBdr>
        <w:top w:val="none" w:sz="0" w:space="0" w:color="auto"/>
        <w:left w:val="none" w:sz="0" w:space="0" w:color="auto"/>
        <w:bottom w:val="none" w:sz="0" w:space="0" w:color="auto"/>
        <w:right w:val="none" w:sz="0" w:space="0" w:color="auto"/>
      </w:divBdr>
    </w:div>
    <w:div w:id="1778213825">
      <w:bodyDiv w:val="1"/>
      <w:marLeft w:val="0"/>
      <w:marRight w:val="0"/>
      <w:marTop w:val="0"/>
      <w:marBottom w:val="0"/>
      <w:divBdr>
        <w:top w:val="none" w:sz="0" w:space="0" w:color="auto"/>
        <w:left w:val="none" w:sz="0" w:space="0" w:color="auto"/>
        <w:bottom w:val="none" w:sz="0" w:space="0" w:color="auto"/>
        <w:right w:val="none" w:sz="0" w:space="0" w:color="auto"/>
      </w:divBdr>
    </w:div>
    <w:div w:id="1778794594">
      <w:bodyDiv w:val="1"/>
      <w:marLeft w:val="0"/>
      <w:marRight w:val="0"/>
      <w:marTop w:val="0"/>
      <w:marBottom w:val="0"/>
      <w:divBdr>
        <w:top w:val="none" w:sz="0" w:space="0" w:color="auto"/>
        <w:left w:val="none" w:sz="0" w:space="0" w:color="auto"/>
        <w:bottom w:val="none" w:sz="0" w:space="0" w:color="auto"/>
        <w:right w:val="none" w:sz="0" w:space="0" w:color="auto"/>
      </w:divBdr>
    </w:div>
    <w:div w:id="1778869220">
      <w:bodyDiv w:val="1"/>
      <w:marLeft w:val="0"/>
      <w:marRight w:val="0"/>
      <w:marTop w:val="0"/>
      <w:marBottom w:val="0"/>
      <w:divBdr>
        <w:top w:val="none" w:sz="0" w:space="0" w:color="auto"/>
        <w:left w:val="none" w:sz="0" w:space="0" w:color="auto"/>
        <w:bottom w:val="none" w:sz="0" w:space="0" w:color="auto"/>
        <w:right w:val="none" w:sz="0" w:space="0" w:color="auto"/>
      </w:divBdr>
    </w:div>
    <w:div w:id="1779329243">
      <w:bodyDiv w:val="1"/>
      <w:marLeft w:val="0"/>
      <w:marRight w:val="0"/>
      <w:marTop w:val="0"/>
      <w:marBottom w:val="0"/>
      <w:divBdr>
        <w:top w:val="none" w:sz="0" w:space="0" w:color="auto"/>
        <w:left w:val="none" w:sz="0" w:space="0" w:color="auto"/>
        <w:bottom w:val="none" w:sz="0" w:space="0" w:color="auto"/>
        <w:right w:val="none" w:sz="0" w:space="0" w:color="auto"/>
      </w:divBdr>
    </w:div>
    <w:div w:id="1779376733">
      <w:bodyDiv w:val="1"/>
      <w:marLeft w:val="0"/>
      <w:marRight w:val="0"/>
      <w:marTop w:val="0"/>
      <w:marBottom w:val="0"/>
      <w:divBdr>
        <w:top w:val="none" w:sz="0" w:space="0" w:color="auto"/>
        <w:left w:val="none" w:sz="0" w:space="0" w:color="auto"/>
        <w:bottom w:val="none" w:sz="0" w:space="0" w:color="auto"/>
        <w:right w:val="none" w:sz="0" w:space="0" w:color="auto"/>
      </w:divBdr>
    </w:div>
    <w:div w:id="1779442555">
      <w:bodyDiv w:val="1"/>
      <w:marLeft w:val="0"/>
      <w:marRight w:val="0"/>
      <w:marTop w:val="0"/>
      <w:marBottom w:val="0"/>
      <w:divBdr>
        <w:top w:val="none" w:sz="0" w:space="0" w:color="auto"/>
        <w:left w:val="none" w:sz="0" w:space="0" w:color="auto"/>
        <w:bottom w:val="none" w:sz="0" w:space="0" w:color="auto"/>
        <w:right w:val="none" w:sz="0" w:space="0" w:color="auto"/>
      </w:divBdr>
    </w:div>
    <w:div w:id="1779448924">
      <w:bodyDiv w:val="1"/>
      <w:marLeft w:val="0"/>
      <w:marRight w:val="0"/>
      <w:marTop w:val="0"/>
      <w:marBottom w:val="0"/>
      <w:divBdr>
        <w:top w:val="none" w:sz="0" w:space="0" w:color="auto"/>
        <w:left w:val="none" w:sz="0" w:space="0" w:color="auto"/>
        <w:bottom w:val="none" w:sz="0" w:space="0" w:color="auto"/>
        <w:right w:val="none" w:sz="0" w:space="0" w:color="auto"/>
      </w:divBdr>
    </w:div>
    <w:div w:id="1779638359">
      <w:bodyDiv w:val="1"/>
      <w:marLeft w:val="0"/>
      <w:marRight w:val="0"/>
      <w:marTop w:val="0"/>
      <w:marBottom w:val="0"/>
      <w:divBdr>
        <w:top w:val="none" w:sz="0" w:space="0" w:color="auto"/>
        <w:left w:val="none" w:sz="0" w:space="0" w:color="auto"/>
        <w:bottom w:val="none" w:sz="0" w:space="0" w:color="auto"/>
        <w:right w:val="none" w:sz="0" w:space="0" w:color="auto"/>
      </w:divBdr>
    </w:div>
    <w:div w:id="1779715011">
      <w:bodyDiv w:val="1"/>
      <w:marLeft w:val="0"/>
      <w:marRight w:val="0"/>
      <w:marTop w:val="0"/>
      <w:marBottom w:val="0"/>
      <w:divBdr>
        <w:top w:val="none" w:sz="0" w:space="0" w:color="auto"/>
        <w:left w:val="none" w:sz="0" w:space="0" w:color="auto"/>
        <w:bottom w:val="none" w:sz="0" w:space="0" w:color="auto"/>
        <w:right w:val="none" w:sz="0" w:space="0" w:color="auto"/>
      </w:divBdr>
    </w:div>
    <w:div w:id="1780296876">
      <w:bodyDiv w:val="1"/>
      <w:marLeft w:val="0"/>
      <w:marRight w:val="0"/>
      <w:marTop w:val="0"/>
      <w:marBottom w:val="0"/>
      <w:divBdr>
        <w:top w:val="none" w:sz="0" w:space="0" w:color="auto"/>
        <w:left w:val="none" w:sz="0" w:space="0" w:color="auto"/>
        <w:bottom w:val="none" w:sz="0" w:space="0" w:color="auto"/>
        <w:right w:val="none" w:sz="0" w:space="0" w:color="auto"/>
      </w:divBdr>
    </w:div>
    <w:div w:id="1780372761">
      <w:bodyDiv w:val="1"/>
      <w:marLeft w:val="0"/>
      <w:marRight w:val="0"/>
      <w:marTop w:val="0"/>
      <w:marBottom w:val="0"/>
      <w:divBdr>
        <w:top w:val="none" w:sz="0" w:space="0" w:color="auto"/>
        <w:left w:val="none" w:sz="0" w:space="0" w:color="auto"/>
        <w:bottom w:val="none" w:sz="0" w:space="0" w:color="auto"/>
        <w:right w:val="none" w:sz="0" w:space="0" w:color="auto"/>
      </w:divBdr>
    </w:div>
    <w:div w:id="1780374258">
      <w:bodyDiv w:val="1"/>
      <w:marLeft w:val="0"/>
      <w:marRight w:val="0"/>
      <w:marTop w:val="0"/>
      <w:marBottom w:val="0"/>
      <w:divBdr>
        <w:top w:val="none" w:sz="0" w:space="0" w:color="auto"/>
        <w:left w:val="none" w:sz="0" w:space="0" w:color="auto"/>
        <w:bottom w:val="none" w:sz="0" w:space="0" w:color="auto"/>
        <w:right w:val="none" w:sz="0" w:space="0" w:color="auto"/>
      </w:divBdr>
    </w:div>
    <w:div w:id="1780563993">
      <w:bodyDiv w:val="1"/>
      <w:marLeft w:val="0"/>
      <w:marRight w:val="0"/>
      <w:marTop w:val="0"/>
      <w:marBottom w:val="0"/>
      <w:divBdr>
        <w:top w:val="none" w:sz="0" w:space="0" w:color="auto"/>
        <w:left w:val="none" w:sz="0" w:space="0" w:color="auto"/>
        <w:bottom w:val="none" w:sz="0" w:space="0" w:color="auto"/>
        <w:right w:val="none" w:sz="0" w:space="0" w:color="auto"/>
      </w:divBdr>
    </w:div>
    <w:div w:id="1781366550">
      <w:bodyDiv w:val="1"/>
      <w:marLeft w:val="0"/>
      <w:marRight w:val="0"/>
      <w:marTop w:val="0"/>
      <w:marBottom w:val="0"/>
      <w:divBdr>
        <w:top w:val="none" w:sz="0" w:space="0" w:color="auto"/>
        <w:left w:val="none" w:sz="0" w:space="0" w:color="auto"/>
        <w:bottom w:val="none" w:sz="0" w:space="0" w:color="auto"/>
        <w:right w:val="none" w:sz="0" w:space="0" w:color="auto"/>
      </w:divBdr>
    </w:div>
    <w:div w:id="1781562638">
      <w:bodyDiv w:val="1"/>
      <w:marLeft w:val="0"/>
      <w:marRight w:val="0"/>
      <w:marTop w:val="0"/>
      <w:marBottom w:val="0"/>
      <w:divBdr>
        <w:top w:val="none" w:sz="0" w:space="0" w:color="auto"/>
        <w:left w:val="none" w:sz="0" w:space="0" w:color="auto"/>
        <w:bottom w:val="none" w:sz="0" w:space="0" w:color="auto"/>
        <w:right w:val="none" w:sz="0" w:space="0" w:color="auto"/>
      </w:divBdr>
    </w:div>
    <w:div w:id="1781803471">
      <w:bodyDiv w:val="1"/>
      <w:marLeft w:val="0"/>
      <w:marRight w:val="0"/>
      <w:marTop w:val="0"/>
      <w:marBottom w:val="0"/>
      <w:divBdr>
        <w:top w:val="none" w:sz="0" w:space="0" w:color="auto"/>
        <w:left w:val="none" w:sz="0" w:space="0" w:color="auto"/>
        <w:bottom w:val="none" w:sz="0" w:space="0" w:color="auto"/>
        <w:right w:val="none" w:sz="0" w:space="0" w:color="auto"/>
      </w:divBdr>
    </w:div>
    <w:div w:id="1781878595">
      <w:bodyDiv w:val="1"/>
      <w:marLeft w:val="0"/>
      <w:marRight w:val="0"/>
      <w:marTop w:val="0"/>
      <w:marBottom w:val="0"/>
      <w:divBdr>
        <w:top w:val="none" w:sz="0" w:space="0" w:color="auto"/>
        <w:left w:val="none" w:sz="0" w:space="0" w:color="auto"/>
        <w:bottom w:val="none" w:sz="0" w:space="0" w:color="auto"/>
        <w:right w:val="none" w:sz="0" w:space="0" w:color="auto"/>
      </w:divBdr>
    </w:div>
    <w:div w:id="1782218068">
      <w:bodyDiv w:val="1"/>
      <w:marLeft w:val="0"/>
      <w:marRight w:val="0"/>
      <w:marTop w:val="0"/>
      <w:marBottom w:val="0"/>
      <w:divBdr>
        <w:top w:val="none" w:sz="0" w:space="0" w:color="auto"/>
        <w:left w:val="none" w:sz="0" w:space="0" w:color="auto"/>
        <w:bottom w:val="none" w:sz="0" w:space="0" w:color="auto"/>
        <w:right w:val="none" w:sz="0" w:space="0" w:color="auto"/>
      </w:divBdr>
    </w:div>
    <w:div w:id="1782335382">
      <w:bodyDiv w:val="1"/>
      <w:marLeft w:val="0"/>
      <w:marRight w:val="0"/>
      <w:marTop w:val="0"/>
      <w:marBottom w:val="0"/>
      <w:divBdr>
        <w:top w:val="none" w:sz="0" w:space="0" w:color="auto"/>
        <w:left w:val="none" w:sz="0" w:space="0" w:color="auto"/>
        <w:bottom w:val="none" w:sz="0" w:space="0" w:color="auto"/>
        <w:right w:val="none" w:sz="0" w:space="0" w:color="auto"/>
      </w:divBdr>
    </w:div>
    <w:div w:id="1782721924">
      <w:bodyDiv w:val="1"/>
      <w:marLeft w:val="0"/>
      <w:marRight w:val="0"/>
      <w:marTop w:val="0"/>
      <w:marBottom w:val="0"/>
      <w:divBdr>
        <w:top w:val="none" w:sz="0" w:space="0" w:color="auto"/>
        <w:left w:val="none" w:sz="0" w:space="0" w:color="auto"/>
        <w:bottom w:val="none" w:sz="0" w:space="0" w:color="auto"/>
        <w:right w:val="none" w:sz="0" w:space="0" w:color="auto"/>
      </w:divBdr>
    </w:div>
    <w:div w:id="1782727370">
      <w:bodyDiv w:val="1"/>
      <w:marLeft w:val="0"/>
      <w:marRight w:val="0"/>
      <w:marTop w:val="0"/>
      <w:marBottom w:val="0"/>
      <w:divBdr>
        <w:top w:val="none" w:sz="0" w:space="0" w:color="auto"/>
        <w:left w:val="none" w:sz="0" w:space="0" w:color="auto"/>
        <w:bottom w:val="none" w:sz="0" w:space="0" w:color="auto"/>
        <w:right w:val="none" w:sz="0" w:space="0" w:color="auto"/>
      </w:divBdr>
    </w:div>
    <w:div w:id="1782915730">
      <w:bodyDiv w:val="1"/>
      <w:marLeft w:val="0"/>
      <w:marRight w:val="0"/>
      <w:marTop w:val="0"/>
      <w:marBottom w:val="0"/>
      <w:divBdr>
        <w:top w:val="none" w:sz="0" w:space="0" w:color="auto"/>
        <w:left w:val="none" w:sz="0" w:space="0" w:color="auto"/>
        <w:bottom w:val="none" w:sz="0" w:space="0" w:color="auto"/>
        <w:right w:val="none" w:sz="0" w:space="0" w:color="auto"/>
      </w:divBdr>
    </w:div>
    <w:div w:id="1782994257">
      <w:bodyDiv w:val="1"/>
      <w:marLeft w:val="0"/>
      <w:marRight w:val="0"/>
      <w:marTop w:val="0"/>
      <w:marBottom w:val="0"/>
      <w:divBdr>
        <w:top w:val="none" w:sz="0" w:space="0" w:color="auto"/>
        <w:left w:val="none" w:sz="0" w:space="0" w:color="auto"/>
        <w:bottom w:val="none" w:sz="0" w:space="0" w:color="auto"/>
        <w:right w:val="none" w:sz="0" w:space="0" w:color="auto"/>
      </w:divBdr>
    </w:div>
    <w:div w:id="1782994324">
      <w:bodyDiv w:val="1"/>
      <w:marLeft w:val="0"/>
      <w:marRight w:val="0"/>
      <w:marTop w:val="0"/>
      <w:marBottom w:val="0"/>
      <w:divBdr>
        <w:top w:val="none" w:sz="0" w:space="0" w:color="auto"/>
        <w:left w:val="none" w:sz="0" w:space="0" w:color="auto"/>
        <w:bottom w:val="none" w:sz="0" w:space="0" w:color="auto"/>
        <w:right w:val="none" w:sz="0" w:space="0" w:color="auto"/>
      </w:divBdr>
    </w:div>
    <w:div w:id="1783105558">
      <w:bodyDiv w:val="1"/>
      <w:marLeft w:val="0"/>
      <w:marRight w:val="0"/>
      <w:marTop w:val="0"/>
      <w:marBottom w:val="0"/>
      <w:divBdr>
        <w:top w:val="none" w:sz="0" w:space="0" w:color="auto"/>
        <w:left w:val="none" w:sz="0" w:space="0" w:color="auto"/>
        <w:bottom w:val="none" w:sz="0" w:space="0" w:color="auto"/>
        <w:right w:val="none" w:sz="0" w:space="0" w:color="auto"/>
      </w:divBdr>
    </w:div>
    <w:div w:id="1783109431">
      <w:bodyDiv w:val="1"/>
      <w:marLeft w:val="0"/>
      <w:marRight w:val="0"/>
      <w:marTop w:val="0"/>
      <w:marBottom w:val="0"/>
      <w:divBdr>
        <w:top w:val="none" w:sz="0" w:space="0" w:color="auto"/>
        <w:left w:val="none" w:sz="0" w:space="0" w:color="auto"/>
        <w:bottom w:val="none" w:sz="0" w:space="0" w:color="auto"/>
        <w:right w:val="none" w:sz="0" w:space="0" w:color="auto"/>
      </w:divBdr>
    </w:div>
    <w:div w:id="1783187610">
      <w:bodyDiv w:val="1"/>
      <w:marLeft w:val="0"/>
      <w:marRight w:val="0"/>
      <w:marTop w:val="0"/>
      <w:marBottom w:val="0"/>
      <w:divBdr>
        <w:top w:val="none" w:sz="0" w:space="0" w:color="auto"/>
        <w:left w:val="none" w:sz="0" w:space="0" w:color="auto"/>
        <w:bottom w:val="none" w:sz="0" w:space="0" w:color="auto"/>
        <w:right w:val="none" w:sz="0" w:space="0" w:color="auto"/>
      </w:divBdr>
    </w:div>
    <w:div w:id="1783498264">
      <w:bodyDiv w:val="1"/>
      <w:marLeft w:val="0"/>
      <w:marRight w:val="0"/>
      <w:marTop w:val="0"/>
      <w:marBottom w:val="0"/>
      <w:divBdr>
        <w:top w:val="none" w:sz="0" w:space="0" w:color="auto"/>
        <w:left w:val="none" w:sz="0" w:space="0" w:color="auto"/>
        <w:bottom w:val="none" w:sz="0" w:space="0" w:color="auto"/>
        <w:right w:val="none" w:sz="0" w:space="0" w:color="auto"/>
      </w:divBdr>
    </w:div>
    <w:div w:id="1783525260">
      <w:bodyDiv w:val="1"/>
      <w:marLeft w:val="0"/>
      <w:marRight w:val="0"/>
      <w:marTop w:val="0"/>
      <w:marBottom w:val="0"/>
      <w:divBdr>
        <w:top w:val="none" w:sz="0" w:space="0" w:color="auto"/>
        <w:left w:val="none" w:sz="0" w:space="0" w:color="auto"/>
        <w:bottom w:val="none" w:sz="0" w:space="0" w:color="auto"/>
        <w:right w:val="none" w:sz="0" w:space="0" w:color="auto"/>
      </w:divBdr>
    </w:div>
    <w:div w:id="1783912735">
      <w:bodyDiv w:val="1"/>
      <w:marLeft w:val="0"/>
      <w:marRight w:val="0"/>
      <w:marTop w:val="0"/>
      <w:marBottom w:val="0"/>
      <w:divBdr>
        <w:top w:val="none" w:sz="0" w:space="0" w:color="auto"/>
        <w:left w:val="none" w:sz="0" w:space="0" w:color="auto"/>
        <w:bottom w:val="none" w:sz="0" w:space="0" w:color="auto"/>
        <w:right w:val="none" w:sz="0" w:space="0" w:color="auto"/>
      </w:divBdr>
    </w:div>
    <w:div w:id="1784153638">
      <w:bodyDiv w:val="1"/>
      <w:marLeft w:val="0"/>
      <w:marRight w:val="0"/>
      <w:marTop w:val="0"/>
      <w:marBottom w:val="0"/>
      <w:divBdr>
        <w:top w:val="none" w:sz="0" w:space="0" w:color="auto"/>
        <w:left w:val="none" w:sz="0" w:space="0" w:color="auto"/>
        <w:bottom w:val="none" w:sz="0" w:space="0" w:color="auto"/>
        <w:right w:val="none" w:sz="0" w:space="0" w:color="auto"/>
      </w:divBdr>
    </w:div>
    <w:div w:id="1784307506">
      <w:bodyDiv w:val="1"/>
      <w:marLeft w:val="0"/>
      <w:marRight w:val="0"/>
      <w:marTop w:val="0"/>
      <w:marBottom w:val="0"/>
      <w:divBdr>
        <w:top w:val="none" w:sz="0" w:space="0" w:color="auto"/>
        <w:left w:val="none" w:sz="0" w:space="0" w:color="auto"/>
        <w:bottom w:val="none" w:sz="0" w:space="0" w:color="auto"/>
        <w:right w:val="none" w:sz="0" w:space="0" w:color="auto"/>
      </w:divBdr>
    </w:div>
    <w:div w:id="1784879723">
      <w:bodyDiv w:val="1"/>
      <w:marLeft w:val="0"/>
      <w:marRight w:val="0"/>
      <w:marTop w:val="0"/>
      <w:marBottom w:val="0"/>
      <w:divBdr>
        <w:top w:val="none" w:sz="0" w:space="0" w:color="auto"/>
        <w:left w:val="none" w:sz="0" w:space="0" w:color="auto"/>
        <w:bottom w:val="none" w:sz="0" w:space="0" w:color="auto"/>
        <w:right w:val="none" w:sz="0" w:space="0" w:color="auto"/>
      </w:divBdr>
    </w:div>
    <w:div w:id="1785153722">
      <w:bodyDiv w:val="1"/>
      <w:marLeft w:val="0"/>
      <w:marRight w:val="0"/>
      <w:marTop w:val="0"/>
      <w:marBottom w:val="0"/>
      <w:divBdr>
        <w:top w:val="none" w:sz="0" w:space="0" w:color="auto"/>
        <w:left w:val="none" w:sz="0" w:space="0" w:color="auto"/>
        <w:bottom w:val="none" w:sz="0" w:space="0" w:color="auto"/>
        <w:right w:val="none" w:sz="0" w:space="0" w:color="auto"/>
      </w:divBdr>
    </w:div>
    <w:div w:id="1785422344">
      <w:bodyDiv w:val="1"/>
      <w:marLeft w:val="0"/>
      <w:marRight w:val="0"/>
      <w:marTop w:val="0"/>
      <w:marBottom w:val="0"/>
      <w:divBdr>
        <w:top w:val="none" w:sz="0" w:space="0" w:color="auto"/>
        <w:left w:val="none" w:sz="0" w:space="0" w:color="auto"/>
        <w:bottom w:val="none" w:sz="0" w:space="0" w:color="auto"/>
        <w:right w:val="none" w:sz="0" w:space="0" w:color="auto"/>
      </w:divBdr>
    </w:div>
    <w:div w:id="1785466246">
      <w:bodyDiv w:val="1"/>
      <w:marLeft w:val="0"/>
      <w:marRight w:val="0"/>
      <w:marTop w:val="0"/>
      <w:marBottom w:val="0"/>
      <w:divBdr>
        <w:top w:val="none" w:sz="0" w:space="0" w:color="auto"/>
        <w:left w:val="none" w:sz="0" w:space="0" w:color="auto"/>
        <w:bottom w:val="none" w:sz="0" w:space="0" w:color="auto"/>
        <w:right w:val="none" w:sz="0" w:space="0" w:color="auto"/>
      </w:divBdr>
    </w:div>
    <w:div w:id="1785615967">
      <w:bodyDiv w:val="1"/>
      <w:marLeft w:val="0"/>
      <w:marRight w:val="0"/>
      <w:marTop w:val="0"/>
      <w:marBottom w:val="0"/>
      <w:divBdr>
        <w:top w:val="none" w:sz="0" w:space="0" w:color="auto"/>
        <w:left w:val="none" w:sz="0" w:space="0" w:color="auto"/>
        <w:bottom w:val="none" w:sz="0" w:space="0" w:color="auto"/>
        <w:right w:val="none" w:sz="0" w:space="0" w:color="auto"/>
      </w:divBdr>
    </w:div>
    <w:div w:id="1785687952">
      <w:bodyDiv w:val="1"/>
      <w:marLeft w:val="0"/>
      <w:marRight w:val="0"/>
      <w:marTop w:val="0"/>
      <w:marBottom w:val="0"/>
      <w:divBdr>
        <w:top w:val="none" w:sz="0" w:space="0" w:color="auto"/>
        <w:left w:val="none" w:sz="0" w:space="0" w:color="auto"/>
        <w:bottom w:val="none" w:sz="0" w:space="0" w:color="auto"/>
        <w:right w:val="none" w:sz="0" w:space="0" w:color="auto"/>
      </w:divBdr>
    </w:div>
    <w:div w:id="1785733488">
      <w:bodyDiv w:val="1"/>
      <w:marLeft w:val="0"/>
      <w:marRight w:val="0"/>
      <w:marTop w:val="0"/>
      <w:marBottom w:val="0"/>
      <w:divBdr>
        <w:top w:val="none" w:sz="0" w:space="0" w:color="auto"/>
        <w:left w:val="none" w:sz="0" w:space="0" w:color="auto"/>
        <w:bottom w:val="none" w:sz="0" w:space="0" w:color="auto"/>
        <w:right w:val="none" w:sz="0" w:space="0" w:color="auto"/>
      </w:divBdr>
    </w:div>
    <w:div w:id="1785886095">
      <w:bodyDiv w:val="1"/>
      <w:marLeft w:val="0"/>
      <w:marRight w:val="0"/>
      <w:marTop w:val="0"/>
      <w:marBottom w:val="0"/>
      <w:divBdr>
        <w:top w:val="none" w:sz="0" w:space="0" w:color="auto"/>
        <w:left w:val="none" w:sz="0" w:space="0" w:color="auto"/>
        <w:bottom w:val="none" w:sz="0" w:space="0" w:color="auto"/>
        <w:right w:val="none" w:sz="0" w:space="0" w:color="auto"/>
      </w:divBdr>
    </w:div>
    <w:div w:id="1786579236">
      <w:bodyDiv w:val="1"/>
      <w:marLeft w:val="0"/>
      <w:marRight w:val="0"/>
      <w:marTop w:val="0"/>
      <w:marBottom w:val="0"/>
      <w:divBdr>
        <w:top w:val="none" w:sz="0" w:space="0" w:color="auto"/>
        <w:left w:val="none" w:sz="0" w:space="0" w:color="auto"/>
        <w:bottom w:val="none" w:sz="0" w:space="0" w:color="auto"/>
        <w:right w:val="none" w:sz="0" w:space="0" w:color="auto"/>
      </w:divBdr>
    </w:div>
    <w:div w:id="1786653957">
      <w:bodyDiv w:val="1"/>
      <w:marLeft w:val="0"/>
      <w:marRight w:val="0"/>
      <w:marTop w:val="0"/>
      <w:marBottom w:val="0"/>
      <w:divBdr>
        <w:top w:val="none" w:sz="0" w:space="0" w:color="auto"/>
        <w:left w:val="none" w:sz="0" w:space="0" w:color="auto"/>
        <w:bottom w:val="none" w:sz="0" w:space="0" w:color="auto"/>
        <w:right w:val="none" w:sz="0" w:space="0" w:color="auto"/>
      </w:divBdr>
    </w:div>
    <w:div w:id="1786735308">
      <w:bodyDiv w:val="1"/>
      <w:marLeft w:val="0"/>
      <w:marRight w:val="0"/>
      <w:marTop w:val="0"/>
      <w:marBottom w:val="0"/>
      <w:divBdr>
        <w:top w:val="none" w:sz="0" w:space="0" w:color="auto"/>
        <w:left w:val="none" w:sz="0" w:space="0" w:color="auto"/>
        <w:bottom w:val="none" w:sz="0" w:space="0" w:color="auto"/>
        <w:right w:val="none" w:sz="0" w:space="0" w:color="auto"/>
      </w:divBdr>
    </w:div>
    <w:div w:id="1787113528">
      <w:bodyDiv w:val="1"/>
      <w:marLeft w:val="0"/>
      <w:marRight w:val="0"/>
      <w:marTop w:val="0"/>
      <w:marBottom w:val="0"/>
      <w:divBdr>
        <w:top w:val="none" w:sz="0" w:space="0" w:color="auto"/>
        <w:left w:val="none" w:sz="0" w:space="0" w:color="auto"/>
        <w:bottom w:val="none" w:sz="0" w:space="0" w:color="auto"/>
        <w:right w:val="none" w:sz="0" w:space="0" w:color="auto"/>
      </w:divBdr>
    </w:div>
    <w:div w:id="1787233895">
      <w:bodyDiv w:val="1"/>
      <w:marLeft w:val="0"/>
      <w:marRight w:val="0"/>
      <w:marTop w:val="0"/>
      <w:marBottom w:val="0"/>
      <w:divBdr>
        <w:top w:val="none" w:sz="0" w:space="0" w:color="auto"/>
        <w:left w:val="none" w:sz="0" w:space="0" w:color="auto"/>
        <w:bottom w:val="none" w:sz="0" w:space="0" w:color="auto"/>
        <w:right w:val="none" w:sz="0" w:space="0" w:color="auto"/>
      </w:divBdr>
    </w:div>
    <w:div w:id="1787460046">
      <w:bodyDiv w:val="1"/>
      <w:marLeft w:val="0"/>
      <w:marRight w:val="0"/>
      <w:marTop w:val="0"/>
      <w:marBottom w:val="0"/>
      <w:divBdr>
        <w:top w:val="none" w:sz="0" w:space="0" w:color="auto"/>
        <w:left w:val="none" w:sz="0" w:space="0" w:color="auto"/>
        <w:bottom w:val="none" w:sz="0" w:space="0" w:color="auto"/>
        <w:right w:val="none" w:sz="0" w:space="0" w:color="auto"/>
      </w:divBdr>
    </w:div>
    <w:div w:id="1787692957">
      <w:bodyDiv w:val="1"/>
      <w:marLeft w:val="0"/>
      <w:marRight w:val="0"/>
      <w:marTop w:val="0"/>
      <w:marBottom w:val="0"/>
      <w:divBdr>
        <w:top w:val="none" w:sz="0" w:space="0" w:color="auto"/>
        <w:left w:val="none" w:sz="0" w:space="0" w:color="auto"/>
        <w:bottom w:val="none" w:sz="0" w:space="0" w:color="auto"/>
        <w:right w:val="none" w:sz="0" w:space="0" w:color="auto"/>
      </w:divBdr>
    </w:div>
    <w:div w:id="1787697979">
      <w:bodyDiv w:val="1"/>
      <w:marLeft w:val="0"/>
      <w:marRight w:val="0"/>
      <w:marTop w:val="0"/>
      <w:marBottom w:val="0"/>
      <w:divBdr>
        <w:top w:val="none" w:sz="0" w:space="0" w:color="auto"/>
        <w:left w:val="none" w:sz="0" w:space="0" w:color="auto"/>
        <w:bottom w:val="none" w:sz="0" w:space="0" w:color="auto"/>
        <w:right w:val="none" w:sz="0" w:space="0" w:color="auto"/>
      </w:divBdr>
    </w:div>
    <w:div w:id="1787774678">
      <w:bodyDiv w:val="1"/>
      <w:marLeft w:val="0"/>
      <w:marRight w:val="0"/>
      <w:marTop w:val="0"/>
      <w:marBottom w:val="0"/>
      <w:divBdr>
        <w:top w:val="none" w:sz="0" w:space="0" w:color="auto"/>
        <w:left w:val="none" w:sz="0" w:space="0" w:color="auto"/>
        <w:bottom w:val="none" w:sz="0" w:space="0" w:color="auto"/>
        <w:right w:val="none" w:sz="0" w:space="0" w:color="auto"/>
      </w:divBdr>
    </w:div>
    <w:div w:id="1788041105">
      <w:bodyDiv w:val="1"/>
      <w:marLeft w:val="0"/>
      <w:marRight w:val="0"/>
      <w:marTop w:val="0"/>
      <w:marBottom w:val="0"/>
      <w:divBdr>
        <w:top w:val="none" w:sz="0" w:space="0" w:color="auto"/>
        <w:left w:val="none" w:sz="0" w:space="0" w:color="auto"/>
        <w:bottom w:val="none" w:sz="0" w:space="0" w:color="auto"/>
        <w:right w:val="none" w:sz="0" w:space="0" w:color="auto"/>
      </w:divBdr>
    </w:div>
    <w:div w:id="1788043885">
      <w:bodyDiv w:val="1"/>
      <w:marLeft w:val="0"/>
      <w:marRight w:val="0"/>
      <w:marTop w:val="0"/>
      <w:marBottom w:val="0"/>
      <w:divBdr>
        <w:top w:val="none" w:sz="0" w:space="0" w:color="auto"/>
        <w:left w:val="none" w:sz="0" w:space="0" w:color="auto"/>
        <w:bottom w:val="none" w:sz="0" w:space="0" w:color="auto"/>
        <w:right w:val="none" w:sz="0" w:space="0" w:color="auto"/>
      </w:divBdr>
    </w:div>
    <w:div w:id="1788238064">
      <w:bodyDiv w:val="1"/>
      <w:marLeft w:val="0"/>
      <w:marRight w:val="0"/>
      <w:marTop w:val="0"/>
      <w:marBottom w:val="0"/>
      <w:divBdr>
        <w:top w:val="none" w:sz="0" w:space="0" w:color="auto"/>
        <w:left w:val="none" w:sz="0" w:space="0" w:color="auto"/>
        <w:bottom w:val="none" w:sz="0" w:space="0" w:color="auto"/>
        <w:right w:val="none" w:sz="0" w:space="0" w:color="auto"/>
      </w:divBdr>
    </w:div>
    <w:div w:id="1788309812">
      <w:bodyDiv w:val="1"/>
      <w:marLeft w:val="0"/>
      <w:marRight w:val="0"/>
      <w:marTop w:val="0"/>
      <w:marBottom w:val="0"/>
      <w:divBdr>
        <w:top w:val="none" w:sz="0" w:space="0" w:color="auto"/>
        <w:left w:val="none" w:sz="0" w:space="0" w:color="auto"/>
        <w:bottom w:val="none" w:sz="0" w:space="0" w:color="auto"/>
        <w:right w:val="none" w:sz="0" w:space="0" w:color="auto"/>
      </w:divBdr>
    </w:div>
    <w:div w:id="1788355385">
      <w:bodyDiv w:val="1"/>
      <w:marLeft w:val="0"/>
      <w:marRight w:val="0"/>
      <w:marTop w:val="0"/>
      <w:marBottom w:val="0"/>
      <w:divBdr>
        <w:top w:val="none" w:sz="0" w:space="0" w:color="auto"/>
        <w:left w:val="none" w:sz="0" w:space="0" w:color="auto"/>
        <w:bottom w:val="none" w:sz="0" w:space="0" w:color="auto"/>
        <w:right w:val="none" w:sz="0" w:space="0" w:color="auto"/>
      </w:divBdr>
    </w:div>
    <w:div w:id="1788619354">
      <w:bodyDiv w:val="1"/>
      <w:marLeft w:val="0"/>
      <w:marRight w:val="0"/>
      <w:marTop w:val="0"/>
      <w:marBottom w:val="0"/>
      <w:divBdr>
        <w:top w:val="none" w:sz="0" w:space="0" w:color="auto"/>
        <w:left w:val="none" w:sz="0" w:space="0" w:color="auto"/>
        <w:bottom w:val="none" w:sz="0" w:space="0" w:color="auto"/>
        <w:right w:val="none" w:sz="0" w:space="0" w:color="auto"/>
      </w:divBdr>
    </w:div>
    <w:div w:id="1788768361">
      <w:bodyDiv w:val="1"/>
      <w:marLeft w:val="0"/>
      <w:marRight w:val="0"/>
      <w:marTop w:val="0"/>
      <w:marBottom w:val="0"/>
      <w:divBdr>
        <w:top w:val="none" w:sz="0" w:space="0" w:color="auto"/>
        <w:left w:val="none" w:sz="0" w:space="0" w:color="auto"/>
        <w:bottom w:val="none" w:sz="0" w:space="0" w:color="auto"/>
        <w:right w:val="none" w:sz="0" w:space="0" w:color="auto"/>
      </w:divBdr>
    </w:div>
    <w:div w:id="1788770283">
      <w:bodyDiv w:val="1"/>
      <w:marLeft w:val="0"/>
      <w:marRight w:val="0"/>
      <w:marTop w:val="0"/>
      <w:marBottom w:val="0"/>
      <w:divBdr>
        <w:top w:val="none" w:sz="0" w:space="0" w:color="auto"/>
        <w:left w:val="none" w:sz="0" w:space="0" w:color="auto"/>
        <w:bottom w:val="none" w:sz="0" w:space="0" w:color="auto"/>
        <w:right w:val="none" w:sz="0" w:space="0" w:color="auto"/>
      </w:divBdr>
    </w:div>
    <w:div w:id="1788812732">
      <w:bodyDiv w:val="1"/>
      <w:marLeft w:val="0"/>
      <w:marRight w:val="0"/>
      <w:marTop w:val="0"/>
      <w:marBottom w:val="0"/>
      <w:divBdr>
        <w:top w:val="none" w:sz="0" w:space="0" w:color="auto"/>
        <w:left w:val="none" w:sz="0" w:space="0" w:color="auto"/>
        <w:bottom w:val="none" w:sz="0" w:space="0" w:color="auto"/>
        <w:right w:val="none" w:sz="0" w:space="0" w:color="auto"/>
      </w:divBdr>
    </w:div>
    <w:div w:id="1789278838">
      <w:bodyDiv w:val="1"/>
      <w:marLeft w:val="0"/>
      <w:marRight w:val="0"/>
      <w:marTop w:val="0"/>
      <w:marBottom w:val="0"/>
      <w:divBdr>
        <w:top w:val="none" w:sz="0" w:space="0" w:color="auto"/>
        <w:left w:val="none" w:sz="0" w:space="0" w:color="auto"/>
        <w:bottom w:val="none" w:sz="0" w:space="0" w:color="auto"/>
        <w:right w:val="none" w:sz="0" w:space="0" w:color="auto"/>
      </w:divBdr>
    </w:div>
    <w:div w:id="1789279246">
      <w:bodyDiv w:val="1"/>
      <w:marLeft w:val="0"/>
      <w:marRight w:val="0"/>
      <w:marTop w:val="0"/>
      <w:marBottom w:val="0"/>
      <w:divBdr>
        <w:top w:val="none" w:sz="0" w:space="0" w:color="auto"/>
        <w:left w:val="none" w:sz="0" w:space="0" w:color="auto"/>
        <w:bottom w:val="none" w:sz="0" w:space="0" w:color="auto"/>
        <w:right w:val="none" w:sz="0" w:space="0" w:color="auto"/>
      </w:divBdr>
    </w:div>
    <w:div w:id="1789347299">
      <w:bodyDiv w:val="1"/>
      <w:marLeft w:val="0"/>
      <w:marRight w:val="0"/>
      <w:marTop w:val="0"/>
      <w:marBottom w:val="0"/>
      <w:divBdr>
        <w:top w:val="none" w:sz="0" w:space="0" w:color="auto"/>
        <w:left w:val="none" w:sz="0" w:space="0" w:color="auto"/>
        <w:bottom w:val="none" w:sz="0" w:space="0" w:color="auto"/>
        <w:right w:val="none" w:sz="0" w:space="0" w:color="auto"/>
      </w:divBdr>
    </w:div>
    <w:div w:id="1789398716">
      <w:bodyDiv w:val="1"/>
      <w:marLeft w:val="0"/>
      <w:marRight w:val="0"/>
      <w:marTop w:val="0"/>
      <w:marBottom w:val="0"/>
      <w:divBdr>
        <w:top w:val="none" w:sz="0" w:space="0" w:color="auto"/>
        <w:left w:val="none" w:sz="0" w:space="0" w:color="auto"/>
        <w:bottom w:val="none" w:sz="0" w:space="0" w:color="auto"/>
        <w:right w:val="none" w:sz="0" w:space="0" w:color="auto"/>
      </w:divBdr>
    </w:div>
    <w:div w:id="1789809772">
      <w:bodyDiv w:val="1"/>
      <w:marLeft w:val="0"/>
      <w:marRight w:val="0"/>
      <w:marTop w:val="0"/>
      <w:marBottom w:val="0"/>
      <w:divBdr>
        <w:top w:val="none" w:sz="0" w:space="0" w:color="auto"/>
        <w:left w:val="none" w:sz="0" w:space="0" w:color="auto"/>
        <w:bottom w:val="none" w:sz="0" w:space="0" w:color="auto"/>
        <w:right w:val="none" w:sz="0" w:space="0" w:color="auto"/>
      </w:divBdr>
    </w:div>
    <w:div w:id="1789885553">
      <w:bodyDiv w:val="1"/>
      <w:marLeft w:val="0"/>
      <w:marRight w:val="0"/>
      <w:marTop w:val="0"/>
      <w:marBottom w:val="0"/>
      <w:divBdr>
        <w:top w:val="none" w:sz="0" w:space="0" w:color="auto"/>
        <w:left w:val="none" w:sz="0" w:space="0" w:color="auto"/>
        <w:bottom w:val="none" w:sz="0" w:space="0" w:color="auto"/>
        <w:right w:val="none" w:sz="0" w:space="0" w:color="auto"/>
      </w:divBdr>
    </w:div>
    <w:div w:id="1790123905">
      <w:bodyDiv w:val="1"/>
      <w:marLeft w:val="0"/>
      <w:marRight w:val="0"/>
      <w:marTop w:val="0"/>
      <w:marBottom w:val="0"/>
      <w:divBdr>
        <w:top w:val="none" w:sz="0" w:space="0" w:color="auto"/>
        <w:left w:val="none" w:sz="0" w:space="0" w:color="auto"/>
        <w:bottom w:val="none" w:sz="0" w:space="0" w:color="auto"/>
        <w:right w:val="none" w:sz="0" w:space="0" w:color="auto"/>
      </w:divBdr>
    </w:div>
    <w:div w:id="1790125246">
      <w:bodyDiv w:val="1"/>
      <w:marLeft w:val="0"/>
      <w:marRight w:val="0"/>
      <w:marTop w:val="0"/>
      <w:marBottom w:val="0"/>
      <w:divBdr>
        <w:top w:val="none" w:sz="0" w:space="0" w:color="auto"/>
        <w:left w:val="none" w:sz="0" w:space="0" w:color="auto"/>
        <w:bottom w:val="none" w:sz="0" w:space="0" w:color="auto"/>
        <w:right w:val="none" w:sz="0" w:space="0" w:color="auto"/>
      </w:divBdr>
    </w:div>
    <w:div w:id="1790585565">
      <w:bodyDiv w:val="1"/>
      <w:marLeft w:val="0"/>
      <w:marRight w:val="0"/>
      <w:marTop w:val="0"/>
      <w:marBottom w:val="0"/>
      <w:divBdr>
        <w:top w:val="none" w:sz="0" w:space="0" w:color="auto"/>
        <w:left w:val="none" w:sz="0" w:space="0" w:color="auto"/>
        <w:bottom w:val="none" w:sz="0" w:space="0" w:color="auto"/>
        <w:right w:val="none" w:sz="0" w:space="0" w:color="auto"/>
      </w:divBdr>
    </w:div>
    <w:div w:id="1790734886">
      <w:bodyDiv w:val="1"/>
      <w:marLeft w:val="0"/>
      <w:marRight w:val="0"/>
      <w:marTop w:val="0"/>
      <w:marBottom w:val="0"/>
      <w:divBdr>
        <w:top w:val="none" w:sz="0" w:space="0" w:color="auto"/>
        <w:left w:val="none" w:sz="0" w:space="0" w:color="auto"/>
        <w:bottom w:val="none" w:sz="0" w:space="0" w:color="auto"/>
        <w:right w:val="none" w:sz="0" w:space="0" w:color="auto"/>
      </w:divBdr>
    </w:div>
    <w:div w:id="1790776565">
      <w:bodyDiv w:val="1"/>
      <w:marLeft w:val="0"/>
      <w:marRight w:val="0"/>
      <w:marTop w:val="0"/>
      <w:marBottom w:val="0"/>
      <w:divBdr>
        <w:top w:val="none" w:sz="0" w:space="0" w:color="auto"/>
        <w:left w:val="none" w:sz="0" w:space="0" w:color="auto"/>
        <w:bottom w:val="none" w:sz="0" w:space="0" w:color="auto"/>
        <w:right w:val="none" w:sz="0" w:space="0" w:color="auto"/>
      </w:divBdr>
    </w:div>
    <w:div w:id="1791238109">
      <w:bodyDiv w:val="1"/>
      <w:marLeft w:val="0"/>
      <w:marRight w:val="0"/>
      <w:marTop w:val="0"/>
      <w:marBottom w:val="0"/>
      <w:divBdr>
        <w:top w:val="none" w:sz="0" w:space="0" w:color="auto"/>
        <w:left w:val="none" w:sz="0" w:space="0" w:color="auto"/>
        <w:bottom w:val="none" w:sz="0" w:space="0" w:color="auto"/>
        <w:right w:val="none" w:sz="0" w:space="0" w:color="auto"/>
      </w:divBdr>
    </w:div>
    <w:div w:id="1791630717">
      <w:bodyDiv w:val="1"/>
      <w:marLeft w:val="0"/>
      <w:marRight w:val="0"/>
      <w:marTop w:val="0"/>
      <w:marBottom w:val="0"/>
      <w:divBdr>
        <w:top w:val="none" w:sz="0" w:space="0" w:color="auto"/>
        <w:left w:val="none" w:sz="0" w:space="0" w:color="auto"/>
        <w:bottom w:val="none" w:sz="0" w:space="0" w:color="auto"/>
        <w:right w:val="none" w:sz="0" w:space="0" w:color="auto"/>
      </w:divBdr>
    </w:div>
    <w:div w:id="1791700620">
      <w:bodyDiv w:val="1"/>
      <w:marLeft w:val="0"/>
      <w:marRight w:val="0"/>
      <w:marTop w:val="0"/>
      <w:marBottom w:val="0"/>
      <w:divBdr>
        <w:top w:val="none" w:sz="0" w:space="0" w:color="auto"/>
        <w:left w:val="none" w:sz="0" w:space="0" w:color="auto"/>
        <w:bottom w:val="none" w:sz="0" w:space="0" w:color="auto"/>
        <w:right w:val="none" w:sz="0" w:space="0" w:color="auto"/>
      </w:divBdr>
    </w:div>
    <w:div w:id="1791703103">
      <w:bodyDiv w:val="1"/>
      <w:marLeft w:val="0"/>
      <w:marRight w:val="0"/>
      <w:marTop w:val="0"/>
      <w:marBottom w:val="0"/>
      <w:divBdr>
        <w:top w:val="none" w:sz="0" w:space="0" w:color="auto"/>
        <w:left w:val="none" w:sz="0" w:space="0" w:color="auto"/>
        <w:bottom w:val="none" w:sz="0" w:space="0" w:color="auto"/>
        <w:right w:val="none" w:sz="0" w:space="0" w:color="auto"/>
      </w:divBdr>
    </w:div>
    <w:div w:id="1791824898">
      <w:bodyDiv w:val="1"/>
      <w:marLeft w:val="0"/>
      <w:marRight w:val="0"/>
      <w:marTop w:val="0"/>
      <w:marBottom w:val="0"/>
      <w:divBdr>
        <w:top w:val="none" w:sz="0" w:space="0" w:color="auto"/>
        <w:left w:val="none" w:sz="0" w:space="0" w:color="auto"/>
        <w:bottom w:val="none" w:sz="0" w:space="0" w:color="auto"/>
        <w:right w:val="none" w:sz="0" w:space="0" w:color="auto"/>
      </w:divBdr>
    </w:div>
    <w:div w:id="1791899521">
      <w:bodyDiv w:val="1"/>
      <w:marLeft w:val="0"/>
      <w:marRight w:val="0"/>
      <w:marTop w:val="0"/>
      <w:marBottom w:val="0"/>
      <w:divBdr>
        <w:top w:val="none" w:sz="0" w:space="0" w:color="auto"/>
        <w:left w:val="none" w:sz="0" w:space="0" w:color="auto"/>
        <w:bottom w:val="none" w:sz="0" w:space="0" w:color="auto"/>
        <w:right w:val="none" w:sz="0" w:space="0" w:color="auto"/>
      </w:divBdr>
    </w:div>
    <w:div w:id="1791971791">
      <w:bodyDiv w:val="1"/>
      <w:marLeft w:val="0"/>
      <w:marRight w:val="0"/>
      <w:marTop w:val="0"/>
      <w:marBottom w:val="0"/>
      <w:divBdr>
        <w:top w:val="none" w:sz="0" w:space="0" w:color="auto"/>
        <w:left w:val="none" w:sz="0" w:space="0" w:color="auto"/>
        <w:bottom w:val="none" w:sz="0" w:space="0" w:color="auto"/>
        <w:right w:val="none" w:sz="0" w:space="0" w:color="auto"/>
      </w:divBdr>
    </w:div>
    <w:div w:id="1792164722">
      <w:bodyDiv w:val="1"/>
      <w:marLeft w:val="0"/>
      <w:marRight w:val="0"/>
      <w:marTop w:val="0"/>
      <w:marBottom w:val="0"/>
      <w:divBdr>
        <w:top w:val="none" w:sz="0" w:space="0" w:color="auto"/>
        <w:left w:val="none" w:sz="0" w:space="0" w:color="auto"/>
        <w:bottom w:val="none" w:sz="0" w:space="0" w:color="auto"/>
        <w:right w:val="none" w:sz="0" w:space="0" w:color="auto"/>
      </w:divBdr>
    </w:div>
    <w:div w:id="1792285909">
      <w:bodyDiv w:val="1"/>
      <w:marLeft w:val="0"/>
      <w:marRight w:val="0"/>
      <w:marTop w:val="0"/>
      <w:marBottom w:val="0"/>
      <w:divBdr>
        <w:top w:val="none" w:sz="0" w:space="0" w:color="auto"/>
        <w:left w:val="none" w:sz="0" w:space="0" w:color="auto"/>
        <w:bottom w:val="none" w:sz="0" w:space="0" w:color="auto"/>
        <w:right w:val="none" w:sz="0" w:space="0" w:color="auto"/>
      </w:divBdr>
    </w:div>
    <w:div w:id="1792286196">
      <w:bodyDiv w:val="1"/>
      <w:marLeft w:val="0"/>
      <w:marRight w:val="0"/>
      <w:marTop w:val="0"/>
      <w:marBottom w:val="0"/>
      <w:divBdr>
        <w:top w:val="none" w:sz="0" w:space="0" w:color="auto"/>
        <w:left w:val="none" w:sz="0" w:space="0" w:color="auto"/>
        <w:bottom w:val="none" w:sz="0" w:space="0" w:color="auto"/>
        <w:right w:val="none" w:sz="0" w:space="0" w:color="auto"/>
      </w:divBdr>
    </w:div>
    <w:div w:id="1792556339">
      <w:bodyDiv w:val="1"/>
      <w:marLeft w:val="0"/>
      <w:marRight w:val="0"/>
      <w:marTop w:val="0"/>
      <w:marBottom w:val="0"/>
      <w:divBdr>
        <w:top w:val="none" w:sz="0" w:space="0" w:color="auto"/>
        <w:left w:val="none" w:sz="0" w:space="0" w:color="auto"/>
        <w:bottom w:val="none" w:sz="0" w:space="0" w:color="auto"/>
        <w:right w:val="none" w:sz="0" w:space="0" w:color="auto"/>
      </w:divBdr>
    </w:div>
    <w:div w:id="1792703846">
      <w:bodyDiv w:val="1"/>
      <w:marLeft w:val="0"/>
      <w:marRight w:val="0"/>
      <w:marTop w:val="0"/>
      <w:marBottom w:val="0"/>
      <w:divBdr>
        <w:top w:val="none" w:sz="0" w:space="0" w:color="auto"/>
        <w:left w:val="none" w:sz="0" w:space="0" w:color="auto"/>
        <w:bottom w:val="none" w:sz="0" w:space="0" w:color="auto"/>
        <w:right w:val="none" w:sz="0" w:space="0" w:color="auto"/>
      </w:divBdr>
    </w:div>
    <w:div w:id="1792819249">
      <w:bodyDiv w:val="1"/>
      <w:marLeft w:val="0"/>
      <w:marRight w:val="0"/>
      <w:marTop w:val="0"/>
      <w:marBottom w:val="0"/>
      <w:divBdr>
        <w:top w:val="none" w:sz="0" w:space="0" w:color="auto"/>
        <w:left w:val="none" w:sz="0" w:space="0" w:color="auto"/>
        <w:bottom w:val="none" w:sz="0" w:space="0" w:color="auto"/>
        <w:right w:val="none" w:sz="0" w:space="0" w:color="auto"/>
      </w:divBdr>
    </w:div>
    <w:div w:id="1792892948">
      <w:bodyDiv w:val="1"/>
      <w:marLeft w:val="0"/>
      <w:marRight w:val="0"/>
      <w:marTop w:val="0"/>
      <w:marBottom w:val="0"/>
      <w:divBdr>
        <w:top w:val="none" w:sz="0" w:space="0" w:color="auto"/>
        <w:left w:val="none" w:sz="0" w:space="0" w:color="auto"/>
        <w:bottom w:val="none" w:sz="0" w:space="0" w:color="auto"/>
        <w:right w:val="none" w:sz="0" w:space="0" w:color="auto"/>
      </w:divBdr>
    </w:div>
    <w:div w:id="1793085827">
      <w:bodyDiv w:val="1"/>
      <w:marLeft w:val="0"/>
      <w:marRight w:val="0"/>
      <w:marTop w:val="0"/>
      <w:marBottom w:val="0"/>
      <w:divBdr>
        <w:top w:val="none" w:sz="0" w:space="0" w:color="auto"/>
        <w:left w:val="none" w:sz="0" w:space="0" w:color="auto"/>
        <w:bottom w:val="none" w:sz="0" w:space="0" w:color="auto"/>
        <w:right w:val="none" w:sz="0" w:space="0" w:color="auto"/>
      </w:divBdr>
    </w:div>
    <w:div w:id="1793354044">
      <w:bodyDiv w:val="1"/>
      <w:marLeft w:val="0"/>
      <w:marRight w:val="0"/>
      <w:marTop w:val="0"/>
      <w:marBottom w:val="0"/>
      <w:divBdr>
        <w:top w:val="none" w:sz="0" w:space="0" w:color="auto"/>
        <w:left w:val="none" w:sz="0" w:space="0" w:color="auto"/>
        <w:bottom w:val="none" w:sz="0" w:space="0" w:color="auto"/>
        <w:right w:val="none" w:sz="0" w:space="0" w:color="auto"/>
      </w:divBdr>
    </w:div>
    <w:div w:id="1793359207">
      <w:bodyDiv w:val="1"/>
      <w:marLeft w:val="0"/>
      <w:marRight w:val="0"/>
      <w:marTop w:val="0"/>
      <w:marBottom w:val="0"/>
      <w:divBdr>
        <w:top w:val="none" w:sz="0" w:space="0" w:color="auto"/>
        <w:left w:val="none" w:sz="0" w:space="0" w:color="auto"/>
        <w:bottom w:val="none" w:sz="0" w:space="0" w:color="auto"/>
        <w:right w:val="none" w:sz="0" w:space="0" w:color="auto"/>
      </w:divBdr>
    </w:div>
    <w:div w:id="1793479498">
      <w:bodyDiv w:val="1"/>
      <w:marLeft w:val="0"/>
      <w:marRight w:val="0"/>
      <w:marTop w:val="0"/>
      <w:marBottom w:val="0"/>
      <w:divBdr>
        <w:top w:val="none" w:sz="0" w:space="0" w:color="auto"/>
        <w:left w:val="none" w:sz="0" w:space="0" w:color="auto"/>
        <w:bottom w:val="none" w:sz="0" w:space="0" w:color="auto"/>
        <w:right w:val="none" w:sz="0" w:space="0" w:color="auto"/>
      </w:divBdr>
    </w:div>
    <w:div w:id="1793599228">
      <w:bodyDiv w:val="1"/>
      <w:marLeft w:val="0"/>
      <w:marRight w:val="0"/>
      <w:marTop w:val="0"/>
      <w:marBottom w:val="0"/>
      <w:divBdr>
        <w:top w:val="none" w:sz="0" w:space="0" w:color="auto"/>
        <w:left w:val="none" w:sz="0" w:space="0" w:color="auto"/>
        <w:bottom w:val="none" w:sz="0" w:space="0" w:color="auto"/>
        <w:right w:val="none" w:sz="0" w:space="0" w:color="auto"/>
      </w:divBdr>
    </w:div>
    <w:div w:id="1794250876">
      <w:bodyDiv w:val="1"/>
      <w:marLeft w:val="0"/>
      <w:marRight w:val="0"/>
      <w:marTop w:val="0"/>
      <w:marBottom w:val="0"/>
      <w:divBdr>
        <w:top w:val="none" w:sz="0" w:space="0" w:color="auto"/>
        <w:left w:val="none" w:sz="0" w:space="0" w:color="auto"/>
        <w:bottom w:val="none" w:sz="0" w:space="0" w:color="auto"/>
        <w:right w:val="none" w:sz="0" w:space="0" w:color="auto"/>
      </w:divBdr>
    </w:div>
    <w:div w:id="1794321987">
      <w:bodyDiv w:val="1"/>
      <w:marLeft w:val="0"/>
      <w:marRight w:val="0"/>
      <w:marTop w:val="0"/>
      <w:marBottom w:val="0"/>
      <w:divBdr>
        <w:top w:val="none" w:sz="0" w:space="0" w:color="auto"/>
        <w:left w:val="none" w:sz="0" w:space="0" w:color="auto"/>
        <w:bottom w:val="none" w:sz="0" w:space="0" w:color="auto"/>
        <w:right w:val="none" w:sz="0" w:space="0" w:color="auto"/>
      </w:divBdr>
    </w:div>
    <w:div w:id="1794328972">
      <w:bodyDiv w:val="1"/>
      <w:marLeft w:val="0"/>
      <w:marRight w:val="0"/>
      <w:marTop w:val="0"/>
      <w:marBottom w:val="0"/>
      <w:divBdr>
        <w:top w:val="none" w:sz="0" w:space="0" w:color="auto"/>
        <w:left w:val="none" w:sz="0" w:space="0" w:color="auto"/>
        <w:bottom w:val="none" w:sz="0" w:space="0" w:color="auto"/>
        <w:right w:val="none" w:sz="0" w:space="0" w:color="auto"/>
      </w:divBdr>
    </w:div>
    <w:div w:id="1794400926">
      <w:bodyDiv w:val="1"/>
      <w:marLeft w:val="0"/>
      <w:marRight w:val="0"/>
      <w:marTop w:val="0"/>
      <w:marBottom w:val="0"/>
      <w:divBdr>
        <w:top w:val="none" w:sz="0" w:space="0" w:color="auto"/>
        <w:left w:val="none" w:sz="0" w:space="0" w:color="auto"/>
        <w:bottom w:val="none" w:sz="0" w:space="0" w:color="auto"/>
        <w:right w:val="none" w:sz="0" w:space="0" w:color="auto"/>
      </w:divBdr>
    </w:div>
    <w:div w:id="1794445583">
      <w:bodyDiv w:val="1"/>
      <w:marLeft w:val="0"/>
      <w:marRight w:val="0"/>
      <w:marTop w:val="0"/>
      <w:marBottom w:val="0"/>
      <w:divBdr>
        <w:top w:val="none" w:sz="0" w:space="0" w:color="auto"/>
        <w:left w:val="none" w:sz="0" w:space="0" w:color="auto"/>
        <w:bottom w:val="none" w:sz="0" w:space="0" w:color="auto"/>
        <w:right w:val="none" w:sz="0" w:space="0" w:color="auto"/>
      </w:divBdr>
    </w:div>
    <w:div w:id="1794667577">
      <w:bodyDiv w:val="1"/>
      <w:marLeft w:val="0"/>
      <w:marRight w:val="0"/>
      <w:marTop w:val="0"/>
      <w:marBottom w:val="0"/>
      <w:divBdr>
        <w:top w:val="none" w:sz="0" w:space="0" w:color="auto"/>
        <w:left w:val="none" w:sz="0" w:space="0" w:color="auto"/>
        <w:bottom w:val="none" w:sz="0" w:space="0" w:color="auto"/>
        <w:right w:val="none" w:sz="0" w:space="0" w:color="auto"/>
      </w:divBdr>
    </w:div>
    <w:div w:id="1794667829">
      <w:bodyDiv w:val="1"/>
      <w:marLeft w:val="0"/>
      <w:marRight w:val="0"/>
      <w:marTop w:val="0"/>
      <w:marBottom w:val="0"/>
      <w:divBdr>
        <w:top w:val="none" w:sz="0" w:space="0" w:color="auto"/>
        <w:left w:val="none" w:sz="0" w:space="0" w:color="auto"/>
        <w:bottom w:val="none" w:sz="0" w:space="0" w:color="auto"/>
        <w:right w:val="none" w:sz="0" w:space="0" w:color="auto"/>
      </w:divBdr>
    </w:div>
    <w:div w:id="1794985297">
      <w:bodyDiv w:val="1"/>
      <w:marLeft w:val="0"/>
      <w:marRight w:val="0"/>
      <w:marTop w:val="0"/>
      <w:marBottom w:val="0"/>
      <w:divBdr>
        <w:top w:val="none" w:sz="0" w:space="0" w:color="auto"/>
        <w:left w:val="none" w:sz="0" w:space="0" w:color="auto"/>
        <w:bottom w:val="none" w:sz="0" w:space="0" w:color="auto"/>
        <w:right w:val="none" w:sz="0" w:space="0" w:color="auto"/>
      </w:divBdr>
    </w:div>
    <w:div w:id="1795171421">
      <w:bodyDiv w:val="1"/>
      <w:marLeft w:val="0"/>
      <w:marRight w:val="0"/>
      <w:marTop w:val="0"/>
      <w:marBottom w:val="0"/>
      <w:divBdr>
        <w:top w:val="none" w:sz="0" w:space="0" w:color="auto"/>
        <w:left w:val="none" w:sz="0" w:space="0" w:color="auto"/>
        <w:bottom w:val="none" w:sz="0" w:space="0" w:color="auto"/>
        <w:right w:val="none" w:sz="0" w:space="0" w:color="auto"/>
      </w:divBdr>
    </w:div>
    <w:div w:id="1795907173">
      <w:bodyDiv w:val="1"/>
      <w:marLeft w:val="0"/>
      <w:marRight w:val="0"/>
      <w:marTop w:val="0"/>
      <w:marBottom w:val="0"/>
      <w:divBdr>
        <w:top w:val="none" w:sz="0" w:space="0" w:color="auto"/>
        <w:left w:val="none" w:sz="0" w:space="0" w:color="auto"/>
        <w:bottom w:val="none" w:sz="0" w:space="0" w:color="auto"/>
        <w:right w:val="none" w:sz="0" w:space="0" w:color="auto"/>
      </w:divBdr>
    </w:div>
    <w:div w:id="1796210841">
      <w:bodyDiv w:val="1"/>
      <w:marLeft w:val="0"/>
      <w:marRight w:val="0"/>
      <w:marTop w:val="0"/>
      <w:marBottom w:val="0"/>
      <w:divBdr>
        <w:top w:val="none" w:sz="0" w:space="0" w:color="auto"/>
        <w:left w:val="none" w:sz="0" w:space="0" w:color="auto"/>
        <w:bottom w:val="none" w:sz="0" w:space="0" w:color="auto"/>
        <w:right w:val="none" w:sz="0" w:space="0" w:color="auto"/>
      </w:divBdr>
    </w:div>
    <w:div w:id="1796214205">
      <w:bodyDiv w:val="1"/>
      <w:marLeft w:val="0"/>
      <w:marRight w:val="0"/>
      <w:marTop w:val="0"/>
      <w:marBottom w:val="0"/>
      <w:divBdr>
        <w:top w:val="none" w:sz="0" w:space="0" w:color="auto"/>
        <w:left w:val="none" w:sz="0" w:space="0" w:color="auto"/>
        <w:bottom w:val="none" w:sz="0" w:space="0" w:color="auto"/>
        <w:right w:val="none" w:sz="0" w:space="0" w:color="auto"/>
      </w:divBdr>
    </w:div>
    <w:div w:id="1796361711">
      <w:bodyDiv w:val="1"/>
      <w:marLeft w:val="0"/>
      <w:marRight w:val="0"/>
      <w:marTop w:val="0"/>
      <w:marBottom w:val="0"/>
      <w:divBdr>
        <w:top w:val="none" w:sz="0" w:space="0" w:color="auto"/>
        <w:left w:val="none" w:sz="0" w:space="0" w:color="auto"/>
        <w:bottom w:val="none" w:sz="0" w:space="0" w:color="auto"/>
        <w:right w:val="none" w:sz="0" w:space="0" w:color="auto"/>
      </w:divBdr>
    </w:div>
    <w:div w:id="1796480290">
      <w:bodyDiv w:val="1"/>
      <w:marLeft w:val="0"/>
      <w:marRight w:val="0"/>
      <w:marTop w:val="0"/>
      <w:marBottom w:val="0"/>
      <w:divBdr>
        <w:top w:val="none" w:sz="0" w:space="0" w:color="auto"/>
        <w:left w:val="none" w:sz="0" w:space="0" w:color="auto"/>
        <w:bottom w:val="none" w:sz="0" w:space="0" w:color="auto"/>
        <w:right w:val="none" w:sz="0" w:space="0" w:color="auto"/>
      </w:divBdr>
    </w:div>
    <w:div w:id="1796483247">
      <w:bodyDiv w:val="1"/>
      <w:marLeft w:val="0"/>
      <w:marRight w:val="0"/>
      <w:marTop w:val="0"/>
      <w:marBottom w:val="0"/>
      <w:divBdr>
        <w:top w:val="none" w:sz="0" w:space="0" w:color="auto"/>
        <w:left w:val="none" w:sz="0" w:space="0" w:color="auto"/>
        <w:bottom w:val="none" w:sz="0" w:space="0" w:color="auto"/>
        <w:right w:val="none" w:sz="0" w:space="0" w:color="auto"/>
      </w:divBdr>
    </w:div>
    <w:div w:id="1796871603">
      <w:bodyDiv w:val="1"/>
      <w:marLeft w:val="0"/>
      <w:marRight w:val="0"/>
      <w:marTop w:val="0"/>
      <w:marBottom w:val="0"/>
      <w:divBdr>
        <w:top w:val="none" w:sz="0" w:space="0" w:color="auto"/>
        <w:left w:val="none" w:sz="0" w:space="0" w:color="auto"/>
        <w:bottom w:val="none" w:sz="0" w:space="0" w:color="auto"/>
        <w:right w:val="none" w:sz="0" w:space="0" w:color="auto"/>
      </w:divBdr>
    </w:div>
    <w:div w:id="1796874923">
      <w:bodyDiv w:val="1"/>
      <w:marLeft w:val="0"/>
      <w:marRight w:val="0"/>
      <w:marTop w:val="0"/>
      <w:marBottom w:val="0"/>
      <w:divBdr>
        <w:top w:val="none" w:sz="0" w:space="0" w:color="auto"/>
        <w:left w:val="none" w:sz="0" w:space="0" w:color="auto"/>
        <w:bottom w:val="none" w:sz="0" w:space="0" w:color="auto"/>
        <w:right w:val="none" w:sz="0" w:space="0" w:color="auto"/>
      </w:divBdr>
    </w:div>
    <w:div w:id="1796946290">
      <w:bodyDiv w:val="1"/>
      <w:marLeft w:val="0"/>
      <w:marRight w:val="0"/>
      <w:marTop w:val="0"/>
      <w:marBottom w:val="0"/>
      <w:divBdr>
        <w:top w:val="none" w:sz="0" w:space="0" w:color="auto"/>
        <w:left w:val="none" w:sz="0" w:space="0" w:color="auto"/>
        <w:bottom w:val="none" w:sz="0" w:space="0" w:color="auto"/>
        <w:right w:val="none" w:sz="0" w:space="0" w:color="auto"/>
      </w:divBdr>
    </w:div>
    <w:div w:id="1797261208">
      <w:bodyDiv w:val="1"/>
      <w:marLeft w:val="0"/>
      <w:marRight w:val="0"/>
      <w:marTop w:val="0"/>
      <w:marBottom w:val="0"/>
      <w:divBdr>
        <w:top w:val="none" w:sz="0" w:space="0" w:color="auto"/>
        <w:left w:val="none" w:sz="0" w:space="0" w:color="auto"/>
        <w:bottom w:val="none" w:sz="0" w:space="0" w:color="auto"/>
        <w:right w:val="none" w:sz="0" w:space="0" w:color="auto"/>
      </w:divBdr>
    </w:div>
    <w:div w:id="1797333276">
      <w:bodyDiv w:val="1"/>
      <w:marLeft w:val="0"/>
      <w:marRight w:val="0"/>
      <w:marTop w:val="0"/>
      <w:marBottom w:val="0"/>
      <w:divBdr>
        <w:top w:val="none" w:sz="0" w:space="0" w:color="auto"/>
        <w:left w:val="none" w:sz="0" w:space="0" w:color="auto"/>
        <w:bottom w:val="none" w:sz="0" w:space="0" w:color="auto"/>
        <w:right w:val="none" w:sz="0" w:space="0" w:color="auto"/>
      </w:divBdr>
    </w:div>
    <w:div w:id="1797672090">
      <w:bodyDiv w:val="1"/>
      <w:marLeft w:val="0"/>
      <w:marRight w:val="0"/>
      <w:marTop w:val="0"/>
      <w:marBottom w:val="0"/>
      <w:divBdr>
        <w:top w:val="none" w:sz="0" w:space="0" w:color="auto"/>
        <w:left w:val="none" w:sz="0" w:space="0" w:color="auto"/>
        <w:bottom w:val="none" w:sz="0" w:space="0" w:color="auto"/>
        <w:right w:val="none" w:sz="0" w:space="0" w:color="auto"/>
      </w:divBdr>
    </w:div>
    <w:div w:id="1797941062">
      <w:bodyDiv w:val="1"/>
      <w:marLeft w:val="0"/>
      <w:marRight w:val="0"/>
      <w:marTop w:val="0"/>
      <w:marBottom w:val="0"/>
      <w:divBdr>
        <w:top w:val="none" w:sz="0" w:space="0" w:color="auto"/>
        <w:left w:val="none" w:sz="0" w:space="0" w:color="auto"/>
        <w:bottom w:val="none" w:sz="0" w:space="0" w:color="auto"/>
        <w:right w:val="none" w:sz="0" w:space="0" w:color="auto"/>
      </w:divBdr>
    </w:div>
    <w:div w:id="1798572189">
      <w:bodyDiv w:val="1"/>
      <w:marLeft w:val="0"/>
      <w:marRight w:val="0"/>
      <w:marTop w:val="0"/>
      <w:marBottom w:val="0"/>
      <w:divBdr>
        <w:top w:val="none" w:sz="0" w:space="0" w:color="auto"/>
        <w:left w:val="none" w:sz="0" w:space="0" w:color="auto"/>
        <w:bottom w:val="none" w:sz="0" w:space="0" w:color="auto"/>
        <w:right w:val="none" w:sz="0" w:space="0" w:color="auto"/>
      </w:divBdr>
    </w:div>
    <w:div w:id="1798988967">
      <w:bodyDiv w:val="1"/>
      <w:marLeft w:val="0"/>
      <w:marRight w:val="0"/>
      <w:marTop w:val="0"/>
      <w:marBottom w:val="0"/>
      <w:divBdr>
        <w:top w:val="none" w:sz="0" w:space="0" w:color="auto"/>
        <w:left w:val="none" w:sz="0" w:space="0" w:color="auto"/>
        <w:bottom w:val="none" w:sz="0" w:space="0" w:color="auto"/>
        <w:right w:val="none" w:sz="0" w:space="0" w:color="auto"/>
      </w:divBdr>
    </w:div>
    <w:div w:id="1799108718">
      <w:bodyDiv w:val="1"/>
      <w:marLeft w:val="0"/>
      <w:marRight w:val="0"/>
      <w:marTop w:val="0"/>
      <w:marBottom w:val="0"/>
      <w:divBdr>
        <w:top w:val="none" w:sz="0" w:space="0" w:color="auto"/>
        <w:left w:val="none" w:sz="0" w:space="0" w:color="auto"/>
        <w:bottom w:val="none" w:sz="0" w:space="0" w:color="auto"/>
        <w:right w:val="none" w:sz="0" w:space="0" w:color="auto"/>
      </w:divBdr>
    </w:div>
    <w:div w:id="1799452229">
      <w:bodyDiv w:val="1"/>
      <w:marLeft w:val="0"/>
      <w:marRight w:val="0"/>
      <w:marTop w:val="0"/>
      <w:marBottom w:val="0"/>
      <w:divBdr>
        <w:top w:val="none" w:sz="0" w:space="0" w:color="auto"/>
        <w:left w:val="none" w:sz="0" w:space="0" w:color="auto"/>
        <w:bottom w:val="none" w:sz="0" w:space="0" w:color="auto"/>
        <w:right w:val="none" w:sz="0" w:space="0" w:color="auto"/>
      </w:divBdr>
    </w:div>
    <w:div w:id="1800107124">
      <w:bodyDiv w:val="1"/>
      <w:marLeft w:val="0"/>
      <w:marRight w:val="0"/>
      <w:marTop w:val="0"/>
      <w:marBottom w:val="0"/>
      <w:divBdr>
        <w:top w:val="none" w:sz="0" w:space="0" w:color="auto"/>
        <w:left w:val="none" w:sz="0" w:space="0" w:color="auto"/>
        <w:bottom w:val="none" w:sz="0" w:space="0" w:color="auto"/>
        <w:right w:val="none" w:sz="0" w:space="0" w:color="auto"/>
      </w:divBdr>
    </w:div>
    <w:div w:id="1800149142">
      <w:bodyDiv w:val="1"/>
      <w:marLeft w:val="0"/>
      <w:marRight w:val="0"/>
      <w:marTop w:val="0"/>
      <w:marBottom w:val="0"/>
      <w:divBdr>
        <w:top w:val="none" w:sz="0" w:space="0" w:color="auto"/>
        <w:left w:val="none" w:sz="0" w:space="0" w:color="auto"/>
        <w:bottom w:val="none" w:sz="0" w:space="0" w:color="auto"/>
        <w:right w:val="none" w:sz="0" w:space="0" w:color="auto"/>
      </w:divBdr>
    </w:div>
    <w:div w:id="1800226999">
      <w:bodyDiv w:val="1"/>
      <w:marLeft w:val="0"/>
      <w:marRight w:val="0"/>
      <w:marTop w:val="0"/>
      <w:marBottom w:val="0"/>
      <w:divBdr>
        <w:top w:val="none" w:sz="0" w:space="0" w:color="auto"/>
        <w:left w:val="none" w:sz="0" w:space="0" w:color="auto"/>
        <w:bottom w:val="none" w:sz="0" w:space="0" w:color="auto"/>
        <w:right w:val="none" w:sz="0" w:space="0" w:color="auto"/>
      </w:divBdr>
    </w:div>
    <w:div w:id="1800686915">
      <w:bodyDiv w:val="1"/>
      <w:marLeft w:val="0"/>
      <w:marRight w:val="0"/>
      <w:marTop w:val="0"/>
      <w:marBottom w:val="0"/>
      <w:divBdr>
        <w:top w:val="none" w:sz="0" w:space="0" w:color="auto"/>
        <w:left w:val="none" w:sz="0" w:space="0" w:color="auto"/>
        <w:bottom w:val="none" w:sz="0" w:space="0" w:color="auto"/>
        <w:right w:val="none" w:sz="0" w:space="0" w:color="auto"/>
      </w:divBdr>
    </w:div>
    <w:div w:id="1800955353">
      <w:bodyDiv w:val="1"/>
      <w:marLeft w:val="0"/>
      <w:marRight w:val="0"/>
      <w:marTop w:val="0"/>
      <w:marBottom w:val="0"/>
      <w:divBdr>
        <w:top w:val="none" w:sz="0" w:space="0" w:color="auto"/>
        <w:left w:val="none" w:sz="0" w:space="0" w:color="auto"/>
        <w:bottom w:val="none" w:sz="0" w:space="0" w:color="auto"/>
        <w:right w:val="none" w:sz="0" w:space="0" w:color="auto"/>
      </w:divBdr>
    </w:div>
    <w:div w:id="1800997364">
      <w:bodyDiv w:val="1"/>
      <w:marLeft w:val="0"/>
      <w:marRight w:val="0"/>
      <w:marTop w:val="0"/>
      <w:marBottom w:val="0"/>
      <w:divBdr>
        <w:top w:val="none" w:sz="0" w:space="0" w:color="auto"/>
        <w:left w:val="none" w:sz="0" w:space="0" w:color="auto"/>
        <w:bottom w:val="none" w:sz="0" w:space="0" w:color="auto"/>
        <w:right w:val="none" w:sz="0" w:space="0" w:color="auto"/>
      </w:divBdr>
    </w:div>
    <w:div w:id="1801067758">
      <w:bodyDiv w:val="1"/>
      <w:marLeft w:val="0"/>
      <w:marRight w:val="0"/>
      <w:marTop w:val="0"/>
      <w:marBottom w:val="0"/>
      <w:divBdr>
        <w:top w:val="none" w:sz="0" w:space="0" w:color="auto"/>
        <w:left w:val="none" w:sz="0" w:space="0" w:color="auto"/>
        <w:bottom w:val="none" w:sz="0" w:space="0" w:color="auto"/>
        <w:right w:val="none" w:sz="0" w:space="0" w:color="auto"/>
      </w:divBdr>
    </w:div>
    <w:div w:id="1801146386">
      <w:bodyDiv w:val="1"/>
      <w:marLeft w:val="0"/>
      <w:marRight w:val="0"/>
      <w:marTop w:val="0"/>
      <w:marBottom w:val="0"/>
      <w:divBdr>
        <w:top w:val="none" w:sz="0" w:space="0" w:color="auto"/>
        <w:left w:val="none" w:sz="0" w:space="0" w:color="auto"/>
        <w:bottom w:val="none" w:sz="0" w:space="0" w:color="auto"/>
        <w:right w:val="none" w:sz="0" w:space="0" w:color="auto"/>
      </w:divBdr>
    </w:div>
    <w:div w:id="1801263333">
      <w:bodyDiv w:val="1"/>
      <w:marLeft w:val="0"/>
      <w:marRight w:val="0"/>
      <w:marTop w:val="0"/>
      <w:marBottom w:val="0"/>
      <w:divBdr>
        <w:top w:val="none" w:sz="0" w:space="0" w:color="auto"/>
        <w:left w:val="none" w:sz="0" w:space="0" w:color="auto"/>
        <w:bottom w:val="none" w:sz="0" w:space="0" w:color="auto"/>
        <w:right w:val="none" w:sz="0" w:space="0" w:color="auto"/>
      </w:divBdr>
    </w:div>
    <w:div w:id="1801268028">
      <w:bodyDiv w:val="1"/>
      <w:marLeft w:val="0"/>
      <w:marRight w:val="0"/>
      <w:marTop w:val="0"/>
      <w:marBottom w:val="0"/>
      <w:divBdr>
        <w:top w:val="none" w:sz="0" w:space="0" w:color="auto"/>
        <w:left w:val="none" w:sz="0" w:space="0" w:color="auto"/>
        <w:bottom w:val="none" w:sz="0" w:space="0" w:color="auto"/>
        <w:right w:val="none" w:sz="0" w:space="0" w:color="auto"/>
      </w:divBdr>
    </w:div>
    <w:div w:id="1801343513">
      <w:bodyDiv w:val="1"/>
      <w:marLeft w:val="0"/>
      <w:marRight w:val="0"/>
      <w:marTop w:val="0"/>
      <w:marBottom w:val="0"/>
      <w:divBdr>
        <w:top w:val="none" w:sz="0" w:space="0" w:color="auto"/>
        <w:left w:val="none" w:sz="0" w:space="0" w:color="auto"/>
        <w:bottom w:val="none" w:sz="0" w:space="0" w:color="auto"/>
        <w:right w:val="none" w:sz="0" w:space="0" w:color="auto"/>
      </w:divBdr>
    </w:div>
    <w:div w:id="1801873638">
      <w:bodyDiv w:val="1"/>
      <w:marLeft w:val="0"/>
      <w:marRight w:val="0"/>
      <w:marTop w:val="0"/>
      <w:marBottom w:val="0"/>
      <w:divBdr>
        <w:top w:val="none" w:sz="0" w:space="0" w:color="auto"/>
        <w:left w:val="none" w:sz="0" w:space="0" w:color="auto"/>
        <w:bottom w:val="none" w:sz="0" w:space="0" w:color="auto"/>
        <w:right w:val="none" w:sz="0" w:space="0" w:color="auto"/>
      </w:divBdr>
    </w:div>
    <w:div w:id="1802070657">
      <w:bodyDiv w:val="1"/>
      <w:marLeft w:val="0"/>
      <w:marRight w:val="0"/>
      <w:marTop w:val="0"/>
      <w:marBottom w:val="0"/>
      <w:divBdr>
        <w:top w:val="none" w:sz="0" w:space="0" w:color="auto"/>
        <w:left w:val="none" w:sz="0" w:space="0" w:color="auto"/>
        <w:bottom w:val="none" w:sz="0" w:space="0" w:color="auto"/>
        <w:right w:val="none" w:sz="0" w:space="0" w:color="auto"/>
      </w:divBdr>
    </w:div>
    <w:div w:id="1802190784">
      <w:bodyDiv w:val="1"/>
      <w:marLeft w:val="0"/>
      <w:marRight w:val="0"/>
      <w:marTop w:val="0"/>
      <w:marBottom w:val="0"/>
      <w:divBdr>
        <w:top w:val="none" w:sz="0" w:space="0" w:color="auto"/>
        <w:left w:val="none" w:sz="0" w:space="0" w:color="auto"/>
        <w:bottom w:val="none" w:sz="0" w:space="0" w:color="auto"/>
        <w:right w:val="none" w:sz="0" w:space="0" w:color="auto"/>
      </w:divBdr>
    </w:div>
    <w:div w:id="1802724917">
      <w:bodyDiv w:val="1"/>
      <w:marLeft w:val="0"/>
      <w:marRight w:val="0"/>
      <w:marTop w:val="0"/>
      <w:marBottom w:val="0"/>
      <w:divBdr>
        <w:top w:val="none" w:sz="0" w:space="0" w:color="auto"/>
        <w:left w:val="none" w:sz="0" w:space="0" w:color="auto"/>
        <w:bottom w:val="none" w:sz="0" w:space="0" w:color="auto"/>
        <w:right w:val="none" w:sz="0" w:space="0" w:color="auto"/>
      </w:divBdr>
    </w:div>
    <w:div w:id="1802993004">
      <w:bodyDiv w:val="1"/>
      <w:marLeft w:val="0"/>
      <w:marRight w:val="0"/>
      <w:marTop w:val="0"/>
      <w:marBottom w:val="0"/>
      <w:divBdr>
        <w:top w:val="none" w:sz="0" w:space="0" w:color="auto"/>
        <w:left w:val="none" w:sz="0" w:space="0" w:color="auto"/>
        <w:bottom w:val="none" w:sz="0" w:space="0" w:color="auto"/>
        <w:right w:val="none" w:sz="0" w:space="0" w:color="auto"/>
      </w:divBdr>
    </w:div>
    <w:div w:id="1802993343">
      <w:bodyDiv w:val="1"/>
      <w:marLeft w:val="0"/>
      <w:marRight w:val="0"/>
      <w:marTop w:val="0"/>
      <w:marBottom w:val="0"/>
      <w:divBdr>
        <w:top w:val="none" w:sz="0" w:space="0" w:color="auto"/>
        <w:left w:val="none" w:sz="0" w:space="0" w:color="auto"/>
        <w:bottom w:val="none" w:sz="0" w:space="0" w:color="auto"/>
        <w:right w:val="none" w:sz="0" w:space="0" w:color="auto"/>
      </w:divBdr>
    </w:div>
    <w:div w:id="1803380584">
      <w:bodyDiv w:val="1"/>
      <w:marLeft w:val="0"/>
      <w:marRight w:val="0"/>
      <w:marTop w:val="0"/>
      <w:marBottom w:val="0"/>
      <w:divBdr>
        <w:top w:val="none" w:sz="0" w:space="0" w:color="auto"/>
        <w:left w:val="none" w:sz="0" w:space="0" w:color="auto"/>
        <w:bottom w:val="none" w:sz="0" w:space="0" w:color="auto"/>
        <w:right w:val="none" w:sz="0" w:space="0" w:color="auto"/>
      </w:divBdr>
    </w:div>
    <w:div w:id="1803428386">
      <w:bodyDiv w:val="1"/>
      <w:marLeft w:val="0"/>
      <w:marRight w:val="0"/>
      <w:marTop w:val="0"/>
      <w:marBottom w:val="0"/>
      <w:divBdr>
        <w:top w:val="none" w:sz="0" w:space="0" w:color="auto"/>
        <w:left w:val="none" w:sz="0" w:space="0" w:color="auto"/>
        <w:bottom w:val="none" w:sz="0" w:space="0" w:color="auto"/>
        <w:right w:val="none" w:sz="0" w:space="0" w:color="auto"/>
      </w:divBdr>
    </w:div>
    <w:div w:id="1803500372">
      <w:bodyDiv w:val="1"/>
      <w:marLeft w:val="0"/>
      <w:marRight w:val="0"/>
      <w:marTop w:val="0"/>
      <w:marBottom w:val="0"/>
      <w:divBdr>
        <w:top w:val="none" w:sz="0" w:space="0" w:color="auto"/>
        <w:left w:val="none" w:sz="0" w:space="0" w:color="auto"/>
        <w:bottom w:val="none" w:sz="0" w:space="0" w:color="auto"/>
        <w:right w:val="none" w:sz="0" w:space="0" w:color="auto"/>
      </w:divBdr>
    </w:div>
    <w:div w:id="1803695339">
      <w:bodyDiv w:val="1"/>
      <w:marLeft w:val="0"/>
      <w:marRight w:val="0"/>
      <w:marTop w:val="0"/>
      <w:marBottom w:val="0"/>
      <w:divBdr>
        <w:top w:val="none" w:sz="0" w:space="0" w:color="auto"/>
        <w:left w:val="none" w:sz="0" w:space="0" w:color="auto"/>
        <w:bottom w:val="none" w:sz="0" w:space="0" w:color="auto"/>
        <w:right w:val="none" w:sz="0" w:space="0" w:color="auto"/>
      </w:divBdr>
    </w:div>
    <w:div w:id="1804079524">
      <w:bodyDiv w:val="1"/>
      <w:marLeft w:val="0"/>
      <w:marRight w:val="0"/>
      <w:marTop w:val="0"/>
      <w:marBottom w:val="0"/>
      <w:divBdr>
        <w:top w:val="none" w:sz="0" w:space="0" w:color="auto"/>
        <w:left w:val="none" w:sz="0" w:space="0" w:color="auto"/>
        <w:bottom w:val="none" w:sz="0" w:space="0" w:color="auto"/>
        <w:right w:val="none" w:sz="0" w:space="0" w:color="auto"/>
      </w:divBdr>
    </w:div>
    <w:div w:id="1804543766">
      <w:bodyDiv w:val="1"/>
      <w:marLeft w:val="0"/>
      <w:marRight w:val="0"/>
      <w:marTop w:val="0"/>
      <w:marBottom w:val="0"/>
      <w:divBdr>
        <w:top w:val="none" w:sz="0" w:space="0" w:color="auto"/>
        <w:left w:val="none" w:sz="0" w:space="0" w:color="auto"/>
        <w:bottom w:val="none" w:sz="0" w:space="0" w:color="auto"/>
        <w:right w:val="none" w:sz="0" w:space="0" w:color="auto"/>
      </w:divBdr>
    </w:div>
    <w:div w:id="1804688436">
      <w:bodyDiv w:val="1"/>
      <w:marLeft w:val="0"/>
      <w:marRight w:val="0"/>
      <w:marTop w:val="0"/>
      <w:marBottom w:val="0"/>
      <w:divBdr>
        <w:top w:val="none" w:sz="0" w:space="0" w:color="auto"/>
        <w:left w:val="none" w:sz="0" w:space="0" w:color="auto"/>
        <w:bottom w:val="none" w:sz="0" w:space="0" w:color="auto"/>
        <w:right w:val="none" w:sz="0" w:space="0" w:color="auto"/>
      </w:divBdr>
    </w:div>
    <w:div w:id="1804732135">
      <w:bodyDiv w:val="1"/>
      <w:marLeft w:val="0"/>
      <w:marRight w:val="0"/>
      <w:marTop w:val="0"/>
      <w:marBottom w:val="0"/>
      <w:divBdr>
        <w:top w:val="none" w:sz="0" w:space="0" w:color="auto"/>
        <w:left w:val="none" w:sz="0" w:space="0" w:color="auto"/>
        <w:bottom w:val="none" w:sz="0" w:space="0" w:color="auto"/>
        <w:right w:val="none" w:sz="0" w:space="0" w:color="auto"/>
      </w:divBdr>
    </w:div>
    <w:div w:id="1804809015">
      <w:bodyDiv w:val="1"/>
      <w:marLeft w:val="0"/>
      <w:marRight w:val="0"/>
      <w:marTop w:val="0"/>
      <w:marBottom w:val="0"/>
      <w:divBdr>
        <w:top w:val="none" w:sz="0" w:space="0" w:color="auto"/>
        <w:left w:val="none" w:sz="0" w:space="0" w:color="auto"/>
        <w:bottom w:val="none" w:sz="0" w:space="0" w:color="auto"/>
        <w:right w:val="none" w:sz="0" w:space="0" w:color="auto"/>
      </w:divBdr>
    </w:div>
    <w:div w:id="1804926983">
      <w:bodyDiv w:val="1"/>
      <w:marLeft w:val="0"/>
      <w:marRight w:val="0"/>
      <w:marTop w:val="0"/>
      <w:marBottom w:val="0"/>
      <w:divBdr>
        <w:top w:val="none" w:sz="0" w:space="0" w:color="auto"/>
        <w:left w:val="none" w:sz="0" w:space="0" w:color="auto"/>
        <w:bottom w:val="none" w:sz="0" w:space="0" w:color="auto"/>
        <w:right w:val="none" w:sz="0" w:space="0" w:color="auto"/>
      </w:divBdr>
    </w:div>
    <w:div w:id="1804927181">
      <w:bodyDiv w:val="1"/>
      <w:marLeft w:val="0"/>
      <w:marRight w:val="0"/>
      <w:marTop w:val="0"/>
      <w:marBottom w:val="0"/>
      <w:divBdr>
        <w:top w:val="none" w:sz="0" w:space="0" w:color="auto"/>
        <w:left w:val="none" w:sz="0" w:space="0" w:color="auto"/>
        <w:bottom w:val="none" w:sz="0" w:space="0" w:color="auto"/>
        <w:right w:val="none" w:sz="0" w:space="0" w:color="auto"/>
      </w:divBdr>
    </w:div>
    <w:div w:id="1805194087">
      <w:bodyDiv w:val="1"/>
      <w:marLeft w:val="0"/>
      <w:marRight w:val="0"/>
      <w:marTop w:val="0"/>
      <w:marBottom w:val="0"/>
      <w:divBdr>
        <w:top w:val="none" w:sz="0" w:space="0" w:color="auto"/>
        <w:left w:val="none" w:sz="0" w:space="0" w:color="auto"/>
        <w:bottom w:val="none" w:sz="0" w:space="0" w:color="auto"/>
        <w:right w:val="none" w:sz="0" w:space="0" w:color="auto"/>
      </w:divBdr>
    </w:div>
    <w:div w:id="1805348340">
      <w:bodyDiv w:val="1"/>
      <w:marLeft w:val="0"/>
      <w:marRight w:val="0"/>
      <w:marTop w:val="0"/>
      <w:marBottom w:val="0"/>
      <w:divBdr>
        <w:top w:val="none" w:sz="0" w:space="0" w:color="auto"/>
        <w:left w:val="none" w:sz="0" w:space="0" w:color="auto"/>
        <w:bottom w:val="none" w:sz="0" w:space="0" w:color="auto"/>
        <w:right w:val="none" w:sz="0" w:space="0" w:color="auto"/>
      </w:divBdr>
    </w:div>
    <w:div w:id="1805348733">
      <w:bodyDiv w:val="1"/>
      <w:marLeft w:val="0"/>
      <w:marRight w:val="0"/>
      <w:marTop w:val="0"/>
      <w:marBottom w:val="0"/>
      <w:divBdr>
        <w:top w:val="none" w:sz="0" w:space="0" w:color="auto"/>
        <w:left w:val="none" w:sz="0" w:space="0" w:color="auto"/>
        <w:bottom w:val="none" w:sz="0" w:space="0" w:color="auto"/>
        <w:right w:val="none" w:sz="0" w:space="0" w:color="auto"/>
      </w:divBdr>
    </w:div>
    <w:div w:id="1806049122">
      <w:bodyDiv w:val="1"/>
      <w:marLeft w:val="0"/>
      <w:marRight w:val="0"/>
      <w:marTop w:val="0"/>
      <w:marBottom w:val="0"/>
      <w:divBdr>
        <w:top w:val="none" w:sz="0" w:space="0" w:color="auto"/>
        <w:left w:val="none" w:sz="0" w:space="0" w:color="auto"/>
        <w:bottom w:val="none" w:sz="0" w:space="0" w:color="auto"/>
        <w:right w:val="none" w:sz="0" w:space="0" w:color="auto"/>
      </w:divBdr>
    </w:div>
    <w:div w:id="1806118440">
      <w:bodyDiv w:val="1"/>
      <w:marLeft w:val="0"/>
      <w:marRight w:val="0"/>
      <w:marTop w:val="0"/>
      <w:marBottom w:val="0"/>
      <w:divBdr>
        <w:top w:val="none" w:sz="0" w:space="0" w:color="auto"/>
        <w:left w:val="none" w:sz="0" w:space="0" w:color="auto"/>
        <w:bottom w:val="none" w:sz="0" w:space="0" w:color="auto"/>
        <w:right w:val="none" w:sz="0" w:space="0" w:color="auto"/>
      </w:divBdr>
    </w:div>
    <w:div w:id="1806505679">
      <w:bodyDiv w:val="1"/>
      <w:marLeft w:val="0"/>
      <w:marRight w:val="0"/>
      <w:marTop w:val="0"/>
      <w:marBottom w:val="0"/>
      <w:divBdr>
        <w:top w:val="none" w:sz="0" w:space="0" w:color="auto"/>
        <w:left w:val="none" w:sz="0" w:space="0" w:color="auto"/>
        <w:bottom w:val="none" w:sz="0" w:space="0" w:color="auto"/>
        <w:right w:val="none" w:sz="0" w:space="0" w:color="auto"/>
      </w:divBdr>
    </w:div>
    <w:div w:id="1806661343">
      <w:bodyDiv w:val="1"/>
      <w:marLeft w:val="0"/>
      <w:marRight w:val="0"/>
      <w:marTop w:val="0"/>
      <w:marBottom w:val="0"/>
      <w:divBdr>
        <w:top w:val="none" w:sz="0" w:space="0" w:color="auto"/>
        <w:left w:val="none" w:sz="0" w:space="0" w:color="auto"/>
        <w:bottom w:val="none" w:sz="0" w:space="0" w:color="auto"/>
        <w:right w:val="none" w:sz="0" w:space="0" w:color="auto"/>
      </w:divBdr>
    </w:div>
    <w:div w:id="1806771798">
      <w:bodyDiv w:val="1"/>
      <w:marLeft w:val="0"/>
      <w:marRight w:val="0"/>
      <w:marTop w:val="0"/>
      <w:marBottom w:val="0"/>
      <w:divBdr>
        <w:top w:val="none" w:sz="0" w:space="0" w:color="auto"/>
        <w:left w:val="none" w:sz="0" w:space="0" w:color="auto"/>
        <w:bottom w:val="none" w:sz="0" w:space="0" w:color="auto"/>
        <w:right w:val="none" w:sz="0" w:space="0" w:color="auto"/>
      </w:divBdr>
    </w:div>
    <w:div w:id="1807233118">
      <w:bodyDiv w:val="1"/>
      <w:marLeft w:val="0"/>
      <w:marRight w:val="0"/>
      <w:marTop w:val="0"/>
      <w:marBottom w:val="0"/>
      <w:divBdr>
        <w:top w:val="none" w:sz="0" w:space="0" w:color="auto"/>
        <w:left w:val="none" w:sz="0" w:space="0" w:color="auto"/>
        <w:bottom w:val="none" w:sz="0" w:space="0" w:color="auto"/>
        <w:right w:val="none" w:sz="0" w:space="0" w:color="auto"/>
      </w:divBdr>
    </w:div>
    <w:div w:id="1807354986">
      <w:bodyDiv w:val="1"/>
      <w:marLeft w:val="0"/>
      <w:marRight w:val="0"/>
      <w:marTop w:val="0"/>
      <w:marBottom w:val="0"/>
      <w:divBdr>
        <w:top w:val="none" w:sz="0" w:space="0" w:color="auto"/>
        <w:left w:val="none" w:sz="0" w:space="0" w:color="auto"/>
        <w:bottom w:val="none" w:sz="0" w:space="0" w:color="auto"/>
        <w:right w:val="none" w:sz="0" w:space="0" w:color="auto"/>
      </w:divBdr>
    </w:div>
    <w:div w:id="1807552946">
      <w:bodyDiv w:val="1"/>
      <w:marLeft w:val="0"/>
      <w:marRight w:val="0"/>
      <w:marTop w:val="0"/>
      <w:marBottom w:val="0"/>
      <w:divBdr>
        <w:top w:val="none" w:sz="0" w:space="0" w:color="auto"/>
        <w:left w:val="none" w:sz="0" w:space="0" w:color="auto"/>
        <w:bottom w:val="none" w:sz="0" w:space="0" w:color="auto"/>
        <w:right w:val="none" w:sz="0" w:space="0" w:color="auto"/>
      </w:divBdr>
    </w:div>
    <w:div w:id="1807623880">
      <w:bodyDiv w:val="1"/>
      <w:marLeft w:val="0"/>
      <w:marRight w:val="0"/>
      <w:marTop w:val="0"/>
      <w:marBottom w:val="0"/>
      <w:divBdr>
        <w:top w:val="none" w:sz="0" w:space="0" w:color="auto"/>
        <w:left w:val="none" w:sz="0" w:space="0" w:color="auto"/>
        <w:bottom w:val="none" w:sz="0" w:space="0" w:color="auto"/>
        <w:right w:val="none" w:sz="0" w:space="0" w:color="auto"/>
      </w:divBdr>
    </w:div>
    <w:div w:id="1807701173">
      <w:bodyDiv w:val="1"/>
      <w:marLeft w:val="0"/>
      <w:marRight w:val="0"/>
      <w:marTop w:val="0"/>
      <w:marBottom w:val="0"/>
      <w:divBdr>
        <w:top w:val="none" w:sz="0" w:space="0" w:color="auto"/>
        <w:left w:val="none" w:sz="0" w:space="0" w:color="auto"/>
        <w:bottom w:val="none" w:sz="0" w:space="0" w:color="auto"/>
        <w:right w:val="none" w:sz="0" w:space="0" w:color="auto"/>
      </w:divBdr>
    </w:div>
    <w:div w:id="1807773106">
      <w:bodyDiv w:val="1"/>
      <w:marLeft w:val="0"/>
      <w:marRight w:val="0"/>
      <w:marTop w:val="0"/>
      <w:marBottom w:val="0"/>
      <w:divBdr>
        <w:top w:val="none" w:sz="0" w:space="0" w:color="auto"/>
        <w:left w:val="none" w:sz="0" w:space="0" w:color="auto"/>
        <w:bottom w:val="none" w:sz="0" w:space="0" w:color="auto"/>
        <w:right w:val="none" w:sz="0" w:space="0" w:color="auto"/>
      </w:divBdr>
    </w:div>
    <w:div w:id="1807777169">
      <w:bodyDiv w:val="1"/>
      <w:marLeft w:val="0"/>
      <w:marRight w:val="0"/>
      <w:marTop w:val="0"/>
      <w:marBottom w:val="0"/>
      <w:divBdr>
        <w:top w:val="none" w:sz="0" w:space="0" w:color="auto"/>
        <w:left w:val="none" w:sz="0" w:space="0" w:color="auto"/>
        <w:bottom w:val="none" w:sz="0" w:space="0" w:color="auto"/>
        <w:right w:val="none" w:sz="0" w:space="0" w:color="auto"/>
      </w:divBdr>
    </w:div>
    <w:div w:id="1807896443">
      <w:bodyDiv w:val="1"/>
      <w:marLeft w:val="0"/>
      <w:marRight w:val="0"/>
      <w:marTop w:val="0"/>
      <w:marBottom w:val="0"/>
      <w:divBdr>
        <w:top w:val="none" w:sz="0" w:space="0" w:color="auto"/>
        <w:left w:val="none" w:sz="0" w:space="0" w:color="auto"/>
        <w:bottom w:val="none" w:sz="0" w:space="0" w:color="auto"/>
        <w:right w:val="none" w:sz="0" w:space="0" w:color="auto"/>
      </w:divBdr>
    </w:div>
    <w:div w:id="1808086438">
      <w:bodyDiv w:val="1"/>
      <w:marLeft w:val="0"/>
      <w:marRight w:val="0"/>
      <w:marTop w:val="0"/>
      <w:marBottom w:val="0"/>
      <w:divBdr>
        <w:top w:val="none" w:sz="0" w:space="0" w:color="auto"/>
        <w:left w:val="none" w:sz="0" w:space="0" w:color="auto"/>
        <w:bottom w:val="none" w:sz="0" w:space="0" w:color="auto"/>
        <w:right w:val="none" w:sz="0" w:space="0" w:color="auto"/>
      </w:divBdr>
    </w:div>
    <w:div w:id="1808400410">
      <w:bodyDiv w:val="1"/>
      <w:marLeft w:val="0"/>
      <w:marRight w:val="0"/>
      <w:marTop w:val="0"/>
      <w:marBottom w:val="0"/>
      <w:divBdr>
        <w:top w:val="none" w:sz="0" w:space="0" w:color="auto"/>
        <w:left w:val="none" w:sz="0" w:space="0" w:color="auto"/>
        <w:bottom w:val="none" w:sz="0" w:space="0" w:color="auto"/>
        <w:right w:val="none" w:sz="0" w:space="0" w:color="auto"/>
      </w:divBdr>
    </w:div>
    <w:div w:id="1808426313">
      <w:bodyDiv w:val="1"/>
      <w:marLeft w:val="0"/>
      <w:marRight w:val="0"/>
      <w:marTop w:val="0"/>
      <w:marBottom w:val="0"/>
      <w:divBdr>
        <w:top w:val="none" w:sz="0" w:space="0" w:color="auto"/>
        <w:left w:val="none" w:sz="0" w:space="0" w:color="auto"/>
        <w:bottom w:val="none" w:sz="0" w:space="0" w:color="auto"/>
        <w:right w:val="none" w:sz="0" w:space="0" w:color="auto"/>
      </w:divBdr>
    </w:div>
    <w:div w:id="1808693791">
      <w:bodyDiv w:val="1"/>
      <w:marLeft w:val="0"/>
      <w:marRight w:val="0"/>
      <w:marTop w:val="0"/>
      <w:marBottom w:val="0"/>
      <w:divBdr>
        <w:top w:val="none" w:sz="0" w:space="0" w:color="auto"/>
        <w:left w:val="none" w:sz="0" w:space="0" w:color="auto"/>
        <w:bottom w:val="none" w:sz="0" w:space="0" w:color="auto"/>
        <w:right w:val="none" w:sz="0" w:space="0" w:color="auto"/>
      </w:divBdr>
    </w:div>
    <w:div w:id="1808821093">
      <w:bodyDiv w:val="1"/>
      <w:marLeft w:val="0"/>
      <w:marRight w:val="0"/>
      <w:marTop w:val="0"/>
      <w:marBottom w:val="0"/>
      <w:divBdr>
        <w:top w:val="none" w:sz="0" w:space="0" w:color="auto"/>
        <w:left w:val="none" w:sz="0" w:space="0" w:color="auto"/>
        <w:bottom w:val="none" w:sz="0" w:space="0" w:color="auto"/>
        <w:right w:val="none" w:sz="0" w:space="0" w:color="auto"/>
      </w:divBdr>
    </w:div>
    <w:div w:id="1809742146">
      <w:bodyDiv w:val="1"/>
      <w:marLeft w:val="0"/>
      <w:marRight w:val="0"/>
      <w:marTop w:val="0"/>
      <w:marBottom w:val="0"/>
      <w:divBdr>
        <w:top w:val="none" w:sz="0" w:space="0" w:color="auto"/>
        <w:left w:val="none" w:sz="0" w:space="0" w:color="auto"/>
        <w:bottom w:val="none" w:sz="0" w:space="0" w:color="auto"/>
        <w:right w:val="none" w:sz="0" w:space="0" w:color="auto"/>
      </w:divBdr>
    </w:div>
    <w:div w:id="1809861148">
      <w:bodyDiv w:val="1"/>
      <w:marLeft w:val="0"/>
      <w:marRight w:val="0"/>
      <w:marTop w:val="0"/>
      <w:marBottom w:val="0"/>
      <w:divBdr>
        <w:top w:val="none" w:sz="0" w:space="0" w:color="auto"/>
        <w:left w:val="none" w:sz="0" w:space="0" w:color="auto"/>
        <w:bottom w:val="none" w:sz="0" w:space="0" w:color="auto"/>
        <w:right w:val="none" w:sz="0" w:space="0" w:color="auto"/>
      </w:divBdr>
    </w:div>
    <w:div w:id="1810050114">
      <w:bodyDiv w:val="1"/>
      <w:marLeft w:val="0"/>
      <w:marRight w:val="0"/>
      <w:marTop w:val="0"/>
      <w:marBottom w:val="0"/>
      <w:divBdr>
        <w:top w:val="none" w:sz="0" w:space="0" w:color="auto"/>
        <w:left w:val="none" w:sz="0" w:space="0" w:color="auto"/>
        <w:bottom w:val="none" w:sz="0" w:space="0" w:color="auto"/>
        <w:right w:val="none" w:sz="0" w:space="0" w:color="auto"/>
      </w:divBdr>
    </w:div>
    <w:div w:id="1810241214">
      <w:bodyDiv w:val="1"/>
      <w:marLeft w:val="0"/>
      <w:marRight w:val="0"/>
      <w:marTop w:val="0"/>
      <w:marBottom w:val="0"/>
      <w:divBdr>
        <w:top w:val="none" w:sz="0" w:space="0" w:color="auto"/>
        <w:left w:val="none" w:sz="0" w:space="0" w:color="auto"/>
        <w:bottom w:val="none" w:sz="0" w:space="0" w:color="auto"/>
        <w:right w:val="none" w:sz="0" w:space="0" w:color="auto"/>
      </w:divBdr>
    </w:div>
    <w:div w:id="1810396376">
      <w:bodyDiv w:val="1"/>
      <w:marLeft w:val="0"/>
      <w:marRight w:val="0"/>
      <w:marTop w:val="0"/>
      <w:marBottom w:val="0"/>
      <w:divBdr>
        <w:top w:val="none" w:sz="0" w:space="0" w:color="auto"/>
        <w:left w:val="none" w:sz="0" w:space="0" w:color="auto"/>
        <w:bottom w:val="none" w:sz="0" w:space="0" w:color="auto"/>
        <w:right w:val="none" w:sz="0" w:space="0" w:color="auto"/>
      </w:divBdr>
    </w:div>
    <w:div w:id="1810398809">
      <w:bodyDiv w:val="1"/>
      <w:marLeft w:val="0"/>
      <w:marRight w:val="0"/>
      <w:marTop w:val="0"/>
      <w:marBottom w:val="0"/>
      <w:divBdr>
        <w:top w:val="none" w:sz="0" w:space="0" w:color="auto"/>
        <w:left w:val="none" w:sz="0" w:space="0" w:color="auto"/>
        <w:bottom w:val="none" w:sz="0" w:space="0" w:color="auto"/>
        <w:right w:val="none" w:sz="0" w:space="0" w:color="auto"/>
      </w:divBdr>
    </w:div>
    <w:div w:id="1810435183">
      <w:bodyDiv w:val="1"/>
      <w:marLeft w:val="0"/>
      <w:marRight w:val="0"/>
      <w:marTop w:val="0"/>
      <w:marBottom w:val="0"/>
      <w:divBdr>
        <w:top w:val="none" w:sz="0" w:space="0" w:color="auto"/>
        <w:left w:val="none" w:sz="0" w:space="0" w:color="auto"/>
        <w:bottom w:val="none" w:sz="0" w:space="0" w:color="auto"/>
        <w:right w:val="none" w:sz="0" w:space="0" w:color="auto"/>
      </w:divBdr>
    </w:div>
    <w:div w:id="1810633725">
      <w:bodyDiv w:val="1"/>
      <w:marLeft w:val="0"/>
      <w:marRight w:val="0"/>
      <w:marTop w:val="0"/>
      <w:marBottom w:val="0"/>
      <w:divBdr>
        <w:top w:val="none" w:sz="0" w:space="0" w:color="auto"/>
        <w:left w:val="none" w:sz="0" w:space="0" w:color="auto"/>
        <w:bottom w:val="none" w:sz="0" w:space="0" w:color="auto"/>
        <w:right w:val="none" w:sz="0" w:space="0" w:color="auto"/>
      </w:divBdr>
    </w:div>
    <w:div w:id="1810707644">
      <w:bodyDiv w:val="1"/>
      <w:marLeft w:val="0"/>
      <w:marRight w:val="0"/>
      <w:marTop w:val="0"/>
      <w:marBottom w:val="0"/>
      <w:divBdr>
        <w:top w:val="none" w:sz="0" w:space="0" w:color="auto"/>
        <w:left w:val="none" w:sz="0" w:space="0" w:color="auto"/>
        <w:bottom w:val="none" w:sz="0" w:space="0" w:color="auto"/>
        <w:right w:val="none" w:sz="0" w:space="0" w:color="auto"/>
      </w:divBdr>
    </w:div>
    <w:div w:id="1811365950">
      <w:bodyDiv w:val="1"/>
      <w:marLeft w:val="0"/>
      <w:marRight w:val="0"/>
      <w:marTop w:val="0"/>
      <w:marBottom w:val="0"/>
      <w:divBdr>
        <w:top w:val="none" w:sz="0" w:space="0" w:color="auto"/>
        <w:left w:val="none" w:sz="0" w:space="0" w:color="auto"/>
        <w:bottom w:val="none" w:sz="0" w:space="0" w:color="auto"/>
        <w:right w:val="none" w:sz="0" w:space="0" w:color="auto"/>
      </w:divBdr>
    </w:div>
    <w:div w:id="1811480867">
      <w:bodyDiv w:val="1"/>
      <w:marLeft w:val="0"/>
      <w:marRight w:val="0"/>
      <w:marTop w:val="0"/>
      <w:marBottom w:val="0"/>
      <w:divBdr>
        <w:top w:val="none" w:sz="0" w:space="0" w:color="auto"/>
        <w:left w:val="none" w:sz="0" w:space="0" w:color="auto"/>
        <w:bottom w:val="none" w:sz="0" w:space="0" w:color="auto"/>
        <w:right w:val="none" w:sz="0" w:space="0" w:color="auto"/>
      </w:divBdr>
    </w:div>
    <w:div w:id="1811628356">
      <w:bodyDiv w:val="1"/>
      <w:marLeft w:val="0"/>
      <w:marRight w:val="0"/>
      <w:marTop w:val="0"/>
      <w:marBottom w:val="0"/>
      <w:divBdr>
        <w:top w:val="none" w:sz="0" w:space="0" w:color="auto"/>
        <w:left w:val="none" w:sz="0" w:space="0" w:color="auto"/>
        <w:bottom w:val="none" w:sz="0" w:space="0" w:color="auto"/>
        <w:right w:val="none" w:sz="0" w:space="0" w:color="auto"/>
      </w:divBdr>
    </w:div>
    <w:div w:id="1811971292">
      <w:bodyDiv w:val="1"/>
      <w:marLeft w:val="0"/>
      <w:marRight w:val="0"/>
      <w:marTop w:val="0"/>
      <w:marBottom w:val="0"/>
      <w:divBdr>
        <w:top w:val="none" w:sz="0" w:space="0" w:color="auto"/>
        <w:left w:val="none" w:sz="0" w:space="0" w:color="auto"/>
        <w:bottom w:val="none" w:sz="0" w:space="0" w:color="auto"/>
        <w:right w:val="none" w:sz="0" w:space="0" w:color="auto"/>
      </w:divBdr>
    </w:div>
    <w:div w:id="1812020184">
      <w:bodyDiv w:val="1"/>
      <w:marLeft w:val="0"/>
      <w:marRight w:val="0"/>
      <w:marTop w:val="0"/>
      <w:marBottom w:val="0"/>
      <w:divBdr>
        <w:top w:val="none" w:sz="0" w:space="0" w:color="auto"/>
        <w:left w:val="none" w:sz="0" w:space="0" w:color="auto"/>
        <w:bottom w:val="none" w:sz="0" w:space="0" w:color="auto"/>
        <w:right w:val="none" w:sz="0" w:space="0" w:color="auto"/>
      </w:divBdr>
    </w:div>
    <w:div w:id="1812093032">
      <w:bodyDiv w:val="1"/>
      <w:marLeft w:val="0"/>
      <w:marRight w:val="0"/>
      <w:marTop w:val="0"/>
      <w:marBottom w:val="0"/>
      <w:divBdr>
        <w:top w:val="none" w:sz="0" w:space="0" w:color="auto"/>
        <w:left w:val="none" w:sz="0" w:space="0" w:color="auto"/>
        <w:bottom w:val="none" w:sz="0" w:space="0" w:color="auto"/>
        <w:right w:val="none" w:sz="0" w:space="0" w:color="auto"/>
      </w:divBdr>
    </w:div>
    <w:div w:id="1812668360">
      <w:bodyDiv w:val="1"/>
      <w:marLeft w:val="0"/>
      <w:marRight w:val="0"/>
      <w:marTop w:val="0"/>
      <w:marBottom w:val="0"/>
      <w:divBdr>
        <w:top w:val="none" w:sz="0" w:space="0" w:color="auto"/>
        <w:left w:val="none" w:sz="0" w:space="0" w:color="auto"/>
        <w:bottom w:val="none" w:sz="0" w:space="0" w:color="auto"/>
        <w:right w:val="none" w:sz="0" w:space="0" w:color="auto"/>
      </w:divBdr>
    </w:div>
    <w:div w:id="1812749540">
      <w:bodyDiv w:val="1"/>
      <w:marLeft w:val="0"/>
      <w:marRight w:val="0"/>
      <w:marTop w:val="0"/>
      <w:marBottom w:val="0"/>
      <w:divBdr>
        <w:top w:val="none" w:sz="0" w:space="0" w:color="auto"/>
        <w:left w:val="none" w:sz="0" w:space="0" w:color="auto"/>
        <w:bottom w:val="none" w:sz="0" w:space="0" w:color="auto"/>
        <w:right w:val="none" w:sz="0" w:space="0" w:color="auto"/>
      </w:divBdr>
    </w:div>
    <w:div w:id="1812861088">
      <w:bodyDiv w:val="1"/>
      <w:marLeft w:val="0"/>
      <w:marRight w:val="0"/>
      <w:marTop w:val="0"/>
      <w:marBottom w:val="0"/>
      <w:divBdr>
        <w:top w:val="none" w:sz="0" w:space="0" w:color="auto"/>
        <w:left w:val="none" w:sz="0" w:space="0" w:color="auto"/>
        <w:bottom w:val="none" w:sz="0" w:space="0" w:color="auto"/>
        <w:right w:val="none" w:sz="0" w:space="0" w:color="auto"/>
      </w:divBdr>
    </w:div>
    <w:div w:id="1813131358">
      <w:bodyDiv w:val="1"/>
      <w:marLeft w:val="0"/>
      <w:marRight w:val="0"/>
      <w:marTop w:val="0"/>
      <w:marBottom w:val="0"/>
      <w:divBdr>
        <w:top w:val="none" w:sz="0" w:space="0" w:color="auto"/>
        <w:left w:val="none" w:sz="0" w:space="0" w:color="auto"/>
        <w:bottom w:val="none" w:sz="0" w:space="0" w:color="auto"/>
        <w:right w:val="none" w:sz="0" w:space="0" w:color="auto"/>
      </w:divBdr>
    </w:div>
    <w:div w:id="1813137793">
      <w:bodyDiv w:val="1"/>
      <w:marLeft w:val="0"/>
      <w:marRight w:val="0"/>
      <w:marTop w:val="0"/>
      <w:marBottom w:val="0"/>
      <w:divBdr>
        <w:top w:val="none" w:sz="0" w:space="0" w:color="auto"/>
        <w:left w:val="none" w:sz="0" w:space="0" w:color="auto"/>
        <w:bottom w:val="none" w:sz="0" w:space="0" w:color="auto"/>
        <w:right w:val="none" w:sz="0" w:space="0" w:color="auto"/>
      </w:divBdr>
    </w:div>
    <w:div w:id="1813404822">
      <w:bodyDiv w:val="1"/>
      <w:marLeft w:val="0"/>
      <w:marRight w:val="0"/>
      <w:marTop w:val="0"/>
      <w:marBottom w:val="0"/>
      <w:divBdr>
        <w:top w:val="none" w:sz="0" w:space="0" w:color="auto"/>
        <w:left w:val="none" w:sz="0" w:space="0" w:color="auto"/>
        <w:bottom w:val="none" w:sz="0" w:space="0" w:color="auto"/>
        <w:right w:val="none" w:sz="0" w:space="0" w:color="auto"/>
      </w:divBdr>
    </w:div>
    <w:div w:id="1813519347">
      <w:bodyDiv w:val="1"/>
      <w:marLeft w:val="0"/>
      <w:marRight w:val="0"/>
      <w:marTop w:val="0"/>
      <w:marBottom w:val="0"/>
      <w:divBdr>
        <w:top w:val="none" w:sz="0" w:space="0" w:color="auto"/>
        <w:left w:val="none" w:sz="0" w:space="0" w:color="auto"/>
        <w:bottom w:val="none" w:sz="0" w:space="0" w:color="auto"/>
        <w:right w:val="none" w:sz="0" w:space="0" w:color="auto"/>
      </w:divBdr>
    </w:div>
    <w:div w:id="1813592313">
      <w:bodyDiv w:val="1"/>
      <w:marLeft w:val="0"/>
      <w:marRight w:val="0"/>
      <w:marTop w:val="0"/>
      <w:marBottom w:val="0"/>
      <w:divBdr>
        <w:top w:val="none" w:sz="0" w:space="0" w:color="auto"/>
        <w:left w:val="none" w:sz="0" w:space="0" w:color="auto"/>
        <w:bottom w:val="none" w:sz="0" w:space="0" w:color="auto"/>
        <w:right w:val="none" w:sz="0" w:space="0" w:color="auto"/>
      </w:divBdr>
    </w:div>
    <w:div w:id="1813866455">
      <w:bodyDiv w:val="1"/>
      <w:marLeft w:val="0"/>
      <w:marRight w:val="0"/>
      <w:marTop w:val="0"/>
      <w:marBottom w:val="0"/>
      <w:divBdr>
        <w:top w:val="none" w:sz="0" w:space="0" w:color="auto"/>
        <w:left w:val="none" w:sz="0" w:space="0" w:color="auto"/>
        <w:bottom w:val="none" w:sz="0" w:space="0" w:color="auto"/>
        <w:right w:val="none" w:sz="0" w:space="0" w:color="auto"/>
      </w:divBdr>
    </w:div>
    <w:div w:id="1814172116">
      <w:bodyDiv w:val="1"/>
      <w:marLeft w:val="0"/>
      <w:marRight w:val="0"/>
      <w:marTop w:val="0"/>
      <w:marBottom w:val="0"/>
      <w:divBdr>
        <w:top w:val="none" w:sz="0" w:space="0" w:color="auto"/>
        <w:left w:val="none" w:sz="0" w:space="0" w:color="auto"/>
        <w:bottom w:val="none" w:sz="0" w:space="0" w:color="auto"/>
        <w:right w:val="none" w:sz="0" w:space="0" w:color="auto"/>
      </w:divBdr>
    </w:div>
    <w:div w:id="1814564111">
      <w:bodyDiv w:val="1"/>
      <w:marLeft w:val="0"/>
      <w:marRight w:val="0"/>
      <w:marTop w:val="0"/>
      <w:marBottom w:val="0"/>
      <w:divBdr>
        <w:top w:val="none" w:sz="0" w:space="0" w:color="auto"/>
        <w:left w:val="none" w:sz="0" w:space="0" w:color="auto"/>
        <w:bottom w:val="none" w:sz="0" w:space="0" w:color="auto"/>
        <w:right w:val="none" w:sz="0" w:space="0" w:color="auto"/>
      </w:divBdr>
    </w:div>
    <w:div w:id="1815371139">
      <w:bodyDiv w:val="1"/>
      <w:marLeft w:val="0"/>
      <w:marRight w:val="0"/>
      <w:marTop w:val="0"/>
      <w:marBottom w:val="0"/>
      <w:divBdr>
        <w:top w:val="none" w:sz="0" w:space="0" w:color="auto"/>
        <w:left w:val="none" w:sz="0" w:space="0" w:color="auto"/>
        <w:bottom w:val="none" w:sz="0" w:space="0" w:color="auto"/>
        <w:right w:val="none" w:sz="0" w:space="0" w:color="auto"/>
      </w:divBdr>
    </w:div>
    <w:div w:id="1815758884">
      <w:bodyDiv w:val="1"/>
      <w:marLeft w:val="0"/>
      <w:marRight w:val="0"/>
      <w:marTop w:val="0"/>
      <w:marBottom w:val="0"/>
      <w:divBdr>
        <w:top w:val="none" w:sz="0" w:space="0" w:color="auto"/>
        <w:left w:val="none" w:sz="0" w:space="0" w:color="auto"/>
        <w:bottom w:val="none" w:sz="0" w:space="0" w:color="auto"/>
        <w:right w:val="none" w:sz="0" w:space="0" w:color="auto"/>
      </w:divBdr>
    </w:div>
    <w:div w:id="1815873390">
      <w:bodyDiv w:val="1"/>
      <w:marLeft w:val="0"/>
      <w:marRight w:val="0"/>
      <w:marTop w:val="0"/>
      <w:marBottom w:val="0"/>
      <w:divBdr>
        <w:top w:val="none" w:sz="0" w:space="0" w:color="auto"/>
        <w:left w:val="none" w:sz="0" w:space="0" w:color="auto"/>
        <w:bottom w:val="none" w:sz="0" w:space="0" w:color="auto"/>
        <w:right w:val="none" w:sz="0" w:space="0" w:color="auto"/>
      </w:divBdr>
    </w:div>
    <w:div w:id="1816096559">
      <w:bodyDiv w:val="1"/>
      <w:marLeft w:val="0"/>
      <w:marRight w:val="0"/>
      <w:marTop w:val="0"/>
      <w:marBottom w:val="0"/>
      <w:divBdr>
        <w:top w:val="none" w:sz="0" w:space="0" w:color="auto"/>
        <w:left w:val="none" w:sz="0" w:space="0" w:color="auto"/>
        <w:bottom w:val="none" w:sz="0" w:space="0" w:color="auto"/>
        <w:right w:val="none" w:sz="0" w:space="0" w:color="auto"/>
      </w:divBdr>
    </w:div>
    <w:div w:id="1816138424">
      <w:bodyDiv w:val="1"/>
      <w:marLeft w:val="0"/>
      <w:marRight w:val="0"/>
      <w:marTop w:val="0"/>
      <w:marBottom w:val="0"/>
      <w:divBdr>
        <w:top w:val="none" w:sz="0" w:space="0" w:color="auto"/>
        <w:left w:val="none" w:sz="0" w:space="0" w:color="auto"/>
        <w:bottom w:val="none" w:sz="0" w:space="0" w:color="auto"/>
        <w:right w:val="none" w:sz="0" w:space="0" w:color="auto"/>
      </w:divBdr>
    </w:div>
    <w:div w:id="1816212838">
      <w:bodyDiv w:val="1"/>
      <w:marLeft w:val="0"/>
      <w:marRight w:val="0"/>
      <w:marTop w:val="0"/>
      <w:marBottom w:val="0"/>
      <w:divBdr>
        <w:top w:val="none" w:sz="0" w:space="0" w:color="auto"/>
        <w:left w:val="none" w:sz="0" w:space="0" w:color="auto"/>
        <w:bottom w:val="none" w:sz="0" w:space="0" w:color="auto"/>
        <w:right w:val="none" w:sz="0" w:space="0" w:color="auto"/>
      </w:divBdr>
    </w:div>
    <w:div w:id="1816335276">
      <w:bodyDiv w:val="1"/>
      <w:marLeft w:val="0"/>
      <w:marRight w:val="0"/>
      <w:marTop w:val="0"/>
      <w:marBottom w:val="0"/>
      <w:divBdr>
        <w:top w:val="none" w:sz="0" w:space="0" w:color="auto"/>
        <w:left w:val="none" w:sz="0" w:space="0" w:color="auto"/>
        <w:bottom w:val="none" w:sz="0" w:space="0" w:color="auto"/>
        <w:right w:val="none" w:sz="0" w:space="0" w:color="auto"/>
      </w:divBdr>
    </w:div>
    <w:div w:id="1816801971">
      <w:bodyDiv w:val="1"/>
      <w:marLeft w:val="0"/>
      <w:marRight w:val="0"/>
      <w:marTop w:val="0"/>
      <w:marBottom w:val="0"/>
      <w:divBdr>
        <w:top w:val="none" w:sz="0" w:space="0" w:color="auto"/>
        <w:left w:val="none" w:sz="0" w:space="0" w:color="auto"/>
        <w:bottom w:val="none" w:sz="0" w:space="0" w:color="auto"/>
        <w:right w:val="none" w:sz="0" w:space="0" w:color="auto"/>
      </w:divBdr>
    </w:div>
    <w:div w:id="1817144189">
      <w:bodyDiv w:val="1"/>
      <w:marLeft w:val="0"/>
      <w:marRight w:val="0"/>
      <w:marTop w:val="0"/>
      <w:marBottom w:val="0"/>
      <w:divBdr>
        <w:top w:val="none" w:sz="0" w:space="0" w:color="auto"/>
        <w:left w:val="none" w:sz="0" w:space="0" w:color="auto"/>
        <w:bottom w:val="none" w:sz="0" w:space="0" w:color="auto"/>
        <w:right w:val="none" w:sz="0" w:space="0" w:color="auto"/>
      </w:divBdr>
    </w:div>
    <w:div w:id="1817523864">
      <w:bodyDiv w:val="1"/>
      <w:marLeft w:val="0"/>
      <w:marRight w:val="0"/>
      <w:marTop w:val="0"/>
      <w:marBottom w:val="0"/>
      <w:divBdr>
        <w:top w:val="none" w:sz="0" w:space="0" w:color="auto"/>
        <w:left w:val="none" w:sz="0" w:space="0" w:color="auto"/>
        <w:bottom w:val="none" w:sz="0" w:space="0" w:color="auto"/>
        <w:right w:val="none" w:sz="0" w:space="0" w:color="auto"/>
      </w:divBdr>
    </w:div>
    <w:div w:id="1818372721">
      <w:bodyDiv w:val="1"/>
      <w:marLeft w:val="0"/>
      <w:marRight w:val="0"/>
      <w:marTop w:val="0"/>
      <w:marBottom w:val="0"/>
      <w:divBdr>
        <w:top w:val="none" w:sz="0" w:space="0" w:color="auto"/>
        <w:left w:val="none" w:sz="0" w:space="0" w:color="auto"/>
        <w:bottom w:val="none" w:sz="0" w:space="0" w:color="auto"/>
        <w:right w:val="none" w:sz="0" w:space="0" w:color="auto"/>
      </w:divBdr>
    </w:div>
    <w:div w:id="1818377234">
      <w:bodyDiv w:val="1"/>
      <w:marLeft w:val="0"/>
      <w:marRight w:val="0"/>
      <w:marTop w:val="0"/>
      <w:marBottom w:val="0"/>
      <w:divBdr>
        <w:top w:val="none" w:sz="0" w:space="0" w:color="auto"/>
        <w:left w:val="none" w:sz="0" w:space="0" w:color="auto"/>
        <w:bottom w:val="none" w:sz="0" w:space="0" w:color="auto"/>
        <w:right w:val="none" w:sz="0" w:space="0" w:color="auto"/>
      </w:divBdr>
    </w:div>
    <w:div w:id="1818573196">
      <w:bodyDiv w:val="1"/>
      <w:marLeft w:val="0"/>
      <w:marRight w:val="0"/>
      <w:marTop w:val="0"/>
      <w:marBottom w:val="0"/>
      <w:divBdr>
        <w:top w:val="none" w:sz="0" w:space="0" w:color="auto"/>
        <w:left w:val="none" w:sz="0" w:space="0" w:color="auto"/>
        <w:bottom w:val="none" w:sz="0" w:space="0" w:color="auto"/>
        <w:right w:val="none" w:sz="0" w:space="0" w:color="auto"/>
      </w:divBdr>
    </w:div>
    <w:div w:id="1818719657">
      <w:bodyDiv w:val="1"/>
      <w:marLeft w:val="0"/>
      <w:marRight w:val="0"/>
      <w:marTop w:val="0"/>
      <w:marBottom w:val="0"/>
      <w:divBdr>
        <w:top w:val="none" w:sz="0" w:space="0" w:color="auto"/>
        <w:left w:val="none" w:sz="0" w:space="0" w:color="auto"/>
        <w:bottom w:val="none" w:sz="0" w:space="0" w:color="auto"/>
        <w:right w:val="none" w:sz="0" w:space="0" w:color="auto"/>
      </w:divBdr>
    </w:div>
    <w:div w:id="1818721932">
      <w:bodyDiv w:val="1"/>
      <w:marLeft w:val="0"/>
      <w:marRight w:val="0"/>
      <w:marTop w:val="0"/>
      <w:marBottom w:val="0"/>
      <w:divBdr>
        <w:top w:val="none" w:sz="0" w:space="0" w:color="auto"/>
        <w:left w:val="none" w:sz="0" w:space="0" w:color="auto"/>
        <w:bottom w:val="none" w:sz="0" w:space="0" w:color="auto"/>
        <w:right w:val="none" w:sz="0" w:space="0" w:color="auto"/>
      </w:divBdr>
    </w:div>
    <w:div w:id="1818913500">
      <w:bodyDiv w:val="1"/>
      <w:marLeft w:val="0"/>
      <w:marRight w:val="0"/>
      <w:marTop w:val="0"/>
      <w:marBottom w:val="0"/>
      <w:divBdr>
        <w:top w:val="none" w:sz="0" w:space="0" w:color="auto"/>
        <w:left w:val="none" w:sz="0" w:space="0" w:color="auto"/>
        <w:bottom w:val="none" w:sz="0" w:space="0" w:color="auto"/>
        <w:right w:val="none" w:sz="0" w:space="0" w:color="auto"/>
      </w:divBdr>
    </w:div>
    <w:div w:id="1819179914">
      <w:bodyDiv w:val="1"/>
      <w:marLeft w:val="0"/>
      <w:marRight w:val="0"/>
      <w:marTop w:val="0"/>
      <w:marBottom w:val="0"/>
      <w:divBdr>
        <w:top w:val="none" w:sz="0" w:space="0" w:color="auto"/>
        <w:left w:val="none" w:sz="0" w:space="0" w:color="auto"/>
        <w:bottom w:val="none" w:sz="0" w:space="0" w:color="auto"/>
        <w:right w:val="none" w:sz="0" w:space="0" w:color="auto"/>
      </w:divBdr>
    </w:div>
    <w:div w:id="1819492347">
      <w:bodyDiv w:val="1"/>
      <w:marLeft w:val="0"/>
      <w:marRight w:val="0"/>
      <w:marTop w:val="0"/>
      <w:marBottom w:val="0"/>
      <w:divBdr>
        <w:top w:val="none" w:sz="0" w:space="0" w:color="auto"/>
        <w:left w:val="none" w:sz="0" w:space="0" w:color="auto"/>
        <w:bottom w:val="none" w:sz="0" w:space="0" w:color="auto"/>
        <w:right w:val="none" w:sz="0" w:space="0" w:color="auto"/>
      </w:divBdr>
    </w:div>
    <w:div w:id="1820413221">
      <w:bodyDiv w:val="1"/>
      <w:marLeft w:val="0"/>
      <w:marRight w:val="0"/>
      <w:marTop w:val="0"/>
      <w:marBottom w:val="0"/>
      <w:divBdr>
        <w:top w:val="none" w:sz="0" w:space="0" w:color="auto"/>
        <w:left w:val="none" w:sz="0" w:space="0" w:color="auto"/>
        <w:bottom w:val="none" w:sz="0" w:space="0" w:color="auto"/>
        <w:right w:val="none" w:sz="0" w:space="0" w:color="auto"/>
      </w:divBdr>
    </w:div>
    <w:div w:id="1820461146">
      <w:bodyDiv w:val="1"/>
      <w:marLeft w:val="0"/>
      <w:marRight w:val="0"/>
      <w:marTop w:val="0"/>
      <w:marBottom w:val="0"/>
      <w:divBdr>
        <w:top w:val="none" w:sz="0" w:space="0" w:color="auto"/>
        <w:left w:val="none" w:sz="0" w:space="0" w:color="auto"/>
        <w:bottom w:val="none" w:sz="0" w:space="0" w:color="auto"/>
        <w:right w:val="none" w:sz="0" w:space="0" w:color="auto"/>
      </w:divBdr>
    </w:div>
    <w:div w:id="1820616085">
      <w:bodyDiv w:val="1"/>
      <w:marLeft w:val="0"/>
      <w:marRight w:val="0"/>
      <w:marTop w:val="0"/>
      <w:marBottom w:val="0"/>
      <w:divBdr>
        <w:top w:val="none" w:sz="0" w:space="0" w:color="auto"/>
        <w:left w:val="none" w:sz="0" w:space="0" w:color="auto"/>
        <w:bottom w:val="none" w:sz="0" w:space="0" w:color="auto"/>
        <w:right w:val="none" w:sz="0" w:space="0" w:color="auto"/>
      </w:divBdr>
    </w:div>
    <w:div w:id="1820682440">
      <w:bodyDiv w:val="1"/>
      <w:marLeft w:val="0"/>
      <w:marRight w:val="0"/>
      <w:marTop w:val="0"/>
      <w:marBottom w:val="0"/>
      <w:divBdr>
        <w:top w:val="none" w:sz="0" w:space="0" w:color="auto"/>
        <w:left w:val="none" w:sz="0" w:space="0" w:color="auto"/>
        <w:bottom w:val="none" w:sz="0" w:space="0" w:color="auto"/>
        <w:right w:val="none" w:sz="0" w:space="0" w:color="auto"/>
      </w:divBdr>
    </w:div>
    <w:div w:id="1820727871">
      <w:bodyDiv w:val="1"/>
      <w:marLeft w:val="0"/>
      <w:marRight w:val="0"/>
      <w:marTop w:val="0"/>
      <w:marBottom w:val="0"/>
      <w:divBdr>
        <w:top w:val="none" w:sz="0" w:space="0" w:color="auto"/>
        <w:left w:val="none" w:sz="0" w:space="0" w:color="auto"/>
        <w:bottom w:val="none" w:sz="0" w:space="0" w:color="auto"/>
        <w:right w:val="none" w:sz="0" w:space="0" w:color="auto"/>
      </w:divBdr>
    </w:div>
    <w:div w:id="1820882945">
      <w:bodyDiv w:val="1"/>
      <w:marLeft w:val="0"/>
      <w:marRight w:val="0"/>
      <w:marTop w:val="0"/>
      <w:marBottom w:val="0"/>
      <w:divBdr>
        <w:top w:val="none" w:sz="0" w:space="0" w:color="auto"/>
        <w:left w:val="none" w:sz="0" w:space="0" w:color="auto"/>
        <w:bottom w:val="none" w:sz="0" w:space="0" w:color="auto"/>
        <w:right w:val="none" w:sz="0" w:space="0" w:color="auto"/>
      </w:divBdr>
    </w:div>
    <w:div w:id="1820922718">
      <w:bodyDiv w:val="1"/>
      <w:marLeft w:val="0"/>
      <w:marRight w:val="0"/>
      <w:marTop w:val="0"/>
      <w:marBottom w:val="0"/>
      <w:divBdr>
        <w:top w:val="none" w:sz="0" w:space="0" w:color="auto"/>
        <w:left w:val="none" w:sz="0" w:space="0" w:color="auto"/>
        <w:bottom w:val="none" w:sz="0" w:space="0" w:color="auto"/>
        <w:right w:val="none" w:sz="0" w:space="0" w:color="auto"/>
      </w:divBdr>
    </w:div>
    <w:div w:id="1820925817">
      <w:bodyDiv w:val="1"/>
      <w:marLeft w:val="0"/>
      <w:marRight w:val="0"/>
      <w:marTop w:val="0"/>
      <w:marBottom w:val="0"/>
      <w:divBdr>
        <w:top w:val="none" w:sz="0" w:space="0" w:color="auto"/>
        <w:left w:val="none" w:sz="0" w:space="0" w:color="auto"/>
        <w:bottom w:val="none" w:sz="0" w:space="0" w:color="auto"/>
        <w:right w:val="none" w:sz="0" w:space="0" w:color="auto"/>
      </w:divBdr>
    </w:div>
    <w:div w:id="1820998224">
      <w:bodyDiv w:val="1"/>
      <w:marLeft w:val="0"/>
      <w:marRight w:val="0"/>
      <w:marTop w:val="0"/>
      <w:marBottom w:val="0"/>
      <w:divBdr>
        <w:top w:val="none" w:sz="0" w:space="0" w:color="auto"/>
        <w:left w:val="none" w:sz="0" w:space="0" w:color="auto"/>
        <w:bottom w:val="none" w:sz="0" w:space="0" w:color="auto"/>
        <w:right w:val="none" w:sz="0" w:space="0" w:color="auto"/>
      </w:divBdr>
    </w:div>
    <w:div w:id="1821000316">
      <w:bodyDiv w:val="1"/>
      <w:marLeft w:val="0"/>
      <w:marRight w:val="0"/>
      <w:marTop w:val="0"/>
      <w:marBottom w:val="0"/>
      <w:divBdr>
        <w:top w:val="none" w:sz="0" w:space="0" w:color="auto"/>
        <w:left w:val="none" w:sz="0" w:space="0" w:color="auto"/>
        <w:bottom w:val="none" w:sz="0" w:space="0" w:color="auto"/>
        <w:right w:val="none" w:sz="0" w:space="0" w:color="auto"/>
      </w:divBdr>
    </w:div>
    <w:div w:id="1821071502">
      <w:bodyDiv w:val="1"/>
      <w:marLeft w:val="0"/>
      <w:marRight w:val="0"/>
      <w:marTop w:val="0"/>
      <w:marBottom w:val="0"/>
      <w:divBdr>
        <w:top w:val="none" w:sz="0" w:space="0" w:color="auto"/>
        <w:left w:val="none" w:sz="0" w:space="0" w:color="auto"/>
        <w:bottom w:val="none" w:sz="0" w:space="0" w:color="auto"/>
        <w:right w:val="none" w:sz="0" w:space="0" w:color="auto"/>
      </w:divBdr>
    </w:div>
    <w:div w:id="1821383843">
      <w:bodyDiv w:val="1"/>
      <w:marLeft w:val="0"/>
      <w:marRight w:val="0"/>
      <w:marTop w:val="0"/>
      <w:marBottom w:val="0"/>
      <w:divBdr>
        <w:top w:val="none" w:sz="0" w:space="0" w:color="auto"/>
        <w:left w:val="none" w:sz="0" w:space="0" w:color="auto"/>
        <w:bottom w:val="none" w:sz="0" w:space="0" w:color="auto"/>
        <w:right w:val="none" w:sz="0" w:space="0" w:color="auto"/>
      </w:divBdr>
    </w:div>
    <w:div w:id="1821456497">
      <w:bodyDiv w:val="1"/>
      <w:marLeft w:val="0"/>
      <w:marRight w:val="0"/>
      <w:marTop w:val="0"/>
      <w:marBottom w:val="0"/>
      <w:divBdr>
        <w:top w:val="none" w:sz="0" w:space="0" w:color="auto"/>
        <w:left w:val="none" w:sz="0" w:space="0" w:color="auto"/>
        <w:bottom w:val="none" w:sz="0" w:space="0" w:color="auto"/>
        <w:right w:val="none" w:sz="0" w:space="0" w:color="auto"/>
      </w:divBdr>
    </w:div>
    <w:div w:id="1822311015">
      <w:bodyDiv w:val="1"/>
      <w:marLeft w:val="0"/>
      <w:marRight w:val="0"/>
      <w:marTop w:val="0"/>
      <w:marBottom w:val="0"/>
      <w:divBdr>
        <w:top w:val="none" w:sz="0" w:space="0" w:color="auto"/>
        <w:left w:val="none" w:sz="0" w:space="0" w:color="auto"/>
        <w:bottom w:val="none" w:sz="0" w:space="0" w:color="auto"/>
        <w:right w:val="none" w:sz="0" w:space="0" w:color="auto"/>
      </w:divBdr>
    </w:div>
    <w:div w:id="1822578741">
      <w:bodyDiv w:val="1"/>
      <w:marLeft w:val="0"/>
      <w:marRight w:val="0"/>
      <w:marTop w:val="0"/>
      <w:marBottom w:val="0"/>
      <w:divBdr>
        <w:top w:val="none" w:sz="0" w:space="0" w:color="auto"/>
        <w:left w:val="none" w:sz="0" w:space="0" w:color="auto"/>
        <w:bottom w:val="none" w:sz="0" w:space="0" w:color="auto"/>
        <w:right w:val="none" w:sz="0" w:space="0" w:color="auto"/>
      </w:divBdr>
    </w:div>
    <w:div w:id="1822580646">
      <w:bodyDiv w:val="1"/>
      <w:marLeft w:val="0"/>
      <w:marRight w:val="0"/>
      <w:marTop w:val="0"/>
      <w:marBottom w:val="0"/>
      <w:divBdr>
        <w:top w:val="none" w:sz="0" w:space="0" w:color="auto"/>
        <w:left w:val="none" w:sz="0" w:space="0" w:color="auto"/>
        <w:bottom w:val="none" w:sz="0" w:space="0" w:color="auto"/>
        <w:right w:val="none" w:sz="0" w:space="0" w:color="auto"/>
      </w:divBdr>
    </w:div>
    <w:div w:id="1822651305">
      <w:bodyDiv w:val="1"/>
      <w:marLeft w:val="0"/>
      <w:marRight w:val="0"/>
      <w:marTop w:val="0"/>
      <w:marBottom w:val="0"/>
      <w:divBdr>
        <w:top w:val="none" w:sz="0" w:space="0" w:color="auto"/>
        <w:left w:val="none" w:sz="0" w:space="0" w:color="auto"/>
        <w:bottom w:val="none" w:sz="0" w:space="0" w:color="auto"/>
        <w:right w:val="none" w:sz="0" w:space="0" w:color="auto"/>
      </w:divBdr>
    </w:div>
    <w:div w:id="1822962258">
      <w:bodyDiv w:val="1"/>
      <w:marLeft w:val="0"/>
      <w:marRight w:val="0"/>
      <w:marTop w:val="0"/>
      <w:marBottom w:val="0"/>
      <w:divBdr>
        <w:top w:val="none" w:sz="0" w:space="0" w:color="auto"/>
        <w:left w:val="none" w:sz="0" w:space="0" w:color="auto"/>
        <w:bottom w:val="none" w:sz="0" w:space="0" w:color="auto"/>
        <w:right w:val="none" w:sz="0" w:space="0" w:color="auto"/>
      </w:divBdr>
    </w:div>
    <w:div w:id="1822965229">
      <w:bodyDiv w:val="1"/>
      <w:marLeft w:val="0"/>
      <w:marRight w:val="0"/>
      <w:marTop w:val="0"/>
      <w:marBottom w:val="0"/>
      <w:divBdr>
        <w:top w:val="none" w:sz="0" w:space="0" w:color="auto"/>
        <w:left w:val="none" w:sz="0" w:space="0" w:color="auto"/>
        <w:bottom w:val="none" w:sz="0" w:space="0" w:color="auto"/>
        <w:right w:val="none" w:sz="0" w:space="0" w:color="auto"/>
      </w:divBdr>
    </w:div>
    <w:div w:id="1823890631">
      <w:bodyDiv w:val="1"/>
      <w:marLeft w:val="0"/>
      <w:marRight w:val="0"/>
      <w:marTop w:val="0"/>
      <w:marBottom w:val="0"/>
      <w:divBdr>
        <w:top w:val="none" w:sz="0" w:space="0" w:color="auto"/>
        <w:left w:val="none" w:sz="0" w:space="0" w:color="auto"/>
        <w:bottom w:val="none" w:sz="0" w:space="0" w:color="auto"/>
        <w:right w:val="none" w:sz="0" w:space="0" w:color="auto"/>
      </w:divBdr>
    </w:div>
    <w:div w:id="1824155876">
      <w:bodyDiv w:val="1"/>
      <w:marLeft w:val="0"/>
      <w:marRight w:val="0"/>
      <w:marTop w:val="0"/>
      <w:marBottom w:val="0"/>
      <w:divBdr>
        <w:top w:val="none" w:sz="0" w:space="0" w:color="auto"/>
        <w:left w:val="none" w:sz="0" w:space="0" w:color="auto"/>
        <w:bottom w:val="none" w:sz="0" w:space="0" w:color="auto"/>
        <w:right w:val="none" w:sz="0" w:space="0" w:color="auto"/>
      </w:divBdr>
    </w:div>
    <w:div w:id="1824156113">
      <w:bodyDiv w:val="1"/>
      <w:marLeft w:val="0"/>
      <w:marRight w:val="0"/>
      <w:marTop w:val="0"/>
      <w:marBottom w:val="0"/>
      <w:divBdr>
        <w:top w:val="none" w:sz="0" w:space="0" w:color="auto"/>
        <w:left w:val="none" w:sz="0" w:space="0" w:color="auto"/>
        <w:bottom w:val="none" w:sz="0" w:space="0" w:color="auto"/>
        <w:right w:val="none" w:sz="0" w:space="0" w:color="auto"/>
      </w:divBdr>
    </w:div>
    <w:div w:id="1824196252">
      <w:bodyDiv w:val="1"/>
      <w:marLeft w:val="0"/>
      <w:marRight w:val="0"/>
      <w:marTop w:val="0"/>
      <w:marBottom w:val="0"/>
      <w:divBdr>
        <w:top w:val="none" w:sz="0" w:space="0" w:color="auto"/>
        <w:left w:val="none" w:sz="0" w:space="0" w:color="auto"/>
        <w:bottom w:val="none" w:sz="0" w:space="0" w:color="auto"/>
        <w:right w:val="none" w:sz="0" w:space="0" w:color="auto"/>
      </w:divBdr>
    </w:div>
    <w:div w:id="1824422583">
      <w:bodyDiv w:val="1"/>
      <w:marLeft w:val="0"/>
      <w:marRight w:val="0"/>
      <w:marTop w:val="0"/>
      <w:marBottom w:val="0"/>
      <w:divBdr>
        <w:top w:val="none" w:sz="0" w:space="0" w:color="auto"/>
        <w:left w:val="none" w:sz="0" w:space="0" w:color="auto"/>
        <w:bottom w:val="none" w:sz="0" w:space="0" w:color="auto"/>
        <w:right w:val="none" w:sz="0" w:space="0" w:color="auto"/>
      </w:divBdr>
    </w:div>
    <w:div w:id="1824465685">
      <w:bodyDiv w:val="1"/>
      <w:marLeft w:val="0"/>
      <w:marRight w:val="0"/>
      <w:marTop w:val="0"/>
      <w:marBottom w:val="0"/>
      <w:divBdr>
        <w:top w:val="none" w:sz="0" w:space="0" w:color="auto"/>
        <w:left w:val="none" w:sz="0" w:space="0" w:color="auto"/>
        <w:bottom w:val="none" w:sz="0" w:space="0" w:color="auto"/>
        <w:right w:val="none" w:sz="0" w:space="0" w:color="auto"/>
      </w:divBdr>
    </w:div>
    <w:div w:id="1824587953">
      <w:bodyDiv w:val="1"/>
      <w:marLeft w:val="0"/>
      <w:marRight w:val="0"/>
      <w:marTop w:val="0"/>
      <w:marBottom w:val="0"/>
      <w:divBdr>
        <w:top w:val="none" w:sz="0" w:space="0" w:color="auto"/>
        <w:left w:val="none" w:sz="0" w:space="0" w:color="auto"/>
        <w:bottom w:val="none" w:sz="0" w:space="0" w:color="auto"/>
        <w:right w:val="none" w:sz="0" w:space="0" w:color="auto"/>
      </w:divBdr>
    </w:div>
    <w:div w:id="1824808660">
      <w:bodyDiv w:val="1"/>
      <w:marLeft w:val="0"/>
      <w:marRight w:val="0"/>
      <w:marTop w:val="0"/>
      <w:marBottom w:val="0"/>
      <w:divBdr>
        <w:top w:val="none" w:sz="0" w:space="0" w:color="auto"/>
        <w:left w:val="none" w:sz="0" w:space="0" w:color="auto"/>
        <w:bottom w:val="none" w:sz="0" w:space="0" w:color="auto"/>
        <w:right w:val="none" w:sz="0" w:space="0" w:color="auto"/>
      </w:divBdr>
    </w:div>
    <w:div w:id="1825076015">
      <w:bodyDiv w:val="1"/>
      <w:marLeft w:val="0"/>
      <w:marRight w:val="0"/>
      <w:marTop w:val="0"/>
      <w:marBottom w:val="0"/>
      <w:divBdr>
        <w:top w:val="none" w:sz="0" w:space="0" w:color="auto"/>
        <w:left w:val="none" w:sz="0" w:space="0" w:color="auto"/>
        <w:bottom w:val="none" w:sz="0" w:space="0" w:color="auto"/>
        <w:right w:val="none" w:sz="0" w:space="0" w:color="auto"/>
      </w:divBdr>
    </w:div>
    <w:div w:id="1825118943">
      <w:bodyDiv w:val="1"/>
      <w:marLeft w:val="0"/>
      <w:marRight w:val="0"/>
      <w:marTop w:val="0"/>
      <w:marBottom w:val="0"/>
      <w:divBdr>
        <w:top w:val="none" w:sz="0" w:space="0" w:color="auto"/>
        <w:left w:val="none" w:sz="0" w:space="0" w:color="auto"/>
        <w:bottom w:val="none" w:sz="0" w:space="0" w:color="auto"/>
        <w:right w:val="none" w:sz="0" w:space="0" w:color="auto"/>
      </w:divBdr>
    </w:div>
    <w:div w:id="1825122836">
      <w:bodyDiv w:val="1"/>
      <w:marLeft w:val="0"/>
      <w:marRight w:val="0"/>
      <w:marTop w:val="0"/>
      <w:marBottom w:val="0"/>
      <w:divBdr>
        <w:top w:val="none" w:sz="0" w:space="0" w:color="auto"/>
        <w:left w:val="none" w:sz="0" w:space="0" w:color="auto"/>
        <w:bottom w:val="none" w:sz="0" w:space="0" w:color="auto"/>
        <w:right w:val="none" w:sz="0" w:space="0" w:color="auto"/>
      </w:divBdr>
    </w:div>
    <w:div w:id="1825663161">
      <w:bodyDiv w:val="1"/>
      <w:marLeft w:val="0"/>
      <w:marRight w:val="0"/>
      <w:marTop w:val="0"/>
      <w:marBottom w:val="0"/>
      <w:divBdr>
        <w:top w:val="none" w:sz="0" w:space="0" w:color="auto"/>
        <w:left w:val="none" w:sz="0" w:space="0" w:color="auto"/>
        <w:bottom w:val="none" w:sz="0" w:space="0" w:color="auto"/>
        <w:right w:val="none" w:sz="0" w:space="0" w:color="auto"/>
      </w:divBdr>
    </w:div>
    <w:div w:id="1825851697">
      <w:bodyDiv w:val="1"/>
      <w:marLeft w:val="0"/>
      <w:marRight w:val="0"/>
      <w:marTop w:val="0"/>
      <w:marBottom w:val="0"/>
      <w:divBdr>
        <w:top w:val="none" w:sz="0" w:space="0" w:color="auto"/>
        <w:left w:val="none" w:sz="0" w:space="0" w:color="auto"/>
        <w:bottom w:val="none" w:sz="0" w:space="0" w:color="auto"/>
        <w:right w:val="none" w:sz="0" w:space="0" w:color="auto"/>
      </w:divBdr>
    </w:div>
    <w:div w:id="1825854062">
      <w:bodyDiv w:val="1"/>
      <w:marLeft w:val="0"/>
      <w:marRight w:val="0"/>
      <w:marTop w:val="0"/>
      <w:marBottom w:val="0"/>
      <w:divBdr>
        <w:top w:val="none" w:sz="0" w:space="0" w:color="auto"/>
        <w:left w:val="none" w:sz="0" w:space="0" w:color="auto"/>
        <w:bottom w:val="none" w:sz="0" w:space="0" w:color="auto"/>
        <w:right w:val="none" w:sz="0" w:space="0" w:color="auto"/>
      </w:divBdr>
    </w:div>
    <w:div w:id="1825972237">
      <w:bodyDiv w:val="1"/>
      <w:marLeft w:val="0"/>
      <w:marRight w:val="0"/>
      <w:marTop w:val="0"/>
      <w:marBottom w:val="0"/>
      <w:divBdr>
        <w:top w:val="none" w:sz="0" w:space="0" w:color="auto"/>
        <w:left w:val="none" w:sz="0" w:space="0" w:color="auto"/>
        <w:bottom w:val="none" w:sz="0" w:space="0" w:color="auto"/>
        <w:right w:val="none" w:sz="0" w:space="0" w:color="auto"/>
      </w:divBdr>
    </w:div>
    <w:div w:id="1826046742">
      <w:bodyDiv w:val="1"/>
      <w:marLeft w:val="0"/>
      <w:marRight w:val="0"/>
      <w:marTop w:val="0"/>
      <w:marBottom w:val="0"/>
      <w:divBdr>
        <w:top w:val="none" w:sz="0" w:space="0" w:color="auto"/>
        <w:left w:val="none" w:sz="0" w:space="0" w:color="auto"/>
        <w:bottom w:val="none" w:sz="0" w:space="0" w:color="auto"/>
        <w:right w:val="none" w:sz="0" w:space="0" w:color="auto"/>
      </w:divBdr>
    </w:div>
    <w:div w:id="1826313657">
      <w:bodyDiv w:val="1"/>
      <w:marLeft w:val="0"/>
      <w:marRight w:val="0"/>
      <w:marTop w:val="0"/>
      <w:marBottom w:val="0"/>
      <w:divBdr>
        <w:top w:val="none" w:sz="0" w:space="0" w:color="auto"/>
        <w:left w:val="none" w:sz="0" w:space="0" w:color="auto"/>
        <w:bottom w:val="none" w:sz="0" w:space="0" w:color="auto"/>
        <w:right w:val="none" w:sz="0" w:space="0" w:color="auto"/>
      </w:divBdr>
    </w:div>
    <w:div w:id="1826319622">
      <w:bodyDiv w:val="1"/>
      <w:marLeft w:val="0"/>
      <w:marRight w:val="0"/>
      <w:marTop w:val="0"/>
      <w:marBottom w:val="0"/>
      <w:divBdr>
        <w:top w:val="none" w:sz="0" w:space="0" w:color="auto"/>
        <w:left w:val="none" w:sz="0" w:space="0" w:color="auto"/>
        <w:bottom w:val="none" w:sz="0" w:space="0" w:color="auto"/>
        <w:right w:val="none" w:sz="0" w:space="0" w:color="auto"/>
      </w:divBdr>
    </w:div>
    <w:div w:id="1826506818">
      <w:bodyDiv w:val="1"/>
      <w:marLeft w:val="0"/>
      <w:marRight w:val="0"/>
      <w:marTop w:val="0"/>
      <w:marBottom w:val="0"/>
      <w:divBdr>
        <w:top w:val="none" w:sz="0" w:space="0" w:color="auto"/>
        <w:left w:val="none" w:sz="0" w:space="0" w:color="auto"/>
        <w:bottom w:val="none" w:sz="0" w:space="0" w:color="auto"/>
        <w:right w:val="none" w:sz="0" w:space="0" w:color="auto"/>
      </w:divBdr>
    </w:div>
    <w:div w:id="1826972313">
      <w:bodyDiv w:val="1"/>
      <w:marLeft w:val="0"/>
      <w:marRight w:val="0"/>
      <w:marTop w:val="0"/>
      <w:marBottom w:val="0"/>
      <w:divBdr>
        <w:top w:val="none" w:sz="0" w:space="0" w:color="auto"/>
        <w:left w:val="none" w:sz="0" w:space="0" w:color="auto"/>
        <w:bottom w:val="none" w:sz="0" w:space="0" w:color="auto"/>
        <w:right w:val="none" w:sz="0" w:space="0" w:color="auto"/>
      </w:divBdr>
    </w:div>
    <w:div w:id="1827278193">
      <w:bodyDiv w:val="1"/>
      <w:marLeft w:val="0"/>
      <w:marRight w:val="0"/>
      <w:marTop w:val="0"/>
      <w:marBottom w:val="0"/>
      <w:divBdr>
        <w:top w:val="none" w:sz="0" w:space="0" w:color="auto"/>
        <w:left w:val="none" w:sz="0" w:space="0" w:color="auto"/>
        <w:bottom w:val="none" w:sz="0" w:space="0" w:color="auto"/>
        <w:right w:val="none" w:sz="0" w:space="0" w:color="auto"/>
      </w:divBdr>
    </w:div>
    <w:div w:id="1828130645">
      <w:bodyDiv w:val="1"/>
      <w:marLeft w:val="0"/>
      <w:marRight w:val="0"/>
      <w:marTop w:val="0"/>
      <w:marBottom w:val="0"/>
      <w:divBdr>
        <w:top w:val="none" w:sz="0" w:space="0" w:color="auto"/>
        <w:left w:val="none" w:sz="0" w:space="0" w:color="auto"/>
        <w:bottom w:val="none" w:sz="0" w:space="0" w:color="auto"/>
        <w:right w:val="none" w:sz="0" w:space="0" w:color="auto"/>
      </w:divBdr>
    </w:div>
    <w:div w:id="1828209665">
      <w:bodyDiv w:val="1"/>
      <w:marLeft w:val="0"/>
      <w:marRight w:val="0"/>
      <w:marTop w:val="0"/>
      <w:marBottom w:val="0"/>
      <w:divBdr>
        <w:top w:val="none" w:sz="0" w:space="0" w:color="auto"/>
        <w:left w:val="none" w:sz="0" w:space="0" w:color="auto"/>
        <w:bottom w:val="none" w:sz="0" w:space="0" w:color="auto"/>
        <w:right w:val="none" w:sz="0" w:space="0" w:color="auto"/>
      </w:divBdr>
    </w:div>
    <w:div w:id="1828665869">
      <w:bodyDiv w:val="1"/>
      <w:marLeft w:val="0"/>
      <w:marRight w:val="0"/>
      <w:marTop w:val="0"/>
      <w:marBottom w:val="0"/>
      <w:divBdr>
        <w:top w:val="none" w:sz="0" w:space="0" w:color="auto"/>
        <w:left w:val="none" w:sz="0" w:space="0" w:color="auto"/>
        <w:bottom w:val="none" w:sz="0" w:space="0" w:color="auto"/>
        <w:right w:val="none" w:sz="0" w:space="0" w:color="auto"/>
      </w:divBdr>
    </w:div>
    <w:div w:id="1828935675">
      <w:bodyDiv w:val="1"/>
      <w:marLeft w:val="0"/>
      <w:marRight w:val="0"/>
      <w:marTop w:val="0"/>
      <w:marBottom w:val="0"/>
      <w:divBdr>
        <w:top w:val="none" w:sz="0" w:space="0" w:color="auto"/>
        <w:left w:val="none" w:sz="0" w:space="0" w:color="auto"/>
        <w:bottom w:val="none" w:sz="0" w:space="0" w:color="auto"/>
        <w:right w:val="none" w:sz="0" w:space="0" w:color="auto"/>
      </w:divBdr>
    </w:div>
    <w:div w:id="1829128882">
      <w:bodyDiv w:val="1"/>
      <w:marLeft w:val="0"/>
      <w:marRight w:val="0"/>
      <w:marTop w:val="0"/>
      <w:marBottom w:val="0"/>
      <w:divBdr>
        <w:top w:val="none" w:sz="0" w:space="0" w:color="auto"/>
        <w:left w:val="none" w:sz="0" w:space="0" w:color="auto"/>
        <w:bottom w:val="none" w:sz="0" w:space="0" w:color="auto"/>
        <w:right w:val="none" w:sz="0" w:space="0" w:color="auto"/>
      </w:divBdr>
    </w:div>
    <w:div w:id="1829319012">
      <w:bodyDiv w:val="1"/>
      <w:marLeft w:val="0"/>
      <w:marRight w:val="0"/>
      <w:marTop w:val="0"/>
      <w:marBottom w:val="0"/>
      <w:divBdr>
        <w:top w:val="none" w:sz="0" w:space="0" w:color="auto"/>
        <w:left w:val="none" w:sz="0" w:space="0" w:color="auto"/>
        <w:bottom w:val="none" w:sz="0" w:space="0" w:color="auto"/>
        <w:right w:val="none" w:sz="0" w:space="0" w:color="auto"/>
      </w:divBdr>
    </w:div>
    <w:div w:id="1829907066">
      <w:bodyDiv w:val="1"/>
      <w:marLeft w:val="0"/>
      <w:marRight w:val="0"/>
      <w:marTop w:val="0"/>
      <w:marBottom w:val="0"/>
      <w:divBdr>
        <w:top w:val="none" w:sz="0" w:space="0" w:color="auto"/>
        <w:left w:val="none" w:sz="0" w:space="0" w:color="auto"/>
        <w:bottom w:val="none" w:sz="0" w:space="0" w:color="auto"/>
        <w:right w:val="none" w:sz="0" w:space="0" w:color="auto"/>
      </w:divBdr>
    </w:div>
    <w:div w:id="1830057929">
      <w:bodyDiv w:val="1"/>
      <w:marLeft w:val="0"/>
      <w:marRight w:val="0"/>
      <w:marTop w:val="0"/>
      <w:marBottom w:val="0"/>
      <w:divBdr>
        <w:top w:val="none" w:sz="0" w:space="0" w:color="auto"/>
        <w:left w:val="none" w:sz="0" w:space="0" w:color="auto"/>
        <w:bottom w:val="none" w:sz="0" w:space="0" w:color="auto"/>
        <w:right w:val="none" w:sz="0" w:space="0" w:color="auto"/>
      </w:divBdr>
    </w:div>
    <w:div w:id="1830058535">
      <w:bodyDiv w:val="1"/>
      <w:marLeft w:val="0"/>
      <w:marRight w:val="0"/>
      <w:marTop w:val="0"/>
      <w:marBottom w:val="0"/>
      <w:divBdr>
        <w:top w:val="none" w:sz="0" w:space="0" w:color="auto"/>
        <w:left w:val="none" w:sz="0" w:space="0" w:color="auto"/>
        <w:bottom w:val="none" w:sz="0" w:space="0" w:color="auto"/>
        <w:right w:val="none" w:sz="0" w:space="0" w:color="auto"/>
      </w:divBdr>
    </w:div>
    <w:div w:id="1830293517">
      <w:bodyDiv w:val="1"/>
      <w:marLeft w:val="0"/>
      <w:marRight w:val="0"/>
      <w:marTop w:val="0"/>
      <w:marBottom w:val="0"/>
      <w:divBdr>
        <w:top w:val="none" w:sz="0" w:space="0" w:color="auto"/>
        <w:left w:val="none" w:sz="0" w:space="0" w:color="auto"/>
        <w:bottom w:val="none" w:sz="0" w:space="0" w:color="auto"/>
        <w:right w:val="none" w:sz="0" w:space="0" w:color="auto"/>
      </w:divBdr>
    </w:div>
    <w:div w:id="1830439140">
      <w:bodyDiv w:val="1"/>
      <w:marLeft w:val="0"/>
      <w:marRight w:val="0"/>
      <w:marTop w:val="0"/>
      <w:marBottom w:val="0"/>
      <w:divBdr>
        <w:top w:val="none" w:sz="0" w:space="0" w:color="auto"/>
        <w:left w:val="none" w:sz="0" w:space="0" w:color="auto"/>
        <w:bottom w:val="none" w:sz="0" w:space="0" w:color="auto"/>
        <w:right w:val="none" w:sz="0" w:space="0" w:color="auto"/>
      </w:divBdr>
    </w:div>
    <w:div w:id="1830516908">
      <w:bodyDiv w:val="1"/>
      <w:marLeft w:val="0"/>
      <w:marRight w:val="0"/>
      <w:marTop w:val="0"/>
      <w:marBottom w:val="0"/>
      <w:divBdr>
        <w:top w:val="none" w:sz="0" w:space="0" w:color="auto"/>
        <w:left w:val="none" w:sz="0" w:space="0" w:color="auto"/>
        <w:bottom w:val="none" w:sz="0" w:space="0" w:color="auto"/>
        <w:right w:val="none" w:sz="0" w:space="0" w:color="auto"/>
      </w:divBdr>
    </w:div>
    <w:div w:id="1831015619">
      <w:bodyDiv w:val="1"/>
      <w:marLeft w:val="0"/>
      <w:marRight w:val="0"/>
      <w:marTop w:val="0"/>
      <w:marBottom w:val="0"/>
      <w:divBdr>
        <w:top w:val="none" w:sz="0" w:space="0" w:color="auto"/>
        <w:left w:val="none" w:sz="0" w:space="0" w:color="auto"/>
        <w:bottom w:val="none" w:sz="0" w:space="0" w:color="auto"/>
        <w:right w:val="none" w:sz="0" w:space="0" w:color="auto"/>
      </w:divBdr>
    </w:div>
    <w:div w:id="1831210291">
      <w:bodyDiv w:val="1"/>
      <w:marLeft w:val="0"/>
      <w:marRight w:val="0"/>
      <w:marTop w:val="0"/>
      <w:marBottom w:val="0"/>
      <w:divBdr>
        <w:top w:val="none" w:sz="0" w:space="0" w:color="auto"/>
        <w:left w:val="none" w:sz="0" w:space="0" w:color="auto"/>
        <w:bottom w:val="none" w:sz="0" w:space="0" w:color="auto"/>
        <w:right w:val="none" w:sz="0" w:space="0" w:color="auto"/>
      </w:divBdr>
    </w:div>
    <w:div w:id="1831434924">
      <w:bodyDiv w:val="1"/>
      <w:marLeft w:val="0"/>
      <w:marRight w:val="0"/>
      <w:marTop w:val="0"/>
      <w:marBottom w:val="0"/>
      <w:divBdr>
        <w:top w:val="none" w:sz="0" w:space="0" w:color="auto"/>
        <w:left w:val="none" w:sz="0" w:space="0" w:color="auto"/>
        <w:bottom w:val="none" w:sz="0" w:space="0" w:color="auto"/>
        <w:right w:val="none" w:sz="0" w:space="0" w:color="auto"/>
      </w:divBdr>
    </w:div>
    <w:div w:id="1831486965">
      <w:bodyDiv w:val="1"/>
      <w:marLeft w:val="0"/>
      <w:marRight w:val="0"/>
      <w:marTop w:val="0"/>
      <w:marBottom w:val="0"/>
      <w:divBdr>
        <w:top w:val="none" w:sz="0" w:space="0" w:color="auto"/>
        <w:left w:val="none" w:sz="0" w:space="0" w:color="auto"/>
        <w:bottom w:val="none" w:sz="0" w:space="0" w:color="auto"/>
        <w:right w:val="none" w:sz="0" w:space="0" w:color="auto"/>
      </w:divBdr>
    </w:div>
    <w:div w:id="1831557671">
      <w:bodyDiv w:val="1"/>
      <w:marLeft w:val="0"/>
      <w:marRight w:val="0"/>
      <w:marTop w:val="0"/>
      <w:marBottom w:val="0"/>
      <w:divBdr>
        <w:top w:val="none" w:sz="0" w:space="0" w:color="auto"/>
        <w:left w:val="none" w:sz="0" w:space="0" w:color="auto"/>
        <w:bottom w:val="none" w:sz="0" w:space="0" w:color="auto"/>
        <w:right w:val="none" w:sz="0" w:space="0" w:color="auto"/>
      </w:divBdr>
    </w:div>
    <w:div w:id="1831602254">
      <w:bodyDiv w:val="1"/>
      <w:marLeft w:val="0"/>
      <w:marRight w:val="0"/>
      <w:marTop w:val="0"/>
      <w:marBottom w:val="0"/>
      <w:divBdr>
        <w:top w:val="none" w:sz="0" w:space="0" w:color="auto"/>
        <w:left w:val="none" w:sz="0" w:space="0" w:color="auto"/>
        <w:bottom w:val="none" w:sz="0" w:space="0" w:color="auto"/>
        <w:right w:val="none" w:sz="0" w:space="0" w:color="auto"/>
      </w:divBdr>
    </w:div>
    <w:div w:id="1831603490">
      <w:bodyDiv w:val="1"/>
      <w:marLeft w:val="0"/>
      <w:marRight w:val="0"/>
      <w:marTop w:val="0"/>
      <w:marBottom w:val="0"/>
      <w:divBdr>
        <w:top w:val="none" w:sz="0" w:space="0" w:color="auto"/>
        <w:left w:val="none" w:sz="0" w:space="0" w:color="auto"/>
        <w:bottom w:val="none" w:sz="0" w:space="0" w:color="auto"/>
        <w:right w:val="none" w:sz="0" w:space="0" w:color="auto"/>
      </w:divBdr>
    </w:div>
    <w:div w:id="1831676894">
      <w:bodyDiv w:val="1"/>
      <w:marLeft w:val="0"/>
      <w:marRight w:val="0"/>
      <w:marTop w:val="0"/>
      <w:marBottom w:val="0"/>
      <w:divBdr>
        <w:top w:val="none" w:sz="0" w:space="0" w:color="auto"/>
        <w:left w:val="none" w:sz="0" w:space="0" w:color="auto"/>
        <w:bottom w:val="none" w:sz="0" w:space="0" w:color="auto"/>
        <w:right w:val="none" w:sz="0" w:space="0" w:color="auto"/>
      </w:divBdr>
    </w:div>
    <w:div w:id="1831940708">
      <w:bodyDiv w:val="1"/>
      <w:marLeft w:val="0"/>
      <w:marRight w:val="0"/>
      <w:marTop w:val="0"/>
      <w:marBottom w:val="0"/>
      <w:divBdr>
        <w:top w:val="none" w:sz="0" w:space="0" w:color="auto"/>
        <w:left w:val="none" w:sz="0" w:space="0" w:color="auto"/>
        <w:bottom w:val="none" w:sz="0" w:space="0" w:color="auto"/>
        <w:right w:val="none" w:sz="0" w:space="0" w:color="auto"/>
      </w:divBdr>
    </w:div>
    <w:div w:id="1832288182">
      <w:bodyDiv w:val="1"/>
      <w:marLeft w:val="0"/>
      <w:marRight w:val="0"/>
      <w:marTop w:val="0"/>
      <w:marBottom w:val="0"/>
      <w:divBdr>
        <w:top w:val="none" w:sz="0" w:space="0" w:color="auto"/>
        <w:left w:val="none" w:sz="0" w:space="0" w:color="auto"/>
        <w:bottom w:val="none" w:sz="0" w:space="0" w:color="auto"/>
        <w:right w:val="none" w:sz="0" w:space="0" w:color="auto"/>
      </w:divBdr>
    </w:div>
    <w:div w:id="1832983256">
      <w:bodyDiv w:val="1"/>
      <w:marLeft w:val="0"/>
      <w:marRight w:val="0"/>
      <w:marTop w:val="0"/>
      <w:marBottom w:val="0"/>
      <w:divBdr>
        <w:top w:val="none" w:sz="0" w:space="0" w:color="auto"/>
        <w:left w:val="none" w:sz="0" w:space="0" w:color="auto"/>
        <w:bottom w:val="none" w:sz="0" w:space="0" w:color="auto"/>
        <w:right w:val="none" w:sz="0" w:space="0" w:color="auto"/>
      </w:divBdr>
    </w:div>
    <w:div w:id="1832983908">
      <w:bodyDiv w:val="1"/>
      <w:marLeft w:val="0"/>
      <w:marRight w:val="0"/>
      <w:marTop w:val="0"/>
      <w:marBottom w:val="0"/>
      <w:divBdr>
        <w:top w:val="none" w:sz="0" w:space="0" w:color="auto"/>
        <w:left w:val="none" w:sz="0" w:space="0" w:color="auto"/>
        <w:bottom w:val="none" w:sz="0" w:space="0" w:color="auto"/>
        <w:right w:val="none" w:sz="0" w:space="0" w:color="auto"/>
      </w:divBdr>
    </w:div>
    <w:div w:id="1832990494">
      <w:bodyDiv w:val="1"/>
      <w:marLeft w:val="0"/>
      <w:marRight w:val="0"/>
      <w:marTop w:val="0"/>
      <w:marBottom w:val="0"/>
      <w:divBdr>
        <w:top w:val="none" w:sz="0" w:space="0" w:color="auto"/>
        <w:left w:val="none" w:sz="0" w:space="0" w:color="auto"/>
        <w:bottom w:val="none" w:sz="0" w:space="0" w:color="auto"/>
        <w:right w:val="none" w:sz="0" w:space="0" w:color="auto"/>
      </w:divBdr>
    </w:div>
    <w:div w:id="1833059147">
      <w:bodyDiv w:val="1"/>
      <w:marLeft w:val="0"/>
      <w:marRight w:val="0"/>
      <w:marTop w:val="0"/>
      <w:marBottom w:val="0"/>
      <w:divBdr>
        <w:top w:val="none" w:sz="0" w:space="0" w:color="auto"/>
        <w:left w:val="none" w:sz="0" w:space="0" w:color="auto"/>
        <w:bottom w:val="none" w:sz="0" w:space="0" w:color="auto"/>
        <w:right w:val="none" w:sz="0" w:space="0" w:color="auto"/>
      </w:divBdr>
    </w:div>
    <w:div w:id="1833060629">
      <w:bodyDiv w:val="1"/>
      <w:marLeft w:val="0"/>
      <w:marRight w:val="0"/>
      <w:marTop w:val="0"/>
      <w:marBottom w:val="0"/>
      <w:divBdr>
        <w:top w:val="none" w:sz="0" w:space="0" w:color="auto"/>
        <w:left w:val="none" w:sz="0" w:space="0" w:color="auto"/>
        <w:bottom w:val="none" w:sz="0" w:space="0" w:color="auto"/>
        <w:right w:val="none" w:sz="0" w:space="0" w:color="auto"/>
      </w:divBdr>
    </w:div>
    <w:div w:id="1833178638">
      <w:bodyDiv w:val="1"/>
      <w:marLeft w:val="0"/>
      <w:marRight w:val="0"/>
      <w:marTop w:val="0"/>
      <w:marBottom w:val="0"/>
      <w:divBdr>
        <w:top w:val="none" w:sz="0" w:space="0" w:color="auto"/>
        <w:left w:val="none" w:sz="0" w:space="0" w:color="auto"/>
        <w:bottom w:val="none" w:sz="0" w:space="0" w:color="auto"/>
        <w:right w:val="none" w:sz="0" w:space="0" w:color="auto"/>
      </w:divBdr>
    </w:div>
    <w:div w:id="1833330428">
      <w:bodyDiv w:val="1"/>
      <w:marLeft w:val="0"/>
      <w:marRight w:val="0"/>
      <w:marTop w:val="0"/>
      <w:marBottom w:val="0"/>
      <w:divBdr>
        <w:top w:val="none" w:sz="0" w:space="0" w:color="auto"/>
        <w:left w:val="none" w:sz="0" w:space="0" w:color="auto"/>
        <w:bottom w:val="none" w:sz="0" w:space="0" w:color="auto"/>
        <w:right w:val="none" w:sz="0" w:space="0" w:color="auto"/>
      </w:divBdr>
    </w:div>
    <w:div w:id="1833452813">
      <w:bodyDiv w:val="1"/>
      <w:marLeft w:val="0"/>
      <w:marRight w:val="0"/>
      <w:marTop w:val="0"/>
      <w:marBottom w:val="0"/>
      <w:divBdr>
        <w:top w:val="none" w:sz="0" w:space="0" w:color="auto"/>
        <w:left w:val="none" w:sz="0" w:space="0" w:color="auto"/>
        <w:bottom w:val="none" w:sz="0" w:space="0" w:color="auto"/>
        <w:right w:val="none" w:sz="0" w:space="0" w:color="auto"/>
      </w:divBdr>
    </w:div>
    <w:div w:id="1833522210">
      <w:bodyDiv w:val="1"/>
      <w:marLeft w:val="0"/>
      <w:marRight w:val="0"/>
      <w:marTop w:val="0"/>
      <w:marBottom w:val="0"/>
      <w:divBdr>
        <w:top w:val="none" w:sz="0" w:space="0" w:color="auto"/>
        <w:left w:val="none" w:sz="0" w:space="0" w:color="auto"/>
        <w:bottom w:val="none" w:sz="0" w:space="0" w:color="auto"/>
        <w:right w:val="none" w:sz="0" w:space="0" w:color="auto"/>
      </w:divBdr>
    </w:div>
    <w:div w:id="1833909376">
      <w:bodyDiv w:val="1"/>
      <w:marLeft w:val="0"/>
      <w:marRight w:val="0"/>
      <w:marTop w:val="0"/>
      <w:marBottom w:val="0"/>
      <w:divBdr>
        <w:top w:val="none" w:sz="0" w:space="0" w:color="auto"/>
        <w:left w:val="none" w:sz="0" w:space="0" w:color="auto"/>
        <w:bottom w:val="none" w:sz="0" w:space="0" w:color="auto"/>
        <w:right w:val="none" w:sz="0" w:space="0" w:color="auto"/>
      </w:divBdr>
    </w:div>
    <w:div w:id="1834030876">
      <w:bodyDiv w:val="1"/>
      <w:marLeft w:val="0"/>
      <w:marRight w:val="0"/>
      <w:marTop w:val="0"/>
      <w:marBottom w:val="0"/>
      <w:divBdr>
        <w:top w:val="none" w:sz="0" w:space="0" w:color="auto"/>
        <w:left w:val="none" w:sz="0" w:space="0" w:color="auto"/>
        <w:bottom w:val="none" w:sz="0" w:space="0" w:color="auto"/>
        <w:right w:val="none" w:sz="0" w:space="0" w:color="auto"/>
      </w:divBdr>
    </w:div>
    <w:div w:id="1834292159">
      <w:bodyDiv w:val="1"/>
      <w:marLeft w:val="0"/>
      <w:marRight w:val="0"/>
      <w:marTop w:val="0"/>
      <w:marBottom w:val="0"/>
      <w:divBdr>
        <w:top w:val="none" w:sz="0" w:space="0" w:color="auto"/>
        <w:left w:val="none" w:sz="0" w:space="0" w:color="auto"/>
        <w:bottom w:val="none" w:sz="0" w:space="0" w:color="auto"/>
        <w:right w:val="none" w:sz="0" w:space="0" w:color="auto"/>
      </w:divBdr>
    </w:div>
    <w:div w:id="1834491364">
      <w:bodyDiv w:val="1"/>
      <w:marLeft w:val="0"/>
      <w:marRight w:val="0"/>
      <w:marTop w:val="0"/>
      <w:marBottom w:val="0"/>
      <w:divBdr>
        <w:top w:val="none" w:sz="0" w:space="0" w:color="auto"/>
        <w:left w:val="none" w:sz="0" w:space="0" w:color="auto"/>
        <w:bottom w:val="none" w:sz="0" w:space="0" w:color="auto"/>
        <w:right w:val="none" w:sz="0" w:space="0" w:color="auto"/>
      </w:divBdr>
    </w:div>
    <w:div w:id="1834562521">
      <w:bodyDiv w:val="1"/>
      <w:marLeft w:val="0"/>
      <w:marRight w:val="0"/>
      <w:marTop w:val="0"/>
      <w:marBottom w:val="0"/>
      <w:divBdr>
        <w:top w:val="none" w:sz="0" w:space="0" w:color="auto"/>
        <w:left w:val="none" w:sz="0" w:space="0" w:color="auto"/>
        <w:bottom w:val="none" w:sz="0" w:space="0" w:color="auto"/>
        <w:right w:val="none" w:sz="0" w:space="0" w:color="auto"/>
      </w:divBdr>
    </w:div>
    <w:div w:id="1834566051">
      <w:bodyDiv w:val="1"/>
      <w:marLeft w:val="0"/>
      <w:marRight w:val="0"/>
      <w:marTop w:val="0"/>
      <w:marBottom w:val="0"/>
      <w:divBdr>
        <w:top w:val="none" w:sz="0" w:space="0" w:color="auto"/>
        <w:left w:val="none" w:sz="0" w:space="0" w:color="auto"/>
        <w:bottom w:val="none" w:sz="0" w:space="0" w:color="auto"/>
        <w:right w:val="none" w:sz="0" w:space="0" w:color="auto"/>
      </w:divBdr>
    </w:div>
    <w:div w:id="1834566562">
      <w:bodyDiv w:val="1"/>
      <w:marLeft w:val="0"/>
      <w:marRight w:val="0"/>
      <w:marTop w:val="0"/>
      <w:marBottom w:val="0"/>
      <w:divBdr>
        <w:top w:val="none" w:sz="0" w:space="0" w:color="auto"/>
        <w:left w:val="none" w:sz="0" w:space="0" w:color="auto"/>
        <w:bottom w:val="none" w:sz="0" w:space="0" w:color="auto"/>
        <w:right w:val="none" w:sz="0" w:space="0" w:color="auto"/>
      </w:divBdr>
    </w:div>
    <w:div w:id="1834757202">
      <w:bodyDiv w:val="1"/>
      <w:marLeft w:val="0"/>
      <w:marRight w:val="0"/>
      <w:marTop w:val="0"/>
      <w:marBottom w:val="0"/>
      <w:divBdr>
        <w:top w:val="none" w:sz="0" w:space="0" w:color="auto"/>
        <w:left w:val="none" w:sz="0" w:space="0" w:color="auto"/>
        <w:bottom w:val="none" w:sz="0" w:space="0" w:color="auto"/>
        <w:right w:val="none" w:sz="0" w:space="0" w:color="auto"/>
      </w:divBdr>
    </w:div>
    <w:div w:id="1834879325">
      <w:bodyDiv w:val="1"/>
      <w:marLeft w:val="0"/>
      <w:marRight w:val="0"/>
      <w:marTop w:val="0"/>
      <w:marBottom w:val="0"/>
      <w:divBdr>
        <w:top w:val="none" w:sz="0" w:space="0" w:color="auto"/>
        <w:left w:val="none" w:sz="0" w:space="0" w:color="auto"/>
        <w:bottom w:val="none" w:sz="0" w:space="0" w:color="auto"/>
        <w:right w:val="none" w:sz="0" w:space="0" w:color="auto"/>
      </w:divBdr>
    </w:div>
    <w:div w:id="1835491656">
      <w:bodyDiv w:val="1"/>
      <w:marLeft w:val="0"/>
      <w:marRight w:val="0"/>
      <w:marTop w:val="0"/>
      <w:marBottom w:val="0"/>
      <w:divBdr>
        <w:top w:val="none" w:sz="0" w:space="0" w:color="auto"/>
        <w:left w:val="none" w:sz="0" w:space="0" w:color="auto"/>
        <w:bottom w:val="none" w:sz="0" w:space="0" w:color="auto"/>
        <w:right w:val="none" w:sz="0" w:space="0" w:color="auto"/>
      </w:divBdr>
    </w:div>
    <w:div w:id="1835685078">
      <w:bodyDiv w:val="1"/>
      <w:marLeft w:val="0"/>
      <w:marRight w:val="0"/>
      <w:marTop w:val="0"/>
      <w:marBottom w:val="0"/>
      <w:divBdr>
        <w:top w:val="none" w:sz="0" w:space="0" w:color="auto"/>
        <w:left w:val="none" w:sz="0" w:space="0" w:color="auto"/>
        <w:bottom w:val="none" w:sz="0" w:space="0" w:color="auto"/>
        <w:right w:val="none" w:sz="0" w:space="0" w:color="auto"/>
      </w:divBdr>
    </w:div>
    <w:div w:id="1836187850">
      <w:bodyDiv w:val="1"/>
      <w:marLeft w:val="0"/>
      <w:marRight w:val="0"/>
      <w:marTop w:val="0"/>
      <w:marBottom w:val="0"/>
      <w:divBdr>
        <w:top w:val="none" w:sz="0" w:space="0" w:color="auto"/>
        <w:left w:val="none" w:sz="0" w:space="0" w:color="auto"/>
        <w:bottom w:val="none" w:sz="0" w:space="0" w:color="auto"/>
        <w:right w:val="none" w:sz="0" w:space="0" w:color="auto"/>
      </w:divBdr>
    </w:div>
    <w:div w:id="1836413003">
      <w:bodyDiv w:val="1"/>
      <w:marLeft w:val="0"/>
      <w:marRight w:val="0"/>
      <w:marTop w:val="0"/>
      <w:marBottom w:val="0"/>
      <w:divBdr>
        <w:top w:val="none" w:sz="0" w:space="0" w:color="auto"/>
        <w:left w:val="none" w:sz="0" w:space="0" w:color="auto"/>
        <w:bottom w:val="none" w:sz="0" w:space="0" w:color="auto"/>
        <w:right w:val="none" w:sz="0" w:space="0" w:color="auto"/>
      </w:divBdr>
    </w:div>
    <w:div w:id="1836451045">
      <w:bodyDiv w:val="1"/>
      <w:marLeft w:val="0"/>
      <w:marRight w:val="0"/>
      <w:marTop w:val="0"/>
      <w:marBottom w:val="0"/>
      <w:divBdr>
        <w:top w:val="none" w:sz="0" w:space="0" w:color="auto"/>
        <w:left w:val="none" w:sz="0" w:space="0" w:color="auto"/>
        <w:bottom w:val="none" w:sz="0" w:space="0" w:color="auto"/>
        <w:right w:val="none" w:sz="0" w:space="0" w:color="auto"/>
      </w:divBdr>
    </w:div>
    <w:div w:id="1836456295">
      <w:bodyDiv w:val="1"/>
      <w:marLeft w:val="0"/>
      <w:marRight w:val="0"/>
      <w:marTop w:val="0"/>
      <w:marBottom w:val="0"/>
      <w:divBdr>
        <w:top w:val="none" w:sz="0" w:space="0" w:color="auto"/>
        <w:left w:val="none" w:sz="0" w:space="0" w:color="auto"/>
        <w:bottom w:val="none" w:sz="0" w:space="0" w:color="auto"/>
        <w:right w:val="none" w:sz="0" w:space="0" w:color="auto"/>
      </w:divBdr>
    </w:div>
    <w:div w:id="1836723943">
      <w:bodyDiv w:val="1"/>
      <w:marLeft w:val="0"/>
      <w:marRight w:val="0"/>
      <w:marTop w:val="0"/>
      <w:marBottom w:val="0"/>
      <w:divBdr>
        <w:top w:val="none" w:sz="0" w:space="0" w:color="auto"/>
        <w:left w:val="none" w:sz="0" w:space="0" w:color="auto"/>
        <w:bottom w:val="none" w:sz="0" w:space="0" w:color="auto"/>
        <w:right w:val="none" w:sz="0" w:space="0" w:color="auto"/>
      </w:divBdr>
    </w:div>
    <w:div w:id="1836795071">
      <w:bodyDiv w:val="1"/>
      <w:marLeft w:val="0"/>
      <w:marRight w:val="0"/>
      <w:marTop w:val="0"/>
      <w:marBottom w:val="0"/>
      <w:divBdr>
        <w:top w:val="none" w:sz="0" w:space="0" w:color="auto"/>
        <w:left w:val="none" w:sz="0" w:space="0" w:color="auto"/>
        <w:bottom w:val="none" w:sz="0" w:space="0" w:color="auto"/>
        <w:right w:val="none" w:sz="0" w:space="0" w:color="auto"/>
      </w:divBdr>
    </w:div>
    <w:div w:id="1837181420">
      <w:bodyDiv w:val="1"/>
      <w:marLeft w:val="0"/>
      <w:marRight w:val="0"/>
      <w:marTop w:val="0"/>
      <w:marBottom w:val="0"/>
      <w:divBdr>
        <w:top w:val="none" w:sz="0" w:space="0" w:color="auto"/>
        <w:left w:val="none" w:sz="0" w:space="0" w:color="auto"/>
        <w:bottom w:val="none" w:sz="0" w:space="0" w:color="auto"/>
        <w:right w:val="none" w:sz="0" w:space="0" w:color="auto"/>
      </w:divBdr>
    </w:div>
    <w:div w:id="1837530681">
      <w:bodyDiv w:val="1"/>
      <w:marLeft w:val="0"/>
      <w:marRight w:val="0"/>
      <w:marTop w:val="0"/>
      <w:marBottom w:val="0"/>
      <w:divBdr>
        <w:top w:val="none" w:sz="0" w:space="0" w:color="auto"/>
        <w:left w:val="none" w:sz="0" w:space="0" w:color="auto"/>
        <w:bottom w:val="none" w:sz="0" w:space="0" w:color="auto"/>
        <w:right w:val="none" w:sz="0" w:space="0" w:color="auto"/>
      </w:divBdr>
    </w:div>
    <w:div w:id="1837530771">
      <w:bodyDiv w:val="1"/>
      <w:marLeft w:val="0"/>
      <w:marRight w:val="0"/>
      <w:marTop w:val="0"/>
      <w:marBottom w:val="0"/>
      <w:divBdr>
        <w:top w:val="none" w:sz="0" w:space="0" w:color="auto"/>
        <w:left w:val="none" w:sz="0" w:space="0" w:color="auto"/>
        <w:bottom w:val="none" w:sz="0" w:space="0" w:color="auto"/>
        <w:right w:val="none" w:sz="0" w:space="0" w:color="auto"/>
      </w:divBdr>
    </w:div>
    <w:div w:id="1837574673">
      <w:bodyDiv w:val="1"/>
      <w:marLeft w:val="0"/>
      <w:marRight w:val="0"/>
      <w:marTop w:val="0"/>
      <w:marBottom w:val="0"/>
      <w:divBdr>
        <w:top w:val="none" w:sz="0" w:space="0" w:color="auto"/>
        <w:left w:val="none" w:sz="0" w:space="0" w:color="auto"/>
        <w:bottom w:val="none" w:sz="0" w:space="0" w:color="auto"/>
        <w:right w:val="none" w:sz="0" w:space="0" w:color="auto"/>
      </w:divBdr>
    </w:div>
    <w:div w:id="1837919419">
      <w:bodyDiv w:val="1"/>
      <w:marLeft w:val="0"/>
      <w:marRight w:val="0"/>
      <w:marTop w:val="0"/>
      <w:marBottom w:val="0"/>
      <w:divBdr>
        <w:top w:val="none" w:sz="0" w:space="0" w:color="auto"/>
        <w:left w:val="none" w:sz="0" w:space="0" w:color="auto"/>
        <w:bottom w:val="none" w:sz="0" w:space="0" w:color="auto"/>
        <w:right w:val="none" w:sz="0" w:space="0" w:color="auto"/>
      </w:divBdr>
    </w:div>
    <w:div w:id="1837959698">
      <w:bodyDiv w:val="1"/>
      <w:marLeft w:val="0"/>
      <w:marRight w:val="0"/>
      <w:marTop w:val="0"/>
      <w:marBottom w:val="0"/>
      <w:divBdr>
        <w:top w:val="none" w:sz="0" w:space="0" w:color="auto"/>
        <w:left w:val="none" w:sz="0" w:space="0" w:color="auto"/>
        <w:bottom w:val="none" w:sz="0" w:space="0" w:color="auto"/>
        <w:right w:val="none" w:sz="0" w:space="0" w:color="auto"/>
      </w:divBdr>
    </w:div>
    <w:div w:id="1838033600">
      <w:bodyDiv w:val="1"/>
      <w:marLeft w:val="0"/>
      <w:marRight w:val="0"/>
      <w:marTop w:val="0"/>
      <w:marBottom w:val="0"/>
      <w:divBdr>
        <w:top w:val="none" w:sz="0" w:space="0" w:color="auto"/>
        <w:left w:val="none" w:sz="0" w:space="0" w:color="auto"/>
        <w:bottom w:val="none" w:sz="0" w:space="0" w:color="auto"/>
        <w:right w:val="none" w:sz="0" w:space="0" w:color="auto"/>
      </w:divBdr>
    </w:div>
    <w:div w:id="1838038691">
      <w:bodyDiv w:val="1"/>
      <w:marLeft w:val="0"/>
      <w:marRight w:val="0"/>
      <w:marTop w:val="0"/>
      <w:marBottom w:val="0"/>
      <w:divBdr>
        <w:top w:val="none" w:sz="0" w:space="0" w:color="auto"/>
        <w:left w:val="none" w:sz="0" w:space="0" w:color="auto"/>
        <w:bottom w:val="none" w:sz="0" w:space="0" w:color="auto"/>
        <w:right w:val="none" w:sz="0" w:space="0" w:color="auto"/>
      </w:divBdr>
    </w:div>
    <w:div w:id="1838375882">
      <w:bodyDiv w:val="1"/>
      <w:marLeft w:val="0"/>
      <w:marRight w:val="0"/>
      <w:marTop w:val="0"/>
      <w:marBottom w:val="0"/>
      <w:divBdr>
        <w:top w:val="none" w:sz="0" w:space="0" w:color="auto"/>
        <w:left w:val="none" w:sz="0" w:space="0" w:color="auto"/>
        <w:bottom w:val="none" w:sz="0" w:space="0" w:color="auto"/>
        <w:right w:val="none" w:sz="0" w:space="0" w:color="auto"/>
      </w:divBdr>
    </w:div>
    <w:div w:id="1838642735">
      <w:bodyDiv w:val="1"/>
      <w:marLeft w:val="0"/>
      <w:marRight w:val="0"/>
      <w:marTop w:val="0"/>
      <w:marBottom w:val="0"/>
      <w:divBdr>
        <w:top w:val="none" w:sz="0" w:space="0" w:color="auto"/>
        <w:left w:val="none" w:sz="0" w:space="0" w:color="auto"/>
        <w:bottom w:val="none" w:sz="0" w:space="0" w:color="auto"/>
        <w:right w:val="none" w:sz="0" w:space="0" w:color="auto"/>
      </w:divBdr>
    </w:div>
    <w:div w:id="1838768470">
      <w:bodyDiv w:val="1"/>
      <w:marLeft w:val="0"/>
      <w:marRight w:val="0"/>
      <w:marTop w:val="0"/>
      <w:marBottom w:val="0"/>
      <w:divBdr>
        <w:top w:val="none" w:sz="0" w:space="0" w:color="auto"/>
        <w:left w:val="none" w:sz="0" w:space="0" w:color="auto"/>
        <w:bottom w:val="none" w:sz="0" w:space="0" w:color="auto"/>
        <w:right w:val="none" w:sz="0" w:space="0" w:color="auto"/>
      </w:divBdr>
    </w:div>
    <w:div w:id="1839035959">
      <w:bodyDiv w:val="1"/>
      <w:marLeft w:val="0"/>
      <w:marRight w:val="0"/>
      <w:marTop w:val="0"/>
      <w:marBottom w:val="0"/>
      <w:divBdr>
        <w:top w:val="none" w:sz="0" w:space="0" w:color="auto"/>
        <w:left w:val="none" w:sz="0" w:space="0" w:color="auto"/>
        <w:bottom w:val="none" w:sz="0" w:space="0" w:color="auto"/>
        <w:right w:val="none" w:sz="0" w:space="0" w:color="auto"/>
      </w:divBdr>
    </w:div>
    <w:div w:id="1839227253">
      <w:bodyDiv w:val="1"/>
      <w:marLeft w:val="0"/>
      <w:marRight w:val="0"/>
      <w:marTop w:val="0"/>
      <w:marBottom w:val="0"/>
      <w:divBdr>
        <w:top w:val="none" w:sz="0" w:space="0" w:color="auto"/>
        <w:left w:val="none" w:sz="0" w:space="0" w:color="auto"/>
        <w:bottom w:val="none" w:sz="0" w:space="0" w:color="auto"/>
        <w:right w:val="none" w:sz="0" w:space="0" w:color="auto"/>
      </w:divBdr>
    </w:div>
    <w:div w:id="1839345791">
      <w:bodyDiv w:val="1"/>
      <w:marLeft w:val="0"/>
      <w:marRight w:val="0"/>
      <w:marTop w:val="0"/>
      <w:marBottom w:val="0"/>
      <w:divBdr>
        <w:top w:val="none" w:sz="0" w:space="0" w:color="auto"/>
        <w:left w:val="none" w:sz="0" w:space="0" w:color="auto"/>
        <w:bottom w:val="none" w:sz="0" w:space="0" w:color="auto"/>
        <w:right w:val="none" w:sz="0" w:space="0" w:color="auto"/>
      </w:divBdr>
    </w:div>
    <w:div w:id="1839416876">
      <w:bodyDiv w:val="1"/>
      <w:marLeft w:val="0"/>
      <w:marRight w:val="0"/>
      <w:marTop w:val="0"/>
      <w:marBottom w:val="0"/>
      <w:divBdr>
        <w:top w:val="none" w:sz="0" w:space="0" w:color="auto"/>
        <w:left w:val="none" w:sz="0" w:space="0" w:color="auto"/>
        <w:bottom w:val="none" w:sz="0" w:space="0" w:color="auto"/>
        <w:right w:val="none" w:sz="0" w:space="0" w:color="auto"/>
      </w:divBdr>
    </w:div>
    <w:div w:id="1839541670">
      <w:bodyDiv w:val="1"/>
      <w:marLeft w:val="0"/>
      <w:marRight w:val="0"/>
      <w:marTop w:val="0"/>
      <w:marBottom w:val="0"/>
      <w:divBdr>
        <w:top w:val="none" w:sz="0" w:space="0" w:color="auto"/>
        <w:left w:val="none" w:sz="0" w:space="0" w:color="auto"/>
        <w:bottom w:val="none" w:sz="0" w:space="0" w:color="auto"/>
        <w:right w:val="none" w:sz="0" w:space="0" w:color="auto"/>
      </w:divBdr>
    </w:div>
    <w:div w:id="1839617793">
      <w:bodyDiv w:val="1"/>
      <w:marLeft w:val="0"/>
      <w:marRight w:val="0"/>
      <w:marTop w:val="0"/>
      <w:marBottom w:val="0"/>
      <w:divBdr>
        <w:top w:val="none" w:sz="0" w:space="0" w:color="auto"/>
        <w:left w:val="none" w:sz="0" w:space="0" w:color="auto"/>
        <w:bottom w:val="none" w:sz="0" w:space="0" w:color="auto"/>
        <w:right w:val="none" w:sz="0" w:space="0" w:color="auto"/>
      </w:divBdr>
    </w:div>
    <w:div w:id="1839923445">
      <w:bodyDiv w:val="1"/>
      <w:marLeft w:val="0"/>
      <w:marRight w:val="0"/>
      <w:marTop w:val="0"/>
      <w:marBottom w:val="0"/>
      <w:divBdr>
        <w:top w:val="none" w:sz="0" w:space="0" w:color="auto"/>
        <w:left w:val="none" w:sz="0" w:space="0" w:color="auto"/>
        <w:bottom w:val="none" w:sz="0" w:space="0" w:color="auto"/>
        <w:right w:val="none" w:sz="0" w:space="0" w:color="auto"/>
      </w:divBdr>
    </w:div>
    <w:div w:id="1839924337">
      <w:bodyDiv w:val="1"/>
      <w:marLeft w:val="0"/>
      <w:marRight w:val="0"/>
      <w:marTop w:val="0"/>
      <w:marBottom w:val="0"/>
      <w:divBdr>
        <w:top w:val="none" w:sz="0" w:space="0" w:color="auto"/>
        <w:left w:val="none" w:sz="0" w:space="0" w:color="auto"/>
        <w:bottom w:val="none" w:sz="0" w:space="0" w:color="auto"/>
        <w:right w:val="none" w:sz="0" w:space="0" w:color="auto"/>
      </w:divBdr>
    </w:div>
    <w:div w:id="1839927750">
      <w:bodyDiv w:val="1"/>
      <w:marLeft w:val="0"/>
      <w:marRight w:val="0"/>
      <w:marTop w:val="0"/>
      <w:marBottom w:val="0"/>
      <w:divBdr>
        <w:top w:val="none" w:sz="0" w:space="0" w:color="auto"/>
        <w:left w:val="none" w:sz="0" w:space="0" w:color="auto"/>
        <w:bottom w:val="none" w:sz="0" w:space="0" w:color="auto"/>
        <w:right w:val="none" w:sz="0" w:space="0" w:color="auto"/>
      </w:divBdr>
    </w:div>
    <w:div w:id="1840189548">
      <w:bodyDiv w:val="1"/>
      <w:marLeft w:val="0"/>
      <w:marRight w:val="0"/>
      <w:marTop w:val="0"/>
      <w:marBottom w:val="0"/>
      <w:divBdr>
        <w:top w:val="none" w:sz="0" w:space="0" w:color="auto"/>
        <w:left w:val="none" w:sz="0" w:space="0" w:color="auto"/>
        <w:bottom w:val="none" w:sz="0" w:space="0" w:color="auto"/>
        <w:right w:val="none" w:sz="0" w:space="0" w:color="auto"/>
      </w:divBdr>
    </w:div>
    <w:div w:id="1840197766">
      <w:bodyDiv w:val="1"/>
      <w:marLeft w:val="0"/>
      <w:marRight w:val="0"/>
      <w:marTop w:val="0"/>
      <w:marBottom w:val="0"/>
      <w:divBdr>
        <w:top w:val="none" w:sz="0" w:space="0" w:color="auto"/>
        <w:left w:val="none" w:sz="0" w:space="0" w:color="auto"/>
        <w:bottom w:val="none" w:sz="0" w:space="0" w:color="auto"/>
        <w:right w:val="none" w:sz="0" w:space="0" w:color="auto"/>
      </w:divBdr>
    </w:div>
    <w:div w:id="1840384767">
      <w:bodyDiv w:val="1"/>
      <w:marLeft w:val="0"/>
      <w:marRight w:val="0"/>
      <w:marTop w:val="0"/>
      <w:marBottom w:val="0"/>
      <w:divBdr>
        <w:top w:val="none" w:sz="0" w:space="0" w:color="auto"/>
        <w:left w:val="none" w:sz="0" w:space="0" w:color="auto"/>
        <w:bottom w:val="none" w:sz="0" w:space="0" w:color="auto"/>
        <w:right w:val="none" w:sz="0" w:space="0" w:color="auto"/>
      </w:divBdr>
    </w:div>
    <w:div w:id="1840537387">
      <w:bodyDiv w:val="1"/>
      <w:marLeft w:val="0"/>
      <w:marRight w:val="0"/>
      <w:marTop w:val="0"/>
      <w:marBottom w:val="0"/>
      <w:divBdr>
        <w:top w:val="none" w:sz="0" w:space="0" w:color="auto"/>
        <w:left w:val="none" w:sz="0" w:space="0" w:color="auto"/>
        <w:bottom w:val="none" w:sz="0" w:space="0" w:color="auto"/>
        <w:right w:val="none" w:sz="0" w:space="0" w:color="auto"/>
      </w:divBdr>
    </w:div>
    <w:div w:id="1840540696">
      <w:bodyDiv w:val="1"/>
      <w:marLeft w:val="0"/>
      <w:marRight w:val="0"/>
      <w:marTop w:val="0"/>
      <w:marBottom w:val="0"/>
      <w:divBdr>
        <w:top w:val="none" w:sz="0" w:space="0" w:color="auto"/>
        <w:left w:val="none" w:sz="0" w:space="0" w:color="auto"/>
        <w:bottom w:val="none" w:sz="0" w:space="0" w:color="auto"/>
        <w:right w:val="none" w:sz="0" w:space="0" w:color="auto"/>
      </w:divBdr>
    </w:div>
    <w:div w:id="1840731473">
      <w:bodyDiv w:val="1"/>
      <w:marLeft w:val="0"/>
      <w:marRight w:val="0"/>
      <w:marTop w:val="0"/>
      <w:marBottom w:val="0"/>
      <w:divBdr>
        <w:top w:val="none" w:sz="0" w:space="0" w:color="auto"/>
        <w:left w:val="none" w:sz="0" w:space="0" w:color="auto"/>
        <w:bottom w:val="none" w:sz="0" w:space="0" w:color="auto"/>
        <w:right w:val="none" w:sz="0" w:space="0" w:color="auto"/>
      </w:divBdr>
    </w:div>
    <w:div w:id="1840847407">
      <w:bodyDiv w:val="1"/>
      <w:marLeft w:val="0"/>
      <w:marRight w:val="0"/>
      <w:marTop w:val="0"/>
      <w:marBottom w:val="0"/>
      <w:divBdr>
        <w:top w:val="none" w:sz="0" w:space="0" w:color="auto"/>
        <w:left w:val="none" w:sz="0" w:space="0" w:color="auto"/>
        <w:bottom w:val="none" w:sz="0" w:space="0" w:color="auto"/>
        <w:right w:val="none" w:sz="0" w:space="0" w:color="auto"/>
      </w:divBdr>
    </w:div>
    <w:div w:id="1841041725">
      <w:bodyDiv w:val="1"/>
      <w:marLeft w:val="0"/>
      <w:marRight w:val="0"/>
      <w:marTop w:val="0"/>
      <w:marBottom w:val="0"/>
      <w:divBdr>
        <w:top w:val="none" w:sz="0" w:space="0" w:color="auto"/>
        <w:left w:val="none" w:sz="0" w:space="0" w:color="auto"/>
        <w:bottom w:val="none" w:sz="0" w:space="0" w:color="auto"/>
        <w:right w:val="none" w:sz="0" w:space="0" w:color="auto"/>
      </w:divBdr>
    </w:div>
    <w:div w:id="1841119131">
      <w:bodyDiv w:val="1"/>
      <w:marLeft w:val="0"/>
      <w:marRight w:val="0"/>
      <w:marTop w:val="0"/>
      <w:marBottom w:val="0"/>
      <w:divBdr>
        <w:top w:val="none" w:sz="0" w:space="0" w:color="auto"/>
        <w:left w:val="none" w:sz="0" w:space="0" w:color="auto"/>
        <w:bottom w:val="none" w:sz="0" w:space="0" w:color="auto"/>
        <w:right w:val="none" w:sz="0" w:space="0" w:color="auto"/>
      </w:divBdr>
    </w:div>
    <w:div w:id="1841194769">
      <w:bodyDiv w:val="1"/>
      <w:marLeft w:val="0"/>
      <w:marRight w:val="0"/>
      <w:marTop w:val="0"/>
      <w:marBottom w:val="0"/>
      <w:divBdr>
        <w:top w:val="none" w:sz="0" w:space="0" w:color="auto"/>
        <w:left w:val="none" w:sz="0" w:space="0" w:color="auto"/>
        <w:bottom w:val="none" w:sz="0" w:space="0" w:color="auto"/>
        <w:right w:val="none" w:sz="0" w:space="0" w:color="auto"/>
      </w:divBdr>
    </w:div>
    <w:div w:id="1841699319">
      <w:bodyDiv w:val="1"/>
      <w:marLeft w:val="0"/>
      <w:marRight w:val="0"/>
      <w:marTop w:val="0"/>
      <w:marBottom w:val="0"/>
      <w:divBdr>
        <w:top w:val="none" w:sz="0" w:space="0" w:color="auto"/>
        <w:left w:val="none" w:sz="0" w:space="0" w:color="auto"/>
        <w:bottom w:val="none" w:sz="0" w:space="0" w:color="auto"/>
        <w:right w:val="none" w:sz="0" w:space="0" w:color="auto"/>
      </w:divBdr>
    </w:div>
    <w:div w:id="1841890698">
      <w:bodyDiv w:val="1"/>
      <w:marLeft w:val="0"/>
      <w:marRight w:val="0"/>
      <w:marTop w:val="0"/>
      <w:marBottom w:val="0"/>
      <w:divBdr>
        <w:top w:val="none" w:sz="0" w:space="0" w:color="auto"/>
        <w:left w:val="none" w:sz="0" w:space="0" w:color="auto"/>
        <w:bottom w:val="none" w:sz="0" w:space="0" w:color="auto"/>
        <w:right w:val="none" w:sz="0" w:space="0" w:color="auto"/>
      </w:divBdr>
    </w:div>
    <w:div w:id="1841919895">
      <w:bodyDiv w:val="1"/>
      <w:marLeft w:val="0"/>
      <w:marRight w:val="0"/>
      <w:marTop w:val="0"/>
      <w:marBottom w:val="0"/>
      <w:divBdr>
        <w:top w:val="none" w:sz="0" w:space="0" w:color="auto"/>
        <w:left w:val="none" w:sz="0" w:space="0" w:color="auto"/>
        <w:bottom w:val="none" w:sz="0" w:space="0" w:color="auto"/>
        <w:right w:val="none" w:sz="0" w:space="0" w:color="auto"/>
      </w:divBdr>
    </w:div>
    <w:div w:id="1842620208">
      <w:bodyDiv w:val="1"/>
      <w:marLeft w:val="0"/>
      <w:marRight w:val="0"/>
      <w:marTop w:val="0"/>
      <w:marBottom w:val="0"/>
      <w:divBdr>
        <w:top w:val="none" w:sz="0" w:space="0" w:color="auto"/>
        <w:left w:val="none" w:sz="0" w:space="0" w:color="auto"/>
        <w:bottom w:val="none" w:sz="0" w:space="0" w:color="auto"/>
        <w:right w:val="none" w:sz="0" w:space="0" w:color="auto"/>
      </w:divBdr>
    </w:div>
    <w:div w:id="1842886097">
      <w:bodyDiv w:val="1"/>
      <w:marLeft w:val="0"/>
      <w:marRight w:val="0"/>
      <w:marTop w:val="0"/>
      <w:marBottom w:val="0"/>
      <w:divBdr>
        <w:top w:val="none" w:sz="0" w:space="0" w:color="auto"/>
        <w:left w:val="none" w:sz="0" w:space="0" w:color="auto"/>
        <w:bottom w:val="none" w:sz="0" w:space="0" w:color="auto"/>
        <w:right w:val="none" w:sz="0" w:space="0" w:color="auto"/>
      </w:divBdr>
    </w:div>
    <w:div w:id="1842962575">
      <w:bodyDiv w:val="1"/>
      <w:marLeft w:val="0"/>
      <w:marRight w:val="0"/>
      <w:marTop w:val="0"/>
      <w:marBottom w:val="0"/>
      <w:divBdr>
        <w:top w:val="none" w:sz="0" w:space="0" w:color="auto"/>
        <w:left w:val="none" w:sz="0" w:space="0" w:color="auto"/>
        <w:bottom w:val="none" w:sz="0" w:space="0" w:color="auto"/>
        <w:right w:val="none" w:sz="0" w:space="0" w:color="auto"/>
      </w:divBdr>
    </w:div>
    <w:div w:id="1843427775">
      <w:bodyDiv w:val="1"/>
      <w:marLeft w:val="0"/>
      <w:marRight w:val="0"/>
      <w:marTop w:val="0"/>
      <w:marBottom w:val="0"/>
      <w:divBdr>
        <w:top w:val="none" w:sz="0" w:space="0" w:color="auto"/>
        <w:left w:val="none" w:sz="0" w:space="0" w:color="auto"/>
        <w:bottom w:val="none" w:sz="0" w:space="0" w:color="auto"/>
        <w:right w:val="none" w:sz="0" w:space="0" w:color="auto"/>
      </w:divBdr>
    </w:div>
    <w:div w:id="1843620998">
      <w:bodyDiv w:val="1"/>
      <w:marLeft w:val="0"/>
      <w:marRight w:val="0"/>
      <w:marTop w:val="0"/>
      <w:marBottom w:val="0"/>
      <w:divBdr>
        <w:top w:val="none" w:sz="0" w:space="0" w:color="auto"/>
        <w:left w:val="none" w:sz="0" w:space="0" w:color="auto"/>
        <w:bottom w:val="none" w:sz="0" w:space="0" w:color="auto"/>
        <w:right w:val="none" w:sz="0" w:space="0" w:color="auto"/>
      </w:divBdr>
    </w:div>
    <w:div w:id="1843622183">
      <w:bodyDiv w:val="1"/>
      <w:marLeft w:val="0"/>
      <w:marRight w:val="0"/>
      <w:marTop w:val="0"/>
      <w:marBottom w:val="0"/>
      <w:divBdr>
        <w:top w:val="none" w:sz="0" w:space="0" w:color="auto"/>
        <w:left w:val="none" w:sz="0" w:space="0" w:color="auto"/>
        <w:bottom w:val="none" w:sz="0" w:space="0" w:color="auto"/>
        <w:right w:val="none" w:sz="0" w:space="0" w:color="auto"/>
      </w:divBdr>
    </w:div>
    <w:div w:id="1844198166">
      <w:bodyDiv w:val="1"/>
      <w:marLeft w:val="0"/>
      <w:marRight w:val="0"/>
      <w:marTop w:val="0"/>
      <w:marBottom w:val="0"/>
      <w:divBdr>
        <w:top w:val="none" w:sz="0" w:space="0" w:color="auto"/>
        <w:left w:val="none" w:sz="0" w:space="0" w:color="auto"/>
        <w:bottom w:val="none" w:sz="0" w:space="0" w:color="auto"/>
        <w:right w:val="none" w:sz="0" w:space="0" w:color="auto"/>
      </w:divBdr>
    </w:div>
    <w:div w:id="1844397298">
      <w:bodyDiv w:val="1"/>
      <w:marLeft w:val="0"/>
      <w:marRight w:val="0"/>
      <w:marTop w:val="0"/>
      <w:marBottom w:val="0"/>
      <w:divBdr>
        <w:top w:val="none" w:sz="0" w:space="0" w:color="auto"/>
        <w:left w:val="none" w:sz="0" w:space="0" w:color="auto"/>
        <w:bottom w:val="none" w:sz="0" w:space="0" w:color="auto"/>
        <w:right w:val="none" w:sz="0" w:space="0" w:color="auto"/>
      </w:divBdr>
    </w:div>
    <w:div w:id="1844464751">
      <w:bodyDiv w:val="1"/>
      <w:marLeft w:val="0"/>
      <w:marRight w:val="0"/>
      <w:marTop w:val="0"/>
      <w:marBottom w:val="0"/>
      <w:divBdr>
        <w:top w:val="none" w:sz="0" w:space="0" w:color="auto"/>
        <w:left w:val="none" w:sz="0" w:space="0" w:color="auto"/>
        <w:bottom w:val="none" w:sz="0" w:space="0" w:color="auto"/>
        <w:right w:val="none" w:sz="0" w:space="0" w:color="auto"/>
      </w:divBdr>
    </w:div>
    <w:div w:id="1844586904">
      <w:bodyDiv w:val="1"/>
      <w:marLeft w:val="0"/>
      <w:marRight w:val="0"/>
      <w:marTop w:val="0"/>
      <w:marBottom w:val="0"/>
      <w:divBdr>
        <w:top w:val="none" w:sz="0" w:space="0" w:color="auto"/>
        <w:left w:val="none" w:sz="0" w:space="0" w:color="auto"/>
        <w:bottom w:val="none" w:sz="0" w:space="0" w:color="auto"/>
        <w:right w:val="none" w:sz="0" w:space="0" w:color="auto"/>
      </w:divBdr>
    </w:div>
    <w:div w:id="1844589455">
      <w:bodyDiv w:val="1"/>
      <w:marLeft w:val="0"/>
      <w:marRight w:val="0"/>
      <w:marTop w:val="0"/>
      <w:marBottom w:val="0"/>
      <w:divBdr>
        <w:top w:val="none" w:sz="0" w:space="0" w:color="auto"/>
        <w:left w:val="none" w:sz="0" w:space="0" w:color="auto"/>
        <w:bottom w:val="none" w:sz="0" w:space="0" w:color="auto"/>
        <w:right w:val="none" w:sz="0" w:space="0" w:color="auto"/>
      </w:divBdr>
    </w:div>
    <w:div w:id="1845166132">
      <w:bodyDiv w:val="1"/>
      <w:marLeft w:val="0"/>
      <w:marRight w:val="0"/>
      <w:marTop w:val="0"/>
      <w:marBottom w:val="0"/>
      <w:divBdr>
        <w:top w:val="none" w:sz="0" w:space="0" w:color="auto"/>
        <w:left w:val="none" w:sz="0" w:space="0" w:color="auto"/>
        <w:bottom w:val="none" w:sz="0" w:space="0" w:color="auto"/>
        <w:right w:val="none" w:sz="0" w:space="0" w:color="auto"/>
      </w:divBdr>
    </w:div>
    <w:div w:id="1845240837">
      <w:bodyDiv w:val="1"/>
      <w:marLeft w:val="0"/>
      <w:marRight w:val="0"/>
      <w:marTop w:val="0"/>
      <w:marBottom w:val="0"/>
      <w:divBdr>
        <w:top w:val="none" w:sz="0" w:space="0" w:color="auto"/>
        <w:left w:val="none" w:sz="0" w:space="0" w:color="auto"/>
        <w:bottom w:val="none" w:sz="0" w:space="0" w:color="auto"/>
        <w:right w:val="none" w:sz="0" w:space="0" w:color="auto"/>
      </w:divBdr>
    </w:div>
    <w:div w:id="1845586328">
      <w:bodyDiv w:val="1"/>
      <w:marLeft w:val="0"/>
      <w:marRight w:val="0"/>
      <w:marTop w:val="0"/>
      <w:marBottom w:val="0"/>
      <w:divBdr>
        <w:top w:val="none" w:sz="0" w:space="0" w:color="auto"/>
        <w:left w:val="none" w:sz="0" w:space="0" w:color="auto"/>
        <w:bottom w:val="none" w:sz="0" w:space="0" w:color="auto"/>
        <w:right w:val="none" w:sz="0" w:space="0" w:color="auto"/>
      </w:divBdr>
    </w:div>
    <w:div w:id="1845700502">
      <w:bodyDiv w:val="1"/>
      <w:marLeft w:val="0"/>
      <w:marRight w:val="0"/>
      <w:marTop w:val="0"/>
      <w:marBottom w:val="0"/>
      <w:divBdr>
        <w:top w:val="none" w:sz="0" w:space="0" w:color="auto"/>
        <w:left w:val="none" w:sz="0" w:space="0" w:color="auto"/>
        <w:bottom w:val="none" w:sz="0" w:space="0" w:color="auto"/>
        <w:right w:val="none" w:sz="0" w:space="0" w:color="auto"/>
      </w:divBdr>
    </w:div>
    <w:div w:id="1845703370">
      <w:bodyDiv w:val="1"/>
      <w:marLeft w:val="0"/>
      <w:marRight w:val="0"/>
      <w:marTop w:val="0"/>
      <w:marBottom w:val="0"/>
      <w:divBdr>
        <w:top w:val="none" w:sz="0" w:space="0" w:color="auto"/>
        <w:left w:val="none" w:sz="0" w:space="0" w:color="auto"/>
        <w:bottom w:val="none" w:sz="0" w:space="0" w:color="auto"/>
        <w:right w:val="none" w:sz="0" w:space="0" w:color="auto"/>
      </w:divBdr>
    </w:div>
    <w:div w:id="1846018354">
      <w:bodyDiv w:val="1"/>
      <w:marLeft w:val="0"/>
      <w:marRight w:val="0"/>
      <w:marTop w:val="0"/>
      <w:marBottom w:val="0"/>
      <w:divBdr>
        <w:top w:val="none" w:sz="0" w:space="0" w:color="auto"/>
        <w:left w:val="none" w:sz="0" w:space="0" w:color="auto"/>
        <w:bottom w:val="none" w:sz="0" w:space="0" w:color="auto"/>
        <w:right w:val="none" w:sz="0" w:space="0" w:color="auto"/>
      </w:divBdr>
    </w:div>
    <w:div w:id="1846019482">
      <w:bodyDiv w:val="1"/>
      <w:marLeft w:val="0"/>
      <w:marRight w:val="0"/>
      <w:marTop w:val="0"/>
      <w:marBottom w:val="0"/>
      <w:divBdr>
        <w:top w:val="none" w:sz="0" w:space="0" w:color="auto"/>
        <w:left w:val="none" w:sz="0" w:space="0" w:color="auto"/>
        <w:bottom w:val="none" w:sz="0" w:space="0" w:color="auto"/>
        <w:right w:val="none" w:sz="0" w:space="0" w:color="auto"/>
      </w:divBdr>
    </w:div>
    <w:div w:id="1846086588">
      <w:bodyDiv w:val="1"/>
      <w:marLeft w:val="0"/>
      <w:marRight w:val="0"/>
      <w:marTop w:val="0"/>
      <w:marBottom w:val="0"/>
      <w:divBdr>
        <w:top w:val="none" w:sz="0" w:space="0" w:color="auto"/>
        <w:left w:val="none" w:sz="0" w:space="0" w:color="auto"/>
        <w:bottom w:val="none" w:sz="0" w:space="0" w:color="auto"/>
        <w:right w:val="none" w:sz="0" w:space="0" w:color="auto"/>
      </w:divBdr>
    </w:div>
    <w:div w:id="1846087688">
      <w:bodyDiv w:val="1"/>
      <w:marLeft w:val="0"/>
      <w:marRight w:val="0"/>
      <w:marTop w:val="0"/>
      <w:marBottom w:val="0"/>
      <w:divBdr>
        <w:top w:val="none" w:sz="0" w:space="0" w:color="auto"/>
        <w:left w:val="none" w:sz="0" w:space="0" w:color="auto"/>
        <w:bottom w:val="none" w:sz="0" w:space="0" w:color="auto"/>
        <w:right w:val="none" w:sz="0" w:space="0" w:color="auto"/>
      </w:divBdr>
    </w:div>
    <w:div w:id="1846164614">
      <w:bodyDiv w:val="1"/>
      <w:marLeft w:val="0"/>
      <w:marRight w:val="0"/>
      <w:marTop w:val="0"/>
      <w:marBottom w:val="0"/>
      <w:divBdr>
        <w:top w:val="none" w:sz="0" w:space="0" w:color="auto"/>
        <w:left w:val="none" w:sz="0" w:space="0" w:color="auto"/>
        <w:bottom w:val="none" w:sz="0" w:space="0" w:color="auto"/>
        <w:right w:val="none" w:sz="0" w:space="0" w:color="auto"/>
      </w:divBdr>
    </w:div>
    <w:div w:id="1846241799">
      <w:bodyDiv w:val="1"/>
      <w:marLeft w:val="0"/>
      <w:marRight w:val="0"/>
      <w:marTop w:val="0"/>
      <w:marBottom w:val="0"/>
      <w:divBdr>
        <w:top w:val="none" w:sz="0" w:space="0" w:color="auto"/>
        <w:left w:val="none" w:sz="0" w:space="0" w:color="auto"/>
        <w:bottom w:val="none" w:sz="0" w:space="0" w:color="auto"/>
        <w:right w:val="none" w:sz="0" w:space="0" w:color="auto"/>
      </w:divBdr>
    </w:div>
    <w:div w:id="1846247000">
      <w:bodyDiv w:val="1"/>
      <w:marLeft w:val="0"/>
      <w:marRight w:val="0"/>
      <w:marTop w:val="0"/>
      <w:marBottom w:val="0"/>
      <w:divBdr>
        <w:top w:val="none" w:sz="0" w:space="0" w:color="auto"/>
        <w:left w:val="none" w:sz="0" w:space="0" w:color="auto"/>
        <w:bottom w:val="none" w:sz="0" w:space="0" w:color="auto"/>
        <w:right w:val="none" w:sz="0" w:space="0" w:color="auto"/>
      </w:divBdr>
    </w:div>
    <w:div w:id="1846629998">
      <w:bodyDiv w:val="1"/>
      <w:marLeft w:val="0"/>
      <w:marRight w:val="0"/>
      <w:marTop w:val="0"/>
      <w:marBottom w:val="0"/>
      <w:divBdr>
        <w:top w:val="none" w:sz="0" w:space="0" w:color="auto"/>
        <w:left w:val="none" w:sz="0" w:space="0" w:color="auto"/>
        <w:bottom w:val="none" w:sz="0" w:space="0" w:color="auto"/>
        <w:right w:val="none" w:sz="0" w:space="0" w:color="auto"/>
      </w:divBdr>
    </w:div>
    <w:div w:id="1846944301">
      <w:bodyDiv w:val="1"/>
      <w:marLeft w:val="0"/>
      <w:marRight w:val="0"/>
      <w:marTop w:val="0"/>
      <w:marBottom w:val="0"/>
      <w:divBdr>
        <w:top w:val="none" w:sz="0" w:space="0" w:color="auto"/>
        <w:left w:val="none" w:sz="0" w:space="0" w:color="auto"/>
        <w:bottom w:val="none" w:sz="0" w:space="0" w:color="auto"/>
        <w:right w:val="none" w:sz="0" w:space="0" w:color="auto"/>
      </w:divBdr>
    </w:div>
    <w:div w:id="1847329429">
      <w:bodyDiv w:val="1"/>
      <w:marLeft w:val="0"/>
      <w:marRight w:val="0"/>
      <w:marTop w:val="0"/>
      <w:marBottom w:val="0"/>
      <w:divBdr>
        <w:top w:val="none" w:sz="0" w:space="0" w:color="auto"/>
        <w:left w:val="none" w:sz="0" w:space="0" w:color="auto"/>
        <w:bottom w:val="none" w:sz="0" w:space="0" w:color="auto"/>
        <w:right w:val="none" w:sz="0" w:space="0" w:color="auto"/>
      </w:divBdr>
    </w:div>
    <w:div w:id="1847599925">
      <w:bodyDiv w:val="1"/>
      <w:marLeft w:val="0"/>
      <w:marRight w:val="0"/>
      <w:marTop w:val="0"/>
      <w:marBottom w:val="0"/>
      <w:divBdr>
        <w:top w:val="none" w:sz="0" w:space="0" w:color="auto"/>
        <w:left w:val="none" w:sz="0" w:space="0" w:color="auto"/>
        <w:bottom w:val="none" w:sz="0" w:space="0" w:color="auto"/>
        <w:right w:val="none" w:sz="0" w:space="0" w:color="auto"/>
      </w:divBdr>
    </w:div>
    <w:div w:id="1847671359">
      <w:bodyDiv w:val="1"/>
      <w:marLeft w:val="0"/>
      <w:marRight w:val="0"/>
      <w:marTop w:val="0"/>
      <w:marBottom w:val="0"/>
      <w:divBdr>
        <w:top w:val="none" w:sz="0" w:space="0" w:color="auto"/>
        <w:left w:val="none" w:sz="0" w:space="0" w:color="auto"/>
        <w:bottom w:val="none" w:sz="0" w:space="0" w:color="auto"/>
        <w:right w:val="none" w:sz="0" w:space="0" w:color="auto"/>
      </w:divBdr>
    </w:div>
    <w:div w:id="1847748624">
      <w:bodyDiv w:val="1"/>
      <w:marLeft w:val="0"/>
      <w:marRight w:val="0"/>
      <w:marTop w:val="0"/>
      <w:marBottom w:val="0"/>
      <w:divBdr>
        <w:top w:val="none" w:sz="0" w:space="0" w:color="auto"/>
        <w:left w:val="none" w:sz="0" w:space="0" w:color="auto"/>
        <w:bottom w:val="none" w:sz="0" w:space="0" w:color="auto"/>
        <w:right w:val="none" w:sz="0" w:space="0" w:color="auto"/>
      </w:divBdr>
    </w:div>
    <w:div w:id="1847749199">
      <w:bodyDiv w:val="1"/>
      <w:marLeft w:val="0"/>
      <w:marRight w:val="0"/>
      <w:marTop w:val="0"/>
      <w:marBottom w:val="0"/>
      <w:divBdr>
        <w:top w:val="none" w:sz="0" w:space="0" w:color="auto"/>
        <w:left w:val="none" w:sz="0" w:space="0" w:color="auto"/>
        <w:bottom w:val="none" w:sz="0" w:space="0" w:color="auto"/>
        <w:right w:val="none" w:sz="0" w:space="0" w:color="auto"/>
      </w:divBdr>
    </w:div>
    <w:div w:id="1848327214">
      <w:bodyDiv w:val="1"/>
      <w:marLeft w:val="0"/>
      <w:marRight w:val="0"/>
      <w:marTop w:val="0"/>
      <w:marBottom w:val="0"/>
      <w:divBdr>
        <w:top w:val="none" w:sz="0" w:space="0" w:color="auto"/>
        <w:left w:val="none" w:sz="0" w:space="0" w:color="auto"/>
        <w:bottom w:val="none" w:sz="0" w:space="0" w:color="auto"/>
        <w:right w:val="none" w:sz="0" w:space="0" w:color="auto"/>
      </w:divBdr>
    </w:div>
    <w:div w:id="1848442976">
      <w:bodyDiv w:val="1"/>
      <w:marLeft w:val="0"/>
      <w:marRight w:val="0"/>
      <w:marTop w:val="0"/>
      <w:marBottom w:val="0"/>
      <w:divBdr>
        <w:top w:val="none" w:sz="0" w:space="0" w:color="auto"/>
        <w:left w:val="none" w:sz="0" w:space="0" w:color="auto"/>
        <w:bottom w:val="none" w:sz="0" w:space="0" w:color="auto"/>
        <w:right w:val="none" w:sz="0" w:space="0" w:color="auto"/>
      </w:divBdr>
    </w:div>
    <w:div w:id="1848518502">
      <w:bodyDiv w:val="1"/>
      <w:marLeft w:val="0"/>
      <w:marRight w:val="0"/>
      <w:marTop w:val="0"/>
      <w:marBottom w:val="0"/>
      <w:divBdr>
        <w:top w:val="none" w:sz="0" w:space="0" w:color="auto"/>
        <w:left w:val="none" w:sz="0" w:space="0" w:color="auto"/>
        <w:bottom w:val="none" w:sz="0" w:space="0" w:color="auto"/>
        <w:right w:val="none" w:sz="0" w:space="0" w:color="auto"/>
      </w:divBdr>
    </w:div>
    <w:div w:id="1848791362">
      <w:bodyDiv w:val="1"/>
      <w:marLeft w:val="0"/>
      <w:marRight w:val="0"/>
      <w:marTop w:val="0"/>
      <w:marBottom w:val="0"/>
      <w:divBdr>
        <w:top w:val="none" w:sz="0" w:space="0" w:color="auto"/>
        <w:left w:val="none" w:sz="0" w:space="0" w:color="auto"/>
        <w:bottom w:val="none" w:sz="0" w:space="0" w:color="auto"/>
        <w:right w:val="none" w:sz="0" w:space="0" w:color="auto"/>
      </w:divBdr>
    </w:div>
    <w:div w:id="1848860787">
      <w:bodyDiv w:val="1"/>
      <w:marLeft w:val="0"/>
      <w:marRight w:val="0"/>
      <w:marTop w:val="0"/>
      <w:marBottom w:val="0"/>
      <w:divBdr>
        <w:top w:val="none" w:sz="0" w:space="0" w:color="auto"/>
        <w:left w:val="none" w:sz="0" w:space="0" w:color="auto"/>
        <w:bottom w:val="none" w:sz="0" w:space="0" w:color="auto"/>
        <w:right w:val="none" w:sz="0" w:space="0" w:color="auto"/>
      </w:divBdr>
    </w:div>
    <w:div w:id="1848906983">
      <w:bodyDiv w:val="1"/>
      <w:marLeft w:val="0"/>
      <w:marRight w:val="0"/>
      <w:marTop w:val="0"/>
      <w:marBottom w:val="0"/>
      <w:divBdr>
        <w:top w:val="none" w:sz="0" w:space="0" w:color="auto"/>
        <w:left w:val="none" w:sz="0" w:space="0" w:color="auto"/>
        <w:bottom w:val="none" w:sz="0" w:space="0" w:color="auto"/>
        <w:right w:val="none" w:sz="0" w:space="0" w:color="auto"/>
      </w:divBdr>
    </w:div>
    <w:div w:id="1848907468">
      <w:bodyDiv w:val="1"/>
      <w:marLeft w:val="0"/>
      <w:marRight w:val="0"/>
      <w:marTop w:val="0"/>
      <w:marBottom w:val="0"/>
      <w:divBdr>
        <w:top w:val="none" w:sz="0" w:space="0" w:color="auto"/>
        <w:left w:val="none" w:sz="0" w:space="0" w:color="auto"/>
        <w:bottom w:val="none" w:sz="0" w:space="0" w:color="auto"/>
        <w:right w:val="none" w:sz="0" w:space="0" w:color="auto"/>
      </w:divBdr>
    </w:div>
    <w:div w:id="1848978959">
      <w:bodyDiv w:val="1"/>
      <w:marLeft w:val="0"/>
      <w:marRight w:val="0"/>
      <w:marTop w:val="0"/>
      <w:marBottom w:val="0"/>
      <w:divBdr>
        <w:top w:val="none" w:sz="0" w:space="0" w:color="auto"/>
        <w:left w:val="none" w:sz="0" w:space="0" w:color="auto"/>
        <w:bottom w:val="none" w:sz="0" w:space="0" w:color="auto"/>
        <w:right w:val="none" w:sz="0" w:space="0" w:color="auto"/>
      </w:divBdr>
    </w:div>
    <w:div w:id="1849100201">
      <w:bodyDiv w:val="1"/>
      <w:marLeft w:val="0"/>
      <w:marRight w:val="0"/>
      <w:marTop w:val="0"/>
      <w:marBottom w:val="0"/>
      <w:divBdr>
        <w:top w:val="none" w:sz="0" w:space="0" w:color="auto"/>
        <w:left w:val="none" w:sz="0" w:space="0" w:color="auto"/>
        <w:bottom w:val="none" w:sz="0" w:space="0" w:color="auto"/>
        <w:right w:val="none" w:sz="0" w:space="0" w:color="auto"/>
      </w:divBdr>
    </w:div>
    <w:div w:id="1849250568">
      <w:bodyDiv w:val="1"/>
      <w:marLeft w:val="0"/>
      <w:marRight w:val="0"/>
      <w:marTop w:val="0"/>
      <w:marBottom w:val="0"/>
      <w:divBdr>
        <w:top w:val="none" w:sz="0" w:space="0" w:color="auto"/>
        <w:left w:val="none" w:sz="0" w:space="0" w:color="auto"/>
        <w:bottom w:val="none" w:sz="0" w:space="0" w:color="auto"/>
        <w:right w:val="none" w:sz="0" w:space="0" w:color="auto"/>
      </w:divBdr>
    </w:div>
    <w:div w:id="1849323499">
      <w:bodyDiv w:val="1"/>
      <w:marLeft w:val="0"/>
      <w:marRight w:val="0"/>
      <w:marTop w:val="0"/>
      <w:marBottom w:val="0"/>
      <w:divBdr>
        <w:top w:val="none" w:sz="0" w:space="0" w:color="auto"/>
        <w:left w:val="none" w:sz="0" w:space="0" w:color="auto"/>
        <w:bottom w:val="none" w:sz="0" w:space="0" w:color="auto"/>
        <w:right w:val="none" w:sz="0" w:space="0" w:color="auto"/>
      </w:divBdr>
    </w:div>
    <w:div w:id="1849364014">
      <w:bodyDiv w:val="1"/>
      <w:marLeft w:val="0"/>
      <w:marRight w:val="0"/>
      <w:marTop w:val="0"/>
      <w:marBottom w:val="0"/>
      <w:divBdr>
        <w:top w:val="none" w:sz="0" w:space="0" w:color="auto"/>
        <w:left w:val="none" w:sz="0" w:space="0" w:color="auto"/>
        <w:bottom w:val="none" w:sz="0" w:space="0" w:color="auto"/>
        <w:right w:val="none" w:sz="0" w:space="0" w:color="auto"/>
      </w:divBdr>
    </w:div>
    <w:div w:id="1849514589">
      <w:bodyDiv w:val="1"/>
      <w:marLeft w:val="0"/>
      <w:marRight w:val="0"/>
      <w:marTop w:val="0"/>
      <w:marBottom w:val="0"/>
      <w:divBdr>
        <w:top w:val="none" w:sz="0" w:space="0" w:color="auto"/>
        <w:left w:val="none" w:sz="0" w:space="0" w:color="auto"/>
        <w:bottom w:val="none" w:sz="0" w:space="0" w:color="auto"/>
        <w:right w:val="none" w:sz="0" w:space="0" w:color="auto"/>
      </w:divBdr>
    </w:div>
    <w:div w:id="1849519322">
      <w:bodyDiv w:val="1"/>
      <w:marLeft w:val="0"/>
      <w:marRight w:val="0"/>
      <w:marTop w:val="0"/>
      <w:marBottom w:val="0"/>
      <w:divBdr>
        <w:top w:val="none" w:sz="0" w:space="0" w:color="auto"/>
        <w:left w:val="none" w:sz="0" w:space="0" w:color="auto"/>
        <w:bottom w:val="none" w:sz="0" w:space="0" w:color="auto"/>
        <w:right w:val="none" w:sz="0" w:space="0" w:color="auto"/>
      </w:divBdr>
    </w:div>
    <w:div w:id="1849557022">
      <w:bodyDiv w:val="1"/>
      <w:marLeft w:val="0"/>
      <w:marRight w:val="0"/>
      <w:marTop w:val="0"/>
      <w:marBottom w:val="0"/>
      <w:divBdr>
        <w:top w:val="none" w:sz="0" w:space="0" w:color="auto"/>
        <w:left w:val="none" w:sz="0" w:space="0" w:color="auto"/>
        <w:bottom w:val="none" w:sz="0" w:space="0" w:color="auto"/>
        <w:right w:val="none" w:sz="0" w:space="0" w:color="auto"/>
      </w:divBdr>
    </w:div>
    <w:div w:id="1849708960">
      <w:bodyDiv w:val="1"/>
      <w:marLeft w:val="0"/>
      <w:marRight w:val="0"/>
      <w:marTop w:val="0"/>
      <w:marBottom w:val="0"/>
      <w:divBdr>
        <w:top w:val="none" w:sz="0" w:space="0" w:color="auto"/>
        <w:left w:val="none" w:sz="0" w:space="0" w:color="auto"/>
        <w:bottom w:val="none" w:sz="0" w:space="0" w:color="auto"/>
        <w:right w:val="none" w:sz="0" w:space="0" w:color="auto"/>
      </w:divBdr>
    </w:div>
    <w:div w:id="1849754004">
      <w:bodyDiv w:val="1"/>
      <w:marLeft w:val="0"/>
      <w:marRight w:val="0"/>
      <w:marTop w:val="0"/>
      <w:marBottom w:val="0"/>
      <w:divBdr>
        <w:top w:val="none" w:sz="0" w:space="0" w:color="auto"/>
        <w:left w:val="none" w:sz="0" w:space="0" w:color="auto"/>
        <w:bottom w:val="none" w:sz="0" w:space="0" w:color="auto"/>
        <w:right w:val="none" w:sz="0" w:space="0" w:color="auto"/>
      </w:divBdr>
    </w:div>
    <w:div w:id="1849900827">
      <w:bodyDiv w:val="1"/>
      <w:marLeft w:val="0"/>
      <w:marRight w:val="0"/>
      <w:marTop w:val="0"/>
      <w:marBottom w:val="0"/>
      <w:divBdr>
        <w:top w:val="none" w:sz="0" w:space="0" w:color="auto"/>
        <w:left w:val="none" w:sz="0" w:space="0" w:color="auto"/>
        <w:bottom w:val="none" w:sz="0" w:space="0" w:color="auto"/>
        <w:right w:val="none" w:sz="0" w:space="0" w:color="auto"/>
      </w:divBdr>
    </w:div>
    <w:div w:id="1850676480">
      <w:bodyDiv w:val="1"/>
      <w:marLeft w:val="0"/>
      <w:marRight w:val="0"/>
      <w:marTop w:val="0"/>
      <w:marBottom w:val="0"/>
      <w:divBdr>
        <w:top w:val="none" w:sz="0" w:space="0" w:color="auto"/>
        <w:left w:val="none" w:sz="0" w:space="0" w:color="auto"/>
        <w:bottom w:val="none" w:sz="0" w:space="0" w:color="auto"/>
        <w:right w:val="none" w:sz="0" w:space="0" w:color="auto"/>
      </w:divBdr>
    </w:div>
    <w:div w:id="1850749365">
      <w:bodyDiv w:val="1"/>
      <w:marLeft w:val="0"/>
      <w:marRight w:val="0"/>
      <w:marTop w:val="0"/>
      <w:marBottom w:val="0"/>
      <w:divBdr>
        <w:top w:val="none" w:sz="0" w:space="0" w:color="auto"/>
        <w:left w:val="none" w:sz="0" w:space="0" w:color="auto"/>
        <w:bottom w:val="none" w:sz="0" w:space="0" w:color="auto"/>
        <w:right w:val="none" w:sz="0" w:space="0" w:color="auto"/>
      </w:divBdr>
    </w:div>
    <w:div w:id="1850947330">
      <w:bodyDiv w:val="1"/>
      <w:marLeft w:val="0"/>
      <w:marRight w:val="0"/>
      <w:marTop w:val="0"/>
      <w:marBottom w:val="0"/>
      <w:divBdr>
        <w:top w:val="none" w:sz="0" w:space="0" w:color="auto"/>
        <w:left w:val="none" w:sz="0" w:space="0" w:color="auto"/>
        <w:bottom w:val="none" w:sz="0" w:space="0" w:color="auto"/>
        <w:right w:val="none" w:sz="0" w:space="0" w:color="auto"/>
      </w:divBdr>
    </w:div>
    <w:div w:id="1851135956">
      <w:bodyDiv w:val="1"/>
      <w:marLeft w:val="0"/>
      <w:marRight w:val="0"/>
      <w:marTop w:val="0"/>
      <w:marBottom w:val="0"/>
      <w:divBdr>
        <w:top w:val="none" w:sz="0" w:space="0" w:color="auto"/>
        <w:left w:val="none" w:sz="0" w:space="0" w:color="auto"/>
        <w:bottom w:val="none" w:sz="0" w:space="0" w:color="auto"/>
        <w:right w:val="none" w:sz="0" w:space="0" w:color="auto"/>
      </w:divBdr>
    </w:div>
    <w:div w:id="1851335411">
      <w:bodyDiv w:val="1"/>
      <w:marLeft w:val="0"/>
      <w:marRight w:val="0"/>
      <w:marTop w:val="0"/>
      <w:marBottom w:val="0"/>
      <w:divBdr>
        <w:top w:val="none" w:sz="0" w:space="0" w:color="auto"/>
        <w:left w:val="none" w:sz="0" w:space="0" w:color="auto"/>
        <w:bottom w:val="none" w:sz="0" w:space="0" w:color="auto"/>
        <w:right w:val="none" w:sz="0" w:space="0" w:color="auto"/>
      </w:divBdr>
    </w:div>
    <w:div w:id="1851337353">
      <w:bodyDiv w:val="1"/>
      <w:marLeft w:val="0"/>
      <w:marRight w:val="0"/>
      <w:marTop w:val="0"/>
      <w:marBottom w:val="0"/>
      <w:divBdr>
        <w:top w:val="none" w:sz="0" w:space="0" w:color="auto"/>
        <w:left w:val="none" w:sz="0" w:space="0" w:color="auto"/>
        <w:bottom w:val="none" w:sz="0" w:space="0" w:color="auto"/>
        <w:right w:val="none" w:sz="0" w:space="0" w:color="auto"/>
      </w:divBdr>
    </w:div>
    <w:div w:id="1851486558">
      <w:bodyDiv w:val="1"/>
      <w:marLeft w:val="0"/>
      <w:marRight w:val="0"/>
      <w:marTop w:val="0"/>
      <w:marBottom w:val="0"/>
      <w:divBdr>
        <w:top w:val="none" w:sz="0" w:space="0" w:color="auto"/>
        <w:left w:val="none" w:sz="0" w:space="0" w:color="auto"/>
        <w:bottom w:val="none" w:sz="0" w:space="0" w:color="auto"/>
        <w:right w:val="none" w:sz="0" w:space="0" w:color="auto"/>
      </w:divBdr>
    </w:div>
    <w:div w:id="1851673466">
      <w:bodyDiv w:val="1"/>
      <w:marLeft w:val="0"/>
      <w:marRight w:val="0"/>
      <w:marTop w:val="0"/>
      <w:marBottom w:val="0"/>
      <w:divBdr>
        <w:top w:val="none" w:sz="0" w:space="0" w:color="auto"/>
        <w:left w:val="none" w:sz="0" w:space="0" w:color="auto"/>
        <w:bottom w:val="none" w:sz="0" w:space="0" w:color="auto"/>
        <w:right w:val="none" w:sz="0" w:space="0" w:color="auto"/>
      </w:divBdr>
    </w:div>
    <w:div w:id="1851798880">
      <w:bodyDiv w:val="1"/>
      <w:marLeft w:val="0"/>
      <w:marRight w:val="0"/>
      <w:marTop w:val="0"/>
      <w:marBottom w:val="0"/>
      <w:divBdr>
        <w:top w:val="none" w:sz="0" w:space="0" w:color="auto"/>
        <w:left w:val="none" w:sz="0" w:space="0" w:color="auto"/>
        <w:bottom w:val="none" w:sz="0" w:space="0" w:color="auto"/>
        <w:right w:val="none" w:sz="0" w:space="0" w:color="auto"/>
      </w:divBdr>
    </w:div>
    <w:div w:id="1852335118">
      <w:bodyDiv w:val="1"/>
      <w:marLeft w:val="0"/>
      <w:marRight w:val="0"/>
      <w:marTop w:val="0"/>
      <w:marBottom w:val="0"/>
      <w:divBdr>
        <w:top w:val="none" w:sz="0" w:space="0" w:color="auto"/>
        <w:left w:val="none" w:sz="0" w:space="0" w:color="auto"/>
        <w:bottom w:val="none" w:sz="0" w:space="0" w:color="auto"/>
        <w:right w:val="none" w:sz="0" w:space="0" w:color="auto"/>
      </w:divBdr>
    </w:div>
    <w:div w:id="1852600391">
      <w:bodyDiv w:val="1"/>
      <w:marLeft w:val="0"/>
      <w:marRight w:val="0"/>
      <w:marTop w:val="0"/>
      <w:marBottom w:val="0"/>
      <w:divBdr>
        <w:top w:val="none" w:sz="0" w:space="0" w:color="auto"/>
        <w:left w:val="none" w:sz="0" w:space="0" w:color="auto"/>
        <w:bottom w:val="none" w:sz="0" w:space="0" w:color="auto"/>
        <w:right w:val="none" w:sz="0" w:space="0" w:color="auto"/>
      </w:divBdr>
    </w:div>
    <w:div w:id="1852720612">
      <w:bodyDiv w:val="1"/>
      <w:marLeft w:val="0"/>
      <w:marRight w:val="0"/>
      <w:marTop w:val="0"/>
      <w:marBottom w:val="0"/>
      <w:divBdr>
        <w:top w:val="none" w:sz="0" w:space="0" w:color="auto"/>
        <w:left w:val="none" w:sz="0" w:space="0" w:color="auto"/>
        <w:bottom w:val="none" w:sz="0" w:space="0" w:color="auto"/>
        <w:right w:val="none" w:sz="0" w:space="0" w:color="auto"/>
      </w:divBdr>
    </w:div>
    <w:div w:id="1853060170">
      <w:bodyDiv w:val="1"/>
      <w:marLeft w:val="0"/>
      <w:marRight w:val="0"/>
      <w:marTop w:val="0"/>
      <w:marBottom w:val="0"/>
      <w:divBdr>
        <w:top w:val="none" w:sz="0" w:space="0" w:color="auto"/>
        <w:left w:val="none" w:sz="0" w:space="0" w:color="auto"/>
        <w:bottom w:val="none" w:sz="0" w:space="0" w:color="auto"/>
        <w:right w:val="none" w:sz="0" w:space="0" w:color="auto"/>
      </w:divBdr>
    </w:div>
    <w:div w:id="1853102040">
      <w:bodyDiv w:val="1"/>
      <w:marLeft w:val="0"/>
      <w:marRight w:val="0"/>
      <w:marTop w:val="0"/>
      <w:marBottom w:val="0"/>
      <w:divBdr>
        <w:top w:val="none" w:sz="0" w:space="0" w:color="auto"/>
        <w:left w:val="none" w:sz="0" w:space="0" w:color="auto"/>
        <w:bottom w:val="none" w:sz="0" w:space="0" w:color="auto"/>
        <w:right w:val="none" w:sz="0" w:space="0" w:color="auto"/>
      </w:divBdr>
    </w:div>
    <w:div w:id="1853103147">
      <w:bodyDiv w:val="1"/>
      <w:marLeft w:val="0"/>
      <w:marRight w:val="0"/>
      <w:marTop w:val="0"/>
      <w:marBottom w:val="0"/>
      <w:divBdr>
        <w:top w:val="none" w:sz="0" w:space="0" w:color="auto"/>
        <w:left w:val="none" w:sz="0" w:space="0" w:color="auto"/>
        <w:bottom w:val="none" w:sz="0" w:space="0" w:color="auto"/>
        <w:right w:val="none" w:sz="0" w:space="0" w:color="auto"/>
      </w:divBdr>
    </w:div>
    <w:div w:id="1853300865">
      <w:bodyDiv w:val="1"/>
      <w:marLeft w:val="0"/>
      <w:marRight w:val="0"/>
      <w:marTop w:val="0"/>
      <w:marBottom w:val="0"/>
      <w:divBdr>
        <w:top w:val="none" w:sz="0" w:space="0" w:color="auto"/>
        <w:left w:val="none" w:sz="0" w:space="0" w:color="auto"/>
        <w:bottom w:val="none" w:sz="0" w:space="0" w:color="auto"/>
        <w:right w:val="none" w:sz="0" w:space="0" w:color="auto"/>
      </w:divBdr>
    </w:div>
    <w:div w:id="1853373098">
      <w:bodyDiv w:val="1"/>
      <w:marLeft w:val="0"/>
      <w:marRight w:val="0"/>
      <w:marTop w:val="0"/>
      <w:marBottom w:val="0"/>
      <w:divBdr>
        <w:top w:val="none" w:sz="0" w:space="0" w:color="auto"/>
        <w:left w:val="none" w:sz="0" w:space="0" w:color="auto"/>
        <w:bottom w:val="none" w:sz="0" w:space="0" w:color="auto"/>
        <w:right w:val="none" w:sz="0" w:space="0" w:color="auto"/>
      </w:divBdr>
    </w:div>
    <w:div w:id="1853566561">
      <w:bodyDiv w:val="1"/>
      <w:marLeft w:val="0"/>
      <w:marRight w:val="0"/>
      <w:marTop w:val="0"/>
      <w:marBottom w:val="0"/>
      <w:divBdr>
        <w:top w:val="none" w:sz="0" w:space="0" w:color="auto"/>
        <w:left w:val="none" w:sz="0" w:space="0" w:color="auto"/>
        <w:bottom w:val="none" w:sz="0" w:space="0" w:color="auto"/>
        <w:right w:val="none" w:sz="0" w:space="0" w:color="auto"/>
      </w:divBdr>
    </w:div>
    <w:div w:id="1853912242">
      <w:bodyDiv w:val="1"/>
      <w:marLeft w:val="0"/>
      <w:marRight w:val="0"/>
      <w:marTop w:val="0"/>
      <w:marBottom w:val="0"/>
      <w:divBdr>
        <w:top w:val="none" w:sz="0" w:space="0" w:color="auto"/>
        <w:left w:val="none" w:sz="0" w:space="0" w:color="auto"/>
        <w:bottom w:val="none" w:sz="0" w:space="0" w:color="auto"/>
        <w:right w:val="none" w:sz="0" w:space="0" w:color="auto"/>
      </w:divBdr>
    </w:div>
    <w:div w:id="1854370155">
      <w:bodyDiv w:val="1"/>
      <w:marLeft w:val="0"/>
      <w:marRight w:val="0"/>
      <w:marTop w:val="0"/>
      <w:marBottom w:val="0"/>
      <w:divBdr>
        <w:top w:val="none" w:sz="0" w:space="0" w:color="auto"/>
        <w:left w:val="none" w:sz="0" w:space="0" w:color="auto"/>
        <w:bottom w:val="none" w:sz="0" w:space="0" w:color="auto"/>
        <w:right w:val="none" w:sz="0" w:space="0" w:color="auto"/>
      </w:divBdr>
    </w:div>
    <w:div w:id="1854487535">
      <w:bodyDiv w:val="1"/>
      <w:marLeft w:val="0"/>
      <w:marRight w:val="0"/>
      <w:marTop w:val="0"/>
      <w:marBottom w:val="0"/>
      <w:divBdr>
        <w:top w:val="none" w:sz="0" w:space="0" w:color="auto"/>
        <w:left w:val="none" w:sz="0" w:space="0" w:color="auto"/>
        <w:bottom w:val="none" w:sz="0" w:space="0" w:color="auto"/>
        <w:right w:val="none" w:sz="0" w:space="0" w:color="auto"/>
      </w:divBdr>
    </w:div>
    <w:div w:id="1854489641">
      <w:bodyDiv w:val="1"/>
      <w:marLeft w:val="0"/>
      <w:marRight w:val="0"/>
      <w:marTop w:val="0"/>
      <w:marBottom w:val="0"/>
      <w:divBdr>
        <w:top w:val="none" w:sz="0" w:space="0" w:color="auto"/>
        <w:left w:val="none" w:sz="0" w:space="0" w:color="auto"/>
        <w:bottom w:val="none" w:sz="0" w:space="0" w:color="auto"/>
        <w:right w:val="none" w:sz="0" w:space="0" w:color="auto"/>
      </w:divBdr>
    </w:div>
    <w:div w:id="1854568197">
      <w:bodyDiv w:val="1"/>
      <w:marLeft w:val="0"/>
      <w:marRight w:val="0"/>
      <w:marTop w:val="0"/>
      <w:marBottom w:val="0"/>
      <w:divBdr>
        <w:top w:val="none" w:sz="0" w:space="0" w:color="auto"/>
        <w:left w:val="none" w:sz="0" w:space="0" w:color="auto"/>
        <w:bottom w:val="none" w:sz="0" w:space="0" w:color="auto"/>
        <w:right w:val="none" w:sz="0" w:space="0" w:color="auto"/>
      </w:divBdr>
    </w:div>
    <w:div w:id="1855076531">
      <w:bodyDiv w:val="1"/>
      <w:marLeft w:val="0"/>
      <w:marRight w:val="0"/>
      <w:marTop w:val="0"/>
      <w:marBottom w:val="0"/>
      <w:divBdr>
        <w:top w:val="none" w:sz="0" w:space="0" w:color="auto"/>
        <w:left w:val="none" w:sz="0" w:space="0" w:color="auto"/>
        <w:bottom w:val="none" w:sz="0" w:space="0" w:color="auto"/>
        <w:right w:val="none" w:sz="0" w:space="0" w:color="auto"/>
      </w:divBdr>
    </w:div>
    <w:div w:id="1855220304">
      <w:bodyDiv w:val="1"/>
      <w:marLeft w:val="0"/>
      <w:marRight w:val="0"/>
      <w:marTop w:val="0"/>
      <w:marBottom w:val="0"/>
      <w:divBdr>
        <w:top w:val="none" w:sz="0" w:space="0" w:color="auto"/>
        <w:left w:val="none" w:sz="0" w:space="0" w:color="auto"/>
        <w:bottom w:val="none" w:sz="0" w:space="0" w:color="auto"/>
        <w:right w:val="none" w:sz="0" w:space="0" w:color="auto"/>
      </w:divBdr>
    </w:div>
    <w:div w:id="1855265573">
      <w:bodyDiv w:val="1"/>
      <w:marLeft w:val="0"/>
      <w:marRight w:val="0"/>
      <w:marTop w:val="0"/>
      <w:marBottom w:val="0"/>
      <w:divBdr>
        <w:top w:val="none" w:sz="0" w:space="0" w:color="auto"/>
        <w:left w:val="none" w:sz="0" w:space="0" w:color="auto"/>
        <w:bottom w:val="none" w:sz="0" w:space="0" w:color="auto"/>
        <w:right w:val="none" w:sz="0" w:space="0" w:color="auto"/>
      </w:divBdr>
    </w:div>
    <w:div w:id="1855420172">
      <w:bodyDiv w:val="1"/>
      <w:marLeft w:val="0"/>
      <w:marRight w:val="0"/>
      <w:marTop w:val="0"/>
      <w:marBottom w:val="0"/>
      <w:divBdr>
        <w:top w:val="none" w:sz="0" w:space="0" w:color="auto"/>
        <w:left w:val="none" w:sz="0" w:space="0" w:color="auto"/>
        <w:bottom w:val="none" w:sz="0" w:space="0" w:color="auto"/>
        <w:right w:val="none" w:sz="0" w:space="0" w:color="auto"/>
      </w:divBdr>
    </w:div>
    <w:div w:id="1856529993">
      <w:bodyDiv w:val="1"/>
      <w:marLeft w:val="0"/>
      <w:marRight w:val="0"/>
      <w:marTop w:val="0"/>
      <w:marBottom w:val="0"/>
      <w:divBdr>
        <w:top w:val="none" w:sz="0" w:space="0" w:color="auto"/>
        <w:left w:val="none" w:sz="0" w:space="0" w:color="auto"/>
        <w:bottom w:val="none" w:sz="0" w:space="0" w:color="auto"/>
        <w:right w:val="none" w:sz="0" w:space="0" w:color="auto"/>
      </w:divBdr>
    </w:div>
    <w:div w:id="1857233052">
      <w:bodyDiv w:val="1"/>
      <w:marLeft w:val="0"/>
      <w:marRight w:val="0"/>
      <w:marTop w:val="0"/>
      <w:marBottom w:val="0"/>
      <w:divBdr>
        <w:top w:val="none" w:sz="0" w:space="0" w:color="auto"/>
        <w:left w:val="none" w:sz="0" w:space="0" w:color="auto"/>
        <w:bottom w:val="none" w:sz="0" w:space="0" w:color="auto"/>
        <w:right w:val="none" w:sz="0" w:space="0" w:color="auto"/>
      </w:divBdr>
    </w:div>
    <w:div w:id="1857304580">
      <w:bodyDiv w:val="1"/>
      <w:marLeft w:val="0"/>
      <w:marRight w:val="0"/>
      <w:marTop w:val="0"/>
      <w:marBottom w:val="0"/>
      <w:divBdr>
        <w:top w:val="none" w:sz="0" w:space="0" w:color="auto"/>
        <w:left w:val="none" w:sz="0" w:space="0" w:color="auto"/>
        <w:bottom w:val="none" w:sz="0" w:space="0" w:color="auto"/>
        <w:right w:val="none" w:sz="0" w:space="0" w:color="auto"/>
      </w:divBdr>
    </w:div>
    <w:div w:id="1857452653">
      <w:bodyDiv w:val="1"/>
      <w:marLeft w:val="0"/>
      <w:marRight w:val="0"/>
      <w:marTop w:val="0"/>
      <w:marBottom w:val="0"/>
      <w:divBdr>
        <w:top w:val="none" w:sz="0" w:space="0" w:color="auto"/>
        <w:left w:val="none" w:sz="0" w:space="0" w:color="auto"/>
        <w:bottom w:val="none" w:sz="0" w:space="0" w:color="auto"/>
        <w:right w:val="none" w:sz="0" w:space="0" w:color="auto"/>
      </w:divBdr>
    </w:div>
    <w:div w:id="1857577606">
      <w:bodyDiv w:val="1"/>
      <w:marLeft w:val="0"/>
      <w:marRight w:val="0"/>
      <w:marTop w:val="0"/>
      <w:marBottom w:val="0"/>
      <w:divBdr>
        <w:top w:val="none" w:sz="0" w:space="0" w:color="auto"/>
        <w:left w:val="none" w:sz="0" w:space="0" w:color="auto"/>
        <w:bottom w:val="none" w:sz="0" w:space="0" w:color="auto"/>
        <w:right w:val="none" w:sz="0" w:space="0" w:color="auto"/>
      </w:divBdr>
    </w:div>
    <w:div w:id="1857765095">
      <w:bodyDiv w:val="1"/>
      <w:marLeft w:val="0"/>
      <w:marRight w:val="0"/>
      <w:marTop w:val="0"/>
      <w:marBottom w:val="0"/>
      <w:divBdr>
        <w:top w:val="none" w:sz="0" w:space="0" w:color="auto"/>
        <w:left w:val="none" w:sz="0" w:space="0" w:color="auto"/>
        <w:bottom w:val="none" w:sz="0" w:space="0" w:color="auto"/>
        <w:right w:val="none" w:sz="0" w:space="0" w:color="auto"/>
      </w:divBdr>
    </w:div>
    <w:div w:id="1858274613">
      <w:bodyDiv w:val="1"/>
      <w:marLeft w:val="0"/>
      <w:marRight w:val="0"/>
      <w:marTop w:val="0"/>
      <w:marBottom w:val="0"/>
      <w:divBdr>
        <w:top w:val="none" w:sz="0" w:space="0" w:color="auto"/>
        <w:left w:val="none" w:sz="0" w:space="0" w:color="auto"/>
        <w:bottom w:val="none" w:sz="0" w:space="0" w:color="auto"/>
        <w:right w:val="none" w:sz="0" w:space="0" w:color="auto"/>
      </w:divBdr>
    </w:div>
    <w:div w:id="1858419263">
      <w:bodyDiv w:val="1"/>
      <w:marLeft w:val="0"/>
      <w:marRight w:val="0"/>
      <w:marTop w:val="0"/>
      <w:marBottom w:val="0"/>
      <w:divBdr>
        <w:top w:val="none" w:sz="0" w:space="0" w:color="auto"/>
        <w:left w:val="none" w:sz="0" w:space="0" w:color="auto"/>
        <w:bottom w:val="none" w:sz="0" w:space="0" w:color="auto"/>
        <w:right w:val="none" w:sz="0" w:space="0" w:color="auto"/>
      </w:divBdr>
    </w:div>
    <w:div w:id="1858420932">
      <w:bodyDiv w:val="1"/>
      <w:marLeft w:val="0"/>
      <w:marRight w:val="0"/>
      <w:marTop w:val="0"/>
      <w:marBottom w:val="0"/>
      <w:divBdr>
        <w:top w:val="none" w:sz="0" w:space="0" w:color="auto"/>
        <w:left w:val="none" w:sz="0" w:space="0" w:color="auto"/>
        <w:bottom w:val="none" w:sz="0" w:space="0" w:color="auto"/>
        <w:right w:val="none" w:sz="0" w:space="0" w:color="auto"/>
      </w:divBdr>
    </w:div>
    <w:div w:id="1858732974">
      <w:bodyDiv w:val="1"/>
      <w:marLeft w:val="0"/>
      <w:marRight w:val="0"/>
      <w:marTop w:val="0"/>
      <w:marBottom w:val="0"/>
      <w:divBdr>
        <w:top w:val="none" w:sz="0" w:space="0" w:color="auto"/>
        <w:left w:val="none" w:sz="0" w:space="0" w:color="auto"/>
        <w:bottom w:val="none" w:sz="0" w:space="0" w:color="auto"/>
        <w:right w:val="none" w:sz="0" w:space="0" w:color="auto"/>
      </w:divBdr>
    </w:div>
    <w:div w:id="1858812345">
      <w:bodyDiv w:val="1"/>
      <w:marLeft w:val="0"/>
      <w:marRight w:val="0"/>
      <w:marTop w:val="0"/>
      <w:marBottom w:val="0"/>
      <w:divBdr>
        <w:top w:val="none" w:sz="0" w:space="0" w:color="auto"/>
        <w:left w:val="none" w:sz="0" w:space="0" w:color="auto"/>
        <w:bottom w:val="none" w:sz="0" w:space="0" w:color="auto"/>
        <w:right w:val="none" w:sz="0" w:space="0" w:color="auto"/>
      </w:divBdr>
    </w:div>
    <w:div w:id="1859153613">
      <w:bodyDiv w:val="1"/>
      <w:marLeft w:val="0"/>
      <w:marRight w:val="0"/>
      <w:marTop w:val="0"/>
      <w:marBottom w:val="0"/>
      <w:divBdr>
        <w:top w:val="none" w:sz="0" w:space="0" w:color="auto"/>
        <w:left w:val="none" w:sz="0" w:space="0" w:color="auto"/>
        <w:bottom w:val="none" w:sz="0" w:space="0" w:color="auto"/>
        <w:right w:val="none" w:sz="0" w:space="0" w:color="auto"/>
      </w:divBdr>
    </w:div>
    <w:div w:id="1859195056">
      <w:bodyDiv w:val="1"/>
      <w:marLeft w:val="0"/>
      <w:marRight w:val="0"/>
      <w:marTop w:val="0"/>
      <w:marBottom w:val="0"/>
      <w:divBdr>
        <w:top w:val="none" w:sz="0" w:space="0" w:color="auto"/>
        <w:left w:val="none" w:sz="0" w:space="0" w:color="auto"/>
        <w:bottom w:val="none" w:sz="0" w:space="0" w:color="auto"/>
        <w:right w:val="none" w:sz="0" w:space="0" w:color="auto"/>
      </w:divBdr>
    </w:div>
    <w:div w:id="1859274104">
      <w:bodyDiv w:val="1"/>
      <w:marLeft w:val="0"/>
      <w:marRight w:val="0"/>
      <w:marTop w:val="0"/>
      <w:marBottom w:val="0"/>
      <w:divBdr>
        <w:top w:val="none" w:sz="0" w:space="0" w:color="auto"/>
        <w:left w:val="none" w:sz="0" w:space="0" w:color="auto"/>
        <w:bottom w:val="none" w:sz="0" w:space="0" w:color="auto"/>
        <w:right w:val="none" w:sz="0" w:space="0" w:color="auto"/>
      </w:divBdr>
    </w:div>
    <w:div w:id="1859660989">
      <w:bodyDiv w:val="1"/>
      <w:marLeft w:val="0"/>
      <w:marRight w:val="0"/>
      <w:marTop w:val="0"/>
      <w:marBottom w:val="0"/>
      <w:divBdr>
        <w:top w:val="none" w:sz="0" w:space="0" w:color="auto"/>
        <w:left w:val="none" w:sz="0" w:space="0" w:color="auto"/>
        <w:bottom w:val="none" w:sz="0" w:space="0" w:color="auto"/>
        <w:right w:val="none" w:sz="0" w:space="0" w:color="auto"/>
      </w:divBdr>
    </w:div>
    <w:div w:id="1860386758">
      <w:bodyDiv w:val="1"/>
      <w:marLeft w:val="0"/>
      <w:marRight w:val="0"/>
      <w:marTop w:val="0"/>
      <w:marBottom w:val="0"/>
      <w:divBdr>
        <w:top w:val="none" w:sz="0" w:space="0" w:color="auto"/>
        <w:left w:val="none" w:sz="0" w:space="0" w:color="auto"/>
        <w:bottom w:val="none" w:sz="0" w:space="0" w:color="auto"/>
        <w:right w:val="none" w:sz="0" w:space="0" w:color="auto"/>
      </w:divBdr>
    </w:div>
    <w:div w:id="1860583586">
      <w:bodyDiv w:val="1"/>
      <w:marLeft w:val="0"/>
      <w:marRight w:val="0"/>
      <w:marTop w:val="0"/>
      <w:marBottom w:val="0"/>
      <w:divBdr>
        <w:top w:val="none" w:sz="0" w:space="0" w:color="auto"/>
        <w:left w:val="none" w:sz="0" w:space="0" w:color="auto"/>
        <w:bottom w:val="none" w:sz="0" w:space="0" w:color="auto"/>
        <w:right w:val="none" w:sz="0" w:space="0" w:color="auto"/>
      </w:divBdr>
    </w:div>
    <w:div w:id="1860583839">
      <w:bodyDiv w:val="1"/>
      <w:marLeft w:val="0"/>
      <w:marRight w:val="0"/>
      <w:marTop w:val="0"/>
      <w:marBottom w:val="0"/>
      <w:divBdr>
        <w:top w:val="none" w:sz="0" w:space="0" w:color="auto"/>
        <w:left w:val="none" w:sz="0" w:space="0" w:color="auto"/>
        <w:bottom w:val="none" w:sz="0" w:space="0" w:color="auto"/>
        <w:right w:val="none" w:sz="0" w:space="0" w:color="auto"/>
      </w:divBdr>
    </w:div>
    <w:div w:id="1860654191">
      <w:bodyDiv w:val="1"/>
      <w:marLeft w:val="0"/>
      <w:marRight w:val="0"/>
      <w:marTop w:val="0"/>
      <w:marBottom w:val="0"/>
      <w:divBdr>
        <w:top w:val="none" w:sz="0" w:space="0" w:color="auto"/>
        <w:left w:val="none" w:sz="0" w:space="0" w:color="auto"/>
        <w:bottom w:val="none" w:sz="0" w:space="0" w:color="auto"/>
        <w:right w:val="none" w:sz="0" w:space="0" w:color="auto"/>
      </w:divBdr>
    </w:div>
    <w:div w:id="1860774365">
      <w:bodyDiv w:val="1"/>
      <w:marLeft w:val="0"/>
      <w:marRight w:val="0"/>
      <w:marTop w:val="0"/>
      <w:marBottom w:val="0"/>
      <w:divBdr>
        <w:top w:val="none" w:sz="0" w:space="0" w:color="auto"/>
        <w:left w:val="none" w:sz="0" w:space="0" w:color="auto"/>
        <w:bottom w:val="none" w:sz="0" w:space="0" w:color="auto"/>
        <w:right w:val="none" w:sz="0" w:space="0" w:color="auto"/>
      </w:divBdr>
    </w:div>
    <w:div w:id="1861235029">
      <w:bodyDiv w:val="1"/>
      <w:marLeft w:val="0"/>
      <w:marRight w:val="0"/>
      <w:marTop w:val="0"/>
      <w:marBottom w:val="0"/>
      <w:divBdr>
        <w:top w:val="none" w:sz="0" w:space="0" w:color="auto"/>
        <w:left w:val="none" w:sz="0" w:space="0" w:color="auto"/>
        <w:bottom w:val="none" w:sz="0" w:space="0" w:color="auto"/>
        <w:right w:val="none" w:sz="0" w:space="0" w:color="auto"/>
      </w:divBdr>
    </w:div>
    <w:div w:id="1861355097">
      <w:bodyDiv w:val="1"/>
      <w:marLeft w:val="0"/>
      <w:marRight w:val="0"/>
      <w:marTop w:val="0"/>
      <w:marBottom w:val="0"/>
      <w:divBdr>
        <w:top w:val="none" w:sz="0" w:space="0" w:color="auto"/>
        <w:left w:val="none" w:sz="0" w:space="0" w:color="auto"/>
        <w:bottom w:val="none" w:sz="0" w:space="0" w:color="auto"/>
        <w:right w:val="none" w:sz="0" w:space="0" w:color="auto"/>
      </w:divBdr>
    </w:div>
    <w:div w:id="1861357228">
      <w:bodyDiv w:val="1"/>
      <w:marLeft w:val="0"/>
      <w:marRight w:val="0"/>
      <w:marTop w:val="0"/>
      <w:marBottom w:val="0"/>
      <w:divBdr>
        <w:top w:val="none" w:sz="0" w:space="0" w:color="auto"/>
        <w:left w:val="none" w:sz="0" w:space="0" w:color="auto"/>
        <w:bottom w:val="none" w:sz="0" w:space="0" w:color="auto"/>
        <w:right w:val="none" w:sz="0" w:space="0" w:color="auto"/>
      </w:divBdr>
    </w:div>
    <w:div w:id="1861509691">
      <w:bodyDiv w:val="1"/>
      <w:marLeft w:val="0"/>
      <w:marRight w:val="0"/>
      <w:marTop w:val="0"/>
      <w:marBottom w:val="0"/>
      <w:divBdr>
        <w:top w:val="none" w:sz="0" w:space="0" w:color="auto"/>
        <w:left w:val="none" w:sz="0" w:space="0" w:color="auto"/>
        <w:bottom w:val="none" w:sz="0" w:space="0" w:color="auto"/>
        <w:right w:val="none" w:sz="0" w:space="0" w:color="auto"/>
      </w:divBdr>
    </w:div>
    <w:div w:id="1861773927">
      <w:bodyDiv w:val="1"/>
      <w:marLeft w:val="0"/>
      <w:marRight w:val="0"/>
      <w:marTop w:val="0"/>
      <w:marBottom w:val="0"/>
      <w:divBdr>
        <w:top w:val="none" w:sz="0" w:space="0" w:color="auto"/>
        <w:left w:val="none" w:sz="0" w:space="0" w:color="auto"/>
        <w:bottom w:val="none" w:sz="0" w:space="0" w:color="auto"/>
        <w:right w:val="none" w:sz="0" w:space="0" w:color="auto"/>
      </w:divBdr>
    </w:div>
    <w:div w:id="1861776282">
      <w:bodyDiv w:val="1"/>
      <w:marLeft w:val="0"/>
      <w:marRight w:val="0"/>
      <w:marTop w:val="0"/>
      <w:marBottom w:val="0"/>
      <w:divBdr>
        <w:top w:val="none" w:sz="0" w:space="0" w:color="auto"/>
        <w:left w:val="none" w:sz="0" w:space="0" w:color="auto"/>
        <w:bottom w:val="none" w:sz="0" w:space="0" w:color="auto"/>
        <w:right w:val="none" w:sz="0" w:space="0" w:color="auto"/>
      </w:divBdr>
    </w:div>
    <w:div w:id="1862040323">
      <w:bodyDiv w:val="1"/>
      <w:marLeft w:val="0"/>
      <w:marRight w:val="0"/>
      <w:marTop w:val="0"/>
      <w:marBottom w:val="0"/>
      <w:divBdr>
        <w:top w:val="none" w:sz="0" w:space="0" w:color="auto"/>
        <w:left w:val="none" w:sz="0" w:space="0" w:color="auto"/>
        <w:bottom w:val="none" w:sz="0" w:space="0" w:color="auto"/>
        <w:right w:val="none" w:sz="0" w:space="0" w:color="auto"/>
      </w:divBdr>
    </w:div>
    <w:div w:id="1862089849">
      <w:bodyDiv w:val="1"/>
      <w:marLeft w:val="0"/>
      <w:marRight w:val="0"/>
      <w:marTop w:val="0"/>
      <w:marBottom w:val="0"/>
      <w:divBdr>
        <w:top w:val="none" w:sz="0" w:space="0" w:color="auto"/>
        <w:left w:val="none" w:sz="0" w:space="0" w:color="auto"/>
        <w:bottom w:val="none" w:sz="0" w:space="0" w:color="auto"/>
        <w:right w:val="none" w:sz="0" w:space="0" w:color="auto"/>
      </w:divBdr>
    </w:div>
    <w:div w:id="1862624968">
      <w:bodyDiv w:val="1"/>
      <w:marLeft w:val="0"/>
      <w:marRight w:val="0"/>
      <w:marTop w:val="0"/>
      <w:marBottom w:val="0"/>
      <w:divBdr>
        <w:top w:val="none" w:sz="0" w:space="0" w:color="auto"/>
        <w:left w:val="none" w:sz="0" w:space="0" w:color="auto"/>
        <w:bottom w:val="none" w:sz="0" w:space="0" w:color="auto"/>
        <w:right w:val="none" w:sz="0" w:space="0" w:color="auto"/>
      </w:divBdr>
    </w:div>
    <w:div w:id="1862821721">
      <w:bodyDiv w:val="1"/>
      <w:marLeft w:val="0"/>
      <w:marRight w:val="0"/>
      <w:marTop w:val="0"/>
      <w:marBottom w:val="0"/>
      <w:divBdr>
        <w:top w:val="none" w:sz="0" w:space="0" w:color="auto"/>
        <w:left w:val="none" w:sz="0" w:space="0" w:color="auto"/>
        <w:bottom w:val="none" w:sz="0" w:space="0" w:color="auto"/>
        <w:right w:val="none" w:sz="0" w:space="0" w:color="auto"/>
      </w:divBdr>
    </w:div>
    <w:div w:id="1862935931">
      <w:bodyDiv w:val="1"/>
      <w:marLeft w:val="0"/>
      <w:marRight w:val="0"/>
      <w:marTop w:val="0"/>
      <w:marBottom w:val="0"/>
      <w:divBdr>
        <w:top w:val="none" w:sz="0" w:space="0" w:color="auto"/>
        <w:left w:val="none" w:sz="0" w:space="0" w:color="auto"/>
        <w:bottom w:val="none" w:sz="0" w:space="0" w:color="auto"/>
        <w:right w:val="none" w:sz="0" w:space="0" w:color="auto"/>
      </w:divBdr>
    </w:div>
    <w:div w:id="1863124890">
      <w:bodyDiv w:val="1"/>
      <w:marLeft w:val="0"/>
      <w:marRight w:val="0"/>
      <w:marTop w:val="0"/>
      <w:marBottom w:val="0"/>
      <w:divBdr>
        <w:top w:val="none" w:sz="0" w:space="0" w:color="auto"/>
        <w:left w:val="none" w:sz="0" w:space="0" w:color="auto"/>
        <w:bottom w:val="none" w:sz="0" w:space="0" w:color="auto"/>
        <w:right w:val="none" w:sz="0" w:space="0" w:color="auto"/>
      </w:divBdr>
    </w:div>
    <w:div w:id="1863590566">
      <w:bodyDiv w:val="1"/>
      <w:marLeft w:val="0"/>
      <w:marRight w:val="0"/>
      <w:marTop w:val="0"/>
      <w:marBottom w:val="0"/>
      <w:divBdr>
        <w:top w:val="none" w:sz="0" w:space="0" w:color="auto"/>
        <w:left w:val="none" w:sz="0" w:space="0" w:color="auto"/>
        <w:bottom w:val="none" w:sz="0" w:space="0" w:color="auto"/>
        <w:right w:val="none" w:sz="0" w:space="0" w:color="auto"/>
      </w:divBdr>
    </w:div>
    <w:div w:id="1863667744">
      <w:bodyDiv w:val="1"/>
      <w:marLeft w:val="0"/>
      <w:marRight w:val="0"/>
      <w:marTop w:val="0"/>
      <w:marBottom w:val="0"/>
      <w:divBdr>
        <w:top w:val="none" w:sz="0" w:space="0" w:color="auto"/>
        <w:left w:val="none" w:sz="0" w:space="0" w:color="auto"/>
        <w:bottom w:val="none" w:sz="0" w:space="0" w:color="auto"/>
        <w:right w:val="none" w:sz="0" w:space="0" w:color="auto"/>
      </w:divBdr>
    </w:div>
    <w:div w:id="1863669310">
      <w:bodyDiv w:val="1"/>
      <w:marLeft w:val="0"/>
      <w:marRight w:val="0"/>
      <w:marTop w:val="0"/>
      <w:marBottom w:val="0"/>
      <w:divBdr>
        <w:top w:val="none" w:sz="0" w:space="0" w:color="auto"/>
        <w:left w:val="none" w:sz="0" w:space="0" w:color="auto"/>
        <w:bottom w:val="none" w:sz="0" w:space="0" w:color="auto"/>
        <w:right w:val="none" w:sz="0" w:space="0" w:color="auto"/>
      </w:divBdr>
    </w:div>
    <w:div w:id="1863862761">
      <w:bodyDiv w:val="1"/>
      <w:marLeft w:val="0"/>
      <w:marRight w:val="0"/>
      <w:marTop w:val="0"/>
      <w:marBottom w:val="0"/>
      <w:divBdr>
        <w:top w:val="none" w:sz="0" w:space="0" w:color="auto"/>
        <w:left w:val="none" w:sz="0" w:space="0" w:color="auto"/>
        <w:bottom w:val="none" w:sz="0" w:space="0" w:color="auto"/>
        <w:right w:val="none" w:sz="0" w:space="0" w:color="auto"/>
      </w:divBdr>
    </w:div>
    <w:div w:id="1863933909">
      <w:bodyDiv w:val="1"/>
      <w:marLeft w:val="0"/>
      <w:marRight w:val="0"/>
      <w:marTop w:val="0"/>
      <w:marBottom w:val="0"/>
      <w:divBdr>
        <w:top w:val="none" w:sz="0" w:space="0" w:color="auto"/>
        <w:left w:val="none" w:sz="0" w:space="0" w:color="auto"/>
        <w:bottom w:val="none" w:sz="0" w:space="0" w:color="auto"/>
        <w:right w:val="none" w:sz="0" w:space="0" w:color="auto"/>
      </w:divBdr>
    </w:div>
    <w:div w:id="1864706320">
      <w:bodyDiv w:val="1"/>
      <w:marLeft w:val="0"/>
      <w:marRight w:val="0"/>
      <w:marTop w:val="0"/>
      <w:marBottom w:val="0"/>
      <w:divBdr>
        <w:top w:val="none" w:sz="0" w:space="0" w:color="auto"/>
        <w:left w:val="none" w:sz="0" w:space="0" w:color="auto"/>
        <w:bottom w:val="none" w:sz="0" w:space="0" w:color="auto"/>
        <w:right w:val="none" w:sz="0" w:space="0" w:color="auto"/>
      </w:divBdr>
    </w:div>
    <w:div w:id="1864977566">
      <w:bodyDiv w:val="1"/>
      <w:marLeft w:val="0"/>
      <w:marRight w:val="0"/>
      <w:marTop w:val="0"/>
      <w:marBottom w:val="0"/>
      <w:divBdr>
        <w:top w:val="none" w:sz="0" w:space="0" w:color="auto"/>
        <w:left w:val="none" w:sz="0" w:space="0" w:color="auto"/>
        <w:bottom w:val="none" w:sz="0" w:space="0" w:color="auto"/>
        <w:right w:val="none" w:sz="0" w:space="0" w:color="auto"/>
      </w:divBdr>
    </w:div>
    <w:div w:id="1865093382">
      <w:bodyDiv w:val="1"/>
      <w:marLeft w:val="0"/>
      <w:marRight w:val="0"/>
      <w:marTop w:val="0"/>
      <w:marBottom w:val="0"/>
      <w:divBdr>
        <w:top w:val="none" w:sz="0" w:space="0" w:color="auto"/>
        <w:left w:val="none" w:sz="0" w:space="0" w:color="auto"/>
        <w:bottom w:val="none" w:sz="0" w:space="0" w:color="auto"/>
        <w:right w:val="none" w:sz="0" w:space="0" w:color="auto"/>
      </w:divBdr>
    </w:div>
    <w:div w:id="1865167300">
      <w:bodyDiv w:val="1"/>
      <w:marLeft w:val="0"/>
      <w:marRight w:val="0"/>
      <w:marTop w:val="0"/>
      <w:marBottom w:val="0"/>
      <w:divBdr>
        <w:top w:val="none" w:sz="0" w:space="0" w:color="auto"/>
        <w:left w:val="none" w:sz="0" w:space="0" w:color="auto"/>
        <w:bottom w:val="none" w:sz="0" w:space="0" w:color="auto"/>
        <w:right w:val="none" w:sz="0" w:space="0" w:color="auto"/>
      </w:divBdr>
    </w:div>
    <w:div w:id="1865171188">
      <w:bodyDiv w:val="1"/>
      <w:marLeft w:val="0"/>
      <w:marRight w:val="0"/>
      <w:marTop w:val="0"/>
      <w:marBottom w:val="0"/>
      <w:divBdr>
        <w:top w:val="none" w:sz="0" w:space="0" w:color="auto"/>
        <w:left w:val="none" w:sz="0" w:space="0" w:color="auto"/>
        <w:bottom w:val="none" w:sz="0" w:space="0" w:color="auto"/>
        <w:right w:val="none" w:sz="0" w:space="0" w:color="auto"/>
      </w:divBdr>
    </w:div>
    <w:div w:id="1865240966">
      <w:bodyDiv w:val="1"/>
      <w:marLeft w:val="0"/>
      <w:marRight w:val="0"/>
      <w:marTop w:val="0"/>
      <w:marBottom w:val="0"/>
      <w:divBdr>
        <w:top w:val="none" w:sz="0" w:space="0" w:color="auto"/>
        <w:left w:val="none" w:sz="0" w:space="0" w:color="auto"/>
        <w:bottom w:val="none" w:sz="0" w:space="0" w:color="auto"/>
        <w:right w:val="none" w:sz="0" w:space="0" w:color="auto"/>
      </w:divBdr>
    </w:div>
    <w:div w:id="1865512789">
      <w:bodyDiv w:val="1"/>
      <w:marLeft w:val="0"/>
      <w:marRight w:val="0"/>
      <w:marTop w:val="0"/>
      <w:marBottom w:val="0"/>
      <w:divBdr>
        <w:top w:val="none" w:sz="0" w:space="0" w:color="auto"/>
        <w:left w:val="none" w:sz="0" w:space="0" w:color="auto"/>
        <w:bottom w:val="none" w:sz="0" w:space="0" w:color="auto"/>
        <w:right w:val="none" w:sz="0" w:space="0" w:color="auto"/>
      </w:divBdr>
    </w:div>
    <w:div w:id="1865705269">
      <w:bodyDiv w:val="1"/>
      <w:marLeft w:val="0"/>
      <w:marRight w:val="0"/>
      <w:marTop w:val="0"/>
      <w:marBottom w:val="0"/>
      <w:divBdr>
        <w:top w:val="none" w:sz="0" w:space="0" w:color="auto"/>
        <w:left w:val="none" w:sz="0" w:space="0" w:color="auto"/>
        <w:bottom w:val="none" w:sz="0" w:space="0" w:color="auto"/>
        <w:right w:val="none" w:sz="0" w:space="0" w:color="auto"/>
      </w:divBdr>
    </w:div>
    <w:div w:id="1865824035">
      <w:bodyDiv w:val="1"/>
      <w:marLeft w:val="0"/>
      <w:marRight w:val="0"/>
      <w:marTop w:val="0"/>
      <w:marBottom w:val="0"/>
      <w:divBdr>
        <w:top w:val="none" w:sz="0" w:space="0" w:color="auto"/>
        <w:left w:val="none" w:sz="0" w:space="0" w:color="auto"/>
        <w:bottom w:val="none" w:sz="0" w:space="0" w:color="auto"/>
        <w:right w:val="none" w:sz="0" w:space="0" w:color="auto"/>
      </w:divBdr>
    </w:div>
    <w:div w:id="1865896152">
      <w:bodyDiv w:val="1"/>
      <w:marLeft w:val="0"/>
      <w:marRight w:val="0"/>
      <w:marTop w:val="0"/>
      <w:marBottom w:val="0"/>
      <w:divBdr>
        <w:top w:val="none" w:sz="0" w:space="0" w:color="auto"/>
        <w:left w:val="none" w:sz="0" w:space="0" w:color="auto"/>
        <w:bottom w:val="none" w:sz="0" w:space="0" w:color="auto"/>
        <w:right w:val="none" w:sz="0" w:space="0" w:color="auto"/>
      </w:divBdr>
    </w:div>
    <w:div w:id="1866020595">
      <w:bodyDiv w:val="1"/>
      <w:marLeft w:val="0"/>
      <w:marRight w:val="0"/>
      <w:marTop w:val="0"/>
      <w:marBottom w:val="0"/>
      <w:divBdr>
        <w:top w:val="none" w:sz="0" w:space="0" w:color="auto"/>
        <w:left w:val="none" w:sz="0" w:space="0" w:color="auto"/>
        <w:bottom w:val="none" w:sz="0" w:space="0" w:color="auto"/>
        <w:right w:val="none" w:sz="0" w:space="0" w:color="auto"/>
      </w:divBdr>
    </w:div>
    <w:div w:id="1866208275">
      <w:bodyDiv w:val="1"/>
      <w:marLeft w:val="0"/>
      <w:marRight w:val="0"/>
      <w:marTop w:val="0"/>
      <w:marBottom w:val="0"/>
      <w:divBdr>
        <w:top w:val="none" w:sz="0" w:space="0" w:color="auto"/>
        <w:left w:val="none" w:sz="0" w:space="0" w:color="auto"/>
        <w:bottom w:val="none" w:sz="0" w:space="0" w:color="auto"/>
        <w:right w:val="none" w:sz="0" w:space="0" w:color="auto"/>
      </w:divBdr>
    </w:div>
    <w:div w:id="1866551509">
      <w:bodyDiv w:val="1"/>
      <w:marLeft w:val="0"/>
      <w:marRight w:val="0"/>
      <w:marTop w:val="0"/>
      <w:marBottom w:val="0"/>
      <w:divBdr>
        <w:top w:val="none" w:sz="0" w:space="0" w:color="auto"/>
        <w:left w:val="none" w:sz="0" w:space="0" w:color="auto"/>
        <w:bottom w:val="none" w:sz="0" w:space="0" w:color="auto"/>
        <w:right w:val="none" w:sz="0" w:space="0" w:color="auto"/>
      </w:divBdr>
    </w:div>
    <w:div w:id="1866752760">
      <w:bodyDiv w:val="1"/>
      <w:marLeft w:val="0"/>
      <w:marRight w:val="0"/>
      <w:marTop w:val="0"/>
      <w:marBottom w:val="0"/>
      <w:divBdr>
        <w:top w:val="none" w:sz="0" w:space="0" w:color="auto"/>
        <w:left w:val="none" w:sz="0" w:space="0" w:color="auto"/>
        <w:bottom w:val="none" w:sz="0" w:space="0" w:color="auto"/>
        <w:right w:val="none" w:sz="0" w:space="0" w:color="auto"/>
      </w:divBdr>
    </w:div>
    <w:div w:id="1866824006">
      <w:bodyDiv w:val="1"/>
      <w:marLeft w:val="0"/>
      <w:marRight w:val="0"/>
      <w:marTop w:val="0"/>
      <w:marBottom w:val="0"/>
      <w:divBdr>
        <w:top w:val="none" w:sz="0" w:space="0" w:color="auto"/>
        <w:left w:val="none" w:sz="0" w:space="0" w:color="auto"/>
        <w:bottom w:val="none" w:sz="0" w:space="0" w:color="auto"/>
        <w:right w:val="none" w:sz="0" w:space="0" w:color="auto"/>
      </w:divBdr>
    </w:div>
    <w:div w:id="1867672772">
      <w:bodyDiv w:val="1"/>
      <w:marLeft w:val="0"/>
      <w:marRight w:val="0"/>
      <w:marTop w:val="0"/>
      <w:marBottom w:val="0"/>
      <w:divBdr>
        <w:top w:val="none" w:sz="0" w:space="0" w:color="auto"/>
        <w:left w:val="none" w:sz="0" w:space="0" w:color="auto"/>
        <w:bottom w:val="none" w:sz="0" w:space="0" w:color="auto"/>
        <w:right w:val="none" w:sz="0" w:space="0" w:color="auto"/>
      </w:divBdr>
    </w:div>
    <w:div w:id="1867712189">
      <w:bodyDiv w:val="1"/>
      <w:marLeft w:val="0"/>
      <w:marRight w:val="0"/>
      <w:marTop w:val="0"/>
      <w:marBottom w:val="0"/>
      <w:divBdr>
        <w:top w:val="none" w:sz="0" w:space="0" w:color="auto"/>
        <w:left w:val="none" w:sz="0" w:space="0" w:color="auto"/>
        <w:bottom w:val="none" w:sz="0" w:space="0" w:color="auto"/>
        <w:right w:val="none" w:sz="0" w:space="0" w:color="auto"/>
      </w:divBdr>
    </w:div>
    <w:div w:id="1867787933">
      <w:bodyDiv w:val="1"/>
      <w:marLeft w:val="0"/>
      <w:marRight w:val="0"/>
      <w:marTop w:val="0"/>
      <w:marBottom w:val="0"/>
      <w:divBdr>
        <w:top w:val="none" w:sz="0" w:space="0" w:color="auto"/>
        <w:left w:val="none" w:sz="0" w:space="0" w:color="auto"/>
        <w:bottom w:val="none" w:sz="0" w:space="0" w:color="auto"/>
        <w:right w:val="none" w:sz="0" w:space="0" w:color="auto"/>
      </w:divBdr>
    </w:div>
    <w:div w:id="1867865440">
      <w:bodyDiv w:val="1"/>
      <w:marLeft w:val="0"/>
      <w:marRight w:val="0"/>
      <w:marTop w:val="0"/>
      <w:marBottom w:val="0"/>
      <w:divBdr>
        <w:top w:val="none" w:sz="0" w:space="0" w:color="auto"/>
        <w:left w:val="none" w:sz="0" w:space="0" w:color="auto"/>
        <w:bottom w:val="none" w:sz="0" w:space="0" w:color="auto"/>
        <w:right w:val="none" w:sz="0" w:space="0" w:color="auto"/>
      </w:divBdr>
    </w:div>
    <w:div w:id="1867908337">
      <w:bodyDiv w:val="1"/>
      <w:marLeft w:val="0"/>
      <w:marRight w:val="0"/>
      <w:marTop w:val="0"/>
      <w:marBottom w:val="0"/>
      <w:divBdr>
        <w:top w:val="none" w:sz="0" w:space="0" w:color="auto"/>
        <w:left w:val="none" w:sz="0" w:space="0" w:color="auto"/>
        <w:bottom w:val="none" w:sz="0" w:space="0" w:color="auto"/>
        <w:right w:val="none" w:sz="0" w:space="0" w:color="auto"/>
      </w:divBdr>
    </w:div>
    <w:div w:id="1868174689">
      <w:bodyDiv w:val="1"/>
      <w:marLeft w:val="0"/>
      <w:marRight w:val="0"/>
      <w:marTop w:val="0"/>
      <w:marBottom w:val="0"/>
      <w:divBdr>
        <w:top w:val="none" w:sz="0" w:space="0" w:color="auto"/>
        <w:left w:val="none" w:sz="0" w:space="0" w:color="auto"/>
        <w:bottom w:val="none" w:sz="0" w:space="0" w:color="auto"/>
        <w:right w:val="none" w:sz="0" w:space="0" w:color="auto"/>
      </w:divBdr>
    </w:div>
    <w:div w:id="1868374223">
      <w:bodyDiv w:val="1"/>
      <w:marLeft w:val="0"/>
      <w:marRight w:val="0"/>
      <w:marTop w:val="0"/>
      <w:marBottom w:val="0"/>
      <w:divBdr>
        <w:top w:val="none" w:sz="0" w:space="0" w:color="auto"/>
        <w:left w:val="none" w:sz="0" w:space="0" w:color="auto"/>
        <w:bottom w:val="none" w:sz="0" w:space="0" w:color="auto"/>
        <w:right w:val="none" w:sz="0" w:space="0" w:color="auto"/>
      </w:divBdr>
    </w:div>
    <w:div w:id="1868563603">
      <w:bodyDiv w:val="1"/>
      <w:marLeft w:val="0"/>
      <w:marRight w:val="0"/>
      <w:marTop w:val="0"/>
      <w:marBottom w:val="0"/>
      <w:divBdr>
        <w:top w:val="none" w:sz="0" w:space="0" w:color="auto"/>
        <w:left w:val="none" w:sz="0" w:space="0" w:color="auto"/>
        <w:bottom w:val="none" w:sz="0" w:space="0" w:color="auto"/>
        <w:right w:val="none" w:sz="0" w:space="0" w:color="auto"/>
      </w:divBdr>
    </w:div>
    <w:div w:id="1868637120">
      <w:bodyDiv w:val="1"/>
      <w:marLeft w:val="0"/>
      <w:marRight w:val="0"/>
      <w:marTop w:val="0"/>
      <w:marBottom w:val="0"/>
      <w:divBdr>
        <w:top w:val="none" w:sz="0" w:space="0" w:color="auto"/>
        <w:left w:val="none" w:sz="0" w:space="0" w:color="auto"/>
        <w:bottom w:val="none" w:sz="0" w:space="0" w:color="auto"/>
        <w:right w:val="none" w:sz="0" w:space="0" w:color="auto"/>
      </w:divBdr>
    </w:div>
    <w:div w:id="1868982689">
      <w:bodyDiv w:val="1"/>
      <w:marLeft w:val="0"/>
      <w:marRight w:val="0"/>
      <w:marTop w:val="0"/>
      <w:marBottom w:val="0"/>
      <w:divBdr>
        <w:top w:val="none" w:sz="0" w:space="0" w:color="auto"/>
        <w:left w:val="none" w:sz="0" w:space="0" w:color="auto"/>
        <w:bottom w:val="none" w:sz="0" w:space="0" w:color="auto"/>
        <w:right w:val="none" w:sz="0" w:space="0" w:color="auto"/>
      </w:divBdr>
    </w:div>
    <w:div w:id="1868986803">
      <w:bodyDiv w:val="1"/>
      <w:marLeft w:val="0"/>
      <w:marRight w:val="0"/>
      <w:marTop w:val="0"/>
      <w:marBottom w:val="0"/>
      <w:divBdr>
        <w:top w:val="none" w:sz="0" w:space="0" w:color="auto"/>
        <w:left w:val="none" w:sz="0" w:space="0" w:color="auto"/>
        <w:bottom w:val="none" w:sz="0" w:space="0" w:color="auto"/>
        <w:right w:val="none" w:sz="0" w:space="0" w:color="auto"/>
      </w:divBdr>
    </w:div>
    <w:div w:id="1869023018">
      <w:bodyDiv w:val="1"/>
      <w:marLeft w:val="0"/>
      <w:marRight w:val="0"/>
      <w:marTop w:val="0"/>
      <w:marBottom w:val="0"/>
      <w:divBdr>
        <w:top w:val="none" w:sz="0" w:space="0" w:color="auto"/>
        <w:left w:val="none" w:sz="0" w:space="0" w:color="auto"/>
        <w:bottom w:val="none" w:sz="0" w:space="0" w:color="auto"/>
        <w:right w:val="none" w:sz="0" w:space="0" w:color="auto"/>
      </w:divBdr>
    </w:div>
    <w:div w:id="1869098459">
      <w:bodyDiv w:val="1"/>
      <w:marLeft w:val="0"/>
      <w:marRight w:val="0"/>
      <w:marTop w:val="0"/>
      <w:marBottom w:val="0"/>
      <w:divBdr>
        <w:top w:val="none" w:sz="0" w:space="0" w:color="auto"/>
        <w:left w:val="none" w:sz="0" w:space="0" w:color="auto"/>
        <w:bottom w:val="none" w:sz="0" w:space="0" w:color="auto"/>
        <w:right w:val="none" w:sz="0" w:space="0" w:color="auto"/>
      </w:divBdr>
    </w:div>
    <w:div w:id="1869365713">
      <w:bodyDiv w:val="1"/>
      <w:marLeft w:val="0"/>
      <w:marRight w:val="0"/>
      <w:marTop w:val="0"/>
      <w:marBottom w:val="0"/>
      <w:divBdr>
        <w:top w:val="none" w:sz="0" w:space="0" w:color="auto"/>
        <w:left w:val="none" w:sz="0" w:space="0" w:color="auto"/>
        <w:bottom w:val="none" w:sz="0" w:space="0" w:color="auto"/>
        <w:right w:val="none" w:sz="0" w:space="0" w:color="auto"/>
      </w:divBdr>
    </w:div>
    <w:div w:id="1869567806">
      <w:bodyDiv w:val="1"/>
      <w:marLeft w:val="0"/>
      <w:marRight w:val="0"/>
      <w:marTop w:val="0"/>
      <w:marBottom w:val="0"/>
      <w:divBdr>
        <w:top w:val="none" w:sz="0" w:space="0" w:color="auto"/>
        <w:left w:val="none" w:sz="0" w:space="0" w:color="auto"/>
        <w:bottom w:val="none" w:sz="0" w:space="0" w:color="auto"/>
        <w:right w:val="none" w:sz="0" w:space="0" w:color="auto"/>
      </w:divBdr>
    </w:div>
    <w:div w:id="1870799047">
      <w:bodyDiv w:val="1"/>
      <w:marLeft w:val="0"/>
      <w:marRight w:val="0"/>
      <w:marTop w:val="0"/>
      <w:marBottom w:val="0"/>
      <w:divBdr>
        <w:top w:val="none" w:sz="0" w:space="0" w:color="auto"/>
        <w:left w:val="none" w:sz="0" w:space="0" w:color="auto"/>
        <w:bottom w:val="none" w:sz="0" w:space="0" w:color="auto"/>
        <w:right w:val="none" w:sz="0" w:space="0" w:color="auto"/>
      </w:divBdr>
    </w:div>
    <w:div w:id="1870873189">
      <w:bodyDiv w:val="1"/>
      <w:marLeft w:val="0"/>
      <w:marRight w:val="0"/>
      <w:marTop w:val="0"/>
      <w:marBottom w:val="0"/>
      <w:divBdr>
        <w:top w:val="none" w:sz="0" w:space="0" w:color="auto"/>
        <w:left w:val="none" w:sz="0" w:space="0" w:color="auto"/>
        <w:bottom w:val="none" w:sz="0" w:space="0" w:color="auto"/>
        <w:right w:val="none" w:sz="0" w:space="0" w:color="auto"/>
      </w:divBdr>
    </w:div>
    <w:div w:id="1871062417">
      <w:bodyDiv w:val="1"/>
      <w:marLeft w:val="0"/>
      <w:marRight w:val="0"/>
      <w:marTop w:val="0"/>
      <w:marBottom w:val="0"/>
      <w:divBdr>
        <w:top w:val="none" w:sz="0" w:space="0" w:color="auto"/>
        <w:left w:val="none" w:sz="0" w:space="0" w:color="auto"/>
        <w:bottom w:val="none" w:sz="0" w:space="0" w:color="auto"/>
        <w:right w:val="none" w:sz="0" w:space="0" w:color="auto"/>
      </w:divBdr>
    </w:div>
    <w:div w:id="1871070838">
      <w:bodyDiv w:val="1"/>
      <w:marLeft w:val="0"/>
      <w:marRight w:val="0"/>
      <w:marTop w:val="0"/>
      <w:marBottom w:val="0"/>
      <w:divBdr>
        <w:top w:val="none" w:sz="0" w:space="0" w:color="auto"/>
        <w:left w:val="none" w:sz="0" w:space="0" w:color="auto"/>
        <w:bottom w:val="none" w:sz="0" w:space="0" w:color="auto"/>
        <w:right w:val="none" w:sz="0" w:space="0" w:color="auto"/>
      </w:divBdr>
    </w:div>
    <w:div w:id="1871335774">
      <w:bodyDiv w:val="1"/>
      <w:marLeft w:val="0"/>
      <w:marRight w:val="0"/>
      <w:marTop w:val="0"/>
      <w:marBottom w:val="0"/>
      <w:divBdr>
        <w:top w:val="none" w:sz="0" w:space="0" w:color="auto"/>
        <w:left w:val="none" w:sz="0" w:space="0" w:color="auto"/>
        <w:bottom w:val="none" w:sz="0" w:space="0" w:color="auto"/>
        <w:right w:val="none" w:sz="0" w:space="0" w:color="auto"/>
      </w:divBdr>
    </w:div>
    <w:div w:id="1871382730">
      <w:bodyDiv w:val="1"/>
      <w:marLeft w:val="0"/>
      <w:marRight w:val="0"/>
      <w:marTop w:val="0"/>
      <w:marBottom w:val="0"/>
      <w:divBdr>
        <w:top w:val="none" w:sz="0" w:space="0" w:color="auto"/>
        <w:left w:val="none" w:sz="0" w:space="0" w:color="auto"/>
        <w:bottom w:val="none" w:sz="0" w:space="0" w:color="auto"/>
        <w:right w:val="none" w:sz="0" w:space="0" w:color="auto"/>
      </w:divBdr>
    </w:div>
    <w:div w:id="1871722491">
      <w:bodyDiv w:val="1"/>
      <w:marLeft w:val="0"/>
      <w:marRight w:val="0"/>
      <w:marTop w:val="0"/>
      <w:marBottom w:val="0"/>
      <w:divBdr>
        <w:top w:val="none" w:sz="0" w:space="0" w:color="auto"/>
        <w:left w:val="none" w:sz="0" w:space="0" w:color="auto"/>
        <w:bottom w:val="none" w:sz="0" w:space="0" w:color="auto"/>
        <w:right w:val="none" w:sz="0" w:space="0" w:color="auto"/>
      </w:divBdr>
    </w:div>
    <w:div w:id="1871723606">
      <w:bodyDiv w:val="1"/>
      <w:marLeft w:val="0"/>
      <w:marRight w:val="0"/>
      <w:marTop w:val="0"/>
      <w:marBottom w:val="0"/>
      <w:divBdr>
        <w:top w:val="none" w:sz="0" w:space="0" w:color="auto"/>
        <w:left w:val="none" w:sz="0" w:space="0" w:color="auto"/>
        <w:bottom w:val="none" w:sz="0" w:space="0" w:color="auto"/>
        <w:right w:val="none" w:sz="0" w:space="0" w:color="auto"/>
      </w:divBdr>
    </w:div>
    <w:div w:id="1871871850">
      <w:bodyDiv w:val="1"/>
      <w:marLeft w:val="0"/>
      <w:marRight w:val="0"/>
      <w:marTop w:val="0"/>
      <w:marBottom w:val="0"/>
      <w:divBdr>
        <w:top w:val="none" w:sz="0" w:space="0" w:color="auto"/>
        <w:left w:val="none" w:sz="0" w:space="0" w:color="auto"/>
        <w:bottom w:val="none" w:sz="0" w:space="0" w:color="auto"/>
        <w:right w:val="none" w:sz="0" w:space="0" w:color="auto"/>
      </w:divBdr>
    </w:div>
    <w:div w:id="1871910726">
      <w:bodyDiv w:val="1"/>
      <w:marLeft w:val="0"/>
      <w:marRight w:val="0"/>
      <w:marTop w:val="0"/>
      <w:marBottom w:val="0"/>
      <w:divBdr>
        <w:top w:val="none" w:sz="0" w:space="0" w:color="auto"/>
        <w:left w:val="none" w:sz="0" w:space="0" w:color="auto"/>
        <w:bottom w:val="none" w:sz="0" w:space="0" w:color="auto"/>
        <w:right w:val="none" w:sz="0" w:space="0" w:color="auto"/>
      </w:divBdr>
    </w:div>
    <w:div w:id="1873030489">
      <w:bodyDiv w:val="1"/>
      <w:marLeft w:val="0"/>
      <w:marRight w:val="0"/>
      <w:marTop w:val="0"/>
      <w:marBottom w:val="0"/>
      <w:divBdr>
        <w:top w:val="none" w:sz="0" w:space="0" w:color="auto"/>
        <w:left w:val="none" w:sz="0" w:space="0" w:color="auto"/>
        <w:bottom w:val="none" w:sz="0" w:space="0" w:color="auto"/>
        <w:right w:val="none" w:sz="0" w:space="0" w:color="auto"/>
      </w:divBdr>
    </w:div>
    <w:div w:id="1873181951">
      <w:bodyDiv w:val="1"/>
      <w:marLeft w:val="0"/>
      <w:marRight w:val="0"/>
      <w:marTop w:val="0"/>
      <w:marBottom w:val="0"/>
      <w:divBdr>
        <w:top w:val="none" w:sz="0" w:space="0" w:color="auto"/>
        <w:left w:val="none" w:sz="0" w:space="0" w:color="auto"/>
        <w:bottom w:val="none" w:sz="0" w:space="0" w:color="auto"/>
        <w:right w:val="none" w:sz="0" w:space="0" w:color="auto"/>
      </w:divBdr>
    </w:div>
    <w:div w:id="1873304007">
      <w:bodyDiv w:val="1"/>
      <w:marLeft w:val="0"/>
      <w:marRight w:val="0"/>
      <w:marTop w:val="0"/>
      <w:marBottom w:val="0"/>
      <w:divBdr>
        <w:top w:val="none" w:sz="0" w:space="0" w:color="auto"/>
        <w:left w:val="none" w:sz="0" w:space="0" w:color="auto"/>
        <w:bottom w:val="none" w:sz="0" w:space="0" w:color="auto"/>
        <w:right w:val="none" w:sz="0" w:space="0" w:color="auto"/>
      </w:divBdr>
    </w:div>
    <w:div w:id="1873423586">
      <w:bodyDiv w:val="1"/>
      <w:marLeft w:val="0"/>
      <w:marRight w:val="0"/>
      <w:marTop w:val="0"/>
      <w:marBottom w:val="0"/>
      <w:divBdr>
        <w:top w:val="none" w:sz="0" w:space="0" w:color="auto"/>
        <w:left w:val="none" w:sz="0" w:space="0" w:color="auto"/>
        <w:bottom w:val="none" w:sz="0" w:space="0" w:color="auto"/>
        <w:right w:val="none" w:sz="0" w:space="0" w:color="auto"/>
      </w:divBdr>
    </w:div>
    <w:div w:id="1873570632">
      <w:bodyDiv w:val="1"/>
      <w:marLeft w:val="0"/>
      <w:marRight w:val="0"/>
      <w:marTop w:val="0"/>
      <w:marBottom w:val="0"/>
      <w:divBdr>
        <w:top w:val="none" w:sz="0" w:space="0" w:color="auto"/>
        <w:left w:val="none" w:sz="0" w:space="0" w:color="auto"/>
        <w:bottom w:val="none" w:sz="0" w:space="0" w:color="auto"/>
        <w:right w:val="none" w:sz="0" w:space="0" w:color="auto"/>
      </w:divBdr>
    </w:div>
    <w:div w:id="1874028685">
      <w:bodyDiv w:val="1"/>
      <w:marLeft w:val="0"/>
      <w:marRight w:val="0"/>
      <w:marTop w:val="0"/>
      <w:marBottom w:val="0"/>
      <w:divBdr>
        <w:top w:val="none" w:sz="0" w:space="0" w:color="auto"/>
        <w:left w:val="none" w:sz="0" w:space="0" w:color="auto"/>
        <w:bottom w:val="none" w:sz="0" w:space="0" w:color="auto"/>
        <w:right w:val="none" w:sz="0" w:space="0" w:color="auto"/>
      </w:divBdr>
    </w:div>
    <w:div w:id="1874075376">
      <w:bodyDiv w:val="1"/>
      <w:marLeft w:val="0"/>
      <w:marRight w:val="0"/>
      <w:marTop w:val="0"/>
      <w:marBottom w:val="0"/>
      <w:divBdr>
        <w:top w:val="none" w:sz="0" w:space="0" w:color="auto"/>
        <w:left w:val="none" w:sz="0" w:space="0" w:color="auto"/>
        <w:bottom w:val="none" w:sz="0" w:space="0" w:color="auto"/>
        <w:right w:val="none" w:sz="0" w:space="0" w:color="auto"/>
      </w:divBdr>
    </w:div>
    <w:div w:id="1874227612">
      <w:bodyDiv w:val="1"/>
      <w:marLeft w:val="0"/>
      <w:marRight w:val="0"/>
      <w:marTop w:val="0"/>
      <w:marBottom w:val="0"/>
      <w:divBdr>
        <w:top w:val="none" w:sz="0" w:space="0" w:color="auto"/>
        <w:left w:val="none" w:sz="0" w:space="0" w:color="auto"/>
        <w:bottom w:val="none" w:sz="0" w:space="0" w:color="auto"/>
        <w:right w:val="none" w:sz="0" w:space="0" w:color="auto"/>
      </w:divBdr>
    </w:div>
    <w:div w:id="1874342260">
      <w:bodyDiv w:val="1"/>
      <w:marLeft w:val="0"/>
      <w:marRight w:val="0"/>
      <w:marTop w:val="0"/>
      <w:marBottom w:val="0"/>
      <w:divBdr>
        <w:top w:val="none" w:sz="0" w:space="0" w:color="auto"/>
        <w:left w:val="none" w:sz="0" w:space="0" w:color="auto"/>
        <w:bottom w:val="none" w:sz="0" w:space="0" w:color="auto"/>
        <w:right w:val="none" w:sz="0" w:space="0" w:color="auto"/>
      </w:divBdr>
    </w:div>
    <w:div w:id="1874418302">
      <w:bodyDiv w:val="1"/>
      <w:marLeft w:val="0"/>
      <w:marRight w:val="0"/>
      <w:marTop w:val="0"/>
      <w:marBottom w:val="0"/>
      <w:divBdr>
        <w:top w:val="none" w:sz="0" w:space="0" w:color="auto"/>
        <w:left w:val="none" w:sz="0" w:space="0" w:color="auto"/>
        <w:bottom w:val="none" w:sz="0" w:space="0" w:color="auto"/>
        <w:right w:val="none" w:sz="0" w:space="0" w:color="auto"/>
      </w:divBdr>
    </w:div>
    <w:div w:id="1874462396">
      <w:bodyDiv w:val="1"/>
      <w:marLeft w:val="0"/>
      <w:marRight w:val="0"/>
      <w:marTop w:val="0"/>
      <w:marBottom w:val="0"/>
      <w:divBdr>
        <w:top w:val="none" w:sz="0" w:space="0" w:color="auto"/>
        <w:left w:val="none" w:sz="0" w:space="0" w:color="auto"/>
        <w:bottom w:val="none" w:sz="0" w:space="0" w:color="auto"/>
        <w:right w:val="none" w:sz="0" w:space="0" w:color="auto"/>
      </w:divBdr>
    </w:div>
    <w:div w:id="1874464721">
      <w:bodyDiv w:val="1"/>
      <w:marLeft w:val="0"/>
      <w:marRight w:val="0"/>
      <w:marTop w:val="0"/>
      <w:marBottom w:val="0"/>
      <w:divBdr>
        <w:top w:val="none" w:sz="0" w:space="0" w:color="auto"/>
        <w:left w:val="none" w:sz="0" w:space="0" w:color="auto"/>
        <w:bottom w:val="none" w:sz="0" w:space="0" w:color="auto"/>
        <w:right w:val="none" w:sz="0" w:space="0" w:color="auto"/>
      </w:divBdr>
    </w:div>
    <w:div w:id="1874687216">
      <w:bodyDiv w:val="1"/>
      <w:marLeft w:val="0"/>
      <w:marRight w:val="0"/>
      <w:marTop w:val="0"/>
      <w:marBottom w:val="0"/>
      <w:divBdr>
        <w:top w:val="none" w:sz="0" w:space="0" w:color="auto"/>
        <w:left w:val="none" w:sz="0" w:space="0" w:color="auto"/>
        <w:bottom w:val="none" w:sz="0" w:space="0" w:color="auto"/>
        <w:right w:val="none" w:sz="0" w:space="0" w:color="auto"/>
      </w:divBdr>
    </w:div>
    <w:div w:id="1875344098">
      <w:bodyDiv w:val="1"/>
      <w:marLeft w:val="0"/>
      <w:marRight w:val="0"/>
      <w:marTop w:val="0"/>
      <w:marBottom w:val="0"/>
      <w:divBdr>
        <w:top w:val="none" w:sz="0" w:space="0" w:color="auto"/>
        <w:left w:val="none" w:sz="0" w:space="0" w:color="auto"/>
        <w:bottom w:val="none" w:sz="0" w:space="0" w:color="auto"/>
        <w:right w:val="none" w:sz="0" w:space="0" w:color="auto"/>
      </w:divBdr>
    </w:div>
    <w:div w:id="1875656422">
      <w:bodyDiv w:val="1"/>
      <w:marLeft w:val="0"/>
      <w:marRight w:val="0"/>
      <w:marTop w:val="0"/>
      <w:marBottom w:val="0"/>
      <w:divBdr>
        <w:top w:val="none" w:sz="0" w:space="0" w:color="auto"/>
        <w:left w:val="none" w:sz="0" w:space="0" w:color="auto"/>
        <w:bottom w:val="none" w:sz="0" w:space="0" w:color="auto"/>
        <w:right w:val="none" w:sz="0" w:space="0" w:color="auto"/>
      </w:divBdr>
    </w:div>
    <w:div w:id="1875847361">
      <w:bodyDiv w:val="1"/>
      <w:marLeft w:val="0"/>
      <w:marRight w:val="0"/>
      <w:marTop w:val="0"/>
      <w:marBottom w:val="0"/>
      <w:divBdr>
        <w:top w:val="none" w:sz="0" w:space="0" w:color="auto"/>
        <w:left w:val="none" w:sz="0" w:space="0" w:color="auto"/>
        <w:bottom w:val="none" w:sz="0" w:space="0" w:color="auto"/>
        <w:right w:val="none" w:sz="0" w:space="0" w:color="auto"/>
      </w:divBdr>
    </w:div>
    <w:div w:id="1876000389">
      <w:bodyDiv w:val="1"/>
      <w:marLeft w:val="0"/>
      <w:marRight w:val="0"/>
      <w:marTop w:val="0"/>
      <w:marBottom w:val="0"/>
      <w:divBdr>
        <w:top w:val="none" w:sz="0" w:space="0" w:color="auto"/>
        <w:left w:val="none" w:sz="0" w:space="0" w:color="auto"/>
        <w:bottom w:val="none" w:sz="0" w:space="0" w:color="auto"/>
        <w:right w:val="none" w:sz="0" w:space="0" w:color="auto"/>
      </w:divBdr>
    </w:div>
    <w:div w:id="1876044777">
      <w:bodyDiv w:val="1"/>
      <w:marLeft w:val="0"/>
      <w:marRight w:val="0"/>
      <w:marTop w:val="0"/>
      <w:marBottom w:val="0"/>
      <w:divBdr>
        <w:top w:val="none" w:sz="0" w:space="0" w:color="auto"/>
        <w:left w:val="none" w:sz="0" w:space="0" w:color="auto"/>
        <w:bottom w:val="none" w:sz="0" w:space="0" w:color="auto"/>
        <w:right w:val="none" w:sz="0" w:space="0" w:color="auto"/>
      </w:divBdr>
    </w:div>
    <w:div w:id="1876307743">
      <w:bodyDiv w:val="1"/>
      <w:marLeft w:val="0"/>
      <w:marRight w:val="0"/>
      <w:marTop w:val="0"/>
      <w:marBottom w:val="0"/>
      <w:divBdr>
        <w:top w:val="none" w:sz="0" w:space="0" w:color="auto"/>
        <w:left w:val="none" w:sz="0" w:space="0" w:color="auto"/>
        <w:bottom w:val="none" w:sz="0" w:space="0" w:color="auto"/>
        <w:right w:val="none" w:sz="0" w:space="0" w:color="auto"/>
      </w:divBdr>
    </w:div>
    <w:div w:id="1876431880">
      <w:bodyDiv w:val="1"/>
      <w:marLeft w:val="0"/>
      <w:marRight w:val="0"/>
      <w:marTop w:val="0"/>
      <w:marBottom w:val="0"/>
      <w:divBdr>
        <w:top w:val="none" w:sz="0" w:space="0" w:color="auto"/>
        <w:left w:val="none" w:sz="0" w:space="0" w:color="auto"/>
        <w:bottom w:val="none" w:sz="0" w:space="0" w:color="auto"/>
        <w:right w:val="none" w:sz="0" w:space="0" w:color="auto"/>
      </w:divBdr>
    </w:div>
    <w:div w:id="1876845677">
      <w:bodyDiv w:val="1"/>
      <w:marLeft w:val="0"/>
      <w:marRight w:val="0"/>
      <w:marTop w:val="0"/>
      <w:marBottom w:val="0"/>
      <w:divBdr>
        <w:top w:val="none" w:sz="0" w:space="0" w:color="auto"/>
        <w:left w:val="none" w:sz="0" w:space="0" w:color="auto"/>
        <w:bottom w:val="none" w:sz="0" w:space="0" w:color="auto"/>
        <w:right w:val="none" w:sz="0" w:space="0" w:color="auto"/>
      </w:divBdr>
    </w:div>
    <w:div w:id="1876893864">
      <w:bodyDiv w:val="1"/>
      <w:marLeft w:val="0"/>
      <w:marRight w:val="0"/>
      <w:marTop w:val="0"/>
      <w:marBottom w:val="0"/>
      <w:divBdr>
        <w:top w:val="none" w:sz="0" w:space="0" w:color="auto"/>
        <w:left w:val="none" w:sz="0" w:space="0" w:color="auto"/>
        <w:bottom w:val="none" w:sz="0" w:space="0" w:color="auto"/>
        <w:right w:val="none" w:sz="0" w:space="0" w:color="auto"/>
      </w:divBdr>
    </w:div>
    <w:div w:id="1877303936">
      <w:bodyDiv w:val="1"/>
      <w:marLeft w:val="0"/>
      <w:marRight w:val="0"/>
      <w:marTop w:val="0"/>
      <w:marBottom w:val="0"/>
      <w:divBdr>
        <w:top w:val="none" w:sz="0" w:space="0" w:color="auto"/>
        <w:left w:val="none" w:sz="0" w:space="0" w:color="auto"/>
        <w:bottom w:val="none" w:sz="0" w:space="0" w:color="auto"/>
        <w:right w:val="none" w:sz="0" w:space="0" w:color="auto"/>
      </w:divBdr>
    </w:div>
    <w:div w:id="1877427587">
      <w:bodyDiv w:val="1"/>
      <w:marLeft w:val="0"/>
      <w:marRight w:val="0"/>
      <w:marTop w:val="0"/>
      <w:marBottom w:val="0"/>
      <w:divBdr>
        <w:top w:val="none" w:sz="0" w:space="0" w:color="auto"/>
        <w:left w:val="none" w:sz="0" w:space="0" w:color="auto"/>
        <w:bottom w:val="none" w:sz="0" w:space="0" w:color="auto"/>
        <w:right w:val="none" w:sz="0" w:space="0" w:color="auto"/>
      </w:divBdr>
    </w:div>
    <w:div w:id="1877545367">
      <w:bodyDiv w:val="1"/>
      <w:marLeft w:val="0"/>
      <w:marRight w:val="0"/>
      <w:marTop w:val="0"/>
      <w:marBottom w:val="0"/>
      <w:divBdr>
        <w:top w:val="none" w:sz="0" w:space="0" w:color="auto"/>
        <w:left w:val="none" w:sz="0" w:space="0" w:color="auto"/>
        <w:bottom w:val="none" w:sz="0" w:space="0" w:color="auto"/>
        <w:right w:val="none" w:sz="0" w:space="0" w:color="auto"/>
      </w:divBdr>
    </w:div>
    <w:div w:id="1877809082">
      <w:bodyDiv w:val="1"/>
      <w:marLeft w:val="0"/>
      <w:marRight w:val="0"/>
      <w:marTop w:val="0"/>
      <w:marBottom w:val="0"/>
      <w:divBdr>
        <w:top w:val="none" w:sz="0" w:space="0" w:color="auto"/>
        <w:left w:val="none" w:sz="0" w:space="0" w:color="auto"/>
        <w:bottom w:val="none" w:sz="0" w:space="0" w:color="auto"/>
        <w:right w:val="none" w:sz="0" w:space="0" w:color="auto"/>
      </w:divBdr>
    </w:div>
    <w:div w:id="1878153198">
      <w:bodyDiv w:val="1"/>
      <w:marLeft w:val="0"/>
      <w:marRight w:val="0"/>
      <w:marTop w:val="0"/>
      <w:marBottom w:val="0"/>
      <w:divBdr>
        <w:top w:val="none" w:sz="0" w:space="0" w:color="auto"/>
        <w:left w:val="none" w:sz="0" w:space="0" w:color="auto"/>
        <w:bottom w:val="none" w:sz="0" w:space="0" w:color="auto"/>
        <w:right w:val="none" w:sz="0" w:space="0" w:color="auto"/>
      </w:divBdr>
    </w:div>
    <w:div w:id="1878159162">
      <w:bodyDiv w:val="1"/>
      <w:marLeft w:val="0"/>
      <w:marRight w:val="0"/>
      <w:marTop w:val="0"/>
      <w:marBottom w:val="0"/>
      <w:divBdr>
        <w:top w:val="none" w:sz="0" w:space="0" w:color="auto"/>
        <w:left w:val="none" w:sz="0" w:space="0" w:color="auto"/>
        <w:bottom w:val="none" w:sz="0" w:space="0" w:color="auto"/>
        <w:right w:val="none" w:sz="0" w:space="0" w:color="auto"/>
      </w:divBdr>
    </w:div>
    <w:div w:id="1878542754">
      <w:bodyDiv w:val="1"/>
      <w:marLeft w:val="0"/>
      <w:marRight w:val="0"/>
      <w:marTop w:val="0"/>
      <w:marBottom w:val="0"/>
      <w:divBdr>
        <w:top w:val="none" w:sz="0" w:space="0" w:color="auto"/>
        <w:left w:val="none" w:sz="0" w:space="0" w:color="auto"/>
        <w:bottom w:val="none" w:sz="0" w:space="0" w:color="auto"/>
        <w:right w:val="none" w:sz="0" w:space="0" w:color="auto"/>
      </w:divBdr>
    </w:div>
    <w:div w:id="1878547892">
      <w:bodyDiv w:val="1"/>
      <w:marLeft w:val="0"/>
      <w:marRight w:val="0"/>
      <w:marTop w:val="0"/>
      <w:marBottom w:val="0"/>
      <w:divBdr>
        <w:top w:val="none" w:sz="0" w:space="0" w:color="auto"/>
        <w:left w:val="none" w:sz="0" w:space="0" w:color="auto"/>
        <w:bottom w:val="none" w:sz="0" w:space="0" w:color="auto"/>
        <w:right w:val="none" w:sz="0" w:space="0" w:color="auto"/>
      </w:divBdr>
    </w:div>
    <w:div w:id="1878620145">
      <w:bodyDiv w:val="1"/>
      <w:marLeft w:val="0"/>
      <w:marRight w:val="0"/>
      <w:marTop w:val="0"/>
      <w:marBottom w:val="0"/>
      <w:divBdr>
        <w:top w:val="none" w:sz="0" w:space="0" w:color="auto"/>
        <w:left w:val="none" w:sz="0" w:space="0" w:color="auto"/>
        <w:bottom w:val="none" w:sz="0" w:space="0" w:color="auto"/>
        <w:right w:val="none" w:sz="0" w:space="0" w:color="auto"/>
      </w:divBdr>
    </w:div>
    <w:div w:id="1878931649">
      <w:bodyDiv w:val="1"/>
      <w:marLeft w:val="0"/>
      <w:marRight w:val="0"/>
      <w:marTop w:val="0"/>
      <w:marBottom w:val="0"/>
      <w:divBdr>
        <w:top w:val="none" w:sz="0" w:space="0" w:color="auto"/>
        <w:left w:val="none" w:sz="0" w:space="0" w:color="auto"/>
        <w:bottom w:val="none" w:sz="0" w:space="0" w:color="auto"/>
        <w:right w:val="none" w:sz="0" w:space="0" w:color="auto"/>
      </w:divBdr>
    </w:div>
    <w:div w:id="1879005480">
      <w:bodyDiv w:val="1"/>
      <w:marLeft w:val="0"/>
      <w:marRight w:val="0"/>
      <w:marTop w:val="0"/>
      <w:marBottom w:val="0"/>
      <w:divBdr>
        <w:top w:val="none" w:sz="0" w:space="0" w:color="auto"/>
        <w:left w:val="none" w:sz="0" w:space="0" w:color="auto"/>
        <w:bottom w:val="none" w:sz="0" w:space="0" w:color="auto"/>
        <w:right w:val="none" w:sz="0" w:space="0" w:color="auto"/>
      </w:divBdr>
    </w:div>
    <w:div w:id="1879077671">
      <w:bodyDiv w:val="1"/>
      <w:marLeft w:val="0"/>
      <w:marRight w:val="0"/>
      <w:marTop w:val="0"/>
      <w:marBottom w:val="0"/>
      <w:divBdr>
        <w:top w:val="none" w:sz="0" w:space="0" w:color="auto"/>
        <w:left w:val="none" w:sz="0" w:space="0" w:color="auto"/>
        <w:bottom w:val="none" w:sz="0" w:space="0" w:color="auto"/>
        <w:right w:val="none" w:sz="0" w:space="0" w:color="auto"/>
      </w:divBdr>
    </w:div>
    <w:div w:id="1879203119">
      <w:bodyDiv w:val="1"/>
      <w:marLeft w:val="0"/>
      <w:marRight w:val="0"/>
      <w:marTop w:val="0"/>
      <w:marBottom w:val="0"/>
      <w:divBdr>
        <w:top w:val="none" w:sz="0" w:space="0" w:color="auto"/>
        <w:left w:val="none" w:sz="0" w:space="0" w:color="auto"/>
        <w:bottom w:val="none" w:sz="0" w:space="0" w:color="auto"/>
        <w:right w:val="none" w:sz="0" w:space="0" w:color="auto"/>
      </w:divBdr>
    </w:div>
    <w:div w:id="1879203460">
      <w:bodyDiv w:val="1"/>
      <w:marLeft w:val="0"/>
      <w:marRight w:val="0"/>
      <w:marTop w:val="0"/>
      <w:marBottom w:val="0"/>
      <w:divBdr>
        <w:top w:val="none" w:sz="0" w:space="0" w:color="auto"/>
        <w:left w:val="none" w:sz="0" w:space="0" w:color="auto"/>
        <w:bottom w:val="none" w:sz="0" w:space="0" w:color="auto"/>
        <w:right w:val="none" w:sz="0" w:space="0" w:color="auto"/>
      </w:divBdr>
    </w:div>
    <w:div w:id="1879930885">
      <w:bodyDiv w:val="1"/>
      <w:marLeft w:val="0"/>
      <w:marRight w:val="0"/>
      <w:marTop w:val="0"/>
      <w:marBottom w:val="0"/>
      <w:divBdr>
        <w:top w:val="none" w:sz="0" w:space="0" w:color="auto"/>
        <w:left w:val="none" w:sz="0" w:space="0" w:color="auto"/>
        <w:bottom w:val="none" w:sz="0" w:space="0" w:color="auto"/>
        <w:right w:val="none" w:sz="0" w:space="0" w:color="auto"/>
      </w:divBdr>
    </w:div>
    <w:div w:id="1879970061">
      <w:bodyDiv w:val="1"/>
      <w:marLeft w:val="0"/>
      <w:marRight w:val="0"/>
      <w:marTop w:val="0"/>
      <w:marBottom w:val="0"/>
      <w:divBdr>
        <w:top w:val="none" w:sz="0" w:space="0" w:color="auto"/>
        <w:left w:val="none" w:sz="0" w:space="0" w:color="auto"/>
        <w:bottom w:val="none" w:sz="0" w:space="0" w:color="auto"/>
        <w:right w:val="none" w:sz="0" w:space="0" w:color="auto"/>
      </w:divBdr>
    </w:div>
    <w:div w:id="1880044429">
      <w:bodyDiv w:val="1"/>
      <w:marLeft w:val="0"/>
      <w:marRight w:val="0"/>
      <w:marTop w:val="0"/>
      <w:marBottom w:val="0"/>
      <w:divBdr>
        <w:top w:val="none" w:sz="0" w:space="0" w:color="auto"/>
        <w:left w:val="none" w:sz="0" w:space="0" w:color="auto"/>
        <w:bottom w:val="none" w:sz="0" w:space="0" w:color="auto"/>
        <w:right w:val="none" w:sz="0" w:space="0" w:color="auto"/>
      </w:divBdr>
    </w:div>
    <w:div w:id="1880435229">
      <w:bodyDiv w:val="1"/>
      <w:marLeft w:val="0"/>
      <w:marRight w:val="0"/>
      <w:marTop w:val="0"/>
      <w:marBottom w:val="0"/>
      <w:divBdr>
        <w:top w:val="none" w:sz="0" w:space="0" w:color="auto"/>
        <w:left w:val="none" w:sz="0" w:space="0" w:color="auto"/>
        <w:bottom w:val="none" w:sz="0" w:space="0" w:color="auto"/>
        <w:right w:val="none" w:sz="0" w:space="0" w:color="auto"/>
      </w:divBdr>
    </w:div>
    <w:div w:id="1880437727">
      <w:bodyDiv w:val="1"/>
      <w:marLeft w:val="0"/>
      <w:marRight w:val="0"/>
      <w:marTop w:val="0"/>
      <w:marBottom w:val="0"/>
      <w:divBdr>
        <w:top w:val="none" w:sz="0" w:space="0" w:color="auto"/>
        <w:left w:val="none" w:sz="0" w:space="0" w:color="auto"/>
        <w:bottom w:val="none" w:sz="0" w:space="0" w:color="auto"/>
        <w:right w:val="none" w:sz="0" w:space="0" w:color="auto"/>
      </w:divBdr>
    </w:div>
    <w:div w:id="1880508637">
      <w:bodyDiv w:val="1"/>
      <w:marLeft w:val="0"/>
      <w:marRight w:val="0"/>
      <w:marTop w:val="0"/>
      <w:marBottom w:val="0"/>
      <w:divBdr>
        <w:top w:val="none" w:sz="0" w:space="0" w:color="auto"/>
        <w:left w:val="none" w:sz="0" w:space="0" w:color="auto"/>
        <w:bottom w:val="none" w:sz="0" w:space="0" w:color="auto"/>
        <w:right w:val="none" w:sz="0" w:space="0" w:color="auto"/>
      </w:divBdr>
    </w:div>
    <w:div w:id="1880511407">
      <w:bodyDiv w:val="1"/>
      <w:marLeft w:val="0"/>
      <w:marRight w:val="0"/>
      <w:marTop w:val="0"/>
      <w:marBottom w:val="0"/>
      <w:divBdr>
        <w:top w:val="none" w:sz="0" w:space="0" w:color="auto"/>
        <w:left w:val="none" w:sz="0" w:space="0" w:color="auto"/>
        <w:bottom w:val="none" w:sz="0" w:space="0" w:color="auto"/>
        <w:right w:val="none" w:sz="0" w:space="0" w:color="auto"/>
      </w:divBdr>
    </w:div>
    <w:div w:id="1880626273">
      <w:bodyDiv w:val="1"/>
      <w:marLeft w:val="0"/>
      <w:marRight w:val="0"/>
      <w:marTop w:val="0"/>
      <w:marBottom w:val="0"/>
      <w:divBdr>
        <w:top w:val="none" w:sz="0" w:space="0" w:color="auto"/>
        <w:left w:val="none" w:sz="0" w:space="0" w:color="auto"/>
        <w:bottom w:val="none" w:sz="0" w:space="0" w:color="auto"/>
        <w:right w:val="none" w:sz="0" w:space="0" w:color="auto"/>
      </w:divBdr>
    </w:div>
    <w:div w:id="1880896180">
      <w:bodyDiv w:val="1"/>
      <w:marLeft w:val="0"/>
      <w:marRight w:val="0"/>
      <w:marTop w:val="0"/>
      <w:marBottom w:val="0"/>
      <w:divBdr>
        <w:top w:val="none" w:sz="0" w:space="0" w:color="auto"/>
        <w:left w:val="none" w:sz="0" w:space="0" w:color="auto"/>
        <w:bottom w:val="none" w:sz="0" w:space="0" w:color="auto"/>
        <w:right w:val="none" w:sz="0" w:space="0" w:color="auto"/>
      </w:divBdr>
    </w:div>
    <w:div w:id="1880971163">
      <w:bodyDiv w:val="1"/>
      <w:marLeft w:val="0"/>
      <w:marRight w:val="0"/>
      <w:marTop w:val="0"/>
      <w:marBottom w:val="0"/>
      <w:divBdr>
        <w:top w:val="none" w:sz="0" w:space="0" w:color="auto"/>
        <w:left w:val="none" w:sz="0" w:space="0" w:color="auto"/>
        <w:bottom w:val="none" w:sz="0" w:space="0" w:color="auto"/>
        <w:right w:val="none" w:sz="0" w:space="0" w:color="auto"/>
      </w:divBdr>
    </w:div>
    <w:div w:id="1881354510">
      <w:bodyDiv w:val="1"/>
      <w:marLeft w:val="0"/>
      <w:marRight w:val="0"/>
      <w:marTop w:val="0"/>
      <w:marBottom w:val="0"/>
      <w:divBdr>
        <w:top w:val="none" w:sz="0" w:space="0" w:color="auto"/>
        <w:left w:val="none" w:sz="0" w:space="0" w:color="auto"/>
        <w:bottom w:val="none" w:sz="0" w:space="0" w:color="auto"/>
        <w:right w:val="none" w:sz="0" w:space="0" w:color="auto"/>
      </w:divBdr>
    </w:div>
    <w:div w:id="1881822683">
      <w:bodyDiv w:val="1"/>
      <w:marLeft w:val="0"/>
      <w:marRight w:val="0"/>
      <w:marTop w:val="0"/>
      <w:marBottom w:val="0"/>
      <w:divBdr>
        <w:top w:val="none" w:sz="0" w:space="0" w:color="auto"/>
        <w:left w:val="none" w:sz="0" w:space="0" w:color="auto"/>
        <w:bottom w:val="none" w:sz="0" w:space="0" w:color="auto"/>
        <w:right w:val="none" w:sz="0" w:space="0" w:color="auto"/>
      </w:divBdr>
    </w:div>
    <w:div w:id="1881892629">
      <w:bodyDiv w:val="1"/>
      <w:marLeft w:val="0"/>
      <w:marRight w:val="0"/>
      <w:marTop w:val="0"/>
      <w:marBottom w:val="0"/>
      <w:divBdr>
        <w:top w:val="none" w:sz="0" w:space="0" w:color="auto"/>
        <w:left w:val="none" w:sz="0" w:space="0" w:color="auto"/>
        <w:bottom w:val="none" w:sz="0" w:space="0" w:color="auto"/>
        <w:right w:val="none" w:sz="0" w:space="0" w:color="auto"/>
      </w:divBdr>
    </w:div>
    <w:div w:id="1882128439">
      <w:bodyDiv w:val="1"/>
      <w:marLeft w:val="0"/>
      <w:marRight w:val="0"/>
      <w:marTop w:val="0"/>
      <w:marBottom w:val="0"/>
      <w:divBdr>
        <w:top w:val="none" w:sz="0" w:space="0" w:color="auto"/>
        <w:left w:val="none" w:sz="0" w:space="0" w:color="auto"/>
        <w:bottom w:val="none" w:sz="0" w:space="0" w:color="auto"/>
        <w:right w:val="none" w:sz="0" w:space="0" w:color="auto"/>
      </w:divBdr>
    </w:div>
    <w:div w:id="1882205572">
      <w:bodyDiv w:val="1"/>
      <w:marLeft w:val="0"/>
      <w:marRight w:val="0"/>
      <w:marTop w:val="0"/>
      <w:marBottom w:val="0"/>
      <w:divBdr>
        <w:top w:val="none" w:sz="0" w:space="0" w:color="auto"/>
        <w:left w:val="none" w:sz="0" w:space="0" w:color="auto"/>
        <w:bottom w:val="none" w:sz="0" w:space="0" w:color="auto"/>
        <w:right w:val="none" w:sz="0" w:space="0" w:color="auto"/>
      </w:divBdr>
    </w:div>
    <w:div w:id="1882209243">
      <w:bodyDiv w:val="1"/>
      <w:marLeft w:val="0"/>
      <w:marRight w:val="0"/>
      <w:marTop w:val="0"/>
      <w:marBottom w:val="0"/>
      <w:divBdr>
        <w:top w:val="none" w:sz="0" w:space="0" w:color="auto"/>
        <w:left w:val="none" w:sz="0" w:space="0" w:color="auto"/>
        <w:bottom w:val="none" w:sz="0" w:space="0" w:color="auto"/>
        <w:right w:val="none" w:sz="0" w:space="0" w:color="auto"/>
      </w:divBdr>
    </w:div>
    <w:div w:id="1882479317">
      <w:bodyDiv w:val="1"/>
      <w:marLeft w:val="0"/>
      <w:marRight w:val="0"/>
      <w:marTop w:val="0"/>
      <w:marBottom w:val="0"/>
      <w:divBdr>
        <w:top w:val="none" w:sz="0" w:space="0" w:color="auto"/>
        <w:left w:val="none" w:sz="0" w:space="0" w:color="auto"/>
        <w:bottom w:val="none" w:sz="0" w:space="0" w:color="auto"/>
        <w:right w:val="none" w:sz="0" w:space="0" w:color="auto"/>
      </w:divBdr>
    </w:div>
    <w:div w:id="1882522008">
      <w:bodyDiv w:val="1"/>
      <w:marLeft w:val="0"/>
      <w:marRight w:val="0"/>
      <w:marTop w:val="0"/>
      <w:marBottom w:val="0"/>
      <w:divBdr>
        <w:top w:val="none" w:sz="0" w:space="0" w:color="auto"/>
        <w:left w:val="none" w:sz="0" w:space="0" w:color="auto"/>
        <w:bottom w:val="none" w:sz="0" w:space="0" w:color="auto"/>
        <w:right w:val="none" w:sz="0" w:space="0" w:color="auto"/>
      </w:divBdr>
    </w:div>
    <w:div w:id="1882747595">
      <w:bodyDiv w:val="1"/>
      <w:marLeft w:val="0"/>
      <w:marRight w:val="0"/>
      <w:marTop w:val="0"/>
      <w:marBottom w:val="0"/>
      <w:divBdr>
        <w:top w:val="none" w:sz="0" w:space="0" w:color="auto"/>
        <w:left w:val="none" w:sz="0" w:space="0" w:color="auto"/>
        <w:bottom w:val="none" w:sz="0" w:space="0" w:color="auto"/>
        <w:right w:val="none" w:sz="0" w:space="0" w:color="auto"/>
      </w:divBdr>
    </w:div>
    <w:div w:id="1882786702">
      <w:bodyDiv w:val="1"/>
      <w:marLeft w:val="0"/>
      <w:marRight w:val="0"/>
      <w:marTop w:val="0"/>
      <w:marBottom w:val="0"/>
      <w:divBdr>
        <w:top w:val="none" w:sz="0" w:space="0" w:color="auto"/>
        <w:left w:val="none" w:sz="0" w:space="0" w:color="auto"/>
        <w:bottom w:val="none" w:sz="0" w:space="0" w:color="auto"/>
        <w:right w:val="none" w:sz="0" w:space="0" w:color="auto"/>
      </w:divBdr>
    </w:div>
    <w:div w:id="1882941195">
      <w:bodyDiv w:val="1"/>
      <w:marLeft w:val="0"/>
      <w:marRight w:val="0"/>
      <w:marTop w:val="0"/>
      <w:marBottom w:val="0"/>
      <w:divBdr>
        <w:top w:val="none" w:sz="0" w:space="0" w:color="auto"/>
        <w:left w:val="none" w:sz="0" w:space="0" w:color="auto"/>
        <w:bottom w:val="none" w:sz="0" w:space="0" w:color="auto"/>
        <w:right w:val="none" w:sz="0" w:space="0" w:color="auto"/>
      </w:divBdr>
    </w:div>
    <w:div w:id="1883008791">
      <w:bodyDiv w:val="1"/>
      <w:marLeft w:val="0"/>
      <w:marRight w:val="0"/>
      <w:marTop w:val="0"/>
      <w:marBottom w:val="0"/>
      <w:divBdr>
        <w:top w:val="none" w:sz="0" w:space="0" w:color="auto"/>
        <w:left w:val="none" w:sz="0" w:space="0" w:color="auto"/>
        <w:bottom w:val="none" w:sz="0" w:space="0" w:color="auto"/>
        <w:right w:val="none" w:sz="0" w:space="0" w:color="auto"/>
      </w:divBdr>
    </w:div>
    <w:div w:id="1883053180">
      <w:bodyDiv w:val="1"/>
      <w:marLeft w:val="0"/>
      <w:marRight w:val="0"/>
      <w:marTop w:val="0"/>
      <w:marBottom w:val="0"/>
      <w:divBdr>
        <w:top w:val="none" w:sz="0" w:space="0" w:color="auto"/>
        <w:left w:val="none" w:sz="0" w:space="0" w:color="auto"/>
        <w:bottom w:val="none" w:sz="0" w:space="0" w:color="auto"/>
        <w:right w:val="none" w:sz="0" w:space="0" w:color="auto"/>
      </w:divBdr>
    </w:div>
    <w:div w:id="1883056258">
      <w:bodyDiv w:val="1"/>
      <w:marLeft w:val="0"/>
      <w:marRight w:val="0"/>
      <w:marTop w:val="0"/>
      <w:marBottom w:val="0"/>
      <w:divBdr>
        <w:top w:val="none" w:sz="0" w:space="0" w:color="auto"/>
        <w:left w:val="none" w:sz="0" w:space="0" w:color="auto"/>
        <w:bottom w:val="none" w:sz="0" w:space="0" w:color="auto"/>
        <w:right w:val="none" w:sz="0" w:space="0" w:color="auto"/>
      </w:divBdr>
    </w:div>
    <w:div w:id="1883396198">
      <w:bodyDiv w:val="1"/>
      <w:marLeft w:val="0"/>
      <w:marRight w:val="0"/>
      <w:marTop w:val="0"/>
      <w:marBottom w:val="0"/>
      <w:divBdr>
        <w:top w:val="none" w:sz="0" w:space="0" w:color="auto"/>
        <w:left w:val="none" w:sz="0" w:space="0" w:color="auto"/>
        <w:bottom w:val="none" w:sz="0" w:space="0" w:color="auto"/>
        <w:right w:val="none" w:sz="0" w:space="0" w:color="auto"/>
      </w:divBdr>
    </w:div>
    <w:div w:id="1883403703">
      <w:bodyDiv w:val="1"/>
      <w:marLeft w:val="0"/>
      <w:marRight w:val="0"/>
      <w:marTop w:val="0"/>
      <w:marBottom w:val="0"/>
      <w:divBdr>
        <w:top w:val="none" w:sz="0" w:space="0" w:color="auto"/>
        <w:left w:val="none" w:sz="0" w:space="0" w:color="auto"/>
        <w:bottom w:val="none" w:sz="0" w:space="0" w:color="auto"/>
        <w:right w:val="none" w:sz="0" w:space="0" w:color="auto"/>
      </w:divBdr>
    </w:div>
    <w:div w:id="1883594585">
      <w:bodyDiv w:val="1"/>
      <w:marLeft w:val="0"/>
      <w:marRight w:val="0"/>
      <w:marTop w:val="0"/>
      <w:marBottom w:val="0"/>
      <w:divBdr>
        <w:top w:val="none" w:sz="0" w:space="0" w:color="auto"/>
        <w:left w:val="none" w:sz="0" w:space="0" w:color="auto"/>
        <w:bottom w:val="none" w:sz="0" w:space="0" w:color="auto"/>
        <w:right w:val="none" w:sz="0" w:space="0" w:color="auto"/>
      </w:divBdr>
    </w:div>
    <w:div w:id="1884095727">
      <w:bodyDiv w:val="1"/>
      <w:marLeft w:val="0"/>
      <w:marRight w:val="0"/>
      <w:marTop w:val="0"/>
      <w:marBottom w:val="0"/>
      <w:divBdr>
        <w:top w:val="none" w:sz="0" w:space="0" w:color="auto"/>
        <w:left w:val="none" w:sz="0" w:space="0" w:color="auto"/>
        <w:bottom w:val="none" w:sz="0" w:space="0" w:color="auto"/>
        <w:right w:val="none" w:sz="0" w:space="0" w:color="auto"/>
      </w:divBdr>
    </w:div>
    <w:div w:id="1884245551">
      <w:bodyDiv w:val="1"/>
      <w:marLeft w:val="0"/>
      <w:marRight w:val="0"/>
      <w:marTop w:val="0"/>
      <w:marBottom w:val="0"/>
      <w:divBdr>
        <w:top w:val="none" w:sz="0" w:space="0" w:color="auto"/>
        <w:left w:val="none" w:sz="0" w:space="0" w:color="auto"/>
        <w:bottom w:val="none" w:sz="0" w:space="0" w:color="auto"/>
        <w:right w:val="none" w:sz="0" w:space="0" w:color="auto"/>
      </w:divBdr>
    </w:div>
    <w:div w:id="1884250815">
      <w:bodyDiv w:val="1"/>
      <w:marLeft w:val="0"/>
      <w:marRight w:val="0"/>
      <w:marTop w:val="0"/>
      <w:marBottom w:val="0"/>
      <w:divBdr>
        <w:top w:val="none" w:sz="0" w:space="0" w:color="auto"/>
        <w:left w:val="none" w:sz="0" w:space="0" w:color="auto"/>
        <w:bottom w:val="none" w:sz="0" w:space="0" w:color="auto"/>
        <w:right w:val="none" w:sz="0" w:space="0" w:color="auto"/>
      </w:divBdr>
    </w:div>
    <w:div w:id="1884369953">
      <w:bodyDiv w:val="1"/>
      <w:marLeft w:val="0"/>
      <w:marRight w:val="0"/>
      <w:marTop w:val="0"/>
      <w:marBottom w:val="0"/>
      <w:divBdr>
        <w:top w:val="none" w:sz="0" w:space="0" w:color="auto"/>
        <w:left w:val="none" w:sz="0" w:space="0" w:color="auto"/>
        <w:bottom w:val="none" w:sz="0" w:space="0" w:color="auto"/>
        <w:right w:val="none" w:sz="0" w:space="0" w:color="auto"/>
      </w:divBdr>
    </w:div>
    <w:div w:id="1884557841">
      <w:bodyDiv w:val="1"/>
      <w:marLeft w:val="0"/>
      <w:marRight w:val="0"/>
      <w:marTop w:val="0"/>
      <w:marBottom w:val="0"/>
      <w:divBdr>
        <w:top w:val="none" w:sz="0" w:space="0" w:color="auto"/>
        <w:left w:val="none" w:sz="0" w:space="0" w:color="auto"/>
        <w:bottom w:val="none" w:sz="0" w:space="0" w:color="auto"/>
        <w:right w:val="none" w:sz="0" w:space="0" w:color="auto"/>
      </w:divBdr>
    </w:div>
    <w:div w:id="1884558898">
      <w:bodyDiv w:val="1"/>
      <w:marLeft w:val="0"/>
      <w:marRight w:val="0"/>
      <w:marTop w:val="0"/>
      <w:marBottom w:val="0"/>
      <w:divBdr>
        <w:top w:val="none" w:sz="0" w:space="0" w:color="auto"/>
        <w:left w:val="none" w:sz="0" w:space="0" w:color="auto"/>
        <w:bottom w:val="none" w:sz="0" w:space="0" w:color="auto"/>
        <w:right w:val="none" w:sz="0" w:space="0" w:color="auto"/>
      </w:divBdr>
    </w:div>
    <w:div w:id="1885288054">
      <w:bodyDiv w:val="1"/>
      <w:marLeft w:val="0"/>
      <w:marRight w:val="0"/>
      <w:marTop w:val="0"/>
      <w:marBottom w:val="0"/>
      <w:divBdr>
        <w:top w:val="none" w:sz="0" w:space="0" w:color="auto"/>
        <w:left w:val="none" w:sz="0" w:space="0" w:color="auto"/>
        <w:bottom w:val="none" w:sz="0" w:space="0" w:color="auto"/>
        <w:right w:val="none" w:sz="0" w:space="0" w:color="auto"/>
      </w:divBdr>
    </w:div>
    <w:div w:id="1885293236">
      <w:bodyDiv w:val="1"/>
      <w:marLeft w:val="0"/>
      <w:marRight w:val="0"/>
      <w:marTop w:val="0"/>
      <w:marBottom w:val="0"/>
      <w:divBdr>
        <w:top w:val="none" w:sz="0" w:space="0" w:color="auto"/>
        <w:left w:val="none" w:sz="0" w:space="0" w:color="auto"/>
        <w:bottom w:val="none" w:sz="0" w:space="0" w:color="auto"/>
        <w:right w:val="none" w:sz="0" w:space="0" w:color="auto"/>
      </w:divBdr>
    </w:div>
    <w:div w:id="1885365022">
      <w:bodyDiv w:val="1"/>
      <w:marLeft w:val="0"/>
      <w:marRight w:val="0"/>
      <w:marTop w:val="0"/>
      <w:marBottom w:val="0"/>
      <w:divBdr>
        <w:top w:val="none" w:sz="0" w:space="0" w:color="auto"/>
        <w:left w:val="none" w:sz="0" w:space="0" w:color="auto"/>
        <w:bottom w:val="none" w:sz="0" w:space="0" w:color="auto"/>
        <w:right w:val="none" w:sz="0" w:space="0" w:color="auto"/>
      </w:divBdr>
    </w:div>
    <w:div w:id="1885405710">
      <w:bodyDiv w:val="1"/>
      <w:marLeft w:val="0"/>
      <w:marRight w:val="0"/>
      <w:marTop w:val="0"/>
      <w:marBottom w:val="0"/>
      <w:divBdr>
        <w:top w:val="none" w:sz="0" w:space="0" w:color="auto"/>
        <w:left w:val="none" w:sz="0" w:space="0" w:color="auto"/>
        <w:bottom w:val="none" w:sz="0" w:space="0" w:color="auto"/>
        <w:right w:val="none" w:sz="0" w:space="0" w:color="auto"/>
      </w:divBdr>
    </w:div>
    <w:div w:id="1885408190">
      <w:bodyDiv w:val="1"/>
      <w:marLeft w:val="0"/>
      <w:marRight w:val="0"/>
      <w:marTop w:val="0"/>
      <w:marBottom w:val="0"/>
      <w:divBdr>
        <w:top w:val="none" w:sz="0" w:space="0" w:color="auto"/>
        <w:left w:val="none" w:sz="0" w:space="0" w:color="auto"/>
        <w:bottom w:val="none" w:sz="0" w:space="0" w:color="auto"/>
        <w:right w:val="none" w:sz="0" w:space="0" w:color="auto"/>
      </w:divBdr>
    </w:div>
    <w:div w:id="1885554966">
      <w:bodyDiv w:val="1"/>
      <w:marLeft w:val="0"/>
      <w:marRight w:val="0"/>
      <w:marTop w:val="0"/>
      <w:marBottom w:val="0"/>
      <w:divBdr>
        <w:top w:val="none" w:sz="0" w:space="0" w:color="auto"/>
        <w:left w:val="none" w:sz="0" w:space="0" w:color="auto"/>
        <w:bottom w:val="none" w:sz="0" w:space="0" w:color="auto"/>
        <w:right w:val="none" w:sz="0" w:space="0" w:color="auto"/>
      </w:divBdr>
    </w:div>
    <w:div w:id="1885828998">
      <w:bodyDiv w:val="1"/>
      <w:marLeft w:val="0"/>
      <w:marRight w:val="0"/>
      <w:marTop w:val="0"/>
      <w:marBottom w:val="0"/>
      <w:divBdr>
        <w:top w:val="none" w:sz="0" w:space="0" w:color="auto"/>
        <w:left w:val="none" w:sz="0" w:space="0" w:color="auto"/>
        <w:bottom w:val="none" w:sz="0" w:space="0" w:color="auto"/>
        <w:right w:val="none" w:sz="0" w:space="0" w:color="auto"/>
      </w:divBdr>
    </w:div>
    <w:div w:id="1886133836">
      <w:bodyDiv w:val="1"/>
      <w:marLeft w:val="0"/>
      <w:marRight w:val="0"/>
      <w:marTop w:val="0"/>
      <w:marBottom w:val="0"/>
      <w:divBdr>
        <w:top w:val="none" w:sz="0" w:space="0" w:color="auto"/>
        <w:left w:val="none" w:sz="0" w:space="0" w:color="auto"/>
        <w:bottom w:val="none" w:sz="0" w:space="0" w:color="auto"/>
        <w:right w:val="none" w:sz="0" w:space="0" w:color="auto"/>
      </w:divBdr>
    </w:div>
    <w:div w:id="1887063872">
      <w:bodyDiv w:val="1"/>
      <w:marLeft w:val="0"/>
      <w:marRight w:val="0"/>
      <w:marTop w:val="0"/>
      <w:marBottom w:val="0"/>
      <w:divBdr>
        <w:top w:val="none" w:sz="0" w:space="0" w:color="auto"/>
        <w:left w:val="none" w:sz="0" w:space="0" w:color="auto"/>
        <w:bottom w:val="none" w:sz="0" w:space="0" w:color="auto"/>
        <w:right w:val="none" w:sz="0" w:space="0" w:color="auto"/>
      </w:divBdr>
    </w:div>
    <w:div w:id="1887177351">
      <w:bodyDiv w:val="1"/>
      <w:marLeft w:val="0"/>
      <w:marRight w:val="0"/>
      <w:marTop w:val="0"/>
      <w:marBottom w:val="0"/>
      <w:divBdr>
        <w:top w:val="none" w:sz="0" w:space="0" w:color="auto"/>
        <w:left w:val="none" w:sz="0" w:space="0" w:color="auto"/>
        <w:bottom w:val="none" w:sz="0" w:space="0" w:color="auto"/>
        <w:right w:val="none" w:sz="0" w:space="0" w:color="auto"/>
      </w:divBdr>
    </w:div>
    <w:div w:id="1887328639">
      <w:bodyDiv w:val="1"/>
      <w:marLeft w:val="0"/>
      <w:marRight w:val="0"/>
      <w:marTop w:val="0"/>
      <w:marBottom w:val="0"/>
      <w:divBdr>
        <w:top w:val="none" w:sz="0" w:space="0" w:color="auto"/>
        <w:left w:val="none" w:sz="0" w:space="0" w:color="auto"/>
        <w:bottom w:val="none" w:sz="0" w:space="0" w:color="auto"/>
        <w:right w:val="none" w:sz="0" w:space="0" w:color="auto"/>
      </w:divBdr>
    </w:div>
    <w:div w:id="1887330163">
      <w:bodyDiv w:val="1"/>
      <w:marLeft w:val="0"/>
      <w:marRight w:val="0"/>
      <w:marTop w:val="0"/>
      <w:marBottom w:val="0"/>
      <w:divBdr>
        <w:top w:val="none" w:sz="0" w:space="0" w:color="auto"/>
        <w:left w:val="none" w:sz="0" w:space="0" w:color="auto"/>
        <w:bottom w:val="none" w:sz="0" w:space="0" w:color="auto"/>
        <w:right w:val="none" w:sz="0" w:space="0" w:color="auto"/>
      </w:divBdr>
    </w:div>
    <w:div w:id="1887403865">
      <w:bodyDiv w:val="1"/>
      <w:marLeft w:val="0"/>
      <w:marRight w:val="0"/>
      <w:marTop w:val="0"/>
      <w:marBottom w:val="0"/>
      <w:divBdr>
        <w:top w:val="none" w:sz="0" w:space="0" w:color="auto"/>
        <w:left w:val="none" w:sz="0" w:space="0" w:color="auto"/>
        <w:bottom w:val="none" w:sz="0" w:space="0" w:color="auto"/>
        <w:right w:val="none" w:sz="0" w:space="0" w:color="auto"/>
      </w:divBdr>
    </w:div>
    <w:div w:id="1887449365">
      <w:bodyDiv w:val="1"/>
      <w:marLeft w:val="0"/>
      <w:marRight w:val="0"/>
      <w:marTop w:val="0"/>
      <w:marBottom w:val="0"/>
      <w:divBdr>
        <w:top w:val="none" w:sz="0" w:space="0" w:color="auto"/>
        <w:left w:val="none" w:sz="0" w:space="0" w:color="auto"/>
        <w:bottom w:val="none" w:sz="0" w:space="0" w:color="auto"/>
        <w:right w:val="none" w:sz="0" w:space="0" w:color="auto"/>
      </w:divBdr>
    </w:div>
    <w:div w:id="1887717889">
      <w:bodyDiv w:val="1"/>
      <w:marLeft w:val="0"/>
      <w:marRight w:val="0"/>
      <w:marTop w:val="0"/>
      <w:marBottom w:val="0"/>
      <w:divBdr>
        <w:top w:val="none" w:sz="0" w:space="0" w:color="auto"/>
        <w:left w:val="none" w:sz="0" w:space="0" w:color="auto"/>
        <w:bottom w:val="none" w:sz="0" w:space="0" w:color="auto"/>
        <w:right w:val="none" w:sz="0" w:space="0" w:color="auto"/>
      </w:divBdr>
    </w:div>
    <w:div w:id="1887720555">
      <w:bodyDiv w:val="1"/>
      <w:marLeft w:val="0"/>
      <w:marRight w:val="0"/>
      <w:marTop w:val="0"/>
      <w:marBottom w:val="0"/>
      <w:divBdr>
        <w:top w:val="none" w:sz="0" w:space="0" w:color="auto"/>
        <w:left w:val="none" w:sz="0" w:space="0" w:color="auto"/>
        <w:bottom w:val="none" w:sz="0" w:space="0" w:color="auto"/>
        <w:right w:val="none" w:sz="0" w:space="0" w:color="auto"/>
      </w:divBdr>
    </w:div>
    <w:div w:id="1887839366">
      <w:bodyDiv w:val="1"/>
      <w:marLeft w:val="0"/>
      <w:marRight w:val="0"/>
      <w:marTop w:val="0"/>
      <w:marBottom w:val="0"/>
      <w:divBdr>
        <w:top w:val="none" w:sz="0" w:space="0" w:color="auto"/>
        <w:left w:val="none" w:sz="0" w:space="0" w:color="auto"/>
        <w:bottom w:val="none" w:sz="0" w:space="0" w:color="auto"/>
        <w:right w:val="none" w:sz="0" w:space="0" w:color="auto"/>
      </w:divBdr>
    </w:div>
    <w:div w:id="1887907335">
      <w:bodyDiv w:val="1"/>
      <w:marLeft w:val="0"/>
      <w:marRight w:val="0"/>
      <w:marTop w:val="0"/>
      <w:marBottom w:val="0"/>
      <w:divBdr>
        <w:top w:val="none" w:sz="0" w:space="0" w:color="auto"/>
        <w:left w:val="none" w:sz="0" w:space="0" w:color="auto"/>
        <w:bottom w:val="none" w:sz="0" w:space="0" w:color="auto"/>
        <w:right w:val="none" w:sz="0" w:space="0" w:color="auto"/>
      </w:divBdr>
    </w:div>
    <w:div w:id="1888099657">
      <w:bodyDiv w:val="1"/>
      <w:marLeft w:val="0"/>
      <w:marRight w:val="0"/>
      <w:marTop w:val="0"/>
      <w:marBottom w:val="0"/>
      <w:divBdr>
        <w:top w:val="none" w:sz="0" w:space="0" w:color="auto"/>
        <w:left w:val="none" w:sz="0" w:space="0" w:color="auto"/>
        <w:bottom w:val="none" w:sz="0" w:space="0" w:color="auto"/>
        <w:right w:val="none" w:sz="0" w:space="0" w:color="auto"/>
      </w:divBdr>
    </w:div>
    <w:div w:id="1888105444">
      <w:bodyDiv w:val="1"/>
      <w:marLeft w:val="0"/>
      <w:marRight w:val="0"/>
      <w:marTop w:val="0"/>
      <w:marBottom w:val="0"/>
      <w:divBdr>
        <w:top w:val="none" w:sz="0" w:space="0" w:color="auto"/>
        <w:left w:val="none" w:sz="0" w:space="0" w:color="auto"/>
        <w:bottom w:val="none" w:sz="0" w:space="0" w:color="auto"/>
        <w:right w:val="none" w:sz="0" w:space="0" w:color="auto"/>
      </w:divBdr>
    </w:div>
    <w:div w:id="1888107716">
      <w:bodyDiv w:val="1"/>
      <w:marLeft w:val="0"/>
      <w:marRight w:val="0"/>
      <w:marTop w:val="0"/>
      <w:marBottom w:val="0"/>
      <w:divBdr>
        <w:top w:val="none" w:sz="0" w:space="0" w:color="auto"/>
        <w:left w:val="none" w:sz="0" w:space="0" w:color="auto"/>
        <w:bottom w:val="none" w:sz="0" w:space="0" w:color="auto"/>
        <w:right w:val="none" w:sz="0" w:space="0" w:color="auto"/>
      </w:divBdr>
    </w:div>
    <w:div w:id="1888177726">
      <w:bodyDiv w:val="1"/>
      <w:marLeft w:val="0"/>
      <w:marRight w:val="0"/>
      <w:marTop w:val="0"/>
      <w:marBottom w:val="0"/>
      <w:divBdr>
        <w:top w:val="none" w:sz="0" w:space="0" w:color="auto"/>
        <w:left w:val="none" w:sz="0" w:space="0" w:color="auto"/>
        <w:bottom w:val="none" w:sz="0" w:space="0" w:color="auto"/>
        <w:right w:val="none" w:sz="0" w:space="0" w:color="auto"/>
      </w:divBdr>
    </w:div>
    <w:div w:id="1888226640">
      <w:bodyDiv w:val="1"/>
      <w:marLeft w:val="0"/>
      <w:marRight w:val="0"/>
      <w:marTop w:val="0"/>
      <w:marBottom w:val="0"/>
      <w:divBdr>
        <w:top w:val="none" w:sz="0" w:space="0" w:color="auto"/>
        <w:left w:val="none" w:sz="0" w:space="0" w:color="auto"/>
        <w:bottom w:val="none" w:sz="0" w:space="0" w:color="auto"/>
        <w:right w:val="none" w:sz="0" w:space="0" w:color="auto"/>
      </w:divBdr>
    </w:div>
    <w:div w:id="1888372169">
      <w:bodyDiv w:val="1"/>
      <w:marLeft w:val="0"/>
      <w:marRight w:val="0"/>
      <w:marTop w:val="0"/>
      <w:marBottom w:val="0"/>
      <w:divBdr>
        <w:top w:val="none" w:sz="0" w:space="0" w:color="auto"/>
        <w:left w:val="none" w:sz="0" w:space="0" w:color="auto"/>
        <w:bottom w:val="none" w:sz="0" w:space="0" w:color="auto"/>
        <w:right w:val="none" w:sz="0" w:space="0" w:color="auto"/>
      </w:divBdr>
    </w:div>
    <w:div w:id="1888568560">
      <w:bodyDiv w:val="1"/>
      <w:marLeft w:val="0"/>
      <w:marRight w:val="0"/>
      <w:marTop w:val="0"/>
      <w:marBottom w:val="0"/>
      <w:divBdr>
        <w:top w:val="none" w:sz="0" w:space="0" w:color="auto"/>
        <w:left w:val="none" w:sz="0" w:space="0" w:color="auto"/>
        <w:bottom w:val="none" w:sz="0" w:space="0" w:color="auto"/>
        <w:right w:val="none" w:sz="0" w:space="0" w:color="auto"/>
      </w:divBdr>
    </w:div>
    <w:div w:id="1888837772">
      <w:bodyDiv w:val="1"/>
      <w:marLeft w:val="0"/>
      <w:marRight w:val="0"/>
      <w:marTop w:val="0"/>
      <w:marBottom w:val="0"/>
      <w:divBdr>
        <w:top w:val="none" w:sz="0" w:space="0" w:color="auto"/>
        <w:left w:val="none" w:sz="0" w:space="0" w:color="auto"/>
        <w:bottom w:val="none" w:sz="0" w:space="0" w:color="auto"/>
        <w:right w:val="none" w:sz="0" w:space="0" w:color="auto"/>
      </w:divBdr>
    </w:div>
    <w:div w:id="1889030114">
      <w:bodyDiv w:val="1"/>
      <w:marLeft w:val="0"/>
      <w:marRight w:val="0"/>
      <w:marTop w:val="0"/>
      <w:marBottom w:val="0"/>
      <w:divBdr>
        <w:top w:val="none" w:sz="0" w:space="0" w:color="auto"/>
        <w:left w:val="none" w:sz="0" w:space="0" w:color="auto"/>
        <w:bottom w:val="none" w:sz="0" w:space="0" w:color="auto"/>
        <w:right w:val="none" w:sz="0" w:space="0" w:color="auto"/>
      </w:divBdr>
    </w:div>
    <w:div w:id="1889222107">
      <w:bodyDiv w:val="1"/>
      <w:marLeft w:val="0"/>
      <w:marRight w:val="0"/>
      <w:marTop w:val="0"/>
      <w:marBottom w:val="0"/>
      <w:divBdr>
        <w:top w:val="none" w:sz="0" w:space="0" w:color="auto"/>
        <w:left w:val="none" w:sz="0" w:space="0" w:color="auto"/>
        <w:bottom w:val="none" w:sz="0" w:space="0" w:color="auto"/>
        <w:right w:val="none" w:sz="0" w:space="0" w:color="auto"/>
      </w:divBdr>
    </w:div>
    <w:div w:id="1889418279">
      <w:bodyDiv w:val="1"/>
      <w:marLeft w:val="0"/>
      <w:marRight w:val="0"/>
      <w:marTop w:val="0"/>
      <w:marBottom w:val="0"/>
      <w:divBdr>
        <w:top w:val="none" w:sz="0" w:space="0" w:color="auto"/>
        <w:left w:val="none" w:sz="0" w:space="0" w:color="auto"/>
        <w:bottom w:val="none" w:sz="0" w:space="0" w:color="auto"/>
        <w:right w:val="none" w:sz="0" w:space="0" w:color="auto"/>
      </w:divBdr>
    </w:div>
    <w:div w:id="1889684270">
      <w:bodyDiv w:val="1"/>
      <w:marLeft w:val="0"/>
      <w:marRight w:val="0"/>
      <w:marTop w:val="0"/>
      <w:marBottom w:val="0"/>
      <w:divBdr>
        <w:top w:val="none" w:sz="0" w:space="0" w:color="auto"/>
        <w:left w:val="none" w:sz="0" w:space="0" w:color="auto"/>
        <w:bottom w:val="none" w:sz="0" w:space="0" w:color="auto"/>
        <w:right w:val="none" w:sz="0" w:space="0" w:color="auto"/>
      </w:divBdr>
    </w:div>
    <w:div w:id="1889802583">
      <w:bodyDiv w:val="1"/>
      <w:marLeft w:val="0"/>
      <w:marRight w:val="0"/>
      <w:marTop w:val="0"/>
      <w:marBottom w:val="0"/>
      <w:divBdr>
        <w:top w:val="none" w:sz="0" w:space="0" w:color="auto"/>
        <w:left w:val="none" w:sz="0" w:space="0" w:color="auto"/>
        <w:bottom w:val="none" w:sz="0" w:space="0" w:color="auto"/>
        <w:right w:val="none" w:sz="0" w:space="0" w:color="auto"/>
      </w:divBdr>
    </w:div>
    <w:div w:id="1889947734">
      <w:bodyDiv w:val="1"/>
      <w:marLeft w:val="0"/>
      <w:marRight w:val="0"/>
      <w:marTop w:val="0"/>
      <w:marBottom w:val="0"/>
      <w:divBdr>
        <w:top w:val="none" w:sz="0" w:space="0" w:color="auto"/>
        <w:left w:val="none" w:sz="0" w:space="0" w:color="auto"/>
        <w:bottom w:val="none" w:sz="0" w:space="0" w:color="auto"/>
        <w:right w:val="none" w:sz="0" w:space="0" w:color="auto"/>
      </w:divBdr>
    </w:div>
    <w:div w:id="1890022713">
      <w:bodyDiv w:val="1"/>
      <w:marLeft w:val="0"/>
      <w:marRight w:val="0"/>
      <w:marTop w:val="0"/>
      <w:marBottom w:val="0"/>
      <w:divBdr>
        <w:top w:val="none" w:sz="0" w:space="0" w:color="auto"/>
        <w:left w:val="none" w:sz="0" w:space="0" w:color="auto"/>
        <w:bottom w:val="none" w:sz="0" w:space="0" w:color="auto"/>
        <w:right w:val="none" w:sz="0" w:space="0" w:color="auto"/>
      </w:divBdr>
    </w:div>
    <w:div w:id="1890024901">
      <w:bodyDiv w:val="1"/>
      <w:marLeft w:val="0"/>
      <w:marRight w:val="0"/>
      <w:marTop w:val="0"/>
      <w:marBottom w:val="0"/>
      <w:divBdr>
        <w:top w:val="none" w:sz="0" w:space="0" w:color="auto"/>
        <w:left w:val="none" w:sz="0" w:space="0" w:color="auto"/>
        <w:bottom w:val="none" w:sz="0" w:space="0" w:color="auto"/>
        <w:right w:val="none" w:sz="0" w:space="0" w:color="auto"/>
      </w:divBdr>
    </w:div>
    <w:div w:id="1890190444">
      <w:bodyDiv w:val="1"/>
      <w:marLeft w:val="0"/>
      <w:marRight w:val="0"/>
      <w:marTop w:val="0"/>
      <w:marBottom w:val="0"/>
      <w:divBdr>
        <w:top w:val="none" w:sz="0" w:space="0" w:color="auto"/>
        <w:left w:val="none" w:sz="0" w:space="0" w:color="auto"/>
        <w:bottom w:val="none" w:sz="0" w:space="0" w:color="auto"/>
        <w:right w:val="none" w:sz="0" w:space="0" w:color="auto"/>
      </w:divBdr>
    </w:div>
    <w:div w:id="1890258858">
      <w:bodyDiv w:val="1"/>
      <w:marLeft w:val="0"/>
      <w:marRight w:val="0"/>
      <w:marTop w:val="0"/>
      <w:marBottom w:val="0"/>
      <w:divBdr>
        <w:top w:val="none" w:sz="0" w:space="0" w:color="auto"/>
        <w:left w:val="none" w:sz="0" w:space="0" w:color="auto"/>
        <w:bottom w:val="none" w:sz="0" w:space="0" w:color="auto"/>
        <w:right w:val="none" w:sz="0" w:space="0" w:color="auto"/>
      </w:divBdr>
    </w:div>
    <w:div w:id="1890262272">
      <w:bodyDiv w:val="1"/>
      <w:marLeft w:val="0"/>
      <w:marRight w:val="0"/>
      <w:marTop w:val="0"/>
      <w:marBottom w:val="0"/>
      <w:divBdr>
        <w:top w:val="none" w:sz="0" w:space="0" w:color="auto"/>
        <w:left w:val="none" w:sz="0" w:space="0" w:color="auto"/>
        <w:bottom w:val="none" w:sz="0" w:space="0" w:color="auto"/>
        <w:right w:val="none" w:sz="0" w:space="0" w:color="auto"/>
      </w:divBdr>
    </w:div>
    <w:div w:id="1890341753">
      <w:bodyDiv w:val="1"/>
      <w:marLeft w:val="0"/>
      <w:marRight w:val="0"/>
      <w:marTop w:val="0"/>
      <w:marBottom w:val="0"/>
      <w:divBdr>
        <w:top w:val="none" w:sz="0" w:space="0" w:color="auto"/>
        <w:left w:val="none" w:sz="0" w:space="0" w:color="auto"/>
        <w:bottom w:val="none" w:sz="0" w:space="0" w:color="auto"/>
        <w:right w:val="none" w:sz="0" w:space="0" w:color="auto"/>
      </w:divBdr>
    </w:div>
    <w:div w:id="1890531590">
      <w:bodyDiv w:val="1"/>
      <w:marLeft w:val="0"/>
      <w:marRight w:val="0"/>
      <w:marTop w:val="0"/>
      <w:marBottom w:val="0"/>
      <w:divBdr>
        <w:top w:val="none" w:sz="0" w:space="0" w:color="auto"/>
        <w:left w:val="none" w:sz="0" w:space="0" w:color="auto"/>
        <w:bottom w:val="none" w:sz="0" w:space="0" w:color="auto"/>
        <w:right w:val="none" w:sz="0" w:space="0" w:color="auto"/>
      </w:divBdr>
    </w:div>
    <w:div w:id="1890534645">
      <w:bodyDiv w:val="1"/>
      <w:marLeft w:val="0"/>
      <w:marRight w:val="0"/>
      <w:marTop w:val="0"/>
      <w:marBottom w:val="0"/>
      <w:divBdr>
        <w:top w:val="none" w:sz="0" w:space="0" w:color="auto"/>
        <w:left w:val="none" w:sz="0" w:space="0" w:color="auto"/>
        <w:bottom w:val="none" w:sz="0" w:space="0" w:color="auto"/>
        <w:right w:val="none" w:sz="0" w:space="0" w:color="auto"/>
      </w:divBdr>
    </w:div>
    <w:div w:id="1890650481">
      <w:bodyDiv w:val="1"/>
      <w:marLeft w:val="0"/>
      <w:marRight w:val="0"/>
      <w:marTop w:val="0"/>
      <w:marBottom w:val="0"/>
      <w:divBdr>
        <w:top w:val="none" w:sz="0" w:space="0" w:color="auto"/>
        <w:left w:val="none" w:sz="0" w:space="0" w:color="auto"/>
        <w:bottom w:val="none" w:sz="0" w:space="0" w:color="auto"/>
        <w:right w:val="none" w:sz="0" w:space="0" w:color="auto"/>
      </w:divBdr>
    </w:div>
    <w:div w:id="1890677832">
      <w:bodyDiv w:val="1"/>
      <w:marLeft w:val="0"/>
      <w:marRight w:val="0"/>
      <w:marTop w:val="0"/>
      <w:marBottom w:val="0"/>
      <w:divBdr>
        <w:top w:val="none" w:sz="0" w:space="0" w:color="auto"/>
        <w:left w:val="none" w:sz="0" w:space="0" w:color="auto"/>
        <w:bottom w:val="none" w:sz="0" w:space="0" w:color="auto"/>
        <w:right w:val="none" w:sz="0" w:space="0" w:color="auto"/>
      </w:divBdr>
    </w:div>
    <w:div w:id="1890872460">
      <w:bodyDiv w:val="1"/>
      <w:marLeft w:val="0"/>
      <w:marRight w:val="0"/>
      <w:marTop w:val="0"/>
      <w:marBottom w:val="0"/>
      <w:divBdr>
        <w:top w:val="none" w:sz="0" w:space="0" w:color="auto"/>
        <w:left w:val="none" w:sz="0" w:space="0" w:color="auto"/>
        <w:bottom w:val="none" w:sz="0" w:space="0" w:color="auto"/>
        <w:right w:val="none" w:sz="0" w:space="0" w:color="auto"/>
      </w:divBdr>
    </w:div>
    <w:div w:id="1891113257">
      <w:bodyDiv w:val="1"/>
      <w:marLeft w:val="0"/>
      <w:marRight w:val="0"/>
      <w:marTop w:val="0"/>
      <w:marBottom w:val="0"/>
      <w:divBdr>
        <w:top w:val="none" w:sz="0" w:space="0" w:color="auto"/>
        <w:left w:val="none" w:sz="0" w:space="0" w:color="auto"/>
        <w:bottom w:val="none" w:sz="0" w:space="0" w:color="auto"/>
        <w:right w:val="none" w:sz="0" w:space="0" w:color="auto"/>
      </w:divBdr>
    </w:div>
    <w:div w:id="1891577555">
      <w:bodyDiv w:val="1"/>
      <w:marLeft w:val="0"/>
      <w:marRight w:val="0"/>
      <w:marTop w:val="0"/>
      <w:marBottom w:val="0"/>
      <w:divBdr>
        <w:top w:val="none" w:sz="0" w:space="0" w:color="auto"/>
        <w:left w:val="none" w:sz="0" w:space="0" w:color="auto"/>
        <w:bottom w:val="none" w:sz="0" w:space="0" w:color="auto"/>
        <w:right w:val="none" w:sz="0" w:space="0" w:color="auto"/>
      </w:divBdr>
    </w:div>
    <w:div w:id="1891647988">
      <w:bodyDiv w:val="1"/>
      <w:marLeft w:val="0"/>
      <w:marRight w:val="0"/>
      <w:marTop w:val="0"/>
      <w:marBottom w:val="0"/>
      <w:divBdr>
        <w:top w:val="none" w:sz="0" w:space="0" w:color="auto"/>
        <w:left w:val="none" w:sz="0" w:space="0" w:color="auto"/>
        <w:bottom w:val="none" w:sz="0" w:space="0" w:color="auto"/>
        <w:right w:val="none" w:sz="0" w:space="0" w:color="auto"/>
      </w:divBdr>
    </w:div>
    <w:div w:id="1891771192">
      <w:bodyDiv w:val="1"/>
      <w:marLeft w:val="0"/>
      <w:marRight w:val="0"/>
      <w:marTop w:val="0"/>
      <w:marBottom w:val="0"/>
      <w:divBdr>
        <w:top w:val="none" w:sz="0" w:space="0" w:color="auto"/>
        <w:left w:val="none" w:sz="0" w:space="0" w:color="auto"/>
        <w:bottom w:val="none" w:sz="0" w:space="0" w:color="auto"/>
        <w:right w:val="none" w:sz="0" w:space="0" w:color="auto"/>
      </w:divBdr>
    </w:div>
    <w:div w:id="1891916064">
      <w:bodyDiv w:val="1"/>
      <w:marLeft w:val="0"/>
      <w:marRight w:val="0"/>
      <w:marTop w:val="0"/>
      <w:marBottom w:val="0"/>
      <w:divBdr>
        <w:top w:val="none" w:sz="0" w:space="0" w:color="auto"/>
        <w:left w:val="none" w:sz="0" w:space="0" w:color="auto"/>
        <w:bottom w:val="none" w:sz="0" w:space="0" w:color="auto"/>
        <w:right w:val="none" w:sz="0" w:space="0" w:color="auto"/>
      </w:divBdr>
    </w:div>
    <w:div w:id="1891959455">
      <w:bodyDiv w:val="1"/>
      <w:marLeft w:val="0"/>
      <w:marRight w:val="0"/>
      <w:marTop w:val="0"/>
      <w:marBottom w:val="0"/>
      <w:divBdr>
        <w:top w:val="none" w:sz="0" w:space="0" w:color="auto"/>
        <w:left w:val="none" w:sz="0" w:space="0" w:color="auto"/>
        <w:bottom w:val="none" w:sz="0" w:space="0" w:color="auto"/>
        <w:right w:val="none" w:sz="0" w:space="0" w:color="auto"/>
      </w:divBdr>
    </w:div>
    <w:div w:id="1892110647">
      <w:bodyDiv w:val="1"/>
      <w:marLeft w:val="0"/>
      <w:marRight w:val="0"/>
      <w:marTop w:val="0"/>
      <w:marBottom w:val="0"/>
      <w:divBdr>
        <w:top w:val="none" w:sz="0" w:space="0" w:color="auto"/>
        <w:left w:val="none" w:sz="0" w:space="0" w:color="auto"/>
        <w:bottom w:val="none" w:sz="0" w:space="0" w:color="auto"/>
        <w:right w:val="none" w:sz="0" w:space="0" w:color="auto"/>
      </w:divBdr>
    </w:div>
    <w:div w:id="1892225388">
      <w:bodyDiv w:val="1"/>
      <w:marLeft w:val="0"/>
      <w:marRight w:val="0"/>
      <w:marTop w:val="0"/>
      <w:marBottom w:val="0"/>
      <w:divBdr>
        <w:top w:val="none" w:sz="0" w:space="0" w:color="auto"/>
        <w:left w:val="none" w:sz="0" w:space="0" w:color="auto"/>
        <w:bottom w:val="none" w:sz="0" w:space="0" w:color="auto"/>
        <w:right w:val="none" w:sz="0" w:space="0" w:color="auto"/>
      </w:divBdr>
    </w:div>
    <w:div w:id="1892380664">
      <w:bodyDiv w:val="1"/>
      <w:marLeft w:val="0"/>
      <w:marRight w:val="0"/>
      <w:marTop w:val="0"/>
      <w:marBottom w:val="0"/>
      <w:divBdr>
        <w:top w:val="none" w:sz="0" w:space="0" w:color="auto"/>
        <w:left w:val="none" w:sz="0" w:space="0" w:color="auto"/>
        <w:bottom w:val="none" w:sz="0" w:space="0" w:color="auto"/>
        <w:right w:val="none" w:sz="0" w:space="0" w:color="auto"/>
      </w:divBdr>
    </w:div>
    <w:div w:id="1892420889">
      <w:bodyDiv w:val="1"/>
      <w:marLeft w:val="0"/>
      <w:marRight w:val="0"/>
      <w:marTop w:val="0"/>
      <w:marBottom w:val="0"/>
      <w:divBdr>
        <w:top w:val="none" w:sz="0" w:space="0" w:color="auto"/>
        <w:left w:val="none" w:sz="0" w:space="0" w:color="auto"/>
        <w:bottom w:val="none" w:sz="0" w:space="0" w:color="auto"/>
        <w:right w:val="none" w:sz="0" w:space="0" w:color="auto"/>
      </w:divBdr>
    </w:div>
    <w:div w:id="1892422423">
      <w:bodyDiv w:val="1"/>
      <w:marLeft w:val="0"/>
      <w:marRight w:val="0"/>
      <w:marTop w:val="0"/>
      <w:marBottom w:val="0"/>
      <w:divBdr>
        <w:top w:val="none" w:sz="0" w:space="0" w:color="auto"/>
        <w:left w:val="none" w:sz="0" w:space="0" w:color="auto"/>
        <w:bottom w:val="none" w:sz="0" w:space="0" w:color="auto"/>
        <w:right w:val="none" w:sz="0" w:space="0" w:color="auto"/>
      </w:divBdr>
    </w:div>
    <w:div w:id="1892841791">
      <w:bodyDiv w:val="1"/>
      <w:marLeft w:val="0"/>
      <w:marRight w:val="0"/>
      <w:marTop w:val="0"/>
      <w:marBottom w:val="0"/>
      <w:divBdr>
        <w:top w:val="none" w:sz="0" w:space="0" w:color="auto"/>
        <w:left w:val="none" w:sz="0" w:space="0" w:color="auto"/>
        <w:bottom w:val="none" w:sz="0" w:space="0" w:color="auto"/>
        <w:right w:val="none" w:sz="0" w:space="0" w:color="auto"/>
      </w:divBdr>
    </w:div>
    <w:div w:id="1893081602">
      <w:bodyDiv w:val="1"/>
      <w:marLeft w:val="0"/>
      <w:marRight w:val="0"/>
      <w:marTop w:val="0"/>
      <w:marBottom w:val="0"/>
      <w:divBdr>
        <w:top w:val="none" w:sz="0" w:space="0" w:color="auto"/>
        <w:left w:val="none" w:sz="0" w:space="0" w:color="auto"/>
        <w:bottom w:val="none" w:sz="0" w:space="0" w:color="auto"/>
        <w:right w:val="none" w:sz="0" w:space="0" w:color="auto"/>
      </w:divBdr>
    </w:div>
    <w:div w:id="1893534575">
      <w:bodyDiv w:val="1"/>
      <w:marLeft w:val="0"/>
      <w:marRight w:val="0"/>
      <w:marTop w:val="0"/>
      <w:marBottom w:val="0"/>
      <w:divBdr>
        <w:top w:val="none" w:sz="0" w:space="0" w:color="auto"/>
        <w:left w:val="none" w:sz="0" w:space="0" w:color="auto"/>
        <w:bottom w:val="none" w:sz="0" w:space="0" w:color="auto"/>
        <w:right w:val="none" w:sz="0" w:space="0" w:color="auto"/>
      </w:divBdr>
    </w:div>
    <w:div w:id="1893614742">
      <w:bodyDiv w:val="1"/>
      <w:marLeft w:val="0"/>
      <w:marRight w:val="0"/>
      <w:marTop w:val="0"/>
      <w:marBottom w:val="0"/>
      <w:divBdr>
        <w:top w:val="none" w:sz="0" w:space="0" w:color="auto"/>
        <w:left w:val="none" w:sz="0" w:space="0" w:color="auto"/>
        <w:bottom w:val="none" w:sz="0" w:space="0" w:color="auto"/>
        <w:right w:val="none" w:sz="0" w:space="0" w:color="auto"/>
      </w:divBdr>
    </w:div>
    <w:div w:id="1893685611">
      <w:bodyDiv w:val="1"/>
      <w:marLeft w:val="0"/>
      <w:marRight w:val="0"/>
      <w:marTop w:val="0"/>
      <w:marBottom w:val="0"/>
      <w:divBdr>
        <w:top w:val="none" w:sz="0" w:space="0" w:color="auto"/>
        <w:left w:val="none" w:sz="0" w:space="0" w:color="auto"/>
        <w:bottom w:val="none" w:sz="0" w:space="0" w:color="auto"/>
        <w:right w:val="none" w:sz="0" w:space="0" w:color="auto"/>
      </w:divBdr>
    </w:div>
    <w:div w:id="1893884734">
      <w:bodyDiv w:val="1"/>
      <w:marLeft w:val="0"/>
      <w:marRight w:val="0"/>
      <w:marTop w:val="0"/>
      <w:marBottom w:val="0"/>
      <w:divBdr>
        <w:top w:val="none" w:sz="0" w:space="0" w:color="auto"/>
        <w:left w:val="none" w:sz="0" w:space="0" w:color="auto"/>
        <w:bottom w:val="none" w:sz="0" w:space="0" w:color="auto"/>
        <w:right w:val="none" w:sz="0" w:space="0" w:color="auto"/>
      </w:divBdr>
    </w:div>
    <w:div w:id="1893999262">
      <w:bodyDiv w:val="1"/>
      <w:marLeft w:val="0"/>
      <w:marRight w:val="0"/>
      <w:marTop w:val="0"/>
      <w:marBottom w:val="0"/>
      <w:divBdr>
        <w:top w:val="none" w:sz="0" w:space="0" w:color="auto"/>
        <w:left w:val="none" w:sz="0" w:space="0" w:color="auto"/>
        <w:bottom w:val="none" w:sz="0" w:space="0" w:color="auto"/>
        <w:right w:val="none" w:sz="0" w:space="0" w:color="auto"/>
      </w:divBdr>
    </w:div>
    <w:div w:id="1894006025">
      <w:bodyDiv w:val="1"/>
      <w:marLeft w:val="0"/>
      <w:marRight w:val="0"/>
      <w:marTop w:val="0"/>
      <w:marBottom w:val="0"/>
      <w:divBdr>
        <w:top w:val="none" w:sz="0" w:space="0" w:color="auto"/>
        <w:left w:val="none" w:sz="0" w:space="0" w:color="auto"/>
        <w:bottom w:val="none" w:sz="0" w:space="0" w:color="auto"/>
        <w:right w:val="none" w:sz="0" w:space="0" w:color="auto"/>
      </w:divBdr>
    </w:div>
    <w:div w:id="1894073824">
      <w:bodyDiv w:val="1"/>
      <w:marLeft w:val="0"/>
      <w:marRight w:val="0"/>
      <w:marTop w:val="0"/>
      <w:marBottom w:val="0"/>
      <w:divBdr>
        <w:top w:val="none" w:sz="0" w:space="0" w:color="auto"/>
        <w:left w:val="none" w:sz="0" w:space="0" w:color="auto"/>
        <w:bottom w:val="none" w:sz="0" w:space="0" w:color="auto"/>
        <w:right w:val="none" w:sz="0" w:space="0" w:color="auto"/>
      </w:divBdr>
    </w:div>
    <w:div w:id="1894274057">
      <w:bodyDiv w:val="1"/>
      <w:marLeft w:val="0"/>
      <w:marRight w:val="0"/>
      <w:marTop w:val="0"/>
      <w:marBottom w:val="0"/>
      <w:divBdr>
        <w:top w:val="none" w:sz="0" w:space="0" w:color="auto"/>
        <w:left w:val="none" w:sz="0" w:space="0" w:color="auto"/>
        <w:bottom w:val="none" w:sz="0" w:space="0" w:color="auto"/>
        <w:right w:val="none" w:sz="0" w:space="0" w:color="auto"/>
      </w:divBdr>
    </w:div>
    <w:div w:id="1894343281">
      <w:bodyDiv w:val="1"/>
      <w:marLeft w:val="0"/>
      <w:marRight w:val="0"/>
      <w:marTop w:val="0"/>
      <w:marBottom w:val="0"/>
      <w:divBdr>
        <w:top w:val="none" w:sz="0" w:space="0" w:color="auto"/>
        <w:left w:val="none" w:sz="0" w:space="0" w:color="auto"/>
        <w:bottom w:val="none" w:sz="0" w:space="0" w:color="auto"/>
        <w:right w:val="none" w:sz="0" w:space="0" w:color="auto"/>
      </w:divBdr>
    </w:div>
    <w:div w:id="1894854820">
      <w:bodyDiv w:val="1"/>
      <w:marLeft w:val="0"/>
      <w:marRight w:val="0"/>
      <w:marTop w:val="0"/>
      <w:marBottom w:val="0"/>
      <w:divBdr>
        <w:top w:val="none" w:sz="0" w:space="0" w:color="auto"/>
        <w:left w:val="none" w:sz="0" w:space="0" w:color="auto"/>
        <w:bottom w:val="none" w:sz="0" w:space="0" w:color="auto"/>
        <w:right w:val="none" w:sz="0" w:space="0" w:color="auto"/>
      </w:divBdr>
    </w:div>
    <w:div w:id="1895071469">
      <w:bodyDiv w:val="1"/>
      <w:marLeft w:val="0"/>
      <w:marRight w:val="0"/>
      <w:marTop w:val="0"/>
      <w:marBottom w:val="0"/>
      <w:divBdr>
        <w:top w:val="none" w:sz="0" w:space="0" w:color="auto"/>
        <w:left w:val="none" w:sz="0" w:space="0" w:color="auto"/>
        <w:bottom w:val="none" w:sz="0" w:space="0" w:color="auto"/>
        <w:right w:val="none" w:sz="0" w:space="0" w:color="auto"/>
      </w:divBdr>
    </w:div>
    <w:div w:id="1895196897">
      <w:bodyDiv w:val="1"/>
      <w:marLeft w:val="0"/>
      <w:marRight w:val="0"/>
      <w:marTop w:val="0"/>
      <w:marBottom w:val="0"/>
      <w:divBdr>
        <w:top w:val="none" w:sz="0" w:space="0" w:color="auto"/>
        <w:left w:val="none" w:sz="0" w:space="0" w:color="auto"/>
        <w:bottom w:val="none" w:sz="0" w:space="0" w:color="auto"/>
        <w:right w:val="none" w:sz="0" w:space="0" w:color="auto"/>
      </w:divBdr>
    </w:div>
    <w:div w:id="1895265268">
      <w:bodyDiv w:val="1"/>
      <w:marLeft w:val="0"/>
      <w:marRight w:val="0"/>
      <w:marTop w:val="0"/>
      <w:marBottom w:val="0"/>
      <w:divBdr>
        <w:top w:val="none" w:sz="0" w:space="0" w:color="auto"/>
        <w:left w:val="none" w:sz="0" w:space="0" w:color="auto"/>
        <w:bottom w:val="none" w:sz="0" w:space="0" w:color="auto"/>
        <w:right w:val="none" w:sz="0" w:space="0" w:color="auto"/>
      </w:divBdr>
    </w:div>
    <w:div w:id="1895774509">
      <w:bodyDiv w:val="1"/>
      <w:marLeft w:val="0"/>
      <w:marRight w:val="0"/>
      <w:marTop w:val="0"/>
      <w:marBottom w:val="0"/>
      <w:divBdr>
        <w:top w:val="none" w:sz="0" w:space="0" w:color="auto"/>
        <w:left w:val="none" w:sz="0" w:space="0" w:color="auto"/>
        <w:bottom w:val="none" w:sz="0" w:space="0" w:color="auto"/>
        <w:right w:val="none" w:sz="0" w:space="0" w:color="auto"/>
      </w:divBdr>
    </w:div>
    <w:div w:id="1895846949">
      <w:bodyDiv w:val="1"/>
      <w:marLeft w:val="0"/>
      <w:marRight w:val="0"/>
      <w:marTop w:val="0"/>
      <w:marBottom w:val="0"/>
      <w:divBdr>
        <w:top w:val="none" w:sz="0" w:space="0" w:color="auto"/>
        <w:left w:val="none" w:sz="0" w:space="0" w:color="auto"/>
        <w:bottom w:val="none" w:sz="0" w:space="0" w:color="auto"/>
        <w:right w:val="none" w:sz="0" w:space="0" w:color="auto"/>
      </w:divBdr>
    </w:div>
    <w:div w:id="1896157033">
      <w:bodyDiv w:val="1"/>
      <w:marLeft w:val="0"/>
      <w:marRight w:val="0"/>
      <w:marTop w:val="0"/>
      <w:marBottom w:val="0"/>
      <w:divBdr>
        <w:top w:val="none" w:sz="0" w:space="0" w:color="auto"/>
        <w:left w:val="none" w:sz="0" w:space="0" w:color="auto"/>
        <w:bottom w:val="none" w:sz="0" w:space="0" w:color="auto"/>
        <w:right w:val="none" w:sz="0" w:space="0" w:color="auto"/>
      </w:divBdr>
    </w:div>
    <w:div w:id="1896425283">
      <w:bodyDiv w:val="1"/>
      <w:marLeft w:val="0"/>
      <w:marRight w:val="0"/>
      <w:marTop w:val="0"/>
      <w:marBottom w:val="0"/>
      <w:divBdr>
        <w:top w:val="none" w:sz="0" w:space="0" w:color="auto"/>
        <w:left w:val="none" w:sz="0" w:space="0" w:color="auto"/>
        <w:bottom w:val="none" w:sz="0" w:space="0" w:color="auto"/>
        <w:right w:val="none" w:sz="0" w:space="0" w:color="auto"/>
      </w:divBdr>
    </w:div>
    <w:div w:id="1896549810">
      <w:bodyDiv w:val="1"/>
      <w:marLeft w:val="0"/>
      <w:marRight w:val="0"/>
      <w:marTop w:val="0"/>
      <w:marBottom w:val="0"/>
      <w:divBdr>
        <w:top w:val="none" w:sz="0" w:space="0" w:color="auto"/>
        <w:left w:val="none" w:sz="0" w:space="0" w:color="auto"/>
        <w:bottom w:val="none" w:sz="0" w:space="0" w:color="auto"/>
        <w:right w:val="none" w:sz="0" w:space="0" w:color="auto"/>
      </w:divBdr>
    </w:div>
    <w:div w:id="1896620923">
      <w:bodyDiv w:val="1"/>
      <w:marLeft w:val="0"/>
      <w:marRight w:val="0"/>
      <w:marTop w:val="0"/>
      <w:marBottom w:val="0"/>
      <w:divBdr>
        <w:top w:val="none" w:sz="0" w:space="0" w:color="auto"/>
        <w:left w:val="none" w:sz="0" w:space="0" w:color="auto"/>
        <w:bottom w:val="none" w:sz="0" w:space="0" w:color="auto"/>
        <w:right w:val="none" w:sz="0" w:space="0" w:color="auto"/>
      </w:divBdr>
    </w:div>
    <w:div w:id="1896694470">
      <w:bodyDiv w:val="1"/>
      <w:marLeft w:val="0"/>
      <w:marRight w:val="0"/>
      <w:marTop w:val="0"/>
      <w:marBottom w:val="0"/>
      <w:divBdr>
        <w:top w:val="none" w:sz="0" w:space="0" w:color="auto"/>
        <w:left w:val="none" w:sz="0" w:space="0" w:color="auto"/>
        <w:bottom w:val="none" w:sz="0" w:space="0" w:color="auto"/>
        <w:right w:val="none" w:sz="0" w:space="0" w:color="auto"/>
      </w:divBdr>
    </w:div>
    <w:div w:id="1896698611">
      <w:bodyDiv w:val="1"/>
      <w:marLeft w:val="0"/>
      <w:marRight w:val="0"/>
      <w:marTop w:val="0"/>
      <w:marBottom w:val="0"/>
      <w:divBdr>
        <w:top w:val="none" w:sz="0" w:space="0" w:color="auto"/>
        <w:left w:val="none" w:sz="0" w:space="0" w:color="auto"/>
        <w:bottom w:val="none" w:sz="0" w:space="0" w:color="auto"/>
        <w:right w:val="none" w:sz="0" w:space="0" w:color="auto"/>
      </w:divBdr>
      <w:divsChild>
        <w:div w:id="114301808">
          <w:marLeft w:val="0"/>
          <w:marRight w:val="0"/>
          <w:marTop w:val="0"/>
          <w:marBottom w:val="0"/>
          <w:divBdr>
            <w:top w:val="none" w:sz="0" w:space="0" w:color="auto"/>
            <w:left w:val="none" w:sz="0" w:space="0" w:color="auto"/>
            <w:bottom w:val="none" w:sz="0" w:space="0" w:color="auto"/>
            <w:right w:val="none" w:sz="0" w:space="0" w:color="auto"/>
          </w:divBdr>
          <w:divsChild>
            <w:div w:id="2076392305">
              <w:marLeft w:val="0"/>
              <w:marRight w:val="0"/>
              <w:marTop w:val="0"/>
              <w:marBottom w:val="0"/>
              <w:divBdr>
                <w:top w:val="none" w:sz="0" w:space="0" w:color="auto"/>
                <w:left w:val="none" w:sz="0" w:space="0" w:color="auto"/>
                <w:bottom w:val="none" w:sz="0" w:space="0" w:color="auto"/>
                <w:right w:val="none" w:sz="0" w:space="0" w:color="auto"/>
              </w:divBdr>
            </w:div>
          </w:divsChild>
        </w:div>
        <w:div w:id="138770169">
          <w:marLeft w:val="0"/>
          <w:marRight w:val="0"/>
          <w:marTop w:val="0"/>
          <w:marBottom w:val="0"/>
          <w:divBdr>
            <w:top w:val="none" w:sz="0" w:space="0" w:color="auto"/>
            <w:left w:val="none" w:sz="0" w:space="0" w:color="auto"/>
            <w:bottom w:val="none" w:sz="0" w:space="0" w:color="auto"/>
            <w:right w:val="none" w:sz="0" w:space="0" w:color="auto"/>
          </w:divBdr>
          <w:divsChild>
            <w:div w:id="1530483428">
              <w:marLeft w:val="0"/>
              <w:marRight w:val="0"/>
              <w:marTop w:val="0"/>
              <w:marBottom w:val="0"/>
              <w:divBdr>
                <w:top w:val="none" w:sz="0" w:space="0" w:color="auto"/>
                <w:left w:val="none" w:sz="0" w:space="0" w:color="auto"/>
                <w:bottom w:val="none" w:sz="0" w:space="0" w:color="auto"/>
                <w:right w:val="none" w:sz="0" w:space="0" w:color="auto"/>
              </w:divBdr>
            </w:div>
          </w:divsChild>
        </w:div>
        <w:div w:id="230427649">
          <w:marLeft w:val="0"/>
          <w:marRight w:val="0"/>
          <w:marTop w:val="0"/>
          <w:marBottom w:val="0"/>
          <w:divBdr>
            <w:top w:val="none" w:sz="0" w:space="0" w:color="auto"/>
            <w:left w:val="none" w:sz="0" w:space="0" w:color="auto"/>
            <w:bottom w:val="none" w:sz="0" w:space="0" w:color="auto"/>
            <w:right w:val="none" w:sz="0" w:space="0" w:color="auto"/>
          </w:divBdr>
          <w:divsChild>
            <w:div w:id="1360935210">
              <w:marLeft w:val="0"/>
              <w:marRight w:val="0"/>
              <w:marTop w:val="0"/>
              <w:marBottom w:val="0"/>
              <w:divBdr>
                <w:top w:val="none" w:sz="0" w:space="0" w:color="auto"/>
                <w:left w:val="none" w:sz="0" w:space="0" w:color="auto"/>
                <w:bottom w:val="none" w:sz="0" w:space="0" w:color="auto"/>
                <w:right w:val="none" w:sz="0" w:space="0" w:color="auto"/>
              </w:divBdr>
            </w:div>
          </w:divsChild>
        </w:div>
        <w:div w:id="236672447">
          <w:marLeft w:val="0"/>
          <w:marRight w:val="0"/>
          <w:marTop w:val="0"/>
          <w:marBottom w:val="0"/>
          <w:divBdr>
            <w:top w:val="none" w:sz="0" w:space="0" w:color="auto"/>
            <w:left w:val="none" w:sz="0" w:space="0" w:color="auto"/>
            <w:bottom w:val="none" w:sz="0" w:space="0" w:color="auto"/>
            <w:right w:val="none" w:sz="0" w:space="0" w:color="auto"/>
          </w:divBdr>
          <w:divsChild>
            <w:div w:id="1755200073">
              <w:marLeft w:val="0"/>
              <w:marRight w:val="0"/>
              <w:marTop w:val="0"/>
              <w:marBottom w:val="0"/>
              <w:divBdr>
                <w:top w:val="none" w:sz="0" w:space="0" w:color="auto"/>
                <w:left w:val="none" w:sz="0" w:space="0" w:color="auto"/>
                <w:bottom w:val="none" w:sz="0" w:space="0" w:color="auto"/>
                <w:right w:val="none" w:sz="0" w:space="0" w:color="auto"/>
              </w:divBdr>
            </w:div>
          </w:divsChild>
        </w:div>
        <w:div w:id="246502693">
          <w:marLeft w:val="0"/>
          <w:marRight w:val="0"/>
          <w:marTop w:val="0"/>
          <w:marBottom w:val="0"/>
          <w:divBdr>
            <w:top w:val="none" w:sz="0" w:space="0" w:color="auto"/>
            <w:left w:val="none" w:sz="0" w:space="0" w:color="auto"/>
            <w:bottom w:val="none" w:sz="0" w:space="0" w:color="auto"/>
            <w:right w:val="none" w:sz="0" w:space="0" w:color="auto"/>
          </w:divBdr>
          <w:divsChild>
            <w:div w:id="1664118342">
              <w:marLeft w:val="0"/>
              <w:marRight w:val="0"/>
              <w:marTop w:val="0"/>
              <w:marBottom w:val="0"/>
              <w:divBdr>
                <w:top w:val="none" w:sz="0" w:space="0" w:color="auto"/>
                <w:left w:val="none" w:sz="0" w:space="0" w:color="auto"/>
                <w:bottom w:val="none" w:sz="0" w:space="0" w:color="auto"/>
                <w:right w:val="none" w:sz="0" w:space="0" w:color="auto"/>
              </w:divBdr>
            </w:div>
          </w:divsChild>
        </w:div>
        <w:div w:id="314647924">
          <w:marLeft w:val="0"/>
          <w:marRight w:val="0"/>
          <w:marTop w:val="0"/>
          <w:marBottom w:val="0"/>
          <w:divBdr>
            <w:top w:val="none" w:sz="0" w:space="0" w:color="auto"/>
            <w:left w:val="none" w:sz="0" w:space="0" w:color="auto"/>
            <w:bottom w:val="none" w:sz="0" w:space="0" w:color="auto"/>
            <w:right w:val="none" w:sz="0" w:space="0" w:color="auto"/>
          </w:divBdr>
          <w:divsChild>
            <w:div w:id="1310133833">
              <w:marLeft w:val="0"/>
              <w:marRight w:val="0"/>
              <w:marTop w:val="0"/>
              <w:marBottom w:val="0"/>
              <w:divBdr>
                <w:top w:val="none" w:sz="0" w:space="0" w:color="auto"/>
                <w:left w:val="none" w:sz="0" w:space="0" w:color="auto"/>
                <w:bottom w:val="none" w:sz="0" w:space="0" w:color="auto"/>
                <w:right w:val="none" w:sz="0" w:space="0" w:color="auto"/>
              </w:divBdr>
            </w:div>
          </w:divsChild>
        </w:div>
        <w:div w:id="419644757">
          <w:marLeft w:val="0"/>
          <w:marRight w:val="0"/>
          <w:marTop w:val="0"/>
          <w:marBottom w:val="0"/>
          <w:divBdr>
            <w:top w:val="none" w:sz="0" w:space="0" w:color="auto"/>
            <w:left w:val="none" w:sz="0" w:space="0" w:color="auto"/>
            <w:bottom w:val="none" w:sz="0" w:space="0" w:color="auto"/>
            <w:right w:val="none" w:sz="0" w:space="0" w:color="auto"/>
          </w:divBdr>
          <w:divsChild>
            <w:div w:id="684358265">
              <w:marLeft w:val="0"/>
              <w:marRight w:val="0"/>
              <w:marTop w:val="0"/>
              <w:marBottom w:val="0"/>
              <w:divBdr>
                <w:top w:val="none" w:sz="0" w:space="0" w:color="auto"/>
                <w:left w:val="none" w:sz="0" w:space="0" w:color="auto"/>
                <w:bottom w:val="none" w:sz="0" w:space="0" w:color="auto"/>
                <w:right w:val="none" w:sz="0" w:space="0" w:color="auto"/>
              </w:divBdr>
            </w:div>
          </w:divsChild>
        </w:div>
        <w:div w:id="479275514">
          <w:marLeft w:val="0"/>
          <w:marRight w:val="0"/>
          <w:marTop w:val="0"/>
          <w:marBottom w:val="0"/>
          <w:divBdr>
            <w:top w:val="none" w:sz="0" w:space="0" w:color="auto"/>
            <w:left w:val="none" w:sz="0" w:space="0" w:color="auto"/>
            <w:bottom w:val="none" w:sz="0" w:space="0" w:color="auto"/>
            <w:right w:val="none" w:sz="0" w:space="0" w:color="auto"/>
          </w:divBdr>
          <w:divsChild>
            <w:div w:id="447505152">
              <w:marLeft w:val="0"/>
              <w:marRight w:val="0"/>
              <w:marTop w:val="0"/>
              <w:marBottom w:val="0"/>
              <w:divBdr>
                <w:top w:val="none" w:sz="0" w:space="0" w:color="auto"/>
                <w:left w:val="none" w:sz="0" w:space="0" w:color="auto"/>
                <w:bottom w:val="none" w:sz="0" w:space="0" w:color="auto"/>
                <w:right w:val="none" w:sz="0" w:space="0" w:color="auto"/>
              </w:divBdr>
            </w:div>
          </w:divsChild>
        </w:div>
        <w:div w:id="488063533">
          <w:marLeft w:val="0"/>
          <w:marRight w:val="0"/>
          <w:marTop w:val="0"/>
          <w:marBottom w:val="0"/>
          <w:divBdr>
            <w:top w:val="none" w:sz="0" w:space="0" w:color="auto"/>
            <w:left w:val="none" w:sz="0" w:space="0" w:color="auto"/>
            <w:bottom w:val="none" w:sz="0" w:space="0" w:color="auto"/>
            <w:right w:val="none" w:sz="0" w:space="0" w:color="auto"/>
          </w:divBdr>
          <w:divsChild>
            <w:div w:id="1543202897">
              <w:marLeft w:val="0"/>
              <w:marRight w:val="0"/>
              <w:marTop w:val="0"/>
              <w:marBottom w:val="0"/>
              <w:divBdr>
                <w:top w:val="none" w:sz="0" w:space="0" w:color="auto"/>
                <w:left w:val="none" w:sz="0" w:space="0" w:color="auto"/>
                <w:bottom w:val="none" w:sz="0" w:space="0" w:color="auto"/>
                <w:right w:val="none" w:sz="0" w:space="0" w:color="auto"/>
              </w:divBdr>
            </w:div>
          </w:divsChild>
        </w:div>
        <w:div w:id="532546801">
          <w:marLeft w:val="0"/>
          <w:marRight w:val="0"/>
          <w:marTop w:val="0"/>
          <w:marBottom w:val="0"/>
          <w:divBdr>
            <w:top w:val="none" w:sz="0" w:space="0" w:color="auto"/>
            <w:left w:val="none" w:sz="0" w:space="0" w:color="auto"/>
            <w:bottom w:val="none" w:sz="0" w:space="0" w:color="auto"/>
            <w:right w:val="none" w:sz="0" w:space="0" w:color="auto"/>
          </w:divBdr>
          <w:divsChild>
            <w:div w:id="1400904917">
              <w:marLeft w:val="0"/>
              <w:marRight w:val="0"/>
              <w:marTop w:val="0"/>
              <w:marBottom w:val="0"/>
              <w:divBdr>
                <w:top w:val="none" w:sz="0" w:space="0" w:color="auto"/>
                <w:left w:val="none" w:sz="0" w:space="0" w:color="auto"/>
                <w:bottom w:val="none" w:sz="0" w:space="0" w:color="auto"/>
                <w:right w:val="none" w:sz="0" w:space="0" w:color="auto"/>
              </w:divBdr>
            </w:div>
          </w:divsChild>
        </w:div>
        <w:div w:id="552079771">
          <w:marLeft w:val="0"/>
          <w:marRight w:val="0"/>
          <w:marTop w:val="0"/>
          <w:marBottom w:val="0"/>
          <w:divBdr>
            <w:top w:val="none" w:sz="0" w:space="0" w:color="auto"/>
            <w:left w:val="none" w:sz="0" w:space="0" w:color="auto"/>
            <w:bottom w:val="none" w:sz="0" w:space="0" w:color="auto"/>
            <w:right w:val="none" w:sz="0" w:space="0" w:color="auto"/>
          </w:divBdr>
          <w:divsChild>
            <w:div w:id="1750270013">
              <w:marLeft w:val="0"/>
              <w:marRight w:val="0"/>
              <w:marTop w:val="0"/>
              <w:marBottom w:val="0"/>
              <w:divBdr>
                <w:top w:val="none" w:sz="0" w:space="0" w:color="auto"/>
                <w:left w:val="none" w:sz="0" w:space="0" w:color="auto"/>
                <w:bottom w:val="none" w:sz="0" w:space="0" w:color="auto"/>
                <w:right w:val="none" w:sz="0" w:space="0" w:color="auto"/>
              </w:divBdr>
            </w:div>
          </w:divsChild>
        </w:div>
        <w:div w:id="887571565">
          <w:marLeft w:val="0"/>
          <w:marRight w:val="0"/>
          <w:marTop w:val="0"/>
          <w:marBottom w:val="0"/>
          <w:divBdr>
            <w:top w:val="none" w:sz="0" w:space="0" w:color="auto"/>
            <w:left w:val="none" w:sz="0" w:space="0" w:color="auto"/>
            <w:bottom w:val="none" w:sz="0" w:space="0" w:color="auto"/>
            <w:right w:val="none" w:sz="0" w:space="0" w:color="auto"/>
          </w:divBdr>
          <w:divsChild>
            <w:div w:id="1257667047">
              <w:marLeft w:val="0"/>
              <w:marRight w:val="0"/>
              <w:marTop w:val="0"/>
              <w:marBottom w:val="0"/>
              <w:divBdr>
                <w:top w:val="none" w:sz="0" w:space="0" w:color="auto"/>
                <w:left w:val="none" w:sz="0" w:space="0" w:color="auto"/>
                <w:bottom w:val="none" w:sz="0" w:space="0" w:color="auto"/>
                <w:right w:val="none" w:sz="0" w:space="0" w:color="auto"/>
              </w:divBdr>
            </w:div>
          </w:divsChild>
        </w:div>
        <w:div w:id="998189172">
          <w:marLeft w:val="0"/>
          <w:marRight w:val="0"/>
          <w:marTop w:val="0"/>
          <w:marBottom w:val="0"/>
          <w:divBdr>
            <w:top w:val="none" w:sz="0" w:space="0" w:color="auto"/>
            <w:left w:val="none" w:sz="0" w:space="0" w:color="auto"/>
            <w:bottom w:val="none" w:sz="0" w:space="0" w:color="auto"/>
            <w:right w:val="none" w:sz="0" w:space="0" w:color="auto"/>
          </w:divBdr>
          <w:divsChild>
            <w:div w:id="1235046294">
              <w:marLeft w:val="0"/>
              <w:marRight w:val="0"/>
              <w:marTop w:val="0"/>
              <w:marBottom w:val="0"/>
              <w:divBdr>
                <w:top w:val="none" w:sz="0" w:space="0" w:color="auto"/>
                <w:left w:val="none" w:sz="0" w:space="0" w:color="auto"/>
                <w:bottom w:val="none" w:sz="0" w:space="0" w:color="auto"/>
                <w:right w:val="none" w:sz="0" w:space="0" w:color="auto"/>
              </w:divBdr>
            </w:div>
          </w:divsChild>
        </w:div>
        <w:div w:id="1245534503">
          <w:marLeft w:val="0"/>
          <w:marRight w:val="0"/>
          <w:marTop w:val="0"/>
          <w:marBottom w:val="0"/>
          <w:divBdr>
            <w:top w:val="none" w:sz="0" w:space="0" w:color="auto"/>
            <w:left w:val="none" w:sz="0" w:space="0" w:color="auto"/>
            <w:bottom w:val="none" w:sz="0" w:space="0" w:color="auto"/>
            <w:right w:val="none" w:sz="0" w:space="0" w:color="auto"/>
          </w:divBdr>
          <w:divsChild>
            <w:div w:id="401366675">
              <w:marLeft w:val="0"/>
              <w:marRight w:val="0"/>
              <w:marTop w:val="0"/>
              <w:marBottom w:val="0"/>
              <w:divBdr>
                <w:top w:val="none" w:sz="0" w:space="0" w:color="auto"/>
                <w:left w:val="none" w:sz="0" w:space="0" w:color="auto"/>
                <w:bottom w:val="none" w:sz="0" w:space="0" w:color="auto"/>
                <w:right w:val="none" w:sz="0" w:space="0" w:color="auto"/>
              </w:divBdr>
            </w:div>
          </w:divsChild>
        </w:div>
        <w:div w:id="1314678456">
          <w:marLeft w:val="0"/>
          <w:marRight w:val="0"/>
          <w:marTop w:val="0"/>
          <w:marBottom w:val="0"/>
          <w:divBdr>
            <w:top w:val="none" w:sz="0" w:space="0" w:color="auto"/>
            <w:left w:val="none" w:sz="0" w:space="0" w:color="auto"/>
            <w:bottom w:val="none" w:sz="0" w:space="0" w:color="auto"/>
            <w:right w:val="none" w:sz="0" w:space="0" w:color="auto"/>
          </w:divBdr>
          <w:divsChild>
            <w:div w:id="514151428">
              <w:marLeft w:val="0"/>
              <w:marRight w:val="0"/>
              <w:marTop w:val="0"/>
              <w:marBottom w:val="0"/>
              <w:divBdr>
                <w:top w:val="none" w:sz="0" w:space="0" w:color="auto"/>
                <w:left w:val="none" w:sz="0" w:space="0" w:color="auto"/>
                <w:bottom w:val="none" w:sz="0" w:space="0" w:color="auto"/>
                <w:right w:val="none" w:sz="0" w:space="0" w:color="auto"/>
              </w:divBdr>
            </w:div>
          </w:divsChild>
        </w:div>
        <w:div w:id="1450777521">
          <w:marLeft w:val="0"/>
          <w:marRight w:val="0"/>
          <w:marTop w:val="0"/>
          <w:marBottom w:val="0"/>
          <w:divBdr>
            <w:top w:val="none" w:sz="0" w:space="0" w:color="auto"/>
            <w:left w:val="none" w:sz="0" w:space="0" w:color="auto"/>
            <w:bottom w:val="none" w:sz="0" w:space="0" w:color="auto"/>
            <w:right w:val="none" w:sz="0" w:space="0" w:color="auto"/>
          </w:divBdr>
          <w:divsChild>
            <w:div w:id="1783572825">
              <w:marLeft w:val="0"/>
              <w:marRight w:val="0"/>
              <w:marTop w:val="0"/>
              <w:marBottom w:val="0"/>
              <w:divBdr>
                <w:top w:val="none" w:sz="0" w:space="0" w:color="auto"/>
                <w:left w:val="none" w:sz="0" w:space="0" w:color="auto"/>
                <w:bottom w:val="none" w:sz="0" w:space="0" w:color="auto"/>
                <w:right w:val="none" w:sz="0" w:space="0" w:color="auto"/>
              </w:divBdr>
            </w:div>
          </w:divsChild>
        </w:div>
        <w:div w:id="1462649545">
          <w:marLeft w:val="0"/>
          <w:marRight w:val="0"/>
          <w:marTop w:val="0"/>
          <w:marBottom w:val="0"/>
          <w:divBdr>
            <w:top w:val="none" w:sz="0" w:space="0" w:color="auto"/>
            <w:left w:val="none" w:sz="0" w:space="0" w:color="auto"/>
            <w:bottom w:val="none" w:sz="0" w:space="0" w:color="auto"/>
            <w:right w:val="none" w:sz="0" w:space="0" w:color="auto"/>
          </w:divBdr>
          <w:divsChild>
            <w:div w:id="1951665439">
              <w:marLeft w:val="0"/>
              <w:marRight w:val="0"/>
              <w:marTop w:val="0"/>
              <w:marBottom w:val="0"/>
              <w:divBdr>
                <w:top w:val="none" w:sz="0" w:space="0" w:color="auto"/>
                <w:left w:val="none" w:sz="0" w:space="0" w:color="auto"/>
                <w:bottom w:val="none" w:sz="0" w:space="0" w:color="auto"/>
                <w:right w:val="none" w:sz="0" w:space="0" w:color="auto"/>
              </w:divBdr>
            </w:div>
          </w:divsChild>
        </w:div>
        <w:div w:id="1599412165">
          <w:marLeft w:val="0"/>
          <w:marRight w:val="0"/>
          <w:marTop w:val="0"/>
          <w:marBottom w:val="0"/>
          <w:divBdr>
            <w:top w:val="none" w:sz="0" w:space="0" w:color="auto"/>
            <w:left w:val="none" w:sz="0" w:space="0" w:color="auto"/>
            <w:bottom w:val="none" w:sz="0" w:space="0" w:color="auto"/>
            <w:right w:val="none" w:sz="0" w:space="0" w:color="auto"/>
          </w:divBdr>
          <w:divsChild>
            <w:div w:id="1709144665">
              <w:marLeft w:val="0"/>
              <w:marRight w:val="0"/>
              <w:marTop w:val="0"/>
              <w:marBottom w:val="0"/>
              <w:divBdr>
                <w:top w:val="none" w:sz="0" w:space="0" w:color="auto"/>
                <w:left w:val="none" w:sz="0" w:space="0" w:color="auto"/>
                <w:bottom w:val="none" w:sz="0" w:space="0" w:color="auto"/>
                <w:right w:val="none" w:sz="0" w:space="0" w:color="auto"/>
              </w:divBdr>
            </w:div>
          </w:divsChild>
        </w:div>
        <w:div w:id="1650599530">
          <w:marLeft w:val="0"/>
          <w:marRight w:val="0"/>
          <w:marTop w:val="0"/>
          <w:marBottom w:val="0"/>
          <w:divBdr>
            <w:top w:val="none" w:sz="0" w:space="0" w:color="auto"/>
            <w:left w:val="none" w:sz="0" w:space="0" w:color="auto"/>
            <w:bottom w:val="none" w:sz="0" w:space="0" w:color="auto"/>
            <w:right w:val="none" w:sz="0" w:space="0" w:color="auto"/>
          </w:divBdr>
          <w:divsChild>
            <w:div w:id="1767143368">
              <w:marLeft w:val="0"/>
              <w:marRight w:val="0"/>
              <w:marTop w:val="0"/>
              <w:marBottom w:val="0"/>
              <w:divBdr>
                <w:top w:val="none" w:sz="0" w:space="0" w:color="auto"/>
                <w:left w:val="none" w:sz="0" w:space="0" w:color="auto"/>
                <w:bottom w:val="none" w:sz="0" w:space="0" w:color="auto"/>
                <w:right w:val="none" w:sz="0" w:space="0" w:color="auto"/>
              </w:divBdr>
            </w:div>
          </w:divsChild>
        </w:div>
        <w:div w:id="1708984914">
          <w:marLeft w:val="0"/>
          <w:marRight w:val="0"/>
          <w:marTop w:val="0"/>
          <w:marBottom w:val="0"/>
          <w:divBdr>
            <w:top w:val="none" w:sz="0" w:space="0" w:color="auto"/>
            <w:left w:val="none" w:sz="0" w:space="0" w:color="auto"/>
            <w:bottom w:val="none" w:sz="0" w:space="0" w:color="auto"/>
            <w:right w:val="none" w:sz="0" w:space="0" w:color="auto"/>
          </w:divBdr>
          <w:divsChild>
            <w:div w:id="1575897416">
              <w:marLeft w:val="0"/>
              <w:marRight w:val="0"/>
              <w:marTop w:val="0"/>
              <w:marBottom w:val="0"/>
              <w:divBdr>
                <w:top w:val="none" w:sz="0" w:space="0" w:color="auto"/>
                <w:left w:val="none" w:sz="0" w:space="0" w:color="auto"/>
                <w:bottom w:val="none" w:sz="0" w:space="0" w:color="auto"/>
                <w:right w:val="none" w:sz="0" w:space="0" w:color="auto"/>
              </w:divBdr>
            </w:div>
          </w:divsChild>
        </w:div>
        <w:div w:id="1732842986">
          <w:marLeft w:val="0"/>
          <w:marRight w:val="0"/>
          <w:marTop w:val="0"/>
          <w:marBottom w:val="0"/>
          <w:divBdr>
            <w:top w:val="none" w:sz="0" w:space="0" w:color="auto"/>
            <w:left w:val="none" w:sz="0" w:space="0" w:color="auto"/>
            <w:bottom w:val="none" w:sz="0" w:space="0" w:color="auto"/>
            <w:right w:val="none" w:sz="0" w:space="0" w:color="auto"/>
          </w:divBdr>
          <w:divsChild>
            <w:div w:id="911699041">
              <w:marLeft w:val="0"/>
              <w:marRight w:val="0"/>
              <w:marTop w:val="0"/>
              <w:marBottom w:val="0"/>
              <w:divBdr>
                <w:top w:val="none" w:sz="0" w:space="0" w:color="auto"/>
                <w:left w:val="none" w:sz="0" w:space="0" w:color="auto"/>
                <w:bottom w:val="none" w:sz="0" w:space="0" w:color="auto"/>
                <w:right w:val="none" w:sz="0" w:space="0" w:color="auto"/>
              </w:divBdr>
            </w:div>
          </w:divsChild>
        </w:div>
        <w:div w:id="1773627824">
          <w:marLeft w:val="0"/>
          <w:marRight w:val="0"/>
          <w:marTop w:val="0"/>
          <w:marBottom w:val="0"/>
          <w:divBdr>
            <w:top w:val="none" w:sz="0" w:space="0" w:color="auto"/>
            <w:left w:val="none" w:sz="0" w:space="0" w:color="auto"/>
            <w:bottom w:val="none" w:sz="0" w:space="0" w:color="auto"/>
            <w:right w:val="none" w:sz="0" w:space="0" w:color="auto"/>
          </w:divBdr>
          <w:divsChild>
            <w:div w:id="1985158709">
              <w:marLeft w:val="0"/>
              <w:marRight w:val="0"/>
              <w:marTop w:val="0"/>
              <w:marBottom w:val="0"/>
              <w:divBdr>
                <w:top w:val="none" w:sz="0" w:space="0" w:color="auto"/>
                <w:left w:val="none" w:sz="0" w:space="0" w:color="auto"/>
                <w:bottom w:val="none" w:sz="0" w:space="0" w:color="auto"/>
                <w:right w:val="none" w:sz="0" w:space="0" w:color="auto"/>
              </w:divBdr>
            </w:div>
          </w:divsChild>
        </w:div>
        <w:div w:id="1827628319">
          <w:marLeft w:val="0"/>
          <w:marRight w:val="0"/>
          <w:marTop w:val="0"/>
          <w:marBottom w:val="0"/>
          <w:divBdr>
            <w:top w:val="none" w:sz="0" w:space="0" w:color="auto"/>
            <w:left w:val="none" w:sz="0" w:space="0" w:color="auto"/>
            <w:bottom w:val="none" w:sz="0" w:space="0" w:color="auto"/>
            <w:right w:val="none" w:sz="0" w:space="0" w:color="auto"/>
          </w:divBdr>
          <w:divsChild>
            <w:div w:id="1450583676">
              <w:marLeft w:val="0"/>
              <w:marRight w:val="0"/>
              <w:marTop w:val="0"/>
              <w:marBottom w:val="0"/>
              <w:divBdr>
                <w:top w:val="none" w:sz="0" w:space="0" w:color="auto"/>
                <w:left w:val="none" w:sz="0" w:space="0" w:color="auto"/>
                <w:bottom w:val="none" w:sz="0" w:space="0" w:color="auto"/>
                <w:right w:val="none" w:sz="0" w:space="0" w:color="auto"/>
              </w:divBdr>
            </w:div>
          </w:divsChild>
        </w:div>
        <w:div w:id="1896041446">
          <w:marLeft w:val="0"/>
          <w:marRight w:val="0"/>
          <w:marTop w:val="0"/>
          <w:marBottom w:val="0"/>
          <w:divBdr>
            <w:top w:val="none" w:sz="0" w:space="0" w:color="auto"/>
            <w:left w:val="none" w:sz="0" w:space="0" w:color="auto"/>
            <w:bottom w:val="none" w:sz="0" w:space="0" w:color="auto"/>
            <w:right w:val="none" w:sz="0" w:space="0" w:color="auto"/>
          </w:divBdr>
          <w:divsChild>
            <w:div w:id="660474543">
              <w:marLeft w:val="0"/>
              <w:marRight w:val="0"/>
              <w:marTop w:val="0"/>
              <w:marBottom w:val="0"/>
              <w:divBdr>
                <w:top w:val="none" w:sz="0" w:space="0" w:color="auto"/>
                <w:left w:val="none" w:sz="0" w:space="0" w:color="auto"/>
                <w:bottom w:val="none" w:sz="0" w:space="0" w:color="auto"/>
                <w:right w:val="none" w:sz="0" w:space="0" w:color="auto"/>
              </w:divBdr>
            </w:div>
          </w:divsChild>
        </w:div>
        <w:div w:id="2014532132">
          <w:marLeft w:val="0"/>
          <w:marRight w:val="0"/>
          <w:marTop w:val="0"/>
          <w:marBottom w:val="0"/>
          <w:divBdr>
            <w:top w:val="none" w:sz="0" w:space="0" w:color="auto"/>
            <w:left w:val="none" w:sz="0" w:space="0" w:color="auto"/>
            <w:bottom w:val="none" w:sz="0" w:space="0" w:color="auto"/>
            <w:right w:val="none" w:sz="0" w:space="0" w:color="auto"/>
          </w:divBdr>
          <w:divsChild>
            <w:div w:id="41180123">
              <w:marLeft w:val="0"/>
              <w:marRight w:val="0"/>
              <w:marTop w:val="0"/>
              <w:marBottom w:val="0"/>
              <w:divBdr>
                <w:top w:val="none" w:sz="0" w:space="0" w:color="auto"/>
                <w:left w:val="none" w:sz="0" w:space="0" w:color="auto"/>
                <w:bottom w:val="none" w:sz="0" w:space="0" w:color="auto"/>
                <w:right w:val="none" w:sz="0" w:space="0" w:color="auto"/>
              </w:divBdr>
            </w:div>
          </w:divsChild>
        </w:div>
        <w:div w:id="2095739453">
          <w:marLeft w:val="0"/>
          <w:marRight w:val="0"/>
          <w:marTop w:val="0"/>
          <w:marBottom w:val="0"/>
          <w:divBdr>
            <w:top w:val="none" w:sz="0" w:space="0" w:color="auto"/>
            <w:left w:val="none" w:sz="0" w:space="0" w:color="auto"/>
            <w:bottom w:val="none" w:sz="0" w:space="0" w:color="auto"/>
            <w:right w:val="none" w:sz="0" w:space="0" w:color="auto"/>
          </w:divBdr>
          <w:divsChild>
            <w:div w:id="1953975338">
              <w:marLeft w:val="0"/>
              <w:marRight w:val="0"/>
              <w:marTop w:val="0"/>
              <w:marBottom w:val="0"/>
              <w:divBdr>
                <w:top w:val="none" w:sz="0" w:space="0" w:color="auto"/>
                <w:left w:val="none" w:sz="0" w:space="0" w:color="auto"/>
                <w:bottom w:val="none" w:sz="0" w:space="0" w:color="auto"/>
                <w:right w:val="none" w:sz="0" w:space="0" w:color="auto"/>
              </w:divBdr>
            </w:div>
          </w:divsChild>
        </w:div>
        <w:div w:id="2146852216">
          <w:marLeft w:val="0"/>
          <w:marRight w:val="0"/>
          <w:marTop w:val="0"/>
          <w:marBottom w:val="0"/>
          <w:divBdr>
            <w:top w:val="none" w:sz="0" w:space="0" w:color="auto"/>
            <w:left w:val="none" w:sz="0" w:space="0" w:color="auto"/>
            <w:bottom w:val="none" w:sz="0" w:space="0" w:color="auto"/>
            <w:right w:val="none" w:sz="0" w:space="0" w:color="auto"/>
          </w:divBdr>
          <w:divsChild>
            <w:div w:id="20100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910">
      <w:bodyDiv w:val="1"/>
      <w:marLeft w:val="0"/>
      <w:marRight w:val="0"/>
      <w:marTop w:val="0"/>
      <w:marBottom w:val="0"/>
      <w:divBdr>
        <w:top w:val="none" w:sz="0" w:space="0" w:color="auto"/>
        <w:left w:val="none" w:sz="0" w:space="0" w:color="auto"/>
        <w:bottom w:val="none" w:sz="0" w:space="0" w:color="auto"/>
        <w:right w:val="none" w:sz="0" w:space="0" w:color="auto"/>
      </w:divBdr>
    </w:div>
    <w:div w:id="1896967901">
      <w:bodyDiv w:val="1"/>
      <w:marLeft w:val="0"/>
      <w:marRight w:val="0"/>
      <w:marTop w:val="0"/>
      <w:marBottom w:val="0"/>
      <w:divBdr>
        <w:top w:val="none" w:sz="0" w:space="0" w:color="auto"/>
        <w:left w:val="none" w:sz="0" w:space="0" w:color="auto"/>
        <w:bottom w:val="none" w:sz="0" w:space="0" w:color="auto"/>
        <w:right w:val="none" w:sz="0" w:space="0" w:color="auto"/>
      </w:divBdr>
    </w:div>
    <w:div w:id="1896970254">
      <w:bodyDiv w:val="1"/>
      <w:marLeft w:val="0"/>
      <w:marRight w:val="0"/>
      <w:marTop w:val="0"/>
      <w:marBottom w:val="0"/>
      <w:divBdr>
        <w:top w:val="none" w:sz="0" w:space="0" w:color="auto"/>
        <w:left w:val="none" w:sz="0" w:space="0" w:color="auto"/>
        <w:bottom w:val="none" w:sz="0" w:space="0" w:color="auto"/>
        <w:right w:val="none" w:sz="0" w:space="0" w:color="auto"/>
      </w:divBdr>
    </w:div>
    <w:div w:id="1897089157">
      <w:bodyDiv w:val="1"/>
      <w:marLeft w:val="0"/>
      <w:marRight w:val="0"/>
      <w:marTop w:val="0"/>
      <w:marBottom w:val="0"/>
      <w:divBdr>
        <w:top w:val="none" w:sz="0" w:space="0" w:color="auto"/>
        <w:left w:val="none" w:sz="0" w:space="0" w:color="auto"/>
        <w:bottom w:val="none" w:sz="0" w:space="0" w:color="auto"/>
        <w:right w:val="none" w:sz="0" w:space="0" w:color="auto"/>
      </w:divBdr>
    </w:div>
    <w:div w:id="1897398624">
      <w:bodyDiv w:val="1"/>
      <w:marLeft w:val="0"/>
      <w:marRight w:val="0"/>
      <w:marTop w:val="0"/>
      <w:marBottom w:val="0"/>
      <w:divBdr>
        <w:top w:val="none" w:sz="0" w:space="0" w:color="auto"/>
        <w:left w:val="none" w:sz="0" w:space="0" w:color="auto"/>
        <w:bottom w:val="none" w:sz="0" w:space="0" w:color="auto"/>
        <w:right w:val="none" w:sz="0" w:space="0" w:color="auto"/>
      </w:divBdr>
    </w:div>
    <w:div w:id="1897549559">
      <w:bodyDiv w:val="1"/>
      <w:marLeft w:val="0"/>
      <w:marRight w:val="0"/>
      <w:marTop w:val="0"/>
      <w:marBottom w:val="0"/>
      <w:divBdr>
        <w:top w:val="none" w:sz="0" w:space="0" w:color="auto"/>
        <w:left w:val="none" w:sz="0" w:space="0" w:color="auto"/>
        <w:bottom w:val="none" w:sz="0" w:space="0" w:color="auto"/>
        <w:right w:val="none" w:sz="0" w:space="0" w:color="auto"/>
      </w:divBdr>
    </w:div>
    <w:div w:id="1897743521">
      <w:bodyDiv w:val="1"/>
      <w:marLeft w:val="0"/>
      <w:marRight w:val="0"/>
      <w:marTop w:val="0"/>
      <w:marBottom w:val="0"/>
      <w:divBdr>
        <w:top w:val="none" w:sz="0" w:space="0" w:color="auto"/>
        <w:left w:val="none" w:sz="0" w:space="0" w:color="auto"/>
        <w:bottom w:val="none" w:sz="0" w:space="0" w:color="auto"/>
        <w:right w:val="none" w:sz="0" w:space="0" w:color="auto"/>
      </w:divBdr>
    </w:div>
    <w:div w:id="1898778178">
      <w:bodyDiv w:val="1"/>
      <w:marLeft w:val="0"/>
      <w:marRight w:val="0"/>
      <w:marTop w:val="0"/>
      <w:marBottom w:val="0"/>
      <w:divBdr>
        <w:top w:val="none" w:sz="0" w:space="0" w:color="auto"/>
        <w:left w:val="none" w:sz="0" w:space="0" w:color="auto"/>
        <w:bottom w:val="none" w:sz="0" w:space="0" w:color="auto"/>
        <w:right w:val="none" w:sz="0" w:space="0" w:color="auto"/>
      </w:divBdr>
    </w:div>
    <w:div w:id="1899245061">
      <w:bodyDiv w:val="1"/>
      <w:marLeft w:val="0"/>
      <w:marRight w:val="0"/>
      <w:marTop w:val="0"/>
      <w:marBottom w:val="0"/>
      <w:divBdr>
        <w:top w:val="none" w:sz="0" w:space="0" w:color="auto"/>
        <w:left w:val="none" w:sz="0" w:space="0" w:color="auto"/>
        <w:bottom w:val="none" w:sz="0" w:space="0" w:color="auto"/>
        <w:right w:val="none" w:sz="0" w:space="0" w:color="auto"/>
      </w:divBdr>
    </w:div>
    <w:div w:id="1899314765">
      <w:bodyDiv w:val="1"/>
      <w:marLeft w:val="0"/>
      <w:marRight w:val="0"/>
      <w:marTop w:val="0"/>
      <w:marBottom w:val="0"/>
      <w:divBdr>
        <w:top w:val="none" w:sz="0" w:space="0" w:color="auto"/>
        <w:left w:val="none" w:sz="0" w:space="0" w:color="auto"/>
        <w:bottom w:val="none" w:sz="0" w:space="0" w:color="auto"/>
        <w:right w:val="none" w:sz="0" w:space="0" w:color="auto"/>
      </w:divBdr>
    </w:div>
    <w:div w:id="1899394378">
      <w:bodyDiv w:val="1"/>
      <w:marLeft w:val="0"/>
      <w:marRight w:val="0"/>
      <w:marTop w:val="0"/>
      <w:marBottom w:val="0"/>
      <w:divBdr>
        <w:top w:val="none" w:sz="0" w:space="0" w:color="auto"/>
        <w:left w:val="none" w:sz="0" w:space="0" w:color="auto"/>
        <w:bottom w:val="none" w:sz="0" w:space="0" w:color="auto"/>
        <w:right w:val="none" w:sz="0" w:space="0" w:color="auto"/>
      </w:divBdr>
    </w:div>
    <w:div w:id="1899852715">
      <w:bodyDiv w:val="1"/>
      <w:marLeft w:val="0"/>
      <w:marRight w:val="0"/>
      <w:marTop w:val="0"/>
      <w:marBottom w:val="0"/>
      <w:divBdr>
        <w:top w:val="none" w:sz="0" w:space="0" w:color="auto"/>
        <w:left w:val="none" w:sz="0" w:space="0" w:color="auto"/>
        <w:bottom w:val="none" w:sz="0" w:space="0" w:color="auto"/>
        <w:right w:val="none" w:sz="0" w:space="0" w:color="auto"/>
      </w:divBdr>
    </w:div>
    <w:div w:id="1900242512">
      <w:bodyDiv w:val="1"/>
      <w:marLeft w:val="0"/>
      <w:marRight w:val="0"/>
      <w:marTop w:val="0"/>
      <w:marBottom w:val="0"/>
      <w:divBdr>
        <w:top w:val="none" w:sz="0" w:space="0" w:color="auto"/>
        <w:left w:val="none" w:sz="0" w:space="0" w:color="auto"/>
        <w:bottom w:val="none" w:sz="0" w:space="0" w:color="auto"/>
        <w:right w:val="none" w:sz="0" w:space="0" w:color="auto"/>
      </w:divBdr>
    </w:div>
    <w:div w:id="1900364763">
      <w:bodyDiv w:val="1"/>
      <w:marLeft w:val="0"/>
      <w:marRight w:val="0"/>
      <w:marTop w:val="0"/>
      <w:marBottom w:val="0"/>
      <w:divBdr>
        <w:top w:val="none" w:sz="0" w:space="0" w:color="auto"/>
        <w:left w:val="none" w:sz="0" w:space="0" w:color="auto"/>
        <w:bottom w:val="none" w:sz="0" w:space="0" w:color="auto"/>
        <w:right w:val="none" w:sz="0" w:space="0" w:color="auto"/>
      </w:divBdr>
    </w:div>
    <w:div w:id="1900549780">
      <w:bodyDiv w:val="1"/>
      <w:marLeft w:val="0"/>
      <w:marRight w:val="0"/>
      <w:marTop w:val="0"/>
      <w:marBottom w:val="0"/>
      <w:divBdr>
        <w:top w:val="none" w:sz="0" w:space="0" w:color="auto"/>
        <w:left w:val="none" w:sz="0" w:space="0" w:color="auto"/>
        <w:bottom w:val="none" w:sz="0" w:space="0" w:color="auto"/>
        <w:right w:val="none" w:sz="0" w:space="0" w:color="auto"/>
      </w:divBdr>
    </w:div>
    <w:div w:id="1900628635">
      <w:bodyDiv w:val="1"/>
      <w:marLeft w:val="0"/>
      <w:marRight w:val="0"/>
      <w:marTop w:val="0"/>
      <w:marBottom w:val="0"/>
      <w:divBdr>
        <w:top w:val="none" w:sz="0" w:space="0" w:color="auto"/>
        <w:left w:val="none" w:sz="0" w:space="0" w:color="auto"/>
        <w:bottom w:val="none" w:sz="0" w:space="0" w:color="auto"/>
        <w:right w:val="none" w:sz="0" w:space="0" w:color="auto"/>
      </w:divBdr>
    </w:div>
    <w:div w:id="1900629944">
      <w:bodyDiv w:val="1"/>
      <w:marLeft w:val="0"/>
      <w:marRight w:val="0"/>
      <w:marTop w:val="0"/>
      <w:marBottom w:val="0"/>
      <w:divBdr>
        <w:top w:val="none" w:sz="0" w:space="0" w:color="auto"/>
        <w:left w:val="none" w:sz="0" w:space="0" w:color="auto"/>
        <w:bottom w:val="none" w:sz="0" w:space="0" w:color="auto"/>
        <w:right w:val="none" w:sz="0" w:space="0" w:color="auto"/>
      </w:divBdr>
    </w:div>
    <w:div w:id="1900821758">
      <w:bodyDiv w:val="1"/>
      <w:marLeft w:val="0"/>
      <w:marRight w:val="0"/>
      <w:marTop w:val="0"/>
      <w:marBottom w:val="0"/>
      <w:divBdr>
        <w:top w:val="none" w:sz="0" w:space="0" w:color="auto"/>
        <w:left w:val="none" w:sz="0" w:space="0" w:color="auto"/>
        <w:bottom w:val="none" w:sz="0" w:space="0" w:color="auto"/>
        <w:right w:val="none" w:sz="0" w:space="0" w:color="auto"/>
      </w:divBdr>
    </w:div>
    <w:div w:id="1901087097">
      <w:bodyDiv w:val="1"/>
      <w:marLeft w:val="0"/>
      <w:marRight w:val="0"/>
      <w:marTop w:val="0"/>
      <w:marBottom w:val="0"/>
      <w:divBdr>
        <w:top w:val="none" w:sz="0" w:space="0" w:color="auto"/>
        <w:left w:val="none" w:sz="0" w:space="0" w:color="auto"/>
        <w:bottom w:val="none" w:sz="0" w:space="0" w:color="auto"/>
        <w:right w:val="none" w:sz="0" w:space="0" w:color="auto"/>
      </w:divBdr>
    </w:div>
    <w:div w:id="1901204534">
      <w:bodyDiv w:val="1"/>
      <w:marLeft w:val="0"/>
      <w:marRight w:val="0"/>
      <w:marTop w:val="0"/>
      <w:marBottom w:val="0"/>
      <w:divBdr>
        <w:top w:val="none" w:sz="0" w:space="0" w:color="auto"/>
        <w:left w:val="none" w:sz="0" w:space="0" w:color="auto"/>
        <w:bottom w:val="none" w:sz="0" w:space="0" w:color="auto"/>
        <w:right w:val="none" w:sz="0" w:space="0" w:color="auto"/>
      </w:divBdr>
    </w:div>
    <w:div w:id="1901401132">
      <w:bodyDiv w:val="1"/>
      <w:marLeft w:val="0"/>
      <w:marRight w:val="0"/>
      <w:marTop w:val="0"/>
      <w:marBottom w:val="0"/>
      <w:divBdr>
        <w:top w:val="none" w:sz="0" w:space="0" w:color="auto"/>
        <w:left w:val="none" w:sz="0" w:space="0" w:color="auto"/>
        <w:bottom w:val="none" w:sz="0" w:space="0" w:color="auto"/>
        <w:right w:val="none" w:sz="0" w:space="0" w:color="auto"/>
      </w:divBdr>
    </w:div>
    <w:div w:id="1901402697">
      <w:bodyDiv w:val="1"/>
      <w:marLeft w:val="0"/>
      <w:marRight w:val="0"/>
      <w:marTop w:val="0"/>
      <w:marBottom w:val="0"/>
      <w:divBdr>
        <w:top w:val="none" w:sz="0" w:space="0" w:color="auto"/>
        <w:left w:val="none" w:sz="0" w:space="0" w:color="auto"/>
        <w:bottom w:val="none" w:sz="0" w:space="0" w:color="auto"/>
        <w:right w:val="none" w:sz="0" w:space="0" w:color="auto"/>
      </w:divBdr>
    </w:div>
    <w:div w:id="1901406152">
      <w:bodyDiv w:val="1"/>
      <w:marLeft w:val="0"/>
      <w:marRight w:val="0"/>
      <w:marTop w:val="0"/>
      <w:marBottom w:val="0"/>
      <w:divBdr>
        <w:top w:val="none" w:sz="0" w:space="0" w:color="auto"/>
        <w:left w:val="none" w:sz="0" w:space="0" w:color="auto"/>
        <w:bottom w:val="none" w:sz="0" w:space="0" w:color="auto"/>
        <w:right w:val="none" w:sz="0" w:space="0" w:color="auto"/>
      </w:divBdr>
    </w:div>
    <w:div w:id="1901407014">
      <w:bodyDiv w:val="1"/>
      <w:marLeft w:val="0"/>
      <w:marRight w:val="0"/>
      <w:marTop w:val="0"/>
      <w:marBottom w:val="0"/>
      <w:divBdr>
        <w:top w:val="none" w:sz="0" w:space="0" w:color="auto"/>
        <w:left w:val="none" w:sz="0" w:space="0" w:color="auto"/>
        <w:bottom w:val="none" w:sz="0" w:space="0" w:color="auto"/>
        <w:right w:val="none" w:sz="0" w:space="0" w:color="auto"/>
      </w:divBdr>
    </w:div>
    <w:div w:id="1901476056">
      <w:bodyDiv w:val="1"/>
      <w:marLeft w:val="0"/>
      <w:marRight w:val="0"/>
      <w:marTop w:val="0"/>
      <w:marBottom w:val="0"/>
      <w:divBdr>
        <w:top w:val="none" w:sz="0" w:space="0" w:color="auto"/>
        <w:left w:val="none" w:sz="0" w:space="0" w:color="auto"/>
        <w:bottom w:val="none" w:sz="0" w:space="0" w:color="auto"/>
        <w:right w:val="none" w:sz="0" w:space="0" w:color="auto"/>
      </w:divBdr>
    </w:div>
    <w:div w:id="1901554018">
      <w:bodyDiv w:val="1"/>
      <w:marLeft w:val="0"/>
      <w:marRight w:val="0"/>
      <w:marTop w:val="0"/>
      <w:marBottom w:val="0"/>
      <w:divBdr>
        <w:top w:val="none" w:sz="0" w:space="0" w:color="auto"/>
        <w:left w:val="none" w:sz="0" w:space="0" w:color="auto"/>
        <w:bottom w:val="none" w:sz="0" w:space="0" w:color="auto"/>
        <w:right w:val="none" w:sz="0" w:space="0" w:color="auto"/>
      </w:divBdr>
    </w:div>
    <w:div w:id="1901594113">
      <w:bodyDiv w:val="1"/>
      <w:marLeft w:val="0"/>
      <w:marRight w:val="0"/>
      <w:marTop w:val="0"/>
      <w:marBottom w:val="0"/>
      <w:divBdr>
        <w:top w:val="none" w:sz="0" w:space="0" w:color="auto"/>
        <w:left w:val="none" w:sz="0" w:space="0" w:color="auto"/>
        <w:bottom w:val="none" w:sz="0" w:space="0" w:color="auto"/>
        <w:right w:val="none" w:sz="0" w:space="0" w:color="auto"/>
      </w:divBdr>
    </w:div>
    <w:div w:id="1901673452">
      <w:bodyDiv w:val="1"/>
      <w:marLeft w:val="0"/>
      <w:marRight w:val="0"/>
      <w:marTop w:val="0"/>
      <w:marBottom w:val="0"/>
      <w:divBdr>
        <w:top w:val="none" w:sz="0" w:space="0" w:color="auto"/>
        <w:left w:val="none" w:sz="0" w:space="0" w:color="auto"/>
        <w:bottom w:val="none" w:sz="0" w:space="0" w:color="auto"/>
        <w:right w:val="none" w:sz="0" w:space="0" w:color="auto"/>
      </w:divBdr>
    </w:div>
    <w:div w:id="1901793340">
      <w:bodyDiv w:val="1"/>
      <w:marLeft w:val="0"/>
      <w:marRight w:val="0"/>
      <w:marTop w:val="0"/>
      <w:marBottom w:val="0"/>
      <w:divBdr>
        <w:top w:val="none" w:sz="0" w:space="0" w:color="auto"/>
        <w:left w:val="none" w:sz="0" w:space="0" w:color="auto"/>
        <w:bottom w:val="none" w:sz="0" w:space="0" w:color="auto"/>
        <w:right w:val="none" w:sz="0" w:space="0" w:color="auto"/>
      </w:divBdr>
    </w:div>
    <w:div w:id="1902207357">
      <w:bodyDiv w:val="1"/>
      <w:marLeft w:val="0"/>
      <w:marRight w:val="0"/>
      <w:marTop w:val="0"/>
      <w:marBottom w:val="0"/>
      <w:divBdr>
        <w:top w:val="none" w:sz="0" w:space="0" w:color="auto"/>
        <w:left w:val="none" w:sz="0" w:space="0" w:color="auto"/>
        <w:bottom w:val="none" w:sz="0" w:space="0" w:color="auto"/>
        <w:right w:val="none" w:sz="0" w:space="0" w:color="auto"/>
      </w:divBdr>
    </w:div>
    <w:div w:id="1902254158">
      <w:bodyDiv w:val="1"/>
      <w:marLeft w:val="0"/>
      <w:marRight w:val="0"/>
      <w:marTop w:val="0"/>
      <w:marBottom w:val="0"/>
      <w:divBdr>
        <w:top w:val="none" w:sz="0" w:space="0" w:color="auto"/>
        <w:left w:val="none" w:sz="0" w:space="0" w:color="auto"/>
        <w:bottom w:val="none" w:sz="0" w:space="0" w:color="auto"/>
        <w:right w:val="none" w:sz="0" w:space="0" w:color="auto"/>
      </w:divBdr>
    </w:div>
    <w:div w:id="1902326047">
      <w:bodyDiv w:val="1"/>
      <w:marLeft w:val="0"/>
      <w:marRight w:val="0"/>
      <w:marTop w:val="0"/>
      <w:marBottom w:val="0"/>
      <w:divBdr>
        <w:top w:val="none" w:sz="0" w:space="0" w:color="auto"/>
        <w:left w:val="none" w:sz="0" w:space="0" w:color="auto"/>
        <w:bottom w:val="none" w:sz="0" w:space="0" w:color="auto"/>
        <w:right w:val="none" w:sz="0" w:space="0" w:color="auto"/>
      </w:divBdr>
    </w:div>
    <w:div w:id="1902400571">
      <w:bodyDiv w:val="1"/>
      <w:marLeft w:val="0"/>
      <w:marRight w:val="0"/>
      <w:marTop w:val="0"/>
      <w:marBottom w:val="0"/>
      <w:divBdr>
        <w:top w:val="none" w:sz="0" w:space="0" w:color="auto"/>
        <w:left w:val="none" w:sz="0" w:space="0" w:color="auto"/>
        <w:bottom w:val="none" w:sz="0" w:space="0" w:color="auto"/>
        <w:right w:val="none" w:sz="0" w:space="0" w:color="auto"/>
      </w:divBdr>
    </w:div>
    <w:div w:id="1902861613">
      <w:bodyDiv w:val="1"/>
      <w:marLeft w:val="0"/>
      <w:marRight w:val="0"/>
      <w:marTop w:val="0"/>
      <w:marBottom w:val="0"/>
      <w:divBdr>
        <w:top w:val="none" w:sz="0" w:space="0" w:color="auto"/>
        <w:left w:val="none" w:sz="0" w:space="0" w:color="auto"/>
        <w:bottom w:val="none" w:sz="0" w:space="0" w:color="auto"/>
        <w:right w:val="none" w:sz="0" w:space="0" w:color="auto"/>
      </w:divBdr>
    </w:div>
    <w:div w:id="1902981782">
      <w:bodyDiv w:val="1"/>
      <w:marLeft w:val="0"/>
      <w:marRight w:val="0"/>
      <w:marTop w:val="0"/>
      <w:marBottom w:val="0"/>
      <w:divBdr>
        <w:top w:val="none" w:sz="0" w:space="0" w:color="auto"/>
        <w:left w:val="none" w:sz="0" w:space="0" w:color="auto"/>
        <w:bottom w:val="none" w:sz="0" w:space="0" w:color="auto"/>
        <w:right w:val="none" w:sz="0" w:space="0" w:color="auto"/>
      </w:divBdr>
    </w:div>
    <w:div w:id="1903251894">
      <w:bodyDiv w:val="1"/>
      <w:marLeft w:val="0"/>
      <w:marRight w:val="0"/>
      <w:marTop w:val="0"/>
      <w:marBottom w:val="0"/>
      <w:divBdr>
        <w:top w:val="none" w:sz="0" w:space="0" w:color="auto"/>
        <w:left w:val="none" w:sz="0" w:space="0" w:color="auto"/>
        <w:bottom w:val="none" w:sz="0" w:space="0" w:color="auto"/>
        <w:right w:val="none" w:sz="0" w:space="0" w:color="auto"/>
      </w:divBdr>
    </w:div>
    <w:div w:id="1903327554">
      <w:bodyDiv w:val="1"/>
      <w:marLeft w:val="0"/>
      <w:marRight w:val="0"/>
      <w:marTop w:val="0"/>
      <w:marBottom w:val="0"/>
      <w:divBdr>
        <w:top w:val="none" w:sz="0" w:space="0" w:color="auto"/>
        <w:left w:val="none" w:sz="0" w:space="0" w:color="auto"/>
        <w:bottom w:val="none" w:sz="0" w:space="0" w:color="auto"/>
        <w:right w:val="none" w:sz="0" w:space="0" w:color="auto"/>
      </w:divBdr>
    </w:div>
    <w:div w:id="1903442781">
      <w:bodyDiv w:val="1"/>
      <w:marLeft w:val="0"/>
      <w:marRight w:val="0"/>
      <w:marTop w:val="0"/>
      <w:marBottom w:val="0"/>
      <w:divBdr>
        <w:top w:val="none" w:sz="0" w:space="0" w:color="auto"/>
        <w:left w:val="none" w:sz="0" w:space="0" w:color="auto"/>
        <w:bottom w:val="none" w:sz="0" w:space="0" w:color="auto"/>
        <w:right w:val="none" w:sz="0" w:space="0" w:color="auto"/>
      </w:divBdr>
    </w:div>
    <w:div w:id="1903714902">
      <w:bodyDiv w:val="1"/>
      <w:marLeft w:val="0"/>
      <w:marRight w:val="0"/>
      <w:marTop w:val="0"/>
      <w:marBottom w:val="0"/>
      <w:divBdr>
        <w:top w:val="none" w:sz="0" w:space="0" w:color="auto"/>
        <w:left w:val="none" w:sz="0" w:space="0" w:color="auto"/>
        <w:bottom w:val="none" w:sz="0" w:space="0" w:color="auto"/>
        <w:right w:val="none" w:sz="0" w:space="0" w:color="auto"/>
      </w:divBdr>
    </w:div>
    <w:div w:id="1903716916">
      <w:bodyDiv w:val="1"/>
      <w:marLeft w:val="0"/>
      <w:marRight w:val="0"/>
      <w:marTop w:val="0"/>
      <w:marBottom w:val="0"/>
      <w:divBdr>
        <w:top w:val="none" w:sz="0" w:space="0" w:color="auto"/>
        <w:left w:val="none" w:sz="0" w:space="0" w:color="auto"/>
        <w:bottom w:val="none" w:sz="0" w:space="0" w:color="auto"/>
        <w:right w:val="none" w:sz="0" w:space="0" w:color="auto"/>
      </w:divBdr>
    </w:div>
    <w:div w:id="1903783852">
      <w:bodyDiv w:val="1"/>
      <w:marLeft w:val="0"/>
      <w:marRight w:val="0"/>
      <w:marTop w:val="0"/>
      <w:marBottom w:val="0"/>
      <w:divBdr>
        <w:top w:val="none" w:sz="0" w:space="0" w:color="auto"/>
        <w:left w:val="none" w:sz="0" w:space="0" w:color="auto"/>
        <w:bottom w:val="none" w:sz="0" w:space="0" w:color="auto"/>
        <w:right w:val="none" w:sz="0" w:space="0" w:color="auto"/>
      </w:divBdr>
    </w:div>
    <w:div w:id="1904562158">
      <w:bodyDiv w:val="1"/>
      <w:marLeft w:val="0"/>
      <w:marRight w:val="0"/>
      <w:marTop w:val="0"/>
      <w:marBottom w:val="0"/>
      <w:divBdr>
        <w:top w:val="none" w:sz="0" w:space="0" w:color="auto"/>
        <w:left w:val="none" w:sz="0" w:space="0" w:color="auto"/>
        <w:bottom w:val="none" w:sz="0" w:space="0" w:color="auto"/>
        <w:right w:val="none" w:sz="0" w:space="0" w:color="auto"/>
      </w:divBdr>
    </w:div>
    <w:div w:id="1904638977">
      <w:bodyDiv w:val="1"/>
      <w:marLeft w:val="0"/>
      <w:marRight w:val="0"/>
      <w:marTop w:val="0"/>
      <w:marBottom w:val="0"/>
      <w:divBdr>
        <w:top w:val="none" w:sz="0" w:space="0" w:color="auto"/>
        <w:left w:val="none" w:sz="0" w:space="0" w:color="auto"/>
        <w:bottom w:val="none" w:sz="0" w:space="0" w:color="auto"/>
        <w:right w:val="none" w:sz="0" w:space="0" w:color="auto"/>
      </w:divBdr>
    </w:div>
    <w:div w:id="1904682753">
      <w:bodyDiv w:val="1"/>
      <w:marLeft w:val="0"/>
      <w:marRight w:val="0"/>
      <w:marTop w:val="0"/>
      <w:marBottom w:val="0"/>
      <w:divBdr>
        <w:top w:val="none" w:sz="0" w:space="0" w:color="auto"/>
        <w:left w:val="none" w:sz="0" w:space="0" w:color="auto"/>
        <w:bottom w:val="none" w:sz="0" w:space="0" w:color="auto"/>
        <w:right w:val="none" w:sz="0" w:space="0" w:color="auto"/>
      </w:divBdr>
    </w:div>
    <w:div w:id="1905331812">
      <w:bodyDiv w:val="1"/>
      <w:marLeft w:val="0"/>
      <w:marRight w:val="0"/>
      <w:marTop w:val="0"/>
      <w:marBottom w:val="0"/>
      <w:divBdr>
        <w:top w:val="none" w:sz="0" w:space="0" w:color="auto"/>
        <w:left w:val="none" w:sz="0" w:space="0" w:color="auto"/>
        <w:bottom w:val="none" w:sz="0" w:space="0" w:color="auto"/>
        <w:right w:val="none" w:sz="0" w:space="0" w:color="auto"/>
      </w:divBdr>
    </w:div>
    <w:div w:id="1905524780">
      <w:bodyDiv w:val="1"/>
      <w:marLeft w:val="0"/>
      <w:marRight w:val="0"/>
      <w:marTop w:val="0"/>
      <w:marBottom w:val="0"/>
      <w:divBdr>
        <w:top w:val="none" w:sz="0" w:space="0" w:color="auto"/>
        <w:left w:val="none" w:sz="0" w:space="0" w:color="auto"/>
        <w:bottom w:val="none" w:sz="0" w:space="0" w:color="auto"/>
        <w:right w:val="none" w:sz="0" w:space="0" w:color="auto"/>
      </w:divBdr>
    </w:div>
    <w:div w:id="1905797251">
      <w:bodyDiv w:val="1"/>
      <w:marLeft w:val="0"/>
      <w:marRight w:val="0"/>
      <w:marTop w:val="0"/>
      <w:marBottom w:val="0"/>
      <w:divBdr>
        <w:top w:val="none" w:sz="0" w:space="0" w:color="auto"/>
        <w:left w:val="none" w:sz="0" w:space="0" w:color="auto"/>
        <w:bottom w:val="none" w:sz="0" w:space="0" w:color="auto"/>
        <w:right w:val="none" w:sz="0" w:space="0" w:color="auto"/>
      </w:divBdr>
    </w:div>
    <w:div w:id="1905876224">
      <w:bodyDiv w:val="1"/>
      <w:marLeft w:val="0"/>
      <w:marRight w:val="0"/>
      <w:marTop w:val="0"/>
      <w:marBottom w:val="0"/>
      <w:divBdr>
        <w:top w:val="none" w:sz="0" w:space="0" w:color="auto"/>
        <w:left w:val="none" w:sz="0" w:space="0" w:color="auto"/>
        <w:bottom w:val="none" w:sz="0" w:space="0" w:color="auto"/>
        <w:right w:val="none" w:sz="0" w:space="0" w:color="auto"/>
      </w:divBdr>
    </w:div>
    <w:div w:id="1906376764">
      <w:bodyDiv w:val="1"/>
      <w:marLeft w:val="0"/>
      <w:marRight w:val="0"/>
      <w:marTop w:val="0"/>
      <w:marBottom w:val="0"/>
      <w:divBdr>
        <w:top w:val="none" w:sz="0" w:space="0" w:color="auto"/>
        <w:left w:val="none" w:sz="0" w:space="0" w:color="auto"/>
        <w:bottom w:val="none" w:sz="0" w:space="0" w:color="auto"/>
        <w:right w:val="none" w:sz="0" w:space="0" w:color="auto"/>
      </w:divBdr>
    </w:div>
    <w:div w:id="1906378495">
      <w:bodyDiv w:val="1"/>
      <w:marLeft w:val="0"/>
      <w:marRight w:val="0"/>
      <w:marTop w:val="0"/>
      <w:marBottom w:val="0"/>
      <w:divBdr>
        <w:top w:val="none" w:sz="0" w:space="0" w:color="auto"/>
        <w:left w:val="none" w:sz="0" w:space="0" w:color="auto"/>
        <w:bottom w:val="none" w:sz="0" w:space="0" w:color="auto"/>
        <w:right w:val="none" w:sz="0" w:space="0" w:color="auto"/>
      </w:divBdr>
    </w:div>
    <w:div w:id="1906448552">
      <w:bodyDiv w:val="1"/>
      <w:marLeft w:val="0"/>
      <w:marRight w:val="0"/>
      <w:marTop w:val="0"/>
      <w:marBottom w:val="0"/>
      <w:divBdr>
        <w:top w:val="none" w:sz="0" w:space="0" w:color="auto"/>
        <w:left w:val="none" w:sz="0" w:space="0" w:color="auto"/>
        <w:bottom w:val="none" w:sz="0" w:space="0" w:color="auto"/>
        <w:right w:val="none" w:sz="0" w:space="0" w:color="auto"/>
      </w:divBdr>
    </w:div>
    <w:div w:id="1906644809">
      <w:bodyDiv w:val="1"/>
      <w:marLeft w:val="0"/>
      <w:marRight w:val="0"/>
      <w:marTop w:val="0"/>
      <w:marBottom w:val="0"/>
      <w:divBdr>
        <w:top w:val="none" w:sz="0" w:space="0" w:color="auto"/>
        <w:left w:val="none" w:sz="0" w:space="0" w:color="auto"/>
        <w:bottom w:val="none" w:sz="0" w:space="0" w:color="auto"/>
        <w:right w:val="none" w:sz="0" w:space="0" w:color="auto"/>
      </w:divBdr>
    </w:div>
    <w:div w:id="1906716671">
      <w:bodyDiv w:val="1"/>
      <w:marLeft w:val="0"/>
      <w:marRight w:val="0"/>
      <w:marTop w:val="0"/>
      <w:marBottom w:val="0"/>
      <w:divBdr>
        <w:top w:val="none" w:sz="0" w:space="0" w:color="auto"/>
        <w:left w:val="none" w:sz="0" w:space="0" w:color="auto"/>
        <w:bottom w:val="none" w:sz="0" w:space="0" w:color="auto"/>
        <w:right w:val="none" w:sz="0" w:space="0" w:color="auto"/>
      </w:divBdr>
    </w:div>
    <w:div w:id="1906717590">
      <w:bodyDiv w:val="1"/>
      <w:marLeft w:val="0"/>
      <w:marRight w:val="0"/>
      <w:marTop w:val="0"/>
      <w:marBottom w:val="0"/>
      <w:divBdr>
        <w:top w:val="none" w:sz="0" w:space="0" w:color="auto"/>
        <w:left w:val="none" w:sz="0" w:space="0" w:color="auto"/>
        <w:bottom w:val="none" w:sz="0" w:space="0" w:color="auto"/>
        <w:right w:val="none" w:sz="0" w:space="0" w:color="auto"/>
      </w:divBdr>
    </w:div>
    <w:div w:id="1906718511">
      <w:bodyDiv w:val="1"/>
      <w:marLeft w:val="0"/>
      <w:marRight w:val="0"/>
      <w:marTop w:val="0"/>
      <w:marBottom w:val="0"/>
      <w:divBdr>
        <w:top w:val="none" w:sz="0" w:space="0" w:color="auto"/>
        <w:left w:val="none" w:sz="0" w:space="0" w:color="auto"/>
        <w:bottom w:val="none" w:sz="0" w:space="0" w:color="auto"/>
        <w:right w:val="none" w:sz="0" w:space="0" w:color="auto"/>
      </w:divBdr>
    </w:div>
    <w:div w:id="1906718579">
      <w:bodyDiv w:val="1"/>
      <w:marLeft w:val="0"/>
      <w:marRight w:val="0"/>
      <w:marTop w:val="0"/>
      <w:marBottom w:val="0"/>
      <w:divBdr>
        <w:top w:val="none" w:sz="0" w:space="0" w:color="auto"/>
        <w:left w:val="none" w:sz="0" w:space="0" w:color="auto"/>
        <w:bottom w:val="none" w:sz="0" w:space="0" w:color="auto"/>
        <w:right w:val="none" w:sz="0" w:space="0" w:color="auto"/>
      </w:divBdr>
    </w:div>
    <w:div w:id="1906718584">
      <w:bodyDiv w:val="1"/>
      <w:marLeft w:val="0"/>
      <w:marRight w:val="0"/>
      <w:marTop w:val="0"/>
      <w:marBottom w:val="0"/>
      <w:divBdr>
        <w:top w:val="none" w:sz="0" w:space="0" w:color="auto"/>
        <w:left w:val="none" w:sz="0" w:space="0" w:color="auto"/>
        <w:bottom w:val="none" w:sz="0" w:space="0" w:color="auto"/>
        <w:right w:val="none" w:sz="0" w:space="0" w:color="auto"/>
      </w:divBdr>
    </w:div>
    <w:div w:id="1907454050">
      <w:bodyDiv w:val="1"/>
      <w:marLeft w:val="0"/>
      <w:marRight w:val="0"/>
      <w:marTop w:val="0"/>
      <w:marBottom w:val="0"/>
      <w:divBdr>
        <w:top w:val="none" w:sz="0" w:space="0" w:color="auto"/>
        <w:left w:val="none" w:sz="0" w:space="0" w:color="auto"/>
        <w:bottom w:val="none" w:sz="0" w:space="0" w:color="auto"/>
        <w:right w:val="none" w:sz="0" w:space="0" w:color="auto"/>
      </w:divBdr>
    </w:div>
    <w:div w:id="1907643170">
      <w:bodyDiv w:val="1"/>
      <w:marLeft w:val="0"/>
      <w:marRight w:val="0"/>
      <w:marTop w:val="0"/>
      <w:marBottom w:val="0"/>
      <w:divBdr>
        <w:top w:val="none" w:sz="0" w:space="0" w:color="auto"/>
        <w:left w:val="none" w:sz="0" w:space="0" w:color="auto"/>
        <w:bottom w:val="none" w:sz="0" w:space="0" w:color="auto"/>
        <w:right w:val="none" w:sz="0" w:space="0" w:color="auto"/>
      </w:divBdr>
    </w:div>
    <w:div w:id="1907765824">
      <w:bodyDiv w:val="1"/>
      <w:marLeft w:val="0"/>
      <w:marRight w:val="0"/>
      <w:marTop w:val="0"/>
      <w:marBottom w:val="0"/>
      <w:divBdr>
        <w:top w:val="none" w:sz="0" w:space="0" w:color="auto"/>
        <w:left w:val="none" w:sz="0" w:space="0" w:color="auto"/>
        <w:bottom w:val="none" w:sz="0" w:space="0" w:color="auto"/>
        <w:right w:val="none" w:sz="0" w:space="0" w:color="auto"/>
      </w:divBdr>
    </w:div>
    <w:div w:id="1907838475">
      <w:bodyDiv w:val="1"/>
      <w:marLeft w:val="0"/>
      <w:marRight w:val="0"/>
      <w:marTop w:val="0"/>
      <w:marBottom w:val="0"/>
      <w:divBdr>
        <w:top w:val="none" w:sz="0" w:space="0" w:color="auto"/>
        <w:left w:val="none" w:sz="0" w:space="0" w:color="auto"/>
        <w:bottom w:val="none" w:sz="0" w:space="0" w:color="auto"/>
        <w:right w:val="none" w:sz="0" w:space="0" w:color="auto"/>
      </w:divBdr>
    </w:div>
    <w:div w:id="1907954459">
      <w:bodyDiv w:val="1"/>
      <w:marLeft w:val="0"/>
      <w:marRight w:val="0"/>
      <w:marTop w:val="0"/>
      <w:marBottom w:val="0"/>
      <w:divBdr>
        <w:top w:val="none" w:sz="0" w:space="0" w:color="auto"/>
        <w:left w:val="none" w:sz="0" w:space="0" w:color="auto"/>
        <w:bottom w:val="none" w:sz="0" w:space="0" w:color="auto"/>
        <w:right w:val="none" w:sz="0" w:space="0" w:color="auto"/>
      </w:divBdr>
    </w:div>
    <w:div w:id="1908228340">
      <w:bodyDiv w:val="1"/>
      <w:marLeft w:val="0"/>
      <w:marRight w:val="0"/>
      <w:marTop w:val="0"/>
      <w:marBottom w:val="0"/>
      <w:divBdr>
        <w:top w:val="none" w:sz="0" w:space="0" w:color="auto"/>
        <w:left w:val="none" w:sz="0" w:space="0" w:color="auto"/>
        <w:bottom w:val="none" w:sz="0" w:space="0" w:color="auto"/>
        <w:right w:val="none" w:sz="0" w:space="0" w:color="auto"/>
      </w:divBdr>
    </w:div>
    <w:div w:id="1908606924">
      <w:bodyDiv w:val="1"/>
      <w:marLeft w:val="0"/>
      <w:marRight w:val="0"/>
      <w:marTop w:val="0"/>
      <w:marBottom w:val="0"/>
      <w:divBdr>
        <w:top w:val="none" w:sz="0" w:space="0" w:color="auto"/>
        <w:left w:val="none" w:sz="0" w:space="0" w:color="auto"/>
        <w:bottom w:val="none" w:sz="0" w:space="0" w:color="auto"/>
        <w:right w:val="none" w:sz="0" w:space="0" w:color="auto"/>
      </w:divBdr>
    </w:div>
    <w:div w:id="1909028699">
      <w:bodyDiv w:val="1"/>
      <w:marLeft w:val="0"/>
      <w:marRight w:val="0"/>
      <w:marTop w:val="0"/>
      <w:marBottom w:val="0"/>
      <w:divBdr>
        <w:top w:val="none" w:sz="0" w:space="0" w:color="auto"/>
        <w:left w:val="none" w:sz="0" w:space="0" w:color="auto"/>
        <w:bottom w:val="none" w:sz="0" w:space="0" w:color="auto"/>
        <w:right w:val="none" w:sz="0" w:space="0" w:color="auto"/>
      </w:divBdr>
    </w:div>
    <w:div w:id="1909077432">
      <w:bodyDiv w:val="1"/>
      <w:marLeft w:val="0"/>
      <w:marRight w:val="0"/>
      <w:marTop w:val="0"/>
      <w:marBottom w:val="0"/>
      <w:divBdr>
        <w:top w:val="none" w:sz="0" w:space="0" w:color="auto"/>
        <w:left w:val="none" w:sz="0" w:space="0" w:color="auto"/>
        <w:bottom w:val="none" w:sz="0" w:space="0" w:color="auto"/>
        <w:right w:val="none" w:sz="0" w:space="0" w:color="auto"/>
      </w:divBdr>
    </w:div>
    <w:div w:id="1909222034">
      <w:bodyDiv w:val="1"/>
      <w:marLeft w:val="0"/>
      <w:marRight w:val="0"/>
      <w:marTop w:val="0"/>
      <w:marBottom w:val="0"/>
      <w:divBdr>
        <w:top w:val="none" w:sz="0" w:space="0" w:color="auto"/>
        <w:left w:val="none" w:sz="0" w:space="0" w:color="auto"/>
        <w:bottom w:val="none" w:sz="0" w:space="0" w:color="auto"/>
        <w:right w:val="none" w:sz="0" w:space="0" w:color="auto"/>
      </w:divBdr>
    </w:div>
    <w:div w:id="1909261294">
      <w:bodyDiv w:val="1"/>
      <w:marLeft w:val="0"/>
      <w:marRight w:val="0"/>
      <w:marTop w:val="0"/>
      <w:marBottom w:val="0"/>
      <w:divBdr>
        <w:top w:val="none" w:sz="0" w:space="0" w:color="auto"/>
        <w:left w:val="none" w:sz="0" w:space="0" w:color="auto"/>
        <w:bottom w:val="none" w:sz="0" w:space="0" w:color="auto"/>
        <w:right w:val="none" w:sz="0" w:space="0" w:color="auto"/>
      </w:divBdr>
    </w:div>
    <w:div w:id="1909686226">
      <w:bodyDiv w:val="1"/>
      <w:marLeft w:val="0"/>
      <w:marRight w:val="0"/>
      <w:marTop w:val="0"/>
      <w:marBottom w:val="0"/>
      <w:divBdr>
        <w:top w:val="none" w:sz="0" w:space="0" w:color="auto"/>
        <w:left w:val="none" w:sz="0" w:space="0" w:color="auto"/>
        <w:bottom w:val="none" w:sz="0" w:space="0" w:color="auto"/>
        <w:right w:val="none" w:sz="0" w:space="0" w:color="auto"/>
      </w:divBdr>
    </w:div>
    <w:div w:id="1909801612">
      <w:bodyDiv w:val="1"/>
      <w:marLeft w:val="0"/>
      <w:marRight w:val="0"/>
      <w:marTop w:val="0"/>
      <w:marBottom w:val="0"/>
      <w:divBdr>
        <w:top w:val="none" w:sz="0" w:space="0" w:color="auto"/>
        <w:left w:val="none" w:sz="0" w:space="0" w:color="auto"/>
        <w:bottom w:val="none" w:sz="0" w:space="0" w:color="auto"/>
        <w:right w:val="none" w:sz="0" w:space="0" w:color="auto"/>
      </w:divBdr>
    </w:div>
    <w:div w:id="1909921741">
      <w:bodyDiv w:val="1"/>
      <w:marLeft w:val="0"/>
      <w:marRight w:val="0"/>
      <w:marTop w:val="0"/>
      <w:marBottom w:val="0"/>
      <w:divBdr>
        <w:top w:val="none" w:sz="0" w:space="0" w:color="auto"/>
        <w:left w:val="none" w:sz="0" w:space="0" w:color="auto"/>
        <w:bottom w:val="none" w:sz="0" w:space="0" w:color="auto"/>
        <w:right w:val="none" w:sz="0" w:space="0" w:color="auto"/>
      </w:divBdr>
    </w:div>
    <w:div w:id="1910336934">
      <w:bodyDiv w:val="1"/>
      <w:marLeft w:val="0"/>
      <w:marRight w:val="0"/>
      <w:marTop w:val="0"/>
      <w:marBottom w:val="0"/>
      <w:divBdr>
        <w:top w:val="none" w:sz="0" w:space="0" w:color="auto"/>
        <w:left w:val="none" w:sz="0" w:space="0" w:color="auto"/>
        <w:bottom w:val="none" w:sz="0" w:space="0" w:color="auto"/>
        <w:right w:val="none" w:sz="0" w:space="0" w:color="auto"/>
      </w:divBdr>
    </w:div>
    <w:div w:id="1910457070">
      <w:bodyDiv w:val="1"/>
      <w:marLeft w:val="0"/>
      <w:marRight w:val="0"/>
      <w:marTop w:val="0"/>
      <w:marBottom w:val="0"/>
      <w:divBdr>
        <w:top w:val="none" w:sz="0" w:space="0" w:color="auto"/>
        <w:left w:val="none" w:sz="0" w:space="0" w:color="auto"/>
        <w:bottom w:val="none" w:sz="0" w:space="0" w:color="auto"/>
        <w:right w:val="none" w:sz="0" w:space="0" w:color="auto"/>
      </w:divBdr>
    </w:div>
    <w:div w:id="1910532479">
      <w:bodyDiv w:val="1"/>
      <w:marLeft w:val="0"/>
      <w:marRight w:val="0"/>
      <w:marTop w:val="0"/>
      <w:marBottom w:val="0"/>
      <w:divBdr>
        <w:top w:val="none" w:sz="0" w:space="0" w:color="auto"/>
        <w:left w:val="none" w:sz="0" w:space="0" w:color="auto"/>
        <w:bottom w:val="none" w:sz="0" w:space="0" w:color="auto"/>
        <w:right w:val="none" w:sz="0" w:space="0" w:color="auto"/>
      </w:divBdr>
    </w:div>
    <w:div w:id="1910964260">
      <w:bodyDiv w:val="1"/>
      <w:marLeft w:val="0"/>
      <w:marRight w:val="0"/>
      <w:marTop w:val="0"/>
      <w:marBottom w:val="0"/>
      <w:divBdr>
        <w:top w:val="none" w:sz="0" w:space="0" w:color="auto"/>
        <w:left w:val="none" w:sz="0" w:space="0" w:color="auto"/>
        <w:bottom w:val="none" w:sz="0" w:space="0" w:color="auto"/>
        <w:right w:val="none" w:sz="0" w:space="0" w:color="auto"/>
      </w:divBdr>
    </w:div>
    <w:div w:id="1911235214">
      <w:bodyDiv w:val="1"/>
      <w:marLeft w:val="0"/>
      <w:marRight w:val="0"/>
      <w:marTop w:val="0"/>
      <w:marBottom w:val="0"/>
      <w:divBdr>
        <w:top w:val="none" w:sz="0" w:space="0" w:color="auto"/>
        <w:left w:val="none" w:sz="0" w:space="0" w:color="auto"/>
        <w:bottom w:val="none" w:sz="0" w:space="0" w:color="auto"/>
        <w:right w:val="none" w:sz="0" w:space="0" w:color="auto"/>
      </w:divBdr>
    </w:div>
    <w:div w:id="1911380839">
      <w:bodyDiv w:val="1"/>
      <w:marLeft w:val="0"/>
      <w:marRight w:val="0"/>
      <w:marTop w:val="0"/>
      <w:marBottom w:val="0"/>
      <w:divBdr>
        <w:top w:val="none" w:sz="0" w:space="0" w:color="auto"/>
        <w:left w:val="none" w:sz="0" w:space="0" w:color="auto"/>
        <w:bottom w:val="none" w:sz="0" w:space="0" w:color="auto"/>
        <w:right w:val="none" w:sz="0" w:space="0" w:color="auto"/>
      </w:divBdr>
    </w:div>
    <w:div w:id="1911381853">
      <w:bodyDiv w:val="1"/>
      <w:marLeft w:val="0"/>
      <w:marRight w:val="0"/>
      <w:marTop w:val="0"/>
      <w:marBottom w:val="0"/>
      <w:divBdr>
        <w:top w:val="none" w:sz="0" w:space="0" w:color="auto"/>
        <w:left w:val="none" w:sz="0" w:space="0" w:color="auto"/>
        <w:bottom w:val="none" w:sz="0" w:space="0" w:color="auto"/>
        <w:right w:val="none" w:sz="0" w:space="0" w:color="auto"/>
      </w:divBdr>
    </w:div>
    <w:div w:id="1911381857">
      <w:bodyDiv w:val="1"/>
      <w:marLeft w:val="0"/>
      <w:marRight w:val="0"/>
      <w:marTop w:val="0"/>
      <w:marBottom w:val="0"/>
      <w:divBdr>
        <w:top w:val="none" w:sz="0" w:space="0" w:color="auto"/>
        <w:left w:val="none" w:sz="0" w:space="0" w:color="auto"/>
        <w:bottom w:val="none" w:sz="0" w:space="0" w:color="auto"/>
        <w:right w:val="none" w:sz="0" w:space="0" w:color="auto"/>
      </w:divBdr>
    </w:div>
    <w:div w:id="1911425098">
      <w:bodyDiv w:val="1"/>
      <w:marLeft w:val="0"/>
      <w:marRight w:val="0"/>
      <w:marTop w:val="0"/>
      <w:marBottom w:val="0"/>
      <w:divBdr>
        <w:top w:val="none" w:sz="0" w:space="0" w:color="auto"/>
        <w:left w:val="none" w:sz="0" w:space="0" w:color="auto"/>
        <w:bottom w:val="none" w:sz="0" w:space="0" w:color="auto"/>
        <w:right w:val="none" w:sz="0" w:space="0" w:color="auto"/>
      </w:divBdr>
    </w:div>
    <w:div w:id="1911691855">
      <w:bodyDiv w:val="1"/>
      <w:marLeft w:val="0"/>
      <w:marRight w:val="0"/>
      <w:marTop w:val="0"/>
      <w:marBottom w:val="0"/>
      <w:divBdr>
        <w:top w:val="none" w:sz="0" w:space="0" w:color="auto"/>
        <w:left w:val="none" w:sz="0" w:space="0" w:color="auto"/>
        <w:bottom w:val="none" w:sz="0" w:space="0" w:color="auto"/>
        <w:right w:val="none" w:sz="0" w:space="0" w:color="auto"/>
      </w:divBdr>
    </w:div>
    <w:div w:id="1912152913">
      <w:bodyDiv w:val="1"/>
      <w:marLeft w:val="0"/>
      <w:marRight w:val="0"/>
      <w:marTop w:val="0"/>
      <w:marBottom w:val="0"/>
      <w:divBdr>
        <w:top w:val="none" w:sz="0" w:space="0" w:color="auto"/>
        <w:left w:val="none" w:sz="0" w:space="0" w:color="auto"/>
        <w:bottom w:val="none" w:sz="0" w:space="0" w:color="auto"/>
        <w:right w:val="none" w:sz="0" w:space="0" w:color="auto"/>
      </w:divBdr>
    </w:div>
    <w:div w:id="1912278431">
      <w:bodyDiv w:val="1"/>
      <w:marLeft w:val="0"/>
      <w:marRight w:val="0"/>
      <w:marTop w:val="0"/>
      <w:marBottom w:val="0"/>
      <w:divBdr>
        <w:top w:val="none" w:sz="0" w:space="0" w:color="auto"/>
        <w:left w:val="none" w:sz="0" w:space="0" w:color="auto"/>
        <w:bottom w:val="none" w:sz="0" w:space="0" w:color="auto"/>
        <w:right w:val="none" w:sz="0" w:space="0" w:color="auto"/>
      </w:divBdr>
    </w:div>
    <w:div w:id="1912419819">
      <w:bodyDiv w:val="1"/>
      <w:marLeft w:val="0"/>
      <w:marRight w:val="0"/>
      <w:marTop w:val="0"/>
      <w:marBottom w:val="0"/>
      <w:divBdr>
        <w:top w:val="none" w:sz="0" w:space="0" w:color="auto"/>
        <w:left w:val="none" w:sz="0" w:space="0" w:color="auto"/>
        <w:bottom w:val="none" w:sz="0" w:space="0" w:color="auto"/>
        <w:right w:val="none" w:sz="0" w:space="0" w:color="auto"/>
      </w:divBdr>
    </w:div>
    <w:div w:id="1912810996">
      <w:bodyDiv w:val="1"/>
      <w:marLeft w:val="0"/>
      <w:marRight w:val="0"/>
      <w:marTop w:val="0"/>
      <w:marBottom w:val="0"/>
      <w:divBdr>
        <w:top w:val="none" w:sz="0" w:space="0" w:color="auto"/>
        <w:left w:val="none" w:sz="0" w:space="0" w:color="auto"/>
        <w:bottom w:val="none" w:sz="0" w:space="0" w:color="auto"/>
        <w:right w:val="none" w:sz="0" w:space="0" w:color="auto"/>
      </w:divBdr>
    </w:div>
    <w:div w:id="1912889516">
      <w:bodyDiv w:val="1"/>
      <w:marLeft w:val="0"/>
      <w:marRight w:val="0"/>
      <w:marTop w:val="0"/>
      <w:marBottom w:val="0"/>
      <w:divBdr>
        <w:top w:val="none" w:sz="0" w:space="0" w:color="auto"/>
        <w:left w:val="none" w:sz="0" w:space="0" w:color="auto"/>
        <w:bottom w:val="none" w:sz="0" w:space="0" w:color="auto"/>
        <w:right w:val="none" w:sz="0" w:space="0" w:color="auto"/>
      </w:divBdr>
    </w:div>
    <w:div w:id="1912959286">
      <w:bodyDiv w:val="1"/>
      <w:marLeft w:val="0"/>
      <w:marRight w:val="0"/>
      <w:marTop w:val="0"/>
      <w:marBottom w:val="0"/>
      <w:divBdr>
        <w:top w:val="none" w:sz="0" w:space="0" w:color="auto"/>
        <w:left w:val="none" w:sz="0" w:space="0" w:color="auto"/>
        <w:bottom w:val="none" w:sz="0" w:space="0" w:color="auto"/>
        <w:right w:val="none" w:sz="0" w:space="0" w:color="auto"/>
      </w:divBdr>
    </w:div>
    <w:div w:id="1912999343">
      <w:bodyDiv w:val="1"/>
      <w:marLeft w:val="0"/>
      <w:marRight w:val="0"/>
      <w:marTop w:val="0"/>
      <w:marBottom w:val="0"/>
      <w:divBdr>
        <w:top w:val="none" w:sz="0" w:space="0" w:color="auto"/>
        <w:left w:val="none" w:sz="0" w:space="0" w:color="auto"/>
        <w:bottom w:val="none" w:sz="0" w:space="0" w:color="auto"/>
        <w:right w:val="none" w:sz="0" w:space="0" w:color="auto"/>
      </w:divBdr>
    </w:div>
    <w:div w:id="1913080082">
      <w:bodyDiv w:val="1"/>
      <w:marLeft w:val="0"/>
      <w:marRight w:val="0"/>
      <w:marTop w:val="0"/>
      <w:marBottom w:val="0"/>
      <w:divBdr>
        <w:top w:val="none" w:sz="0" w:space="0" w:color="auto"/>
        <w:left w:val="none" w:sz="0" w:space="0" w:color="auto"/>
        <w:bottom w:val="none" w:sz="0" w:space="0" w:color="auto"/>
        <w:right w:val="none" w:sz="0" w:space="0" w:color="auto"/>
      </w:divBdr>
    </w:div>
    <w:div w:id="1913201491">
      <w:bodyDiv w:val="1"/>
      <w:marLeft w:val="0"/>
      <w:marRight w:val="0"/>
      <w:marTop w:val="0"/>
      <w:marBottom w:val="0"/>
      <w:divBdr>
        <w:top w:val="none" w:sz="0" w:space="0" w:color="auto"/>
        <w:left w:val="none" w:sz="0" w:space="0" w:color="auto"/>
        <w:bottom w:val="none" w:sz="0" w:space="0" w:color="auto"/>
        <w:right w:val="none" w:sz="0" w:space="0" w:color="auto"/>
      </w:divBdr>
    </w:div>
    <w:div w:id="1913274516">
      <w:bodyDiv w:val="1"/>
      <w:marLeft w:val="0"/>
      <w:marRight w:val="0"/>
      <w:marTop w:val="0"/>
      <w:marBottom w:val="0"/>
      <w:divBdr>
        <w:top w:val="none" w:sz="0" w:space="0" w:color="auto"/>
        <w:left w:val="none" w:sz="0" w:space="0" w:color="auto"/>
        <w:bottom w:val="none" w:sz="0" w:space="0" w:color="auto"/>
        <w:right w:val="none" w:sz="0" w:space="0" w:color="auto"/>
      </w:divBdr>
    </w:div>
    <w:div w:id="1913391115">
      <w:bodyDiv w:val="1"/>
      <w:marLeft w:val="0"/>
      <w:marRight w:val="0"/>
      <w:marTop w:val="0"/>
      <w:marBottom w:val="0"/>
      <w:divBdr>
        <w:top w:val="none" w:sz="0" w:space="0" w:color="auto"/>
        <w:left w:val="none" w:sz="0" w:space="0" w:color="auto"/>
        <w:bottom w:val="none" w:sz="0" w:space="0" w:color="auto"/>
        <w:right w:val="none" w:sz="0" w:space="0" w:color="auto"/>
      </w:divBdr>
    </w:div>
    <w:div w:id="1913391731">
      <w:bodyDiv w:val="1"/>
      <w:marLeft w:val="0"/>
      <w:marRight w:val="0"/>
      <w:marTop w:val="0"/>
      <w:marBottom w:val="0"/>
      <w:divBdr>
        <w:top w:val="none" w:sz="0" w:space="0" w:color="auto"/>
        <w:left w:val="none" w:sz="0" w:space="0" w:color="auto"/>
        <w:bottom w:val="none" w:sz="0" w:space="0" w:color="auto"/>
        <w:right w:val="none" w:sz="0" w:space="0" w:color="auto"/>
      </w:divBdr>
    </w:div>
    <w:div w:id="1913420210">
      <w:bodyDiv w:val="1"/>
      <w:marLeft w:val="0"/>
      <w:marRight w:val="0"/>
      <w:marTop w:val="0"/>
      <w:marBottom w:val="0"/>
      <w:divBdr>
        <w:top w:val="none" w:sz="0" w:space="0" w:color="auto"/>
        <w:left w:val="none" w:sz="0" w:space="0" w:color="auto"/>
        <w:bottom w:val="none" w:sz="0" w:space="0" w:color="auto"/>
        <w:right w:val="none" w:sz="0" w:space="0" w:color="auto"/>
      </w:divBdr>
    </w:div>
    <w:div w:id="1913616143">
      <w:bodyDiv w:val="1"/>
      <w:marLeft w:val="0"/>
      <w:marRight w:val="0"/>
      <w:marTop w:val="0"/>
      <w:marBottom w:val="0"/>
      <w:divBdr>
        <w:top w:val="none" w:sz="0" w:space="0" w:color="auto"/>
        <w:left w:val="none" w:sz="0" w:space="0" w:color="auto"/>
        <w:bottom w:val="none" w:sz="0" w:space="0" w:color="auto"/>
        <w:right w:val="none" w:sz="0" w:space="0" w:color="auto"/>
      </w:divBdr>
    </w:div>
    <w:div w:id="1913849550">
      <w:bodyDiv w:val="1"/>
      <w:marLeft w:val="0"/>
      <w:marRight w:val="0"/>
      <w:marTop w:val="0"/>
      <w:marBottom w:val="0"/>
      <w:divBdr>
        <w:top w:val="none" w:sz="0" w:space="0" w:color="auto"/>
        <w:left w:val="none" w:sz="0" w:space="0" w:color="auto"/>
        <w:bottom w:val="none" w:sz="0" w:space="0" w:color="auto"/>
        <w:right w:val="none" w:sz="0" w:space="0" w:color="auto"/>
      </w:divBdr>
    </w:div>
    <w:div w:id="1914050234">
      <w:bodyDiv w:val="1"/>
      <w:marLeft w:val="0"/>
      <w:marRight w:val="0"/>
      <w:marTop w:val="0"/>
      <w:marBottom w:val="0"/>
      <w:divBdr>
        <w:top w:val="none" w:sz="0" w:space="0" w:color="auto"/>
        <w:left w:val="none" w:sz="0" w:space="0" w:color="auto"/>
        <w:bottom w:val="none" w:sz="0" w:space="0" w:color="auto"/>
        <w:right w:val="none" w:sz="0" w:space="0" w:color="auto"/>
      </w:divBdr>
    </w:div>
    <w:div w:id="1914121104">
      <w:bodyDiv w:val="1"/>
      <w:marLeft w:val="0"/>
      <w:marRight w:val="0"/>
      <w:marTop w:val="0"/>
      <w:marBottom w:val="0"/>
      <w:divBdr>
        <w:top w:val="none" w:sz="0" w:space="0" w:color="auto"/>
        <w:left w:val="none" w:sz="0" w:space="0" w:color="auto"/>
        <w:bottom w:val="none" w:sz="0" w:space="0" w:color="auto"/>
        <w:right w:val="none" w:sz="0" w:space="0" w:color="auto"/>
      </w:divBdr>
    </w:div>
    <w:div w:id="1914122714">
      <w:bodyDiv w:val="1"/>
      <w:marLeft w:val="0"/>
      <w:marRight w:val="0"/>
      <w:marTop w:val="0"/>
      <w:marBottom w:val="0"/>
      <w:divBdr>
        <w:top w:val="none" w:sz="0" w:space="0" w:color="auto"/>
        <w:left w:val="none" w:sz="0" w:space="0" w:color="auto"/>
        <w:bottom w:val="none" w:sz="0" w:space="0" w:color="auto"/>
        <w:right w:val="none" w:sz="0" w:space="0" w:color="auto"/>
      </w:divBdr>
    </w:div>
    <w:div w:id="1914467568">
      <w:bodyDiv w:val="1"/>
      <w:marLeft w:val="0"/>
      <w:marRight w:val="0"/>
      <w:marTop w:val="0"/>
      <w:marBottom w:val="0"/>
      <w:divBdr>
        <w:top w:val="none" w:sz="0" w:space="0" w:color="auto"/>
        <w:left w:val="none" w:sz="0" w:space="0" w:color="auto"/>
        <w:bottom w:val="none" w:sz="0" w:space="0" w:color="auto"/>
        <w:right w:val="none" w:sz="0" w:space="0" w:color="auto"/>
      </w:divBdr>
    </w:div>
    <w:div w:id="1914663124">
      <w:bodyDiv w:val="1"/>
      <w:marLeft w:val="0"/>
      <w:marRight w:val="0"/>
      <w:marTop w:val="0"/>
      <w:marBottom w:val="0"/>
      <w:divBdr>
        <w:top w:val="none" w:sz="0" w:space="0" w:color="auto"/>
        <w:left w:val="none" w:sz="0" w:space="0" w:color="auto"/>
        <w:bottom w:val="none" w:sz="0" w:space="0" w:color="auto"/>
        <w:right w:val="none" w:sz="0" w:space="0" w:color="auto"/>
      </w:divBdr>
    </w:div>
    <w:div w:id="1914701029">
      <w:bodyDiv w:val="1"/>
      <w:marLeft w:val="0"/>
      <w:marRight w:val="0"/>
      <w:marTop w:val="0"/>
      <w:marBottom w:val="0"/>
      <w:divBdr>
        <w:top w:val="none" w:sz="0" w:space="0" w:color="auto"/>
        <w:left w:val="none" w:sz="0" w:space="0" w:color="auto"/>
        <w:bottom w:val="none" w:sz="0" w:space="0" w:color="auto"/>
        <w:right w:val="none" w:sz="0" w:space="0" w:color="auto"/>
      </w:divBdr>
    </w:div>
    <w:div w:id="1914730730">
      <w:bodyDiv w:val="1"/>
      <w:marLeft w:val="0"/>
      <w:marRight w:val="0"/>
      <w:marTop w:val="0"/>
      <w:marBottom w:val="0"/>
      <w:divBdr>
        <w:top w:val="none" w:sz="0" w:space="0" w:color="auto"/>
        <w:left w:val="none" w:sz="0" w:space="0" w:color="auto"/>
        <w:bottom w:val="none" w:sz="0" w:space="0" w:color="auto"/>
        <w:right w:val="none" w:sz="0" w:space="0" w:color="auto"/>
      </w:divBdr>
    </w:div>
    <w:div w:id="1914772784">
      <w:bodyDiv w:val="1"/>
      <w:marLeft w:val="0"/>
      <w:marRight w:val="0"/>
      <w:marTop w:val="0"/>
      <w:marBottom w:val="0"/>
      <w:divBdr>
        <w:top w:val="none" w:sz="0" w:space="0" w:color="auto"/>
        <w:left w:val="none" w:sz="0" w:space="0" w:color="auto"/>
        <w:bottom w:val="none" w:sz="0" w:space="0" w:color="auto"/>
        <w:right w:val="none" w:sz="0" w:space="0" w:color="auto"/>
      </w:divBdr>
    </w:div>
    <w:div w:id="1915044762">
      <w:bodyDiv w:val="1"/>
      <w:marLeft w:val="0"/>
      <w:marRight w:val="0"/>
      <w:marTop w:val="0"/>
      <w:marBottom w:val="0"/>
      <w:divBdr>
        <w:top w:val="none" w:sz="0" w:space="0" w:color="auto"/>
        <w:left w:val="none" w:sz="0" w:space="0" w:color="auto"/>
        <w:bottom w:val="none" w:sz="0" w:space="0" w:color="auto"/>
        <w:right w:val="none" w:sz="0" w:space="0" w:color="auto"/>
      </w:divBdr>
    </w:div>
    <w:div w:id="1915310342">
      <w:bodyDiv w:val="1"/>
      <w:marLeft w:val="0"/>
      <w:marRight w:val="0"/>
      <w:marTop w:val="0"/>
      <w:marBottom w:val="0"/>
      <w:divBdr>
        <w:top w:val="none" w:sz="0" w:space="0" w:color="auto"/>
        <w:left w:val="none" w:sz="0" w:space="0" w:color="auto"/>
        <w:bottom w:val="none" w:sz="0" w:space="0" w:color="auto"/>
        <w:right w:val="none" w:sz="0" w:space="0" w:color="auto"/>
      </w:divBdr>
    </w:div>
    <w:div w:id="1915891206">
      <w:bodyDiv w:val="1"/>
      <w:marLeft w:val="0"/>
      <w:marRight w:val="0"/>
      <w:marTop w:val="0"/>
      <w:marBottom w:val="0"/>
      <w:divBdr>
        <w:top w:val="none" w:sz="0" w:space="0" w:color="auto"/>
        <w:left w:val="none" w:sz="0" w:space="0" w:color="auto"/>
        <w:bottom w:val="none" w:sz="0" w:space="0" w:color="auto"/>
        <w:right w:val="none" w:sz="0" w:space="0" w:color="auto"/>
      </w:divBdr>
    </w:div>
    <w:div w:id="1916355279">
      <w:bodyDiv w:val="1"/>
      <w:marLeft w:val="0"/>
      <w:marRight w:val="0"/>
      <w:marTop w:val="0"/>
      <w:marBottom w:val="0"/>
      <w:divBdr>
        <w:top w:val="none" w:sz="0" w:space="0" w:color="auto"/>
        <w:left w:val="none" w:sz="0" w:space="0" w:color="auto"/>
        <w:bottom w:val="none" w:sz="0" w:space="0" w:color="auto"/>
        <w:right w:val="none" w:sz="0" w:space="0" w:color="auto"/>
      </w:divBdr>
    </w:div>
    <w:div w:id="1916626571">
      <w:bodyDiv w:val="1"/>
      <w:marLeft w:val="0"/>
      <w:marRight w:val="0"/>
      <w:marTop w:val="0"/>
      <w:marBottom w:val="0"/>
      <w:divBdr>
        <w:top w:val="none" w:sz="0" w:space="0" w:color="auto"/>
        <w:left w:val="none" w:sz="0" w:space="0" w:color="auto"/>
        <w:bottom w:val="none" w:sz="0" w:space="0" w:color="auto"/>
        <w:right w:val="none" w:sz="0" w:space="0" w:color="auto"/>
      </w:divBdr>
    </w:div>
    <w:div w:id="1916697349">
      <w:bodyDiv w:val="1"/>
      <w:marLeft w:val="0"/>
      <w:marRight w:val="0"/>
      <w:marTop w:val="0"/>
      <w:marBottom w:val="0"/>
      <w:divBdr>
        <w:top w:val="none" w:sz="0" w:space="0" w:color="auto"/>
        <w:left w:val="none" w:sz="0" w:space="0" w:color="auto"/>
        <w:bottom w:val="none" w:sz="0" w:space="0" w:color="auto"/>
        <w:right w:val="none" w:sz="0" w:space="0" w:color="auto"/>
      </w:divBdr>
    </w:div>
    <w:div w:id="1917014044">
      <w:bodyDiv w:val="1"/>
      <w:marLeft w:val="0"/>
      <w:marRight w:val="0"/>
      <w:marTop w:val="0"/>
      <w:marBottom w:val="0"/>
      <w:divBdr>
        <w:top w:val="none" w:sz="0" w:space="0" w:color="auto"/>
        <w:left w:val="none" w:sz="0" w:space="0" w:color="auto"/>
        <w:bottom w:val="none" w:sz="0" w:space="0" w:color="auto"/>
        <w:right w:val="none" w:sz="0" w:space="0" w:color="auto"/>
      </w:divBdr>
    </w:div>
    <w:div w:id="1917157197">
      <w:bodyDiv w:val="1"/>
      <w:marLeft w:val="0"/>
      <w:marRight w:val="0"/>
      <w:marTop w:val="0"/>
      <w:marBottom w:val="0"/>
      <w:divBdr>
        <w:top w:val="none" w:sz="0" w:space="0" w:color="auto"/>
        <w:left w:val="none" w:sz="0" w:space="0" w:color="auto"/>
        <w:bottom w:val="none" w:sz="0" w:space="0" w:color="auto"/>
        <w:right w:val="none" w:sz="0" w:space="0" w:color="auto"/>
      </w:divBdr>
    </w:div>
    <w:div w:id="1917938173">
      <w:bodyDiv w:val="1"/>
      <w:marLeft w:val="0"/>
      <w:marRight w:val="0"/>
      <w:marTop w:val="0"/>
      <w:marBottom w:val="0"/>
      <w:divBdr>
        <w:top w:val="none" w:sz="0" w:space="0" w:color="auto"/>
        <w:left w:val="none" w:sz="0" w:space="0" w:color="auto"/>
        <w:bottom w:val="none" w:sz="0" w:space="0" w:color="auto"/>
        <w:right w:val="none" w:sz="0" w:space="0" w:color="auto"/>
      </w:divBdr>
    </w:div>
    <w:div w:id="1918124175">
      <w:bodyDiv w:val="1"/>
      <w:marLeft w:val="0"/>
      <w:marRight w:val="0"/>
      <w:marTop w:val="0"/>
      <w:marBottom w:val="0"/>
      <w:divBdr>
        <w:top w:val="none" w:sz="0" w:space="0" w:color="auto"/>
        <w:left w:val="none" w:sz="0" w:space="0" w:color="auto"/>
        <w:bottom w:val="none" w:sz="0" w:space="0" w:color="auto"/>
        <w:right w:val="none" w:sz="0" w:space="0" w:color="auto"/>
      </w:divBdr>
    </w:div>
    <w:div w:id="1918174281">
      <w:bodyDiv w:val="1"/>
      <w:marLeft w:val="0"/>
      <w:marRight w:val="0"/>
      <w:marTop w:val="0"/>
      <w:marBottom w:val="0"/>
      <w:divBdr>
        <w:top w:val="none" w:sz="0" w:space="0" w:color="auto"/>
        <w:left w:val="none" w:sz="0" w:space="0" w:color="auto"/>
        <w:bottom w:val="none" w:sz="0" w:space="0" w:color="auto"/>
        <w:right w:val="none" w:sz="0" w:space="0" w:color="auto"/>
      </w:divBdr>
    </w:div>
    <w:div w:id="1918320324">
      <w:bodyDiv w:val="1"/>
      <w:marLeft w:val="0"/>
      <w:marRight w:val="0"/>
      <w:marTop w:val="0"/>
      <w:marBottom w:val="0"/>
      <w:divBdr>
        <w:top w:val="none" w:sz="0" w:space="0" w:color="auto"/>
        <w:left w:val="none" w:sz="0" w:space="0" w:color="auto"/>
        <w:bottom w:val="none" w:sz="0" w:space="0" w:color="auto"/>
        <w:right w:val="none" w:sz="0" w:space="0" w:color="auto"/>
      </w:divBdr>
    </w:div>
    <w:div w:id="1918438459">
      <w:bodyDiv w:val="1"/>
      <w:marLeft w:val="0"/>
      <w:marRight w:val="0"/>
      <w:marTop w:val="0"/>
      <w:marBottom w:val="0"/>
      <w:divBdr>
        <w:top w:val="none" w:sz="0" w:space="0" w:color="auto"/>
        <w:left w:val="none" w:sz="0" w:space="0" w:color="auto"/>
        <w:bottom w:val="none" w:sz="0" w:space="0" w:color="auto"/>
        <w:right w:val="none" w:sz="0" w:space="0" w:color="auto"/>
      </w:divBdr>
    </w:div>
    <w:div w:id="1918585914">
      <w:bodyDiv w:val="1"/>
      <w:marLeft w:val="0"/>
      <w:marRight w:val="0"/>
      <w:marTop w:val="0"/>
      <w:marBottom w:val="0"/>
      <w:divBdr>
        <w:top w:val="none" w:sz="0" w:space="0" w:color="auto"/>
        <w:left w:val="none" w:sz="0" w:space="0" w:color="auto"/>
        <w:bottom w:val="none" w:sz="0" w:space="0" w:color="auto"/>
        <w:right w:val="none" w:sz="0" w:space="0" w:color="auto"/>
      </w:divBdr>
    </w:div>
    <w:div w:id="1918710104">
      <w:bodyDiv w:val="1"/>
      <w:marLeft w:val="0"/>
      <w:marRight w:val="0"/>
      <w:marTop w:val="0"/>
      <w:marBottom w:val="0"/>
      <w:divBdr>
        <w:top w:val="none" w:sz="0" w:space="0" w:color="auto"/>
        <w:left w:val="none" w:sz="0" w:space="0" w:color="auto"/>
        <w:bottom w:val="none" w:sz="0" w:space="0" w:color="auto"/>
        <w:right w:val="none" w:sz="0" w:space="0" w:color="auto"/>
      </w:divBdr>
    </w:div>
    <w:div w:id="1918859535">
      <w:bodyDiv w:val="1"/>
      <w:marLeft w:val="0"/>
      <w:marRight w:val="0"/>
      <w:marTop w:val="0"/>
      <w:marBottom w:val="0"/>
      <w:divBdr>
        <w:top w:val="none" w:sz="0" w:space="0" w:color="auto"/>
        <w:left w:val="none" w:sz="0" w:space="0" w:color="auto"/>
        <w:bottom w:val="none" w:sz="0" w:space="0" w:color="auto"/>
        <w:right w:val="none" w:sz="0" w:space="0" w:color="auto"/>
      </w:divBdr>
    </w:div>
    <w:div w:id="1919050005">
      <w:bodyDiv w:val="1"/>
      <w:marLeft w:val="0"/>
      <w:marRight w:val="0"/>
      <w:marTop w:val="0"/>
      <w:marBottom w:val="0"/>
      <w:divBdr>
        <w:top w:val="none" w:sz="0" w:space="0" w:color="auto"/>
        <w:left w:val="none" w:sz="0" w:space="0" w:color="auto"/>
        <w:bottom w:val="none" w:sz="0" w:space="0" w:color="auto"/>
        <w:right w:val="none" w:sz="0" w:space="0" w:color="auto"/>
      </w:divBdr>
    </w:div>
    <w:div w:id="1919317428">
      <w:bodyDiv w:val="1"/>
      <w:marLeft w:val="0"/>
      <w:marRight w:val="0"/>
      <w:marTop w:val="0"/>
      <w:marBottom w:val="0"/>
      <w:divBdr>
        <w:top w:val="none" w:sz="0" w:space="0" w:color="auto"/>
        <w:left w:val="none" w:sz="0" w:space="0" w:color="auto"/>
        <w:bottom w:val="none" w:sz="0" w:space="0" w:color="auto"/>
        <w:right w:val="none" w:sz="0" w:space="0" w:color="auto"/>
      </w:divBdr>
    </w:div>
    <w:div w:id="1919365577">
      <w:bodyDiv w:val="1"/>
      <w:marLeft w:val="0"/>
      <w:marRight w:val="0"/>
      <w:marTop w:val="0"/>
      <w:marBottom w:val="0"/>
      <w:divBdr>
        <w:top w:val="none" w:sz="0" w:space="0" w:color="auto"/>
        <w:left w:val="none" w:sz="0" w:space="0" w:color="auto"/>
        <w:bottom w:val="none" w:sz="0" w:space="0" w:color="auto"/>
        <w:right w:val="none" w:sz="0" w:space="0" w:color="auto"/>
      </w:divBdr>
    </w:div>
    <w:div w:id="1919437258">
      <w:bodyDiv w:val="1"/>
      <w:marLeft w:val="0"/>
      <w:marRight w:val="0"/>
      <w:marTop w:val="0"/>
      <w:marBottom w:val="0"/>
      <w:divBdr>
        <w:top w:val="none" w:sz="0" w:space="0" w:color="auto"/>
        <w:left w:val="none" w:sz="0" w:space="0" w:color="auto"/>
        <w:bottom w:val="none" w:sz="0" w:space="0" w:color="auto"/>
        <w:right w:val="none" w:sz="0" w:space="0" w:color="auto"/>
      </w:divBdr>
    </w:div>
    <w:div w:id="1919552014">
      <w:bodyDiv w:val="1"/>
      <w:marLeft w:val="0"/>
      <w:marRight w:val="0"/>
      <w:marTop w:val="0"/>
      <w:marBottom w:val="0"/>
      <w:divBdr>
        <w:top w:val="none" w:sz="0" w:space="0" w:color="auto"/>
        <w:left w:val="none" w:sz="0" w:space="0" w:color="auto"/>
        <w:bottom w:val="none" w:sz="0" w:space="0" w:color="auto"/>
        <w:right w:val="none" w:sz="0" w:space="0" w:color="auto"/>
      </w:divBdr>
    </w:div>
    <w:div w:id="1919559824">
      <w:bodyDiv w:val="1"/>
      <w:marLeft w:val="0"/>
      <w:marRight w:val="0"/>
      <w:marTop w:val="0"/>
      <w:marBottom w:val="0"/>
      <w:divBdr>
        <w:top w:val="none" w:sz="0" w:space="0" w:color="auto"/>
        <w:left w:val="none" w:sz="0" w:space="0" w:color="auto"/>
        <w:bottom w:val="none" w:sz="0" w:space="0" w:color="auto"/>
        <w:right w:val="none" w:sz="0" w:space="0" w:color="auto"/>
      </w:divBdr>
    </w:div>
    <w:div w:id="1919704319">
      <w:bodyDiv w:val="1"/>
      <w:marLeft w:val="0"/>
      <w:marRight w:val="0"/>
      <w:marTop w:val="0"/>
      <w:marBottom w:val="0"/>
      <w:divBdr>
        <w:top w:val="none" w:sz="0" w:space="0" w:color="auto"/>
        <w:left w:val="none" w:sz="0" w:space="0" w:color="auto"/>
        <w:bottom w:val="none" w:sz="0" w:space="0" w:color="auto"/>
        <w:right w:val="none" w:sz="0" w:space="0" w:color="auto"/>
      </w:divBdr>
    </w:div>
    <w:div w:id="1919752032">
      <w:bodyDiv w:val="1"/>
      <w:marLeft w:val="0"/>
      <w:marRight w:val="0"/>
      <w:marTop w:val="0"/>
      <w:marBottom w:val="0"/>
      <w:divBdr>
        <w:top w:val="none" w:sz="0" w:space="0" w:color="auto"/>
        <w:left w:val="none" w:sz="0" w:space="0" w:color="auto"/>
        <w:bottom w:val="none" w:sz="0" w:space="0" w:color="auto"/>
        <w:right w:val="none" w:sz="0" w:space="0" w:color="auto"/>
      </w:divBdr>
    </w:div>
    <w:div w:id="1920215701">
      <w:bodyDiv w:val="1"/>
      <w:marLeft w:val="0"/>
      <w:marRight w:val="0"/>
      <w:marTop w:val="0"/>
      <w:marBottom w:val="0"/>
      <w:divBdr>
        <w:top w:val="none" w:sz="0" w:space="0" w:color="auto"/>
        <w:left w:val="none" w:sz="0" w:space="0" w:color="auto"/>
        <w:bottom w:val="none" w:sz="0" w:space="0" w:color="auto"/>
        <w:right w:val="none" w:sz="0" w:space="0" w:color="auto"/>
      </w:divBdr>
    </w:div>
    <w:div w:id="1920216622">
      <w:bodyDiv w:val="1"/>
      <w:marLeft w:val="0"/>
      <w:marRight w:val="0"/>
      <w:marTop w:val="0"/>
      <w:marBottom w:val="0"/>
      <w:divBdr>
        <w:top w:val="none" w:sz="0" w:space="0" w:color="auto"/>
        <w:left w:val="none" w:sz="0" w:space="0" w:color="auto"/>
        <w:bottom w:val="none" w:sz="0" w:space="0" w:color="auto"/>
        <w:right w:val="none" w:sz="0" w:space="0" w:color="auto"/>
      </w:divBdr>
    </w:div>
    <w:div w:id="1920404000">
      <w:bodyDiv w:val="1"/>
      <w:marLeft w:val="0"/>
      <w:marRight w:val="0"/>
      <w:marTop w:val="0"/>
      <w:marBottom w:val="0"/>
      <w:divBdr>
        <w:top w:val="none" w:sz="0" w:space="0" w:color="auto"/>
        <w:left w:val="none" w:sz="0" w:space="0" w:color="auto"/>
        <w:bottom w:val="none" w:sz="0" w:space="0" w:color="auto"/>
        <w:right w:val="none" w:sz="0" w:space="0" w:color="auto"/>
      </w:divBdr>
    </w:div>
    <w:div w:id="1920559825">
      <w:bodyDiv w:val="1"/>
      <w:marLeft w:val="0"/>
      <w:marRight w:val="0"/>
      <w:marTop w:val="0"/>
      <w:marBottom w:val="0"/>
      <w:divBdr>
        <w:top w:val="none" w:sz="0" w:space="0" w:color="auto"/>
        <w:left w:val="none" w:sz="0" w:space="0" w:color="auto"/>
        <w:bottom w:val="none" w:sz="0" w:space="0" w:color="auto"/>
        <w:right w:val="none" w:sz="0" w:space="0" w:color="auto"/>
      </w:divBdr>
    </w:div>
    <w:div w:id="1920676622">
      <w:bodyDiv w:val="1"/>
      <w:marLeft w:val="0"/>
      <w:marRight w:val="0"/>
      <w:marTop w:val="0"/>
      <w:marBottom w:val="0"/>
      <w:divBdr>
        <w:top w:val="none" w:sz="0" w:space="0" w:color="auto"/>
        <w:left w:val="none" w:sz="0" w:space="0" w:color="auto"/>
        <w:bottom w:val="none" w:sz="0" w:space="0" w:color="auto"/>
        <w:right w:val="none" w:sz="0" w:space="0" w:color="auto"/>
      </w:divBdr>
    </w:div>
    <w:div w:id="1921670474">
      <w:bodyDiv w:val="1"/>
      <w:marLeft w:val="0"/>
      <w:marRight w:val="0"/>
      <w:marTop w:val="0"/>
      <w:marBottom w:val="0"/>
      <w:divBdr>
        <w:top w:val="none" w:sz="0" w:space="0" w:color="auto"/>
        <w:left w:val="none" w:sz="0" w:space="0" w:color="auto"/>
        <w:bottom w:val="none" w:sz="0" w:space="0" w:color="auto"/>
        <w:right w:val="none" w:sz="0" w:space="0" w:color="auto"/>
      </w:divBdr>
    </w:div>
    <w:div w:id="1921792679">
      <w:bodyDiv w:val="1"/>
      <w:marLeft w:val="0"/>
      <w:marRight w:val="0"/>
      <w:marTop w:val="0"/>
      <w:marBottom w:val="0"/>
      <w:divBdr>
        <w:top w:val="none" w:sz="0" w:space="0" w:color="auto"/>
        <w:left w:val="none" w:sz="0" w:space="0" w:color="auto"/>
        <w:bottom w:val="none" w:sz="0" w:space="0" w:color="auto"/>
        <w:right w:val="none" w:sz="0" w:space="0" w:color="auto"/>
      </w:divBdr>
    </w:div>
    <w:div w:id="1922064838">
      <w:bodyDiv w:val="1"/>
      <w:marLeft w:val="0"/>
      <w:marRight w:val="0"/>
      <w:marTop w:val="0"/>
      <w:marBottom w:val="0"/>
      <w:divBdr>
        <w:top w:val="none" w:sz="0" w:space="0" w:color="auto"/>
        <w:left w:val="none" w:sz="0" w:space="0" w:color="auto"/>
        <w:bottom w:val="none" w:sz="0" w:space="0" w:color="auto"/>
        <w:right w:val="none" w:sz="0" w:space="0" w:color="auto"/>
      </w:divBdr>
    </w:div>
    <w:div w:id="1922525676">
      <w:bodyDiv w:val="1"/>
      <w:marLeft w:val="0"/>
      <w:marRight w:val="0"/>
      <w:marTop w:val="0"/>
      <w:marBottom w:val="0"/>
      <w:divBdr>
        <w:top w:val="none" w:sz="0" w:space="0" w:color="auto"/>
        <w:left w:val="none" w:sz="0" w:space="0" w:color="auto"/>
        <w:bottom w:val="none" w:sz="0" w:space="0" w:color="auto"/>
        <w:right w:val="none" w:sz="0" w:space="0" w:color="auto"/>
      </w:divBdr>
    </w:div>
    <w:div w:id="1922644062">
      <w:bodyDiv w:val="1"/>
      <w:marLeft w:val="0"/>
      <w:marRight w:val="0"/>
      <w:marTop w:val="0"/>
      <w:marBottom w:val="0"/>
      <w:divBdr>
        <w:top w:val="none" w:sz="0" w:space="0" w:color="auto"/>
        <w:left w:val="none" w:sz="0" w:space="0" w:color="auto"/>
        <w:bottom w:val="none" w:sz="0" w:space="0" w:color="auto"/>
        <w:right w:val="none" w:sz="0" w:space="0" w:color="auto"/>
      </w:divBdr>
    </w:div>
    <w:div w:id="1922761846">
      <w:bodyDiv w:val="1"/>
      <w:marLeft w:val="0"/>
      <w:marRight w:val="0"/>
      <w:marTop w:val="0"/>
      <w:marBottom w:val="0"/>
      <w:divBdr>
        <w:top w:val="none" w:sz="0" w:space="0" w:color="auto"/>
        <w:left w:val="none" w:sz="0" w:space="0" w:color="auto"/>
        <w:bottom w:val="none" w:sz="0" w:space="0" w:color="auto"/>
        <w:right w:val="none" w:sz="0" w:space="0" w:color="auto"/>
      </w:divBdr>
    </w:div>
    <w:div w:id="1922786448">
      <w:bodyDiv w:val="1"/>
      <w:marLeft w:val="0"/>
      <w:marRight w:val="0"/>
      <w:marTop w:val="0"/>
      <w:marBottom w:val="0"/>
      <w:divBdr>
        <w:top w:val="none" w:sz="0" w:space="0" w:color="auto"/>
        <w:left w:val="none" w:sz="0" w:space="0" w:color="auto"/>
        <w:bottom w:val="none" w:sz="0" w:space="0" w:color="auto"/>
        <w:right w:val="none" w:sz="0" w:space="0" w:color="auto"/>
      </w:divBdr>
    </w:div>
    <w:div w:id="1922830366">
      <w:bodyDiv w:val="1"/>
      <w:marLeft w:val="0"/>
      <w:marRight w:val="0"/>
      <w:marTop w:val="0"/>
      <w:marBottom w:val="0"/>
      <w:divBdr>
        <w:top w:val="none" w:sz="0" w:space="0" w:color="auto"/>
        <w:left w:val="none" w:sz="0" w:space="0" w:color="auto"/>
        <w:bottom w:val="none" w:sz="0" w:space="0" w:color="auto"/>
        <w:right w:val="none" w:sz="0" w:space="0" w:color="auto"/>
      </w:divBdr>
    </w:div>
    <w:div w:id="1922836143">
      <w:bodyDiv w:val="1"/>
      <w:marLeft w:val="0"/>
      <w:marRight w:val="0"/>
      <w:marTop w:val="0"/>
      <w:marBottom w:val="0"/>
      <w:divBdr>
        <w:top w:val="none" w:sz="0" w:space="0" w:color="auto"/>
        <w:left w:val="none" w:sz="0" w:space="0" w:color="auto"/>
        <w:bottom w:val="none" w:sz="0" w:space="0" w:color="auto"/>
        <w:right w:val="none" w:sz="0" w:space="0" w:color="auto"/>
      </w:divBdr>
    </w:div>
    <w:div w:id="1922907672">
      <w:bodyDiv w:val="1"/>
      <w:marLeft w:val="0"/>
      <w:marRight w:val="0"/>
      <w:marTop w:val="0"/>
      <w:marBottom w:val="0"/>
      <w:divBdr>
        <w:top w:val="none" w:sz="0" w:space="0" w:color="auto"/>
        <w:left w:val="none" w:sz="0" w:space="0" w:color="auto"/>
        <w:bottom w:val="none" w:sz="0" w:space="0" w:color="auto"/>
        <w:right w:val="none" w:sz="0" w:space="0" w:color="auto"/>
      </w:divBdr>
    </w:div>
    <w:div w:id="1923098670">
      <w:bodyDiv w:val="1"/>
      <w:marLeft w:val="0"/>
      <w:marRight w:val="0"/>
      <w:marTop w:val="0"/>
      <w:marBottom w:val="0"/>
      <w:divBdr>
        <w:top w:val="none" w:sz="0" w:space="0" w:color="auto"/>
        <w:left w:val="none" w:sz="0" w:space="0" w:color="auto"/>
        <w:bottom w:val="none" w:sz="0" w:space="0" w:color="auto"/>
        <w:right w:val="none" w:sz="0" w:space="0" w:color="auto"/>
      </w:divBdr>
    </w:div>
    <w:div w:id="1923220934">
      <w:bodyDiv w:val="1"/>
      <w:marLeft w:val="0"/>
      <w:marRight w:val="0"/>
      <w:marTop w:val="0"/>
      <w:marBottom w:val="0"/>
      <w:divBdr>
        <w:top w:val="none" w:sz="0" w:space="0" w:color="auto"/>
        <w:left w:val="none" w:sz="0" w:space="0" w:color="auto"/>
        <w:bottom w:val="none" w:sz="0" w:space="0" w:color="auto"/>
        <w:right w:val="none" w:sz="0" w:space="0" w:color="auto"/>
      </w:divBdr>
    </w:div>
    <w:div w:id="1923832034">
      <w:bodyDiv w:val="1"/>
      <w:marLeft w:val="0"/>
      <w:marRight w:val="0"/>
      <w:marTop w:val="0"/>
      <w:marBottom w:val="0"/>
      <w:divBdr>
        <w:top w:val="none" w:sz="0" w:space="0" w:color="auto"/>
        <w:left w:val="none" w:sz="0" w:space="0" w:color="auto"/>
        <w:bottom w:val="none" w:sz="0" w:space="0" w:color="auto"/>
        <w:right w:val="none" w:sz="0" w:space="0" w:color="auto"/>
      </w:divBdr>
    </w:div>
    <w:div w:id="1923877908">
      <w:bodyDiv w:val="1"/>
      <w:marLeft w:val="0"/>
      <w:marRight w:val="0"/>
      <w:marTop w:val="0"/>
      <w:marBottom w:val="0"/>
      <w:divBdr>
        <w:top w:val="none" w:sz="0" w:space="0" w:color="auto"/>
        <w:left w:val="none" w:sz="0" w:space="0" w:color="auto"/>
        <w:bottom w:val="none" w:sz="0" w:space="0" w:color="auto"/>
        <w:right w:val="none" w:sz="0" w:space="0" w:color="auto"/>
      </w:divBdr>
    </w:div>
    <w:div w:id="1924021348">
      <w:bodyDiv w:val="1"/>
      <w:marLeft w:val="0"/>
      <w:marRight w:val="0"/>
      <w:marTop w:val="0"/>
      <w:marBottom w:val="0"/>
      <w:divBdr>
        <w:top w:val="none" w:sz="0" w:space="0" w:color="auto"/>
        <w:left w:val="none" w:sz="0" w:space="0" w:color="auto"/>
        <w:bottom w:val="none" w:sz="0" w:space="0" w:color="auto"/>
        <w:right w:val="none" w:sz="0" w:space="0" w:color="auto"/>
      </w:divBdr>
    </w:div>
    <w:div w:id="1924292446">
      <w:bodyDiv w:val="1"/>
      <w:marLeft w:val="0"/>
      <w:marRight w:val="0"/>
      <w:marTop w:val="0"/>
      <w:marBottom w:val="0"/>
      <w:divBdr>
        <w:top w:val="none" w:sz="0" w:space="0" w:color="auto"/>
        <w:left w:val="none" w:sz="0" w:space="0" w:color="auto"/>
        <w:bottom w:val="none" w:sz="0" w:space="0" w:color="auto"/>
        <w:right w:val="none" w:sz="0" w:space="0" w:color="auto"/>
      </w:divBdr>
    </w:div>
    <w:div w:id="1924755622">
      <w:bodyDiv w:val="1"/>
      <w:marLeft w:val="0"/>
      <w:marRight w:val="0"/>
      <w:marTop w:val="0"/>
      <w:marBottom w:val="0"/>
      <w:divBdr>
        <w:top w:val="none" w:sz="0" w:space="0" w:color="auto"/>
        <w:left w:val="none" w:sz="0" w:space="0" w:color="auto"/>
        <w:bottom w:val="none" w:sz="0" w:space="0" w:color="auto"/>
        <w:right w:val="none" w:sz="0" w:space="0" w:color="auto"/>
      </w:divBdr>
    </w:div>
    <w:div w:id="1924795357">
      <w:bodyDiv w:val="1"/>
      <w:marLeft w:val="0"/>
      <w:marRight w:val="0"/>
      <w:marTop w:val="0"/>
      <w:marBottom w:val="0"/>
      <w:divBdr>
        <w:top w:val="none" w:sz="0" w:space="0" w:color="auto"/>
        <w:left w:val="none" w:sz="0" w:space="0" w:color="auto"/>
        <w:bottom w:val="none" w:sz="0" w:space="0" w:color="auto"/>
        <w:right w:val="none" w:sz="0" w:space="0" w:color="auto"/>
      </w:divBdr>
    </w:div>
    <w:div w:id="1924992764">
      <w:bodyDiv w:val="1"/>
      <w:marLeft w:val="0"/>
      <w:marRight w:val="0"/>
      <w:marTop w:val="0"/>
      <w:marBottom w:val="0"/>
      <w:divBdr>
        <w:top w:val="none" w:sz="0" w:space="0" w:color="auto"/>
        <w:left w:val="none" w:sz="0" w:space="0" w:color="auto"/>
        <w:bottom w:val="none" w:sz="0" w:space="0" w:color="auto"/>
        <w:right w:val="none" w:sz="0" w:space="0" w:color="auto"/>
      </w:divBdr>
    </w:div>
    <w:div w:id="1924993657">
      <w:bodyDiv w:val="1"/>
      <w:marLeft w:val="0"/>
      <w:marRight w:val="0"/>
      <w:marTop w:val="0"/>
      <w:marBottom w:val="0"/>
      <w:divBdr>
        <w:top w:val="none" w:sz="0" w:space="0" w:color="auto"/>
        <w:left w:val="none" w:sz="0" w:space="0" w:color="auto"/>
        <w:bottom w:val="none" w:sz="0" w:space="0" w:color="auto"/>
        <w:right w:val="none" w:sz="0" w:space="0" w:color="auto"/>
      </w:divBdr>
    </w:div>
    <w:div w:id="1925189002">
      <w:bodyDiv w:val="1"/>
      <w:marLeft w:val="0"/>
      <w:marRight w:val="0"/>
      <w:marTop w:val="0"/>
      <w:marBottom w:val="0"/>
      <w:divBdr>
        <w:top w:val="none" w:sz="0" w:space="0" w:color="auto"/>
        <w:left w:val="none" w:sz="0" w:space="0" w:color="auto"/>
        <w:bottom w:val="none" w:sz="0" w:space="0" w:color="auto"/>
        <w:right w:val="none" w:sz="0" w:space="0" w:color="auto"/>
      </w:divBdr>
    </w:div>
    <w:div w:id="1925413286">
      <w:bodyDiv w:val="1"/>
      <w:marLeft w:val="0"/>
      <w:marRight w:val="0"/>
      <w:marTop w:val="0"/>
      <w:marBottom w:val="0"/>
      <w:divBdr>
        <w:top w:val="none" w:sz="0" w:space="0" w:color="auto"/>
        <w:left w:val="none" w:sz="0" w:space="0" w:color="auto"/>
        <w:bottom w:val="none" w:sz="0" w:space="0" w:color="auto"/>
        <w:right w:val="none" w:sz="0" w:space="0" w:color="auto"/>
      </w:divBdr>
    </w:div>
    <w:div w:id="1925450360">
      <w:bodyDiv w:val="1"/>
      <w:marLeft w:val="0"/>
      <w:marRight w:val="0"/>
      <w:marTop w:val="0"/>
      <w:marBottom w:val="0"/>
      <w:divBdr>
        <w:top w:val="none" w:sz="0" w:space="0" w:color="auto"/>
        <w:left w:val="none" w:sz="0" w:space="0" w:color="auto"/>
        <w:bottom w:val="none" w:sz="0" w:space="0" w:color="auto"/>
        <w:right w:val="none" w:sz="0" w:space="0" w:color="auto"/>
      </w:divBdr>
    </w:div>
    <w:div w:id="1925453680">
      <w:bodyDiv w:val="1"/>
      <w:marLeft w:val="0"/>
      <w:marRight w:val="0"/>
      <w:marTop w:val="0"/>
      <w:marBottom w:val="0"/>
      <w:divBdr>
        <w:top w:val="none" w:sz="0" w:space="0" w:color="auto"/>
        <w:left w:val="none" w:sz="0" w:space="0" w:color="auto"/>
        <w:bottom w:val="none" w:sz="0" w:space="0" w:color="auto"/>
        <w:right w:val="none" w:sz="0" w:space="0" w:color="auto"/>
      </w:divBdr>
    </w:div>
    <w:div w:id="1925608060">
      <w:bodyDiv w:val="1"/>
      <w:marLeft w:val="0"/>
      <w:marRight w:val="0"/>
      <w:marTop w:val="0"/>
      <w:marBottom w:val="0"/>
      <w:divBdr>
        <w:top w:val="none" w:sz="0" w:space="0" w:color="auto"/>
        <w:left w:val="none" w:sz="0" w:space="0" w:color="auto"/>
        <w:bottom w:val="none" w:sz="0" w:space="0" w:color="auto"/>
        <w:right w:val="none" w:sz="0" w:space="0" w:color="auto"/>
      </w:divBdr>
    </w:div>
    <w:div w:id="1925676434">
      <w:bodyDiv w:val="1"/>
      <w:marLeft w:val="0"/>
      <w:marRight w:val="0"/>
      <w:marTop w:val="0"/>
      <w:marBottom w:val="0"/>
      <w:divBdr>
        <w:top w:val="none" w:sz="0" w:space="0" w:color="auto"/>
        <w:left w:val="none" w:sz="0" w:space="0" w:color="auto"/>
        <w:bottom w:val="none" w:sz="0" w:space="0" w:color="auto"/>
        <w:right w:val="none" w:sz="0" w:space="0" w:color="auto"/>
      </w:divBdr>
    </w:div>
    <w:div w:id="1925921035">
      <w:bodyDiv w:val="1"/>
      <w:marLeft w:val="0"/>
      <w:marRight w:val="0"/>
      <w:marTop w:val="0"/>
      <w:marBottom w:val="0"/>
      <w:divBdr>
        <w:top w:val="none" w:sz="0" w:space="0" w:color="auto"/>
        <w:left w:val="none" w:sz="0" w:space="0" w:color="auto"/>
        <w:bottom w:val="none" w:sz="0" w:space="0" w:color="auto"/>
        <w:right w:val="none" w:sz="0" w:space="0" w:color="auto"/>
      </w:divBdr>
    </w:div>
    <w:div w:id="1925990366">
      <w:bodyDiv w:val="1"/>
      <w:marLeft w:val="0"/>
      <w:marRight w:val="0"/>
      <w:marTop w:val="0"/>
      <w:marBottom w:val="0"/>
      <w:divBdr>
        <w:top w:val="none" w:sz="0" w:space="0" w:color="auto"/>
        <w:left w:val="none" w:sz="0" w:space="0" w:color="auto"/>
        <w:bottom w:val="none" w:sz="0" w:space="0" w:color="auto"/>
        <w:right w:val="none" w:sz="0" w:space="0" w:color="auto"/>
      </w:divBdr>
    </w:div>
    <w:div w:id="1926180604">
      <w:bodyDiv w:val="1"/>
      <w:marLeft w:val="0"/>
      <w:marRight w:val="0"/>
      <w:marTop w:val="0"/>
      <w:marBottom w:val="0"/>
      <w:divBdr>
        <w:top w:val="none" w:sz="0" w:space="0" w:color="auto"/>
        <w:left w:val="none" w:sz="0" w:space="0" w:color="auto"/>
        <w:bottom w:val="none" w:sz="0" w:space="0" w:color="auto"/>
        <w:right w:val="none" w:sz="0" w:space="0" w:color="auto"/>
      </w:divBdr>
    </w:div>
    <w:div w:id="1926258148">
      <w:bodyDiv w:val="1"/>
      <w:marLeft w:val="0"/>
      <w:marRight w:val="0"/>
      <w:marTop w:val="0"/>
      <w:marBottom w:val="0"/>
      <w:divBdr>
        <w:top w:val="none" w:sz="0" w:space="0" w:color="auto"/>
        <w:left w:val="none" w:sz="0" w:space="0" w:color="auto"/>
        <w:bottom w:val="none" w:sz="0" w:space="0" w:color="auto"/>
        <w:right w:val="none" w:sz="0" w:space="0" w:color="auto"/>
      </w:divBdr>
    </w:div>
    <w:div w:id="1926379840">
      <w:bodyDiv w:val="1"/>
      <w:marLeft w:val="0"/>
      <w:marRight w:val="0"/>
      <w:marTop w:val="0"/>
      <w:marBottom w:val="0"/>
      <w:divBdr>
        <w:top w:val="none" w:sz="0" w:space="0" w:color="auto"/>
        <w:left w:val="none" w:sz="0" w:space="0" w:color="auto"/>
        <w:bottom w:val="none" w:sz="0" w:space="0" w:color="auto"/>
        <w:right w:val="none" w:sz="0" w:space="0" w:color="auto"/>
      </w:divBdr>
    </w:div>
    <w:div w:id="1926694138">
      <w:bodyDiv w:val="1"/>
      <w:marLeft w:val="0"/>
      <w:marRight w:val="0"/>
      <w:marTop w:val="0"/>
      <w:marBottom w:val="0"/>
      <w:divBdr>
        <w:top w:val="none" w:sz="0" w:space="0" w:color="auto"/>
        <w:left w:val="none" w:sz="0" w:space="0" w:color="auto"/>
        <w:bottom w:val="none" w:sz="0" w:space="0" w:color="auto"/>
        <w:right w:val="none" w:sz="0" w:space="0" w:color="auto"/>
      </w:divBdr>
    </w:div>
    <w:div w:id="1926765959">
      <w:bodyDiv w:val="1"/>
      <w:marLeft w:val="0"/>
      <w:marRight w:val="0"/>
      <w:marTop w:val="0"/>
      <w:marBottom w:val="0"/>
      <w:divBdr>
        <w:top w:val="none" w:sz="0" w:space="0" w:color="auto"/>
        <w:left w:val="none" w:sz="0" w:space="0" w:color="auto"/>
        <w:bottom w:val="none" w:sz="0" w:space="0" w:color="auto"/>
        <w:right w:val="none" w:sz="0" w:space="0" w:color="auto"/>
      </w:divBdr>
    </w:div>
    <w:div w:id="1927179626">
      <w:bodyDiv w:val="1"/>
      <w:marLeft w:val="0"/>
      <w:marRight w:val="0"/>
      <w:marTop w:val="0"/>
      <w:marBottom w:val="0"/>
      <w:divBdr>
        <w:top w:val="none" w:sz="0" w:space="0" w:color="auto"/>
        <w:left w:val="none" w:sz="0" w:space="0" w:color="auto"/>
        <w:bottom w:val="none" w:sz="0" w:space="0" w:color="auto"/>
        <w:right w:val="none" w:sz="0" w:space="0" w:color="auto"/>
      </w:divBdr>
    </w:div>
    <w:div w:id="1927227699">
      <w:bodyDiv w:val="1"/>
      <w:marLeft w:val="0"/>
      <w:marRight w:val="0"/>
      <w:marTop w:val="0"/>
      <w:marBottom w:val="0"/>
      <w:divBdr>
        <w:top w:val="none" w:sz="0" w:space="0" w:color="auto"/>
        <w:left w:val="none" w:sz="0" w:space="0" w:color="auto"/>
        <w:bottom w:val="none" w:sz="0" w:space="0" w:color="auto"/>
        <w:right w:val="none" w:sz="0" w:space="0" w:color="auto"/>
      </w:divBdr>
    </w:div>
    <w:div w:id="1927423983">
      <w:bodyDiv w:val="1"/>
      <w:marLeft w:val="0"/>
      <w:marRight w:val="0"/>
      <w:marTop w:val="0"/>
      <w:marBottom w:val="0"/>
      <w:divBdr>
        <w:top w:val="none" w:sz="0" w:space="0" w:color="auto"/>
        <w:left w:val="none" w:sz="0" w:space="0" w:color="auto"/>
        <w:bottom w:val="none" w:sz="0" w:space="0" w:color="auto"/>
        <w:right w:val="none" w:sz="0" w:space="0" w:color="auto"/>
      </w:divBdr>
    </w:div>
    <w:div w:id="1927762732">
      <w:bodyDiv w:val="1"/>
      <w:marLeft w:val="0"/>
      <w:marRight w:val="0"/>
      <w:marTop w:val="0"/>
      <w:marBottom w:val="0"/>
      <w:divBdr>
        <w:top w:val="none" w:sz="0" w:space="0" w:color="auto"/>
        <w:left w:val="none" w:sz="0" w:space="0" w:color="auto"/>
        <w:bottom w:val="none" w:sz="0" w:space="0" w:color="auto"/>
        <w:right w:val="none" w:sz="0" w:space="0" w:color="auto"/>
      </w:divBdr>
    </w:div>
    <w:div w:id="1927763655">
      <w:bodyDiv w:val="1"/>
      <w:marLeft w:val="0"/>
      <w:marRight w:val="0"/>
      <w:marTop w:val="0"/>
      <w:marBottom w:val="0"/>
      <w:divBdr>
        <w:top w:val="none" w:sz="0" w:space="0" w:color="auto"/>
        <w:left w:val="none" w:sz="0" w:space="0" w:color="auto"/>
        <w:bottom w:val="none" w:sz="0" w:space="0" w:color="auto"/>
        <w:right w:val="none" w:sz="0" w:space="0" w:color="auto"/>
      </w:divBdr>
    </w:div>
    <w:div w:id="1927839620">
      <w:bodyDiv w:val="1"/>
      <w:marLeft w:val="0"/>
      <w:marRight w:val="0"/>
      <w:marTop w:val="0"/>
      <w:marBottom w:val="0"/>
      <w:divBdr>
        <w:top w:val="none" w:sz="0" w:space="0" w:color="auto"/>
        <w:left w:val="none" w:sz="0" w:space="0" w:color="auto"/>
        <w:bottom w:val="none" w:sz="0" w:space="0" w:color="auto"/>
        <w:right w:val="none" w:sz="0" w:space="0" w:color="auto"/>
      </w:divBdr>
    </w:div>
    <w:div w:id="1927885314">
      <w:bodyDiv w:val="1"/>
      <w:marLeft w:val="0"/>
      <w:marRight w:val="0"/>
      <w:marTop w:val="0"/>
      <w:marBottom w:val="0"/>
      <w:divBdr>
        <w:top w:val="none" w:sz="0" w:space="0" w:color="auto"/>
        <w:left w:val="none" w:sz="0" w:space="0" w:color="auto"/>
        <w:bottom w:val="none" w:sz="0" w:space="0" w:color="auto"/>
        <w:right w:val="none" w:sz="0" w:space="0" w:color="auto"/>
      </w:divBdr>
    </w:div>
    <w:div w:id="1927958093">
      <w:bodyDiv w:val="1"/>
      <w:marLeft w:val="0"/>
      <w:marRight w:val="0"/>
      <w:marTop w:val="0"/>
      <w:marBottom w:val="0"/>
      <w:divBdr>
        <w:top w:val="none" w:sz="0" w:space="0" w:color="auto"/>
        <w:left w:val="none" w:sz="0" w:space="0" w:color="auto"/>
        <w:bottom w:val="none" w:sz="0" w:space="0" w:color="auto"/>
        <w:right w:val="none" w:sz="0" w:space="0" w:color="auto"/>
      </w:divBdr>
    </w:div>
    <w:div w:id="1928922352">
      <w:bodyDiv w:val="1"/>
      <w:marLeft w:val="0"/>
      <w:marRight w:val="0"/>
      <w:marTop w:val="0"/>
      <w:marBottom w:val="0"/>
      <w:divBdr>
        <w:top w:val="none" w:sz="0" w:space="0" w:color="auto"/>
        <w:left w:val="none" w:sz="0" w:space="0" w:color="auto"/>
        <w:bottom w:val="none" w:sz="0" w:space="0" w:color="auto"/>
        <w:right w:val="none" w:sz="0" w:space="0" w:color="auto"/>
      </w:divBdr>
    </w:div>
    <w:div w:id="1929189868">
      <w:bodyDiv w:val="1"/>
      <w:marLeft w:val="0"/>
      <w:marRight w:val="0"/>
      <w:marTop w:val="0"/>
      <w:marBottom w:val="0"/>
      <w:divBdr>
        <w:top w:val="none" w:sz="0" w:space="0" w:color="auto"/>
        <w:left w:val="none" w:sz="0" w:space="0" w:color="auto"/>
        <w:bottom w:val="none" w:sz="0" w:space="0" w:color="auto"/>
        <w:right w:val="none" w:sz="0" w:space="0" w:color="auto"/>
      </w:divBdr>
    </w:div>
    <w:div w:id="1929384912">
      <w:bodyDiv w:val="1"/>
      <w:marLeft w:val="0"/>
      <w:marRight w:val="0"/>
      <w:marTop w:val="0"/>
      <w:marBottom w:val="0"/>
      <w:divBdr>
        <w:top w:val="none" w:sz="0" w:space="0" w:color="auto"/>
        <w:left w:val="none" w:sz="0" w:space="0" w:color="auto"/>
        <w:bottom w:val="none" w:sz="0" w:space="0" w:color="auto"/>
        <w:right w:val="none" w:sz="0" w:space="0" w:color="auto"/>
      </w:divBdr>
    </w:div>
    <w:div w:id="1929539502">
      <w:bodyDiv w:val="1"/>
      <w:marLeft w:val="0"/>
      <w:marRight w:val="0"/>
      <w:marTop w:val="0"/>
      <w:marBottom w:val="0"/>
      <w:divBdr>
        <w:top w:val="none" w:sz="0" w:space="0" w:color="auto"/>
        <w:left w:val="none" w:sz="0" w:space="0" w:color="auto"/>
        <w:bottom w:val="none" w:sz="0" w:space="0" w:color="auto"/>
        <w:right w:val="none" w:sz="0" w:space="0" w:color="auto"/>
      </w:divBdr>
    </w:div>
    <w:div w:id="1929653398">
      <w:bodyDiv w:val="1"/>
      <w:marLeft w:val="0"/>
      <w:marRight w:val="0"/>
      <w:marTop w:val="0"/>
      <w:marBottom w:val="0"/>
      <w:divBdr>
        <w:top w:val="none" w:sz="0" w:space="0" w:color="auto"/>
        <w:left w:val="none" w:sz="0" w:space="0" w:color="auto"/>
        <w:bottom w:val="none" w:sz="0" w:space="0" w:color="auto"/>
        <w:right w:val="none" w:sz="0" w:space="0" w:color="auto"/>
      </w:divBdr>
    </w:div>
    <w:div w:id="1929725087">
      <w:bodyDiv w:val="1"/>
      <w:marLeft w:val="0"/>
      <w:marRight w:val="0"/>
      <w:marTop w:val="0"/>
      <w:marBottom w:val="0"/>
      <w:divBdr>
        <w:top w:val="none" w:sz="0" w:space="0" w:color="auto"/>
        <w:left w:val="none" w:sz="0" w:space="0" w:color="auto"/>
        <w:bottom w:val="none" w:sz="0" w:space="0" w:color="auto"/>
        <w:right w:val="none" w:sz="0" w:space="0" w:color="auto"/>
      </w:divBdr>
    </w:div>
    <w:div w:id="1930499623">
      <w:bodyDiv w:val="1"/>
      <w:marLeft w:val="0"/>
      <w:marRight w:val="0"/>
      <w:marTop w:val="0"/>
      <w:marBottom w:val="0"/>
      <w:divBdr>
        <w:top w:val="none" w:sz="0" w:space="0" w:color="auto"/>
        <w:left w:val="none" w:sz="0" w:space="0" w:color="auto"/>
        <w:bottom w:val="none" w:sz="0" w:space="0" w:color="auto"/>
        <w:right w:val="none" w:sz="0" w:space="0" w:color="auto"/>
      </w:divBdr>
    </w:div>
    <w:div w:id="1930692037">
      <w:bodyDiv w:val="1"/>
      <w:marLeft w:val="0"/>
      <w:marRight w:val="0"/>
      <w:marTop w:val="0"/>
      <w:marBottom w:val="0"/>
      <w:divBdr>
        <w:top w:val="none" w:sz="0" w:space="0" w:color="auto"/>
        <w:left w:val="none" w:sz="0" w:space="0" w:color="auto"/>
        <w:bottom w:val="none" w:sz="0" w:space="0" w:color="auto"/>
        <w:right w:val="none" w:sz="0" w:space="0" w:color="auto"/>
      </w:divBdr>
    </w:div>
    <w:div w:id="1930894040">
      <w:bodyDiv w:val="1"/>
      <w:marLeft w:val="0"/>
      <w:marRight w:val="0"/>
      <w:marTop w:val="0"/>
      <w:marBottom w:val="0"/>
      <w:divBdr>
        <w:top w:val="none" w:sz="0" w:space="0" w:color="auto"/>
        <w:left w:val="none" w:sz="0" w:space="0" w:color="auto"/>
        <w:bottom w:val="none" w:sz="0" w:space="0" w:color="auto"/>
        <w:right w:val="none" w:sz="0" w:space="0" w:color="auto"/>
      </w:divBdr>
    </w:div>
    <w:div w:id="1931113963">
      <w:bodyDiv w:val="1"/>
      <w:marLeft w:val="0"/>
      <w:marRight w:val="0"/>
      <w:marTop w:val="0"/>
      <w:marBottom w:val="0"/>
      <w:divBdr>
        <w:top w:val="none" w:sz="0" w:space="0" w:color="auto"/>
        <w:left w:val="none" w:sz="0" w:space="0" w:color="auto"/>
        <w:bottom w:val="none" w:sz="0" w:space="0" w:color="auto"/>
        <w:right w:val="none" w:sz="0" w:space="0" w:color="auto"/>
      </w:divBdr>
    </w:div>
    <w:div w:id="1931161400">
      <w:bodyDiv w:val="1"/>
      <w:marLeft w:val="0"/>
      <w:marRight w:val="0"/>
      <w:marTop w:val="0"/>
      <w:marBottom w:val="0"/>
      <w:divBdr>
        <w:top w:val="none" w:sz="0" w:space="0" w:color="auto"/>
        <w:left w:val="none" w:sz="0" w:space="0" w:color="auto"/>
        <w:bottom w:val="none" w:sz="0" w:space="0" w:color="auto"/>
        <w:right w:val="none" w:sz="0" w:space="0" w:color="auto"/>
      </w:divBdr>
    </w:div>
    <w:div w:id="1931498960">
      <w:bodyDiv w:val="1"/>
      <w:marLeft w:val="0"/>
      <w:marRight w:val="0"/>
      <w:marTop w:val="0"/>
      <w:marBottom w:val="0"/>
      <w:divBdr>
        <w:top w:val="none" w:sz="0" w:space="0" w:color="auto"/>
        <w:left w:val="none" w:sz="0" w:space="0" w:color="auto"/>
        <w:bottom w:val="none" w:sz="0" w:space="0" w:color="auto"/>
        <w:right w:val="none" w:sz="0" w:space="0" w:color="auto"/>
      </w:divBdr>
    </w:div>
    <w:div w:id="1931503447">
      <w:bodyDiv w:val="1"/>
      <w:marLeft w:val="0"/>
      <w:marRight w:val="0"/>
      <w:marTop w:val="0"/>
      <w:marBottom w:val="0"/>
      <w:divBdr>
        <w:top w:val="none" w:sz="0" w:space="0" w:color="auto"/>
        <w:left w:val="none" w:sz="0" w:space="0" w:color="auto"/>
        <w:bottom w:val="none" w:sz="0" w:space="0" w:color="auto"/>
        <w:right w:val="none" w:sz="0" w:space="0" w:color="auto"/>
      </w:divBdr>
    </w:div>
    <w:div w:id="1931811529">
      <w:bodyDiv w:val="1"/>
      <w:marLeft w:val="0"/>
      <w:marRight w:val="0"/>
      <w:marTop w:val="0"/>
      <w:marBottom w:val="0"/>
      <w:divBdr>
        <w:top w:val="none" w:sz="0" w:space="0" w:color="auto"/>
        <w:left w:val="none" w:sz="0" w:space="0" w:color="auto"/>
        <w:bottom w:val="none" w:sz="0" w:space="0" w:color="auto"/>
        <w:right w:val="none" w:sz="0" w:space="0" w:color="auto"/>
      </w:divBdr>
    </w:div>
    <w:div w:id="1932005888">
      <w:bodyDiv w:val="1"/>
      <w:marLeft w:val="0"/>
      <w:marRight w:val="0"/>
      <w:marTop w:val="0"/>
      <w:marBottom w:val="0"/>
      <w:divBdr>
        <w:top w:val="none" w:sz="0" w:space="0" w:color="auto"/>
        <w:left w:val="none" w:sz="0" w:space="0" w:color="auto"/>
        <w:bottom w:val="none" w:sz="0" w:space="0" w:color="auto"/>
        <w:right w:val="none" w:sz="0" w:space="0" w:color="auto"/>
      </w:divBdr>
    </w:div>
    <w:div w:id="1932086070">
      <w:bodyDiv w:val="1"/>
      <w:marLeft w:val="0"/>
      <w:marRight w:val="0"/>
      <w:marTop w:val="0"/>
      <w:marBottom w:val="0"/>
      <w:divBdr>
        <w:top w:val="none" w:sz="0" w:space="0" w:color="auto"/>
        <w:left w:val="none" w:sz="0" w:space="0" w:color="auto"/>
        <w:bottom w:val="none" w:sz="0" w:space="0" w:color="auto"/>
        <w:right w:val="none" w:sz="0" w:space="0" w:color="auto"/>
      </w:divBdr>
    </w:div>
    <w:div w:id="1932198273">
      <w:bodyDiv w:val="1"/>
      <w:marLeft w:val="0"/>
      <w:marRight w:val="0"/>
      <w:marTop w:val="0"/>
      <w:marBottom w:val="0"/>
      <w:divBdr>
        <w:top w:val="none" w:sz="0" w:space="0" w:color="auto"/>
        <w:left w:val="none" w:sz="0" w:space="0" w:color="auto"/>
        <w:bottom w:val="none" w:sz="0" w:space="0" w:color="auto"/>
        <w:right w:val="none" w:sz="0" w:space="0" w:color="auto"/>
      </w:divBdr>
    </w:div>
    <w:div w:id="1932276933">
      <w:bodyDiv w:val="1"/>
      <w:marLeft w:val="0"/>
      <w:marRight w:val="0"/>
      <w:marTop w:val="0"/>
      <w:marBottom w:val="0"/>
      <w:divBdr>
        <w:top w:val="none" w:sz="0" w:space="0" w:color="auto"/>
        <w:left w:val="none" w:sz="0" w:space="0" w:color="auto"/>
        <w:bottom w:val="none" w:sz="0" w:space="0" w:color="auto"/>
        <w:right w:val="none" w:sz="0" w:space="0" w:color="auto"/>
      </w:divBdr>
    </w:div>
    <w:div w:id="1932346148">
      <w:bodyDiv w:val="1"/>
      <w:marLeft w:val="0"/>
      <w:marRight w:val="0"/>
      <w:marTop w:val="0"/>
      <w:marBottom w:val="0"/>
      <w:divBdr>
        <w:top w:val="none" w:sz="0" w:space="0" w:color="auto"/>
        <w:left w:val="none" w:sz="0" w:space="0" w:color="auto"/>
        <w:bottom w:val="none" w:sz="0" w:space="0" w:color="auto"/>
        <w:right w:val="none" w:sz="0" w:space="0" w:color="auto"/>
      </w:divBdr>
    </w:div>
    <w:div w:id="1932544158">
      <w:bodyDiv w:val="1"/>
      <w:marLeft w:val="0"/>
      <w:marRight w:val="0"/>
      <w:marTop w:val="0"/>
      <w:marBottom w:val="0"/>
      <w:divBdr>
        <w:top w:val="none" w:sz="0" w:space="0" w:color="auto"/>
        <w:left w:val="none" w:sz="0" w:space="0" w:color="auto"/>
        <w:bottom w:val="none" w:sz="0" w:space="0" w:color="auto"/>
        <w:right w:val="none" w:sz="0" w:space="0" w:color="auto"/>
      </w:divBdr>
    </w:div>
    <w:div w:id="1932546855">
      <w:bodyDiv w:val="1"/>
      <w:marLeft w:val="0"/>
      <w:marRight w:val="0"/>
      <w:marTop w:val="0"/>
      <w:marBottom w:val="0"/>
      <w:divBdr>
        <w:top w:val="none" w:sz="0" w:space="0" w:color="auto"/>
        <w:left w:val="none" w:sz="0" w:space="0" w:color="auto"/>
        <w:bottom w:val="none" w:sz="0" w:space="0" w:color="auto"/>
        <w:right w:val="none" w:sz="0" w:space="0" w:color="auto"/>
      </w:divBdr>
    </w:div>
    <w:div w:id="1932661576">
      <w:bodyDiv w:val="1"/>
      <w:marLeft w:val="0"/>
      <w:marRight w:val="0"/>
      <w:marTop w:val="0"/>
      <w:marBottom w:val="0"/>
      <w:divBdr>
        <w:top w:val="none" w:sz="0" w:space="0" w:color="auto"/>
        <w:left w:val="none" w:sz="0" w:space="0" w:color="auto"/>
        <w:bottom w:val="none" w:sz="0" w:space="0" w:color="auto"/>
        <w:right w:val="none" w:sz="0" w:space="0" w:color="auto"/>
      </w:divBdr>
    </w:div>
    <w:div w:id="1932814186">
      <w:bodyDiv w:val="1"/>
      <w:marLeft w:val="0"/>
      <w:marRight w:val="0"/>
      <w:marTop w:val="0"/>
      <w:marBottom w:val="0"/>
      <w:divBdr>
        <w:top w:val="none" w:sz="0" w:space="0" w:color="auto"/>
        <w:left w:val="none" w:sz="0" w:space="0" w:color="auto"/>
        <w:bottom w:val="none" w:sz="0" w:space="0" w:color="auto"/>
        <w:right w:val="none" w:sz="0" w:space="0" w:color="auto"/>
      </w:divBdr>
    </w:div>
    <w:div w:id="1933463933">
      <w:bodyDiv w:val="1"/>
      <w:marLeft w:val="0"/>
      <w:marRight w:val="0"/>
      <w:marTop w:val="0"/>
      <w:marBottom w:val="0"/>
      <w:divBdr>
        <w:top w:val="none" w:sz="0" w:space="0" w:color="auto"/>
        <w:left w:val="none" w:sz="0" w:space="0" w:color="auto"/>
        <w:bottom w:val="none" w:sz="0" w:space="0" w:color="auto"/>
        <w:right w:val="none" w:sz="0" w:space="0" w:color="auto"/>
      </w:divBdr>
    </w:div>
    <w:div w:id="1933468070">
      <w:bodyDiv w:val="1"/>
      <w:marLeft w:val="0"/>
      <w:marRight w:val="0"/>
      <w:marTop w:val="0"/>
      <w:marBottom w:val="0"/>
      <w:divBdr>
        <w:top w:val="none" w:sz="0" w:space="0" w:color="auto"/>
        <w:left w:val="none" w:sz="0" w:space="0" w:color="auto"/>
        <w:bottom w:val="none" w:sz="0" w:space="0" w:color="auto"/>
        <w:right w:val="none" w:sz="0" w:space="0" w:color="auto"/>
      </w:divBdr>
    </w:div>
    <w:div w:id="1933656649">
      <w:bodyDiv w:val="1"/>
      <w:marLeft w:val="0"/>
      <w:marRight w:val="0"/>
      <w:marTop w:val="0"/>
      <w:marBottom w:val="0"/>
      <w:divBdr>
        <w:top w:val="none" w:sz="0" w:space="0" w:color="auto"/>
        <w:left w:val="none" w:sz="0" w:space="0" w:color="auto"/>
        <w:bottom w:val="none" w:sz="0" w:space="0" w:color="auto"/>
        <w:right w:val="none" w:sz="0" w:space="0" w:color="auto"/>
      </w:divBdr>
    </w:div>
    <w:div w:id="1933658841">
      <w:bodyDiv w:val="1"/>
      <w:marLeft w:val="0"/>
      <w:marRight w:val="0"/>
      <w:marTop w:val="0"/>
      <w:marBottom w:val="0"/>
      <w:divBdr>
        <w:top w:val="none" w:sz="0" w:space="0" w:color="auto"/>
        <w:left w:val="none" w:sz="0" w:space="0" w:color="auto"/>
        <w:bottom w:val="none" w:sz="0" w:space="0" w:color="auto"/>
        <w:right w:val="none" w:sz="0" w:space="0" w:color="auto"/>
      </w:divBdr>
    </w:div>
    <w:div w:id="1933706103">
      <w:bodyDiv w:val="1"/>
      <w:marLeft w:val="0"/>
      <w:marRight w:val="0"/>
      <w:marTop w:val="0"/>
      <w:marBottom w:val="0"/>
      <w:divBdr>
        <w:top w:val="none" w:sz="0" w:space="0" w:color="auto"/>
        <w:left w:val="none" w:sz="0" w:space="0" w:color="auto"/>
        <w:bottom w:val="none" w:sz="0" w:space="0" w:color="auto"/>
        <w:right w:val="none" w:sz="0" w:space="0" w:color="auto"/>
      </w:divBdr>
    </w:div>
    <w:div w:id="1934164228">
      <w:bodyDiv w:val="1"/>
      <w:marLeft w:val="0"/>
      <w:marRight w:val="0"/>
      <w:marTop w:val="0"/>
      <w:marBottom w:val="0"/>
      <w:divBdr>
        <w:top w:val="none" w:sz="0" w:space="0" w:color="auto"/>
        <w:left w:val="none" w:sz="0" w:space="0" w:color="auto"/>
        <w:bottom w:val="none" w:sz="0" w:space="0" w:color="auto"/>
        <w:right w:val="none" w:sz="0" w:space="0" w:color="auto"/>
      </w:divBdr>
    </w:div>
    <w:div w:id="1934168316">
      <w:bodyDiv w:val="1"/>
      <w:marLeft w:val="0"/>
      <w:marRight w:val="0"/>
      <w:marTop w:val="0"/>
      <w:marBottom w:val="0"/>
      <w:divBdr>
        <w:top w:val="none" w:sz="0" w:space="0" w:color="auto"/>
        <w:left w:val="none" w:sz="0" w:space="0" w:color="auto"/>
        <w:bottom w:val="none" w:sz="0" w:space="0" w:color="auto"/>
        <w:right w:val="none" w:sz="0" w:space="0" w:color="auto"/>
      </w:divBdr>
    </w:div>
    <w:div w:id="1934195897">
      <w:bodyDiv w:val="1"/>
      <w:marLeft w:val="0"/>
      <w:marRight w:val="0"/>
      <w:marTop w:val="0"/>
      <w:marBottom w:val="0"/>
      <w:divBdr>
        <w:top w:val="none" w:sz="0" w:space="0" w:color="auto"/>
        <w:left w:val="none" w:sz="0" w:space="0" w:color="auto"/>
        <w:bottom w:val="none" w:sz="0" w:space="0" w:color="auto"/>
        <w:right w:val="none" w:sz="0" w:space="0" w:color="auto"/>
      </w:divBdr>
    </w:div>
    <w:div w:id="1934195973">
      <w:bodyDiv w:val="1"/>
      <w:marLeft w:val="0"/>
      <w:marRight w:val="0"/>
      <w:marTop w:val="0"/>
      <w:marBottom w:val="0"/>
      <w:divBdr>
        <w:top w:val="none" w:sz="0" w:space="0" w:color="auto"/>
        <w:left w:val="none" w:sz="0" w:space="0" w:color="auto"/>
        <w:bottom w:val="none" w:sz="0" w:space="0" w:color="auto"/>
        <w:right w:val="none" w:sz="0" w:space="0" w:color="auto"/>
      </w:divBdr>
    </w:div>
    <w:div w:id="1934511327">
      <w:bodyDiv w:val="1"/>
      <w:marLeft w:val="0"/>
      <w:marRight w:val="0"/>
      <w:marTop w:val="0"/>
      <w:marBottom w:val="0"/>
      <w:divBdr>
        <w:top w:val="none" w:sz="0" w:space="0" w:color="auto"/>
        <w:left w:val="none" w:sz="0" w:space="0" w:color="auto"/>
        <w:bottom w:val="none" w:sz="0" w:space="0" w:color="auto"/>
        <w:right w:val="none" w:sz="0" w:space="0" w:color="auto"/>
      </w:divBdr>
    </w:div>
    <w:div w:id="1934701886">
      <w:bodyDiv w:val="1"/>
      <w:marLeft w:val="0"/>
      <w:marRight w:val="0"/>
      <w:marTop w:val="0"/>
      <w:marBottom w:val="0"/>
      <w:divBdr>
        <w:top w:val="none" w:sz="0" w:space="0" w:color="auto"/>
        <w:left w:val="none" w:sz="0" w:space="0" w:color="auto"/>
        <w:bottom w:val="none" w:sz="0" w:space="0" w:color="auto"/>
        <w:right w:val="none" w:sz="0" w:space="0" w:color="auto"/>
      </w:divBdr>
    </w:div>
    <w:div w:id="1934777456">
      <w:bodyDiv w:val="1"/>
      <w:marLeft w:val="0"/>
      <w:marRight w:val="0"/>
      <w:marTop w:val="0"/>
      <w:marBottom w:val="0"/>
      <w:divBdr>
        <w:top w:val="none" w:sz="0" w:space="0" w:color="auto"/>
        <w:left w:val="none" w:sz="0" w:space="0" w:color="auto"/>
        <w:bottom w:val="none" w:sz="0" w:space="0" w:color="auto"/>
        <w:right w:val="none" w:sz="0" w:space="0" w:color="auto"/>
      </w:divBdr>
    </w:div>
    <w:div w:id="1934779945">
      <w:bodyDiv w:val="1"/>
      <w:marLeft w:val="0"/>
      <w:marRight w:val="0"/>
      <w:marTop w:val="0"/>
      <w:marBottom w:val="0"/>
      <w:divBdr>
        <w:top w:val="none" w:sz="0" w:space="0" w:color="auto"/>
        <w:left w:val="none" w:sz="0" w:space="0" w:color="auto"/>
        <w:bottom w:val="none" w:sz="0" w:space="0" w:color="auto"/>
        <w:right w:val="none" w:sz="0" w:space="0" w:color="auto"/>
      </w:divBdr>
    </w:div>
    <w:div w:id="1935018131">
      <w:bodyDiv w:val="1"/>
      <w:marLeft w:val="0"/>
      <w:marRight w:val="0"/>
      <w:marTop w:val="0"/>
      <w:marBottom w:val="0"/>
      <w:divBdr>
        <w:top w:val="none" w:sz="0" w:space="0" w:color="auto"/>
        <w:left w:val="none" w:sz="0" w:space="0" w:color="auto"/>
        <w:bottom w:val="none" w:sz="0" w:space="0" w:color="auto"/>
        <w:right w:val="none" w:sz="0" w:space="0" w:color="auto"/>
      </w:divBdr>
    </w:div>
    <w:div w:id="1935048653">
      <w:bodyDiv w:val="1"/>
      <w:marLeft w:val="0"/>
      <w:marRight w:val="0"/>
      <w:marTop w:val="0"/>
      <w:marBottom w:val="0"/>
      <w:divBdr>
        <w:top w:val="none" w:sz="0" w:space="0" w:color="auto"/>
        <w:left w:val="none" w:sz="0" w:space="0" w:color="auto"/>
        <w:bottom w:val="none" w:sz="0" w:space="0" w:color="auto"/>
        <w:right w:val="none" w:sz="0" w:space="0" w:color="auto"/>
      </w:divBdr>
    </w:div>
    <w:div w:id="1935166843">
      <w:bodyDiv w:val="1"/>
      <w:marLeft w:val="0"/>
      <w:marRight w:val="0"/>
      <w:marTop w:val="0"/>
      <w:marBottom w:val="0"/>
      <w:divBdr>
        <w:top w:val="none" w:sz="0" w:space="0" w:color="auto"/>
        <w:left w:val="none" w:sz="0" w:space="0" w:color="auto"/>
        <w:bottom w:val="none" w:sz="0" w:space="0" w:color="auto"/>
        <w:right w:val="none" w:sz="0" w:space="0" w:color="auto"/>
      </w:divBdr>
    </w:div>
    <w:div w:id="1935168467">
      <w:bodyDiv w:val="1"/>
      <w:marLeft w:val="0"/>
      <w:marRight w:val="0"/>
      <w:marTop w:val="0"/>
      <w:marBottom w:val="0"/>
      <w:divBdr>
        <w:top w:val="none" w:sz="0" w:space="0" w:color="auto"/>
        <w:left w:val="none" w:sz="0" w:space="0" w:color="auto"/>
        <w:bottom w:val="none" w:sz="0" w:space="0" w:color="auto"/>
        <w:right w:val="none" w:sz="0" w:space="0" w:color="auto"/>
      </w:divBdr>
    </w:div>
    <w:div w:id="1935245121">
      <w:bodyDiv w:val="1"/>
      <w:marLeft w:val="0"/>
      <w:marRight w:val="0"/>
      <w:marTop w:val="0"/>
      <w:marBottom w:val="0"/>
      <w:divBdr>
        <w:top w:val="none" w:sz="0" w:space="0" w:color="auto"/>
        <w:left w:val="none" w:sz="0" w:space="0" w:color="auto"/>
        <w:bottom w:val="none" w:sz="0" w:space="0" w:color="auto"/>
        <w:right w:val="none" w:sz="0" w:space="0" w:color="auto"/>
      </w:divBdr>
    </w:div>
    <w:div w:id="1936086867">
      <w:bodyDiv w:val="1"/>
      <w:marLeft w:val="0"/>
      <w:marRight w:val="0"/>
      <w:marTop w:val="0"/>
      <w:marBottom w:val="0"/>
      <w:divBdr>
        <w:top w:val="none" w:sz="0" w:space="0" w:color="auto"/>
        <w:left w:val="none" w:sz="0" w:space="0" w:color="auto"/>
        <w:bottom w:val="none" w:sz="0" w:space="0" w:color="auto"/>
        <w:right w:val="none" w:sz="0" w:space="0" w:color="auto"/>
      </w:divBdr>
    </w:div>
    <w:div w:id="1936135776">
      <w:bodyDiv w:val="1"/>
      <w:marLeft w:val="0"/>
      <w:marRight w:val="0"/>
      <w:marTop w:val="0"/>
      <w:marBottom w:val="0"/>
      <w:divBdr>
        <w:top w:val="none" w:sz="0" w:space="0" w:color="auto"/>
        <w:left w:val="none" w:sz="0" w:space="0" w:color="auto"/>
        <w:bottom w:val="none" w:sz="0" w:space="0" w:color="auto"/>
        <w:right w:val="none" w:sz="0" w:space="0" w:color="auto"/>
      </w:divBdr>
    </w:div>
    <w:div w:id="1936202349">
      <w:bodyDiv w:val="1"/>
      <w:marLeft w:val="0"/>
      <w:marRight w:val="0"/>
      <w:marTop w:val="0"/>
      <w:marBottom w:val="0"/>
      <w:divBdr>
        <w:top w:val="none" w:sz="0" w:space="0" w:color="auto"/>
        <w:left w:val="none" w:sz="0" w:space="0" w:color="auto"/>
        <w:bottom w:val="none" w:sz="0" w:space="0" w:color="auto"/>
        <w:right w:val="none" w:sz="0" w:space="0" w:color="auto"/>
      </w:divBdr>
    </w:div>
    <w:div w:id="1936209567">
      <w:bodyDiv w:val="1"/>
      <w:marLeft w:val="0"/>
      <w:marRight w:val="0"/>
      <w:marTop w:val="0"/>
      <w:marBottom w:val="0"/>
      <w:divBdr>
        <w:top w:val="none" w:sz="0" w:space="0" w:color="auto"/>
        <w:left w:val="none" w:sz="0" w:space="0" w:color="auto"/>
        <w:bottom w:val="none" w:sz="0" w:space="0" w:color="auto"/>
        <w:right w:val="none" w:sz="0" w:space="0" w:color="auto"/>
      </w:divBdr>
    </w:div>
    <w:div w:id="1936549163">
      <w:bodyDiv w:val="1"/>
      <w:marLeft w:val="0"/>
      <w:marRight w:val="0"/>
      <w:marTop w:val="0"/>
      <w:marBottom w:val="0"/>
      <w:divBdr>
        <w:top w:val="none" w:sz="0" w:space="0" w:color="auto"/>
        <w:left w:val="none" w:sz="0" w:space="0" w:color="auto"/>
        <w:bottom w:val="none" w:sz="0" w:space="0" w:color="auto"/>
        <w:right w:val="none" w:sz="0" w:space="0" w:color="auto"/>
      </w:divBdr>
    </w:div>
    <w:div w:id="1936551919">
      <w:bodyDiv w:val="1"/>
      <w:marLeft w:val="0"/>
      <w:marRight w:val="0"/>
      <w:marTop w:val="0"/>
      <w:marBottom w:val="0"/>
      <w:divBdr>
        <w:top w:val="none" w:sz="0" w:space="0" w:color="auto"/>
        <w:left w:val="none" w:sz="0" w:space="0" w:color="auto"/>
        <w:bottom w:val="none" w:sz="0" w:space="0" w:color="auto"/>
        <w:right w:val="none" w:sz="0" w:space="0" w:color="auto"/>
      </w:divBdr>
    </w:div>
    <w:div w:id="1936741214">
      <w:bodyDiv w:val="1"/>
      <w:marLeft w:val="0"/>
      <w:marRight w:val="0"/>
      <w:marTop w:val="0"/>
      <w:marBottom w:val="0"/>
      <w:divBdr>
        <w:top w:val="none" w:sz="0" w:space="0" w:color="auto"/>
        <w:left w:val="none" w:sz="0" w:space="0" w:color="auto"/>
        <w:bottom w:val="none" w:sz="0" w:space="0" w:color="auto"/>
        <w:right w:val="none" w:sz="0" w:space="0" w:color="auto"/>
      </w:divBdr>
    </w:div>
    <w:div w:id="1936741688">
      <w:bodyDiv w:val="1"/>
      <w:marLeft w:val="0"/>
      <w:marRight w:val="0"/>
      <w:marTop w:val="0"/>
      <w:marBottom w:val="0"/>
      <w:divBdr>
        <w:top w:val="none" w:sz="0" w:space="0" w:color="auto"/>
        <w:left w:val="none" w:sz="0" w:space="0" w:color="auto"/>
        <w:bottom w:val="none" w:sz="0" w:space="0" w:color="auto"/>
        <w:right w:val="none" w:sz="0" w:space="0" w:color="auto"/>
      </w:divBdr>
    </w:div>
    <w:div w:id="1937249665">
      <w:bodyDiv w:val="1"/>
      <w:marLeft w:val="0"/>
      <w:marRight w:val="0"/>
      <w:marTop w:val="0"/>
      <w:marBottom w:val="0"/>
      <w:divBdr>
        <w:top w:val="none" w:sz="0" w:space="0" w:color="auto"/>
        <w:left w:val="none" w:sz="0" w:space="0" w:color="auto"/>
        <w:bottom w:val="none" w:sz="0" w:space="0" w:color="auto"/>
        <w:right w:val="none" w:sz="0" w:space="0" w:color="auto"/>
      </w:divBdr>
    </w:div>
    <w:div w:id="1937513246">
      <w:bodyDiv w:val="1"/>
      <w:marLeft w:val="0"/>
      <w:marRight w:val="0"/>
      <w:marTop w:val="0"/>
      <w:marBottom w:val="0"/>
      <w:divBdr>
        <w:top w:val="none" w:sz="0" w:space="0" w:color="auto"/>
        <w:left w:val="none" w:sz="0" w:space="0" w:color="auto"/>
        <w:bottom w:val="none" w:sz="0" w:space="0" w:color="auto"/>
        <w:right w:val="none" w:sz="0" w:space="0" w:color="auto"/>
      </w:divBdr>
    </w:div>
    <w:div w:id="1938706605">
      <w:bodyDiv w:val="1"/>
      <w:marLeft w:val="0"/>
      <w:marRight w:val="0"/>
      <w:marTop w:val="0"/>
      <w:marBottom w:val="0"/>
      <w:divBdr>
        <w:top w:val="none" w:sz="0" w:space="0" w:color="auto"/>
        <w:left w:val="none" w:sz="0" w:space="0" w:color="auto"/>
        <w:bottom w:val="none" w:sz="0" w:space="0" w:color="auto"/>
        <w:right w:val="none" w:sz="0" w:space="0" w:color="auto"/>
      </w:divBdr>
    </w:div>
    <w:div w:id="1938901434">
      <w:bodyDiv w:val="1"/>
      <w:marLeft w:val="0"/>
      <w:marRight w:val="0"/>
      <w:marTop w:val="0"/>
      <w:marBottom w:val="0"/>
      <w:divBdr>
        <w:top w:val="none" w:sz="0" w:space="0" w:color="auto"/>
        <w:left w:val="none" w:sz="0" w:space="0" w:color="auto"/>
        <w:bottom w:val="none" w:sz="0" w:space="0" w:color="auto"/>
        <w:right w:val="none" w:sz="0" w:space="0" w:color="auto"/>
      </w:divBdr>
    </w:div>
    <w:div w:id="1939679103">
      <w:bodyDiv w:val="1"/>
      <w:marLeft w:val="0"/>
      <w:marRight w:val="0"/>
      <w:marTop w:val="0"/>
      <w:marBottom w:val="0"/>
      <w:divBdr>
        <w:top w:val="none" w:sz="0" w:space="0" w:color="auto"/>
        <w:left w:val="none" w:sz="0" w:space="0" w:color="auto"/>
        <w:bottom w:val="none" w:sz="0" w:space="0" w:color="auto"/>
        <w:right w:val="none" w:sz="0" w:space="0" w:color="auto"/>
      </w:divBdr>
    </w:div>
    <w:div w:id="1939947616">
      <w:bodyDiv w:val="1"/>
      <w:marLeft w:val="0"/>
      <w:marRight w:val="0"/>
      <w:marTop w:val="0"/>
      <w:marBottom w:val="0"/>
      <w:divBdr>
        <w:top w:val="none" w:sz="0" w:space="0" w:color="auto"/>
        <w:left w:val="none" w:sz="0" w:space="0" w:color="auto"/>
        <w:bottom w:val="none" w:sz="0" w:space="0" w:color="auto"/>
        <w:right w:val="none" w:sz="0" w:space="0" w:color="auto"/>
      </w:divBdr>
    </w:div>
    <w:div w:id="1939947686">
      <w:bodyDiv w:val="1"/>
      <w:marLeft w:val="0"/>
      <w:marRight w:val="0"/>
      <w:marTop w:val="0"/>
      <w:marBottom w:val="0"/>
      <w:divBdr>
        <w:top w:val="none" w:sz="0" w:space="0" w:color="auto"/>
        <w:left w:val="none" w:sz="0" w:space="0" w:color="auto"/>
        <w:bottom w:val="none" w:sz="0" w:space="0" w:color="auto"/>
        <w:right w:val="none" w:sz="0" w:space="0" w:color="auto"/>
      </w:divBdr>
    </w:div>
    <w:div w:id="1939948106">
      <w:bodyDiv w:val="1"/>
      <w:marLeft w:val="0"/>
      <w:marRight w:val="0"/>
      <w:marTop w:val="0"/>
      <w:marBottom w:val="0"/>
      <w:divBdr>
        <w:top w:val="none" w:sz="0" w:space="0" w:color="auto"/>
        <w:left w:val="none" w:sz="0" w:space="0" w:color="auto"/>
        <w:bottom w:val="none" w:sz="0" w:space="0" w:color="auto"/>
        <w:right w:val="none" w:sz="0" w:space="0" w:color="auto"/>
      </w:divBdr>
    </w:div>
    <w:div w:id="1940022713">
      <w:bodyDiv w:val="1"/>
      <w:marLeft w:val="0"/>
      <w:marRight w:val="0"/>
      <w:marTop w:val="0"/>
      <w:marBottom w:val="0"/>
      <w:divBdr>
        <w:top w:val="none" w:sz="0" w:space="0" w:color="auto"/>
        <w:left w:val="none" w:sz="0" w:space="0" w:color="auto"/>
        <w:bottom w:val="none" w:sz="0" w:space="0" w:color="auto"/>
        <w:right w:val="none" w:sz="0" w:space="0" w:color="auto"/>
      </w:divBdr>
    </w:div>
    <w:div w:id="1940093487">
      <w:bodyDiv w:val="1"/>
      <w:marLeft w:val="0"/>
      <w:marRight w:val="0"/>
      <w:marTop w:val="0"/>
      <w:marBottom w:val="0"/>
      <w:divBdr>
        <w:top w:val="none" w:sz="0" w:space="0" w:color="auto"/>
        <w:left w:val="none" w:sz="0" w:space="0" w:color="auto"/>
        <w:bottom w:val="none" w:sz="0" w:space="0" w:color="auto"/>
        <w:right w:val="none" w:sz="0" w:space="0" w:color="auto"/>
      </w:divBdr>
    </w:div>
    <w:div w:id="1940479876">
      <w:bodyDiv w:val="1"/>
      <w:marLeft w:val="0"/>
      <w:marRight w:val="0"/>
      <w:marTop w:val="0"/>
      <w:marBottom w:val="0"/>
      <w:divBdr>
        <w:top w:val="none" w:sz="0" w:space="0" w:color="auto"/>
        <w:left w:val="none" w:sz="0" w:space="0" w:color="auto"/>
        <w:bottom w:val="none" w:sz="0" w:space="0" w:color="auto"/>
        <w:right w:val="none" w:sz="0" w:space="0" w:color="auto"/>
      </w:divBdr>
    </w:div>
    <w:div w:id="1940723467">
      <w:bodyDiv w:val="1"/>
      <w:marLeft w:val="0"/>
      <w:marRight w:val="0"/>
      <w:marTop w:val="0"/>
      <w:marBottom w:val="0"/>
      <w:divBdr>
        <w:top w:val="none" w:sz="0" w:space="0" w:color="auto"/>
        <w:left w:val="none" w:sz="0" w:space="0" w:color="auto"/>
        <w:bottom w:val="none" w:sz="0" w:space="0" w:color="auto"/>
        <w:right w:val="none" w:sz="0" w:space="0" w:color="auto"/>
      </w:divBdr>
    </w:div>
    <w:div w:id="1941528636">
      <w:bodyDiv w:val="1"/>
      <w:marLeft w:val="0"/>
      <w:marRight w:val="0"/>
      <w:marTop w:val="0"/>
      <w:marBottom w:val="0"/>
      <w:divBdr>
        <w:top w:val="none" w:sz="0" w:space="0" w:color="auto"/>
        <w:left w:val="none" w:sz="0" w:space="0" w:color="auto"/>
        <w:bottom w:val="none" w:sz="0" w:space="0" w:color="auto"/>
        <w:right w:val="none" w:sz="0" w:space="0" w:color="auto"/>
      </w:divBdr>
    </w:div>
    <w:div w:id="1941832748">
      <w:bodyDiv w:val="1"/>
      <w:marLeft w:val="0"/>
      <w:marRight w:val="0"/>
      <w:marTop w:val="0"/>
      <w:marBottom w:val="0"/>
      <w:divBdr>
        <w:top w:val="none" w:sz="0" w:space="0" w:color="auto"/>
        <w:left w:val="none" w:sz="0" w:space="0" w:color="auto"/>
        <w:bottom w:val="none" w:sz="0" w:space="0" w:color="auto"/>
        <w:right w:val="none" w:sz="0" w:space="0" w:color="auto"/>
      </w:divBdr>
    </w:div>
    <w:div w:id="1942296269">
      <w:bodyDiv w:val="1"/>
      <w:marLeft w:val="0"/>
      <w:marRight w:val="0"/>
      <w:marTop w:val="0"/>
      <w:marBottom w:val="0"/>
      <w:divBdr>
        <w:top w:val="none" w:sz="0" w:space="0" w:color="auto"/>
        <w:left w:val="none" w:sz="0" w:space="0" w:color="auto"/>
        <w:bottom w:val="none" w:sz="0" w:space="0" w:color="auto"/>
        <w:right w:val="none" w:sz="0" w:space="0" w:color="auto"/>
      </w:divBdr>
    </w:div>
    <w:div w:id="1942299098">
      <w:bodyDiv w:val="1"/>
      <w:marLeft w:val="0"/>
      <w:marRight w:val="0"/>
      <w:marTop w:val="0"/>
      <w:marBottom w:val="0"/>
      <w:divBdr>
        <w:top w:val="none" w:sz="0" w:space="0" w:color="auto"/>
        <w:left w:val="none" w:sz="0" w:space="0" w:color="auto"/>
        <w:bottom w:val="none" w:sz="0" w:space="0" w:color="auto"/>
        <w:right w:val="none" w:sz="0" w:space="0" w:color="auto"/>
      </w:divBdr>
    </w:div>
    <w:div w:id="1942956884">
      <w:bodyDiv w:val="1"/>
      <w:marLeft w:val="0"/>
      <w:marRight w:val="0"/>
      <w:marTop w:val="0"/>
      <w:marBottom w:val="0"/>
      <w:divBdr>
        <w:top w:val="none" w:sz="0" w:space="0" w:color="auto"/>
        <w:left w:val="none" w:sz="0" w:space="0" w:color="auto"/>
        <w:bottom w:val="none" w:sz="0" w:space="0" w:color="auto"/>
        <w:right w:val="none" w:sz="0" w:space="0" w:color="auto"/>
      </w:divBdr>
    </w:div>
    <w:div w:id="1943222104">
      <w:bodyDiv w:val="1"/>
      <w:marLeft w:val="0"/>
      <w:marRight w:val="0"/>
      <w:marTop w:val="0"/>
      <w:marBottom w:val="0"/>
      <w:divBdr>
        <w:top w:val="none" w:sz="0" w:space="0" w:color="auto"/>
        <w:left w:val="none" w:sz="0" w:space="0" w:color="auto"/>
        <w:bottom w:val="none" w:sz="0" w:space="0" w:color="auto"/>
        <w:right w:val="none" w:sz="0" w:space="0" w:color="auto"/>
      </w:divBdr>
    </w:div>
    <w:div w:id="1943561047">
      <w:bodyDiv w:val="1"/>
      <w:marLeft w:val="0"/>
      <w:marRight w:val="0"/>
      <w:marTop w:val="0"/>
      <w:marBottom w:val="0"/>
      <w:divBdr>
        <w:top w:val="none" w:sz="0" w:space="0" w:color="auto"/>
        <w:left w:val="none" w:sz="0" w:space="0" w:color="auto"/>
        <w:bottom w:val="none" w:sz="0" w:space="0" w:color="auto"/>
        <w:right w:val="none" w:sz="0" w:space="0" w:color="auto"/>
      </w:divBdr>
    </w:div>
    <w:div w:id="1943605575">
      <w:bodyDiv w:val="1"/>
      <w:marLeft w:val="0"/>
      <w:marRight w:val="0"/>
      <w:marTop w:val="0"/>
      <w:marBottom w:val="0"/>
      <w:divBdr>
        <w:top w:val="none" w:sz="0" w:space="0" w:color="auto"/>
        <w:left w:val="none" w:sz="0" w:space="0" w:color="auto"/>
        <w:bottom w:val="none" w:sz="0" w:space="0" w:color="auto"/>
        <w:right w:val="none" w:sz="0" w:space="0" w:color="auto"/>
      </w:divBdr>
    </w:div>
    <w:div w:id="1943681416">
      <w:bodyDiv w:val="1"/>
      <w:marLeft w:val="0"/>
      <w:marRight w:val="0"/>
      <w:marTop w:val="0"/>
      <w:marBottom w:val="0"/>
      <w:divBdr>
        <w:top w:val="none" w:sz="0" w:space="0" w:color="auto"/>
        <w:left w:val="none" w:sz="0" w:space="0" w:color="auto"/>
        <w:bottom w:val="none" w:sz="0" w:space="0" w:color="auto"/>
        <w:right w:val="none" w:sz="0" w:space="0" w:color="auto"/>
      </w:divBdr>
    </w:div>
    <w:div w:id="1943686997">
      <w:bodyDiv w:val="1"/>
      <w:marLeft w:val="0"/>
      <w:marRight w:val="0"/>
      <w:marTop w:val="0"/>
      <w:marBottom w:val="0"/>
      <w:divBdr>
        <w:top w:val="none" w:sz="0" w:space="0" w:color="auto"/>
        <w:left w:val="none" w:sz="0" w:space="0" w:color="auto"/>
        <w:bottom w:val="none" w:sz="0" w:space="0" w:color="auto"/>
        <w:right w:val="none" w:sz="0" w:space="0" w:color="auto"/>
      </w:divBdr>
    </w:div>
    <w:div w:id="1943949479">
      <w:bodyDiv w:val="1"/>
      <w:marLeft w:val="0"/>
      <w:marRight w:val="0"/>
      <w:marTop w:val="0"/>
      <w:marBottom w:val="0"/>
      <w:divBdr>
        <w:top w:val="none" w:sz="0" w:space="0" w:color="auto"/>
        <w:left w:val="none" w:sz="0" w:space="0" w:color="auto"/>
        <w:bottom w:val="none" w:sz="0" w:space="0" w:color="auto"/>
        <w:right w:val="none" w:sz="0" w:space="0" w:color="auto"/>
      </w:divBdr>
    </w:div>
    <w:div w:id="1944266633">
      <w:bodyDiv w:val="1"/>
      <w:marLeft w:val="0"/>
      <w:marRight w:val="0"/>
      <w:marTop w:val="0"/>
      <w:marBottom w:val="0"/>
      <w:divBdr>
        <w:top w:val="none" w:sz="0" w:space="0" w:color="auto"/>
        <w:left w:val="none" w:sz="0" w:space="0" w:color="auto"/>
        <w:bottom w:val="none" w:sz="0" w:space="0" w:color="auto"/>
        <w:right w:val="none" w:sz="0" w:space="0" w:color="auto"/>
      </w:divBdr>
    </w:div>
    <w:div w:id="1944454244">
      <w:bodyDiv w:val="1"/>
      <w:marLeft w:val="0"/>
      <w:marRight w:val="0"/>
      <w:marTop w:val="0"/>
      <w:marBottom w:val="0"/>
      <w:divBdr>
        <w:top w:val="none" w:sz="0" w:space="0" w:color="auto"/>
        <w:left w:val="none" w:sz="0" w:space="0" w:color="auto"/>
        <w:bottom w:val="none" w:sz="0" w:space="0" w:color="auto"/>
        <w:right w:val="none" w:sz="0" w:space="0" w:color="auto"/>
      </w:divBdr>
    </w:div>
    <w:div w:id="1944456229">
      <w:bodyDiv w:val="1"/>
      <w:marLeft w:val="0"/>
      <w:marRight w:val="0"/>
      <w:marTop w:val="0"/>
      <w:marBottom w:val="0"/>
      <w:divBdr>
        <w:top w:val="none" w:sz="0" w:space="0" w:color="auto"/>
        <w:left w:val="none" w:sz="0" w:space="0" w:color="auto"/>
        <w:bottom w:val="none" w:sz="0" w:space="0" w:color="auto"/>
        <w:right w:val="none" w:sz="0" w:space="0" w:color="auto"/>
      </w:divBdr>
    </w:div>
    <w:div w:id="1944875308">
      <w:bodyDiv w:val="1"/>
      <w:marLeft w:val="0"/>
      <w:marRight w:val="0"/>
      <w:marTop w:val="0"/>
      <w:marBottom w:val="0"/>
      <w:divBdr>
        <w:top w:val="none" w:sz="0" w:space="0" w:color="auto"/>
        <w:left w:val="none" w:sz="0" w:space="0" w:color="auto"/>
        <w:bottom w:val="none" w:sz="0" w:space="0" w:color="auto"/>
        <w:right w:val="none" w:sz="0" w:space="0" w:color="auto"/>
      </w:divBdr>
    </w:div>
    <w:div w:id="1945187960">
      <w:bodyDiv w:val="1"/>
      <w:marLeft w:val="0"/>
      <w:marRight w:val="0"/>
      <w:marTop w:val="0"/>
      <w:marBottom w:val="0"/>
      <w:divBdr>
        <w:top w:val="none" w:sz="0" w:space="0" w:color="auto"/>
        <w:left w:val="none" w:sz="0" w:space="0" w:color="auto"/>
        <w:bottom w:val="none" w:sz="0" w:space="0" w:color="auto"/>
        <w:right w:val="none" w:sz="0" w:space="0" w:color="auto"/>
      </w:divBdr>
    </w:div>
    <w:div w:id="1945652487">
      <w:bodyDiv w:val="1"/>
      <w:marLeft w:val="0"/>
      <w:marRight w:val="0"/>
      <w:marTop w:val="0"/>
      <w:marBottom w:val="0"/>
      <w:divBdr>
        <w:top w:val="none" w:sz="0" w:space="0" w:color="auto"/>
        <w:left w:val="none" w:sz="0" w:space="0" w:color="auto"/>
        <w:bottom w:val="none" w:sz="0" w:space="0" w:color="auto"/>
        <w:right w:val="none" w:sz="0" w:space="0" w:color="auto"/>
      </w:divBdr>
    </w:div>
    <w:div w:id="1945763971">
      <w:bodyDiv w:val="1"/>
      <w:marLeft w:val="0"/>
      <w:marRight w:val="0"/>
      <w:marTop w:val="0"/>
      <w:marBottom w:val="0"/>
      <w:divBdr>
        <w:top w:val="none" w:sz="0" w:space="0" w:color="auto"/>
        <w:left w:val="none" w:sz="0" w:space="0" w:color="auto"/>
        <w:bottom w:val="none" w:sz="0" w:space="0" w:color="auto"/>
        <w:right w:val="none" w:sz="0" w:space="0" w:color="auto"/>
      </w:divBdr>
    </w:div>
    <w:div w:id="1946227262">
      <w:bodyDiv w:val="1"/>
      <w:marLeft w:val="0"/>
      <w:marRight w:val="0"/>
      <w:marTop w:val="0"/>
      <w:marBottom w:val="0"/>
      <w:divBdr>
        <w:top w:val="none" w:sz="0" w:space="0" w:color="auto"/>
        <w:left w:val="none" w:sz="0" w:space="0" w:color="auto"/>
        <w:bottom w:val="none" w:sz="0" w:space="0" w:color="auto"/>
        <w:right w:val="none" w:sz="0" w:space="0" w:color="auto"/>
      </w:divBdr>
    </w:div>
    <w:div w:id="1946419597">
      <w:bodyDiv w:val="1"/>
      <w:marLeft w:val="0"/>
      <w:marRight w:val="0"/>
      <w:marTop w:val="0"/>
      <w:marBottom w:val="0"/>
      <w:divBdr>
        <w:top w:val="none" w:sz="0" w:space="0" w:color="auto"/>
        <w:left w:val="none" w:sz="0" w:space="0" w:color="auto"/>
        <w:bottom w:val="none" w:sz="0" w:space="0" w:color="auto"/>
        <w:right w:val="none" w:sz="0" w:space="0" w:color="auto"/>
      </w:divBdr>
    </w:div>
    <w:div w:id="1947274439">
      <w:bodyDiv w:val="1"/>
      <w:marLeft w:val="0"/>
      <w:marRight w:val="0"/>
      <w:marTop w:val="0"/>
      <w:marBottom w:val="0"/>
      <w:divBdr>
        <w:top w:val="none" w:sz="0" w:space="0" w:color="auto"/>
        <w:left w:val="none" w:sz="0" w:space="0" w:color="auto"/>
        <w:bottom w:val="none" w:sz="0" w:space="0" w:color="auto"/>
        <w:right w:val="none" w:sz="0" w:space="0" w:color="auto"/>
      </w:divBdr>
    </w:div>
    <w:div w:id="1947303896">
      <w:bodyDiv w:val="1"/>
      <w:marLeft w:val="0"/>
      <w:marRight w:val="0"/>
      <w:marTop w:val="0"/>
      <w:marBottom w:val="0"/>
      <w:divBdr>
        <w:top w:val="none" w:sz="0" w:space="0" w:color="auto"/>
        <w:left w:val="none" w:sz="0" w:space="0" w:color="auto"/>
        <w:bottom w:val="none" w:sz="0" w:space="0" w:color="auto"/>
        <w:right w:val="none" w:sz="0" w:space="0" w:color="auto"/>
      </w:divBdr>
    </w:div>
    <w:div w:id="1947426403">
      <w:bodyDiv w:val="1"/>
      <w:marLeft w:val="0"/>
      <w:marRight w:val="0"/>
      <w:marTop w:val="0"/>
      <w:marBottom w:val="0"/>
      <w:divBdr>
        <w:top w:val="none" w:sz="0" w:space="0" w:color="auto"/>
        <w:left w:val="none" w:sz="0" w:space="0" w:color="auto"/>
        <w:bottom w:val="none" w:sz="0" w:space="0" w:color="auto"/>
        <w:right w:val="none" w:sz="0" w:space="0" w:color="auto"/>
      </w:divBdr>
    </w:div>
    <w:div w:id="1947805335">
      <w:bodyDiv w:val="1"/>
      <w:marLeft w:val="0"/>
      <w:marRight w:val="0"/>
      <w:marTop w:val="0"/>
      <w:marBottom w:val="0"/>
      <w:divBdr>
        <w:top w:val="none" w:sz="0" w:space="0" w:color="auto"/>
        <w:left w:val="none" w:sz="0" w:space="0" w:color="auto"/>
        <w:bottom w:val="none" w:sz="0" w:space="0" w:color="auto"/>
        <w:right w:val="none" w:sz="0" w:space="0" w:color="auto"/>
      </w:divBdr>
    </w:div>
    <w:div w:id="1948004500">
      <w:bodyDiv w:val="1"/>
      <w:marLeft w:val="0"/>
      <w:marRight w:val="0"/>
      <w:marTop w:val="0"/>
      <w:marBottom w:val="0"/>
      <w:divBdr>
        <w:top w:val="none" w:sz="0" w:space="0" w:color="auto"/>
        <w:left w:val="none" w:sz="0" w:space="0" w:color="auto"/>
        <w:bottom w:val="none" w:sz="0" w:space="0" w:color="auto"/>
        <w:right w:val="none" w:sz="0" w:space="0" w:color="auto"/>
      </w:divBdr>
    </w:div>
    <w:div w:id="1948080404">
      <w:bodyDiv w:val="1"/>
      <w:marLeft w:val="0"/>
      <w:marRight w:val="0"/>
      <w:marTop w:val="0"/>
      <w:marBottom w:val="0"/>
      <w:divBdr>
        <w:top w:val="none" w:sz="0" w:space="0" w:color="auto"/>
        <w:left w:val="none" w:sz="0" w:space="0" w:color="auto"/>
        <w:bottom w:val="none" w:sz="0" w:space="0" w:color="auto"/>
        <w:right w:val="none" w:sz="0" w:space="0" w:color="auto"/>
      </w:divBdr>
    </w:div>
    <w:div w:id="1948152932">
      <w:bodyDiv w:val="1"/>
      <w:marLeft w:val="0"/>
      <w:marRight w:val="0"/>
      <w:marTop w:val="0"/>
      <w:marBottom w:val="0"/>
      <w:divBdr>
        <w:top w:val="none" w:sz="0" w:space="0" w:color="auto"/>
        <w:left w:val="none" w:sz="0" w:space="0" w:color="auto"/>
        <w:bottom w:val="none" w:sz="0" w:space="0" w:color="auto"/>
        <w:right w:val="none" w:sz="0" w:space="0" w:color="auto"/>
      </w:divBdr>
    </w:div>
    <w:div w:id="1948460488">
      <w:bodyDiv w:val="1"/>
      <w:marLeft w:val="0"/>
      <w:marRight w:val="0"/>
      <w:marTop w:val="0"/>
      <w:marBottom w:val="0"/>
      <w:divBdr>
        <w:top w:val="none" w:sz="0" w:space="0" w:color="auto"/>
        <w:left w:val="none" w:sz="0" w:space="0" w:color="auto"/>
        <w:bottom w:val="none" w:sz="0" w:space="0" w:color="auto"/>
        <w:right w:val="none" w:sz="0" w:space="0" w:color="auto"/>
      </w:divBdr>
    </w:div>
    <w:div w:id="1948652858">
      <w:bodyDiv w:val="1"/>
      <w:marLeft w:val="0"/>
      <w:marRight w:val="0"/>
      <w:marTop w:val="0"/>
      <w:marBottom w:val="0"/>
      <w:divBdr>
        <w:top w:val="none" w:sz="0" w:space="0" w:color="auto"/>
        <w:left w:val="none" w:sz="0" w:space="0" w:color="auto"/>
        <w:bottom w:val="none" w:sz="0" w:space="0" w:color="auto"/>
        <w:right w:val="none" w:sz="0" w:space="0" w:color="auto"/>
      </w:divBdr>
    </w:div>
    <w:div w:id="1949001541">
      <w:bodyDiv w:val="1"/>
      <w:marLeft w:val="0"/>
      <w:marRight w:val="0"/>
      <w:marTop w:val="0"/>
      <w:marBottom w:val="0"/>
      <w:divBdr>
        <w:top w:val="none" w:sz="0" w:space="0" w:color="auto"/>
        <w:left w:val="none" w:sz="0" w:space="0" w:color="auto"/>
        <w:bottom w:val="none" w:sz="0" w:space="0" w:color="auto"/>
        <w:right w:val="none" w:sz="0" w:space="0" w:color="auto"/>
      </w:divBdr>
    </w:div>
    <w:div w:id="1949268891">
      <w:bodyDiv w:val="1"/>
      <w:marLeft w:val="0"/>
      <w:marRight w:val="0"/>
      <w:marTop w:val="0"/>
      <w:marBottom w:val="0"/>
      <w:divBdr>
        <w:top w:val="none" w:sz="0" w:space="0" w:color="auto"/>
        <w:left w:val="none" w:sz="0" w:space="0" w:color="auto"/>
        <w:bottom w:val="none" w:sz="0" w:space="0" w:color="auto"/>
        <w:right w:val="none" w:sz="0" w:space="0" w:color="auto"/>
      </w:divBdr>
    </w:div>
    <w:div w:id="1949580597">
      <w:bodyDiv w:val="1"/>
      <w:marLeft w:val="0"/>
      <w:marRight w:val="0"/>
      <w:marTop w:val="0"/>
      <w:marBottom w:val="0"/>
      <w:divBdr>
        <w:top w:val="none" w:sz="0" w:space="0" w:color="auto"/>
        <w:left w:val="none" w:sz="0" w:space="0" w:color="auto"/>
        <w:bottom w:val="none" w:sz="0" w:space="0" w:color="auto"/>
        <w:right w:val="none" w:sz="0" w:space="0" w:color="auto"/>
      </w:divBdr>
    </w:div>
    <w:div w:id="1949702922">
      <w:bodyDiv w:val="1"/>
      <w:marLeft w:val="0"/>
      <w:marRight w:val="0"/>
      <w:marTop w:val="0"/>
      <w:marBottom w:val="0"/>
      <w:divBdr>
        <w:top w:val="none" w:sz="0" w:space="0" w:color="auto"/>
        <w:left w:val="none" w:sz="0" w:space="0" w:color="auto"/>
        <w:bottom w:val="none" w:sz="0" w:space="0" w:color="auto"/>
        <w:right w:val="none" w:sz="0" w:space="0" w:color="auto"/>
      </w:divBdr>
    </w:div>
    <w:div w:id="1949968202">
      <w:bodyDiv w:val="1"/>
      <w:marLeft w:val="0"/>
      <w:marRight w:val="0"/>
      <w:marTop w:val="0"/>
      <w:marBottom w:val="0"/>
      <w:divBdr>
        <w:top w:val="none" w:sz="0" w:space="0" w:color="auto"/>
        <w:left w:val="none" w:sz="0" w:space="0" w:color="auto"/>
        <w:bottom w:val="none" w:sz="0" w:space="0" w:color="auto"/>
        <w:right w:val="none" w:sz="0" w:space="0" w:color="auto"/>
      </w:divBdr>
    </w:div>
    <w:div w:id="1950040996">
      <w:bodyDiv w:val="1"/>
      <w:marLeft w:val="0"/>
      <w:marRight w:val="0"/>
      <w:marTop w:val="0"/>
      <w:marBottom w:val="0"/>
      <w:divBdr>
        <w:top w:val="none" w:sz="0" w:space="0" w:color="auto"/>
        <w:left w:val="none" w:sz="0" w:space="0" w:color="auto"/>
        <w:bottom w:val="none" w:sz="0" w:space="0" w:color="auto"/>
        <w:right w:val="none" w:sz="0" w:space="0" w:color="auto"/>
      </w:divBdr>
    </w:div>
    <w:div w:id="1950045824">
      <w:bodyDiv w:val="1"/>
      <w:marLeft w:val="0"/>
      <w:marRight w:val="0"/>
      <w:marTop w:val="0"/>
      <w:marBottom w:val="0"/>
      <w:divBdr>
        <w:top w:val="none" w:sz="0" w:space="0" w:color="auto"/>
        <w:left w:val="none" w:sz="0" w:space="0" w:color="auto"/>
        <w:bottom w:val="none" w:sz="0" w:space="0" w:color="auto"/>
        <w:right w:val="none" w:sz="0" w:space="0" w:color="auto"/>
      </w:divBdr>
    </w:div>
    <w:div w:id="1950356541">
      <w:bodyDiv w:val="1"/>
      <w:marLeft w:val="0"/>
      <w:marRight w:val="0"/>
      <w:marTop w:val="0"/>
      <w:marBottom w:val="0"/>
      <w:divBdr>
        <w:top w:val="none" w:sz="0" w:space="0" w:color="auto"/>
        <w:left w:val="none" w:sz="0" w:space="0" w:color="auto"/>
        <w:bottom w:val="none" w:sz="0" w:space="0" w:color="auto"/>
        <w:right w:val="none" w:sz="0" w:space="0" w:color="auto"/>
      </w:divBdr>
    </w:div>
    <w:div w:id="1950431249">
      <w:bodyDiv w:val="1"/>
      <w:marLeft w:val="0"/>
      <w:marRight w:val="0"/>
      <w:marTop w:val="0"/>
      <w:marBottom w:val="0"/>
      <w:divBdr>
        <w:top w:val="none" w:sz="0" w:space="0" w:color="auto"/>
        <w:left w:val="none" w:sz="0" w:space="0" w:color="auto"/>
        <w:bottom w:val="none" w:sz="0" w:space="0" w:color="auto"/>
        <w:right w:val="none" w:sz="0" w:space="0" w:color="auto"/>
      </w:divBdr>
    </w:div>
    <w:div w:id="1950501932">
      <w:bodyDiv w:val="1"/>
      <w:marLeft w:val="0"/>
      <w:marRight w:val="0"/>
      <w:marTop w:val="0"/>
      <w:marBottom w:val="0"/>
      <w:divBdr>
        <w:top w:val="none" w:sz="0" w:space="0" w:color="auto"/>
        <w:left w:val="none" w:sz="0" w:space="0" w:color="auto"/>
        <w:bottom w:val="none" w:sz="0" w:space="0" w:color="auto"/>
        <w:right w:val="none" w:sz="0" w:space="0" w:color="auto"/>
      </w:divBdr>
    </w:div>
    <w:div w:id="1951081758">
      <w:bodyDiv w:val="1"/>
      <w:marLeft w:val="0"/>
      <w:marRight w:val="0"/>
      <w:marTop w:val="0"/>
      <w:marBottom w:val="0"/>
      <w:divBdr>
        <w:top w:val="none" w:sz="0" w:space="0" w:color="auto"/>
        <w:left w:val="none" w:sz="0" w:space="0" w:color="auto"/>
        <w:bottom w:val="none" w:sz="0" w:space="0" w:color="auto"/>
        <w:right w:val="none" w:sz="0" w:space="0" w:color="auto"/>
      </w:divBdr>
    </w:div>
    <w:div w:id="1951207619">
      <w:bodyDiv w:val="1"/>
      <w:marLeft w:val="0"/>
      <w:marRight w:val="0"/>
      <w:marTop w:val="0"/>
      <w:marBottom w:val="0"/>
      <w:divBdr>
        <w:top w:val="none" w:sz="0" w:space="0" w:color="auto"/>
        <w:left w:val="none" w:sz="0" w:space="0" w:color="auto"/>
        <w:bottom w:val="none" w:sz="0" w:space="0" w:color="auto"/>
        <w:right w:val="none" w:sz="0" w:space="0" w:color="auto"/>
      </w:divBdr>
    </w:div>
    <w:div w:id="1951233188">
      <w:bodyDiv w:val="1"/>
      <w:marLeft w:val="0"/>
      <w:marRight w:val="0"/>
      <w:marTop w:val="0"/>
      <w:marBottom w:val="0"/>
      <w:divBdr>
        <w:top w:val="none" w:sz="0" w:space="0" w:color="auto"/>
        <w:left w:val="none" w:sz="0" w:space="0" w:color="auto"/>
        <w:bottom w:val="none" w:sz="0" w:space="0" w:color="auto"/>
        <w:right w:val="none" w:sz="0" w:space="0" w:color="auto"/>
      </w:divBdr>
    </w:div>
    <w:div w:id="1951544316">
      <w:bodyDiv w:val="1"/>
      <w:marLeft w:val="0"/>
      <w:marRight w:val="0"/>
      <w:marTop w:val="0"/>
      <w:marBottom w:val="0"/>
      <w:divBdr>
        <w:top w:val="none" w:sz="0" w:space="0" w:color="auto"/>
        <w:left w:val="none" w:sz="0" w:space="0" w:color="auto"/>
        <w:bottom w:val="none" w:sz="0" w:space="0" w:color="auto"/>
        <w:right w:val="none" w:sz="0" w:space="0" w:color="auto"/>
      </w:divBdr>
    </w:div>
    <w:div w:id="1951618019">
      <w:bodyDiv w:val="1"/>
      <w:marLeft w:val="0"/>
      <w:marRight w:val="0"/>
      <w:marTop w:val="0"/>
      <w:marBottom w:val="0"/>
      <w:divBdr>
        <w:top w:val="none" w:sz="0" w:space="0" w:color="auto"/>
        <w:left w:val="none" w:sz="0" w:space="0" w:color="auto"/>
        <w:bottom w:val="none" w:sz="0" w:space="0" w:color="auto"/>
        <w:right w:val="none" w:sz="0" w:space="0" w:color="auto"/>
      </w:divBdr>
    </w:div>
    <w:div w:id="1951618914">
      <w:bodyDiv w:val="1"/>
      <w:marLeft w:val="0"/>
      <w:marRight w:val="0"/>
      <w:marTop w:val="0"/>
      <w:marBottom w:val="0"/>
      <w:divBdr>
        <w:top w:val="none" w:sz="0" w:space="0" w:color="auto"/>
        <w:left w:val="none" w:sz="0" w:space="0" w:color="auto"/>
        <w:bottom w:val="none" w:sz="0" w:space="0" w:color="auto"/>
        <w:right w:val="none" w:sz="0" w:space="0" w:color="auto"/>
      </w:divBdr>
    </w:div>
    <w:div w:id="1951738847">
      <w:bodyDiv w:val="1"/>
      <w:marLeft w:val="0"/>
      <w:marRight w:val="0"/>
      <w:marTop w:val="0"/>
      <w:marBottom w:val="0"/>
      <w:divBdr>
        <w:top w:val="none" w:sz="0" w:space="0" w:color="auto"/>
        <w:left w:val="none" w:sz="0" w:space="0" w:color="auto"/>
        <w:bottom w:val="none" w:sz="0" w:space="0" w:color="auto"/>
        <w:right w:val="none" w:sz="0" w:space="0" w:color="auto"/>
      </w:divBdr>
    </w:div>
    <w:div w:id="1951887505">
      <w:bodyDiv w:val="1"/>
      <w:marLeft w:val="0"/>
      <w:marRight w:val="0"/>
      <w:marTop w:val="0"/>
      <w:marBottom w:val="0"/>
      <w:divBdr>
        <w:top w:val="none" w:sz="0" w:space="0" w:color="auto"/>
        <w:left w:val="none" w:sz="0" w:space="0" w:color="auto"/>
        <w:bottom w:val="none" w:sz="0" w:space="0" w:color="auto"/>
        <w:right w:val="none" w:sz="0" w:space="0" w:color="auto"/>
      </w:divBdr>
    </w:div>
    <w:div w:id="1952007161">
      <w:bodyDiv w:val="1"/>
      <w:marLeft w:val="0"/>
      <w:marRight w:val="0"/>
      <w:marTop w:val="0"/>
      <w:marBottom w:val="0"/>
      <w:divBdr>
        <w:top w:val="none" w:sz="0" w:space="0" w:color="auto"/>
        <w:left w:val="none" w:sz="0" w:space="0" w:color="auto"/>
        <w:bottom w:val="none" w:sz="0" w:space="0" w:color="auto"/>
        <w:right w:val="none" w:sz="0" w:space="0" w:color="auto"/>
      </w:divBdr>
    </w:div>
    <w:div w:id="1952124018">
      <w:bodyDiv w:val="1"/>
      <w:marLeft w:val="0"/>
      <w:marRight w:val="0"/>
      <w:marTop w:val="0"/>
      <w:marBottom w:val="0"/>
      <w:divBdr>
        <w:top w:val="none" w:sz="0" w:space="0" w:color="auto"/>
        <w:left w:val="none" w:sz="0" w:space="0" w:color="auto"/>
        <w:bottom w:val="none" w:sz="0" w:space="0" w:color="auto"/>
        <w:right w:val="none" w:sz="0" w:space="0" w:color="auto"/>
      </w:divBdr>
    </w:div>
    <w:div w:id="1953127583">
      <w:bodyDiv w:val="1"/>
      <w:marLeft w:val="0"/>
      <w:marRight w:val="0"/>
      <w:marTop w:val="0"/>
      <w:marBottom w:val="0"/>
      <w:divBdr>
        <w:top w:val="none" w:sz="0" w:space="0" w:color="auto"/>
        <w:left w:val="none" w:sz="0" w:space="0" w:color="auto"/>
        <w:bottom w:val="none" w:sz="0" w:space="0" w:color="auto"/>
        <w:right w:val="none" w:sz="0" w:space="0" w:color="auto"/>
      </w:divBdr>
    </w:div>
    <w:div w:id="1953245258">
      <w:bodyDiv w:val="1"/>
      <w:marLeft w:val="0"/>
      <w:marRight w:val="0"/>
      <w:marTop w:val="0"/>
      <w:marBottom w:val="0"/>
      <w:divBdr>
        <w:top w:val="none" w:sz="0" w:space="0" w:color="auto"/>
        <w:left w:val="none" w:sz="0" w:space="0" w:color="auto"/>
        <w:bottom w:val="none" w:sz="0" w:space="0" w:color="auto"/>
        <w:right w:val="none" w:sz="0" w:space="0" w:color="auto"/>
      </w:divBdr>
    </w:div>
    <w:div w:id="1953514438">
      <w:bodyDiv w:val="1"/>
      <w:marLeft w:val="0"/>
      <w:marRight w:val="0"/>
      <w:marTop w:val="0"/>
      <w:marBottom w:val="0"/>
      <w:divBdr>
        <w:top w:val="none" w:sz="0" w:space="0" w:color="auto"/>
        <w:left w:val="none" w:sz="0" w:space="0" w:color="auto"/>
        <w:bottom w:val="none" w:sz="0" w:space="0" w:color="auto"/>
        <w:right w:val="none" w:sz="0" w:space="0" w:color="auto"/>
      </w:divBdr>
    </w:div>
    <w:div w:id="1954050692">
      <w:bodyDiv w:val="1"/>
      <w:marLeft w:val="0"/>
      <w:marRight w:val="0"/>
      <w:marTop w:val="0"/>
      <w:marBottom w:val="0"/>
      <w:divBdr>
        <w:top w:val="none" w:sz="0" w:space="0" w:color="auto"/>
        <w:left w:val="none" w:sz="0" w:space="0" w:color="auto"/>
        <w:bottom w:val="none" w:sz="0" w:space="0" w:color="auto"/>
        <w:right w:val="none" w:sz="0" w:space="0" w:color="auto"/>
      </w:divBdr>
    </w:div>
    <w:div w:id="1954054014">
      <w:bodyDiv w:val="1"/>
      <w:marLeft w:val="0"/>
      <w:marRight w:val="0"/>
      <w:marTop w:val="0"/>
      <w:marBottom w:val="0"/>
      <w:divBdr>
        <w:top w:val="none" w:sz="0" w:space="0" w:color="auto"/>
        <w:left w:val="none" w:sz="0" w:space="0" w:color="auto"/>
        <w:bottom w:val="none" w:sz="0" w:space="0" w:color="auto"/>
        <w:right w:val="none" w:sz="0" w:space="0" w:color="auto"/>
      </w:divBdr>
    </w:div>
    <w:div w:id="1954631745">
      <w:bodyDiv w:val="1"/>
      <w:marLeft w:val="0"/>
      <w:marRight w:val="0"/>
      <w:marTop w:val="0"/>
      <w:marBottom w:val="0"/>
      <w:divBdr>
        <w:top w:val="none" w:sz="0" w:space="0" w:color="auto"/>
        <w:left w:val="none" w:sz="0" w:space="0" w:color="auto"/>
        <w:bottom w:val="none" w:sz="0" w:space="0" w:color="auto"/>
        <w:right w:val="none" w:sz="0" w:space="0" w:color="auto"/>
      </w:divBdr>
    </w:div>
    <w:div w:id="1954701159">
      <w:bodyDiv w:val="1"/>
      <w:marLeft w:val="0"/>
      <w:marRight w:val="0"/>
      <w:marTop w:val="0"/>
      <w:marBottom w:val="0"/>
      <w:divBdr>
        <w:top w:val="none" w:sz="0" w:space="0" w:color="auto"/>
        <w:left w:val="none" w:sz="0" w:space="0" w:color="auto"/>
        <w:bottom w:val="none" w:sz="0" w:space="0" w:color="auto"/>
        <w:right w:val="none" w:sz="0" w:space="0" w:color="auto"/>
      </w:divBdr>
    </w:div>
    <w:div w:id="1954743445">
      <w:bodyDiv w:val="1"/>
      <w:marLeft w:val="0"/>
      <w:marRight w:val="0"/>
      <w:marTop w:val="0"/>
      <w:marBottom w:val="0"/>
      <w:divBdr>
        <w:top w:val="none" w:sz="0" w:space="0" w:color="auto"/>
        <w:left w:val="none" w:sz="0" w:space="0" w:color="auto"/>
        <w:bottom w:val="none" w:sz="0" w:space="0" w:color="auto"/>
        <w:right w:val="none" w:sz="0" w:space="0" w:color="auto"/>
      </w:divBdr>
    </w:div>
    <w:div w:id="1954752000">
      <w:bodyDiv w:val="1"/>
      <w:marLeft w:val="0"/>
      <w:marRight w:val="0"/>
      <w:marTop w:val="0"/>
      <w:marBottom w:val="0"/>
      <w:divBdr>
        <w:top w:val="none" w:sz="0" w:space="0" w:color="auto"/>
        <w:left w:val="none" w:sz="0" w:space="0" w:color="auto"/>
        <w:bottom w:val="none" w:sz="0" w:space="0" w:color="auto"/>
        <w:right w:val="none" w:sz="0" w:space="0" w:color="auto"/>
      </w:divBdr>
    </w:div>
    <w:div w:id="1955211612">
      <w:bodyDiv w:val="1"/>
      <w:marLeft w:val="0"/>
      <w:marRight w:val="0"/>
      <w:marTop w:val="0"/>
      <w:marBottom w:val="0"/>
      <w:divBdr>
        <w:top w:val="none" w:sz="0" w:space="0" w:color="auto"/>
        <w:left w:val="none" w:sz="0" w:space="0" w:color="auto"/>
        <w:bottom w:val="none" w:sz="0" w:space="0" w:color="auto"/>
        <w:right w:val="none" w:sz="0" w:space="0" w:color="auto"/>
      </w:divBdr>
    </w:div>
    <w:div w:id="1955214578">
      <w:bodyDiv w:val="1"/>
      <w:marLeft w:val="0"/>
      <w:marRight w:val="0"/>
      <w:marTop w:val="0"/>
      <w:marBottom w:val="0"/>
      <w:divBdr>
        <w:top w:val="none" w:sz="0" w:space="0" w:color="auto"/>
        <w:left w:val="none" w:sz="0" w:space="0" w:color="auto"/>
        <w:bottom w:val="none" w:sz="0" w:space="0" w:color="auto"/>
        <w:right w:val="none" w:sz="0" w:space="0" w:color="auto"/>
      </w:divBdr>
    </w:div>
    <w:div w:id="1956515828">
      <w:bodyDiv w:val="1"/>
      <w:marLeft w:val="0"/>
      <w:marRight w:val="0"/>
      <w:marTop w:val="0"/>
      <w:marBottom w:val="0"/>
      <w:divBdr>
        <w:top w:val="none" w:sz="0" w:space="0" w:color="auto"/>
        <w:left w:val="none" w:sz="0" w:space="0" w:color="auto"/>
        <w:bottom w:val="none" w:sz="0" w:space="0" w:color="auto"/>
        <w:right w:val="none" w:sz="0" w:space="0" w:color="auto"/>
      </w:divBdr>
    </w:div>
    <w:div w:id="1956717005">
      <w:bodyDiv w:val="1"/>
      <w:marLeft w:val="0"/>
      <w:marRight w:val="0"/>
      <w:marTop w:val="0"/>
      <w:marBottom w:val="0"/>
      <w:divBdr>
        <w:top w:val="none" w:sz="0" w:space="0" w:color="auto"/>
        <w:left w:val="none" w:sz="0" w:space="0" w:color="auto"/>
        <w:bottom w:val="none" w:sz="0" w:space="0" w:color="auto"/>
        <w:right w:val="none" w:sz="0" w:space="0" w:color="auto"/>
      </w:divBdr>
    </w:div>
    <w:div w:id="1956909213">
      <w:bodyDiv w:val="1"/>
      <w:marLeft w:val="0"/>
      <w:marRight w:val="0"/>
      <w:marTop w:val="0"/>
      <w:marBottom w:val="0"/>
      <w:divBdr>
        <w:top w:val="none" w:sz="0" w:space="0" w:color="auto"/>
        <w:left w:val="none" w:sz="0" w:space="0" w:color="auto"/>
        <w:bottom w:val="none" w:sz="0" w:space="0" w:color="auto"/>
        <w:right w:val="none" w:sz="0" w:space="0" w:color="auto"/>
      </w:divBdr>
    </w:div>
    <w:div w:id="1956935981">
      <w:bodyDiv w:val="1"/>
      <w:marLeft w:val="0"/>
      <w:marRight w:val="0"/>
      <w:marTop w:val="0"/>
      <w:marBottom w:val="0"/>
      <w:divBdr>
        <w:top w:val="none" w:sz="0" w:space="0" w:color="auto"/>
        <w:left w:val="none" w:sz="0" w:space="0" w:color="auto"/>
        <w:bottom w:val="none" w:sz="0" w:space="0" w:color="auto"/>
        <w:right w:val="none" w:sz="0" w:space="0" w:color="auto"/>
      </w:divBdr>
    </w:div>
    <w:div w:id="1957177057">
      <w:bodyDiv w:val="1"/>
      <w:marLeft w:val="0"/>
      <w:marRight w:val="0"/>
      <w:marTop w:val="0"/>
      <w:marBottom w:val="0"/>
      <w:divBdr>
        <w:top w:val="none" w:sz="0" w:space="0" w:color="auto"/>
        <w:left w:val="none" w:sz="0" w:space="0" w:color="auto"/>
        <w:bottom w:val="none" w:sz="0" w:space="0" w:color="auto"/>
        <w:right w:val="none" w:sz="0" w:space="0" w:color="auto"/>
      </w:divBdr>
    </w:div>
    <w:div w:id="1957592253">
      <w:bodyDiv w:val="1"/>
      <w:marLeft w:val="0"/>
      <w:marRight w:val="0"/>
      <w:marTop w:val="0"/>
      <w:marBottom w:val="0"/>
      <w:divBdr>
        <w:top w:val="none" w:sz="0" w:space="0" w:color="auto"/>
        <w:left w:val="none" w:sz="0" w:space="0" w:color="auto"/>
        <w:bottom w:val="none" w:sz="0" w:space="0" w:color="auto"/>
        <w:right w:val="none" w:sz="0" w:space="0" w:color="auto"/>
      </w:divBdr>
    </w:div>
    <w:div w:id="1957713091">
      <w:bodyDiv w:val="1"/>
      <w:marLeft w:val="0"/>
      <w:marRight w:val="0"/>
      <w:marTop w:val="0"/>
      <w:marBottom w:val="0"/>
      <w:divBdr>
        <w:top w:val="none" w:sz="0" w:space="0" w:color="auto"/>
        <w:left w:val="none" w:sz="0" w:space="0" w:color="auto"/>
        <w:bottom w:val="none" w:sz="0" w:space="0" w:color="auto"/>
        <w:right w:val="none" w:sz="0" w:space="0" w:color="auto"/>
      </w:divBdr>
    </w:div>
    <w:div w:id="1958177468">
      <w:bodyDiv w:val="1"/>
      <w:marLeft w:val="0"/>
      <w:marRight w:val="0"/>
      <w:marTop w:val="0"/>
      <w:marBottom w:val="0"/>
      <w:divBdr>
        <w:top w:val="none" w:sz="0" w:space="0" w:color="auto"/>
        <w:left w:val="none" w:sz="0" w:space="0" w:color="auto"/>
        <w:bottom w:val="none" w:sz="0" w:space="0" w:color="auto"/>
        <w:right w:val="none" w:sz="0" w:space="0" w:color="auto"/>
      </w:divBdr>
    </w:div>
    <w:div w:id="1958296007">
      <w:bodyDiv w:val="1"/>
      <w:marLeft w:val="0"/>
      <w:marRight w:val="0"/>
      <w:marTop w:val="0"/>
      <w:marBottom w:val="0"/>
      <w:divBdr>
        <w:top w:val="none" w:sz="0" w:space="0" w:color="auto"/>
        <w:left w:val="none" w:sz="0" w:space="0" w:color="auto"/>
        <w:bottom w:val="none" w:sz="0" w:space="0" w:color="auto"/>
        <w:right w:val="none" w:sz="0" w:space="0" w:color="auto"/>
      </w:divBdr>
    </w:div>
    <w:div w:id="1958556991">
      <w:bodyDiv w:val="1"/>
      <w:marLeft w:val="0"/>
      <w:marRight w:val="0"/>
      <w:marTop w:val="0"/>
      <w:marBottom w:val="0"/>
      <w:divBdr>
        <w:top w:val="none" w:sz="0" w:space="0" w:color="auto"/>
        <w:left w:val="none" w:sz="0" w:space="0" w:color="auto"/>
        <w:bottom w:val="none" w:sz="0" w:space="0" w:color="auto"/>
        <w:right w:val="none" w:sz="0" w:space="0" w:color="auto"/>
      </w:divBdr>
    </w:div>
    <w:div w:id="1959019757">
      <w:bodyDiv w:val="1"/>
      <w:marLeft w:val="0"/>
      <w:marRight w:val="0"/>
      <w:marTop w:val="0"/>
      <w:marBottom w:val="0"/>
      <w:divBdr>
        <w:top w:val="none" w:sz="0" w:space="0" w:color="auto"/>
        <w:left w:val="none" w:sz="0" w:space="0" w:color="auto"/>
        <w:bottom w:val="none" w:sz="0" w:space="0" w:color="auto"/>
        <w:right w:val="none" w:sz="0" w:space="0" w:color="auto"/>
      </w:divBdr>
    </w:div>
    <w:div w:id="1959026508">
      <w:bodyDiv w:val="1"/>
      <w:marLeft w:val="0"/>
      <w:marRight w:val="0"/>
      <w:marTop w:val="0"/>
      <w:marBottom w:val="0"/>
      <w:divBdr>
        <w:top w:val="none" w:sz="0" w:space="0" w:color="auto"/>
        <w:left w:val="none" w:sz="0" w:space="0" w:color="auto"/>
        <w:bottom w:val="none" w:sz="0" w:space="0" w:color="auto"/>
        <w:right w:val="none" w:sz="0" w:space="0" w:color="auto"/>
      </w:divBdr>
    </w:div>
    <w:div w:id="1959216100">
      <w:bodyDiv w:val="1"/>
      <w:marLeft w:val="0"/>
      <w:marRight w:val="0"/>
      <w:marTop w:val="0"/>
      <w:marBottom w:val="0"/>
      <w:divBdr>
        <w:top w:val="none" w:sz="0" w:space="0" w:color="auto"/>
        <w:left w:val="none" w:sz="0" w:space="0" w:color="auto"/>
        <w:bottom w:val="none" w:sz="0" w:space="0" w:color="auto"/>
        <w:right w:val="none" w:sz="0" w:space="0" w:color="auto"/>
      </w:divBdr>
    </w:div>
    <w:div w:id="1959406955">
      <w:bodyDiv w:val="1"/>
      <w:marLeft w:val="0"/>
      <w:marRight w:val="0"/>
      <w:marTop w:val="0"/>
      <w:marBottom w:val="0"/>
      <w:divBdr>
        <w:top w:val="none" w:sz="0" w:space="0" w:color="auto"/>
        <w:left w:val="none" w:sz="0" w:space="0" w:color="auto"/>
        <w:bottom w:val="none" w:sz="0" w:space="0" w:color="auto"/>
        <w:right w:val="none" w:sz="0" w:space="0" w:color="auto"/>
      </w:divBdr>
    </w:div>
    <w:div w:id="1959529732">
      <w:bodyDiv w:val="1"/>
      <w:marLeft w:val="0"/>
      <w:marRight w:val="0"/>
      <w:marTop w:val="0"/>
      <w:marBottom w:val="0"/>
      <w:divBdr>
        <w:top w:val="none" w:sz="0" w:space="0" w:color="auto"/>
        <w:left w:val="none" w:sz="0" w:space="0" w:color="auto"/>
        <w:bottom w:val="none" w:sz="0" w:space="0" w:color="auto"/>
        <w:right w:val="none" w:sz="0" w:space="0" w:color="auto"/>
      </w:divBdr>
    </w:div>
    <w:div w:id="1960145859">
      <w:bodyDiv w:val="1"/>
      <w:marLeft w:val="0"/>
      <w:marRight w:val="0"/>
      <w:marTop w:val="0"/>
      <w:marBottom w:val="0"/>
      <w:divBdr>
        <w:top w:val="none" w:sz="0" w:space="0" w:color="auto"/>
        <w:left w:val="none" w:sz="0" w:space="0" w:color="auto"/>
        <w:bottom w:val="none" w:sz="0" w:space="0" w:color="auto"/>
        <w:right w:val="none" w:sz="0" w:space="0" w:color="auto"/>
      </w:divBdr>
    </w:div>
    <w:div w:id="1960381577">
      <w:bodyDiv w:val="1"/>
      <w:marLeft w:val="0"/>
      <w:marRight w:val="0"/>
      <w:marTop w:val="0"/>
      <w:marBottom w:val="0"/>
      <w:divBdr>
        <w:top w:val="none" w:sz="0" w:space="0" w:color="auto"/>
        <w:left w:val="none" w:sz="0" w:space="0" w:color="auto"/>
        <w:bottom w:val="none" w:sz="0" w:space="0" w:color="auto"/>
        <w:right w:val="none" w:sz="0" w:space="0" w:color="auto"/>
      </w:divBdr>
    </w:div>
    <w:div w:id="1960453682">
      <w:bodyDiv w:val="1"/>
      <w:marLeft w:val="0"/>
      <w:marRight w:val="0"/>
      <w:marTop w:val="0"/>
      <w:marBottom w:val="0"/>
      <w:divBdr>
        <w:top w:val="none" w:sz="0" w:space="0" w:color="auto"/>
        <w:left w:val="none" w:sz="0" w:space="0" w:color="auto"/>
        <w:bottom w:val="none" w:sz="0" w:space="0" w:color="auto"/>
        <w:right w:val="none" w:sz="0" w:space="0" w:color="auto"/>
      </w:divBdr>
    </w:div>
    <w:div w:id="1960645564">
      <w:bodyDiv w:val="1"/>
      <w:marLeft w:val="0"/>
      <w:marRight w:val="0"/>
      <w:marTop w:val="0"/>
      <w:marBottom w:val="0"/>
      <w:divBdr>
        <w:top w:val="none" w:sz="0" w:space="0" w:color="auto"/>
        <w:left w:val="none" w:sz="0" w:space="0" w:color="auto"/>
        <w:bottom w:val="none" w:sz="0" w:space="0" w:color="auto"/>
        <w:right w:val="none" w:sz="0" w:space="0" w:color="auto"/>
      </w:divBdr>
    </w:div>
    <w:div w:id="1960719134">
      <w:bodyDiv w:val="1"/>
      <w:marLeft w:val="0"/>
      <w:marRight w:val="0"/>
      <w:marTop w:val="0"/>
      <w:marBottom w:val="0"/>
      <w:divBdr>
        <w:top w:val="none" w:sz="0" w:space="0" w:color="auto"/>
        <w:left w:val="none" w:sz="0" w:space="0" w:color="auto"/>
        <w:bottom w:val="none" w:sz="0" w:space="0" w:color="auto"/>
        <w:right w:val="none" w:sz="0" w:space="0" w:color="auto"/>
      </w:divBdr>
    </w:div>
    <w:div w:id="1960721274">
      <w:bodyDiv w:val="1"/>
      <w:marLeft w:val="0"/>
      <w:marRight w:val="0"/>
      <w:marTop w:val="0"/>
      <w:marBottom w:val="0"/>
      <w:divBdr>
        <w:top w:val="none" w:sz="0" w:space="0" w:color="auto"/>
        <w:left w:val="none" w:sz="0" w:space="0" w:color="auto"/>
        <w:bottom w:val="none" w:sz="0" w:space="0" w:color="auto"/>
        <w:right w:val="none" w:sz="0" w:space="0" w:color="auto"/>
      </w:divBdr>
    </w:div>
    <w:div w:id="1960993408">
      <w:bodyDiv w:val="1"/>
      <w:marLeft w:val="0"/>
      <w:marRight w:val="0"/>
      <w:marTop w:val="0"/>
      <w:marBottom w:val="0"/>
      <w:divBdr>
        <w:top w:val="none" w:sz="0" w:space="0" w:color="auto"/>
        <w:left w:val="none" w:sz="0" w:space="0" w:color="auto"/>
        <w:bottom w:val="none" w:sz="0" w:space="0" w:color="auto"/>
        <w:right w:val="none" w:sz="0" w:space="0" w:color="auto"/>
      </w:divBdr>
    </w:div>
    <w:div w:id="1960994082">
      <w:bodyDiv w:val="1"/>
      <w:marLeft w:val="0"/>
      <w:marRight w:val="0"/>
      <w:marTop w:val="0"/>
      <w:marBottom w:val="0"/>
      <w:divBdr>
        <w:top w:val="none" w:sz="0" w:space="0" w:color="auto"/>
        <w:left w:val="none" w:sz="0" w:space="0" w:color="auto"/>
        <w:bottom w:val="none" w:sz="0" w:space="0" w:color="auto"/>
        <w:right w:val="none" w:sz="0" w:space="0" w:color="auto"/>
      </w:divBdr>
    </w:div>
    <w:div w:id="1961063676">
      <w:bodyDiv w:val="1"/>
      <w:marLeft w:val="0"/>
      <w:marRight w:val="0"/>
      <w:marTop w:val="0"/>
      <w:marBottom w:val="0"/>
      <w:divBdr>
        <w:top w:val="none" w:sz="0" w:space="0" w:color="auto"/>
        <w:left w:val="none" w:sz="0" w:space="0" w:color="auto"/>
        <w:bottom w:val="none" w:sz="0" w:space="0" w:color="auto"/>
        <w:right w:val="none" w:sz="0" w:space="0" w:color="auto"/>
      </w:divBdr>
    </w:div>
    <w:div w:id="1961302075">
      <w:bodyDiv w:val="1"/>
      <w:marLeft w:val="0"/>
      <w:marRight w:val="0"/>
      <w:marTop w:val="0"/>
      <w:marBottom w:val="0"/>
      <w:divBdr>
        <w:top w:val="none" w:sz="0" w:space="0" w:color="auto"/>
        <w:left w:val="none" w:sz="0" w:space="0" w:color="auto"/>
        <w:bottom w:val="none" w:sz="0" w:space="0" w:color="auto"/>
        <w:right w:val="none" w:sz="0" w:space="0" w:color="auto"/>
      </w:divBdr>
    </w:div>
    <w:div w:id="1961304608">
      <w:bodyDiv w:val="1"/>
      <w:marLeft w:val="0"/>
      <w:marRight w:val="0"/>
      <w:marTop w:val="0"/>
      <w:marBottom w:val="0"/>
      <w:divBdr>
        <w:top w:val="none" w:sz="0" w:space="0" w:color="auto"/>
        <w:left w:val="none" w:sz="0" w:space="0" w:color="auto"/>
        <w:bottom w:val="none" w:sz="0" w:space="0" w:color="auto"/>
        <w:right w:val="none" w:sz="0" w:space="0" w:color="auto"/>
      </w:divBdr>
    </w:div>
    <w:div w:id="1962304664">
      <w:bodyDiv w:val="1"/>
      <w:marLeft w:val="0"/>
      <w:marRight w:val="0"/>
      <w:marTop w:val="0"/>
      <w:marBottom w:val="0"/>
      <w:divBdr>
        <w:top w:val="none" w:sz="0" w:space="0" w:color="auto"/>
        <w:left w:val="none" w:sz="0" w:space="0" w:color="auto"/>
        <w:bottom w:val="none" w:sz="0" w:space="0" w:color="auto"/>
        <w:right w:val="none" w:sz="0" w:space="0" w:color="auto"/>
      </w:divBdr>
    </w:div>
    <w:div w:id="1962415185">
      <w:bodyDiv w:val="1"/>
      <w:marLeft w:val="0"/>
      <w:marRight w:val="0"/>
      <w:marTop w:val="0"/>
      <w:marBottom w:val="0"/>
      <w:divBdr>
        <w:top w:val="none" w:sz="0" w:space="0" w:color="auto"/>
        <w:left w:val="none" w:sz="0" w:space="0" w:color="auto"/>
        <w:bottom w:val="none" w:sz="0" w:space="0" w:color="auto"/>
        <w:right w:val="none" w:sz="0" w:space="0" w:color="auto"/>
      </w:divBdr>
    </w:div>
    <w:div w:id="1962416469">
      <w:bodyDiv w:val="1"/>
      <w:marLeft w:val="0"/>
      <w:marRight w:val="0"/>
      <w:marTop w:val="0"/>
      <w:marBottom w:val="0"/>
      <w:divBdr>
        <w:top w:val="none" w:sz="0" w:space="0" w:color="auto"/>
        <w:left w:val="none" w:sz="0" w:space="0" w:color="auto"/>
        <w:bottom w:val="none" w:sz="0" w:space="0" w:color="auto"/>
        <w:right w:val="none" w:sz="0" w:space="0" w:color="auto"/>
      </w:divBdr>
    </w:div>
    <w:div w:id="1962879318">
      <w:bodyDiv w:val="1"/>
      <w:marLeft w:val="0"/>
      <w:marRight w:val="0"/>
      <w:marTop w:val="0"/>
      <w:marBottom w:val="0"/>
      <w:divBdr>
        <w:top w:val="none" w:sz="0" w:space="0" w:color="auto"/>
        <w:left w:val="none" w:sz="0" w:space="0" w:color="auto"/>
        <w:bottom w:val="none" w:sz="0" w:space="0" w:color="auto"/>
        <w:right w:val="none" w:sz="0" w:space="0" w:color="auto"/>
      </w:divBdr>
    </w:div>
    <w:div w:id="1963148423">
      <w:bodyDiv w:val="1"/>
      <w:marLeft w:val="0"/>
      <w:marRight w:val="0"/>
      <w:marTop w:val="0"/>
      <w:marBottom w:val="0"/>
      <w:divBdr>
        <w:top w:val="none" w:sz="0" w:space="0" w:color="auto"/>
        <w:left w:val="none" w:sz="0" w:space="0" w:color="auto"/>
        <w:bottom w:val="none" w:sz="0" w:space="0" w:color="auto"/>
        <w:right w:val="none" w:sz="0" w:space="0" w:color="auto"/>
      </w:divBdr>
    </w:div>
    <w:div w:id="1963263442">
      <w:bodyDiv w:val="1"/>
      <w:marLeft w:val="0"/>
      <w:marRight w:val="0"/>
      <w:marTop w:val="0"/>
      <w:marBottom w:val="0"/>
      <w:divBdr>
        <w:top w:val="none" w:sz="0" w:space="0" w:color="auto"/>
        <w:left w:val="none" w:sz="0" w:space="0" w:color="auto"/>
        <w:bottom w:val="none" w:sz="0" w:space="0" w:color="auto"/>
        <w:right w:val="none" w:sz="0" w:space="0" w:color="auto"/>
      </w:divBdr>
    </w:div>
    <w:div w:id="1963265852">
      <w:bodyDiv w:val="1"/>
      <w:marLeft w:val="0"/>
      <w:marRight w:val="0"/>
      <w:marTop w:val="0"/>
      <w:marBottom w:val="0"/>
      <w:divBdr>
        <w:top w:val="none" w:sz="0" w:space="0" w:color="auto"/>
        <w:left w:val="none" w:sz="0" w:space="0" w:color="auto"/>
        <w:bottom w:val="none" w:sz="0" w:space="0" w:color="auto"/>
        <w:right w:val="none" w:sz="0" w:space="0" w:color="auto"/>
      </w:divBdr>
    </w:div>
    <w:div w:id="1963413614">
      <w:bodyDiv w:val="1"/>
      <w:marLeft w:val="0"/>
      <w:marRight w:val="0"/>
      <w:marTop w:val="0"/>
      <w:marBottom w:val="0"/>
      <w:divBdr>
        <w:top w:val="none" w:sz="0" w:space="0" w:color="auto"/>
        <w:left w:val="none" w:sz="0" w:space="0" w:color="auto"/>
        <w:bottom w:val="none" w:sz="0" w:space="0" w:color="auto"/>
        <w:right w:val="none" w:sz="0" w:space="0" w:color="auto"/>
      </w:divBdr>
    </w:div>
    <w:div w:id="1963530598">
      <w:bodyDiv w:val="1"/>
      <w:marLeft w:val="0"/>
      <w:marRight w:val="0"/>
      <w:marTop w:val="0"/>
      <w:marBottom w:val="0"/>
      <w:divBdr>
        <w:top w:val="none" w:sz="0" w:space="0" w:color="auto"/>
        <w:left w:val="none" w:sz="0" w:space="0" w:color="auto"/>
        <w:bottom w:val="none" w:sz="0" w:space="0" w:color="auto"/>
        <w:right w:val="none" w:sz="0" w:space="0" w:color="auto"/>
      </w:divBdr>
    </w:div>
    <w:div w:id="1963728983">
      <w:bodyDiv w:val="1"/>
      <w:marLeft w:val="0"/>
      <w:marRight w:val="0"/>
      <w:marTop w:val="0"/>
      <w:marBottom w:val="0"/>
      <w:divBdr>
        <w:top w:val="none" w:sz="0" w:space="0" w:color="auto"/>
        <w:left w:val="none" w:sz="0" w:space="0" w:color="auto"/>
        <w:bottom w:val="none" w:sz="0" w:space="0" w:color="auto"/>
        <w:right w:val="none" w:sz="0" w:space="0" w:color="auto"/>
      </w:divBdr>
    </w:div>
    <w:div w:id="1963877496">
      <w:bodyDiv w:val="1"/>
      <w:marLeft w:val="0"/>
      <w:marRight w:val="0"/>
      <w:marTop w:val="0"/>
      <w:marBottom w:val="0"/>
      <w:divBdr>
        <w:top w:val="none" w:sz="0" w:space="0" w:color="auto"/>
        <w:left w:val="none" w:sz="0" w:space="0" w:color="auto"/>
        <w:bottom w:val="none" w:sz="0" w:space="0" w:color="auto"/>
        <w:right w:val="none" w:sz="0" w:space="0" w:color="auto"/>
      </w:divBdr>
    </w:div>
    <w:div w:id="1963924080">
      <w:bodyDiv w:val="1"/>
      <w:marLeft w:val="0"/>
      <w:marRight w:val="0"/>
      <w:marTop w:val="0"/>
      <w:marBottom w:val="0"/>
      <w:divBdr>
        <w:top w:val="none" w:sz="0" w:space="0" w:color="auto"/>
        <w:left w:val="none" w:sz="0" w:space="0" w:color="auto"/>
        <w:bottom w:val="none" w:sz="0" w:space="0" w:color="auto"/>
        <w:right w:val="none" w:sz="0" w:space="0" w:color="auto"/>
      </w:divBdr>
    </w:div>
    <w:div w:id="1963924566">
      <w:bodyDiv w:val="1"/>
      <w:marLeft w:val="0"/>
      <w:marRight w:val="0"/>
      <w:marTop w:val="0"/>
      <w:marBottom w:val="0"/>
      <w:divBdr>
        <w:top w:val="none" w:sz="0" w:space="0" w:color="auto"/>
        <w:left w:val="none" w:sz="0" w:space="0" w:color="auto"/>
        <w:bottom w:val="none" w:sz="0" w:space="0" w:color="auto"/>
        <w:right w:val="none" w:sz="0" w:space="0" w:color="auto"/>
      </w:divBdr>
    </w:div>
    <w:div w:id="1963925477">
      <w:bodyDiv w:val="1"/>
      <w:marLeft w:val="0"/>
      <w:marRight w:val="0"/>
      <w:marTop w:val="0"/>
      <w:marBottom w:val="0"/>
      <w:divBdr>
        <w:top w:val="none" w:sz="0" w:space="0" w:color="auto"/>
        <w:left w:val="none" w:sz="0" w:space="0" w:color="auto"/>
        <w:bottom w:val="none" w:sz="0" w:space="0" w:color="auto"/>
        <w:right w:val="none" w:sz="0" w:space="0" w:color="auto"/>
      </w:divBdr>
    </w:div>
    <w:div w:id="1963994034">
      <w:bodyDiv w:val="1"/>
      <w:marLeft w:val="0"/>
      <w:marRight w:val="0"/>
      <w:marTop w:val="0"/>
      <w:marBottom w:val="0"/>
      <w:divBdr>
        <w:top w:val="none" w:sz="0" w:space="0" w:color="auto"/>
        <w:left w:val="none" w:sz="0" w:space="0" w:color="auto"/>
        <w:bottom w:val="none" w:sz="0" w:space="0" w:color="auto"/>
        <w:right w:val="none" w:sz="0" w:space="0" w:color="auto"/>
      </w:divBdr>
    </w:div>
    <w:div w:id="1965190415">
      <w:bodyDiv w:val="1"/>
      <w:marLeft w:val="0"/>
      <w:marRight w:val="0"/>
      <w:marTop w:val="0"/>
      <w:marBottom w:val="0"/>
      <w:divBdr>
        <w:top w:val="none" w:sz="0" w:space="0" w:color="auto"/>
        <w:left w:val="none" w:sz="0" w:space="0" w:color="auto"/>
        <w:bottom w:val="none" w:sz="0" w:space="0" w:color="auto"/>
        <w:right w:val="none" w:sz="0" w:space="0" w:color="auto"/>
      </w:divBdr>
    </w:div>
    <w:div w:id="1965234212">
      <w:bodyDiv w:val="1"/>
      <w:marLeft w:val="0"/>
      <w:marRight w:val="0"/>
      <w:marTop w:val="0"/>
      <w:marBottom w:val="0"/>
      <w:divBdr>
        <w:top w:val="none" w:sz="0" w:space="0" w:color="auto"/>
        <w:left w:val="none" w:sz="0" w:space="0" w:color="auto"/>
        <w:bottom w:val="none" w:sz="0" w:space="0" w:color="auto"/>
        <w:right w:val="none" w:sz="0" w:space="0" w:color="auto"/>
      </w:divBdr>
    </w:div>
    <w:div w:id="1965307296">
      <w:bodyDiv w:val="1"/>
      <w:marLeft w:val="0"/>
      <w:marRight w:val="0"/>
      <w:marTop w:val="0"/>
      <w:marBottom w:val="0"/>
      <w:divBdr>
        <w:top w:val="none" w:sz="0" w:space="0" w:color="auto"/>
        <w:left w:val="none" w:sz="0" w:space="0" w:color="auto"/>
        <w:bottom w:val="none" w:sz="0" w:space="0" w:color="auto"/>
        <w:right w:val="none" w:sz="0" w:space="0" w:color="auto"/>
      </w:divBdr>
    </w:div>
    <w:div w:id="1965379709">
      <w:bodyDiv w:val="1"/>
      <w:marLeft w:val="0"/>
      <w:marRight w:val="0"/>
      <w:marTop w:val="0"/>
      <w:marBottom w:val="0"/>
      <w:divBdr>
        <w:top w:val="none" w:sz="0" w:space="0" w:color="auto"/>
        <w:left w:val="none" w:sz="0" w:space="0" w:color="auto"/>
        <w:bottom w:val="none" w:sz="0" w:space="0" w:color="auto"/>
        <w:right w:val="none" w:sz="0" w:space="0" w:color="auto"/>
      </w:divBdr>
    </w:div>
    <w:div w:id="1966111943">
      <w:bodyDiv w:val="1"/>
      <w:marLeft w:val="0"/>
      <w:marRight w:val="0"/>
      <w:marTop w:val="0"/>
      <w:marBottom w:val="0"/>
      <w:divBdr>
        <w:top w:val="none" w:sz="0" w:space="0" w:color="auto"/>
        <w:left w:val="none" w:sz="0" w:space="0" w:color="auto"/>
        <w:bottom w:val="none" w:sz="0" w:space="0" w:color="auto"/>
        <w:right w:val="none" w:sz="0" w:space="0" w:color="auto"/>
      </w:divBdr>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
    <w:div w:id="1966353996">
      <w:bodyDiv w:val="1"/>
      <w:marLeft w:val="0"/>
      <w:marRight w:val="0"/>
      <w:marTop w:val="0"/>
      <w:marBottom w:val="0"/>
      <w:divBdr>
        <w:top w:val="none" w:sz="0" w:space="0" w:color="auto"/>
        <w:left w:val="none" w:sz="0" w:space="0" w:color="auto"/>
        <w:bottom w:val="none" w:sz="0" w:space="0" w:color="auto"/>
        <w:right w:val="none" w:sz="0" w:space="0" w:color="auto"/>
      </w:divBdr>
    </w:div>
    <w:div w:id="1966932708">
      <w:bodyDiv w:val="1"/>
      <w:marLeft w:val="0"/>
      <w:marRight w:val="0"/>
      <w:marTop w:val="0"/>
      <w:marBottom w:val="0"/>
      <w:divBdr>
        <w:top w:val="none" w:sz="0" w:space="0" w:color="auto"/>
        <w:left w:val="none" w:sz="0" w:space="0" w:color="auto"/>
        <w:bottom w:val="none" w:sz="0" w:space="0" w:color="auto"/>
        <w:right w:val="none" w:sz="0" w:space="0" w:color="auto"/>
      </w:divBdr>
    </w:div>
    <w:div w:id="1967009630">
      <w:bodyDiv w:val="1"/>
      <w:marLeft w:val="0"/>
      <w:marRight w:val="0"/>
      <w:marTop w:val="0"/>
      <w:marBottom w:val="0"/>
      <w:divBdr>
        <w:top w:val="none" w:sz="0" w:space="0" w:color="auto"/>
        <w:left w:val="none" w:sz="0" w:space="0" w:color="auto"/>
        <w:bottom w:val="none" w:sz="0" w:space="0" w:color="auto"/>
        <w:right w:val="none" w:sz="0" w:space="0" w:color="auto"/>
      </w:divBdr>
    </w:div>
    <w:div w:id="1967396408">
      <w:bodyDiv w:val="1"/>
      <w:marLeft w:val="0"/>
      <w:marRight w:val="0"/>
      <w:marTop w:val="0"/>
      <w:marBottom w:val="0"/>
      <w:divBdr>
        <w:top w:val="none" w:sz="0" w:space="0" w:color="auto"/>
        <w:left w:val="none" w:sz="0" w:space="0" w:color="auto"/>
        <w:bottom w:val="none" w:sz="0" w:space="0" w:color="auto"/>
        <w:right w:val="none" w:sz="0" w:space="0" w:color="auto"/>
      </w:divBdr>
    </w:div>
    <w:div w:id="1967463595">
      <w:bodyDiv w:val="1"/>
      <w:marLeft w:val="0"/>
      <w:marRight w:val="0"/>
      <w:marTop w:val="0"/>
      <w:marBottom w:val="0"/>
      <w:divBdr>
        <w:top w:val="none" w:sz="0" w:space="0" w:color="auto"/>
        <w:left w:val="none" w:sz="0" w:space="0" w:color="auto"/>
        <w:bottom w:val="none" w:sz="0" w:space="0" w:color="auto"/>
        <w:right w:val="none" w:sz="0" w:space="0" w:color="auto"/>
      </w:divBdr>
    </w:div>
    <w:div w:id="1967614318">
      <w:bodyDiv w:val="1"/>
      <w:marLeft w:val="0"/>
      <w:marRight w:val="0"/>
      <w:marTop w:val="0"/>
      <w:marBottom w:val="0"/>
      <w:divBdr>
        <w:top w:val="none" w:sz="0" w:space="0" w:color="auto"/>
        <w:left w:val="none" w:sz="0" w:space="0" w:color="auto"/>
        <w:bottom w:val="none" w:sz="0" w:space="0" w:color="auto"/>
        <w:right w:val="none" w:sz="0" w:space="0" w:color="auto"/>
      </w:divBdr>
    </w:div>
    <w:div w:id="1967732058">
      <w:bodyDiv w:val="1"/>
      <w:marLeft w:val="0"/>
      <w:marRight w:val="0"/>
      <w:marTop w:val="0"/>
      <w:marBottom w:val="0"/>
      <w:divBdr>
        <w:top w:val="none" w:sz="0" w:space="0" w:color="auto"/>
        <w:left w:val="none" w:sz="0" w:space="0" w:color="auto"/>
        <w:bottom w:val="none" w:sz="0" w:space="0" w:color="auto"/>
        <w:right w:val="none" w:sz="0" w:space="0" w:color="auto"/>
      </w:divBdr>
    </w:div>
    <w:div w:id="1967928087">
      <w:bodyDiv w:val="1"/>
      <w:marLeft w:val="0"/>
      <w:marRight w:val="0"/>
      <w:marTop w:val="0"/>
      <w:marBottom w:val="0"/>
      <w:divBdr>
        <w:top w:val="none" w:sz="0" w:space="0" w:color="auto"/>
        <w:left w:val="none" w:sz="0" w:space="0" w:color="auto"/>
        <w:bottom w:val="none" w:sz="0" w:space="0" w:color="auto"/>
        <w:right w:val="none" w:sz="0" w:space="0" w:color="auto"/>
      </w:divBdr>
    </w:div>
    <w:div w:id="1968118163">
      <w:bodyDiv w:val="1"/>
      <w:marLeft w:val="0"/>
      <w:marRight w:val="0"/>
      <w:marTop w:val="0"/>
      <w:marBottom w:val="0"/>
      <w:divBdr>
        <w:top w:val="none" w:sz="0" w:space="0" w:color="auto"/>
        <w:left w:val="none" w:sz="0" w:space="0" w:color="auto"/>
        <w:bottom w:val="none" w:sz="0" w:space="0" w:color="auto"/>
        <w:right w:val="none" w:sz="0" w:space="0" w:color="auto"/>
      </w:divBdr>
    </w:div>
    <w:div w:id="1968319779">
      <w:bodyDiv w:val="1"/>
      <w:marLeft w:val="0"/>
      <w:marRight w:val="0"/>
      <w:marTop w:val="0"/>
      <w:marBottom w:val="0"/>
      <w:divBdr>
        <w:top w:val="none" w:sz="0" w:space="0" w:color="auto"/>
        <w:left w:val="none" w:sz="0" w:space="0" w:color="auto"/>
        <w:bottom w:val="none" w:sz="0" w:space="0" w:color="auto"/>
        <w:right w:val="none" w:sz="0" w:space="0" w:color="auto"/>
      </w:divBdr>
    </w:div>
    <w:div w:id="1968392473">
      <w:bodyDiv w:val="1"/>
      <w:marLeft w:val="0"/>
      <w:marRight w:val="0"/>
      <w:marTop w:val="0"/>
      <w:marBottom w:val="0"/>
      <w:divBdr>
        <w:top w:val="none" w:sz="0" w:space="0" w:color="auto"/>
        <w:left w:val="none" w:sz="0" w:space="0" w:color="auto"/>
        <w:bottom w:val="none" w:sz="0" w:space="0" w:color="auto"/>
        <w:right w:val="none" w:sz="0" w:space="0" w:color="auto"/>
      </w:divBdr>
    </w:div>
    <w:div w:id="1968465524">
      <w:bodyDiv w:val="1"/>
      <w:marLeft w:val="0"/>
      <w:marRight w:val="0"/>
      <w:marTop w:val="0"/>
      <w:marBottom w:val="0"/>
      <w:divBdr>
        <w:top w:val="none" w:sz="0" w:space="0" w:color="auto"/>
        <w:left w:val="none" w:sz="0" w:space="0" w:color="auto"/>
        <w:bottom w:val="none" w:sz="0" w:space="0" w:color="auto"/>
        <w:right w:val="none" w:sz="0" w:space="0" w:color="auto"/>
      </w:divBdr>
    </w:div>
    <w:div w:id="1968511097">
      <w:bodyDiv w:val="1"/>
      <w:marLeft w:val="0"/>
      <w:marRight w:val="0"/>
      <w:marTop w:val="0"/>
      <w:marBottom w:val="0"/>
      <w:divBdr>
        <w:top w:val="none" w:sz="0" w:space="0" w:color="auto"/>
        <w:left w:val="none" w:sz="0" w:space="0" w:color="auto"/>
        <w:bottom w:val="none" w:sz="0" w:space="0" w:color="auto"/>
        <w:right w:val="none" w:sz="0" w:space="0" w:color="auto"/>
      </w:divBdr>
    </w:div>
    <w:div w:id="1968588460">
      <w:bodyDiv w:val="1"/>
      <w:marLeft w:val="0"/>
      <w:marRight w:val="0"/>
      <w:marTop w:val="0"/>
      <w:marBottom w:val="0"/>
      <w:divBdr>
        <w:top w:val="none" w:sz="0" w:space="0" w:color="auto"/>
        <w:left w:val="none" w:sz="0" w:space="0" w:color="auto"/>
        <w:bottom w:val="none" w:sz="0" w:space="0" w:color="auto"/>
        <w:right w:val="none" w:sz="0" w:space="0" w:color="auto"/>
      </w:divBdr>
    </w:div>
    <w:div w:id="1968706272">
      <w:bodyDiv w:val="1"/>
      <w:marLeft w:val="0"/>
      <w:marRight w:val="0"/>
      <w:marTop w:val="0"/>
      <w:marBottom w:val="0"/>
      <w:divBdr>
        <w:top w:val="none" w:sz="0" w:space="0" w:color="auto"/>
        <w:left w:val="none" w:sz="0" w:space="0" w:color="auto"/>
        <w:bottom w:val="none" w:sz="0" w:space="0" w:color="auto"/>
        <w:right w:val="none" w:sz="0" w:space="0" w:color="auto"/>
      </w:divBdr>
    </w:div>
    <w:div w:id="1968925242">
      <w:bodyDiv w:val="1"/>
      <w:marLeft w:val="0"/>
      <w:marRight w:val="0"/>
      <w:marTop w:val="0"/>
      <w:marBottom w:val="0"/>
      <w:divBdr>
        <w:top w:val="none" w:sz="0" w:space="0" w:color="auto"/>
        <w:left w:val="none" w:sz="0" w:space="0" w:color="auto"/>
        <w:bottom w:val="none" w:sz="0" w:space="0" w:color="auto"/>
        <w:right w:val="none" w:sz="0" w:space="0" w:color="auto"/>
      </w:divBdr>
    </w:div>
    <w:div w:id="1969436411">
      <w:bodyDiv w:val="1"/>
      <w:marLeft w:val="0"/>
      <w:marRight w:val="0"/>
      <w:marTop w:val="0"/>
      <w:marBottom w:val="0"/>
      <w:divBdr>
        <w:top w:val="none" w:sz="0" w:space="0" w:color="auto"/>
        <w:left w:val="none" w:sz="0" w:space="0" w:color="auto"/>
        <w:bottom w:val="none" w:sz="0" w:space="0" w:color="auto"/>
        <w:right w:val="none" w:sz="0" w:space="0" w:color="auto"/>
      </w:divBdr>
    </w:div>
    <w:div w:id="1969554801">
      <w:bodyDiv w:val="1"/>
      <w:marLeft w:val="0"/>
      <w:marRight w:val="0"/>
      <w:marTop w:val="0"/>
      <w:marBottom w:val="0"/>
      <w:divBdr>
        <w:top w:val="none" w:sz="0" w:space="0" w:color="auto"/>
        <w:left w:val="none" w:sz="0" w:space="0" w:color="auto"/>
        <w:bottom w:val="none" w:sz="0" w:space="0" w:color="auto"/>
        <w:right w:val="none" w:sz="0" w:space="0" w:color="auto"/>
      </w:divBdr>
    </w:div>
    <w:div w:id="1970235301">
      <w:bodyDiv w:val="1"/>
      <w:marLeft w:val="0"/>
      <w:marRight w:val="0"/>
      <w:marTop w:val="0"/>
      <w:marBottom w:val="0"/>
      <w:divBdr>
        <w:top w:val="none" w:sz="0" w:space="0" w:color="auto"/>
        <w:left w:val="none" w:sz="0" w:space="0" w:color="auto"/>
        <w:bottom w:val="none" w:sz="0" w:space="0" w:color="auto"/>
        <w:right w:val="none" w:sz="0" w:space="0" w:color="auto"/>
      </w:divBdr>
    </w:div>
    <w:div w:id="1970283264">
      <w:bodyDiv w:val="1"/>
      <w:marLeft w:val="0"/>
      <w:marRight w:val="0"/>
      <w:marTop w:val="0"/>
      <w:marBottom w:val="0"/>
      <w:divBdr>
        <w:top w:val="none" w:sz="0" w:space="0" w:color="auto"/>
        <w:left w:val="none" w:sz="0" w:space="0" w:color="auto"/>
        <w:bottom w:val="none" w:sz="0" w:space="0" w:color="auto"/>
        <w:right w:val="none" w:sz="0" w:space="0" w:color="auto"/>
      </w:divBdr>
    </w:div>
    <w:div w:id="1970554485">
      <w:bodyDiv w:val="1"/>
      <w:marLeft w:val="0"/>
      <w:marRight w:val="0"/>
      <w:marTop w:val="0"/>
      <w:marBottom w:val="0"/>
      <w:divBdr>
        <w:top w:val="none" w:sz="0" w:space="0" w:color="auto"/>
        <w:left w:val="none" w:sz="0" w:space="0" w:color="auto"/>
        <w:bottom w:val="none" w:sz="0" w:space="0" w:color="auto"/>
        <w:right w:val="none" w:sz="0" w:space="0" w:color="auto"/>
      </w:divBdr>
    </w:div>
    <w:div w:id="1970625217">
      <w:bodyDiv w:val="1"/>
      <w:marLeft w:val="0"/>
      <w:marRight w:val="0"/>
      <w:marTop w:val="0"/>
      <w:marBottom w:val="0"/>
      <w:divBdr>
        <w:top w:val="none" w:sz="0" w:space="0" w:color="auto"/>
        <w:left w:val="none" w:sz="0" w:space="0" w:color="auto"/>
        <w:bottom w:val="none" w:sz="0" w:space="0" w:color="auto"/>
        <w:right w:val="none" w:sz="0" w:space="0" w:color="auto"/>
      </w:divBdr>
    </w:div>
    <w:div w:id="1970819668">
      <w:bodyDiv w:val="1"/>
      <w:marLeft w:val="0"/>
      <w:marRight w:val="0"/>
      <w:marTop w:val="0"/>
      <w:marBottom w:val="0"/>
      <w:divBdr>
        <w:top w:val="none" w:sz="0" w:space="0" w:color="auto"/>
        <w:left w:val="none" w:sz="0" w:space="0" w:color="auto"/>
        <w:bottom w:val="none" w:sz="0" w:space="0" w:color="auto"/>
        <w:right w:val="none" w:sz="0" w:space="0" w:color="auto"/>
      </w:divBdr>
    </w:div>
    <w:div w:id="1971085568">
      <w:bodyDiv w:val="1"/>
      <w:marLeft w:val="0"/>
      <w:marRight w:val="0"/>
      <w:marTop w:val="0"/>
      <w:marBottom w:val="0"/>
      <w:divBdr>
        <w:top w:val="none" w:sz="0" w:space="0" w:color="auto"/>
        <w:left w:val="none" w:sz="0" w:space="0" w:color="auto"/>
        <w:bottom w:val="none" w:sz="0" w:space="0" w:color="auto"/>
        <w:right w:val="none" w:sz="0" w:space="0" w:color="auto"/>
      </w:divBdr>
    </w:div>
    <w:div w:id="1971354001">
      <w:bodyDiv w:val="1"/>
      <w:marLeft w:val="0"/>
      <w:marRight w:val="0"/>
      <w:marTop w:val="0"/>
      <w:marBottom w:val="0"/>
      <w:divBdr>
        <w:top w:val="none" w:sz="0" w:space="0" w:color="auto"/>
        <w:left w:val="none" w:sz="0" w:space="0" w:color="auto"/>
        <w:bottom w:val="none" w:sz="0" w:space="0" w:color="auto"/>
        <w:right w:val="none" w:sz="0" w:space="0" w:color="auto"/>
      </w:divBdr>
    </w:div>
    <w:div w:id="1971354779">
      <w:bodyDiv w:val="1"/>
      <w:marLeft w:val="0"/>
      <w:marRight w:val="0"/>
      <w:marTop w:val="0"/>
      <w:marBottom w:val="0"/>
      <w:divBdr>
        <w:top w:val="none" w:sz="0" w:space="0" w:color="auto"/>
        <w:left w:val="none" w:sz="0" w:space="0" w:color="auto"/>
        <w:bottom w:val="none" w:sz="0" w:space="0" w:color="auto"/>
        <w:right w:val="none" w:sz="0" w:space="0" w:color="auto"/>
      </w:divBdr>
    </w:div>
    <w:div w:id="1971746447">
      <w:bodyDiv w:val="1"/>
      <w:marLeft w:val="0"/>
      <w:marRight w:val="0"/>
      <w:marTop w:val="0"/>
      <w:marBottom w:val="0"/>
      <w:divBdr>
        <w:top w:val="none" w:sz="0" w:space="0" w:color="auto"/>
        <w:left w:val="none" w:sz="0" w:space="0" w:color="auto"/>
        <w:bottom w:val="none" w:sz="0" w:space="0" w:color="auto"/>
        <w:right w:val="none" w:sz="0" w:space="0" w:color="auto"/>
      </w:divBdr>
    </w:div>
    <w:div w:id="1971864890">
      <w:bodyDiv w:val="1"/>
      <w:marLeft w:val="0"/>
      <w:marRight w:val="0"/>
      <w:marTop w:val="0"/>
      <w:marBottom w:val="0"/>
      <w:divBdr>
        <w:top w:val="none" w:sz="0" w:space="0" w:color="auto"/>
        <w:left w:val="none" w:sz="0" w:space="0" w:color="auto"/>
        <w:bottom w:val="none" w:sz="0" w:space="0" w:color="auto"/>
        <w:right w:val="none" w:sz="0" w:space="0" w:color="auto"/>
      </w:divBdr>
    </w:div>
    <w:div w:id="1971937859">
      <w:bodyDiv w:val="1"/>
      <w:marLeft w:val="0"/>
      <w:marRight w:val="0"/>
      <w:marTop w:val="0"/>
      <w:marBottom w:val="0"/>
      <w:divBdr>
        <w:top w:val="none" w:sz="0" w:space="0" w:color="auto"/>
        <w:left w:val="none" w:sz="0" w:space="0" w:color="auto"/>
        <w:bottom w:val="none" w:sz="0" w:space="0" w:color="auto"/>
        <w:right w:val="none" w:sz="0" w:space="0" w:color="auto"/>
      </w:divBdr>
    </w:div>
    <w:div w:id="1972175399">
      <w:bodyDiv w:val="1"/>
      <w:marLeft w:val="0"/>
      <w:marRight w:val="0"/>
      <w:marTop w:val="0"/>
      <w:marBottom w:val="0"/>
      <w:divBdr>
        <w:top w:val="none" w:sz="0" w:space="0" w:color="auto"/>
        <w:left w:val="none" w:sz="0" w:space="0" w:color="auto"/>
        <w:bottom w:val="none" w:sz="0" w:space="0" w:color="auto"/>
        <w:right w:val="none" w:sz="0" w:space="0" w:color="auto"/>
      </w:divBdr>
    </w:div>
    <w:div w:id="1972439767">
      <w:bodyDiv w:val="1"/>
      <w:marLeft w:val="0"/>
      <w:marRight w:val="0"/>
      <w:marTop w:val="0"/>
      <w:marBottom w:val="0"/>
      <w:divBdr>
        <w:top w:val="none" w:sz="0" w:space="0" w:color="auto"/>
        <w:left w:val="none" w:sz="0" w:space="0" w:color="auto"/>
        <w:bottom w:val="none" w:sz="0" w:space="0" w:color="auto"/>
        <w:right w:val="none" w:sz="0" w:space="0" w:color="auto"/>
      </w:divBdr>
    </w:div>
    <w:div w:id="1972661717">
      <w:bodyDiv w:val="1"/>
      <w:marLeft w:val="0"/>
      <w:marRight w:val="0"/>
      <w:marTop w:val="0"/>
      <w:marBottom w:val="0"/>
      <w:divBdr>
        <w:top w:val="none" w:sz="0" w:space="0" w:color="auto"/>
        <w:left w:val="none" w:sz="0" w:space="0" w:color="auto"/>
        <w:bottom w:val="none" w:sz="0" w:space="0" w:color="auto"/>
        <w:right w:val="none" w:sz="0" w:space="0" w:color="auto"/>
      </w:divBdr>
    </w:div>
    <w:div w:id="1973251187">
      <w:bodyDiv w:val="1"/>
      <w:marLeft w:val="0"/>
      <w:marRight w:val="0"/>
      <w:marTop w:val="0"/>
      <w:marBottom w:val="0"/>
      <w:divBdr>
        <w:top w:val="none" w:sz="0" w:space="0" w:color="auto"/>
        <w:left w:val="none" w:sz="0" w:space="0" w:color="auto"/>
        <w:bottom w:val="none" w:sz="0" w:space="0" w:color="auto"/>
        <w:right w:val="none" w:sz="0" w:space="0" w:color="auto"/>
      </w:divBdr>
    </w:div>
    <w:div w:id="1973434790">
      <w:bodyDiv w:val="1"/>
      <w:marLeft w:val="0"/>
      <w:marRight w:val="0"/>
      <w:marTop w:val="0"/>
      <w:marBottom w:val="0"/>
      <w:divBdr>
        <w:top w:val="none" w:sz="0" w:space="0" w:color="auto"/>
        <w:left w:val="none" w:sz="0" w:space="0" w:color="auto"/>
        <w:bottom w:val="none" w:sz="0" w:space="0" w:color="auto"/>
        <w:right w:val="none" w:sz="0" w:space="0" w:color="auto"/>
      </w:divBdr>
    </w:div>
    <w:div w:id="1973485901">
      <w:bodyDiv w:val="1"/>
      <w:marLeft w:val="0"/>
      <w:marRight w:val="0"/>
      <w:marTop w:val="0"/>
      <w:marBottom w:val="0"/>
      <w:divBdr>
        <w:top w:val="none" w:sz="0" w:space="0" w:color="auto"/>
        <w:left w:val="none" w:sz="0" w:space="0" w:color="auto"/>
        <w:bottom w:val="none" w:sz="0" w:space="0" w:color="auto"/>
        <w:right w:val="none" w:sz="0" w:space="0" w:color="auto"/>
      </w:divBdr>
    </w:div>
    <w:div w:id="1973779275">
      <w:bodyDiv w:val="1"/>
      <w:marLeft w:val="0"/>
      <w:marRight w:val="0"/>
      <w:marTop w:val="0"/>
      <w:marBottom w:val="0"/>
      <w:divBdr>
        <w:top w:val="none" w:sz="0" w:space="0" w:color="auto"/>
        <w:left w:val="none" w:sz="0" w:space="0" w:color="auto"/>
        <w:bottom w:val="none" w:sz="0" w:space="0" w:color="auto"/>
        <w:right w:val="none" w:sz="0" w:space="0" w:color="auto"/>
      </w:divBdr>
    </w:div>
    <w:div w:id="1974215348">
      <w:bodyDiv w:val="1"/>
      <w:marLeft w:val="0"/>
      <w:marRight w:val="0"/>
      <w:marTop w:val="0"/>
      <w:marBottom w:val="0"/>
      <w:divBdr>
        <w:top w:val="none" w:sz="0" w:space="0" w:color="auto"/>
        <w:left w:val="none" w:sz="0" w:space="0" w:color="auto"/>
        <w:bottom w:val="none" w:sz="0" w:space="0" w:color="auto"/>
        <w:right w:val="none" w:sz="0" w:space="0" w:color="auto"/>
      </w:divBdr>
    </w:div>
    <w:div w:id="1974407383">
      <w:bodyDiv w:val="1"/>
      <w:marLeft w:val="0"/>
      <w:marRight w:val="0"/>
      <w:marTop w:val="0"/>
      <w:marBottom w:val="0"/>
      <w:divBdr>
        <w:top w:val="none" w:sz="0" w:space="0" w:color="auto"/>
        <w:left w:val="none" w:sz="0" w:space="0" w:color="auto"/>
        <w:bottom w:val="none" w:sz="0" w:space="0" w:color="auto"/>
        <w:right w:val="none" w:sz="0" w:space="0" w:color="auto"/>
      </w:divBdr>
    </w:div>
    <w:div w:id="1974559342">
      <w:bodyDiv w:val="1"/>
      <w:marLeft w:val="0"/>
      <w:marRight w:val="0"/>
      <w:marTop w:val="0"/>
      <w:marBottom w:val="0"/>
      <w:divBdr>
        <w:top w:val="none" w:sz="0" w:space="0" w:color="auto"/>
        <w:left w:val="none" w:sz="0" w:space="0" w:color="auto"/>
        <w:bottom w:val="none" w:sz="0" w:space="0" w:color="auto"/>
        <w:right w:val="none" w:sz="0" w:space="0" w:color="auto"/>
      </w:divBdr>
    </w:div>
    <w:div w:id="1974871275">
      <w:bodyDiv w:val="1"/>
      <w:marLeft w:val="0"/>
      <w:marRight w:val="0"/>
      <w:marTop w:val="0"/>
      <w:marBottom w:val="0"/>
      <w:divBdr>
        <w:top w:val="none" w:sz="0" w:space="0" w:color="auto"/>
        <w:left w:val="none" w:sz="0" w:space="0" w:color="auto"/>
        <w:bottom w:val="none" w:sz="0" w:space="0" w:color="auto"/>
        <w:right w:val="none" w:sz="0" w:space="0" w:color="auto"/>
      </w:divBdr>
    </w:div>
    <w:div w:id="1975060359">
      <w:bodyDiv w:val="1"/>
      <w:marLeft w:val="0"/>
      <w:marRight w:val="0"/>
      <w:marTop w:val="0"/>
      <w:marBottom w:val="0"/>
      <w:divBdr>
        <w:top w:val="none" w:sz="0" w:space="0" w:color="auto"/>
        <w:left w:val="none" w:sz="0" w:space="0" w:color="auto"/>
        <w:bottom w:val="none" w:sz="0" w:space="0" w:color="auto"/>
        <w:right w:val="none" w:sz="0" w:space="0" w:color="auto"/>
      </w:divBdr>
    </w:div>
    <w:div w:id="1975132684">
      <w:bodyDiv w:val="1"/>
      <w:marLeft w:val="0"/>
      <w:marRight w:val="0"/>
      <w:marTop w:val="0"/>
      <w:marBottom w:val="0"/>
      <w:divBdr>
        <w:top w:val="none" w:sz="0" w:space="0" w:color="auto"/>
        <w:left w:val="none" w:sz="0" w:space="0" w:color="auto"/>
        <w:bottom w:val="none" w:sz="0" w:space="0" w:color="auto"/>
        <w:right w:val="none" w:sz="0" w:space="0" w:color="auto"/>
      </w:divBdr>
    </w:div>
    <w:div w:id="1975136826">
      <w:bodyDiv w:val="1"/>
      <w:marLeft w:val="0"/>
      <w:marRight w:val="0"/>
      <w:marTop w:val="0"/>
      <w:marBottom w:val="0"/>
      <w:divBdr>
        <w:top w:val="none" w:sz="0" w:space="0" w:color="auto"/>
        <w:left w:val="none" w:sz="0" w:space="0" w:color="auto"/>
        <w:bottom w:val="none" w:sz="0" w:space="0" w:color="auto"/>
        <w:right w:val="none" w:sz="0" w:space="0" w:color="auto"/>
      </w:divBdr>
    </w:div>
    <w:div w:id="1975401791">
      <w:bodyDiv w:val="1"/>
      <w:marLeft w:val="0"/>
      <w:marRight w:val="0"/>
      <w:marTop w:val="0"/>
      <w:marBottom w:val="0"/>
      <w:divBdr>
        <w:top w:val="none" w:sz="0" w:space="0" w:color="auto"/>
        <w:left w:val="none" w:sz="0" w:space="0" w:color="auto"/>
        <w:bottom w:val="none" w:sz="0" w:space="0" w:color="auto"/>
        <w:right w:val="none" w:sz="0" w:space="0" w:color="auto"/>
      </w:divBdr>
    </w:div>
    <w:div w:id="1975452843">
      <w:bodyDiv w:val="1"/>
      <w:marLeft w:val="0"/>
      <w:marRight w:val="0"/>
      <w:marTop w:val="0"/>
      <w:marBottom w:val="0"/>
      <w:divBdr>
        <w:top w:val="none" w:sz="0" w:space="0" w:color="auto"/>
        <w:left w:val="none" w:sz="0" w:space="0" w:color="auto"/>
        <w:bottom w:val="none" w:sz="0" w:space="0" w:color="auto"/>
        <w:right w:val="none" w:sz="0" w:space="0" w:color="auto"/>
      </w:divBdr>
    </w:div>
    <w:div w:id="1975478225">
      <w:bodyDiv w:val="1"/>
      <w:marLeft w:val="0"/>
      <w:marRight w:val="0"/>
      <w:marTop w:val="0"/>
      <w:marBottom w:val="0"/>
      <w:divBdr>
        <w:top w:val="none" w:sz="0" w:space="0" w:color="auto"/>
        <w:left w:val="none" w:sz="0" w:space="0" w:color="auto"/>
        <w:bottom w:val="none" w:sz="0" w:space="0" w:color="auto"/>
        <w:right w:val="none" w:sz="0" w:space="0" w:color="auto"/>
      </w:divBdr>
    </w:div>
    <w:div w:id="1975594332">
      <w:bodyDiv w:val="1"/>
      <w:marLeft w:val="0"/>
      <w:marRight w:val="0"/>
      <w:marTop w:val="0"/>
      <w:marBottom w:val="0"/>
      <w:divBdr>
        <w:top w:val="none" w:sz="0" w:space="0" w:color="auto"/>
        <w:left w:val="none" w:sz="0" w:space="0" w:color="auto"/>
        <w:bottom w:val="none" w:sz="0" w:space="0" w:color="auto"/>
        <w:right w:val="none" w:sz="0" w:space="0" w:color="auto"/>
      </w:divBdr>
    </w:div>
    <w:div w:id="1975790532">
      <w:bodyDiv w:val="1"/>
      <w:marLeft w:val="0"/>
      <w:marRight w:val="0"/>
      <w:marTop w:val="0"/>
      <w:marBottom w:val="0"/>
      <w:divBdr>
        <w:top w:val="none" w:sz="0" w:space="0" w:color="auto"/>
        <w:left w:val="none" w:sz="0" w:space="0" w:color="auto"/>
        <w:bottom w:val="none" w:sz="0" w:space="0" w:color="auto"/>
        <w:right w:val="none" w:sz="0" w:space="0" w:color="auto"/>
      </w:divBdr>
    </w:div>
    <w:div w:id="1976059319">
      <w:bodyDiv w:val="1"/>
      <w:marLeft w:val="0"/>
      <w:marRight w:val="0"/>
      <w:marTop w:val="0"/>
      <w:marBottom w:val="0"/>
      <w:divBdr>
        <w:top w:val="none" w:sz="0" w:space="0" w:color="auto"/>
        <w:left w:val="none" w:sz="0" w:space="0" w:color="auto"/>
        <w:bottom w:val="none" w:sz="0" w:space="0" w:color="auto"/>
        <w:right w:val="none" w:sz="0" w:space="0" w:color="auto"/>
      </w:divBdr>
    </w:div>
    <w:div w:id="1976326751">
      <w:bodyDiv w:val="1"/>
      <w:marLeft w:val="0"/>
      <w:marRight w:val="0"/>
      <w:marTop w:val="0"/>
      <w:marBottom w:val="0"/>
      <w:divBdr>
        <w:top w:val="none" w:sz="0" w:space="0" w:color="auto"/>
        <w:left w:val="none" w:sz="0" w:space="0" w:color="auto"/>
        <w:bottom w:val="none" w:sz="0" w:space="0" w:color="auto"/>
        <w:right w:val="none" w:sz="0" w:space="0" w:color="auto"/>
      </w:divBdr>
    </w:div>
    <w:div w:id="1976331602">
      <w:bodyDiv w:val="1"/>
      <w:marLeft w:val="0"/>
      <w:marRight w:val="0"/>
      <w:marTop w:val="0"/>
      <w:marBottom w:val="0"/>
      <w:divBdr>
        <w:top w:val="none" w:sz="0" w:space="0" w:color="auto"/>
        <w:left w:val="none" w:sz="0" w:space="0" w:color="auto"/>
        <w:bottom w:val="none" w:sz="0" w:space="0" w:color="auto"/>
        <w:right w:val="none" w:sz="0" w:space="0" w:color="auto"/>
      </w:divBdr>
    </w:div>
    <w:div w:id="1976447489">
      <w:bodyDiv w:val="1"/>
      <w:marLeft w:val="0"/>
      <w:marRight w:val="0"/>
      <w:marTop w:val="0"/>
      <w:marBottom w:val="0"/>
      <w:divBdr>
        <w:top w:val="none" w:sz="0" w:space="0" w:color="auto"/>
        <w:left w:val="none" w:sz="0" w:space="0" w:color="auto"/>
        <w:bottom w:val="none" w:sz="0" w:space="0" w:color="auto"/>
        <w:right w:val="none" w:sz="0" w:space="0" w:color="auto"/>
      </w:divBdr>
    </w:div>
    <w:div w:id="1976641360">
      <w:bodyDiv w:val="1"/>
      <w:marLeft w:val="0"/>
      <w:marRight w:val="0"/>
      <w:marTop w:val="0"/>
      <w:marBottom w:val="0"/>
      <w:divBdr>
        <w:top w:val="none" w:sz="0" w:space="0" w:color="auto"/>
        <w:left w:val="none" w:sz="0" w:space="0" w:color="auto"/>
        <w:bottom w:val="none" w:sz="0" w:space="0" w:color="auto"/>
        <w:right w:val="none" w:sz="0" w:space="0" w:color="auto"/>
      </w:divBdr>
    </w:div>
    <w:div w:id="1976645063">
      <w:bodyDiv w:val="1"/>
      <w:marLeft w:val="0"/>
      <w:marRight w:val="0"/>
      <w:marTop w:val="0"/>
      <w:marBottom w:val="0"/>
      <w:divBdr>
        <w:top w:val="none" w:sz="0" w:space="0" w:color="auto"/>
        <w:left w:val="none" w:sz="0" w:space="0" w:color="auto"/>
        <w:bottom w:val="none" w:sz="0" w:space="0" w:color="auto"/>
        <w:right w:val="none" w:sz="0" w:space="0" w:color="auto"/>
      </w:divBdr>
    </w:div>
    <w:div w:id="1976982423">
      <w:bodyDiv w:val="1"/>
      <w:marLeft w:val="0"/>
      <w:marRight w:val="0"/>
      <w:marTop w:val="0"/>
      <w:marBottom w:val="0"/>
      <w:divBdr>
        <w:top w:val="none" w:sz="0" w:space="0" w:color="auto"/>
        <w:left w:val="none" w:sz="0" w:space="0" w:color="auto"/>
        <w:bottom w:val="none" w:sz="0" w:space="0" w:color="auto"/>
        <w:right w:val="none" w:sz="0" w:space="0" w:color="auto"/>
      </w:divBdr>
    </w:div>
    <w:div w:id="1977101858">
      <w:bodyDiv w:val="1"/>
      <w:marLeft w:val="0"/>
      <w:marRight w:val="0"/>
      <w:marTop w:val="0"/>
      <w:marBottom w:val="0"/>
      <w:divBdr>
        <w:top w:val="none" w:sz="0" w:space="0" w:color="auto"/>
        <w:left w:val="none" w:sz="0" w:space="0" w:color="auto"/>
        <w:bottom w:val="none" w:sz="0" w:space="0" w:color="auto"/>
        <w:right w:val="none" w:sz="0" w:space="0" w:color="auto"/>
      </w:divBdr>
    </w:div>
    <w:div w:id="1977180478">
      <w:bodyDiv w:val="1"/>
      <w:marLeft w:val="0"/>
      <w:marRight w:val="0"/>
      <w:marTop w:val="0"/>
      <w:marBottom w:val="0"/>
      <w:divBdr>
        <w:top w:val="none" w:sz="0" w:space="0" w:color="auto"/>
        <w:left w:val="none" w:sz="0" w:space="0" w:color="auto"/>
        <w:bottom w:val="none" w:sz="0" w:space="0" w:color="auto"/>
        <w:right w:val="none" w:sz="0" w:space="0" w:color="auto"/>
      </w:divBdr>
    </w:div>
    <w:div w:id="1977224085">
      <w:bodyDiv w:val="1"/>
      <w:marLeft w:val="0"/>
      <w:marRight w:val="0"/>
      <w:marTop w:val="0"/>
      <w:marBottom w:val="0"/>
      <w:divBdr>
        <w:top w:val="none" w:sz="0" w:space="0" w:color="auto"/>
        <w:left w:val="none" w:sz="0" w:space="0" w:color="auto"/>
        <w:bottom w:val="none" w:sz="0" w:space="0" w:color="auto"/>
        <w:right w:val="none" w:sz="0" w:space="0" w:color="auto"/>
      </w:divBdr>
    </w:div>
    <w:div w:id="1977373890">
      <w:bodyDiv w:val="1"/>
      <w:marLeft w:val="0"/>
      <w:marRight w:val="0"/>
      <w:marTop w:val="0"/>
      <w:marBottom w:val="0"/>
      <w:divBdr>
        <w:top w:val="none" w:sz="0" w:space="0" w:color="auto"/>
        <w:left w:val="none" w:sz="0" w:space="0" w:color="auto"/>
        <w:bottom w:val="none" w:sz="0" w:space="0" w:color="auto"/>
        <w:right w:val="none" w:sz="0" w:space="0" w:color="auto"/>
      </w:divBdr>
    </w:div>
    <w:div w:id="1977828362">
      <w:bodyDiv w:val="1"/>
      <w:marLeft w:val="0"/>
      <w:marRight w:val="0"/>
      <w:marTop w:val="0"/>
      <w:marBottom w:val="0"/>
      <w:divBdr>
        <w:top w:val="none" w:sz="0" w:space="0" w:color="auto"/>
        <w:left w:val="none" w:sz="0" w:space="0" w:color="auto"/>
        <w:bottom w:val="none" w:sz="0" w:space="0" w:color="auto"/>
        <w:right w:val="none" w:sz="0" w:space="0" w:color="auto"/>
      </w:divBdr>
    </w:div>
    <w:div w:id="1978022765">
      <w:bodyDiv w:val="1"/>
      <w:marLeft w:val="0"/>
      <w:marRight w:val="0"/>
      <w:marTop w:val="0"/>
      <w:marBottom w:val="0"/>
      <w:divBdr>
        <w:top w:val="none" w:sz="0" w:space="0" w:color="auto"/>
        <w:left w:val="none" w:sz="0" w:space="0" w:color="auto"/>
        <w:bottom w:val="none" w:sz="0" w:space="0" w:color="auto"/>
        <w:right w:val="none" w:sz="0" w:space="0" w:color="auto"/>
      </w:divBdr>
    </w:div>
    <w:div w:id="1978222391">
      <w:bodyDiv w:val="1"/>
      <w:marLeft w:val="0"/>
      <w:marRight w:val="0"/>
      <w:marTop w:val="0"/>
      <w:marBottom w:val="0"/>
      <w:divBdr>
        <w:top w:val="none" w:sz="0" w:space="0" w:color="auto"/>
        <w:left w:val="none" w:sz="0" w:space="0" w:color="auto"/>
        <w:bottom w:val="none" w:sz="0" w:space="0" w:color="auto"/>
        <w:right w:val="none" w:sz="0" w:space="0" w:color="auto"/>
      </w:divBdr>
    </w:div>
    <w:div w:id="1978339158">
      <w:bodyDiv w:val="1"/>
      <w:marLeft w:val="0"/>
      <w:marRight w:val="0"/>
      <w:marTop w:val="0"/>
      <w:marBottom w:val="0"/>
      <w:divBdr>
        <w:top w:val="none" w:sz="0" w:space="0" w:color="auto"/>
        <w:left w:val="none" w:sz="0" w:space="0" w:color="auto"/>
        <w:bottom w:val="none" w:sz="0" w:space="0" w:color="auto"/>
        <w:right w:val="none" w:sz="0" w:space="0" w:color="auto"/>
      </w:divBdr>
    </w:div>
    <w:div w:id="1978366309">
      <w:bodyDiv w:val="1"/>
      <w:marLeft w:val="0"/>
      <w:marRight w:val="0"/>
      <w:marTop w:val="0"/>
      <w:marBottom w:val="0"/>
      <w:divBdr>
        <w:top w:val="none" w:sz="0" w:space="0" w:color="auto"/>
        <w:left w:val="none" w:sz="0" w:space="0" w:color="auto"/>
        <w:bottom w:val="none" w:sz="0" w:space="0" w:color="auto"/>
        <w:right w:val="none" w:sz="0" w:space="0" w:color="auto"/>
      </w:divBdr>
    </w:div>
    <w:div w:id="1978416437">
      <w:bodyDiv w:val="1"/>
      <w:marLeft w:val="0"/>
      <w:marRight w:val="0"/>
      <w:marTop w:val="0"/>
      <w:marBottom w:val="0"/>
      <w:divBdr>
        <w:top w:val="none" w:sz="0" w:space="0" w:color="auto"/>
        <w:left w:val="none" w:sz="0" w:space="0" w:color="auto"/>
        <w:bottom w:val="none" w:sz="0" w:space="0" w:color="auto"/>
        <w:right w:val="none" w:sz="0" w:space="0" w:color="auto"/>
      </w:divBdr>
    </w:div>
    <w:div w:id="1978946171">
      <w:bodyDiv w:val="1"/>
      <w:marLeft w:val="0"/>
      <w:marRight w:val="0"/>
      <w:marTop w:val="0"/>
      <w:marBottom w:val="0"/>
      <w:divBdr>
        <w:top w:val="none" w:sz="0" w:space="0" w:color="auto"/>
        <w:left w:val="none" w:sz="0" w:space="0" w:color="auto"/>
        <w:bottom w:val="none" w:sz="0" w:space="0" w:color="auto"/>
        <w:right w:val="none" w:sz="0" w:space="0" w:color="auto"/>
      </w:divBdr>
    </w:div>
    <w:div w:id="1979333746">
      <w:bodyDiv w:val="1"/>
      <w:marLeft w:val="0"/>
      <w:marRight w:val="0"/>
      <w:marTop w:val="0"/>
      <w:marBottom w:val="0"/>
      <w:divBdr>
        <w:top w:val="none" w:sz="0" w:space="0" w:color="auto"/>
        <w:left w:val="none" w:sz="0" w:space="0" w:color="auto"/>
        <w:bottom w:val="none" w:sz="0" w:space="0" w:color="auto"/>
        <w:right w:val="none" w:sz="0" w:space="0" w:color="auto"/>
      </w:divBdr>
    </w:div>
    <w:div w:id="1979608131">
      <w:bodyDiv w:val="1"/>
      <w:marLeft w:val="0"/>
      <w:marRight w:val="0"/>
      <w:marTop w:val="0"/>
      <w:marBottom w:val="0"/>
      <w:divBdr>
        <w:top w:val="none" w:sz="0" w:space="0" w:color="auto"/>
        <w:left w:val="none" w:sz="0" w:space="0" w:color="auto"/>
        <w:bottom w:val="none" w:sz="0" w:space="0" w:color="auto"/>
        <w:right w:val="none" w:sz="0" w:space="0" w:color="auto"/>
      </w:divBdr>
    </w:div>
    <w:div w:id="1979609283">
      <w:bodyDiv w:val="1"/>
      <w:marLeft w:val="0"/>
      <w:marRight w:val="0"/>
      <w:marTop w:val="0"/>
      <w:marBottom w:val="0"/>
      <w:divBdr>
        <w:top w:val="none" w:sz="0" w:space="0" w:color="auto"/>
        <w:left w:val="none" w:sz="0" w:space="0" w:color="auto"/>
        <w:bottom w:val="none" w:sz="0" w:space="0" w:color="auto"/>
        <w:right w:val="none" w:sz="0" w:space="0" w:color="auto"/>
      </w:divBdr>
    </w:div>
    <w:div w:id="1979649139">
      <w:bodyDiv w:val="1"/>
      <w:marLeft w:val="0"/>
      <w:marRight w:val="0"/>
      <w:marTop w:val="0"/>
      <w:marBottom w:val="0"/>
      <w:divBdr>
        <w:top w:val="none" w:sz="0" w:space="0" w:color="auto"/>
        <w:left w:val="none" w:sz="0" w:space="0" w:color="auto"/>
        <w:bottom w:val="none" w:sz="0" w:space="0" w:color="auto"/>
        <w:right w:val="none" w:sz="0" w:space="0" w:color="auto"/>
      </w:divBdr>
    </w:div>
    <w:div w:id="1979678574">
      <w:bodyDiv w:val="1"/>
      <w:marLeft w:val="0"/>
      <w:marRight w:val="0"/>
      <w:marTop w:val="0"/>
      <w:marBottom w:val="0"/>
      <w:divBdr>
        <w:top w:val="none" w:sz="0" w:space="0" w:color="auto"/>
        <w:left w:val="none" w:sz="0" w:space="0" w:color="auto"/>
        <w:bottom w:val="none" w:sz="0" w:space="0" w:color="auto"/>
        <w:right w:val="none" w:sz="0" w:space="0" w:color="auto"/>
      </w:divBdr>
    </w:div>
    <w:div w:id="1979725057">
      <w:bodyDiv w:val="1"/>
      <w:marLeft w:val="0"/>
      <w:marRight w:val="0"/>
      <w:marTop w:val="0"/>
      <w:marBottom w:val="0"/>
      <w:divBdr>
        <w:top w:val="none" w:sz="0" w:space="0" w:color="auto"/>
        <w:left w:val="none" w:sz="0" w:space="0" w:color="auto"/>
        <w:bottom w:val="none" w:sz="0" w:space="0" w:color="auto"/>
        <w:right w:val="none" w:sz="0" w:space="0" w:color="auto"/>
      </w:divBdr>
    </w:div>
    <w:div w:id="1979797478">
      <w:bodyDiv w:val="1"/>
      <w:marLeft w:val="0"/>
      <w:marRight w:val="0"/>
      <w:marTop w:val="0"/>
      <w:marBottom w:val="0"/>
      <w:divBdr>
        <w:top w:val="none" w:sz="0" w:space="0" w:color="auto"/>
        <w:left w:val="none" w:sz="0" w:space="0" w:color="auto"/>
        <w:bottom w:val="none" w:sz="0" w:space="0" w:color="auto"/>
        <w:right w:val="none" w:sz="0" w:space="0" w:color="auto"/>
      </w:divBdr>
    </w:div>
    <w:div w:id="1979802401">
      <w:bodyDiv w:val="1"/>
      <w:marLeft w:val="0"/>
      <w:marRight w:val="0"/>
      <w:marTop w:val="0"/>
      <w:marBottom w:val="0"/>
      <w:divBdr>
        <w:top w:val="none" w:sz="0" w:space="0" w:color="auto"/>
        <w:left w:val="none" w:sz="0" w:space="0" w:color="auto"/>
        <w:bottom w:val="none" w:sz="0" w:space="0" w:color="auto"/>
        <w:right w:val="none" w:sz="0" w:space="0" w:color="auto"/>
      </w:divBdr>
    </w:div>
    <w:div w:id="1980062839">
      <w:bodyDiv w:val="1"/>
      <w:marLeft w:val="0"/>
      <w:marRight w:val="0"/>
      <w:marTop w:val="0"/>
      <w:marBottom w:val="0"/>
      <w:divBdr>
        <w:top w:val="none" w:sz="0" w:space="0" w:color="auto"/>
        <w:left w:val="none" w:sz="0" w:space="0" w:color="auto"/>
        <w:bottom w:val="none" w:sz="0" w:space="0" w:color="auto"/>
        <w:right w:val="none" w:sz="0" w:space="0" w:color="auto"/>
      </w:divBdr>
    </w:div>
    <w:div w:id="1980264503">
      <w:bodyDiv w:val="1"/>
      <w:marLeft w:val="0"/>
      <w:marRight w:val="0"/>
      <w:marTop w:val="0"/>
      <w:marBottom w:val="0"/>
      <w:divBdr>
        <w:top w:val="none" w:sz="0" w:space="0" w:color="auto"/>
        <w:left w:val="none" w:sz="0" w:space="0" w:color="auto"/>
        <w:bottom w:val="none" w:sz="0" w:space="0" w:color="auto"/>
        <w:right w:val="none" w:sz="0" w:space="0" w:color="auto"/>
      </w:divBdr>
    </w:div>
    <w:div w:id="1980307758">
      <w:bodyDiv w:val="1"/>
      <w:marLeft w:val="0"/>
      <w:marRight w:val="0"/>
      <w:marTop w:val="0"/>
      <w:marBottom w:val="0"/>
      <w:divBdr>
        <w:top w:val="none" w:sz="0" w:space="0" w:color="auto"/>
        <w:left w:val="none" w:sz="0" w:space="0" w:color="auto"/>
        <w:bottom w:val="none" w:sz="0" w:space="0" w:color="auto"/>
        <w:right w:val="none" w:sz="0" w:space="0" w:color="auto"/>
      </w:divBdr>
    </w:div>
    <w:div w:id="1981108684">
      <w:bodyDiv w:val="1"/>
      <w:marLeft w:val="0"/>
      <w:marRight w:val="0"/>
      <w:marTop w:val="0"/>
      <w:marBottom w:val="0"/>
      <w:divBdr>
        <w:top w:val="none" w:sz="0" w:space="0" w:color="auto"/>
        <w:left w:val="none" w:sz="0" w:space="0" w:color="auto"/>
        <w:bottom w:val="none" w:sz="0" w:space="0" w:color="auto"/>
        <w:right w:val="none" w:sz="0" w:space="0" w:color="auto"/>
      </w:divBdr>
    </w:div>
    <w:div w:id="1981760941">
      <w:bodyDiv w:val="1"/>
      <w:marLeft w:val="0"/>
      <w:marRight w:val="0"/>
      <w:marTop w:val="0"/>
      <w:marBottom w:val="0"/>
      <w:divBdr>
        <w:top w:val="none" w:sz="0" w:space="0" w:color="auto"/>
        <w:left w:val="none" w:sz="0" w:space="0" w:color="auto"/>
        <w:bottom w:val="none" w:sz="0" w:space="0" w:color="auto"/>
        <w:right w:val="none" w:sz="0" w:space="0" w:color="auto"/>
      </w:divBdr>
    </w:div>
    <w:div w:id="1981761872">
      <w:bodyDiv w:val="1"/>
      <w:marLeft w:val="0"/>
      <w:marRight w:val="0"/>
      <w:marTop w:val="0"/>
      <w:marBottom w:val="0"/>
      <w:divBdr>
        <w:top w:val="none" w:sz="0" w:space="0" w:color="auto"/>
        <w:left w:val="none" w:sz="0" w:space="0" w:color="auto"/>
        <w:bottom w:val="none" w:sz="0" w:space="0" w:color="auto"/>
        <w:right w:val="none" w:sz="0" w:space="0" w:color="auto"/>
      </w:divBdr>
    </w:div>
    <w:div w:id="1981837863">
      <w:bodyDiv w:val="1"/>
      <w:marLeft w:val="0"/>
      <w:marRight w:val="0"/>
      <w:marTop w:val="0"/>
      <w:marBottom w:val="0"/>
      <w:divBdr>
        <w:top w:val="none" w:sz="0" w:space="0" w:color="auto"/>
        <w:left w:val="none" w:sz="0" w:space="0" w:color="auto"/>
        <w:bottom w:val="none" w:sz="0" w:space="0" w:color="auto"/>
        <w:right w:val="none" w:sz="0" w:space="0" w:color="auto"/>
      </w:divBdr>
    </w:div>
    <w:div w:id="1981839680">
      <w:bodyDiv w:val="1"/>
      <w:marLeft w:val="0"/>
      <w:marRight w:val="0"/>
      <w:marTop w:val="0"/>
      <w:marBottom w:val="0"/>
      <w:divBdr>
        <w:top w:val="none" w:sz="0" w:space="0" w:color="auto"/>
        <w:left w:val="none" w:sz="0" w:space="0" w:color="auto"/>
        <w:bottom w:val="none" w:sz="0" w:space="0" w:color="auto"/>
        <w:right w:val="none" w:sz="0" w:space="0" w:color="auto"/>
      </w:divBdr>
    </w:div>
    <w:div w:id="1982036783">
      <w:bodyDiv w:val="1"/>
      <w:marLeft w:val="0"/>
      <w:marRight w:val="0"/>
      <w:marTop w:val="0"/>
      <w:marBottom w:val="0"/>
      <w:divBdr>
        <w:top w:val="none" w:sz="0" w:space="0" w:color="auto"/>
        <w:left w:val="none" w:sz="0" w:space="0" w:color="auto"/>
        <w:bottom w:val="none" w:sz="0" w:space="0" w:color="auto"/>
        <w:right w:val="none" w:sz="0" w:space="0" w:color="auto"/>
      </w:divBdr>
    </w:div>
    <w:div w:id="1982147954">
      <w:bodyDiv w:val="1"/>
      <w:marLeft w:val="0"/>
      <w:marRight w:val="0"/>
      <w:marTop w:val="0"/>
      <w:marBottom w:val="0"/>
      <w:divBdr>
        <w:top w:val="none" w:sz="0" w:space="0" w:color="auto"/>
        <w:left w:val="none" w:sz="0" w:space="0" w:color="auto"/>
        <w:bottom w:val="none" w:sz="0" w:space="0" w:color="auto"/>
        <w:right w:val="none" w:sz="0" w:space="0" w:color="auto"/>
      </w:divBdr>
    </w:div>
    <w:div w:id="1982416042">
      <w:bodyDiv w:val="1"/>
      <w:marLeft w:val="0"/>
      <w:marRight w:val="0"/>
      <w:marTop w:val="0"/>
      <w:marBottom w:val="0"/>
      <w:divBdr>
        <w:top w:val="none" w:sz="0" w:space="0" w:color="auto"/>
        <w:left w:val="none" w:sz="0" w:space="0" w:color="auto"/>
        <w:bottom w:val="none" w:sz="0" w:space="0" w:color="auto"/>
        <w:right w:val="none" w:sz="0" w:space="0" w:color="auto"/>
      </w:divBdr>
    </w:div>
    <w:div w:id="1982492343">
      <w:bodyDiv w:val="1"/>
      <w:marLeft w:val="0"/>
      <w:marRight w:val="0"/>
      <w:marTop w:val="0"/>
      <w:marBottom w:val="0"/>
      <w:divBdr>
        <w:top w:val="none" w:sz="0" w:space="0" w:color="auto"/>
        <w:left w:val="none" w:sz="0" w:space="0" w:color="auto"/>
        <w:bottom w:val="none" w:sz="0" w:space="0" w:color="auto"/>
        <w:right w:val="none" w:sz="0" w:space="0" w:color="auto"/>
      </w:divBdr>
    </w:div>
    <w:div w:id="1982924407">
      <w:bodyDiv w:val="1"/>
      <w:marLeft w:val="0"/>
      <w:marRight w:val="0"/>
      <w:marTop w:val="0"/>
      <w:marBottom w:val="0"/>
      <w:divBdr>
        <w:top w:val="none" w:sz="0" w:space="0" w:color="auto"/>
        <w:left w:val="none" w:sz="0" w:space="0" w:color="auto"/>
        <w:bottom w:val="none" w:sz="0" w:space="0" w:color="auto"/>
        <w:right w:val="none" w:sz="0" w:space="0" w:color="auto"/>
      </w:divBdr>
    </w:div>
    <w:div w:id="1982927698">
      <w:bodyDiv w:val="1"/>
      <w:marLeft w:val="0"/>
      <w:marRight w:val="0"/>
      <w:marTop w:val="0"/>
      <w:marBottom w:val="0"/>
      <w:divBdr>
        <w:top w:val="none" w:sz="0" w:space="0" w:color="auto"/>
        <w:left w:val="none" w:sz="0" w:space="0" w:color="auto"/>
        <w:bottom w:val="none" w:sz="0" w:space="0" w:color="auto"/>
        <w:right w:val="none" w:sz="0" w:space="0" w:color="auto"/>
      </w:divBdr>
    </w:div>
    <w:div w:id="1983190317">
      <w:bodyDiv w:val="1"/>
      <w:marLeft w:val="0"/>
      <w:marRight w:val="0"/>
      <w:marTop w:val="0"/>
      <w:marBottom w:val="0"/>
      <w:divBdr>
        <w:top w:val="none" w:sz="0" w:space="0" w:color="auto"/>
        <w:left w:val="none" w:sz="0" w:space="0" w:color="auto"/>
        <w:bottom w:val="none" w:sz="0" w:space="0" w:color="auto"/>
        <w:right w:val="none" w:sz="0" w:space="0" w:color="auto"/>
      </w:divBdr>
    </w:div>
    <w:div w:id="1983385372">
      <w:bodyDiv w:val="1"/>
      <w:marLeft w:val="0"/>
      <w:marRight w:val="0"/>
      <w:marTop w:val="0"/>
      <w:marBottom w:val="0"/>
      <w:divBdr>
        <w:top w:val="none" w:sz="0" w:space="0" w:color="auto"/>
        <w:left w:val="none" w:sz="0" w:space="0" w:color="auto"/>
        <w:bottom w:val="none" w:sz="0" w:space="0" w:color="auto"/>
        <w:right w:val="none" w:sz="0" w:space="0" w:color="auto"/>
      </w:divBdr>
    </w:div>
    <w:div w:id="1983849347">
      <w:bodyDiv w:val="1"/>
      <w:marLeft w:val="0"/>
      <w:marRight w:val="0"/>
      <w:marTop w:val="0"/>
      <w:marBottom w:val="0"/>
      <w:divBdr>
        <w:top w:val="none" w:sz="0" w:space="0" w:color="auto"/>
        <w:left w:val="none" w:sz="0" w:space="0" w:color="auto"/>
        <w:bottom w:val="none" w:sz="0" w:space="0" w:color="auto"/>
        <w:right w:val="none" w:sz="0" w:space="0" w:color="auto"/>
      </w:divBdr>
    </w:div>
    <w:div w:id="1984460962">
      <w:bodyDiv w:val="1"/>
      <w:marLeft w:val="0"/>
      <w:marRight w:val="0"/>
      <w:marTop w:val="0"/>
      <w:marBottom w:val="0"/>
      <w:divBdr>
        <w:top w:val="none" w:sz="0" w:space="0" w:color="auto"/>
        <w:left w:val="none" w:sz="0" w:space="0" w:color="auto"/>
        <w:bottom w:val="none" w:sz="0" w:space="0" w:color="auto"/>
        <w:right w:val="none" w:sz="0" w:space="0" w:color="auto"/>
      </w:divBdr>
    </w:div>
    <w:div w:id="1984652445">
      <w:bodyDiv w:val="1"/>
      <w:marLeft w:val="0"/>
      <w:marRight w:val="0"/>
      <w:marTop w:val="0"/>
      <w:marBottom w:val="0"/>
      <w:divBdr>
        <w:top w:val="none" w:sz="0" w:space="0" w:color="auto"/>
        <w:left w:val="none" w:sz="0" w:space="0" w:color="auto"/>
        <w:bottom w:val="none" w:sz="0" w:space="0" w:color="auto"/>
        <w:right w:val="none" w:sz="0" w:space="0" w:color="auto"/>
      </w:divBdr>
    </w:div>
    <w:div w:id="1984775346">
      <w:bodyDiv w:val="1"/>
      <w:marLeft w:val="0"/>
      <w:marRight w:val="0"/>
      <w:marTop w:val="0"/>
      <w:marBottom w:val="0"/>
      <w:divBdr>
        <w:top w:val="none" w:sz="0" w:space="0" w:color="auto"/>
        <w:left w:val="none" w:sz="0" w:space="0" w:color="auto"/>
        <w:bottom w:val="none" w:sz="0" w:space="0" w:color="auto"/>
        <w:right w:val="none" w:sz="0" w:space="0" w:color="auto"/>
      </w:divBdr>
    </w:div>
    <w:div w:id="1985037707">
      <w:bodyDiv w:val="1"/>
      <w:marLeft w:val="0"/>
      <w:marRight w:val="0"/>
      <w:marTop w:val="0"/>
      <w:marBottom w:val="0"/>
      <w:divBdr>
        <w:top w:val="none" w:sz="0" w:space="0" w:color="auto"/>
        <w:left w:val="none" w:sz="0" w:space="0" w:color="auto"/>
        <w:bottom w:val="none" w:sz="0" w:space="0" w:color="auto"/>
        <w:right w:val="none" w:sz="0" w:space="0" w:color="auto"/>
      </w:divBdr>
    </w:div>
    <w:div w:id="1985233794">
      <w:bodyDiv w:val="1"/>
      <w:marLeft w:val="0"/>
      <w:marRight w:val="0"/>
      <w:marTop w:val="0"/>
      <w:marBottom w:val="0"/>
      <w:divBdr>
        <w:top w:val="none" w:sz="0" w:space="0" w:color="auto"/>
        <w:left w:val="none" w:sz="0" w:space="0" w:color="auto"/>
        <w:bottom w:val="none" w:sz="0" w:space="0" w:color="auto"/>
        <w:right w:val="none" w:sz="0" w:space="0" w:color="auto"/>
      </w:divBdr>
    </w:div>
    <w:div w:id="1985234879">
      <w:bodyDiv w:val="1"/>
      <w:marLeft w:val="0"/>
      <w:marRight w:val="0"/>
      <w:marTop w:val="0"/>
      <w:marBottom w:val="0"/>
      <w:divBdr>
        <w:top w:val="none" w:sz="0" w:space="0" w:color="auto"/>
        <w:left w:val="none" w:sz="0" w:space="0" w:color="auto"/>
        <w:bottom w:val="none" w:sz="0" w:space="0" w:color="auto"/>
        <w:right w:val="none" w:sz="0" w:space="0" w:color="auto"/>
      </w:divBdr>
    </w:div>
    <w:div w:id="1985429446">
      <w:bodyDiv w:val="1"/>
      <w:marLeft w:val="0"/>
      <w:marRight w:val="0"/>
      <w:marTop w:val="0"/>
      <w:marBottom w:val="0"/>
      <w:divBdr>
        <w:top w:val="none" w:sz="0" w:space="0" w:color="auto"/>
        <w:left w:val="none" w:sz="0" w:space="0" w:color="auto"/>
        <w:bottom w:val="none" w:sz="0" w:space="0" w:color="auto"/>
        <w:right w:val="none" w:sz="0" w:space="0" w:color="auto"/>
      </w:divBdr>
    </w:div>
    <w:div w:id="1985576527">
      <w:bodyDiv w:val="1"/>
      <w:marLeft w:val="0"/>
      <w:marRight w:val="0"/>
      <w:marTop w:val="0"/>
      <w:marBottom w:val="0"/>
      <w:divBdr>
        <w:top w:val="none" w:sz="0" w:space="0" w:color="auto"/>
        <w:left w:val="none" w:sz="0" w:space="0" w:color="auto"/>
        <w:bottom w:val="none" w:sz="0" w:space="0" w:color="auto"/>
        <w:right w:val="none" w:sz="0" w:space="0" w:color="auto"/>
      </w:divBdr>
    </w:div>
    <w:div w:id="1985811728">
      <w:bodyDiv w:val="1"/>
      <w:marLeft w:val="0"/>
      <w:marRight w:val="0"/>
      <w:marTop w:val="0"/>
      <w:marBottom w:val="0"/>
      <w:divBdr>
        <w:top w:val="none" w:sz="0" w:space="0" w:color="auto"/>
        <w:left w:val="none" w:sz="0" w:space="0" w:color="auto"/>
        <w:bottom w:val="none" w:sz="0" w:space="0" w:color="auto"/>
        <w:right w:val="none" w:sz="0" w:space="0" w:color="auto"/>
      </w:divBdr>
    </w:div>
    <w:div w:id="1986082879">
      <w:bodyDiv w:val="1"/>
      <w:marLeft w:val="0"/>
      <w:marRight w:val="0"/>
      <w:marTop w:val="0"/>
      <w:marBottom w:val="0"/>
      <w:divBdr>
        <w:top w:val="none" w:sz="0" w:space="0" w:color="auto"/>
        <w:left w:val="none" w:sz="0" w:space="0" w:color="auto"/>
        <w:bottom w:val="none" w:sz="0" w:space="0" w:color="auto"/>
        <w:right w:val="none" w:sz="0" w:space="0" w:color="auto"/>
      </w:divBdr>
    </w:div>
    <w:div w:id="1986231133">
      <w:bodyDiv w:val="1"/>
      <w:marLeft w:val="0"/>
      <w:marRight w:val="0"/>
      <w:marTop w:val="0"/>
      <w:marBottom w:val="0"/>
      <w:divBdr>
        <w:top w:val="none" w:sz="0" w:space="0" w:color="auto"/>
        <w:left w:val="none" w:sz="0" w:space="0" w:color="auto"/>
        <w:bottom w:val="none" w:sz="0" w:space="0" w:color="auto"/>
        <w:right w:val="none" w:sz="0" w:space="0" w:color="auto"/>
      </w:divBdr>
    </w:div>
    <w:div w:id="1986274500">
      <w:bodyDiv w:val="1"/>
      <w:marLeft w:val="0"/>
      <w:marRight w:val="0"/>
      <w:marTop w:val="0"/>
      <w:marBottom w:val="0"/>
      <w:divBdr>
        <w:top w:val="none" w:sz="0" w:space="0" w:color="auto"/>
        <w:left w:val="none" w:sz="0" w:space="0" w:color="auto"/>
        <w:bottom w:val="none" w:sz="0" w:space="0" w:color="auto"/>
        <w:right w:val="none" w:sz="0" w:space="0" w:color="auto"/>
      </w:divBdr>
    </w:div>
    <w:div w:id="1986280690">
      <w:bodyDiv w:val="1"/>
      <w:marLeft w:val="0"/>
      <w:marRight w:val="0"/>
      <w:marTop w:val="0"/>
      <w:marBottom w:val="0"/>
      <w:divBdr>
        <w:top w:val="none" w:sz="0" w:space="0" w:color="auto"/>
        <w:left w:val="none" w:sz="0" w:space="0" w:color="auto"/>
        <w:bottom w:val="none" w:sz="0" w:space="0" w:color="auto"/>
        <w:right w:val="none" w:sz="0" w:space="0" w:color="auto"/>
      </w:divBdr>
    </w:div>
    <w:div w:id="1986423599">
      <w:bodyDiv w:val="1"/>
      <w:marLeft w:val="0"/>
      <w:marRight w:val="0"/>
      <w:marTop w:val="0"/>
      <w:marBottom w:val="0"/>
      <w:divBdr>
        <w:top w:val="none" w:sz="0" w:space="0" w:color="auto"/>
        <w:left w:val="none" w:sz="0" w:space="0" w:color="auto"/>
        <w:bottom w:val="none" w:sz="0" w:space="0" w:color="auto"/>
        <w:right w:val="none" w:sz="0" w:space="0" w:color="auto"/>
      </w:divBdr>
    </w:div>
    <w:div w:id="1986812631">
      <w:bodyDiv w:val="1"/>
      <w:marLeft w:val="0"/>
      <w:marRight w:val="0"/>
      <w:marTop w:val="0"/>
      <w:marBottom w:val="0"/>
      <w:divBdr>
        <w:top w:val="none" w:sz="0" w:space="0" w:color="auto"/>
        <w:left w:val="none" w:sz="0" w:space="0" w:color="auto"/>
        <w:bottom w:val="none" w:sz="0" w:space="0" w:color="auto"/>
        <w:right w:val="none" w:sz="0" w:space="0" w:color="auto"/>
      </w:divBdr>
    </w:div>
    <w:div w:id="1987010214">
      <w:bodyDiv w:val="1"/>
      <w:marLeft w:val="0"/>
      <w:marRight w:val="0"/>
      <w:marTop w:val="0"/>
      <w:marBottom w:val="0"/>
      <w:divBdr>
        <w:top w:val="none" w:sz="0" w:space="0" w:color="auto"/>
        <w:left w:val="none" w:sz="0" w:space="0" w:color="auto"/>
        <w:bottom w:val="none" w:sz="0" w:space="0" w:color="auto"/>
        <w:right w:val="none" w:sz="0" w:space="0" w:color="auto"/>
      </w:divBdr>
    </w:div>
    <w:div w:id="1987735682">
      <w:bodyDiv w:val="1"/>
      <w:marLeft w:val="0"/>
      <w:marRight w:val="0"/>
      <w:marTop w:val="0"/>
      <w:marBottom w:val="0"/>
      <w:divBdr>
        <w:top w:val="none" w:sz="0" w:space="0" w:color="auto"/>
        <w:left w:val="none" w:sz="0" w:space="0" w:color="auto"/>
        <w:bottom w:val="none" w:sz="0" w:space="0" w:color="auto"/>
        <w:right w:val="none" w:sz="0" w:space="0" w:color="auto"/>
      </w:divBdr>
      <w:divsChild>
        <w:div w:id="1030909873">
          <w:marLeft w:val="0"/>
          <w:marRight w:val="0"/>
          <w:marTop w:val="0"/>
          <w:marBottom w:val="0"/>
          <w:divBdr>
            <w:top w:val="none" w:sz="0" w:space="0" w:color="auto"/>
            <w:left w:val="none" w:sz="0" w:space="0" w:color="auto"/>
            <w:bottom w:val="none" w:sz="0" w:space="0" w:color="auto"/>
            <w:right w:val="none" w:sz="0" w:space="0" w:color="auto"/>
          </w:divBdr>
        </w:div>
        <w:div w:id="1554922158">
          <w:marLeft w:val="0"/>
          <w:marRight w:val="0"/>
          <w:marTop w:val="0"/>
          <w:marBottom w:val="0"/>
          <w:divBdr>
            <w:top w:val="none" w:sz="0" w:space="0" w:color="auto"/>
            <w:left w:val="none" w:sz="0" w:space="0" w:color="auto"/>
            <w:bottom w:val="none" w:sz="0" w:space="0" w:color="auto"/>
            <w:right w:val="none" w:sz="0" w:space="0" w:color="auto"/>
          </w:divBdr>
        </w:div>
      </w:divsChild>
    </w:div>
    <w:div w:id="1987735998">
      <w:bodyDiv w:val="1"/>
      <w:marLeft w:val="0"/>
      <w:marRight w:val="0"/>
      <w:marTop w:val="0"/>
      <w:marBottom w:val="0"/>
      <w:divBdr>
        <w:top w:val="none" w:sz="0" w:space="0" w:color="auto"/>
        <w:left w:val="none" w:sz="0" w:space="0" w:color="auto"/>
        <w:bottom w:val="none" w:sz="0" w:space="0" w:color="auto"/>
        <w:right w:val="none" w:sz="0" w:space="0" w:color="auto"/>
      </w:divBdr>
    </w:div>
    <w:div w:id="1987851403">
      <w:bodyDiv w:val="1"/>
      <w:marLeft w:val="0"/>
      <w:marRight w:val="0"/>
      <w:marTop w:val="0"/>
      <w:marBottom w:val="0"/>
      <w:divBdr>
        <w:top w:val="none" w:sz="0" w:space="0" w:color="auto"/>
        <w:left w:val="none" w:sz="0" w:space="0" w:color="auto"/>
        <w:bottom w:val="none" w:sz="0" w:space="0" w:color="auto"/>
        <w:right w:val="none" w:sz="0" w:space="0" w:color="auto"/>
      </w:divBdr>
    </w:div>
    <w:div w:id="1987851654">
      <w:bodyDiv w:val="1"/>
      <w:marLeft w:val="0"/>
      <w:marRight w:val="0"/>
      <w:marTop w:val="0"/>
      <w:marBottom w:val="0"/>
      <w:divBdr>
        <w:top w:val="none" w:sz="0" w:space="0" w:color="auto"/>
        <w:left w:val="none" w:sz="0" w:space="0" w:color="auto"/>
        <w:bottom w:val="none" w:sz="0" w:space="0" w:color="auto"/>
        <w:right w:val="none" w:sz="0" w:space="0" w:color="auto"/>
      </w:divBdr>
    </w:div>
    <w:div w:id="1987927443">
      <w:bodyDiv w:val="1"/>
      <w:marLeft w:val="0"/>
      <w:marRight w:val="0"/>
      <w:marTop w:val="0"/>
      <w:marBottom w:val="0"/>
      <w:divBdr>
        <w:top w:val="none" w:sz="0" w:space="0" w:color="auto"/>
        <w:left w:val="none" w:sz="0" w:space="0" w:color="auto"/>
        <w:bottom w:val="none" w:sz="0" w:space="0" w:color="auto"/>
        <w:right w:val="none" w:sz="0" w:space="0" w:color="auto"/>
      </w:divBdr>
    </w:div>
    <w:div w:id="1988510496">
      <w:bodyDiv w:val="1"/>
      <w:marLeft w:val="0"/>
      <w:marRight w:val="0"/>
      <w:marTop w:val="0"/>
      <w:marBottom w:val="0"/>
      <w:divBdr>
        <w:top w:val="none" w:sz="0" w:space="0" w:color="auto"/>
        <w:left w:val="none" w:sz="0" w:space="0" w:color="auto"/>
        <w:bottom w:val="none" w:sz="0" w:space="0" w:color="auto"/>
        <w:right w:val="none" w:sz="0" w:space="0" w:color="auto"/>
      </w:divBdr>
    </w:div>
    <w:div w:id="1989089278">
      <w:bodyDiv w:val="1"/>
      <w:marLeft w:val="0"/>
      <w:marRight w:val="0"/>
      <w:marTop w:val="0"/>
      <w:marBottom w:val="0"/>
      <w:divBdr>
        <w:top w:val="none" w:sz="0" w:space="0" w:color="auto"/>
        <w:left w:val="none" w:sz="0" w:space="0" w:color="auto"/>
        <w:bottom w:val="none" w:sz="0" w:space="0" w:color="auto"/>
        <w:right w:val="none" w:sz="0" w:space="0" w:color="auto"/>
      </w:divBdr>
    </w:div>
    <w:div w:id="1989161725">
      <w:bodyDiv w:val="1"/>
      <w:marLeft w:val="0"/>
      <w:marRight w:val="0"/>
      <w:marTop w:val="0"/>
      <w:marBottom w:val="0"/>
      <w:divBdr>
        <w:top w:val="none" w:sz="0" w:space="0" w:color="auto"/>
        <w:left w:val="none" w:sz="0" w:space="0" w:color="auto"/>
        <w:bottom w:val="none" w:sz="0" w:space="0" w:color="auto"/>
        <w:right w:val="none" w:sz="0" w:space="0" w:color="auto"/>
      </w:divBdr>
    </w:div>
    <w:div w:id="1989162425">
      <w:bodyDiv w:val="1"/>
      <w:marLeft w:val="0"/>
      <w:marRight w:val="0"/>
      <w:marTop w:val="0"/>
      <w:marBottom w:val="0"/>
      <w:divBdr>
        <w:top w:val="none" w:sz="0" w:space="0" w:color="auto"/>
        <w:left w:val="none" w:sz="0" w:space="0" w:color="auto"/>
        <w:bottom w:val="none" w:sz="0" w:space="0" w:color="auto"/>
        <w:right w:val="none" w:sz="0" w:space="0" w:color="auto"/>
      </w:divBdr>
    </w:div>
    <w:div w:id="1989170538">
      <w:bodyDiv w:val="1"/>
      <w:marLeft w:val="0"/>
      <w:marRight w:val="0"/>
      <w:marTop w:val="0"/>
      <w:marBottom w:val="0"/>
      <w:divBdr>
        <w:top w:val="none" w:sz="0" w:space="0" w:color="auto"/>
        <w:left w:val="none" w:sz="0" w:space="0" w:color="auto"/>
        <w:bottom w:val="none" w:sz="0" w:space="0" w:color="auto"/>
        <w:right w:val="none" w:sz="0" w:space="0" w:color="auto"/>
      </w:divBdr>
    </w:div>
    <w:div w:id="1989629012">
      <w:bodyDiv w:val="1"/>
      <w:marLeft w:val="0"/>
      <w:marRight w:val="0"/>
      <w:marTop w:val="0"/>
      <w:marBottom w:val="0"/>
      <w:divBdr>
        <w:top w:val="none" w:sz="0" w:space="0" w:color="auto"/>
        <w:left w:val="none" w:sz="0" w:space="0" w:color="auto"/>
        <w:bottom w:val="none" w:sz="0" w:space="0" w:color="auto"/>
        <w:right w:val="none" w:sz="0" w:space="0" w:color="auto"/>
      </w:divBdr>
    </w:div>
    <w:div w:id="1989674064">
      <w:bodyDiv w:val="1"/>
      <w:marLeft w:val="0"/>
      <w:marRight w:val="0"/>
      <w:marTop w:val="0"/>
      <w:marBottom w:val="0"/>
      <w:divBdr>
        <w:top w:val="none" w:sz="0" w:space="0" w:color="auto"/>
        <w:left w:val="none" w:sz="0" w:space="0" w:color="auto"/>
        <w:bottom w:val="none" w:sz="0" w:space="0" w:color="auto"/>
        <w:right w:val="none" w:sz="0" w:space="0" w:color="auto"/>
      </w:divBdr>
    </w:div>
    <w:div w:id="1989743346">
      <w:bodyDiv w:val="1"/>
      <w:marLeft w:val="0"/>
      <w:marRight w:val="0"/>
      <w:marTop w:val="0"/>
      <w:marBottom w:val="0"/>
      <w:divBdr>
        <w:top w:val="none" w:sz="0" w:space="0" w:color="auto"/>
        <w:left w:val="none" w:sz="0" w:space="0" w:color="auto"/>
        <w:bottom w:val="none" w:sz="0" w:space="0" w:color="auto"/>
        <w:right w:val="none" w:sz="0" w:space="0" w:color="auto"/>
      </w:divBdr>
    </w:div>
    <w:div w:id="1990673380">
      <w:bodyDiv w:val="1"/>
      <w:marLeft w:val="0"/>
      <w:marRight w:val="0"/>
      <w:marTop w:val="0"/>
      <w:marBottom w:val="0"/>
      <w:divBdr>
        <w:top w:val="none" w:sz="0" w:space="0" w:color="auto"/>
        <w:left w:val="none" w:sz="0" w:space="0" w:color="auto"/>
        <w:bottom w:val="none" w:sz="0" w:space="0" w:color="auto"/>
        <w:right w:val="none" w:sz="0" w:space="0" w:color="auto"/>
      </w:divBdr>
    </w:div>
    <w:div w:id="1990789971">
      <w:bodyDiv w:val="1"/>
      <w:marLeft w:val="0"/>
      <w:marRight w:val="0"/>
      <w:marTop w:val="0"/>
      <w:marBottom w:val="0"/>
      <w:divBdr>
        <w:top w:val="none" w:sz="0" w:space="0" w:color="auto"/>
        <w:left w:val="none" w:sz="0" w:space="0" w:color="auto"/>
        <w:bottom w:val="none" w:sz="0" w:space="0" w:color="auto"/>
        <w:right w:val="none" w:sz="0" w:space="0" w:color="auto"/>
      </w:divBdr>
    </w:div>
    <w:div w:id="1991402677">
      <w:bodyDiv w:val="1"/>
      <w:marLeft w:val="0"/>
      <w:marRight w:val="0"/>
      <w:marTop w:val="0"/>
      <w:marBottom w:val="0"/>
      <w:divBdr>
        <w:top w:val="none" w:sz="0" w:space="0" w:color="auto"/>
        <w:left w:val="none" w:sz="0" w:space="0" w:color="auto"/>
        <w:bottom w:val="none" w:sz="0" w:space="0" w:color="auto"/>
        <w:right w:val="none" w:sz="0" w:space="0" w:color="auto"/>
      </w:divBdr>
    </w:div>
    <w:div w:id="1991709416">
      <w:bodyDiv w:val="1"/>
      <w:marLeft w:val="0"/>
      <w:marRight w:val="0"/>
      <w:marTop w:val="0"/>
      <w:marBottom w:val="0"/>
      <w:divBdr>
        <w:top w:val="none" w:sz="0" w:space="0" w:color="auto"/>
        <w:left w:val="none" w:sz="0" w:space="0" w:color="auto"/>
        <w:bottom w:val="none" w:sz="0" w:space="0" w:color="auto"/>
        <w:right w:val="none" w:sz="0" w:space="0" w:color="auto"/>
      </w:divBdr>
    </w:div>
    <w:div w:id="1991858789">
      <w:bodyDiv w:val="1"/>
      <w:marLeft w:val="0"/>
      <w:marRight w:val="0"/>
      <w:marTop w:val="0"/>
      <w:marBottom w:val="0"/>
      <w:divBdr>
        <w:top w:val="none" w:sz="0" w:space="0" w:color="auto"/>
        <w:left w:val="none" w:sz="0" w:space="0" w:color="auto"/>
        <w:bottom w:val="none" w:sz="0" w:space="0" w:color="auto"/>
        <w:right w:val="none" w:sz="0" w:space="0" w:color="auto"/>
      </w:divBdr>
    </w:div>
    <w:div w:id="1991863093">
      <w:bodyDiv w:val="1"/>
      <w:marLeft w:val="0"/>
      <w:marRight w:val="0"/>
      <w:marTop w:val="0"/>
      <w:marBottom w:val="0"/>
      <w:divBdr>
        <w:top w:val="none" w:sz="0" w:space="0" w:color="auto"/>
        <w:left w:val="none" w:sz="0" w:space="0" w:color="auto"/>
        <w:bottom w:val="none" w:sz="0" w:space="0" w:color="auto"/>
        <w:right w:val="none" w:sz="0" w:space="0" w:color="auto"/>
      </w:divBdr>
    </w:div>
    <w:div w:id="1991981866">
      <w:bodyDiv w:val="1"/>
      <w:marLeft w:val="0"/>
      <w:marRight w:val="0"/>
      <w:marTop w:val="0"/>
      <w:marBottom w:val="0"/>
      <w:divBdr>
        <w:top w:val="none" w:sz="0" w:space="0" w:color="auto"/>
        <w:left w:val="none" w:sz="0" w:space="0" w:color="auto"/>
        <w:bottom w:val="none" w:sz="0" w:space="0" w:color="auto"/>
        <w:right w:val="none" w:sz="0" w:space="0" w:color="auto"/>
      </w:divBdr>
    </w:div>
    <w:div w:id="1991982210">
      <w:bodyDiv w:val="1"/>
      <w:marLeft w:val="0"/>
      <w:marRight w:val="0"/>
      <w:marTop w:val="0"/>
      <w:marBottom w:val="0"/>
      <w:divBdr>
        <w:top w:val="none" w:sz="0" w:space="0" w:color="auto"/>
        <w:left w:val="none" w:sz="0" w:space="0" w:color="auto"/>
        <w:bottom w:val="none" w:sz="0" w:space="0" w:color="auto"/>
        <w:right w:val="none" w:sz="0" w:space="0" w:color="auto"/>
      </w:divBdr>
    </w:div>
    <w:div w:id="1992176770">
      <w:bodyDiv w:val="1"/>
      <w:marLeft w:val="0"/>
      <w:marRight w:val="0"/>
      <w:marTop w:val="0"/>
      <w:marBottom w:val="0"/>
      <w:divBdr>
        <w:top w:val="none" w:sz="0" w:space="0" w:color="auto"/>
        <w:left w:val="none" w:sz="0" w:space="0" w:color="auto"/>
        <w:bottom w:val="none" w:sz="0" w:space="0" w:color="auto"/>
        <w:right w:val="none" w:sz="0" w:space="0" w:color="auto"/>
      </w:divBdr>
    </w:div>
    <w:div w:id="1992362905">
      <w:bodyDiv w:val="1"/>
      <w:marLeft w:val="0"/>
      <w:marRight w:val="0"/>
      <w:marTop w:val="0"/>
      <w:marBottom w:val="0"/>
      <w:divBdr>
        <w:top w:val="none" w:sz="0" w:space="0" w:color="auto"/>
        <w:left w:val="none" w:sz="0" w:space="0" w:color="auto"/>
        <w:bottom w:val="none" w:sz="0" w:space="0" w:color="auto"/>
        <w:right w:val="none" w:sz="0" w:space="0" w:color="auto"/>
      </w:divBdr>
    </w:div>
    <w:div w:id="1992980271">
      <w:bodyDiv w:val="1"/>
      <w:marLeft w:val="0"/>
      <w:marRight w:val="0"/>
      <w:marTop w:val="0"/>
      <w:marBottom w:val="0"/>
      <w:divBdr>
        <w:top w:val="none" w:sz="0" w:space="0" w:color="auto"/>
        <w:left w:val="none" w:sz="0" w:space="0" w:color="auto"/>
        <w:bottom w:val="none" w:sz="0" w:space="0" w:color="auto"/>
        <w:right w:val="none" w:sz="0" w:space="0" w:color="auto"/>
      </w:divBdr>
    </w:div>
    <w:div w:id="1993212620">
      <w:bodyDiv w:val="1"/>
      <w:marLeft w:val="0"/>
      <w:marRight w:val="0"/>
      <w:marTop w:val="0"/>
      <w:marBottom w:val="0"/>
      <w:divBdr>
        <w:top w:val="none" w:sz="0" w:space="0" w:color="auto"/>
        <w:left w:val="none" w:sz="0" w:space="0" w:color="auto"/>
        <w:bottom w:val="none" w:sz="0" w:space="0" w:color="auto"/>
        <w:right w:val="none" w:sz="0" w:space="0" w:color="auto"/>
      </w:divBdr>
    </w:div>
    <w:div w:id="1993363961">
      <w:bodyDiv w:val="1"/>
      <w:marLeft w:val="0"/>
      <w:marRight w:val="0"/>
      <w:marTop w:val="0"/>
      <w:marBottom w:val="0"/>
      <w:divBdr>
        <w:top w:val="none" w:sz="0" w:space="0" w:color="auto"/>
        <w:left w:val="none" w:sz="0" w:space="0" w:color="auto"/>
        <w:bottom w:val="none" w:sz="0" w:space="0" w:color="auto"/>
        <w:right w:val="none" w:sz="0" w:space="0" w:color="auto"/>
      </w:divBdr>
    </w:div>
    <w:div w:id="1993480884">
      <w:bodyDiv w:val="1"/>
      <w:marLeft w:val="0"/>
      <w:marRight w:val="0"/>
      <w:marTop w:val="0"/>
      <w:marBottom w:val="0"/>
      <w:divBdr>
        <w:top w:val="none" w:sz="0" w:space="0" w:color="auto"/>
        <w:left w:val="none" w:sz="0" w:space="0" w:color="auto"/>
        <w:bottom w:val="none" w:sz="0" w:space="0" w:color="auto"/>
        <w:right w:val="none" w:sz="0" w:space="0" w:color="auto"/>
      </w:divBdr>
    </w:div>
    <w:div w:id="1993827632">
      <w:bodyDiv w:val="1"/>
      <w:marLeft w:val="0"/>
      <w:marRight w:val="0"/>
      <w:marTop w:val="0"/>
      <w:marBottom w:val="0"/>
      <w:divBdr>
        <w:top w:val="none" w:sz="0" w:space="0" w:color="auto"/>
        <w:left w:val="none" w:sz="0" w:space="0" w:color="auto"/>
        <w:bottom w:val="none" w:sz="0" w:space="0" w:color="auto"/>
        <w:right w:val="none" w:sz="0" w:space="0" w:color="auto"/>
      </w:divBdr>
    </w:div>
    <w:div w:id="1994093537">
      <w:bodyDiv w:val="1"/>
      <w:marLeft w:val="0"/>
      <w:marRight w:val="0"/>
      <w:marTop w:val="0"/>
      <w:marBottom w:val="0"/>
      <w:divBdr>
        <w:top w:val="none" w:sz="0" w:space="0" w:color="auto"/>
        <w:left w:val="none" w:sz="0" w:space="0" w:color="auto"/>
        <w:bottom w:val="none" w:sz="0" w:space="0" w:color="auto"/>
        <w:right w:val="none" w:sz="0" w:space="0" w:color="auto"/>
      </w:divBdr>
    </w:div>
    <w:div w:id="1994134744">
      <w:bodyDiv w:val="1"/>
      <w:marLeft w:val="0"/>
      <w:marRight w:val="0"/>
      <w:marTop w:val="0"/>
      <w:marBottom w:val="0"/>
      <w:divBdr>
        <w:top w:val="none" w:sz="0" w:space="0" w:color="auto"/>
        <w:left w:val="none" w:sz="0" w:space="0" w:color="auto"/>
        <w:bottom w:val="none" w:sz="0" w:space="0" w:color="auto"/>
        <w:right w:val="none" w:sz="0" w:space="0" w:color="auto"/>
      </w:divBdr>
    </w:div>
    <w:div w:id="1994140213">
      <w:bodyDiv w:val="1"/>
      <w:marLeft w:val="0"/>
      <w:marRight w:val="0"/>
      <w:marTop w:val="0"/>
      <w:marBottom w:val="0"/>
      <w:divBdr>
        <w:top w:val="none" w:sz="0" w:space="0" w:color="auto"/>
        <w:left w:val="none" w:sz="0" w:space="0" w:color="auto"/>
        <w:bottom w:val="none" w:sz="0" w:space="0" w:color="auto"/>
        <w:right w:val="none" w:sz="0" w:space="0" w:color="auto"/>
      </w:divBdr>
    </w:div>
    <w:div w:id="1994678916">
      <w:bodyDiv w:val="1"/>
      <w:marLeft w:val="0"/>
      <w:marRight w:val="0"/>
      <w:marTop w:val="0"/>
      <w:marBottom w:val="0"/>
      <w:divBdr>
        <w:top w:val="none" w:sz="0" w:space="0" w:color="auto"/>
        <w:left w:val="none" w:sz="0" w:space="0" w:color="auto"/>
        <w:bottom w:val="none" w:sz="0" w:space="0" w:color="auto"/>
        <w:right w:val="none" w:sz="0" w:space="0" w:color="auto"/>
      </w:divBdr>
    </w:div>
    <w:div w:id="1994798585">
      <w:bodyDiv w:val="1"/>
      <w:marLeft w:val="0"/>
      <w:marRight w:val="0"/>
      <w:marTop w:val="0"/>
      <w:marBottom w:val="0"/>
      <w:divBdr>
        <w:top w:val="none" w:sz="0" w:space="0" w:color="auto"/>
        <w:left w:val="none" w:sz="0" w:space="0" w:color="auto"/>
        <w:bottom w:val="none" w:sz="0" w:space="0" w:color="auto"/>
        <w:right w:val="none" w:sz="0" w:space="0" w:color="auto"/>
      </w:divBdr>
    </w:div>
    <w:div w:id="1994867253">
      <w:bodyDiv w:val="1"/>
      <w:marLeft w:val="0"/>
      <w:marRight w:val="0"/>
      <w:marTop w:val="0"/>
      <w:marBottom w:val="0"/>
      <w:divBdr>
        <w:top w:val="none" w:sz="0" w:space="0" w:color="auto"/>
        <w:left w:val="none" w:sz="0" w:space="0" w:color="auto"/>
        <w:bottom w:val="none" w:sz="0" w:space="0" w:color="auto"/>
        <w:right w:val="none" w:sz="0" w:space="0" w:color="auto"/>
      </w:divBdr>
    </w:div>
    <w:div w:id="1994917017">
      <w:bodyDiv w:val="1"/>
      <w:marLeft w:val="0"/>
      <w:marRight w:val="0"/>
      <w:marTop w:val="0"/>
      <w:marBottom w:val="0"/>
      <w:divBdr>
        <w:top w:val="none" w:sz="0" w:space="0" w:color="auto"/>
        <w:left w:val="none" w:sz="0" w:space="0" w:color="auto"/>
        <w:bottom w:val="none" w:sz="0" w:space="0" w:color="auto"/>
        <w:right w:val="none" w:sz="0" w:space="0" w:color="auto"/>
      </w:divBdr>
    </w:div>
    <w:div w:id="1995336723">
      <w:bodyDiv w:val="1"/>
      <w:marLeft w:val="0"/>
      <w:marRight w:val="0"/>
      <w:marTop w:val="0"/>
      <w:marBottom w:val="0"/>
      <w:divBdr>
        <w:top w:val="none" w:sz="0" w:space="0" w:color="auto"/>
        <w:left w:val="none" w:sz="0" w:space="0" w:color="auto"/>
        <w:bottom w:val="none" w:sz="0" w:space="0" w:color="auto"/>
        <w:right w:val="none" w:sz="0" w:space="0" w:color="auto"/>
      </w:divBdr>
    </w:div>
    <w:div w:id="1995377532">
      <w:bodyDiv w:val="1"/>
      <w:marLeft w:val="0"/>
      <w:marRight w:val="0"/>
      <w:marTop w:val="0"/>
      <w:marBottom w:val="0"/>
      <w:divBdr>
        <w:top w:val="none" w:sz="0" w:space="0" w:color="auto"/>
        <w:left w:val="none" w:sz="0" w:space="0" w:color="auto"/>
        <w:bottom w:val="none" w:sz="0" w:space="0" w:color="auto"/>
        <w:right w:val="none" w:sz="0" w:space="0" w:color="auto"/>
      </w:divBdr>
    </w:div>
    <w:div w:id="1995379566">
      <w:bodyDiv w:val="1"/>
      <w:marLeft w:val="0"/>
      <w:marRight w:val="0"/>
      <w:marTop w:val="0"/>
      <w:marBottom w:val="0"/>
      <w:divBdr>
        <w:top w:val="none" w:sz="0" w:space="0" w:color="auto"/>
        <w:left w:val="none" w:sz="0" w:space="0" w:color="auto"/>
        <w:bottom w:val="none" w:sz="0" w:space="0" w:color="auto"/>
        <w:right w:val="none" w:sz="0" w:space="0" w:color="auto"/>
      </w:divBdr>
    </w:div>
    <w:div w:id="1995572271">
      <w:bodyDiv w:val="1"/>
      <w:marLeft w:val="0"/>
      <w:marRight w:val="0"/>
      <w:marTop w:val="0"/>
      <w:marBottom w:val="0"/>
      <w:divBdr>
        <w:top w:val="none" w:sz="0" w:space="0" w:color="auto"/>
        <w:left w:val="none" w:sz="0" w:space="0" w:color="auto"/>
        <w:bottom w:val="none" w:sz="0" w:space="0" w:color="auto"/>
        <w:right w:val="none" w:sz="0" w:space="0" w:color="auto"/>
      </w:divBdr>
    </w:div>
    <w:div w:id="1996030165">
      <w:bodyDiv w:val="1"/>
      <w:marLeft w:val="0"/>
      <w:marRight w:val="0"/>
      <w:marTop w:val="0"/>
      <w:marBottom w:val="0"/>
      <w:divBdr>
        <w:top w:val="none" w:sz="0" w:space="0" w:color="auto"/>
        <w:left w:val="none" w:sz="0" w:space="0" w:color="auto"/>
        <w:bottom w:val="none" w:sz="0" w:space="0" w:color="auto"/>
        <w:right w:val="none" w:sz="0" w:space="0" w:color="auto"/>
      </w:divBdr>
    </w:div>
    <w:div w:id="1996104492">
      <w:bodyDiv w:val="1"/>
      <w:marLeft w:val="0"/>
      <w:marRight w:val="0"/>
      <w:marTop w:val="0"/>
      <w:marBottom w:val="0"/>
      <w:divBdr>
        <w:top w:val="none" w:sz="0" w:space="0" w:color="auto"/>
        <w:left w:val="none" w:sz="0" w:space="0" w:color="auto"/>
        <w:bottom w:val="none" w:sz="0" w:space="0" w:color="auto"/>
        <w:right w:val="none" w:sz="0" w:space="0" w:color="auto"/>
      </w:divBdr>
    </w:div>
    <w:div w:id="1996105273">
      <w:bodyDiv w:val="1"/>
      <w:marLeft w:val="0"/>
      <w:marRight w:val="0"/>
      <w:marTop w:val="0"/>
      <w:marBottom w:val="0"/>
      <w:divBdr>
        <w:top w:val="none" w:sz="0" w:space="0" w:color="auto"/>
        <w:left w:val="none" w:sz="0" w:space="0" w:color="auto"/>
        <w:bottom w:val="none" w:sz="0" w:space="0" w:color="auto"/>
        <w:right w:val="none" w:sz="0" w:space="0" w:color="auto"/>
      </w:divBdr>
    </w:div>
    <w:div w:id="1996251916">
      <w:bodyDiv w:val="1"/>
      <w:marLeft w:val="0"/>
      <w:marRight w:val="0"/>
      <w:marTop w:val="0"/>
      <w:marBottom w:val="0"/>
      <w:divBdr>
        <w:top w:val="none" w:sz="0" w:space="0" w:color="auto"/>
        <w:left w:val="none" w:sz="0" w:space="0" w:color="auto"/>
        <w:bottom w:val="none" w:sz="0" w:space="0" w:color="auto"/>
        <w:right w:val="none" w:sz="0" w:space="0" w:color="auto"/>
      </w:divBdr>
    </w:div>
    <w:div w:id="1996298178">
      <w:bodyDiv w:val="1"/>
      <w:marLeft w:val="0"/>
      <w:marRight w:val="0"/>
      <w:marTop w:val="0"/>
      <w:marBottom w:val="0"/>
      <w:divBdr>
        <w:top w:val="none" w:sz="0" w:space="0" w:color="auto"/>
        <w:left w:val="none" w:sz="0" w:space="0" w:color="auto"/>
        <w:bottom w:val="none" w:sz="0" w:space="0" w:color="auto"/>
        <w:right w:val="none" w:sz="0" w:space="0" w:color="auto"/>
      </w:divBdr>
    </w:div>
    <w:div w:id="1996491831">
      <w:bodyDiv w:val="1"/>
      <w:marLeft w:val="0"/>
      <w:marRight w:val="0"/>
      <w:marTop w:val="0"/>
      <w:marBottom w:val="0"/>
      <w:divBdr>
        <w:top w:val="none" w:sz="0" w:space="0" w:color="auto"/>
        <w:left w:val="none" w:sz="0" w:space="0" w:color="auto"/>
        <w:bottom w:val="none" w:sz="0" w:space="0" w:color="auto"/>
        <w:right w:val="none" w:sz="0" w:space="0" w:color="auto"/>
      </w:divBdr>
    </w:div>
    <w:div w:id="1996493514">
      <w:bodyDiv w:val="1"/>
      <w:marLeft w:val="0"/>
      <w:marRight w:val="0"/>
      <w:marTop w:val="0"/>
      <w:marBottom w:val="0"/>
      <w:divBdr>
        <w:top w:val="none" w:sz="0" w:space="0" w:color="auto"/>
        <w:left w:val="none" w:sz="0" w:space="0" w:color="auto"/>
        <w:bottom w:val="none" w:sz="0" w:space="0" w:color="auto"/>
        <w:right w:val="none" w:sz="0" w:space="0" w:color="auto"/>
      </w:divBdr>
    </w:div>
    <w:div w:id="1996759065">
      <w:bodyDiv w:val="1"/>
      <w:marLeft w:val="0"/>
      <w:marRight w:val="0"/>
      <w:marTop w:val="0"/>
      <w:marBottom w:val="0"/>
      <w:divBdr>
        <w:top w:val="none" w:sz="0" w:space="0" w:color="auto"/>
        <w:left w:val="none" w:sz="0" w:space="0" w:color="auto"/>
        <w:bottom w:val="none" w:sz="0" w:space="0" w:color="auto"/>
        <w:right w:val="none" w:sz="0" w:space="0" w:color="auto"/>
      </w:divBdr>
    </w:div>
    <w:div w:id="1996950281">
      <w:bodyDiv w:val="1"/>
      <w:marLeft w:val="0"/>
      <w:marRight w:val="0"/>
      <w:marTop w:val="0"/>
      <w:marBottom w:val="0"/>
      <w:divBdr>
        <w:top w:val="none" w:sz="0" w:space="0" w:color="auto"/>
        <w:left w:val="none" w:sz="0" w:space="0" w:color="auto"/>
        <w:bottom w:val="none" w:sz="0" w:space="0" w:color="auto"/>
        <w:right w:val="none" w:sz="0" w:space="0" w:color="auto"/>
      </w:divBdr>
    </w:div>
    <w:div w:id="1996954305">
      <w:bodyDiv w:val="1"/>
      <w:marLeft w:val="0"/>
      <w:marRight w:val="0"/>
      <w:marTop w:val="0"/>
      <w:marBottom w:val="0"/>
      <w:divBdr>
        <w:top w:val="none" w:sz="0" w:space="0" w:color="auto"/>
        <w:left w:val="none" w:sz="0" w:space="0" w:color="auto"/>
        <w:bottom w:val="none" w:sz="0" w:space="0" w:color="auto"/>
        <w:right w:val="none" w:sz="0" w:space="0" w:color="auto"/>
      </w:divBdr>
    </w:div>
    <w:div w:id="1996954546">
      <w:bodyDiv w:val="1"/>
      <w:marLeft w:val="0"/>
      <w:marRight w:val="0"/>
      <w:marTop w:val="0"/>
      <w:marBottom w:val="0"/>
      <w:divBdr>
        <w:top w:val="none" w:sz="0" w:space="0" w:color="auto"/>
        <w:left w:val="none" w:sz="0" w:space="0" w:color="auto"/>
        <w:bottom w:val="none" w:sz="0" w:space="0" w:color="auto"/>
        <w:right w:val="none" w:sz="0" w:space="0" w:color="auto"/>
      </w:divBdr>
    </w:div>
    <w:div w:id="1997099863">
      <w:bodyDiv w:val="1"/>
      <w:marLeft w:val="0"/>
      <w:marRight w:val="0"/>
      <w:marTop w:val="0"/>
      <w:marBottom w:val="0"/>
      <w:divBdr>
        <w:top w:val="none" w:sz="0" w:space="0" w:color="auto"/>
        <w:left w:val="none" w:sz="0" w:space="0" w:color="auto"/>
        <w:bottom w:val="none" w:sz="0" w:space="0" w:color="auto"/>
        <w:right w:val="none" w:sz="0" w:space="0" w:color="auto"/>
      </w:divBdr>
    </w:div>
    <w:div w:id="1997221050">
      <w:bodyDiv w:val="1"/>
      <w:marLeft w:val="0"/>
      <w:marRight w:val="0"/>
      <w:marTop w:val="0"/>
      <w:marBottom w:val="0"/>
      <w:divBdr>
        <w:top w:val="none" w:sz="0" w:space="0" w:color="auto"/>
        <w:left w:val="none" w:sz="0" w:space="0" w:color="auto"/>
        <w:bottom w:val="none" w:sz="0" w:space="0" w:color="auto"/>
        <w:right w:val="none" w:sz="0" w:space="0" w:color="auto"/>
      </w:divBdr>
    </w:div>
    <w:div w:id="1997372770">
      <w:bodyDiv w:val="1"/>
      <w:marLeft w:val="0"/>
      <w:marRight w:val="0"/>
      <w:marTop w:val="0"/>
      <w:marBottom w:val="0"/>
      <w:divBdr>
        <w:top w:val="none" w:sz="0" w:space="0" w:color="auto"/>
        <w:left w:val="none" w:sz="0" w:space="0" w:color="auto"/>
        <w:bottom w:val="none" w:sz="0" w:space="0" w:color="auto"/>
        <w:right w:val="none" w:sz="0" w:space="0" w:color="auto"/>
      </w:divBdr>
    </w:div>
    <w:div w:id="1997686844">
      <w:bodyDiv w:val="1"/>
      <w:marLeft w:val="0"/>
      <w:marRight w:val="0"/>
      <w:marTop w:val="0"/>
      <w:marBottom w:val="0"/>
      <w:divBdr>
        <w:top w:val="none" w:sz="0" w:space="0" w:color="auto"/>
        <w:left w:val="none" w:sz="0" w:space="0" w:color="auto"/>
        <w:bottom w:val="none" w:sz="0" w:space="0" w:color="auto"/>
        <w:right w:val="none" w:sz="0" w:space="0" w:color="auto"/>
      </w:divBdr>
    </w:div>
    <w:div w:id="1997764019">
      <w:bodyDiv w:val="1"/>
      <w:marLeft w:val="0"/>
      <w:marRight w:val="0"/>
      <w:marTop w:val="0"/>
      <w:marBottom w:val="0"/>
      <w:divBdr>
        <w:top w:val="none" w:sz="0" w:space="0" w:color="auto"/>
        <w:left w:val="none" w:sz="0" w:space="0" w:color="auto"/>
        <w:bottom w:val="none" w:sz="0" w:space="0" w:color="auto"/>
        <w:right w:val="none" w:sz="0" w:space="0" w:color="auto"/>
      </w:divBdr>
    </w:div>
    <w:div w:id="1997876341">
      <w:bodyDiv w:val="1"/>
      <w:marLeft w:val="0"/>
      <w:marRight w:val="0"/>
      <w:marTop w:val="0"/>
      <w:marBottom w:val="0"/>
      <w:divBdr>
        <w:top w:val="none" w:sz="0" w:space="0" w:color="auto"/>
        <w:left w:val="none" w:sz="0" w:space="0" w:color="auto"/>
        <w:bottom w:val="none" w:sz="0" w:space="0" w:color="auto"/>
        <w:right w:val="none" w:sz="0" w:space="0" w:color="auto"/>
      </w:divBdr>
    </w:div>
    <w:div w:id="1997950194">
      <w:bodyDiv w:val="1"/>
      <w:marLeft w:val="0"/>
      <w:marRight w:val="0"/>
      <w:marTop w:val="0"/>
      <w:marBottom w:val="0"/>
      <w:divBdr>
        <w:top w:val="none" w:sz="0" w:space="0" w:color="auto"/>
        <w:left w:val="none" w:sz="0" w:space="0" w:color="auto"/>
        <w:bottom w:val="none" w:sz="0" w:space="0" w:color="auto"/>
        <w:right w:val="none" w:sz="0" w:space="0" w:color="auto"/>
      </w:divBdr>
    </w:div>
    <w:div w:id="1997958040">
      <w:bodyDiv w:val="1"/>
      <w:marLeft w:val="0"/>
      <w:marRight w:val="0"/>
      <w:marTop w:val="0"/>
      <w:marBottom w:val="0"/>
      <w:divBdr>
        <w:top w:val="none" w:sz="0" w:space="0" w:color="auto"/>
        <w:left w:val="none" w:sz="0" w:space="0" w:color="auto"/>
        <w:bottom w:val="none" w:sz="0" w:space="0" w:color="auto"/>
        <w:right w:val="none" w:sz="0" w:space="0" w:color="auto"/>
      </w:divBdr>
    </w:div>
    <w:div w:id="1997997472">
      <w:bodyDiv w:val="1"/>
      <w:marLeft w:val="0"/>
      <w:marRight w:val="0"/>
      <w:marTop w:val="0"/>
      <w:marBottom w:val="0"/>
      <w:divBdr>
        <w:top w:val="none" w:sz="0" w:space="0" w:color="auto"/>
        <w:left w:val="none" w:sz="0" w:space="0" w:color="auto"/>
        <w:bottom w:val="none" w:sz="0" w:space="0" w:color="auto"/>
        <w:right w:val="none" w:sz="0" w:space="0" w:color="auto"/>
      </w:divBdr>
    </w:div>
    <w:div w:id="1998027673">
      <w:bodyDiv w:val="1"/>
      <w:marLeft w:val="0"/>
      <w:marRight w:val="0"/>
      <w:marTop w:val="0"/>
      <w:marBottom w:val="0"/>
      <w:divBdr>
        <w:top w:val="none" w:sz="0" w:space="0" w:color="auto"/>
        <w:left w:val="none" w:sz="0" w:space="0" w:color="auto"/>
        <w:bottom w:val="none" w:sz="0" w:space="0" w:color="auto"/>
        <w:right w:val="none" w:sz="0" w:space="0" w:color="auto"/>
      </w:divBdr>
    </w:div>
    <w:div w:id="1998193767">
      <w:bodyDiv w:val="1"/>
      <w:marLeft w:val="0"/>
      <w:marRight w:val="0"/>
      <w:marTop w:val="0"/>
      <w:marBottom w:val="0"/>
      <w:divBdr>
        <w:top w:val="none" w:sz="0" w:space="0" w:color="auto"/>
        <w:left w:val="none" w:sz="0" w:space="0" w:color="auto"/>
        <w:bottom w:val="none" w:sz="0" w:space="0" w:color="auto"/>
        <w:right w:val="none" w:sz="0" w:space="0" w:color="auto"/>
      </w:divBdr>
    </w:div>
    <w:div w:id="1998729553">
      <w:bodyDiv w:val="1"/>
      <w:marLeft w:val="0"/>
      <w:marRight w:val="0"/>
      <w:marTop w:val="0"/>
      <w:marBottom w:val="0"/>
      <w:divBdr>
        <w:top w:val="none" w:sz="0" w:space="0" w:color="auto"/>
        <w:left w:val="none" w:sz="0" w:space="0" w:color="auto"/>
        <w:bottom w:val="none" w:sz="0" w:space="0" w:color="auto"/>
        <w:right w:val="none" w:sz="0" w:space="0" w:color="auto"/>
      </w:divBdr>
    </w:div>
    <w:div w:id="1998798343">
      <w:bodyDiv w:val="1"/>
      <w:marLeft w:val="0"/>
      <w:marRight w:val="0"/>
      <w:marTop w:val="0"/>
      <w:marBottom w:val="0"/>
      <w:divBdr>
        <w:top w:val="none" w:sz="0" w:space="0" w:color="auto"/>
        <w:left w:val="none" w:sz="0" w:space="0" w:color="auto"/>
        <w:bottom w:val="none" w:sz="0" w:space="0" w:color="auto"/>
        <w:right w:val="none" w:sz="0" w:space="0" w:color="auto"/>
      </w:divBdr>
    </w:div>
    <w:div w:id="1998915015">
      <w:bodyDiv w:val="1"/>
      <w:marLeft w:val="0"/>
      <w:marRight w:val="0"/>
      <w:marTop w:val="0"/>
      <w:marBottom w:val="0"/>
      <w:divBdr>
        <w:top w:val="none" w:sz="0" w:space="0" w:color="auto"/>
        <w:left w:val="none" w:sz="0" w:space="0" w:color="auto"/>
        <w:bottom w:val="none" w:sz="0" w:space="0" w:color="auto"/>
        <w:right w:val="none" w:sz="0" w:space="0" w:color="auto"/>
      </w:divBdr>
    </w:div>
    <w:div w:id="1999072710">
      <w:bodyDiv w:val="1"/>
      <w:marLeft w:val="0"/>
      <w:marRight w:val="0"/>
      <w:marTop w:val="0"/>
      <w:marBottom w:val="0"/>
      <w:divBdr>
        <w:top w:val="none" w:sz="0" w:space="0" w:color="auto"/>
        <w:left w:val="none" w:sz="0" w:space="0" w:color="auto"/>
        <w:bottom w:val="none" w:sz="0" w:space="0" w:color="auto"/>
        <w:right w:val="none" w:sz="0" w:space="0" w:color="auto"/>
      </w:divBdr>
    </w:div>
    <w:div w:id="1999114061">
      <w:bodyDiv w:val="1"/>
      <w:marLeft w:val="0"/>
      <w:marRight w:val="0"/>
      <w:marTop w:val="0"/>
      <w:marBottom w:val="0"/>
      <w:divBdr>
        <w:top w:val="none" w:sz="0" w:space="0" w:color="auto"/>
        <w:left w:val="none" w:sz="0" w:space="0" w:color="auto"/>
        <w:bottom w:val="none" w:sz="0" w:space="0" w:color="auto"/>
        <w:right w:val="none" w:sz="0" w:space="0" w:color="auto"/>
      </w:divBdr>
    </w:div>
    <w:div w:id="1999184310">
      <w:bodyDiv w:val="1"/>
      <w:marLeft w:val="0"/>
      <w:marRight w:val="0"/>
      <w:marTop w:val="0"/>
      <w:marBottom w:val="0"/>
      <w:divBdr>
        <w:top w:val="none" w:sz="0" w:space="0" w:color="auto"/>
        <w:left w:val="none" w:sz="0" w:space="0" w:color="auto"/>
        <w:bottom w:val="none" w:sz="0" w:space="0" w:color="auto"/>
        <w:right w:val="none" w:sz="0" w:space="0" w:color="auto"/>
      </w:divBdr>
    </w:div>
    <w:div w:id="1999383888">
      <w:bodyDiv w:val="1"/>
      <w:marLeft w:val="0"/>
      <w:marRight w:val="0"/>
      <w:marTop w:val="0"/>
      <w:marBottom w:val="0"/>
      <w:divBdr>
        <w:top w:val="none" w:sz="0" w:space="0" w:color="auto"/>
        <w:left w:val="none" w:sz="0" w:space="0" w:color="auto"/>
        <w:bottom w:val="none" w:sz="0" w:space="0" w:color="auto"/>
        <w:right w:val="none" w:sz="0" w:space="0" w:color="auto"/>
      </w:divBdr>
    </w:div>
    <w:div w:id="1999459669">
      <w:bodyDiv w:val="1"/>
      <w:marLeft w:val="0"/>
      <w:marRight w:val="0"/>
      <w:marTop w:val="0"/>
      <w:marBottom w:val="0"/>
      <w:divBdr>
        <w:top w:val="none" w:sz="0" w:space="0" w:color="auto"/>
        <w:left w:val="none" w:sz="0" w:space="0" w:color="auto"/>
        <w:bottom w:val="none" w:sz="0" w:space="0" w:color="auto"/>
        <w:right w:val="none" w:sz="0" w:space="0" w:color="auto"/>
      </w:divBdr>
    </w:div>
    <w:div w:id="1999765587">
      <w:bodyDiv w:val="1"/>
      <w:marLeft w:val="0"/>
      <w:marRight w:val="0"/>
      <w:marTop w:val="0"/>
      <w:marBottom w:val="0"/>
      <w:divBdr>
        <w:top w:val="none" w:sz="0" w:space="0" w:color="auto"/>
        <w:left w:val="none" w:sz="0" w:space="0" w:color="auto"/>
        <w:bottom w:val="none" w:sz="0" w:space="0" w:color="auto"/>
        <w:right w:val="none" w:sz="0" w:space="0" w:color="auto"/>
      </w:divBdr>
    </w:div>
    <w:div w:id="2000108405">
      <w:bodyDiv w:val="1"/>
      <w:marLeft w:val="0"/>
      <w:marRight w:val="0"/>
      <w:marTop w:val="0"/>
      <w:marBottom w:val="0"/>
      <w:divBdr>
        <w:top w:val="none" w:sz="0" w:space="0" w:color="auto"/>
        <w:left w:val="none" w:sz="0" w:space="0" w:color="auto"/>
        <w:bottom w:val="none" w:sz="0" w:space="0" w:color="auto"/>
        <w:right w:val="none" w:sz="0" w:space="0" w:color="auto"/>
      </w:divBdr>
    </w:div>
    <w:div w:id="2000189234">
      <w:bodyDiv w:val="1"/>
      <w:marLeft w:val="0"/>
      <w:marRight w:val="0"/>
      <w:marTop w:val="0"/>
      <w:marBottom w:val="0"/>
      <w:divBdr>
        <w:top w:val="none" w:sz="0" w:space="0" w:color="auto"/>
        <w:left w:val="none" w:sz="0" w:space="0" w:color="auto"/>
        <w:bottom w:val="none" w:sz="0" w:space="0" w:color="auto"/>
        <w:right w:val="none" w:sz="0" w:space="0" w:color="auto"/>
      </w:divBdr>
    </w:div>
    <w:div w:id="2000228800">
      <w:bodyDiv w:val="1"/>
      <w:marLeft w:val="0"/>
      <w:marRight w:val="0"/>
      <w:marTop w:val="0"/>
      <w:marBottom w:val="0"/>
      <w:divBdr>
        <w:top w:val="none" w:sz="0" w:space="0" w:color="auto"/>
        <w:left w:val="none" w:sz="0" w:space="0" w:color="auto"/>
        <w:bottom w:val="none" w:sz="0" w:space="0" w:color="auto"/>
        <w:right w:val="none" w:sz="0" w:space="0" w:color="auto"/>
      </w:divBdr>
    </w:div>
    <w:div w:id="2000229121">
      <w:bodyDiv w:val="1"/>
      <w:marLeft w:val="0"/>
      <w:marRight w:val="0"/>
      <w:marTop w:val="0"/>
      <w:marBottom w:val="0"/>
      <w:divBdr>
        <w:top w:val="none" w:sz="0" w:space="0" w:color="auto"/>
        <w:left w:val="none" w:sz="0" w:space="0" w:color="auto"/>
        <w:bottom w:val="none" w:sz="0" w:space="0" w:color="auto"/>
        <w:right w:val="none" w:sz="0" w:space="0" w:color="auto"/>
      </w:divBdr>
    </w:div>
    <w:div w:id="2000573550">
      <w:bodyDiv w:val="1"/>
      <w:marLeft w:val="0"/>
      <w:marRight w:val="0"/>
      <w:marTop w:val="0"/>
      <w:marBottom w:val="0"/>
      <w:divBdr>
        <w:top w:val="none" w:sz="0" w:space="0" w:color="auto"/>
        <w:left w:val="none" w:sz="0" w:space="0" w:color="auto"/>
        <w:bottom w:val="none" w:sz="0" w:space="0" w:color="auto"/>
        <w:right w:val="none" w:sz="0" w:space="0" w:color="auto"/>
      </w:divBdr>
    </w:div>
    <w:div w:id="2000690541">
      <w:bodyDiv w:val="1"/>
      <w:marLeft w:val="0"/>
      <w:marRight w:val="0"/>
      <w:marTop w:val="0"/>
      <w:marBottom w:val="0"/>
      <w:divBdr>
        <w:top w:val="none" w:sz="0" w:space="0" w:color="auto"/>
        <w:left w:val="none" w:sz="0" w:space="0" w:color="auto"/>
        <w:bottom w:val="none" w:sz="0" w:space="0" w:color="auto"/>
        <w:right w:val="none" w:sz="0" w:space="0" w:color="auto"/>
      </w:divBdr>
    </w:div>
    <w:div w:id="2000693444">
      <w:bodyDiv w:val="1"/>
      <w:marLeft w:val="0"/>
      <w:marRight w:val="0"/>
      <w:marTop w:val="0"/>
      <w:marBottom w:val="0"/>
      <w:divBdr>
        <w:top w:val="none" w:sz="0" w:space="0" w:color="auto"/>
        <w:left w:val="none" w:sz="0" w:space="0" w:color="auto"/>
        <w:bottom w:val="none" w:sz="0" w:space="0" w:color="auto"/>
        <w:right w:val="none" w:sz="0" w:space="0" w:color="auto"/>
      </w:divBdr>
    </w:div>
    <w:div w:id="2000843142">
      <w:bodyDiv w:val="1"/>
      <w:marLeft w:val="0"/>
      <w:marRight w:val="0"/>
      <w:marTop w:val="0"/>
      <w:marBottom w:val="0"/>
      <w:divBdr>
        <w:top w:val="none" w:sz="0" w:space="0" w:color="auto"/>
        <w:left w:val="none" w:sz="0" w:space="0" w:color="auto"/>
        <w:bottom w:val="none" w:sz="0" w:space="0" w:color="auto"/>
        <w:right w:val="none" w:sz="0" w:space="0" w:color="auto"/>
      </w:divBdr>
    </w:div>
    <w:div w:id="2001233257">
      <w:bodyDiv w:val="1"/>
      <w:marLeft w:val="0"/>
      <w:marRight w:val="0"/>
      <w:marTop w:val="0"/>
      <w:marBottom w:val="0"/>
      <w:divBdr>
        <w:top w:val="none" w:sz="0" w:space="0" w:color="auto"/>
        <w:left w:val="none" w:sz="0" w:space="0" w:color="auto"/>
        <w:bottom w:val="none" w:sz="0" w:space="0" w:color="auto"/>
        <w:right w:val="none" w:sz="0" w:space="0" w:color="auto"/>
      </w:divBdr>
    </w:div>
    <w:div w:id="2001615427">
      <w:bodyDiv w:val="1"/>
      <w:marLeft w:val="0"/>
      <w:marRight w:val="0"/>
      <w:marTop w:val="0"/>
      <w:marBottom w:val="0"/>
      <w:divBdr>
        <w:top w:val="none" w:sz="0" w:space="0" w:color="auto"/>
        <w:left w:val="none" w:sz="0" w:space="0" w:color="auto"/>
        <w:bottom w:val="none" w:sz="0" w:space="0" w:color="auto"/>
        <w:right w:val="none" w:sz="0" w:space="0" w:color="auto"/>
      </w:divBdr>
    </w:div>
    <w:div w:id="2001928447">
      <w:bodyDiv w:val="1"/>
      <w:marLeft w:val="0"/>
      <w:marRight w:val="0"/>
      <w:marTop w:val="0"/>
      <w:marBottom w:val="0"/>
      <w:divBdr>
        <w:top w:val="none" w:sz="0" w:space="0" w:color="auto"/>
        <w:left w:val="none" w:sz="0" w:space="0" w:color="auto"/>
        <w:bottom w:val="none" w:sz="0" w:space="0" w:color="auto"/>
        <w:right w:val="none" w:sz="0" w:space="0" w:color="auto"/>
      </w:divBdr>
    </w:div>
    <w:div w:id="2002270667">
      <w:bodyDiv w:val="1"/>
      <w:marLeft w:val="0"/>
      <w:marRight w:val="0"/>
      <w:marTop w:val="0"/>
      <w:marBottom w:val="0"/>
      <w:divBdr>
        <w:top w:val="none" w:sz="0" w:space="0" w:color="auto"/>
        <w:left w:val="none" w:sz="0" w:space="0" w:color="auto"/>
        <w:bottom w:val="none" w:sz="0" w:space="0" w:color="auto"/>
        <w:right w:val="none" w:sz="0" w:space="0" w:color="auto"/>
      </w:divBdr>
    </w:div>
    <w:div w:id="2002344558">
      <w:bodyDiv w:val="1"/>
      <w:marLeft w:val="0"/>
      <w:marRight w:val="0"/>
      <w:marTop w:val="0"/>
      <w:marBottom w:val="0"/>
      <w:divBdr>
        <w:top w:val="none" w:sz="0" w:space="0" w:color="auto"/>
        <w:left w:val="none" w:sz="0" w:space="0" w:color="auto"/>
        <w:bottom w:val="none" w:sz="0" w:space="0" w:color="auto"/>
        <w:right w:val="none" w:sz="0" w:space="0" w:color="auto"/>
      </w:divBdr>
    </w:div>
    <w:div w:id="2002463846">
      <w:bodyDiv w:val="1"/>
      <w:marLeft w:val="0"/>
      <w:marRight w:val="0"/>
      <w:marTop w:val="0"/>
      <w:marBottom w:val="0"/>
      <w:divBdr>
        <w:top w:val="none" w:sz="0" w:space="0" w:color="auto"/>
        <w:left w:val="none" w:sz="0" w:space="0" w:color="auto"/>
        <w:bottom w:val="none" w:sz="0" w:space="0" w:color="auto"/>
        <w:right w:val="none" w:sz="0" w:space="0" w:color="auto"/>
      </w:divBdr>
    </w:div>
    <w:div w:id="2002659293">
      <w:bodyDiv w:val="1"/>
      <w:marLeft w:val="0"/>
      <w:marRight w:val="0"/>
      <w:marTop w:val="0"/>
      <w:marBottom w:val="0"/>
      <w:divBdr>
        <w:top w:val="none" w:sz="0" w:space="0" w:color="auto"/>
        <w:left w:val="none" w:sz="0" w:space="0" w:color="auto"/>
        <w:bottom w:val="none" w:sz="0" w:space="0" w:color="auto"/>
        <w:right w:val="none" w:sz="0" w:space="0" w:color="auto"/>
      </w:divBdr>
    </w:div>
    <w:div w:id="2002734618">
      <w:bodyDiv w:val="1"/>
      <w:marLeft w:val="0"/>
      <w:marRight w:val="0"/>
      <w:marTop w:val="0"/>
      <w:marBottom w:val="0"/>
      <w:divBdr>
        <w:top w:val="none" w:sz="0" w:space="0" w:color="auto"/>
        <w:left w:val="none" w:sz="0" w:space="0" w:color="auto"/>
        <w:bottom w:val="none" w:sz="0" w:space="0" w:color="auto"/>
        <w:right w:val="none" w:sz="0" w:space="0" w:color="auto"/>
      </w:divBdr>
    </w:div>
    <w:div w:id="2002811820">
      <w:bodyDiv w:val="1"/>
      <w:marLeft w:val="0"/>
      <w:marRight w:val="0"/>
      <w:marTop w:val="0"/>
      <w:marBottom w:val="0"/>
      <w:divBdr>
        <w:top w:val="none" w:sz="0" w:space="0" w:color="auto"/>
        <w:left w:val="none" w:sz="0" w:space="0" w:color="auto"/>
        <w:bottom w:val="none" w:sz="0" w:space="0" w:color="auto"/>
        <w:right w:val="none" w:sz="0" w:space="0" w:color="auto"/>
      </w:divBdr>
    </w:div>
    <w:div w:id="2002923791">
      <w:bodyDiv w:val="1"/>
      <w:marLeft w:val="0"/>
      <w:marRight w:val="0"/>
      <w:marTop w:val="0"/>
      <w:marBottom w:val="0"/>
      <w:divBdr>
        <w:top w:val="none" w:sz="0" w:space="0" w:color="auto"/>
        <w:left w:val="none" w:sz="0" w:space="0" w:color="auto"/>
        <w:bottom w:val="none" w:sz="0" w:space="0" w:color="auto"/>
        <w:right w:val="none" w:sz="0" w:space="0" w:color="auto"/>
      </w:divBdr>
    </w:div>
    <w:div w:id="2003507731">
      <w:bodyDiv w:val="1"/>
      <w:marLeft w:val="0"/>
      <w:marRight w:val="0"/>
      <w:marTop w:val="0"/>
      <w:marBottom w:val="0"/>
      <w:divBdr>
        <w:top w:val="none" w:sz="0" w:space="0" w:color="auto"/>
        <w:left w:val="none" w:sz="0" w:space="0" w:color="auto"/>
        <w:bottom w:val="none" w:sz="0" w:space="0" w:color="auto"/>
        <w:right w:val="none" w:sz="0" w:space="0" w:color="auto"/>
      </w:divBdr>
    </w:div>
    <w:div w:id="2003577150">
      <w:bodyDiv w:val="1"/>
      <w:marLeft w:val="0"/>
      <w:marRight w:val="0"/>
      <w:marTop w:val="0"/>
      <w:marBottom w:val="0"/>
      <w:divBdr>
        <w:top w:val="none" w:sz="0" w:space="0" w:color="auto"/>
        <w:left w:val="none" w:sz="0" w:space="0" w:color="auto"/>
        <w:bottom w:val="none" w:sz="0" w:space="0" w:color="auto"/>
        <w:right w:val="none" w:sz="0" w:space="0" w:color="auto"/>
      </w:divBdr>
    </w:div>
    <w:div w:id="2003778155">
      <w:bodyDiv w:val="1"/>
      <w:marLeft w:val="0"/>
      <w:marRight w:val="0"/>
      <w:marTop w:val="0"/>
      <w:marBottom w:val="0"/>
      <w:divBdr>
        <w:top w:val="none" w:sz="0" w:space="0" w:color="auto"/>
        <w:left w:val="none" w:sz="0" w:space="0" w:color="auto"/>
        <w:bottom w:val="none" w:sz="0" w:space="0" w:color="auto"/>
        <w:right w:val="none" w:sz="0" w:space="0" w:color="auto"/>
      </w:divBdr>
    </w:div>
    <w:div w:id="2004047869">
      <w:bodyDiv w:val="1"/>
      <w:marLeft w:val="0"/>
      <w:marRight w:val="0"/>
      <w:marTop w:val="0"/>
      <w:marBottom w:val="0"/>
      <w:divBdr>
        <w:top w:val="none" w:sz="0" w:space="0" w:color="auto"/>
        <w:left w:val="none" w:sz="0" w:space="0" w:color="auto"/>
        <w:bottom w:val="none" w:sz="0" w:space="0" w:color="auto"/>
        <w:right w:val="none" w:sz="0" w:space="0" w:color="auto"/>
      </w:divBdr>
    </w:div>
    <w:div w:id="2004164783">
      <w:bodyDiv w:val="1"/>
      <w:marLeft w:val="0"/>
      <w:marRight w:val="0"/>
      <w:marTop w:val="0"/>
      <w:marBottom w:val="0"/>
      <w:divBdr>
        <w:top w:val="none" w:sz="0" w:space="0" w:color="auto"/>
        <w:left w:val="none" w:sz="0" w:space="0" w:color="auto"/>
        <w:bottom w:val="none" w:sz="0" w:space="0" w:color="auto"/>
        <w:right w:val="none" w:sz="0" w:space="0" w:color="auto"/>
      </w:divBdr>
    </w:div>
    <w:div w:id="2004507392">
      <w:bodyDiv w:val="1"/>
      <w:marLeft w:val="0"/>
      <w:marRight w:val="0"/>
      <w:marTop w:val="0"/>
      <w:marBottom w:val="0"/>
      <w:divBdr>
        <w:top w:val="none" w:sz="0" w:space="0" w:color="auto"/>
        <w:left w:val="none" w:sz="0" w:space="0" w:color="auto"/>
        <w:bottom w:val="none" w:sz="0" w:space="0" w:color="auto"/>
        <w:right w:val="none" w:sz="0" w:space="0" w:color="auto"/>
      </w:divBdr>
    </w:div>
    <w:div w:id="2004817157">
      <w:bodyDiv w:val="1"/>
      <w:marLeft w:val="0"/>
      <w:marRight w:val="0"/>
      <w:marTop w:val="0"/>
      <w:marBottom w:val="0"/>
      <w:divBdr>
        <w:top w:val="none" w:sz="0" w:space="0" w:color="auto"/>
        <w:left w:val="none" w:sz="0" w:space="0" w:color="auto"/>
        <w:bottom w:val="none" w:sz="0" w:space="0" w:color="auto"/>
        <w:right w:val="none" w:sz="0" w:space="0" w:color="auto"/>
      </w:divBdr>
    </w:div>
    <w:div w:id="2004964077">
      <w:bodyDiv w:val="1"/>
      <w:marLeft w:val="0"/>
      <w:marRight w:val="0"/>
      <w:marTop w:val="0"/>
      <w:marBottom w:val="0"/>
      <w:divBdr>
        <w:top w:val="none" w:sz="0" w:space="0" w:color="auto"/>
        <w:left w:val="none" w:sz="0" w:space="0" w:color="auto"/>
        <w:bottom w:val="none" w:sz="0" w:space="0" w:color="auto"/>
        <w:right w:val="none" w:sz="0" w:space="0" w:color="auto"/>
      </w:divBdr>
    </w:div>
    <w:div w:id="2004964777">
      <w:bodyDiv w:val="1"/>
      <w:marLeft w:val="0"/>
      <w:marRight w:val="0"/>
      <w:marTop w:val="0"/>
      <w:marBottom w:val="0"/>
      <w:divBdr>
        <w:top w:val="none" w:sz="0" w:space="0" w:color="auto"/>
        <w:left w:val="none" w:sz="0" w:space="0" w:color="auto"/>
        <w:bottom w:val="none" w:sz="0" w:space="0" w:color="auto"/>
        <w:right w:val="none" w:sz="0" w:space="0" w:color="auto"/>
      </w:divBdr>
    </w:div>
    <w:div w:id="2005011063">
      <w:bodyDiv w:val="1"/>
      <w:marLeft w:val="0"/>
      <w:marRight w:val="0"/>
      <w:marTop w:val="0"/>
      <w:marBottom w:val="0"/>
      <w:divBdr>
        <w:top w:val="none" w:sz="0" w:space="0" w:color="auto"/>
        <w:left w:val="none" w:sz="0" w:space="0" w:color="auto"/>
        <w:bottom w:val="none" w:sz="0" w:space="0" w:color="auto"/>
        <w:right w:val="none" w:sz="0" w:space="0" w:color="auto"/>
      </w:divBdr>
    </w:div>
    <w:div w:id="2005088518">
      <w:bodyDiv w:val="1"/>
      <w:marLeft w:val="0"/>
      <w:marRight w:val="0"/>
      <w:marTop w:val="0"/>
      <w:marBottom w:val="0"/>
      <w:divBdr>
        <w:top w:val="none" w:sz="0" w:space="0" w:color="auto"/>
        <w:left w:val="none" w:sz="0" w:space="0" w:color="auto"/>
        <w:bottom w:val="none" w:sz="0" w:space="0" w:color="auto"/>
        <w:right w:val="none" w:sz="0" w:space="0" w:color="auto"/>
      </w:divBdr>
    </w:div>
    <w:div w:id="2005208025">
      <w:bodyDiv w:val="1"/>
      <w:marLeft w:val="0"/>
      <w:marRight w:val="0"/>
      <w:marTop w:val="0"/>
      <w:marBottom w:val="0"/>
      <w:divBdr>
        <w:top w:val="none" w:sz="0" w:space="0" w:color="auto"/>
        <w:left w:val="none" w:sz="0" w:space="0" w:color="auto"/>
        <w:bottom w:val="none" w:sz="0" w:space="0" w:color="auto"/>
        <w:right w:val="none" w:sz="0" w:space="0" w:color="auto"/>
      </w:divBdr>
    </w:div>
    <w:div w:id="2005276514">
      <w:bodyDiv w:val="1"/>
      <w:marLeft w:val="0"/>
      <w:marRight w:val="0"/>
      <w:marTop w:val="0"/>
      <w:marBottom w:val="0"/>
      <w:divBdr>
        <w:top w:val="none" w:sz="0" w:space="0" w:color="auto"/>
        <w:left w:val="none" w:sz="0" w:space="0" w:color="auto"/>
        <w:bottom w:val="none" w:sz="0" w:space="0" w:color="auto"/>
        <w:right w:val="none" w:sz="0" w:space="0" w:color="auto"/>
      </w:divBdr>
    </w:div>
    <w:div w:id="2006931103">
      <w:bodyDiv w:val="1"/>
      <w:marLeft w:val="0"/>
      <w:marRight w:val="0"/>
      <w:marTop w:val="0"/>
      <w:marBottom w:val="0"/>
      <w:divBdr>
        <w:top w:val="none" w:sz="0" w:space="0" w:color="auto"/>
        <w:left w:val="none" w:sz="0" w:space="0" w:color="auto"/>
        <w:bottom w:val="none" w:sz="0" w:space="0" w:color="auto"/>
        <w:right w:val="none" w:sz="0" w:space="0" w:color="auto"/>
      </w:divBdr>
    </w:div>
    <w:div w:id="2007053742">
      <w:bodyDiv w:val="1"/>
      <w:marLeft w:val="0"/>
      <w:marRight w:val="0"/>
      <w:marTop w:val="0"/>
      <w:marBottom w:val="0"/>
      <w:divBdr>
        <w:top w:val="none" w:sz="0" w:space="0" w:color="auto"/>
        <w:left w:val="none" w:sz="0" w:space="0" w:color="auto"/>
        <w:bottom w:val="none" w:sz="0" w:space="0" w:color="auto"/>
        <w:right w:val="none" w:sz="0" w:space="0" w:color="auto"/>
      </w:divBdr>
    </w:div>
    <w:div w:id="2007512856">
      <w:bodyDiv w:val="1"/>
      <w:marLeft w:val="0"/>
      <w:marRight w:val="0"/>
      <w:marTop w:val="0"/>
      <w:marBottom w:val="0"/>
      <w:divBdr>
        <w:top w:val="none" w:sz="0" w:space="0" w:color="auto"/>
        <w:left w:val="none" w:sz="0" w:space="0" w:color="auto"/>
        <w:bottom w:val="none" w:sz="0" w:space="0" w:color="auto"/>
        <w:right w:val="none" w:sz="0" w:space="0" w:color="auto"/>
      </w:divBdr>
    </w:div>
    <w:div w:id="2007592543">
      <w:bodyDiv w:val="1"/>
      <w:marLeft w:val="0"/>
      <w:marRight w:val="0"/>
      <w:marTop w:val="0"/>
      <w:marBottom w:val="0"/>
      <w:divBdr>
        <w:top w:val="none" w:sz="0" w:space="0" w:color="auto"/>
        <w:left w:val="none" w:sz="0" w:space="0" w:color="auto"/>
        <w:bottom w:val="none" w:sz="0" w:space="0" w:color="auto"/>
        <w:right w:val="none" w:sz="0" w:space="0" w:color="auto"/>
      </w:divBdr>
    </w:div>
    <w:div w:id="2007902287">
      <w:bodyDiv w:val="1"/>
      <w:marLeft w:val="0"/>
      <w:marRight w:val="0"/>
      <w:marTop w:val="0"/>
      <w:marBottom w:val="0"/>
      <w:divBdr>
        <w:top w:val="none" w:sz="0" w:space="0" w:color="auto"/>
        <w:left w:val="none" w:sz="0" w:space="0" w:color="auto"/>
        <w:bottom w:val="none" w:sz="0" w:space="0" w:color="auto"/>
        <w:right w:val="none" w:sz="0" w:space="0" w:color="auto"/>
      </w:divBdr>
    </w:div>
    <w:div w:id="2008048544">
      <w:bodyDiv w:val="1"/>
      <w:marLeft w:val="0"/>
      <w:marRight w:val="0"/>
      <w:marTop w:val="0"/>
      <w:marBottom w:val="0"/>
      <w:divBdr>
        <w:top w:val="none" w:sz="0" w:space="0" w:color="auto"/>
        <w:left w:val="none" w:sz="0" w:space="0" w:color="auto"/>
        <w:bottom w:val="none" w:sz="0" w:space="0" w:color="auto"/>
        <w:right w:val="none" w:sz="0" w:space="0" w:color="auto"/>
      </w:divBdr>
    </w:div>
    <w:div w:id="2008244387">
      <w:bodyDiv w:val="1"/>
      <w:marLeft w:val="0"/>
      <w:marRight w:val="0"/>
      <w:marTop w:val="0"/>
      <w:marBottom w:val="0"/>
      <w:divBdr>
        <w:top w:val="none" w:sz="0" w:space="0" w:color="auto"/>
        <w:left w:val="none" w:sz="0" w:space="0" w:color="auto"/>
        <w:bottom w:val="none" w:sz="0" w:space="0" w:color="auto"/>
        <w:right w:val="none" w:sz="0" w:space="0" w:color="auto"/>
      </w:divBdr>
    </w:div>
    <w:div w:id="2008438177">
      <w:bodyDiv w:val="1"/>
      <w:marLeft w:val="0"/>
      <w:marRight w:val="0"/>
      <w:marTop w:val="0"/>
      <w:marBottom w:val="0"/>
      <w:divBdr>
        <w:top w:val="none" w:sz="0" w:space="0" w:color="auto"/>
        <w:left w:val="none" w:sz="0" w:space="0" w:color="auto"/>
        <w:bottom w:val="none" w:sz="0" w:space="0" w:color="auto"/>
        <w:right w:val="none" w:sz="0" w:space="0" w:color="auto"/>
      </w:divBdr>
    </w:div>
    <w:div w:id="2008628876">
      <w:bodyDiv w:val="1"/>
      <w:marLeft w:val="0"/>
      <w:marRight w:val="0"/>
      <w:marTop w:val="0"/>
      <w:marBottom w:val="0"/>
      <w:divBdr>
        <w:top w:val="none" w:sz="0" w:space="0" w:color="auto"/>
        <w:left w:val="none" w:sz="0" w:space="0" w:color="auto"/>
        <w:bottom w:val="none" w:sz="0" w:space="0" w:color="auto"/>
        <w:right w:val="none" w:sz="0" w:space="0" w:color="auto"/>
      </w:divBdr>
    </w:div>
    <w:div w:id="2008633909">
      <w:bodyDiv w:val="1"/>
      <w:marLeft w:val="0"/>
      <w:marRight w:val="0"/>
      <w:marTop w:val="0"/>
      <w:marBottom w:val="0"/>
      <w:divBdr>
        <w:top w:val="none" w:sz="0" w:space="0" w:color="auto"/>
        <w:left w:val="none" w:sz="0" w:space="0" w:color="auto"/>
        <w:bottom w:val="none" w:sz="0" w:space="0" w:color="auto"/>
        <w:right w:val="none" w:sz="0" w:space="0" w:color="auto"/>
      </w:divBdr>
    </w:div>
    <w:div w:id="2009210411">
      <w:bodyDiv w:val="1"/>
      <w:marLeft w:val="0"/>
      <w:marRight w:val="0"/>
      <w:marTop w:val="0"/>
      <w:marBottom w:val="0"/>
      <w:divBdr>
        <w:top w:val="none" w:sz="0" w:space="0" w:color="auto"/>
        <w:left w:val="none" w:sz="0" w:space="0" w:color="auto"/>
        <w:bottom w:val="none" w:sz="0" w:space="0" w:color="auto"/>
        <w:right w:val="none" w:sz="0" w:space="0" w:color="auto"/>
      </w:divBdr>
    </w:div>
    <w:div w:id="2009285789">
      <w:bodyDiv w:val="1"/>
      <w:marLeft w:val="0"/>
      <w:marRight w:val="0"/>
      <w:marTop w:val="0"/>
      <w:marBottom w:val="0"/>
      <w:divBdr>
        <w:top w:val="none" w:sz="0" w:space="0" w:color="auto"/>
        <w:left w:val="none" w:sz="0" w:space="0" w:color="auto"/>
        <w:bottom w:val="none" w:sz="0" w:space="0" w:color="auto"/>
        <w:right w:val="none" w:sz="0" w:space="0" w:color="auto"/>
      </w:divBdr>
    </w:div>
    <w:div w:id="2009287027">
      <w:bodyDiv w:val="1"/>
      <w:marLeft w:val="0"/>
      <w:marRight w:val="0"/>
      <w:marTop w:val="0"/>
      <w:marBottom w:val="0"/>
      <w:divBdr>
        <w:top w:val="none" w:sz="0" w:space="0" w:color="auto"/>
        <w:left w:val="none" w:sz="0" w:space="0" w:color="auto"/>
        <w:bottom w:val="none" w:sz="0" w:space="0" w:color="auto"/>
        <w:right w:val="none" w:sz="0" w:space="0" w:color="auto"/>
      </w:divBdr>
    </w:div>
    <w:div w:id="2009481527">
      <w:bodyDiv w:val="1"/>
      <w:marLeft w:val="0"/>
      <w:marRight w:val="0"/>
      <w:marTop w:val="0"/>
      <w:marBottom w:val="0"/>
      <w:divBdr>
        <w:top w:val="none" w:sz="0" w:space="0" w:color="auto"/>
        <w:left w:val="none" w:sz="0" w:space="0" w:color="auto"/>
        <w:bottom w:val="none" w:sz="0" w:space="0" w:color="auto"/>
        <w:right w:val="none" w:sz="0" w:space="0" w:color="auto"/>
      </w:divBdr>
    </w:div>
    <w:div w:id="2009675161">
      <w:bodyDiv w:val="1"/>
      <w:marLeft w:val="0"/>
      <w:marRight w:val="0"/>
      <w:marTop w:val="0"/>
      <w:marBottom w:val="0"/>
      <w:divBdr>
        <w:top w:val="none" w:sz="0" w:space="0" w:color="auto"/>
        <w:left w:val="none" w:sz="0" w:space="0" w:color="auto"/>
        <w:bottom w:val="none" w:sz="0" w:space="0" w:color="auto"/>
        <w:right w:val="none" w:sz="0" w:space="0" w:color="auto"/>
      </w:divBdr>
    </w:div>
    <w:div w:id="2009820918">
      <w:bodyDiv w:val="1"/>
      <w:marLeft w:val="0"/>
      <w:marRight w:val="0"/>
      <w:marTop w:val="0"/>
      <w:marBottom w:val="0"/>
      <w:divBdr>
        <w:top w:val="none" w:sz="0" w:space="0" w:color="auto"/>
        <w:left w:val="none" w:sz="0" w:space="0" w:color="auto"/>
        <w:bottom w:val="none" w:sz="0" w:space="0" w:color="auto"/>
        <w:right w:val="none" w:sz="0" w:space="0" w:color="auto"/>
      </w:divBdr>
    </w:div>
    <w:div w:id="2010283346">
      <w:bodyDiv w:val="1"/>
      <w:marLeft w:val="0"/>
      <w:marRight w:val="0"/>
      <w:marTop w:val="0"/>
      <w:marBottom w:val="0"/>
      <w:divBdr>
        <w:top w:val="none" w:sz="0" w:space="0" w:color="auto"/>
        <w:left w:val="none" w:sz="0" w:space="0" w:color="auto"/>
        <w:bottom w:val="none" w:sz="0" w:space="0" w:color="auto"/>
        <w:right w:val="none" w:sz="0" w:space="0" w:color="auto"/>
      </w:divBdr>
    </w:div>
    <w:div w:id="2010711636">
      <w:bodyDiv w:val="1"/>
      <w:marLeft w:val="0"/>
      <w:marRight w:val="0"/>
      <w:marTop w:val="0"/>
      <w:marBottom w:val="0"/>
      <w:divBdr>
        <w:top w:val="none" w:sz="0" w:space="0" w:color="auto"/>
        <w:left w:val="none" w:sz="0" w:space="0" w:color="auto"/>
        <w:bottom w:val="none" w:sz="0" w:space="0" w:color="auto"/>
        <w:right w:val="none" w:sz="0" w:space="0" w:color="auto"/>
      </w:divBdr>
    </w:div>
    <w:div w:id="2010717941">
      <w:bodyDiv w:val="1"/>
      <w:marLeft w:val="0"/>
      <w:marRight w:val="0"/>
      <w:marTop w:val="0"/>
      <w:marBottom w:val="0"/>
      <w:divBdr>
        <w:top w:val="none" w:sz="0" w:space="0" w:color="auto"/>
        <w:left w:val="none" w:sz="0" w:space="0" w:color="auto"/>
        <w:bottom w:val="none" w:sz="0" w:space="0" w:color="auto"/>
        <w:right w:val="none" w:sz="0" w:space="0" w:color="auto"/>
      </w:divBdr>
    </w:div>
    <w:div w:id="2010984804">
      <w:bodyDiv w:val="1"/>
      <w:marLeft w:val="0"/>
      <w:marRight w:val="0"/>
      <w:marTop w:val="0"/>
      <w:marBottom w:val="0"/>
      <w:divBdr>
        <w:top w:val="none" w:sz="0" w:space="0" w:color="auto"/>
        <w:left w:val="none" w:sz="0" w:space="0" w:color="auto"/>
        <w:bottom w:val="none" w:sz="0" w:space="0" w:color="auto"/>
        <w:right w:val="none" w:sz="0" w:space="0" w:color="auto"/>
      </w:divBdr>
    </w:div>
    <w:div w:id="2011326196">
      <w:bodyDiv w:val="1"/>
      <w:marLeft w:val="0"/>
      <w:marRight w:val="0"/>
      <w:marTop w:val="0"/>
      <w:marBottom w:val="0"/>
      <w:divBdr>
        <w:top w:val="none" w:sz="0" w:space="0" w:color="auto"/>
        <w:left w:val="none" w:sz="0" w:space="0" w:color="auto"/>
        <w:bottom w:val="none" w:sz="0" w:space="0" w:color="auto"/>
        <w:right w:val="none" w:sz="0" w:space="0" w:color="auto"/>
      </w:divBdr>
    </w:div>
    <w:div w:id="2011447970">
      <w:bodyDiv w:val="1"/>
      <w:marLeft w:val="0"/>
      <w:marRight w:val="0"/>
      <w:marTop w:val="0"/>
      <w:marBottom w:val="0"/>
      <w:divBdr>
        <w:top w:val="none" w:sz="0" w:space="0" w:color="auto"/>
        <w:left w:val="none" w:sz="0" w:space="0" w:color="auto"/>
        <w:bottom w:val="none" w:sz="0" w:space="0" w:color="auto"/>
        <w:right w:val="none" w:sz="0" w:space="0" w:color="auto"/>
      </w:divBdr>
    </w:div>
    <w:div w:id="2012100054">
      <w:bodyDiv w:val="1"/>
      <w:marLeft w:val="0"/>
      <w:marRight w:val="0"/>
      <w:marTop w:val="0"/>
      <w:marBottom w:val="0"/>
      <w:divBdr>
        <w:top w:val="none" w:sz="0" w:space="0" w:color="auto"/>
        <w:left w:val="none" w:sz="0" w:space="0" w:color="auto"/>
        <w:bottom w:val="none" w:sz="0" w:space="0" w:color="auto"/>
        <w:right w:val="none" w:sz="0" w:space="0" w:color="auto"/>
      </w:divBdr>
    </w:div>
    <w:div w:id="2012100625">
      <w:bodyDiv w:val="1"/>
      <w:marLeft w:val="0"/>
      <w:marRight w:val="0"/>
      <w:marTop w:val="0"/>
      <w:marBottom w:val="0"/>
      <w:divBdr>
        <w:top w:val="none" w:sz="0" w:space="0" w:color="auto"/>
        <w:left w:val="none" w:sz="0" w:space="0" w:color="auto"/>
        <w:bottom w:val="none" w:sz="0" w:space="0" w:color="auto"/>
        <w:right w:val="none" w:sz="0" w:space="0" w:color="auto"/>
      </w:divBdr>
    </w:div>
    <w:div w:id="2012176100">
      <w:bodyDiv w:val="1"/>
      <w:marLeft w:val="0"/>
      <w:marRight w:val="0"/>
      <w:marTop w:val="0"/>
      <w:marBottom w:val="0"/>
      <w:divBdr>
        <w:top w:val="none" w:sz="0" w:space="0" w:color="auto"/>
        <w:left w:val="none" w:sz="0" w:space="0" w:color="auto"/>
        <w:bottom w:val="none" w:sz="0" w:space="0" w:color="auto"/>
        <w:right w:val="none" w:sz="0" w:space="0" w:color="auto"/>
      </w:divBdr>
    </w:div>
    <w:div w:id="2012249033">
      <w:bodyDiv w:val="1"/>
      <w:marLeft w:val="0"/>
      <w:marRight w:val="0"/>
      <w:marTop w:val="0"/>
      <w:marBottom w:val="0"/>
      <w:divBdr>
        <w:top w:val="none" w:sz="0" w:space="0" w:color="auto"/>
        <w:left w:val="none" w:sz="0" w:space="0" w:color="auto"/>
        <w:bottom w:val="none" w:sz="0" w:space="0" w:color="auto"/>
        <w:right w:val="none" w:sz="0" w:space="0" w:color="auto"/>
      </w:divBdr>
    </w:div>
    <w:div w:id="2012365417">
      <w:bodyDiv w:val="1"/>
      <w:marLeft w:val="0"/>
      <w:marRight w:val="0"/>
      <w:marTop w:val="0"/>
      <w:marBottom w:val="0"/>
      <w:divBdr>
        <w:top w:val="none" w:sz="0" w:space="0" w:color="auto"/>
        <w:left w:val="none" w:sz="0" w:space="0" w:color="auto"/>
        <w:bottom w:val="none" w:sz="0" w:space="0" w:color="auto"/>
        <w:right w:val="none" w:sz="0" w:space="0" w:color="auto"/>
      </w:divBdr>
    </w:div>
    <w:div w:id="2012633221">
      <w:bodyDiv w:val="1"/>
      <w:marLeft w:val="0"/>
      <w:marRight w:val="0"/>
      <w:marTop w:val="0"/>
      <w:marBottom w:val="0"/>
      <w:divBdr>
        <w:top w:val="none" w:sz="0" w:space="0" w:color="auto"/>
        <w:left w:val="none" w:sz="0" w:space="0" w:color="auto"/>
        <w:bottom w:val="none" w:sz="0" w:space="0" w:color="auto"/>
        <w:right w:val="none" w:sz="0" w:space="0" w:color="auto"/>
      </w:divBdr>
    </w:div>
    <w:div w:id="2012682895">
      <w:bodyDiv w:val="1"/>
      <w:marLeft w:val="0"/>
      <w:marRight w:val="0"/>
      <w:marTop w:val="0"/>
      <w:marBottom w:val="0"/>
      <w:divBdr>
        <w:top w:val="none" w:sz="0" w:space="0" w:color="auto"/>
        <w:left w:val="none" w:sz="0" w:space="0" w:color="auto"/>
        <w:bottom w:val="none" w:sz="0" w:space="0" w:color="auto"/>
        <w:right w:val="none" w:sz="0" w:space="0" w:color="auto"/>
      </w:divBdr>
    </w:div>
    <w:div w:id="2012754904">
      <w:bodyDiv w:val="1"/>
      <w:marLeft w:val="0"/>
      <w:marRight w:val="0"/>
      <w:marTop w:val="0"/>
      <w:marBottom w:val="0"/>
      <w:divBdr>
        <w:top w:val="none" w:sz="0" w:space="0" w:color="auto"/>
        <w:left w:val="none" w:sz="0" w:space="0" w:color="auto"/>
        <w:bottom w:val="none" w:sz="0" w:space="0" w:color="auto"/>
        <w:right w:val="none" w:sz="0" w:space="0" w:color="auto"/>
      </w:divBdr>
    </w:div>
    <w:div w:id="2012828305">
      <w:bodyDiv w:val="1"/>
      <w:marLeft w:val="0"/>
      <w:marRight w:val="0"/>
      <w:marTop w:val="0"/>
      <w:marBottom w:val="0"/>
      <w:divBdr>
        <w:top w:val="none" w:sz="0" w:space="0" w:color="auto"/>
        <w:left w:val="none" w:sz="0" w:space="0" w:color="auto"/>
        <w:bottom w:val="none" w:sz="0" w:space="0" w:color="auto"/>
        <w:right w:val="none" w:sz="0" w:space="0" w:color="auto"/>
      </w:divBdr>
    </w:div>
    <w:div w:id="2012901939">
      <w:bodyDiv w:val="1"/>
      <w:marLeft w:val="0"/>
      <w:marRight w:val="0"/>
      <w:marTop w:val="0"/>
      <w:marBottom w:val="0"/>
      <w:divBdr>
        <w:top w:val="none" w:sz="0" w:space="0" w:color="auto"/>
        <w:left w:val="none" w:sz="0" w:space="0" w:color="auto"/>
        <w:bottom w:val="none" w:sz="0" w:space="0" w:color="auto"/>
        <w:right w:val="none" w:sz="0" w:space="0" w:color="auto"/>
      </w:divBdr>
    </w:div>
    <w:div w:id="2013221460">
      <w:bodyDiv w:val="1"/>
      <w:marLeft w:val="0"/>
      <w:marRight w:val="0"/>
      <w:marTop w:val="0"/>
      <w:marBottom w:val="0"/>
      <w:divBdr>
        <w:top w:val="none" w:sz="0" w:space="0" w:color="auto"/>
        <w:left w:val="none" w:sz="0" w:space="0" w:color="auto"/>
        <w:bottom w:val="none" w:sz="0" w:space="0" w:color="auto"/>
        <w:right w:val="none" w:sz="0" w:space="0" w:color="auto"/>
      </w:divBdr>
    </w:div>
    <w:div w:id="2013339075">
      <w:bodyDiv w:val="1"/>
      <w:marLeft w:val="0"/>
      <w:marRight w:val="0"/>
      <w:marTop w:val="0"/>
      <w:marBottom w:val="0"/>
      <w:divBdr>
        <w:top w:val="none" w:sz="0" w:space="0" w:color="auto"/>
        <w:left w:val="none" w:sz="0" w:space="0" w:color="auto"/>
        <w:bottom w:val="none" w:sz="0" w:space="0" w:color="auto"/>
        <w:right w:val="none" w:sz="0" w:space="0" w:color="auto"/>
      </w:divBdr>
    </w:div>
    <w:div w:id="2013799393">
      <w:bodyDiv w:val="1"/>
      <w:marLeft w:val="0"/>
      <w:marRight w:val="0"/>
      <w:marTop w:val="0"/>
      <w:marBottom w:val="0"/>
      <w:divBdr>
        <w:top w:val="none" w:sz="0" w:space="0" w:color="auto"/>
        <w:left w:val="none" w:sz="0" w:space="0" w:color="auto"/>
        <w:bottom w:val="none" w:sz="0" w:space="0" w:color="auto"/>
        <w:right w:val="none" w:sz="0" w:space="0" w:color="auto"/>
      </w:divBdr>
    </w:div>
    <w:div w:id="2013993699">
      <w:bodyDiv w:val="1"/>
      <w:marLeft w:val="0"/>
      <w:marRight w:val="0"/>
      <w:marTop w:val="0"/>
      <w:marBottom w:val="0"/>
      <w:divBdr>
        <w:top w:val="none" w:sz="0" w:space="0" w:color="auto"/>
        <w:left w:val="none" w:sz="0" w:space="0" w:color="auto"/>
        <w:bottom w:val="none" w:sz="0" w:space="0" w:color="auto"/>
        <w:right w:val="none" w:sz="0" w:space="0" w:color="auto"/>
      </w:divBdr>
    </w:div>
    <w:div w:id="2014839325">
      <w:bodyDiv w:val="1"/>
      <w:marLeft w:val="0"/>
      <w:marRight w:val="0"/>
      <w:marTop w:val="0"/>
      <w:marBottom w:val="0"/>
      <w:divBdr>
        <w:top w:val="none" w:sz="0" w:space="0" w:color="auto"/>
        <w:left w:val="none" w:sz="0" w:space="0" w:color="auto"/>
        <w:bottom w:val="none" w:sz="0" w:space="0" w:color="auto"/>
        <w:right w:val="none" w:sz="0" w:space="0" w:color="auto"/>
      </w:divBdr>
    </w:div>
    <w:div w:id="2014990754">
      <w:bodyDiv w:val="1"/>
      <w:marLeft w:val="0"/>
      <w:marRight w:val="0"/>
      <w:marTop w:val="0"/>
      <w:marBottom w:val="0"/>
      <w:divBdr>
        <w:top w:val="none" w:sz="0" w:space="0" w:color="auto"/>
        <w:left w:val="none" w:sz="0" w:space="0" w:color="auto"/>
        <w:bottom w:val="none" w:sz="0" w:space="0" w:color="auto"/>
        <w:right w:val="none" w:sz="0" w:space="0" w:color="auto"/>
      </w:divBdr>
    </w:div>
    <w:div w:id="2015300245">
      <w:bodyDiv w:val="1"/>
      <w:marLeft w:val="0"/>
      <w:marRight w:val="0"/>
      <w:marTop w:val="0"/>
      <w:marBottom w:val="0"/>
      <w:divBdr>
        <w:top w:val="none" w:sz="0" w:space="0" w:color="auto"/>
        <w:left w:val="none" w:sz="0" w:space="0" w:color="auto"/>
        <w:bottom w:val="none" w:sz="0" w:space="0" w:color="auto"/>
        <w:right w:val="none" w:sz="0" w:space="0" w:color="auto"/>
      </w:divBdr>
    </w:div>
    <w:div w:id="2015301021">
      <w:bodyDiv w:val="1"/>
      <w:marLeft w:val="0"/>
      <w:marRight w:val="0"/>
      <w:marTop w:val="0"/>
      <w:marBottom w:val="0"/>
      <w:divBdr>
        <w:top w:val="none" w:sz="0" w:space="0" w:color="auto"/>
        <w:left w:val="none" w:sz="0" w:space="0" w:color="auto"/>
        <w:bottom w:val="none" w:sz="0" w:space="0" w:color="auto"/>
        <w:right w:val="none" w:sz="0" w:space="0" w:color="auto"/>
      </w:divBdr>
    </w:div>
    <w:div w:id="2015763414">
      <w:bodyDiv w:val="1"/>
      <w:marLeft w:val="0"/>
      <w:marRight w:val="0"/>
      <w:marTop w:val="0"/>
      <w:marBottom w:val="0"/>
      <w:divBdr>
        <w:top w:val="none" w:sz="0" w:space="0" w:color="auto"/>
        <w:left w:val="none" w:sz="0" w:space="0" w:color="auto"/>
        <w:bottom w:val="none" w:sz="0" w:space="0" w:color="auto"/>
        <w:right w:val="none" w:sz="0" w:space="0" w:color="auto"/>
      </w:divBdr>
    </w:div>
    <w:div w:id="2016302159">
      <w:bodyDiv w:val="1"/>
      <w:marLeft w:val="0"/>
      <w:marRight w:val="0"/>
      <w:marTop w:val="0"/>
      <w:marBottom w:val="0"/>
      <w:divBdr>
        <w:top w:val="none" w:sz="0" w:space="0" w:color="auto"/>
        <w:left w:val="none" w:sz="0" w:space="0" w:color="auto"/>
        <w:bottom w:val="none" w:sz="0" w:space="0" w:color="auto"/>
        <w:right w:val="none" w:sz="0" w:space="0" w:color="auto"/>
      </w:divBdr>
    </w:div>
    <w:div w:id="2016302944">
      <w:bodyDiv w:val="1"/>
      <w:marLeft w:val="0"/>
      <w:marRight w:val="0"/>
      <w:marTop w:val="0"/>
      <w:marBottom w:val="0"/>
      <w:divBdr>
        <w:top w:val="none" w:sz="0" w:space="0" w:color="auto"/>
        <w:left w:val="none" w:sz="0" w:space="0" w:color="auto"/>
        <w:bottom w:val="none" w:sz="0" w:space="0" w:color="auto"/>
        <w:right w:val="none" w:sz="0" w:space="0" w:color="auto"/>
      </w:divBdr>
    </w:div>
    <w:div w:id="2016420072">
      <w:bodyDiv w:val="1"/>
      <w:marLeft w:val="0"/>
      <w:marRight w:val="0"/>
      <w:marTop w:val="0"/>
      <w:marBottom w:val="0"/>
      <w:divBdr>
        <w:top w:val="none" w:sz="0" w:space="0" w:color="auto"/>
        <w:left w:val="none" w:sz="0" w:space="0" w:color="auto"/>
        <w:bottom w:val="none" w:sz="0" w:space="0" w:color="auto"/>
        <w:right w:val="none" w:sz="0" w:space="0" w:color="auto"/>
      </w:divBdr>
    </w:div>
    <w:div w:id="2016766105">
      <w:bodyDiv w:val="1"/>
      <w:marLeft w:val="0"/>
      <w:marRight w:val="0"/>
      <w:marTop w:val="0"/>
      <w:marBottom w:val="0"/>
      <w:divBdr>
        <w:top w:val="none" w:sz="0" w:space="0" w:color="auto"/>
        <w:left w:val="none" w:sz="0" w:space="0" w:color="auto"/>
        <w:bottom w:val="none" w:sz="0" w:space="0" w:color="auto"/>
        <w:right w:val="none" w:sz="0" w:space="0" w:color="auto"/>
      </w:divBdr>
    </w:div>
    <w:div w:id="2016883855">
      <w:bodyDiv w:val="1"/>
      <w:marLeft w:val="0"/>
      <w:marRight w:val="0"/>
      <w:marTop w:val="0"/>
      <w:marBottom w:val="0"/>
      <w:divBdr>
        <w:top w:val="none" w:sz="0" w:space="0" w:color="auto"/>
        <w:left w:val="none" w:sz="0" w:space="0" w:color="auto"/>
        <w:bottom w:val="none" w:sz="0" w:space="0" w:color="auto"/>
        <w:right w:val="none" w:sz="0" w:space="0" w:color="auto"/>
      </w:divBdr>
    </w:div>
    <w:div w:id="2016956986">
      <w:bodyDiv w:val="1"/>
      <w:marLeft w:val="0"/>
      <w:marRight w:val="0"/>
      <w:marTop w:val="0"/>
      <w:marBottom w:val="0"/>
      <w:divBdr>
        <w:top w:val="none" w:sz="0" w:space="0" w:color="auto"/>
        <w:left w:val="none" w:sz="0" w:space="0" w:color="auto"/>
        <w:bottom w:val="none" w:sz="0" w:space="0" w:color="auto"/>
        <w:right w:val="none" w:sz="0" w:space="0" w:color="auto"/>
      </w:divBdr>
    </w:div>
    <w:div w:id="2017341048">
      <w:bodyDiv w:val="1"/>
      <w:marLeft w:val="0"/>
      <w:marRight w:val="0"/>
      <w:marTop w:val="0"/>
      <w:marBottom w:val="0"/>
      <w:divBdr>
        <w:top w:val="none" w:sz="0" w:space="0" w:color="auto"/>
        <w:left w:val="none" w:sz="0" w:space="0" w:color="auto"/>
        <w:bottom w:val="none" w:sz="0" w:space="0" w:color="auto"/>
        <w:right w:val="none" w:sz="0" w:space="0" w:color="auto"/>
      </w:divBdr>
    </w:div>
    <w:div w:id="2017343755">
      <w:bodyDiv w:val="1"/>
      <w:marLeft w:val="0"/>
      <w:marRight w:val="0"/>
      <w:marTop w:val="0"/>
      <w:marBottom w:val="0"/>
      <w:divBdr>
        <w:top w:val="none" w:sz="0" w:space="0" w:color="auto"/>
        <w:left w:val="none" w:sz="0" w:space="0" w:color="auto"/>
        <w:bottom w:val="none" w:sz="0" w:space="0" w:color="auto"/>
        <w:right w:val="none" w:sz="0" w:space="0" w:color="auto"/>
      </w:divBdr>
    </w:div>
    <w:div w:id="2017344015">
      <w:bodyDiv w:val="1"/>
      <w:marLeft w:val="0"/>
      <w:marRight w:val="0"/>
      <w:marTop w:val="0"/>
      <w:marBottom w:val="0"/>
      <w:divBdr>
        <w:top w:val="none" w:sz="0" w:space="0" w:color="auto"/>
        <w:left w:val="none" w:sz="0" w:space="0" w:color="auto"/>
        <w:bottom w:val="none" w:sz="0" w:space="0" w:color="auto"/>
        <w:right w:val="none" w:sz="0" w:space="0" w:color="auto"/>
      </w:divBdr>
    </w:div>
    <w:div w:id="2017460913">
      <w:bodyDiv w:val="1"/>
      <w:marLeft w:val="0"/>
      <w:marRight w:val="0"/>
      <w:marTop w:val="0"/>
      <w:marBottom w:val="0"/>
      <w:divBdr>
        <w:top w:val="none" w:sz="0" w:space="0" w:color="auto"/>
        <w:left w:val="none" w:sz="0" w:space="0" w:color="auto"/>
        <w:bottom w:val="none" w:sz="0" w:space="0" w:color="auto"/>
        <w:right w:val="none" w:sz="0" w:space="0" w:color="auto"/>
      </w:divBdr>
    </w:div>
    <w:div w:id="2017729003">
      <w:bodyDiv w:val="1"/>
      <w:marLeft w:val="0"/>
      <w:marRight w:val="0"/>
      <w:marTop w:val="0"/>
      <w:marBottom w:val="0"/>
      <w:divBdr>
        <w:top w:val="none" w:sz="0" w:space="0" w:color="auto"/>
        <w:left w:val="none" w:sz="0" w:space="0" w:color="auto"/>
        <w:bottom w:val="none" w:sz="0" w:space="0" w:color="auto"/>
        <w:right w:val="none" w:sz="0" w:space="0" w:color="auto"/>
      </w:divBdr>
    </w:div>
    <w:div w:id="2017880827">
      <w:bodyDiv w:val="1"/>
      <w:marLeft w:val="0"/>
      <w:marRight w:val="0"/>
      <w:marTop w:val="0"/>
      <w:marBottom w:val="0"/>
      <w:divBdr>
        <w:top w:val="none" w:sz="0" w:space="0" w:color="auto"/>
        <w:left w:val="none" w:sz="0" w:space="0" w:color="auto"/>
        <w:bottom w:val="none" w:sz="0" w:space="0" w:color="auto"/>
        <w:right w:val="none" w:sz="0" w:space="0" w:color="auto"/>
      </w:divBdr>
    </w:div>
    <w:div w:id="2017919581">
      <w:bodyDiv w:val="1"/>
      <w:marLeft w:val="0"/>
      <w:marRight w:val="0"/>
      <w:marTop w:val="0"/>
      <w:marBottom w:val="0"/>
      <w:divBdr>
        <w:top w:val="none" w:sz="0" w:space="0" w:color="auto"/>
        <w:left w:val="none" w:sz="0" w:space="0" w:color="auto"/>
        <w:bottom w:val="none" w:sz="0" w:space="0" w:color="auto"/>
        <w:right w:val="none" w:sz="0" w:space="0" w:color="auto"/>
      </w:divBdr>
    </w:div>
    <w:div w:id="2017998591">
      <w:bodyDiv w:val="1"/>
      <w:marLeft w:val="0"/>
      <w:marRight w:val="0"/>
      <w:marTop w:val="0"/>
      <w:marBottom w:val="0"/>
      <w:divBdr>
        <w:top w:val="none" w:sz="0" w:space="0" w:color="auto"/>
        <w:left w:val="none" w:sz="0" w:space="0" w:color="auto"/>
        <w:bottom w:val="none" w:sz="0" w:space="0" w:color="auto"/>
        <w:right w:val="none" w:sz="0" w:space="0" w:color="auto"/>
      </w:divBdr>
    </w:div>
    <w:div w:id="2017998740">
      <w:bodyDiv w:val="1"/>
      <w:marLeft w:val="0"/>
      <w:marRight w:val="0"/>
      <w:marTop w:val="0"/>
      <w:marBottom w:val="0"/>
      <w:divBdr>
        <w:top w:val="none" w:sz="0" w:space="0" w:color="auto"/>
        <w:left w:val="none" w:sz="0" w:space="0" w:color="auto"/>
        <w:bottom w:val="none" w:sz="0" w:space="0" w:color="auto"/>
        <w:right w:val="none" w:sz="0" w:space="0" w:color="auto"/>
      </w:divBdr>
    </w:div>
    <w:div w:id="2018193126">
      <w:bodyDiv w:val="1"/>
      <w:marLeft w:val="0"/>
      <w:marRight w:val="0"/>
      <w:marTop w:val="0"/>
      <w:marBottom w:val="0"/>
      <w:divBdr>
        <w:top w:val="none" w:sz="0" w:space="0" w:color="auto"/>
        <w:left w:val="none" w:sz="0" w:space="0" w:color="auto"/>
        <w:bottom w:val="none" w:sz="0" w:space="0" w:color="auto"/>
        <w:right w:val="none" w:sz="0" w:space="0" w:color="auto"/>
      </w:divBdr>
    </w:div>
    <w:div w:id="2018848601">
      <w:bodyDiv w:val="1"/>
      <w:marLeft w:val="0"/>
      <w:marRight w:val="0"/>
      <w:marTop w:val="0"/>
      <w:marBottom w:val="0"/>
      <w:divBdr>
        <w:top w:val="none" w:sz="0" w:space="0" w:color="auto"/>
        <w:left w:val="none" w:sz="0" w:space="0" w:color="auto"/>
        <w:bottom w:val="none" w:sz="0" w:space="0" w:color="auto"/>
        <w:right w:val="none" w:sz="0" w:space="0" w:color="auto"/>
      </w:divBdr>
    </w:div>
    <w:div w:id="2018997988">
      <w:bodyDiv w:val="1"/>
      <w:marLeft w:val="0"/>
      <w:marRight w:val="0"/>
      <w:marTop w:val="0"/>
      <w:marBottom w:val="0"/>
      <w:divBdr>
        <w:top w:val="none" w:sz="0" w:space="0" w:color="auto"/>
        <w:left w:val="none" w:sz="0" w:space="0" w:color="auto"/>
        <w:bottom w:val="none" w:sz="0" w:space="0" w:color="auto"/>
        <w:right w:val="none" w:sz="0" w:space="0" w:color="auto"/>
      </w:divBdr>
    </w:div>
    <w:div w:id="2019768592">
      <w:bodyDiv w:val="1"/>
      <w:marLeft w:val="0"/>
      <w:marRight w:val="0"/>
      <w:marTop w:val="0"/>
      <w:marBottom w:val="0"/>
      <w:divBdr>
        <w:top w:val="none" w:sz="0" w:space="0" w:color="auto"/>
        <w:left w:val="none" w:sz="0" w:space="0" w:color="auto"/>
        <w:bottom w:val="none" w:sz="0" w:space="0" w:color="auto"/>
        <w:right w:val="none" w:sz="0" w:space="0" w:color="auto"/>
      </w:divBdr>
    </w:div>
    <w:div w:id="2020110542">
      <w:bodyDiv w:val="1"/>
      <w:marLeft w:val="0"/>
      <w:marRight w:val="0"/>
      <w:marTop w:val="0"/>
      <w:marBottom w:val="0"/>
      <w:divBdr>
        <w:top w:val="none" w:sz="0" w:space="0" w:color="auto"/>
        <w:left w:val="none" w:sz="0" w:space="0" w:color="auto"/>
        <w:bottom w:val="none" w:sz="0" w:space="0" w:color="auto"/>
        <w:right w:val="none" w:sz="0" w:space="0" w:color="auto"/>
      </w:divBdr>
    </w:div>
    <w:div w:id="2020691342">
      <w:bodyDiv w:val="1"/>
      <w:marLeft w:val="0"/>
      <w:marRight w:val="0"/>
      <w:marTop w:val="0"/>
      <w:marBottom w:val="0"/>
      <w:divBdr>
        <w:top w:val="none" w:sz="0" w:space="0" w:color="auto"/>
        <w:left w:val="none" w:sz="0" w:space="0" w:color="auto"/>
        <w:bottom w:val="none" w:sz="0" w:space="0" w:color="auto"/>
        <w:right w:val="none" w:sz="0" w:space="0" w:color="auto"/>
      </w:divBdr>
    </w:div>
    <w:div w:id="2021203352">
      <w:bodyDiv w:val="1"/>
      <w:marLeft w:val="0"/>
      <w:marRight w:val="0"/>
      <w:marTop w:val="0"/>
      <w:marBottom w:val="0"/>
      <w:divBdr>
        <w:top w:val="none" w:sz="0" w:space="0" w:color="auto"/>
        <w:left w:val="none" w:sz="0" w:space="0" w:color="auto"/>
        <w:bottom w:val="none" w:sz="0" w:space="0" w:color="auto"/>
        <w:right w:val="none" w:sz="0" w:space="0" w:color="auto"/>
      </w:divBdr>
    </w:div>
    <w:div w:id="2021464610">
      <w:bodyDiv w:val="1"/>
      <w:marLeft w:val="0"/>
      <w:marRight w:val="0"/>
      <w:marTop w:val="0"/>
      <w:marBottom w:val="0"/>
      <w:divBdr>
        <w:top w:val="none" w:sz="0" w:space="0" w:color="auto"/>
        <w:left w:val="none" w:sz="0" w:space="0" w:color="auto"/>
        <w:bottom w:val="none" w:sz="0" w:space="0" w:color="auto"/>
        <w:right w:val="none" w:sz="0" w:space="0" w:color="auto"/>
      </w:divBdr>
    </w:div>
    <w:div w:id="2021542556">
      <w:bodyDiv w:val="1"/>
      <w:marLeft w:val="0"/>
      <w:marRight w:val="0"/>
      <w:marTop w:val="0"/>
      <w:marBottom w:val="0"/>
      <w:divBdr>
        <w:top w:val="none" w:sz="0" w:space="0" w:color="auto"/>
        <w:left w:val="none" w:sz="0" w:space="0" w:color="auto"/>
        <w:bottom w:val="none" w:sz="0" w:space="0" w:color="auto"/>
        <w:right w:val="none" w:sz="0" w:space="0" w:color="auto"/>
      </w:divBdr>
    </w:div>
    <w:div w:id="2021925686">
      <w:bodyDiv w:val="1"/>
      <w:marLeft w:val="0"/>
      <w:marRight w:val="0"/>
      <w:marTop w:val="0"/>
      <w:marBottom w:val="0"/>
      <w:divBdr>
        <w:top w:val="none" w:sz="0" w:space="0" w:color="auto"/>
        <w:left w:val="none" w:sz="0" w:space="0" w:color="auto"/>
        <w:bottom w:val="none" w:sz="0" w:space="0" w:color="auto"/>
        <w:right w:val="none" w:sz="0" w:space="0" w:color="auto"/>
      </w:divBdr>
    </w:div>
    <w:div w:id="2021929315">
      <w:bodyDiv w:val="1"/>
      <w:marLeft w:val="0"/>
      <w:marRight w:val="0"/>
      <w:marTop w:val="0"/>
      <w:marBottom w:val="0"/>
      <w:divBdr>
        <w:top w:val="none" w:sz="0" w:space="0" w:color="auto"/>
        <w:left w:val="none" w:sz="0" w:space="0" w:color="auto"/>
        <w:bottom w:val="none" w:sz="0" w:space="0" w:color="auto"/>
        <w:right w:val="none" w:sz="0" w:space="0" w:color="auto"/>
      </w:divBdr>
    </w:div>
    <w:div w:id="2022662559">
      <w:bodyDiv w:val="1"/>
      <w:marLeft w:val="0"/>
      <w:marRight w:val="0"/>
      <w:marTop w:val="0"/>
      <w:marBottom w:val="0"/>
      <w:divBdr>
        <w:top w:val="none" w:sz="0" w:space="0" w:color="auto"/>
        <w:left w:val="none" w:sz="0" w:space="0" w:color="auto"/>
        <w:bottom w:val="none" w:sz="0" w:space="0" w:color="auto"/>
        <w:right w:val="none" w:sz="0" w:space="0" w:color="auto"/>
      </w:divBdr>
    </w:div>
    <w:div w:id="2023119968">
      <w:bodyDiv w:val="1"/>
      <w:marLeft w:val="0"/>
      <w:marRight w:val="0"/>
      <w:marTop w:val="0"/>
      <w:marBottom w:val="0"/>
      <w:divBdr>
        <w:top w:val="none" w:sz="0" w:space="0" w:color="auto"/>
        <w:left w:val="none" w:sz="0" w:space="0" w:color="auto"/>
        <w:bottom w:val="none" w:sz="0" w:space="0" w:color="auto"/>
        <w:right w:val="none" w:sz="0" w:space="0" w:color="auto"/>
      </w:divBdr>
    </w:div>
    <w:div w:id="2023239529">
      <w:bodyDiv w:val="1"/>
      <w:marLeft w:val="0"/>
      <w:marRight w:val="0"/>
      <w:marTop w:val="0"/>
      <w:marBottom w:val="0"/>
      <w:divBdr>
        <w:top w:val="none" w:sz="0" w:space="0" w:color="auto"/>
        <w:left w:val="none" w:sz="0" w:space="0" w:color="auto"/>
        <w:bottom w:val="none" w:sz="0" w:space="0" w:color="auto"/>
        <w:right w:val="none" w:sz="0" w:space="0" w:color="auto"/>
      </w:divBdr>
    </w:div>
    <w:div w:id="2023316769">
      <w:bodyDiv w:val="1"/>
      <w:marLeft w:val="0"/>
      <w:marRight w:val="0"/>
      <w:marTop w:val="0"/>
      <w:marBottom w:val="0"/>
      <w:divBdr>
        <w:top w:val="none" w:sz="0" w:space="0" w:color="auto"/>
        <w:left w:val="none" w:sz="0" w:space="0" w:color="auto"/>
        <w:bottom w:val="none" w:sz="0" w:space="0" w:color="auto"/>
        <w:right w:val="none" w:sz="0" w:space="0" w:color="auto"/>
      </w:divBdr>
    </w:div>
    <w:div w:id="2023892594">
      <w:bodyDiv w:val="1"/>
      <w:marLeft w:val="0"/>
      <w:marRight w:val="0"/>
      <w:marTop w:val="0"/>
      <w:marBottom w:val="0"/>
      <w:divBdr>
        <w:top w:val="none" w:sz="0" w:space="0" w:color="auto"/>
        <w:left w:val="none" w:sz="0" w:space="0" w:color="auto"/>
        <w:bottom w:val="none" w:sz="0" w:space="0" w:color="auto"/>
        <w:right w:val="none" w:sz="0" w:space="0" w:color="auto"/>
      </w:divBdr>
    </w:div>
    <w:div w:id="2024044560">
      <w:bodyDiv w:val="1"/>
      <w:marLeft w:val="0"/>
      <w:marRight w:val="0"/>
      <w:marTop w:val="0"/>
      <w:marBottom w:val="0"/>
      <w:divBdr>
        <w:top w:val="none" w:sz="0" w:space="0" w:color="auto"/>
        <w:left w:val="none" w:sz="0" w:space="0" w:color="auto"/>
        <w:bottom w:val="none" w:sz="0" w:space="0" w:color="auto"/>
        <w:right w:val="none" w:sz="0" w:space="0" w:color="auto"/>
      </w:divBdr>
    </w:div>
    <w:div w:id="2024089024">
      <w:bodyDiv w:val="1"/>
      <w:marLeft w:val="0"/>
      <w:marRight w:val="0"/>
      <w:marTop w:val="0"/>
      <w:marBottom w:val="0"/>
      <w:divBdr>
        <w:top w:val="none" w:sz="0" w:space="0" w:color="auto"/>
        <w:left w:val="none" w:sz="0" w:space="0" w:color="auto"/>
        <w:bottom w:val="none" w:sz="0" w:space="0" w:color="auto"/>
        <w:right w:val="none" w:sz="0" w:space="0" w:color="auto"/>
      </w:divBdr>
    </w:div>
    <w:div w:id="2024089541">
      <w:bodyDiv w:val="1"/>
      <w:marLeft w:val="0"/>
      <w:marRight w:val="0"/>
      <w:marTop w:val="0"/>
      <w:marBottom w:val="0"/>
      <w:divBdr>
        <w:top w:val="none" w:sz="0" w:space="0" w:color="auto"/>
        <w:left w:val="none" w:sz="0" w:space="0" w:color="auto"/>
        <w:bottom w:val="none" w:sz="0" w:space="0" w:color="auto"/>
        <w:right w:val="none" w:sz="0" w:space="0" w:color="auto"/>
      </w:divBdr>
    </w:div>
    <w:div w:id="2024161071">
      <w:bodyDiv w:val="1"/>
      <w:marLeft w:val="0"/>
      <w:marRight w:val="0"/>
      <w:marTop w:val="0"/>
      <w:marBottom w:val="0"/>
      <w:divBdr>
        <w:top w:val="none" w:sz="0" w:space="0" w:color="auto"/>
        <w:left w:val="none" w:sz="0" w:space="0" w:color="auto"/>
        <w:bottom w:val="none" w:sz="0" w:space="0" w:color="auto"/>
        <w:right w:val="none" w:sz="0" w:space="0" w:color="auto"/>
      </w:divBdr>
    </w:div>
    <w:div w:id="2024237028">
      <w:bodyDiv w:val="1"/>
      <w:marLeft w:val="0"/>
      <w:marRight w:val="0"/>
      <w:marTop w:val="0"/>
      <w:marBottom w:val="0"/>
      <w:divBdr>
        <w:top w:val="none" w:sz="0" w:space="0" w:color="auto"/>
        <w:left w:val="none" w:sz="0" w:space="0" w:color="auto"/>
        <w:bottom w:val="none" w:sz="0" w:space="0" w:color="auto"/>
        <w:right w:val="none" w:sz="0" w:space="0" w:color="auto"/>
      </w:divBdr>
    </w:div>
    <w:div w:id="2024623866">
      <w:bodyDiv w:val="1"/>
      <w:marLeft w:val="0"/>
      <w:marRight w:val="0"/>
      <w:marTop w:val="0"/>
      <w:marBottom w:val="0"/>
      <w:divBdr>
        <w:top w:val="none" w:sz="0" w:space="0" w:color="auto"/>
        <w:left w:val="none" w:sz="0" w:space="0" w:color="auto"/>
        <w:bottom w:val="none" w:sz="0" w:space="0" w:color="auto"/>
        <w:right w:val="none" w:sz="0" w:space="0" w:color="auto"/>
      </w:divBdr>
    </w:div>
    <w:div w:id="2024672351">
      <w:bodyDiv w:val="1"/>
      <w:marLeft w:val="0"/>
      <w:marRight w:val="0"/>
      <w:marTop w:val="0"/>
      <w:marBottom w:val="0"/>
      <w:divBdr>
        <w:top w:val="none" w:sz="0" w:space="0" w:color="auto"/>
        <w:left w:val="none" w:sz="0" w:space="0" w:color="auto"/>
        <w:bottom w:val="none" w:sz="0" w:space="0" w:color="auto"/>
        <w:right w:val="none" w:sz="0" w:space="0" w:color="auto"/>
      </w:divBdr>
    </w:div>
    <w:div w:id="2024866170">
      <w:bodyDiv w:val="1"/>
      <w:marLeft w:val="0"/>
      <w:marRight w:val="0"/>
      <w:marTop w:val="0"/>
      <w:marBottom w:val="0"/>
      <w:divBdr>
        <w:top w:val="none" w:sz="0" w:space="0" w:color="auto"/>
        <w:left w:val="none" w:sz="0" w:space="0" w:color="auto"/>
        <w:bottom w:val="none" w:sz="0" w:space="0" w:color="auto"/>
        <w:right w:val="none" w:sz="0" w:space="0" w:color="auto"/>
      </w:divBdr>
    </w:div>
    <w:div w:id="2025402186">
      <w:bodyDiv w:val="1"/>
      <w:marLeft w:val="0"/>
      <w:marRight w:val="0"/>
      <w:marTop w:val="0"/>
      <w:marBottom w:val="0"/>
      <w:divBdr>
        <w:top w:val="none" w:sz="0" w:space="0" w:color="auto"/>
        <w:left w:val="none" w:sz="0" w:space="0" w:color="auto"/>
        <w:bottom w:val="none" w:sz="0" w:space="0" w:color="auto"/>
        <w:right w:val="none" w:sz="0" w:space="0" w:color="auto"/>
      </w:divBdr>
    </w:div>
    <w:div w:id="2025589200">
      <w:bodyDiv w:val="1"/>
      <w:marLeft w:val="0"/>
      <w:marRight w:val="0"/>
      <w:marTop w:val="0"/>
      <w:marBottom w:val="0"/>
      <w:divBdr>
        <w:top w:val="none" w:sz="0" w:space="0" w:color="auto"/>
        <w:left w:val="none" w:sz="0" w:space="0" w:color="auto"/>
        <w:bottom w:val="none" w:sz="0" w:space="0" w:color="auto"/>
        <w:right w:val="none" w:sz="0" w:space="0" w:color="auto"/>
      </w:divBdr>
    </w:div>
    <w:div w:id="2025672291">
      <w:bodyDiv w:val="1"/>
      <w:marLeft w:val="0"/>
      <w:marRight w:val="0"/>
      <w:marTop w:val="0"/>
      <w:marBottom w:val="0"/>
      <w:divBdr>
        <w:top w:val="none" w:sz="0" w:space="0" w:color="auto"/>
        <w:left w:val="none" w:sz="0" w:space="0" w:color="auto"/>
        <w:bottom w:val="none" w:sz="0" w:space="0" w:color="auto"/>
        <w:right w:val="none" w:sz="0" w:space="0" w:color="auto"/>
      </w:divBdr>
    </w:div>
    <w:div w:id="2026049569">
      <w:bodyDiv w:val="1"/>
      <w:marLeft w:val="0"/>
      <w:marRight w:val="0"/>
      <w:marTop w:val="0"/>
      <w:marBottom w:val="0"/>
      <w:divBdr>
        <w:top w:val="none" w:sz="0" w:space="0" w:color="auto"/>
        <w:left w:val="none" w:sz="0" w:space="0" w:color="auto"/>
        <w:bottom w:val="none" w:sz="0" w:space="0" w:color="auto"/>
        <w:right w:val="none" w:sz="0" w:space="0" w:color="auto"/>
      </w:divBdr>
    </w:div>
    <w:div w:id="2026244464">
      <w:bodyDiv w:val="1"/>
      <w:marLeft w:val="0"/>
      <w:marRight w:val="0"/>
      <w:marTop w:val="0"/>
      <w:marBottom w:val="0"/>
      <w:divBdr>
        <w:top w:val="none" w:sz="0" w:space="0" w:color="auto"/>
        <w:left w:val="none" w:sz="0" w:space="0" w:color="auto"/>
        <w:bottom w:val="none" w:sz="0" w:space="0" w:color="auto"/>
        <w:right w:val="none" w:sz="0" w:space="0" w:color="auto"/>
      </w:divBdr>
    </w:div>
    <w:div w:id="2026247187">
      <w:bodyDiv w:val="1"/>
      <w:marLeft w:val="0"/>
      <w:marRight w:val="0"/>
      <w:marTop w:val="0"/>
      <w:marBottom w:val="0"/>
      <w:divBdr>
        <w:top w:val="none" w:sz="0" w:space="0" w:color="auto"/>
        <w:left w:val="none" w:sz="0" w:space="0" w:color="auto"/>
        <w:bottom w:val="none" w:sz="0" w:space="0" w:color="auto"/>
        <w:right w:val="none" w:sz="0" w:space="0" w:color="auto"/>
      </w:divBdr>
    </w:div>
    <w:div w:id="2026251555">
      <w:bodyDiv w:val="1"/>
      <w:marLeft w:val="0"/>
      <w:marRight w:val="0"/>
      <w:marTop w:val="0"/>
      <w:marBottom w:val="0"/>
      <w:divBdr>
        <w:top w:val="none" w:sz="0" w:space="0" w:color="auto"/>
        <w:left w:val="none" w:sz="0" w:space="0" w:color="auto"/>
        <w:bottom w:val="none" w:sz="0" w:space="0" w:color="auto"/>
        <w:right w:val="none" w:sz="0" w:space="0" w:color="auto"/>
      </w:divBdr>
    </w:div>
    <w:div w:id="2026325771">
      <w:bodyDiv w:val="1"/>
      <w:marLeft w:val="0"/>
      <w:marRight w:val="0"/>
      <w:marTop w:val="0"/>
      <w:marBottom w:val="0"/>
      <w:divBdr>
        <w:top w:val="none" w:sz="0" w:space="0" w:color="auto"/>
        <w:left w:val="none" w:sz="0" w:space="0" w:color="auto"/>
        <w:bottom w:val="none" w:sz="0" w:space="0" w:color="auto"/>
        <w:right w:val="none" w:sz="0" w:space="0" w:color="auto"/>
      </w:divBdr>
    </w:div>
    <w:div w:id="2026326556">
      <w:bodyDiv w:val="1"/>
      <w:marLeft w:val="0"/>
      <w:marRight w:val="0"/>
      <w:marTop w:val="0"/>
      <w:marBottom w:val="0"/>
      <w:divBdr>
        <w:top w:val="none" w:sz="0" w:space="0" w:color="auto"/>
        <w:left w:val="none" w:sz="0" w:space="0" w:color="auto"/>
        <w:bottom w:val="none" w:sz="0" w:space="0" w:color="auto"/>
        <w:right w:val="none" w:sz="0" w:space="0" w:color="auto"/>
      </w:divBdr>
    </w:div>
    <w:div w:id="2026400479">
      <w:bodyDiv w:val="1"/>
      <w:marLeft w:val="0"/>
      <w:marRight w:val="0"/>
      <w:marTop w:val="0"/>
      <w:marBottom w:val="0"/>
      <w:divBdr>
        <w:top w:val="none" w:sz="0" w:space="0" w:color="auto"/>
        <w:left w:val="none" w:sz="0" w:space="0" w:color="auto"/>
        <w:bottom w:val="none" w:sz="0" w:space="0" w:color="auto"/>
        <w:right w:val="none" w:sz="0" w:space="0" w:color="auto"/>
      </w:divBdr>
    </w:div>
    <w:div w:id="2026516870">
      <w:bodyDiv w:val="1"/>
      <w:marLeft w:val="0"/>
      <w:marRight w:val="0"/>
      <w:marTop w:val="0"/>
      <w:marBottom w:val="0"/>
      <w:divBdr>
        <w:top w:val="none" w:sz="0" w:space="0" w:color="auto"/>
        <w:left w:val="none" w:sz="0" w:space="0" w:color="auto"/>
        <w:bottom w:val="none" w:sz="0" w:space="0" w:color="auto"/>
        <w:right w:val="none" w:sz="0" w:space="0" w:color="auto"/>
      </w:divBdr>
    </w:div>
    <w:div w:id="2026708439">
      <w:bodyDiv w:val="1"/>
      <w:marLeft w:val="0"/>
      <w:marRight w:val="0"/>
      <w:marTop w:val="0"/>
      <w:marBottom w:val="0"/>
      <w:divBdr>
        <w:top w:val="none" w:sz="0" w:space="0" w:color="auto"/>
        <w:left w:val="none" w:sz="0" w:space="0" w:color="auto"/>
        <w:bottom w:val="none" w:sz="0" w:space="0" w:color="auto"/>
        <w:right w:val="none" w:sz="0" w:space="0" w:color="auto"/>
      </w:divBdr>
    </w:div>
    <w:div w:id="2026780923">
      <w:bodyDiv w:val="1"/>
      <w:marLeft w:val="0"/>
      <w:marRight w:val="0"/>
      <w:marTop w:val="0"/>
      <w:marBottom w:val="0"/>
      <w:divBdr>
        <w:top w:val="none" w:sz="0" w:space="0" w:color="auto"/>
        <w:left w:val="none" w:sz="0" w:space="0" w:color="auto"/>
        <w:bottom w:val="none" w:sz="0" w:space="0" w:color="auto"/>
        <w:right w:val="none" w:sz="0" w:space="0" w:color="auto"/>
      </w:divBdr>
    </w:div>
    <w:div w:id="2027058444">
      <w:bodyDiv w:val="1"/>
      <w:marLeft w:val="0"/>
      <w:marRight w:val="0"/>
      <w:marTop w:val="0"/>
      <w:marBottom w:val="0"/>
      <w:divBdr>
        <w:top w:val="none" w:sz="0" w:space="0" w:color="auto"/>
        <w:left w:val="none" w:sz="0" w:space="0" w:color="auto"/>
        <w:bottom w:val="none" w:sz="0" w:space="0" w:color="auto"/>
        <w:right w:val="none" w:sz="0" w:space="0" w:color="auto"/>
      </w:divBdr>
    </w:div>
    <w:div w:id="2027168536">
      <w:bodyDiv w:val="1"/>
      <w:marLeft w:val="0"/>
      <w:marRight w:val="0"/>
      <w:marTop w:val="0"/>
      <w:marBottom w:val="0"/>
      <w:divBdr>
        <w:top w:val="none" w:sz="0" w:space="0" w:color="auto"/>
        <w:left w:val="none" w:sz="0" w:space="0" w:color="auto"/>
        <w:bottom w:val="none" w:sz="0" w:space="0" w:color="auto"/>
        <w:right w:val="none" w:sz="0" w:space="0" w:color="auto"/>
      </w:divBdr>
    </w:div>
    <w:div w:id="2028024419">
      <w:bodyDiv w:val="1"/>
      <w:marLeft w:val="0"/>
      <w:marRight w:val="0"/>
      <w:marTop w:val="0"/>
      <w:marBottom w:val="0"/>
      <w:divBdr>
        <w:top w:val="none" w:sz="0" w:space="0" w:color="auto"/>
        <w:left w:val="none" w:sz="0" w:space="0" w:color="auto"/>
        <w:bottom w:val="none" w:sz="0" w:space="0" w:color="auto"/>
        <w:right w:val="none" w:sz="0" w:space="0" w:color="auto"/>
      </w:divBdr>
    </w:div>
    <w:div w:id="2028212040">
      <w:bodyDiv w:val="1"/>
      <w:marLeft w:val="0"/>
      <w:marRight w:val="0"/>
      <w:marTop w:val="0"/>
      <w:marBottom w:val="0"/>
      <w:divBdr>
        <w:top w:val="none" w:sz="0" w:space="0" w:color="auto"/>
        <w:left w:val="none" w:sz="0" w:space="0" w:color="auto"/>
        <w:bottom w:val="none" w:sz="0" w:space="0" w:color="auto"/>
        <w:right w:val="none" w:sz="0" w:space="0" w:color="auto"/>
      </w:divBdr>
    </w:div>
    <w:div w:id="2028406330">
      <w:bodyDiv w:val="1"/>
      <w:marLeft w:val="0"/>
      <w:marRight w:val="0"/>
      <w:marTop w:val="0"/>
      <w:marBottom w:val="0"/>
      <w:divBdr>
        <w:top w:val="none" w:sz="0" w:space="0" w:color="auto"/>
        <w:left w:val="none" w:sz="0" w:space="0" w:color="auto"/>
        <w:bottom w:val="none" w:sz="0" w:space="0" w:color="auto"/>
        <w:right w:val="none" w:sz="0" w:space="0" w:color="auto"/>
      </w:divBdr>
    </w:div>
    <w:div w:id="2028558689">
      <w:bodyDiv w:val="1"/>
      <w:marLeft w:val="0"/>
      <w:marRight w:val="0"/>
      <w:marTop w:val="0"/>
      <w:marBottom w:val="0"/>
      <w:divBdr>
        <w:top w:val="none" w:sz="0" w:space="0" w:color="auto"/>
        <w:left w:val="none" w:sz="0" w:space="0" w:color="auto"/>
        <w:bottom w:val="none" w:sz="0" w:space="0" w:color="auto"/>
        <w:right w:val="none" w:sz="0" w:space="0" w:color="auto"/>
      </w:divBdr>
    </w:div>
    <w:div w:id="2029257880">
      <w:bodyDiv w:val="1"/>
      <w:marLeft w:val="0"/>
      <w:marRight w:val="0"/>
      <w:marTop w:val="0"/>
      <w:marBottom w:val="0"/>
      <w:divBdr>
        <w:top w:val="none" w:sz="0" w:space="0" w:color="auto"/>
        <w:left w:val="none" w:sz="0" w:space="0" w:color="auto"/>
        <w:bottom w:val="none" w:sz="0" w:space="0" w:color="auto"/>
        <w:right w:val="none" w:sz="0" w:space="0" w:color="auto"/>
      </w:divBdr>
    </w:div>
    <w:div w:id="2029285666">
      <w:bodyDiv w:val="1"/>
      <w:marLeft w:val="0"/>
      <w:marRight w:val="0"/>
      <w:marTop w:val="0"/>
      <w:marBottom w:val="0"/>
      <w:divBdr>
        <w:top w:val="none" w:sz="0" w:space="0" w:color="auto"/>
        <w:left w:val="none" w:sz="0" w:space="0" w:color="auto"/>
        <w:bottom w:val="none" w:sz="0" w:space="0" w:color="auto"/>
        <w:right w:val="none" w:sz="0" w:space="0" w:color="auto"/>
      </w:divBdr>
    </w:div>
    <w:div w:id="2029407353">
      <w:bodyDiv w:val="1"/>
      <w:marLeft w:val="0"/>
      <w:marRight w:val="0"/>
      <w:marTop w:val="0"/>
      <w:marBottom w:val="0"/>
      <w:divBdr>
        <w:top w:val="none" w:sz="0" w:space="0" w:color="auto"/>
        <w:left w:val="none" w:sz="0" w:space="0" w:color="auto"/>
        <w:bottom w:val="none" w:sz="0" w:space="0" w:color="auto"/>
        <w:right w:val="none" w:sz="0" w:space="0" w:color="auto"/>
      </w:divBdr>
    </w:div>
    <w:div w:id="2029600197">
      <w:bodyDiv w:val="1"/>
      <w:marLeft w:val="0"/>
      <w:marRight w:val="0"/>
      <w:marTop w:val="0"/>
      <w:marBottom w:val="0"/>
      <w:divBdr>
        <w:top w:val="none" w:sz="0" w:space="0" w:color="auto"/>
        <w:left w:val="none" w:sz="0" w:space="0" w:color="auto"/>
        <w:bottom w:val="none" w:sz="0" w:space="0" w:color="auto"/>
        <w:right w:val="none" w:sz="0" w:space="0" w:color="auto"/>
      </w:divBdr>
    </w:div>
    <w:div w:id="2029746471">
      <w:bodyDiv w:val="1"/>
      <w:marLeft w:val="0"/>
      <w:marRight w:val="0"/>
      <w:marTop w:val="0"/>
      <w:marBottom w:val="0"/>
      <w:divBdr>
        <w:top w:val="none" w:sz="0" w:space="0" w:color="auto"/>
        <w:left w:val="none" w:sz="0" w:space="0" w:color="auto"/>
        <w:bottom w:val="none" w:sz="0" w:space="0" w:color="auto"/>
        <w:right w:val="none" w:sz="0" w:space="0" w:color="auto"/>
      </w:divBdr>
    </w:div>
    <w:div w:id="2029797563">
      <w:bodyDiv w:val="1"/>
      <w:marLeft w:val="0"/>
      <w:marRight w:val="0"/>
      <w:marTop w:val="0"/>
      <w:marBottom w:val="0"/>
      <w:divBdr>
        <w:top w:val="none" w:sz="0" w:space="0" w:color="auto"/>
        <w:left w:val="none" w:sz="0" w:space="0" w:color="auto"/>
        <w:bottom w:val="none" w:sz="0" w:space="0" w:color="auto"/>
        <w:right w:val="none" w:sz="0" w:space="0" w:color="auto"/>
      </w:divBdr>
    </w:div>
    <w:div w:id="2029941973">
      <w:bodyDiv w:val="1"/>
      <w:marLeft w:val="0"/>
      <w:marRight w:val="0"/>
      <w:marTop w:val="0"/>
      <w:marBottom w:val="0"/>
      <w:divBdr>
        <w:top w:val="none" w:sz="0" w:space="0" w:color="auto"/>
        <w:left w:val="none" w:sz="0" w:space="0" w:color="auto"/>
        <w:bottom w:val="none" w:sz="0" w:space="0" w:color="auto"/>
        <w:right w:val="none" w:sz="0" w:space="0" w:color="auto"/>
      </w:divBdr>
    </w:div>
    <w:div w:id="2030061920">
      <w:bodyDiv w:val="1"/>
      <w:marLeft w:val="0"/>
      <w:marRight w:val="0"/>
      <w:marTop w:val="0"/>
      <w:marBottom w:val="0"/>
      <w:divBdr>
        <w:top w:val="none" w:sz="0" w:space="0" w:color="auto"/>
        <w:left w:val="none" w:sz="0" w:space="0" w:color="auto"/>
        <w:bottom w:val="none" w:sz="0" w:space="0" w:color="auto"/>
        <w:right w:val="none" w:sz="0" w:space="0" w:color="auto"/>
      </w:divBdr>
    </w:div>
    <w:div w:id="2030181123">
      <w:bodyDiv w:val="1"/>
      <w:marLeft w:val="0"/>
      <w:marRight w:val="0"/>
      <w:marTop w:val="0"/>
      <w:marBottom w:val="0"/>
      <w:divBdr>
        <w:top w:val="none" w:sz="0" w:space="0" w:color="auto"/>
        <w:left w:val="none" w:sz="0" w:space="0" w:color="auto"/>
        <w:bottom w:val="none" w:sz="0" w:space="0" w:color="auto"/>
        <w:right w:val="none" w:sz="0" w:space="0" w:color="auto"/>
      </w:divBdr>
    </w:div>
    <w:div w:id="2030183677">
      <w:bodyDiv w:val="1"/>
      <w:marLeft w:val="0"/>
      <w:marRight w:val="0"/>
      <w:marTop w:val="0"/>
      <w:marBottom w:val="0"/>
      <w:divBdr>
        <w:top w:val="none" w:sz="0" w:space="0" w:color="auto"/>
        <w:left w:val="none" w:sz="0" w:space="0" w:color="auto"/>
        <w:bottom w:val="none" w:sz="0" w:space="0" w:color="auto"/>
        <w:right w:val="none" w:sz="0" w:space="0" w:color="auto"/>
      </w:divBdr>
    </w:div>
    <w:div w:id="2030331353">
      <w:bodyDiv w:val="1"/>
      <w:marLeft w:val="0"/>
      <w:marRight w:val="0"/>
      <w:marTop w:val="0"/>
      <w:marBottom w:val="0"/>
      <w:divBdr>
        <w:top w:val="none" w:sz="0" w:space="0" w:color="auto"/>
        <w:left w:val="none" w:sz="0" w:space="0" w:color="auto"/>
        <w:bottom w:val="none" w:sz="0" w:space="0" w:color="auto"/>
        <w:right w:val="none" w:sz="0" w:space="0" w:color="auto"/>
      </w:divBdr>
    </w:div>
    <w:div w:id="2030332816">
      <w:bodyDiv w:val="1"/>
      <w:marLeft w:val="0"/>
      <w:marRight w:val="0"/>
      <w:marTop w:val="0"/>
      <w:marBottom w:val="0"/>
      <w:divBdr>
        <w:top w:val="none" w:sz="0" w:space="0" w:color="auto"/>
        <w:left w:val="none" w:sz="0" w:space="0" w:color="auto"/>
        <w:bottom w:val="none" w:sz="0" w:space="0" w:color="auto"/>
        <w:right w:val="none" w:sz="0" w:space="0" w:color="auto"/>
      </w:divBdr>
    </w:div>
    <w:div w:id="2030524299">
      <w:bodyDiv w:val="1"/>
      <w:marLeft w:val="0"/>
      <w:marRight w:val="0"/>
      <w:marTop w:val="0"/>
      <w:marBottom w:val="0"/>
      <w:divBdr>
        <w:top w:val="none" w:sz="0" w:space="0" w:color="auto"/>
        <w:left w:val="none" w:sz="0" w:space="0" w:color="auto"/>
        <w:bottom w:val="none" w:sz="0" w:space="0" w:color="auto"/>
        <w:right w:val="none" w:sz="0" w:space="0" w:color="auto"/>
      </w:divBdr>
    </w:div>
    <w:div w:id="2030636741">
      <w:bodyDiv w:val="1"/>
      <w:marLeft w:val="0"/>
      <w:marRight w:val="0"/>
      <w:marTop w:val="0"/>
      <w:marBottom w:val="0"/>
      <w:divBdr>
        <w:top w:val="none" w:sz="0" w:space="0" w:color="auto"/>
        <w:left w:val="none" w:sz="0" w:space="0" w:color="auto"/>
        <w:bottom w:val="none" w:sz="0" w:space="0" w:color="auto"/>
        <w:right w:val="none" w:sz="0" w:space="0" w:color="auto"/>
      </w:divBdr>
    </w:div>
    <w:div w:id="2030792628">
      <w:bodyDiv w:val="1"/>
      <w:marLeft w:val="0"/>
      <w:marRight w:val="0"/>
      <w:marTop w:val="0"/>
      <w:marBottom w:val="0"/>
      <w:divBdr>
        <w:top w:val="none" w:sz="0" w:space="0" w:color="auto"/>
        <w:left w:val="none" w:sz="0" w:space="0" w:color="auto"/>
        <w:bottom w:val="none" w:sz="0" w:space="0" w:color="auto"/>
        <w:right w:val="none" w:sz="0" w:space="0" w:color="auto"/>
      </w:divBdr>
    </w:div>
    <w:div w:id="2030831088">
      <w:bodyDiv w:val="1"/>
      <w:marLeft w:val="0"/>
      <w:marRight w:val="0"/>
      <w:marTop w:val="0"/>
      <w:marBottom w:val="0"/>
      <w:divBdr>
        <w:top w:val="none" w:sz="0" w:space="0" w:color="auto"/>
        <w:left w:val="none" w:sz="0" w:space="0" w:color="auto"/>
        <w:bottom w:val="none" w:sz="0" w:space="0" w:color="auto"/>
        <w:right w:val="none" w:sz="0" w:space="0" w:color="auto"/>
      </w:divBdr>
    </w:div>
    <w:div w:id="2030839380">
      <w:bodyDiv w:val="1"/>
      <w:marLeft w:val="0"/>
      <w:marRight w:val="0"/>
      <w:marTop w:val="0"/>
      <w:marBottom w:val="0"/>
      <w:divBdr>
        <w:top w:val="none" w:sz="0" w:space="0" w:color="auto"/>
        <w:left w:val="none" w:sz="0" w:space="0" w:color="auto"/>
        <w:bottom w:val="none" w:sz="0" w:space="0" w:color="auto"/>
        <w:right w:val="none" w:sz="0" w:space="0" w:color="auto"/>
      </w:divBdr>
    </w:div>
    <w:div w:id="2031058781">
      <w:bodyDiv w:val="1"/>
      <w:marLeft w:val="0"/>
      <w:marRight w:val="0"/>
      <w:marTop w:val="0"/>
      <w:marBottom w:val="0"/>
      <w:divBdr>
        <w:top w:val="none" w:sz="0" w:space="0" w:color="auto"/>
        <w:left w:val="none" w:sz="0" w:space="0" w:color="auto"/>
        <w:bottom w:val="none" w:sz="0" w:space="0" w:color="auto"/>
        <w:right w:val="none" w:sz="0" w:space="0" w:color="auto"/>
      </w:divBdr>
    </w:div>
    <w:div w:id="2031099606">
      <w:bodyDiv w:val="1"/>
      <w:marLeft w:val="0"/>
      <w:marRight w:val="0"/>
      <w:marTop w:val="0"/>
      <w:marBottom w:val="0"/>
      <w:divBdr>
        <w:top w:val="none" w:sz="0" w:space="0" w:color="auto"/>
        <w:left w:val="none" w:sz="0" w:space="0" w:color="auto"/>
        <w:bottom w:val="none" w:sz="0" w:space="0" w:color="auto"/>
        <w:right w:val="none" w:sz="0" w:space="0" w:color="auto"/>
      </w:divBdr>
    </w:div>
    <w:div w:id="2031176319">
      <w:bodyDiv w:val="1"/>
      <w:marLeft w:val="0"/>
      <w:marRight w:val="0"/>
      <w:marTop w:val="0"/>
      <w:marBottom w:val="0"/>
      <w:divBdr>
        <w:top w:val="none" w:sz="0" w:space="0" w:color="auto"/>
        <w:left w:val="none" w:sz="0" w:space="0" w:color="auto"/>
        <w:bottom w:val="none" w:sz="0" w:space="0" w:color="auto"/>
        <w:right w:val="none" w:sz="0" w:space="0" w:color="auto"/>
      </w:divBdr>
    </w:div>
    <w:div w:id="2031251646">
      <w:bodyDiv w:val="1"/>
      <w:marLeft w:val="0"/>
      <w:marRight w:val="0"/>
      <w:marTop w:val="0"/>
      <w:marBottom w:val="0"/>
      <w:divBdr>
        <w:top w:val="none" w:sz="0" w:space="0" w:color="auto"/>
        <w:left w:val="none" w:sz="0" w:space="0" w:color="auto"/>
        <w:bottom w:val="none" w:sz="0" w:space="0" w:color="auto"/>
        <w:right w:val="none" w:sz="0" w:space="0" w:color="auto"/>
      </w:divBdr>
    </w:div>
    <w:div w:id="2031374992">
      <w:bodyDiv w:val="1"/>
      <w:marLeft w:val="0"/>
      <w:marRight w:val="0"/>
      <w:marTop w:val="0"/>
      <w:marBottom w:val="0"/>
      <w:divBdr>
        <w:top w:val="none" w:sz="0" w:space="0" w:color="auto"/>
        <w:left w:val="none" w:sz="0" w:space="0" w:color="auto"/>
        <w:bottom w:val="none" w:sz="0" w:space="0" w:color="auto"/>
        <w:right w:val="none" w:sz="0" w:space="0" w:color="auto"/>
      </w:divBdr>
    </w:div>
    <w:div w:id="2031445034">
      <w:bodyDiv w:val="1"/>
      <w:marLeft w:val="0"/>
      <w:marRight w:val="0"/>
      <w:marTop w:val="0"/>
      <w:marBottom w:val="0"/>
      <w:divBdr>
        <w:top w:val="none" w:sz="0" w:space="0" w:color="auto"/>
        <w:left w:val="none" w:sz="0" w:space="0" w:color="auto"/>
        <w:bottom w:val="none" w:sz="0" w:space="0" w:color="auto"/>
        <w:right w:val="none" w:sz="0" w:space="0" w:color="auto"/>
      </w:divBdr>
    </w:div>
    <w:div w:id="2031448242">
      <w:bodyDiv w:val="1"/>
      <w:marLeft w:val="0"/>
      <w:marRight w:val="0"/>
      <w:marTop w:val="0"/>
      <w:marBottom w:val="0"/>
      <w:divBdr>
        <w:top w:val="none" w:sz="0" w:space="0" w:color="auto"/>
        <w:left w:val="none" w:sz="0" w:space="0" w:color="auto"/>
        <w:bottom w:val="none" w:sz="0" w:space="0" w:color="auto"/>
        <w:right w:val="none" w:sz="0" w:space="0" w:color="auto"/>
      </w:divBdr>
    </w:div>
    <w:div w:id="2031952875">
      <w:bodyDiv w:val="1"/>
      <w:marLeft w:val="0"/>
      <w:marRight w:val="0"/>
      <w:marTop w:val="0"/>
      <w:marBottom w:val="0"/>
      <w:divBdr>
        <w:top w:val="none" w:sz="0" w:space="0" w:color="auto"/>
        <w:left w:val="none" w:sz="0" w:space="0" w:color="auto"/>
        <w:bottom w:val="none" w:sz="0" w:space="0" w:color="auto"/>
        <w:right w:val="none" w:sz="0" w:space="0" w:color="auto"/>
      </w:divBdr>
    </w:div>
    <w:div w:id="2032223045">
      <w:bodyDiv w:val="1"/>
      <w:marLeft w:val="0"/>
      <w:marRight w:val="0"/>
      <w:marTop w:val="0"/>
      <w:marBottom w:val="0"/>
      <w:divBdr>
        <w:top w:val="none" w:sz="0" w:space="0" w:color="auto"/>
        <w:left w:val="none" w:sz="0" w:space="0" w:color="auto"/>
        <w:bottom w:val="none" w:sz="0" w:space="0" w:color="auto"/>
        <w:right w:val="none" w:sz="0" w:space="0" w:color="auto"/>
      </w:divBdr>
    </w:div>
    <w:div w:id="2032412404">
      <w:bodyDiv w:val="1"/>
      <w:marLeft w:val="0"/>
      <w:marRight w:val="0"/>
      <w:marTop w:val="0"/>
      <w:marBottom w:val="0"/>
      <w:divBdr>
        <w:top w:val="none" w:sz="0" w:space="0" w:color="auto"/>
        <w:left w:val="none" w:sz="0" w:space="0" w:color="auto"/>
        <w:bottom w:val="none" w:sz="0" w:space="0" w:color="auto"/>
        <w:right w:val="none" w:sz="0" w:space="0" w:color="auto"/>
      </w:divBdr>
    </w:div>
    <w:div w:id="2033068944">
      <w:bodyDiv w:val="1"/>
      <w:marLeft w:val="0"/>
      <w:marRight w:val="0"/>
      <w:marTop w:val="0"/>
      <w:marBottom w:val="0"/>
      <w:divBdr>
        <w:top w:val="none" w:sz="0" w:space="0" w:color="auto"/>
        <w:left w:val="none" w:sz="0" w:space="0" w:color="auto"/>
        <w:bottom w:val="none" w:sz="0" w:space="0" w:color="auto"/>
        <w:right w:val="none" w:sz="0" w:space="0" w:color="auto"/>
      </w:divBdr>
    </w:div>
    <w:div w:id="2033070036">
      <w:bodyDiv w:val="1"/>
      <w:marLeft w:val="0"/>
      <w:marRight w:val="0"/>
      <w:marTop w:val="0"/>
      <w:marBottom w:val="0"/>
      <w:divBdr>
        <w:top w:val="none" w:sz="0" w:space="0" w:color="auto"/>
        <w:left w:val="none" w:sz="0" w:space="0" w:color="auto"/>
        <w:bottom w:val="none" w:sz="0" w:space="0" w:color="auto"/>
        <w:right w:val="none" w:sz="0" w:space="0" w:color="auto"/>
      </w:divBdr>
    </w:div>
    <w:div w:id="2033218801">
      <w:bodyDiv w:val="1"/>
      <w:marLeft w:val="0"/>
      <w:marRight w:val="0"/>
      <w:marTop w:val="0"/>
      <w:marBottom w:val="0"/>
      <w:divBdr>
        <w:top w:val="none" w:sz="0" w:space="0" w:color="auto"/>
        <w:left w:val="none" w:sz="0" w:space="0" w:color="auto"/>
        <w:bottom w:val="none" w:sz="0" w:space="0" w:color="auto"/>
        <w:right w:val="none" w:sz="0" w:space="0" w:color="auto"/>
      </w:divBdr>
    </w:div>
    <w:div w:id="2033411707">
      <w:bodyDiv w:val="1"/>
      <w:marLeft w:val="0"/>
      <w:marRight w:val="0"/>
      <w:marTop w:val="0"/>
      <w:marBottom w:val="0"/>
      <w:divBdr>
        <w:top w:val="none" w:sz="0" w:space="0" w:color="auto"/>
        <w:left w:val="none" w:sz="0" w:space="0" w:color="auto"/>
        <w:bottom w:val="none" w:sz="0" w:space="0" w:color="auto"/>
        <w:right w:val="none" w:sz="0" w:space="0" w:color="auto"/>
      </w:divBdr>
    </w:div>
    <w:div w:id="2033725858">
      <w:bodyDiv w:val="1"/>
      <w:marLeft w:val="0"/>
      <w:marRight w:val="0"/>
      <w:marTop w:val="0"/>
      <w:marBottom w:val="0"/>
      <w:divBdr>
        <w:top w:val="none" w:sz="0" w:space="0" w:color="auto"/>
        <w:left w:val="none" w:sz="0" w:space="0" w:color="auto"/>
        <w:bottom w:val="none" w:sz="0" w:space="0" w:color="auto"/>
        <w:right w:val="none" w:sz="0" w:space="0" w:color="auto"/>
      </w:divBdr>
    </w:div>
    <w:div w:id="2033799952">
      <w:bodyDiv w:val="1"/>
      <w:marLeft w:val="0"/>
      <w:marRight w:val="0"/>
      <w:marTop w:val="0"/>
      <w:marBottom w:val="0"/>
      <w:divBdr>
        <w:top w:val="none" w:sz="0" w:space="0" w:color="auto"/>
        <w:left w:val="none" w:sz="0" w:space="0" w:color="auto"/>
        <w:bottom w:val="none" w:sz="0" w:space="0" w:color="auto"/>
        <w:right w:val="none" w:sz="0" w:space="0" w:color="auto"/>
      </w:divBdr>
    </w:div>
    <w:div w:id="2033915482">
      <w:bodyDiv w:val="1"/>
      <w:marLeft w:val="0"/>
      <w:marRight w:val="0"/>
      <w:marTop w:val="0"/>
      <w:marBottom w:val="0"/>
      <w:divBdr>
        <w:top w:val="none" w:sz="0" w:space="0" w:color="auto"/>
        <w:left w:val="none" w:sz="0" w:space="0" w:color="auto"/>
        <w:bottom w:val="none" w:sz="0" w:space="0" w:color="auto"/>
        <w:right w:val="none" w:sz="0" w:space="0" w:color="auto"/>
      </w:divBdr>
    </w:div>
    <w:div w:id="2033915699">
      <w:bodyDiv w:val="1"/>
      <w:marLeft w:val="0"/>
      <w:marRight w:val="0"/>
      <w:marTop w:val="0"/>
      <w:marBottom w:val="0"/>
      <w:divBdr>
        <w:top w:val="none" w:sz="0" w:space="0" w:color="auto"/>
        <w:left w:val="none" w:sz="0" w:space="0" w:color="auto"/>
        <w:bottom w:val="none" w:sz="0" w:space="0" w:color="auto"/>
        <w:right w:val="none" w:sz="0" w:space="0" w:color="auto"/>
      </w:divBdr>
    </w:div>
    <w:div w:id="2033921704">
      <w:bodyDiv w:val="1"/>
      <w:marLeft w:val="0"/>
      <w:marRight w:val="0"/>
      <w:marTop w:val="0"/>
      <w:marBottom w:val="0"/>
      <w:divBdr>
        <w:top w:val="none" w:sz="0" w:space="0" w:color="auto"/>
        <w:left w:val="none" w:sz="0" w:space="0" w:color="auto"/>
        <w:bottom w:val="none" w:sz="0" w:space="0" w:color="auto"/>
        <w:right w:val="none" w:sz="0" w:space="0" w:color="auto"/>
      </w:divBdr>
    </w:div>
    <w:div w:id="2034184210">
      <w:bodyDiv w:val="1"/>
      <w:marLeft w:val="0"/>
      <w:marRight w:val="0"/>
      <w:marTop w:val="0"/>
      <w:marBottom w:val="0"/>
      <w:divBdr>
        <w:top w:val="none" w:sz="0" w:space="0" w:color="auto"/>
        <w:left w:val="none" w:sz="0" w:space="0" w:color="auto"/>
        <w:bottom w:val="none" w:sz="0" w:space="0" w:color="auto"/>
        <w:right w:val="none" w:sz="0" w:space="0" w:color="auto"/>
      </w:divBdr>
    </w:div>
    <w:div w:id="2034304102">
      <w:bodyDiv w:val="1"/>
      <w:marLeft w:val="0"/>
      <w:marRight w:val="0"/>
      <w:marTop w:val="0"/>
      <w:marBottom w:val="0"/>
      <w:divBdr>
        <w:top w:val="none" w:sz="0" w:space="0" w:color="auto"/>
        <w:left w:val="none" w:sz="0" w:space="0" w:color="auto"/>
        <w:bottom w:val="none" w:sz="0" w:space="0" w:color="auto"/>
        <w:right w:val="none" w:sz="0" w:space="0" w:color="auto"/>
      </w:divBdr>
    </w:div>
    <w:div w:id="2034304106">
      <w:bodyDiv w:val="1"/>
      <w:marLeft w:val="0"/>
      <w:marRight w:val="0"/>
      <w:marTop w:val="0"/>
      <w:marBottom w:val="0"/>
      <w:divBdr>
        <w:top w:val="none" w:sz="0" w:space="0" w:color="auto"/>
        <w:left w:val="none" w:sz="0" w:space="0" w:color="auto"/>
        <w:bottom w:val="none" w:sz="0" w:space="0" w:color="auto"/>
        <w:right w:val="none" w:sz="0" w:space="0" w:color="auto"/>
      </w:divBdr>
    </w:div>
    <w:div w:id="2034306794">
      <w:bodyDiv w:val="1"/>
      <w:marLeft w:val="0"/>
      <w:marRight w:val="0"/>
      <w:marTop w:val="0"/>
      <w:marBottom w:val="0"/>
      <w:divBdr>
        <w:top w:val="none" w:sz="0" w:space="0" w:color="auto"/>
        <w:left w:val="none" w:sz="0" w:space="0" w:color="auto"/>
        <w:bottom w:val="none" w:sz="0" w:space="0" w:color="auto"/>
        <w:right w:val="none" w:sz="0" w:space="0" w:color="auto"/>
      </w:divBdr>
    </w:div>
    <w:div w:id="2034334442">
      <w:bodyDiv w:val="1"/>
      <w:marLeft w:val="0"/>
      <w:marRight w:val="0"/>
      <w:marTop w:val="0"/>
      <w:marBottom w:val="0"/>
      <w:divBdr>
        <w:top w:val="none" w:sz="0" w:space="0" w:color="auto"/>
        <w:left w:val="none" w:sz="0" w:space="0" w:color="auto"/>
        <w:bottom w:val="none" w:sz="0" w:space="0" w:color="auto"/>
        <w:right w:val="none" w:sz="0" w:space="0" w:color="auto"/>
      </w:divBdr>
    </w:div>
    <w:div w:id="2034528924">
      <w:bodyDiv w:val="1"/>
      <w:marLeft w:val="0"/>
      <w:marRight w:val="0"/>
      <w:marTop w:val="0"/>
      <w:marBottom w:val="0"/>
      <w:divBdr>
        <w:top w:val="none" w:sz="0" w:space="0" w:color="auto"/>
        <w:left w:val="none" w:sz="0" w:space="0" w:color="auto"/>
        <w:bottom w:val="none" w:sz="0" w:space="0" w:color="auto"/>
        <w:right w:val="none" w:sz="0" w:space="0" w:color="auto"/>
      </w:divBdr>
    </w:div>
    <w:div w:id="2034725145">
      <w:bodyDiv w:val="1"/>
      <w:marLeft w:val="0"/>
      <w:marRight w:val="0"/>
      <w:marTop w:val="0"/>
      <w:marBottom w:val="0"/>
      <w:divBdr>
        <w:top w:val="none" w:sz="0" w:space="0" w:color="auto"/>
        <w:left w:val="none" w:sz="0" w:space="0" w:color="auto"/>
        <w:bottom w:val="none" w:sz="0" w:space="0" w:color="auto"/>
        <w:right w:val="none" w:sz="0" w:space="0" w:color="auto"/>
      </w:divBdr>
    </w:div>
    <w:div w:id="2034767524">
      <w:bodyDiv w:val="1"/>
      <w:marLeft w:val="0"/>
      <w:marRight w:val="0"/>
      <w:marTop w:val="0"/>
      <w:marBottom w:val="0"/>
      <w:divBdr>
        <w:top w:val="none" w:sz="0" w:space="0" w:color="auto"/>
        <w:left w:val="none" w:sz="0" w:space="0" w:color="auto"/>
        <w:bottom w:val="none" w:sz="0" w:space="0" w:color="auto"/>
        <w:right w:val="none" w:sz="0" w:space="0" w:color="auto"/>
      </w:divBdr>
    </w:div>
    <w:div w:id="2034963601">
      <w:bodyDiv w:val="1"/>
      <w:marLeft w:val="0"/>
      <w:marRight w:val="0"/>
      <w:marTop w:val="0"/>
      <w:marBottom w:val="0"/>
      <w:divBdr>
        <w:top w:val="none" w:sz="0" w:space="0" w:color="auto"/>
        <w:left w:val="none" w:sz="0" w:space="0" w:color="auto"/>
        <w:bottom w:val="none" w:sz="0" w:space="0" w:color="auto"/>
        <w:right w:val="none" w:sz="0" w:space="0" w:color="auto"/>
      </w:divBdr>
    </w:div>
    <w:div w:id="2035230142">
      <w:bodyDiv w:val="1"/>
      <w:marLeft w:val="0"/>
      <w:marRight w:val="0"/>
      <w:marTop w:val="0"/>
      <w:marBottom w:val="0"/>
      <w:divBdr>
        <w:top w:val="none" w:sz="0" w:space="0" w:color="auto"/>
        <w:left w:val="none" w:sz="0" w:space="0" w:color="auto"/>
        <w:bottom w:val="none" w:sz="0" w:space="0" w:color="auto"/>
        <w:right w:val="none" w:sz="0" w:space="0" w:color="auto"/>
      </w:divBdr>
    </w:div>
    <w:div w:id="2035230463">
      <w:bodyDiv w:val="1"/>
      <w:marLeft w:val="0"/>
      <w:marRight w:val="0"/>
      <w:marTop w:val="0"/>
      <w:marBottom w:val="0"/>
      <w:divBdr>
        <w:top w:val="none" w:sz="0" w:space="0" w:color="auto"/>
        <w:left w:val="none" w:sz="0" w:space="0" w:color="auto"/>
        <w:bottom w:val="none" w:sz="0" w:space="0" w:color="auto"/>
        <w:right w:val="none" w:sz="0" w:space="0" w:color="auto"/>
      </w:divBdr>
    </w:div>
    <w:div w:id="2035570328">
      <w:bodyDiv w:val="1"/>
      <w:marLeft w:val="0"/>
      <w:marRight w:val="0"/>
      <w:marTop w:val="0"/>
      <w:marBottom w:val="0"/>
      <w:divBdr>
        <w:top w:val="none" w:sz="0" w:space="0" w:color="auto"/>
        <w:left w:val="none" w:sz="0" w:space="0" w:color="auto"/>
        <w:bottom w:val="none" w:sz="0" w:space="0" w:color="auto"/>
        <w:right w:val="none" w:sz="0" w:space="0" w:color="auto"/>
      </w:divBdr>
    </w:div>
    <w:div w:id="2035616084">
      <w:bodyDiv w:val="1"/>
      <w:marLeft w:val="0"/>
      <w:marRight w:val="0"/>
      <w:marTop w:val="0"/>
      <w:marBottom w:val="0"/>
      <w:divBdr>
        <w:top w:val="none" w:sz="0" w:space="0" w:color="auto"/>
        <w:left w:val="none" w:sz="0" w:space="0" w:color="auto"/>
        <w:bottom w:val="none" w:sz="0" w:space="0" w:color="auto"/>
        <w:right w:val="none" w:sz="0" w:space="0" w:color="auto"/>
      </w:divBdr>
    </w:div>
    <w:div w:id="2035686491">
      <w:bodyDiv w:val="1"/>
      <w:marLeft w:val="0"/>
      <w:marRight w:val="0"/>
      <w:marTop w:val="0"/>
      <w:marBottom w:val="0"/>
      <w:divBdr>
        <w:top w:val="none" w:sz="0" w:space="0" w:color="auto"/>
        <w:left w:val="none" w:sz="0" w:space="0" w:color="auto"/>
        <w:bottom w:val="none" w:sz="0" w:space="0" w:color="auto"/>
        <w:right w:val="none" w:sz="0" w:space="0" w:color="auto"/>
      </w:divBdr>
    </w:div>
    <w:div w:id="2035839812">
      <w:bodyDiv w:val="1"/>
      <w:marLeft w:val="0"/>
      <w:marRight w:val="0"/>
      <w:marTop w:val="0"/>
      <w:marBottom w:val="0"/>
      <w:divBdr>
        <w:top w:val="none" w:sz="0" w:space="0" w:color="auto"/>
        <w:left w:val="none" w:sz="0" w:space="0" w:color="auto"/>
        <w:bottom w:val="none" w:sz="0" w:space="0" w:color="auto"/>
        <w:right w:val="none" w:sz="0" w:space="0" w:color="auto"/>
      </w:divBdr>
    </w:div>
    <w:div w:id="2035883671">
      <w:bodyDiv w:val="1"/>
      <w:marLeft w:val="0"/>
      <w:marRight w:val="0"/>
      <w:marTop w:val="0"/>
      <w:marBottom w:val="0"/>
      <w:divBdr>
        <w:top w:val="none" w:sz="0" w:space="0" w:color="auto"/>
        <w:left w:val="none" w:sz="0" w:space="0" w:color="auto"/>
        <w:bottom w:val="none" w:sz="0" w:space="0" w:color="auto"/>
        <w:right w:val="none" w:sz="0" w:space="0" w:color="auto"/>
      </w:divBdr>
    </w:div>
    <w:div w:id="2036074472">
      <w:bodyDiv w:val="1"/>
      <w:marLeft w:val="0"/>
      <w:marRight w:val="0"/>
      <w:marTop w:val="0"/>
      <w:marBottom w:val="0"/>
      <w:divBdr>
        <w:top w:val="none" w:sz="0" w:space="0" w:color="auto"/>
        <w:left w:val="none" w:sz="0" w:space="0" w:color="auto"/>
        <w:bottom w:val="none" w:sz="0" w:space="0" w:color="auto"/>
        <w:right w:val="none" w:sz="0" w:space="0" w:color="auto"/>
      </w:divBdr>
    </w:div>
    <w:div w:id="2036226228">
      <w:bodyDiv w:val="1"/>
      <w:marLeft w:val="0"/>
      <w:marRight w:val="0"/>
      <w:marTop w:val="0"/>
      <w:marBottom w:val="0"/>
      <w:divBdr>
        <w:top w:val="none" w:sz="0" w:space="0" w:color="auto"/>
        <w:left w:val="none" w:sz="0" w:space="0" w:color="auto"/>
        <w:bottom w:val="none" w:sz="0" w:space="0" w:color="auto"/>
        <w:right w:val="none" w:sz="0" w:space="0" w:color="auto"/>
      </w:divBdr>
    </w:div>
    <w:div w:id="2036613234">
      <w:bodyDiv w:val="1"/>
      <w:marLeft w:val="0"/>
      <w:marRight w:val="0"/>
      <w:marTop w:val="0"/>
      <w:marBottom w:val="0"/>
      <w:divBdr>
        <w:top w:val="none" w:sz="0" w:space="0" w:color="auto"/>
        <w:left w:val="none" w:sz="0" w:space="0" w:color="auto"/>
        <w:bottom w:val="none" w:sz="0" w:space="0" w:color="auto"/>
        <w:right w:val="none" w:sz="0" w:space="0" w:color="auto"/>
      </w:divBdr>
    </w:div>
    <w:div w:id="2036880743">
      <w:bodyDiv w:val="1"/>
      <w:marLeft w:val="0"/>
      <w:marRight w:val="0"/>
      <w:marTop w:val="0"/>
      <w:marBottom w:val="0"/>
      <w:divBdr>
        <w:top w:val="none" w:sz="0" w:space="0" w:color="auto"/>
        <w:left w:val="none" w:sz="0" w:space="0" w:color="auto"/>
        <w:bottom w:val="none" w:sz="0" w:space="0" w:color="auto"/>
        <w:right w:val="none" w:sz="0" w:space="0" w:color="auto"/>
      </w:divBdr>
    </w:div>
    <w:div w:id="2037465575">
      <w:bodyDiv w:val="1"/>
      <w:marLeft w:val="0"/>
      <w:marRight w:val="0"/>
      <w:marTop w:val="0"/>
      <w:marBottom w:val="0"/>
      <w:divBdr>
        <w:top w:val="none" w:sz="0" w:space="0" w:color="auto"/>
        <w:left w:val="none" w:sz="0" w:space="0" w:color="auto"/>
        <w:bottom w:val="none" w:sz="0" w:space="0" w:color="auto"/>
        <w:right w:val="none" w:sz="0" w:space="0" w:color="auto"/>
      </w:divBdr>
    </w:div>
    <w:div w:id="2037655666">
      <w:bodyDiv w:val="1"/>
      <w:marLeft w:val="0"/>
      <w:marRight w:val="0"/>
      <w:marTop w:val="0"/>
      <w:marBottom w:val="0"/>
      <w:divBdr>
        <w:top w:val="none" w:sz="0" w:space="0" w:color="auto"/>
        <w:left w:val="none" w:sz="0" w:space="0" w:color="auto"/>
        <w:bottom w:val="none" w:sz="0" w:space="0" w:color="auto"/>
        <w:right w:val="none" w:sz="0" w:space="0" w:color="auto"/>
      </w:divBdr>
    </w:div>
    <w:div w:id="2037732328">
      <w:bodyDiv w:val="1"/>
      <w:marLeft w:val="0"/>
      <w:marRight w:val="0"/>
      <w:marTop w:val="0"/>
      <w:marBottom w:val="0"/>
      <w:divBdr>
        <w:top w:val="none" w:sz="0" w:space="0" w:color="auto"/>
        <w:left w:val="none" w:sz="0" w:space="0" w:color="auto"/>
        <w:bottom w:val="none" w:sz="0" w:space="0" w:color="auto"/>
        <w:right w:val="none" w:sz="0" w:space="0" w:color="auto"/>
      </w:divBdr>
    </w:div>
    <w:div w:id="2038119751">
      <w:bodyDiv w:val="1"/>
      <w:marLeft w:val="0"/>
      <w:marRight w:val="0"/>
      <w:marTop w:val="0"/>
      <w:marBottom w:val="0"/>
      <w:divBdr>
        <w:top w:val="none" w:sz="0" w:space="0" w:color="auto"/>
        <w:left w:val="none" w:sz="0" w:space="0" w:color="auto"/>
        <w:bottom w:val="none" w:sz="0" w:space="0" w:color="auto"/>
        <w:right w:val="none" w:sz="0" w:space="0" w:color="auto"/>
      </w:divBdr>
    </w:div>
    <w:div w:id="2038189730">
      <w:bodyDiv w:val="1"/>
      <w:marLeft w:val="0"/>
      <w:marRight w:val="0"/>
      <w:marTop w:val="0"/>
      <w:marBottom w:val="0"/>
      <w:divBdr>
        <w:top w:val="none" w:sz="0" w:space="0" w:color="auto"/>
        <w:left w:val="none" w:sz="0" w:space="0" w:color="auto"/>
        <w:bottom w:val="none" w:sz="0" w:space="0" w:color="auto"/>
        <w:right w:val="none" w:sz="0" w:space="0" w:color="auto"/>
      </w:divBdr>
    </w:div>
    <w:div w:id="2038314816">
      <w:bodyDiv w:val="1"/>
      <w:marLeft w:val="0"/>
      <w:marRight w:val="0"/>
      <w:marTop w:val="0"/>
      <w:marBottom w:val="0"/>
      <w:divBdr>
        <w:top w:val="none" w:sz="0" w:space="0" w:color="auto"/>
        <w:left w:val="none" w:sz="0" w:space="0" w:color="auto"/>
        <w:bottom w:val="none" w:sz="0" w:space="0" w:color="auto"/>
        <w:right w:val="none" w:sz="0" w:space="0" w:color="auto"/>
      </w:divBdr>
    </w:div>
    <w:div w:id="2038580055">
      <w:bodyDiv w:val="1"/>
      <w:marLeft w:val="0"/>
      <w:marRight w:val="0"/>
      <w:marTop w:val="0"/>
      <w:marBottom w:val="0"/>
      <w:divBdr>
        <w:top w:val="none" w:sz="0" w:space="0" w:color="auto"/>
        <w:left w:val="none" w:sz="0" w:space="0" w:color="auto"/>
        <w:bottom w:val="none" w:sz="0" w:space="0" w:color="auto"/>
        <w:right w:val="none" w:sz="0" w:space="0" w:color="auto"/>
      </w:divBdr>
    </w:div>
    <w:div w:id="2038584699">
      <w:bodyDiv w:val="1"/>
      <w:marLeft w:val="0"/>
      <w:marRight w:val="0"/>
      <w:marTop w:val="0"/>
      <w:marBottom w:val="0"/>
      <w:divBdr>
        <w:top w:val="none" w:sz="0" w:space="0" w:color="auto"/>
        <w:left w:val="none" w:sz="0" w:space="0" w:color="auto"/>
        <w:bottom w:val="none" w:sz="0" w:space="0" w:color="auto"/>
        <w:right w:val="none" w:sz="0" w:space="0" w:color="auto"/>
      </w:divBdr>
    </w:div>
    <w:div w:id="2038657905">
      <w:bodyDiv w:val="1"/>
      <w:marLeft w:val="0"/>
      <w:marRight w:val="0"/>
      <w:marTop w:val="0"/>
      <w:marBottom w:val="0"/>
      <w:divBdr>
        <w:top w:val="none" w:sz="0" w:space="0" w:color="auto"/>
        <w:left w:val="none" w:sz="0" w:space="0" w:color="auto"/>
        <w:bottom w:val="none" w:sz="0" w:space="0" w:color="auto"/>
        <w:right w:val="none" w:sz="0" w:space="0" w:color="auto"/>
      </w:divBdr>
    </w:div>
    <w:div w:id="2038769638">
      <w:bodyDiv w:val="1"/>
      <w:marLeft w:val="0"/>
      <w:marRight w:val="0"/>
      <w:marTop w:val="0"/>
      <w:marBottom w:val="0"/>
      <w:divBdr>
        <w:top w:val="none" w:sz="0" w:space="0" w:color="auto"/>
        <w:left w:val="none" w:sz="0" w:space="0" w:color="auto"/>
        <w:bottom w:val="none" w:sz="0" w:space="0" w:color="auto"/>
        <w:right w:val="none" w:sz="0" w:space="0" w:color="auto"/>
      </w:divBdr>
    </w:div>
    <w:div w:id="2038770171">
      <w:bodyDiv w:val="1"/>
      <w:marLeft w:val="0"/>
      <w:marRight w:val="0"/>
      <w:marTop w:val="0"/>
      <w:marBottom w:val="0"/>
      <w:divBdr>
        <w:top w:val="none" w:sz="0" w:space="0" w:color="auto"/>
        <w:left w:val="none" w:sz="0" w:space="0" w:color="auto"/>
        <w:bottom w:val="none" w:sz="0" w:space="0" w:color="auto"/>
        <w:right w:val="none" w:sz="0" w:space="0" w:color="auto"/>
      </w:divBdr>
    </w:div>
    <w:div w:id="2038847598">
      <w:bodyDiv w:val="1"/>
      <w:marLeft w:val="0"/>
      <w:marRight w:val="0"/>
      <w:marTop w:val="0"/>
      <w:marBottom w:val="0"/>
      <w:divBdr>
        <w:top w:val="none" w:sz="0" w:space="0" w:color="auto"/>
        <w:left w:val="none" w:sz="0" w:space="0" w:color="auto"/>
        <w:bottom w:val="none" w:sz="0" w:space="0" w:color="auto"/>
        <w:right w:val="none" w:sz="0" w:space="0" w:color="auto"/>
      </w:divBdr>
    </w:div>
    <w:div w:id="2038852296">
      <w:bodyDiv w:val="1"/>
      <w:marLeft w:val="0"/>
      <w:marRight w:val="0"/>
      <w:marTop w:val="0"/>
      <w:marBottom w:val="0"/>
      <w:divBdr>
        <w:top w:val="none" w:sz="0" w:space="0" w:color="auto"/>
        <w:left w:val="none" w:sz="0" w:space="0" w:color="auto"/>
        <w:bottom w:val="none" w:sz="0" w:space="0" w:color="auto"/>
        <w:right w:val="none" w:sz="0" w:space="0" w:color="auto"/>
      </w:divBdr>
    </w:div>
    <w:div w:id="2039504019">
      <w:bodyDiv w:val="1"/>
      <w:marLeft w:val="0"/>
      <w:marRight w:val="0"/>
      <w:marTop w:val="0"/>
      <w:marBottom w:val="0"/>
      <w:divBdr>
        <w:top w:val="none" w:sz="0" w:space="0" w:color="auto"/>
        <w:left w:val="none" w:sz="0" w:space="0" w:color="auto"/>
        <w:bottom w:val="none" w:sz="0" w:space="0" w:color="auto"/>
        <w:right w:val="none" w:sz="0" w:space="0" w:color="auto"/>
      </w:divBdr>
    </w:div>
    <w:div w:id="2039618428">
      <w:bodyDiv w:val="1"/>
      <w:marLeft w:val="0"/>
      <w:marRight w:val="0"/>
      <w:marTop w:val="0"/>
      <w:marBottom w:val="0"/>
      <w:divBdr>
        <w:top w:val="none" w:sz="0" w:space="0" w:color="auto"/>
        <w:left w:val="none" w:sz="0" w:space="0" w:color="auto"/>
        <w:bottom w:val="none" w:sz="0" w:space="0" w:color="auto"/>
        <w:right w:val="none" w:sz="0" w:space="0" w:color="auto"/>
      </w:divBdr>
    </w:div>
    <w:div w:id="2039623276">
      <w:bodyDiv w:val="1"/>
      <w:marLeft w:val="0"/>
      <w:marRight w:val="0"/>
      <w:marTop w:val="0"/>
      <w:marBottom w:val="0"/>
      <w:divBdr>
        <w:top w:val="none" w:sz="0" w:space="0" w:color="auto"/>
        <w:left w:val="none" w:sz="0" w:space="0" w:color="auto"/>
        <w:bottom w:val="none" w:sz="0" w:space="0" w:color="auto"/>
        <w:right w:val="none" w:sz="0" w:space="0" w:color="auto"/>
      </w:divBdr>
    </w:div>
    <w:div w:id="2039743474">
      <w:bodyDiv w:val="1"/>
      <w:marLeft w:val="0"/>
      <w:marRight w:val="0"/>
      <w:marTop w:val="0"/>
      <w:marBottom w:val="0"/>
      <w:divBdr>
        <w:top w:val="none" w:sz="0" w:space="0" w:color="auto"/>
        <w:left w:val="none" w:sz="0" w:space="0" w:color="auto"/>
        <w:bottom w:val="none" w:sz="0" w:space="0" w:color="auto"/>
        <w:right w:val="none" w:sz="0" w:space="0" w:color="auto"/>
      </w:divBdr>
    </w:div>
    <w:div w:id="2039819500">
      <w:bodyDiv w:val="1"/>
      <w:marLeft w:val="0"/>
      <w:marRight w:val="0"/>
      <w:marTop w:val="0"/>
      <w:marBottom w:val="0"/>
      <w:divBdr>
        <w:top w:val="none" w:sz="0" w:space="0" w:color="auto"/>
        <w:left w:val="none" w:sz="0" w:space="0" w:color="auto"/>
        <w:bottom w:val="none" w:sz="0" w:space="0" w:color="auto"/>
        <w:right w:val="none" w:sz="0" w:space="0" w:color="auto"/>
      </w:divBdr>
    </w:div>
    <w:div w:id="2040013227">
      <w:bodyDiv w:val="1"/>
      <w:marLeft w:val="0"/>
      <w:marRight w:val="0"/>
      <w:marTop w:val="0"/>
      <w:marBottom w:val="0"/>
      <w:divBdr>
        <w:top w:val="none" w:sz="0" w:space="0" w:color="auto"/>
        <w:left w:val="none" w:sz="0" w:space="0" w:color="auto"/>
        <w:bottom w:val="none" w:sz="0" w:space="0" w:color="auto"/>
        <w:right w:val="none" w:sz="0" w:space="0" w:color="auto"/>
      </w:divBdr>
    </w:div>
    <w:div w:id="2040350113">
      <w:bodyDiv w:val="1"/>
      <w:marLeft w:val="0"/>
      <w:marRight w:val="0"/>
      <w:marTop w:val="0"/>
      <w:marBottom w:val="0"/>
      <w:divBdr>
        <w:top w:val="none" w:sz="0" w:space="0" w:color="auto"/>
        <w:left w:val="none" w:sz="0" w:space="0" w:color="auto"/>
        <w:bottom w:val="none" w:sz="0" w:space="0" w:color="auto"/>
        <w:right w:val="none" w:sz="0" w:space="0" w:color="auto"/>
      </w:divBdr>
    </w:div>
    <w:div w:id="2040356279">
      <w:bodyDiv w:val="1"/>
      <w:marLeft w:val="0"/>
      <w:marRight w:val="0"/>
      <w:marTop w:val="0"/>
      <w:marBottom w:val="0"/>
      <w:divBdr>
        <w:top w:val="none" w:sz="0" w:space="0" w:color="auto"/>
        <w:left w:val="none" w:sz="0" w:space="0" w:color="auto"/>
        <w:bottom w:val="none" w:sz="0" w:space="0" w:color="auto"/>
        <w:right w:val="none" w:sz="0" w:space="0" w:color="auto"/>
      </w:divBdr>
    </w:div>
    <w:div w:id="2040472628">
      <w:bodyDiv w:val="1"/>
      <w:marLeft w:val="0"/>
      <w:marRight w:val="0"/>
      <w:marTop w:val="0"/>
      <w:marBottom w:val="0"/>
      <w:divBdr>
        <w:top w:val="none" w:sz="0" w:space="0" w:color="auto"/>
        <w:left w:val="none" w:sz="0" w:space="0" w:color="auto"/>
        <w:bottom w:val="none" w:sz="0" w:space="0" w:color="auto"/>
        <w:right w:val="none" w:sz="0" w:space="0" w:color="auto"/>
      </w:divBdr>
    </w:div>
    <w:div w:id="2040668368">
      <w:bodyDiv w:val="1"/>
      <w:marLeft w:val="0"/>
      <w:marRight w:val="0"/>
      <w:marTop w:val="0"/>
      <w:marBottom w:val="0"/>
      <w:divBdr>
        <w:top w:val="none" w:sz="0" w:space="0" w:color="auto"/>
        <w:left w:val="none" w:sz="0" w:space="0" w:color="auto"/>
        <w:bottom w:val="none" w:sz="0" w:space="0" w:color="auto"/>
        <w:right w:val="none" w:sz="0" w:space="0" w:color="auto"/>
      </w:divBdr>
    </w:div>
    <w:div w:id="2041472688">
      <w:bodyDiv w:val="1"/>
      <w:marLeft w:val="0"/>
      <w:marRight w:val="0"/>
      <w:marTop w:val="0"/>
      <w:marBottom w:val="0"/>
      <w:divBdr>
        <w:top w:val="none" w:sz="0" w:space="0" w:color="auto"/>
        <w:left w:val="none" w:sz="0" w:space="0" w:color="auto"/>
        <w:bottom w:val="none" w:sz="0" w:space="0" w:color="auto"/>
        <w:right w:val="none" w:sz="0" w:space="0" w:color="auto"/>
      </w:divBdr>
    </w:div>
    <w:div w:id="2041928604">
      <w:bodyDiv w:val="1"/>
      <w:marLeft w:val="0"/>
      <w:marRight w:val="0"/>
      <w:marTop w:val="0"/>
      <w:marBottom w:val="0"/>
      <w:divBdr>
        <w:top w:val="none" w:sz="0" w:space="0" w:color="auto"/>
        <w:left w:val="none" w:sz="0" w:space="0" w:color="auto"/>
        <w:bottom w:val="none" w:sz="0" w:space="0" w:color="auto"/>
        <w:right w:val="none" w:sz="0" w:space="0" w:color="auto"/>
      </w:divBdr>
    </w:div>
    <w:div w:id="2042195412">
      <w:bodyDiv w:val="1"/>
      <w:marLeft w:val="0"/>
      <w:marRight w:val="0"/>
      <w:marTop w:val="0"/>
      <w:marBottom w:val="0"/>
      <w:divBdr>
        <w:top w:val="none" w:sz="0" w:space="0" w:color="auto"/>
        <w:left w:val="none" w:sz="0" w:space="0" w:color="auto"/>
        <w:bottom w:val="none" w:sz="0" w:space="0" w:color="auto"/>
        <w:right w:val="none" w:sz="0" w:space="0" w:color="auto"/>
      </w:divBdr>
    </w:div>
    <w:div w:id="2042319053">
      <w:bodyDiv w:val="1"/>
      <w:marLeft w:val="0"/>
      <w:marRight w:val="0"/>
      <w:marTop w:val="0"/>
      <w:marBottom w:val="0"/>
      <w:divBdr>
        <w:top w:val="none" w:sz="0" w:space="0" w:color="auto"/>
        <w:left w:val="none" w:sz="0" w:space="0" w:color="auto"/>
        <w:bottom w:val="none" w:sz="0" w:space="0" w:color="auto"/>
        <w:right w:val="none" w:sz="0" w:space="0" w:color="auto"/>
      </w:divBdr>
    </w:div>
    <w:div w:id="2042434072">
      <w:bodyDiv w:val="1"/>
      <w:marLeft w:val="0"/>
      <w:marRight w:val="0"/>
      <w:marTop w:val="0"/>
      <w:marBottom w:val="0"/>
      <w:divBdr>
        <w:top w:val="none" w:sz="0" w:space="0" w:color="auto"/>
        <w:left w:val="none" w:sz="0" w:space="0" w:color="auto"/>
        <w:bottom w:val="none" w:sz="0" w:space="0" w:color="auto"/>
        <w:right w:val="none" w:sz="0" w:space="0" w:color="auto"/>
      </w:divBdr>
    </w:div>
    <w:div w:id="2042508276">
      <w:bodyDiv w:val="1"/>
      <w:marLeft w:val="0"/>
      <w:marRight w:val="0"/>
      <w:marTop w:val="0"/>
      <w:marBottom w:val="0"/>
      <w:divBdr>
        <w:top w:val="none" w:sz="0" w:space="0" w:color="auto"/>
        <w:left w:val="none" w:sz="0" w:space="0" w:color="auto"/>
        <w:bottom w:val="none" w:sz="0" w:space="0" w:color="auto"/>
        <w:right w:val="none" w:sz="0" w:space="0" w:color="auto"/>
      </w:divBdr>
    </w:div>
    <w:div w:id="2042900689">
      <w:bodyDiv w:val="1"/>
      <w:marLeft w:val="0"/>
      <w:marRight w:val="0"/>
      <w:marTop w:val="0"/>
      <w:marBottom w:val="0"/>
      <w:divBdr>
        <w:top w:val="none" w:sz="0" w:space="0" w:color="auto"/>
        <w:left w:val="none" w:sz="0" w:space="0" w:color="auto"/>
        <w:bottom w:val="none" w:sz="0" w:space="0" w:color="auto"/>
        <w:right w:val="none" w:sz="0" w:space="0" w:color="auto"/>
      </w:divBdr>
    </w:div>
    <w:div w:id="2043240631">
      <w:bodyDiv w:val="1"/>
      <w:marLeft w:val="0"/>
      <w:marRight w:val="0"/>
      <w:marTop w:val="0"/>
      <w:marBottom w:val="0"/>
      <w:divBdr>
        <w:top w:val="none" w:sz="0" w:space="0" w:color="auto"/>
        <w:left w:val="none" w:sz="0" w:space="0" w:color="auto"/>
        <w:bottom w:val="none" w:sz="0" w:space="0" w:color="auto"/>
        <w:right w:val="none" w:sz="0" w:space="0" w:color="auto"/>
      </w:divBdr>
    </w:div>
    <w:div w:id="2043627143">
      <w:bodyDiv w:val="1"/>
      <w:marLeft w:val="0"/>
      <w:marRight w:val="0"/>
      <w:marTop w:val="0"/>
      <w:marBottom w:val="0"/>
      <w:divBdr>
        <w:top w:val="none" w:sz="0" w:space="0" w:color="auto"/>
        <w:left w:val="none" w:sz="0" w:space="0" w:color="auto"/>
        <w:bottom w:val="none" w:sz="0" w:space="0" w:color="auto"/>
        <w:right w:val="none" w:sz="0" w:space="0" w:color="auto"/>
      </w:divBdr>
    </w:div>
    <w:div w:id="2043630080">
      <w:bodyDiv w:val="1"/>
      <w:marLeft w:val="0"/>
      <w:marRight w:val="0"/>
      <w:marTop w:val="0"/>
      <w:marBottom w:val="0"/>
      <w:divBdr>
        <w:top w:val="none" w:sz="0" w:space="0" w:color="auto"/>
        <w:left w:val="none" w:sz="0" w:space="0" w:color="auto"/>
        <w:bottom w:val="none" w:sz="0" w:space="0" w:color="auto"/>
        <w:right w:val="none" w:sz="0" w:space="0" w:color="auto"/>
      </w:divBdr>
    </w:div>
    <w:div w:id="2043744393">
      <w:bodyDiv w:val="1"/>
      <w:marLeft w:val="0"/>
      <w:marRight w:val="0"/>
      <w:marTop w:val="0"/>
      <w:marBottom w:val="0"/>
      <w:divBdr>
        <w:top w:val="none" w:sz="0" w:space="0" w:color="auto"/>
        <w:left w:val="none" w:sz="0" w:space="0" w:color="auto"/>
        <w:bottom w:val="none" w:sz="0" w:space="0" w:color="auto"/>
        <w:right w:val="none" w:sz="0" w:space="0" w:color="auto"/>
      </w:divBdr>
    </w:div>
    <w:div w:id="2044090828">
      <w:bodyDiv w:val="1"/>
      <w:marLeft w:val="0"/>
      <w:marRight w:val="0"/>
      <w:marTop w:val="0"/>
      <w:marBottom w:val="0"/>
      <w:divBdr>
        <w:top w:val="none" w:sz="0" w:space="0" w:color="auto"/>
        <w:left w:val="none" w:sz="0" w:space="0" w:color="auto"/>
        <w:bottom w:val="none" w:sz="0" w:space="0" w:color="auto"/>
        <w:right w:val="none" w:sz="0" w:space="0" w:color="auto"/>
      </w:divBdr>
    </w:div>
    <w:div w:id="2044209994">
      <w:bodyDiv w:val="1"/>
      <w:marLeft w:val="0"/>
      <w:marRight w:val="0"/>
      <w:marTop w:val="0"/>
      <w:marBottom w:val="0"/>
      <w:divBdr>
        <w:top w:val="none" w:sz="0" w:space="0" w:color="auto"/>
        <w:left w:val="none" w:sz="0" w:space="0" w:color="auto"/>
        <w:bottom w:val="none" w:sz="0" w:space="0" w:color="auto"/>
        <w:right w:val="none" w:sz="0" w:space="0" w:color="auto"/>
      </w:divBdr>
    </w:div>
    <w:div w:id="2044283448">
      <w:bodyDiv w:val="1"/>
      <w:marLeft w:val="0"/>
      <w:marRight w:val="0"/>
      <w:marTop w:val="0"/>
      <w:marBottom w:val="0"/>
      <w:divBdr>
        <w:top w:val="none" w:sz="0" w:space="0" w:color="auto"/>
        <w:left w:val="none" w:sz="0" w:space="0" w:color="auto"/>
        <w:bottom w:val="none" w:sz="0" w:space="0" w:color="auto"/>
        <w:right w:val="none" w:sz="0" w:space="0" w:color="auto"/>
      </w:divBdr>
    </w:div>
    <w:div w:id="2044397992">
      <w:bodyDiv w:val="1"/>
      <w:marLeft w:val="0"/>
      <w:marRight w:val="0"/>
      <w:marTop w:val="0"/>
      <w:marBottom w:val="0"/>
      <w:divBdr>
        <w:top w:val="none" w:sz="0" w:space="0" w:color="auto"/>
        <w:left w:val="none" w:sz="0" w:space="0" w:color="auto"/>
        <w:bottom w:val="none" w:sz="0" w:space="0" w:color="auto"/>
        <w:right w:val="none" w:sz="0" w:space="0" w:color="auto"/>
      </w:divBdr>
    </w:div>
    <w:div w:id="2044592713">
      <w:bodyDiv w:val="1"/>
      <w:marLeft w:val="0"/>
      <w:marRight w:val="0"/>
      <w:marTop w:val="0"/>
      <w:marBottom w:val="0"/>
      <w:divBdr>
        <w:top w:val="none" w:sz="0" w:space="0" w:color="auto"/>
        <w:left w:val="none" w:sz="0" w:space="0" w:color="auto"/>
        <w:bottom w:val="none" w:sz="0" w:space="0" w:color="auto"/>
        <w:right w:val="none" w:sz="0" w:space="0" w:color="auto"/>
      </w:divBdr>
    </w:div>
    <w:div w:id="2044746799">
      <w:bodyDiv w:val="1"/>
      <w:marLeft w:val="0"/>
      <w:marRight w:val="0"/>
      <w:marTop w:val="0"/>
      <w:marBottom w:val="0"/>
      <w:divBdr>
        <w:top w:val="none" w:sz="0" w:space="0" w:color="auto"/>
        <w:left w:val="none" w:sz="0" w:space="0" w:color="auto"/>
        <w:bottom w:val="none" w:sz="0" w:space="0" w:color="auto"/>
        <w:right w:val="none" w:sz="0" w:space="0" w:color="auto"/>
      </w:divBdr>
    </w:div>
    <w:div w:id="2044749439">
      <w:bodyDiv w:val="1"/>
      <w:marLeft w:val="0"/>
      <w:marRight w:val="0"/>
      <w:marTop w:val="0"/>
      <w:marBottom w:val="0"/>
      <w:divBdr>
        <w:top w:val="none" w:sz="0" w:space="0" w:color="auto"/>
        <w:left w:val="none" w:sz="0" w:space="0" w:color="auto"/>
        <w:bottom w:val="none" w:sz="0" w:space="0" w:color="auto"/>
        <w:right w:val="none" w:sz="0" w:space="0" w:color="auto"/>
      </w:divBdr>
    </w:div>
    <w:div w:id="2044862760">
      <w:bodyDiv w:val="1"/>
      <w:marLeft w:val="0"/>
      <w:marRight w:val="0"/>
      <w:marTop w:val="0"/>
      <w:marBottom w:val="0"/>
      <w:divBdr>
        <w:top w:val="none" w:sz="0" w:space="0" w:color="auto"/>
        <w:left w:val="none" w:sz="0" w:space="0" w:color="auto"/>
        <w:bottom w:val="none" w:sz="0" w:space="0" w:color="auto"/>
        <w:right w:val="none" w:sz="0" w:space="0" w:color="auto"/>
      </w:divBdr>
    </w:div>
    <w:div w:id="2045014184">
      <w:bodyDiv w:val="1"/>
      <w:marLeft w:val="0"/>
      <w:marRight w:val="0"/>
      <w:marTop w:val="0"/>
      <w:marBottom w:val="0"/>
      <w:divBdr>
        <w:top w:val="none" w:sz="0" w:space="0" w:color="auto"/>
        <w:left w:val="none" w:sz="0" w:space="0" w:color="auto"/>
        <w:bottom w:val="none" w:sz="0" w:space="0" w:color="auto"/>
        <w:right w:val="none" w:sz="0" w:space="0" w:color="auto"/>
      </w:divBdr>
    </w:div>
    <w:div w:id="2045206762">
      <w:bodyDiv w:val="1"/>
      <w:marLeft w:val="0"/>
      <w:marRight w:val="0"/>
      <w:marTop w:val="0"/>
      <w:marBottom w:val="0"/>
      <w:divBdr>
        <w:top w:val="none" w:sz="0" w:space="0" w:color="auto"/>
        <w:left w:val="none" w:sz="0" w:space="0" w:color="auto"/>
        <w:bottom w:val="none" w:sz="0" w:space="0" w:color="auto"/>
        <w:right w:val="none" w:sz="0" w:space="0" w:color="auto"/>
      </w:divBdr>
    </w:div>
    <w:div w:id="2045278568">
      <w:bodyDiv w:val="1"/>
      <w:marLeft w:val="0"/>
      <w:marRight w:val="0"/>
      <w:marTop w:val="0"/>
      <w:marBottom w:val="0"/>
      <w:divBdr>
        <w:top w:val="none" w:sz="0" w:space="0" w:color="auto"/>
        <w:left w:val="none" w:sz="0" w:space="0" w:color="auto"/>
        <w:bottom w:val="none" w:sz="0" w:space="0" w:color="auto"/>
        <w:right w:val="none" w:sz="0" w:space="0" w:color="auto"/>
      </w:divBdr>
    </w:div>
    <w:div w:id="2045324574">
      <w:bodyDiv w:val="1"/>
      <w:marLeft w:val="0"/>
      <w:marRight w:val="0"/>
      <w:marTop w:val="0"/>
      <w:marBottom w:val="0"/>
      <w:divBdr>
        <w:top w:val="none" w:sz="0" w:space="0" w:color="auto"/>
        <w:left w:val="none" w:sz="0" w:space="0" w:color="auto"/>
        <w:bottom w:val="none" w:sz="0" w:space="0" w:color="auto"/>
        <w:right w:val="none" w:sz="0" w:space="0" w:color="auto"/>
      </w:divBdr>
    </w:div>
    <w:div w:id="2045523281">
      <w:bodyDiv w:val="1"/>
      <w:marLeft w:val="0"/>
      <w:marRight w:val="0"/>
      <w:marTop w:val="0"/>
      <w:marBottom w:val="0"/>
      <w:divBdr>
        <w:top w:val="none" w:sz="0" w:space="0" w:color="auto"/>
        <w:left w:val="none" w:sz="0" w:space="0" w:color="auto"/>
        <w:bottom w:val="none" w:sz="0" w:space="0" w:color="auto"/>
        <w:right w:val="none" w:sz="0" w:space="0" w:color="auto"/>
      </w:divBdr>
    </w:div>
    <w:div w:id="2045709719">
      <w:bodyDiv w:val="1"/>
      <w:marLeft w:val="0"/>
      <w:marRight w:val="0"/>
      <w:marTop w:val="0"/>
      <w:marBottom w:val="0"/>
      <w:divBdr>
        <w:top w:val="none" w:sz="0" w:space="0" w:color="auto"/>
        <w:left w:val="none" w:sz="0" w:space="0" w:color="auto"/>
        <w:bottom w:val="none" w:sz="0" w:space="0" w:color="auto"/>
        <w:right w:val="none" w:sz="0" w:space="0" w:color="auto"/>
      </w:divBdr>
    </w:div>
    <w:div w:id="2045791677">
      <w:bodyDiv w:val="1"/>
      <w:marLeft w:val="0"/>
      <w:marRight w:val="0"/>
      <w:marTop w:val="0"/>
      <w:marBottom w:val="0"/>
      <w:divBdr>
        <w:top w:val="none" w:sz="0" w:space="0" w:color="auto"/>
        <w:left w:val="none" w:sz="0" w:space="0" w:color="auto"/>
        <w:bottom w:val="none" w:sz="0" w:space="0" w:color="auto"/>
        <w:right w:val="none" w:sz="0" w:space="0" w:color="auto"/>
      </w:divBdr>
    </w:div>
    <w:div w:id="2046101042">
      <w:bodyDiv w:val="1"/>
      <w:marLeft w:val="0"/>
      <w:marRight w:val="0"/>
      <w:marTop w:val="0"/>
      <w:marBottom w:val="0"/>
      <w:divBdr>
        <w:top w:val="none" w:sz="0" w:space="0" w:color="auto"/>
        <w:left w:val="none" w:sz="0" w:space="0" w:color="auto"/>
        <w:bottom w:val="none" w:sz="0" w:space="0" w:color="auto"/>
        <w:right w:val="none" w:sz="0" w:space="0" w:color="auto"/>
      </w:divBdr>
    </w:div>
    <w:div w:id="2046446197">
      <w:bodyDiv w:val="1"/>
      <w:marLeft w:val="0"/>
      <w:marRight w:val="0"/>
      <w:marTop w:val="0"/>
      <w:marBottom w:val="0"/>
      <w:divBdr>
        <w:top w:val="none" w:sz="0" w:space="0" w:color="auto"/>
        <w:left w:val="none" w:sz="0" w:space="0" w:color="auto"/>
        <w:bottom w:val="none" w:sz="0" w:space="0" w:color="auto"/>
        <w:right w:val="none" w:sz="0" w:space="0" w:color="auto"/>
      </w:divBdr>
    </w:div>
    <w:div w:id="2046827716">
      <w:bodyDiv w:val="1"/>
      <w:marLeft w:val="0"/>
      <w:marRight w:val="0"/>
      <w:marTop w:val="0"/>
      <w:marBottom w:val="0"/>
      <w:divBdr>
        <w:top w:val="none" w:sz="0" w:space="0" w:color="auto"/>
        <w:left w:val="none" w:sz="0" w:space="0" w:color="auto"/>
        <w:bottom w:val="none" w:sz="0" w:space="0" w:color="auto"/>
        <w:right w:val="none" w:sz="0" w:space="0" w:color="auto"/>
      </w:divBdr>
    </w:div>
    <w:div w:id="2047177066">
      <w:bodyDiv w:val="1"/>
      <w:marLeft w:val="0"/>
      <w:marRight w:val="0"/>
      <w:marTop w:val="0"/>
      <w:marBottom w:val="0"/>
      <w:divBdr>
        <w:top w:val="none" w:sz="0" w:space="0" w:color="auto"/>
        <w:left w:val="none" w:sz="0" w:space="0" w:color="auto"/>
        <w:bottom w:val="none" w:sz="0" w:space="0" w:color="auto"/>
        <w:right w:val="none" w:sz="0" w:space="0" w:color="auto"/>
      </w:divBdr>
    </w:div>
    <w:div w:id="2047220193">
      <w:bodyDiv w:val="1"/>
      <w:marLeft w:val="0"/>
      <w:marRight w:val="0"/>
      <w:marTop w:val="0"/>
      <w:marBottom w:val="0"/>
      <w:divBdr>
        <w:top w:val="none" w:sz="0" w:space="0" w:color="auto"/>
        <w:left w:val="none" w:sz="0" w:space="0" w:color="auto"/>
        <w:bottom w:val="none" w:sz="0" w:space="0" w:color="auto"/>
        <w:right w:val="none" w:sz="0" w:space="0" w:color="auto"/>
      </w:divBdr>
    </w:div>
    <w:div w:id="2047294587">
      <w:bodyDiv w:val="1"/>
      <w:marLeft w:val="0"/>
      <w:marRight w:val="0"/>
      <w:marTop w:val="0"/>
      <w:marBottom w:val="0"/>
      <w:divBdr>
        <w:top w:val="none" w:sz="0" w:space="0" w:color="auto"/>
        <w:left w:val="none" w:sz="0" w:space="0" w:color="auto"/>
        <w:bottom w:val="none" w:sz="0" w:space="0" w:color="auto"/>
        <w:right w:val="none" w:sz="0" w:space="0" w:color="auto"/>
      </w:divBdr>
    </w:div>
    <w:div w:id="2047296151">
      <w:bodyDiv w:val="1"/>
      <w:marLeft w:val="0"/>
      <w:marRight w:val="0"/>
      <w:marTop w:val="0"/>
      <w:marBottom w:val="0"/>
      <w:divBdr>
        <w:top w:val="none" w:sz="0" w:space="0" w:color="auto"/>
        <w:left w:val="none" w:sz="0" w:space="0" w:color="auto"/>
        <w:bottom w:val="none" w:sz="0" w:space="0" w:color="auto"/>
        <w:right w:val="none" w:sz="0" w:space="0" w:color="auto"/>
      </w:divBdr>
    </w:div>
    <w:div w:id="2047363280">
      <w:bodyDiv w:val="1"/>
      <w:marLeft w:val="0"/>
      <w:marRight w:val="0"/>
      <w:marTop w:val="0"/>
      <w:marBottom w:val="0"/>
      <w:divBdr>
        <w:top w:val="none" w:sz="0" w:space="0" w:color="auto"/>
        <w:left w:val="none" w:sz="0" w:space="0" w:color="auto"/>
        <w:bottom w:val="none" w:sz="0" w:space="0" w:color="auto"/>
        <w:right w:val="none" w:sz="0" w:space="0" w:color="auto"/>
      </w:divBdr>
    </w:div>
    <w:div w:id="2047634488">
      <w:bodyDiv w:val="1"/>
      <w:marLeft w:val="0"/>
      <w:marRight w:val="0"/>
      <w:marTop w:val="0"/>
      <w:marBottom w:val="0"/>
      <w:divBdr>
        <w:top w:val="none" w:sz="0" w:space="0" w:color="auto"/>
        <w:left w:val="none" w:sz="0" w:space="0" w:color="auto"/>
        <w:bottom w:val="none" w:sz="0" w:space="0" w:color="auto"/>
        <w:right w:val="none" w:sz="0" w:space="0" w:color="auto"/>
      </w:divBdr>
    </w:div>
    <w:div w:id="2047677134">
      <w:bodyDiv w:val="1"/>
      <w:marLeft w:val="0"/>
      <w:marRight w:val="0"/>
      <w:marTop w:val="0"/>
      <w:marBottom w:val="0"/>
      <w:divBdr>
        <w:top w:val="none" w:sz="0" w:space="0" w:color="auto"/>
        <w:left w:val="none" w:sz="0" w:space="0" w:color="auto"/>
        <w:bottom w:val="none" w:sz="0" w:space="0" w:color="auto"/>
        <w:right w:val="none" w:sz="0" w:space="0" w:color="auto"/>
      </w:divBdr>
    </w:div>
    <w:div w:id="2048218931">
      <w:bodyDiv w:val="1"/>
      <w:marLeft w:val="0"/>
      <w:marRight w:val="0"/>
      <w:marTop w:val="0"/>
      <w:marBottom w:val="0"/>
      <w:divBdr>
        <w:top w:val="none" w:sz="0" w:space="0" w:color="auto"/>
        <w:left w:val="none" w:sz="0" w:space="0" w:color="auto"/>
        <w:bottom w:val="none" w:sz="0" w:space="0" w:color="auto"/>
        <w:right w:val="none" w:sz="0" w:space="0" w:color="auto"/>
      </w:divBdr>
    </w:div>
    <w:div w:id="2048290366">
      <w:bodyDiv w:val="1"/>
      <w:marLeft w:val="0"/>
      <w:marRight w:val="0"/>
      <w:marTop w:val="0"/>
      <w:marBottom w:val="0"/>
      <w:divBdr>
        <w:top w:val="none" w:sz="0" w:space="0" w:color="auto"/>
        <w:left w:val="none" w:sz="0" w:space="0" w:color="auto"/>
        <w:bottom w:val="none" w:sz="0" w:space="0" w:color="auto"/>
        <w:right w:val="none" w:sz="0" w:space="0" w:color="auto"/>
      </w:divBdr>
    </w:div>
    <w:div w:id="2048335422">
      <w:bodyDiv w:val="1"/>
      <w:marLeft w:val="0"/>
      <w:marRight w:val="0"/>
      <w:marTop w:val="0"/>
      <w:marBottom w:val="0"/>
      <w:divBdr>
        <w:top w:val="none" w:sz="0" w:space="0" w:color="auto"/>
        <w:left w:val="none" w:sz="0" w:space="0" w:color="auto"/>
        <w:bottom w:val="none" w:sz="0" w:space="0" w:color="auto"/>
        <w:right w:val="none" w:sz="0" w:space="0" w:color="auto"/>
      </w:divBdr>
    </w:div>
    <w:div w:id="2048410659">
      <w:bodyDiv w:val="1"/>
      <w:marLeft w:val="0"/>
      <w:marRight w:val="0"/>
      <w:marTop w:val="0"/>
      <w:marBottom w:val="0"/>
      <w:divBdr>
        <w:top w:val="none" w:sz="0" w:space="0" w:color="auto"/>
        <w:left w:val="none" w:sz="0" w:space="0" w:color="auto"/>
        <w:bottom w:val="none" w:sz="0" w:space="0" w:color="auto"/>
        <w:right w:val="none" w:sz="0" w:space="0" w:color="auto"/>
      </w:divBdr>
    </w:div>
    <w:div w:id="2048481624">
      <w:bodyDiv w:val="1"/>
      <w:marLeft w:val="0"/>
      <w:marRight w:val="0"/>
      <w:marTop w:val="0"/>
      <w:marBottom w:val="0"/>
      <w:divBdr>
        <w:top w:val="none" w:sz="0" w:space="0" w:color="auto"/>
        <w:left w:val="none" w:sz="0" w:space="0" w:color="auto"/>
        <w:bottom w:val="none" w:sz="0" w:space="0" w:color="auto"/>
        <w:right w:val="none" w:sz="0" w:space="0" w:color="auto"/>
      </w:divBdr>
    </w:div>
    <w:div w:id="2048870453">
      <w:bodyDiv w:val="1"/>
      <w:marLeft w:val="0"/>
      <w:marRight w:val="0"/>
      <w:marTop w:val="0"/>
      <w:marBottom w:val="0"/>
      <w:divBdr>
        <w:top w:val="none" w:sz="0" w:space="0" w:color="auto"/>
        <w:left w:val="none" w:sz="0" w:space="0" w:color="auto"/>
        <w:bottom w:val="none" w:sz="0" w:space="0" w:color="auto"/>
        <w:right w:val="none" w:sz="0" w:space="0" w:color="auto"/>
      </w:divBdr>
    </w:div>
    <w:div w:id="2048943295">
      <w:bodyDiv w:val="1"/>
      <w:marLeft w:val="0"/>
      <w:marRight w:val="0"/>
      <w:marTop w:val="0"/>
      <w:marBottom w:val="0"/>
      <w:divBdr>
        <w:top w:val="none" w:sz="0" w:space="0" w:color="auto"/>
        <w:left w:val="none" w:sz="0" w:space="0" w:color="auto"/>
        <w:bottom w:val="none" w:sz="0" w:space="0" w:color="auto"/>
        <w:right w:val="none" w:sz="0" w:space="0" w:color="auto"/>
      </w:divBdr>
    </w:div>
    <w:div w:id="2049061099">
      <w:bodyDiv w:val="1"/>
      <w:marLeft w:val="0"/>
      <w:marRight w:val="0"/>
      <w:marTop w:val="0"/>
      <w:marBottom w:val="0"/>
      <w:divBdr>
        <w:top w:val="none" w:sz="0" w:space="0" w:color="auto"/>
        <w:left w:val="none" w:sz="0" w:space="0" w:color="auto"/>
        <w:bottom w:val="none" w:sz="0" w:space="0" w:color="auto"/>
        <w:right w:val="none" w:sz="0" w:space="0" w:color="auto"/>
      </w:divBdr>
    </w:div>
    <w:div w:id="2049142593">
      <w:bodyDiv w:val="1"/>
      <w:marLeft w:val="0"/>
      <w:marRight w:val="0"/>
      <w:marTop w:val="0"/>
      <w:marBottom w:val="0"/>
      <w:divBdr>
        <w:top w:val="none" w:sz="0" w:space="0" w:color="auto"/>
        <w:left w:val="none" w:sz="0" w:space="0" w:color="auto"/>
        <w:bottom w:val="none" w:sz="0" w:space="0" w:color="auto"/>
        <w:right w:val="none" w:sz="0" w:space="0" w:color="auto"/>
      </w:divBdr>
    </w:div>
    <w:div w:id="2049328868">
      <w:bodyDiv w:val="1"/>
      <w:marLeft w:val="0"/>
      <w:marRight w:val="0"/>
      <w:marTop w:val="0"/>
      <w:marBottom w:val="0"/>
      <w:divBdr>
        <w:top w:val="none" w:sz="0" w:space="0" w:color="auto"/>
        <w:left w:val="none" w:sz="0" w:space="0" w:color="auto"/>
        <w:bottom w:val="none" w:sz="0" w:space="0" w:color="auto"/>
        <w:right w:val="none" w:sz="0" w:space="0" w:color="auto"/>
      </w:divBdr>
    </w:div>
    <w:div w:id="2049526679">
      <w:bodyDiv w:val="1"/>
      <w:marLeft w:val="0"/>
      <w:marRight w:val="0"/>
      <w:marTop w:val="0"/>
      <w:marBottom w:val="0"/>
      <w:divBdr>
        <w:top w:val="none" w:sz="0" w:space="0" w:color="auto"/>
        <w:left w:val="none" w:sz="0" w:space="0" w:color="auto"/>
        <w:bottom w:val="none" w:sz="0" w:space="0" w:color="auto"/>
        <w:right w:val="none" w:sz="0" w:space="0" w:color="auto"/>
      </w:divBdr>
    </w:div>
    <w:div w:id="2049530333">
      <w:bodyDiv w:val="1"/>
      <w:marLeft w:val="0"/>
      <w:marRight w:val="0"/>
      <w:marTop w:val="0"/>
      <w:marBottom w:val="0"/>
      <w:divBdr>
        <w:top w:val="none" w:sz="0" w:space="0" w:color="auto"/>
        <w:left w:val="none" w:sz="0" w:space="0" w:color="auto"/>
        <w:bottom w:val="none" w:sz="0" w:space="0" w:color="auto"/>
        <w:right w:val="none" w:sz="0" w:space="0" w:color="auto"/>
      </w:divBdr>
    </w:div>
    <w:div w:id="2049911507">
      <w:bodyDiv w:val="1"/>
      <w:marLeft w:val="0"/>
      <w:marRight w:val="0"/>
      <w:marTop w:val="0"/>
      <w:marBottom w:val="0"/>
      <w:divBdr>
        <w:top w:val="none" w:sz="0" w:space="0" w:color="auto"/>
        <w:left w:val="none" w:sz="0" w:space="0" w:color="auto"/>
        <w:bottom w:val="none" w:sz="0" w:space="0" w:color="auto"/>
        <w:right w:val="none" w:sz="0" w:space="0" w:color="auto"/>
      </w:divBdr>
    </w:div>
    <w:div w:id="2050176726">
      <w:bodyDiv w:val="1"/>
      <w:marLeft w:val="0"/>
      <w:marRight w:val="0"/>
      <w:marTop w:val="0"/>
      <w:marBottom w:val="0"/>
      <w:divBdr>
        <w:top w:val="none" w:sz="0" w:space="0" w:color="auto"/>
        <w:left w:val="none" w:sz="0" w:space="0" w:color="auto"/>
        <w:bottom w:val="none" w:sz="0" w:space="0" w:color="auto"/>
        <w:right w:val="none" w:sz="0" w:space="0" w:color="auto"/>
      </w:divBdr>
    </w:div>
    <w:div w:id="2050178931">
      <w:bodyDiv w:val="1"/>
      <w:marLeft w:val="0"/>
      <w:marRight w:val="0"/>
      <w:marTop w:val="0"/>
      <w:marBottom w:val="0"/>
      <w:divBdr>
        <w:top w:val="none" w:sz="0" w:space="0" w:color="auto"/>
        <w:left w:val="none" w:sz="0" w:space="0" w:color="auto"/>
        <w:bottom w:val="none" w:sz="0" w:space="0" w:color="auto"/>
        <w:right w:val="none" w:sz="0" w:space="0" w:color="auto"/>
      </w:divBdr>
    </w:div>
    <w:div w:id="2050258184">
      <w:bodyDiv w:val="1"/>
      <w:marLeft w:val="0"/>
      <w:marRight w:val="0"/>
      <w:marTop w:val="0"/>
      <w:marBottom w:val="0"/>
      <w:divBdr>
        <w:top w:val="none" w:sz="0" w:space="0" w:color="auto"/>
        <w:left w:val="none" w:sz="0" w:space="0" w:color="auto"/>
        <w:bottom w:val="none" w:sz="0" w:space="0" w:color="auto"/>
        <w:right w:val="none" w:sz="0" w:space="0" w:color="auto"/>
      </w:divBdr>
    </w:div>
    <w:div w:id="2050377562">
      <w:bodyDiv w:val="1"/>
      <w:marLeft w:val="0"/>
      <w:marRight w:val="0"/>
      <w:marTop w:val="0"/>
      <w:marBottom w:val="0"/>
      <w:divBdr>
        <w:top w:val="none" w:sz="0" w:space="0" w:color="auto"/>
        <w:left w:val="none" w:sz="0" w:space="0" w:color="auto"/>
        <w:bottom w:val="none" w:sz="0" w:space="0" w:color="auto"/>
        <w:right w:val="none" w:sz="0" w:space="0" w:color="auto"/>
      </w:divBdr>
    </w:div>
    <w:div w:id="2050951822">
      <w:bodyDiv w:val="1"/>
      <w:marLeft w:val="0"/>
      <w:marRight w:val="0"/>
      <w:marTop w:val="0"/>
      <w:marBottom w:val="0"/>
      <w:divBdr>
        <w:top w:val="none" w:sz="0" w:space="0" w:color="auto"/>
        <w:left w:val="none" w:sz="0" w:space="0" w:color="auto"/>
        <w:bottom w:val="none" w:sz="0" w:space="0" w:color="auto"/>
        <w:right w:val="none" w:sz="0" w:space="0" w:color="auto"/>
      </w:divBdr>
    </w:div>
    <w:div w:id="2051029186">
      <w:bodyDiv w:val="1"/>
      <w:marLeft w:val="0"/>
      <w:marRight w:val="0"/>
      <w:marTop w:val="0"/>
      <w:marBottom w:val="0"/>
      <w:divBdr>
        <w:top w:val="none" w:sz="0" w:space="0" w:color="auto"/>
        <w:left w:val="none" w:sz="0" w:space="0" w:color="auto"/>
        <w:bottom w:val="none" w:sz="0" w:space="0" w:color="auto"/>
        <w:right w:val="none" w:sz="0" w:space="0" w:color="auto"/>
      </w:divBdr>
    </w:div>
    <w:div w:id="2051494711">
      <w:bodyDiv w:val="1"/>
      <w:marLeft w:val="0"/>
      <w:marRight w:val="0"/>
      <w:marTop w:val="0"/>
      <w:marBottom w:val="0"/>
      <w:divBdr>
        <w:top w:val="none" w:sz="0" w:space="0" w:color="auto"/>
        <w:left w:val="none" w:sz="0" w:space="0" w:color="auto"/>
        <w:bottom w:val="none" w:sz="0" w:space="0" w:color="auto"/>
        <w:right w:val="none" w:sz="0" w:space="0" w:color="auto"/>
      </w:divBdr>
    </w:div>
    <w:div w:id="2051568168">
      <w:bodyDiv w:val="1"/>
      <w:marLeft w:val="0"/>
      <w:marRight w:val="0"/>
      <w:marTop w:val="0"/>
      <w:marBottom w:val="0"/>
      <w:divBdr>
        <w:top w:val="none" w:sz="0" w:space="0" w:color="auto"/>
        <w:left w:val="none" w:sz="0" w:space="0" w:color="auto"/>
        <w:bottom w:val="none" w:sz="0" w:space="0" w:color="auto"/>
        <w:right w:val="none" w:sz="0" w:space="0" w:color="auto"/>
      </w:divBdr>
    </w:div>
    <w:div w:id="2051877962">
      <w:bodyDiv w:val="1"/>
      <w:marLeft w:val="0"/>
      <w:marRight w:val="0"/>
      <w:marTop w:val="0"/>
      <w:marBottom w:val="0"/>
      <w:divBdr>
        <w:top w:val="none" w:sz="0" w:space="0" w:color="auto"/>
        <w:left w:val="none" w:sz="0" w:space="0" w:color="auto"/>
        <w:bottom w:val="none" w:sz="0" w:space="0" w:color="auto"/>
        <w:right w:val="none" w:sz="0" w:space="0" w:color="auto"/>
      </w:divBdr>
    </w:div>
    <w:div w:id="2051878336">
      <w:bodyDiv w:val="1"/>
      <w:marLeft w:val="0"/>
      <w:marRight w:val="0"/>
      <w:marTop w:val="0"/>
      <w:marBottom w:val="0"/>
      <w:divBdr>
        <w:top w:val="none" w:sz="0" w:space="0" w:color="auto"/>
        <w:left w:val="none" w:sz="0" w:space="0" w:color="auto"/>
        <w:bottom w:val="none" w:sz="0" w:space="0" w:color="auto"/>
        <w:right w:val="none" w:sz="0" w:space="0" w:color="auto"/>
      </w:divBdr>
    </w:div>
    <w:div w:id="2051956073">
      <w:bodyDiv w:val="1"/>
      <w:marLeft w:val="0"/>
      <w:marRight w:val="0"/>
      <w:marTop w:val="0"/>
      <w:marBottom w:val="0"/>
      <w:divBdr>
        <w:top w:val="none" w:sz="0" w:space="0" w:color="auto"/>
        <w:left w:val="none" w:sz="0" w:space="0" w:color="auto"/>
        <w:bottom w:val="none" w:sz="0" w:space="0" w:color="auto"/>
        <w:right w:val="none" w:sz="0" w:space="0" w:color="auto"/>
      </w:divBdr>
    </w:div>
    <w:div w:id="2052072989">
      <w:bodyDiv w:val="1"/>
      <w:marLeft w:val="0"/>
      <w:marRight w:val="0"/>
      <w:marTop w:val="0"/>
      <w:marBottom w:val="0"/>
      <w:divBdr>
        <w:top w:val="none" w:sz="0" w:space="0" w:color="auto"/>
        <w:left w:val="none" w:sz="0" w:space="0" w:color="auto"/>
        <w:bottom w:val="none" w:sz="0" w:space="0" w:color="auto"/>
        <w:right w:val="none" w:sz="0" w:space="0" w:color="auto"/>
      </w:divBdr>
    </w:div>
    <w:div w:id="2052463385">
      <w:bodyDiv w:val="1"/>
      <w:marLeft w:val="0"/>
      <w:marRight w:val="0"/>
      <w:marTop w:val="0"/>
      <w:marBottom w:val="0"/>
      <w:divBdr>
        <w:top w:val="none" w:sz="0" w:space="0" w:color="auto"/>
        <w:left w:val="none" w:sz="0" w:space="0" w:color="auto"/>
        <w:bottom w:val="none" w:sz="0" w:space="0" w:color="auto"/>
        <w:right w:val="none" w:sz="0" w:space="0" w:color="auto"/>
      </w:divBdr>
    </w:div>
    <w:div w:id="2052606267">
      <w:bodyDiv w:val="1"/>
      <w:marLeft w:val="0"/>
      <w:marRight w:val="0"/>
      <w:marTop w:val="0"/>
      <w:marBottom w:val="0"/>
      <w:divBdr>
        <w:top w:val="none" w:sz="0" w:space="0" w:color="auto"/>
        <w:left w:val="none" w:sz="0" w:space="0" w:color="auto"/>
        <w:bottom w:val="none" w:sz="0" w:space="0" w:color="auto"/>
        <w:right w:val="none" w:sz="0" w:space="0" w:color="auto"/>
      </w:divBdr>
    </w:div>
    <w:div w:id="2052722911">
      <w:bodyDiv w:val="1"/>
      <w:marLeft w:val="0"/>
      <w:marRight w:val="0"/>
      <w:marTop w:val="0"/>
      <w:marBottom w:val="0"/>
      <w:divBdr>
        <w:top w:val="none" w:sz="0" w:space="0" w:color="auto"/>
        <w:left w:val="none" w:sz="0" w:space="0" w:color="auto"/>
        <w:bottom w:val="none" w:sz="0" w:space="0" w:color="auto"/>
        <w:right w:val="none" w:sz="0" w:space="0" w:color="auto"/>
      </w:divBdr>
    </w:div>
    <w:div w:id="2052724750">
      <w:bodyDiv w:val="1"/>
      <w:marLeft w:val="0"/>
      <w:marRight w:val="0"/>
      <w:marTop w:val="0"/>
      <w:marBottom w:val="0"/>
      <w:divBdr>
        <w:top w:val="none" w:sz="0" w:space="0" w:color="auto"/>
        <w:left w:val="none" w:sz="0" w:space="0" w:color="auto"/>
        <w:bottom w:val="none" w:sz="0" w:space="0" w:color="auto"/>
        <w:right w:val="none" w:sz="0" w:space="0" w:color="auto"/>
      </w:divBdr>
    </w:div>
    <w:div w:id="2052923681">
      <w:bodyDiv w:val="1"/>
      <w:marLeft w:val="0"/>
      <w:marRight w:val="0"/>
      <w:marTop w:val="0"/>
      <w:marBottom w:val="0"/>
      <w:divBdr>
        <w:top w:val="none" w:sz="0" w:space="0" w:color="auto"/>
        <w:left w:val="none" w:sz="0" w:space="0" w:color="auto"/>
        <w:bottom w:val="none" w:sz="0" w:space="0" w:color="auto"/>
        <w:right w:val="none" w:sz="0" w:space="0" w:color="auto"/>
      </w:divBdr>
    </w:div>
    <w:div w:id="2053193149">
      <w:bodyDiv w:val="1"/>
      <w:marLeft w:val="0"/>
      <w:marRight w:val="0"/>
      <w:marTop w:val="0"/>
      <w:marBottom w:val="0"/>
      <w:divBdr>
        <w:top w:val="none" w:sz="0" w:space="0" w:color="auto"/>
        <w:left w:val="none" w:sz="0" w:space="0" w:color="auto"/>
        <w:bottom w:val="none" w:sz="0" w:space="0" w:color="auto"/>
        <w:right w:val="none" w:sz="0" w:space="0" w:color="auto"/>
      </w:divBdr>
    </w:div>
    <w:div w:id="2053335977">
      <w:bodyDiv w:val="1"/>
      <w:marLeft w:val="0"/>
      <w:marRight w:val="0"/>
      <w:marTop w:val="0"/>
      <w:marBottom w:val="0"/>
      <w:divBdr>
        <w:top w:val="none" w:sz="0" w:space="0" w:color="auto"/>
        <w:left w:val="none" w:sz="0" w:space="0" w:color="auto"/>
        <w:bottom w:val="none" w:sz="0" w:space="0" w:color="auto"/>
        <w:right w:val="none" w:sz="0" w:space="0" w:color="auto"/>
      </w:divBdr>
    </w:div>
    <w:div w:id="2053339409">
      <w:bodyDiv w:val="1"/>
      <w:marLeft w:val="0"/>
      <w:marRight w:val="0"/>
      <w:marTop w:val="0"/>
      <w:marBottom w:val="0"/>
      <w:divBdr>
        <w:top w:val="none" w:sz="0" w:space="0" w:color="auto"/>
        <w:left w:val="none" w:sz="0" w:space="0" w:color="auto"/>
        <w:bottom w:val="none" w:sz="0" w:space="0" w:color="auto"/>
        <w:right w:val="none" w:sz="0" w:space="0" w:color="auto"/>
      </w:divBdr>
    </w:div>
    <w:div w:id="2053650916">
      <w:bodyDiv w:val="1"/>
      <w:marLeft w:val="0"/>
      <w:marRight w:val="0"/>
      <w:marTop w:val="0"/>
      <w:marBottom w:val="0"/>
      <w:divBdr>
        <w:top w:val="none" w:sz="0" w:space="0" w:color="auto"/>
        <w:left w:val="none" w:sz="0" w:space="0" w:color="auto"/>
        <w:bottom w:val="none" w:sz="0" w:space="0" w:color="auto"/>
        <w:right w:val="none" w:sz="0" w:space="0" w:color="auto"/>
      </w:divBdr>
    </w:div>
    <w:div w:id="2053652425">
      <w:bodyDiv w:val="1"/>
      <w:marLeft w:val="0"/>
      <w:marRight w:val="0"/>
      <w:marTop w:val="0"/>
      <w:marBottom w:val="0"/>
      <w:divBdr>
        <w:top w:val="none" w:sz="0" w:space="0" w:color="auto"/>
        <w:left w:val="none" w:sz="0" w:space="0" w:color="auto"/>
        <w:bottom w:val="none" w:sz="0" w:space="0" w:color="auto"/>
        <w:right w:val="none" w:sz="0" w:space="0" w:color="auto"/>
      </w:divBdr>
    </w:div>
    <w:div w:id="2053655056">
      <w:bodyDiv w:val="1"/>
      <w:marLeft w:val="0"/>
      <w:marRight w:val="0"/>
      <w:marTop w:val="0"/>
      <w:marBottom w:val="0"/>
      <w:divBdr>
        <w:top w:val="none" w:sz="0" w:space="0" w:color="auto"/>
        <w:left w:val="none" w:sz="0" w:space="0" w:color="auto"/>
        <w:bottom w:val="none" w:sz="0" w:space="0" w:color="auto"/>
        <w:right w:val="none" w:sz="0" w:space="0" w:color="auto"/>
      </w:divBdr>
    </w:div>
    <w:div w:id="2054037880">
      <w:bodyDiv w:val="1"/>
      <w:marLeft w:val="0"/>
      <w:marRight w:val="0"/>
      <w:marTop w:val="0"/>
      <w:marBottom w:val="0"/>
      <w:divBdr>
        <w:top w:val="none" w:sz="0" w:space="0" w:color="auto"/>
        <w:left w:val="none" w:sz="0" w:space="0" w:color="auto"/>
        <w:bottom w:val="none" w:sz="0" w:space="0" w:color="auto"/>
        <w:right w:val="none" w:sz="0" w:space="0" w:color="auto"/>
      </w:divBdr>
    </w:div>
    <w:div w:id="2054302371">
      <w:bodyDiv w:val="1"/>
      <w:marLeft w:val="0"/>
      <w:marRight w:val="0"/>
      <w:marTop w:val="0"/>
      <w:marBottom w:val="0"/>
      <w:divBdr>
        <w:top w:val="none" w:sz="0" w:space="0" w:color="auto"/>
        <w:left w:val="none" w:sz="0" w:space="0" w:color="auto"/>
        <w:bottom w:val="none" w:sz="0" w:space="0" w:color="auto"/>
        <w:right w:val="none" w:sz="0" w:space="0" w:color="auto"/>
      </w:divBdr>
    </w:div>
    <w:div w:id="2054496657">
      <w:bodyDiv w:val="1"/>
      <w:marLeft w:val="0"/>
      <w:marRight w:val="0"/>
      <w:marTop w:val="0"/>
      <w:marBottom w:val="0"/>
      <w:divBdr>
        <w:top w:val="none" w:sz="0" w:space="0" w:color="auto"/>
        <w:left w:val="none" w:sz="0" w:space="0" w:color="auto"/>
        <w:bottom w:val="none" w:sz="0" w:space="0" w:color="auto"/>
        <w:right w:val="none" w:sz="0" w:space="0" w:color="auto"/>
      </w:divBdr>
    </w:div>
    <w:div w:id="2054651474">
      <w:bodyDiv w:val="1"/>
      <w:marLeft w:val="0"/>
      <w:marRight w:val="0"/>
      <w:marTop w:val="0"/>
      <w:marBottom w:val="0"/>
      <w:divBdr>
        <w:top w:val="none" w:sz="0" w:space="0" w:color="auto"/>
        <w:left w:val="none" w:sz="0" w:space="0" w:color="auto"/>
        <w:bottom w:val="none" w:sz="0" w:space="0" w:color="auto"/>
        <w:right w:val="none" w:sz="0" w:space="0" w:color="auto"/>
      </w:divBdr>
    </w:div>
    <w:div w:id="2054766604">
      <w:bodyDiv w:val="1"/>
      <w:marLeft w:val="0"/>
      <w:marRight w:val="0"/>
      <w:marTop w:val="0"/>
      <w:marBottom w:val="0"/>
      <w:divBdr>
        <w:top w:val="none" w:sz="0" w:space="0" w:color="auto"/>
        <w:left w:val="none" w:sz="0" w:space="0" w:color="auto"/>
        <w:bottom w:val="none" w:sz="0" w:space="0" w:color="auto"/>
        <w:right w:val="none" w:sz="0" w:space="0" w:color="auto"/>
      </w:divBdr>
    </w:div>
    <w:div w:id="2054842947">
      <w:bodyDiv w:val="1"/>
      <w:marLeft w:val="0"/>
      <w:marRight w:val="0"/>
      <w:marTop w:val="0"/>
      <w:marBottom w:val="0"/>
      <w:divBdr>
        <w:top w:val="none" w:sz="0" w:space="0" w:color="auto"/>
        <w:left w:val="none" w:sz="0" w:space="0" w:color="auto"/>
        <w:bottom w:val="none" w:sz="0" w:space="0" w:color="auto"/>
        <w:right w:val="none" w:sz="0" w:space="0" w:color="auto"/>
      </w:divBdr>
    </w:div>
    <w:div w:id="2055275574">
      <w:bodyDiv w:val="1"/>
      <w:marLeft w:val="0"/>
      <w:marRight w:val="0"/>
      <w:marTop w:val="0"/>
      <w:marBottom w:val="0"/>
      <w:divBdr>
        <w:top w:val="none" w:sz="0" w:space="0" w:color="auto"/>
        <w:left w:val="none" w:sz="0" w:space="0" w:color="auto"/>
        <w:bottom w:val="none" w:sz="0" w:space="0" w:color="auto"/>
        <w:right w:val="none" w:sz="0" w:space="0" w:color="auto"/>
      </w:divBdr>
    </w:div>
    <w:div w:id="2055545266">
      <w:bodyDiv w:val="1"/>
      <w:marLeft w:val="0"/>
      <w:marRight w:val="0"/>
      <w:marTop w:val="0"/>
      <w:marBottom w:val="0"/>
      <w:divBdr>
        <w:top w:val="none" w:sz="0" w:space="0" w:color="auto"/>
        <w:left w:val="none" w:sz="0" w:space="0" w:color="auto"/>
        <w:bottom w:val="none" w:sz="0" w:space="0" w:color="auto"/>
        <w:right w:val="none" w:sz="0" w:space="0" w:color="auto"/>
      </w:divBdr>
    </w:div>
    <w:div w:id="2055959443">
      <w:bodyDiv w:val="1"/>
      <w:marLeft w:val="0"/>
      <w:marRight w:val="0"/>
      <w:marTop w:val="0"/>
      <w:marBottom w:val="0"/>
      <w:divBdr>
        <w:top w:val="none" w:sz="0" w:space="0" w:color="auto"/>
        <w:left w:val="none" w:sz="0" w:space="0" w:color="auto"/>
        <w:bottom w:val="none" w:sz="0" w:space="0" w:color="auto"/>
        <w:right w:val="none" w:sz="0" w:space="0" w:color="auto"/>
      </w:divBdr>
    </w:div>
    <w:div w:id="2055999805">
      <w:bodyDiv w:val="1"/>
      <w:marLeft w:val="0"/>
      <w:marRight w:val="0"/>
      <w:marTop w:val="0"/>
      <w:marBottom w:val="0"/>
      <w:divBdr>
        <w:top w:val="none" w:sz="0" w:space="0" w:color="auto"/>
        <w:left w:val="none" w:sz="0" w:space="0" w:color="auto"/>
        <w:bottom w:val="none" w:sz="0" w:space="0" w:color="auto"/>
        <w:right w:val="none" w:sz="0" w:space="0" w:color="auto"/>
      </w:divBdr>
    </w:div>
    <w:div w:id="2056194722">
      <w:bodyDiv w:val="1"/>
      <w:marLeft w:val="0"/>
      <w:marRight w:val="0"/>
      <w:marTop w:val="0"/>
      <w:marBottom w:val="0"/>
      <w:divBdr>
        <w:top w:val="none" w:sz="0" w:space="0" w:color="auto"/>
        <w:left w:val="none" w:sz="0" w:space="0" w:color="auto"/>
        <w:bottom w:val="none" w:sz="0" w:space="0" w:color="auto"/>
        <w:right w:val="none" w:sz="0" w:space="0" w:color="auto"/>
      </w:divBdr>
    </w:div>
    <w:div w:id="2056198150">
      <w:bodyDiv w:val="1"/>
      <w:marLeft w:val="0"/>
      <w:marRight w:val="0"/>
      <w:marTop w:val="0"/>
      <w:marBottom w:val="0"/>
      <w:divBdr>
        <w:top w:val="none" w:sz="0" w:space="0" w:color="auto"/>
        <w:left w:val="none" w:sz="0" w:space="0" w:color="auto"/>
        <w:bottom w:val="none" w:sz="0" w:space="0" w:color="auto"/>
        <w:right w:val="none" w:sz="0" w:space="0" w:color="auto"/>
      </w:divBdr>
    </w:div>
    <w:div w:id="2057316943">
      <w:bodyDiv w:val="1"/>
      <w:marLeft w:val="0"/>
      <w:marRight w:val="0"/>
      <w:marTop w:val="0"/>
      <w:marBottom w:val="0"/>
      <w:divBdr>
        <w:top w:val="none" w:sz="0" w:space="0" w:color="auto"/>
        <w:left w:val="none" w:sz="0" w:space="0" w:color="auto"/>
        <w:bottom w:val="none" w:sz="0" w:space="0" w:color="auto"/>
        <w:right w:val="none" w:sz="0" w:space="0" w:color="auto"/>
      </w:divBdr>
    </w:div>
    <w:div w:id="2057511466">
      <w:bodyDiv w:val="1"/>
      <w:marLeft w:val="0"/>
      <w:marRight w:val="0"/>
      <w:marTop w:val="0"/>
      <w:marBottom w:val="0"/>
      <w:divBdr>
        <w:top w:val="none" w:sz="0" w:space="0" w:color="auto"/>
        <w:left w:val="none" w:sz="0" w:space="0" w:color="auto"/>
        <w:bottom w:val="none" w:sz="0" w:space="0" w:color="auto"/>
        <w:right w:val="none" w:sz="0" w:space="0" w:color="auto"/>
      </w:divBdr>
    </w:div>
    <w:div w:id="2057580711">
      <w:bodyDiv w:val="1"/>
      <w:marLeft w:val="0"/>
      <w:marRight w:val="0"/>
      <w:marTop w:val="0"/>
      <w:marBottom w:val="0"/>
      <w:divBdr>
        <w:top w:val="none" w:sz="0" w:space="0" w:color="auto"/>
        <w:left w:val="none" w:sz="0" w:space="0" w:color="auto"/>
        <w:bottom w:val="none" w:sz="0" w:space="0" w:color="auto"/>
        <w:right w:val="none" w:sz="0" w:space="0" w:color="auto"/>
      </w:divBdr>
    </w:div>
    <w:div w:id="2057967656">
      <w:bodyDiv w:val="1"/>
      <w:marLeft w:val="0"/>
      <w:marRight w:val="0"/>
      <w:marTop w:val="0"/>
      <w:marBottom w:val="0"/>
      <w:divBdr>
        <w:top w:val="none" w:sz="0" w:space="0" w:color="auto"/>
        <w:left w:val="none" w:sz="0" w:space="0" w:color="auto"/>
        <w:bottom w:val="none" w:sz="0" w:space="0" w:color="auto"/>
        <w:right w:val="none" w:sz="0" w:space="0" w:color="auto"/>
      </w:divBdr>
    </w:div>
    <w:div w:id="2057971518">
      <w:bodyDiv w:val="1"/>
      <w:marLeft w:val="0"/>
      <w:marRight w:val="0"/>
      <w:marTop w:val="0"/>
      <w:marBottom w:val="0"/>
      <w:divBdr>
        <w:top w:val="none" w:sz="0" w:space="0" w:color="auto"/>
        <w:left w:val="none" w:sz="0" w:space="0" w:color="auto"/>
        <w:bottom w:val="none" w:sz="0" w:space="0" w:color="auto"/>
        <w:right w:val="none" w:sz="0" w:space="0" w:color="auto"/>
      </w:divBdr>
    </w:div>
    <w:div w:id="2058122620">
      <w:bodyDiv w:val="1"/>
      <w:marLeft w:val="0"/>
      <w:marRight w:val="0"/>
      <w:marTop w:val="0"/>
      <w:marBottom w:val="0"/>
      <w:divBdr>
        <w:top w:val="none" w:sz="0" w:space="0" w:color="auto"/>
        <w:left w:val="none" w:sz="0" w:space="0" w:color="auto"/>
        <w:bottom w:val="none" w:sz="0" w:space="0" w:color="auto"/>
        <w:right w:val="none" w:sz="0" w:space="0" w:color="auto"/>
      </w:divBdr>
    </w:div>
    <w:div w:id="2058310364">
      <w:bodyDiv w:val="1"/>
      <w:marLeft w:val="0"/>
      <w:marRight w:val="0"/>
      <w:marTop w:val="0"/>
      <w:marBottom w:val="0"/>
      <w:divBdr>
        <w:top w:val="none" w:sz="0" w:space="0" w:color="auto"/>
        <w:left w:val="none" w:sz="0" w:space="0" w:color="auto"/>
        <w:bottom w:val="none" w:sz="0" w:space="0" w:color="auto"/>
        <w:right w:val="none" w:sz="0" w:space="0" w:color="auto"/>
      </w:divBdr>
    </w:div>
    <w:div w:id="2058577147">
      <w:bodyDiv w:val="1"/>
      <w:marLeft w:val="0"/>
      <w:marRight w:val="0"/>
      <w:marTop w:val="0"/>
      <w:marBottom w:val="0"/>
      <w:divBdr>
        <w:top w:val="none" w:sz="0" w:space="0" w:color="auto"/>
        <w:left w:val="none" w:sz="0" w:space="0" w:color="auto"/>
        <w:bottom w:val="none" w:sz="0" w:space="0" w:color="auto"/>
        <w:right w:val="none" w:sz="0" w:space="0" w:color="auto"/>
      </w:divBdr>
    </w:div>
    <w:div w:id="2058816924">
      <w:bodyDiv w:val="1"/>
      <w:marLeft w:val="0"/>
      <w:marRight w:val="0"/>
      <w:marTop w:val="0"/>
      <w:marBottom w:val="0"/>
      <w:divBdr>
        <w:top w:val="none" w:sz="0" w:space="0" w:color="auto"/>
        <w:left w:val="none" w:sz="0" w:space="0" w:color="auto"/>
        <w:bottom w:val="none" w:sz="0" w:space="0" w:color="auto"/>
        <w:right w:val="none" w:sz="0" w:space="0" w:color="auto"/>
      </w:divBdr>
    </w:div>
    <w:div w:id="2058968683">
      <w:bodyDiv w:val="1"/>
      <w:marLeft w:val="0"/>
      <w:marRight w:val="0"/>
      <w:marTop w:val="0"/>
      <w:marBottom w:val="0"/>
      <w:divBdr>
        <w:top w:val="none" w:sz="0" w:space="0" w:color="auto"/>
        <w:left w:val="none" w:sz="0" w:space="0" w:color="auto"/>
        <w:bottom w:val="none" w:sz="0" w:space="0" w:color="auto"/>
        <w:right w:val="none" w:sz="0" w:space="0" w:color="auto"/>
      </w:divBdr>
    </w:div>
    <w:div w:id="2058969551">
      <w:bodyDiv w:val="1"/>
      <w:marLeft w:val="0"/>
      <w:marRight w:val="0"/>
      <w:marTop w:val="0"/>
      <w:marBottom w:val="0"/>
      <w:divBdr>
        <w:top w:val="none" w:sz="0" w:space="0" w:color="auto"/>
        <w:left w:val="none" w:sz="0" w:space="0" w:color="auto"/>
        <w:bottom w:val="none" w:sz="0" w:space="0" w:color="auto"/>
        <w:right w:val="none" w:sz="0" w:space="0" w:color="auto"/>
      </w:divBdr>
    </w:div>
    <w:div w:id="2059084373">
      <w:bodyDiv w:val="1"/>
      <w:marLeft w:val="0"/>
      <w:marRight w:val="0"/>
      <w:marTop w:val="0"/>
      <w:marBottom w:val="0"/>
      <w:divBdr>
        <w:top w:val="none" w:sz="0" w:space="0" w:color="auto"/>
        <w:left w:val="none" w:sz="0" w:space="0" w:color="auto"/>
        <w:bottom w:val="none" w:sz="0" w:space="0" w:color="auto"/>
        <w:right w:val="none" w:sz="0" w:space="0" w:color="auto"/>
      </w:divBdr>
    </w:div>
    <w:div w:id="2059357243">
      <w:bodyDiv w:val="1"/>
      <w:marLeft w:val="0"/>
      <w:marRight w:val="0"/>
      <w:marTop w:val="0"/>
      <w:marBottom w:val="0"/>
      <w:divBdr>
        <w:top w:val="none" w:sz="0" w:space="0" w:color="auto"/>
        <w:left w:val="none" w:sz="0" w:space="0" w:color="auto"/>
        <w:bottom w:val="none" w:sz="0" w:space="0" w:color="auto"/>
        <w:right w:val="none" w:sz="0" w:space="0" w:color="auto"/>
      </w:divBdr>
    </w:div>
    <w:div w:id="2059470833">
      <w:bodyDiv w:val="1"/>
      <w:marLeft w:val="0"/>
      <w:marRight w:val="0"/>
      <w:marTop w:val="0"/>
      <w:marBottom w:val="0"/>
      <w:divBdr>
        <w:top w:val="none" w:sz="0" w:space="0" w:color="auto"/>
        <w:left w:val="none" w:sz="0" w:space="0" w:color="auto"/>
        <w:bottom w:val="none" w:sz="0" w:space="0" w:color="auto"/>
        <w:right w:val="none" w:sz="0" w:space="0" w:color="auto"/>
      </w:divBdr>
    </w:div>
    <w:div w:id="2059475530">
      <w:bodyDiv w:val="1"/>
      <w:marLeft w:val="0"/>
      <w:marRight w:val="0"/>
      <w:marTop w:val="0"/>
      <w:marBottom w:val="0"/>
      <w:divBdr>
        <w:top w:val="none" w:sz="0" w:space="0" w:color="auto"/>
        <w:left w:val="none" w:sz="0" w:space="0" w:color="auto"/>
        <w:bottom w:val="none" w:sz="0" w:space="0" w:color="auto"/>
        <w:right w:val="none" w:sz="0" w:space="0" w:color="auto"/>
      </w:divBdr>
    </w:div>
    <w:div w:id="2059741844">
      <w:bodyDiv w:val="1"/>
      <w:marLeft w:val="0"/>
      <w:marRight w:val="0"/>
      <w:marTop w:val="0"/>
      <w:marBottom w:val="0"/>
      <w:divBdr>
        <w:top w:val="none" w:sz="0" w:space="0" w:color="auto"/>
        <w:left w:val="none" w:sz="0" w:space="0" w:color="auto"/>
        <w:bottom w:val="none" w:sz="0" w:space="0" w:color="auto"/>
        <w:right w:val="none" w:sz="0" w:space="0" w:color="auto"/>
      </w:divBdr>
    </w:div>
    <w:div w:id="2059745468">
      <w:bodyDiv w:val="1"/>
      <w:marLeft w:val="0"/>
      <w:marRight w:val="0"/>
      <w:marTop w:val="0"/>
      <w:marBottom w:val="0"/>
      <w:divBdr>
        <w:top w:val="none" w:sz="0" w:space="0" w:color="auto"/>
        <w:left w:val="none" w:sz="0" w:space="0" w:color="auto"/>
        <w:bottom w:val="none" w:sz="0" w:space="0" w:color="auto"/>
        <w:right w:val="none" w:sz="0" w:space="0" w:color="auto"/>
      </w:divBdr>
    </w:div>
    <w:div w:id="2060930946">
      <w:bodyDiv w:val="1"/>
      <w:marLeft w:val="0"/>
      <w:marRight w:val="0"/>
      <w:marTop w:val="0"/>
      <w:marBottom w:val="0"/>
      <w:divBdr>
        <w:top w:val="none" w:sz="0" w:space="0" w:color="auto"/>
        <w:left w:val="none" w:sz="0" w:space="0" w:color="auto"/>
        <w:bottom w:val="none" w:sz="0" w:space="0" w:color="auto"/>
        <w:right w:val="none" w:sz="0" w:space="0" w:color="auto"/>
      </w:divBdr>
    </w:div>
    <w:div w:id="2061317455">
      <w:bodyDiv w:val="1"/>
      <w:marLeft w:val="0"/>
      <w:marRight w:val="0"/>
      <w:marTop w:val="0"/>
      <w:marBottom w:val="0"/>
      <w:divBdr>
        <w:top w:val="none" w:sz="0" w:space="0" w:color="auto"/>
        <w:left w:val="none" w:sz="0" w:space="0" w:color="auto"/>
        <w:bottom w:val="none" w:sz="0" w:space="0" w:color="auto"/>
        <w:right w:val="none" w:sz="0" w:space="0" w:color="auto"/>
      </w:divBdr>
    </w:div>
    <w:div w:id="2061399223">
      <w:bodyDiv w:val="1"/>
      <w:marLeft w:val="0"/>
      <w:marRight w:val="0"/>
      <w:marTop w:val="0"/>
      <w:marBottom w:val="0"/>
      <w:divBdr>
        <w:top w:val="none" w:sz="0" w:space="0" w:color="auto"/>
        <w:left w:val="none" w:sz="0" w:space="0" w:color="auto"/>
        <w:bottom w:val="none" w:sz="0" w:space="0" w:color="auto"/>
        <w:right w:val="none" w:sz="0" w:space="0" w:color="auto"/>
      </w:divBdr>
    </w:div>
    <w:div w:id="2061400231">
      <w:bodyDiv w:val="1"/>
      <w:marLeft w:val="0"/>
      <w:marRight w:val="0"/>
      <w:marTop w:val="0"/>
      <w:marBottom w:val="0"/>
      <w:divBdr>
        <w:top w:val="none" w:sz="0" w:space="0" w:color="auto"/>
        <w:left w:val="none" w:sz="0" w:space="0" w:color="auto"/>
        <w:bottom w:val="none" w:sz="0" w:space="0" w:color="auto"/>
        <w:right w:val="none" w:sz="0" w:space="0" w:color="auto"/>
      </w:divBdr>
    </w:div>
    <w:div w:id="2061785909">
      <w:bodyDiv w:val="1"/>
      <w:marLeft w:val="0"/>
      <w:marRight w:val="0"/>
      <w:marTop w:val="0"/>
      <w:marBottom w:val="0"/>
      <w:divBdr>
        <w:top w:val="none" w:sz="0" w:space="0" w:color="auto"/>
        <w:left w:val="none" w:sz="0" w:space="0" w:color="auto"/>
        <w:bottom w:val="none" w:sz="0" w:space="0" w:color="auto"/>
        <w:right w:val="none" w:sz="0" w:space="0" w:color="auto"/>
      </w:divBdr>
    </w:div>
    <w:div w:id="2061972542">
      <w:bodyDiv w:val="1"/>
      <w:marLeft w:val="0"/>
      <w:marRight w:val="0"/>
      <w:marTop w:val="0"/>
      <w:marBottom w:val="0"/>
      <w:divBdr>
        <w:top w:val="none" w:sz="0" w:space="0" w:color="auto"/>
        <w:left w:val="none" w:sz="0" w:space="0" w:color="auto"/>
        <w:bottom w:val="none" w:sz="0" w:space="0" w:color="auto"/>
        <w:right w:val="none" w:sz="0" w:space="0" w:color="auto"/>
      </w:divBdr>
    </w:div>
    <w:div w:id="2062051294">
      <w:bodyDiv w:val="1"/>
      <w:marLeft w:val="0"/>
      <w:marRight w:val="0"/>
      <w:marTop w:val="0"/>
      <w:marBottom w:val="0"/>
      <w:divBdr>
        <w:top w:val="none" w:sz="0" w:space="0" w:color="auto"/>
        <w:left w:val="none" w:sz="0" w:space="0" w:color="auto"/>
        <w:bottom w:val="none" w:sz="0" w:space="0" w:color="auto"/>
        <w:right w:val="none" w:sz="0" w:space="0" w:color="auto"/>
      </w:divBdr>
    </w:div>
    <w:div w:id="2062514363">
      <w:bodyDiv w:val="1"/>
      <w:marLeft w:val="0"/>
      <w:marRight w:val="0"/>
      <w:marTop w:val="0"/>
      <w:marBottom w:val="0"/>
      <w:divBdr>
        <w:top w:val="none" w:sz="0" w:space="0" w:color="auto"/>
        <w:left w:val="none" w:sz="0" w:space="0" w:color="auto"/>
        <w:bottom w:val="none" w:sz="0" w:space="0" w:color="auto"/>
        <w:right w:val="none" w:sz="0" w:space="0" w:color="auto"/>
      </w:divBdr>
    </w:div>
    <w:div w:id="2062745773">
      <w:bodyDiv w:val="1"/>
      <w:marLeft w:val="0"/>
      <w:marRight w:val="0"/>
      <w:marTop w:val="0"/>
      <w:marBottom w:val="0"/>
      <w:divBdr>
        <w:top w:val="none" w:sz="0" w:space="0" w:color="auto"/>
        <w:left w:val="none" w:sz="0" w:space="0" w:color="auto"/>
        <w:bottom w:val="none" w:sz="0" w:space="0" w:color="auto"/>
        <w:right w:val="none" w:sz="0" w:space="0" w:color="auto"/>
      </w:divBdr>
    </w:div>
    <w:div w:id="2062826103">
      <w:bodyDiv w:val="1"/>
      <w:marLeft w:val="0"/>
      <w:marRight w:val="0"/>
      <w:marTop w:val="0"/>
      <w:marBottom w:val="0"/>
      <w:divBdr>
        <w:top w:val="none" w:sz="0" w:space="0" w:color="auto"/>
        <w:left w:val="none" w:sz="0" w:space="0" w:color="auto"/>
        <w:bottom w:val="none" w:sz="0" w:space="0" w:color="auto"/>
        <w:right w:val="none" w:sz="0" w:space="0" w:color="auto"/>
      </w:divBdr>
    </w:div>
    <w:div w:id="2062829787">
      <w:bodyDiv w:val="1"/>
      <w:marLeft w:val="0"/>
      <w:marRight w:val="0"/>
      <w:marTop w:val="0"/>
      <w:marBottom w:val="0"/>
      <w:divBdr>
        <w:top w:val="none" w:sz="0" w:space="0" w:color="auto"/>
        <w:left w:val="none" w:sz="0" w:space="0" w:color="auto"/>
        <w:bottom w:val="none" w:sz="0" w:space="0" w:color="auto"/>
        <w:right w:val="none" w:sz="0" w:space="0" w:color="auto"/>
      </w:divBdr>
    </w:div>
    <w:div w:id="2062943514">
      <w:bodyDiv w:val="1"/>
      <w:marLeft w:val="0"/>
      <w:marRight w:val="0"/>
      <w:marTop w:val="0"/>
      <w:marBottom w:val="0"/>
      <w:divBdr>
        <w:top w:val="none" w:sz="0" w:space="0" w:color="auto"/>
        <w:left w:val="none" w:sz="0" w:space="0" w:color="auto"/>
        <w:bottom w:val="none" w:sz="0" w:space="0" w:color="auto"/>
        <w:right w:val="none" w:sz="0" w:space="0" w:color="auto"/>
      </w:divBdr>
    </w:div>
    <w:div w:id="2063212537">
      <w:bodyDiv w:val="1"/>
      <w:marLeft w:val="0"/>
      <w:marRight w:val="0"/>
      <w:marTop w:val="0"/>
      <w:marBottom w:val="0"/>
      <w:divBdr>
        <w:top w:val="none" w:sz="0" w:space="0" w:color="auto"/>
        <w:left w:val="none" w:sz="0" w:space="0" w:color="auto"/>
        <w:bottom w:val="none" w:sz="0" w:space="0" w:color="auto"/>
        <w:right w:val="none" w:sz="0" w:space="0" w:color="auto"/>
      </w:divBdr>
    </w:div>
    <w:div w:id="2063282475">
      <w:bodyDiv w:val="1"/>
      <w:marLeft w:val="0"/>
      <w:marRight w:val="0"/>
      <w:marTop w:val="0"/>
      <w:marBottom w:val="0"/>
      <w:divBdr>
        <w:top w:val="none" w:sz="0" w:space="0" w:color="auto"/>
        <w:left w:val="none" w:sz="0" w:space="0" w:color="auto"/>
        <w:bottom w:val="none" w:sz="0" w:space="0" w:color="auto"/>
        <w:right w:val="none" w:sz="0" w:space="0" w:color="auto"/>
      </w:divBdr>
    </w:div>
    <w:div w:id="2063597641">
      <w:bodyDiv w:val="1"/>
      <w:marLeft w:val="0"/>
      <w:marRight w:val="0"/>
      <w:marTop w:val="0"/>
      <w:marBottom w:val="0"/>
      <w:divBdr>
        <w:top w:val="none" w:sz="0" w:space="0" w:color="auto"/>
        <w:left w:val="none" w:sz="0" w:space="0" w:color="auto"/>
        <w:bottom w:val="none" w:sz="0" w:space="0" w:color="auto"/>
        <w:right w:val="none" w:sz="0" w:space="0" w:color="auto"/>
      </w:divBdr>
    </w:div>
    <w:div w:id="2063672420">
      <w:bodyDiv w:val="1"/>
      <w:marLeft w:val="0"/>
      <w:marRight w:val="0"/>
      <w:marTop w:val="0"/>
      <w:marBottom w:val="0"/>
      <w:divBdr>
        <w:top w:val="none" w:sz="0" w:space="0" w:color="auto"/>
        <w:left w:val="none" w:sz="0" w:space="0" w:color="auto"/>
        <w:bottom w:val="none" w:sz="0" w:space="0" w:color="auto"/>
        <w:right w:val="none" w:sz="0" w:space="0" w:color="auto"/>
      </w:divBdr>
    </w:div>
    <w:div w:id="2063795687">
      <w:bodyDiv w:val="1"/>
      <w:marLeft w:val="0"/>
      <w:marRight w:val="0"/>
      <w:marTop w:val="0"/>
      <w:marBottom w:val="0"/>
      <w:divBdr>
        <w:top w:val="none" w:sz="0" w:space="0" w:color="auto"/>
        <w:left w:val="none" w:sz="0" w:space="0" w:color="auto"/>
        <w:bottom w:val="none" w:sz="0" w:space="0" w:color="auto"/>
        <w:right w:val="none" w:sz="0" w:space="0" w:color="auto"/>
      </w:divBdr>
    </w:div>
    <w:div w:id="2064015193">
      <w:bodyDiv w:val="1"/>
      <w:marLeft w:val="0"/>
      <w:marRight w:val="0"/>
      <w:marTop w:val="0"/>
      <w:marBottom w:val="0"/>
      <w:divBdr>
        <w:top w:val="none" w:sz="0" w:space="0" w:color="auto"/>
        <w:left w:val="none" w:sz="0" w:space="0" w:color="auto"/>
        <w:bottom w:val="none" w:sz="0" w:space="0" w:color="auto"/>
        <w:right w:val="none" w:sz="0" w:space="0" w:color="auto"/>
      </w:divBdr>
    </w:div>
    <w:div w:id="2064139542">
      <w:bodyDiv w:val="1"/>
      <w:marLeft w:val="0"/>
      <w:marRight w:val="0"/>
      <w:marTop w:val="0"/>
      <w:marBottom w:val="0"/>
      <w:divBdr>
        <w:top w:val="none" w:sz="0" w:space="0" w:color="auto"/>
        <w:left w:val="none" w:sz="0" w:space="0" w:color="auto"/>
        <w:bottom w:val="none" w:sz="0" w:space="0" w:color="auto"/>
        <w:right w:val="none" w:sz="0" w:space="0" w:color="auto"/>
      </w:divBdr>
    </w:div>
    <w:div w:id="2064668712">
      <w:bodyDiv w:val="1"/>
      <w:marLeft w:val="0"/>
      <w:marRight w:val="0"/>
      <w:marTop w:val="0"/>
      <w:marBottom w:val="0"/>
      <w:divBdr>
        <w:top w:val="none" w:sz="0" w:space="0" w:color="auto"/>
        <w:left w:val="none" w:sz="0" w:space="0" w:color="auto"/>
        <w:bottom w:val="none" w:sz="0" w:space="0" w:color="auto"/>
        <w:right w:val="none" w:sz="0" w:space="0" w:color="auto"/>
      </w:divBdr>
    </w:div>
    <w:div w:id="2064671069">
      <w:bodyDiv w:val="1"/>
      <w:marLeft w:val="0"/>
      <w:marRight w:val="0"/>
      <w:marTop w:val="0"/>
      <w:marBottom w:val="0"/>
      <w:divBdr>
        <w:top w:val="none" w:sz="0" w:space="0" w:color="auto"/>
        <w:left w:val="none" w:sz="0" w:space="0" w:color="auto"/>
        <w:bottom w:val="none" w:sz="0" w:space="0" w:color="auto"/>
        <w:right w:val="none" w:sz="0" w:space="0" w:color="auto"/>
      </w:divBdr>
    </w:div>
    <w:div w:id="2064672408">
      <w:bodyDiv w:val="1"/>
      <w:marLeft w:val="0"/>
      <w:marRight w:val="0"/>
      <w:marTop w:val="0"/>
      <w:marBottom w:val="0"/>
      <w:divBdr>
        <w:top w:val="none" w:sz="0" w:space="0" w:color="auto"/>
        <w:left w:val="none" w:sz="0" w:space="0" w:color="auto"/>
        <w:bottom w:val="none" w:sz="0" w:space="0" w:color="auto"/>
        <w:right w:val="none" w:sz="0" w:space="0" w:color="auto"/>
      </w:divBdr>
    </w:div>
    <w:div w:id="2064863762">
      <w:bodyDiv w:val="1"/>
      <w:marLeft w:val="0"/>
      <w:marRight w:val="0"/>
      <w:marTop w:val="0"/>
      <w:marBottom w:val="0"/>
      <w:divBdr>
        <w:top w:val="none" w:sz="0" w:space="0" w:color="auto"/>
        <w:left w:val="none" w:sz="0" w:space="0" w:color="auto"/>
        <w:bottom w:val="none" w:sz="0" w:space="0" w:color="auto"/>
        <w:right w:val="none" w:sz="0" w:space="0" w:color="auto"/>
      </w:divBdr>
    </w:div>
    <w:div w:id="2065250415">
      <w:bodyDiv w:val="1"/>
      <w:marLeft w:val="0"/>
      <w:marRight w:val="0"/>
      <w:marTop w:val="0"/>
      <w:marBottom w:val="0"/>
      <w:divBdr>
        <w:top w:val="none" w:sz="0" w:space="0" w:color="auto"/>
        <w:left w:val="none" w:sz="0" w:space="0" w:color="auto"/>
        <w:bottom w:val="none" w:sz="0" w:space="0" w:color="auto"/>
        <w:right w:val="none" w:sz="0" w:space="0" w:color="auto"/>
      </w:divBdr>
    </w:div>
    <w:div w:id="2065566811">
      <w:bodyDiv w:val="1"/>
      <w:marLeft w:val="0"/>
      <w:marRight w:val="0"/>
      <w:marTop w:val="0"/>
      <w:marBottom w:val="0"/>
      <w:divBdr>
        <w:top w:val="none" w:sz="0" w:space="0" w:color="auto"/>
        <w:left w:val="none" w:sz="0" w:space="0" w:color="auto"/>
        <w:bottom w:val="none" w:sz="0" w:space="0" w:color="auto"/>
        <w:right w:val="none" w:sz="0" w:space="0" w:color="auto"/>
      </w:divBdr>
    </w:div>
    <w:div w:id="2065831794">
      <w:bodyDiv w:val="1"/>
      <w:marLeft w:val="0"/>
      <w:marRight w:val="0"/>
      <w:marTop w:val="0"/>
      <w:marBottom w:val="0"/>
      <w:divBdr>
        <w:top w:val="none" w:sz="0" w:space="0" w:color="auto"/>
        <w:left w:val="none" w:sz="0" w:space="0" w:color="auto"/>
        <w:bottom w:val="none" w:sz="0" w:space="0" w:color="auto"/>
        <w:right w:val="none" w:sz="0" w:space="0" w:color="auto"/>
      </w:divBdr>
    </w:div>
    <w:div w:id="2065979413">
      <w:bodyDiv w:val="1"/>
      <w:marLeft w:val="0"/>
      <w:marRight w:val="0"/>
      <w:marTop w:val="0"/>
      <w:marBottom w:val="0"/>
      <w:divBdr>
        <w:top w:val="none" w:sz="0" w:space="0" w:color="auto"/>
        <w:left w:val="none" w:sz="0" w:space="0" w:color="auto"/>
        <w:bottom w:val="none" w:sz="0" w:space="0" w:color="auto"/>
        <w:right w:val="none" w:sz="0" w:space="0" w:color="auto"/>
      </w:divBdr>
    </w:div>
    <w:div w:id="2066178331">
      <w:bodyDiv w:val="1"/>
      <w:marLeft w:val="0"/>
      <w:marRight w:val="0"/>
      <w:marTop w:val="0"/>
      <w:marBottom w:val="0"/>
      <w:divBdr>
        <w:top w:val="none" w:sz="0" w:space="0" w:color="auto"/>
        <w:left w:val="none" w:sz="0" w:space="0" w:color="auto"/>
        <w:bottom w:val="none" w:sz="0" w:space="0" w:color="auto"/>
        <w:right w:val="none" w:sz="0" w:space="0" w:color="auto"/>
      </w:divBdr>
    </w:div>
    <w:div w:id="2066219588">
      <w:bodyDiv w:val="1"/>
      <w:marLeft w:val="0"/>
      <w:marRight w:val="0"/>
      <w:marTop w:val="0"/>
      <w:marBottom w:val="0"/>
      <w:divBdr>
        <w:top w:val="none" w:sz="0" w:space="0" w:color="auto"/>
        <w:left w:val="none" w:sz="0" w:space="0" w:color="auto"/>
        <w:bottom w:val="none" w:sz="0" w:space="0" w:color="auto"/>
        <w:right w:val="none" w:sz="0" w:space="0" w:color="auto"/>
      </w:divBdr>
    </w:div>
    <w:div w:id="2066220122">
      <w:bodyDiv w:val="1"/>
      <w:marLeft w:val="0"/>
      <w:marRight w:val="0"/>
      <w:marTop w:val="0"/>
      <w:marBottom w:val="0"/>
      <w:divBdr>
        <w:top w:val="none" w:sz="0" w:space="0" w:color="auto"/>
        <w:left w:val="none" w:sz="0" w:space="0" w:color="auto"/>
        <w:bottom w:val="none" w:sz="0" w:space="0" w:color="auto"/>
        <w:right w:val="none" w:sz="0" w:space="0" w:color="auto"/>
      </w:divBdr>
    </w:div>
    <w:div w:id="2066638687">
      <w:bodyDiv w:val="1"/>
      <w:marLeft w:val="0"/>
      <w:marRight w:val="0"/>
      <w:marTop w:val="0"/>
      <w:marBottom w:val="0"/>
      <w:divBdr>
        <w:top w:val="none" w:sz="0" w:space="0" w:color="auto"/>
        <w:left w:val="none" w:sz="0" w:space="0" w:color="auto"/>
        <w:bottom w:val="none" w:sz="0" w:space="0" w:color="auto"/>
        <w:right w:val="none" w:sz="0" w:space="0" w:color="auto"/>
      </w:divBdr>
    </w:div>
    <w:div w:id="2066878591">
      <w:bodyDiv w:val="1"/>
      <w:marLeft w:val="0"/>
      <w:marRight w:val="0"/>
      <w:marTop w:val="0"/>
      <w:marBottom w:val="0"/>
      <w:divBdr>
        <w:top w:val="none" w:sz="0" w:space="0" w:color="auto"/>
        <w:left w:val="none" w:sz="0" w:space="0" w:color="auto"/>
        <w:bottom w:val="none" w:sz="0" w:space="0" w:color="auto"/>
        <w:right w:val="none" w:sz="0" w:space="0" w:color="auto"/>
      </w:divBdr>
    </w:div>
    <w:div w:id="2066947673">
      <w:bodyDiv w:val="1"/>
      <w:marLeft w:val="0"/>
      <w:marRight w:val="0"/>
      <w:marTop w:val="0"/>
      <w:marBottom w:val="0"/>
      <w:divBdr>
        <w:top w:val="none" w:sz="0" w:space="0" w:color="auto"/>
        <w:left w:val="none" w:sz="0" w:space="0" w:color="auto"/>
        <w:bottom w:val="none" w:sz="0" w:space="0" w:color="auto"/>
        <w:right w:val="none" w:sz="0" w:space="0" w:color="auto"/>
      </w:divBdr>
    </w:div>
    <w:div w:id="2067414547">
      <w:bodyDiv w:val="1"/>
      <w:marLeft w:val="0"/>
      <w:marRight w:val="0"/>
      <w:marTop w:val="0"/>
      <w:marBottom w:val="0"/>
      <w:divBdr>
        <w:top w:val="none" w:sz="0" w:space="0" w:color="auto"/>
        <w:left w:val="none" w:sz="0" w:space="0" w:color="auto"/>
        <w:bottom w:val="none" w:sz="0" w:space="0" w:color="auto"/>
        <w:right w:val="none" w:sz="0" w:space="0" w:color="auto"/>
      </w:divBdr>
    </w:div>
    <w:div w:id="2067601053">
      <w:bodyDiv w:val="1"/>
      <w:marLeft w:val="0"/>
      <w:marRight w:val="0"/>
      <w:marTop w:val="0"/>
      <w:marBottom w:val="0"/>
      <w:divBdr>
        <w:top w:val="none" w:sz="0" w:space="0" w:color="auto"/>
        <w:left w:val="none" w:sz="0" w:space="0" w:color="auto"/>
        <w:bottom w:val="none" w:sz="0" w:space="0" w:color="auto"/>
        <w:right w:val="none" w:sz="0" w:space="0" w:color="auto"/>
      </w:divBdr>
    </w:div>
    <w:div w:id="2067948331">
      <w:bodyDiv w:val="1"/>
      <w:marLeft w:val="0"/>
      <w:marRight w:val="0"/>
      <w:marTop w:val="0"/>
      <w:marBottom w:val="0"/>
      <w:divBdr>
        <w:top w:val="none" w:sz="0" w:space="0" w:color="auto"/>
        <w:left w:val="none" w:sz="0" w:space="0" w:color="auto"/>
        <w:bottom w:val="none" w:sz="0" w:space="0" w:color="auto"/>
        <w:right w:val="none" w:sz="0" w:space="0" w:color="auto"/>
      </w:divBdr>
    </w:div>
    <w:div w:id="2067988538">
      <w:bodyDiv w:val="1"/>
      <w:marLeft w:val="0"/>
      <w:marRight w:val="0"/>
      <w:marTop w:val="0"/>
      <w:marBottom w:val="0"/>
      <w:divBdr>
        <w:top w:val="none" w:sz="0" w:space="0" w:color="auto"/>
        <w:left w:val="none" w:sz="0" w:space="0" w:color="auto"/>
        <w:bottom w:val="none" w:sz="0" w:space="0" w:color="auto"/>
        <w:right w:val="none" w:sz="0" w:space="0" w:color="auto"/>
      </w:divBdr>
    </w:div>
    <w:div w:id="2068062779">
      <w:bodyDiv w:val="1"/>
      <w:marLeft w:val="0"/>
      <w:marRight w:val="0"/>
      <w:marTop w:val="0"/>
      <w:marBottom w:val="0"/>
      <w:divBdr>
        <w:top w:val="none" w:sz="0" w:space="0" w:color="auto"/>
        <w:left w:val="none" w:sz="0" w:space="0" w:color="auto"/>
        <w:bottom w:val="none" w:sz="0" w:space="0" w:color="auto"/>
        <w:right w:val="none" w:sz="0" w:space="0" w:color="auto"/>
      </w:divBdr>
    </w:div>
    <w:div w:id="2068600105">
      <w:bodyDiv w:val="1"/>
      <w:marLeft w:val="0"/>
      <w:marRight w:val="0"/>
      <w:marTop w:val="0"/>
      <w:marBottom w:val="0"/>
      <w:divBdr>
        <w:top w:val="none" w:sz="0" w:space="0" w:color="auto"/>
        <w:left w:val="none" w:sz="0" w:space="0" w:color="auto"/>
        <w:bottom w:val="none" w:sz="0" w:space="0" w:color="auto"/>
        <w:right w:val="none" w:sz="0" w:space="0" w:color="auto"/>
      </w:divBdr>
    </w:div>
    <w:div w:id="2068601773">
      <w:bodyDiv w:val="1"/>
      <w:marLeft w:val="0"/>
      <w:marRight w:val="0"/>
      <w:marTop w:val="0"/>
      <w:marBottom w:val="0"/>
      <w:divBdr>
        <w:top w:val="none" w:sz="0" w:space="0" w:color="auto"/>
        <w:left w:val="none" w:sz="0" w:space="0" w:color="auto"/>
        <w:bottom w:val="none" w:sz="0" w:space="0" w:color="auto"/>
        <w:right w:val="none" w:sz="0" w:space="0" w:color="auto"/>
      </w:divBdr>
    </w:div>
    <w:div w:id="2069524748">
      <w:bodyDiv w:val="1"/>
      <w:marLeft w:val="0"/>
      <w:marRight w:val="0"/>
      <w:marTop w:val="0"/>
      <w:marBottom w:val="0"/>
      <w:divBdr>
        <w:top w:val="none" w:sz="0" w:space="0" w:color="auto"/>
        <w:left w:val="none" w:sz="0" w:space="0" w:color="auto"/>
        <w:bottom w:val="none" w:sz="0" w:space="0" w:color="auto"/>
        <w:right w:val="none" w:sz="0" w:space="0" w:color="auto"/>
      </w:divBdr>
    </w:div>
    <w:div w:id="2069527810">
      <w:bodyDiv w:val="1"/>
      <w:marLeft w:val="0"/>
      <w:marRight w:val="0"/>
      <w:marTop w:val="0"/>
      <w:marBottom w:val="0"/>
      <w:divBdr>
        <w:top w:val="none" w:sz="0" w:space="0" w:color="auto"/>
        <w:left w:val="none" w:sz="0" w:space="0" w:color="auto"/>
        <w:bottom w:val="none" w:sz="0" w:space="0" w:color="auto"/>
        <w:right w:val="none" w:sz="0" w:space="0" w:color="auto"/>
      </w:divBdr>
    </w:div>
    <w:div w:id="2069761624">
      <w:bodyDiv w:val="1"/>
      <w:marLeft w:val="0"/>
      <w:marRight w:val="0"/>
      <w:marTop w:val="0"/>
      <w:marBottom w:val="0"/>
      <w:divBdr>
        <w:top w:val="none" w:sz="0" w:space="0" w:color="auto"/>
        <w:left w:val="none" w:sz="0" w:space="0" w:color="auto"/>
        <w:bottom w:val="none" w:sz="0" w:space="0" w:color="auto"/>
        <w:right w:val="none" w:sz="0" w:space="0" w:color="auto"/>
      </w:divBdr>
    </w:div>
    <w:div w:id="2069834675">
      <w:bodyDiv w:val="1"/>
      <w:marLeft w:val="0"/>
      <w:marRight w:val="0"/>
      <w:marTop w:val="0"/>
      <w:marBottom w:val="0"/>
      <w:divBdr>
        <w:top w:val="none" w:sz="0" w:space="0" w:color="auto"/>
        <w:left w:val="none" w:sz="0" w:space="0" w:color="auto"/>
        <w:bottom w:val="none" w:sz="0" w:space="0" w:color="auto"/>
        <w:right w:val="none" w:sz="0" w:space="0" w:color="auto"/>
      </w:divBdr>
    </w:div>
    <w:div w:id="2069842161">
      <w:bodyDiv w:val="1"/>
      <w:marLeft w:val="0"/>
      <w:marRight w:val="0"/>
      <w:marTop w:val="0"/>
      <w:marBottom w:val="0"/>
      <w:divBdr>
        <w:top w:val="none" w:sz="0" w:space="0" w:color="auto"/>
        <w:left w:val="none" w:sz="0" w:space="0" w:color="auto"/>
        <w:bottom w:val="none" w:sz="0" w:space="0" w:color="auto"/>
        <w:right w:val="none" w:sz="0" w:space="0" w:color="auto"/>
      </w:divBdr>
    </w:div>
    <w:div w:id="2069911960">
      <w:bodyDiv w:val="1"/>
      <w:marLeft w:val="0"/>
      <w:marRight w:val="0"/>
      <w:marTop w:val="0"/>
      <w:marBottom w:val="0"/>
      <w:divBdr>
        <w:top w:val="none" w:sz="0" w:space="0" w:color="auto"/>
        <w:left w:val="none" w:sz="0" w:space="0" w:color="auto"/>
        <w:bottom w:val="none" w:sz="0" w:space="0" w:color="auto"/>
        <w:right w:val="none" w:sz="0" w:space="0" w:color="auto"/>
      </w:divBdr>
    </w:div>
    <w:div w:id="2069918254">
      <w:bodyDiv w:val="1"/>
      <w:marLeft w:val="0"/>
      <w:marRight w:val="0"/>
      <w:marTop w:val="0"/>
      <w:marBottom w:val="0"/>
      <w:divBdr>
        <w:top w:val="none" w:sz="0" w:space="0" w:color="auto"/>
        <w:left w:val="none" w:sz="0" w:space="0" w:color="auto"/>
        <w:bottom w:val="none" w:sz="0" w:space="0" w:color="auto"/>
        <w:right w:val="none" w:sz="0" w:space="0" w:color="auto"/>
      </w:divBdr>
    </w:div>
    <w:div w:id="2069959789">
      <w:bodyDiv w:val="1"/>
      <w:marLeft w:val="0"/>
      <w:marRight w:val="0"/>
      <w:marTop w:val="0"/>
      <w:marBottom w:val="0"/>
      <w:divBdr>
        <w:top w:val="none" w:sz="0" w:space="0" w:color="auto"/>
        <w:left w:val="none" w:sz="0" w:space="0" w:color="auto"/>
        <w:bottom w:val="none" w:sz="0" w:space="0" w:color="auto"/>
        <w:right w:val="none" w:sz="0" w:space="0" w:color="auto"/>
      </w:divBdr>
    </w:div>
    <w:div w:id="2070226201">
      <w:bodyDiv w:val="1"/>
      <w:marLeft w:val="0"/>
      <w:marRight w:val="0"/>
      <w:marTop w:val="0"/>
      <w:marBottom w:val="0"/>
      <w:divBdr>
        <w:top w:val="none" w:sz="0" w:space="0" w:color="auto"/>
        <w:left w:val="none" w:sz="0" w:space="0" w:color="auto"/>
        <w:bottom w:val="none" w:sz="0" w:space="0" w:color="auto"/>
        <w:right w:val="none" w:sz="0" w:space="0" w:color="auto"/>
      </w:divBdr>
    </w:div>
    <w:div w:id="2070419321">
      <w:bodyDiv w:val="1"/>
      <w:marLeft w:val="0"/>
      <w:marRight w:val="0"/>
      <w:marTop w:val="0"/>
      <w:marBottom w:val="0"/>
      <w:divBdr>
        <w:top w:val="none" w:sz="0" w:space="0" w:color="auto"/>
        <w:left w:val="none" w:sz="0" w:space="0" w:color="auto"/>
        <w:bottom w:val="none" w:sz="0" w:space="0" w:color="auto"/>
        <w:right w:val="none" w:sz="0" w:space="0" w:color="auto"/>
      </w:divBdr>
    </w:div>
    <w:div w:id="2070569514">
      <w:bodyDiv w:val="1"/>
      <w:marLeft w:val="0"/>
      <w:marRight w:val="0"/>
      <w:marTop w:val="0"/>
      <w:marBottom w:val="0"/>
      <w:divBdr>
        <w:top w:val="none" w:sz="0" w:space="0" w:color="auto"/>
        <w:left w:val="none" w:sz="0" w:space="0" w:color="auto"/>
        <w:bottom w:val="none" w:sz="0" w:space="0" w:color="auto"/>
        <w:right w:val="none" w:sz="0" w:space="0" w:color="auto"/>
      </w:divBdr>
    </w:div>
    <w:div w:id="2070571376">
      <w:bodyDiv w:val="1"/>
      <w:marLeft w:val="0"/>
      <w:marRight w:val="0"/>
      <w:marTop w:val="0"/>
      <w:marBottom w:val="0"/>
      <w:divBdr>
        <w:top w:val="none" w:sz="0" w:space="0" w:color="auto"/>
        <w:left w:val="none" w:sz="0" w:space="0" w:color="auto"/>
        <w:bottom w:val="none" w:sz="0" w:space="0" w:color="auto"/>
        <w:right w:val="none" w:sz="0" w:space="0" w:color="auto"/>
      </w:divBdr>
    </w:div>
    <w:div w:id="2070880975">
      <w:bodyDiv w:val="1"/>
      <w:marLeft w:val="0"/>
      <w:marRight w:val="0"/>
      <w:marTop w:val="0"/>
      <w:marBottom w:val="0"/>
      <w:divBdr>
        <w:top w:val="none" w:sz="0" w:space="0" w:color="auto"/>
        <w:left w:val="none" w:sz="0" w:space="0" w:color="auto"/>
        <w:bottom w:val="none" w:sz="0" w:space="0" w:color="auto"/>
        <w:right w:val="none" w:sz="0" w:space="0" w:color="auto"/>
      </w:divBdr>
    </w:div>
    <w:div w:id="2070954140">
      <w:bodyDiv w:val="1"/>
      <w:marLeft w:val="0"/>
      <w:marRight w:val="0"/>
      <w:marTop w:val="0"/>
      <w:marBottom w:val="0"/>
      <w:divBdr>
        <w:top w:val="none" w:sz="0" w:space="0" w:color="auto"/>
        <w:left w:val="none" w:sz="0" w:space="0" w:color="auto"/>
        <w:bottom w:val="none" w:sz="0" w:space="0" w:color="auto"/>
        <w:right w:val="none" w:sz="0" w:space="0" w:color="auto"/>
      </w:divBdr>
    </w:div>
    <w:div w:id="2071226514">
      <w:bodyDiv w:val="1"/>
      <w:marLeft w:val="0"/>
      <w:marRight w:val="0"/>
      <w:marTop w:val="0"/>
      <w:marBottom w:val="0"/>
      <w:divBdr>
        <w:top w:val="none" w:sz="0" w:space="0" w:color="auto"/>
        <w:left w:val="none" w:sz="0" w:space="0" w:color="auto"/>
        <w:bottom w:val="none" w:sz="0" w:space="0" w:color="auto"/>
        <w:right w:val="none" w:sz="0" w:space="0" w:color="auto"/>
      </w:divBdr>
    </w:div>
    <w:div w:id="2071415585">
      <w:bodyDiv w:val="1"/>
      <w:marLeft w:val="0"/>
      <w:marRight w:val="0"/>
      <w:marTop w:val="0"/>
      <w:marBottom w:val="0"/>
      <w:divBdr>
        <w:top w:val="none" w:sz="0" w:space="0" w:color="auto"/>
        <w:left w:val="none" w:sz="0" w:space="0" w:color="auto"/>
        <w:bottom w:val="none" w:sz="0" w:space="0" w:color="auto"/>
        <w:right w:val="none" w:sz="0" w:space="0" w:color="auto"/>
      </w:divBdr>
    </w:div>
    <w:div w:id="2071733779">
      <w:bodyDiv w:val="1"/>
      <w:marLeft w:val="0"/>
      <w:marRight w:val="0"/>
      <w:marTop w:val="0"/>
      <w:marBottom w:val="0"/>
      <w:divBdr>
        <w:top w:val="none" w:sz="0" w:space="0" w:color="auto"/>
        <w:left w:val="none" w:sz="0" w:space="0" w:color="auto"/>
        <w:bottom w:val="none" w:sz="0" w:space="0" w:color="auto"/>
        <w:right w:val="none" w:sz="0" w:space="0" w:color="auto"/>
      </w:divBdr>
    </w:div>
    <w:div w:id="2071998574">
      <w:bodyDiv w:val="1"/>
      <w:marLeft w:val="0"/>
      <w:marRight w:val="0"/>
      <w:marTop w:val="0"/>
      <w:marBottom w:val="0"/>
      <w:divBdr>
        <w:top w:val="none" w:sz="0" w:space="0" w:color="auto"/>
        <w:left w:val="none" w:sz="0" w:space="0" w:color="auto"/>
        <w:bottom w:val="none" w:sz="0" w:space="0" w:color="auto"/>
        <w:right w:val="none" w:sz="0" w:space="0" w:color="auto"/>
      </w:divBdr>
    </w:div>
    <w:div w:id="2072269600">
      <w:bodyDiv w:val="1"/>
      <w:marLeft w:val="0"/>
      <w:marRight w:val="0"/>
      <w:marTop w:val="0"/>
      <w:marBottom w:val="0"/>
      <w:divBdr>
        <w:top w:val="none" w:sz="0" w:space="0" w:color="auto"/>
        <w:left w:val="none" w:sz="0" w:space="0" w:color="auto"/>
        <w:bottom w:val="none" w:sz="0" w:space="0" w:color="auto"/>
        <w:right w:val="none" w:sz="0" w:space="0" w:color="auto"/>
      </w:divBdr>
    </w:div>
    <w:div w:id="2072346274">
      <w:bodyDiv w:val="1"/>
      <w:marLeft w:val="0"/>
      <w:marRight w:val="0"/>
      <w:marTop w:val="0"/>
      <w:marBottom w:val="0"/>
      <w:divBdr>
        <w:top w:val="none" w:sz="0" w:space="0" w:color="auto"/>
        <w:left w:val="none" w:sz="0" w:space="0" w:color="auto"/>
        <w:bottom w:val="none" w:sz="0" w:space="0" w:color="auto"/>
        <w:right w:val="none" w:sz="0" w:space="0" w:color="auto"/>
      </w:divBdr>
    </w:div>
    <w:div w:id="2072383160">
      <w:bodyDiv w:val="1"/>
      <w:marLeft w:val="0"/>
      <w:marRight w:val="0"/>
      <w:marTop w:val="0"/>
      <w:marBottom w:val="0"/>
      <w:divBdr>
        <w:top w:val="none" w:sz="0" w:space="0" w:color="auto"/>
        <w:left w:val="none" w:sz="0" w:space="0" w:color="auto"/>
        <w:bottom w:val="none" w:sz="0" w:space="0" w:color="auto"/>
        <w:right w:val="none" w:sz="0" w:space="0" w:color="auto"/>
      </w:divBdr>
    </w:div>
    <w:div w:id="2072457523">
      <w:bodyDiv w:val="1"/>
      <w:marLeft w:val="0"/>
      <w:marRight w:val="0"/>
      <w:marTop w:val="0"/>
      <w:marBottom w:val="0"/>
      <w:divBdr>
        <w:top w:val="none" w:sz="0" w:space="0" w:color="auto"/>
        <w:left w:val="none" w:sz="0" w:space="0" w:color="auto"/>
        <w:bottom w:val="none" w:sz="0" w:space="0" w:color="auto"/>
        <w:right w:val="none" w:sz="0" w:space="0" w:color="auto"/>
      </w:divBdr>
    </w:div>
    <w:div w:id="2072727858">
      <w:bodyDiv w:val="1"/>
      <w:marLeft w:val="0"/>
      <w:marRight w:val="0"/>
      <w:marTop w:val="0"/>
      <w:marBottom w:val="0"/>
      <w:divBdr>
        <w:top w:val="none" w:sz="0" w:space="0" w:color="auto"/>
        <w:left w:val="none" w:sz="0" w:space="0" w:color="auto"/>
        <w:bottom w:val="none" w:sz="0" w:space="0" w:color="auto"/>
        <w:right w:val="none" w:sz="0" w:space="0" w:color="auto"/>
      </w:divBdr>
    </w:div>
    <w:div w:id="2072843695">
      <w:bodyDiv w:val="1"/>
      <w:marLeft w:val="0"/>
      <w:marRight w:val="0"/>
      <w:marTop w:val="0"/>
      <w:marBottom w:val="0"/>
      <w:divBdr>
        <w:top w:val="none" w:sz="0" w:space="0" w:color="auto"/>
        <w:left w:val="none" w:sz="0" w:space="0" w:color="auto"/>
        <w:bottom w:val="none" w:sz="0" w:space="0" w:color="auto"/>
        <w:right w:val="none" w:sz="0" w:space="0" w:color="auto"/>
      </w:divBdr>
    </w:div>
    <w:div w:id="2072848139">
      <w:bodyDiv w:val="1"/>
      <w:marLeft w:val="0"/>
      <w:marRight w:val="0"/>
      <w:marTop w:val="0"/>
      <w:marBottom w:val="0"/>
      <w:divBdr>
        <w:top w:val="none" w:sz="0" w:space="0" w:color="auto"/>
        <w:left w:val="none" w:sz="0" w:space="0" w:color="auto"/>
        <w:bottom w:val="none" w:sz="0" w:space="0" w:color="auto"/>
        <w:right w:val="none" w:sz="0" w:space="0" w:color="auto"/>
      </w:divBdr>
    </w:div>
    <w:div w:id="2073111648">
      <w:bodyDiv w:val="1"/>
      <w:marLeft w:val="0"/>
      <w:marRight w:val="0"/>
      <w:marTop w:val="0"/>
      <w:marBottom w:val="0"/>
      <w:divBdr>
        <w:top w:val="none" w:sz="0" w:space="0" w:color="auto"/>
        <w:left w:val="none" w:sz="0" w:space="0" w:color="auto"/>
        <w:bottom w:val="none" w:sz="0" w:space="0" w:color="auto"/>
        <w:right w:val="none" w:sz="0" w:space="0" w:color="auto"/>
      </w:divBdr>
    </w:div>
    <w:div w:id="2073117082">
      <w:bodyDiv w:val="1"/>
      <w:marLeft w:val="0"/>
      <w:marRight w:val="0"/>
      <w:marTop w:val="0"/>
      <w:marBottom w:val="0"/>
      <w:divBdr>
        <w:top w:val="none" w:sz="0" w:space="0" w:color="auto"/>
        <w:left w:val="none" w:sz="0" w:space="0" w:color="auto"/>
        <w:bottom w:val="none" w:sz="0" w:space="0" w:color="auto"/>
        <w:right w:val="none" w:sz="0" w:space="0" w:color="auto"/>
      </w:divBdr>
    </w:div>
    <w:div w:id="2073387298">
      <w:bodyDiv w:val="1"/>
      <w:marLeft w:val="0"/>
      <w:marRight w:val="0"/>
      <w:marTop w:val="0"/>
      <w:marBottom w:val="0"/>
      <w:divBdr>
        <w:top w:val="none" w:sz="0" w:space="0" w:color="auto"/>
        <w:left w:val="none" w:sz="0" w:space="0" w:color="auto"/>
        <w:bottom w:val="none" w:sz="0" w:space="0" w:color="auto"/>
        <w:right w:val="none" w:sz="0" w:space="0" w:color="auto"/>
      </w:divBdr>
    </w:div>
    <w:div w:id="2073387795">
      <w:bodyDiv w:val="1"/>
      <w:marLeft w:val="0"/>
      <w:marRight w:val="0"/>
      <w:marTop w:val="0"/>
      <w:marBottom w:val="0"/>
      <w:divBdr>
        <w:top w:val="none" w:sz="0" w:space="0" w:color="auto"/>
        <w:left w:val="none" w:sz="0" w:space="0" w:color="auto"/>
        <w:bottom w:val="none" w:sz="0" w:space="0" w:color="auto"/>
        <w:right w:val="none" w:sz="0" w:space="0" w:color="auto"/>
      </w:divBdr>
    </w:div>
    <w:div w:id="2073503309">
      <w:bodyDiv w:val="1"/>
      <w:marLeft w:val="0"/>
      <w:marRight w:val="0"/>
      <w:marTop w:val="0"/>
      <w:marBottom w:val="0"/>
      <w:divBdr>
        <w:top w:val="none" w:sz="0" w:space="0" w:color="auto"/>
        <w:left w:val="none" w:sz="0" w:space="0" w:color="auto"/>
        <w:bottom w:val="none" w:sz="0" w:space="0" w:color="auto"/>
        <w:right w:val="none" w:sz="0" w:space="0" w:color="auto"/>
      </w:divBdr>
    </w:div>
    <w:div w:id="2073691699">
      <w:bodyDiv w:val="1"/>
      <w:marLeft w:val="0"/>
      <w:marRight w:val="0"/>
      <w:marTop w:val="0"/>
      <w:marBottom w:val="0"/>
      <w:divBdr>
        <w:top w:val="none" w:sz="0" w:space="0" w:color="auto"/>
        <w:left w:val="none" w:sz="0" w:space="0" w:color="auto"/>
        <w:bottom w:val="none" w:sz="0" w:space="0" w:color="auto"/>
        <w:right w:val="none" w:sz="0" w:space="0" w:color="auto"/>
      </w:divBdr>
    </w:div>
    <w:div w:id="2073695076">
      <w:bodyDiv w:val="1"/>
      <w:marLeft w:val="0"/>
      <w:marRight w:val="0"/>
      <w:marTop w:val="0"/>
      <w:marBottom w:val="0"/>
      <w:divBdr>
        <w:top w:val="none" w:sz="0" w:space="0" w:color="auto"/>
        <w:left w:val="none" w:sz="0" w:space="0" w:color="auto"/>
        <w:bottom w:val="none" w:sz="0" w:space="0" w:color="auto"/>
        <w:right w:val="none" w:sz="0" w:space="0" w:color="auto"/>
      </w:divBdr>
    </w:div>
    <w:div w:id="2073699904">
      <w:bodyDiv w:val="1"/>
      <w:marLeft w:val="0"/>
      <w:marRight w:val="0"/>
      <w:marTop w:val="0"/>
      <w:marBottom w:val="0"/>
      <w:divBdr>
        <w:top w:val="none" w:sz="0" w:space="0" w:color="auto"/>
        <w:left w:val="none" w:sz="0" w:space="0" w:color="auto"/>
        <w:bottom w:val="none" w:sz="0" w:space="0" w:color="auto"/>
        <w:right w:val="none" w:sz="0" w:space="0" w:color="auto"/>
      </w:divBdr>
    </w:div>
    <w:div w:id="2073918963">
      <w:bodyDiv w:val="1"/>
      <w:marLeft w:val="0"/>
      <w:marRight w:val="0"/>
      <w:marTop w:val="0"/>
      <w:marBottom w:val="0"/>
      <w:divBdr>
        <w:top w:val="none" w:sz="0" w:space="0" w:color="auto"/>
        <w:left w:val="none" w:sz="0" w:space="0" w:color="auto"/>
        <w:bottom w:val="none" w:sz="0" w:space="0" w:color="auto"/>
        <w:right w:val="none" w:sz="0" w:space="0" w:color="auto"/>
      </w:divBdr>
    </w:div>
    <w:div w:id="2073961456">
      <w:bodyDiv w:val="1"/>
      <w:marLeft w:val="0"/>
      <w:marRight w:val="0"/>
      <w:marTop w:val="0"/>
      <w:marBottom w:val="0"/>
      <w:divBdr>
        <w:top w:val="none" w:sz="0" w:space="0" w:color="auto"/>
        <w:left w:val="none" w:sz="0" w:space="0" w:color="auto"/>
        <w:bottom w:val="none" w:sz="0" w:space="0" w:color="auto"/>
        <w:right w:val="none" w:sz="0" w:space="0" w:color="auto"/>
      </w:divBdr>
    </w:div>
    <w:div w:id="2074041252">
      <w:bodyDiv w:val="1"/>
      <w:marLeft w:val="0"/>
      <w:marRight w:val="0"/>
      <w:marTop w:val="0"/>
      <w:marBottom w:val="0"/>
      <w:divBdr>
        <w:top w:val="none" w:sz="0" w:space="0" w:color="auto"/>
        <w:left w:val="none" w:sz="0" w:space="0" w:color="auto"/>
        <w:bottom w:val="none" w:sz="0" w:space="0" w:color="auto"/>
        <w:right w:val="none" w:sz="0" w:space="0" w:color="auto"/>
      </w:divBdr>
    </w:div>
    <w:div w:id="2074157232">
      <w:bodyDiv w:val="1"/>
      <w:marLeft w:val="0"/>
      <w:marRight w:val="0"/>
      <w:marTop w:val="0"/>
      <w:marBottom w:val="0"/>
      <w:divBdr>
        <w:top w:val="none" w:sz="0" w:space="0" w:color="auto"/>
        <w:left w:val="none" w:sz="0" w:space="0" w:color="auto"/>
        <w:bottom w:val="none" w:sz="0" w:space="0" w:color="auto"/>
        <w:right w:val="none" w:sz="0" w:space="0" w:color="auto"/>
      </w:divBdr>
    </w:div>
    <w:div w:id="2074423452">
      <w:bodyDiv w:val="1"/>
      <w:marLeft w:val="0"/>
      <w:marRight w:val="0"/>
      <w:marTop w:val="0"/>
      <w:marBottom w:val="0"/>
      <w:divBdr>
        <w:top w:val="none" w:sz="0" w:space="0" w:color="auto"/>
        <w:left w:val="none" w:sz="0" w:space="0" w:color="auto"/>
        <w:bottom w:val="none" w:sz="0" w:space="0" w:color="auto"/>
        <w:right w:val="none" w:sz="0" w:space="0" w:color="auto"/>
      </w:divBdr>
    </w:div>
    <w:div w:id="2074429502">
      <w:bodyDiv w:val="1"/>
      <w:marLeft w:val="0"/>
      <w:marRight w:val="0"/>
      <w:marTop w:val="0"/>
      <w:marBottom w:val="0"/>
      <w:divBdr>
        <w:top w:val="none" w:sz="0" w:space="0" w:color="auto"/>
        <w:left w:val="none" w:sz="0" w:space="0" w:color="auto"/>
        <w:bottom w:val="none" w:sz="0" w:space="0" w:color="auto"/>
        <w:right w:val="none" w:sz="0" w:space="0" w:color="auto"/>
      </w:divBdr>
    </w:div>
    <w:div w:id="2074502230">
      <w:bodyDiv w:val="1"/>
      <w:marLeft w:val="0"/>
      <w:marRight w:val="0"/>
      <w:marTop w:val="0"/>
      <w:marBottom w:val="0"/>
      <w:divBdr>
        <w:top w:val="none" w:sz="0" w:space="0" w:color="auto"/>
        <w:left w:val="none" w:sz="0" w:space="0" w:color="auto"/>
        <w:bottom w:val="none" w:sz="0" w:space="0" w:color="auto"/>
        <w:right w:val="none" w:sz="0" w:space="0" w:color="auto"/>
      </w:divBdr>
    </w:div>
    <w:div w:id="2074813391">
      <w:bodyDiv w:val="1"/>
      <w:marLeft w:val="0"/>
      <w:marRight w:val="0"/>
      <w:marTop w:val="0"/>
      <w:marBottom w:val="0"/>
      <w:divBdr>
        <w:top w:val="none" w:sz="0" w:space="0" w:color="auto"/>
        <w:left w:val="none" w:sz="0" w:space="0" w:color="auto"/>
        <w:bottom w:val="none" w:sz="0" w:space="0" w:color="auto"/>
        <w:right w:val="none" w:sz="0" w:space="0" w:color="auto"/>
      </w:divBdr>
    </w:div>
    <w:div w:id="2075003689">
      <w:bodyDiv w:val="1"/>
      <w:marLeft w:val="0"/>
      <w:marRight w:val="0"/>
      <w:marTop w:val="0"/>
      <w:marBottom w:val="0"/>
      <w:divBdr>
        <w:top w:val="none" w:sz="0" w:space="0" w:color="auto"/>
        <w:left w:val="none" w:sz="0" w:space="0" w:color="auto"/>
        <w:bottom w:val="none" w:sz="0" w:space="0" w:color="auto"/>
        <w:right w:val="none" w:sz="0" w:space="0" w:color="auto"/>
      </w:divBdr>
    </w:div>
    <w:div w:id="2075079708">
      <w:bodyDiv w:val="1"/>
      <w:marLeft w:val="0"/>
      <w:marRight w:val="0"/>
      <w:marTop w:val="0"/>
      <w:marBottom w:val="0"/>
      <w:divBdr>
        <w:top w:val="none" w:sz="0" w:space="0" w:color="auto"/>
        <w:left w:val="none" w:sz="0" w:space="0" w:color="auto"/>
        <w:bottom w:val="none" w:sz="0" w:space="0" w:color="auto"/>
        <w:right w:val="none" w:sz="0" w:space="0" w:color="auto"/>
      </w:divBdr>
    </w:div>
    <w:div w:id="2075157753">
      <w:bodyDiv w:val="1"/>
      <w:marLeft w:val="0"/>
      <w:marRight w:val="0"/>
      <w:marTop w:val="0"/>
      <w:marBottom w:val="0"/>
      <w:divBdr>
        <w:top w:val="none" w:sz="0" w:space="0" w:color="auto"/>
        <w:left w:val="none" w:sz="0" w:space="0" w:color="auto"/>
        <w:bottom w:val="none" w:sz="0" w:space="0" w:color="auto"/>
        <w:right w:val="none" w:sz="0" w:space="0" w:color="auto"/>
      </w:divBdr>
    </w:div>
    <w:div w:id="2075271085">
      <w:bodyDiv w:val="1"/>
      <w:marLeft w:val="0"/>
      <w:marRight w:val="0"/>
      <w:marTop w:val="0"/>
      <w:marBottom w:val="0"/>
      <w:divBdr>
        <w:top w:val="none" w:sz="0" w:space="0" w:color="auto"/>
        <w:left w:val="none" w:sz="0" w:space="0" w:color="auto"/>
        <w:bottom w:val="none" w:sz="0" w:space="0" w:color="auto"/>
        <w:right w:val="none" w:sz="0" w:space="0" w:color="auto"/>
      </w:divBdr>
    </w:div>
    <w:div w:id="2075466913">
      <w:bodyDiv w:val="1"/>
      <w:marLeft w:val="0"/>
      <w:marRight w:val="0"/>
      <w:marTop w:val="0"/>
      <w:marBottom w:val="0"/>
      <w:divBdr>
        <w:top w:val="none" w:sz="0" w:space="0" w:color="auto"/>
        <w:left w:val="none" w:sz="0" w:space="0" w:color="auto"/>
        <w:bottom w:val="none" w:sz="0" w:space="0" w:color="auto"/>
        <w:right w:val="none" w:sz="0" w:space="0" w:color="auto"/>
      </w:divBdr>
    </w:div>
    <w:div w:id="2075617108">
      <w:bodyDiv w:val="1"/>
      <w:marLeft w:val="0"/>
      <w:marRight w:val="0"/>
      <w:marTop w:val="0"/>
      <w:marBottom w:val="0"/>
      <w:divBdr>
        <w:top w:val="none" w:sz="0" w:space="0" w:color="auto"/>
        <w:left w:val="none" w:sz="0" w:space="0" w:color="auto"/>
        <w:bottom w:val="none" w:sz="0" w:space="0" w:color="auto"/>
        <w:right w:val="none" w:sz="0" w:space="0" w:color="auto"/>
      </w:divBdr>
    </w:div>
    <w:div w:id="2075662043">
      <w:bodyDiv w:val="1"/>
      <w:marLeft w:val="0"/>
      <w:marRight w:val="0"/>
      <w:marTop w:val="0"/>
      <w:marBottom w:val="0"/>
      <w:divBdr>
        <w:top w:val="none" w:sz="0" w:space="0" w:color="auto"/>
        <w:left w:val="none" w:sz="0" w:space="0" w:color="auto"/>
        <w:bottom w:val="none" w:sz="0" w:space="0" w:color="auto"/>
        <w:right w:val="none" w:sz="0" w:space="0" w:color="auto"/>
      </w:divBdr>
    </w:div>
    <w:div w:id="2075737067">
      <w:bodyDiv w:val="1"/>
      <w:marLeft w:val="0"/>
      <w:marRight w:val="0"/>
      <w:marTop w:val="0"/>
      <w:marBottom w:val="0"/>
      <w:divBdr>
        <w:top w:val="none" w:sz="0" w:space="0" w:color="auto"/>
        <w:left w:val="none" w:sz="0" w:space="0" w:color="auto"/>
        <w:bottom w:val="none" w:sz="0" w:space="0" w:color="auto"/>
        <w:right w:val="none" w:sz="0" w:space="0" w:color="auto"/>
      </w:divBdr>
    </w:div>
    <w:div w:id="2075813969">
      <w:bodyDiv w:val="1"/>
      <w:marLeft w:val="0"/>
      <w:marRight w:val="0"/>
      <w:marTop w:val="0"/>
      <w:marBottom w:val="0"/>
      <w:divBdr>
        <w:top w:val="none" w:sz="0" w:space="0" w:color="auto"/>
        <w:left w:val="none" w:sz="0" w:space="0" w:color="auto"/>
        <w:bottom w:val="none" w:sz="0" w:space="0" w:color="auto"/>
        <w:right w:val="none" w:sz="0" w:space="0" w:color="auto"/>
      </w:divBdr>
    </w:div>
    <w:div w:id="2076278335">
      <w:bodyDiv w:val="1"/>
      <w:marLeft w:val="0"/>
      <w:marRight w:val="0"/>
      <w:marTop w:val="0"/>
      <w:marBottom w:val="0"/>
      <w:divBdr>
        <w:top w:val="none" w:sz="0" w:space="0" w:color="auto"/>
        <w:left w:val="none" w:sz="0" w:space="0" w:color="auto"/>
        <w:bottom w:val="none" w:sz="0" w:space="0" w:color="auto"/>
        <w:right w:val="none" w:sz="0" w:space="0" w:color="auto"/>
      </w:divBdr>
    </w:div>
    <w:div w:id="2076312289">
      <w:bodyDiv w:val="1"/>
      <w:marLeft w:val="0"/>
      <w:marRight w:val="0"/>
      <w:marTop w:val="0"/>
      <w:marBottom w:val="0"/>
      <w:divBdr>
        <w:top w:val="none" w:sz="0" w:space="0" w:color="auto"/>
        <w:left w:val="none" w:sz="0" w:space="0" w:color="auto"/>
        <w:bottom w:val="none" w:sz="0" w:space="0" w:color="auto"/>
        <w:right w:val="none" w:sz="0" w:space="0" w:color="auto"/>
      </w:divBdr>
    </w:div>
    <w:div w:id="2076396412">
      <w:bodyDiv w:val="1"/>
      <w:marLeft w:val="0"/>
      <w:marRight w:val="0"/>
      <w:marTop w:val="0"/>
      <w:marBottom w:val="0"/>
      <w:divBdr>
        <w:top w:val="none" w:sz="0" w:space="0" w:color="auto"/>
        <w:left w:val="none" w:sz="0" w:space="0" w:color="auto"/>
        <w:bottom w:val="none" w:sz="0" w:space="0" w:color="auto"/>
        <w:right w:val="none" w:sz="0" w:space="0" w:color="auto"/>
      </w:divBdr>
    </w:div>
    <w:div w:id="2076468217">
      <w:bodyDiv w:val="1"/>
      <w:marLeft w:val="0"/>
      <w:marRight w:val="0"/>
      <w:marTop w:val="0"/>
      <w:marBottom w:val="0"/>
      <w:divBdr>
        <w:top w:val="none" w:sz="0" w:space="0" w:color="auto"/>
        <w:left w:val="none" w:sz="0" w:space="0" w:color="auto"/>
        <w:bottom w:val="none" w:sz="0" w:space="0" w:color="auto"/>
        <w:right w:val="none" w:sz="0" w:space="0" w:color="auto"/>
      </w:divBdr>
    </w:div>
    <w:div w:id="2076470060">
      <w:bodyDiv w:val="1"/>
      <w:marLeft w:val="0"/>
      <w:marRight w:val="0"/>
      <w:marTop w:val="0"/>
      <w:marBottom w:val="0"/>
      <w:divBdr>
        <w:top w:val="none" w:sz="0" w:space="0" w:color="auto"/>
        <w:left w:val="none" w:sz="0" w:space="0" w:color="auto"/>
        <w:bottom w:val="none" w:sz="0" w:space="0" w:color="auto"/>
        <w:right w:val="none" w:sz="0" w:space="0" w:color="auto"/>
      </w:divBdr>
    </w:div>
    <w:div w:id="2076511955">
      <w:bodyDiv w:val="1"/>
      <w:marLeft w:val="0"/>
      <w:marRight w:val="0"/>
      <w:marTop w:val="0"/>
      <w:marBottom w:val="0"/>
      <w:divBdr>
        <w:top w:val="none" w:sz="0" w:space="0" w:color="auto"/>
        <w:left w:val="none" w:sz="0" w:space="0" w:color="auto"/>
        <w:bottom w:val="none" w:sz="0" w:space="0" w:color="auto"/>
        <w:right w:val="none" w:sz="0" w:space="0" w:color="auto"/>
      </w:divBdr>
    </w:div>
    <w:div w:id="2076582316">
      <w:bodyDiv w:val="1"/>
      <w:marLeft w:val="0"/>
      <w:marRight w:val="0"/>
      <w:marTop w:val="0"/>
      <w:marBottom w:val="0"/>
      <w:divBdr>
        <w:top w:val="none" w:sz="0" w:space="0" w:color="auto"/>
        <w:left w:val="none" w:sz="0" w:space="0" w:color="auto"/>
        <w:bottom w:val="none" w:sz="0" w:space="0" w:color="auto"/>
        <w:right w:val="none" w:sz="0" w:space="0" w:color="auto"/>
      </w:divBdr>
    </w:div>
    <w:div w:id="2076968767">
      <w:bodyDiv w:val="1"/>
      <w:marLeft w:val="0"/>
      <w:marRight w:val="0"/>
      <w:marTop w:val="0"/>
      <w:marBottom w:val="0"/>
      <w:divBdr>
        <w:top w:val="none" w:sz="0" w:space="0" w:color="auto"/>
        <w:left w:val="none" w:sz="0" w:space="0" w:color="auto"/>
        <w:bottom w:val="none" w:sz="0" w:space="0" w:color="auto"/>
        <w:right w:val="none" w:sz="0" w:space="0" w:color="auto"/>
      </w:divBdr>
    </w:div>
    <w:div w:id="2076973213">
      <w:bodyDiv w:val="1"/>
      <w:marLeft w:val="0"/>
      <w:marRight w:val="0"/>
      <w:marTop w:val="0"/>
      <w:marBottom w:val="0"/>
      <w:divBdr>
        <w:top w:val="none" w:sz="0" w:space="0" w:color="auto"/>
        <w:left w:val="none" w:sz="0" w:space="0" w:color="auto"/>
        <w:bottom w:val="none" w:sz="0" w:space="0" w:color="auto"/>
        <w:right w:val="none" w:sz="0" w:space="0" w:color="auto"/>
      </w:divBdr>
    </w:div>
    <w:div w:id="2077237793">
      <w:bodyDiv w:val="1"/>
      <w:marLeft w:val="0"/>
      <w:marRight w:val="0"/>
      <w:marTop w:val="0"/>
      <w:marBottom w:val="0"/>
      <w:divBdr>
        <w:top w:val="none" w:sz="0" w:space="0" w:color="auto"/>
        <w:left w:val="none" w:sz="0" w:space="0" w:color="auto"/>
        <w:bottom w:val="none" w:sz="0" w:space="0" w:color="auto"/>
        <w:right w:val="none" w:sz="0" w:space="0" w:color="auto"/>
      </w:divBdr>
    </w:div>
    <w:div w:id="2077243837">
      <w:bodyDiv w:val="1"/>
      <w:marLeft w:val="0"/>
      <w:marRight w:val="0"/>
      <w:marTop w:val="0"/>
      <w:marBottom w:val="0"/>
      <w:divBdr>
        <w:top w:val="none" w:sz="0" w:space="0" w:color="auto"/>
        <w:left w:val="none" w:sz="0" w:space="0" w:color="auto"/>
        <w:bottom w:val="none" w:sz="0" w:space="0" w:color="auto"/>
        <w:right w:val="none" w:sz="0" w:space="0" w:color="auto"/>
      </w:divBdr>
    </w:div>
    <w:div w:id="2077776637">
      <w:bodyDiv w:val="1"/>
      <w:marLeft w:val="0"/>
      <w:marRight w:val="0"/>
      <w:marTop w:val="0"/>
      <w:marBottom w:val="0"/>
      <w:divBdr>
        <w:top w:val="none" w:sz="0" w:space="0" w:color="auto"/>
        <w:left w:val="none" w:sz="0" w:space="0" w:color="auto"/>
        <w:bottom w:val="none" w:sz="0" w:space="0" w:color="auto"/>
        <w:right w:val="none" w:sz="0" w:space="0" w:color="auto"/>
      </w:divBdr>
    </w:div>
    <w:div w:id="2078284788">
      <w:bodyDiv w:val="1"/>
      <w:marLeft w:val="0"/>
      <w:marRight w:val="0"/>
      <w:marTop w:val="0"/>
      <w:marBottom w:val="0"/>
      <w:divBdr>
        <w:top w:val="none" w:sz="0" w:space="0" w:color="auto"/>
        <w:left w:val="none" w:sz="0" w:space="0" w:color="auto"/>
        <w:bottom w:val="none" w:sz="0" w:space="0" w:color="auto"/>
        <w:right w:val="none" w:sz="0" w:space="0" w:color="auto"/>
      </w:divBdr>
    </w:div>
    <w:div w:id="2078356321">
      <w:bodyDiv w:val="1"/>
      <w:marLeft w:val="0"/>
      <w:marRight w:val="0"/>
      <w:marTop w:val="0"/>
      <w:marBottom w:val="0"/>
      <w:divBdr>
        <w:top w:val="none" w:sz="0" w:space="0" w:color="auto"/>
        <w:left w:val="none" w:sz="0" w:space="0" w:color="auto"/>
        <w:bottom w:val="none" w:sz="0" w:space="0" w:color="auto"/>
        <w:right w:val="none" w:sz="0" w:space="0" w:color="auto"/>
      </w:divBdr>
    </w:div>
    <w:div w:id="2078357536">
      <w:bodyDiv w:val="1"/>
      <w:marLeft w:val="0"/>
      <w:marRight w:val="0"/>
      <w:marTop w:val="0"/>
      <w:marBottom w:val="0"/>
      <w:divBdr>
        <w:top w:val="none" w:sz="0" w:space="0" w:color="auto"/>
        <w:left w:val="none" w:sz="0" w:space="0" w:color="auto"/>
        <w:bottom w:val="none" w:sz="0" w:space="0" w:color="auto"/>
        <w:right w:val="none" w:sz="0" w:space="0" w:color="auto"/>
      </w:divBdr>
    </w:div>
    <w:div w:id="2078940262">
      <w:bodyDiv w:val="1"/>
      <w:marLeft w:val="0"/>
      <w:marRight w:val="0"/>
      <w:marTop w:val="0"/>
      <w:marBottom w:val="0"/>
      <w:divBdr>
        <w:top w:val="none" w:sz="0" w:space="0" w:color="auto"/>
        <w:left w:val="none" w:sz="0" w:space="0" w:color="auto"/>
        <w:bottom w:val="none" w:sz="0" w:space="0" w:color="auto"/>
        <w:right w:val="none" w:sz="0" w:space="0" w:color="auto"/>
      </w:divBdr>
    </w:div>
    <w:div w:id="2079014423">
      <w:bodyDiv w:val="1"/>
      <w:marLeft w:val="0"/>
      <w:marRight w:val="0"/>
      <w:marTop w:val="0"/>
      <w:marBottom w:val="0"/>
      <w:divBdr>
        <w:top w:val="none" w:sz="0" w:space="0" w:color="auto"/>
        <w:left w:val="none" w:sz="0" w:space="0" w:color="auto"/>
        <w:bottom w:val="none" w:sz="0" w:space="0" w:color="auto"/>
        <w:right w:val="none" w:sz="0" w:space="0" w:color="auto"/>
      </w:divBdr>
    </w:div>
    <w:div w:id="2079209829">
      <w:bodyDiv w:val="1"/>
      <w:marLeft w:val="0"/>
      <w:marRight w:val="0"/>
      <w:marTop w:val="0"/>
      <w:marBottom w:val="0"/>
      <w:divBdr>
        <w:top w:val="none" w:sz="0" w:space="0" w:color="auto"/>
        <w:left w:val="none" w:sz="0" w:space="0" w:color="auto"/>
        <w:bottom w:val="none" w:sz="0" w:space="0" w:color="auto"/>
        <w:right w:val="none" w:sz="0" w:space="0" w:color="auto"/>
      </w:divBdr>
    </w:div>
    <w:div w:id="2079401763">
      <w:bodyDiv w:val="1"/>
      <w:marLeft w:val="0"/>
      <w:marRight w:val="0"/>
      <w:marTop w:val="0"/>
      <w:marBottom w:val="0"/>
      <w:divBdr>
        <w:top w:val="none" w:sz="0" w:space="0" w:color="auto"/>
        <w:left w:val="none" w:sz="0" w:space="0" w:color="auto"/>
        <w:bottom w:val="none" w:sz="0" w:space="0" w:color="auto"/>
        <w:right w:val="none" w:sz="0" w:space="0" w:color="auto"/>
      </w:divBdr>
    </w:div>
    <w:div w:id="2079403646">
      <w:bodyDiv w:val="1"/>
      <w:marLeft w:val="0"/>
      <w:marRight w:val="0"/>
      <w:marTop w:val="0"/>
      <w:marBottom w:val="0"/>
      <w:divBdr>
        <w:top w:val="none" w:sz="0" w:space="0" w:color="auto"/>
        <w:left w:val="none" w:sz="0" w:space="0" w:color="auto"/>
        <w:bottom w:val="none" w:sz="0" w:space="0" w:color="auto"/>
        <w:right w:val="none" w:sz="0" w:space="0" w:color="auto"/>
      </w:divBdr>
    </w:div>
    <w:div w:id="2079404169">
      <w:bodyDiv w:val="1"/>
      <w:marLeft w:val="0"/>
      <w:marRight w:val="0"/>
      <w:marTop w:val="0"/>
      <w:marBottom w:val="0"/>
      <w:divBdr>
        <w:top w:val="none" w:sz="0" w:space="0" w:color="auto"/>
        <w:left w:val="none" w:sz="0" w:space="0" w:color="auto"/>
        <w:bottom w:val="none" w:sz="0" w:space="0" w:color="auto"/>
        <w:right w:val="none" w:sz="0" w:space="0" w:color="auto"/>
      </w:divBdr>
    </w:div>
    <w:div w:id="2079739229">
      <w:bodyDiv w:val="1"/>
      <w:marLeft w:val="0"/>
      <w:marRight w:val="0"/>
      <w:marTop w:val="0"/>
      <w:marBottom w:val="0"/>
      <w:divBdr>
        <w:top w:val="none" w:sz="0" w:space="0" w:color="auto"/>
        <w:left w:val="none" w:sz="0" w:space="0" w:color="auto"/>
        <w:bottom w:val="none" w:sz="0" w:space="0" w:color="auto"/>
        <w:right w:val="none" w:sz="0" w:space="0" w:color="auto"/>
      </w:divBdr>
    </w:div>
    <w:div w:id="2079942103">
      <w:bodyDiv w:val="1"/>
      <w:marLeft w:val="0"/>
      <w:marRight w:val="0"/>
      <w:marTop w:val="0"/>
      <w:marBottom w:val="0"/>
      <w:divBdr>
        <w:top w:val="none" w:sz="0" w:space="0" w:color="auto"/>
        <w:left w:val="none" w:sz="0" w:space="0" w:color="auto"/>
        <w:bottom w:val="none" w:sz="0" w:space="0" w:color="auto"/>
        <w:right w:val="none" w:sz="0" w:space="0" w:color="auto"/>
      </w:divBdr>
    </w:div>
    <w:div w:id="2080013405">
      <w:bodyDiv w:val="1"/>
      <w:marLeft w:val="0"/>
      <w:marRight w:val="0"/>
      <w:marTop w:val="0"/>
      <w:marBottom w:val="0"/>
      <w:divBdr>
        <w:top w:val="none" w:sz="0" w:space="0" w:color="auto"/>
        <w:left w:val="none" w:sz="0" w:space="0" w:color="auto"/>
        <w:bottom w:val="none" w:sz="0" w:space="0" w:color="auto"/>
        <w:right w:val="none" w:sz="0" w:space="0" w:color="auto"/>
      </w:divBdr>
    </w:div>
    <w:div w:id="2080135188">
      <w:bodyDiv w:val="1"/>
      <w:marLeft w:val="0"/>
      <w:marRight w:val="0"/>
      <w:marTop w:val="0"/>
      <w:marBottom w:val="0"/>
      <w:divBdr>
        <w:top w:val="none" w:sz="0" w:space="0" w:color="auto"/>
        <w:left w:val="none" w:sz="0" w:space="0" w:color="auto"/>
        <w:bottom w:val="none" w:sz="0" w:space="0" w:color="auto"/>
        <w:right w:val="none" w:sz="0" w:space="0" w:color="auto"/>
      </w:divBdr>
    </w:div>
    <w:div w:id="2080323819">
      <w:bodyDiv w:val="1"/>
      <w:marLeft w:val="0"/>
      <w:marRight w:val="0"/>
      <w:marTop w:val="0"/>
      <w:marBottom w:val="0"/>
      <w:divBdr>
        <w:top w:val="none" w:sz="0" w:space="0" w:color="auto"/>
        <w:left w:val="none" w:sz="0" w:space="0" w:color="auto"/>
        <w:bottom w:val="none" w:sz="0" w:space="0" w:color="auto"/>
        <w:right w:val="none" w:sz="0" w:space="0" w:color="auto"/>
      </w:divBdr>
    </w:div>
    <w:div w:id="2080327661">
      <w:bodyDiv w:val="1"/>
      <w:marLeft w:val="0"/>
      <w:marRight w:val="0"/>
      <w:marTop w:val="0"/>
      <w:marBottom w:val="0"/>
      <w:divBdr>
        <w:top w:val="none" w:sz="0" w:space="0" w:color="auto"/>
        <w:left w:val="none" w:sz="0" w:space="0" w:color="auto"/>
        <w:bottom w:val="none" w:sz="0" w:space="0" w:color="auto"/>
        <w:right w:val="none" w:sz="0" w:space="0" w:color="auto"/>
      </w:divBdr>
    </w:div>
    <w:div w:id="2081294523">
      <w:bodyDiv w:val="1"/>
      <w:marLeft w:val="0"/>
      <w:marRight w:val="0"/>
      <w:marTop w:val="0"/>
      <w:marBottom w:val="0"/>
      <w:divBdr>
        <w:top w:val="none" w:sz="0" w:space="0" w:color="auto"/>
        <w:left w:val="none" w:sz="0" w:space="0" w:color="auto"/>
        <w:bottom w:val="none" w:sz="0" w:space="0" w:color="auto"/>
        <w:right w:val="none" w:sz="0" w:space="0" w:color="auto"/>
      </w:divBdr>
    </w:div>
    <w:div w:id="2081519468">
      <w:bodyDiv w:val="1"/>
      <w:marLeft w:val="0"/>
      <w:marRight w:val="0"/>
      <w:marTop w:val="0"/>
      <w:marBottom w:val="0"/>
      <w:divBdr>
        <w:top w:val="none" w:sz="0" w:space="0" w:color="auto"/>
        <w:left w:val="none" w:sz="0" w:space="0" w:color="auto"/>
        <w:bottom w:val="none" w:sz="0" w:space="0" w:color="auto"/>
        <w:right w:val="none" w:sz="0" w:space="0" w:color="auto"/>
      </w:divBdr>
    </w:div>
    <w:div w:id="2081711509">
      <w:bodyDiv w:val="1"/>
      <w:marLeft w:val="0"/>
      <w:marRight w:val="0"/>
      <w:marTop w:val="0"/>
      <w:marBottom w:val="0"/>
      <w:divBdr>
        <w:top w:val="none" w:sz="0" w:space="0" w:color="auto"/>
        <w:left w:val="none" w:sz="0" w:space="0" w:color="auto"/>
        <w:bottom w:val="none" w:sz="0" w:space="0" w:color="auto"/>
        <w:right w:val="none" w:sz="0" w:space="0" w:color="auto"/>
      </w:divBdr>
    </w:div>
    <w:div w:id="2081825347">
      <w:bodyDiv w:val="1"/>
      <w:marLeft w:val="0"/>
      <w:marRight w:val="0"/>
      <w:marTop w:val="0"/>
      <w:marBottom w:val="0"/>
      <w:divBdr>
        <w:top w:val="none" w:sz="0" w:space="0" w:color="auto"/>
        <w:left w:val="none" w:sz="0" w:space="0" w:color="auto"/>
        <w:bottom w:val="none" w:sz="0" w:space="0" w:color="auto"/>
        <w:right w:val="none" w:sz="0" w:space="0" w:color="auto"/>
      </w:divBdr>
    </w:div>
    <w:div w:id="2081978489">
      <w:bodyDiv w:val="1"/>
      <w:marLeft w:val="0"/>
      <w:marRight w:val="0"/>
      <w:marTop w:val="0"/>
      <w:marBottom w:val="0"/>
      <w:divBdr>
        <w:top w:val="none" w:sz="0" w:space="0" w:color="auto"/>
        <w:left w:val="none" w:sz="0" w:space="0" w:color="auto"/>
        <w:bottom w:val="none" w:sz="0" w:space="0" w:color="auto"/>
        <w:right w:val="none" w:sz="0" w:space="0" w:color="auto"/>
      </w:divBdr>
    </w:div>
    <w:div w:id="2081979045">
      <w:bodyDiv w:val="1"/>
      <w:marLeft w:val="0"/>
      <w:marRight w:val="0"/>
      <w:marTop w:val="0"/>
      <w:marBottom w:val="0"/>
      <w:divBdr>
        <w:top w:val="none" w:sz="0" w:space="0" w:color="auto"/>
        <w:left w:val="none" w:sz="0" w:space="0" w:color="auto"/>
        <w:bottom w:val="none" w:sz="0" w:space="0" w:color="auto"/>
        <w:right w:val="none" w:sz="0" w:space="0" w:color="auto"/>
      </w:divBdr>
    </w:div>
    <w:div w:id="2082285486">
      <w:bodyDiv w:val="1"/>
      <w:marLeft w:val="0"/>
      <w:marRight w:val="0"/>
      <w:marTop w:val="0"/>
      <w:marBottom w:val="0"/>
      <w:divBdr>
        <w:top w:val="none" w:sz="0" w:space="0" w:color="auto"/>
        <w:left w:val="none" w:sz="0" w:space="0" w:color="auto"/>
        <w:bottom w:val="none" w:sz="0" w:space="0" w:color="auto"/>
        <w:right w:val="none" w:sz="0" w:space="0" w:color="auto"/>
      </w:divBdr>
    </w:div>
    <w:div w:id="2082561593">
      <w:bodyDiv w:val="1"/>
      <w:marLeft w:val="0"/>
      <w:marRight w:val="0"/>
      <w:marTop w:val="0"/>
      <w:marBottom w:val="0"/>
      <w:divBdr>
        <w:top w:val="none" w:sz="0" w:space="0" w:color="auto"/>
        <w:left w:val="none" w:sz="0" w:space="0" w:color="auto"/>
        <w:bottom w:val="none" w:sz="0" w:space="0" w:color="auto"/>
        <w:right w:val="none" w:sz="0" w:space="0" w:color="auto"/>
      </w:divBdr>
    </w:div>
    <w:div w:id="2082674848">
      <w:bodyDiv w:val="1"/>
      <w:marLeft w:val="0"/>
      <w:marRight w:val="0"/>
      <w:marTop w:val="0"/>
      <w:marBottom w:val="0"/>
      <w:divBdr>
        <w:top w:val="none" w:sz="0" w:space="0" w:color="auto"/>
        <w:left w:val="none" w:sz="0" w:space="0" w:color="auto"/>
        <w:bottom w:val="none" w:sz="0" w:space="0" w:color="auto"/>
        <w:right w:val="none" w:sz="0" w:space="0" w:color="auto"/>
      </w:divBdr>
    </w:div>
    <w:div w:id="2082940856">
      <w:bodyDiv w:val="1"/>
      <w:marLeft w:val="0"/>
      <w:marRight w:val="0"/>
      <w:marTop w:val="0"/>
      <w:marBottom w:val="0"/>
      <w:divBdr>
        <w:top w:val="none" w:sz="0" w:space="0" w:color="auto"/>
        <w:left w:val="none" w:sz="0" w:space="0" w:color="auto"/>
        <w:bottom w:val="none" w:sz="0" w:space="0" w:color="auto"/>
        <w:right w:val="none" w:sz="0" w:space="0" w:color="auto"/>
      </w:divBdr>
    </w:div>
    <w:div w:id="2082946052">
      <w:bodyDiv w:val="1"/>
      <w:marLeft w:val="0"/>
      <w:marRight w:val="0"/>
      <w:marTop w:val="0"/>
      <w:marBottom w:val="0"/>
      <w:divBdr>
        <w:top w:val="none" w:sz="0" w:space="0" w:color="auto"/>
        <w:left w:val="none" w:sz="0" w:space="0" w:color="auto"/>
        <w:bottom w:val="none" w:sz="0" w:space="0" w:color="auto"/>
        <w:right w:val="none" w:sz="0" w:space="0" w:color="auto"/>
      </w:divBdr>
    </w:div>
    <w:div w:id="2083331387">
      <w:bodyDiv w:val="1"/>
      <w:marLeft w:val="0"/>
      <w:marRight w:val="0"/>
      <w:marTop w:val="0"/>
      <w:marBottom w:val="0"/>
      <w:divBdr>
        <w:top w:val="none" w:sz="0" w:space="0" w:color="auto"/>
        <w:left w:val="none" w:sz="0" w:space="0" w:color="auto"/>
        <w:bottom w:val="none" w:sz="0" w:space="0" w:color="auto"/>
        <w:right w:val="none" w:sz="0" w:space="0" w:color="auto"/>
      </w:divBdr>
    </w:div>
    <w:div w:id="2083718687">
      <w:bodyDiv w:val="1"/>
      <w:marLeft w:val="0"/>
      <w:marRight w:val="0"/>
      <w:marTop w:val="0"/>
      <w:marBottom w:val="0"/>
      <w:divBdr>
        <w:top w:val="none" w:sz="0" w:space="0" w:color="auto"/>
        <w:left w:val="none" w:sz="0" w:space="0" w:color="auto"/>
        <w:bottom w:val="none" w:sz="0" w:space="0" w:color="auto"/>
        <w:right w:val="none" w:sz="0" w:space="0" w:color="auto"/>
      </w:divBdr>
    </w:div>
    <w:div w:id="2083719605">
      <w:bodyDiv w:val="1"/>
      <w:marLeft w:val="0"/>
      <w:marRight w:val="0"/>
      <w:marTop w:val="0"/>
      <w:marBottom w:val="0"/>
      <w:divBdr>
        <w:top w:val="none" w:sz="0" w:space="0" w:color="auto"/>
        <w:left w:val="none" w:sz="0" w:space="0" w:color="auto"/>
        <w:bottom w:val="none" w:sz="0" w:space="0" w:color="auto"/>
        <w:right w:val="none" w:sz="0" w:space="0" w:color="auto"/>
      </w:divBdr>
    </w:div>
    <w:div w:id="2083985428">
      <w:bodyDiv w:val="1"/>
      <w:marLeft w:val="0"/>
      <w:marRight w:val="0"/>
      <w:marTop w:val="0"/>
      <w:marBottom w:val="0"/>
      <w:divBdr>
        <w:top w:val="none" w:sz="0" w:space="0" w:color="auto"/>
        <w:left w:val="none" w:sz="0" w:space="0" w:color="auto"/>
        <w:bottom w:val="none" w:sz="0" w:space="0" w:color="auto"/>
        <w:right w:val="none" w:sz="0" w:space="0" w:color="auto"/>
      </w:divBdr>
    </w:div>
    <w:div w:id="2084252257">
      <w:bodyDiv w:val="1"/>
      <w:marLeft w:val="0"/>
      <w:marRight w:val="0"/>
      <w:marTop w:val="0"/>
      <w:marBottom w:val="0"/>
      <w:divBdr>
        <w:top w:val="none" w:sz="0" w:space="0" w:color="auto"/>
        <w:left w:val="none" w:sz="0" w:space="0" w:color="auto"/>
        <w:bottom w:val="none" w:sz="0" w:space="0" w:color="auto"/>
        <w:right w:val="none" w:sz="0" w:space="0" w:color="auto"/>
      </w:divBdr>
    </w:div>
    <w:div w:id="2084444915">
      <w:bodyDiv w:val="1"/>
      <w:marLeft w:val="0"/>
      <w:marRight w:val="0"/>
      <w:marTop w:val="0"/>
      <w:marBottom w:val="0"/>
      <w:divBdr>
        <w:top w:val="none" w:sz="0" w:space="0" w:color="auto"/>
        <w:left w:val="none" w:sz="0" w:space="0" w:color="auto"/>
        <w:bottom w:val="none" w:sz="0" w:space="0" w:color="auto"/>
        <w:right w:val="none" w:sz="0" w:space="0" w:color="auto"/>
      </w:divBdr>
    </w:div>
    <w:div w:id="2084720007">
      <w:bodyDiv w:val="1"/>
      <w:marLeft w:val="0"/>
      <w:marRight w:val="0"/>
      <w:marTop w:val="0"/>
      <w:marBottom w:val="0"/>
      <w:divBdr>
        <w:top w:val="none" w:sz="0" w:space="0" w:color="auto"/>
        <w:left w:val="none" w:sz="0" w:space="0" w:color="auto"/>
        <w:bottom w:val="none" w:sz="0" w:space="0" w:color="auto"/>
        <w:right w:val="none" w:sz="0" w:space="0" w:color="auto"/>
      </w:divBdr>
    </w:div>
    <w:div w:id="2084792946">
      <w:bodyDiv w:val="1"/>
      <w:marLeft w:val="0"/>
      <w:marRight w:val="0"/>
      <w:marTop w:val="0"/>
      <w:marBottom w:val="0"/>
      <w:divBdr>
        <w:top w:val="none" w:sz="0" w:space="0" w:color="auto"/>
        <w:left w:val="none" w:sz="0" w:space="0" w:color="auto"/>
        <w:bottom w:val="none" w:sz="0" w:space="0" w:color="auto"/>
        <w:right w:val="none" w:sz="0" w:space="0" w:color="auto"/>
      </w:divBdr>
    </w:div>
    <w:div w:id="2085449007">
      <w:bodyDiv w:val="1"/>
      <w:marLeft w:val="0"/>
      <w:marRight w:val="0"/>
      <w:marTop w:val="0"/>
      <w:marBottom w:val="0"/>
      <w:divBdr>
        <w:top w:val="none" w:sz="0" w:space="0" w:color="auto"/>
        <w:left w:val="none" w:sz="0" w:space="0" w:color="auto"/>
        <w:bottom w:val="none" w:sz="0" w:space="0" w:color="auto"/>
        <w:right w:val="none" w:sz="0" w:space="0" w:color="auto"/>
      </w:divBdr>
    </w:div>
    <w:div w:id="2085567045">
      <w:bodyDiv w:val="1"/>
      <w:marLeft w:val="0"/>
      <w:marRight w:val="0"/>
      <w:marTop w:val="0"/>
      <w:marBottom w:val="0"/>
      <w:divBdr>
        <w:top w:val="none" w:sz="0" w:space="0" w:color="auto"/>
        <w:left w:val="none" w:sz="0" w:space="0" w:color="auto"/>
        <w:bottom w:val="none" w:sz="0" w:space="0" w:color="auto"/>
        <w:right w:val="none" w:sz="0" w:space="0" w:color="auto"/>
      </w:divBdr>
    </w:div>
    <w:div w:id="2085637061">
      <w:bodyDiv w:val="1"/>
      <w:marLeft w:val="0"/>
      <w:marRight w:val="0"/>
      <w:marTop w:val="0"/>
      <w:marBottom w:val="0"/>
      <w:divBdr>
        <w:top w:val="none" w:sz="0" w:space="0" w:color="auto"/>
        <w:left w:val="none" w:sz="0" w:space="0" w:color="auto"/>
        <w:bottom w:val="none" w:sz="0" w:space="0" w:color="auto"/>
        <w:right w:val="none" w:sz="0" w:space="0" w:color="auto"/>
      </w:divBdr>
    </w:div>
    <w:div w:id="2085836571">
      <w:bodyDiv w:val="1"/>
      <w:marLeft w:val="0"/>
      <w:marRight w:val="0"/>
      <w:marTop w:val="0"/>
      <w:marBottom w:val="0"/>
      <w:divBdr>
        <w:top w:val="none" w:sz="0" w:space="0" w:color="auto"/>
        <w:left w:val="none" w:sz="0" w:space="0" w:color="auto"/>
        <w:bottom w:val="none" w:sz="0" w:space="0" w:color="auto"/>
        <w:right w:val="none" w:sz="0" w:space="0" w:color="auto"/>
      </w:divBdr>
    </w:div>
    <w:div w:id="2085908470">
      <w:bodyDiv w:val="1"/>
      <w:marLeft w:val="0"/>
      <w:marRight w:val="0"/>
      <w:marTop w:val="0"/>
      <w:marBottom w:val="0"/>
      <w:divBdr>
        <w:top w:val="none" w:sz="0" w:space="0" w:color="auto"/>
        <w:left w:val="none" w:sz="0" w:space="0" w:color="auto"/>
        <w:bottom w:val="none" w:sz="0" w:space="0" w:color="auto"/>
        <w:right w:val="none" w:sz="0" w:space="0" w:color="auto"/>
      </w:divBdr>
    </w:div>
    <w:div w:id="2085949896">
      <w:bodyDiv w:val="1"/>
      <w:marLeft w:val="0"/>
      <w:marRight w:val="0"/>
      <w:marTop w:val="0"/>
      <w:marBottom w:val="0"/>
      <w:divBdr>
        <w:top w:val="none" w:sz="0" w:space="0" w:color="auto"/>
        <w:left w:val="none" w:sz="0" w:space="0" w:color="auto"/>
        <w:bottom w:val="none" w:sz="0" w:space="0" w:color="auto"/>
        <w:right w:val="none" w:sz="0" w:space="0" w:color="auto"/>
      </w:divBdr>
    </w:div>
    <w:div w:id="2086105849">
      <w:bodyDiv w:val="1"/>
      <w:marLeft w:val="0"/>
      <w:marRight w:val="0"/>
      <w:marTop w:val="0"/>
      <w:marBottom w:val="0"/>
      <w:divBdr>
        <w:top w:val="none" w:sz="0" w:space="0" w:color="auto"/>
        <w:left w:val="none" w:sz="0" w:space="0" w:color="auto"/>
        <w:bottom w:val="none" w:sz="0" w:space="0" w:color="auto"/>
        <w:right w:val="none" w:sz="0" w:space="0" w:color="auto"/>
      </w:divBdr>
    </w:div>
    <w:div w:id="2086147882">
      <w:bodyDiv w:val="1"/>
      <w:marLeft w:val="0"/>
      <w:marRight w:val="0"/>
      <w:marTop w:val="0"/>
      <w:marBottom w:val="0"/>
      <w:divBdr>
        <w:top w:val="none" w:sz="0" w:space="0" w:color="auto"/>
        <w:left w:val="none" w:sz="0" w:space="0" w:color="auto"/>
        <w:bottom w:val="none" w:sz="0" w:space="0" w:color="auto"/>
        <w:right w:val="none" w:sz="0" w:space="0" w:color="auto"/>
      </w:divBdr>
    </w:div>
    <w:div w:id="2086218805">
      <w:bodyDiv w:val="1"/>
      <w:marLeft w:val="0"/>
      <w:marRight w:val="0"/>
      <w:marTop w:val="0"/>
      <w:marBottom w:val="0"/>
      <w:divBdr>
        <w:top w:val="none" w:sz="0" w:space="0" w:color="auto"/>
        <w:left w:val="none" w:sz="0" w:space="0" w:color="auto"/>
        <w:bottom w:val="none" w:sz="0" w:space="0" w:color="auto"/>
        <w:right w:val="none" w:sz="0" w:space="0" w:color="auto"/>
      </w:divBdr>
    </w:div>
    <w:div w:id="2086536651">
      <w:bodyDiv w:val="1"/>
      <w:marLeft w:val="0"/>
      <w:marRight w:val="0"/>
      <w:marTop w:val="0"/>
      <w:marBottom w:val="0"/>
      <w:divBdr>
        <w:top w:val="none" w:sz="0" w:space="0" w:color="auto"/>
        <w:left w:val="none" w:sz="0" w:space="0" w:color="auto"/>
        <w:bottom w:val="none" w:sz="0" w:space="0" w:color="auto"/>
        <w:right w:val="none" w:sz="0" w:space="0" w:color="auto"/>
      </w:divBdr>
    </w:div>
    <w:div w:id="2086603198">
      <w:bodyDiv w:val="1"/>
      <w:marLeft w:val="0"/>
      <w:marRight w:val="0"/>
      <w:marTop w:val="0"/>
      <w:marBottom w:val="0"/>
      <w:divBdr>
        <w:top w:val="none" w:sz="0" w:space="0" w:color="auto"/>
        <w:left w:val="none" w:sz="0" w:space="0" w:color="auto"/>
        <w:bottom w:val="none" w:sz="0" w:space="0" w:color="auto"/>
        <w:right w:val="none" w:sz="0" w:space="0" w:color="auto"/>
      </w:divBdr>
    </w:div>
    <w:div w:id="2086681399">
      <w:bodyDiv w:val="1"/>
      <w:marLeft w:val="0"/>
      <w:marRight w:val="0"/>
      <w:marTop w:val="0"/>
      <w:marBottom w:val="0"/>
      <w:divBdr>
        <w:top w:val="none" w:sz="0" w:space="0" w:color="auto"/>
        <w:left w:val="none" w:sz="0" w:space="0" w:color="auto"/>
        <w:bottom w:val="none" w:sz="0" w:space="0" w:color="auto"/>
        <w:right w:val="none" w:sz="0" w:space="0" w:color="auto"/>
      </w:divBdr>
    </w:div>
    <w:div w:id="2086803214">
      <w:bodyDiv w:val="1"/>
      <w:marLeft w:val="0"/>
      <w:marRight w:val="0"/>
      <w:marTop w:val="0"/>
      <w:marBottom w:val="0"/>
      <w:divBdr>
        <w:top w:val="none" w:sz="0" w:space="0" w:color="auto"/>
        <w:left w:val="none" w:sz="0" w:space="0" w:color="auto"/>
        <w:bottom w:val="none" w:sz="0" w:space="0" w:color="auto"/>
        <w:right w:val="none" w:sz="0" w:space="0" w:color="auto"/>
      </w:divBdr>
    </w:div>
    <w:div w:id="2086880346">
      <w:bodyDiv w:val="1"/>
      <w:marLeft w:val="0"/>
      <w:marRight w:val="0"/>
      <w:marTop w:val="0"/>
      <w:marBottom w:val="0"/>
      <w:divBdr>
        <w:top w:val="none" w:sz="0" w:space="0" w:color="auto"/>
        <w:left w:val="none" w:sz="0" w:space="0" w:color="auto"/>
        <w:bottom w:val="none" w:sz="0" w:space="0" w:color="auto"/>
        <w:right w:val="none" w:sz="0" w:space="0" w:color="auto"/>
      </w:divBdr>
    </w:div>
    <w:div w:id="2086947195">
      <w:bodyDiv w:val="1"/>
      <w:marLeft w:val="0"/>
      <w:marRight w:val="0"/>
      <w:marTop w:val="0"/>
      <w:marBottom w:val="0"/>
      <w:divBdr>
        <w:top w:val="none" w:sz="0" w:space="0" w:color="auto"/>
        <w:left w:val="none" w:sz="0" w:space="0" w:color="auto"/>
        <w:bottom w:val="none" w:sz="0" w:space="0" w:color="auto"/>
        <w:right w:val="none" w:sz="0" w:space="0" w:color="auto"/>
      </w:divBdr>
    </w:div>
    <w:div w:id="2086949592">
      <w:bodyDiv w:val="1"/>
      <w:marLeft w:val="0"/>
      <w:marRight w:val="0"/>
      <w:marTop w:val="0"/>
      <w:marBottom w:val="0"/>
      <w:divBdr>
        <w:top w:val="none" w:sz="0" w:space="0" w:color="auto"/>
        <w:left w:val="none" w:sz="0" w:space="0" w:color="auto"/>
        <w:bottom w:val="none" w:sz="0" w:space="0" w:color="auto"/>
        <w:right w:val="none" w:sz="0" w:space="0" w:color="auto"/>
      </w:divBdr>
    </w:div>
    <w:div w:id="2086997440">
      <w:bodyDiv w:val="1"/>
      <w:marLeft w:val="0"/>
      <w:marRight w:val="0"/>
      <w:marTop w:val="0"/>
      <w:marBottom w:val="0"/>
      <w:divBdr>
        <w:top w:val="none" w:sz="0" w:space="0" w:color="auto"/>
        <w:left w:val="none" w:sz="0" w:space="0" w:color="auto"/>
        <w:bottom w:val="none" w:sz="0" w:space="0" w:color="auto"/>
        <w:right w:val="none" w:sz="0" w:space="0" w:color="auto"/>
      </w:divBdr>
    </w:div>
    <w:div w:id="2087026013">
      <w:bodyDiv w:val="1"/>
      <w:marLeft w:val="0"/>
      <w:marRight w:val="0"/>
      <w:marTop w:val="0"/>
      <w:marBottom w:val="0"/>
      <w:divBdr>
        <w:top w:val="none" w:sz="0" w:space="0" w:color="auto"/>
        <w:left w:val="none" w:sz="0" w:space="0" w:color="auto"/>
        <w:bottom w:val="none" w:sz="0" w:space="0" w:color="auto"/>
        <w:right w:val="none" w:sz="0" w:space="0" w:color="auto"/>
      </w:divBdr>
    </w:div>
    <w:div w:id="2087071630">
      <w:bodyDiv w:val="1"/>
      <w:marLeft w:val="0"/>
      <w:marRight w:val="0"/>
      <w:marTop w:val="0"/>
      <w:marBottom w:val="0"/>
      <w:divBdr>
        <w:top w:val="none" w:sz="0" w:space="0" w:color="auto"/>
        <w:left w:val="none" w:sz="0" w:space="0" w:color="auto"/>
        <w:bottom w:val="none" w:sz="0" w:space="0" w:color="auto"/>
        <w:right w:val="none" w:sz="0" w:space="0" w:color="auto"/>
      </w:divBdr>
    </w:div>
    <w:div w:id="2087334289">
      <w:bodyDiv w:val="1"/>
      <w:marLeft w:val="0"/>
      <w:marRight w:val="0"/>
      <w:marTop w:val="0"/>
      <w:marBottom w:val="0"/>
      <w:divBdr>
        <w:top w:val="none" w:sz="0" w:space="0" w:color="auto"/>
        <w:left w:val="none" w:sz="0" w:space="0" w:color="auto"/>
        <w:bottom w:val="none" w:sz="0" w:space="0" w:color="auto"/>
        <w:right w:val="none" w:sz="0" w:space="0" w:color="auto"/>
      </w:divBdr>
    </w:div>
    <w:div w:id="2087338382">
      <w:bodyDiv w:val="1"/>
      <w:marLeft w:val="0"/>
      <w:marRight w:val="0"/>
      <w:marTop w:val="0"/>
      <w:marBottom w:val="0"/>
      <w:divBdr>
        <w:top w:val="none" w:sz="0" w:space="0" w:color="auto"/>
        <w:left w:val="none" w:sz="0" w:space="0" w:color="auto"/>
        <w:bottom w:val="none" w:sz="0" w:space="0" w:color="auto"/>
        <w:right w:val="none" w:sz="0" w:space="0" w:color="auto"/>
      </w:divBdr>
    </w:div>
    <w:div w:id="2087341173">
      <w:bodyDiv w:val="1"/>
      <w:marLeft w:val="0"/>
      <w:marRight w:val="0"/>
      <w:marTop w:val="0"/>
      <w:marBottom w:val="0"/>
      <w:divBdr>
        <w:top w:val="none" w:sz="0" w:space="0" w:color="auto"/>
        <w:left w:val="none" w:sz="0" w:space="0" w:color="auto"/>
        <w:bottom w:val="none" w:sz="0" w:space="0" w:color="auto"/>
        <w:right w:val="none" w:sz="0" w:space="0" w:color="auto"/>
      </w:divBdr>
    </w:div>
    <w:div w:id="2087456422">
      <w:bodyDiv w:val="1"/>
      <w:marLeft w:val="0"/>
      <w:marRight w:val="0"/>
      <w:marTop w:val="0"/>
      <w:marBottom w:val="0"/>
      <w:divBdr>
        <w:top w:val="none" w:sz="0" w:space="0" w:color="auto"/>
        <w:left w:val="none" w:sz="0" w:space="0" w:color="auto"/>
        <w:bottom w:val="none" w:sz="0" w:space="0" w:color="auto"/>
        <w:right w:val="none" w:sz="0" w:space="0" w:color="auto"/>
      </w:divBdr>
    </w:div>
    <w:div w:id="2087728971">
      <w:bodyDiv w:val="1"/>
      <w:marLeft w:val="0"/>
      <w:marRight w:val="0"/>
      <w:marTop w:val="0"/>
      <w:marBottom w:val="0"/>
      <w:divBdr>
        <w:top w:val="none" w:sz="0" w:space="0" w:color="auto"/>
        <w:left w:val="none" w:sz="0" w:space="0" w:color="auto"/>
        <w:bottom w:val="none" w:sz="0" w:space="0" w:color="auto"/>
        <w:right w:val="none" w:sz="0" w:space="0" w:color="auto"/>
      </w:divBdr>
    </w:div>
    <w:div w:id="2087998252">
      <w:bodyDiv w:val="1"/>
      <w:marLeft w:val="0"/>
      <w:marRight w:val="0"/>
      <w:marTop w:val="0"/>
      <w:marBottom w:val="0"/>
      <w:divBdr>
        <w:top w:val="none" w:sz="0" w:space="0" w:color="auto"/>
        <w:left w:val="none" w:sz="0" w:space="0" w:color="auto"/>
        <w:bottom w:val="none" w:sz="0" w:space="0" w:color="auto"/>
        <w:right w:val="none" w:sz="0" w:space="0" w:color="auto"/>
      </w:divBdr>
    </w:div>
    <w:div w:id="2088108345">
      <w:bodyDiv w:val="1"/>
      <w:marLeft w:val="0"/>
      <w:marRight w:val="0"/>
      <w:marTop w:val="0"/>
      <w:marBottom w:val="0"/>
      <w:divBdr>
        <w:top w:val="none" w:sz="0" w:space="0" w:color="auto"/>
        <w:left w:val="none" w:sz="0" w:space="0" w:color="auto"/>
        <w:bottom w:val="none" w:sz="0" w:space="0" w:color="auto"/>
        <w:right w:val="none" w:sz="0" w:space="0" w:color="auto"/>
      </w:divBdr>
    </w:div>
    <w:div w:id="2088115578">
      <w:bodyDiv w:val="1"/>
      <w:marLeft w:val="0"/>
      <w:marRight w:val="0"/>
      <w:marTop w:val="0"/>
      <w:marBottom w:val="0"/>
      <w:divBdr>
        <w:top w:val="none" w:sz="0" w:space="0" w:color="auto"/>
        <w:left w:val="none" w:sz="0" w:space="0" w:color="auto"/>
        <w:bottom w:val="none" w:sz="0" w:space="0" w:color="auto"/>
        <w:right w:val="none" w:sz="0" w:space="0" w:color="auto"/>
      </w:divBdr>
    </w:div>
    <w:div w:id="2088381092">
      <w:bodyDiv w:val="1"/>
      <w:marLeft w:val="0"/>
      <w:marRight w:val="0"/>
      <w:marTop w:val="0"/>
      <w:marBottom w:val="0"/>
      <w:divBdr>
        <w:top w:val="none" w:sz="0" w:space="0" w:color="auto"/>
        <w:left w:val="none" w:sz="0" w:space="0" w:color="auto"/>
        <w:bottom w:val="none" w:sz="0" w:space="0" w:color="auto"/>
        <w:right w:val="none" w:sz="0" w:space="0" w:color="auto"/>
      </w:divBdr>
    </w:div>
    <w:div w:id="2088920300">
      <w:bodyDiv w:val="1"/>
      <w:marLeft w:val="0"/>
      <w:marRight w:val="0"/>
      <w:marTop w:val="0"/>
      <w:marBottom w:val="0"/>
      <w:divBdr>
        <w:top w:val="none" w:sz="0" w:space="0" w:color="auto"/>
        <w:left w:val="none" w:sz="0" w:space="0" w:color="auto"/>
        <w:bottom w:val="none" w:sz="0" w:space="0" w:color="auto"/>
        <w:right w:val="none" w:sz="0" w:space="0" w:color="auto"/>
      </w:divBdr>
    </w:div>
    <w:div w:id="2088988925">
      <w:bodyDiv w:val="1"/>
      <w:marLeft w:val="0"/>
      <w:marRight w:val="0"/>
      <w:marTop w:val="0"/>
      <w:marBottom w:val="0"/>
      <w:divBdr>
        <w:top w:val="none" w:sz="0" w:space="0" w:color="auto"/>
        <w:left w:val="none" w:sz="0" w:space="0" w:color="auto"/>
        <w:bottom w:val="none" w:sz="0" w:space="0" w:color="auto"/>
        <w:right w:val="none" w:sz="0" w:space="0" w:color="auto"/>
      </w:divBdr>
    </w:div>
    <w:div w:id="2089112130">
      <w:bodyDiv w:val="1"/>
      <w:marLeft w:val="0"/>
      <w:marRight w:val="0"/>
      <w:marTop w:val="0"/>
      <w:marBottom w:val="0"/>
      <w:divBdr>
        <w:top w:val="none" w:sz="0" w:space="0" w:color="auto"/>
        <w:left w:val="none" w:sz="0" w:space="0" w:color="auto"/>
        <w:bottom w:val="none" w:sz="0" w:space="0" w:color="auto"/>
        <w:right w:val="none" w:sz="0" w:space="0" w:color="auto"/>
      </w:divBdr>
    </w:div>
    <w:div w:id="2089187229">
      <w:bodyDiv w:val="1"/>
      <w:marLeft w:val="0"/>
      <w:marRight w:val="0"/>
      <w:marTop w:val="0"/>
      <w:marBottom w:val="0"/>
      <w:divBdr>
        <w:top w:val="none" w:sz="0" w:space="0" w:color="auto"/>
        <w:left w:val="none" w:sz="0" w:space="0" w:color="auto"/>
        <w:bottom w:val="none" w:sz="0" w:space="0" w:color="auto"/>
        <w:right w:val="none" w:sz="0" w:space="0" w:color="auto"/>
      </w:divBdr>
    </w:div>
    <w:div w:id="2089230956">
      <w:bodyDiv w:val="1"/>
      <w:marLeft w:val="0"/>
      <w:marRight w:val="0"/>
      <w:marTop w:val="0"/>
      <w:marBottom w:val="0"/>
      <w:divBdr>
        <w:top w:val="none" w:sz="0" w:space="0" w:color="auto"/>
        <w:left w:val="none" w:sz="0" w:space="0" w:color="auto"/>
        <w:bottom w:val="none" w:sz="0" w:space="0" w:color="auto"/>
        <w:right w:val="none" w:sz="0" w:space="0" w:color="auto"/>
      </w:divBdr>
    </w:div>
    <w:div w:id="2089232317">
      <w:bodyDiv w:val="1"/>
      <w:marLeft w:val="0"/>
      <w:marRight w:val="0"/>
      <w:marTop w:val="0"/>
      <w:marBottom w:val="0"/>
      <w:divBdr>
        <w:top w:val="none" w:sz="0" w:space="0" w:color="auto"/>
        <w:left w:val="none" w:sz="0" w:space="0" w:color="auto"/>
        <w:bottom w:val="none" w:sz="0" w:space="0" w:color="auto"/>
        <w:right w:val="none" w:sz="0" w:space="0" w:color="auto"/>
      </w:divBdr>
    </w:div>
    <w:div w:id="2089423392">
      <w:bodyDiv w:val="1"/>
      <w:marLeft w:val="0"/>
      <w:marRight w:val="0"/>
      <w:marTop w:val="0"/>
      <w:marBottom w:val="0"/>
      <w:divBdr>
        <w:top w:val="none" w:sz="0" w:space="0" w:color="auto"/>
        <w:left w:val="none" w:sz="0" w:space="0" w:color="auto"/>
        <w:bottom w:val="none" w:sz="0" w:space="0" w:color="auto"/>
        <w:right w:val="none" w:sz="0" w:space="0" w:color="auto"/>
      </w:divBdr>
    </w:div>
    <w:div w:id="2089569125">
      <w:bodyDiv w:val="1"/>
      <w:marLeft w:val="0"/>
      <w:marRight w:val="0"/>
      <w:marTop w:val="0"/>
      <w:marBottom w:val="0"/>
      <w:divBdr>
        <w:top w:val="none" w:sz="0" w:space="0" w:color="auto"/>
        <w:left w:val="none" w:sz="0" w:space="0" w:color="auto"/>
        <w:bottom w:val="none" w:sz="0" w:space="0" w:color="auto"/>
        <w:right w:val="none" w:sz="0" w:space="0" w:color="auto"/>
      </w:divBdr>
    </w:div>
    <w:div w:id="2089572561">
      <w:bodyDiv w:val="1"/>
      <w:marLeft w:val="0"/>
      <w:marRight w:val="0"/>
      <w:marTop w:val="0"/>
      <w:marBottom w:val="0"/>
      <w:divBdr>
        <w:top w:val="none" w:sz="0" w:space="0" w:color="auto"/>
        <w:left w:val="none" w:sz="0" w:space="0" w:color="auto"/>
        <w:bottom w:val="none" w:sz="0" w:space="0" w:color="auto"/>
        <w:right w:val="none" w:sz="0" w:space="0" w:color="auto"/>
      </w:divBdr>
    </w:div>
    <w:div w:id="2090032180">
      <w:bodyDiv w:val="1"/>
      <w:marLeft w:val="0"/>
      <w:marRight w:val="0"/>
      <w:marTop w:val="0"/>
      <w:marBottom w:val="0"/>
      <w:divBdr>
        <w:top w:val="none" w:sz="0" w:space="0" w:color="auto"/>
        <w:left w:val="none" w:sz="0" w:space="0" w:color="auto"/>
        <w:bottom w:val="none" w:sz="0" w:space="0" w:color="auto"/>
        <w:right w:val="none" w:sz="0" w:space="0" w:color="auto"/>
      </w:divBdr>
    </w:div>
    <w:div w:id="2090076395">
      <w:bodyDiv w:val="1"/>
      <w:marLeft w:val="0"/>
      <w:marRight w:val="0"/>
      <w:marTop w:val="0"/>
      <w:marBottom w:val="0"/>
      <w:divBdr>
        <w:top w:val="none" w:sz="0" w:space="0" w:color="auto"/>
        <w:left w:val="none" w:sz="0" w:space="0" w:color="auto"/>
        <w:bottom w:val="none" w:sz="0" w:space="0" w:color="auto"/>
        <w:right w:val="none" w:sz="0" w:space="0" w:color="auto"/>
      </w:divBdr>
    </w:div>
    <w:div w:id="2090687289">
      <w:bodyDiv w:val="1"/>
      <w:marLeft w:val="0"/>
      <w:marRight w:val="0"/>
      <w:marTop w:val="0"/>
      <w:marBottom w:val="0"/>
      <w:divBdr>
        <w:top w:val="none" w:sz="0" w:space="0" w:color="auto"/>
        <w:left w:val="none" w:sz="0" w:space="0" w:color="auto"/>
        <w:bottom w:val="none" w:sz="0" w:space="0" w:color="auto"/>
        <w:right w:val="none" w:sz="0" w:space="0" w:color="auto"/>
      </w:divBdr>
    </w:div>
    <w:div w:id="2090731949">
      <w:bodyDiv w:val="1"/>
      <w:marLeft w:val="0"/>
      <w:marRight w:val="0"/>
      <w:marTop w:val="0"/>
      <w:marBottom w:val="0"/>
      <w:divBdr>
        <w:top w:val="none" w:sz="0" w:space="0" w:color="auto"/>
        <w:left w:val="none" w:sz="0" w:space="0" w:color="auto"/>
        <w:bottom w:val="none" w:sz="0" w:space="0" w:color="auto"/>
        <w:right w:val="none" w:sz="0" w:space="0" w:color="auto"/>
      </w:divBdr>
    </w:div>
    <w:div w:id="2090928218">
      <w:bodyDiv w:val="1"/>
      <w:marLeft w:val="0"/>
      <w:marRight w:val="0"/>
      <w:marTop w:val="0"/>
      <w:marBottom w:val="0"/>
      <w:divBdr>
        <w:top w:val="none" w:sz="0" w:space="0" w:color="auto"/>
        <w:left w:val="none" w:sz="0" w:space="0" w:color="auto"/>
        <w:bottom w:val="none" w:sz="0" w:space="0" w:color="auto"/>
        <w:right w:val="none" w:sz="0" w:space="0" w:color="auto"/>
      </w:divBdr>
    </w:div>
    <w:div w:id="2091073173">
      <w:bodyDiv w:val="1"/>
      <w:marLeft w:val="0"/>
      <w:marRight w:val="0"/>
      <w:marTop w:val="0"/>
      <w:marBottom w:val="0"/>
      <w:divBdr>
        <w:top w:val="none" w:sz="0" w:space="0" w:color="auto"/>
        <w:left w:val="none" w:sz="0" w:space="0" w:color="auto"/>
        <w:bottom w:val="none" w:sz="0" w:space="0" w:color="auto"/>
        <w:right w:val="none" w:sz="0" w:space="0" w:color="auto"/>
      </w:divBdr>
    </w:div>
    <w:div w:id="2091189937">
      <w:bodyDiv w:val="1"/>
      <w:marLeft w:val="0"/>
      <w:marRight w:val="0"/>
      <w:marTop w:val="0"/>
      <w:marBottom w:val="0"/>
      <w:divBdr>
        <w:top w:val="none" w:sz="0" w:space="0" w:color="auto"/>
        <w:left w:val="none" w:sz="0" w:space="0" w:color="auto"/>
        <w:bottom w:val="none" w:sz="0" w:space="0" w:color="auto"/>
        <w:right w:val="none" w:sz="0" w:space="0" w:color="auto"/>
      </w:divBdr>
    </w:div>
    <w:div w:id="2091271155">
      <w:bodyDiv w:val="1"/>
      <w:marLeft w:val="0"/>
      <w:marRight w:val="0"/>
      <w:marTop w:val="0"/>
      <w:marBottom w:val="0"/>
      <w:divBdr>
        <w:top w:val="none" w:sz="0" w:space="0" w:color="auto"/>
        <w:left w:val="none" w:sz="0" w:space="0" w:color="auto"/>
        <w:bottom w:val="none" w:sz="0" w:space="0" w:color="auto"/>
        <w:right w:val="none" w:sz="0" w:space="0" w:color="auto"/>
      </w:divBdr>
    </w:div>
    <w:div w:id="2091535618">
      <w:bodyDiv w:val="1"/>
      <w:marLeft w:val="0"/>
      <w:marRight w:val="0"/>
      <w:marTop w:val="0"/>
      <w:marBottom w:val="0"/>
      <w:divBdr>
        <w:top w:val="none" w:sz="0" w:space="0" w:color="auto"/>
        <w:left w:val="none" w:sz="0" w:space="0" w:color="auto"/>
        <w:bottom w:val="none" w:sz="0" w:space="0" w:color="auto"/>
        <w:right w:val="none" w:sz="0" w:space="0" w:color="auto"/>
      </w:divBdr>
    </w:div>
    <w:div w:id="2091847746">
      <w:bodyDiv w:val="1"/>
      <w:marLeft w:val="0"/>
      <w:marRight w:val="0"/>
      <w:marTop w:val="0"/>
      <w:marBottom w:val="0"/>
      <w:divBdr>
        <w:top w:val="none" w:sz="0" w:space="0" w:color="auto"/>
        <w:left w:val="none" w:sz="0" w:space="0" w:color="auto"/>
        <w:bottom w:val="none" w:sz="0" w:space="0" w:color="auto"/>
        <w:right w:val="none" w:sz="0" w:space="0" w:color="auto"/>
      </w:divBdr>
    </w:div>
    <w:div w:id="2092005272">
      <w:bodyDiv w:val="1"/>
      <w:marLeft w:val="0"/>
      <w:marRight w:val="0"/>
      <w:marTop w:val="0"/>
      <w:marBottom w:val="0"/>
      <w:divBdr>
        <w:top w:val="none" w:sz="0" w:space="0" w:color="auto"/>
        <w:left w:val="none" w:sz="0" w:space="0" w:color="auto"/>
        <w:bottom w:val="none" w:sz="0" w:space="0" w:color="auto"/>
        <w:right w:val="none" w:sz="0" w:space="0" w:color="auto"/>
      </w:divBdr>
    </w:div>
    <w:div w:id="2092309673">
      <w:bodyDiv w:val="1"/>
      <w:marLeft w:val="0"/>
      <w:marRight w:val="0"/>
      <w:marTop w:val="0"/>
      <w:marBottom w:val="0"/>
      <w:divBdr>
        <w:top w:val="none" w:sz="0" w:space="0" w:color="auto"/>
        <w:left w:val="none" w:sz="0" w:space="0" w:color="auto"/>
        <w:bottom w:val="none" w:sz="0" w:space="0" w:color="auto"/>
        <w:right w:val="none" w:sz="0" w:space="0" w:color="auto"/>
      </w:divBdr>
    </w:div>
    <w:div w:id="2092659956">
      <w:bodyDiv w:val="1"/>
      <w:marLeft w:val="0"/>
      <w:marRight w:val="0"/>
      <w:marTop w:val="0"/>
      <w:marBottom w:val="0"/>
      <w:divBdr>
        <w:top w:val="none" w:sz="0" w:space="0" w:color="auto"/>
        <w:left w:val="none" w:sz="0" w:space="0" w:color="auto"/>
        <w:bottom w:val="none" w:sz="0" w:space="0" w:color="auto"/>
        <w:right w:val="none" w:sz="0" w:space="0" w:color="auto"/>
      </w:divBdr>
    </w:div>
    <w:div w:id="2093120719">
      <w:bodyDiv w:val="1"/>
      <w:marLeft w:val="0"/>
      <w:marRight w:val="0"/>
      <w:marTop w:val="0"/>
      <w:marBottom w:val="0"/>
      <w:divBdr>
        <w:top w:val="none" w:sz="0" w:space="0" w:color="auto"/>
        <w:left w:val="none" w:sz="0" w:space="0" w:color="auto"/>
        <w:bottom w:val="none" w:sz="0" w:space="0" w:color="auto"/>
        <w:right w:val="none" w:sz="0" w:space="0" w:color="auto"/>
      </w:divBdr>
    </w:div>
    <w:div w:id="2093231216">
      <w:bodyDiv w:val="1"/>
      <w:marLeft w:val="0"/>
      <w:marRight w:val="0"/>
      <w:marTop w:val="0"/>
      <w:marBottom w:val="0"/>
      <w:divBdr>
        <w:top w:val="none" w:sz="0" w:space="0" w:color="auto"/>
        <w:left w:val="none" w:sz="0" w:space="0" w:color="auto"/>
        <w:bottom w:val="none" w:sz="0" w:space="0" w:color="auto"/>
        <w:right w:val="none" w:sz="0" w:space="0" w:color="auto"/>
      </w:divBdr>
    </w:div>
    <w:div w:id="2093232023">
      <w:bodyDiv w:val="1"/>
      <w:marLeft w:val="0"/>
      <w:marRight w:val="0"/>
      <w:marTop w:val="0"/>
      <w:marBottom w:val="0"/>
      <w:divBdr>
        <w:top w:val="none" w:sz="0" w:space="0" w:color="auto"/>
        <w:left w:val="none" w:sz="0" w:space="0" w:color="auto"/>
        <w:bottom w:val="none" w:sz="0" w:space="0" w:color="auto"/>
        <w:right w:val="none" w:sz="0" w:space="0" w:color="auto"/>
      </w:divBdr>
    </w:div>
    <w:div w:id="2093236054">
      <w:bodyDiv w:val="1"/>
      <w:marLeft w:val="0"/>
      <w:marRight w:val="0"/>
      <w:marTop w:val="0"/>
      <w:marBottom w:val="0"/>
      <w:divBdr>
        <w:top w:val="none" w:sz="0" w:space="0" w:color="auto"/>
        <w:left w:val="none" w:sz="0" w:space="0" w:color="auto"/>
        <w:bottom w:val="none" w:sz="0" w:space="0" w:color="auto"/>
        <w:right w:val="none" w:sz="0" w:space="0" w:color="auto"/>
      </w:divBdr>
    </w:div>
    <w:div w:id="2093237883">
      <w:bodyDiv w:val="1"/>
      <w:marLeft w:val="0"/>
      <w:marRight w:val="0"/>
      <w:marTop w:val="0"/>
      <w:marBottom w:val="0"/>
      <w:divBdr>
        <w:top w:val="none" w:sz="0" w:space="0" w:color="auto"/>
        <w:left w:val="none" w:sz="0" w:space="0" w:color="auto"/>
        <w:bottom w:val="none" w:sz="0" w:space="0" w:color="auto"/>
        <w:right w:val="none" w:sz="0" w:space="0" w:color="auto"/>
      </w:divBdr>
    </w:div>
    <w:div w:id="2093507450">
      <w:bodyDiv w:val="1"/>
      <w:marLeft w:val="0"/>
      <w:marRight w:val="0"/>
      <w:marTop w:val="0"/>
      <w:marBottom w:val="0"/>
      <w:divBdr>
        <w:top w:val="none" w:sz="0" w:space="0" w:color="auto"/>
        <w:left w:val="none" w:sz="0" w:space="0" w:color="auto"/>
        <w:bottom w:val="none" w:sz="0" w:space="0" w:color="auto"/>
        <w:right w:val="none" w:sz="0" w:space="0" w:color="auto"/>
      </w:divBdr>
    </w:div>
    <w:div w:id="2093769289">
      <w:bodyDiv w:val="1"/>
      <w:marLeft w:val="0"/>
      <w:marRight w:val="0"/>
      <w:marTop w:val="0"/>
      <w:marBottom w:val="0"/>
      <w:divBdr>
        <w:top w:val="none" w:sz="0" w:space="0" w:color="auto"/>
        <w:left w:val="none" w:sz="0" w:space="0" w:color="auto"/>
        <w:bottom w:val="none" w:sz="0" w:space="0" w:color="auto"/>
        <w:right w:val="none" w:sz="0" w:space="0" w:color="auto"/>
      </w:divBdr>
    </w:div>
    <w:div w:id="2093776522">
      <w:bodyDiv w:val="1"/>
      <w:marLeft w:val="0"/>
      <w:marRight w:val="0"/>
      <w:marTop w:val="0"/>
      <w:marBottom w:val="0"/>
      <w:divBdr>
        <w:top w:val="none" w:sz="0" w:space="0" w:color="auto"/>
        <w:left w:val="none" w:sz="0" w:space="0" w:color="auto"/>
        <w:bottom w:val="none" w:sz="0" w:space="0" w:color="auto"/>
        <w:right w:val="none" w:sz="0" w:space="0" w:color="auto"/>
      </w:divBdr>
    </w:div>
    <w:div w:id="2094083402">
      <w:bodyDiv w:val="1"/>
      <w:marLeft w:val="0"/>
      <w:marRight w:val="0"/>
      <w:marTop w:val="0"/>
      <w:marBottom w:val="0"/>
      <w:divBdr>
        <w:top w:val="none" w:sz="0" w:space="0" w:color="auto"/>
        <w:left w:val="none" w:sz="0" w:space="0" w:color="auto"/>
        <w:bottom w:val="none" w:sz="0" w:space="0" w:color="auto"/>
        <w:right w:val="none" w:sz="0" w:space="0" w:color="auto"/>
      </w:divBdr>
    </w:div>
    <w:div w:id="2094424684">
      <w:bodyDiv w:val="1"/>
      <w:marLeft w:val="0"/>
      <w:marRight w:val="0"/>
      <w:marTop w:val="0"/>
      <w:marBottom w:val="0"/>
      <w:divBdr>
        <w:top w:val="none" w:sz="0" w:space="0" w:color="auto"/>
        <w:left w:val="none" w:sz="0" w:space="0" w:color="auto"/>
        <w:bottom w:val="none" w:sz="0" w:space="0" w:color="auto"/>
        <w:right w:val="none" w:sz="0" w:space="0" w:color="auto"/>
      </w:divBdr>
    </w:div>
    <w:div w:id="2094622087">
      <w:bodyDiv w:val="1"/>
      <w:marLeft w:val="0"/>
      <w:marRight w:val="0"/>
      <w:marTop w:val="0"/>
      <w:marBottom w:val="0"/>
      <w:divBdr>
        <w:top w:val="none" w:sz="0" w:space="0" w:color="auto"/>
        <w:left w:val="none" w:sz="0" w:space="0" w:color="auto"/>
        <w:bottom w:val="none" w:sz="0" w:space="0" w:color="auto"/>
        <w:right w:val="none" w:sz="0" w:space="0" w:color="auto"/>
      </w:divBdr>
    </w:div>
    <w:div w:id="2094625239">
      <w:bodyDiv w:val="1"/>
      <w:marLeft w:val="0"/>
      <w:marRight w:val="0"/>
      <w:marTop w:val="0"/>
      <w:marBottom w:val="0"/>
      <w:divBdr>
        <w:top w:val="none" w:sz="0" w:space="0" w:color="auto"/>
        <w:left w:val="none" w:sz="0" w:space="0" w:color="auto"/>
        <w:bottom w:val="none" w:sz="0" w:space="0" w:color="auto"/>
        <w:right w:val="none" w:sz="0" w:space="0" w:color="auto"/>
      </w:divBdr>
    </w:div>
    <w:div w:id="2095011462">
      <w:bodyDiv w:val="1"/>
      <w:marLeft w:val="0"/>
      <w:marRight w:val="0"/>
      <w:marTop w:val="0"/>
      <w:marBottom w:val="0"/>
      <w:divBdr>
        <w:top w:val="none" w:sz="0" w:space="0" w:color="auto"/>
        <w:left w:val="none" w:sz="0" w:space="0" w:color="auto"/>
        <w:bottom w:val="none" w:sz="0" w:space="0" w:color="auto"/>
        <w:right w:val="none" w:sz="0" w:space="0" w:color="auto"/>
      </w:divBdr>
    </w:div>
    <w:div w:id="2095122298">
      <w:bodyDiv w:val="1"/>
      <w:marLeft w:val="0"/>
      <w:marRight w:val="0"/>
      <w:marTop w:val="0"/>
      <w:marBottom w:val="0"/>
      <w:divBdr>
        <w:top w:val="none" w:sz="0" w:space="0" w:color="auto"/>
        <w:left w:val="none" w:sz="0" w:space="0" w:color="auto"/>
        <w:bottom w:val="none" w:sz="0" w:space="0" w:color="auto"/>
        <w:right w:val="none" w:sz="0" w:space="0" w:color="auto"/>
      </w:divBdr>
    </w:div>
    <w:div w:id="2095122667">
      <w:bodyDiv w:val="1"/>
      <w:marLeft w:val="0"/>
      <w:marRight w:val="0"/>
      <w:marTop w:val="0"/>
      <w:marBottom w:val="0"/>
      <w:divBdr>
        <w:top w:val="none" w:sz="0" w:space="0" w:color="auto"/>
        <w:left w:val="none" w:sz="0" w:space="0" w:color="auto"/>
        <w:bottom w:val="none" w:sz="0" w:space="0" w:color="auto"/>
        <w:right w:val="none" w:sz="0" w:space="0" w:color="auto"/>
      </w:divBdr>
    </w:div>
    <w:div w:id="2095203120">
      <w:bodyDiv w:val="1"/>
      <w:marLeft w:val="0"/>
      <w:marRight w:val="0"/>
      <w:marTop w:val="0"/>
      <w:marBottom w:val="0"/>
      <w:divBdr>
        <w:top w:val="none" w:sz="0" w:space="0" w:color="auto"/>
        <w:left w:val="none" w:sz="0" w:space="0" w:color="auto"/>
        <w:bottom w:val="none" w:sz="0" w:space="0" w:color="auto"/>
        <w:right w:val="none" w:sz="0" w:space="0" w:color="auto"/>
      </w:divBdr>
    </w:div>
    <w:div w:id="2095349618">
      <w:bodyDiv w:val="1"/>
      <w:marLeft w:val="0"/>
      <w:marRight w:val="0"/>
      <w:marTop w:val="0"/>
      <w:marBottom w:val="0"/>
      <w:divBdr>
        <w:top w:val="none" w:sz="0" w:space="0" w:color="auto"/>
        <w:left w:val="none" w:sz="0" w:space="0" w:color="auto"/>
        <w:bottom w:val="none" w:sz="0" w:space="0" w:color="auto"/>
        <w:right w:val="none" w:sz="0" w:space="0" w:color="auto"/>
      </w:divBdr>
    </w:div>
    <w:div w:id="2095394513">
      <w:bodyDiv w:val="1"/>
      <w:marLeft w:val="0"/>
      <w:marRight w:val="0"/>
      <w:marTop w:val="0"/>
      <w:marBottom w:val="0"/>
      <w:divBdr>
        <w:top w:val="none" w:sz="0" w:space="0" w:color="auto"/>
        <w:left w:val="none" w:sz="0" w:space="0" w:color="auto"/>
        <w:bottom w:val="none" w:sz="0" w:space="0" w:color="auto"/>
        <w:right w:val="none" w:sz="0" w:space="0" w:color="auto"/>
      </w:divBdr>
    </w:div>
    <w:div w:id="2096047058">
      <w:bodyDiv w:val="1"/>
      <w:marLeft w:val="0"/>
      <w:marRight w:val="0"/>
      <w:marTop w:val="0"/>
      <w:marBottom w:val="0"/>
      <w:divBdr>
        <w:top w:val="none" w:sz="0" w:space="0" w:color="auto"/>
        <w:left w:val="none" w:sz="0" w:space="0" w:color="auto"/>
        <w:bottom w:val="none" w:sz="0" w:space="0" w:color="auto"/>
        <w:right w:val="none" w:sz="0" w:space="0" w:color="auto"/>
      </w:divBdr>
    </w:div>
    <w:div w:id="2096244141">
      <w:bodyDiv w:val="1"/>
      <w:marLeft w:val="0"/>
      <w:marRight w:val="0"/>
      <w:marTop w:val="0"/>
      <w:marBottom w:val="0"/>
      <w:divBdr>
        <w:top w:val="none" w:sz="0" w:space="0" w:color="auto"/>
        <w:left w:val="none" w:sz="0" w:space="0" w:color="auto"/>
        <w:bottom w:val="none" w:sz="0" w:space="0" w:color="auto"/>
        <w:right w:val="none" w:sz="0" w:space="0" w:color="auto"/>
      </w:divBdr>
    </w:div>
    <w:div w:id="2096393442">
      <w:bodyDiv w:val="1"/>
      <w:marLeft w:val="0"/>
      <w:marRight w:val="0"/>
      <w:marTop w:val="0"/>
      <w:marBottom w:val="0"/>
      <w:divBdr>
        <w:top w:val="none" w:sz="0" w:space="0" w:color="auto"/>
        <w:left w:val="none" w:sz="0" w:space="0" w:color="auto"/>
        <w:bottom w:val="none" w:sz="0" w:space="0" w:color="auto"/>
        <w:right w:val="none" w:sz="0" w:space="0" w:color="auto"/>
      </w:divBdr>
    </w:div>
    <w:div w:id="2096826826">
      <w:bodyDiv w:val="1"/>
      <w:marLeft w:val="0"/>
      <w:marRight w:val="0"/>
      <w:marTop w:val="0"/>
      <w:marBottom w:val="0"/>
      <w:divBdr>
        <w:top w:val="none" w:sz="0" w:space="0" w:color="auto"/>
        <w:left w:val="none" w:sz="0" w:space="0" w:color="auto"/>
        <w:bottom w:val="none" w:sz="0" w:space="0" w:color="auto"/>
        <w:right w:val="none" w:sz="0" w:space="0" w:color="auto"/>
      </w:divBdr>
    </w:div>
    <w:div w:id="2097314812">
      <w:bodyDiv w:val="1"/>
      <w:marLeft w:val="0"/>
      <w:marRight w:val="0"/>
      <w:marTop w:val="0"/>
      <w:marBottom w:val="0"/>
      <w:divBdr>
        <w:top w:val="none" w:sz="0" w:space="0" w:color="auto"/>
        <w:left w:val="none" w:sz="0" w:space="0" w:color="auto"/>
        <w:bottom w:val="none" w:sz="0" w:space="0" w:color="auto"/>
        <w:right w:val="none" w:sz="0" w:space="0" w:color="auto"/>
      </w:divBdr>
    </w:div>
    <w:div w:id="2097362508">
      <w:bodyDiv w:val="1"/>
      <w:marLeft w:val="0"/>
      <w:marRight w:val="0"/>
      <w:marTop w:val="0"/>
      <w:marBottom w:val="0"/>
      <w:divBdr>
        <w:top w:val="none" w:sz="0" w:space="0" w:color="auto"/>
        <w:left w:val="none" w:sz="0" w:space="0" w:color="auto"/>
        <w:bottom w:val="none" w:sz="0" w:space="0" w:color="auto"/>
        <w:right w:val="none" w:sz="0" w:space="0" w:color="auto"/>
      </w:divBdr>
    </w:div>
    <w:div w:id="2097629721">
      <w:bodyDiv w:val="1"/>
      <w:marLeft w:val="0"/>
      <w:marRight w:val="0"/>
      <w:marTop w:val="0"/>
      <w:marBottom w:val="0"/>
      <w:divBdr>
        <w:top w:val="none" w:sz="0" w:space="0" w:color="auto"/>
        <w:left w:val="none" w:sz="0" w:space="0" w:color="auto"/>
        <w:bottom w:val="none" w:sz="0" w:space="0" w:color="auto"/>
        <w:right w:val="none" w:sz="0" w:space="0" w:color="auto"/>
      </w:divBdr>
    </w:div>
    <w:div w:id="2097708469">
      <w:bodyDiv w:val="1"/>
      <w:marLeft w:val="0"/>
      <w:marRight w:val="0"/>
      <w:marTop w:val="0"/>
      <w:marBottom w:val="0"/>
      <w:divBdr>
        <w:top w:val="none" w:sz="0" w:space="0" w:color="auto"/>
        <w:left w:val="none" w:sz="0" w:space="0" w:color="auto"/>
        <w:bottom w:val="none" w:sz="0" w:space="0" w:color="auto"/>
        <w:right w:val="none" w:sz="0" w:space="0" w:color="auto"/>
      </w:divBdr>
    </w:div>
    <w:div w:id="2097745216">
      <w:bodyDiv w:val="1"/>
      <w:marLeft w:val="0"/>
      <w:marRight w:val="0"/>
      <w:marTop w:val="0"/>
      <w:marBottom w:val="0"/>
      <w:divBdr>
        <w:top w:val="none" w:sz="0" w:space="0" w:color="auto"/>
        <w:left w:val="none" w:sz="0" w:space="0" w:color="auto"/>
        <w:bottom w:val="none" w:sz="0" w:space="0" w:color="auto"/>
        <w:right w:val="none" w:sz="0" w:space="0" w:color="auto"/>
      </w:divBdr>
    </w:div>
    <w:div w:id="2097824120">
      <w:bodyDiv w:val="1"/>
      <w:marLeft w:val="0"/>
      <w:marRight w:val="0"/>
      <w:marTop w:val="0"/>
      <w:marBottom w:val="0"/>
      <w:divBdr>
        <w:top w:val="none" w:sz="0" w:space="0" w:color="auto"/>
        <w:left w:val="none" w:sz="0" w:space="0" w:color="auto"/>
        <w:bottom w:val="none" w:sz="0" w:space="0" w:color="auto"/>
        <w:right w:val="none" w:sz="0" w:space="0" w:color="auto"/>
      </w:divBdr>
    </w:div>
    <w:div w:id="2097897011">
      <w:bodyDiv w:val="1"/>
      <w:marLeft w:val="0"/>
      <w:marRight w:val="0"/>
      <w:marTop w:val="0"/>
      <w:marBottom w:val="0"/>
      <w:divBdr>
        <w:top w:val="none" w:sz="0" w:space="0" w:color="auto"/>
        <w:left w:val="none" w:sz="0" w:space="0" w:color="auto"/>
        <w:bottom w:val="none" w:sz="0" w:space="0" w:color="auto"/>
        <w:right w:val="none" w:sz="0" w:space="0" w:color="auto"/>
      </w:divBdr>
    </w:div>
    <w:div w:id="2098675094">
      <w:bodyDiv w:val="1"/>
      <w:marLeft w:val="0"/>
      <w:marRight w:val="0"/>
      <w:marTop w:val="0"/>
      <w:marBottom w:val="0"/>
      <w:divBdr>
        <w:top w:val="none" w:sz="0" w:space="0" w:color="auto"/>
        <w:left w:val="none" w:sz="0" w:space="0" w:color="auto"/>
        <w:bottom w:val="none" w:sz="0" w:space="0" w:color="auto"/>
        <w:right w:val="none" w:sz="0" w:space="0" w:color="auto"/>
      </w:divBdr>
    </w:div>
    <w:div w:id="2098940891">
      <w:bodyDiv w:val="1"/>
      <w:marLeft w:val="0"/>
      <w:marRight w:val="0"/>
      <w:marTop w:val="0"/>
      <w:marBottom w:val="0"/>
      <w:divBdr>
        <w:top w:val="none" w:sz="0" w:space="0" w:color="auto"/>
        <w:left w:val="none" w:sz="0" w:space="0" w:color="auto"/>
        <w:bottom w:val="none" w:sz="0" w:space="0" w:color="auto"/>
        <w:right w:val="none" w:sz="0" w:space="0" w:color="auto"/>
      </w:divBdr>
    </w:div>
    <w:div w:id="2099254836">
      <w:bodyDiv w:val="1"/>
      <w:marLeft w:val="0"/>
      <w:marRight w:val="0"/>
      <w:marTop w:val="0"/>
      <w:marBottom w:val="0"/>
      <w:divBdr>
        <w:top w:val="none" w:sz="0" w:space="0" w:color="auto"/>
        <w:left w:val="none" w:sz="0" w:space="0" w:color="auto"/>
        <w:bottom w:val="none" w:sz="0" w:space="0" w:color="auto"/>
        <w:right w:val="none" w:sz="0" w:space="0" w:color="auto"/>
      </w:divBdr>
    </w:div>
    <w:div w:id="2099517540">
      <w:bodyDiv w:val="1"/>
      <w:marLeft w:val="0"/>
      <w:marRight w:val="0"/>
      <w:marTop w:val="0"/>
      <w:marBottom w:val="0"/>
      <w:divBdr>
        <w:top w:val="none" w:sz="0" w:space="0" w:color="auto"/>
        <w:left w:val="none" w:sz="0" w:space="0" w:color="auto"/>
        <w:bottom w:val="none" w:sz="0" w:space="0" w:color="auto"/>
        <w:right w:val="none" w:sz="0" w:space="0" w:color="auto"/>
      </w:divBdr>
    </w:div>
    <w:div w:id="2099666295">
      <w:bodyDiv w:val="1"/>
      <w:marLeft w:val="0"/>
      <w:marRight w:val="0"/>
      <w:marTop w:val="0"/>
      <w:marBottom w:val="0"/>
      <w:divBdr>
        <w:top w:val="none" w:sz="0" w:space="0" w:color="auto"/>
        <w:left w:val="none" w:sz="0" w:space="0" w:color="auto"/>
        <w:bottom w:val="none" w:sz="0" w:space="0" w:color="auto"/>
        <w:right w:val="none" w:sz="0" w:space="0" w:color="auto"/>
      </w:divBdr>
    </w:div>
    <w:div w:id="2099668124">
      <w:bodyDiv w:val="1"/>
      <w:marLeft w:val="0"/>
      <w:marRight w:val="0"/>
      <w:marTop w:val="0"/>
      <w:marBottom w:val="0"/>
      <w:divBdr>
        <w:top w:val="none" w:sz="0" w:space="0" w:color="auto"/>
        <w:left w:val="none" w:sz="0" w:space="0" w:color="auto"/>
        <w:bottom w:val="none" w:sz="0" w:space="0" w:color="auto"/>
        <w:right w:val="none" w:sz="0" w:space="0" w:color="auto"/>
      </w:divBdr>
    </w:div>
    <w:div w:id="2099669649">
      <w:bodyDiv w:val="1"/>
      <w:marLeft w:val="0"/>
      <w:marRight w:val="0"/>
      <w:marTop w:val="0"/>
      <w:marBottom w:val="0"/>
      <w:divBdr>
        <w:top w:val="none" w:sz="0" w:space="0" w:color="auto"/>
        <w:left w:val="none" w:sz="0" w:space="0" w:color="auto"/>
        <w:bottom w:val="none" w:sz="0" w:space="0" w:color="auto"/>
        <w:right w:val="none" w:sz="0" w:space="0" w:color="auto"/>
      </w:divBdr>
    </w:div>
    <w:div w:id="2099784475">
      <w:bodyDiv w:val="1"/>
      <w:marLeft w:val="0"/>
      <w:marRight w:val="0"/>
      <w:marTop w:val="0"/>
      <w:marBottom w:val="0"/>
      <w:divBdr>
        <w:top w:val="none" w:sz="0" w:space="0" w:color="auto"/>
        <w:left w:val="none" w:sz="0" w:space="0" w:color="auto"/>
        <w:bottom w:val="none" w:sz="0" w:space="0" w:color="auto"/>
        <w:right w:val="none" w:sz="0" w:space="0" w:color="auto"/>
      </w:divBdr>
    </w:div>
    <w:div w:id="2100130706">
      <w:bodyDiv w:val="1"/>
      <w:marLeft w:val="0"/>
      <w:marRight w:val="0"/>
      <w:marTop w:val="0"/>
      <w:marBottom w:val="0"/>
      <w:divBdr>
        <w:top w:val="none" w:sz="0" w:space="0" w:color="auto"/>
        <w:left w:val="none" w:sz="0" w:space="0" w:color="auto"/>
        <w:bottom w:val="none" w:sz="0" w:space="0" w:color="auto"/>
        <w:right w:val="none" w:sz="0" w:space="0" w:color="auto"/>
      </w:divBdr>
    </w:div>
    <w:div w:id="2100251936">
      <w:bodyDiv w:val="1"/>
      <w:marLeft w:val="0"/>
      <w:marRight w:val="0"/>
      <w:marTop w:val="0"/>
      <w:marBottom w:val="0"/>
      <w:divBdr>
        <w:top w:val="none" w:sz="0" w:space="0" w:color="auto"/>
        <w:left w:val="none" w:sz="0" w:space="0" w:color="auto"/>
        <w:bottom w:val="none" w:sz="0" w:space="0" w:color="auto"/>
        <w:right w:val="none" w:sz="0" w:space="0" w:color="auto"/>
      </w:divBdr>
    </w:div>
    <w:div w:id="2100370263">
      <w:bodyDiv w:val="1"/>
      <w:marLeft w:val="0"/>
      <w:marRight w:val="0"/>
      <w:marTop w:val="0"/>
      <w:marBottom w:val="0"/>
      <w:divBdr>
        <w:top w:val="none" w:sz="0" w:space="0" w:color="auto"/>
        <w:left w:val="none" w:sz="0" w:space="0" w:color="auto"/>
        <w:bottom w:val="none" w:sz="0" w:space="0" w:color="auto"/>
        <w:right w:val="none" w:sz="0" w:space="0" w:color="auto"/>
      </w:divBdr>
    </w:div>
    <w:div w:id="2100633215">
      <w:bodyDiv w:val="1"/>
      <w:marLeft w:val="0"/>
      <w:marRight w:val="0"/>
      <w:marTop w:val="0"/>
      <w:marBottom w:val="0"/>
      <w:divBdr>
        <w:top w:val="none" w:sz="0" w:space="0" w:color="auto"/>
        <w:left w:val="none" w:sz="0" w:space="0" w:color="auto"/>
        <w:bottom w:val="none" w:sz="0" w:space="0" w:color="auto"/>
        <w:right w:val="none" w:sz="0" w:space="0" w:color="auto"/>
      </w:divBdr>
    </w:div>
    <w:div w:id="2100783432">
      <w:bodyDiv w:val="1"/>
      <w:marLeft w:val="0"/>
      <w:marRight w:val="0"/>
      <w:marTop w:val="0"/>
      <w:marBottom w:val="0"/>
      <w:divBdr>
        <w:top w:val="none" w:sz="0" w:space="0" w:color="auto"/>
        <w:left w:val="none" w:sz="0" w:space="0" w:color="auto"/>
        <w:bottom w:val="none" w:sz="0" w:space="0" w:color="auto"/>
        <w:right w:val="none" w:sz="0" w:space="0" w:color="auto"/>
      </w:divBdr>
    </w:div>
    <w:div w:id="2100908536">
      <w:bodyDiv w:val="1"/>
      <w:marLeft w:val="0"/>
      <w:marRight w:val="0"/>
      <w:marTop w:val="0"/>
      <w:marBottom w:val="0"/>
      <w:divBdr>
        <w:top w:val="none" w:sz="0" w:space="0" w:color="auto"/>
        <w:left w:val="none" w:sz="0" w:space="0" w:color="auto"/>
        <w:bottom w:val="none" w:sz="0" w:space="0" w:color="auto"/>
        <w:right w:val="none" w:sz="0" w:space="0" w:color="auto"/>
      </w:divBdr>
    </w:div>
    <w:div w:id="2101103431">
      <w:bodyDiv w:val="1"/>
      <w:marLeft w:val="0"/>
      <w:marRight w:val="0"/>
      <w:marTop w:val="0"/>
      <w:marBottom w:val="0"/>
      <w:divBdr>
        <w:top w:val="none" w:sz="0" w:space="0" w:color="auto"/>
        <w:left w:val="none" w:sz="0" w:space="0" w:color="auto"/>
        <w:bottom w:val="none" w:sz="0" w:space="0" w:color="auto"/>
        <w:right w:val="none" w:sz="0" w:space="0" w:color="auto"/>
      </w:divBdr>
    </w:div>
    <w:div w:id="2101217378">
      <w:bodyDiv w:val="1"/>
      <w:marLeft w:val="0"/>
      <w:marRight w:val="0"/>
      <w:marTop w:val="0"/>
      <w:marBottom w:val="0"/>
      <w:divBdr>
        <w:top w:val="none" w:sz="0" w:space="0" w:color="auto"/>
        <w:left w:val="none" w:sz="0" w:space="0" w:color="auto"/>
        <w:bottom w:val="none" w:sz="0" w:space="0" w:color="auto"/>
        <w:right w:val="none" w:sz="0" w:space="0" w:color="auto"/>
      </w:divBdr>
    </w:div>
    <w:div w:id="2101948067">
      <w:bodyDiv w:val="1"/>
      <w:marLeft w:val="0"/>
      <w:marRight w:val="0"/>
      <w:marTop w:val="0"/>
      <w:marBottom w:val="0"/>
      <w:divBdr>
        <w:top w:val="none" w:sz="0" w:space="0" w:color="auto"/>
        <w:left w:val="none" w:sz="0" w:space="0" w:color="auto"/>
        <w:bottom w:val="none" w:sz="0" w:space="0" w:color="auto"/>
        <w:right w:val="none" w:sz="0" w:space="0" w:color="auto"/>
      </w:divBdr>
    </w:div>
    <w:div w:id="2101951276">
      <w:bodyDiv w:val="1"/>
      <w:marLeft w:val="0"/>
      <w:marRight w:val="0"/>
      <w:marTop w:val="0"/>
      <w:marBottom w:val="0"/>
      <w:divBdr>
        <w:top w:val="none" w:sz="0" w:space="0" w:color="auto"/>
        <w:left w:val="none" w:sz="0" w:space="0" w:color="auto"/>
        <w:bottom w:val="none" w:sz="0" w:space="0" w:color="auto"/>
        <w:right w:val="none" w:sz="0" w:space="0" w:color="auto"/>
      </w:divBdr>
    </w:div>
    <w:div w:id="2102024183">
      <w:bodyDiv w:val="1"/>
      <w:marLeft w:val="0"/>
      <w:marRight w:val="0"/>
      <w:marTop w:val="0"/>
      <w:marBottom w:val="0"/>
      <w:divBdr>
        <w:top w:val="none" w:sz="0" w:space="0" w:color="auto"/>
        <w:left w:val="none" w:sz="0" w:space="0" w:color="auto"/>
        <w:bottom w:val="none" w:sz="0" w:space="0" w:color="auto"/>
        <w:right w:val="none" w:sz="0" w:space="0" w:color="auto"/>
      </w:divBdr>
    </w:div>
    <w:div w:id="2102069102">
      <w:bodyDiv w:val="1"/>
      <w:marLeft w:val="0"/>
      <w:marRight w:val="0"/>
      <w:marTop w:val="0"/>
      <w:marBottom w:val="0"/>
      <w:divBdr>
        <w:top w:val="none" w:sz="0" w:space="0" w:color="auto"/>
        <w:left w:val="none" w:sz="0" w:space="0" w:color="auto"/>
        <w:bottom w:val="none" w:sz="0" w:space="0" w:color="auto"/>
        <w:right w:val="none" w:sz="0" w:space="0" w:color="auto"/>
      </w:divBdr>
    </w:div>
    <w:div w:id="2102095528">
      <w:bodyDiv w:val="1"/>
      <w:marLeft w:val="0"/>
      <w:marRight w:val="0"/>
      <w:marTop w:val="0"/>
      <w:marBottom w:val="0"/>
      <w:divBdr>
        <w:top w:val="none" w:sz="0" w:space="0" w:color="auto"/>
        <w:left w:val="none" w:sz="0" w:space="0" w:color="auto"/>
        <w:bottom w:val="none" w:sz="0" w:space="0" w:color="auto"/>
        <w:right w:val="none" w:sz="0" w:space="0" w:color="auto"/>
      </w:divBdr>
    </w:div>
    <w:div w:id="2102213378">
      <w:bodyDiv w:val="1"/>
      <w:marLeft w:val="0"/>
      <w:marRight w:val="0"/>
      <w:marTop w:val="0"/>
      <w:marBottom w:val="0"/>
      <w:divBdr>
        <w:top w:val="none" w:sz="0" w:space="0" w:color="auto"/>
        <w:left w:val="none" w:sz="0" w:space="0" w:color="auto"/>
        <w:bottom w:val="none" w:sz="0" w:space="0" w:color="auto"/>
        <w:right w:val="none" w:sz="0" w:space="0" w:color="auto"/>
      </w:divBdr>
    </w:div>
    <w:div w:id="2102290872">
      <w:bodyDiv w:val="1"/>
      <w:marLeft w:val="0"/>
      <w:marRight w:val="0"/>
      <w:marTop w:val="0"/>
      <w:marBottom w:val="0"/>
      <w:divBdr>
        <w:top w:val="none" w:sz="0" w:space="0" w:color="auto"/>
        <w:left w:val="none" w:sz="0" w:space="0" w:color="auto"/>
        <w:bottom w:val="none" w:sz="0" w:space="0" w:color="auto"/>
        <w:right w:val="none" w:sz="0" w:space="0" w:color="auto"/>
      </w:divBdr>
    </w:div>
    <w:div w:id="2102331561">
      <w:bodyDiv w:val="1"/>
      <w:marLeft w:val="0"/>
      <w:marRight w:val="0"/>
      <w:marTop w:val="0"/>
      <w:marBottom w:val="0"/>
      <w:divBdr>
        <w:top w:val="none" w:sz="0" w:space="0" w:color="auto"/>
        <w:left w:val="none" w:sz="0" w:space="0" w:color="auto"/>
        <w:bottom w:val="none" w:sz="0" w:space="0" w:color="auto"/>
        <w:right w:val="none" w:sz="0" w:space="0" w:color="auto"/>
      </w:divBdr>
    </w:div>
    <w:div w:id="2102410538">
      <w:bodyDiv w:val="1"/>
      <w:marLeft w:val="0"/>
      <w:marRight w:val="0"/>
      <w:marTop w:val="0"/>
      <w:marBottom w:val="0"/>
      <w:divBdr>
        <w:top w:val="none" w:sz="0" w:space="0" w:color="auto"/>
        <w:left w:val="none" w:sz="0" w:space="0" w:color="auto"/>
        <w:bottom w:val="none" w:sz="0" w:space="0" w:color="auto"/>
        <w:right w:val="none" w:sz="0" w:space="0" w:color="auto"/>
      </w:divBdr>
    </w:div>
    <w:div w:id="2102599814">
      <w:bodyDiv w:val="1"/>
      <w:marLeft w:val="0"/>
      <w:marRight w:val="0"/>
      <w:marTop w:val="0"/>
      <w:marBottom w:val="0"/>
      <w:divBdr>
        <w:top w:val="none" w:sz="0" w:space="0" w:color="auto"/>
        <w:left w:val="none" w:sz="0" w:space="0" w:color="auto"/>
        <w:bottom w:val="none" w:sz="0" w:space="0" w:color="auto"/>
        <w:right w:val="none" w:sz="0" w:space="0" w:color="auto"/>
      </w:divBdr>
    </w:div>
    <w:div w:id="2102752840">
      <w:bodyDiv w:val="1"/>
      <w:marLeft w:val="0"/>
      <w:marRight w:val="0"/>
      <w:marTop w:val="0"/>
      <w:marBottom w:val="0"/>
      <w:divBdr>
        <w:top w:val="none" w:sz="0" w:space="0" w:color="auto"/>
        <w:left w:val="none" w:sz="0" w:space="0" w:color="auto"/>
        <w:bottom w:val="none" w:sz="0" w:space="0" w:color="auto"/>
        <w:right w:val="none" w:sz="0" w:space="0" w:color="auto"/>
      </w:divBdr>
    </w:div>
    <w:div w:id="2102988034">
      <w:bodyDiv w:val="1"/>
      <w:marLeft w:val="0"/>
      <w:marRight w:val="0"/>
      <w:marTop w:val="0"/>
      <w:marBottom w:val="0"/>
      <w:divBdr>
        <w:top w:val="none" w:sz="0" w:space="0" w:color="auto"/>
        <w:left w:val="none" w:sz="0" w:space="0" w:color="auto"/>
        <w:bottom w:val="none" w:sz="0" w:space="0" w:color="auto"/>
        <w:right w:val="none" w:sz="0" w:space="0" w:color="auto"/>
      </w:divBdr>
    </w:div>
    <w:div w:id="2103144996">
      <w:bodyDiv w:val="1"/>
      <w:marLeft w:val="0"/>
      <w:marRight w:val="0"/>
      <w:marTop w:val="0"/>
      <w:marBottom w:val="0"/>
      <w:divBdr>
        <w:top w:val="none" w:sz="0" w:space="0" w:color="auto"/>
        <w:left w:val="none" w:sz="0" w:space="0" w:color="auto"/>
        <w:bottom w:val="none" w:sz="0" w:space="0" w:color="auto"/>
        <w:right w:val="none" w:sz="0" w:space="0" w:color="auto"/>
      </w:divBdr>
    </w:div>
    <w:div w:id="2103257590">
      <w:bodyDiv w:val="1"/>
      <w:marLeft w:val="0"/>
      <w:marRight w:val="0"/>
      <w:marTop w:val="0"/>
      <w:marBottom w:val="0"/>
      <w:divBdr>
        <w:top w:val="none" w:sz="0" w:space="0" w:color="auto"/>
        <w:left w:val="none" w:sz="0" w:space="0" w:color="auto"/>
        <w:bottom w:val="none" w:sz="0" w:space="0" w:color="auto"/>
        <w:right w:val="none" w:sz="0" w:space="0" w:color="auto"/>
      </w:divBdr>
    </w:div>
    <w:div w:id="2103333748">
      <w:bodyDiv w:val="1"/>
      <w:marLeft w:val="0"/>
      <w:marRight w:val="0"/>
      <w:marTop w:val="0"/>
      <w:marBottom w:val="0"/>
      <w:divBdr>
        <w:top w:val="none" w:sz="0" w:space="0" w:color="auto"/>
        <w:left w:val="none" w:sz="0" w:space="0" w:color="auto"/>
        <w:bottom w:val="none" w:sz="0" w:space="0" w:color="auto"/>
        <w:right w:val="none" w:sz="0" w:space="0" w:color="auto"/>
      </w:divBdr>
    </w:div>
    <w:div w:id="2103408470">
      <w:bodyDiv w:val="1"/>
      <w:marLeft w:val="0"/>
      <w:marRight w:val="0"/>
      <w:marTop w:val="0"/>
      <w:marBottom w:val="0"/>
      <w:divBdr>
        <w:top w:val="none" w:sz="0" w:space="0" w:color="auto"/>
        <w:left w:val="none" w:sz="0" w:space="0" w:color="auto"/>
        <w:bottom w:val="none" w:sz="0" w:space="0" w:color="auto"/>
        <w:right w:val="none" w:sz="0" w:space="0" w:color="auto"/>
      </w:divBdr>
    </w:div>
    <w:div w:id="2103448216">
      <w:bodyDiv w:val="1"/>
      <w:marLeft w:val="0"/>
      <w:marRight w:val="0"/>
      <w:marTop w:val="0"/>
      <w:marBottom w:val="0"/>
      <w:divBdr>
        <w:top w:val="none" w:sz="0" w:space="0" w:color="auto"/>
        <w:left w:val="none" w:sz="0" w:space="0" w:color="auto"/>
        <w:bottom w:val="none" w:sz="0" w:space="0" w:color="auto"/>
        <w:right w:val="none" w:sz="0" w:space="0" w:color="auto"/>
      </w:divBdr>
    </w:div>
    <w:div w:id="2103649627">
      <w:bodyDiv w:val="1"/>
      <w:marLeft w:val="0"/>
      <w:marRight w:val="0"/>
      <w:marTop w:val="0"/>
      <w:marBottom w:val="0"/>
      <w:divBdr>
        <w:top w:val="none" w:sz="0" w:space="0" w:color="auto"/>
        <w:left w:val="none" w:sz="0" w:space="0" w:color="auto"/>
        <w:bottom w:val="none" w:sz="0" w:space="0" w:color="auto"/>
        <w:right w:val="none" w:sz="0" w:space="0" w:color="auto"/>
      </w:divBdr>
    </w:div>
    <w:div w:id="2103837937">
      <w:bodyDiv w:val="1"/>
      <w:marLeft w:val="0"/>
      <w:marRight w:val="0"/>
      <w:marTop w:val="0"/>
      <w:marBottom w:val="0"/>
      <w:divBdr>
        <w:top w:val="none" w:sz="0" w:space="0" w:color="auto"/>
        <w:left w:val="none" w:sz="0" w:space="0" w:color="auto"/>
        <w:bottom w:val="none" w:sz="0" w:space="0" w:color="auto"/>
        <w:right w:val="none" w:sz="0" w:space="0" w:color="auto"/>
      </w:divBdr>
    </w:div>
    <w:div w:id="2103916780">
      <w:bodyDiv w:val="1"/>
      <w:marLeft w:val="0"/>
      <w:marRight w:val="0"/>
      <w:marTop w:val="0"/>
      <w:marBottom w:val="0"/>
      <w:divBdr>
        <w:top w:val="none" w:sz="0" w:space="0" w:color="auto"/>
        <w:left w:val="none" w:sz="0" w:space="0" w:color="auto"/>
        <w:bottom w:val="none" w:sz="0" w:space="0" w:color="auto"/>
        <w:right w:val="none" w:sz="0" w:space="0" w:color="auto"/>
      </w:divBdr>
    </w:div>
    <w:div w:id="2103988256">
      <w:bodyDiv w:val="1"/>
      <w:marLeft w:val="0"/>
      <w:marRight w:val="0"/>
      <w:marTop w:val="0"/>
      <w:marBottom w:val="0"/>
      <w:divBdr>
        <w:top w:val="none" w:sz="0" w:space="0" w:color="auto"/>
        <w:left w:val="none" w:sz="0" w:space="0" w:color="auto"/>
        <w:bottom w:val="none" w:sz="0" w:space="0" w:color="auto"/>
        <w:right w:val="none" w:sz="0" w:space="0" w:color="auto"/>
      </w:divBdr>
    </w:div>
    <w:div w:id="2104064540">
      <w:bodyDiv w:val="1"/>
      <w:marLeft w:val="0"/>
      <w:marRight w:val="0"/>
      <w:marTop w:val="0"/>
      <w:marBottom w:val="0"/>
      <w:divBdr>
        <w:top w:val="none" w:sz="0" w:space="0" w:color="auto"/>
        <w:left w:val="none" w:sz="0" w:space="0" w:color="auto"/>
        <w:bottom w:val="none" w:sz="0" w:space="0" w:color="auto"/>
        <w:right w:val="none" w:sz="0" w:space="0" w:color="auto"/>
      </w:divBdr>
    </w:div>
    <w:div w:id="2104102564">
      <w:bodyDiv w:val="1"/>
      <w:marLeft w:val="0"/>
      <w:marRight w:val="0"/>
      <w:marTop w:val="0"/>
      <w:marBottom w:val="0"/>
      <w:divBdr>
        <w:top w:val="none" w:sz="0" w:space="0" w:color="auto"/>
        <w:left w:val="none" w:sz="0" w:space="0" w:color="auto"/>
        <w:bottom w:val="none" w:sz="0" w:space="0" w:color="auto"/>
        <w:right w:val="none" w:sz="0" w:space="0" w:color="auto"/>
      </w:divBdr>
    </w:div>
    <w:div w:id="2104187046">
      <w:bodyDiv w:val="1"/>
      <w:marLeft w:val="0"/>
      <w:marRight w:val="0"/>
      <w:marTop w:val="0"/>
      <w:marBottom w:val="0"/>
      <w:divBdr>
        <w:top w:val="none" w:sz="0" w:space="0" w:color="auto"/>
        <w:left w:val="none" w:sz="0" w:space="0" w:color="auto"/>
        <w:bottom w:val="none" w:sz="0" w:space="0" w:color="auto"/>
        <w:right w:val="none" w:sz="0" w:space="0" w:color="auto"/>
      </w:divBdr>
    </w:div>
    <w:div w:id="2104372121">
      <w:bodyDiv w:val="1"/>
      <w:marLeft w:val="0"/>
      <w:marRight w:val="0"/>
      <w:marTop w:val="0"/>
      <w:marBottom w:val="0"/>
      <w:divBdr>
        <w:top w:val="none" w:sz="0" w:space="0" w:color="auto"/>
        <w:left w:val="none" w:sz="0" w:space="0" w:color="auto"/>
        <w:bottom w:val="none" w:sz="0" w:space="0" w:color="auto"/>
        <w:right w:val="none" w:sz="0" w:space="0" w:color="auto"/>
      </w:divBdr>
    </w:div>
    <w:div w:id="2104377160">
      <w:bodyDiv w:val="1"/>
      <w:marLeft w:val="0"/>
      <w:marRight w:val="0"/>
      <w:marTop w:val="0"/>
      <w:marBottom w:val="0"/>
      <w:divBdr>
        <w:top w:val="none" w:sz="0" w:space="0" w:color="auto"/>
        <w:left w:val="none" w:sz="0" w:space="0" w:color="auto"/>
        <w:bottom w:val="none" w:sz="0" w:space="0" w:color="auto"/>
        <w:right w:val="none" w:sz="0" w:space="0" w:color="auto"/>
      </w:divBdr>
    </w:div>
    <w:div w:id="2104448172">
      <w:bodyDiv w:val="1"/>
      <w:marLeft w:val="0"/>
      <w:marRight w:val="0"/>
      <w:marTop w:val="0"/>
      <w:marBottom w:val="0"/>
      <w:divBdr>
        <w:top w:val="none" w:sz="0" w:space="0" w:color="auto"/>
        <w:left w:val="none" w:sz="0" w:space="0" w:color="auto"/>
        <w:bottom w:val="none" w:sz="0" w:space="0" w:color="auto"/>
        <w:right w:val="none" w:sz="0" w:space="0" w:color="auto"/>
      </w:divBdr>
    </w:div>
    <w:div w:id="2104645244">
      <w:bodyDiv w:val="1"/>
      <w:marLeft w:val="0"/>
      <w:marRight w:val="0"/>
      <w:marTop w:val="0"/>
      <w:marBottom w:val="0"/>
      <w:divBdr>
        <w:top w:val="none" w:sz="0" w:space="0" w:color="auto"/>
        <w:left w:val="none" w:sz="0" w:space="0" w:color="auto"/>
        <w:bottom w:val="none" w:sz="0" w:space="0" w:color="auto"/>
        <w:right w:val="none" w:sz="0" w:space="0" w:color="auto"/>
      </w:divBdr>
    </w:div>
    <w:div w:id="2105223652">
      <w:bodyDiv w:val="1"/>
      <w:marLeft w:val="0"/>
      <w:marRight w:val="0"/>
      <w:marTop w:val="0"/>
      <w:marBottom w:val="0"/>
      <w:divBdr>
        <w:top w:val="none" w:sz="0" w:space="0" w:color="auto"/>
        <w:left w:val="none" w:sz="0" w:space="0" w:color="auto"/>
        <w:bottom w:val="none" w:sz="0" w:space="0" w:color="auto"/>
        <w:right w:val="none" w:sz="0" w:space="0" w:color="auto"/>
      </w:divBdr>
    </w:div>
    <w:div w:id="2105831958">
      <w:bodyDiv w:val="1"/>
      <w:marLeft w:val="0"/>
      <w:marRight w:val="0"/>
      <w:marTop w:val="0"/>
      <w:marBottom w:val="0"/>
      <w:divBdr>
        <w:top w:val="none" w:sz="0" w:space="0" w:color="auto"/>
        <w:left w:val="none" w:sz="0" w:space="0" w:color="auto"/>
        <w:bottom w:val="none" w:sz="0" w:space="0" w:color="auto"/>
        <w:right w:val="none" w:sz="0" w:space="0" w:color="auto"/>
      </w:divBdr>
    </w:div>
    <w:div w:id="2106146714">
      <w:bodyDiv w:val="1"/>
      <w:marLeft w:val="0"/>
      <w:marRight w:val="0"/>
      <w:marTop w:val="0"/>
      <w:marBottom w:val="0"/>
      <w:divBdr>
        <w:top w:val="none" w:sz="0" w:space="0" w:color="auto"/>
        <w:left w:val="none" w:sz="0" w:space="0" w:color="auto"/>
        <w:bottom w:val="none" w:sz="0" w:space="0" w:color="auto"/>
        <w:right w:val="none" w:sz="0" w:space="0" w:color="auto"/>
      </w:divBdr>
    </w:div>
    <w:div w:id="2106262513">
      <w:bodyDiv w:val="1"/>
      <w:marLeft w:val="0"/>
      <w:marRight w:val="0"/>
      <w:marTop w:val="0"/>
      <w:marBottom w:val="0"/>
      <w:divBdr>
        <w:top w:val="none" w:sz="0" w:space="0" w:color="auto"/>
        <w:left w:val="none" w:sz="0" w:space="0" w:color="auto"/>
        <w:bottom w:val="none" w:sz="0" w:space="0" w:color="auto"/>
        <w:right w:val="none" w:sz="0" w:space="0" w:color="auto"/>
      </w:divBdr>
    </w:div>
    <w:div w:id="2106880553">
      <w:bodyDiv w:val="1"/>
      <w:marLeft w:val="0"/>
      <w:marRight w:val="0"/>
      <w:marTop w:val="0"/>
      <w:marBottom w:val="0"/>
      <w:divBdr>
        <w:top w:val="none" w:sz="0" w:space="0" w:color="auto"/>
        <w:left w:val="none" w:sz="0" w:space="0" w:color="auto"/>
        <w:bottom w:val="none" w:sz="0" w:space="0" w:color="auto"/>
        <w:right w:val="none" w:sz="0" w:space="0" w:color="auto"/>
      </w:divBdr>
    </w:div>
    <w:div w:id="2107268300">
      <w:bodyDiv w:val="1"/>
      <w:marLeft w:val="0"/>
      <w:marRight w:val="0"/>
      <w:marTop w:val="0"/>
      <w:marBottom w:val="0"/>
      <w:divBdr>
        <w:top w:val="none" w:sz="0" w:space="0" w:color="auto"/>
        <w:left w:val="none" w:sz="0" w:space="0" w:color="auto"/>
        <w:bottom w:val="none" w:sz="0" w:space="0" w:color="auto"/>
        <w:right w:val="none" w:sz="0" w:space="0" w:color="auto"/>
      </w:divBdr>
    </w:div>
    <w:div w:id="2107383693">
      <w:bodyDiv w:val="1"/>
      <w:marLeft w:val="0"/>
      <w:marRight w:val="0"/>
      <w:marTop w:val="0"/>
      <w:marBottom w:val="0"/>
      <w:divBdr>
        <w:top w:val="none" w:sz="0" w:space="0" w:color="auto"/>
        <w:left w:val="none" w:sz="0" w:space="0" w:color="auto"/>
        <w:bottom w:val="none" w:sz="0" w:space="0" w:color="auto"/>
        <w:right w:val="none" w:sz="0" w:space="0" w:color="auto"/>
      </w:divBdr>
    </w:div>
    <w:div w:id="2107463208">
      <w:bodyDiv w:val="1"/>
      <w:marLeft w:val="0"/>
      <w:marRight w:val="0"/>
      <w:marTop w:val="0"/>
      <w:marBottom w:val="0"/>
      <w:divBdr>
        <w:top w:val="none" w:sz="0" w:space="0" w:color="auto"/>
        <w:left w:val="none" w:sz="0" w:space="0" w:color="auto"/>
        <w:bottom w:val="none" w:sz="0" w:space="0" w:color="auto"/>
        <w:right w:val="none" w:sz="0" w:space="0" w:color="auto"/>
      </w:divBdr>
    </w:div>
    <w:div w:id="2108188964">
      <w:bodyDiv w:val="1"/>
      <w:marLeft w:val="0"/>
      <w:marRight w:val="0"/>
      <w:marTop w:val="0"/>
      <w:marBottom w:val="0"/>
      <w:divBdr>
        <w:top w:val="none" w:sz="0" w:space="0" w:color="auto"/>
        <w:left w:val="none" w:sz="0" w:space="0" w:color="auto"/>
        <w:bottom w:val="none" w:sz="0" w:space="0" w:color="auto"/>
        <w:right w:val="none" w:sz="0" w:space="0" w:color="auto"/>
      </w:divBdr>
    </w:div>
    <w:div w:id="2108386407">
      <w:bodyDiv w:val="1"/>
      <w:marLeft w:val="0"/>
      <w:marRight w:val="0"/>
      <w:marTop w:val="0"/>
      <w:marBottom w:val="0"/>
      <w:divBdr>
        <w:top w:val="none" w:sz="0" w:space="0" w:color="auto"/>
        <w:left w:val="none" w:sz="0" w:space="0" w:color="auto"/>
        <w:bottom w:val="none" w:sz="0" w:space="0" w:color="auto"/>
        <w:right w:val="none" w:sz="0" w:space="0" w:color="auto"/>
      </w:divBdr>
    </w:div>
    <w:div w:id="2108426009">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08453110">
      <w:bodyDiv w:val="1"/>
      <w:marLeft w:val="0"/>
      <w:marRight w:val="0"/>
      <w:marTop w:val="0"/>
      <w:marBottom w:val="0"/>
      <w:divBdr>
        <w:top w:val="none" w:sz="0" w:space="0" w:color="auto"/>
        <w:left w:val="none" w:sz="0" w:space="0" w:color="auto"/>
        <w:bottom w:val="none" w:sz="0" w:space="0" w:color="auto"/>
        <w:right w:val="none" w:sz="0" w:space="0" w:color="auto"/>
      </w:divBdr>
    </w:div>
    <w:div w:id="2108455483">
      <w:bodyDiv w:val="1"/>
      <w:marLeft w:val="0"/>
      <w:marRight w:val="0"/>
      <w:marTop w:val="0"/>
      <w:marBottom w:val="0"/>
      <w:divBdr>
        <w:top w:val="none" w:sz="0" w:space="0" w:color="auto"/>
        <w:left w:val="none" w:sz="0" w:space="0" w:color="auto"/>
        <w:bottom w:val="none" w:sz="0" w:space="0" w:color="auto"/>
        <w:right w:val="none" w:sz="0" w:space="0" w:color="auto"/>
      </w:divBdr>
    </w:div>
    <w:div w:id="2108698371">
      <w:bodyDiv w:val="1"/>
      <w:marLeft w:val="0"/>
      <w:marRight w:val="0"/>
      <w:marTop w:val="0"/>
      <w:marBottom w:val="0"/>
      <w:divBdr>
        <w:top w:val="none" w:sz="0" w:space="0" w:color="auto"/>
        <w:left w:val="none" w:sz="0" w:space="0" w:color="auto"/>
        <w:bottom w:val="none" w:sz="0" w:space="0" w:color="auto"/>
        <w:right w:val="none" w:sz="0" w:space="0" w:color="auto"/>
      </w:divBdr>
    </w:div>
    <w:div w:id="2108773504">
      <w:bodyDiv w:val="1"/>
      <w:marLeft w:val="0"/>
      <w:marRight w:val="0"/>
      <w:marTop w:val="0"/>
      <w:marBottom w:val="0"/>
      <w:divBdr>
        <w:top w:val="none" w:sz="0" w:space="0" w:color="auto"/>
        <w:left w:val="none" w:sz="0" w:space="0" w:color="auto"/>
        <w:bottom w:val="none" w:sz="0" w:space="0" w:color="auto"/>
        <w:right w:val="none" w:sz="0" w:space="0" w:color="auto"/>
      </w:divBdr>
    </w:div>
    <w:div w:id="2109038940">
      <w:bodyDiv w:val="1"/>
      <w:marLeft w:val="0"/>
      <w:marRight w:val="0"/>
      <w:marTop w:val="0"/>
      <w:marBottom w:val="0"/>
      <w:divBdr>
        <w:top w:val="none" w:sz="0" w:space="0" w:color="auto"/>
        <w:left w:val="none" w:sz="0" w:space="0" w:color="auto"/>
        <w:bottom w:val="none" w:sz="0" w:space="0" w:color="auto"/>
        <w:right w:val="none" w:sz="0" w:space="0" w:color="auto"/>
      </w:divBdr>
    </w:div>
    <w:div w:id="2109226558">
      <w:bodyDiv w:val="1"/>
      <w:marLeft w:val="0"/>
      <w:marRight w:val="0"/>
      <w:marTop w:val="0"/>
      <w:marBottom w:val="0"/>
      <w:divBdr>
        <w:top w:val="none" w:sz="0" w:space="0" w:color="auto"/>
        <w:left w:val="none" w:sz="0" w:space="0" w:color="auto"/>
        <w:bottom w:val="none" w:sz="0" w:space="0" w:color="auto"/>
        <w:right w:val="none" w:sz="0" w:space="0" w:color="auto"/>
      </w:divBdr>
    </w:div>
    <w:div w:id="2109278477">
      <w:bodyDiv w:val="1"/>
      <w:marLeft w:val="0"/>
      <w:marRight w:val="0"/>
      <w:marTop w:val="0"/>
      <w:marBottom w:val="0"/>
      <w:divBdr>
        <w:top w:val="none" w:sz="0" w:space="0" w:color="auto"/>
        <w:left w:val="none" w:sz="0" w:space="0" w:color="auto"/>
        <w:bottom w:val="none" w:sz="0" w:space="0" w:color="auto"/>
        <w:right w:val="none" w:sz="0" w:space="0" w:color="auto"/>
      </w:divBdr>
    </w:div>
    <w:div w:id="2109350861">
      <w:bodyDiv w:val="1"/>
      <w:marLeft w:val="0"/>
      <w:marRight w:val="0"/>
      <w:marTop w:val="0"/>
      <w:marBottom w:val="0"/>
      <w:divBdr>
        <w:top w:val="none" w:sz="0" w:space="0" w:color="auto"/>
        <w:left w:val="none" w:sz="0" w:space="0" w:color="auto"/>
        <w:bottom w:val="none" w:sz="0" w:space="0" w:color="auto"/>
        <w:right w:val="none" w:sz="0" w:space="0" w:color="auto"/>
      </w:divBdr>
    </w:div>
    <w:div w:id="2109426983">
      <w:bodyDiv w:val="1"/>
      <w:marLeft w:val="0"/>
      <w:marRight w:val="0"/>
      <w:marTop w:val="0"/>
      <w:marBottom w:val="0"/>
      <w:divBdr>
        <w:top w:val="none" w:sz="0" w:space="0" w:color="auto"/>
        <w:left w:val="none" w:sz="0" w:space="0" w:color="auto"/>
        <w:bottom w:val="none" w:sz="0" w:space="0" w:color="auto"/>
        <w:right w:val="none" w:sz="0" w:space="0" w:color="auto"/>
      </w:divBdr>
    </w:div>
    <w:div w:id="2109962943">
      <w:bodyDiv w:val="1"/>
      <w:marLeft w:val="0"/>
      <w:marRight w:val="0"/>
      <w:marTop w:val="0"/>
      <w:marBottom w:val="0"/>
      <w:divBdr>
        <w:top w:val="none" w:sz="0" w:space="0" w:color="auto"/>
        <w:left w:val="none" w:sz="0" w:space="0" w:color="auto"/>
        <w:bottom w:val="none" w:sz="0" w:space="0" w:color="auto"/>
        <w:right w:val="none" w:sz="0" w:space="0" w:color="auto"/>
      </w:divBdr>
    </w:div>
    <w:div w:id="2110156015">
      <w:bodyDiv w:val="1"/>
      <w:marLeft w:val="0"/>
      <w:marRight w:val="0"/>
      <w:marTop w:val="0"/>
      <w:marBottom w:val="0"/>
      <w:divBdr>
        <w:top w:val="none" w:sz="0" w:space="0" w:color="auto"/>
        <w:left w:val="none" w:sz="0" w:space="0" w:color="auto"/>
        <w:bottom w:val="none" w:sz="0" w:space="0" w:color="auto"/>
        <w:right w:val="none" w:sz="0" w:space="0" w:color="auto"/>
      </w:divBdr>
    </w:div>
    <w:div w:id="2110195494">
      <w:bodyDiv w:val="1"/>
      <w:marLeft w:val="0"/>
      <w:marRight w:val="0"/>
      <w:marTop w:val="0"/>
      <w:marBottom w:val="0"/>
      <w:divBdr>
        <w:top w:val="none" w:sz="0" w:space="0" w:color="auto"/>
        <w:left w:val="none" w:sz="0" w:space="0" w:color="auto"/>
        <w:bottom w:val="none" w:sz="0" w:space="0" w:color="auto"/>
        <w:right w:val="none" w:sz="0" w:space="0" w:color="auto"/>
      </w:divBdr>
    </w:div>
    <w:div w:id="2110349008">
      <w:bodyDiv w:val="1"/>
      <w:marLeft w:val="0"/>
      <w:marRight w:val="0"/>
      <w:marTop w:val="0"/>
      <w:marBottom w:val="0"/>
      <w:divBdr>
        <w:top w:val="none" w:sz="0" w:space="0" w:color="auto"/>
        <w:left w:val="none" w:sz="0" w:space="0" w:color="auto"/>
        <w:bottom w:val="none" w:sz="0" w:space="0" w:color="auto"/>
        <w:right w:val="none" w:sz="0" w:space="0" w:color="auto"/>
      </w:divBdr>
    </w:div>
    <w:div w:id="2111194726">
      <w:bodyDiv w:val="1"/>
      <w:marLeft w:val="0"/>
      <w:marRight w:val="0"/>
      <w:marTop w:val="0"/>
      <w:marBottom w:val="0"/>
      <w:divBdr>
        <w:top w:val="none" w:sz="0" w:space="0" w:color="auto"/>
        <w:left w:val="none" w:sz="0" w:space="0" w:color="auto"/>
        <w:bottom w:val="none" w:sz="0" w:space="0" w:color="auto"/>
        <w:right w:val="none" w:sz="0" w:space="0" w:color="auto"/>
      </w:divBdr>
    </w:div>
    <w:div w:id="2111195445">
      <w:bodyDiv w:val="1"/>
      <w:marLeft w:val="0"/>
      <w:marRight w:val="0"/>
      <w:marTop w:val="0"/>
      <w:marBottom w:val="0"/>
      <w:divBdr>
        <w:top w:val="none" w:sz="0" w:space="0" w:color="auto"/>
        <w:left w:val="none" w:sz="0" w:space="0" w:color="auto"/>
        <w:bottom w:val="none" w:sz="0" w:space="0" w:color="auto"/>
        <w:right w:val="none" w:sz="0" w:space="0" w:color="auto"/>
      </w:divBdr>
    </w:div>
    <w:div w:id="2111586642">
      <w:bodyDiv w:val="1"/>
      <w:marLeft w:val="0"/>
      <w:marRight w:val="0"/>
      <w:marTop w:val="0"/>
      <w:marBottom w:val="0"/>
      <w:divBdr>
        <w:top w:val="none" w:sz="0" w:space="0" w:color="auto"/>
        <w:left w:val="none" w:sz="0" w:space="0" w:color="auto"/>
        <w:bottom w:val="none" w:sz="0" w:space="0" w:color="auto"/>
        <w:right w:val="none" w:sz="0" w:space="0" w:color="auto"/>
      </w:divBdr>
    </w:div>
    <w:div w:id="2111780401">
      <w:bodyDiv w:val="1"/>
      <w:marLeft w:val="0"/>
      <w:marRight w:val="0"/>
      <w:marTop w:val="0"/>
      <w:marBottom w:val="0"/>
      <w:divBdr>
        <w:top w:val="none" w:sz="0" w:space="0" w:color="auto"/>
        <w:left w:val="none" w:sz="0" w:space="0" w:color="auto"/>
        <w:bottom w:val="none" w:sz="0" w:space="0" w:color="auto"/>
        <w:right w:val="none" w:sz="0" w:space="0" w:color="auto"/>
      </w:divBdr>
    </w:div>
    <w:div w:id="2112581785">
      <w:bodyDiv w:val="1"/>
      <w:marLeft w:val="0"/>
      <w:marRight w:val="0"/>
      <w:marTop w:val="0"/>
      <w:marBottom w:val="0"/>
      <w:divBdr>
        <w:top w:val="none" w:sz="0" w:space="0" w:color="auto"/>
        <w:left w:val="none" w:sz="0" w:space="0" w:color="auto"/>
        <w:bottom w:val="none" w:sz="0" w:space="0" w:color="auto"/>
        <w:right w:val="none" w:sz="0" w:space="0" w:color="auto"/>
      </w:divBdr>
    </w:div>
    <w:div w:id="2112625007">
      <w:bodyDiv w:val="1"/>
      <w:marLeft w:val="0"/>
      <w:marRight w:val="0"/>
      <w:marTop w:val="0"/>
      <w:marBottom w:val="0"/>
      <w:divBdr>
        <w:top w:val="none" w:sz="0" w:space="0" w:color="auto"/>
        <w:left w:val="none" w:sz="0" w:space="0" w:color="auto"/>
        <w:bottom w:val="none" w:sz="0" w:space="0" w:color="auto"/>
        <w:right w:val="none" w:sz="0" w:space="0" w:color="auto"/>
      </w:divBdr>
    </w:div>
    <w:div w:id="2112893777">
      <w:bodyDiv w:val="1"/>
      <w:marLeft w:val="0"/>
      <w:marRight w:val="0"/>
      <w:marTop w:val="0"/>
      <w:marBottom w:val="0"/>
      <w:divBdr>
        <w:top w:val="none" w:sz="0" w:space="0" w:color="auto"/>
        <w:left w:val="none" w:sz="0" w:space="0" w:color="auto"/>
        <w:bottom w:val="none" w:sz="0" w:space="0" w:color="auto"/>
        <w:right w:val="none" w:sz="0" w:space="0" w:color="auto"/>
      </w:divBdr>
    </w:div>
    <w:div w:id="2112898458">
      <w:bodyDiv w:val="1"/>
      <w:marLeft w:val="0"/>
      <w:marRight w:val="0"/>
      <w:marTop w:val="0"/>
      <w:marBottom w:val="0"/>
      <w:divBdr>
        <w:top w:val="none" w:sz="0" w:space="0" w:color="auto"/>
        <w:left w:val="none" w:sz="0" w:space="0" w:color="auto"/>
        <w:bottom w:val="none" w:sz="0" w:space="0" w:color="auto"/>
        <w:right w:val="none" w:sz="0" w:space="0" w:color="auto"/>
      </w:divBdr>
    </w:div>
    <w:div w:id="2113240357">
      <w:bodyDiv w:val="1"/>
      <w:marLeft w:val="0"/>
      <w:marRight w:val="0"/>
      <w:marTop w:val="0"/>
      <w:marBottom w:val="0"/>
      <w:divBdr>
        <w:top w:val="none" w:sz="0" w:space="0" w:color="auto"/>
        <w:left w:val="none" w:sz="0" w:space="0" w:color="auto"/>
        <w:bottom w:val="none" w:sz="0" w:space="0" w:color="auto"/>
        <w:right w:val="none" w:sz="0" w:space="0" w:color="auto"/>
      </w:divBdr>
    </w:div>
    <w:div w:id="2113475799">
      <w:bodyDiv w:val="1"/>
      <w:marLeft w:val="0"/>
      <w:marRight w:val="0"/>
      <w:marTop w:val="0"/>
      <w:marBottom w:val="0"/>
      <w:divBdr>
        <w:top w:val="none" w:sz="0" w:space="0" w:color="auto"/>
        <w:left w:val="none" w:sz="0" w:space="0" w:color="auto"/>
        <w:bottom w:val="none" w:sz="0" w:space="0" w:color="auto"/>
        <w:right w:val="none" w:sz="0" w:space="0" w:color="auto"/>
      </w:divBdr>
    </w:div>
    <w:div w:id="2114200375">
      <w:bodyDiv w:val="1"/>
      <w:marLeft w:val="0"/>
      <w:marRight w:val="0"/>
      <w:marTop w:val="0"/>
      <w:marBottom w:val="0"/>
      <w:divBdr>
        <w:top w:val="none" w:sz="0" w:space="0" w:color="auto"/>
        <w:left w:val="none" w:sz="0" w:space="0" w:color="auto"/>
        <w:bottom w:val="none" w:sz="0" w:space="0" w:color="auto"/>
        <w:right w:val="none" w:sz="0" w:space="0" w:color="auto"/>
      </w:divBdr>
    </w:div>
    <w:div w:id="2114520079">
      <w:bodyDiv w:val="1"/>
      <w:marLeft w:val="0"/>
      <w:marRight w:val="0"/>
      <w:marTop w:val="0"/>
      <w:marBottom w:val="0"/>
      <w:divBdr>
        <w:top w:val="none" w:sz="0" w:space="0" w:color="auto"/>
        <w:left w:val="none" w:sz="0" w:space="0" w:color="auto"/>
        <w:bottom w:val="none" w:sz="0" w:space="0" w:color="auto"/>
        <w:right w:val="none" w:sz="0" w:space="0" w:color="auto"/>
      </w:divBdr>
    </w:div>
    <w:div w:id="2114545479">
      <w:bodyDiv w:val="1"/>
      <w:marLeft w:val="0"/>
      <w:marRight w:val="0"/>
      <w:marTop w:val="0"/>
      <w:marBottom w:val="0"/>
      <w:divBdr>
        <w:top w:val="none" w:sz="0" w:space="0" w:color="auto"/>
        <w:left w:val="none" w:sz="0" w:space="0" w:color="auto"/>
        <w:bottom w:val="none" w:sz="0" w:space="0" w:color="auto"/>
        <w:right w:val="none" w:sz="0" w:space="0" w:color="auto"/>
      </w:divBdr>
    </w:div>
    <w:div w:id="2114858992">
      <w:bodyDiv w:val="1"/>
      <w:marLeft w:val="0"/>
      <w:marRight w:val="0"/>
      <w:marTop w:val="0"/>
      <w:marBottom w:val="0"/>
      <w:divBdr>
        <w:top w:val="none" w:sz="0" w:space="0" w:color="auto"/>
        <w:left w:val="none" w:sz="0" w:space="0" w:color="auto"/>
        <w:bottom w:val="none" w:sz="0" w:space="0" w:color="auto"/>
        <w:right w:val="none" w:sz="0" w:space="0" w:color="auto"/>
      </w:divBdr>
    </w:div>
    <w:div w:id="2115203875">
      <w:bodyDiv w:val="1"/>
      <w:marLeft w:val="0"/>
      <w:marRight w:val="0"/>
      <w:marTop w:val="0"/>
      <w:marBottom w:val="0"/>
      <w:divBdr>
        <w:top w:val="none" w:sz="0" w:space="0" w:color="auto"/>
        <w:left w:val="none" w:sz="0" w:space="0" w:color="auto"/>
        <w:bottom w:val="none" w:sz="0" w:space="0" w:color="auto"/>
        <w:right w:val="none" w:sz="0" w:space="0" w:color="auto"/>
      </w:divBdr>
    </w:div>
    <w:div w:id="2115396533">
      <w:bodyDiv w:val="1"/>
      <w:marLeft w:val="0"/>
      <w:marRight w:val="0"/>
      <w:marTop w:val="0"/>
      <w:marBottom w:val="0"/>
      <w:divBdr>
        <w:top w:val="none" w:sz="0" w:space="0" w:color="auto"/>
        <w:left w:val="none" w:sz="0" w:space="0" w:color="auto"/>
        <w:bottom w:val="none" w:sz="0" w:space="0" w:color="auto"/>
        <w:right w:val="none" w:sz="0" w:space="0" w:color="auto"/>
      </w:divBdr>
    </w:div>
    <w:div w:id="2115440644">
      <w:bodyDiv w:val="1"/>
      <w:marLeft w:val="0"/>
      <w:marRight w:val="0"/>
      <w:marTop w:val="0"/>
      <w:marBottom w:val="0"/>
      <w:divBdr>
        <w:top w:val="none" w:sz="0" w:space="0" w:color="auto"/>
        <w:left w:val="none" w:sz="0" w:space="0" w:color="auto"/>
        <w:bottom w:val="none" w:sz="0" w:space="0" w:color="auto"/>
        <w:right w:val="none" w:sz="0" w:space="0" w:color="auto"/>
      </w:divBdr>
    </w:div>
    <w:div w:id="2116099509">
      <w:bodyDiv w:val="1"/>
      <w:marLeft w:val="0"/>
      <w:marRight w:val="0"/>
      <w:marTop w:val="0"/>
      <w:marBottom w:val="0"/>
      <w:divBdr>
        <w:top w:val="none" w:sz="0" w:space="0" w:color="auto"/>
        <w:left w:val="none" w:sz="0" w:space="0" w:color="auto"/>
        <w:bottom w:val="none" w:sz="0" w:space="0" w:color="auto"/>
        <w:right w:val="none" w:sz="0" w:space="0" w:color="auto"/>
      </w:divBdr>
    </w:div>
    <w:div w:id="2116249560">
      <w:bodyDiv w:val="1"/>
      <w:marLeft w:val="0"/>
      <w:marRight w:val="0"/>
      <w:marTop w:val="0"/>
      <w:marBottom w:val="0"/>
      <w:divBdr>
        <w:top w:val="none" w:sz="0" w:space="0" w:color="auto"/>
        <w:left w:val="none" w:sz="0" w:space="0" w:color="auto"/>
        <w:bottom w:val="none" w:sz="0" w:space="0" w:color="auto"/>
        <w:right w:val="none" w:sz="0" w:space="0" w:color="auto"/>
      </w:divBdr>
    </w:div>
    <w:div w:id="2116319024">
      <w:bodyDiv w:val="1"/>
      <w:marLeft w:val="0"/>
      <w:marRight w:val="0"/>
      <w:marTop w:val="0"/>
      <w:marBottom w:val="0"/>
      <w:divBdr>
        <w:top w:val="none" w:sz="0" w:space="0" w:color="auto"/>
        <w:left w:val="none" w:sz="0" w:space="0" w:color="auto"/>
        <w:bottom w:val="none" w:sz="0" w:space="0" w:color="auto"/>
        <w:right w:val="none" w:sz="0" w:space="0" w:color="auto"/>
      </w:divBdr>
    </w:div>
    <w:div w:id="2116367704">
      <w:bodyDiv w:val="1"/>
      <w:marLeft w:val="0"/>
      <w:marRight w:val="0"/>
      <w:marTop w:val="0"/>
      <w:marBottom w:val="0"/>
      <w:divBdr>
        <w:top w:val="none" w:sz="0" w:space="0" w:color="auto"/>
        <w:left w:val="none" w:sz="0" w:space="0" w:color="auto"/>
        <w:bottom w:val="none" w:sz="0" w:space="0" w:color="auto"/>
        <w:right w:val="none" w:sz="0" w:space="0" w:color="auto"/>
      </w:divBdr>
    </w:div>
    <w:div w:id="2116367984">
      <w:bodyDiv w:val="1"/>
      <w:marLeft w:val="0"/>
      <w:marRight w:val="0"/>
      <w:marTop w:val="0"/>
      <w:marBottom w:val="0"/>
      <w:divBdr>
        <w:top w:val="none" w:sz="0" w:space="0" w:color="auto"/>
        <w:left w:val="none" w:sz="0" w:space="0" w:color="auto"/>
        <w:bottom w:val="none" w:sz="0" w:space="0" w:color="auto"/>
        <w:right w:val="none" w:sz="0" w:space="0" w:color="auto"/>
      </w:divBdr>
    </w:div>
    <w:div w:id="2116517336">
      <w:bodyDiv w:val="1"/>
      <w:marLeft w:val="0"/>
      <w:marRight w:val="0"/>
      <w:marTop w:val="0"/>
      <w:marBottom w:val="0"/>
      <w:divBdr>
        <w:top w:val="none" w:sz="0" w:space="0" w:color="auto"/>
        <w:left w:val="none" w:sz="0" w:space="0" w:color="auto"/>
        <w:bottom w:val="none" w:sz="0" w:space="0" w:color="auto"/>
        <w:right w:val="none" w:sz="0" w:space="0" w:color="auto"/>
      </w:divBdr>
    </w:div>
    <w:div w:id="2116629947">
      <w:bodyDiv w:val="1"/>
      <w:marLeft w:val="0"/>
      <w:marRight w:val="0"/>
      <w:marTop w:val="0"/>
      <w:marBottom w:val="0"/>
      <w:divBdr>
        <w:top w:val="none" w:sz="0" w:space="0" w:color="auto"/>
        <w:left w:val="none" w:sz="0" w:space="0" w:color="auto"/>
        <w:bottom w:val="none" w:sz="0" w:space="0" w:color="auto"/>
        <w:right w:val="none" w:sz="0" w:space="0" w:color="auto"/>
      </w:divBdr>
    </w:div>
    <w:div w:id="2116828565">
      <w:bodyDiv w:val="1"/>
      <w:marLeft w:val="0"/>
      <w:marRight w:val="0"/>
      <w:marTop w:val="0"/>
      <w:marBottom w:val="0"/>
      <w:divBdr>
        <w:top w:val="none" w:sz="0" w:space="0" w:color="auto"/>
        <w:left w:val="none" w:sz="0" w:space="0" w:color="auto"/>
        <w:bottom w:val="none" w:sz="0" w:space="0" w:color="auto"/>
        <w:right w:val="none" w:sz="0" w:space="0" w:color="auto"/>
      </w:divBdr>
    </w:div>
    <w:div w:id="2116944691">
      <w:bodyDiv w:val="1"/>
      <w:marLeft w:val="0"/>
      <w:marRight w:val="0"/>
      <w:marTop w:val="0"/>
      <w:marBottom w:val="0"/>
      <w:divBdr>
        <w:top w:val="none" w:sz="0" w:space="0" w:color="auto"/>
        <w:left w:val="none" w:sz="0" w:space="0" w:color="auto"/>
        <w:bottom w:val="none" w:sz="0" w:space="0" w:color="auto"/>
        <w:right w:val="none" w:sz="0" w:space="0" w:color="auto"/>
      </w:divBdr>
    </w:div>
    <w:div w:id="2117015548">
      <w:bodyDiv w:val="1"/>
      <w:marLeft w:val="0"/>
      <w:marRight w:val="0"/>
      <w:marTop w:val="0"/>
      <w:marBottom w:val="0"/>
      <w:divBdr>
        <w:top w:val="none" w:sz="0" w:space="0" w:color="auto"/>
        <w:left w:val="none" w:sz="0" w:space="0" w:color="auto"/>
        <w:bottom w:val="none" w:sz="0" w:space="0" w:color="auto"/>
        <w:right w:val="none" w:sz="0" w:space="0" w:color="auto"/>
      </w:divBdr>
    </w:div>
    <w:div w:id="2117213303">
      <w:bodyDiv w:val="1"/>
      <w:marLeft w:val="0"/>
      <w:marRight w:val="0"/>
      <w:marTop w:val="0"/>
      <w:marBottom w:val="0"/>
      <w:divBdr>
        <w:top w:val="none" w:sz="0" w:space="0" w:color="auto"/>
        <w:left w:val="none" w:sz="0" w:space="0" w:color="auto"/>
        <w:bottom w:val="none" w:sz="0" w:space="0" w:color="auto"/>
        <w:right w:val="none" w:sz="0" w:space="0" w:color="auto"/>
      </w:divBdr>
    </w:div>
    <w:div w:id="2117283462">
      <w:bodyDiv w:val="1"/>
      <w:marLeft w:val="0"/>
      <w:marRight w:val="0"/>
      <w:marTop w:val="0"/>
      <w:marBottom w:val="0"/>
      <w:divBdr>
        <w:top w:val="none" w:sz="0" w:space="0" w:color="auto"/>
        <w:left w:val="none" w:sz="0" w:space="0" w:color="auto"/>
        <w:bottom w:val="none" w:sz="0" w:space="0" w:color="auto"/>
        <w:right w:val="none" w:sz="0" w:space="0" w:color="auto"/>
      </w:divBdr>
    </w:div>
    <w:div w:id="2117362649">
      <w:bodyDiv w:val="1"/>
      <w:marLeft w:val="0"/>
      <w:marRight w:val="0"/>
      <w:marTop w:val="0"/>
      <w:marBottom w:val="0"/>
      <w:divBdr>
        <w:top w:val="none" w:sz="0" w:space="0" w:color="auto"/>
        <w:left w:val="none" w:sz="0" w:space="0" w:color="auto"/>
        <w:bottom w:val="none" w:sz="0" w:space="0" w:color="auto"/>
        <w:right w:val="none" w:sz="0" w:space="0" w:color="auto"/>
      </w:divBdr>
    </w:div>
    <w:div w:id="2117365655">
      <w:bodyDiv w:val="1"/>
      <w:marLeft w:val="0"/>
      <w:marRight w:val="0"/>
      <w:marTop w:val="0"/>
      <w:marBottom w:val="0"/>
      <w:divBdr>
        <w:top w:val="none" w:sz="0" w:space="0" w:color="auto"/>
        <w:left w:val="none" w:sz="0" w:space="0" w:color="auto"/>
        <w:bottom w:val="none" w:sz="0" w:space="0" w:color="auto"/>
        <w:right w:val="none" w:sz="0" w:space="0" w:color="auto"/>
      </w:divBdr>
    </w:div>
    <w:div w:id="2117367079">
      <w:bodyDiv w:val="1"/>
      <w:marLeft w:val="0"/>
      <w:marRight w:val="0"/>
      <w:marTop w:val="0"/>
      <w:marBottom w:val="0"/>
      <w:divBdr>
        <w:top w:val="none" w:sz="0" w:space="0" w:color="auto"/>
        <w:left w:val="none" w:sz="0" w:space="0" w:color="auto"/>
        <w:bottom w:val="none" w:sz="0" w:space="0" w:color="auto"/>
        <w:right w:val="none" w:sz="0" w:space="0" w:color="auto"/>
      </w:divBdr>
    </w:div>
    <w:div w:id="2117672249">
      <w:bodyDiv w:val="1"/>
      <w:marLeft w:val="0"/>
      <w:marRight w:val="0"/>
      <w:marTop w:val="0"/>
      <w:marBottom w:val="0"/>
      <w:divBdr>
        <w:top w:val="none" w:sz="0" w:space="0" w:color="auto"/>
        <w:left w:val="none" w:sz="0" w:space="0" w:color="auto"/>
        <w:bottom w:val="none" w:sz="0" w:space="0" w:color="auto"/>
        <w:right w:val="none" w:sz="0" w:space="0" w:color="auto"/>
      </w:divBdr>
    </w:div>
    <w:div w:id="2118132269">
      <w:bodyDiv w:val="1"/>
      <w:marLeft w:val="0"/>
      <w:marRight w:val="0"/>
      <w:marTop w:val="0"/>
      <w:marBottom w:val="0"/>
      <w:divBdr>
        <w:top w:val="none" w:sz="0" w:space="0" w:color="auto"/>
        <w:left w:val="none" w:sz="0" w:space="0" w:color="auto"/>
        <w:bottom w:val="none" w:sz="0" w:space="0" w:color="auto"/>
        <w:right w:val="none" w:sz="0" w:space="0" w:color="auto"/>
      </w:divBdr>
    </w:div>
    <w:div w:id="2118137263">
      <w:bodyDiv w:val="1"/>
      <w:marLeft w:val="0"/>
      <w:marRight w:val="0"/>
      <w:marTop w:val="0"/>
      <w:marBottom w:val="0"/>
      <w:divBdr>
        <w:top w:val="none" w:sz="0" w:space="0" w:color="auto"/>
        <w:left w:val="none" w:sz="0" w:space="0" w:color="auto"/>
        <w:bottom w:val="none" w:sz="0" w:space="0" w:color="auto"/>
        <w:right w:val="none" w:sz="0" w:space="0" w:color="auto"/>
      </w:divBdr>
    </w:div>
    <w:div w:id="2118212319">
      <w:bodyDiv w:val="1"/>
      <w:marLeft w:val="0"/>
      <w:marRight w:val="0"/>
      <w:marTop w:val="0"/>
      <w:marBottom w:val="0"/>
      <w:divBdr>
        <w:top w:val="none" w:sz="0" w:space="0" w:color="auto"/>
        <w:left w:val="none" w:sz="0" w:space="0" w:color="auto"/>
        <w:bottom w:val="none" w:sz="0" w:space="0" w:color="auto"/>
        <w:right w:val="none" w:sz="0" w:space="0" w:color="auto"/>
      </w:divBdr>
    </w:div>
    <w:div w:id="2118258974">
      <w:bodyDiv w:val="1"/>
      <w:marLeft w:val="0"/>
      <w:marRight w:val="0"/>
      <w:marTop w:val="0"/>
      <w:marBottom w:val="0"/>
      <w:divBdr>
        <w:top w:val="none" w:sz="0" w:space="0" w:color="auto"/>
        <w:left w:val="none" w:sz="0" w:space="0" w:color="auto"/>
        <w:bottom w:val="none" w:sz="0" w:space="0" w:color="auto"/>
        <w:right w:val="none" w:sz="0" w:space="0" w:color="auto"/>
      </w:divBdr>
    </w:div>
    <w:div w:id="2118284869">
      <w:bodyDiv w:val="1"/>
      <w:marLeft w:val="0"/>
      <w:marRight w:val="0"/>
      <w:marTop w:val="0"/>
      <w:marBottom w:val="0"/>
      <w:divBdr>
        <w:top w:val="none" w:sz="0" w:space="0" w:color="auto"/>
        <w:left w:val="none" w:sz="0" w:space="0" w:color="auto"/>
        <w:bottom w:val="none" w:sz="0" w:space="0" w:color="auto"/>
        <w:right w:val="none" w:sz="0" w:space="0" w:color="auto"/>
      </w:divBdr>
    </w:div>
    <w:div w:id="2118328363">
      <w:bodyDiv w:val="1"/>
      <w:marLeft w:val="0"/>
      <w:marRight w:val="0"/>
      <w:marTop w:val="0"/>
      <w:marBottom w:val="0"/>
      <w:divBdr>
        <w:top w:val="none" w:sz="0" w:space="0" w:color="auto"/>
        <w:left w:val="none" w:sz="0" w:space="0" w:color="auto"/>
        <w:bottom w:val="none" w:sz="0" w:space="0" w:color="auto"/>
        <w:right w:val="none" w:sz="0" w:space="0" w:color="auto"/>
      </w:divBdr>
    </w:div>
    <w:div w:id="2118910084">
      <w:bodyDiv w:val="1"/>
      <w:marLeft w:val="0"/>
      <w:marRight w:val="0"/>
      <w:marTop w:val="0"/>
      <w:marBottom w:val="0"/>
      <w:divBdr>
        <w:top w:val="none" w:sz="0" w:space="0" w:color="auto"/>
        <w:left w:val="none" w:sz="0" w:space="0" w:color="auto"/>
        <w:bottom w:val="none" w:sz="0" w:space="0" w:color="auto"/>
        <w:right w:val="none" w:sz="0" w:space="0" w:color="auto"/>
      </w:divBdr>
    </w:div>
    <w:div w:id="2119594654">
      <w:bodyDiv w:val="1"/>
      <w:marLeft w:val="0"/>
      <w:marRight w:val="0"/>
      <w:marTop w:val="0"/>
      <w:marBottom w:val="0"/>
      <w:divBdr>
        <w:top w:val="none" w:sz="0" w:space="0" w:color="auto"/>
        <w:left w:val="none" w:sz="0" w:space="0" w:color="auto"/>
        <w:bottom w:val="none" w:sz="0" w:space="0" w:color="auto"/>
        <w:right w:val="none" w:sz="0" w:space="0" w:color="auto"/>
      </w:divBdr>
    </w:div>
    <w:div w:id="2119640768">
      <w:bodyDiv w:val="1"/>
      <w:marLeft w:val="0"/>
      <w:marRight w:val="0"/>
      <w:marTop w:val="0"/>
      <w:marBottom w:val="0"/>
      <w:divBdr>
        <w:top w:val="none" w:sz="0" w:space="0" w:color="auto"/>
        <w:left w:val="none" w:sz="0" w:space="0" w:color="auto"/>
        <w:bottom w:val="none" w:sz="0" w:space="0" w:color="auto"/>
        <w:right w:val="none" w:sz="0" w:space="0" w:color="auto"/>
      </w:divBdr>
    </w:div>
    <w:div w:id="2119904449">
      <w:bodyDiv w:val="1"/>
      <w:marLeft w:val="0"/>
      <w:marRight w:val="0"/>
      <w:marTop w:val="0"/>
      <w:marBottom w:val="0"/>
      <w:divBdr>
        <w:top w:val="none" w:sz="0" w:space="0" w:color="auto"/>
        <w:left w:val="none" w:sz="0" w:space="0" w:color="auto"/>
        <w:bottom w:val="none" w:sz="0" w:space="0" w:color="auto"/>
        <w:right w:val="none" w:sz="0" w:space="0" w:color="auto"/>
      </w:divBdr>
    </w:div>
    <w:div w:id="2120028005">
      <w:bodyDiv w:val="1"/>
      <w:marLeft w:val="0"/>
      <w:marRight w:val="0"/>
      <w:marTop w:val="0"/>
      <w:marBottom w:val="0"/>
      <w:divBdr>
        <w:top w:val="none" w:sz="0" w:space="0" w:color="auto"/>
        <w:left w:val="none" w:sz="0" w:space="0" w:color="auto"/>
        <w:bottom w:val="none" w:sz="0" w:space="0" w:color="auto"/>
        <w:right w:val="none" w:sz="0" w:space="0" w:color="auto"/>
      </w:divBdr>
    </w:div>
    <w:div w:id="2120031016">
      <w:bodyDiv w:val="1"/>
      <w:marLeft w:val="0"/>
      <w:marRight w:val="0"/>
      <w:marTop w:val="0"/>
      <w:marBottom w:val="0"/>
      <w:divBdr>
        <w:top w:val="none" w:sz="0" w:space="0" w:color="auto"/>
        <w:left w:val="none" w:sz="0" w:space="0" w:color="auto"/>
        <w:bottom w:val="none" w:sz="0" w:space="0" w:color="auto"/>
        <w:right w:val="none" w:sz="0" w:space="0" w:color="auto"/>
      </w:divBdr>
    </w:div>
    <w:div w:id="2120249929">
      <w:bodyDiv w:val="1"/>
      <w:marLeft w:val="0"/>
      <w:marRight w:val="0"/>
      <w:marTop w:val="0"/>
      <w:marBottom w:val="0"/>
      <w:divBdr>
        <w:top w:val="none" w:sz="0" w:space="0" w:color="auto"/>
        <w:left w:val="none" w:sz="0" w:space="0" w:color="auto"/>
        <w:bottom w:val="none" w:sz="0" w:space="0" w:color="auto"/>
        <w:right w:val="none" w:sz="0" w:space="0" w:color="auto"/>
      </w:divBdr>
    </w:div>
    <w:div w:id="2120372075">
      <w:bodyDiv w:val="1"/>
      <w:marLeft w:val="0"/>
      <w:marRight w:val="0"/>
      <w:marTop w:val="0"/>
      <w:marBottom w:val="0"/>
      <w:divBdr>
        <w:top w:val="none" w:sz="0" w:space="0" w:color="auto"/>
        <w:left w:val="none" w:sz="0" w:space="0" w:color="auto"/>
        <w:bottom w:val="none" w:sz="0" w:space="0" w:color="auto"/>
        <w:right w:val="none" w:sz="0" w:space="0" w:color="auto"/>
      </w:divBdr>
    </w:div>
    <w:div w:id="2120710845">
      <w:bodyDiv w:val="1"/>
      <w:marLeft w:val="0"/>
      <w:marRight w:val="0"/>
      <w:marTop w:val="0"/>
      <w:marBottom w:val="0"/>
      <w:divBdr>
        <w:top w:val="none" w:sz="0" w:space="0" w:color="auto"/>
        <w:left w:val="none" w:sz="0" w:space="0" w:color="auto"/>
        <w:bottom w:val="none" w:sz="0" w:space="0" w:color="auto"/>
        <w:right w:val="none" w:sz="0" w:space="0" w:color="auto"/>
      </w:divBdr>
    </w:div>
    <w:div w:id="2121098858">
      <w:bodyDiv w:val="1"/>
      <w:marLeft w:val="0"/>
      <w:marRight w:val="0"/>
      <w:marTop w:val="0"/>
      <w:marBottom w:val="0"/>
      <w:divBdr>
        <w:top w:val="none" w:sz="0" w:space="0" w:color="auto"/>
        <w:left w:val="none" w:sz="0" w:space="0" w:color="auto"/>
        <w:bottom w:val="none" w:sz="0" w:space="0" w:color="auto"/>
        <w:right w:val="none" w:sz="0" w:space="0" w:color="auto"/>
      </w:divBdr>
    </w:div>
    <w:div w:id="2121101622">
      <w:bodyDiv w:val="1"/>
      <w:marLeft w:val="0"/>
      <w:marRight w:val="0"/>
      <w:marTop w:val="0"/>
      <w:marBottom w:val="0"/>
      <w:divBdr>
        <w:top w:val="none" w:sz="0" w:space="0" w:color="auto"/>
        <w:left w:val="none" w:sz="0" w:space="0" w:color="auto"/>
        <w:bottom w:val="none" w:sz="0" w:space="0" w:color="auto"/>
        <w:right w:val="none" w:sz="0" w:space="0" w:color="auto"/>
      </w:divBdr>
    </w:div>
    <w:div w:id="2121144731">
      <w:bodyDiv w:val="1"/>
      <w:marLeft w:val="0"/>
      <w:marRight w:val="0"/>
      <w:marTop w:val="0"/>
      <w:marBottom w:val="0"/>
      <w:divBdr>
        <w:top w:val="none" w:sz="0" w:space="0" w:color="auto"/>
        <w:left w:val="none" w:sz="0" w:space="0" w:color="auto"/>
        <w:bottom w:val="none" w:sz="0" w:space="0" w:color="auto"/>
        <w:right w:val="none" w:sz="0" w:space="0" w:color="auto"/>
      </w:divBdr>
    </w:div>
    <w:div w:id="2121223581">
      <w:bodyDiv w:val="1"/>
      <w:marLeft w:val="0"/>
      <w:marRight w:val="0"/>
      <w:marTop w:val="0"/>
      <w:marBottom w:val="0"/>
      <w:divBdr>
        <w:top w:val="none" w:sz="0" w:space="0" w:color="auto"/>
        <w:left w:val="none" w:sz="0" w:space="0" w:color="auto"/>
        <w:bottom w:val="none" w:sz="0" w:space="0" w:color="auto"/>
        <w:right w:val="none" w:sz="0" w:space="0" w:color="auto"/>
      </w:divBdr>
    </w:div>
    <w:div w:id="2121486939">
      <w:bodyDiv w:val="1"/>
      <w:marLeft w:val="0"/>
      <w:marRight w:val="0"/>
      <w:marTop w:val="0"/>
      <w:marBottom w:val="0"/>
      <w:divBdr>
        <w:top w:val="none" w:sz="0" w:space="0" w:color="auto"/>
        <w:left w:val="none" w:sz="0" w:space="0" w:color="auto"/>
        <w:bottom w:val="none" w:sz="0" w:space="0" w:color="auto"/>
        <w:right w:val="none" w:sz="0" w:space="0" w:color="auto"/>
      </w:divBdr>
    </w:div>
    <w:div w:id="2121603227">
      <w:bodyDiv w:val="1"/>
      <w:marLeft w:val="0"/>
      <w:marRight w:val="0"/>
      <w:marTop w:val="0"/>
      <w:marBottom w:val="0"/>
      <w:divBdr>
        <w:top w:val="none" w:sz="0" w:space="0" w:color="auto"/>
        <w:left w:val="none" w:sz="0" w:space="0" w:color="auto"/>
        <w:bottom w:val="none" w:sz="0" w:space="0" w:color="auto"/>
        <w:right w:val="none" w:sz="0" w:space="0" w:color="auto"/>
      </w:divBdr>
    </w:div>
    <w:div w:id="2121608525">
      <w:bodyDiv w:val="1"/>
      <w:marLeft w:val="0"/>
      <w:marRight w:val="0"/>
      <w:marTop w:val="0"/>
      <w:marBottom w:val="0"/>
      <w:divBdr>
        <w:top w:val="none" w:sz="0" w:space="0" w:color="auto"/>
        <w:left w:val="none" w:sz="0" w:space="0" w:color="auto"/>
        <w:bottom w:val="none" w:sz="0" w:space="0" w:color="auto"/>
        <w:right w:val="none" w:sz="0" w:space="0" w:color="auto"/>
      </w:divBdr>
    </w:div>
    <w:div w:id="2121757697">
      <w:bodyDiv w:val="1"/>
      <w:marLeft w:val="0"/>
      <w:marRight w:val="0"/>
      <w:marTop w:val="0"/>
      <w:marBottom w:val="0"/>
      <w:divBdr>
        <w:top w:val="none" w:sz="0" w:space="0" w:color="auto"/>
        <w:left w:val="none" w:sz="0" w:space="0" w:color="auto"/>
        <w:bottom w:val="none" w:sz="0" w:space="0" w:color="auto"/>
        <w:right w:val="none" w:sz="0" w:space="0" w:color="auto"/>
      </w:divBdr>
    </w:div>
    <w:div w:id="2121953901">
      <w:bodyDiv w:val="1"/>
      <w:marLeft w:val="0"/>
      <w:marRight w:val="0"/>
      <w:marTop w:val="0"/>
      <w:marBottom w:val="0"/>
      <w:divBdr>
        <w:top w:val="none" w:sz="0" w:space="0" w:color="auto"/>
        <w:left w:val="none" w:sz="0" w:space="0" w:color="auto"/>
        <w:bottom w:val="none" w:sz="0" w:space="0" w:color="auto"/>
        <w:right w:val="none" w:sz="0" w:space="0" w:color="auto"/>
      </w:divBdr>
    </w:div>
    <w:div w:id="2121954437">
      <w:bodyDiv w:val="1"/>
      <w:marLeft w:val="0"/>
      <w:marRight w:val="0"/>
      <w:marTop w:val="0"/>
      <w:marBottom w:val="0"/>
      <w:divBdr>
        <w:top w:val="none" w:sz="0" w:space="0" w:color="auto"/>
        <w:left w:val="none" w:sz="0" w:space="0" w:color="auto"/>
        <w:bottom w:val="none" w:sz="0" w:space="0" w:color="auto"/>
        <w:right w:val="none" w:sz="0" w:space="0" w:color="auto"/>
      </w:divBdr>
    </w:div>
    <w:div w:id="2121994680">
      <w:bodyDiv w:val="1"/>
      <w:marLeft w:val="0"/>
      <w:marRight w:val="0"/>
      <w:marTop w:val="0"/>
      <w:marBottom w:val="0"/>
      <w:divBdr>
        <w:top w:val="none" w:sz="0" w:space="0" w:color="auto"/>
        <w:left w:val="none" w:sz="0" w:space="0" w:color="auto"/>
        <w:bottom w:val="none" w:sz="0" w:space="0" w:color="auto"/>
        <w:right w:val="none" w:sz="0" w:space="0" w:color="auto"/>
      </w:divBdr>
    </w:div>
    <w:div w:id="2122412919">
      <w:bodyDiv w:val="1"/>
      <w:marLeft w:val="0"/>
      <w:marRight w:val="0"/>
      <w:marTop w:val="0"/>
      <w:marBottom w:val="0"/>
      <w:divBdr>
        <w:top w:val="none" w:sz="0" w:space="0" w:color="auto"/>
        <w:left w:val="none" w:sz="0" w:space="0" w:color="auto"/>
        <w:bottom w:val="none" w:sz="0" w:space="0" w:color="auto"/>
        <w:right w:val="none" w:sz="0" w:space="0" w:color="auto"/>
      </w:divBdr>
    </w:div>
    <w:div w:id="2122796087">
      <w:bodyDiv w:val="1"/>
      <w:marLeft w:val="0"/>
      <w:marRight w:val="0"/>
      <w:marTop w:val="0"/>
      <w:marBottom w:val="0"/>
      <w:divBdr>
        <w:top w:val="none" w:sz="0" w:space="0" w:color="auto"/>
        <w:left w:val="none" w:sz="0" w:space="0" w:color="auto"/>
        <w:bottom w:val="none" w:sz="0" w:space="0" w:color="auto"/>
        <w:right w:val="none" w:sz="0" w:space="0" w:color="auto"/>
      </w:divBdr>
    </w:div>
    <w:div w:id="2122916957">
      <w:bodyDiv w:val="1"/>
      <w:marLeft w:val="0"/>
      <w:marRight w:val="0"/>
      <w:marTop w:val="0"/>
      <w:marBottom w:val="0"/>
      <w:divBdr>
        <w:top w:val="none" w:sz="0" w:space="0" w:color="auto"/>
        <w:left w:val="none" w:sz="0" w:space="0" w:color="auto"/>
        <w:bottom w:val="none" w:sz="0" w:space="0" w:color="auto"/>
        <w:right w:val="none" w:sz="0" w:space="0" w:color="auto"/>
      </w:divBdr>
    </w:div>
    <w:div w:id="2123063366">
      <w:bodyDiv w:val="1"/>
      <w:marLeft w:val="0"/>
      <w:marRight w:val="0"/>
      <w:marTop w:val="0"/>
      <w:marBottom w:val="0"/>
      <w:divBdr>
        <w:top w:val="none" w:sz="0" w:space="0" w:color="auto"/>
        <w:left w:val="none" w:sz="0" w:space="0" w:color="auto"/>
        <w:bottom w:val="none" w:sz="0" w:space="0" w:color="auto"/>
        <w:right w:val="none" w:sz="0" w:space="0" w:color="auto"/>
      </w:divBdr>
    </w:div>
    <w:div w:id="2123263996">
      <w:bodyDiv w:val="1"/>
      <w:marLeft w:val="0"/>
      <w:marRight w:val="0"/>
      <w:marTop w:val="0"/>
      <w:marBottom w:val="0"/>
      <w:divBdr>
        <w:top w:val="none" w:sz="0" w:space="0" w:color="auto"/>
        <w:left w:val="none" w:sz="0" w:space="0" w:color="auto"/>
        <w:bottom w:val="none" w:sz="0" w:space="0" w:color="auto"/>
        <w:right w:val="none" w:sz="0" w:space="0" w:color="auto"/>
      </w:divBdr>
    </w:div>
    <w:div w:id="2123497803">
      <w:bodyDiv w:val="1"/>
      <w:marLeft w:val="0"/>
      <w:marRight w:val="0"/>
      <w:marTop w:val="0"/>
      <w:marBottom w:val="0"/>
      <w:divBdr>
        <w:top w:val="none" w:sz="0" w:space="0" w:color="auto"/>
        <w:left w:val="none" w:sz="0" w:space="0" w:color="auto"/>
        <w:bottom w:val="none" w:sz="0" w:space="0" w:color="auto"/>
        <w:right w:val="none" w:sz="0" w:space="0" w:color="auto"/>
      </w:divBdr>
    </w:div>
    <w:div w:id="2123650964">
      <w:bodyDiv w:val="1"/>
      <w:marLeft w:val="0"/>
      <w:marRight w:val="0"/>
      <w:marTop w:val="0"/>
      <w:marBottom w:val="0"/>
      <w:divBdr>
        <w:top w:val="none" w:sz="0" w:space="0" w:color="auto"/>
        <w:left w:val="none" w:sz="0" w:space="0" w:color="auto"/>
        <w:bottom w:val="none" w:sz="0" w:space="0" w:color="auto"/>
        <w:right w:val="none" w:sz="0" w:space="0" w:color="auto"/>
      </w:divBdr>
    </w:div>
    <w:div w:id="2124035157">
      <w:bodyDiv w:val="1"/>
      <w:marLeft w:val="0"/>
      <w:marRight w:val="0"/>
      <w:marTop w:val="0"/>
      <w:marBottom w:val="0"/>
      <w:divBdr>
        <w:top w:val="none" w:sz="0" w:space="0" w:color="auto"/>
        <w:left w:val="none" w:sz="0" w:space="0" w:color="auto"/>
        <w:bottom w:val="none" w:sz="0" w:space="0" w:color="auto"/>
        <w:right w:val="none" w:sz="0" w:space="0" w:color="auto"/>
      </w:divBdr>
    </w:div>
    <w:div w:id="2124767259">
      <w:bodyDiv w:val="1"/>
      <w:marLeft w:val="0"/>
      <w:marRight w:val="0"/>
      <w:marTop w:val="0"/>
      <w:marBottom w:val="0"/>
      <w:divBdr>
        <w:top w:val="none" w:sz="0" w:space="0" w:color="auto"/>
        <w:left w:val="none" w:sz="0" w:space="0" w:color="auto"/>
        <w:bottom w:val="none" w:sz="0" w:space="0" w:color="auto"/>
        <w:right w:val="none" w:sz="0" w:space="0" w:color="auto"/>
      </w:divBdr>
    </w:div>
    <w:div w:id="2125030225">
      <w:bodyDiv w:val="1"/>
      <w:marLeft w:val="0"/>
      <w:marRight w:val="0"/>
      <w:marTop w:val="0"/>
      <w:marBottom w:val="0"/>
      <w:divBdr>
        <w:top w:val="none" w:sz="0" w:space="0" w:color="auto"/>
        <w:left w:val="none" w:sz="0" w:space="0" w:color="auto"/>
        <w:bottom w:val="none" w:sz="0" w:space="0" w:color="auto"/>
        <w:right w:val="none" w:sz="0" w:space="0" w:color="auto"/>
      </w:divBdr>
    </w:div>
    <w:div w:id="2125267525">
      <w:bodyDiv w:val="1"/>
      <w:marLeft w:val="0"/>
      <w:marRight w:val="0"/>
      <w:marTop w:val="0"/>
      <w:marBottom w:val="0"/>
      <w:divBdr>
        <w:top w:val="none" w:sz="0" w:space="0" w:color="auto"/>
        <w:left w:val="none" w:sz="0" w:space="0" w:color="auto"/>
        <w:bottom w:val="none" w:sz="0" w:space="0" w:color="auto"/>
        <w:right w:val="none" w:sz="0" w:space="0" w:color="auto"/>
      </w:divBdr>
    </w:div>
    <w:div w:id="2125340073">
      <w:bodyDiv w:val="1"/>
      <w:marLeft w:val="0"/>
      <w:marRight w:val="0"/>
      <w:marTop w:val="0"/>
      <w:marBottom w:val="0"/>
      <w:divBdr>
        <w:top w:val="none" w:sz="0" w:space="0" w:color="auto"/>
        <w:left w:val="none" w:sz="0" w:space="0" w:color="auto"/>
        <w:bottom w:val="none" w:sz="0" w:space="0" w:color="auto"/>
        <w:right w:val="none" w:sz="0" w:space="0" w:color="auto"/>
      </w:divBdr>
    </w:div>
    <w:div w:id="2125343336">
      <w:bodyDiv w:val="1"/>
      <w:marLeft w:val="0"/>
      <w:marRight w:val="0"/>
      <w:marTop w:val="0"/>
      <w:marBottom w:val="0"/>
      <w:divBdr>
        <w:top w:val="none" w:sz="0" w:space="0" w:color="auto"/>
        <w:left w:val="none" w:sz="0" w:space="0" w:color="auto"/>
        <w:bottom w:val="none" w:sz="0" w:space="0" w:color="auto"/>
        <w:right w:val="none" w:sz="0" w:space="0" w:color="auto"/>
      </w:divBdr>
    </w:div>
    <w:div w:id="2125803220">
      <w:bodyDiv w:val="1"/>
      <w:marLeft w:val="0"/>
      <w:marRight w:val="0"/>
      <w:marTop w:val="0"/>
      <w:marBottom w:val="0"/>
      <w:divBdr>
        <w:top w:val="none" w:sz="0" w:space="0" w:color="auto"/>
        <w:left w:val="none" w:sz="0" w:space="0" w:color="auto"/>
        <w:bottom w:val="none" w:sz="0" w:space="0" w:color="auto"/>
        <w:right w:val="none" w:sz="0" w:space="0" w:color="auto"/>
      </w:divBdr>
    </w:div>
    <w:div w:id="2125995294">
      <w:bodyDiv w:val="1"/>
      <w:marLeft w:val="0"/>
      <w:marRight w:val="0"/>
      <w:marTop w:val="0"/>
      <w:marBottom w:val="0"/>
      <w:divBdr>
        <w:top w:val="none" w:sz="0" w:space="0" w:color="auto"/>
        <w:left w:val="none" w:sz="0" w:space="0" w:color="auto"/>
        <w:bottom w:val="none" w:sz="0" w:space="0" w:color="auto"/>
        <w:right w:val="none" w:sz="0" w:space="0" w:color="auto"/>
      </w:divBdr>
    </w:div>
    <w:div w:id="2126077293">
      <w:bodyDiv w:val="1"/>
      <w:marLeft w:val="0"/>
      <w:marRight w:val="0"/>
      <w:marTop w:val="0"/>
      <w:marBottom w:val="0"/>
      <w:divBdr>
        <w:top w:val="none" w:sz="0" w:space="0" w:color="auto"/>
        <w:left w:val="none" w:sz="0" w:space="0" w:color="auto"/>
        <w:bottom w:val="none" w:sz="0" w:space="0" w:color="auto"/>
        <w:right w:val="none" w:sz="0" w:space="0" w:color="auto"/>
      </w:divBdr>
    </w:div>
    <w:div w:id="2126149363">
      <w:bodyDiv w:val="1"/>
      <w:marLeft w:val="0"/>
      <w:marRight w:val="0"/>
      <w:marTop w:val="0"/>
      <w:marBottom w:val="0"/>
      <w:divBdr>
        <w:top w:val="none" w:sz="0" w:space="0" w:color="auto"/>
        <w:left w:val="none" w:sz="0" w:space="0" w:color="auto"/>
        <w:bottom w:val="none" w:sz="0" w:space="0" w:color="auto"/>
        <w:right w:val="none" w:sz="0" w:space="0" w:color="auto"/>
      </w:divBdr>
    </w:div>
    <w:div w:id="2126151671">
      <w:bodyDiv w:val="1"/>
      <w:marLeft w:val="0"/>
      <w:marRight w:val="0"/>
      <w:marTop w:val="0"/>
      <w:marBottom w:val="0"/>
      <w:divBdr>
        <w:top w:val="none" w:sz="0" w:space="0" w:color="auto"/>
        <w:left w:val="none" w:sz="0" w:space="0" w:color="auto"/>
        <w:bottom w:val="none" w:sz="0" w:space="0" w:color="auto"/>
        <w:right w:val="none" w:sz="0" w:space="0" w:color="auto"/>
      </w:divBdr>
    </w:div>
    <w:div w:id="2126196280">
      <w:bodyDiv w:val="1"/>
      <w:marLeft w:val="0"/>
      <w:marRight w:val="0"/>
      <w:marTop w:val="0"/>
      <w:marBottom w:val="0"/>
      <w:divBdr>
        <w:top w:val="none" w:sz="0" w:space="0" w:color="auto"/>
        <w:left w:val="none" w:sz="0" w:space="0" w:color="auto"/>
        <w:bottom w:val="none" w:sz="0" w:space="0" w:color="auto"/>
        <w:right w:val="none" w:sz="0" w:space="0" w:color="auto"/>
      </w:divBdr>
    </w:div>
    <w:div w:id="2126345480">
      <w:bodyDiv w:val="1"/>
      <w:marLeft w:val="0"/>
      <w:marRight w:val="0"/>
      <w:marTop w:val="0"/>
      <w:marBottom w:val="0"/>
      <w:divBdr>
        <w:top w:val="none" w:sz="0" w:space="0" w:color="auto"/>
        <w:left w:val="none" w:sz="0" w:space="0" w:color="auto"/>
        <w:bottom w:val="none" w:sz="0" w:space="0" w:color="auto"/>
        <w:right w:val="none" w:sz="0" w:space="0" w:color="auto"/>
      </w:divBdr>
    </w:div>
    <w:div w:id="2126461947">
      <w:bodyDiv w:val="1"/>
      <w:marLeft w:val="0"/>
      <w:marRight w:val="0"/>
      <w:marTop w:val="0"/>
      <w:marBottom w:val="0"/>
      <w:divBdr>
        <w:top w:val="none" w:sz="0" w:space="0" w:color="auto"/>
        <w:left w:val="none" w:sz="0" w:space="0" w:color="auto"/>
        <w:bottom w:val="none" w:sz="0" w:space="0" w:color="auto"/>
        <w:right w:val="none" w:sz="0" w:space="0" w:color="auto"/>
      </w:divBdr>
    </w:div>
    <w:div w:id="2126652513">
      <w:bodyDiv w:val="1"/>
      <w:marLeft w:val="0"/>
      <w:marRight w:val="0"/>
      <w:marTop w:val="0"/>
      <w:marBottom w:val="0"/>
      <w:divBdr>
        <w:top w:val="none" w:sz="0" w:space="0" w:color="auto"/>
        <w:left w:val="none" w:sz="0" w:space="0" w:color="auto"/>
        <w:bottom w:val="none" w:sz="0" w:space="0" w:color="auto"/>
        <w:right w:val="none" w:sz="0" w:space="0" w:color="auto"/>
      </w:divBdr>
    </w:div>
    <w:div w:id="2126846397">
      <w:bodyDiv w:val="1"/>
      <w:marLeft w:val="0"/>
      <w:marRight w:val="0"/>
      <w:marTop w:val="0"/>
      <w:marBottom w:val="0"/>
      <w:divBdr>
        <w:top w:val="none" w:sz="0" w:space="0" w:color="auto"/>
        <w:left w:val="none" w:sz="0" w:space="0" w:color="auto"/>
        <w:bottom w:val="none" w:sz="0" w:space="0" w:color="auto"/>
        <w:right w:val="none" w:sz="0" w:space="0" w:color="auto"/>
      </w:divBdr>
    </w:div>
    <w:div w:id="2127312994">
      <w:bodyDiv w:val="1"/>
      <w:marLeft w:val="0"/>
      <w:marRight w:val="0"/>
      <w:marTop w:val="0"/>
      <w:marBottom w:val="0"/>
      <w:divBdr>
        <w:top w:val="none" w:sz="0" w:space="0" w:color="auto"/>
        <w:left w:val="none" w:sz="0" w:space="0" w:color="auto"/>
        <w:bottom w:val="none" w:sz="0" w:space="0" w:color="auto"/>
        <w:right w:val="none" w:sz="0" w:space="0" w:color="auto"/>
      </w:divBdr>
    </w:div>
    <w:div w:id="2127501666">
      <w:bodyDiv w:val="1"/>
      <w:marLeft w:val="0"/>
      <w:marRight w:val="0"/>
      <w:marTop w:val="0"/>
      <w:marBottom w:val="0"/>
      <w:divBdr>
        <w:top w:val="none" w:sz="0" w:space="0" w:color="auto"/>
        <w:left w:val="none" w:sz="0" w:space="0" w:color="auto"/>
        <w:bottom w:val="none" w:sz="0" w:space="0" w:color="auto"/>
        <w:right w:val="none" w:sz="0" w:space="0" w:color="auto"/>
      </w:divBdr>
    </w:div>
    <w:div w:id="2127582535">
      <w:bodyDiv w:val="1"/>
      <w:marLeft w:val="0"/>
      <w:marRight w:val="0"/>
      <w:marTop w:val="0"/>
      <w:marBottom w:val="0"/>
      <w:divBdr>
        <w:top w:val="none" w:sz="0" w:space="0" w:color="auto"/>
        <w:left w:val="none" w:sz="0" w:space="0" w:color="auto"/>
        <w:bottom w:val="none" w:sz="0" w:space="0" w:color="auto"/>
        <w:right w:val="none" w:sz="0" w:space="0" w:color="auto"/>
      </w:divBdr>
    </w:div>
    <w:div w:id="2127774938">
      <w:bodyDiv w:val="1"/>
      <w:marLeft w:val="0"/>
      <w:marRight w:val="0"/>
      <w:marTop w:val="0"/>
      <w:marBottom w:val="0"/>
      <w:divBdr>
        <w:top w:val="none" w:sz="0" w:space="0" w:color="auto"/>
        <w:left w:val="none" w:sz="0" w:space="0" w:color="auto"/>
        <w:bottom w:val="none" w:sz="0" w:space="0" w:color="auto"/>
        <w:right w:val="none" w:sz="0" w:space="0" w:color="auto"/>
      </w:divBdr>
    </w:div>
    <w:div w:id="2128237610">
      <w:bodyDiv w:val="1"/>
      <w:marLeft w:val="0"/>
      <w:marRight w:val="0"/>
      <w:marTop w:val="0"/>
      <w:marBottom w:val="0"/>
      <w:divBdr>
        <w:top w:val="none" w:sz="0" w:space="0" w:color="auto"/>
        <w:left w:val="none" w:sz="0" w:space="0" w:color="auto"/>
        <w:bottom w:val="none" w:sz="0" w:space="0" w:color="auto"/>
        <w:right w:val="none" w:sz="0" w:space="0" w:color="auto"/>
      </w:divBdr>
    </w:div>
    <w:div w:id="2128312315">
      <w:bodyDiv w:val="1"/>
      <w:marLeft w:val="0"/>
      <w:marRight w:val="0"/>
      <w:marTop w:val="0"/>
      <w:marBottom w:val="0"/>
      <w:divBdr>
        <w:top w:val="none" w:sz="0" w:space="0" w:color="auto"/>
        <w:left w:val="none" w:sz="0" w:space="0" w:color="auto"/>
        <w:bottom w:val="none" w:sz="0" w:space="0" w:color="auto"/>
        <w:right w:val="none" w:sz="0" w:space="0" w:color="auto"/>
      </w:divBdr>
    </w:div>
    <w:div w:id="2128507036">
      <w:bodyDiv w:val="1"/>
      <w:marLeft w:val="0"/>
      <w:marRight w:val="0"/>
      <w:marTop w:val="0"/>
      <w:marBottom w:val="0"/>
      <w:divBdr>
        <w:top w:val="none" w:sz="0" w:space="0" w:color="auto"/>
        <w:left w:val="none" w:sz="0" w:space="0" w:color="auto"/>
        <w:bottom w:val="none" w:sz="0" w:space="0" w:color="auto"/>
        <w:right w:val="none" w:sz="0" w:space="0" w:color="auto"/>
      </w:divBdr>
    </w:div>
    <w:div w:id="2129158507">
      <w:bodyDiv w:val="1"/>
      <w:marLeft w:val="0"/>
      <w:marRight w:val="0"/>
      <w:marTop w:val="0"/>
      <w:marBottom w:val="0"/>
      <w:divBdr>
        <w:top w:val="none" w:sz="0" w:space="0" w:color="auto"/>
        <w:left w:val="none" w:sz="0" w:space="0" w:color="auto"/>
        <w:bottom w:val="none" w:sz="0" w:space="0" w:color="auto"/>
        <w:right w:val="none" w:sz="0" w:space="0" w:color="auto"/>
      </w:divBdr>
    </w:div>
    <w:div w:id="2129541028">
      <w:bodyDiv w:val="1"/>
      <w:marLeft w:val="0"/>
      <w:marRight w:val="0"/>
      <w:marTop w:val="0"/>
      <w:marBottom w:val="0"/>
      <w:divBdr>
        <w:top w:val="none" w:sz="0" w:space="0" w:color="auto"/>
        <w:left w:val="none" w:sz="0" w:space="0" w:color="auto"/>
        <w:bottom w:val="none" w:sz="0" w:space="0" w:color="auto"/>
        <w:right w:val="none" w:sz="0" w:space="0" w:color="auto"/>
      </w:divBdr>
    </w:div>
    <w:div w:id="2129545917">
      <w:bodyDiv w:val="1"/>
      <w:marLeft w:val="0"/>
      <w:marRight w:val="0"/>
      <w:marTop w:val="0"/>
      <w:marBottom w:val="0"/>
      <w:divBdr>
        <w:top w:val="none" w:sz="0" w:space="0" w:color="auto"/>
        <w:left w:val="none" w:sz="0" w:space="0" w:color="auto"/>
        <w:bottom w:val="none" w:sz="0" w:space="0" w:color="auto"/>
        <w:right w:val="none" w:sz="0" w:space="0" w:color="auto"/>
      </w:divBdr>
    </w:div>
    <w:div w:id="2130124665">
      <w:bodyDiv w:val="1"/>
      <w:marLeft w:val="0"/>
      <w:marRight w:val="0"/>
      <w:marTop w:val="0"/>
      <w:marBottom w:val="0"/>
      <w:divBdr>
        <w:top w:val="none" w:sz="0" w:space="0" w:color="auto"/>
        <w:left w:val="none" w:sz="0" w:space="0" w:color="auto"/>
        <w:bottom w:val="none" w:sz="0" w:space="0" w:color="auto"/>
        <w:right w:val="none" w:sz="0" w:space="0" w:color="auto"/>
      </w:divBdr>
    </w:div>
    <w:div w:id="2130388746">
      <w:bodyDiv w:val="1"/>
      <w:marLeft w:val="0"/>
      <w:marRight w:val="0"/>
      <w:marTop w:val="0"/>
      <w:marBottom w:val="0"/>
      <w:divBdr>
        <w:top w:val="none" w:sz="0" w:space="0" w:color="auto"/>
        <w:left w:val="none" w:sz="0" w:space="0" w:color="auto"/>
        <w:bottom w:val="none" w:sz="0" w:space="0" w:color="auto"/>
        <w:right w:val="none" w:sz="0" w:space="0" w:color="auto"/>
      </w:divBdr>
    </w:div>
    <w:div w:id="2130466735">
      <w:bodyDiv w:val="1"/>
      <w:marLeft w:val="0"/>
      <w:marRight w:val="0"/>
      <w:marTop w:val="0"/>
      <w:marBottom w:val="0"/>
      <w:divBdr>
        <w:top w:val="none" w:sz="0" w:space="0" w:color="auto"/>
        <w:left w:val="none" w:sz="0" w:space="0" w:color="auto"/>
        <w:bottom w:val="none" w:sz="0" w:space="0" w:color="auto"/>
        <w:right w:val="none" w:sz="0" w:space="0" w:color="auto"/>
      </w:divBdr>
    </w:div>
    <w:div w:id="2130590319">
      <w:bodyDiv w:val="1"/>
      <w:marLeft w:val="0"/>
      <w:marRight w:val="0"/>
      <w:marTop w:val="0"/>
      <w:marBottom w:val="0"/>
      <w:divBdr>
        <w:top w:val="none" w:sz="0" w:space="0" w:color="auto"/>
        <w:left w:val="none" w:sz="0" w:space="0" w:color="auto"/>
        <w:bottom w:val="none" w:sz="0" w:space="0" w:color="auto"/>
        <w:right w:val="none" w:sz="0" w:space="0" w:color="auto"/>
      </w:divBdr>
    </w:div>
    <w:div w:id="2130733099">
      <w:bodyDiv w:val="1"/>
      <w:marLeft w:val="0"/>
      <w:marRight w:val="0"/>
      <w:marTop w:val="0"/>
      <w:marBottom w:val="0"/>
      <w:divBdr>
        <w:top w:val="none" w:sz="0" w:space="0" w:color="auto"/>
        <w:left w:val="none" w:sz="0" w:space="0" w:color="auto"/>
        <w:bottom w:val="none" w:sz="0" w:space="0" w:color="auto"/>
        <w:right w:val="none" w:sz="0" w:space="0" w:color="auto"/>
      </w:divBdr>
    </w:div>
    <w:div w:id="2131242248">
      <w:bodyDiv w:val="1"/>
      <w:marLeft w:val="0"/>
      <w:marRight w:val="0"/>
      <w:marTop w:val="0"/>
      <w:marBottom w:val="0"/>
      <w:divBdr>
        <w:top w:val="none" w:sz="0" w:space="0" w:color="auto"/>
        <w:left w:val="none" w:sz="0" w:space="0" w:color="auto"/>
        <w:bottom w:val="none" w:sz="0" w:space="0" w:color="auto"/>
        <w:right w:val="none" w:sz="0" w:space="0" w:color="auto"/>
      </w:divBdr>
    </w:div>
    <w:div w:id="2131439225">
      <w:bodyDiv w:val="1"/>
      <w:marLeft w:val="0"/>
      <w:marRight w:val="0"/>
      <w:marTop w:val="0"/>
      <w:marBottom w:val="0"/>
      <w:divBdr>
        <w:top w:val="none" w:sz="0" w:space="0" w:color="auto"/>
        <w:left w:val="none" w:sz="0" w:space="0" w:color="auto"/>
        <w:bottom w:val="none" w:sz="0" w:space="0" w:color="auto"/>
        <w:right w:val="none" w:sz="0" w:space="0" w:color="auto"/>
      </w:divBdr>
    </w:div>
    <w:div w:id="2132088387">
      <w:bodyDiv w:val="1"/>
      <w:marLeft w:val="0"/>
      <w:marRight w:val="0"/>
      <w:marTop w:val="0"/>
      <w:marBottom w:val="0"/>
      <w:divBdr>
        <w:top w:val="none" w:sz="0" w:space="0" w:color="auto"/>
        <w:left w:val="none" w:sz="0" w:space="0" w:color="auto"/>
        <w:bottom w:val="none" w:sz="0" w:space="0" w:color="auto"/>
        <w:right w:val="none" w:sz="0" w:space="0" w:color="auto"/>
      </w:divBdr>
    </w:div>
    <w:div w:id="2132094881">
      <w:bodyDiv w:val="1"/>
      <w:marLeft w:val="0"/>
      <w:marRight w:val="0"/>
      <w:marTop w:val="0"/>
      <w:marBottom w:val="0"/>
      <w:divBdr>
        <w:top w:val="none" w:sz="0" w:space="0" w:color="auto"/>
        <w:left w:val="none" w:sz="0" w:space="0" w:color="auto"/>
        <w:bottom w:val="none" w:sz="0" w:space="0" w:color="auto"/>
        <w:right w:val="none" w:sz="0" w:space="0" w:color="auto"/>
      </w:divBdr>
    </w:div>
    <w:div w:id="2132244593">
      <w:bodyDiv w:val="1"/>
      <w:marLeft w:val="0"/>
      <w:marRight w:val="0"/>
      <w:marTop w:val="0"/>
      <w:marBottom w:val="0"/>
      <w:divBdr>
        <w:top w:val="none" w:sz="0" w:space="0" w:color="auto"/>
        <w:left w:val="none" w:sz="0" w:space="0" w:color="auto"/>
        <w:bottom w:val="none" w:sz="0" w:space="0" w:color="auto"/>
        <w:right w:val="none" w:sz="0" w:space="0" w:color="auto"/>
      </w:divBdr>
    </w:div>
    <w:div w:id="2132436288">
      <w:bodyDiv w:val="1"/>
      <w:marLeft w:val="0"/>
      <w:marRight w:val="0"/>
      <w:marTop w:val="0"/>
      <w:marBottom w:val="0"/>
      <w:divBdr>
        <w:top w:val="none" w:sz="0" w:space="0" w:color="auto"/>
        <w:left w:val="none" w:sz="0" w:space="0" w:color="auto"/>
        <w:bottom w:val="none" w:sz="0" w:space="0" w:color="auto"/>
        <w:right w:val="none" w:sz="0" w:space="0" w:color="auto"/>
      </w:divBdr>
    </w:div>
    <w:div w:id="2132623344">
      <w:bodyDiv w:val="1"/>
      <w:marLeft w:val="0"/>
      <w:marRight w:val="0"/>
      <w:marTop w:val="0"/>
      <w:marBottom w:val="0"/>
      <w:divBdr>
        <w:top w:val="none" w:sz="0" w:space="0" w:color="auto"/>
        <w:left w:val="none" w:sz="0" w:space="0" w:color="auto"/>
        <w:bottom w:val="none" w:sz="0" w:space="0" w:color="auto"/>
        <w:right w:val="none" w:sz="0" w:space="0" w:color="auto"/>
      </w:divBdr>
    </w:div>
    <w:div w:id="2132632179">
      <w:bodyDiv w:val="1"/>
      <w:marLeft w:val="0"/>
      <w:marRight w:val="0"/>
      <w:marTop w:val="0"/>
      <w:marBottom w:val="0"/>
      <w:divBdr>
        <w:top w:val="none" w:sz="0" w:space="0" w:color="auto"/>
        <w:left w:val="none" w:sz="0" w:space="0" w:color="auto"/>
        <w:bottom w:val="none" w:sz="0" w:space="0" w:color="auto"/>
        <w:right w:val="none" w:sz="0" w:space="0" w:color="auto"/>
      </w:divBdr>
    </w:div>
    <w:div w:id="2132672726">
      <w:bodyDiv w:val="1"/>
      <w:marLeft w:val="0"/>
      <w:marRight w:val="0"/>
      <w:marTop w:val="0"/>
      <w:marBottom w:val="0"/>
      <w:divBdr>
        <w:top w:val="none" w:sz="0" w:space="0" w:color="auto"/>
        <w:left w:val="none" w:sz="0" w:space="0" w:color="auto"/>
        <w:bottom w:val="none" w:sz="0" w:space="0" w:color="auto"/>
        <w:right w:val="none" w:sz="0" w:space="0" w:color="auto"/>
      </w:divBdr>
    </w:div>
    <w:div w:id="2132742363">
      <w:bodyDiv w:val="1"/>
      <w:marLeft w:val="0"/>
      <w:marRight w:val="0"/>
      <w:marTop w:val="0"/>
      <w:marBottom w:val="0"/>
      <w:divBdr>
        <w:top w:val="none" w:sz="0" w:space="0" w:color="auto"/>
        <w:left w:val="none" w:sz="0" w:space="0" w:color="auto"/>
        <w:bottom w:val="none" w:sz="0" w:space="0" w:color="auto"/>
        <w:right w:val="none" w:sz="0" w:space="0" w:color="auto"/>
      </w:divBdr>
    </w:div>
    <w:div w:id="2132818746">
      <w:bodyDiv w:val="1"/>
      <w:marLeft w:val="0"/>
      <w:marRight w:val="0"/>
      <w:marTop w:val="0"/>
      <w:marBottom w:val="0"/>
      <w:divBdr>
        <w:top w:val="none" w:sz="0" w:space="0" w:color="auto"/>
        <w:left w:val="none" w:sz="0" w:space="0" w:color="auto"/>
        <w:bottom w:val="none" w:sz="0" w:space="0" w:color="auto"/>
        <w:right w:val="none" w:sz="0" w:space="0" w:color="auto"/>
      </w:divBdr>
    </w:div>
    <w:div w:id="2133085559">
      <w:bodyDiv w:val="1"/>
      <w:marLeft w:val="0"/>
      <w:marRight w:val="0"/>
      <w:marTop w:val="0"/>
      <w:marBottom w:val="0"/>
      <w:divBdr>
        <w:top w:val="none" w:sz="0" w:space="0" w:color="auto"/>
        <w:left w:val="none" w:sz="0" w:space="0" w:color="auto"/>
        <w:bottom w:val="none" w:sz="0" w:space="0" w:color="auto"/>
        <w:right w:val="none" w:sz="0" w:space="0" w:color="auto"/>
      </w:divBdr>
    </w:div>
    <w:div w:id="2133285021">
      <w:bodyDiv w:val="1"/>
      <w:marLeft w:val="0"/>
      <w:marRight w:val="0"/>
      <w:marTop w:val="0"/>
      <w:marBottom w:val="0"/>
      <w:divBdr>
        <w:top w:val="none" w:sz="0" w:space="0" w:color="auto"/>
        <w:left w:val="none" w:sz="0" w:space="0" w:color="auto"/>
        <w:bottom w:val="none" w:sz="0" w:space="0" w:color="auto"/>
        <w:right w:val="none" w:sz="0" w:space="0" w:color="auto"/>
      </w:divBdr>
    </w:div>
    <w:div w:id="2133865754">
      <w:bodyDiv w:val="1"/>
      <w:marLeft w:val="0"/>
      <w:marRight w:val="0"/>
      <w:marTop w:val="0"/>
      <w:marBottom w:val="0"/>
      <w:divBdr>
        <w:top w:val="none" w:sz="0" w:space="0" w:color="auto"/>
        <w:left w:val="none" w:sz="0" w:space="0" w:color="auto"/>
        <w:bottom w:val="none" w:sz="0" w:space="0" w:color="auto"/>
        <w:right w:val="none" w:sz="0" w:space="0" w:color="auto"/>
      </w:divBdr>
    </w:div>
    <w:div w:id="2134055165">
      <w:bodyDiv w:val="1"/>
      <w:marLeft w:val="0"/>
      <w:marRight w:val="0"/>
      <w:marTop w:val="0"/>
      <w:marBottom w:val="0"/>
      <w:divBdr>
        <w:top w:val="none" w:sz="0" w:space="0" w:color="auto"/>
        <w:left w:val="none" w:sz="0" w:space="0" w:color="auto"/>
        <w:bottom w:val="none" w:sz="0" w:space="0" w:color="auto"/>
        <w:right w:val="none" w:sz="0" w:space="0" w:color="auto"/>
      </w:divBdr>
    </w:div>
    <w:div w:id="2134402222">
      <w:bodyDiv w:val="1"/>
      <w:marLeft w:val="0"/>
      <w:marRight w:val="0"/>
      <w:marTop w:val="0"/>
      <w:marBottom w:val="0"/>
      <w:divBdr>
        <w:top w:val="none" w:sz="0" w:space="0" w:color="auto"/>
        <w:left w:val="none" w:sz="0" w:space="0" w:color="auto"/>
        <w:bottom w:val="none" w:sz="0" w:space="0" w:color="auto"/>
        <w:right w:val="none" w:sz="0" w:space="0" w:color="auto"/>
      </w:divBdr>
    </w:div>
    <w:div w:id="2134639652">
      <w:bodyDiv w:val="1"/>
      <w:marLeft w:val="0"/>
      <w:marRight w:val="0"/>
      <w:marTop w:val="0"/>
      <w:marBottom w:val="0"/>
      <w:divBdr>
        <w:top w:val="none" w:sz="0" w:space="0" w:color="auto"/>
        <w:left w:val="none" w:sz="0" w:space="0" w:color="auto"/>
        <w:bottom w:val="none" w:sz="0" w:space="0" w:color="auto"/>
        <w:right w:val="none" w:sz="0" w:space="0" w:color="auto"/>
      </w:divBdr>
    </w:div>
    <w:div w:id="2134665994">
      <w:bodyDiv w:val="1"/>
      <w:marLeft w:val="0"/>
      <w:marRight w:val="0"/>
      <w:marTop w:val="0"/>
      <w:marBottom w:val="0"/>
      <w:divBdr>
        <w:top w:val="none" w:sz="0" w:space="0" w:color="auto"/>
        <w:left w:val="none" w:sz="0" w:space="0" w:color="auto"/>
        <w:bottom w:val="none" w:sz="0" w:space="0" w:color="auto"/>
        <w:right w:val="none" w:sz="0" w:space="0" w:color="auto"/>
      </w:divBdr>
    </w:div>
    <w:div w:id="2134669991">
      <w:bodyDiv w:val="1"/>
      <w:marLeft w:val="0"/>
      <w:marRight w:val="0"/>
      <w:marTop w:val="0"/>
      <w:marBottom w:val="0"/>
      <w:divBdr>
        <w:top w:val="none" w:sz="0" w:space="0" w:color="auto"/>
        <w:left w:val="none" w:sz="0" w:space="0" w:color="auto"/>
        <w:bottom w:val="none" w:sz="0" w:space="0" w:color="auto"/>
        <w:right w:val="none" w:sz="0" w:space="0" w:color="auto"/>
      </w:divBdr>
    </w:div>
    <w:div w:id="2134708693">
      <w:bodyDiv w:val="1"/>
      <w:marLeft w:val="0"/>
      <w:marRight w:val="0"/>
      <w:marTop w:val="0"/>
      <w:marBottom w:val="0"/>
      <w:divBdr>
        <w:top w:val="none" w:sz="0" w:space="0" w:color="auto"/>
        <w:left w:val="none" w:sz="0" w:space="0" w:color="auto"/>
        <w:bottom w:val="none" w:sz="0" w:space="0" w:color="auto"/>
        <w:right w:val="none" w:sz="0" w:space="0" w:color="auto"/>
      </w:divBdr>
    </w:div>
    <w:div w:id="2134712040">
      <w:bodyDiv w:val="1"/>
      <w:marLeft w:val="0"/>
      <w:marRight w:val="0"/>
      <w:marTop w:val="0"/>
      <w:marBottom w:val="0"/>
      <w:divBdr>
        <w:top w:val="none" w:sz="0" w:space="0" w:color="auto"/>
        <w:left w:val="none" w:sz="0" w:space="0" w:color="auto"/>
        <w:bottom w:val="none" w:sz="0" w:space="0" w:color="auto"/>
        <w:right w:val="none" w:sz="0" w:space="0" w:color="auto"/>
      </w:divBdr>
    </w:div>
    <w:div w:id="2134978349">
      <w:bodyDiv w:val="1"/>
      <w:marLeft w:val="0"/>
      <w:marRight w:val="0"/>
      <w:marTop w:val="0"/>
      <w:marBottom w:val="0"/>
      <w:divBdr>
        <w:top w:val="none" w:sz="0" w:space="0" w:color="auto"/>
        <w:left w:val="none" w:sz="0" w:space="0" w:color="auto"/>
        <w:bottom w:val="none" w:sz="0" w:space="0" w:color="auto"/>
        <w:right w:val="none" w:sz="0" w:space="0" w:color="auto"/>
      </w:divBdr>
    </w:div>
    <w:div w:id="2135051103">
      <w:bodyDiv w:val="1"/>
      <w:marLeft w:val="0"/>
      <w:marRight w:val="0"/>
      <w:marTop w:val="0"/>
      <w:marBottom w:val="0"/>
      <w:divBdr>
        <w:top w:val="none" w:sz="0" w:space="0" w:color="auto"/>
        <w:left w:val="none" w:sz="0" w:space="0" w:color="auto"/>
        <w:bottom w:val="none" w:sz="0" w:space="0" w:color="auto"/>
        <w:right w:val="none" w:sz="0" w:space="0" w:color="auto"/>
      </w:divBdr>
    </w:div>
    <w:div w:id="2135127924">
      <w:bodyDiv w:val="1"/>
      <w:marLeft w:val="0"/>
      <w:marRight w:val="0"/>
      <w:marTop w:val="0"/>
      <w:marBottom w:val="0"/>
      <w:divBdr>
        <w:top w:val="none" w:sz="0" w:space="0" w:color="auto"/>
        <w:left w:val="none" w:sz="0" w:space="0" w:color="auto"/>
        <w:bottom w:val="none" w:sz="0" w:space="0" w:color="auto"/>
        <w:right w:val="none" w:sz="0" w:space="0" w:color="auto"/>
      </w:divBdr>
    </w:div>
    <w:div w:id="2135172527">
      <w:bodyDiv w:val="1"/>
      <w:marLeft w:val="0"/>
      <w:marRight w:val="0"/>
      <w:marTop w:val="0"/>
      <w:marBottom w:val="0"/>
      <w:divBdr>
        <w:top w:val="none" w:sz="0" w:space="0" w:color="auto"/>
        <w:left w:val="none" w:sz="0" w:space="0" w:color="auto"/>
        <w:bottom w:val="none" w:sz="0" w:space="0" w:color="auto"/>
        <w:right w:val="none" w:sz="0" w:space="0" w:color="auto"/>
      </w:divBdr>
    </w:div>
    <w:div w:id="2135556924">
      <w:bodyDiv w:val="1"/>
      <w:marLeft w:val="0"/>
      <w:marRight w:val="0"/>
      <w:marTop w:val="0"/>
      <w:marBottom w:val="0"/>
      <w:divBdr>
        <w:top w:val="none" w:sz="0" w:space="0" w:color="auto"/>
        <w:left w:val="none" w:sz="0" w:space="0" w:color="auto"/>
        <w:bottom w:val="none" w:sz="0" w:space="0" w:color="auto"/>
        <w:right w:val="none" w:sz="0" w:space="0" w:color="auto"/>
      </w:divBdr>
    </w:div>
    <w:div w:id="2135783777">
      <w:bodyDiv w:val="1"/>
      <w:marLeft w:val="0"/>
      <w:marRight w:val="0"/>
      <w:marTop w:val="0"/>
      <w:marBottom w:val="0"/>
      <w:divBdr>
        <w:top w:val="none" w:sz="0" w:space="0" w:color="auto"/>
        <w:left w:val="none" w:sz="0" w:space="0" w:color="auto"/>
        <w:bottom w:val="none" w:sz="0" w:space="0" w:color="auto"/>
        <w:right w:val="none" w:sz="0" w:space="0" w:color="auto"/>
      </w:divBdr>
    </w:div>
    <w:div w:id="2135901476">
      <w:bodyDiv w:val="1"/>
      <w:marLeft w:val="0"/>
      <w:marRight w:val="0"/>
      <w:marTop w:val="0"/>
      <w:marBottom w:val="0"/>
      <w:divBdr>
        <w:top w:val="none" w:sz="0" w:space="0" w:color="auto"/>
        <w:left w:val="none" w:sz="0" w:space="0" w:color="auto"/>
        <w:bottom w:val="none" w:sz="0" w:space="0" w:color="auto"/>
        <w:right w:val="none" w:sz="0" w:space="0" w:color="auto"/>
      </w:divBdr>
    </w:div>
    <w:div w:id="2135903949">
      <w:bodyDiv w:val="1"/>
      <w:marLeft w:val="0"/>
      <w:marRight w:val="0"/>
      <w:marTop w:val="0"/>
      <w:marBottom w:val="0"/>
      <w:divBdr>
        <w:top w:val="none" w:sz="0" w:space="0" w:color="auto"/>
        <w:left w:val="none" w:sz="0" w:space="0" w:color="auto"/>
        <w:bottom w:val="none" w:sz="0" w:space="0" w:color="auto"/>
        <w:right w:val="none" w:sz="0" w:space="0" w:color="auto"/>
      </w:divBdr>
    </w:div>
    <w:div w:id="2136168327">
      <w:bodyDiv w:val="1"/>
      <w:marLeft w:val="0"/>
      <w:marRight w:val="0"/>
      <w:marTop w:val="0"/>
      <w:marBottom w:val="0"/>
      <w:divBdr>
        <w:top w:val="none" w:sz="0" w:space="0" w:color="auto"/>
        <w:left w:val="none" w:sz="0" w:space="0" w:color="auto"/>
        <w:bottom w:val="none" w:sz="0" w:space="0" w:color="auto"/>
        <w:right w:val="none" w:sz="0" w:space="0" w:color="auto"/>
      </w:divBdr>
    </w:div>
    <w:div w:id="2136681591">
      <w:bodyDiv w:val="1"/>
      <w:marLeft w:val="0"/>
      <w:marRight w:val="0"/>
      <w:marTop w:val="0"/>
      <w:marBottom w:val="0"/>
      <w:divBdr>
        <w:top w:val="none" w:sz="0" w:space="0" w:color="auto"/>
        <w:left w:val="none" w:sz="0" w:space="0" w:color="auto"/>
        <w:bottom w:val="none" w:sz="0" w:space="0" w:color="auto"/>
        <w:right w:val="none" w:sz="0" w:space="0" w:color="auto"/>
      </w:divBdr>
    </w:div>
    <w:div w:id="2136827704">
      <w:bodyDiv w:val="1"/>
      <w:marLeft w:val="0"/>
      <w:marRight w:val="0"/>
      <w:marTop w:val="0"/>
      <w:marBottom w:val="0"/>
      <w:divBdr>
        <w:top w:val="none" w:sz="0" w:space="0" w:color="auto"/>
        <w:left w:val="none" w:sz="0" w:space="0" w:color="auto"/>
        <w:bottom w:val="none" w:sz="0" w:space="0" w:color="auto"/>
        <w:right w:val="none" w:sz="0" w:space="0" w:color="auto"/>
      </w:divBdr>
    </w:div>
    <w:div w:id="2136941151">
      <w:bodyDiv w:val="1"/>
      <w:marLeft w:val="0"/>
      <w:marRight w:val="0"/>
      <w:marTop w:val="0"/>
      <w:marBottom w:val="0"/>
      <w:divBdr>
        <w:top w:val="none" w:sz="0" w:space="0" w:color="auto"/>
        <w:left w:val="none" w:sz="0" w:space="0" w:color="auto"/>
        <w:bottom w:val="none" w:sz="0" w:space="0" w:color="auto"/>
        <w:right w:val="none" w:sz="0" w:space="0" w:color="auto"/>
      </w:divBdr>
    </w:div>
    <w:div w:id="2136943253">
      <w:bodyDiv w:val="1"/>
      <w:marLeft w:val="0"/>
      <w:marRight w:val="0"/>
      <w:marTop w:val="0"/>
      <w:marBottom w:val="0"/>
      <w:divBdr>
        <w:top w:val="none" w:sz="0" w:space="0" w:color="auto"/>
        <w:left w:val="none" w:sz="0" w:space="0" w:color="auto"/>
        <w:bottom w:val="none" w:sz="0" w:space="0" w:color="auto"/>
        <w:right w:val="none" w:sz="0" w:space="0" w:color="auto"/>
      </w:divBdr>
    </w:div>
    <w:div w:id="2137025084">
      <w:bodyDiv w:val="1"/>
      <w:marLeft w:val="0"/>
      <w:marRight w:val="0"/>
      <w:marTop w:val="0"/>
      <w:marBottom w:val="0"/>
      <w:divBdr>
        <w:top w:val="none" w:sz="0" w:space="0" w:color="auto"/>
        <w:left w:val="none" w:sz="0" w:space="0" w:color="auto"/>
        <w:bottom w:val="none" w:sz="0" w:space="0" w:color="auto"/>
        <w:right w:val="none" w:sz="0" w:space="0" w:color="auto"/>
      </w:divBdr>
    </w:div>
    <w:div w:id="2137260896">
      <w:bodyDiv w:val="1"/>
      <w:marLeft w:val="0"/>
      <w:marRight w:val="0"/>
      <w:marTop w:val="0"/>
      <w:marBottom w:val="0"/>
      <w:divBdr>
        <w:top w:val="none" w:sz="0" w:space="0" w:color="auto"/>
        <w:left w:val="none" w:sz="0" w:space="0" w:color="auto"/>
        <w:bottom w:val="none" w:sz="0" w:space="0" w:color="auto"/>
        <w:right w:val="none" w:sz="0" w:space="0" w:color="auto"/>
      </w:divBdr>
    </w:div>
    <w:div w:id="2137288309">
      <w:bodyDiv w:val="1"/>
      <w:marLeft w:val="0"/>
      <w:marRight w:val="0"/>
      <w:marTop w:val="0"/>
      <w:marBottom w:val="0"/>
      <w:divBdr>
        <w:top w:val="none" w:sz="0" w:space="0" w:color="auto"/>
        <w:left w:val="none" w:sz="0" w:space="0" w:color="auto"/>
        <w:bottom w:val="none" w:sz="0" w:space="0" w:color="auto"/>
        <w:right w:val="none" w:sz="0" w:space="0" w:color="auto"/>
      </w:divBdr>
    </w:div>
    <w:div w:id="2138184648">
      <w:bodyDiv w:val="1"/>
      <w:marLeft w:val="0"/>
      <w:marRight w:val="0"/>
      <w:marTop w:val="0"/>
      <w:marBottom w:val="0"/>
      <w:divBdr>
        <w:top w:val="none" w:sz="0" w:space="0" w:color="auto"/>
        <w:left w:val="none" w:sz="0" w:space="0" w:color="auto"/>
        <w:bottom w:val="none" w:sz="0" w:space="0" w:color="auto"/>
        <w:right w:val="none" w:sz="0" w:space="0" w:color="auto"/>
      </w:divBdr>
    </w:div>
    <w:div w:id="2138571095">
      <w:bodyDiv w:val="1"/>
      <w:marLeft w:val="0"/>
      <w:marRight w:val="0"/>
      <w:marTop w:val="0"/>
      <w:marBottom w:val="0"/>
      <w:divBdr>
        <w:top w:val="none" w:sz="0" w:space="0" w:color="auto"/>
        <w:left w:val="none" w:sz="0" w:space="0" w:color="auto"/>
        <w:bottom w:val="none" w:sz="0" w:space="0" w:color="auto"/>
        <w:right w:val="none" w:sz="0" w:space="0" w:color="auto"/>
      </w:divBdr>
    </w:div>
    <w:div w:id="2138644334">
      <w:bodyDiv w:val="1"/>
      <w:marLeft w:val="0"/>
      <w:marRight w:val="0"/>
      <w:marTop w:val="0"/>
      <w:marBottom w:val="0"/>
      <w:divBdr>
        <w:top w:val="none" w:sz="0" w:space="0" w:color="auto"/>
        <w:left w:val="none" w:sz="0" w:space="0" w:color="auto"/>
        <w:bottom w:val="none" w:sz="0" w:space="0" w:color="auto"/>
        <w:right w:val="none" w:sz="0" w:space="0" w:color="auto"/>
      </w:divBdr>
    </w:div>
    <w:div w:id="2139295338">
      <w:bodyDiv w:val="1"/>
      <w:marLeft w:val="0"/>
      <w:marRight w:val="0"/>
      <w:marTop w:val="0"/>
      <w:marBottom w:val="0"/>
      <w:divBdr>
        <w:top w:val="none" w:sz="0" w:space="0" w:color="auto"/>
        <w:left w:val="none" w:sz="0" w:space="0" w:color="auto"/>
        <w:bottom w:val="none" w:sz="0" w:space="0" w:color="auto"/>
        <w:right w:val="none" w:sz="0" w:space="0" w:color="auto"/>
      </w:divBdr>
    </w:div>
    <w:div w:id="2139450488">
      <w:bodyDiv w:val="1"/>
      <w:marLeft w:val="0"/>
      <w:marRight w:val="0"/>
      <w:marTop w:val="0"/>
      <w:marBottom w:val="0"/>
      <w:divBdr>
        <w:top w:val="none" w:sz="0" w:space="0" w:color="auto"/>
        <w:left w:val="none" w:sz="0" w:space="0" w:color="auto"/>
        <w:bottom w:val="none" w:sz="0" w:space="0" w:color="auto"/>
        <w:right w:val="none" w:sz="0" w:space="0" w:color="auto"/>
      </w:divBdr>
    </w:div>
    <w:div w:id="2139562462">
      <w:bodyDiv w:val="1"/>
      <w:marLeft w:val="0"/>
      <w:marRight w:val="0"/>
      <w:marTop w:val="0"/>
      <w:marBottom w:val="0"/>
      <w:divBdr>
        <w:top w:val="none" w:sz="0" w:space="0" w:color="auto"/>
        <w:left w:val="none" w:sz="0" w:space="0" w:color="auto"/>
        <w:bottom w:val="none" w:sz="0" w:space="0" w:color="auto"/>
        <w:right w:val="none" w:sz="0" w:space="0" w:color="auto"/>
      </w:divBdr>
    </w:div>
    <w:div w:id="2139685565">
      <w:bodyDiv w:val="1"/>
      <w:marLeft w:val="0"/>
      <w:marRight w:val="0"/>
      <w:marTop w:val="0"/>
      <w:marBottom w:val="0"/>
      <w:divBdr>
        <w:top w:val="none" w:sz="0" w:space="0" w:color="auto"/>
        <w:left w:val="none" w:sz="0" w:space="0" w:color="auto"/>
        <w:bottom w:val="none" w:sz="0" w:space="0" w:color="auto"/>
        <w:right w:val="none" w:sz="0" w:space="0" w:color="auto"/>
      </w:divBdr>
    </w:div>
    <w:div w:id="2139686230">
      <w:bodyDiv w:val="1"/>
      <w:marLeft w:val="0"/>
      <w:marRight w:val="0"/>
      <w:marTop w:val="0"/>
      <w:marBottom w:val="0"/>
      <w:divBdr>
        <w:top w:val="none" w:sz="0" w:space="0" w:color="auto"/>
        <w:left w:val="none" w:sz="0" w:space="0" w:color="auto"/>
        <w:bottom w:val="none" w:sz="0" w:space="0" w:color="auto"/>
        <w:right w:val="none" w:sz="0" w:space="0" w:color="auto"/>
      </w:divBdr>
    </w:div>
    <w:div w:id="2139764121">
      <w:bodyDiv w:val="1"/>
      <w:marLeft w:val="0"/>
      <w:marRight w:val="0"/>
      <w:marTop w:val="0"/>
      <w:marBottom w:val="0"/>
      <w:divBdr>
        <w:top w:val="none" w:sz="0" w:space="0" w:color="auto"/>
        <w:left w:val="none" w:sz="0" w:space="0" w:color="auto"/>
        <w:bottom w:val="none" w:sz="0" w:space="0" w:color="auto"/>
        <w:right w:val="none" w:sz="0" w:space="0" w:color="auto"/>
      </w:divBdr>
    </w:div>
    <w:div w:id="2139833893">
      <w:bodyDiv w:val="1"/>
      <w:marLeft w:val="0"/>
      <w:marRight w:val="0"/>
      <w:marTop w:val="0"/>
      <w:marBottom w:val="0"/>
      <w:divBdr>
        <w:top w:val="none" w:sz="0" w:space="0" w:color="auto"/>
        <w:left w:val="none" w:sz="0" w:space="0" w:color="auto"/>
        <w:bottom w:val="none" w:sz="0" w:space="0" w:color="auto"/>
        <w:right w:val="none" w:sz="0" w:space="0" w:color="auto"/>
      </w:divBdr>
    </w:div>
    <w:div w:id="2139951338">
      <w:bodyDiv w:val="1"/>
      <w:marLeft w:val="0"/>
      <w:marRight w:val="0"/>
      <w:marTop w:val="0"/>
      <w:marBottom w:val="0"/>
      <w:divBdr>
        <w:top w:val="none" w:sz="0" w:space="0" w:color="auto"/>
        <w:left w:val="none" w:sz="0" w:space="0" w:color="auto"/>
        <w:bottom w:val="none" w:sz="0" w:space="0" w:color="auto"/>
        <w:right w:val="none" w:sz="0" w:space="0" w:color="auto"/>
      </w:divBdr>
    </w:div>
    <w:div w:id="2140148087">
      <w:bodyDiv w:val="1"/>
      <w:marLeft w:val="0"/>
      <w:marRight w:val="0"/>
      <w:marTop w:val="0"/>
      <w:marBottom w:val="0"/>
      <w:divBdr>
        <w:top w:val="none" w:sz="0" w:space="0" w:color="auto"/>
        <w:left w:val="none" w:sz="0" w:space="0" w:color="auto"/>
        <w:bottom w:val="none" w:sz="0" w:space="0" w:color="auto"/>
        <w:right w:val="none" w:sz="0" w:space="0" w:color="auto"/>
      </w:divBdr>
    </w:div>
    <w:div w:id="2140174494">
      <w:bodyDiv w:val="1"/>
      <w:marLeft w:val="0"/>
      <w:marRight w:val="0"/>
      <w:marTop w:val="0"/>
      <w:marBottom w:val="0"/>
      <w:divBdr>
        <w:top w:val="none" w:sz="0" w:space="0" w:color="auto"/>
        <w:left w:val="none" w:sz="0" w:space="0" w:color="auto"/>
        <w:bottom w:val="none" w:sz="0" w:space="0" w:color="auto"/>
        <w:right w:val="none" w:sz="0" w:space="0" w:color="auto"/>
      </w:divBdr>
    </w:div>
    <w:div w:id="2141065797">
      <w:bodyDiv w:val="1"/>
      <w:marLeft w:val="0"/>
      <w:marRight w:val="0"/>
      <w:marTop w:val="0"/>
      <w:marBottom w:val="0"/>
      <w:divBdr>
        <w:top w:val="none" w:sz="0" w:space="0" w:color="auto"/>
        <w:left w:val="none" w:sz="0" w:space="0" w:color="auto"/>
        <w:bottom w:val="none" w:sz="0" w:space="0" w:color="auto"/>
        <w:right w:val="none" w:sz="0" w:space="0" w:color="auto"/>
      </w:divBdr>
    </w:div>
    <w:div w:id="2141066717">
      <w:bodyDiv w:val="1"/>
      <w:marLeft w:val="0"/>
      <w:marRight w:val="0"/>
      <w:marTop w:val="0"/>
      <w:marBottom w:val="0"/>
      <w:divBdr>
        <w:top w:val="none" w:sz="0" w:space="0" w:color="auto"/>
        <w:left w:val="none" w:sz="0" w:space="0" w:color="auto"/>
        <w:bottom w:val="none" w:sz="0" w:space="0" w:color="auto"/>
        <w:right w:val="none" w:sz="0" w:space="0" w:color="auto"/>
      </w:divBdr>
    </w:div>
    <w:div w:id="2141147816">
      <w:bodyDiv w:val="1"/>
      <w:marLeft w:val="0"/>
      <w:marRight w:val="0"/>
      <w:marTop w:val="0"/>
      <w:marBottom w:val="0"/>
      <w:divBdr>
        <w:top w:val="none" w:sz="0" w:space="0" w:color="auto"/>
        <w:left w:val="none" w:sz="0" w:space="0" w:color="auto"/>
        <w:bottom w:val="none" w:sz="0" w:space="0" w:color="auto"/>
        <w:right w:val="none" w:sz="0" w:space="0" w:color="auto"/>
      </w:divBdr>
    </w:div>
    <w:div w:id="2141340361">
      <w:bodyDiv w:val="1"/>
      <w:marLeft w:val="0"/>
      <w:marRight w:val="0"/>
      <w:marTop w:val="0"/>
      <w:marBottom w:val="0"/>
      <w:divBdr>
        <w:top w:val="none" w:sz="0" w:space="0" w:color="auto"/>
        <w:left w:val="none" w:sz="0" w:space="0" w:color="auto"/>
        <w:bottom w:val="none" w:sz="0" w:space="0" w:color="auto"/>
        <w:right w:val="none" w:sz="0" w:space="0" w:color="auto"/>
      </w:divBdr>
    </w:div>
    <w:div w:id="2141725431">
      <w:bodyDiv w:val="1"/>
      <w:marLeft w:val="0"/>
      <w:marRight w:val="0"/>
      <w:marTop w:val="0"/>
      <w:marBottom w:val="0"/>
      <w:divBdr>
        <w:top w:val="none" w:sz="0" w:space="0" w:color="auto"/>
        <w:left w:val="none" w:sz="0" w:space="0" w:color="auto"/>
        <w:bottom w:val="none" w:sz="0" w:space="0" w:color="auto"/>
        <w:right w:val="none" w:sz="0" w:space="0" w:color="auto"/>
      </w:divBdr>
    </w:div>
    <w:div w:id="2141802959">
      <w:bodyDiv w:val="1"/>
      <w:marLeft w:val="0"/>
      <w:marRight w:val="0"/>
      <w:marTop w:val="0"/>
      <w:marBottom w:val="0"/>
      <w:divBdr>
        <w:top w:val="none" w:sz="0" w:space="0" w:color="auto"/>
        <w:left w:val="none" w:sz="0" w:space="0" w:color="auto"/>
        <w:bottom w:val="none" w:sz="0" w:space="0" w:color="auto"/>
        <w:right w:val="none" w:sz="0" w:space="0" w:color="auto"/>
      </w:divBdr>
    </w:div>
    <w:div w:id="2141991850">
      <w:bodyDiv w:val="1"/>
      <w:marLeft w:val="0"/>
      <w:marRight w:val="0"/>
      <w:marTop w:val="0"/>
      <w:marBottom w:val="0"/>
      <w:divBdr>
        <w:top w:val="none" w:sz="0" w:space="0" w:color="auto"/>
        <w:left w:val="none" w:sz="0" w:space="0" w:color="auto"/>
        <w:bottom w:val="none" w:sz="0" w:space="0" w:color="auto"/>
        <w:right w:val="none" w:sz="0" w:space="0" w:color="auto"/>
      </w:divBdr>
    </w:div>
    <w:div w:id="2142456133">
      <w:bodyDiv w:val="1"/>
      <w:marLeft w:val="0"/>
      <w:marRight w:val="0"/>
      <w:marTop w:val="0"/>
      <w:marBottom w:val="0"/>
      <w:divBdr>
        <w:top w:val="none" w:sz="0" w:space="0" w:color="auto"/>
        <w:left w:val="none" w:sz="0" w:space="0" w:color="auto"/>
        <w:bottom w:val="none" w:sz="0" w:space="0" w:color="auto"/>
        <w:right w:val="none" w:sz="0" w:space="0" w:color="auto"/>
      </w:divBdr>
    </w:div>
    <w:div w:id="2142920305">
      <w:bodyDiv w:val="1"/>
      <w:marLeft w:val="0"/>
      <w:marRight w:val="0"/>
      <w:marTop w:val="0"/>
      <w:marBottom w:val="0"/>
      <w:divBdr>
        <w:top w:val="none" w:sz="0" w:space="0" w:color="auto"/>
        <w:left w:val="none" w:sz="0" w:space="0" w:color="auto"/>
        <w:bottom w:val="none" w:sz="0" w:space="0" w:color="auto"/>
        <w:right w:val="none" w:sz="0" w:space="0" w:color="auto"/>
      </w:divBdr>
    </w:div>
    <w:div w:id="2143039075">
      <w:bodyDiv w:val="1"/>
      <w:marLeft w:val="0"/>
      <w:marRight w:val="0"/>
      <w:marTop w:val="0"/>
      <w:marBottom w:val="0"/>
      <w:divBdr>
        <w:top w:val="none" w:sz="0" w:space="0" w:color="auto"/>
        <w:left w:val="none" w:sz="0" w:space="0" w:color="auto"/>
        <w:bottom w:val="none" w:sz="0" w:space="0" w:color="auto"/>
        <w:right w:val="none" w:sz="0" w:space="0" w:color="auto"/>
      </w:divBdr>
    </w:div>
    <w:div w:id="2143040224">
      <w:bodyDiv w:val="1"/>
      <w:marLeft w:val="0"/>
      <w:marRight w:val="0"/>
      <w:marTop w:val="0"/>
      <w:marBottom w:val="0"/>
      <w:divBdr>
        <w:top w:val="none" w:sz="0" w:space="0" w:color="auto"/>
        <w:left w:val="none" w:sz="0" w:space="0" w:color="auto"/>
        <w:bottom w:val="none" w:sz="0" w:space="0" w:color="auto"/>
        <w:right w:val="none" w:sz="0" w:space="0" w:color="auto"/>
      </w:divBdr>
    </w:div>
    <w:div w:id="2143451386">
      <w:bodyDiv w:val="1"/>
      <w:marLeft w:val="0"/>
      <w:marRight w:val="0"/>
      <w:marTop w:val="0"/>
      <w:marBottom w:val="0"/>
      <w:divBdr>
        <w:top w:val="none" w:sz="0" w:space="0" w:color="auto"/>
        <w:left w:val="none" w:sz="0" w:space="0" w:color="auto"/>
        <w:bottom w:val="none" w:sz="0" w:space="0" w:color="auto"/>
        <w:right w:val="none" w:sz="0" w:space="0" w:color="auto"/>
      </w:divBdr>
    </w:div>
    <w:div w:id="2143645231">
      <w:bodyDiv w:val="1"/>
      <w:marLeft w:val="0"/>
      <w:marRight w:val="0"/>
      <w:marTop w:val="0"/>
      <w:marBottom w:val="0"/>
      <w:divBdr>
        <w:top w:val="none" w:sz="0" w:space="0" w:color="auto"/>
        <w:left w:val="none" w:sz="0" w:space="0" w:color="auto"/>
        <w:bottom w:val="none" w:sz="0" w:space="0" w:color="auto"/>
        <w:right w:val="none" w:sz="0" w:space="0" w:color="auto"/>
      </w:divBdr>
    </w:div>
    <w:div w:id="2143764157">
      <w:bodyDiv w:val="1"/>
      <w:marLeft w:val="0"/>
      <w:marRight w:val="0"/>
      <w:marTop w:val="0"/>
      <w:marBottom w:val="0"/>
      <w:divBdr>
        <w:top w:val="none" w:sz="0" w:space="0" w:color="auto"/>
        <w:left w:val="none" w:sz="0" w:space="0" w:color="auto"/>
        <w:bottom w:val="none" w:sz="0" w:space="0" w:color="auto"/>
        <w:right w:val="none" w:sz="0" w:space="0" w:color="auto"/>
      </w:divBdr>
    </w:div>
    <w:div w:id="2143838272">
      <w:bodyDiv w:val="1"/>
      <w:marLeft w:val="0"/>
      <w:marRight w:val="0"/>
      <w:marTop w:val="0"/>
      <w:marBottom w:val="0"/>
      <w:divBdr>
        <w:top w:val="none" w:sz="0" w:space="0" w:color="auto"/>
        <w:left w:val="none" w:sz="0" w:space="0" w:color="auto"/>
        <w:bottom w:val="none" w:sz="0" w:space="0" w:color="auto"/>
        <w:right w:val="none" w:sz="0" w:space="0" w:color="auto"/>
      </w:divBdr>
    </w:div>
    <w:div w:id="2143838905">
      <w:bodyDiv w:val="1"/>
      <w:marLeft w:val="0"/>
      <w:marRight w:val="0"/>
      <w:marTop w:val="0"/>
      <w:marBottom w:val="0"/>
      <w:divBdr>
        <w:top w:val="none" w:sz="0" w:space="0" w:color="auto"/>
        <w:left w:val="none" w:sz="0" w:space="0" w:color="auto"/>
        <w:bottom w:val="none" w:sz="0" w:space="0" w:color="auto"/>
        <w:right w:val="none" w:sz="0" w:space="0" w:color="auto"/>
      </w:divBdr>
    </w:div>
    <w:div w:id="2143840506">
      <w:bodyDiv w:val="1"/>
      <w:marLeft w:val="0"/>
      <w:marRight w:val="0"/>
      <w:marTop w:val="0"/>
      <w:marBottom w:val="0"/>
      <w:divBdr>
        <w:top w:val="none" w:sz="0" w:space="0" w:color="auto"/>
        <w:left w:val="none" w:sz="0" w:space="0" w:color="auto"/>
        <w:bottom w:val="none" w:sz="0" w:space="0" w:color="auto"/>
        <w:right w:val="none" w:sz="0" w:space="0" w:color="auto"/>
      </w:divBdr>
    </w:div>
    <w:div w:id="2143840529">
      <w:bodyDiv w:val="1"/>
      <w:marLeft w:val="0"/>
      <w:marRight w:val="0"/>
      <w:marTop w:val="0"/>
      <w:marBottom w:val="0"/>
      <w:divBdr>
        <w:top w:val="none" w:sz="0" w:space="0" w:color="auto"/>
        <w:left w:val="none" w:sz="0" w:space="0" w:color="auto"/>
        <w:bottom w:val="none" w:sz="0" w:space="0" w:color="auto"/>
        <w:right w:val="none" w:sz="0" w:space="0" w:color="auto"/>
      </w:divBdr>
    </w:div>
    <w:div w:id="2144301990">
      <w:bodyDiv w:val="1"/>
      <w:marLeft w:val="0"/>
      <w:marRight w:val="0"/>
      <w:marTop w:val="0"/>
      <w:marBottom w:val="0"/>
      <w:divBdr>
        <w:top w:val="none" w:sz="0" w:space="0" w:color="auto"/>
        <w:left w:val="none" w:sz="0" w:space="0" w:color="auto"/>
        <w:bottom w:val="none" w:sz="0" w:space="0" w:color="auto"/>
        <w:right w:val="none" w:sz="0" w:space="0" w:color="auto"/>
      </w:divBdr>
    </w:div>
    <w:div w:id="2144810140">
      <w:bodyDiv w:val="1"/>
      <w:marLeft w:val="0"/>
      <w:marRight w:val="0"/>
      <w:marTop w:val="0"/>
      <w:marBottom w:val="0"/>
      <w:divBdr>
        <w:top w:val="none" w:sz="0" w:space="0" w:color="auto"/>
        <w:left w:val="none" w:sz="0" w:space="0" w:color="auto"/>
        <w:bottom w:val="none" w:sz="0" w:space="0" w:color="auto"/>
        <w:right w:val="none" w:sz="0" w:space="0" w:color="auto"/>
      </w:divBdr>
    </w:div>
    <w:div w:id="2145077738">
      <w:bodyDiv w:val="1"/>
      <w:marLeft w:val="0"/>
      <w:marRight w:val="0"/>
      <w:marTop w:val="0"/>
      <w:marBottom w:val="0"/>
      <w:divBdr>
        <w:top w:val="none" w:sz="0" w:space="0" w:color="auto"/>
        <w:left w:val="none" w:sz="0" w:space="0" w:color="auto"/>
        <w:bottom w:val="none" w:sz="0" w:space="0" w:color="auto"/>
        <w:right w:val="none" w:sz="0" w:space="0" w:color="auto"/>
      </w:divBdr>
    </w:div>
    <w:div w:id="2145266007">
      <w:bodyDiv w:val="1"/>
      <w:marLeft w:val="0"/>
      <w:marRight w:val="0"/>
      <w:marTop w:val="0"/>
      <w:marBottom w:val="0"/>
      <w:divBdr>
        <w:top w:val="none" w:sz="0" w:space="0" w:color="auto"/>
        <w:left w:val="none" w:sz="0" w:space="0" w:color="auto"/>
        <w:bottom w:val="none" w:sz="0" w:space="0" w:color="auto"/>
        <w:right w:val="none" w:sz="0" w:space="0" w:color="auto"/>
      </w:divBdr>
    </w:div>
    <w:div w:id="2145392749">
      <w:bodyDiv w:val="1"/>
      <w:marLeft w:val="0"/>
      <w:marRight w:val="0"/>
      <w:marTop w:val="0"/>
      <w:marBottom w:val="0"/>
      <w:divBdr>
        <w:top w:val="none" w:sz="0" w:space="0" w:color="auto"/>
        <w:left w:val="none" w:sz="0" w:space="0" w:color="auto"/>
        <w:bottom w:val="none" w:sz="0" w:space="0" w:color="auto"/>
        <w:right w:val="none" w:sz="0" w:space="0" w:color="auto"/>
      </w:divBdr>
    </w:div>
    <w:div w:id="2145461760">
      <w:bodyDiv w:val="1"/>
      <w:marLeft w:val="0"/>
      <w:marRight w:val="0"/>
      <w:marTop w:val="0"/>
      <w:marBottom w:val="0"/>
      <w:divBdr>
        <w:top w:val="none" w:sz="0" w:space="0" w:color="auto"/>
        <w:left w:val="none" w:sz="0" w:space="0" w:color="auto"/>
        <w:bottom w:val="none" w:sz="0" w:space="0" w:color="auto"/>
        <w:right w:val="none" w:sz="0" w:space="0" w:color="auto"/>
      </w:divBdr>
    </w:div>
    <w:div w:id="2145544048">
      <w:bodyDiv w:val="1"/>
      <w:marLeft w:val="0"/>
      <w:marRight w:val="0"/>
      <w:marTop w:val="0"/>
      <w:marBottom w:val="0"/>
      <w:divBdr>
        <w:top w:val="none" w:sz="0" w:space="0" w:color="auto"/>
        <w:left w:val="none" w:sz="0" w:space="0" w:color="auto"/>
        <w:bottom w:val="none" w:sz="0" w:space="0" w:color="auto"/>
        <w:right w:val="none" w:sz="0" w:space="0" w:color="auto"/>
      </w:divBdr>
    </w:div>
    <w:div w:id="2145611173">
      <w:bodyDiv w:val="1"/>
      <w:marLeft w:val="0"/>
      <w:marRight w:val="0"/>
      <w:marTop w:val="0"/>
      <w:marBottom w:val="0"/>
      <w:divBdr>
        <w:top w:val="none" w:sz="0" w:space="0" w:color="auto"/>
        <w:left w:val="none" w:sz="0" w:space="0" w:color="auto"/>
        <w:bottom w:val="none" w:sz="0" w:space="0" w:color="auto"/>
        <w:right w:val="none" w:sz="0" w:space="0" w:color="auto"/>
      </w:divBdr>
    </w:div>
    <w:div w:id="2145731803">
      <w:bodyDiv w:val="1"/>
      <w:marLeft w:val="0"/>
      <w:marRight w:val="0"/>
      <w:marTop w:val="0"/>
      <w:marBottom w:val="0"/>
      <w:divBdr>
        <w:top w:val="none" w:sz="0" w:space="0" w:color="auto"/>
        <w:left w:val="none" w:sz="0" w:space="0" w:color="auto"/>
        <w:bottom w:val="none" w:sz="0" w:space="0" w:color="auto"/>
        <w:right w:val="none" w:sz="0" w:space="0" w:color="auto"/>
      </w:divBdr>
    </w:div>
    <w:div w:id="2145735049">
      <w:bodyDiv w:val="1"/>
      <w:marLeft w:val="0"/>
      <w:marRight w:val="0"/>
      <w:marTop w:val="0"/>
      <w:marBottom w:val="0"/>
      <w:divBdr>
        <w:top w:val="none" w:sz="0" w:space="0" w:color="auto"/>
        <w:left w:val="none" w:sz="0" w:space="0" w:color="auto"/>
        <w:bottom w:val="none" w:sz="0" w:space="0" w:color="auto"/>
        <w:right w:val="none" w:sz="0" w:space="0" w:color="auto"/>
      </w:divBdr>
    </w:div>
    <w:div w:id="2145849129">
      <w:bodyDiv w:val="1"/>
      <w:marLeft w:val="0"/>
      <w:marRight w:val="0"/>
      <w:marTop w:val="0"/>
      <w:marBottom w:val="0"/>
      <w:divBdr>
        <w:top w:val="none" w:sz="0" w:space="0" w:color="auto"/>
        <w:left w:val="none" w:sz="0" w:space="0" w:color="auto"/>
        <w:bottom w:val="none" w:sz="0" w:space="0" w:color="auto"/>
        <w:right w:val="none" w:sz="0" w:space="0" w:color="auto"/>
      </w:divBdr>
    </w:div>
    <w:div w:id="2145998914">
      <w:bodyDiv w:val="1"/>
      <w:marLeft w:val="0"/>
      <w:marRight w:val="0"/>
      <w:marTop w:val="0"/>
      <w:marBottom w:val="0"/>
      <w:divBdr>
        <w:top w:val="none" w:sz="0" w:space="0" w:color="auto"/>
        <w:left w:val="none" w:sz="0" w:space="0" w:color="auto"/>
        <w:bottom w:val="none" w:sz="0" w:space="0" w:color="auto"/>
        <w:right w:val="none" w:sz="0" w:space="0" w:color="auto"/>
      </w:divBdr>
    </w:div>
    <w:div w:id="2147044878">
      <w:bodyDiv w:val="1"/>
      <w:marLeft w:val="0"/>
      <w:marRight w:val="0"/>
      <w:marTop w:val="0"/>
      <w:marBottom w:val="0"/>
      <w:divBdr>
        <w:top w:val="none" w:sz="0" w:space="0" w:color="auto"/>
        <w:left w:val="none" w:sz="0" w:space="0" w:color="auto"/>
        <w:bottom w:val="none" w:sz="0" w:space="0" w:color="auto"/>
        <w:right w:val="none" w:sz="0" w:space="0" w:color="auto"/>
      </w:divBdr>
    </w:div>
    <w:div w:id="2147236175">
      <w:bodyDiv w:val="1"/>
      <w:marLeft w:val="0"/>
      <w:marRight w:val="0"/>
      <w:marTop w:val="0"/>
      <w:marBottom w:val="0"/>
      <w:divBdr>
        <w:top w:val="none" w:sz="0" w:space="0" w:color="auto"/>
        <w:left w:val="none" w:sz="0" w:space="0" w:color="auto"/>
        <w:bottom w:val="none" w:sz="0" w:space="0" w:color="auto"/>
        <w:right w:val="none" w:sz="0" w:space="0" w:color="auto"/>
      </w:divBdr>
    </w:div>
    <w:div w:id="214731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lm.gov/policy/im-2023-006" TargetMode="External"/><Relationship Id="rId26" Type="http://schemas.microsoft.com/office/2018/08/relationships/commentsExtensible" Target="commentsExtensible.xml"/><Relationship Id="rId39" Type="http://schemas.openxmlformats.org/officeDocument/2006/relationships/hyperlink" Target="https://www.fws.gov/program/recovery/recovery-plans" TargetMode="External"/><Relationship Id="rId21" Type="http://schemas.openxmlformats.org/officeDocument/2006/relationships/hyperlink" Target="https://www.blm.gov/policy/im-2023-010" TargetMode="External"/><Relationship Id="rId34" Type="http://schemas.openxmlformats.org/officeDocument/2006/relationships/hyperlink" Target="https://www.blm.gov/content/ghg" TargetMode="External"/><Relationship Id="rId42" Type="http://schemas.openxmlformats.org/officeDocument/2006/relationships/image" Target="media/image9.png"/><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lm.gov/policy/im-2023-008" TargetMode="External"/><Relationship Id="rId29" Type="http://schemas.openxmlformats.org/officeDocument/2006/relationships/image" Target="media/image3.gif"/><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hyperlink" Target="http://www.lightpollutionmap.info" TargetMode="External"/><Relationship Id="rId37" Type="http://schemas.openxmlformats.org/officeDocument/2006/relationships/image" Target="media/image7.png"/><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lm.gov/policy/im-2023-007" TargetMode="External"/><Relationship Id="rId23" Type="http://schemas.openxmlformats.org/officeDocument/2006/relationships/comments" Target="comments.xml"/><Relationship Id="rId28" Type="http://schemas.openxmlformats.org/officeDocument/2006/relationships/chart" Target="charts/chart1.xml"/><Relationship Id="rId36" Type="http://schemas.openxmlformats.org/officeDocument/2006/relationships/hyperlink" Target="http://www.magicc.org/" TargetMode="External"/><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blm.gov/policy/im-2023-007" TargetMode="External"/><Relationship Id="rId31" Type="http://schemas.openxmlformats.org/officeDocument/2006/relationships/hyperlink" Target="http://www.lightpollutionmap.info"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m.gov/policy/im-2023-006" TargetMode="External"/><Relationship Id="rId22" Type="http://schemas.openxmlformats.org/officeDocument/2006/relationships/hyperlink" Target="https://www.blm.gov/content/ghg/2022/" TargetMode="External"/><Relationship Id="rId27" Type="http://schemas.openxmlformats.org/officeDocument/2006/relationships/hyperlink" Target="http://www.epa.gov/ejscreen" TargetMode="External"/><Relationship Id="rId30" Type="http://schemas.openxmlformats.org/officeDocument/2006/relationships/image" Target="media/image4.gif"/><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blm.gov/policy/im-2023-010" TargetMode="External"/><Relationship Id="rId25" Type="http://schemas.microsoft.com/office/2016/09/relationships/commentsIds" Target="commentsIds.xml"/><Relationship Id="rId33" Type="http://schemas.openxmlformats.org/officeDocument/2006/relationships/image" Target="media/image5.png"/><Relationship Id="rId38" Type="http://schemas.openxmlformats.org/officeDocument/2006/relationships/image" Target="media/image8.png"/><Relationship Id="rId46" Type="http://schemas.microsoft.com/office/2011/relationships/people" Target="people.xml"/><Relationship Id="rId20" Type="http://schemas.openxmlformats.org/officeDocument/2006/relationships/hyperlink" Target="https://www.blm.gov/policy/im-2023-008" TargetMode="External"/><Relationship Id="rId41" Type="http://schemas.openxmlformats.org/officeDocument/2006/relationships/hyperlink" Target="https://www.doi.gov/sites/doi.gov/files/report-on-the-federal-oil-and-gas-leasing-program-doi-eo-14008.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blm.gov/content/ghg/2022/" TargetMode="External"/><Relationship Id="rId2" Type="http://schemas.openxmlformats.org/officeDocument/2006/relationships/hyperlink" Target="https://www.federalregister.gov/documents/2023/06/16/2023-11742/onshore-oil-and-gas-operations-federal-and-indian-oil-and-gas-leases-codification-of-onshore-orders" TargetMode="External"/><Relationship Id="rId1" Type="http://schemas.openxmlformats.org/officeDocument/2006/relationships/hyperlink" Target="https://www.blm.gov/programs/energy-and-minerals/oil-and-ga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Bonanza</a:t>
            </a:r>
            <a:r>
              <a:rPr lang="en-US" baseline="0"/>
              <a:t>/Diamond Mountain </a:t>
            </a:r>
            <a:r>
              <a:rPr lang="en-US"/>
              <a:t>Spring Pronghorn</a:t>
            </a:r>
            <a:r>
              <a:rPr lang="en-US" baseline="0"/>
              <a:t> Populations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Spring Trend 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2012</c:v>
                </c:pt>
                <c:pt idx="11">
                  <c:v>2013</c:v>
                </c:pt>
                <c:pt idx="12">
                  <c:v>2015</c:v>
                </c:pt>
                <c:pt idx="13">
                  <c:v>2017</c:v>
                </c:pt>
                <c:pt idx="14">
                  <c:v>2019</c:v>
                </c:pt>
                <c:pt idx="15">
                  <c:v>2022</c:v>
                </c:pt>
              </c:numCache>
            </c:numRef>
          </c:xVal>
          <c:yVal>
            <c:numRef>
              <c:f>Sheet1!$B$2:$B$17</c:f>
              <c:numCache>
                <c:formatCode>General</c:formatCode>
                <c:ptCount val="16"/>
                <c:pt idx="0">
                  <c:v>295</c:v>
                </c:pt>
                <c:pt idx="1">
                  <c:v>282</c:v>
                </c:pt>
                <c:pt idx="2">
                  <c:v>201</c:v>
                </c:pt>
                <c:pt idx="3">
                  <c:v>258</c:v>
                </c:pt>
                <c:pt idx="4">
                  <c:v>174</c:v>
                </c:pt>
                <c:pt idx="5">
                  <c:v>211</c:v>
                </c:pt>
                <c:pt idx="6">
                  <c:v>228</c:v>
                </c:pt>
                <c:pt idx="7">
                  <c:v>233</c:v>
                </c:pt>
                <c:pt idx="8">
                  <c:v>39</c:v>
                </c:pt>
                <c:pt idx="9">
                  <c:v>146</c:v>
                </c:pt>
                <c:pt idx="10">
                  <c:v>476</c:v>
                </c:pt>
                <c:pt idx="11">
                  <c:v>294</c:v>
                </c:pt>
                <c:pt idx="12">
                  <c:v>478</c:v>
                </c:pt>
                <c:pt idx="13">
                  <c:v>846</c:v>
                </c:pt>
                <c:pt idx="14">
                  <c:v>402</c:v>
                </c:pt>
                <c:pt idx="15">
                  <c:v>389</c:v>
                </c:pt>
              </c:numCache>
            </c:numRef>
          </c:yVal>
          <c:smooth val="0"/>
          <c:extLst>
            <c:ext xmlns:c16="http://schemas.microsoft.com/office/drawing/2014/chart" uri="{C3380CC4-5D6E-409C-BE32-E72D297353CC}">
              <c16:uniqueId val="{00000000-A466-4F88-84C5-6ACBAB88334B}"/>
            </c:ext>
          </c:extLst>
        </c:ser>
        <c:dLbls>
          <c:showLegendKey val="0"/>
          <c:showVal val="0"/>
          <c:showCatName val="0"/>
          <c:showSerName val="0"/>
          <c:showPercent val="0"/>
          <c:showBubbleSize val="0"/>
        </c:dLbls>
        <c:axId val="750831455"/>
        <c:axId val="750827135"/>
      </c:scatterChart>
      <c:valAx>
        <c:axId val="7508314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827135"/>
        <c:crosses val="autoZero"/>
        <c:crossBetween val="midCat"/>
      </c:valAx>
      <c:valAx>
        <c:axId val="750827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83145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4397871-FEE8-4BEE-B080-16D185235008}">
    <t:Anchor>
      <t:Comment id="910681299"/>
    </t:Anchor>
    <t:History>
      <t:Event id="{D237A44F-CC33-4DBF-9B3C-B02694F8B809}" time="2024-04-26T16:52:45.814Z">
        <t:Attribution userId="S::cmellon@blm.gov::30f7b465-eac3-4083-965d-b893cc268faf" userProvider="AD" userName="Mellon, Cassie D"/>
        <t:Anchor>
          <t:Comment id="910681299"/>
        </t:Anchor>
        <t:Create/>
      </t:Event>
      <t:Event id="{9F72F3B6-DF15-4EEE-A69B-ABF4885192CB}" time="2024-04-26T16:52:45.814Z">
        <t:Attribution userId="S::cmellon@blm.gov::30f7b465-eac3-4083-965d-b893cc268faf" userProvider="AD" userName="Mellon, Cassie D"/>
        <t:Anchor>
          <t:Comment id="910681299"/>
        </t:Anchor>
        <t:Assign userId="S::jdalebou@blm.gov::0a5fd71c-0d2a-4ce6-8c58-d29d968f1f31" userProvider="AD" userName="Dalebout, Jared D"/>
      </t:Event>
      <t:Event id="{CC06FB78-9FD4-417E-ACCF-F647814DF09F}" time="2024-04-26T16:52:45.814Z">
        <t:Attribution userId="S::cmellon@blm.gov::30f7b465-eac3-4083-965d-b893cc268faf" userProvider="AD" userName="Mellon, Cassie D"/>
        <t:Anchor>
          <t:Comment id="910681299"/>
        </t:Anchor>
        <t:SetTitle title="@Dalebout, Jared D . Please review. I added in this part on water quality, but did not evaluate drinking water source areas. "/>
      </t:Event>
      <t:Event id="{107EE03B-7DCF-47D5-A085-0E0D7FA8F531}" time="2024-05-03T19:08:49.764Z">
        <t:Attribution userId="S::jdalebou@blm.gov::0a5fd71c-0d2a-4ce6-8c58-d29d968f1f31" userProvider="AD" userName="Dalebout, Jared D"/>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C9E91462F744EA9306609B6A6AFA03"/>
        <w:category>
          <w:name w:val="General"/>
          <w:gallery w:val="placeholder"/>
        </w:category>
        <w:types>
          <w:type w:val="bbPlcHdr"/>
        </w:types>
        <w:behaviors>
          <w:behavior w:val="content"/>
        </w:behaviors>
        <w:guid w:val="{B91C502B-8550-4DED-89A3-C88592343E74}"/>
      </w:docPartPr>
      <w:docPartBody>
        <w:p w:rsidR="00420FB1" w:rsidRDefault="00420FB1"/>
      </w:docPartBody>
    </w:docPart>
    <w:docPart>
      <w:docPartPr>
        <w:name w:val="598D399F12E9470FA1E187D2F6B0AD64"/>
        <w:category>
          <w:name w:val="General"/>
          <w:gallery w:val="placeholder"/>
        </w:category>
        <w:types>
          <w:type w:val="bbPlcHdr"/>
        </w:types>
        <w:behaviors>
          <w:behavior w:val="content"/>
        </w:behaviors>
        <w:guid w:val="{1BE5C33F-96E4-42EC-BCB7-D7D85DE63A56}"/>
      </w:docPartPr>
      <w:docPartBody>
        <w:p w:rsidR="00420FB1" w:rsidRDefault="00420FB1"/>
      </w:docPartBody>
    </w:docPart>
    <w:docPart>
      <w:docPartPr>
        <w:name w:val="A7592002DAE14E83B89956904FC2DA7C"/>
        <w:category>
          <w:name w:val="General"/>
          <w:gallery w:val="placeholder"/>
        </w:category>
        <w:types>
          <w:type w:val="bbPlcHdr"/>
        </w:types>
        <w:behaviors>
          <w:behavior w:val="content"/>
        </w:behaviors>
        <w:guid w:val="{5BEAB806-DBC0-4DE3-AD65-76B433624FFE}"/>
      </w:docPartPr>
      <w:docPartBody>
        <w:p w:rsidR="00420FB1" w:rsidRDefault="00420FB1"/>
      </w:docPartBody>
    </w:docPart>
    <w:docPart>
      <w:docPartPr>
        <w:name w:val="5E06B01AF98748F0B578EA3D97358DB3"/>
        <w:category>
          <w:name w:val="General"/>
          <w:gallery w:val="placeholder"/>
        </w:category>
        <w:types>
          <w:type w:val="bbPlcHdr"/>
        </w:types>
        <w:behaviors>
          <w:behavior w:val="content"/>
        </w:behaviors>
        <w:guid w:val="{51D43C7B-2E1D-465B-99FB-51A1AF4AFF00}"/>
      </w:docPartPr>
      <w:docPartBody>
        <w:p w:rsidR="00420FB1" w:rsidRDefault="00420FB1"/>
      </w:docPartBody>
    </w:docPart>
    <w:docPart>
      <w:docPartPr>
        <w:name w:val="7B581E53354F42FA8A9DAB3F2B55E864"/>
        <w:category>
          <w:name w:val="General"/>
          <w:gallery w:val="placeholder"/>
        </w:category>
        <w:types>
          <w:type w:val="bbPlcHdr"/>
        </w:types>
        <w:behaviors>
          <w:behavior w:val="content"/>
        </w:behaviors>
        <w:guid w:val="{EFEA0205-EC54-43D5-9E3E-20D24A3CC314}"/>
      </w:docPartPr>
      <w:docPartBody>
        <w:p w:rsidR="00C63462" w:rsidRDefault="00C63462"/>
      </w:docPartBody>
    </w:docPart>
    <w:docPart>
      <w:docPartPr>
        <w:name w:val="F27E654F9885485DAD58DC50661486CC"/>
        <w:category>
          <w:name w:val="General"/>
          <w:gallery w:val="placeholder"/>
        </w:category>
        <w:types>
          <w:type w:val="bbPlcHdr"/>
        </w:types>
        <w:behaviors>
          <w:behavior w:val="content"/>
        </w:behaviors>
        <w:guid w:val="{91FDB012-37A6-4B8D-8F21-D10650A40012}"/>
      </w:docPartPr>
      <w:docPartBody>
        <w:p w:rsidR="00C63462" w:rsidRDefault="00C6346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Roboto">
    <w:panose1 w:val="02000000000000000000"/>
    <w:charset w:val="00"/>
    <w:family w:val="auto"/>
    <w:pitch w:val="variable"/>
    <w:sig w:usb0="E00002EF" w:usb1="5000205B" w:usb2="00000020" w:usb3="00000000" w:csb0="0000019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9E9"/>
    <w:rsid w:val="000242DC"/>
    <w:rsid w:val="000738AD"/>
    <w:rsid w:val="00085D90"/>
    <w:rsid w:val="000A79FB"/>
    <w:rsid w:val="000C5F44"/>
    <w:rsid w:val="000E5FA9"/>
    <w:rsid w:val="000F619D"/>
    <w:rsid w:val="00104A51"/>
    <w:rsid w:val="001B6750"/>
    <w:rsid w:val="00237E12"/>
    <w:rsid w:val="002A53A0"/>
    <w:rsid w:val="002C2A7C"/>
    <w:rsid w:val="00343C20"/>
    <w:rsid w:val="00380A02"/>
    <w:rsid w:val="00411E8A"/>
    <w:rsid w:val="00420FB1"/>
    <w:rsid w:val="004211A3"/>
    <w:rsid w:val="004258C9"/>
    <w:rsid w:val="00436051"/>
    <w:rsid w:val="00437F8A"/>
    <w:rsid w:val="004871FA"/>
    <w:rsid w:val="004B7BF9"/>
    <w:rsid w:val="00522395"/>
    <w:rsid w:val="005271EB"/>
    <w:rsid w:val="00536644"/>
    <w:rsid w:val="00550DED"/>
    <w:rsid w:val="005E799E"/>
    <w:rsid w:val="0063280B"/>
    <w:rsid w:val="0064081A"/>
    <w:rsid w:val="006762D1"/>
    <w:rsid w:val="006810B8"/>
    <w:rsid w:val="0069100C"/>
    <w:rsid w:val="006F179F"/>
    <w:rsid w:val="00717AE4"/>
    <w:rsid w:val="007B51A7"/>
    <w:rsid w:val="007D6C0C"/>
    <w:rsid w:val="007E22A5"/>
    <w:rsid w:val="008425E0"/>
    <w:rsid w:val="00875F39"/>
    <w:rsid w:val="0089036A"/>
    <w:rsid w:val="008B40AD"/>
    <w:rsid w:val="008E27D4"/>
    <w:rsid w:val="008E50C4"/>
    <w:rsid w:val="00900EF4"/>
    <w:rsid w:val="00924CA6"/>
    <w:rsid w:val="00956335"/>
    <w:rsid w:val="00962AFE"/>
    <w:rsid w:val="009D235B"/>
    <w:rsid w:val="009E68FF"/>
    <w:rsid w:val="009F5E7E"/>
    <w:rsid w:val="00A2730A"/>
    <w:rsid w:val="00A622E1"/>
    <w:rsid w:val="00A85981"/>
    <w:rsid w:val="00AB7811"/>
    <w:rsid w:val="00B208C0"/>
    <w:rsid w:val="00B45A2A"/>
    <w:rsid w:val="00BA74C2"/>
    <w:rsid w:val="00BB3D15"/>
    <w:rsid w:val="00BF72BC"/>
    <w:rsid w:val="00C52487"/>
    <w:rsid w:val="00C62E81"/>
    <w:rsid w:val="00C63462"/>
    <w:rsid w:val="00C8365C"/>
    <w:rsid w:val="00C8588B"/>
    <w:rsid w:val="00CA009E"/>
    <w:rsid w:val="00D272DB"/>
    <w:rsid w:val="00D53B41"/>
    <w:rsid w:val="00D92182"/>
    <w:rsid w:val="00DF4911"/>
    <w:rsid w:val="00E44EAE"/>
    <w:rsid w:val="00E712E9"/>
    <w:rsid w:val="00EE69E9"/>
    <w:rsid w:val="00F07B77"/>
    <w:rsid w:val="00F17352"/>
    <w:rsid w:val="00F26FCA"/>
    <w:rsid w:val="00F92B9E"/>
    <w:rsid w:val="00FA7C21"/>
    <w:rsid w:val="00FB0978"/>
    <w:rsid w:val="00FD04DD"/>
    <w:rsid w:val="00FE13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1062a0d-ede8-4112-b4bb-00a9c1bc8e16" xsi:nil="true"/>
    <lcf76f155ced4ddcb4097134ff3c332f xmlns="0e4a4fbb-dae1-4078-b3ef-95078a00af7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E008B6480DE468045BAF523D0E1F5" ma:contentTypeVersion="11" ma:contentTypeDescription="Create a new document." ma:contentTypeScope="" ma:versionID="d534941245c13155d0baa43b7e2ed69f">
  <xsd:schema xmlns:xsd="http://www.w3.org/2001/XMLSchema" xmlns:xs="http://www.w3.org/2001/XMLSchema" xmlns:p="http://schemas.microsoft.com/office/2006/metadata/properties" xmlns:ns2="0e4a4fbb-dae1-4078-b3ef-95078a00af7d" xmlns:ns3="31062a0d-ede8-4112-b4bb-00a9c1bc8e16" targetNamespace="http://schemas.microsoft.com/office/2006/metadata/properties" ma:root="true" ma:fieldsID="9460272f6333371be57d370b47052914" ns2:_="" ns3:_="">
    <xsd:import namespace="0e4a4fbb-dae1-4078-b3ef-95078a00af7d"/>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a4fbb-dae1-4078-b3ef-95078a00a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5aa067-b880-47de-81b8-c582550d17b4}" ma:internalName="TaxCatchAll" ma:showField="CatchAllData" ma:web="1949da9d-13e3-4ea7-b981-2c766165f0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Sta211</b:Tag>
    <b:SourceType>DocumentFromInternetSite</b:SourceType>
    <b:Guid>{F26D0A81-FF10-45CD-8BB6-44E6B6FFE690}</b:Guid>
    <b:Author>
      <b:Author>
        <b:Corporate>State of Utah</b:Corporate>
      </b:Author>
    </b:Author>
    <b:Title>rmp.utah.gov</b:Title>
    <b:InternetSiteTitle>State Resource Management Plan (Utah)</b:InternetSiteTitle>
    <b:Year>2023</b:Year>
    <b:URL>https://storymaps.arcgis.com/collections/81d4406668e34acca4d98275ee41cd07?item=8</b:URL>
    <b:RefOrder>1</b:RefOrder>
  </b:Source>
  <b:Source>
    <b:Tag>Uin22</b:Tag>
    <b:SourceType>InternetSite</b:SourceType>
    <b:Guid>{31BF6DAB-2008-4C3C-99E6-E715FDAFE70F}</b:Guid>
    <b:Author>
      <b:Author>
        <b:Corporate>Uintah County</b:Corporate>
      </b:Author>
    </b:Author>
    <b:InternetSiteTitle>https://utah-resource-management-planning-plpco.hub.arcgis.com/</b:InternetSiteTitle>
    <b:Year>2022</b:Year>
    <b:Month>October</b:Month>
    <b:Day>31</b:Day>
    <b:URL>https://ago-item-storage.s3.us-east-1.amazonaws.com/b638e72b971b4720835d801e125ddbb3/Uintah_CRMP_2019_.pdf?X-Amz-Security-Token=IQoJb3JpZ2luX2VjECQaCXVzLWVhc3QtMSJIMEYCIQDGvSRGupfOpci13zoJ33FqSpTtu0iAwFzUIlye1gwBPwIhAPaRlIGZz2vqvb38mKyuKvNywN3jI%2FxLJyVGH</b:URL>
    <b:RefOrder>2</b:RefOrder>
  </b:Source>
  <b:Source>
    <b:Tag>BLM90</b:Tag>
    <b:SourceType>Misc</b:SourceType>
    <b:Guid>{2001D48C-391A-4877-B158-226448FFBFC8}</b:Guid>
    <b:Title>Handbook H-1624-1, Planning for Fluid Mineral Resources</b:Title>
    <b:Year>1990</b:Year>
    <b:Month>5</b:Month>
    <b:Day>07</b:Day>
    <b:Author>
      <b:Author>
        <b:Corporate>BLM</b:Corporate>
      </b:Author>
    </b:Author>
    <b:RefOrder>4</b:RefOrder>
  </b:Source>
  <b:Source>
    <b:Tag>BLM8b</b:Tag>
    <b:SourceType>ElectronicSource</b:SourceType>
    <b:Guid>{7647196C-BBC1-47D3-BC52-E1496BEC0639}</b:Guid>
    <b:Title>BLM National Environmental Policy Act Handbook H-1790-1</b:Title>
    <b:Year>2008b</b:Year>
    <b:URL>https://www.blm.gov/sites/blm.gov/files/uploads/Media_Library_BLM_Policy_Handbook_h1790-1.pdf</b:URL>
    <b:Author>
      <b:Author>
        <b:Corporate>BLM</b:Corporate>
      </b:Author>
    </b:Author>
    <b:RefOrder>39</b:RefOrder>
  </b:Source>
  <b:Source>
    <b:Tag>NET09</b:Tag>
    <b:SourceType>Report</b:SourceType>
    <b:Guid>{E4E3990B-6B0C-4343-A2B8-A6BFBF2BA187}</b:Guid>
    <b:Author>
      <b:Author>
        <b:Corporate>NETL</b:Corporate>
      </b:Author>
    </b:Author>
    <b:Title>2008 Development of Baseline Data and Analysis of Life Cycle Greenhouse Gas Emissions of Petroleum-Based Fuels. Tables 3-10, 4-55, and 5-10</b:Title>
    <b:Year>2009</b:Year>
    <b:Publisher>DOE/NETL-2009/1346</b:Publisher>
    <b:RefOrder>52</b:RefOrder>
  </b:Source>
  <b:Source>
    <b:Tag>NET194</b:Tag>
    <b:SourceType>Report</b:SourceType>
    <b:Guid>{3DC26A13-98ED-4F3D-A5FA-A07DA85547CD}</b:Guid>
    <b:Author>
      <b:Author>
        <b:Corporate>NETL</b:Corporate>
      </b:Author>
    </b:Author>
    <b:Title>Life Cycle Analysis of Natural Gas Extraction and Power Generation. Appendix F, Table F-31.</b:Title>
    <b:Year>2019</b:Year>
    <b:Publisher>DOE/NETL-2019/2039</b:Publisher>
    <b:RefOrder>53</b:RefOrder>
  </b:Source>
  <b:Source>
    <b:Tag>BLM14a</b:Tag>
    <b:SourceType>InternetSite</b:SourceType>
    <b:Guid>{7562A3EF-6028-492E-AC8B-741FEC6E74E6}</b:Guid>
    <b:Author>
      <b:Author>
        <b:Corporate>BLM</b:Corporate>
      </b:Author>
    </b:Author>
    <b:Title>ISSUANCE OF THE BUREAU OF LAND MANAGEMENT FACT SHEET ON THE AIR QUALITY GENERAL CONFORMITY RULE</b:Title>
    <b:Year>2014</b:Year>
    <b:Month>9</b:Month>
    <b:Day>29</b:Day>
    <b:YearAccessed>2020</b:YearAccessed>
    <b:MonthAccessed>1</b:MonthAccessed>
    <b:DayAccessed>13</b:DayAccessed>
    <b:URL>https://www.blm.gov/policy/ib-2014-084</b:URL>
    <b:RefOrder>59</b:RefOrder>
  </b:Source>
  <b:Source>
    <b:Tag>USG19</b:Tag>
    <b:SourceType>InternetSite</b:SourceType>
    <b:Guid>{40BA8FDB-C832-4C29-979A-17649449DD79}</b:Guid>
    <b:Author>
      <b:Author>
        <b:Corporate>USGS</b:Corporate>
      </b:Author>
    </b:Author>
    <b:Title>USGS</b:Title>
    <b:InternetSiteTitle>Hydraulic Fracturing</b:InternetSiteTitle>
    <b:Year>2019</b:Year>
    <b:Month>03</b:Month>
    <b:Day>02</b:Day>
    <b:URL>https://www.usgs.gov/mission-areas/water-resources/science/hydraulic-fracturing?qt-science_center_objects=0#qt-science_center_objects</b:URL>
    <b:RefOrder>18</b:RefOrder>
  </b:Source>
  <b:Source>
    <b:Tag>BLM07a</b:Tag>
    <b:SourceType>InternetSite</b:SourceType>
    <b:Guid>{FB444977-B68F-4354-BBEE-6920DADA1A90}</b:Guid>
    <b:Title>BLM.gov</b:Title>
    <b:Year>2007</b:Year>
    <b:Author>
      <b:Author>
        <b:Corporate>BLM</b:Corporate>
      </b:Author>
    </b:Author>
    <b:InternetSiteTitle>The Gold Book</b:InternetSiteTitle>
    <b:URL>https://www.blm.gov/programs/energy-and-minerals/oil-and-gas/operations-and-production/the-gold-book</b:URL>
    <b:RefOrder>22</b:RefOrder>
  </b:Source>
  <b:Source>
    <b:Tag>EPA23</b:Tag>
    <b:SourceType>InternetSite</b:SourceType>
    <b:Guid>{7E3E7F56-D6A3-4B00-B3F6-11C54AB19D68}</b:Guid>
    <b:Author>
      <b:Author>
        <b:Corporate>EPA</b:Corporate>
      </b:Author>
    </b:Author>
    <b:Title>2019 AirToxScreen: Assessment Results</b:Title>
    <b:Year>2023</b:Year>
    <b:Month>1</b:Month>
    <b:Day>9</b:Day>
    <b:URL>https://www.epa.gov/AirToxScreen/2019-airtoxscreen-assessment-results</b:URL>
    <b:RefOrder>44</b:RefOrder>
  </b:Source>
  <b:Source>
    <b:Tag>EIA201</b:Tag>
    <b:SourceType>DocumentFromInternetSite</b:SourceType>
    <b:Guid>{D0391AA5-D852-4932-84AE-F88ECD1C3B0F}</b:Guid>
    <b:Title>Annual Energy Outlook 2022</b:Title>
    <b:Year>2023</b:Year>
    <b:City>Washington DC</b:City>
    <b:Publisher>U.S. Energy Information Administration</b:Publisher>
    <b:Author>
      <b:Author>
        <b:Corporate>EIA</b:Corporate>
      </b:Author>
    </b:Author>
    <b:URL>https://www.eia.gov/outlooks/aeo/</b:URL>
    <b:Month>03</b:Month>
    <b:Day>16</b:Day>
    <b:YearAccessed>2021</b:YearAccessed>
    <b:MonthAccessed>10</b:MonthAccessed>
    <b:DayAccessed>01</b:DayAccessed>
    <b:RefOrder>55</b:RefOrder>
  </b:Source>
  <b:Source>
    <b:Tag>EPA23a</b:Tag>
    <b:SourceType>InternetSite</b:SourceType>
    <b:Guid>{91EE258D-DD7C-4DA6-AA35-4BBC8528A049}</b:Guid>
    <b:Author>
      <b:Author>
        <b:Corporate>EPA</b:Corporate>
      </b:Author>
    </b:Author>
    <b:Title>Ground-level Ozone Pollution</b:Title>
    <b:Year>2023a</b:Year>
    <b:Month>May</b:Month>
    <b:URL>https://www.epa.gov/ground-level-ozone-pollution</b:URL>
    <b:RefOrder>30</b:RefOrder>
  </b:Source>
  <b:Source>
    <b:Tag>EPA3b</b:Tag>
    <b:SourceType>InternetSite</b:SourceType>
    <b:Guid>{979E990E-B77B-4DEF-94F5-EDC78EC8ABEF}</b:Guid>
    <b:Author>
      <b:Author>
        <b:Corporate>EPA</b:Corporate>
      </b:Author>
    </b:Author>
    <b:Title>Particulate Matter Basics</b:Title>
    <b:Year>2023b</b:Year>
    <b:Month>May</b:Month>
    <b:URL>https://www.epa.gov/pm-pollution/particulate-matter-pm-basics</b:URL>
    <b:RefOrder>31</b:RefOrder>
  </b:Source>
  <b:Source>
    <b:Tag>EPA3c</b:Tag>
    <b:SourceType>InternetSite</b:SourceType>
    <b:Guid>{9271C5AC-89B0-47D6-BA8C-16D6F3B846C4}</b:Guid>
    <b:Author>
      <b:Author>
        <b:Corporate>EPA</b:Corporate>
      </b:Author>
    </b:Author>
    <b:Title>Basic Information about NO2</b:Title>
    <b:Year>2023c</b:Year>
    <b:Month>May</b:Month>
    <b:URL>https://www.epa.gov/no2-pollution/basic-information-about-no2</b:URL>
    <b:RefOrder>32</b:RefOrder>
  </b:Source>
  <b:Source>
    <b:Tag>EPA3d</b:Tag>
    <b:SourceType>InternetSite</b:SourceType>
    <b:Guid>{CA11CC08-9B45-4ECE-8145-F790629BCA96}</b:Guid>
    <b:Author>
      <b:Author>
        <b:Corporate>EPA</b:Corporate>
      </b:Author>
    </b:Author>
    <b:Title>Basic Information about Carbon Monoxide Outdoor Air Pollution</b:Title>
    <b:Year>2023d</b:Year>
    <b:Month>May</b:Month>
    <b:URL>https://www.epa.gov/co-pollution/basic-information-about-carbon-monoxide-co-outdoor-air-pollution#What%20is%20CO</b:URL>
    <b:RefOrder>33</b:RefOrder>
  </b:Source>
  <b:Source>
    <b:Tag>EPA3f</b:Tag>
    <b:SourceType>InternetSite</b:SourceType>
    <b:Guid>{C2F61B2F-6EAC-4603-9CF3-7E9CFF8B54E8}</b:Guid>
    <b:Author>
      <b:Author>
        <b:Corporate>EPA</b:Corporate>
      </b:Author>
    </b:Author>
    <b:Title>Sulfur Dioxide Basics</b:Title>
    <b:Year>2023f</b:Year>
    <b:Month>May</b:Month>
    <b:URL>https://www.epa.gov/so2-pollution/sulfur-dioxide-basics#effects</b:URL>
    <b:RefOrder>35</b:RefOrder>
  </b:Source>
  <b:Source>
    <b:Tag>EPA3g</b:Tag>
    <b:SourceType>InternetSite</b:SourceType>
    <b:Guid>{027496DC-8CBF-4C76-9A2D-F0D05B34BE42}</b:Guid>
    <b:Author>
      <b:Author>
        <b:Corporate>EPA</b:Corporate>
      </b:Author>
    </b:Author>
    <b:Title>Health Effects Notebook for Hazardous Air Pollutants</b:Title>
    <b:Year>2023g</b:Year>
    <b:Month>May</b:Month>
    <b:URL>https://www.epa.gov/haps/health-effects-notebook-hazardous-air-pollutants</b:URL>
    <b:RefOrder>36</b:RefOrder>
  </b:Source>
  <b:Source>
    <b:Tag>EPA3h</b:Tag>
    <b:SourceType>InternetSite</b:SourceType>
    <b:Guid>{19B9F24E-A041-4A08-858C-FF80E04EF3B1}</b:Guid>
    <b:Author>
      <b:Author>
        <b:Corporate>EPA</b:Corporate>
      </b:Author>
    </b:Author>
    <b:Title>Human Health Risk Assessment</b:Title>
    <b:Year>2023h</b:Year>
    <b:Month>May</b:Month>
    <b:URL>https://www.epa.gov/risk/human-health-risk-assessment</b:URL>
    <b:RefOrder>38</b:RefOrder>
  </b:Source>
  <b:Source>
    <b:Tag>EPA231</b:Tag>
    <b:SourceType>InternetSite</b:SourceType>
    <b:Guid>{E994CBDC-3C73-4462-9E0D-A3F41ED2692C}</b:Guid>
    <b:Author>
      <b:Author>
        <b:Corporate>EPA</b:Corporate>
      </b:Author>
    </b:Author>
    <b:Title>Technologically Enhanced Naturally Occurring Radioactive Material: Oil and Gas Production Wastes</b:Title>
    <b:Year>2023</b:Year>
    <b:Month>1</b:Month>
    <b:Day>30</b:Day>
    <b:URL>https://www.epa.gov/radiation/tenorm-oil-and-gas-production-wastes</b:URL>
    <b:RefOrder>58</b:RefOrder>
  </b:Source>
  <b:Source>
    <b:Tag>Gro17</b:Tag>
    <b:SourceType>InternetSite</b:SourceType>
    <b:Guid>{E64C20C4-65A0-4A9D-A80D-C3EC7A249BA3}</b:Guid>
    <b:Title>State Oil and Natural Gas Regulations Designed to Protect Water </b:Title>
    <b:Year>2017</b:Year>
    <b:Author>
      <b:Author>
        <b:Corporate>Groundwater Protection Council</b:Corporate>
      </b:Author>
    </b:Author>
    <b:URL>https://www.gwpc.org/sites/gwpc/uploads/documents/</b:URL>
    <b:RefOrder>57</b:RefOrder>
  </b:Source>
  <b:Source>
    <b:Tag>BLM23a</b:Tag>
    <b:SourceType>InternetSite</b:SourceType>
    <b:Guid>{36797576-2738-482D-BDD4-B6BE0A35EB34}</b:Guid>
    <b:Author>
      <b:Author>
        <b:Corporate>BLM</b:Corporate>
      </b:Author>
    </b:Author>
    <b:Title>REGULATIONS, ONSHORE ORDERS AND NOTICES TO LESSEES</b:Title>
    <b:Year>2023</b:Year>
    <b:InternetSiteTitle>BLM.gov</b:InternetSiteTitle>
    <b:URL>https://www.blm.gov/programs/energy-and-minerals/oil-and-gas/operations-and-production/onshore-orders</b:URL>
    <b:RefOrder>19</b:RefOrder>
  </b:Source>
  <b:Source>
    <b:Tag>NRC</b:Tag>
    <b:SourceType>DocumentFromInternetSite</b:SourceType>
    <b:Guid>{6A9D88D2-A0A0-464C-A2FE-DA2770BFE25E}</b:Guid>
    <b:Author>
      <b:Author>
        <b:Corporate>NRCS</b:Corporate>
      </b:Author>
    </b:Author>
    <b:Title>Web Soil Survey - Digital General Soil Map of the United States (STATSGO2)</b:Title>
    <b:URL>http://websoilsurvey.nrcs.usda.gov</b:URL>
    <b:Year>2014</b:Year>
    <b:RefOrder>11</b:RefOrder>
  </b:Source>
  <b:Source>
    <b:Tag>Uta18</b:Tag>
    <b:SourceType>InternetSite</b:SourceType>
    <b:Guid>{C55347B3-51DA-493C-8CFC-8C4BC3E2E9D0}</b:Guid>
    <b:Author>
      <b:Author>
        <b:Corporate>Utah Geological Survey</b:Corporate>
      </b:Author>
    </b:Author>
    <b:Title>Survey Notes</b:Title>
    <b:InternetSiteTitle>geology.utah.gov</b:InternetSiteTitle>
    <b:Year>2018</b:Year>
    <b:Month>May</b:Month>
    <b:URL>https://geology.utah.gov/map-pub/survey-notes/uinta-basin-produced-water/#:~:text=O%20il%20and%20gas%20fields%20in%20the%20Uinta,73%20to%2066%20million-year-old%20Upper%20Cretaceous%20Mesaverde%20Group.</b:URL>
    <b:RefOrder>17</b:RefOrder>
  </b:Source>
  <b:Source>
    <b:Tag>Ame18</b:Tag>
    <b:SourceType>ElectronicSource</b:SourceType>
    <b:Guid>{95F29131-99B3-43EF-A628-F7305F5AC593}</b:Guid>
    <b:Title>Water in the Oil and Gas Industry</b:Title>
    <b:Year>2018</b:Year>
    <b:Author>
      <b:Author>
        <b:Corporate>American Geosciences Institute</b:Corporate>
      </b:Author>
    </b:Author>
    <b:InternetSiteTitle>American Geosciences Institute</b:InternetSiteTitle>
    <b:Month>06</b:Month>
    <b:Day>01</b:Day>
    <b:URL>https://www.americangeosciences.org/geoscience-currents/water-oil-and-gas-industry</b:URL>
    <b:RefOrder>16</b:RefOrder>
  </b:Source>
  <b:Source>
    <b:Tag>USG23</b:Tag>
    <b:SourceType>ElectronicSource</b:SourceType>
    <b:Guid>{C293D601-5418-4563-8C69-A8AF1607A3CB}</b:Guid>
    <b:Author>
      <b:Author>
        <b:Corporate>USGS</b:Corporate>
      </b:Author>
    </b:Author>
    <b:Title>How much water does the typical hydraulically fractured well require?</b:Title>
    <b:Year>2023</b:Year>
    <b:URL>https://www.usgs.gov/faqs/how-much-water-does-typical-hydraulically-fractured-well-require#:~:text=Water%20use%20per%20well%20can,to%20about%2016%20million%20gallons.</b:URL>
    <b:RefOrder>20</b:RefOrder>
  </b:Source>
  <b:Source>
    <b:Tag>Nat20</b:Tag>
    <b:SourceType>Report</b:SourceType>
    <b:Guid>{D0DA4A51-C076-4866-A1D6-4EFACAD91EF7}</b:Guid>
    <b:Author>
      <b:Author>
        <b:Corporate>NatureServe</b:Corporate>
      </b:Author>
    </b:Author>
    <b:Title>Habitat-based Plant Element Occurrence Delimitation Guidance - Revised</b:Title>
    <b:Year>2020</b:Year>
    <b:Publisher>NatureServe</b:Publisher>
    <b:City>Arlington, VA</b:City>
    <b:RefOrder>12</b:RefOrder>
  </b:Source>
  <b:Source>
    <b:Tag>EPA22</b:Tag>
    <b:SourceType>InternetSite</b:SourceType>
    <b:Guid>{B261244E-5040-49F4-8683-6DD3EA502C4A}</b:Guid>
    <b:Author>
      <b:Author>
        <b:Corporate>EPA </b:Corporate>
      </b:Author>
    </b:Author>
    <b:Title>GHG Equivalancy Calculator</b:Title>
    <b:Year>2022</b:Year>
    <b:Month>4</b:Month>
    <b:Day>28</b:Day>
    <b:URL>https://www.epa.gov/energy/greenhouse-gas-equivalencies-calculator</b:URL>
    <b:RefOrder>54</b:RefOrder>
  </b:Source>
  <b:Source>
    <b:Tag>CEQ231</b:Tag>
    <b:SourceType>InternetSite</b:SourceType>
    <b:Guid>{3CA16F6D-AD50-43A5-A8A7-D7D953B96EA6}</b:Guid>
    <b:Author>
      <b:Author>
        <b:Corporate>CEQ</b:Corporate>
      </b:Author>
    </b:Author>
    <b:Title>Guidance: National Environmental Policy Act Guidance on Consideration of Greenhouse Gas Emissions and Climate Change</b:Title>
    <b:Year>2023</b:Year>
    <b:Month>1</b:Month>
    <b:Day>8</b:Day>
    <b:URL>https://www.regulations.gov/document/CEQ-2022-0005-0001</b:URL>
    <b:RefOrder>14</b:RefOrder>
  </b:Source>
  <b:Source>
    <b:Tag>Ram23</b:Tag>
    <b:SourceType>Report</b:SourceType>
    <b:Guid>{99B27B7B-3770-46B5-BB7A-8CC306EFC6FD}</b:Guid>
    <b:Author>
      <b:Author>
        <b:Corporate>Ramboll</b:Corporate>
      </b:Author>
    </b:Author>
    <b:Title>BLM Western US Photochemical Air Quality Modeling for 2032</b:Title>
    <b:Year>2023</b:Year>
    <b:RefOrder>49</b:RefOrder>
  </b:Source>
  <b:Source>
    <b:Tag>EPA24</b:Tag>
    <b:SourceType>InternetSite</b:SourceType>
    <b:Guid>{F636E986-E56B-4662-883E-F61100C00FA6}</b:Guid>
    <b:Title>Extension of the Attainment Date and Determination of Attainment by the Attainment Date of the Uinta Basin Marginal Nonattainment Area Under the 2015 Ozone National Ambient Air Quality Standards</b:Title>
    <b:Year>2024</b:Year>
    <b:Author>
      <b:Author>
        <b:Corporate>EPA</b:Corporate>
      </b:Author>
    </b:Author>
    <b:InternetSiteTitle>Federal Register</b:InternetSiteTitle>
    <b:Month>4</b:Month>
    <b:Day>10</b:Day>
    <b:URL>https://www.federalregister.gov/documents/2024/04/10/2024-07501/extension-of-the-attainment-date-and-determination-of-attainment-by-the-attainment-date-of-the-uinta</b:URL>
    <b:RefOrder>43</b:RefOrder>
  </b:Source>
  <b:Source>
    <b:Tag>EPA241</b:Tag>
    <b:SourceType>InternetSite</b:SourceType>
    <b:Guid>{0109D0D6-5D7F-438B-9CFE-0A59522ACED6}</b:Guid>
    <b:Author>
      <b:Author>
        <b:Corporate>EPA</b:Corporate>
      </b:Author>
    </b:Author>
    <b:Title>NAAQS Table</b:Title>
    <b:Year>2024</b:Year>
    <b:Month>2</b:Month>
    <b:Day>7</b:Day>
    <b:URL>https://www.epa.gov/criteria-air-pollutants/naaqs-table</b:URL>
    <b:RefOrder>42</b:RefOrder>
  </b:Source>
  <b:Source>
    <b:Tag>EPA195</b:Tag>
    <b:SourceType>InternetSite</b:SourceType>
    <b:Guid>{B52C6DED-ECA1-4829-B899-A7601A309C9C}</b:Guid>
    <b:Author>
      <b:Author>
        <b:NameList>
          <b:Person>
            <b:Last>EPA</b:Last>
          </b:Person>
        </b:NameList>
      </b:Author>
    </b:Author>
    <b:Title>2017 AirToxScreen: Assessment Results</b:Title>
    <b:YearAccessed>2022</b:YearAccessed>
    <b:URL>https://www.epa.gov/AirToxScreen/2017-airtoxscreen-assessment-results#emissions</b:URL>
    <b:MonthAccessed>3</b:MonthAccessed>
    <b:DayAccessed>21</b:DayAccessed>
    <b:Year>2022</b:Year>
    <b:RefOrder>50</b:RefOrder>
  </b:Source>
  <b:Source>
    <b:Tag>WRA21</b:Tag>
    <b:SourceType>DocumentFromInternetSite</b:SourceType>
    <b:Guid>{467109F4-6F78-424D-9FF5-640842478E81}</b:Guid>
    <b:Author>
      <b:Author>
        <b:Corporate>WRAP/WAQS</b:Corporate>
      </b:Author>
    </b:Author>
    <b:Title>UNITED STATES ANTHROPOGENIC EMISSIONS RATE OF PROGRESS  </b:Title>
    <b:Year>2021</b:Year>
    <b:URL>https://views.cira.colostate.edu/tssv2/Docs/USAnthroRoP.pdf</b:URL>
    <b:RefOrder>51</b:RefOrder>
  </b:Source>
  <b:Source>
    <b:Tag>Dil19</b:Tag>
    <b:SourceType>JournalArticle</b:SourceType>
    <b:Guid>{8046A12A-1FD7-4B61-BEB6-E0E9903BD53C}</b:Guid>
    <b:Title>Host Plants and Climate Structure Habitat Associations of the Western Monarch Butterfly</b:Title>
    <b:Year>2019</b:Year>
    <b:JournalName>Frontiers in Ecology and Evolution</b:JournalName>
    <b:Author>
      <b:Author>
        <b:NameList>
          <b:Person>
            <b:Last>Dilts</b:Last>
            <b:Middle>E</b:Middle>
            <b:First>Thomas</b:First>
          </b:Person>
          <b:Person>
            <b:Last>Steele</b:Last>
            <b:Middle>O</b:Middle>
            <b:First>Madeline</b:First>
          </b:Person>
          <b:Person>
            <b:Last>Engler</b:Last>
            <b:Middle>D</b:Middle>
            <b:First>Joseph</b:First>
          </b:Person>
          <b:Person>
            <b:Last>Pelton</b:Last>
            <b:Middle>M</b:Middle>
            <b:First>Emma</b:First>
          </b:Person>
          <b:Person>
            <b:Last>Jepsen</b:Last>
            <b:Middle>J</b:Middle>
            <b:First>Sarina</b:First>
          </b:Person>
          <b:Person>
            <b:Last>Stephanie</b:Last>
            <b:Middle>McKnight</b:Middle>
            <b:First>J</b:First>
          </b:Person>
          <b:Person>
            <b:Last>Taylor</b:Last>
            <b:Middle>R</b:Middle>
            <b:First>Ashley</b:First>
          </b:Person>
          <b:Person>
            <b:Last>Fallon</b:Last>
            <b:Middle>E</b:Middle>
            <b:First>Candace</b:First>
          </b:Person>
          <b:Person>
            <b:Last>Black</b:Last>
            <b:Middle>H</b:Middle>
            <b:First>Scott</b:First>
          </b:Person>
          <b:Person>
            <b:Last>Cruz</b:Last>
            <b:Middle>E</b:Middle>
            <b:First>Elizabeth</b:First>
          </b:Person>
          <b:Person>
            <b:Last>Craver</b:Last>
            <b:Middle>R</b:Middle>
            <b:First>Daniel</b:First>
          </b:Person>
          <b:Person>
            <b:Last>Forister</b:Last>
            <b:Middle>L</b:Middle>
            <b:First>Matthew</b:First>
          </b:Person>
        </b:NameList>
      </b:Author>
    </b:Author>
    <b:DOI>10.3389/fevo.2019.00188</b:DOI>
    <b:RefOrder>10</b:RefOrder>
  </b:Source>
  <b:Source>
    <b:Tag>Placeholder7</b:Tag>
    <b:SourceType>DocumentFromInternetSite</b:SourceType>
    <b:Guid>{82398A64-7077-4D0A-BFFC-AFE48CE6CF37}</b:Guid>
    <b:Title>2023 Air Resource Management Strategy Monitoring Report</b:Title>
    <b:Year>2023</b:Year>
    <b:URL>https://eplanning.blm.gov/eplanning-ui/project/101390/570</b:URL>
    <b:Author>
      <b:Author>
        <b:Corporate>BLM</b:Corporate>
      </b:Author>
    </b:Author>
    <b:Month>11</b:Month>
    <b:Day>27</b:Day>
    <b:RefOrder>40</b:RefOrder>
  </b:Source>
  <b:Source>
    <b:Tag>EPA2024</b:Tag>
    <b:SourceType>DocumentFromInternetSite</b:SourceType>
    <b:Guid>{78201F9C-AD0D-4F0F-ABE8-32A8E896F7AB}</b:Guid>
    <b:Author>
      <b:Author>
        <b:Corporate>EPA</b:Corporate>
      </b:Author>
    </b:Author>
    <b:Title>2020 National Emissions Inventory (NEI) Data</b:Title>
    <b:Year>2024</b:Year>
    <b:Month>4</b:Month>
    <b:Day>29</b:Day>
    <b:URL>https://www.epa.gov/air-emissions-inventories/2020-national-emissions-inventory-nei-data</b:URL>
    <b:RefOrder>41</b:RefOrder>
  </b:Source>
  <b:Source>
    <b:Tag>EPA991</b:Tag>
    <b:SourceType>DocumentFromInternetSite</b:SourceType>
    <b:Guid>{35B3F846-1B8A-42F7-923D-84FAD58B0A56}</b:Guid>
    <b:Author>
      <b:Author>
        <b:Corporate>EPA</b:Corporate>
      </b:Author>
    </b:Author>
    <b:Title>Residual Risk Report to Congress 1999</b:Title>
    <b:Year>1999</b:Year>
    <b:Month>03</b:Month>
    <b:URL>https://www.epa.gov/fera/residual-risk-report-congress-1999</b:URL>
    <b:RefOrder>45</b:RefOrder>
  </b:Source>
  <b:Source>
    <b:Tag>EPA2022</b:Tag>
    <b:SourceType>DocumentFromInternetSite</b:SourceType>
    <b:Guid>{5EF2967C-6710-406F-8249-5FF9695107D3}</b:Guid>
    <b:Author>
      <b:Author>
        <b:Corporate>EPA</b:Corporate>
      </b:Author>
    </b:Author>
    <b:Title>FIP for Oil and Natural Gas Sources on the Uintah and Ouray Indian Reservation</b:Title>
    <b:Year>2022</b:Year>
    <b:Month>12</b:Month>
    <b:Day>8</b:Day>
    <b:URL>https://www.epa.gov/air-quality-implementation-plans/fip-oil-and-natural-gas-sources-uintah-and-ouray-indian#:~:text=Per%2040%20CFR%2049.172%2C%20the,is%20due%20April%2015%2C%202024.</b:URL>
    <b:RefOrder>46</b:RefOrder>
  </b:Source>
  <b:Source>
    <b:Tag>EPA2313</b:Tag>
    <b:SourceType>InternetSite</b:SourceType>
    <b:Guid>{AB43DDCF-B799-46CE-877C-830ED0202487}</b:Guid>
    <b:Author>
      <b:Author>
        <b:Corporate>EPA</b:Corporate>
      </b:Author>
    </b:Author>
    <b:Title>Basic Information about Lead Air Pollution</b:Title>
    <b:Year>2023</b:Year>
    <b:Month>7</b:Month>
    <b:Day>5</b:Day>
    <b:URL>https://www.epa.gov/lead-air-pollution/basic-information-about-lead-air-pollution#health</b:URL>
    <b:RefOrder>34</b:RefOrder>
  </b:Source>
  <b:Source>
    <b:Tag>Adm22</b:Tag>
    <b:SourceType>DocumentFromInternetSite</b:SourceType>
    <b:Guid>{C189C2E5-2961-4AF3-B67D-9FE8758C568F}</b:Guid>
    <b:Author>
      <b:Author>
        <b:Corporate>EIA</b:Corporate>
      </b:Author>
    </b:Author>
    <b:Title>EIA, Utah State Energy Analysis</b:Title>
    <b:Year>2022</b:Year>
    <b:Publisher>https://www.eia.gov/state/analysis.php?sid=UT</b:Publisher>
    <b:URL>https://www.eia.gov/state/analysis.php?sid=UT</b:URL>
    <b:RefOrder>47</b:RefOrder>
  </b:Source>
  <b:Source>
    <b:Tag>Man21</b:Tag>
    <b:SourceType>JournalArticle</b:SourceType>
    <b:Guid>{6D82ADA3-8C9A-49E3-A432-21285834AD6C}</b:Guid>
    <b:Author>
      <b:Author>
        <b:NameList>
          <b:Person>
            <b:Last>Mansfield</b:Last>
          </b:Person>
        </b:NameList>
      </b:Author>
    </b:Author>
    <b:Title>Winter Ozone Pollution in Utah's Uinta Basin is Attenuating</b:Title>
    <b:Year>2021</b:Year>
    <b:JournalName>Atmosphere</b:JournalName>
    <b:RefOrder>48</b:RefOrder>
  </b:Source>
  <b:Source>
    <b:Tag>San22</b:Tag>
    <b:SourceType>JournalArticle</b:SourceType>
    <b:Guid>{71FB8123-67F5-4A37-9111-CDD8FE6DD95F}</b:Guid>
    <b:Title>Natural Gas Development and Migratory Ungulates on Western Rangelands.</b:Title>
    <b:Year>2022</b:Year>
    <b:Author>
      <b:Author>
        <b:NameList>
          <b:Person>
            <b:Last>Sandoval Lambert</b:Last>
            <b:First>M.,</b:First>
            <b:Middle>H. Sawyer, and J. A. Merkle.</b:Middle>
          </b:Person>
        </b:NameList>
      </b:Author>
    </b:Author>
    <b:JournalName>Bull Ecol Soc Am</b:JournalName>
    <b:RefOrder>15</b:RefOrder>
  </b:Source>
  <b:Source>
    <b:Tag>UDO24</b:Tag>
    <b:SourceType>InternetSite</b:SourceType>
    <b:Guid>{000F6FF3-7F24-47E1-9661-5068682AEAB6}</b:Guid>
    <b:Author>
      <b:Author>
        <b:Corporate>UDOGM</b:Corporate>
      </b:Author>
    </b:Author>
    <b:Title>Monthly Production Reports - By County</b:Title>
    <b:Year>2024</b:Year>
    <b:Month>1</b:Month>
    <b:URL>https://oilgas.ogm.utah.gov/oilgasweb/publications/monthly-rpts-by-cnty.xhtml?rptType=CNTY</b:URL>
    <b:RefOrder>29</b:RefOrder>
  </b:Source>
  <b:Source>
    <b:Tag>Hea24</b:Tag>
    <b:SourceType>InternetSite</b:SourceType>
    <b:Guid>{19FF7783-0627-43FA-BE26-4B3A594522FA}</b:Guid>
    <b:Author>
      <b:Author>
        <b:Corporate>Headwaters Economics</b:Corporate>
      </b:Author>
    </b:Author>
    <b:Title>Economic Profile System</b:Title>
    <b:Year>2024</b:Year>
    <b:URL>https://headwaterseconomics.org/apps/economic-profile-system/49047+49009+49013+49000</b:URL>
    <b:RefOrder>37</b:RefOrder>
  </b:Source>
  <b:Source>
    <b:Tag>NRC24</b:Tag>
    <b:SourceType>DocumentFromInternetSite</b:SourceType>
    <b:Guid>{4A7DD1CB-B8E9-4170-986D-0C5988C8578B}</b:Guid>
    <b:Author>
      <b:Author>
        <b:Corporate>NRCS</b:Corporate>
      </b:Author>
    </b:Author>
    <b:Title>Soil Survey Geographic (SSURGO) Database</b:Title>
    <b:Year>2024</b:Year>
    <b:URL>https://websoilsurvey.urcs.usda.gov</b:URL>
    <b:RefOrder>3</b:RefOrder>
  </b:Source>
  <b:Source>
    <b:Tag>EPA74</b:Tag>
    <b:SourceType>DocumentFromInternetSite</b:SourceType>
    <b:Guid>{50471FAE-132E-4EA7-B5B5-720415B5D508}</b:Guid>
    <b:Author>
      <b:Author>
        <b:Corporate>EPA</b:Corporate>
      </b:Author>
    </b:Author>
    <b:Year>1974</b:Year>
    <b:URL>https://nepis.epa.gov/Exe/ZyPDF.cgi/2000L3LN.PDF?Dockey=2000L3LN.PDF</b:URL>
    <b:Title>Information on noise levels identified as a requistine to protect public health and welfare an adequate margin of safety. EPA-550/9-74-004</b:Title>
    <b:RefOrder>23</b:RefOrder>
  </b:Source>
  <b:Source>
    <b:Tag>USD03</b:Tag>
    <b:SourceType>DocumentFromInternetSite</b:SourceType>
    <b:Guid>{A59FBFC0-0321-401D-B35A-CCDC005CFD7F}</b:Guid>
    <b:Author>
      <b:Author>
        <b:Corporate>USDOT</b:Corporate>
      </b:Author>
    </b:Author>
    <b:Year>2003</b:Year>
    <b:URL>https://highways.dot.gov/public-roads/julyaugust-2003/living-noise#:~:text=Levels%20of%20highway%20traffic%20noise,to%20carry%20on%20a%20conversation.</b:URL>
    <b:Title>Living with Noise. Public Roads</b:Title>
    <b:RefOrder>24</b:RefOrder>
  </b:Source>
  <b:Source>
    <b:Tag>Uta20</b:Tag>
    <b:SourceType>ElectronicSource</b:SourceType>
    <b:Guid>{D8510A7E-4833-41BD-A5C1-D4744B8A1A93}</b:Guid>
    <b:Author>
      <b:Author>
        <b:Corporate>Utah</b:Corporate>
      </b:Author>
    </b:Author>
    <b:Title>Location And Siting of Vertical Wells and Statewide Spacing for Horizontal Wells</b:Title>
    <b:Year>2020</b:Year>
    <b:URL>https://www.law.cornell.edu/regulations/utah/Utah-Admin-Code-R649-3-2</b:URL>
    <b:RefOrder>5</b:RefOrder>
  </b:Source>
  <b:Source>
    <b:Tag>Ald13</b:Tag>
    <b:SourceType>InternetSite</b:SourceType>
    <b:Guid>{F11F18CC-51CA-46F2-9D9B-45910D4F1791}</b:Guid>
    <b:Title>USGS National Climate Change Viewer. US Geological Survey</b:Title>
    <b:Year>2013</b:Year>
    <b:URL>https://doi.org/10.5066/F7W9575T</b:URL>
    <b:Author>
      <b:Author>
        <b:NameList>
          <b:Person>
            <b:Last>Alder</b:Last>
            <b:First>J.</b:First>
            <b:Middle>R.</b:Middle>
          </b:Person>
          <b:Person>
            <b:Last>Hostetler</b:Last>
            <b:Middle>W.</b:Middle>
            <b:First>S.</b:First>
          </b:Person>
        </b:NameList>
      </b:Author>
    </b:Author>
    <b:RefOrder>8</b:RefOrder>
  </b:Source>
  <b:Source>
    <b:Tag>BLM24</b:Tag>
    <b:SourceType>ArticleInAPeriodical</b:SourceType>
    <b:Guid>{7E8B6366-63BB-404C-B86D-9403C3A15BE8}</b:Guid>
    <b:Author>
      <b:Author>
        <b:Corporate>BLM</b:Corporate>
      </b:Author>
    </b:Author>
    <b:Title>Recreation Management Information System (RMIS)</b:Title>
    <b:Year>2024</b:Year>
    <b:RefOrder>21</b:RefOrder>
  </b:Source>
  <b:Source>
    <b:Tag>BLS24</b:Tag>
    <b:SourceType>ElectronicSource</b:SourceType>
    <b:Guid>{CD96B671-736C-4CB2-85C5-B8892ED06E24}</b:Guid>
    <b:Title>Quarterly Census of Employment and Wages</b:Title>
    <b:Year>2024</b:Year>
    <b:Author>
      <b:Author>
        <b:Corporate>BLS Bureau of Labor and Statistics</b:Corporate>
      </b:Author>
    </b:Author>
    <b:URL>https://data.bls.gov/cew/apps/table_maker/v4/table_maker.htm#type=2&amp;st=49&amp;year=2023&amp;qtr=3&amp;own=5&amp;ind=1011&amp;supp=0 </b:URL>
    <b:RefOrder>28</b:RefOrder>
  </b:Source>
  <b:Source>
    <b:Tag>BLM02</b:Tag>
    <b:SourceType>ElectronicSource</b:SourceType>
    <b:Guid>{18D9D379-ACE2-4C02-BD58-FD25AD7A786C}</b:Guid>
    <b:Author>
      <b:Author>
        <b:Corporate>BLM</b:Corporate>
      </b:Author>
    </b:Author>
    <b:Year>2002</b:Year>
    <b:URL>https://eplanning.blm.gov/eplanning-ui/project/68145/570</b:URL>
    <b:Title>Mineral Potential Report for the Vernal Planning Area Encompassing Approximately 5.1 million Acres, Duchesne, Dagget, Uintah, and Grand Counties</b:Title>
    <b:RefOrder>6</b:RefOrder>
  </b:Source>
  <b:Source>
    <b:Tag>BLM16</b:Tag>
    <b:SourceType>ElectronicSource</b:SourceType>
    <b:Guid>{3DCF015F-7C18-4CBB-82EB-078ADBD65CF4}</b:Guid>
    <b:Title>Manual 1626 - Travel and Transportation Management Manual</b:Title>
    <b:Year>2016</b:Year>
    <b:Author>
      <b:Author>
        <b:Corporate>BLM</b:Corporate>
      </b:Author>
    </b:Author>
    <b:URL>https://www.blm.gov/sites/blm.gov/files/uploads/mediacenter_blmpolicymanual1626.pdf</b:URL>
    <b:RefOrder>7</b:RefOrder>
  </b:Source>
  <b:Source>
    <b:Tag>BLM231</b:Tag>
    <b:SourceType>ElectronicSource</b:SourceType>
    <b:Guid>{6973DA8D-CFAD-4B54-89D2-44FD9AEA90D7}</b:Guid>
    <b:Author>
      <b:Author>
        <b:Corporate>BLM</b:Corporate>
      </b:Author>
    </b:Author>
    <b:Title>Night Sky and Dark Environments: Best Management Practices for Artificial Light at Night on BLM-Managed lands. Tech Note 457.</b:Title>
    <b:Year>2023</b:Year>
    <b:URL>https://www.blm.gov/sites/default/files/docs/2023-04/Library_BLMTechnicalNote457_final.pdf.</b:URL>
    <b:RefOrder>25</b:RefOrder>
  </b:Source>
  <b:Source>
    <b:Tag>BLM8a</b:Tag>
    <b:SourceType>ElectronicSource</b:SourceType>
    <b:Guid>{C979B4CD-F6DE-4D09-BA26-0DFB807B250D}</b:Guid>
    <b:Title>Canyon County District March 2018 Oil and Gas Lease Sale - Environmental Assessment. NEPA Register No. DOI-BLM-UT-Y010-2017-0240-EA</b:Title>
    <b:Author>
      <b:Author>
        <b:Corporate>BLM</b:Corporate>
      </b:Author>
    </b:Author>
    <b:URL>https://eplanning.blm.gov/eplanning-ui/project/82261/510.</b:URL>
    <b:Year>2018a</b:Year>
    <b:RefOrder>26</b:RefOrder>
  </b:Source>
  <b:Source>
    <b:Tag>Fal16</b:Tag>
    <b:SourceType>ElectronicSource</b:SourceType>
    <b:Guid>{5B544613-52D0-42A6-B19C-5D74CC3B3D4E}</b:Guid>
    <b:Title>Supplement to: The New World Atlas of Artificial Night Sky Brightness</b:Title>
    <b:Year>2016</b:Year>
    <b:Author>
      <b:Author>
        <b:NameList>
          <b:Person>
            <b:Last>Falchi</b:Last>
            <b:First>Fabio</b:First>
          </b:Person>
          <b:Person>
            <b:Last>Cinzano</b:Last>
            <b:First>Pierantonio</b:First>
          </b:Person>
          <b:Person>
            <b:Last>Duriscoe</b:Last>
            <b:First>Dan</b:First>
          </b:Person>
          <b:Person>
            <b:Last>Kyba</b:Last>
            <b:First>Christopher</b:First>
            <b:Middle>C. M.</b:Middle>
          </b:Person>
          <b:Person>
            <b:Last>Elvidge</b:Last>
            <b:First>Christopher</b:First>
            <b:Middle>D.</b:Middle>
          </b:Person>
          <b:Person>
            <b:Last>Baugh</b:Last>
            <b:First>Kimberly</b:First>
          </b:Person>
          <b:Person>
            <b:Last>Portnov</b:Last>
            <b:First>Boris</b:First>
          </b:Person>
          <b:Person>
            <b:Last>Rybnikova</b:Last>
            <b:First>Nataliya</b:First>
            <b:Middle>A.</b:Middle>
          </b:Person>
          <b:Person>
            <b:Last>Furgoni</b:Last>
            <b:First>Riccardo</b:First>
          </b:Person>
        </b:NameList>
      </b:Author>
    </b:Author>
    <b:Volume>V. 1.1. GFZ Data Services</b:Volume>
    <b:URL>https://doi.org/10.5880/GFZ.1.4.2016.001</b:URL>
    <b:RefOrder>27</b:RefOrder>
  </b:Source>
  <b:Source>
    <b:Tag>Pau17</b:Tag>
    <b:SourceType>ArticleInAPeriodical</b:SourceType>
    <b:Guid>{F0799E25-7FCB-43F3-B6B1-C56214A317F2}</b:Guid>
    <b:Author>
      <b:Author>
        <b:NameList>
          <b:Person>
            <b:Last>Murphey</b:Last>
            <b:Middle>C.</b:Middle>
            <b:First>Paul</b:First>
          </b:Person>
          <b:Person>
            <b:Last>Townsend</b:Last>
            <b:Middle>Beth</b:Middle>
            <b:First>K.E.</b:First>
          </b:Person>
          <b:Person>
            <b:Last>Friscia</b:Last>
            <b:Middle>R.</b:Middle>
            <b:First>Anthony</b:First>
          </b:Person>
          <b:Person>
            <b:Last>Westgate</b:Last>
            <b:First>James</b:First>
          </b:Person>
          <b:Person>
            <b:Last>Evanoff</b:Last>
            <b:First>Emmett</b:First>
          </b:Person>
          <b:Person>
            <b:Last>Gunnell</b:Last>
            <b:Middle>F.</b:Middle>
            <b:First>Gregg</b:First>
          </b:Person>
        </b:NameList>
      </b:Author>
    </b:Author>
    <b:Title>Paleontology And Stratigraphy of Middle Eocene Rock Units In the Southern Green River and Uinta Basins, Wyoming and Utah</b:Title>
    <b:PeriodicalTitle>Geology of the Intermountain West</b:PeriodicalTitle>
    <b:Year>2017</b:Year>
    <b:Volume>4</b:Volume>
    <b:Pages>1-53</b:Pages>
    <b:JournalName>Geology of the Intermountain West</b:JournalName>
    <b:DOI>10.31711/giw.v4.pp1-53</b:DOI>
    <b:RefOrder>13</b:RefOrder>
  </b:Source>
  <b:Source>
    <b:Tag>Placeholder2</b:Tag>
    <b:SourceType>InternetSite</b:SourceType>
    <b:Guid>{78D162F1-C432-491A-8BB5-8F2F24DDD990}</b:Guid>
    <b:Author>
      <b:Author>
        <b:Corporate>BLM</b:Corporate>
      </b:Author>
    </b:Author>
    <b:Title>2023 BLM Specialist Report on Annual Greenhouse Gas Emissions and Climate Trends</b:Title>
    <b:Year>2024</b:Year>
    <b:URL>https://www.blm.gov/content/ghg</b:URL>
    <b:RefOrder>9</b:RefOrder>
  </b:Source>
  <b:Source>
    <b:Tag>EIA23</b:Tag>
    <b:SourceType>InternetSite</b:SourceType>
    <b:Guid>{400EF356-3BC7-404B-9D4C-5F78B394905D}</b:Guid>
    <b:Title>Short-Term Energy Outlook</b:Title>
    <b:Year>2024</b:Year>
    <b:Author>
      <b:Author>
        <b:Corporate>EIA</b:Corporate>
      </b:Author>
    </b:Author>
    <b:URL>https://www.eia.gov/outlooks/steo/</b:URL>
    <b:Month>10</b:Month>
    <b:Day>10</b:Day>
    <b:RefOrder>56</b:RefOrder>
  </b:Source>
</b:Sources>
</file>

<file path=customXml/itemProps1.xml><?xml version="1.0" encoding="utf-8"?>
<ds:datastoreItem xmlns:ds="http://schemas.openxmlformats.org/officeDocument/2006/customXml" ds:itemID="{05B8BA5F-E46F-4459-A346-460D99A602F4}">
  <ds:schemaRefs>
    <ds:schemaRef ds:uri="http://schemas.microsoft.com/sharepoint/v3/contenttype/forms"/>
  </ds:schemaRefs>
</ds:datastoreItem>
</file>

<file path=customXml/itemProps2.xml><?xml version="1.0" encoding="utf-8"?>
<ds:datastoreItem xmlns:ds="http://schemas.openxmlformats.org/officeDocument/2006/customXml" ds:itemID="{57943B95-1C91-46FB-9234-5F28E82C04E2}">
  <ds:schemaRefs>
    <ds:schemaRef ds:uri="http://schemas.microsoft.com/office/2006/metadata/properties"/>
    <ds:schemaRef ds:uri="http://schemas.microsoft.com/office/infopath/2007/PartnerControls"/>
    <ds:schemaRef ds:uri="31062a0d-ede8-4112-b4bb-00a9c1bc8e16"/>
    <ds:schemaRef ds:uri="0e4a4fbb-dae1-4078-b3ef-95078a00af7d"/>
  </ds:schemaRefs>
</ds:datastoreItem>
</file>

<file path=customXml/itemProps3.xml><?xml version="1.0" encoding="utf-8"?>
<ds:datastoreItem xmlns:ds="http://schemas.openxmlformats.org/officeDocument/2006/customXml" ds:itemID="{9DFE55CF-D1A0-474E-9CA5-12D30A0A5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a4fbb-dae1-4078-b3ef-95078a00af7d"/>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42174F-6772-4615-9D3E-7898AE9A3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117</Pages>
  <Words>50459</Words>
  <Characters>287617</Characters>
  <Application>Microsoft Office Word</Application>
  <DocSecurity>0</DocSecurity>
  <Lines>2396</Lines>
  <Paragraphs>674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337402</CharactersWithSpaces>
  <SharedDoc>false</SharedDoc>
  <HLinks>
    <vt:vector size="822" baseType="variant">
      <vt:variant>
        <vt:i4>3670121</vt:i4>
      </vt:variant>
      <vt:variant>
        <vt:i4>1197</vt:i4>
      </vt:variant>
      <vt:variant>
        <vt:i4>0</vt:i4>
      </vt:variant>
      <vt:variant>
        <vt:i4>5</vt:i4>
      </vt:variant>
      <vt:variant>
        <vt:lpwstr>https://www.doi.gov/sites/doi.gov/files/report-on-the-federal-oil-and-gas-leasing-program-doi-eo-14008.pdf</vt:lpwstr>
      </vt:variant>
      <vt:variant>
        <vt:lpwstr/>
      </vt:variant>
      <vt:variant>
        <vt:i4>2490489</vt:i4>
      </vt:variant>
      <vt:variant>
        <vt:i4>1176</vt:i4>
      </vt:variant>
      <vt:variant>
        <vt:i4>0</vt:i4>
      </vt:variant>
      <vt:variant>
        <vt:i4>5</vt:i4>
      </vt:variant>
      <vt:variant>
        <vt:lpwstr>https://www.fws.gov/program/recovery/recovery-plans</vt:lpwstr>
      </vt:variant>
      <vt:variant>
        <vt:lpwstr/>
      </vt:variant>
      <vt:variant>
        <vt:i4>3211315</vt:i4>
      </vt:variant>
      <vt:variant>
        <vt:i4>1134</vt:i4>
      </vt:variant>
      <vt:variant>
        <vt:i4>0</vt:i4>
      </vt:variant>
      <vt:variant>
        <vt:i4>5</vt:i4>
      </vt:variant>
      <vt:variant>
        <vt:lpwstr>http://www.magicc.org/</vt:lpwstr>
      </vt:variant>
      <vt:variant>
        <vt:lpwstr/>
      </vt:variant>
      <vt:variant>
        <vt:i4>7864357</vt:i4>
      </vt:variant>
      <vt:variant>
        <vt:i4>1071</vt:i4>
      </vt:variant>
      <vt:variant>
        <vt:i4>0</vt:i4>
      </vt:variant>
      <vt:variant>
        <vt:i4>5</vt:i4>
      </vt:variant>
      <vt:variant>
        <vt:lpwstr>https://www.blm.gov/content/ghg</vt:lpwstr>
      </vt:variant>
      <vt:variant>
        <vt:lpwstr/>
      </vt:variant>
      <vt:variant>
        <vt:i4>7405681</vt:i4>
      </vt:variant>
      <vt:variant>
        <vt:i4>927</vt:i4>
      </vt:variant>
      <vt:variant>
        <vt:i4>0</vt:i4>
      </vt:variant>
      <vt:variant>
        <vt:i4>5</vt:i4>
      </vt:variant>
      <vt:variant>
        <vt:lpwstr>http://www.lightpollutionmap.info/</vt:lpwstr>
      </vt:variant>
      <vt:variant>
        <vt:lpwstr/>
      </vt:variant>
      <vt:variant>
        <vt:i4>7405681</vt:i4>
      </vt:variant>
      <vt:variant>
        <vt:i4>921</vt:i4>
      </vt:variant>
      <vt:variant>
        <vt:i4>0</vt:i4>
      </vt:variant>
      <vt:variant>
        <vt:i4>5</vt:i4>
      </vt:variant>
      <vt:variant>
        <vt:lpwstr>http://www.lightpollutionmap.info/</vt:lpwstr>
      </vt:variant>
      <vt:variant>
        <vt:lpwstr/>
      </vt:variant>
      <vt:variant>
        <vt:i4>4128802</vt:i4>
      </vt:variant>
      <vt:variant>
        <vt:i4>852</vt:i4>
      </vt:variant>
      <vt:variant>
        <vt:i4>0</vt:i4>
      </vt:variant>
      <vt:variant>
        <vt:i4>5</vt:i4>
      </vt:variant>
      <vt:variant>
        <vt:lpwstr>http://www.epa.gov/ejscreen</vt:lpwstr>
      </vt:variant>
      <vt:variant>
        <vt:lpwstr/>
      </vt:variant>
      <vt:variant>
        <vt:i4>5963889</vt:i4>
      </vt:variant>
      <vt:variant>
        <vt:i4>786</vt:i4>
      </vt:variant>
      <vt:variant>
        <vt:i4>0</vt:i4>
      </vt:variant>
      <vt:variant>
        <vt:i4>5</vt:i4>
      </vt:variant>
      <vt:variant>
        <vt:lpwstr>https://www.blm.gov/content/ghg/2022/</vt:lpwstr>
      </vt:variant>
      <vt:variant>
        <vt:lpwstr>def_14</vt:lpwstr>
      </vt:variant>
      <vt:variant>
        <vt:i4>7471231</vt:i4>
      </vt:variant>
      <vt:variant>
        <vt:i4>732</vt:i4>
      </vt:variant>
      <vt:variant>
        <vt:i4>0</vt:i4>
      </vt:variant>
      <vt:variant>
        <vt:i4>5</vt:i4>
      </vt:variant>
      <vt:variant>
        <vt:lpwstr>https://www.blm.gov/policy/im-2023-010</vt:lpwstr>
      </vt:variant>
      <vt:variant>
        <vt:lpwstr/>
      </vt:variant>
      <vt:variant>
        <vt:i4>7995518</vt:i4>
      </vt:variant>
      <vt:variant>
        <vt:i4>729</vt:i4>
      </vt:variant>
      <vt:variant>
        <vt:i4>0</vt:i4>
      </vt:variant>
      <vt:variant>
        <vt:i4>5</vt:i4>
      </vt:variant>
      <vt:variant>
        <vt:lpwstr>https://www.blm.gov/policy/im-2023-008</vt:lpwstr>
      </vt:variant>
      <vt:variant>
        <vt:lpwstr/>
      </vt:variant>
      <vt:variant>
        <vt:i4>7667838</vt:i4>
      </vt:variant>
      <vt:variant>
        <vt:i4>726</vt:i4>
      </vt:variant>
      <vt:variant>
        <vt:i4>0</vt:i4>
      </vt:variant>
      <vt:variant>
        <vt:i4>5</vt:i4>
      </vt:variant>
      <vt:variant>
        <vt:lpwstr>https://www.blm.gov/policy/im-2023-007</vt:lpwstr>
      </vt:variant>
      <vt:variant>
        <vt:lpwstr/>
      </vt:variant>
      <vt:variant>
        <vt:i4>7602302</vt:i4>
      </vt:variant>
      <vt:variant>
        <vt:i4>723</vt:i4>
      </vt:variant>
      <vt:variant>
        <vt:i4>0</vt:i4>
      </vt:variant>
      <vt:variant>
        <vt:i4>5</vt:i4>
      </vt:variant>
      <vt:variant>
        <vt:lpwstr>https://www.blm.gov/policy/im-2023-006</vt:lpwstr>
      </vt:variant>
      <vt:variant>
        <vt:lpwstr/>
      </vt:variant>
      <vt:variant>
        <vt:i4>7471231</vt:i4>
      </vt:variant>
      <vt:variant>
        <vt:i4>717</vt:i4>
      </vt:variant>
      <vt:variant>
        <vt:i4>0</vt:i4>
      </vt:variant>
      <vt:variant>
        <vt:i4>5</vt:i4>
      </vt:variant>
      <vt:variant>
        <vt:lpwstr>https://www.blm.gov/policy/im-2023-010</vt:lpwstr>
      </vt:variant>
      <vt:variant>
        <vt:lpwstr/>
      </vt:variant>
      <vt:variant>
        <vt:i4>7995518</vt:i4>
      </vt:variant>
      <vt:variant>
        <vt:i4>714</vt:i4>
      </vt:variant>
      <vt:variant>
        <vt:i4>0</vt:i4>
      </vt:variant>
      <vt:variant>
        <vt:i4>5</vt:i4>
      </vt:variant>
      <vt:variant>
        <vt:lpwstr>https://www.blm.gov/policy/im-2023-008</vt:lpwstr>
      </vt:variant>
      <vt:variant>
        <vt:lpwstr/>
      </vt:variant>
      <vt:variant>
        <vt:i4>7667838</vt:i4>
      </vt:variant>
      <vt:variant>
        <vt:i4>711</vt:i4>
      </vt:variant>
      <vt:variant>
        <vt:i4>0</vt:i4>
      </vt:variant>
      <vt:variant>
        <vt:i4>5</vt:i4>
      </vt:variant>
      <vt:variant>
        <vt:lpwstr>https://www.blm.gov/policy/im-2023-007</vt:lpwstr>
      </vt:variant>
      <vt:variant>
        <vt:lpwstr/>
      </vt:variant>
      <vt:variant>
        <vt:i4>7602302</vt:i4>
      </vt:variant>
      <vt:variant>
        <vt:i4>708</vt:i4>
      </vt:variant>
      <vt:variant>
        <vt:i4>0</vt:i4>
      </vt:variant>
      <vt:variant>
        <vt:i4>5</vt:i4>
      </vt:variant>
      <vt:variant>
        <vt:lpwstr>https://www.blm.gov/policy/im-2023-006</vt:lpwstr>
      </vt:variant>
      <vt:variant>
        <vt:lpwstr/>
      </vt:variant>
      <vt:variant>
        <vt:i4>1245210</vt:i4>
      </vt:variant>
      <vt:variant>
        <vt:i4>690</vt:i4>
      </vt:variant>
      <vt:variant>
        <vt:i4>0</vt:i4>
      </vt:variant>
      <vt:variant>
        <vt:i4>5</vt:i4>
      </vt:variant>
      <vt:variant>
        <vt:lpwstr/>
      </vt:variant>
      <vt:variant>
        <vt:lpwstr>Bookmarked_Map_Series</vt:lpwstr>
      </vt:variant>
      <vt:variant>
        <vt:i4>1179709</vt:i4>
      </vt:variant>
      <vt:variant>
        <vt:i4>680</vt:i4>
      </vt:variant>
      <vt:variant>
        <vt:i4>0</vt:i4>
      </vt:variant>
      <vt:variant>
        <vt:i4>5</vt:i4>
      </vt:variant>
      <vt:variant>
        <vt:lpwstr/>
      </vt:variant>
      <vt:variant>
        <vt:lpwstr>_Toc179464325</vt:lpwstr>
      </vt:variant>
      <vt:variant>
        <vt:i4>1179709</vt:i4>
      </vt:variant>
      <vt:variant>
        <vt:i4>674</vt:i4>
      </vt:variant>
      <vt:variant>
        <vt:i4>0</vt:i4>
      </vt:variant>
      <vt:variant>
        <vt:i4>5</vt:i4>
      </vt:variant>
      <vt:variant>
        <vt:lpwstr/>
      </vt:variant>
      <vt:variant>
        <vt:lpwstr>_Toc179464324</vt:lpwstr>
      </vt:variant>
      <vt:variant>
        <vt:i4>1179709</vt:i4>
      </vt:variant>
      <vt:variant>
        <vt:i4>668</vt:i4>
      </vt:variant>
      <vt:variant>
        <vt:i4>0</vt:i4>
      </vt:variant>
      <vt:variant>
        <vt:i4>5</vt:i4>
      </vt:variant>
      <vt:variant>
        <vt:lpwstr/>
      </vt:variant>
      <vt:variant>
        <vt:lpwstr>_Toc179464323</vt:lpwstr>
      </vt:variant>
      <vt:variant>
        <vt:i4>1179709</vt:i4>
      </vt:variant>
      <vt:variant>
        <vt:i4>662</vt:i4>
      </vt:variant>
      <vt:variant>
        <vt:i4>0</vt:i4>
      </vt:variant>
      <vt:variant>
        <vt:i4>5</vt:i4>
      </vt:variant>
      <vt:variant>
        <vt:lpwstr/>
      </vt:variant>
      <vt:variant>
        <vt:lpwstr>_Toc179464322</vt:lpwstr>
      </vt:variant>
      <vt:variant>
        <vt:i4>1179709</vt:i4>
      </vt:variant>
      <vt:variant>
        <vt:i4>656</vt:i4>
      </vt:variant>
      <vt:variant>
        <vt:i4>0</vt:i4>
      </vt:variant>
      <vt:variant>
        <vt:i4>5</vt:i4>
      </vt:variant>
      <vt:variant>
        <vt:lpwstr/>
      </vt:variant>
      <vt:variant>
        <vt:lpwstr>_Toc179464321</vt:lpwstr>
      </vt:variant>
      <vt:variant>
        <vt:i4>1179709</vt:i4>
      </vt:variant>
      <vt:variant>
        <vt:i4>650</vt:i4>
      </vt:variant>
      <vt:variant>
        <vt:i4>0</vt:i4>
      </vt:variant>
      <vt:variant>
        <vt:i4>5</vt:i4>
      </vt:variant>
      <vt:variant>
        <vt:lpwstr/>
      </vt:variant>
      <vt:variant>
        <vt:lpwstr>_Toc179464320</vt:lpwstr>
      </vt:variant>
      <vt:variant>
        <vt:i4>1114173</vt:i4>
      </vt:variant>
      <vt:variant>
        <vt:i4>644</vt:i4>
      </vt:variant>
      <vt:variant>
        <vt:i4>0</vt:i4>
      </vt:variant>
      <vt:variant>
        <vt:i4>5</vt:i4>
      </vt:variant>
      <vt:variant>
        <vt:lpwstr/>
      </vt:variant>
      <vt:variant>
        <vt:lpwstr>_Toc179464319</vt:lpwstr>
      </vt:variant>
      <vt:variant>
        <vt:i4>1114173</vt:i4>
      </vt:variant>
      <vt:variant>
        <vt:i4>635</vt:i4>
      </vt:variant>
      <vt:variant>
        <vt:i4>0</vt:i4>
      </vt:variant>
      <vt:variant>
        <vt:i4>5</vt:i4>
      </vt:variant>
      <vt:variant>
        <vt:lpwstr/>
      </vt:variant>
      <vt:variant>
        <vt:lpwstr>_Toc179464318</vt:lpwstr>
      </vt:variant>
      <vt:variant>
        <vt:i4>1114173</vt:i4>
      </vt:variant>
      <vt:variant>
        <vt:i4>629</vt:i4>
      </vt:variant>
      <vt:variant>
        <vt:i4>0</vt:i4>
      </vt:variant>
      <vt:variant>
        <vt:i4>5</vt:i4>
      </vt:variant>
      <vt:variant>
        <vt:lpwstr/>
      </vt:variant>
      <vt:variant>
        <vt:lpwstr>_Toc179464317</vt:lpwstr>
      </vt:variant>
      <vt:variant>
        <vt:i4>1114173</vt:i4>
      </vt:variant>
      <vt:variant>
        <vt:i4>623</vt:i4>
      </vt:variant>
      <vt:variant>
        <vt:i4>0</vt:i4>
      </vt:variant>
      <vt:variant>
        <vt:i4>5</vt:i4>
      </vt:variant>
      <vt:variant>
        <vt:lpwstr/>
      </vt:variant>
      <vt:variant>
        <vt:lpwstr>_Toc179464316</vt:lpwstr>
      </vt:variant>
      <vt:variant>
        <vt:i4>1114173</vt:i4>
      </vt:variant>
      <vt:variant>
        <vt:i4>617</vt:i4>
      </vt:variant>
      <vt:variant>
        <vt:i4>0</vt:i4>
      </vt:variant>
      <vt:variant>
        <vt:i4>5</vt:i4>
      </vt:variant>
      <vt:variant>
        <vt:lpwstr/>
      </vt:variant>
      <vt:variant>
        <vt:lpwstr>_Toc179464315</vt:lpwstr>
      </vt:variant>
      <vt:variant>
        <vt:i4>1114173</vt:i4>
      </vt:variant>
      <vt:variant>
        <vt:i4>611</vt:i4>
      </vt:variant>
      <vt:variant>
        <vt:i4>0</vt:i4>
      </vt:variant>
      <vt:variant>
        <vt:i4>5</vt:i4>
      </vt:variant>
      <vt:variant>
        <vt:lpwstr/>
      </vt:variant>
      <vt:variant>
        <vt:lpwstr>_Toc179464314</vt:lpwstr>
      </vt:variant>
      <vt:variant>
        <vt:i4>1114173</vt:i4>
      </vt:variant>
      <vt:variant>
        <vt:i4>605</vt:i4>
      </vt:variant>
      <vt:variant>
        <vt:i4>0</vt:i4>
      </vt:variant>
      <vt:variant>
        <vt:i4>5</vt:i4>
      </vt:variant>
      <vt:variant>
        <vt:lpwstr/>
      </vt:variant>
      <vt:variant>
        <vt:lpwstr>_Toc179464313</vt:lpwstr>
      </vt:variant>
      <vt:variant>
        <vt:i4>1114173</vt:i4>
      </vt:variant>
      <vt:variant>
        <vt:i4>599</vt:i4>
      </vt:variant>
      <vt:variant>
        <vt:i4>0</vt:i4>
      </vt:variant>
      <vt:variant>
        <vt:i4>5</vt:i4>
      </vt:variant>
      <vt:variant>
        <vt:lpwstr/>
      </vt:variant>
      <vt:variant>
        <vt:lpwstr>_Toc179464312</vt:lpwstr>
      </vt:variant>
      <vt:variant>
        <vt:i4>1114173</vt:i4>
      </vt:variant>
      <vt:variant>
        <vt:i4>593</vt:i4>
      </vt:variant>
      <vt:variant>
        <vt:i4>0</vt:i4>
      </vt:variant>
      <vt:variant>
        <vt:i4>5</vt:i4>
      </vt:variant>
      <vt:variant>
        <vt:lpwstr/>
      </vt:variant>
      <vt:variant>
        <vt:lpwstr>_Toc179464311</vt:lpwstr>
      </vt:variant>
      <vt:variant>
        <vt:i4>1114173</vt:i4>
      </vt:variant>
      <vt:variant>
        <vt:i4>587</vt:i4>
      </vt:variant>
      <vt:variant>
        <vt:i4>0</vt:i4>
      </vt:variant>
      <vt:variant>
        <vt:i4>5</vt:i4>
      </vt:variant>
      <vt:variant>
        <vt:lpwstr/>
      </vt:variant>
      <vt:variant>
        <vt:lpwstr>_Toc179464310</vt:lpwstr>
      </vt:variant>
      <vt:variant>
        <vt:i4>1048637</vt:i4>
      </vt:variant>
      <vt:variant>
        <vt:i4>581</vt:i4>
      </vt:variant>
      <vt:variant>
        <vt:i4>0</vt:i4>
      </vt:variant>
      <vt:variant>
        <vt:i4>5</vt:i4>
      </vt:variant>
      <vt:variant>
        <vt:lpwstr/>
      </vt:variant>
      <vt:variant>
        <vt:lpwstr>_Toc179464309</vt:lpwstr>
      </vt:variant>
      <vt:variant>
        <vt:i4>1048637</vt:i4>
      </vt:variant>
      <vt:variant>
        <vt:i4>575</vt:i4>
      </vt:variant>
      <vt:variant>
        <vt:i4>0</vt:i4>
      </vt:variant>
      <vt:variant>
        <vt:i4>5</vt:i4>
      </vt:variant>
      <vt:variant>
        <vt:lpwstr/>
      </vt:variant>
      <vt:variant>
        <vt:lpwstr>_Toc179464308</vt:lpwstr>
      </vt:variant>
      <vt:variant>
        <vt:i4>1048637</vt:i4>
      </vt:variant>
      <vt:variant>
        <vt:i4>569</vt:i4>
      </vt:variant>
      <vt:variant>
        <vt:i4>0</vt:i4>
      </vt:variant>
      <vt:variant>
        <vt:i4>5</vt:i4>
      </vt:variant>
      <vt:variant>
        <vt:lpwstr/>
      </vt:variant>
      <vt:variant>
        <vt:lpwstr>_Toc179464307</vt:lpwstr>
      </vt:variant>
      <vt:variant>
        <vt:i4>1048637</vt:i4>
      </vt:variant>
      <vt:variant>
        <vt:i4>563</vt:i4>
      </vt:variant>
      <vt:variant>
        <vt:i4>0</vt:i4>
      </vt:variant>
      <vt:variant>
        <vt:i4>5</vt:i4>
      </vt:variant>
      <vt:variant>
        <vt:lpwstr/>
      </vt:variant>
      <vt:variant>
        <vt:lpwstr>_Toc179464306</vt:lpwstr>
      </vt:variant>
      <vt:variant>
        <vt:i4>1048637</vt:i4>
      </vt:variant>
      <vt:variant>
        <vt:i4>557</vt:i4>
      </vt:variant>
      <vt:variant>
        <vt:i4>0</vt:i4>
      </vt:variant>
      <vt:variant>
        <vt:i4>5</vt:i4>
      </vt:variant>
      <vt:variant>
        <vt:lpwstr/>
      </vt:variant>
      <vt:variant>
        <vt:lpwstr>_Toc179464305</vt:lpwstr>
      </vt:variant>
      <vt:variant>
        <vt:i4>1048637</vt:i4>
      </vt:variant>
      <vt:variant>
        <vt:i4>551</vt:i4>
      </vt:variant>
      <vt:variant>
        <vt:i4>0</vt:i4>
      </vt:variant>
      <vt:variant>
        <vt:i4>5</vt:i4>
      </vt:variant>
      <vt:variant>
        <vt:lpwstr/>
      </vt:variant>
      <vt:variant>
        <vt:lpwstr>_Toc179464304</vt:lpwstr>
      </vt:variant>
      <vt:variant>
        <vt:i4>1048637</vt:i4>
      </vt:variant>
      <vt:variant>
        <vt:i4>545</vt:i4>
      </vt:variant>
      <vt:variant>
        <vt:i4>0</vt:i4>
      </vt:variant>
      <vt:variant>
        <vt:i4>5</vt:i4>
      </vt:variant>
      <vt:variant>
        <vt:lpwstr/>
      </vt:variant>
      <vt:variant>
        <vt:lpwstr>_Toc179464303</vt:lpwstr>
      </vt:variant>
      <vt:variant>
        <vt:i4>1048637</vt:i4>
      </vt:variant>
      <vt:variant>
        <vt:i4>539</vt:i4>
      </vt:variant>
      <vt:variant>
        <vt:i4>0</vt:i4>
      </vt:variant>
      <vt:variant>
        <vt:i4>5</vt:i4>
      </vt:variant>
      <vt:variant>
        <vt:lpwstr/>
      </vt:variant>
      <vt:variant>
        <vt:lpwstr>_Toc179464302</vt:lpwstr>
      </vt:variant>
      <vt:variant>
        <vt:i4>1048637</vt:i4>
      </vt:variant>
      <vt:variant>
        <vt:i4>533</vt:i4>
      </vt:variant>
      <vt:variant>
        <vt:i4>0</vt:i4>
      </vt:variant>
      <vt:variant>
        <vt:i4>5</vt:i4>
      </vt:variant>
      <vt:variant>
        <vt:lpwstr/>
      </vt:variant>
      <vt:variant>
        <vt:lpwstr>_Toc179464301</vt:lpwstr>
      </vt:variant>
      <vt:variant>
        <vt:i4>1048637</vt:i4>
      </vt:variant>
      <vt:variant>
        <vt:i4>527</vt:i4>
      </vt:variant>
      <vt:variant>
        <vt:i4>0</vt:i4>
      </vt:variant>
      <vt:variant>
        <vt:i4>5</vt:i4>
      </vt:variant>
      <vt:variant>
        <vt:lpwstr/>
      </vt:variant>
      <vt:variant>
        <vt:lpwstr>_Toc179464300</vt:lpwstr>
      </vt:variant>
      <vt:variant>
        <vt:i4>1638460</vt:i4>
      </vt:variant>
      <vt:variant>
        <vt:i4>521</vt:i4>
      </vt:variant>
      <vt:variant>
        <vt:i4>0</vt:i4>
      </vt:variant>
      <vt:variant>
        <vt:i4>5</vt:i4>
      </vt:variant>
      <vt:variant>
        <vt:lpwstr/>
      </vt:variant>
      <vt:variant>
        <vt:lpwstr>_Toc179464299</vt:lpwstr>
      </vt:variant>
      <vt:variant>
        <vt:i4>1638460</vt:i4>
      </vt:variant>
      <vt:variant>
        <vt:i4>515</vt:i4>
      </vt:variant>
      <vt:variant>
        <vt:i4>0</vt:i4>
      </vt:variant>
      <vt:variant>
        <vt:i4>5</vt:i4>
      </vt:variant>
      <vt:variant>
        <vt:lpwstr/>
      </vt:variant>
      <vt:variant>
        <vt:lpwstr>_Toc179464298</vt:lpwstr>
      </vt:variant>
      <vt:variant>
        <vt:i4>1638460</vt:i4>
      </vt:variant>
      <vt:variant>
        <vt:i4>509</vt:i4>
      </vt:variant>
      <vt:variant>
        <vt:i4>0</vt:i4>
      </vt:variant>
      <vt:variant>
        <vt:i4>5</vt:i4>
      </vt:variant>
      <vt:variant>
        <vt:lpwstr/>
      </vt:variant>
      <vt:variant>
        <vt:lpwstr>_Toc179464297</vt:lpwstr>
      </vt:variant>
      <vt:variant>
        <vt:i4>1638460</vt:i4>
      </vt:variant>
      <vt:variant>
        <vt:i4>503</vt:i4>
      </vt:variant>
      <vt:variant>
        <vt:i4>0</vt:i4>
      </vt:variant>
      <vt:variant>
        <vt:i4>5</vt:i4>
      </vt:variant>
      <vt:variant>
        <vt:lpwstr/>
      </vt:variant>
      <vt:variant>
        <vt:lpwstr>_Toc179464296</vt:lpwstr>
      </vt:variant>
      <vt:variant>
        <vt:i4>1638460</vt:i4>
      </vt:variant>
      <vt:variant>
        <vt:i4>497</vt:i4>
      </vt:variant>
      <vt:variant>
        <vt:i4>0</vt:i4>
      </vt:variant>
      <vt:variant>
        <vt:i4>5</vt:i4>
      </vt:variant>
      <vt:variant>
        <vt:lpwstr/>
      </vt:variant>
      <vt:variant>
        <vt:lpwstr>_Toc179464295</vt:lpwstr>
      </vt:variant>
      <vt:variant>
        <vt:i4>1638460</vt:i4>
      </vt:variant>
      <vt:variant>
        <vt:i4>491</vt:i4>
      </vt:variant>
      <vt:variant>
        <vt:i4>0</vt:i4>
      </vt:variant>
      <vt:variant>
        <vt:i4>5</vt:i4>
      </vt:variant>
      <vt:variant>
        <vt:lpwstr/>
      </vt:variant>
      <vt:variant>
        <vt:lpwstr>_Toc179464294</vt:lpwstr>
      </vt:variant>
      <vt:variant>
        <vt:i4>1638460</vt:i4>
      </vt:variant>
      <vt:variant>
        <vt:i4>485</vt:i4>
      </vt:variant>
      <vt:variant>
        <vt:i4>0</vt:i4>
      </vt:variant>
      <vt:variant>
        <vt:i4>5</vt:i4>
      </vt:variant>
      <vt:variant>
        <vt:lpwstr/>
      </vt:variant>
      <vt:variant>
        <vt:lpwstr>_Toc179464293</vt:lpwstr>
      </vt:variant>
      <vt:variant>
        <vt:i4>1638460</vt:i4>
      </vt:variant>
      <vt:variant>
        <vt:i4>479</vt:i4>
      </vt:variant>
      <vt:variant>
        <vt:i4>0</vt:i4>
      </vt:variant>
      <vt:variant>
        <vt:i4>5</vt:i4>
      </vt:variant>
      <vt:variant>
        <vt:lpwstr/>
      </vt:variant>
      <vt:variant>
        <vt:lpwstr>_Toc179464292</vt:lpwstr>
      </vt:variant>
      <vt:variant>
        <vt:i4>1638460</vt:i4>
      </vt:variant>
      <vt:variant>
        <vt:i4>473</vt:i4>
      </vt:variant>
      <vt:variant>
        <vt:i4>0</vt:i4>
      </vt:variant>
      <vt:variant>
        <vt:i4>5</vt:i4>
      </vt:variant>
      <vt:variant>
        <vt:lpwstr/>
      </vt:variant>
      <vt:variant>
        <vt:lpwstr>_Toc179464291</vt:lpwstr>
      </vt:variant>
      <vt:variant>
        <vt:i4>1638460</vt:i4>
      </vt:variant>
      <vt:variant>
        <vt:i4>467</vt:i4>
      </vt:variant>
      <vt:variant>
        <vt:i4>0</vt:i4>
      </vt:variant>
      <vt:variant>
        <vt:i4>5</vt:i4>
      </vt:variant>
      <vt:variant>
        <vt:lpwstr/>
      </vt:variant>
      <vt:variant>
        <vt:lpwstr>_Toc179464290</vt:lpwstr>
      </vt:variant>
      <vt:variant>
        <vt:i4>1572924</vt:i4>
      </vt:variant>
      <vt:variant>
        <vt:i4>461</vt:i4>
      </vt:variant>
      <vt:variant>
        <vt:i4>0</vt:i4>
      </vt:variant>
      <vt:variant>
        <vt:i4>5</vt:i4>
      </vt:variant>
      <vt:variant>
        <vt:lpwstr/>
      </vt:variant>
      <vt:variant>
        <vt:lpwstr>_Toc179464289</vt:lpwstr>
      </vt:variant>
      <vt:variant>
        <vt:i4>1572924</vt:i4>
      </vt:variant>
      <vt:variant>
        <vt:i4>455</vt:i4>
      </vt:variant>
      <vt:variant>
        <vt:i4>0</vt:i4>
      </vt:variant>
      <vt:variant>
        <vt:i4>5</vt:i4>
      </vt:variant>
      <vt:variant>
        <vt:lpwstr/>
      </vt:variant>
      <vt:variant>
        <vt:lpwstr>_Toc179464288</vt:lpwstr>
      </vt:variant>
      <vt:variant>
        <vt:i4>1572924</vt:i4>
      </vt:variant>
      <vt:variant>
        <vt:i4>449</vt:i4>
      </vt:variant>
      <vt:variant>
        <vt:i4>0</vt:i4>
      </vt:variant>
      <vt:variant>
        <vt:i4>5</vt:i4>
      </vt:variant>
      <vt:variant>
        <vt:lpwstr/>
      </vt:variant>
      <vt:variant>
        <vt:lpwstr>_Toc179464287</vt:lpwstr>
      </vt:variant>
      <vt:variant>
        <vt:i4>1572924</vt:i4>
      </vt:variant>
      <vt:variant>
        <vt:i4>443</vt:i4>
      </vt:variant>
      <vt:variant>
        <vt:i4>0</vt:i4>
      </vt:variant>
      <vt:variant>
        <vt:i4>5</vt:i4>
      </vt:variant>
      <vt:variant>
        <vt:lpwstr/>
      </vt:variant>
      <vt:variant>
        <vt:lpwstr>_Toc179464286</vt:lpwstr>
      </vt:variant>
      <vt:variant>
        <vt:i4>1572924</vt:i4>
      </vt:variant>
      <vt:variant>
        <vt:i4>437</vt:i4>
      </vt:variant>
      <vt:variant>
        <vt:i4>0</vt:i4>
      </vt:variant>
      <vt:variant>
        <vt:i4>5</vt:i4>
      </vt:variant>
      <vt:variant>
        <vt:lpwstr/>
      </vt:variant>
      <vt:variant>
        <vt:lpwstr>_Toc179464285</vt:lpwstr>
      </vt:variant>
      <vt:variant>
        <vt:i4>1572924</vt:i4>
      </vt:variant>
      <vt:variant>
        <vt:i4>431</vt:i4>
      </vt:variant>
      <vt:variant>
        <vt:i4>0</vt:i4>
      </vt:variant>
      <vt:variant>
        <vt:i4>5</vt:i4>
      </vt:variant>
      <vt:variant>
        <vt:lpwstr/>
      </vt:variant>
      <vt:variant>
        <vt:lpwstr>_Toc179464284</vt:lpwstr>
      </vt:variant>
      <vt:variant>
        <vt:i4>1572924</vt:i4>
      </vt:variant>
      <vt:variant>
        <vt:i4>425</vt:i4>
      </vt:variant>
      <vt:variant>
        <vt:i4>0</vt:i4>
      </vt:variant>
      <vt:variant>
        <vt:i4>5</vt:i4>
      </vt:variant>
      <vt:variant>
        <vt:lpwstr/>
      </vt:variant>
      <vt:variant>
        <vt:lpwstr>_Toc179464283</vt:lpwstr>
      </vt:variant>
      <vt:variant>
        <vt:i4>1572924</vt:i4>
      </vt:variant>
      <vt:variant>
        <vt:i4>419</vt:i4>
      </vt:variant>
      <vt:variant>
        <vt:i4>0</vt:i4>
      </vt:variant>
      <vt:variant>
        <vt:i4>5</vt:i4>
      </vt:variant>
      <vt:variant>
        <vt:lpwstr/>
      </vt:variant>
      <vt:variant>
        <vt:lpwstr>_Toc179464282</vt:lpwstr>
      </vt:variant>
      <vt:variant>
        <vt:i4>1572924</vt:i4>
      </vt:variant>
      <vt:variant>
        <vt:i4>410</vt:i4>
      </vt:variant>
      <vt:variant>
        <vt:i4>0</vt:i4>
      </vt:variant>
      <vt:variant>
        <vt:i4>5</vt:i4>
      </vt:variant>
      <vt:variant>
        <vt:lpwstr/>
      </vt:variant>
      <vt:variant>
        <vt:lpwstr>_Toc179464281</vt:lpwstr>
      </vt:variant>
      <vt:variant>
        <vt:i4>1572924</vt:i4>
      </vt:variant>
      <vt:variant>
        <vt:i4>404</vt:i4>
      </vt:variant>
      <vt:variant>
        <vt:i4>0</vt:i4>
      </vt:variant>
      <vt:variant>
        <vt:i4>5</vt:i4>
      </vt:variant>
      <vt:variant>
        <vt:lpwstr/>
      </vt:variant>
      <vt:variant>
        <vt:lpwstr>_Toc179464280</vt:lpwstr>
      </vt:variant>
      <vt:variant>
        <vt:i4>1507388</vt:i4>
      </vt:variant>
      <vt:variant>
        <vt:i4>398</vt:i4>
      </vt:variant>
      <vt:variant>
        <vt:i4>0</vt:i4>
      </vt:variant>
      <vt:variant>
        <vt:i4>5</vt:i4>
      </vt:variant>
      <vt:variant>
        <vt:lpwstr/>
      </vt:variant>
      <vt:variant>
        <vt:lpwstr>_Toc179464279</vt:lpwstr>
      </vt:variant>
      <vt:variant>
        <vt:i4>1507388</vt:i4>
      </vt:variant>
      <vt:variant>
        <vt:i4>392</vt:i4>
      </vt:variant>
      <vt:variant>
        <vt:i4>0</vt:i4>
      </vt:variant>
      <vt:variant>
        <vt:i4>5</vt:i4>
      </vt:variant>
      <vt:variant>
        <vt:lpwstr/>
      </vt:variant>
      <vt:variant>
        <vt:lpwstr>_Toc179464278</vt:lpwstr>
      </vt:variant>
      <vt:variant>
        <vt:i4>1507388</vt:i4>
      </vt:variant>
      <vt:variant>
        <vt:i4>386</vt:i4>
      </vt:variant>
      <vt:variant>
        <vt:i4>0</vt:i4>
      </vt:variant>
      <vt:variant>
        <vt:i4>5</vt:i4>
      </vt:variant>
      <vt:variant>
        <vt:lpwstr/>
      </vt:variant>
      <vt:variant>
        <vt:lpwstr>_Toc179464277</vt:lpwstr>
      </vt:variant>
      <vt:variant>
        <vt:i4>1507388</vt:i4>
      </vt:variant>
      <vt:variant>
        <vt:i4>380</vt:i4>
      </vt:variant>
      <vt:variant>
        <vt:i4>0</vt:i4>
      </vt:variant>
      <vt:variant>
        <vt:i4>5</vt:i4>
      </vt:variant>
      <vt:variant>
        <vt:lpwstr/>
      </vt:variant>
      <vt:variant>
        <vt:lpwstr>_Toc179464276</vt:lpwstr>
      </vt:variant>
      <vt:variant>
        <vt:i4>1507388</vt:i4>
      </vt:variant>
      <vt:variant>
        <vt:i4>374</vt:i4>
      </vt:variant>
      <vt:variant>
        <vt:i4>0</vt:i4>
      </vt:variant>
      <vt:variant>
        <vt:i4>5</vt:i4>
      </vt:variant>
      <vt:variant>
        <vt:lpwstr/>
      </vt:variant>
      <vt:variant>
        <vt:lpwstr>_Toc179464275</vt:lpwstr>
      </vt:variant>
      <vt:variant>
        <vt:i4>1507388</vt:i4>
      </vt:variant>
      <vt:variant>
        <vt:i4>368</vt:i4>
      </vt:variant>
      <vt:variant>
        <vt:i4>0</vt:i4>
      </vt:variant>
      <vt:variant>
        <vt:i4>5</vt:i4>
      </vt:variant>
      <vt:variant>
        <vt:lpwstr/>
      </vt:variant>
      <vt:variant>
        <vt:lpwstr>_Toc179464274</vt:lpwstr>
      </vt:variant>
      <vt:variant>
        <vt:i4>1507388</vt:i4>
      </vt:variant>
      <vt:variant>
        <vt:i4>362</vt:i4>
      </vt:variant>
      <vt:variant>
        <vt:i4>0</vt:i4>
      </vt:variant>
      <vt:variant>
        <vt:i4>5</vt:i4>
      </vt:variant>
      <vt:variant>
        <vt:lpwstr/>
      </vt:variant>
      <vt:variant>
        <vt:lpwstr>_Toc179464273</vt:lpwstr>
      </vt:variant>
      <vt:variant>
        <vt:i4>1507388</vt:i4>
      </vt:variant>
      <vt:variant>
        <vt:i4>356</vt:i4>
      </vt:variant>
      <vt:variant>
        <vt:i4>0</vt:i4>
      </vt:variant>
      <vt:variant>
        <vt:i4>5</vt:i4>
      </vt:variant>
      <vt:variant>
        <vt:lpwstr/>
      </vt:variant>
      <vt:variant>
        <vt:lpwstr>_Toc179464272</vt:lpwstr>
      </vt:variant>
      <vt:variant>
        <vt:i4>1507388</vt:i4>
      </vt:variant>
      <vt:variant>
        <vt:i4>350</vt:i4>
      </vt:variant>
      <vt:variant>
        <vt:i4>0</vt:i4>
      </vt:variant>
      <vt:variant>
        <vt:i4>5</vt:i4>
      </vt:variant>
      <vt:variant>
        <vt:lpwstr/>
      </vt:variant>
      <vt:variant>
        <vt:lpwstr>_Toc179464271</vt:lpwstr>
      </vt:variant>
      <vt:variant>
        <vt:i4>1507388</vt:i4>
      </vt:variant>
      <vt:variant>
        <vt:i4>344</vt:i4>
      </vt:variant>
      <vt:variant>
        <vt:i4>0</vt:i4>
      </vt:variant>
      <vt:variant>
        <vt:i4>5</vt:i4>
      </vt:variant>
      <vt:variant>
        <vt:lpwstr/>
      </vt:variant>
      <vt:variant>
        <vt:lpwstr>_Toc179464270</vt:lpwstr>
      </vt:variant>
      <vt:variant>
        <vt:i4>1441852</vt:i4>
      </vt:variant>
      <vt:variant>
        <vt:i4>338</vt:i4>
      </vt:variant>
      <vt:variant>
        <vt:i4>0</vt:i4>
      </vt:variant>
      <vt:variant>
        <vt:i4>5</vt:i4>
      </vt:variant>
      <vt:variant>
        <vt:lpwstr/>
      </vt:variant>
      <vt:variant>
        <vt:lpwstr>_Toc179464269</vt:lpwstr>
      </vt:variant>
      <vt:variant>
        <vt:i4>1441852</vt:i4>
      </vt:variant>
      <vt:variant>
        <vt:i4>332</vt:i4>
      </vt:variant>
      <vt:variant>
        <vt:i4>0</vt:i4>
      </vt:variant>
      <vt:variant>
        <vt:i4>5</vt:i4>
      </vt:variant>
      <vt:variant>
        <vt:lpwstr/>
      </vt:variant>
      <vt:variant>
        <vt:lpwstr>_Toc179464268</vt:lpwstr>
      </vt:variant>
      <vt:variant>
        <vt:i4>1441852</vt:i4>
      </vt:variant>
      <vt:variant>
        <vt:i4>326</vt:i4>
      </vt:variant>
      <vt:variant>
        <vt:i4>0</vt:i4>
      </vt:variant>
      <vt:variant>
        <vt:i4>5</vt:i4>
      </vt:variant>
      <vt:variant>
        <vt:lpwstr/>
      </vt:variant>
      <vt:variant>
        <vt:lpwstr>_Toc179464267</vt:lpwstr>
      </vt:variant>
      <vt:variant>
        <vt:i4>1441852</vt:i4>
      </vt:variant>
      <vt:variant>
        <vt:i4>320</vt:i4>
      </vt:variant>
      <vt:variant>
        <vt:i4>0</vt:i4>
      </vt:variant>
      <vt:variant>
        <vt:i4>5</vt:i4>
      </vt:variant>
      <vt:variant>
        <vt:lpwstr/>
      </vt:variant>
      <vt:variant>
        <vt:lpwstr>_Toc179464266</vt:lpwstr>
      </vt:variant>
      <vt:variant>
        <vt:i4>1441852</vt:i4>
      </vt:variant>
      <vt:variant>
        <vt:i4>314</vt:i4>
      </vt:variant>
      <vt:variant>
        <vt:i4>0</vt:i4>
      </vt:variant>
      <vt:variant>
        <vt:i4>5</vt:i4>
      </vt:variant>
      <vt:variant>
        <vt:lpwstr/>
      </vt:variant>
      <vt:variant>
        <vt:lpwstr>_Toc179464265</vt:lpwstr>
      </vt:variant>
      <vt:variant>
        <vt:i4>1441852</vt:i4>
      </vt:variant>
      <vt:variant>
        <vt:i4>308</vt:i4>
      </vt:variant>
      <vt:variant>
        <vt:i4>0</vt:i4>
      </vt:variant>
      <vt:variant>
        <vt:i4>5</vt:i4>
      </vt:variant>
      <vt:variant>
        <vt:lpwstr/>
      </vt:variant>
      <vt:variant>
        <vt:lpwstr>_Toc179464264</vt:lpwstr>
      </vt:variant>
      <vt:variant>
        <vt:i4>1441852</vt:i4>
      </vt:variant>
      <vt:variant>
        <vt:i4>302</vt:i4>
      </vt:variant>
      <vt:variant>
        <vt:i4>0</vt:i4>
      </vt:variant>
      <vt:variant>
        <vt:i4>5</vt:i4>
      </vt:variant>
      <vt:variant>
        <vt:lpwstr/>
      </vt:variant>
      <vt:variant>
        <vt:lpwstr>_Toc179464263</vt:lpwstr>
      </vt:variant>
      <vt:variant>
        <vt:i4>1441852</vt:i4>
      </vt:variant>
      <vt:variant>
        <vt:i4>296</vt:i4>
      </vt:variant>
      <vt:variant>
        <vt:i4>0</vt:i4>
      </vt:variant>
      <vt:variant>
        <vt:i4>5</vt:i4>
      </vt:variant>
      <vt:variant>
        <vt:lpwstr/>
      </vt:variant>
      <vt:variant>
        <vt:lpwstr>_Toc179464262</vt:lpwstr>
      </vt:variant>
      <vt:variant>
        <vt:i4>1441852</vt:i4>
      </vt:variant>
      <vt:variant>
        <vt:i4>290</vt:i4>
      </vt:variant>
      <vt:variant>
        <vt:i4>0</vt:i4>
      </vt:variant>
      <vt:variant>
        <vt:i4>5</vt:i4>
      </vt:variant>
      <vt:variant>
        <vt:lpwstr/>
      </vt:variant>
      <vt:variant>
        <vt:lpwstr>_Toc179464261</vt:lpwstr>
      </vt:variant>
      <vt:variant>
        <vt:i4>1441852</vt:i4>
      </vt:variant>
      <vt:variant>
        <vt:i4>284</vt:i4>
      </vt:variant>
      <vt:variant>
        <vt:i4>0</vt:i4>
      </vt:variant>
      <vt:variant>
        <vt:i4>5</vt:i4>
      </vt:variant>
      <vt:variant>
        <vt:lpwstr/>
      </vt:variant>
      <vt:variant>
        <vt:lpwstr>_Toc179464260</vt:lpwstr>
      </vt:variant>
      <vt:variant>
        <vt:i4>1376316</vt:i4>
      </vt:variant>
      <vt:variant>
        <vt:i4>278</vt:i4>
      </vt:variant>
      <vt:variant>
        <vt:i4>0</vt:i4>
      </vt:variant>
      <vt:variant>
        <vt:i4>5</vt:i4>
      </vt:variant>
      <vt:variant>
        <vt:lpwstr/>
      </vt:variant>
      <vt:variant>
        <vt:lpwstr>_Toc179464259</vt:lpwstr>
      </vt:variant>
      <vt:variant>
        <vt:i4>1376316</vt:i4>
      </vt:variant>
      <vt:variant>
        <vt:i4>272</vt:i4>
      </vt:variant>
      <vt:variant>
        <vt:i4>0</vt:i4>
      </vt:variant>
      <vt:variant>
        <vt:i4>5</vt:i4>
      </vt:variant>
      <vt:variant>
        <vt:lpwstr/>
      </vt:variant>
      <vt:variant>
        <vt:lpwstr>_Toc179464258</vt:lpwstr>
      </vt:variant>
      <vt:variant>
        <vt:i4>1376316</vt:i4>
      </vt:variant>
      <vt:variant>
        <vt:i4>266</vt:i4>
      </vt:variant>
      <vt:variant>
        <vt:i4>0</vt:i4>
      </vt:variant>
      <vt:variant>
        <vt:i4>5</vt:i4>
      </vt:variant>
      <vt:variant>
        <vt:lpwstr/>
      </vt:variant>
      <vt:variant>
        <vt:lpwstr>_Toc179464257</vt:lpwstr>
      </vt:variant>
      <vt:variant>
        <vt:i4>1376316</vt:i4>
      </vt:variant>
      <vt:variant>
        <vt:i4>260</vt:i4>
      </vt:variant>
      <vt:variant>
        <vt:i4>0</vt:i4>
      </vt:variant>
      <vt:variant>
        <vt:i4>5</vt:i4>
      </vt:variant>
      <vt:variant>
        <vt:lpwstr/>
      </vt:variant>
      <vt:variant>
        <vt:lpwstr>_Toc179464256</vt:lpwstr>
      </vt:variant>
      <vt:variant>
        <vt:i4>1376316</vt:i4>
      </vt:variant>
      <vt:variant>
        <vt:i4>254</vt:i4>
      </vt:variant>
      <vt:variant>
        <vt:i4>0</vt:i4>
      </vt:variant>
      <vt:variant>
        <vt:i4>5</vt:i4>
      </vt:variant>
      <vt:variant>
        <vt:lpwstr/>
      </vt:variant>
      <vt:variant>
        <vt:lpwstr>_Toc179464255</vt:lpwstr>
      </vt:variant>
      <vt:variant>
        <vt:i4>1376316</vt:i4>
      </vt:variant>
      <vt:variant>
        <vt:i4>248</vt:i4>
      </vt:variant>
      <vt:variant>
        <vt:i4>0</vt:i4>
      </vt:variant>
      <vt:variant>
        <vt:i4>5</vt:i4>
      </vt:variant>
      <vt:variant>
        <vt:lpwstr/>
      </vt:variant>
      <vt:variant>
        <vt:lpwstr>_Toc179464254</vt:lpwstr>
      </vt:variant>
      <vt:variant>
        <vt:i4>1376316</vt:i4>
      </vt:variant>
      <vt:variant>
        <vt:i4>242</vt:i4>
      </vt:variant>
      <vt:variant>
        <vt:i4>0</vt:i4>
      </vt:variant>
      <vt:variant>
        <vt:i4>5</vt:i4>
      </vt:variant>
      <vt:variant>
        <vt:lpwstr/>
      </vt:variant>
      <vt:variant>
        <vt:lpwstr>_Toc179464253</vt:lpwstr>
      </vt:variant>
      <vt:variant>
        <vt:i4>1376316</vt:i4>
      </vt:variant>
      <vt:variant>
        <vt:i4>236</vt:i4>
      </vt:variant>
      <vt:variant>
        <vt:i4>0</vt:i4>
      </vt:variant>
      <vt:variant>
        <vt:i4>5</vt:i4>
      </vt:variant>
      <vt:variant>
        <vt:lpwstr/>
      </vt:variant>
      <vt:variant>
        <vt:lpwstr>_Toc179464252</vt:lpwstr>
      </vt:variant>
      <vt:variant>
        <vt:i4>1376316</vt:i4>
      </vt:variant>
      <vt:variant>
        <vt:i4>230</vt:i4>
      </vt:variant>
      <vt:variant>
        <vt:i4>0</vt:i4>
      </vt:variant>
      <vt:variant>
        <vt:i4>5</vt:i4>
      </vt:variant>
      <vt:variant>
        <vt:lpwstr/>
      </vt:variant>
      <vt:variant>
        <vt:lpwstr>_Toc179464251</vt:lpwstr>
      </vt:variant>
      <vt:variant>
        <vt:i4>1376316</vt:i4>
      </vt:variant>
      <vt:variant>
        <vt:i4>224</vt:i4>
      </vt:variant>
      <vt:variant>
        <vt:i4>0</vt:i4>
      </vt:variant>
      <vt:variant>
        <vt:i4>5</vt:i4>
      </vt:variant>
      <vt:variant>
        <vt:lpwstr/>
      </vt:variant>
      <vt:variant>
        <vt:lpwstr>_Toc179464250</vt:lpwstr>
      </vt:variant>
      <vt:variant>
        <vt:i4>1310780</vt:i4>
      </vt:variant>
      <vt:variant>
        <vt:i4>218</vt:i4>
      </vt:variant>
      <vt:variant>
        <vt:i4>0</vt:i4>
      </vt:variant>
      <vt:variant>
        <vt:i4>5</vt:i4>
      </vt:variant>
      <vt:variant>
        <vt:lpwstr/>
      </vt:variant>
      <vt:variant>
        <vt:lpwstr>_Toc179464249</vt:lpwstr>
      </vt:variant>
      <vt:variant>
        <vt:i4>1310780</vt:i4>
      </vt:variant>
      <vt:variant>
        <vt:i4>212</vt:i4>
      </vt:variant>
      <vt:variant>
        <vt:i4>0</vt:i4>
      </vt:variant>
      <vt:variant>
        <vt:i4>5</vt:i4>
      </vt:variant>
      <vt:variant>
        <vt:lpwstr/>
      </vt:variant>
      <vt:variant>
        <vt:lpwstr>_Toc179464248</vt:lpwstr>
      </vt:variant>
      <vt:variant>
        <vt:i4>1310780</vt:i4>
      </vt:variant>
      <vt:variant>
        <vt:i4>206</vt:i4>
      </vt:variant>
      <vt:variant>
        <vt:i4>0</vt:i4>
      </vt:variant>
      <vt:variant>
        <vt:i4>5</vt:i4>
      </vt:variant>
      <vt:variant>
        <vt:lpwstr/>
      </vt:variant>
      <vt:variant>
        <vt:lpwstr>_Toc179464247</vt:lpwstr>
      </vt:variant>
      <vt:variant>
        <vt:i4>1310780</vt:i4>
      </vt:variant>
      <vt:variant>
        <vt:i4>200</vt:i4>
      </vt:variant>
      <vt:variant>
        <vt:i4>0</vt:i4>
      </vt:variant>
      <vt:variant>
        <vt:i4>5</vt:i4>
      </vt:variant>
      <vt:variant>
        <vt:lpwstr/>
      </vt:variant>
      <vt:variant>
        <vt:lpwstr>_Toc179464246</vt:lpwstr>
      </vt:variant>
      <vt:variant>
        <vt:i4>1310780</vt:i4>
      </vt:variant>
      <vt:variant>
        <vt:i4>194</vt:i4>
      </vt:variant>
      <vt:variant>
        <vt:i4>0</vt:i4>
      </vt:variant>
      <vt:variant>
        <vt:i4>5</vt:i4>
      </vt:variant>
      <vt:variant>
        <vt:lpwstr/>
      </vt:variant>
      <vt:variant>
        <vt:lpwstr>_Toc179464245</vt:lpwstr>
      </vt:variant>
      <vt:variant>
        <vt:i4>1310780</vt:i4>
      </vt:variant>
      <vt:variant>
        <vt:i4>188</vt:i4>
      </vt:variant>
      <vt:variant>
        <vt:i4>0</vt:i4>
      </vt:variant>
      <vt:variant>
        <vt:i4>5</vt:i4>
      </vt:variant>
      <vt:variant>
        <vt:lpwstr/>
      </vt:variant>
      <vt:variant>
        <vt:lpwstr>_Toc179464244</vt:lpwstr>
      </vt:variant>
      <vt:variant>
        <vt:i4>1310780</vt:i4>
      </vt:variant>
      <vt:variant>
        <vt:i4>182</vt:i4>
      </vt:variant>
      <vt:variant>
        <vt:i4>0</vt:i4>
      </vt:variant>
      <vt:variant>
        <vt:i4>5</vt:i4>
      </vt:variant>
      <vt:variant>
        <vt:lpwstr/>
      </vt:variant>
      <vt:variant>
        <vt:lpwstr>_Toc179464243</vt:lpwstr>
      </vt:variant>
      <vt:variant>
        <vt:i4>1310780</vt:i4>
      </vt:variant>
      <vt:variant>
        <vt:i4>176</vt:i4>
      </vt:variant>
      <vt:variant>
        <vt:i4>0</vt:i4>
      </vt:variant>
      <vt:variant>
        <vt:i4>5</vt:i4>
      </vt:variant>
      <vt:variant>
        <vt:lpwstr/>
      </vt:variant>
      <vt:variant>
        <vt:lpwstr>_Toc179464242</vt:lpwstr>
      </vt:variant>
      <vt:variant>
        <vt:i4>1310780</vt:i4>
      </vt:variant>
      <vt:variant>
        <vt:i4>170</vt:i4>
      </vt:variant>
      <vt:variant>
        <vt:i4>0</vt:i4>
      </vt:variant>
      <vt:variant>
        <vt:i4>5</vt:i4>
      </vt:variant>
      <vt:variant>
        <vt:lpwstr/>
      </vt:variant>
      <vt:variant>
        <vt:lpwstr>_Toc179464241</vt:lpwstr>
      </vt:variant>
      <vt:variant>
        <vt:i4>1310780</vt:i4>
      </vt:variant>
      <vt:variant>
        <vt:i4>164</vt:i4>
      </vt:variant>
      <vt:variant>
        <vt:i4>0</vt:i4>
      </vt:variant>
      <vt:variant>
        <vt:i4>5</vt:i4>
      </vt:variant>
      <vt:variant>
        <vt:lpwstr/>
      </vt:variant>
      <vt:variant>
        <vt:lpwstr>_Toc179464240</vt:lpwstr>
      </vt:variant>
      <vt:variant>
        <vt:i4>1245244</vt:i4>
      </vt:variant>
      <vt:variant>
        <vt:i4>158</vt:i4>
      </vt:variant>
      <vt:variant>
        <vt:i4>0</vt:i4>
      </vt:variant>
      <vt:variant>
        <vt:i4>5</vt:i4>
      </vt:variant>
      <vt:variant>
        <vt:lpwstr/>
      </vt:variant>
      <vt:variant>
        <vt:lpwstr>_Toc179464239</vt:lpwstr>
      </vt:variant>
      <vt:variant>
        <vt:i4>1245244</vt:i4>
      </vt:variant>
      <vt:variant>
        <vt:i4>152</vt:i4>
      </vt:variant>
      <vt:variant>
        <vt:i4>0</vt:i4>
      </vt:variant>
      <vt:variant>
        <vt:i4>5</vt:i4>
      </vt:variant>
      <vt:variant>
        <vt:lpwstr/>
      </vt:variant>
      <vt:variant>
        <vt:lpwstr>_Toc179464238</vt:lpwstr>
      </vt:variant>
      <vt:variant>
        <vt:i4>1245244</vt:i4>
      </vt:variant>
      <vt:variant>
        <vt:i4>146</vt:i4>
      </vt:variant>
      <vt:variant>
        <vt:i4>0</vt:i4>
      </vt:variant>
      <vt:variant>
        <vt:i4>5</vt:i4>
      </vt:variant>
      <vt:variant>
        <vt:lpwstr/>
      </vt:variant>
      <vt:variant>
        <vt:lpwstr>_Toc179464237</vt:lpwstr>
      </vt:variant>
      <vt:variant>
        <vt:i4>1245244</vt:i4>
      </vt:variant>
      <vt:variant>
        <vt:i4>140</vt:i4>
      </vt:variant>
      <vt:variant>
        <vt:i4>0</vt:i4>
      </vt:variant>
      <vt:variant>
        <vt:i4>5</vt:i4>
      </vt:variant>
      <vt:variant>
        <vt:lpwstr/>
      </vt:variant>
      <vt:variant>
        <vt:lpwstr>_Toc179464236</vt:lpwstr>
      </vt:variant>
      <vt:variant>
        <vt:i4>1245244</vt:i4>
      </vt:variant>
      <vt:variant>
        <vt:i4>134</vt:i4>
      </vt:variant>
      <vt:variant>
        <vt:i4>0</vt:i4>
      </vt:variant>
      <vt:variant>
        <vt:i4>5</vt:i4>
      </vt:variant>
      <vt:variant>
        <vt:lpwstr/>
      </vt:variant>
      <vt:variant>
        <vt:lpwstr>_Toc179464235</vt:lpwstr>
      </vt:variant>
      <vt:variant>
        <vt:i4>1245244</vt:i4>
      </vt:variant>
      <vt:variant>
        <vt:i4>128</vt:i4>
      </vt:variant>
      <vt:variant>
        <vt:i4>0</vt:i4>
      </vt:variant>
      <vt:variant>
        <vt:i4>5</vt:i4>
      </vt:variant>
      <vt:variant>
        <vt:lpwstr/>
      </vt:variant>
      <vt:variant>
        <vt:lpwstr>_Toc179464234</vt:lpwstr>
      </vt:variant>
      <vt:variant>
        <vt:i4>1245244</vt:i4>
      </vt:variant>
      <vt:variant>
        <vt:i4>122</vt:i4>
      </vt:variant>
      <vt:variant>
        <vt:i4>0</vt:i4>
      </vt:variant>
      <vt:variant>
        <vt:i4>5</vt:i4>
      </vt:variant>
      <vt:variant>
        <vt:lpwstr/>
      </vt:variant>
      <vt:variant>
        <vt:lpwstr>_Toc179464233</vt:lpwstr>
      </vt:variant>
      <vt:variant>
        <vt:i4>1245244</vt:i4>
      </vt:variant>
      <vt:variant>
        <vt:i4>116</vt:i4>
      </vt:variant>
      <vt:variant>
        <vt:i4>0</vt:i4>
      </vt:variant>
      <vt:variant>
        <vt:i4>5</vt:i4>
      </vt:variant>
      <vt:variant>
        <vt:lpwstr/>
      </vt:variant>
      <vt:variant>
        <vt:lpwstr>_Toc179464232</vt:lpwstr>
      </vt:variant>
      <vt:variant>
        <vt:i4>1245244</vt:i4>
      </vt:variant>
      <vt:variant>
        <vt:i4>110</vt:i4>
      </vt:variant>
      <vt:variant>
        <vt:i4>0</vt:i4>
      </vt:variant>
      <vt:variant>
        <vt:i4>5</vt:i4>
      </vt:variant>
      <vt:variant>
        <vt:lpwstr/>
      </vt:variant>
      <vt:variant>
        <vt:lpwstr>_Toc179464231</vt:lpwstr>
      </vt:variant>
      <vt:variant>
        <vt:i4>1245244</vt:i4>
      </vt:variant>
      <vt:variant>
        <vt:i4>104</vt:i4>
      </vt:variant>
      <vt:variant>
        <vt:i4>0</vt:i4>
      </vt:variant>
      <vt:variant>
        <vt:i4>5</vt:i4>
      </vt:variant>
      <vt:variant>
        <vt:lpwstr/>
      </vt:variant>
      <vt:variant>
        <vt:lpwstr>_Toc179464230</vt:lpwstr>
      </vt:variant>
      <vt:variant>
        <vt:i4>1179708</vt:i4>
      </vt:variant>
      <vt:variant>
        <vt:i4>98</vt:i4>
      </vt:variant>
      <vt:variant>
        <vt:i4>0</vt:i4>
      </vt:variant>
      <vt:variant>
        <vt:i4>5</vt:i4>
      </vt:variant>
      <vt:variant>
        <vt:lpwstr/>
      </vt:variant>
      <vt:variant>
        <vt:lpwstr>_Toc179464229</vt:lpwstr>
      </vt:variant>
      <vt:variant>
        <vt:i4>1179708</vt:i4>
      </vt:variant>
      <vt:variant>
        <vt:i4>92</vt:i4>
      </vt:variant>
      <vt:variant>
        <vt:i4>0</vt:i4>
      </vt:variant>
      <vt:variant>
        <vt:i4>5</vt:i4>
      </vt:variant>
      <vt:variant>
        <vt:lpwstr/>
      </vt:variant>
      <vt:variant>
        <vt:lpwstr>_Toc179464228</vt:lpwstr>
      </vt:variant>
      <vt:variant>
        <vt:i4>1179708</vt:i4>
      </vt:variant>
      <vt:variant>
        <vt:i4>86</vt:i4>
      </vt:variant>
      <vt:variant>
        <vt:i4>0</vt:i4>
      </vt:variant>
      <vt:variant>
        <vt:i4>5</vt:i4>
      </vt:variant>
      <vt:variant>
        <vt:lpwstr/>
      </vt:variant>
      <vt:variant>
        <vt:lpwstr>_Toc179464227</vt:lpwstr>
      </vt:variant>
      <vt:variant>
        <vt:i4>1179708</vt:i4>
      </vt:variant>
      <vt:variant>
        <vt:i4>80</vt:i4>
      </vt:variant>
      <vt:variant>
        <vt:i4>0</vt:i4>
      </vt:variant>
      <vt:variant>
        <vt:i4>5</vt:i4>
      </vt:variant>
      <vt:variant>
        <vt:lpwstr/>
      </vt:variant>
      <vt:variant>
        <vt:lpwstr>_Toc179464226</vt:lpwstr>
      </vt:variant>
      <vt:variant>
        <vt:i4>1179708</vt:i4>
      </vt:variant>
      <vt:variant>
        <vt:i4>74</vt:i4>
      </vt:variant>
      <vt:variant>
        <vt:i4>0</vt:i4>
      </vt:variant>
      <vt:variant>
        <vt:i4>5</vt:i4>
      </vt:variant>
      <vt:variant>
        <vt:lpwstr/>
      </vt:variant>
      <vt:variant>
        <vt:lpwstr>_Toc179464225</vt:lpwstr>
      </vt:variant>
      <vt:variant>
        <vt:i4>1179708</vt:i4>
      </vt:variant>
      <vt:variant>
        <vt:i4>68</vt:i4>
      </vt:variant>
      <vt:variant>
        <vt:i4>0</vt:i4>
      </vt:variant>
      <vt:variant>
        <vt:i4>5</vt:i4>
      </vt:variant>
      <vt:variant>
        <vt:lpwstr/>
      </vt:variant>
      <vt:variant>
        <vt:lpwstr>_Toc179464224</vt:lpwstr>
      </vt:variant>
      <vt:variant>
        <vt:i4>1179708</vt:i4>
      </vt:variant>
      <vt:variant>
        <vt:i4>62</vt:i4>
      </vt:variant>
      <vt:variant>
        <vt:i4>0</vt:i4>
      </vt:variant>
      <vt:variant>
        <vt:i4>5</vt:i4>
      </vt:variant>
      <vt:variant>
        <vt:lpwstr/>
      </vt:variant>
      <vt:variant>
        <vt:lpwstr>_Toc179464223</vt:lpwstr>
      </vt:variant>
      <vt:variant>
        <vt:i4>1179708</vt:i4>
      </vt:variant>
      <vt:variant>
        <vt:i4>56</vt:i4>
      </vt:variant>
      <vt:variant>
        <vt:i4>0</vt:i4>
      </vt:variant>
      <vt:variant>
        <vt:i4>5</vt:i4>
      </vt:variant>
      <vt:variant>
        <vt:lpwstr/>
      </vt:variant>
      <vt:variant>
        <vt:lpwstr>_Toc179464222</vt:lpwstr>
      </vt:variant>
      <vt:variant>
        <vt:i4>1179708</vt:i4>
      </vt:variant>
      <vt:variant>
        <vt:i4>50</vt:i4>
      </vt:variant>
      <vt:variant>
        <vt:i4>0</vt:i4>
      </vt:variant>
      <vt:variant>
        <vt:i4>5</vt:i4>
      </vt:variant>
      <vt:variant>
        <vt:lpwstr/>
      </vt:variant>
      <vt:variant>
        <vt:lpwstr>_Toc179464221</vt:lpwstr>
      </vt:variant>
      <vt:variant>
        <vt:i4>1179708</vt:i4>
      </vt:variant>
      <vt:variant>
        <vt:i4>44</vt:i4>
      </vt:variant>
      <vt:variant>
        <vt:i4>0</vt:i4>
      </vt:variant>
      <vt:variant>
        <vt:i4>5</vt:i4>
      </vt:variant>
      <vt:variant>
        <vt:lpwstr/>
      </vt:variant>
      <vt:variant>
        <vt:lpwstr>_Toc179464220</vt:lpwstr>
      </vt:variant>
      <vt:variant>
        <vt:i4>1114172</vt:i4>
      </vt:variant>
      <vt:variant>
        <vt:i4>38</vt:i4>
      </vt:variant>
      <vt:variant>
        <vt:i4>0</vt:i4>
      </vt:variant>
      <vt:variant>
        <vt:i4>5</vt:i4>
      </vt:variant>
      <vt:variant>
        <vt:lpwstr/>
      </vt:variant>
      <vt:variant>
        <vt:lpwstr>_Toc179464219</vt:lpwstr>
      </vt:variant>
      <vt:variant>
        <vt:i4>1114172</vt:i4>
      </vt:variant>
      <vt:variant>
        <vt:i4>32</vt:i4>
      </vt:variant>
      <vt:variant>
        <vt:i4>0</vt:i4>
      </vt:variant>
      <vt:variant>
        <vt:i4>5</vt:i4>
      </vt:variant>
      <vt:variant>
        <vt:lpwstr/>
      </vt:variant>
      <vt:variant>
        <vt:lpwstr>_Toc179464218</vt:lpwstr>
      </vt:variant>
      <vt:variant>
        <vt:i4>1114172</vt:i4>
      </vt:variant>
      <vt:variant>
        <vt:i4>26</vt:i4>
      </vt:variant>
      <vt:variant>
        <vt:i4>0</vt:i4>
      </vt:variant>
      <vt:variant>
        <vt:i4>5</vt:i4>
      </vt:variant>
      <vt:variant>
        <vt:lpwstr/>
      </vt:variant>
      <vt:variant>
        <vt:lpwstr>_Toc179464217</vt:lpwstr>
      </vt:variant>
      <vt:variant>
        <vt:i4>1114172</vt:i4>
      </vt:variant>
      <vt:variant>
        <vt:i4>20</vt:i4>
      </vt:variant>
      <vt:variant>
        <vt:i4>0</vt:i4>
      </vt:variant>
      <vt:variant>
        <vt:i4>5</vt:i4>
      </vt:variant>
      <vt:variant>
        <vt:lpwstr/>
      </vt:variant>
      <vt:variant>
        <vt:lpwstr>_Toc179464216</vt:lpwstr>
      </vt:variant>
      <vt:variant>
        <vt:i4>1114172</vt:i4>
      </vt:variant>
      <vt:variant>
        <vt:i4>14</vt:i4>
      </vt:variant>
      <vt:variant>
        <vt:i4>0</vt:i4>
      </vt:variant>
      <vt:variant>
        <vt:i4>5</vt:i4>
      </vt:variant>
      <vt:variant>
        <vt:lpwstr/>
      </vt:variant>
      <vt:variant>
        <vt:lpwstr>_Toc179464215</vt:lpwstr>
      </vt:variant>
      <vt:variant>
        <vt:i4>1114172</vt:i4>
      </vt:variant>
      <vt:variant>
        <vt:i4>8</vt:i4>
      </vt:variant>
      <vt:variant>
        <vt:i4>0</vt:i4>
      </vt:variant>
      <vt:variant>
        <vt:i4>5</vt:i4>
      </vt:variant>
      <vt:variant>
        <vt:lpwstr/>
      </vt:variant>
      <vt:variant>
        <vt:lpwstr>_Toc179464214</vt:lpwstr>
      </vt:variant>
      <vt:variant>
        <vt:i4>1114172</vt:i4>
      </vt:variant>
      <vt:variant>
        <vt:i4>2</vt:i4>
      </vt:variant>
      <vt:variant>
        <vt:i4>0</vt:i4>
      </vt:variant>
      <vt:variant>
        <vt:i4>5</vt:i4>
      </vt:variant>
      <vt:variant>
        <vt:lpwstr/>
      </vt:variant>
      <vt:variant>
        <vt:lpwstr>_Toc179464213</vt:lpwstr>
      </vt:variant>
      <vt:variant>
        <vt:i4>5570659</vt:i4>
      </vt:variant>
      <vt:variant>
        <vt:i4>6</vt:i4>
      </vt:variant>
      <vt:variant>
        <vt:i4>0</vt:i4>
      </vt:variant>
      <vt:variant>
        <vt:i4>5</vt:i4>
      </vt:variant>
      <vt:variant>
        <vt:lpwstr>https://www.blm.gov/content/ghg/2022/</vt:lpwstr>
      </vt:variant>
      <vt:variant>
        <vt:lpwstr>!</vt:lpwstr>
      </vt:variant>
      <vt:variant>
        <vt:i4>8257649</vt:i4>
      </vt:variant>
      <vt:variant>
        <vt:i4>3</vt:i4>
      </vt:variant>
      <vt:variant>
        <vt:i4>0</vt:i4>
      </vt:variant>
      <vt:variant>
        <vt:i4>5</vt:i4>
      </vt:variant>
      <vt:variant>
        <vt:lpwstr>https://www.federalregister.gov/documents/2023/06/16/2023-11742/onshore-oil-and-gas-operations-federal-and-indian-oil-and-gas-leases-codification-of-onshore-orders</vt:lpwstr>
      </vt:variant>
      <vt:variant>
        <vt:lpwstr/>
      </vt:variant>
      <vt:variant>
        <vt:i4>4718661</vt:i4>
      </vt:variant>
      <vt:variant>
        <vt:i4>0</vt:i4>
      </vt:variant>
      <vt:variant>
        <vt:i4>0</vt:i4>
      </vt:variant>
      <vt:variant>
        <vt:i4>5</vt:i4>
      </vt:variant>
      <vt:variant>
        <vt:lpwstr>https://www.blm.gov/programs/energy-and-minerals/oil-and-gas/</vt:lpwstr>
      </vt:variant>
      <vt:variant>
        <vt:lpwstr/>
      </vt:variant>
      <vt:variant>
        <vt:i4>6946897</vt:i4>
      </vt:variant>
      <vt:variant>
        <vt:i4>9</vt:i4>
      </vt:variant>
      <vt:variant>
        <vt:i4>0</vt:i4>
      </vt:variant>
      <vt:variant>
        <vt:i4>5</vt:i4>
      </vt:variant>
      <vt:variant>
        <vt:lpwstr>mailto:npacker@blm.gov</vt:lpwstr>
      </vt:variant>
      <vt:variant>
        <vt:lpwstr/>
      </vt:variant>
      <vt:variant>
        <vt:i4>6946897</vt:i4>
      </vt:variant>
      <vt:variant>
        <vt:i4>6</vt:i4>
      </vt:variant>
      <vt:variant>
        <vt:i4>0</vt:i4>
      </vt:variant>
      <vt:variant>
        <vt:i4>5</vt:i4>
      </vt:variant>
      <vt:variant>
        <vt:lpwstr>mailto:npacker@blm.gov</vt:lpwstr>
      </vt:variant>
      <vt:variant>
        <vt:lpwstr/>
      </vt:variant>
      <vt:variant>
        <vt:i4>8323157</vt:i4>
      </vt:variant>
      <vt:variant>
        <vt:i4>3</vt:i4>
      </vt:variant>
      <vt:variant>
        <vt:i4>0</vt:i4>
      </vt:variant>
      <vt:variant>
        <vt:i4>5</vt:i4>
      </vt:variant>
      <vt:variant>
        <vt:lpwstr>mailto:awadman@blm.gov</vt:lpwstr>
      </vt:variant>
      <vt:variant>
        <vt:lpwstr/>
      </vt:variant>
      <vt:variant>
        <vt:i4>6946897</vt:i4>
      </vt:variant>
      <vt:variant>
        <vt:i4>0</vt:i4>
      </vt:variant>
      <vt:variant>
        <vt:i4>0</vt:i4>
      </vt:variant>
      <vt:variant>
        <vt:i4>5</vt:i4>
      </vt:variant>
      <vt:variant>
        <vt:lpwstr>mailto:npacker@blm.gov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Crawley, April J</dc:creator>
  <cp:keywords/>
  <dc:description/>
  <cp:lastModifiedBy>Nate Packer</cp:lastModifiedBy>
  <cp:revision>35</cp:revision>
  <dcterms:created xsi:type="dcterms:W3CDTF">2024-11-29T16:22:00Z</dcterms:created>
  <dcterms:modified xsi:type="dcterms:W3CDTF">2024-12-17T18:10:00Z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0x010100196E008B6480DE468045BAF523D0E1F5</vt:lpwstr>
  </property>
  <property fmtid="{D5CDD505-2E9C-101B-9397-08002B2CF9AE}" pid="3" name="MediaServiceImageTags">
    <vt:lpwstr/>
  </property>
</Properties>
</file>